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24EDA" w14:textId="5CF9AFDE" w:rsidR="007B6DDB" w:rsidRPr="00CE28E3" w:rsidRDefault="000C3CF0" w:rsidP="007B6DDB">
      <w:pPr>
        <w:spacing w:after="240"/>
        <w:jc w:val="center"/>
        <w:rPr>
          <w:b/>
          <w:i/>
          <w:szCs w:val="24"/>
          <w:highlight w:val="yellow"/>
        </w:rPr>
      </w:pPr>
      <w:r>
        <w:rPr>
          <w:rFonts w:ascii="Arial" w:hAnsi="Arial" w:cs="Arial"/>
          <w:b/>
          <w:noProof/>
          <w:color w:val="000080"/>
          <w:sz w:val="28"/>
          <w:szCs w:val="28"/>
          <w:lang w:eastAsia="en-AU"/>
        </w:rPr>
        <w:drawing>
          <wp:inline distT="0" distB="0" distL="0" distR="0" wp14:anchorId="51EA6128" wp14:editId="279E2269">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7567F957" w14:textId="77777777" w:rsidR="000C3CF0" w:rsidRDefault="000C3CF0" w:rsidP="000C3CF0">
      <w:pPr>
        <w:pStyle w:val="Subtitle"/>
        <w:rPr>
          <w:rFonts w:eastAsiaTheme="majorEastAsia"/>
          <w:i w:val="0"/>
          <w:sz w:val="36"/>
          <w:szCs w:val="36"/>
          <w:lang w:eastAsia="en-US"/>
        </w:rPr>
      </w:pPr>
      <w:r w:rsidRPr="005F6A3D">
        <w:rPr>
          <w:rFonts w:eastAsiaTheme="majorEastAsia"/>
          <w:i w:val="0"/>
          <w:sz w:val="36"/>
          <w:szCs w:val="36"/>
          <w:lang w:eastAsia="en-US"/>
        </w:rPr>
        <w:t xml:space="preserve">Public Summary Document </w:t>
      </w:r>
    </w:p>
    <w:p w14:paraId="507E7DC4" w14:textId="77777777" w:rsidR="007B6DDB" w:rsidRPr="00CE28E3" w:rsidRDefault="007B6DDB" w:rsidP="007B6DDB">
      <w:pPr>
        <w:pStyle w:val="Subtitle"/>
      </w:pPr>
      <w:r w:rsidRPr="00CE28E3">
        <w:t xml:space="preserve">Application No. </w:t>
      </w:r>
      <w:r w:rsidRPr="00402D25">
        <w:t xml:space="preserve">1673 – </w:t>
      </w:r>
      <w:r w:rsidRPr="008C4E0C">
        <w:t>Single operator, single use, peroral cholangiopancreatoscopy for diagnosis of indeterminate biliary strictures and removal of difficult biliary stones</w:t>
      </w:r>
    </w:p>
    <w:p w14:paraId="1FAB983B" w14:textId="77777777" w:rsidR="007B6DDB" w:rsidRPr="00CE28E3" w:rsidRDefault="007B6DDB" w:rsidP="00ED3550">
      <w:pPr>
        <w:tabs>
          <w:tab w:val="left" w:pos="3686"/>
        </w:tabs>
        <w:spacing w:after="240"/>
        <w:rPr>
          <w:rFonts w:ascii="Arial" w:hAnsi="Arial" w:cs="Arial"/>
          <w:b/>
          <w:szCs w:val="24"/>
        </w:rPr>
      </w:pPr>
      <w:r w:rsidRPr="00CE28E3">
        <w:rPr>
          <w:rFonts w:ascii="Arial" w:hAnsi="Arial" w:cs="Arial"/>
          <w:b/>
          <w:szCs w:val="24"/>
        </w:rPr>
        <w:t>Applicant:</w:t>
      </w:r>
      <w:r w:rsidRPr="00CE28E3">
        <w:rPr>
          <w:rFonts w:ascii="Arial" w:hAnsi="Arial" w:cs="Arial"/>
          <w:b/>
          <w:szCs w:val="24"/>
        </w:rPr>
        <w:tab/>
      </w:r>
      <w:r>
        <w:rPr>
          <w:rFonts w:ascii="Arial" w:hAnsi="Arial" w:cs="Arial"/>
          <w:b/>
          <w:szCs w:val="24"/>
        </w:rPr>
        <w:t>Boston Scientific Pty Ltd</w:t>
      </w:r>
    </w:p>
    <w:p w14:paraId="0BB1F6BA" w14:textId="389325E5" w:rsidR="00ED3550" w:rsidRDefault="00ED3550" w:rsidP="00ED3550">
      <w:pPr>
        <w:tabs>
          <w:tab w:val="left" w:pos="3686"/>
        </w:tabs>
        <w:spacing w:after="240"/>
        <w:rPr>
          <w:rFonts w:ascii="Arial" w:hAnsi="Arial" w:cs="Arial"/>
          <w:b/>
          <w:szCs w:val="24"/>
        </w:rPr>
      </w:pPr>
      <w:r>
        <w:rPr>
          <w:rFonts w:ascii="Arial" w:hAnsi="Arial" w:cs="Arial"/>
          <w:b/>
          <w:szCs w:val="24"/>
        </w:rPr>
        <w:t xml:space="preserve">Date of </w:t>
      </w:r>
      <w:r w:rsidR="000C3CF0">
        <w:rPr>
          <w:rFonts w:ascii="Arial" w:hAnsi="Arial" w:cs="Arial"/>
          <w:b/>
          <w:szCs w:val="24"/>
        </w:rPr>
        <w:t>MSAC</w:t>
      </w:r>
      <w:r>
        <w:rPr>
          <w:rFonts w:ascii="Arial" w:hAnsi="Arial" w:cs="Arial"/>
          <w:b/>
          <w:szCs w:val="24"/>
        </w:rPr>
        <w:t xml:space="preserve"> Consideration</w:t>
      </w:r>
      <w:r w:rsidRPr="00CE28E3">
        <w:rPr>
          <w:rFonts w:ascii="Arial" w:hAnsi="Arial" w:cs="Arial"/>
          <w:b/>
          <w:szCs w:val="24"/>
        </w:rPr>
        <w:t>:</w:t>
      </w:r>
      <w:r w:rsidRPr="00CE28E3">
        <w:rPr>
          <w:rFonts w:ascii="Arial" w:hAnsi="Arial" w:cs="Arial"/>
          <w:b/>
          <w:szCs w:val="24"/>
        </w:rPr>
        <w:tab/>
      </w:r>
      <w:r w:rsidR="000C3CF0" w:rsidRPr="00A513B1">
        <w:rPr>
          <w:rFonts w:ascii="Arial" w:hAnsi="Arial" w:cs="Arial"/>
          <w:b/>
        </w:rPr>
        <w:t>31 March – 1 April 2022</w:t>
      </w:r>
    </w:p>
    <w:p w14:paraId="45BF0DB1" w14:textId="7968AADD" w:rsidR="00580FF5" w:rsidRPr="00580FF5" w:rsidRDefault="00580FF5" w:rsidP="00580FF5">
      <w:pPr>
        <w:pStyle w:val="Heading2"/>
      </w:pPr>
      <w:bookmarkStart w:id="0" w:name="_Toc69491415"/>
      <w:bookmarkStart w:id="1" w:name="_Hlk69734469"/>
      <w:r>
        <w:t>1.</w:t>
      </w:r>
      <w:r>
        <w:tab/>
      </w:r>
      <w:r w:rsidRPr="00CE28E3">
        <w:t xml:space="preserve">Purpose </w:t>
      </w:r>
      <w:r w:rsidRPr="00CE28E3">
        <w:rPr>
          <w:szCs w:val="32"/>
        </w:rPr>
        <w:t>of</w:t>
      </w:r>
      <w:r w:rsidRPr="00CE28E3">
        <w:t xml:space="preserve"> application</w:t>
      </w:r>
      <w:bookmarkEnd w:id="0"/>
    </w:p>
    <w:p w14:paraId="6BF31FF2" w14:textId="0E946B96" w:rsidR="00772829" w:rsidRDefault="00772829" w:rsidP="00772829">
      <w:pPr>
        <w:spacing w:after="240"/>
        <w:rPr>
          <w:iCs/>
        </w:rPr>
      </w:pPr>
      <w:r w:rsidRPr="009A3778">
        <w:rPr>
          <w:iCs/>
        </w:rPr>
        <w:t xml:space="preserve">An application requesting </w:t>
      </w:r>
      <w:r w:rsidRPr="00E83BC9">
        <w:rPr>
          <w:iCs/>
        </w:rPr>
        <w:t xml:space="preserve">Medicare Benefits Schedule (MBS) listing </w:t>
      </w:r>
      <w:r w:rsidRPr="009A3778">
        <w:rPr>
          <w:iCs/>
        </w:rPr>
        <w:t xml:space="preserve">of </w:t>
      </w:r>
      <w:r w:rsidR="00402D25">
        <w:rPr>
          <w:iCs/>
        </w:rPr>
        <w:t>single operator, single use, peroral cholan</w:t>
      </w:r>
      <w:r w:rsidR="00E83BC9">
        <w:rPr>
          <w:iCs/>
        </w:rPr>
        <w:t>g</w:t>
      </w:r>
      <w:r w:rsidR="00402D25">
        <w:rPr>
          <w:iCs/>
        </w:rPr>
        <w:t>iopancreatoscopy (POCPS)</w:t>
      </w:r>
      <w:r w:rsidRPr="009A3778">
        <w:rPr>
          <w:iCs/>
        </w:rPr>
        <w:t xml:space="preserve"> for </w:t>
      </w:r>
      <w:r w:rsidR="00402D25" w:rsidRPr="00402D25">
        <w:rPr>
          <w:iCs/>
        </w:rPr>
        <w:t>diagnosis of indeterminate biliary strictures and removal of difficult biliary stones</w:t>
      </w:r>
      <w:r w:rsidRPr="009A3778">
        <w:rPr>
          <w:iCs/>
        </w:rPr>
        <w:t xml:space="preserve"> was received from the </w:t>
      </w:r>
      <w:r w:rsidR="00402D25" w:rsidRPr="00402D25">
        <w:rPr>
          <w:iCs/>
        </w:rPr>
        <w:t>Boston Scientific Pty Ltd</w:t>
      </w:r>
      <w:r w:rsidRPr="009A3778">
        <w:rPr>
          <w:iCs/>
        </w:rPr>
        <w:t xml:space="preserve"> by the Department of Health.</w:t>
      </w:r>
    </w:p>
    <w:p w14:paraId="6EF022FF" w14:textId="5FCFBA20" w:rsidR="0015035D" w:rsidRDefault="0015035D" w:rsidP="0015035D">
      <w:pPr>
        <w:pStyle w:val="Heading2"/>
      </w:pPr>
      <w:r>
        <w:t>2.</w:t>
      </w:r>
      <w:r>
        <w:tab/>
      </w:r>
      <w:r w:rsidRPr="0015035D">
        <w:t>MSAC’s advice to the Minister</w:t>
      </w:r>
    </w:p>
    <w:p w14:paraId="621C1AC3" w14:textId="02D8E30D" w:rsidR="0015035D" w:rsidRPr="00A15555" w:rsidRDefault="00A15555" w:rsidP="0015035D">
      <w:pPr>
        <w:autoSpaceDE w:val="0"/>
        <w:autoSpaceDN w:val="0"/>
        <w:adjustRightInd w:val="0"/>
        <w:spacing w:before="0" w:after="240" w:line="240" w:lineRule="auto"/>
        <w:rPr>
          <w:iCs/>
        </w:rPr>
      </w:pPr>
      <w:r w:rsidRPr="00A15555">
        <w:rPr>
          <w:iCs/>
        </w:rPr>
        <w:t xml:space="preserve">After considering the strength of the available evidence in relation to comparative safety, clinical effectiveness and cost-effectiveness, MSAC supported the creation of new Medicare Benefits Schedule (MBS) items for peroral cholangiopancreatoscopy (POCPS) for diagnosis of indeterminate biliary strictures and removal of difficult biliary stones. MSAC noted limitations in the clinical evidence but considered POCPS was likely to have superior effectiveness and non-inferior safety compared with </w:t>
      </w:r>
      <w:r w:rsidR="00ED0FDC">
        <w:rPr>
          <w:iCs/>
        </w:rPr>
        <w:t xml:space="preserve">repeat use of </w:t>
      </w:r>
      <w:r w:rsidRPr="00A15555">
        <w:rPr>
          <w:iCs/>
        </w:rPr>
        <w:t>endoscopic retrograde cholangiopancreatography for</w:t>
      </w:r>
      <w:r w:rsidR="00AE65B8">
        <w:rPr>
          <w:iCs/>
        </w:rPr>
        <w:t xml:space="preserve">  </w:t>
      </w:r>
      <w:r w:rsidRPr="00A15555">
        <w:rPr>
          <w:iCs/>
        </w:rPr>
        <w:t xml:space="preserve">both </w:t>
      </w:r>
      <w:r w:rsidR="003C7237">
        <w:rPr>
          <w:iCs/>
        </w:rPr>
        <w:t xml:space="preserve">the </w:t>
      </w:r>
      <w:r w:rsidRPr="00A15555">
        <w:rPr>
          <w:iCs/>
        </w:rPr>
        <w:t xml:space="preserve">diagnostic and therapeutic </w:t>
      </w:r>
      <w:r w:rsidR="003C7237">
        <w:rPr>
          <w:iCs/>
        </w:rPr>
        <w:t>intervention</w:t>
      </w:r>
      <w:r w:rsidR="00AE65B8">
        <w:rPr>
          <w:iCs/>
        </w:rPr>
        <w:t xml:space="preserve"> populations</w:t>
      </w:r>
      <w:r w:rsidRPr="00A15555">
        <w:rPr>
          <w:iCs/>
        </w:rPr>
        <w:t>. MSAC considered POCPS has non-inferior effectiveness compared with laparoscopic choledochotomy for the removal of difficult biliary stones. MSAC considered that POCPS had uncertain but acceptable cost effectiveness and  would result in a small increase in cost to the MBS.</w:t>
      </w:r>
    </w:p>
    <w:tbl>
      <w:tblPr>
        <w:tblStyle w:val="TableGrid"/>
        <w:tblW w:w="0" w:type="auto"/>
        <w:tblLook w:val="04A0" w:firstRow="1" w:lastRow="0" w:firstColumn="1" w:lastColumn="0" w:noHBand="0" w:noVBand="1"/>
        <w:tblDescription w:val="Consumer summary of MSAC consideration"/>
      </w:tblPr>
      <w:tblGrid>
        <w:gridCol w:w="9016"/>
      </w:tblGrid>
      <w:tr w:rsidR="0015035D" w:rsidRPr="0015035D" w14:paraId="6A2941A9" w14:textId="77777777" w:rsidTr="0015035D">
        <w:trPr>
          <w:tblHeader/>
        </w:trPr>
        <w:tc>
          <w:tcPr>
            <w:tcW w:w="9016" w:type="dxa"/>
          </w:tcPr>
          <w:p w14:paraId="6B3BA4AC" w14:textId="77777777" w:rsidR="0015035D" w:rsidRPr="007B5C13" w:rsidRDefault="0015035D" w:rsidP="0015035D">
            <w:pPr>
              <w:keepLines/>
              <w:tabs>
                <w:tab w:val="left" w:pos="851"/>
              </w:tabs>
              <w:outlineLvl w:val="2"/>
              <w:rPr>
                <w:b/>
                <w:bCs/>
                <w:iCs/>
                <w:sz w:val="24"/>
              </w:rPr>
            </w:pPr>
            <w:r w:rsidRPr="007B5C13">
              <w:rPr>
                <w:rFonts w:ascii="Franklin Gothic Medium" w:hAnsi="Franklin Gothic Medium"/>
                <w:b/>
                <w:bCs/>
                <w:sz w:val="24"/>
              </w:rPr>
              <w:t>Consumer summary</w:t>
            </w:r>
          </w:p>
        </w:tc>
      </w:tr>
      <w:tr w:rsidR="0015035D" w:rsidRPr="0015035D" w14:paraId="7B077B6A" w14:textId="77777777" w:rsidTr="0015035D">
        <w:tc>
          <w:tcPr>
            <w:tcW w:w="9016" w:type="dxa"/>
          </w:tcPr>
          <w:p w14:paraId="43526D1D" w14:textId="77777777" w:rsidR="00A15555" w:rsidRPr="00F76EC4" w:rsidRDefault="00A15555" w:rsidP="00A15555">
            <w:pPr>
              <w:autoSpaceDE w:val="0"/>
              <w:autoSpaceDN w:val="0"/>
              <w:adjustRightInd w:val="0"/>
              <w:spacing w:after="240"/>
              <w:rPr>
                <w:iCs/>
              </w:rPr>
            </w:pPr>
            <w:r w:rsidRPr="00D23898">
              <w:rPr>
                <w:iCs/>
              </w:rPr>
              <w:t>MSAC</w:t>
            </w:r>
            <w:r w:rsidRPr="00F76EC4">
              <w:rPr>
                <w:iCs/>
              </w:rPr>
              <w:t xml:space="preserve"> noted that this is an application from Boston Scientific requesting Medicare Benefits Schedule (MBS) listing of single operator, single use peroral cholangiopancreatoscopy (POCPS) for diagnosing indeterminate biliary strictures and removing difficult biliary stones.</w:t>
            </w:r>
          </w:p>
          <w:p w14:paraId="4C30D411" w14:textId="139F1169" w:rsidR="00A15555" w:rsidRPr="00F76EC4" w:rsidRDefault="00A15555" w:rsidP="00A15555">
            <w:pPr>
              <w:autoSpaceDE w:val="0"/>
              <w:autoSpaceDN w:val="0"/>
              <w:adjustRightInd w:val="0"/>
              <w:spacing w:before="0" w:after="240"/>
              <w:rPr>
                <w:iCs/>
              </w:rPr>
            </w:pPr>
            <w:r w:rsidRPr="00F76EC4">
              <w:rPr>
                <w:iCs/>
              </w:rPr>
              <w:t xml:space="preserve">Biliary strictures occur when the bile duct (the tube that carries bile from the liver to the small intestine) becomes </w:t>
            </w:r>
            <w:r w:rsidR="00096CD5" w:rsidRPr="00F76EC4">
              <w:rPr>
                <w:iCs/>
              </w:rPr>
              <w:t xml:space="preserve">too </w:t>
            </w:r>
            <w:r w:rsidRPr="00F76EC4">
              <w:rPr>
                <w:iCs/>
              </w:rPr>
              <w:t xml:space="preserve">narrow or blocked. This can be caused by </w:t>
            </w:r>
            <w:r w:rsidR="00F60C56" w:rsidRPr="00F76EC4">
              <w:rPr>
                <w:iCs/>
              </w:rPr>
              <w:t>conditions</w:t>
            </w:r>
            <w:r w:rsidRPr="00F76EC4">
              <w:rPr>
                <w:iCs/>
              </w:rPr>
              <w:t xml:space="preserve"> such as inflammation in the bile ducts, biliary stones (also known as gallstones) and </w:t>
            </w:r>
            <w:r w:rsidR="00F60C56" w:rsidRPr="00F76EC4">
              <w:rPr>
                <w:iCs/>
              </w:rPr>
              <w:t xml:space="preserve">a rare type of </w:t>
            </w:r>
            <w:r w:rsidRPr="00F76EC4">
              <w:rPr>
                <w:iCs/>
              </w:rPr>
              <w:t>cancer. Bile is a substance that helps the body digest fat in food. When the bile duct becomes narrow or blocked, bile backs up, causing symptoms like jaundice and, potentially, low-grade sepsis (when the body reacts to an infection, which causes damage to its own organs).</w:t>
            </w:r>
          </w:p>
          <w:p w14:paraId="0844648C" w14:textId="2C77508D" w:rsidR="00A15555" w:rsidRPr="00F76EC4" w:rsidRDefault="00A15555" w:rsidP="00A15555">
            <w:pPr>
              <w:autoSpaceDE w:val="0"/>
              <w:autoSpaceDN w:val="0"/>
              <w:adjustRightInd w:val="0"/>
              <w:spacing w:before="0" w:after="240"/>
              <w:rPr>
                <w:iCs/>
              </w:rPr>
            </w:pPr>
            <w:r w:rsidRPr="00F76EC4">
              <w:rPr>
                <w:iCs/>
              </w:rPr>
              <w:lastRenderedPageBreak/>
              <w:t xml:space="preserve">Techniques to diagnose </w:t>
            </w:r>
            <w:r w:rsidR="00096CD5" w:rsidRPr="00F76EC4">
              <w:rPr>
                <w:iCs/>
              </w:rPr>
              <w:t>narrowing of the bile duct (biliary strictures)</w:t>
            </w:r>
            <w:r w:rsidRPr="00F76EC4">
              <w:rPr>
                <w:iCs/>
              </w:rPr>
              <w:t xml:space="preserve"> often involve </w:t>
            </w:r>
            <w:r w:rsidR="00F60C56" w:rsidRPr="00F76EC4">
              <w:rPr>
                <w:iCs/>
              </w:rPr>
              <w:t xml:space="preserve">a procedure called </w:t>
            </w:r>
            <w:r w:rsidRPr="00F76EC4">
              <w:rPr>
                <w:iCs/>
              </w:rPr>
              <w:t xml:space="preserve">endoscopic retrograde cholangiopancreatography (ERCP). ERCP combines X-ray and an endoscope (a long, flexible tube with a light and camera on the end) to </w:t>
            </w:r>
            <w:r w:rsidR="00ED0FDC" w:rsidRPr="00F76EC4">
              <w:rPr>
                <w:iCs/>
              </w:rPr>
              <w:t xml:space="preserve">inject contrast into </w:t>
            </w:r>
            <w:r w:rsidRPr="00F76EC4">
              <w:rPr>
                <w:iCs/>
              </w:rPr>
              <w:t>the bil</w:t>
            </w:r>
            <w:r w:rsidR="00ED0FDC" w:rsidRPr="00F76EC4">
              <w:rPr>
                <w:iCs/>
              </w:rPr>
              <w:t>e and pancreatic</w:t>
            </w:r>
            <w:r w:rsidRPr="00F76EC4">
              <w:rPr>
                <w:iCs/>
              </w:rPr>
              <w:t xml:space="preserve"> ducts. </w:t>
            </w:r>
            <w:r w:rsidR="00F60C56" w:rsidRPr="00F76EC4">
              <w:rPr>
                <w:iCs/>
              </w:rPr>
              <w:t>It is not always possible to make a</w:t>
            </w:r>
            <w:r w:rsidRPr="00F76EC4">
              <w:rPr>
                <w:iCs/>
              </w:rPr>
              <w:t xml:space="preserve"> </w:t>
            </w:r>
            <w:r w:rsidR="00F60C56" w:rsidRPr="00F76EC4">
              <w:rPr>
                <w:iCs/>
              </w:rPr>
              <w:t xml:space="preserve">diagnosis of a condition causing </w:t>
            </w:r>
            <w:r w:rsidR="00096CD5" w:rsidRPr="00F76EC4">
              <w:rPr>
                <w:iCs/>
              </w:rPr>
              <w:t xml:space="preserve">the narrowing of the bile duct (biliary strictures </w:t>
            </w:r>
            <w:r w:rsidRPr="00F76EC4">
              <w:rPr>
                <w:iCs/>
              </w:rPr>
              <w:t xml:space="preserve">using ERCP. But if </w:t>
            </w:r>
            <w:r w:rsidR="00F60C56" w:rsidRPr="00F76EC4">
              <w:rPr>
                <w:iCs/>
              </w:rPr>
              <w:t xml:space="preserve">a condition that may cause </w:t>
            </w:r>
            <w:r w:rsidRPr="00F76EC4">
              <w:rPr>
                <w:iCs/>
              </w:rPr>
              <w:t xml:space="preserve">cancer is suspected, patients will </w:t>
            </w:r>
            <w:r w:rsidR="00F60C56" w:rsidRPr="00F76EC4">
              <w:rPr>
                <w:iCs/>
              </w:rPr>
              <w:t xml:space="preserve">sometimes </w:t>
            </w:r>
            <w:r w:rsidRPr="00F76EC4">
              <w:rPr>
                <w:iCs/>
              </w:rPr>
              <w:t xml:space="preserve">undergo surgery, even if the </w:t>
            </w:r>
            <w:r w:rsidR="00096CD5" w:rsidRPr="00F76EC4">
              <w:rPr>
                <w:iCs/>
              </w:rPr>
              <w:t>narrowing or blockage</w:t>
            </w:r>
            <w:r w:rsidRPr="00F76EC4">
              <w:rPr>
                <w:iCs/>
              </w:rPr>
              <w:t xml:space="preserve"> actually </w:t>
            </w:r>
            <w:r w:rsidR="00F60C56" w:rsidRPr="00F76EC4">
              <w:rPr>
                <w:iCs/>
              </w:rPr>
              <w:t xml:space="preserve">turns out to be </w:t>
            </w:r>
            <w:r w:rsidRPr="00F76EC4">
              <w:rPr>
                <w:iCs/>
              </w:rPr>
              <w:t xml:space="preserve">benign (non-cancerous). Biliary stones </w:t>
            </w:r>
            <w:r w:rsidR="00F60C56" w:rsidRPr="00F76EC4">
              <w:rPr>
                <w:iCs/>
              </w:rPr>
              <w:t xml:space="preserve">can </w:t>
            </w:r>
            <w:r w:rsidRPr="00F76EC4">
              <w:rPr>
                <w:iCs/>
              </w:rPr>
              <w:t>usually</w:t>
            </w:r>
            <w:r w:rsidR="00B716A2" w:rsidRPr="00F76EC4">
              <w:rPr>
                <w:iCs/>
              </w:rPr>
              <w:t xml:space="preserve"> be</w:t>
            </w:r>
            <w:r w:rsidRPr="00F76EC4">
              <w:rPr>
                <w:iCs/>
              </w:rPr>
              <w:t xml:space="preserve"> removed during ERCP, but some cannot be removed </w:t>
            </w:r>
            <w:r w:rsidR="00F60C56" w:rsidRPr="00F76EC4">
              <w:rPr>
                <w:iCs/>
              </w:rPr>
              <w:t>because they are too large or stuck behind a narrowing of the bile duct</w:t>
            </w:r>
            <w:r w:rsidRPr="00F76EC4">
              <w:rPr>
                <w:iCs/>
              </w:rPr>
              <w:t>. This can lead to negative patient outcomes, such as longer procedure times, multiple ERCP procedures and surgery.</w:t>
            </w:r>
          </w:p>
          <w:p w14:paraId="42D21691" w14:textId="2DEF9880" w:rsidR="00A15555" w:rsidRPr="00F76EC4" w:rsidRDefault="00096CD5" w:rsidP="00A15555">
            <w:pPr>
              <w:autoSpaceDE w:val="0"/>
              <w:autoSpaceDN w:val="0"/>
              <w:adjustRightInd w:val="0"/>
              <w:spacing w:before="0" w:after="240"/>
              <w:rPr>
                <w:iCs/>
              </w:rPr>
            </w:pPr>
            <w:r w:rsidRPr="00F76EC4">
              <w:rPr>
                <w:iCs/>
              </w:rPr>
              <w:t>P</w:t>
            </w:r>
            <w:r w:rsidR="00A15555" w:rsidRPr="00F76EC4">
              <w:rPr>
                <w:iCs/>
              </w:rPr>
              <w:t xml:space="preserve">eroral cholangiopancreatoscopy (POCPS) can be used during an ERCP procedure. POCPS uses a small, high-definition scope that can go directly into biliary and pancreatic ducts. Because POCPS produces clear images of the inside of ducts, it can allow </w:t>
            </w:r>
            <w:r w:rsidR="00F60C56" w:rsidRPr="00F76EC4">
              <w:rPr>
                <w:iCs/>
              </w:rPr>
              <w:t xml:space="preserve">for a </w:t>
            </w:r>
            <w:r w:rsidR="00A15555" w:rsidRPr="00F76EC4">
              <w:rPr>
                <w:iCs/>
              </w:rPr>
              <w:t xml:space="preserve">more accurate diagnosis of </w:t>
            </w:r>
            <w:r w:rsidR="00DE5DAB" w:rsidRPr="00F76EC4">
              <w:rPr>
                <w:iCs/>
              </w:rPr>
              <w:t xml:space="preserve">narrowing of the bile duct (biliary strictures) </w:t>
            </w:r>
            <w:r w:rsidR="00A15555" w:rsidRPr="00F76EC4">
              <w:rPr>
                <w:iCs/>
              </w:rPr>
              <w:t xml:space="preserve"> and make it easier for doctors to remove stones that are large or hard to remove (called “difficult stones”).</w:t>
            </w:r>
          </w:p>
          <w:p w14:paraId="3BCDD75D" w14:textId="488DC163" w:rsidR="00A15555" w:rsidRPr="00F76EC4" w:rsidRDefault="00A15555" w:rsidP="00A15555">
            <w:pPr>
              <w:keepLines/>
              <w:tabs>
                <w:tab w:val="left" w:pos="851"/>
              </w:tabs>
              <w:outlineLvl w:val="2"/>
              <w:rPr>
                <w:iCs/>
              </w:rPr>
            </w:pPr>
            <w:r w:rsidRPr="00F76EC4">
              <w:rPr>
                <w:iCs/>
              </w:rPr>
              <w:t xml:space="preserve">For diagnosing </w:t>
            </w:r>
            <w:r w:rsidR="00651868" w:rsidRPr="00F76EC4">
              <w:rPr>
                <w:iCs/>
              </w:rPr>
              <w:t xml:space="preserve">the cause of </w:t>
            </w:r>
            <w:r w:rsidR="00DE5DAB" w:rsidRPr="00F76EC4">
              <w:rPr>
                <w:iCs/>
              </w:rPr>
              <w:t>narrow</w:t>
            </w:r>
            <w:r w:rsidR="009F0026" w:rsidRPr="00F76EC4">
              <w:rPr>
                <w:iCs/>
              </w:rPr>
              <w:t>ing</w:t>
            </w:r>
            <w:r w:rsidR="00DE5DAB" w:rsidRPr="00F76EC4">
              <w:rPr>
                <w:iCs/>
              </w:rPr>
              <w:t xml:space="preserve"> of </w:t>
            </w:r>
            <w:r w:rsidR="00651868" w:rsidRPr="00F76EC4">
              <w:rPr>
                <w:iCs/>
              </w:rPr>
              <w:t xml:space="preserve">a </w:t>
            </w:r>
            <w:r w:rsidR="00DE5DAB" w:rsidRPr="00F76EC4">
              <w:rPr>
                <w:iCs/>
              </w:rPr>
              <w:t xml:space="preserve">bile duct (biliary strictures) </w:t>
            </w:r>
            <w:r w:rsidRPr="00F76EC4">
              <w:rPr>
                <w:iCs/>
              </w:rPr>
              <w:t>and removing difficult stones, MSAC considered POCPS to be at least as safe as, and more effective than, ERCP. MSAC also considered POCPS was at least as effective as surgery for removing difficult biliary stones. MSAC considered there would only be a small increase in the cost to the MBS.</w:t>
            </w:r>
          </w:p>
          <w:p w14:paraId="71B56973" w14:textId="301BF68A" w:rsidR="0015035D" w:rsidRPr="00F76EC4" w:rsidRDefault="0015035D" w:rsidP="00A15555">
            <w:pPr>
              <w:keepLines/>
              <w:tabs>
                <w:tab w:val="left" w:pos="851"/>
              </w:tabs>
              <w:spacing w:before="240"/>
              <w:outlineLvl w:val="2"/>
              <w:rPr>
                <w:rFonts w:ascii="Franklin Gothic Medium" w:hAnsi="Franklin Gothic Medium"/>
                <w:b/>
                <w:bCs/>
              </w:rPr>
            </w:pPr>
            <w:r w:rsidRPr="00F76EC4">
              <w:rPr>
                <w:rFonts w:ascii="Franklin Gothic Medium" w:hAnsi="Franklin Gothic Medium"/>
                <w:b/>
                <w:bCs/>
              </w:rPr>
              <w:t>MSAC’s advice to the Commonwealth Minister for Health</w:t>
            </w:r>
          </w:p>
          <w:p w14:paraId="579B4734" w14:textId="39768B34" w:rsidR="0015035D" w:rsidRPr="0015035D" w:rsidRDefault="00A15555" w:rsidP="0015035D">
            <w:pPr>
              <w:autoSpaceDE w:val="0"/>
              <w:autoSpaceDN w:val="0"/>
              <w:adjustRightInd w:val="0"/>
              <w:spacing w:after="240"/>
              <w:rPr>
                <w:iCs/>
                <w:sz w:val="24"/>
              </w:rPr>
            </w:pPr>
            <w:r w:rsidRPr="00F76EC4">
              <w:rPr>
                <w:iCs/>
              </w:rPr>
              <w:t xml:space="preserve">MSAC supported POCPS for diagnosing indeterminate biliary strictures </w:t>
            </w:r>
            <w:r w:rsidR="00DE5DAB" w:rsidRPr="00F76EC4">
              <w:rPr>
                <w:iCs/>
              </w:rPr>
              <w:t xml:space="preserve">(narrowing of the bile duct) </w:t>
            </w:r>
            <w:r w:rsidRPr="00F76EC4">
              <w:rPr>
                <w:iCs/>
              </w:rPr>
              <w:t xml:space="preserve">and removing difficult biliary stones. MSAC noted the limitations in the clinical evidence, but considered POCPS was more effective and as safe as ERCP for diagnosing </w:t>
            </w:r>
            <w:r w:rsidR="00DE5DAB" w:rsidRPr="00F76EC4">
              <w:rPr>
                <w:iCs/>
              </w:rPr>
              <w:t>the cause of narrowed bile ducts (biliary strictures)</w:t>
            </w:r>
            <w:r w:rsidRPr="00F76EC4">
              <w:rPr>
                <w:iCs/>
              </w:rPr>
              <w:t xml:space="preserve"> and removing difficult stones, and as effective as surgery for removing difficult stones. MSAC also considered that POCPS was good value for money, and would result in only a small increase in cost to the MBS.</w:t>
            </w:r>
          </w:p>
        </w:tc>
      </w:tr>
    </w:tbl>
    <w:p w14:paraId="6916966E" w14:textId="2441DFF7" w:rsidR="0015035D" w:rsidRPr="0015035D" w:rsidRDefault="0015035D" w:rsidP="0015035D">
      <w:pPr>
        <w:pStyle w:val="Heading2"/>
      </w:pPr>
      <w:r>
        <w:lastRenderedPageBreak/>
        <w:t>3.</w:t>
      </w:r>
      <w:r>
        <w:tab/>
      </w:r>
      <w:r w:rsidRPr="0015035D">
        <w:t>Summary of consideration and rationale for MSAC’s advice</w:t>
      </w:r>
    </w:p>
    <w:p w14:paraId="5A2A7E29" w14:textId="78102027" w:rsidR="00A15555" w:rsidRDefault="00A15555" w:rsidP="00A15555">
      <w:pPr>
        <w:spacing w:before="240" w:after="240"/>
      </w:pPr>
      <w:r>
        <w:t xml:space="preserve">MSAC noted that this application from Boston Scientific is for Medical Benefits Schedule (MBS) listing of single operator, single use peroral cholangiopancreatoscopy (POCPS) for diagnosing indeterminate biliary strictures and removing difficult biliary stones. MSAC noted that POCPS is currently only available in </w:t>
      </w:r>
      <w:r w:rsidR="003C7237">
        <w:t xml:space="preserve">a </w:t>
      </w:r>
      <w:r>
        <w:t xml:space="preserve">limited </w:t>
      </w:r>
      <w:r w:rsidR="003C7237">
        <w:t xml:space="preserve">number of </w:t>
      </w:r>
      <w:r>
        <w:t xml:space="preserve">public tertiary institutions, so MBS funding would make </w:t>
      </w:r>
      <w:r w:rsidR="003C7237">
        <w:t>the service</w:t>
      </w:r>
      <w:r>
        <w:t xml:space="preserve"> available to the private sector.</w:t>
      </w:r>
    </w:p>
    <w:p w14:paraId="2B36CD94" w14:textId="77777777" w:rsidR="00A15555" w:rsidRDefault="00A15555" w:rsidP="00A15555">
      <w:pPr>
        <w:spacing w:before="240" w:after="120"/>
      </w:pPr>
      <w:r>
        <w:t>MSAC noted this application proposed two new MBS listings of single-operator, single-use POCPS for:</w:t>
      </w:r>
    </w:p>
    <w:p w14:paraId="707962B5" w14:textId="77777777" w:rsidR="00A15555" w:rsidRDefault="00A15555" w:rsidP="00A15555">
      <w:pPr>
        <w:pStyle w:val="ListParagraph"/>
        <w:numPr>
          <w:ilvl w:val="0"/>
          <w:numId w:val="30"/>
        </w:numPr>
        <w:spacing w:after="120"/>
        <w:ind w:left="714" w:hanging="357"/>
        <w:contextualSpacing w:val="0"/>
      </w:pPr>
      <w:r>
        <w:t>diagnosis of indeterminate biliary strictures following unsuccessful endoscopic retrograde cholangiopancreatography (ERCP)-guided brush cytology and/or intraductal biopsy</w:t>
      </w:r>
    </w:p>
    <w:p w14:paraId="7BCC9F94" w14:textId="1F22678E" w:rsidR="00A15555" w:rsidRDefault="00A15555" w:rsidP="00A15555">
      <w:pPr>
        <w:pStyle w:val="ListParagraph"/>
        <w:numPr>
          <w:ilvl w:val="0"/>
          <w:numId w:val="30"/>
        </w:numPr>
      </w:pPr>
      <w:r>
        <w:t>POCPS-guided electrohydraulic/laser lithotripsy for therapeutic removal of difficult biliary stones following unsuccessful ERCP-guided balloon/basket and/or lithotripsy with sphincterotomy.</w:t>
      </w:r>
    </w:p>
    <w:p w14:paraId="7412EB45" w14:textId="750F42A9" w:rsidR="00A15555" w:rsidRPr="001342D1" w:rsidRDefault="00A15555" w:rsidP="00A15555">
      <w:r>
        <w:t xml:space="preserve">MSAC noted consumer feedback was generally supportive of this application, but feedback noted the importance of </w:t>
      </w:r>
      <w:r w:rsidR="00AE65B8">
        <w:t xml:space="preserve">training and </w:t>
      </w:r>
      <w:r>
        <w:t>credentialing</w:t>
      </w:r>
      <w:r w:rsidR="00AE65B8">
        <w:t xml:space="preserve"> practitioners in the use of POCPS</w:t>
      </w:r>
      <w:r>
        <w:t>. The Gastroenterological Society of Australia was supportive</w:t>
      </w:r>
      <w:r w:rsidR="00B94C98">
        <w:t xml:space="preserve"> of the application</w:t>
      </w:r>
      <w:r>
        <w:t xml:space="preserve"> but recommended a </w:t>
      </w:r>
      <w:r w:rsidR="003C7237">
        <w:t xml:space="preserve">minimum </w:t>
      </w:r>
      <w:r>
        <w:t xml:space="preserve">case load of 10 cases per year for </w:t>
      </w:r>
      <w:r w:rsidR="003C7237">
        <w:t xml:space="preserve">operator </w:t>
      </w:r>
      <w:r>
        <w:t xml:space="preserve">credentialing. The society also stated </w:t>
      </w:r>
      <w:r w:rsidR="00B94C98">
        <w:t xml:space="preserve">that </w:t>
      </w:r>
      <w:r>
        <w:lastRenderedPageBreak/>
        <w:t xml:space="preserve">the Conjoint Committee for the Recognition of Training in Gastrointestinal Endoscopy specifies requirements for recognition of training in endoscopy and that this should be a requirement for POCPS. Both MSAC and the applicant agreed that only </w:t>
      </w:r>
      <w:r w:rsidR="006C0B37">
        <w:t xml:space="preserve">trained </w:t>
      </w:r>
      <w:r>
        <w:t xml:space="preserve">experienced operators should use POCPS. MSAC advised the Department that the credentialing requirement should be added to the explanatory notes </w:t>
      </w:r>
      <w:r w:rsidR="00B94C98">
        <w:t>for</w:t>
      </w:r>
      <w:r>
        <w:t xml:space="preserve"> the item</w:t>
      </w:r>
      <w:r w:rsidR="00B94C98">
        <w:t>s</w:t>
      </w:r>
      <w:r>
        <w:t xml:space="preserve">. MSAC also questioned </w:t>
      </w:r>
      <w:r w:rsidR="00FC1054">
        <w:t>whether</w:t>
      </w:r>
      <w:r w:rsidR="00ED0FDC">
        <w:t xml:space="preserve"> </w:t>
      </w:r>
      <w:r>
        <w:t xml:space="preserve">in experienced hands, POCPS </w:t>
      </w:r>
      <w:r w:rsidR="00FC1054">
        <w:t>might replace</w:t>
      </w:r>
      <w:r>
        <w:t xml:space="preserve"> ERCP as first-line treatment for difficult biliary stones.</w:t>
      </w:r>
      <w:r w:rsidR="00B94C98">
        <w:t xml:space="preserve"> However, MSAC agreed </w:t>
      </w:r>
      <w:r w:rsidR="00B94C98" w:rsidRPr="00B94C98">
        <w:t>failed ERCP will be a pre-requisite for POCPS</w:t>
      </w:r>
      <w:r w:rsidR="00B94C98">
        <w:t xml:space="preserve">. </w:t>
      </w:r>
    </w:p>
    <w:p w14:paraId="14D8B5AC" w14:textId="77777777" w:rsidR="00A15555" w:rsidRDefault="00A15555" w:rsidP="00A15555">
      <w:r>
        <w:t>MSAC noted the clinical need for POCPS, including:</w:t>
      </w:r>
    </w:p>
    <w:p w14:paraId="58BE47D9" w14:textId="32C2C4F8" w:rsidR="00A15555" w:rsidRDefault="00A15555" w:rsidP="00A15555">
      <w:pPr>
        <w:pStyle w:val="ListParagraph"/>
        <w:numPr>
          <w:ilvl w:val="0"/>
          <w:numId w:val="29"/>
        </w:numPr>
        <w:spacing w:after="120"/>
        <w:ind w:left="714" w:hanging="357"/>
        <w:contextualSpacing w:val="0"/>
      </w:pPr>
      <w:r>
        <w:t xml:space="preserve">diagnosis of biliary strictures that may </w:t>
      </w:r>
      <w:r w:rsidR="006C0B37">
        <w:t>have</w:t>
      </w:r>
      <w:r>
        <w:t xml:space="preserve"> uncertain</w:t>
      </w:r>
      <w:r w:rsidR="006C0B37">
        <w:t xml:space="preserve"> aetiology</w:t>
      </w:r>
      <w:r w:rsidR="0026192C">
        <w:t xml:space="preserve"> and risk-prediction</w:t>
      </w:r>
      <w:r>
        <w:t xml:space="preserve"> following imaging, pathology, and ERCP-guided cytology and biopsy</w:t>
      </w:r>
    </w:p>
    <w:p w14:paraId="16D72ACC" w14:textId="7F703397" w:rsidR="00A15555" w:rsidRDefault="00A15555" w:rsidP="00A15555">
      <w:pPr>
        <w:pStyle w:val="ListParagraph"/>
        <w:numPr>
          <w:ilvl w:val="0"/>
          <w:numId w:val="29"/>
        </w:numPr>
        <w:spacing w:after="120"/>
        <w:ind w:left="714" w:hanging="357"/>
        <w:contextualSpacing w:val="0"/>
      </w:pPr>
      <w:r>
        <w:t xml:space="preserve">surveillance of </w:t>
      </w:r>
      <w:r w:rsidR="006C0B37">
        <w:t xml:space="preserve">patients with </w:t>
      </w:r>
      <w:r>
        <w:t>primary sclerosing cholangitis (PSC</w:t>
      </w:r>
      <w:r w:rsidR="006C0B37">
        <w:t>)</w:t>
      </w:r>
      <w:r>
        <w:t>;</w:t>
      </w:r>
      <w:r w:rsidR="006C0B37">
        <w:t xml:space="preserve"> as these</w:t>
      </w:r>
      <w:r>
        <w:t xml:space="preserve"> patients </w:t>
      </w:r>
      <w:r w:rsidR="006C0B37">
        <w:t>are recommended to have</w:t>
      </w:r>
      <w:r>
        <w:t xml:space="preserve"> </w:t>
      </w:r>
      <w:r w:rsidR="006C0B37">
        <w:t xml:space="preserve">annual </w:t>
      </w:r>
      <w:r>
        <w:t xml:space="preserve">screening </w:t>
      </w:r>
      <w:r w:rsidR="006C0B37">
        <w:t>given the</w:t>
      </w:r>
      <w:r w:rsidR="00AE65B8">
        <w:t xml:space="preserve"> known</w:t>
      </w:r>
      <w:r w:rsidR="006C0B37">
        <w:t xml:space="preserve"> increased risk </w:t>
      </w:r>
      <w:r>
        <w:t>for cholangiocarcinoma</w:t>
      </w:r>
      <w:r w:rsidR="00AB2BA3">
        <w:t xml:space="preserve"> and may require liver transplantation</w:t>
      </w:r>
    </w:p>
    <w:p w14:paraId="57919B37" w14:textId="6AB8BBB0" w:rsidR="00A15555" w:rsidRDefault="00A15555" w:rsidP="00A15555">
      <w:pPr>
        <w:pStyle w:val="ListParagraph"/>
        <w:numPr>
          <w:ilvl w:val="0"/>
          <w:numId w:val="29"/>
        </w:numPr>
        <w:spacing w:after="120"/>
        <w:ind w:left="714" w:hanging="357"/>
        <w:contextualSpacing w:val="0"/>
      </w:pPr>
      <w:r>
        <w:t xml:space="preserve">the early diagnosis of cholangiocarcinoma </w:t>
      </w:r>
      <w:r w:rsidR="006C0B37">
        <w:t>requiring liver</w:t>
      </w:r>
      <w:r w:rsidR="00ED0FDC">
        <w:t xml:space="preserve"> or pancreatic</w:t>
      </w:r>
      <w:r w:rsidR="006C0B37">
        <w:t xml:space="preserve"> resection</w:t>
      </w:r>
    </w:p>
    <w:p w14:paraId="07FC7549" w14:textId="3B2F0A35" w:rsidR="00A15555" w:rsidRDefault="00A15555" w:rsidP="00A15555">
      <w:pPr>
        <w:pStyle w:val="ListParagraph"/>
        <w:numPr>
          <w:ilvl w:val="0"/>
          <w:numId w:val="29"/>
        </w:numPr>
        <w:spacing w:after="120"/>
        <w:ind w:left="714" w:hanging="357"/>
        <w:contextualSpacing w:val="0"/>
      </w:pPr>
      <w:r>
        <w:t xml:space="preserve">use in patients who have failed ERCP-guided balloon/basket </w:t>
      </w:r>
      <w:r w:rsidR="006C0B37">
        <w:t xml:space="preserve">biliary stone retrieval </w:t>
      </w:r>
      <w:r>
        <w:t xml:space="preserve">or lithotripsy who are unfit for laparoscopy. </w:t>
      </w:r>
    </w:p>
    <w:p w14:paraId="15805805" w14:textId="657D37B7" w:rsidR="003873CA" w:rsidRDefault="00A15555" w:rsidP="00A15555">
      <w:pPr>
        <w:spacing w:before="240" w:after="240"/>
      </w:pPr>
      <w:r>
        <w:t xml:space="preserve">MSAC noted the following MBS item descriptors to be mostly appropriate but </w:t>
      </w:r>
      <w:r w:rsidRPr="003520F0">
        <w:t xml:space="preserve">advised that </w:t>
      </w:r>
      <w:r>
        <w:t>“</w:t>
      </w:r>
      <w:r w:rsidRPr="003520F0">
        <w:t>difficult</w:t>
      </w:r>
      <w:r>
        <w:t>”</w:t>
      </w:r>
      <w:r w:rsidRPr="003520F0">
        <w:t xml:space="preserve"> biliary stones should be defined as stones </w:t>
      </w:r>
      <w:r w:rsidR="00005404">
        <w:t>proximal</w:t>
      </w:r>
      <w:r w:rsidR="006C0B37">
        <w:t xml:space="preserve"> to a</w:t>
      </w:r>
      <w:r w:rsidRPr="003520F0">
        <w:t xml:space="preserve"> stricture, or stones that are greater than 1</w:t>
      </w:r>
      <w:r w:rsidR="006C0B37">
        <w:t>0mm diameter</w:t>
      </w:r>
      <w:r w:rsidRPr="003520F0">
        <w:t xml:space="preserve">. </w:t>
      </w:r>
      <w:r>
        <w:t>MSAC acknowledged that the pre-MSAC response agreed with limitations on the item descriptor as suggested by ESC; namely, to include the multiple operation rule in the item descriptors</w:t>
      </w:r>
      <w:r w:rsidR="00223A45">
        <w:t xml:space="preserve">. </w:t>
      </w:r>
      <w:r w:rsidR="003873CA">
        <w:t xml:space="preserve">MSAC advised that a benefit for surgical assistance is not needed as ERCP procedures are generally performed by a single clinician with nursing assistance. </w:t>
      </w:r>
      <w:r w:rsidR="008C05B3">
        <w:t>MSAC advised that other diagnostic imaging items could be restricted from being claimed on the same occasion as imaging procedures would have been performed earlier.</w:t>
      </w:r>
      <w:r w:rsidR="008C05B3" w:rsidRPr="008C05B3">
        <w:t xml:space="preserve"> </w:t>
      </w:r>
      <w:r w:rsidR="008C05B3">
        <w:t>MSAC also advised that co</w:t>
      </w:r>
      <w:r w:rsidR="008C05B3">
        <w:noBreakHyphen/>
        <w:t xml:space="preserve">claiming associated procedures such as </w:t>
      </w:r>
      <w:r w:rsidR="008C05B3" w:rsidRPr="008C05B3">
        <w:t>sphincterotomy</w:t>
      </w:r>
      <w:r w:rsidR="008C05B3">
        <w:t xml:space="preserve"> and extraction of biliary tract calculus should be restricted</w:t>
      </w:r>
      <w:r w:rsidR="005A3B1A">
        <w:t xml:space="preserve">. </w:t>
      </w:r>
    </w:p>
    <w:p w14:paraId="1A6481F3" w14:textId="395F9439" w:rsidR="004D7256" w:rsidRDefault="004D7256" w:rsidP="00A15555">
      <w:pPr>
        <w:spacing w:before="240" w:after="240"/>
      </w:pPr>
      <w:r>
        <w:t xml:space="preserve">MSAC noted that PASC advised </w:t>
      </w:r>
      <w:r w:rsidR="00A15555">
        <w:t xml:space="preserve">limiting the number of repeat procedures to two per year for the diagnostic use and thee per year for the therapeutic use. </w:t>
      </w:r>
      <w:r w:rsidR="00871DD1" w:rsidRPr="00213D6C">
        <w:t xml:space="preserve">However, MSAC </w:t>
      </w:r>
      <w:r w:rsidR="003873CA">
        <w:t>recommended</w:t>
      </w:r>
      <w:r w:rsidR="00871DD1" w:rsidRPr="00213D6C">
        <w:t xml:space="preserve"> limiting the therapeutic use to a maximum of </w:t>
      </w:r>
      <w:r w:rsidR="003873CA">
        <w:t>two</w:t>
      </w:r>
      <w:r w:rsidR="00871DD1">
        <w:t xml:space="preserve"> procedure</w:t>
      </w:r>
      <w:r w:rsidR="003873CA">
        <w:t xml:space="preserve">s per </w:t>
      </w:r>
      <w:r w:rsidR="001D3784">
        <w:t>treatment cycle</w:t>
      </w:r>
      <w:r w:rsidR="003873CA">
        <w:t xml:space="preserve"> as patients with recurrent </w:t>
      </w:r>
      <w:r w:rsidR="00452012">
        <w:t xml:space="preserve">biliary </w:t>
      </w:r>
      <w:r w:rsidR="003873CA">
        <w:t xml:space="preserve">stones </w:t>
      </w:r>
      <w:r w:rsidR="00005404">
        <w:t xml:space="preserve">have a high incidence of further recurrence and </w:t>
      </w:r>
      <w:r w:rsidR="003873CA">
        <w:t xml:space="preserve">surgical removal </w:t>
      </w:r>
      <w:r w:rsidR="00005404">
        <w:t xml:space="preserve">and bile duct drainage is the better </w:t>
      </w:r>
      <w:r w:rsidR="00513959">
        <w:t>long-term</w:t>
      </w:r>
      <w:r w:rsidR="00005404">
        <w:t xml:space="preserve"> option</w:t>
      </w:r>
      <w:r w:rsidR="003873CA">
        <w:t xml:space="preserve">. </w:t>
      </w:r>
      <w:r w:rsidR="00871DD1">
        <w:t xml:space="preserve">MSAC advised </w:t>
      </w:r>
      <w:r w:rsidR="00871DD1" w:rsidRPr="00213D6C">
        <w:t xml:space="preserve">limiting the diagnostic use to </w:t>
      </w:r>
      <w:r w:rsidR="00871DD1">
        <w:t>two </w:t>
      </w:r>
      <w:r w:rsidR="00871DD1" w:rsidRPr="00213D6C">
        <w:t xml:space="preserve">procedures over </w:t>
      </w:r>
      <w:r w:rsidR="00871DD1">
        <w:t>one</w:t>
      </w:r>
      <w:r w:rsidR="00871DD1" w:rsidRPr="00213D6C">
        <w:t xml:space="preserve"> year unless PSC is confirmed – in this case, the limit should be </w:t>
      </w:r>
      <w:r w:rsidR="00A81756">
        <w:t xml:space="preserve">a maximum of </w:t>
      </w:r>
      <w:r w:rsidR="00871DD1">
        <w:t>t</w:t>
      </w:r>
      <w:r w:rsidR="00A81756">
        <w:t>hree</w:t>
      </w:r>
      <w:r w:rsidR="00871DD1">
        <w:t> </w:t>
      </w:r>
      <w:r w:rsidR="00871DD1" w:rsidRPr="00213D6C">
        <w:t xml:space="preserve">procedures per year ongoing to </w:t>
      </w:r>
      <w:r w:rsidR="00C07C2E">
        <w:t xml:space="preserve">accommodate </w:t>
      </w:r>
      <w:r w:rsidR="00871DD1" w:rsidRPr="00213D6C">
        <w:t>screen</w:t>
      </w:r>
      <w:r w:rsidR="00C07C2E">
        <w:t>ing of</w:t>
      </w:r>
      <w:r w:rsidR="00871DD1" w:rsidRPr="00213D6C">
        <w:t xml:space="preserve"> PSC patients for cholangiocarcinoma.</w:t>
      </w:r>
      <w:r w:rsidR="003873CA" w:rsidRPr="003873CA">
        <w:t xml:space="preserve"> </w:t>
      </w:r>
    </w:p>
    <w:p w14:paraId="7B2C1EFF" w14:textId="2E091327" w:rsidR="00A15555" w:rsidRDefault="00A15555" w:rsidP="00A15555">
      <w:pPr>
        <w:spacing w:before="240" w:after="240"/>
      </w:pPr>
      <w:r w:rsidRPr="00213D6C">
        <w:t>This</w:t>
      </w:r>
      <w:r>
        <w:t xml:space="preserve"> would allow the uptake, number of repeat procedures, long-term safety and so on to be monitored and compared to ERCP; the listing could then be reviewed in the future. </w:t>
      </w:r>
    </w:p>
    <w:p w14:paraId="66AE26A7" w14:textId="6DFDBE3E" w:rsidR="00A15555" w:rsidRDefault="00A15555" w:rsidP="00A15555">
      <w:pPr>
        <w:spacing w:before="240" w:after="240"/>
      </w:pPr>
      <w:r>
        <w:t xml:space="preserve">MSAC noted that the fee was $618.91 for diagnostic use and $865.72 for therapeutic use (with the fee being higher for the therapeutic use because it takes longer than the diagnostic procedure); these are 160% and 228% the cost of ERCP alone (based on MBS item 30484). MSAC acknowledged the applicant’s claim that the difference in fee compared to ERCP is because POCPS is more technically demanding (as stated by the National Institute for Health and </w:t>
      </w:r>
      <w:r>
        <w:lastRenderedPageBreak/>
        <w:t>Care Excellence 2015</w:t>
      </w:r>
      <w:r>
        <w:rPr>
          <w:rStyle w:val="FootnoteReference"/>
        </w:rPr>
        <w:footnoteReference w:id="2"/>
      </w:r>
      <w:r>
        <w:t xml:space="preserve">) and takes up to 50% longer. </w:t>
      </w:r>
      <w:r w:rsidR="005A3B1A">
        <w:t xml:space="preserve">MSAC considered a higher fee for POCPS (compared with ERCP) was justified. </w:t>
      </w:r>
      <w:r w:rsidR="00144C8B">
        <w:t xml:space="preserve">MSAC considered the fee for the diagnostic item may be appropriate. </w:t>
      </w:r>
      <w:r>
        <w:t xml:space="preserve">However, MSAC considered </w:t>
      </w:r>
      <w:r w:rsidR="00144C8B">
        <w:t xml:space="preserve">the fee for the therapeutic application </w:t>
      </w:r>
      <w:r>
        <w:t xml:space="preserve">was not </w:t>
      </w:r>
      <w:r w:rsidR="00144C8B">
        <w:t>appropriate and</w:t>
      </w:r>
      <w:r>
        <w:t xml:space="preserve"> questioned if the fee for the therapeutic use should be the same as that for endoscopic sphincterotomy with or without extraction of biliary stones ($586.15, from MBS item 30485).</w:t>
      </w:r>
    </w:p>
    <w:p w14:paraId="254ADC1A" w14:textId="00078439" w:rsidR="00A15555" w:rsidRDefault="008C05B3" w:rsidP="00921D14">
      <w:pPr>
        <w:spacing w:before="240" w:after="240"/>
      </w:pPr>
      <w:r>
        <w:t>MSAC noted POCPS also has several costs associated with it, including $</w:t>
      </w:r>
      <w:r w:rsidR="001B3435" w:rsidRPr="001B3435">
        <w:rPr>
          <w:b/>
          <w:bCs/>
        </w:rPr>
        <w:t>redacted</w:t>
      </w:r>
      <w:r>
        <w:t xml:space="preserve"> for the cost of the digital controller, $</w:t>
      </w:r>
      <w:r w:rsidR="00D23898" w:rsidRPr="001B3435">
        <w:rPr>
          <w:b/>
          <w:bCs/>
        </w:rPr>
        <w:t>redacted</w:t>
      </w:r>
      <w:r w:rsidR="00D23898">
        <w:t xml:space="preserve"> </w:t>
      </w:r>
      <w:r>
        <w:t>for the cost of consumables for the diagnostic use, and $</w:t>
      </w:r>
      <w:r w:rsidR="00D23898" w:rsidRPr="001B3435">
        <w:rPr>
          <w:b/>
          <w:bCs/>
        </w:rPr>
        <w:t>redacted</w:t>
      </w:r>
      <w:r w:rsidR="00D23898">
        <w:t xml:space="preserve"> </w:t>
      </w:r>
      <w:r>
        <w:t>for the cost of consumables for the therapeutic use (including $</w:t>
      </w:r>
      <w:r w:rsidR="001B3435" w:rsidRPr="001B3435">
        <w:rPr>
          <w:b/>
          <w:bCs/>
        </w:rPr>
        <w:t>redacted</w:t>
      </w:r>
      <w:r w:rsidR="001B3435" w:rsidDel="001B3435">
        <w:t xml:space="preserve"> </w:t>
      </w:r>
      <w:r>
        <w:t xml:space="preserve">for a disposable miniscope). MSAC also noted the bulk billing rate for ERCP is low (16.8%). Despite this, MSAC noted the pre-MSAC response that there would be minimal out-of-pocket costs for patients, as capital/consumable costs would be absorbed by hospital/private health insurance. </w:t>
      </w:r>
      <w:r w:rsidR="00B94C98" w:rsidRPr="00B94C98">
        <w:t xml:space="preserve">MSAC advised </w:t>
      </w:r>
      <w:r w:rsidR="00B94C98">
        <w:t xml:space="preserve">that </w:t>
      </w:r>
      <w:r w:rsidR="00B94C98" w:rsidRPr="00B94C98">
        <w:t>for funding purposes</w:t>
      </w:r>
      <w:r w:rsidR="00B94C98">
        <w:t>,</w:t>
      </w:r>
      <w:r w:rsidR="00B94C98" w:rsidRPr="00B94C98">
        <w:t xml:space="preserve"> POCPS should be restricted to provision in hospital settings and may be undertaken as a day procedure.</w:t>
      </w:r>
      <w:r w:rsidRPr="008C05B3">
        <w:t xml:space="preserve"> </w:t>
      </w:r>
      <w:r>
        <w:t>MSAC noted that POCPS would reduce the impact on public funding by moving patients to the private sector.</w:t>
      </w:r>
      <w:r w:rsidDel="008C05B3">
        <w:t xml:space="preserve"> </w:t>
      </w:r>
    </w:p>
    <w:p w14:paraId="43EAA225" w14:textId="76526437" w:rsidR="00A15555" w:rsidRPr="00F62FA8" w:rsidRDefault="00A15555" w:rsidP="00A15555">
      <w:pPr>
        <w:spacing w:before="240" w:after="240"/>
      </w:pPr>
      <w:r>
        <w:t xml:space="preserve">MSAC considered repeat ERCP-guided cytology and biopsy to be appropriate comparators for the diagnostic use of POCPS, but noted the frequency of repeat procedures was not specified. MSAC also noted that </w:t>
      </w:r>
      <w:r w:rsidR="00AE65B8">
        <w:t xml:space="preserve">in the absence of POCPS, </w:t>
      </w:r>
      <w:r>
        <w:t xml:space="preserve">surgery was often the definitive </w:t>
      </w:r>
      <w:r w:rsidR="00AE65B8">
        <w:t>method of making or refuting a diagnosis of malignancy (and concomitant treatment if malignancy present),</w:t>
      </w:r>
      <w:r>
        <w:t xml:space="preserve"> and considered the quoted mortality rates</w:t>
      </w:r>
      <w:r w:rsidR="00FC1054">
        <w:t xml:space="preserve"> of surgery</w:t>
      </w:r>
      <w:r>
        <w:t xml:space="preserve"> in the application to be overstated. MSAC also considered laparoscopic choledochotomy to be an appropriate comparator for the therapeutic use</w:t>
      </w:r>
      <w:r w:rsidR="00554BBE">
        <w:t xml:space="preserve"> of POCPS</w:t>
      </w:r>
      <w:r>
        <w:t xml:space="preserve">, noting that surgical </w:t>
      </w:r>
      <w:r w:rsidR="00554BBE">
        <w:t>clearance</w:t>
      </w:r>
      <w:r>
        <w:t xml:space="preserve"> of </w:t>
      </w:r>
      <w:r w:rsidR="00554BBE">
        <w:t xml:space="preserve">stones in </w:t>
      </w:r>
      <w:r>
        <w:t xml:space="preserve">the biliary </w:t>
      </w:r>
      <w:r w:rsidRPr="008A68B8">
        <w:t xml:space="preserve">tree is definitive when there </w:t>
      </w:r>
      <w:r w:rsidRPr="00F62FA8">
        <w:t xml:space="preserve">have been previous recurrences of primary duct stones (18% chance of recurrence). </w:t>
      </w:r>
    </w:p>
    <w:p w14:paraId="1B5B30F9" w14:textId="75E9E1A6" w:rsidR="00A15555" w:rsidRDefault="00A15555" w:rsidP="00A15555">
      <w:pPr>
        <w:spacing w:before="240" w:after="240"/>
      </w:pPr>
      <w:r w:rsidRPr="00F62FA8">
        <w:t xml:space="preserve">MSAC considered the scientific evidence to be limited, including small patient numbers in studies, some studies having a high risk of bias, </w:t>
      </w:r>
      <w:r w:rsidR="00F62FA8" w:rsidRPr="00F62FA8">
        <w:t xml:space="preserve">and </w:t>
      </w:r>
      <w:r w:rsidRPr="00F62FA8">
        <w:t>the evidence not always includ</w:t>
      </w:r>
      <w:r w:rsidR="00F62FA8" w:rsidRPr="00F62FA8">
        <w:t>ing</w:t>
      </w:r>
      <w:r w:rsidRPr="00F62FA8">
        <w:t xml:space="preserve"> patients who had first-line ERCP (which is the proposed population for the PICO</w:t>
      </w:r>
      <w:r w:rsidR="00AD2BAD" w:rsidRPr="00F62FA8">
        <w:t xml:space="preserve">). </w:t>
      </w:r>
      <w:r w:rsidR="00AB2BA3" w:rsidRPr="00F62FA8">
        <w:t xml:space="preserve">MSAC noted the reference standard for investigative use was inconsistently applied in the direct comparative studies. </w:t>
      </w:r>
      <w:r w:rsidR="00AD2BAD" w:rsidRPr="00F62FA8">
        <w:t xml:space="preserve">MSAC considered the </w:t>
      </w:r>
      <w:r w:rsidRPr="00F62FA8">
        <w:t>supportive evidence in the form of naïve indirect comparisons had several methodological deficiencies. However, MSAC noted that the evidence did suggest that POCPS has a clinical place for both stricture diagnosis and difficult stone removal.</w:t>
      </w:r>
    </w:p>
    <w:p w14:paraId="14727788" w14:textId="0C56DDB6" w:rsidR="00A15555" w:rsidRPr="001342D1" w:rsidRDefault="00A15555" w:rsidP="00A15555">
      <w:pPr>
        <w:spacing w:before="240" w:after="240"/>
      </w:pPr>
      <w:r>
        <w:t>MSAC noted that it was difficult to establish the comparative safety for either the diagnostic or therapeutic use. The number</w:t>
      </w:r>
      <w:r w:rsidR="00F62FA8">
        <w:t>s</w:t>
      </w:r>
      <w:r w:rsidR="00AD2BAD">
        <w:t xml:space="preserve"> of patients in the</w:t>
      </w:r>
      <w:r>
        <w:t xml:space="preserve"> studies were very small, making it difficult to determine rates of adverse events such as cholangitis and pancreatitis, and there was no systematic collection of harms. </w:t>
      </w:r>
      <w:r w:rsidR="00AD2BAD">
        <w:t>W</w:t>
      </w:r>
      <w:r>
        <w:t xml:space="preserve">hile MSAC considered there was a need for further evidence to establish the safety of PCOPS, it considered the evidence did suggest that POCPS had non-inferior safety compared to ERCP, and </w:t>
      </w:r>
      <w:r w:rsidR="00AD2BAD">
        <w:t xml:space="preserve">at least </w:t>
      </w:r>
      <w:r>
        <w:t xml:space="preserve">non-inferior </w:t>
      </w:r>
      <w:r w:rsidR="00AD2BAD">
        <w:t xml:space="preserve">(potentially </w:t>
      </w:r>
      <w:r>
        <w:t>superior</w:t>
      </w:r>
      <w:r w:rsidR="00AD2BAD">
        <w:t>)</w:t>
      </w:r>
      <w:r>
        <w:t xml:space="preserve"> safety compared to choledochotomy.</w:t>
      </w:r>
    </w:p>
    <w:p w14:paraId="63E72966" w14:textId="43CA8A7B" w:rsidR="00AD2BAD" w:rsidRDefault="00A15555" w:rsidP="00A15555">
      <w:pPr>
        <w:spacing w:before="240" w:after="240"/>
      </w:pPr>
      <w:r>
        <w:t>Regarding clinical effectiveness, MSAC noted that when experts perform POCPS</w:t>
      </w:r>
      <w:r w:rsidR="00AD2BAD">
        <w:t xml:space="preserve"> for diagnostic use</w:t>
      </w:r>
      <w:r>
        <w:t xml:space="preserve">, it </w:t>
      </w:r>
      <w:r w:rsidR="00AD2BAD">
        <w:t xml:space="preserve">appeared to have </w:t>
      </w:r>
      <w:r>
        <w:t>superior sensitivity compared to ERCP-guided biopsy (68–77% versus 22–29%) and cytology (77% versus 6%)</w:t>
      </w:r>
      <w:r w:rsidR="00AD2BAD">
        <w:t xml:space="preserve"> and resulted in fewer indeterminate results</w:t>
      </w:r>
      <w:r>
        <w:t>.</w:t>
      </w:r>
      <w:r w:rsidR="00452012">
        <w:t xml:space="preserve"> MSAC considered the estimates to be uncertain due to the limitations in the clinical evidence.</w:t>
      </w:r>
    </w:p>
    <w:p w14:paraId="0660634B" w14:textId="2118F922" w:rsidR="00A15555" w:rsidRPr="001342D1" w:rsidRDefault="00A15555" w:rsidP="00A15555">
      <w:pPr>
        <w:spacing w:before="240" w:after="240"/>
      </w:pPr>
      <w:r>
        <w:lastRenderedPageBreak/>
        <w:t>For complete stone clearance, MSAC noted that expert-performed POCPS is superior compared to ERCP-guided balloon/basket</w:t>
      </w:r>
      <w:r w:rsidR="00C95B77">
        <w:t xml:space="preserve"> stone removal</w:t>
      </w:r>
      <w:r>
        <w:t xml:space="preserve"> and/or lithotripsy (92% success rate versus 62%), and is non-inferior compared to choledochotomy (96% success rate). In terms of health outcomes, MSAC noted that POCPS results in probable earlier </w:t>
      </w:r>
      <w:r w:rsidR="00AD2BAD">
        <w:t xml:space="preserve">definitive </w:t>
      </w:r>
      <w:r>
        <w:t>diagnosis and reduced unnecessary surgery and repeat ERCP</w:t>
      </w:r>
      <w:r w:rsidR="00AD2BAD">
        <w:t xml:space="preserve"> for both therapeutic and diagnostic uses</w:t>
      </w:r>
      <w:r>
        <w:t>.</w:t>
      </w:r>
    </w:p>
    <w:p w14:paraId="3AABE215" w14:textId="4F572521" w:rsidR="006D5471" w:rsidRDefault="00A15555" w:rsidP="00A15555">
      <w:pPr>
        <w:spacing w:before="240" w:after="240"/>
      </w:pPr>
      <w:r>
        <w:t xml:space="preserve">For the economic evaluation, MSAC noted that a cost-effectiveness analysis (CEA) was used for both the diagnostic and therapeutic uses. MSAC noted that for the diagnostic use, the CEA assumed superior effectiveness and non-inferior safety for POCPS. MSAC noted that incremental cost-effectiveness ratio (ICER) per correct diagnosis was </w:t>
      </w:r>
      <w:r w:rsidR="00452012" w:rsidRPr="00452012">
        <w:t>$5,949</w:t>
      </w:r>
      <w:r w:rsidR="00452012">
        <w:t xml:space="preserve"> </w:t>
      </w:r>
      <w:r w:rsidR="001A48FD">
        <w:t xml:space="preserve">including hospital costs. </w:t>
      </w:r>
      <w:r w:rsidR="00762363">
        <w:t xml:space="preserve">POCPS had a dominant ICER when </w:t>
      </w:r>
      <w:r w:rsidR="00762363" w:rsidRPr="00762363">
        <w:t>a terminal care cost was applied to all patients with malignant strictures diagnosed as benign</w:t>
      </w:r>
      <w:r w:rsidR="00762363">
        <w:t>.</w:t>
      </w:r>
      <w:r w:rsidR="00762363" w:rsidRPr="00762363">
        <w:t xml:space="preserve"> </w:t>
      </w:r>
      <w:r w:rsidR="001A48FD">
        <w:t xml:space="preserve">MSAC considered the ICER to be uncertain due to the uncertainty in the clinical inputs. MSAC noted other key drivers of the ICER were the </w:t>
      </w:r>
      <w:r w:rsidR="00762363">
        <w:t xml:space="preserve">diagnostic performance of POCPS, </w:t>
      </w:r>
      <w:r w:rsidR="001A48FD">
        <w:t>reduction of downstream procedures, the cost of terminal care for missed malignancy.</w:t>
      </w:r>
      <w:r w:rsidR="00762363">
        <w:t xml:space="preserve"> </w:t>
      </w:r>
      <w:r>
        <w:t xml:space="preserve">MSAC noted the CEA for the therapeutic use </w:t>
      </w:r>
      <w:r w:rsidR="006D5471">
        <w:t>the CEA assumed superior effectiveness and non-inferior safety versus ERCP, but non-inferior effectiveness and superior safety versus choledochotomy.</w:t>
      </w:r>
      <w:r w:rsidR="001A48FD" w:rsidRPr="001A48FD">
        <w:t xml:space="preserve"> </w:t>
      </w:r>
      <w:r w:rsidR="001A48FD">
        <w:t>POCPS had a dominant ICER per successful stone removal in the base case and the additional analyses presented in the ESC report.</w:t>
      </w:r>
    </w:p>
    <w:p w14:paraId="07484101" w14:textId="0125A942" w:rsidR="00A15555" w:rsidRDefault="00A15555" w:rsidP="00A15555">
      <w:pPr>
        <w:spacing w:before="240" w:after="240"/>
      </w:pPr>
      <w:r>
        <w:t xml:space="preserve">However, MSAC considered this to be uncertain as the magnitude of savings depends on the degree that POCPS replaces choledochotomy and avoids repeat ERCP. </w:t>
      </w:r>
    </w:p>
    <w:p w14:paraId="671358C6" w14:textId="26EBC99F" w:rsidR="00A15555" w:rsidRDefault="00A15555" w:rsidP="00A15555">
      <w:pPr>
        <w:spacing w:before="240" w:after="240"/>
      </w:pPr>
      <w:r>
        <w:t xml:space="preserve">MSAC noted that the estimated number of POCPS services, from year 1 to year 6, are 29–135 for the diagnostic use, and </w:t>
      </w:r>
      <w:r w:rsidR="00762363">
        <w:t>78</w:t>
      </w:r>
      <w:r>
        <w:t>–</w:t>
      </w:r>
      <w:r w:rsidR="00762363">
        <w:t xml:space="preserve">359 </w:t>
      </w:r>
      <w:r>
        <w:t xml:space="preserve">for the therapeutic use. MSAC noted the </w:t>
      </w:r>
      <w:r w:rsidR="008C2B7D">
        <w:t xml:space="preserve">financial </w:t>
      </w:r>
      <w:r>
        <w:t xml:space="preserve">estimates were affected by the MBS </w:t>
      </w:r>
      <w:r w:rsidR="00762363">
        <w:t>fee</w:t>
      </w:r>
      <w:r>
        <w:t xml:space="preserve">, </w:t>
      </w:r>
      <w:r w:rsidR="008C2B7D">
        <w:t xml:space="preserve">number of </w:t>
      </w:r>
      <w:r>
        <w:t>repeat procedures, and uptake predictions. MSAC considered the estimated net costs to the MBS to be minimal: $2,596 in year 6 for the diagnostic use, and $8,194 in year 6 for the therapeutic use.</w:t>
      </w:r>
      <w:r w:rsidR="006D5471" w:rsidRPr="006D5471">
        <w:t xml:space="preserve"> </w:t>
      </w:r>
      <w:r w:rsidR="008C2B7D">
        <w:t xml:space="preserve">MSAC noted that capital and consumable costs were attributed to hospitalisation costs that would be paid by health insurance in the private sector. However, MSAC considered that it was likely that patients would incur out-of-pocket costs. </w:t>
      </w:r>
    </w:p>
    <w:p w14:paraId="57AFA37A" w14:textId="3457B2D9" w:rsidR="00AB2BA3" w:rsidRDefault="00A15555" w:rsidP="00AD2BAD">
      <w:pPr>
        <w:spacing w:before="240" w:after="240"/>
      </w:pPr>
      <w:r>
        <w:t>MSAC supported creating new MBS items for POCPS for diagnosis of indeterminate biliary strictures and removal of difficult biliary stones</w:t>
      </w:r>
      <w:r w:rsidR="00AB2BA3">
        <w:t>.</w:t>
      </w:r>
      <w:r w:rsidR="00AB2BA3" w:rsidRPr="00AB2BA3">
        <w:t xml:space="preserve"> </w:t>
      </w:r>
      <w:r w:rsidR="00AB2BA3">
        <w:t xml:space="preserve">MSAC acknowledged the limitations in the clinical evidence, but considered it was difficult to establish better direct comparative evidence. Based on the available evidence, MSAC considered that POCPS was likely to have superior effectiveness and non-inferior safety compared with repeat ERCP for both diagnostic and therapeutic purposes. MSAC also considered POCPS has non-inferior effectiveness and at least non-inferior safety compared with laparoscopic choledochotomy for the removal of difficult biliary stones. MSAC also considered there to be an unmet clinical need for POCPS. MSAC considered that although no evidence was presented, the use in PSC was supported due to the high unmet clinical need in this group of patients. MSAC considered that </w:t>
      </w:r>
      <w:r w:rsidR="00AB2BA3" w:rsidRPr="00213D6C">
        <w:t xml:space="preserve">POCPS </w:t>
      </w:r>
      <w:r w:rsidR="00AB2BA3">
        <w:t xml:space="preserve">likely </w:t>
      </w:r>
      <w:r w:rsidR="00AB2BA3" w:rsidRPr="00213D6C">
        <w:t>had acceptable cost</w:t>
      </w:r>
      <w:r w:rsidR="00AB2BA3" w:rsidRPr="00213D6C">
        <w:noBreakHyphen/>
        <w:t>effectiveness and would result in a small increase in cost to the MBS</w:t>
      </w:r>
      <w:r w:rsidR="00AB2BA3">
        <w:t xml:space="preserve">. </w:t>
      </w:r>
    </w:p>
    <w:p w14:paraId="05721D25" w14:textId="1C2197CC" w:rsidR="00AB2BA3" w:rsidRDefault="00452012" w:rsidP="00AD2BAD">
      <w:pPr>
        <w:spacing w:before="240" w:after="240"/>
      </w:pPr>
      <w:r>
        <w:t>MSAC advised that the item descriptor could define difficult biliary stones as those greater than 10 mm in size or lying above a stricture which have failed prior ERC</w:t>
      </w:r>
      <w:r w:rsidR="0095449C">
        <w:t xml:space="preserve">P. MSAC advised that the explanatory notes </w:t>
      </w:r>
      <w:r w:rsidR="00B94C98">
        <w:t xml:space="preserve">for the items should </w:t>
      </w:r>
      <w:r w:rsidR="0095449C">
        <w:t>outline the appropriate credentialling requirements for proceduralists and institutions</w:t>
      </w:r>
      <w:r w:rsidR="00254720">
        <w:t xml:space="preserve"> (as applies for TAVI)</w:t>
      </w:r>
      <w:r w:rsidR="0095449C">
        <w:t xml:space="preserve">. </w:t>
      </w:r>
      <w:r w:rsidR="00AB2BA3">
        <w:t xml:space="preserve">MSAC requested the Department review the utilisation </w:t>
      </w:r>
      <w:r w:rsidR="00254720">
        <w:t xml:space="preserve">and credentialing </w:t>
      </w:r>
      <w:r w:rsidR="00AB2BA3">
        <w:t xml:space="preserve">of POCPS after one year of MBS listing and compare the utilisation of POCPS with repeated ERCP. </w:t>
      </w:r>
    </w:p>
    <w:p w14:paraId="14134551" w14:textId="5BDC648E" w:rsidR="00260FF4" w:rsidRPr="00CE28E3" w:rsidRDefault="0015035D" w:rsidP="00260FF4">
      <w:pPr>
        <w:pStyle w:val="Heading2"/>
      </w:pPr>
      <w:bookmarkStart w:id="2" w:name="_Toc69491416"/>
      <w:bookmarkStart w:id="3" w:name="_Hlk69734494"/>
      <w:bookmarkEnd w:id="1"/>
      <w:r>
        <w:lastRenderedPageBreak/>
        <w:t>4</w:t>
      </w:r>
      <w:r w:rsidR="00260FF4">
        <w:t>.</w:t>
      </w:r>
      <w:r w:rsidR="00260FF4">
        <w:tab/>
      </w:r>
      <w:r w:rsidR="00260FF4" w:rsidRPr="00CE28E3">
        <w:t>Background</w:t>
      </w:r>
      <w:bookmarkEnd w:id="2"/>
    </w:p>
    <w:p w14:paraId="038F8214" w14:textId="5F45D807" w:rsidR="00BE5374" w:rsidRPr="00CE28E3" w:rsidRDefault="00CA42D6" w:rsidP="001F621F">
      <w:pPr>
        <w:spacing w:after="240"/>
      </w:pPr>
      <w:r w:rsidRPr="00402D25">
        <w:t>MSAC has not previously considered</w:t>
      </w:r>
      <w:r w:rsidR="00BE5374" w:rsidRPr="00E83BC9">
        <w:t xml:space="preserve"> </w:t>
      </w:r>
      <w:r w:rsidR="00402D25">
        <w:t>POCPS</w:t>
      </w:r>
      <w:r w:rsidR="00BE5374" w:rsidRPr="00CE28E3">
        <w:t xml:space="preserve"> for the </w:t>
      </w:r>
      <w:r w:rsidR="00402D25" w:rsidRPr="00402D25">
        <w:t xml:space="preserve">diagnosis of indeterminate biliary strictures </w:t>
      </w:r>
      <w:r w:rsidR="00402D25">
        <w:t>or for the</w:t>
      </w:r>
      <w:r w:rsidR="00402D25" w:rsidRPr="00402D25">
        <w:t xml:space="preserve"> removal of difficult biliary stones</w:t>
      </w:r>
      <w:r w:rsidR="00BE5374" w:rsidRPr="00CE28E3">
        <w:t>.</w:t>
      </w:r>
    </w:p>
    <w:p w14:paraId="63B628EA" w14:textId="7DF37277" w:rsidR="00840FD7" w:rsidRPr="00CE28E3" w:rsidRDefault="0015035D" w:rsidP="00840FD7">
      <w:pPr>
        <w:pStyle w:val="Heading2"/>
      </w:pPr>
      <w:bookmarkStart w:id="4" w:name="ColumnTitle_Table1"/>
      <w:bookmarkStart w:id="5" w:name="_Toc69491417"/>
      <w:bookmarkEnd w:id="3"/>
      <w:bookmarkEnd w:id="4"/>
      <w:r>
        <w:t>5</w:t>
      </w:r>
      <w:r w:rsidR="00840FD7">
        <w:t>.</w:t>
      </w:r>
      <w:r w:rsidR="00840FD7">
        <w:tab/>
      </w:r>
      <w:r w:rsidR="00840FD7" w:rsidRPr="00CE28E3">
        <w:t>Prerequisites to implementation of any funding advice</w:t>
      </w:r>
      <w:bookmarkEnd w:id="5"/>
    </w:p>
    <w:p w14:paraId="580FE2FE" w14:textId="74207370" w:rsidR="00E16462" w:rsidRDefault="008076CA" w:rsidP="00E16462">
      <w:pPr>
        <w:spacing w:after="240"/>
      </w:pPr>
      <w:r>
        <w:t>The proposed technology has been listed in the Australian Register of Therapeutic Goods (ARTG) by the Therapeutic Goods Administration</w:t>
      </w:r>
      <w:r w:rsidR="007A317D">
        <w:t xml:space="preserve"> </w:t>
      </w:r>
      <w:r w:rsidR="00E16462">
        <w:t>(</w:t>
      </w:r>
      <w:r w:rsidR="00E16462">
        <w:fldChar w:fldCharType="begin"/>
      </w:r>
      <w:r w:rsidR="00E16462">
        <w:instrText xml:space="preserve"> REF _Ref97720002 \h </w:instrText>
      </w:r>
      <w:r w:rsidR="00E16462">
        <w:fldChar w:fldCharType="separate"/>
      </w:r>
      <w:r w:rsidR="00D422BC" w:rsidRPr="00B663A2">
        <w:t xml:space="preserve">Table </w:t>
      </w:r>
      <w:r w:rsidR="00D422BC">
        <w:rPr>
          <w:noProof/>
        </w:rPr>
        <w:t>1</w:t>
      </w:r>
      <w:r w:rsidR="00E16462">
        <w:fldChar w:fldCharType="end"/>
      </w:r>
      <w:r w:rsidR="00E16462">
        <w:t>)</w:t>
      </w:r>
    </w:p>
    <w:p w14:paraId="2800C52D" w14:textId="59F88332" w:rsidR="008076CA" w:rsidRDefault="008076CA" w:rsidP="001F621F">
      <w:pPr>
        <w:spacing w:after="240"/>
      </w:pPr>
      <w:r>
        <w:t>There are no prerequisites to the implementation of any funding for POCPS.</w:t>
      </w:r>
    </w:p>
    <w:p w14:paraId="7A34F1FF" w14:textId="5C4AD59D" w:rsidR="007A317D" w:rsidRPr="009F5B52" w:rsidRDefault="007A317D" w:rsidP="007A317D">
      <w:pPr>
        <w:pStyle w:val="TableHeading0"/>
      </w:pPr>
      <w:bookmarkStart w:id="6" w:name="_Ref372205688"/>
      <w:bookmarkStart w:id="7" w:name="_Ref97720002"/>
      <w:bookmarkStart w:id="8" w:name="_Toc84313758"/>
      <w:bookmarkStart w:id="9" w:name="_Toc84324904"/>
      <w:bookmarkStart w:id="10" w:name="_Toc84344335"/>
      <w:bookmarkStart w:id="11" w:name="_Toc88760315"/>
      <w:r w:rsidRPr="00B663A2">
        <w:t xml:space="preserve">Table </w:t>
      </w:r>
      <w:r>
        <w:fldChar w:fldCharType="begin"/>
      </w:r>
      <w:r>
        <w:instrText>SEQ Table \* ARABIC</w:instrText>
      </w:r>
      <w:r>
        <w:fldChar w:fldCharType="separate"/>
      </w:r>
      <w:r w:rsidR="00D422BC">
        <w:rPr>
          <w:noProof/>
        </w:rPr>
        <w:t>1</w:t>
      </w:r>
      <w:r>
        <w:fldChar w:fldCharType="end"/>
      </w:r>
      <w:bookmarkEnd w:id="6"/>
      <w:bookmarkEnd w:id="7"/>
      <w:r>
        <w:tab/>
      </w:r>
      <w:r w:rsidRPr="00626497">
        <w:t>TGA</w:t>
      </w:r>
      <w:r>
        <w:t xml:space="preserve"> registered POCPS devices and accessories used for the </w:t>
      </w:r>
      <w:r w:rsidRPr="00D67476">
        <w:t>diagnosis of indeterminat</w:t>
      </w:r>
      <w:r>
        <w:t>e</w:t>
      </w:r>
      <w:r w:rsidRPr="00D67476">
        <w:t xml:space="preserve"> strictures and removal of difficult bile stones</w:t>
      </w:r>
      <w:bookmarkEnd w:id="8"/>
      <w:bookmarkEnd w:id="9"/>
      <w:bookmarkEnd w:id="10"/>
      <w:bookmarkEnd w:id="11"/>
    </w:p>
    <w:tbl>
      <w:tblPr>
        <w:tblStyle w:val="TableGrid1"/>
        <w:tblW w:w="5000" w:type="pct"/>
        <w:tblCellMar>
          <w:left w:w="57" w:type="dxa"/>
          <w:right w:w="57" w:type="dxa"/>
        </w:tblCellMar>
        <w:tblLook w:val="00A0" w:firstRow="1" w:lastRow="0" w:firstColumn="1" w:lastColumn="0" w:noHBand="0" w:noVBand="0"/>
        <w:tblCaption w:val="TGA registered POCPS devices and accessories used for the diagnosis of indeterminate strictures and removal of difficult bile stones"/>
        <w:tblDescription w:val="TGA registered POCPS devices and accessories used for the diagnosis of indeterminate strictures and removal of difficult bile stones"/>
      </w:tblPr>
      <w:tblGrid>
        <w:gridCol w:w="1270"/>
        <w:gridCol w:w="1275"/>
        <w:gridCol w:w="1277"/>
        <w:gridCol w:w="2597"/>
        <w:gridCol w:w="2597"/>
      </w:tblGrid>
      <w:tr w:rsidR="00FE5F39" w:rsidRPr="00B663A2" w14:paraId="6C9F48E2" w14:textId="77777777" w:rsidTr="00EE5B7A">
        <w:trPr>
          <w:cnfStyle w:val="100000000000" w:firstRow="1" w:lastRow="0" w:firstColumn="0" w:lastColumn="0" w:oddVBand="0" w:evenVBand="0" w:oddHBand="0" w:evenHBand="0" w:firstRowFirstColumn="0" w:firstRowLastColumn="0" w:lastRowFirstColumn="0" w:lastRowLastColumn="0"/>
        </w:trPr>
        <w:tc>
          <w:tcPr>
            <w:tcW w:w="704" w:type="pct"/>
            <w:shd w:val="clear" w:color="auto" w:fill="auto"/>
          </w:tcPr>
          <w:p w14:paraId="5C34C8DC" w14:textId="77777777" w:rsidR="007A317D" w:rsidRPr="007A317D" w:rsidRDefault="007A317D" w:rsidP="00096324">
            <w:pPr>
              <w:pStyle w:val="TableHeading0"/>
              <w:spacing w:before="40" w:after="40" w:line="312" w:lineRule="auto"/>
            </w:pPr>
            <w:r w:rsidRPr="007A317D">
              <w:t xml:space="preserve">Population </w:t>
            </w:r>
          </w:p>
        </w:tc>
        <w:tc>
          <w:tcPr>
            <w:tcW w:w="707" w:type="pct"/>
            <w:shd w:val="clear" w:color="auto" w:fill="auto"/>
            <w:hideMark/>
          </w:tcPr>
          <w:p w14:paraId="700A7842" w14:textId="77777777" w:rsidR="007A317D" w:rsidRPr="007A317D" w:rsidRDefault="007A317D" w:rsidP="00096324">
            <w:pPr>
              <w:pStyle w:val="TableHeading0"/>
              <w:spacing w:before="40" w:after="40" w:line="312" w:lineRule="auto"/>
            </w:pPr>
            <w:r w:rsidRPr="007A317D">
              <w:t>ARTG number</w:t>
            </w:r>
          </w:p>
        </w:tc>
        <w:tc>
          <w:tcPr>
            <w:tcW w:w="708" w:type="pct"/>
            <w:shd w:val="clear" w:color="auto" w:fill="auto"/>
            <w:hideMark/>
          </w:tcPr>
          <w:p w14:paraId="5CB48219" w14:textId="77777777" w:rsidR="007A317D" w:rsidRPr="007A317D" w:rsidRDefault="007A317D" w:rsidP="00096324">
            <w:pPr>
              <w:pStyle w:val="TableHeading0"/>
              <w:spacing w:before="40" w:after="40" w:line="312" w:lineRule="auto"/>
            </w:pPr>
            <w:r w:rsidRPr="007A317D">
              <w:t>Approval date</w:t>
            </w:r>
          </w:p>
        </w:tc>
        <w:tc>
          <w:tcPr>
            <w:tcW w:w="1440" w:type="pct"/>
            <w:shd w:val="clear" w:color="auto" w:fill="auto"/>
            <w:hideMark/>
          </w:tcPr>
          <w:p w14:paraId="13EFD852" w14:textId="77777777" w:rsidR="007A317D" w:rsidRPr="007A317D" w:rsidRDefault="007A317D" w:rsidP="00096324">
            <w:pPr>
              <w:pStyle w:val="TableHeading0"/>
              <w:spacing w:before="40" w:after="40" w:line="312" w:lineRule="auto"/>
            </w:pPr>
            <w:r w:rsidRPr="007A317D">
              <w:t>Manufacturer</w:t>
            </w:r>
          </w:p>
        </w:tc>
        <w:tc>
          <w:tcPr>
            <w:tcW w:w="1440" w:type="pct"/>
            <w:shd w:val="clear" w:color="auto" w:fill="auto"/>
            <w:hideMark/>
          </w:tcPr>
          <w:p w14:paraId="734A7018" w14:textId="77777777" w:rsidR="007A317D" w:rsidRPr="007A317D" w:rsidRDefault="007A317D" w:rsidP="00096324">
            <w:pPr>
              <w:pStyle w:val="TableHeading0"/>
              <w:spacing w:before="40" w:after="40" w:line="312" w:lineRule="auto"/>
            </w:pPr>
            <w:r w:rsidRPr="007A317D">
              <w:t>Product name</w:t>
            </w:r>
          </w:p>
        </w:tc>
      </w:tr>
      <w:tr w:rsidR="00FE5F39" w:rsidRPr="00B663A2" w14:paraId="1762D81B" w14:textId="77777777" w:rsidTr="00F934C8">
        <w:trPr>
          <w:trHeight w:val="335"/>
        </w:trPr>
        <w:tc>
          <w:tcPr>
            <w:tcW w:w="704" w:type="pct"/>
            <w:tcBorders>
              <w:bottom w:val="single" w:sz="4" w:space="0" w:color="FFFFFF" w:themeColor="background1"/>
            </w:tcBorders>
            <w:shd w:val="clear" w:color="auto" w:fill="auto"/>
            <w:vAlign w:val="center"/>
          </w:tcPr>
          <w:p w14:paraId="35BBE7CF" w14:textId="77777777" w:rsidR="007A317D" w:rsidRDefault="007A317D" w:rsidP="00096324">
            <w:pPr>
              <w:pStyle w:val="Tabletext0"/>
              <w:spacing w:line="312" w:lineRule="auto"/>
              <w:jc w:val="left"/>
            </w:pPr>
            <w:r>
              <w:t xml:space="preserve">Both </w:t>
            </w:r>
          </w:p>
        </w:tc>
        <w:tc>
          <w:tcPr>
            <w:tcW w:w="707" w:type="pct"/>
            <w:shd w:val="clear" w:color="auto" w:fill="auto"/>
            <w:vAlign w:val="center"/>
          </w:tcPr>
          <w:p w14:paraId="04B8C4A6" w14:textId="77777777" w:rsidR="007A317D" w:rsidRPr="00163AB1" w:rsidRDefault="007A317D" w:rsidP="00096324">
            <w:pPr>
              <w:pStyle w:val="Tabletext0"/>
              <w:spacing w:line="312" w:lineRule="auto"/>
              <w:jc w:val="left"/>
            </w:pPr>
            <w:r w:rsidRPr="00DF33A7">
              <w:t>236205</w:t>
            </w:r>
            <w:r w:rsidRPr="00257CFC">
              <w:rPr>
                <w:vertAlign w:val="superscript"/>
              </w:rPr>
              <w:t>b</w:t>
            </w:r>
          </w:p>
        </w:tc>
        <w:tc>
          <w:tcPr>
            <w:tcW w:w="708" w:type="pct"/>
            <w:shd w:val="clear" w:color="auto" w:fill="auto"/>
            <w:vAlign w:val="center"/>
          </w:tcPr>
          <w:p w14:paraId="3F5CBC9E" w14:textId="77777777" w:rsidR="007A317D" w:rsidRPr="00657710" w:rsidRDefault="007A317D" w:rsidP="00096324">
            <w:pPr>
              <w:pStyle w:val="Tabletext0"/>
              <w:spacing w:line="312" w:lineRule="auto"/>
              <w:jc w:val="left"/>
            </w:pPr>
            <w:r w:rsidRPr="00657710">
              <w:t>14/04/2015</w:t>
            </w:r>
          </w:p>
        </w:tc>
        <w:tc>
          <w:tcPr>
            <w:tcW w:w="1440" w:type="pct"/>
            <w:shd w:val="clear" w:color="auto" w:fill="auto"/>
            <w:vAlign w:val="center"/>
          </w:tcPr>
          <w:p w14:paraId="63BCC899" w14:textId="77777777" w:rsidR="007A317D" w:rsidRPr="00657710" w:rsidRDefault="007A317D" w:rsidP="00096324">
            <w:pPr>
              <w:pStyle w:val="Tabletext0"/>
              <w:spacing w:line="312" w:lineRule="auto"/>
              <w:jc w:val="left"/>
            </w:pPr>
            <w:r w:rsidRPr="00657710">
              <w:t>Boston Scientific Corporation</w:t>
            </w:r>
          </w:p>
        </w:tc>
        <w:tc>
          <w:tcPr>
            <w:tcW w:w="1440" w:type="pct"/>
            <w:shd w:val="clear" w:color="auto" w:fill="auto"/>
            <w:vAlign w:val="center"/>
          </w:tcPr>
          <w:p w14:paraId="5C686F32" w14:textId="77777777" w:rsidR="007A317D" w:rsidRPr="009449CA" w:rsidRDefault="007A317D" w:rsidP="00096324">
            <w:pPr>
              <w:pStyle w:val="Tabletext0"/>
              <w:spacing w:line="312" w:lineRule="auto"/>
              <w:jc w:val="left"/>
            </w:pPr>
            <w:r w:rsidRPr="00BC4DAB">
              <w:t>Flexible video choledochoscope</w:t>
            </w:r>
          </w:p>
        </w:tc>
      </w:tr>
      <w:tr w:rsidR="00FE5F39" w:rsidRPr="00B663A2" w14:paraId="23640B0E" w14:textId="77777777" w:rsidTr="00F934C8">
        <w:trPr>
          <w:trHeight w:val="335"/>
        </w:trPr>
        <w:tc>
          <w:tcPr>
            <w:tcW w:w="704" w:type="pct"/>
            <w:tcBorders>
              <w:top w:val="single" w:sz="4" w:space="0" w:color="FFFFFF" w:themeColor="background1"/>
            </w:tcBorders>
            <w:shd w:val="clear" w:color="auto" w:fill="auto"/>
            <w:vAlign w:val="center"/>
          </w:tcPr>
          <w:p w14:paraId="460933D6" w14:textId="77777777" w:rsidR="007A317D" w:rsidRDefault="007A317D" w:rsidP="00096324">
            <w:pPr>
              <w:pStyle w:val="Tabletext0"/>
              <w:spacing w:line="312" w:lineRule="auto"/>
              <w:jc w:val="left"/>
            </w:pPr>
          </w:p>
        </w:tc>
        <w:tc>
          <w:tcPr>
            <w:tcW w:w="707" w:type="pct"/>
            <w:shd w:val="clear" w:color="auto" w:fill="auto"/>
            <w:vAlign w:val="center"/>
          </w:tcPr>
          <w:p w14:paraId="6A168323" w14:textId="77777777" w:rsidR="007A317D" w:rsidRPr="00163AB1" w:rsidRDefault="007A317D" w:rsidP="00096324">
            <w:pPr>
              <w:pStyle w:val="Tabletext0"/>
              <w:spacing w:line="312" w:lineRule="auto"/>
              <w:jc w:val="left"/>
            </w:pPr>
            <w:r w:rsidRPr="00DF33A7">
              <w:t>335180</w:t>
            </w:r>
            <w:r w:rsidRPr="00C76257">
              <w:rPr>
                <w:vertAlign w:val="superscript"/>
              </w:rPr>
              <w:t>a</w:t>
            </w:r>
          </w:p>
        </w:tc>
        <w:tc>
          <w:tcPr>
            <w:tcW w:w="708" w:type="pct"/>
            <w:shd w:val="clear" w:color="auto" w:fill="auto"/>
            <w:vAlign w:val="center"/>
          </w:tcPr>
          <w:p w14:paraId="7CB1D337" w14:textId="77777777" w:rsidR="007A317D" w:rsidRPr="000C6F8A" w:rsidRDefault="007A317D" w:rsidP="00096324">
            <w:pPr>
              <w:pStyle w:val="Tabletext0"/>
              <w:spacing w:line="312" w:lineRule="auto"/>
              <w:jc w:val="left"/>
            </w:pPr>
            <w:r w:rsidRPr="000C6F8A">
              <w:t>25/04/2020</w:t>
            </w:r>
          </w:p>
        </w:tc>
        <w:tc>
          <w:tcPr>
            <w:tcW w:w="1440" w:type="pct"/>
            <w:shd w:val="clear" w:color="auto" w:fill="auto"/>
            <w:vAlign w:val="center"/>
          </w:tcPr>
          <w:p w14:paraId="4D00EEB3" w14:textId="77777777" w:rsidR="007A317D" w:rsidRPr="00462778" w:rsidRDefault="007A317D" w:rsidP="00096324">
            <w:pPr>
              <w:pStyle w:val="Tabletext0"/>
              <w:spacing w:line="312" w:lineRule="auto"/>
              <w:jc w:val="left"/>
            </w:pPr>
            <w:r w:rsidRPr="00462778">
              <w:t>Boston Scientific Corporation</w:t>
            </w:r>
          </w:p>
        </w:tc>
        <w:tc>
          <w:tcPr>
            <w:tcW w:w="1440" w:type="pct"/>
            <w:shd w:val="clear" w:color="auto" w:fill="auto"/>
            <w:vAlign w:val="center"/>
          </w:tcPr>
          <w:p w14:paraId="37D21D79" w14:textId="77777777" w:rsidR="007A317D" w:rsidRPr="00254BD3" w:rsidRDefault="007A317D" w:rsidP="00096324">
            <w:pPr>
              <w:pStyle w:val="Tabletext0"/>
              <w:spacing w:line="312" w:lineRule="auto"/>
              <w:jc w:val="left"/>
            </w:pPr>
            <w:r w:rsidRPr="00BC4DAB">
              <w:t>Light source/processing unit, endoscope</w:t>
            </w:r>
          </w:p>
        </w:tc>
      </w:tr>
      <w:tr w:rsidR="00FE5F39" w:rsidRPr="00B663A2" w14:paraId="258CF830" w14:textId="77777777" w:rsidTr="00F934C8">
        <w:trPr>
          <w:trHeight w:val="728"/>
        </w:trPr>
        <w:tc>
          <w:tcPr>
            <w:tcW w:w="704" w:type="pct"/>
            <w:shd w:val="clear" w:color="auto" w:fill="auto"/>
            <w:vAlign w:val="center"/>
          </w:tcPr>
          <w:p w14:paraId="5008CB56" w14:textId="77777777" w:rsidR="007A317D" w:rsidRDefault="007A317D" w:rsidP="00096324">
            <w:pPr>
              <w:pStyle w:val="Tabletext0"/>
              <w:spacing w:line="312" w:lineRule="auto"/>
              <w:jc w:val="left"/>
            </w:pPr>
            <w:r>
              <w:t xml:space="preserve">Indeterminate biliary strictures </w:t>
            </w:r>
          </w:p>
        </w:tc>
        <w:tc>
          <w:tcPr>
            <w:tcW w:w="707" w:type="pct"/>
            <w:shd w:val="clear" w:color="auto" w:fill="auto"/>
            <w:vAlign w:val="center"/>
          </w:tcPr>
          <w:p w14:paraId="7C6D855E" w14:textId="77777777" w:rsidR="007A317D" w:rsidRPr="00163AB1" w:rsidRDefault="007A317D" w:rsidP="00096324">
            <w:pPr>
              <w:pStyle w:val="Tabletext0"/>
              <w:spacing w:line="312" w:lineRule="auto"/>
              <w:jc w:val="left"/>
            </w:pPr>
            <w:r w:rsidRPr="00163AB1">
              <w:t>137089</w:t>
            </w:r>
            <w:r w:rsidRPr="00FE6271">
              <w:rPr>
                <w:vertAlign w:val="superscript"/>
              </w:rPr>
              <w:t>b</w:t>
            </w:r>
          </w:p>
        </w:tc>
        <w:tc>
          <w:tcPr>
            <w:tcW w:w="708" w:type="pct"/>
            <w:shd w:val="clear" w:color="auto" w:fill="auto"/>
            <w:vAlign w:val="center"/>
          </w:tcPr>
          <w:p w14:paraId="10A27344" w14:textId="77777777" w:rsidR="007A317D" w:rsidRPr="00BD23E5" w:rsidRDefault="007A317D" w:rsidP="00096324">
            <w:pPr>
              <w:pStyle w:val="Tabletext0"/>
              <w:spacing w:line="312" w:lineRule="auto"/>
              <w:jc w:val="left"/>
            </w:pPr>
            <w:r w:rsidRPr="00254BD3">
              <w:t>2/04/2007</w:t>
            </w:r>
          </w:p>
        </w:tc>
        <w:tc>
          <w:tcPr>
            <w:tcW w:w="1440" w:type="pct"/>
            <w:shd w:val="clear" w:color="auto" w:fill="auto"/>
            <w:vAlign w:val="center"/>
          </w:tcPr>
          <w:p w14:paraId="432CC4F4" w14:textId="77777777" w:rsidR="007A317D" w:rsidRPr="00BD23E5" w:rsidRDefault="007A317D" w:rsidP="00096324">
            <w:pPr>
              <w:pStyle w:val="Tabletext0"/>
              <w:spacing w:line="312" w:lineRule="auto"/>
              <w:jc w:val="left"/>
            </w:pPr>
            <w:r w:rsidRPr="00254BD3">
              <w:t>Boston Scientific Corporation</w:t>
            </w:r>
          </w:p>
        </w:tc>
        <w:tc>
          <w:tcPr>
            <w:tcW w:w="1440" w:type="pct"/>
            <w:shd w:val="clear" w:color="auto" w:fill="auto"/>
            <w:vAlign w:val="center"/>
          </w:tcPr>
          <w:p w14:paraId="5A383461" w14:textId="607DA241" w:rsidR="007A317D" w:rsidRPr="00BD23E5" w:rsidRDefault="007A317D" w:rsidP="00096324">
            <w:pPr>
              <w:pStyle w:val="Tabletext0"/>
              <w:spacing w:line="312" w:lineRule="auto"/>
              <w:jc w:val="left"/>
            </w:pPr>
            <w:r w:rsidRPr="00BC4DAB">
              <w:t>Endoscopic forceps, biopsy, flexible</w:t>
            </w:r>
          </w:p>
        </w:tc>
      </w:tr>
      <w:tr w:rsidR="00FE5F39" w:rsidRPr="00B663A2" w14:paraId="234A7D32" w14:textId="77777777" w:rsidTr="00F934C8">
        <w:trPr>
          <w:trHeight w:val="77"/>
        </w:trPr>
        <w:tc>
          <w:tcPr>
            <w:tcW w:w="704" w:type="pct"/>
            <w:tcBorders>
              <w:bottom w:val="single" w:sz="4" w:space="0" w:color="FFFFFF" w:themeColor="background1"/>
            </w:tcBorders>
            <w:shd w:val="clear" w:color="auto" w:fill="auto"/>
            <w:vAlign w:val="center"/>
          </w:tcPr>
          <w:p w14:paraId="2C1A1E68" w14:textId="77777777" w:rsidR="007A317D" w:rsidRDefault="007A317D" w:rsidP="00096324">
            <w:pPr>
              <w:pStyle w:val="Tabletext0"/>
              <w:spacing w:line="312" w:lineRule="auto"/>
              <w:jc w:val="left"/>
            </w:pPr>
            <w:r>
              <w:t xml:space="preserve">Difficult biliary stones </w:t>
            </w:r>
          </w:p>
        </w:tc>
        <w:tc>
          <w:tcPr>
            <w:tcW w:w="707" w:type="pct"/>
            <w:shd w:val="clear" w:color="auto" w:fill="auto"/>
            <w:vAlign w:val="center"/>
          </w:tcPr>
          <w:p w14:paraId="010D54E0" w14:textId="77777777" w:rsidR="007A317D" w:rsidRPr="00163AB1" w:rsidRDefault="007A317D" w:rsidP="00096324">
            <w:pPr>
              <w:pStyle w:val="Tabletext0"/>
              <w:spacing w:line="312" w:lineRule="auto"/>
              <w:jc w:val="left"/>
            </w:pPr>
            <w:r w:rsidRPr="00163AB1">
              <w:t>290522</w:t>
            </w:r>
            <w:r w:rsidRPr="00B93FCF">
              <w:rPr>
                <w:vertAlign w:val="superscript"/>
              </w:rPr>
              <w:t>b</w:t>
            </w:r>
          </w:p>
        </w:tc>
        <w:tc>
          <w:tcPr>
            <w:tcW w:w="708" w:type="pct"/>
            <w:shd w:val="clear" w:color="auto" w:fill="auto"/>
            <w:vAlign w:val="center"/>
          </w:tcPr>
          <w:p w14:paraId="777DC7B9" w14:textId="77777777" w:rsidR="007A317D" w:rsidRPr="00BD23E5" w:rsidRDefault="007A317D" w:rsidP="00096324">
            <w:pPr>
              <w:pStyle w:val="Tabletext0"/>
              <w:spacing w:line="312" w:lineRule="auto"/>
              <w:jc w:val="left"/>
            </w:pPr>
            <w:r w:rsidRPr="00BD23E5">
              <w:t>21/06/2017</w:t>
            </w:r>
          </w:p>
        </w:tc>
        <w:tc>
          <w:tcPr>
            <w:tcW w:w="1440" w:type="pct"/>
            <w:shd w:val="clear" w:color="auto" w:fill="auto"/>
            <w:vAlign w:val="center"/>
          </w:tcPr>
          <w:p w14:paraId="2F6406CF" w14:textId="77777777" w:rsidR="007A317D" w:rsidRPr="00BD23E5" w:rsidRDefault="007A317D" w:rsidP="00096324">
            <w:pPr>
              <w:pStyle w:val="Tabletext0"/>
              <w:spacing w:line="312" w:lineRule="auto"/>
              <w:jc w:val="left"/>
            </w:pPr>
            <w:r w:rsidRPr="00BD23E5">
              <w:t>Northgate Technologies Inc (Nortech)</w:t>
            </w:r>
          </w:p>
        </w:tc>
        <w:tc>
          <w:tcPr>
            <w:tcW w:w="1440" w:type="pct"/>
            <w:shd w:val="clear" w:color="auto" w:fill="auto"/>
            <w:vAlign w:val="center"/>
          </w:tcPr>
          <w:p w14:paraId="2B66094B" w14:textId="77777777" w:rsidR="007A317D" w:rsidRPr="00BD23E5" w:rsidRDefault="007A317D" w:rsidP="00096324">
            <w:pPr>
              <w:pStyle w:val="Tabletext0"/>
              <w:spacing w:line="312" w:lineRule="auto"/>
              <w:jc w:val="left"/>
            </w:pPr>
            <w:r w:rsidRPr="00744288">
              <w:t>Lithotriptor, internal, electrohydraulic</w:t>
            </w:r>
          </w:p>
        </w:tc>
      </w:tr>
      <w:tr w:rsidR="00FE5F39" w:rsidRPr="00B663A2" w14:paraId="0C2E028A" w14:textId="77777777" w:rsidTr="00F934C8">
        <w:trPr>
          <w:trHeight w:val="335"/>
        </w:trPr>
        <w:tc>
          <w:tcPr>
            <w:tcW w:w="704" w:type="pct"/>
            <w:tcBorders>
              <w:top w:val="single" w:sz="4" w:space="0" w:color="FFFFFF" w:themeColor="background1"/>
              <w:bottom w:val="single" w:sz="4" w:space="0" w:color="FFFFFF" w:themeColor="background1"/>
            </w:tcBorders>
            <w:shd w:val="clear" w:color="auto" w:fill="auto"/>
          </w:tcPr>
          <w:p w14:paraId="7BB1A2A7" w14:textId="77777777" w:rsidR="007A317D" w:rsidRPr="00163AB1" w:rsidRDefault="007A317D" w:rsidP="00096324">
            <w:pPr>
              <w:pStyle w:val="Tabletext0"/>
              <w:spacing w:line="312" w:lineRule="auto"/>
              <w:jc w:val="left"/>
            </w:pPr>
          </w:p>
        </w:tc>
        <w:tc>
          <w:tcPr>
            <w:tcW w:w="707" w:type="pct"/>
            <w:shd w:val="clear" w:color="auto" w:fill="auto"/>
            <w:vAlign w:val="center"/>
          </w:tcPr>
          <w:p w14:paraId="68B9E969" w14:textId="77777777" w:rsidR="007A317D" w:rsidRPr="00AA6E8E" w:rsidRDefault="007A317D" w:rsidP="00096324">
            <w:pPr>
              <w:pStyle w:val="Tabletext0"/>
              <w:spacing w:line="312" w:lineRule="auto"/>
              <w:jc w:val="left"/>
              <w:rPr>
                <w:vertAlign w:val="superscript"/>
              </w:rPr>
            </w:pPr>
            <w:r w:rsidRPr="00163AB1">
              <w:t>290314</w:t>
            </w:r>
            <w:r w:rsidRPr="00B93FCF">
              <w:rPr>
                <w:vertAlign w:val="superscript"/>
              </w:rPr>
              <w:t>c</w:t>
            </w:r>
          </w:p>
          <w:p w14:paraId="3F3C4E04" w14:textId="77777777" w:rsidR="007A317D" w:rsidRPr="00163AB1" w:rsidRDefault="007A317D" w:rsidP="00096324">
            <w:pPr>
              <w:pStyle w:val="Tabletext0"/>
              <w:spacing w:line="312" w:lineRule="auto"/>
              <w:jc w:val="left"/>
            </w:pPr>
          </w:p>
        </w:tc>
        <w:tc>
          <w:tcPr>
            <w:tcW w:w="708" w:type="pct"/>
            <w:shd w:val="clear" w:color="auto" w:fill="auto"/>
            <w:vAlign w:val="center"/>
          </w:tcPr>
          <w:p w14:paraId="0789C660" w14:textId="77777777" w:rsidR="007A317D" w:rsidRPr="007A29DE" w:rsidRDefault="007A317D" w:rsidP="00096324">
            <w:pPr>
              <w:pStyle w:val="Tabletext0"/>
              <w:spacing w:line="312" w:lineRule="auto"/>
              <w:jc w:val="left"/>
            </w:pPr>
            <w:r w:rsidRPr="007A29DE">
              <w:t>16/06/2017</w:t>
            </w:r>
          </w:p>
        </w:tc>
        <w:tc>
          <w:tcPr>
            <w:tcW w:w="1440" w:type="pct"/>
            <w:shd w:val="clear" w:color="auto" w:fill="auto"/>
            <w:vAlign w:val="center"/>
          </w:tcPr>
          <w:p w14:paraId="4B8BF8F6" w14:textId="77777777" w:rsidR="007A317D" w:rsidRPr="007A29DE" w:rsidRDefault="007A317D" w:rsidP="00096324">
            <w:pPr>
              <w:pStyle w:val="Tabletext0"/>
              <w:spacing w:line="312" w:lineRule="auto"/>
              <w:jc w:val="left"/>
            </w:pPr>
            <w:r w:rsidRPr="007A29DE">
              <w:t>Northgate Technologies Inc (Nortech)</w:t>
            </w:r>
          </w:p>
        </w:tc>
        <w:tc>
          <w:tcPr>
            <w:tcW w:w="1440" w:type="pct"/>
            <w:shd w:val="clear" w:color="auto" w:fill="auto"/>
            <w:vAlign w:val="center"/>
          </w:tcPr>
          <w:p w14:paraId="53DAD606" w14:textId="77777777" w:rsidR="007A317D" w:rsidRPr="007A29DE" w:rsidRDefault="007A317D" w:rsidP="00096324">
            <w:pPr>
              <w:pStyle w:val="Tabletext0"/>
              <w:spacing w:line="312" w:lineRule="auto"/>
              <w:jc w:val="left"/>
            </w:pPr>
            <w:r w:rsidRPr="007A29DE">
              <w:t>Lithotriptor, internal, electrohydraulic</w:t>
            </w:r>
          </w:p>
        </w:tc>
      </w:tr>
      <w:tr w:rsidR="00FE5F39" w:rsidRPr="00B663A2" w14:paraId="6971F905" w14:textId="77777777" w:rsidTr="00F934C8">
        <w:trPr>
          <w:trHeight w:val="335"/>
        </w:trPr>
        <w:tc>
          <w:tcPr>
            <w:tcW w:w="704" w:type="pct"/>
            <w:tcBorders>
              <w:top w:val="single" w:sz="4" w:space="0" w:color="FFFFFF" w:themeColor="background1"/>
              <w:bottom w:val="single" w:sz="4" w:space="0" w:color="FFFFFF" w:themeColor="background1"/>
            </w:tcBorders>
            <w:shd w:val="clear" w:color="auto" w:fill="auto"/>
          </w:tcPr>
          <w:p w14:paraId="5C243216" w14:textId="77777777" w:rsidR="007A317D" w:rsidRPr="000F5B08" w:rsidRDefault="007A317D" w:rsidP="00096324">
            <w:pPr>
              <w:pStyle w:val="Tabletext0"/>
              <w:spacing w:line="312" w:lineRule="auto"/>
              <w:jc w:val="left"/>
            </w:pPr>
          </w:p>
        </w:tc>
        <w:tc>
          <w:tcPr>
            <w:tcW w:w="707" w:type="pct"/>
            <w:shd w:val="clear" w:color="auto" w:fill="auto"/>
            <w:vAlign w:val="center"/>
          </w:tcPr>
          <w:p w14:paraId="73A25A8B" w14:textId="77777777" w:rsidR="007A317D" w:rsidRPr="000F5B08" w:rsidRDefault="007A317D" w:rsidP="00096324">
            <w:pPr>
              <w:pStyle w:val="Tabletext0"/>
              <w:spacing w:line="312" w:lineRule="auto"/>
              <w:jc w:val="left"/>
            </w:pPr>
            <w:r w:rsidRPr="000F5B08">
              <w:t>320152</w:t>
            </w:r>
            <w:r w:rsidRPr="00735CB5">
              <w:rPr>
                <w:vertAlign w:val="superscript"/>
              </w:rPr>
              <w:t>b</w:t>
            </w:r>
          </w:p>
        </w:tc>
        <w:tc>
          <w:tcPr>
            <w:tcW w:w="708" w:type="pct"/>
            <w:shd w:val="clear" w:color="auto" w:fill="auto"/>
            <w:vAlign w:val="center"/>
          </w:tcPr>
          <w:p w14:paraId="36787D8F" w14:textId="77777777" w:rsidR="007A317D" w:rsidRPr="000F5B08" w:rsidRDefault="007A317D" w:rsidP="00096324">
            <w:pPr>
              <w:pStyle w:val="Tabletext0"/>
              <w:spacing w:line="312" w:lineRule="auto"/>
              <w:jc w:val="left"/>
            </w:pPr>
            <w:r w:rsidRPr="00434B2C">
              <w:t>15/07/2019</w:t>
            </w:r>
          </w:p>
        </w:tc>
        <w:tc>
          <w:tcPr>
            <w:tcW w:w="1440" w:type="pct"/>
            <w:shd w:val="clear" w:color="auto" w:fill="auto"/>
            <w:vAlign w:val="center"/>
          </w:tcPr>
          <w:p w14:paraId="4775A28D" w14:textId="77777777" w:rsidR="007A317D" w:rsidRPr="000F5B08" w:rsidRDefault="007A317D" w:rsidP="00096324">
            <w:pPr>
              <w:pStyle w:val="Tabletext0"/>
              <w:spacing w:line="312" w:lineRule="auto"/>
              <w:jc w:val="left"/>
            </w:pPr>
            <w:r w:rsidRPr="00434B2C">
              <w:t>Boston Scientific Corporation</w:t>
            </w:r>
          </w:p>
        </w:tc>
        <w:tc>
          <w:tcPr>
            <w:tcW w:w="1440" w:type="pct"/>
            <w:shd w:val="clear" w:color="auto" w:fill="auto"/>
            <w:vAlign w:val="center"/>
          </w:tcPr>
          <w:p w14:paraId="06E9DFA1" w14:textId="77777777" w:rsidR="007A317D" w:rsidRPr="000F5B08" w:rsidRDefault="007A317D" w:rsidP="00096324">
            <w:pPr>
              <w:pStyle w:val="Tabletext0"/>
              <w:spacing w:line="312" w:lineRule="auto"/>
              <w:jc w:val="left"/>
            </w:pPr>
            <w:r w:rsidRPr="00434B2C">
              <w:t>Urogenital surgical laser system beam guide, single</w:t>
            </w:r>
            <w:r>
              <w:t xml:space="preserve"> </w:t>
            </w:r>
            <w:r w:rsidRPr="00434B2C">
              <w:t>use</w:t>
            </w:r>
          </w:p>
        </w:tc>
      </w:tr>
      <w:tr w:rsidR="00FE5F39" w:rsidRPr="00A86DBB" w14:paraId="288C7C86" w14:textId="77777777" w:rsidTr="00F934C8">
        <w:trPr>
          <w:trHeight w:val="335"/>
        </w:trPr>
        <w:tc>
          <w:tcPr>
            <w:tcW w:w="704" w:type="pct"/>
            <w:tcBorders>
              <w:top w:val="single" w:sz="4" w:space="0" w:color="FFFFFF" w:themeColor="background1"/>
            </w:tcBorders>
            <w:shd w:val="clear" w:color="auto" w:fill="auto"/>
          </w:tcPr>
          <w:p w14:paraId="546B1180" w14:textId="77777777" w:rsidR="007A317D" w:rsidRPr="000F5B08" w:rsidRDefault="007A317D" w:rsidP="00096324">
            <w:pPr>
              <w:pStyle w:val="Tabletext0"/>
              <w:spacing w:line="312" w:lineRule="auto"/>
              <w:jc w:val="left"/>
            </w:pPr>
          </w:p>
        </w:tc>
        <w:tc>
          <w:tcPr>
            <w:tcW w:w="707" w:type="pct"/>
            <w:shd w:val="clear" w:color="auto" w:fill="auto"/>
            <w:vAlign w:val="center"/>
          </w:tcPr>
          <w:p w14:paraId="2A8B4FCA" w14:textId="77777777" w:rsidR="007A317D" w:rsidRPr="000F5B08" w:rsidRDefault="007A317D" w:rsidP="00096324">
            <w:pPr>
              <w:pStyle w:val="Tabletext0"/>
              <w:spacing w:line="312" w:lineRule="auto"/>
              <w:jc w:val="left"/>
            </w:pPr>
            <w:r w:rsidRPr="000F5B08">
              <w:t>287772</w:t>
            </w:r>
            <w:r w:rsidRPr="001831E3">
              <w:rPr>
                <w:vertAlign w:val="superscript"/>
              </w:rPr>
              <w:t>c</w:t>
            </w:r>
          </w:p>
        </w:tc>
        <w:tc>
          <w:tcPr>
            <w:tcW w:w="708" w:type="pct"/>
            <w:shd w:val="clear" w:color="auto" w:fill="auto"/>
            <w:vAlign w:val="center"/>
          </w:tcPr>
          <w:p w14:paraId="3D80CEA0" w14:textId="77777777" w:rsidR="007A317D" w:rsidRPr="000F5B08" w:rsidRDefault="007A317D" w:rsidP="00096324">
            <w:pPr>
              <w:pStyle w:val="Tabletext0"/>
              <w:spacing w:line="312" w:lineRule="auto"/>
              <w:jc w:val="left"/>
            </w:pPr>
            <w:r w:rsidRPr="00426DF1">
              <w:t>11/04/2017</w:t>
            </w:r>
          </w:p>
        </w:tc>
        <w:tc>
          <w:tcPr>
            <w:tcW w:w="1440" w:type="pct"/>
            <w:shd w:val="clear" w:color="auto" w:fill="auto"/>
            <w:vAlign w:val="center"/>
          </w:tcPr>
          <w:p w14:paraId="1183AC97" w14:textId="77777777" w:rsidR="007A317D" w:rsidRPr="000F5B08" w:rsidRDefault="007A317D" w:rsidP="00096324">
            <w:pPr>
              <w:pStyle w:val="Tabletext0"/>
              <w:spacing w:line="312" w:lineRule="auto"/>
              <w:jc w:val="left"/>
            </w:pPr>
            <w:r w:rsidRPr="00434B2C">
              <w:t>Boston Scientific Corporation</w:t>
            </w:r>
          </w:p>
        </w:tc>
        <w:tc>
          <w:tcPr>
            <w:tcW w:w="1440" w:type="pct"/>
            <w:shd w:val="clear" w:color="auto" w:fill="auto"/>
            <w:vAlign w:val="center"/>
          </w:tcPr>
          <w:p w14:paraId="0380D5E1" w14:textId="77777777" w:rsidR="007A317D" w:rsidRPr="000F5B08" w:rsidRDefault="007A317D" w:rsidP="00096324">
            <w:pPr>
              <w:pStyle w:val="Tabletext0"/>
              <w:spacing w:line="312" w:lineRule="auto"/>
              <w:jc w:val="left"/>
            </w:pPr>
            <w:r w:rsidRPr="00426DF1">
              <w:t>Surgical Ho:YAG</w:t>
            </w:r>
            <w:r>
              <w:t>-</w:t>
            </w:r>
            <w:r w:rsidRPr="00426DF1">
              <w:t>laser system</w:t>
            </w:r>
          </w:p>
        </w:tc>
      </w:tr>
    </w:tbl>
    <w:p w14:paraId="3091E444" w14:textId="77777777" w:rsidR="007A317D" w:rsidRDefault="007A317D" w:rsidP="007A317D">
      <w:pPr>
        <w:pStyle w:val="Abbreviations"/>
        <w:rPr>
          <w:lang w:eastAsia="ja-JP"/>
        </w:rPr>
      </w:pPr>
      <w:r w:rsidRPr="00342D4D">
        <w:rPr>
          <w:lang w:eastAsia="ja-JP"/>
        </w:rPr>
        <w:t>a Medical device class I</w:t>
      </w:r>
    </w:p>
    <w:p w14:paraId="67EEE3E6" w14:textId="77777777" w:rsidR="007A317D" w:rsidRDefault="007A317D" w:rsidP="007A317D">
      <w:pPr>
        <w:pStyle w:val="Abbreviations"/>
        <w:rPr>
          <w:lang w:eastAsia="ja-JP"/>
        </w:rPr>
      </w:pPr>
      <w:r>
        <w:rPr>
          <w:lang w:eastAsia="ja-JP"/>
        </w:rPr>
        <w:t xml:space="preserve">b </w:t>
      </w:r>
      <w:r w:rsidRPr="00342D4D">
        <w:rPr>
          <w:lang w:eastAsia="ja-JP"/>
        </w:rPr>
        <w:t>Medical device class I</w:t>
      </w:r>
      <w:r>
        <w:rPr>
          <w:lang w:eastAsia="ja-JP"/>
        </w:rPr>
        <w:t>Ia</w:t>
      </w:r>
    </w:p>
    <w:p w14:paraId="52A9D2EC" w14:textId="77777777" w:rsidR="007A317D" w:rsidRPr="001831E3" w:rsidRDefault="007A317D" w:rsidP="007A317D">
      <w:pPr>
        <w:pStyle w:val="Abbreviations"/>
        <w:rPr>
          <w:rFonts w:eastAsia="SimSun" w:cs="Tahoma"/>
          <w:lang w:eastAsia="ja-JP"/>
        </w:rPr>
      </w:pPr>
      <w:r>
        <w:rPr>
          <w:lang w:eastAsia="ja-JP"/>
        </w:rPr>
        <w:t xml:space="preserve">c </w:t>
      </w:r>
      <w:r w:rsidRPr="00342D4D">
        <w:rPr>
          <w:lang w:eastAsia="ja-JP"/>
        </w:rPr>
        <w:t>Medical device class I</w:t>
      </w:r>
      <w:r>
        <w:rPr>
          <w:lang w:eastAsia="ja-JP"/>
        </w:rPr>
        <w:t>Ib</w:t>
      </w:r>
    </w:p>
    <w:p w14:paraId="580D7A28" w14:textId="77777777" w:rsidR="007A317D" w:rsidRDefault="4A3D156B" w:rsidP="007A317D">
      <w:pPr>
        <w:pStyle w:val="Abbreviations"/>
        <w:rPr>
          <w:lang w:eastAsia="ja-JP"/>
        </w:rPr>
      </w:pPr>
      <w:r w:rsidRPr="45B6C144">
        <w:rPr>
          <w:lang w:eastAsia="ja-JP"/>
        </w:rPr>
        <w:t xml:space="preserve">Source: </w:t>
      </w:r>
      <w:r>
        <w:t>https://www.ebs.tga.gov.au/</w:t>
      </w:r>
      <w:r w:rsidRPr="45B6C144">
        <w:rPr>
          <w:lang w:eastAsia="ja-JP"/>
        </w:rPr>
        <w:t>, accessed February 2021</w:t>
      </w:r>
    </w:p>
    <w:p w14:paraId="44E56C41" w14:textId="6E6E3458" w:rsidR="45B6C144" w:rsidRPr="00514F2D" w:rsidRDefault="3B1F8999" w:rsidP="007D626D">
      <w:pPr>
        <w:pStyle w:val="Instructionaltext-bullet"/>
        <w:numPr>
          <w:ilvl w:val="0"/>
          <w:numId w:val="0"/>
        </w:numPr>
        <w:rPr>
          <w:rFonts w:eastAsia="Franklin Gothic Book" w:cs="Franklin Gothic Book"/>
          <w:color w:val="000000" w:themeColor="text1"/>
        </w:rPr>
      </w:pPr>
      <w:r w:rsidRPr="00514F2D">
        <w:rPr>
          <w:rFonts w:eastAsia="Franklin Gothic Book" w:cs="Franklin Gothic Book"/>
          <w:color w:val="000000" w:themeColor="text1"/>
        </w:rPr>
        <w:t xml:space="preserve">It is noted in Application 1072 that Australia is limited by the availability of endoscopic ultrasound equipment and the number of technically trained experts. The applicant has not discussed the current supply of equipment and accredited endoscopic retrograde cholangiopancreatography (ERCP) proceduralists available to perform peroral cholangiopancreatoscopy (POCPS) in the ADAR. This is worth considering for the </w:t>
      </w:r>
      <w:r w:rsidR="5274FE66" w:rsidRPr="00514F2D">
        <w:rPr>
          <w:rFonts w:eastAsia="Franklin Gothic Book" w:cs="Franklin Gothic Book"/>
          <w:color w:val="000000" w:themeColor="text1"/>
        </w:rPr>
        <w:t>future dissemination of the procedure.</w:t>
      </w:r>
    </w:p>
    <w:p w14:paraId="6D017758" w14:textId="37F80328" w:rsidR="009639CF" w:rsidRPr="00CE28E3" w:rsidRDefault="0015035D" w:rsidP="009639CF">
      <w:pPr>
        <w:pStyle w:val="Heading2"/>
      </w:pPr>
      <w:bookmarkStart w:id="12" w:name="_Toc69491418"/>
      <w:r>
        <w:t>6</w:t>
      </w:r>
      <w:r w:rsidR="009639CF">
        <w:t>.</w:t>
      </w:r>
      <w:r w:rsidR="009639CF">
        <w:tab/>
      </w:r>
      <w:r w:rsidR="009639CF" w:rsidRPr="00CE28E3">
        <w:t>Proposal for public funding</w:t>
      </w:r>
      <w:bookmarkEnd w:id="12"/>
    </w:p>
    <w:p w14:paraId="07517941" w14:textId="6B525AC8" w:rsidR="005468C2" w:rsidRPr="001B3F69" w:rsidRDefault="001B3F69" w:rsidP="001F621F">
      <w:pPr>
        <w:spacing w:after="240"/>
      </w:pPr>
      <w:r w:rsidRPr="001B3F69">
        <w:t xml:space="preserve">The proposal for public funding </w:t>
      </w:r>
      <w:r w:rsidR="005F32D2">
        <w:t xml:space="preserve">(updated based on the pre-ESC response) </w:t>
      </w:r>
      <w:r w:rsidRPr="001B3F69">
        <w:t xml:space="preserve">is listed in </w:t>
      </w:r>
      <w:r w:rsidRPr="001F621F">
        <w:rPr>
          <w:iCs/>
        </w:rPr>
        <w:fldChar w:fldCharType="begin"/>
      </w:r>
      <w:r w:rsidRPr="001F621F">
        <w:rPr>
          <w:iCs/>
        </w:rPr>
        <w:instrText xml:space="preserve"> REF _Ref69481033 \h </w:instrText>
      </w:r>
      <w:r w:rsidR="001F621F">
        <w:rPr>
          <w:iCs/>
        </w:rPr>
        <w:instrText xml:space="preserve"> \* MERGEFORMAT </w:instrText>
      </w:r>
      <w:r w:rsidRPr="001F621F">
        <w:rPr>
          <w:iCs/>
        </w:rPr>
      </w:r>
      <w:r w:rsidRPr="001F621F">
        <w:rPr>
          <w:iCs/>
        </w:rPr>
        <w:fldChar w:fldCharType="separate"/>
      </w:r>
      <w:r w:rsidR="00D422BC" w:rsidRPr="00D422BC">
        <w:rPr>
          <w:iCs/>
        </w:rPr>
        <w:t>Table 2</w:t>
      </w:r>
      <w:r w:rsidRPr="001F621F">
        <w:rPr>
          <w:iCs/>
        </w:rPr>
        <w:fldChar w:fldCharType="end"/>
      </w:r>
      <w:r w:rsidR="005468C2">
        <w:t xml:space="preserve"> and </w:t>
      </w:r>
      <w:r w:rsidR="005468C2" w:rsidRPr="001F621F">
        <w:rPr>
          <w:iCs/>
        </w:rPr>
        <w:fldChar w:fldCharType="begin"/>
      </w:r>
      <w:r w:rsidR="005468C2" w:rsidRPr="001F621F">
        <w:rPr>
          <w:iCs/>
        </w:rPr>
        <w:instrText xml:space="preserve"> REF _Ref89073745 \h </w:instrText>
      </w:r>
      <w:r w:rsidR="001F621F">
        <w:rPr>
          <w:iCs/>
        </w:rPr>
        <w:instrText xml:space="preserve"> \* MERGEFORMAT </w:instrText>
      </w:r>
      <w:r w:rsidR="005468C2" w:rsidRPr="001F621F">
        <w:rPr>
          <w:iCs/>
        </w:rPr>
      </w:r>
      <w:r w:rsidR="005468C2" w:rsidRPr="001F621F">
        <w:rPr>
          <w:iCs/>
        </w:rPr>
        <w:fldChar w:fldCharType="separate"/>
      </w:r>
      <w:r w:rsidR="00D422BC" w:rsidRPr="00D422BC">
        <w:rPr>
          <w:iCs/>
        </w:rPr>
        <w:t>Table 3</w:t>
      </w:r>
      <w:r w:rsidR="005468C2" w:rsidRPr="001F621F">
        <w:rPr>
          <w:iCs/>
        </w:rPr>
        <w:fldChar w:fldCharType="end"/>
      </w:r>
      <w:r w:rsidR="005468C2">
        <w:t>.</w:t>
      </w:r>
      <w:r w:rsidR="00414F66">
        <w:t xml:space="preserve"> </w:t>
      </w:r>
      <w:r w:rsidR="005468C2">
        <w:t>The proposed technologies are new; and the proposal intends to create new MBS items.</w:t>
      </w:r>
    </w:p>
    <w:p w14:paraId="39392CFD" w14:textId="1624D02B" w:rsidR="003328A9" w:rsidRPr="00CE28E3" w:rsidRDefault="00310C3F" w:rsidP="00310C3F">
      <w:pPr>
        <w:pStyle w:val="Caption"/>
        <w:rPr>
          <w:rFonts w:cs="Arial"/>
        </w:rPr>
      </w:pPr>
      <w:bookmarkStart w:id="13" w:name="_Ref69481033"/>
      <w:r>
        <w:lastRenderedPageBreak/>
        <w:t>Table</w:t>
      </w:r>
      <w:r w:rsidR="004A4FDF">
        <w:t> </w:t>
      </w:r>
      <w:r>
        <w:fldChar w:fldCharType="begin"/>
      </w:r>
      <w:r>
        <w:instrText>SEQ Table \* ARABIC</w:instrText>
      </w:r>
      <w:r>
        <w:fldChar w:fldCharType="separate"/>
      </w:r>
      <w:r w:rsidR="00D422BC">
        <w:rPr>
          <w:noProof/>
        </w:rPr>
        <w:t>2</w:t>
      </w:r>
      <w:r>
        <w:fldChar w:fldCharType="end"/>
      </w:r>
      <w:bookmarkEnd w:id="13"/>
      <w:r w:rsidR="003328A9" w:rsidRPr="00CE28E3">
        <w:rPr>
          <w:rFonts w:cs="Arial"/>
        </w:rPr>
        <w:tab/>
      </w:r>
      <w:r w:rsidR="001B3F69">
        <w:rPr>
          <w:rFonts w:cs="Arial"/>
        </w:rPr>
        <w:t>P</w:t>
      </w:r>
      <w:r w:rsidR="00B26622" w:rsidRPr="00CE28E3">
        <w:rPr>
          <w:rFonts w:cs="Arial"/>
        </w:rPr>
        <w:t>roposed MBS item</w:t>
      </w:r>
      <w:r w:rsidR="003328A9" w:rsidRPr="00CE28E3">
        <w:rPr>
          <w:rFonts w:cs="Arial"/>
        </w:rPr>
        <w:t xml:space="preserve"> </w:t>
      </w:r>
      <w:r w:rsidR="001B3F69" w:rsidRPr="00CE28E3">
        <w:t xml:space="preserve">for </w:t>
      </w:r>
      <w:r w:rsidR="001B3F69">
        <w:t>POCPS for difficult biliary stones: therapeutic application</w:t>
      </w:r>
    </w:p>
    <w:tbl>
      <w:tblPr>
        <w:tblStyle w:val="TableGrid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Proposed MBS item for POCPS for difficult biliary stones: therapeutic application"/>
      </w:tblPr>
      <w:tblGrid>
        <w:gridCol w:w="9016"/>
      </w:tblGrid>
      <w:tr w:rsidR="003328A9" w:rsidRPr="00CE28E3" w14:paraId="7A70B700" w14:textId="77777777" w:rsidTr="00170D5B">
        <w:trPr>
          <w:cnfStyle w:val="100000000000" w:firstRow="1" w:lastRow="0" w:firstColumn="0" w:lastColumn="0" w:oddVBand="0" w:evenVBand="0" w:oddHBand="0" w:evenHBand="0" w:firstRowFirstColumn="0" w:firstRowLastColumn="0" w:lastRowFirstColumn="0" w:lastRowLastColumn="0"/>
          <w:trHeight w:val="351"/>
          <w:tblHeader/>
        </w:trPr>
        <w:tc>
          <w:tcPr>
            <w:tcW w:w="5000" w:type="pct"/>
            <w:tcBorders>
              <w:top w:val="single" w:sz="4" w:space="0" w:color="000000"/>
              <w:left w:val="single" w:sz="4" w:space="0" w:color="000000"/>
              <w:bottom w:val="single" w:sz="4" w:space="0" w:color="000000"/>
              <w:right w:val="single" w:sz="4" w:space="0" w:color="000000"/>
            </w:tcBorders>
            <w:hideMark/>
          </w:tcPr>
          <w:p w14:paraId="617FAF30" w14:textId="0A8E0D4E" w:rsidR="003328A9" w:rsidRPr="00CE28E3" w:rsidRDefault="003328A9" w:rsidP="00824458">
            <w:pPr>
              <w:pStyle w:val="TableText"/>
              <w:rPr>
                <w:sz w:val="24"/>
              </w:rPr>
            </w:pPr>
            <w:r w:rsidRPr="00CE28E3">
              <w:t xml:space="preserve">Category </w:t>
            </w:r>
            <w:r w:rsidR="001B3F69">
              <w:t>3</w:t>
            </w:r>
            <w:r w:rsidRPr="00CE28E3">
              <w:t xml:space="preserve"> – </w:t>
            </w:r>
            <w:r w:rsidR="001B3F69">
              <w:t>Therapeutic procedures</w:t>
            </w:r>
          </w:p>
        </w:tc>
      </w:tr>
      <w:tr w:rsidR="003328A9" w:rsidRPr="00CE28E3" w14:paraId="05A9B76F" w14:textId="77777777" w:rsidTr="00824458">
        <w:tc>
          <w:tcPr>
            <w:tcW w:w="5000" w:type="pct"/>
            <w:tcBorders>
              <w:top w:val="single" w:sz="4" w:space="0" w:color="000000"/>
              <w:left w:val="single" w:sz="4" w:space="0" w:color="000000"/>
              <w:bottom w:val="single" w:sz="4" w:space="0" w:color="000000"/>
              <w:right w:val="single" w:sz="4" w:space="0" w:color="000000"/>
            </w:tcBorders>
            <w:hideMark/>
          </w:tcPr>
          <w:p w14:paraId="562DD428" w14:textId="1AA3D6B4" w:rsidR="00E3330E" w:rsidRPr="00170D5B" w:rsidRDefault="00E3330E" w:rsidP="00170D5B">
            <w:pPr>
              <w:spacing w:after="120"/>
              <w:rPr>
                <w:rFonts w:ascii="Arial Narrow" w:hAnsi="Arial Narrow"/>
                <w:lang w:val="en-US" w:eastAsia="ja-JP"/>
              </w:rPr>
            </w:pPr>
            <w:r w:rsidRPr="00170D5B">
              <w:rPr>
                <w:rFonts w:ascii="Arial Narrow" w:hAnsi="Arial Narrow"/>
                <w:lang w:val="en-US" w:eastAsia="ja-JP"/>
              </w:rPr>
              <w:t>MBS item *XXXX</w:t>
            </w:r>
          </w:p>
          <w:p w14:paraId="1A383239" w14:textId="77777777" w:rsidR="00DF2332" w:rsidRPr="00DF2332" w:rsidRDefault="00DF2332" w:rsidP="00DF2332">
            <w:pPr>
              <w:spacing w:after="120"/>
              <w:rPr>
                <w:rFonts w:ascii="Arial Narrow" w:hAnsi="Arial Narrow"/>
                <w:lang w:eastAsia="ja-JP"/>
              </w:rPr>
            </w:pPr>
            <w:r w:rsidRPr="00DF2332">
              <w:rPr>
                <w:rFonts w:ascii="Arial Narrow" w:hAnsi="Arial Narrow"/>
                <w:lang w:eastAsia="ja-JP"/>
              </w:rPr>
              <w:t>Single operator, single use peroral cholangiopancreatoscopy (POCPS) guided electrohydraulic/laser lithotripsy for removal of difficult bile stones, that have failed at least one attempt at removal via conventional ERCP extraction techniques, during an endoscopic retrograde cholangiopancreatography (ERCP) procedure, not being a service to which item 30484 is applied.</w:t>
            </w:r>
          </w:p>
          <w:p w14:paraId="78EB6329" w14:textId="77777777" w:rsidR="00DF2332" w:rsidRPr="00DF2332" w:rsidRDefault="00DF2332" w:rsidP="00DF2332">
            <w:pPr>
              <w:spacing w:after="120"/>
              <w:rPr>
                <w:rFonts w:ascii="Arial Narrow" w:hAnsi="Arial Narrow"/>
                <w:lang w:eastAsia="ja-JP"/>
              </w:rPr>
            </w:pPr>
            <w:r w:rsidRPr="00DF2332">
              <w:rPr>
                <w:rFonts w:ascii="Arial Narrow" w:hAnsi="Arial Narrow"/>
                <w:lang w:eastAsia="ja-JP"/>
              </w:rPr>
              <w:t>A maximum of three procedures per year.</w:t>
            </w:r>
          </w:p>
          <w:p w14:paraId="79480D68" w14:textId="77777777" w:rsidR="00DF2332" w:rsidRPr="00DF2332" w:rsidRDefault="00DF2332" w:rsidP="00DF2332">
            <w:pPr>
              <w:spacing w:after="120"/>
              <w:rPr>
                <w:rFonts w:ascii="Arial Narrow" w:hAnsi="Arial Narrow"/>
                <w:lang w:eastAsia="ja-JP"/>
              </w:rPr>
            </w:pPr>
            <w:r w:rsidRPr="00DF2332">
              <w:rPr>
                <w:rFonts w:ascii="Arial Narrow" w:hAnsi="Arial Narrow"/>
                <w:lang w:eastAsia="ja-JP"/>
              </w:rPr>
              <w:t>Multiple Operations Rule.</w:t>
            </w:r>
          </w:p>
          <w:p w14:paraId="3EEC2DE6" w14:textId="5C37562D" w:rsidR="003328A9" w:rsidRPr="00170D5B" w:rsidRDefault="00DF2332" w:rsidP="00DF2332">
            <w:pPr>
              <w:spacing w:after="120"/>
              <w:rPr>
                <w:rFonts w:ascii="Arial Narrow" w:hAnsi="Arial Narrow"/>
                <w:lang w:val="en-US" w:eastAsia="ja-JP"/>
              </w:rPr>
            </w:pPr>
            <w:r w:rsidRPr="00DF2332">
              <w:rPr>
                <w:rFonts w:ascii="Arial Narrow" w:hAnsi="Arial Narrow"/>
                <w:lang w:eastAsia="ja-JP"/>
              </w:rPr>
              <w:t>(Anaes.)</w:t>
            </w:r>
          </w:p>
        </w:tc>
      </w:tr>
      <w:tr w:rsidR="003328A9" w:rsidRPr="005D749D" w14:paraId="190EE027" w14:textId="77777777" w:rsidTr="00170D5B">
        <w:tc>
          <w:tcPr>
            <w:tcW w:w="5000" w:type="pct"/>
            <w:tcBorders>
              <w:top w:val="single" w:sz="4" w:space="0" w:color="000000"/>
              <w:left w:val="single" w:sz="4" w:space="0" w:color="000000"/>
              <w:bottom w:val="single" w:sz="4" w:space="0" w:color="000000"/>
              <w:right w:val="single" w:sz="4" w:space="0" w:color="000000"/>
            </w:tcBorders>
            <w:vAlign w:val="center"/>
            <w:hideMark/>
          </w:tcPr>
          <w:p w14:paraId="5AEEDFDC" w14:textId="27C2FCA2" w:rsidR="003328A9" w:rsidRPr="005D749D" w:rsidRDefault="003328A9" w:rsidP="00170D5B">
            <w:pPr>
              <w:pStyle w:val="TableText"/>
            </w:pPr>
            <w:r w:rsidRPr="005D749D">
              <w:t xml:space="preserve">Fee: </w:t>
            </w:r>
            <w:r w:rsidR="001B3F69" w:rsidRPr="001B3F69">
              <w:rPr>
                <w:bCs/>
              </w:rPr>
              <w:t>$865.72 Benefit: 75% = $649.29</w:t>
            </w:r>
          </w:p>
        </w:tc>
      </w:tr>
    </w:tbl>
    <w:p w14:paraId="76578288" w14:textId="2D682B9E" w:rsidR="001B3F69" w:rsidRPr="00CE28E3" w:rsidRDefault="001B3F69" w:rsidP="001B3F69">
      <w:pPr>
        <w:pStyle w:val="Caption"/>
        <w:rPr>
          <w:rFonts w:cs="Arial"/>
        </w:rPr>
      </w:pPr>
      <w:bookmarkStart w:id="14" w:name="_Ref89073745"/>
      <w:bookmarkStart w:id="15" w:name="_Ref78383222"/>
      <w:bookmarkStart w:id="16" w:name="_Toc84313608"/>
      <w:bookmarkStart w:id="17" w:name="_Toc84324753"/>
      <w:bookmarkStart w:id="18" w:name="_Toc84344186"/>
      <w:bookmarkStart w:id="19" w:name="_Toc88760155"/>
      <w:r>
        <w:t>Table </w:t>
      </w:r>
      <w:r>
        <w:fldChar w:fldCharType="begin"/>
      </w:r>
      <w:r>
        <w:instrText>SEQ Table \* ARABIC</w:instrText>
      </w:r>
      <w:r>
        <w:fldChar w:fldCharType="separate"/>
      </w:r>
      <w:r w:rsidR="00D422BC">
        <w:rPr>
          <w:noProof/>
        </w:rPr>
        <w:t>3</w:t>
      </w:r>
      <w:r>
        <w:fldChar w:fldCharType="end"/>
      </w:r>
      <w:bookmarkEnd w:id="14"/>
      <w:r w:rsidRPr="00CE28E3">
        <w:rPr>
          <w:rFonts w:cs="Arial"/>
        </w:rPr>
        <w:tab/>
      </w:r>
      <w:r>
        <w:rPr>
          <w:rFonts w:cs="Arial"/>
        </w:rPr>
        <w:t>P</w:t>
      </w:r>
      <w:r w:rsidRPr="00CE28E3">
        <w:rPr>
          <w:rFonts w:cs="Arial"/>
        </w:rPr>
        <w:t xml:space="preserve">roposed MBS item </w:t>
      </w:r>
      <w:r w:rsidRPr="00CE28E3">
        <w:t xml:space="preserve">for </w:t>
      </w:r>
      <w:r>
        <w:t>POCPS for indeterminate biliary strictures: investigative application</w:t>
      </w:r>
    </w:p>
    <w:tbl>
      <w:tblPr>
        <w:tblStyle w:val="TableGrid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Proposed MBS item for POCPS for indeterminate biliary strictures: investigative application"/>
      </w:tblPr>
      <w:tblGrid>
        <w:gridCol w:w="9016"/>
      </w:tblGrid>
      <w:tr w:rsidR="001B3F69" w:rsidRPr="00CE28E3" w14:paraId="6A712E6C" w14:textId="77777777" w:rsidTr="006D10FC">
        <w:trPr>
          <w:cnfStyle w:val="100000000000" w:firstRow="1" w:lastRow="0" w:firstColumn="0" w:lastColumn="0" w:oddVBand="0" w:evenVBand="0" w:oddHBand="0" w:evenHBand="0" w:firstRowFirstColumn="0" w:firstRowLastColumn="0" w:lastRowFirstColumn="0" w:lastRowLastColumn="0"/>
          <w:trHeight w:val="351"/>
          <w:tblHeader/>
        </w:trPr>
        <w:tc>
          <w:tcPr>
            <w:tcW w:w="5000" w:type="pct"/>
            <w:tcBorders>
              <w:top w:val="single" w:sz="4" w:space="0" w:color="000000"/>
              <w:left w:val="single" w:sz="4" w:space="0" w:color="000000"/>
              <w:bottom w:val="single" w:sz="4" w:space="0" w:color="000000"/>
              <w:right w:val="single" w:sz="4" w:space="0" w:color="000000"/>
            </w:tcBorders>
            <w:hideMark/>
          </w:tcPr>
          <w:p w14:paraId="16378189" w14:textId="6B35453E" w:rsidR="001B3F69" w:rsidRPr="00CE28E3" w:rsidRDefault="001B3F69" w:rsidP="006D10FC">
            <w:pPr>
              <w:pStyle w:val="TableText"/>
              <w:rPr>
                <w:sz w:val="24"/>
              </w:rPr>
            </w:pPr>
            <w:r w:rsidRPr="00CE28E3">
              <w:t xml:space="preserve">Category </w:t>
            </w:r>
            <w:r>
              <w:t>5</w:t>
            </w:r>
            <w:r w:rsidRPr="00CE28E3">
              <w:t xml:space="preserve"> – </w:t>
            </w:r>
            <w:r w:rsidR="00C55CA9">
              <w:t>Diagnostic imaging services</w:t>
            </w:r>
          </w:p>
        </w:tc>
      </w:tr>
      <w:tr w:rsidR="001B3F69" w:rsidRPr="00CE28E3" w14:paraId="25ED07A3" w14:textId="77777777" w:rsidTr="006D10FC">
        <w:tc>
          <w:tcPr>
            <w:tcW w:w="5000" w:type="pct"/>
            <w:tcBorders>
              <w:top w:val="single" w:sz="4" w:space="0" w:color="000000"/>
              <w:left w:val="single" w:sz="4" w:space="0" w:color="000000"/>
              <w:bottom w:val="single" w:sz="4" w:space="0" w:color="000000"/>
              <w:right w:val="single" w:sz="4" w:space="0" w:color="000000"/>
            </w:tcBorders>
            <w:hideMark/>
          </w:tcPr>
          <w:p w14:paraId="130ED448" w14:textId="77777777" w:rsidR="001B3F69" w:rsidRPr="00170D5B" w:rsidRDefault="001B3F69" w:rsidP="006D10FC">
            <w:pPr>
              <w:spacing w:after="120"/>
              <w:rPr>
                <w:rFonts w:ascii="Arial Narrow" w:hAnsi="Arial Narrow"/>
                <w:lang w:val="en-US" w:eastAsia="ja-JP"/>
              </w:rPr>
            </w:pPr>
            <w:r w:rsidRPr="00170D5B">
              <w:rPr>
                <w:rFonts w:ascii="Arial Narrow" w:hAnsi="Arial Narrow"/>
                <w:lang w:val="en-US" w:eastAsia="ja-JP"/>
              </w:rPr>
              <w:t>MBS item *XXXX</w:t>
            </w:r>
          </w:p>
          <w:p w14:paraId="61B727C5" w14:textId="77777777" w:rsidR="00DF2332" w:rsidRPr="00DF2332" w:rsidRDefault="00DF2332" w:rsidP="00DF2332">
            <w:pPr>
              <w:spacing w:after="120"/>
              <w:rPr>
                <w:rFonts w:ascii="Arial Narrow" w:hAnsi="Arial Narrow"/>
                <w:lang w:eastAsia="ja-JP"/>
              </w:rPr>
            </w:pPr>
            <w:r w:rsidRPr="00DF2332">
              <w:rPr>
                <w:rFonts w:ascii="Arial Narrow" w:hAnsi="Arial Narrow"/>
                <w:lang w:eastAsia="ja-JP"/>
              </w:rPr>
              <w:t>Single operator, single use peroral cholangiopancreatoscopy (POCPS) with biopsy, for the diagnosis of indeterminate biliary strictures, defined as strictures with indeterminate results from conventional diagnostic ERCP guided brush cytology and/or intraductal biopsy, during an endoscopic retrograde cholangiopancreatography procedure, not being a service to which item 30484 is applied.</w:t>
            </w:r>
          </w:p>
          <w:p w14:paraId="4A7DA72D" w14:textId="77777777" w:rsidR="00DF2332" w:rsidRPr="00DF2332" w:rsidRDefault="00DF2332" w:rsidP="00DF2332">
            <w:pPr>
              <w:spacing w:after="120"/>
              <w:rPr>
                <w:rFonts w:ascii="Arial Narrow" w:hAnsi="Arial Narrow"/>
                <w:lang w:eastAsia="ja-JP"/>
              </w:rPr>
            </w:pPr>
            <w:r w:rsidRPr="00DF2332">
              <w:rPr>
                <w:rFonts w:ascii="Arial Narrow" w:hAnsi="Arial Narrow"/>
                <w:lang w:eastAsia="ja-JP"/>
              </w:rPr>
              <w:t>A maximum of two procedures per year.</w:t>
            </w:r>
          </w:p>
          <w:p w14:paraId="518357CB" w14:textId="77777777" w:rsidR="00DF2332" w:rsidRPr="00DF2332" w:rsidRDefault="00DF2332" w:rsidP="00DF2332">
            <w:pPr>
              <w:spacing w:after="120"/>
              <w:rPr>
                <w:rFonts w:ascii="Arial Narrow" w:hAnsi="Arial Narrow"/>
                <w:lang w:eastAsia="ja-JP"/>
              </w:rPr>
            </w:pPr>
            <w:r w:rsidRPr="00DF2332">
              <w:rPr>
                <w:rFonts w:ascii="Arial Narrow" w:hAnsi="Arial Narrow"/>
                <w:lang w:eastAsia="ja-JP"/>
              </w:rPr>
              <w:t>(Anaes.)</w:t>
            </w:r>
          </w:p>
          <w:p w14:paraId="40C3785B" w14:textId="36CBD68C" w:rsidR="001B3F69" w:rsidRPr="006927EE" w:rsidRDefault="00DF2332" w:rsidP="00DF2332">
            <w:pPr>
              <w:spacing w:after="120"/>
              <w:rPr>
                <w:rFonts w:ascii="Arial Narrow" w:hAnsi="Arial Narrow"/>
                <w:lang w:eastAsia="ja-JP"/>
              </w:rPr>
            </w:pPr>
            <w:r w:rsidRPr="00DF2332">
              <w:rPr>
                <w:rFonts w:ascii="Arial Narrow" w:hAnsi="Arial Narrow"/>
                <w:lang w:eastAsia="ja-JP"/>
              </w:rPr>
              <w:t>Multiple operations rule.</w:t>
            </w:r>
          </w:p>
        </w:tc>
      </w:tr>
      <w:tr w:rsidR="001B3F69" w:rsidRPr="005D749D" w14:paraId="7C528CCF" w14:textId="77777777" w:rsidTr="006D10FC">
        <w:tc>
          <w:tcPr>
            <w:tcW w:w="5000" w:type="pct"/>
            <w:tcBorders>
              <w:top w:val="single" w:sz="4" w:space="0" w:color="000000"/>
              <w:left w:val="single" w:sz="4" w:space="0" w:color="000000"/>
              <w:bottom w:val="single" w:sz="4" w:space="0" w:color="000000"/>
              <w:right w:val="single" w:sz="4" w:space="0" w:color="000000"/>
            </w:tcBorders>
            <w:vAlign w:val="center"/>
            <w:hideMark/>
          </w:tcPr>
          <w:p w14:paraId="114AC41F" w14:textId="3AD38BB2" w:rsidR="001B3F69" w:rsidRPr="005D749D" w:rsidRDefault="001B3F69" w:rsidP="006D10FC">
            <w:pPr>
              <w:pStyle w:val="TableText"/>
            </w:pPr>
            <w:r w:rsidRPr="005D749D">
              <w:t xml:space="preserve">Fee: </w:t>
            </w:r>
            <w:r w:rsidRPr="001B3F69">
              <w:rPr>
                <w:bCs/>
              </w:rPr>
              <w:t>$618.91 Benefit: 75% = $464.18</w:t>
            </w:r>
          </w:p>
        </w:tc>
      </w:tr>
    </w:tbl>
    <w:bookmarkEnd w:id="15"/>
    <w:bookmarkEnd w:id="16"/>
    <w:bookmarkEnd w:id="17"/>
    <w:bookmarkEnd w:id="18"/>
    <w:bookmarkEnd w:id="19"/>
    <w:p w14:paraId="5B94C4F2" w14:textId="0662A0B3" w:rsidR="00F718CF" w:rsidRDefault="00F718CF" w:rsidP="0015035D">
      <w:pPr>
        <w:spacing w:before="240" w:after="240"/>
      </w:pPr>
      <w:r>
        <w:t xml:space="preserve">The procedure is intended </w:t>
      </w:r>
      <w:r w:rsidR="007050CC">
        <w:t xml:space="preserve">to be performed by </w:t>
      </w:r>
      <w:r>
        <w:t>a specialist skilled in e</w:t>
      </w:r>
      <w:r w:rsidRPr="00F718CF">
        <w:t>ndoscopic retrograde cholangiopancreatography</w:t>
      </w:r>
      <w:r>
        <w:t xml:space="preserve"> (ERCP</w:t>
      </w:r>
      <w:r w:rsidR="00D82A74">
        <w:t>; most commonly a gastroenterologist or surgical endoscopist</w:t>
      </w:r>
      <w:r w:rsidR="007050CC">
        <w:t>).</w:t>
      </w:r>
      <w:r w:rsidR="005D7DF4">
        <w:t xml:space="preserve"> </w:t>
      </w:r>
      <w:r w:rsidR="007050CC">
        <w:t xml:space="preserve">Consistent with the </w:t>
      </w:r>
      <w:hyperlink r:id="rId9" w:history="1">
        <w:r w:rsidR="007050CC" w:rsidRPr="007050CC">
          <w:rPr>
            <w:rStyle w:val="Hyperlink"/>
          </w:rPr>
          <w:t>Ratified PICO</w:t>
        </w:r>
      </w:hyperlink>
      <w:r w:rsidR="007050CC">
        <w:t xml:space="preserve"> (p20, Application 1673)</w:t>
      </w:r>
      <w:r w:rsidR="00893999">
        <w:t>,</w:t>
      </w:r>
      <w:r w:rsidR="007050CC">
        <w:t xml:space="preserve"> </w:t>
      </w:r>
      <w:r w:rsidR="00414F66">
        <w:t>the service</w:t>
      </w:r>
      <w:r>
        <w:t xml:space="preserve"> </w:t>
      </w:r>
      <w:r w:rsidR="007050CC">
        <w:t xml:space="preserve">is </w:t>
      </w:r>
      <w:r>
        <w:t>not restricted to any centre or a particular specialist group.</w:t>
      </w:r>
    </w:p>
    <w:p w14:paraId="1C3EF16E" w14:textId="073D9A2D" w:rsidR="00357B7C" w:rsidRDefault="000523BA" w:rsidP="001F621F">
      <w:pPr>
        <w:spacing w:after="240"/>
      </w:pPr>
      <w:r>
        <w:t xml:space="preserve">The proposed fee represents 228% of existing MBS fee for ERCP (item 30484) for the therapeutic application and 163% of this MBS </w:t>
      </w:r>
      <w:r w:rsidR="005C5E49">
        <w:t>fee</w:t>
      </w:r>
      <w:r>
        <w:t xml:space="preserve"> for the investigative application.</w:t>
      </w:r>
      <w:r w:rsidR="006D2DB5">
        <w:t xml:space="preserve"> </w:t>
      </w:r>
      <w:r w:rsidR="00357B7C" w:rsidRPr="00414F66">
        <w:t xml:space="preserve">PASC requested further justification for the proposed MBS fees but </w:t>
      </w:r>
      <w:r w:rsidR="004C0916">
        <w:t xml:space="preserve">this </w:t>
      </w:r>
      <w:r w:rsidR="00357B7C" w:rsidRPr="00414F66">
        <w:t xml:space="preserve">was not provided in the ADAR. The ADAR referenced the Alberta Health Services reimbursement fees and a study by </w:t>
      </w:r>
      <w:r w:rsidR="00357B7C" w:rsidRPr="00414F66">
        <w:fldChar w:fldCharType="begin"/>
      </w:r>
      <w:r w:rsidR="00357B7C" w:rsidRPr="00414F66">
        <w:instrText xml:space="preserve"> ADDIN EN.CITE &lt;EndNote&gt;&lt;Cite AuthorYear="1"&gt;&lt;Author&gt;Sandha&lt;/Author&gt;&lt;Year&gt;2018&lt;/Year&gt;&lt;RecNum&gt;65&lt;/RecNum&gt;&lt;DisplayText&gt;Sandha et al. (2018)&lt;/DisplayText&gt;&lt;record&gt;&lt;rec-number&gt;65&lt;/rec-number&gt;&lt;foreign-keys&gt;&lt;key app="EN" db-id="xrd5xtv9xdvftxetprq5st9c5trzx5z2xzpp" timestamp="1633407184"&gt;65&lt;/key&gt;&lt;/foreign-keys&gt;&lt;ref-type name="Journal Article"&gt;17&lt;/ref-type&gt;&lt;contributors&gt;&lt;authors&gt;&lt;author&gt;Sandha, Jaskiran&lt;/author&gt;&lt;author&gt;van Zanten, Sander Veldhuyzen&lt;/author&gt;&lt;author&gt;Sandha, Gurpal&lt;/author&gt;&lt;/authors&gt;&lt;/contributors&gt;&lt;titles&gt;&lt;title&gt;The Safety and Efficacy of Single-Operator Cholangioscopy in the Treatment of Difficult Common Bile Duct Stones after Failed Conventional ERCP&lt;/title&gt;&lt;secondary-title&gt;Journal of the Canadian Association of </w:instrText>
      </w:r>
      <w:r w:rsidR="00357B7C" w:rsidRPr="00414F66">
        <w:lastRenderedPageBreak/>
        <w:instrText>Gastroenterology&lt;/secondary-title&gt;&lt;/titles&gt;&lt;periodical&gt;&lt;full-title&gt;Journal of the Canadian Association of Gastroenterology&lt;/full-title&gt;&lt;/periodical&gt;&lt;pages&gt;181-190&lt;/pages&gt;&lt;volume&gt;1&lt;/volume&gt;&lt;number&gt;4&lt;/number&gt;&lt;dates&gt;&lt;year&gt;2018&lt;/year&gt;&lt;/dates&gt;&lt;isbn&gt;2515-2084&lt;/isbn&gt;&lt;urls&gt;&lt;related-urls&gt;&lt;url&gt;https://doi.org/10.1093/jcag/gwy021&lt;/url&gt;&lt;url&gt;https://www.ncbi.nlm.nih.gov/pmc/articles/PMC6530813/pdf/gwy021.pdf&lt;/url&gt;&lt;/related-urls&gt;&lt;/urls&gt;&lt;electronic-resource-num&gt;10.1093/jcag/gwy021&lt;/electronic-resource-num&gt;&lt;access-date&gt;2/21/2021&lt;/access-date&gt;&lt;/record&gt;&lt;/Cite&gt;&lt;/EndNote&gt;</w:instrText>
      </w:r>
      <w:r w:rsidR="00357B7C" w:rsidRPr="00414F66">
        <w:fldChar w:fldCharType="separate"/>
      </w:r>
      <w:r w:rsidR="00357B7C" w:rsidRPr="00414F66">
        <w:rPr>
          <w:noProof/>
        </w:rPr>
        <w:t>Sandha et al. (2018)</w:t>
      </w:r>
      <w:r w:rsidR="00357B7C" w:rsidRPr="00414F66">
        <w:fldChar w:fldCharType="end"/>
      </w:r>
      <w:r w:rsidR="00357B7C" w:rsidRPr="00414F66">
        <w:t xml:space="preserve">, however, </w:t>
      </w:r>
      <w:r w:rsidR="004C0916">
        <w:t xml:space="preserve">the </w:t>
      </w:r>
      <w:r w:rsidR="00357B7C" w:rsidRPr="00414F66">
        <w:t xml:space="preserve">basis for these claims could not be verified in the referenced publication. </w:t>
      </w:r>
      <w:r w:rsidR="00357B7C">
        <w:t xml:space="preserve">The applicant’s pre-ESC response emphasised that its advisory board confirmed the </w:t>
      </w:r>
      <w:r w:rsidR="00357B7C" w:rsidRPr="009462E6">
        <w:t>greater procedural complexity of POCPS compared to standard ERCP</w:t>
      </w:r>
      <w:r w:rsidR="00357B7C">
        <w:t>. A list of complexity levels for ERCP</w:t>
      </w:r>
      <w:r w:rsidR="00357B7C" w:rsidRPr="009462E6">
        <w:t xml:space="preserve"> </w:t>
      </w:r>
      <w:r w:rsidR="00357B7C">
        <w:t xml:space="preserve">by the </w:t>
      </w:r>
      <w:r w:rsidR="00357B7C" w:rsidRPr="009462E6">
        <w:t xml:space="preserve">American Society for Gastrointestinal Endoscopy (ASGE) </w:t>
      </w:r>
      <w:r w:rsidR="00357B7C">
        <w:t xml:space="preserve">was provided (Sahar 2019). </w:t>
      </w:r>
    </w:p>
    <w:p w14:paraId="3CF53812" w14:textId="43EDFE3B" w:rsidR="000523BA" w:rsidRDefault="006D2DB5" w:rsidP="001F621F">
      <w:pPr>
        <w:spacing w:after="240"/>
      </w:pPr>
      <w:r>
        <w:t>The pre-MSAC response provided further rationale for the fee. This included:</w:t>
      </w:r>
    </w:p>
    <w:p w14:paraId="04C187B4" w14:textId="67F12F86" w:rsidR="006D2DB5" w:rsidRDefault="006D2DB5" w:rsidP="006D2DB5">
      <w:pPr>
        <w:pStyle w:val="ListParagraph"/>
        <w:numPr>
          <w:ilvl w:val="0"/>
          <w:numId w:val="31"/>
        </w:numPr>
        <w:spacing w:after="240"/>
      </w:pPr>
      <w:r>
        <w:t xml:space="preserve">Reiterating that </w:t>
      </w:r>
      <w:r w:rsidRPr="006D2DB5">
        <w:t>POCPS has increased procedural complexity compared to standard ERC</w:t>
      </w:r>
      <w:r>
        <w:t xml:space="preserve">P. The pre-MSAC response considered that this was supported by clinical guidelines, consensus statements, classifications for ERCP procedures, and consultation feedback. </w:t>
      </w:r>
    </w:p>
    <w:p w14:paraId="3298F417" w14:textId="78CA19B5" w:rsidR="006D2DB5" w:rsidRDefault="006D2DB5" w:rsidP="006D2DB5">
      <w:pPr>
        <w:pStyle w:val="ListParagraph"/>
        <w:numPr>
          <w:ilvl w:val="0"/>
          <w:numId w:val="31"/>
        </w:numPr>
        <w:spacing w:after="240"/>
      </w:pPr>
      <w:r w:rsidRPr="006D2DB5">
        <w:t xml:space="preserve">MBS </w:t>
      </w:r>
      <w:r>
        <w:t>items for urological procedures</w:t>
      </w:r>
      <w:r w:rsidRPr="006D2DB5">
        <w:t xml:space="preserve"> have higher reimbursement for direct visualisation in combination with biopsy or EHL/LL</w:t>
      </w:r>
      <w:r>
        <w:t xml:space="preserve">. </w:t>
      </w:r>
    </w:p>
    <w:p w14:paraId="054DA48A" w14:textId="58802DF0" w:rsidR="006927EE" w:rsidRPr="006E04A6" w:rsidRDefault="006927EE" w:rsidP="005F32D2">
      <w:pPr>
        <w:spacing w:after="240"/>
      </w:pPr>
      <w:r w:rsidRPr="006E04A6">
        <w:t xml:space="preserve">The </w:t>
      </w:r>
      <w:r w:rsidR="003579CF" w:rsidRPr="006E04A6">
        <w:t>ADAR</w:t>
      </w:r>
      <w:r w:rsidRPr="006E04A6">
        <w:t xml:space="preserve"> </w:t>
      </w:r>
      <w:r w:rsidR="006E04A6" w:rsidRPr="006E04A6">
        <w:t xml:space="preserve">omitted </w:t>
      </w:r>
      <w:r w:rsidRPr="006E04A6">
        <w:t xml:space="preserve">components </w:t>
      </w:r>
      <w:r w:rsidR="006E04A6" w:rsidRPr="006E04A6">
        <w:t xml:space="preserve">of the MBS item descriptor </w:t>
      </w:r>
      <w:r w:rsidRPr="006E04A6">
        <w:t>in the Ratified PICO</w:t>
      </w:r>
      <w:r w:rsidR="006E04A6" w:rsidRPr="006E04A6">
        <w:t xml:space="preserve">. </w:t>
      </w:r>
      <w:r w:rsidR="0027344B">
        <w:t xml:space="preserve">The pre-ESC response </w:t>
      </w:r>
      <w:r w:rsidR="0027344B" w:rsidRPr="0027344B">
        <w:t>confirm</w:t>
      </w:r>
      <w:r w:rsidR="0027344B">
        <w:t>ed</w:t>
      </w:r>
      <w:r w:rsidR="0027344B" w:rsidRPr="0027344B">
        <w:t xml:space="preserve"> the criteria agreed upon in the Ratified PICO and accept</w:t>
      </w:r>
      <w:r w:rsidR="0027344B">
        <w:t>ed</w:t>
      </w:r>
      <w:r w:rsidR="0027344B" w:rsidRPr="0027344B">
        <w:t xml:space="preserve"> the amendments suggested </w:t>
      </w:r>
      <w:r w:rsidR="0027344B">
        <w:t>in the commentary</w:t>
      </w:r>
      <w:r w:rsidR="0027344B" w:rsidRPr="0027344B">
        <w:t xml:space="preserve"> including adding the Multiple Operation Rule, a maximum of three procedures in any 12-month period for therapeutic POCPS and a maximum of two procedures in any 12-month period for diagnostic POCPS.</w:t>
      </w:r>
      <w:r w:rsidR="005F32D2">
        <w:t xml:space="preserve"> In the Ratified PICO, PASC agreed to a limit of two POCPS per year for indeterminate biliary strictures as this will allow for repeat POCPS for ongoing surveillance of </w:t>
      </w:r>
      <w:r w:rsidR="005F32D2" w:rsidRPr="005F32D2">
        <w:t>primary sclerosing cholangitis (PSC)</w:t>
      </w:r>
      <w:r w:rsidR="005F32D2">
        <w:t xml:space="preserve"> patients who have a high risk of </w:t>
      </w:r>
      <w:r w:rsidR="005F32D2" w:rsidRPr="005F32D2">
        <w:t>cholangiocarcinoma</w:t>
      </w:r>
      <w:r w:rsidR="005F32D2">
        <w:t xml:space="preserve">. For difficult biliary stones, PASC determined that a maximum of three procedures per year will be allowed because the implication to the patient if the stone is not removed is that they will require surgery. </w:t>
      </w:r>
    </w:p>
    <w:p w14:paraId="42025234" w14:textId="3125EF6E" w:rsidR="006E04A6" w:rsidRDefault="57C2149B" w:rsidP="67B645D6">
      <w:pPr>
        <w:spacing w:after="240"/>
      </w:pPr>
      <w:r w:rsidRPr="006E04A6">
        <w:t>PASC expressed concerns about large out-of-pocket costs incurred by the patients with the inclusion of consumables and disposables considered for each procedure.</w:t>
      </w:r>
      <w:r w:rsidRPr="67B645D6">
        <w:rPr>
          <w:i/>
          <w:iCs/>
        </w:rPr>
        <w:t xml:space="preserve"> </w:t>
      </w:r>
      <w:r w:rsidR="006E04A6">
        <w:t xml:space="preserve">The ADAR considered the cost of </w:t>
      </w:r>
      <w:r w:rsidR="006E04A6" w:rsidRPr="006E04A6">
        <w:t>capital equipment and consumables are expected to primarily be funded by private health insurers</w:t>
      </w:r>
      <w:r w:rsidR="006E04A6">
        <w:t xml:space="preserve">. The commentary noted that although there were incremental cost savings per patient with POCPS for both applications (therapeutic and investigative), the commentary considered </w:t>
      </w:r>
      <w:r w:rsidR="006E04A6" w:rsidRPr="006E04A6">
        <w:t>that the per patient out-of-pocket costs are likely to be larger with the inclusion of capital, consumables, and additional hospital costs. The largest difference in cost with the inclusion of capital equipment and consumables between the intervention and comparator arms is the inclusion of SpyGlass equipment, where the SpyGlass DS II Catheter is $2,500 alone (which is not required in the ERCP procedure).</w:t>
      </w:r>
      <w:r w:rsidR="006E04A6">
        <w:rPr>
          <w:i/>
          <w:iCs/>
        </w:rPr>
        <w:t xml:space="preserve"> </w:t>
      </w:r>
      <w:r w:rsidR="006E04A6">
        <w:t xml:space="preserve"> The pre-ESC response reaffirmed that </w:t>
      </w:r>
      <w:r w:rsidR="006E04A6" w:rsidRPr="006E04A6">
        <w:t>the costs of consumables and capital equipment are absorbed by the hospital budget</w:t>
      </w:r>
      <w:r w:rsidR="006E04A6">
        <w:t>s</w:t>
      </w:r>
      <w:r w:rsidR="006E04A6" w:rsidRPr="006E04A6">
        <w:t>, with minimal out-of-pocket costs incurred by patients.</w:t>
      </w:r>
    </w:p>
    <w:p w14:paraId="55D754C7" w14:textId="40DC3839" w:rsidR="00A3206A" w:rsidRPr="00A3206A" w:rsidRDefault="00D01DCD" w:rsidP="00A3206A">
      <w:pPr>
        <w:spacing w:after="240"/>
      </w:pPr>
      <w:r>
        <w:t>ESC noted that there were differences in the capital and consumable equipment outlined in the ADAR, the SpyGlass Brochure</w:t>
      </w:r>
      <w:r w:rsidR="002837E4">
        <w:t>, and the American Society for Gastrointestinal Endoscopy (ASGE) Technology Committee’s 2016 Status Evaluation Report on c</w:t>
      </w:r>
      <w:r w:rsidR="002837E4" w:rsidRPr="002837E4">
        <w:t>holangiopancreatoscopy</w:t>
      </w:r>
      <w:r w:rsidR="002837E4">
        <w:t xml:space="preserve"> (</w:t>
      </w:r>
      <w:r w:rsidR="002837E4">
        <w:fldChar w:fldCharType="begin"/>
      </w:r>
      <w:r w:rsidR="002837E4">
        <w:instrText xml:space="preserve"> REF _Ref97295695 \h </w:instrText>
      </w:r>
      <w:r w:rsidR="002837E4">
        <w:fldChar w:fldCharType="separate"/>
      </w:r>
      <w:r w:rsidR="00D422BC">
        <w:t xml:space="preserve">Table </w:t>
      </w:r>
      <w:r w:rsidR="00D422BC">
        <w:rPr>
          <w:noProof/>
        </w:rPr>
        <w:t>4</w:t>
      </w:r>
      <w:r w:rsidR="002837E4">
        <w:fldChar w:fldCharType="end"/>
      </w:r>
      <w:r w:rsidR="002837E4">
        <w:t>)</w:t>
      </w:r>
      <w:r w:rsidR="002837E4" w:rsidRPr="002837E4">
        <w:t>.</w:t>
      </w:r>
      <w:r w:rsidR="002837E4">
        <w:t xml:space="preserve"> ESC noted that there were updates to the technology in 2018 which could account for the differences. </w:t>
      </w:r>
      <w:r w:rsidR="00E37D32">
        <w:t>This was addressed in the applicant’s</w:t>
      </w:r>
      <w:r w:rsidR="002837E4">
        <w:t xml:space="preserve"> pre-</w:t>
      </w:r>
      <w:r w:rsidR="002837E4" w:rsidRPr="00E37D32">
        <w:t>MSAC response.</w:t>
      </w:r>
      <w:r w:rsidR="002837E4">
        <w:t xml:space="preserve"> </w:t>
      </w:r>
      <w:bookmarkStart w:id="20" w:name="_Ref97295695"/>
      <w:r w:rsidR="00A3206A">
        <w:br w:type="page"/>
      </w:r>
    </w:p>
    <w:p w14:paraId="3E0813A8" w14:textId="75123064" w:rsidR="00B5779E" w:rsidRDefault="00B5779E" w:rsidP="00B5779E">
      <w:pPr>
        <w:pStyle w:val="Caption"/>
      </w:pPr>
      <w:r>
        <w:lastRenderedPageBreak/>
        <w:t xml:space="preserve">Table </w:t>
      </w:r>
      <w:fldSimple w:instr=" SEQ Table \* ARABIC ">
        <w:r w:rsidR="00D422BC">
          <w:rPr>
            <w:noProof/>
          </w:rPr>
          <w:t>4</w:t>
        </w:r>
      </w:fldSimple>
      <w:bookmarkEnd w:id="20"/>
      <w:r>
        <w:t xml:space="preserve">: Capital </w:t>
      </w:r>
      <w:r w:rsidR="00D01DCD">
        <w:t>equipment</w:t>
      </w:r>
      <w:r>
        <w:t xml:space="preserve"> and consumables for POCPS</w:t>
      </w:r>
    </w:p>
    <w:tbl>
      <w:tblPr>
        <w:tblStyle w:val="TableGrid1"/>
        <w:tblW w:w="0" w:type="auto"/>
        <w:tblCellMar>
          <w:left w:w="0" w:type="dxa"/>
          <w:right w:w="0" w:type="dxa"/>
        </w:tblCellMar>
        <w:tblLook w:val="04A0" w:firstRow="1" w:lastRow="0" w:firstColumn="1" w:lastColumn="0" w:noHBand="0" w:noVBand="1"/>
        <w:tblDescription w:val="Capital equipment and consumables for POCPS"/>
      </w:tblPr>
      <w:tblGrid>
        <w:gridCol w:w="2542"/>
        <w:gridCol w:w="2126"/>
        <w:gridCol w:w="2126"/>
        <w:gridCol w:w="2212"/>
      </w:tblGrid>
      <w:tr w:rsidR="00D01DCD" w:rsidRPr="00D01DCD" w14:paraId="76D7212F" w14:textId="77777777" w:rsidTr="00E37D32">
        <w:trPr>
          <w:cnfStyle w:val="100000000000" w:firstRow="1" w:lastRow="0" w:firstColumn="0" w:lastColumn="0" w:oddVBand="0" w:evenVBand="0" w:oddHBand="0" w:evenHBand="0" w:firstRowFirstColumn="0" w:firstRowLastColumn="0" w:lastRowFirstColumn="0" w:lastRowLastColumn="0"/>
        </w:trPr>
        <w:tc>
          <w:tcPr>
            <w:tcW w:w="25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A1E929" w14:textId="2BF5BFE3" w:rsidR="00B5779E" w:rsidRPr="00E37D32" w:rsidRDefault="00B5779E" w:rsidP="00B5779E">
            <w:pPr>
              <w:pStyle w:val="TableHeadingCA"/>
              <w:spacing w:before="60"/>
              <w:rPr>
                <w:vertAlign w:val="superscript"/>
              </w:rPr>
            </w:pPr>
            <w:r w:rsidRPr="00E37D32">
              <w:t xml:space="preserve">Item </w:t>
            </w:r>
            <w:r w:rsidRPr="00E37D32">
              <w:rPr>
                <w:vertAlign w:val="superscript"/>
              </w:rPr>
              <w:t>a</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7A7E46" w14:textId="77777777" w:rsidR="00B5779E" w:rsidRPr="00E37D32" w:rsidRDefault="00B5779E" w:rsidP="00B5779E">
            <w:pPr>
              <w:pStyle w:val="TableHeadingCA"/>
              <w:spacing w:before="60"/>
            </w:pPr>
            <w:r w:rsidRPr="00E37D32">
              <w:t>ADAR</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4AF5A3" w14:textId="459C1044" w:rsidR="00B5779E" w:rsidRPr="00E37D32" w:rsidRDefault="00B5779E" w:rsidP="00B5779E">
            <w:pPr>
              <w:pStyle w:val="TableHeadingCA"/>
              <w:spacing w:before="60"/>
            </w:pPr>
            <w:r w:rsidRPr="00E37D32">
              <w:t>SpyGlass Brochure</w:t>
            </w:r>
          </w:p>
        </w:tc>
        <w:tc>
          <w:tcPr>
            <w:tcW w:w="22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BE2D28" w14:textId="29B0B40A" w:rsidR="00B5779E" w:rsidRPr="00E37D32" w:rsidRDefault="00B5779E" w:rsidP="00B5779E">
            <w:pPr>
              <w:pStyle w:val="TableHeadingCA"/>
              <w:spacing w:before="60"/>
            </w:pPr>
            <w:r w:rsidRPr="00E37D32">
              <w:t>ASGE 2016</w:t>
            </w:r>
          </w:p>
        </w:tc>
      </w:tr>
      <w:tr w:rsidR="00D01DCD" w:rsidRPr="00E37D32" w14:paraId="08B89A92" w14:textId="77777777" w:rsidTr="00E37D32">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20F71E" w14:textId="77777777" w:rsidR="00D01DCD" w:rsidRPr="00E37D32" w:rsidRDefault="00D01DCD" w:rsidP="00D01DCD">
            <w:pPr>
              <w:pStyle w:val="Tabletext0"/>
            </w:pPr>
            <w:r w:rsidRPr="00E37D32">
              <w:t xml:space="preserve">SpyGlass DS Digital Controller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29B51B3B" w14:textId="04EF00BF" w:rsidR="00D01DCD" w:rsidRPr="00E37D32" w:rsidRDefault="00D01DCD" w:rsidP="00D01DCD">
            <w:pPr>
              <w:pStyle w:val="Tabletext0"/>
            </w:pPr>
            <w:r w:rsidRPr="00E37D32">
              <w:t>Yes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23E27E67" w14:textId="5BDFB822" w:rsidR="00D01DCD" w:rsidRPr="00E37D32" w:rsidRDefault="00D01DCD" w:rsidP="00D01DCD">
            <w:pPr>
              <w:pStyle w:val="Tabletext0"/>
            </w:pPr>
            <w:r w:rsidRPr="00E37D32">
              <w:t>Yes</w:t>
            </w: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14:paraId="4317F256" w14:textId="4AC1FD79" w:rsidR="00D01DCD" w:rsidRPr="00E37D32" w:rsidRDefault="00D01DCD" w:rsidP="00D01DCD">
            <w:pPr>
              <w:pStyle w:val="Tabletext0"/>
            </w:pPr>
            <w:r w:rsidRPr="00E37D32">
              <w:t xml:space="preserve">Yes </w:t>
            </w:r>
          </w:p>
        </w:tc>
      </w:tr>
      <w:tr w:rsidR="00D01DCD" w:rsidRPr="00E37D32" w14:paraId="35926A12" w14:textId="77777777" w:rsidTr="00E37D32">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E97E6" w14:textId="77777777" w:rsidR="00D01DCD" w:rsidRPr="00E37D32" w:rsidRDefault="00D01DCD" w:rsidP="00D01DCD">
            <w:pPr>
              <w:pStyle w:val="Tabletext0"/>
            </w:pPr>
            <w:r w:rsidRPr="00E37D32">
              <w:t>Autolith Generator</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23E629A0" w14:textId="5619BC7E" w:rsidR="00D01DCD" w:rsidRPr="00E37D32" w:rsidRDefault="00D01DCD" w:rsidP="00D01DCD">
            <w:pPr>
              <w:pStyle w:val="Tabletext0"/>
            </w:pPr>
            <w:r w:rsidRPr="00E37D32">
              <w:t>Yes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4FD79526" w14:textId="31467CFD" w:rsidR="00D01DCD" w:rsidRPr="00E37D32" w:rsidRDefault="00D01DCD" w:rsidP="00D01DCD">
            <w:pPr>
              <w:pStyle w:val="Tabletext0"/>
            </w:pPr>
            <w:r w:rsidRPr="00E37D32">
              <w:t>Yes</w:t>
            </w: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14:paraId="1C81AB39" w14:textId="30C8A581" w:rsidR="00D01DCD" w:rsidRPr="00E37D32" w:rsidRDefault="00D01DCD" w:rsidP="00D01DCD">
            <w:pPr>
              <w:pStyle w:val="Tabletext0"/>
            </w:pPr>
            <w:r w:rsidRPr="00E37D32">
              <w:t xml:space="preserve">Yes </w:t>
            </w:r>
            <w:r w:rsidR="002837E4" w:rsidRPr="00E37D32">
              <w:rPr>
                <w:vertAlign w:val="superscript"/>
              </w:rPr>
              <w:t>b</w:t>
            </w:r>
            <w:r w:rsidR="002837E4" w:rsidRPr="00E37D32">
              <w:t xml:space="preserve"> </w:t>
            </w:r>
          </w:p>
        </w:tc>
      </w:tr>
      <w:tr w:rsidR="00D01DCD" w:rsidRPr="00E37D32" w14:paraId="5BF1B17F" w14:textId="77777777" w:rsidTr="00E37D32">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FC0F80" w14:textId="77777777" w:rsidR="00D01DCD" w:rsidRPr="00E37D32" w:rsidRDefault="00D01DCD" w:rsidP="00D01DCD">
            <w:pPr>
              <w:pStyle w:val="Tabletext0"/>
            </w:pPr>
            <w:r w:rsidRPr="00E37D32">
              <w:t>SpyGlass DS II catheter</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CEB8EF8" w14:textId="090C281C" w:rsidR="00D01DCD" w:rsidRPr="00E37D32" w:rsidRDefault="00D01DCD" w:rsidP="00D01DCD">
            <w:pPr>
              <w:pStyle w:val="Tabletext0"/>
            </w:pPr>
            <w:r w:rsidRPr="00E37D32">
              <w:t>Yes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3D8A864" w14:textId="1236DC2A" w:rsidR="00D01DCD" w:rsidRPr="00E37D32" w:rsidRDefault="00D01DCD" w:rsidP="00D01DCD">
            <w:pPr>
              <w:pStyle w:val="Tabletext0"/>
            </w:pPr>
            <w:r w:rsidRPr="00E37D32">
              <w:t>Yes (2 versions)</w:t>
            </w: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14:paraId="59C0FE89" w14:textId="0F25E925" w:rsidR="00D01DCD" w:rsidRPr="00E37D32" w:rsidRDefault="00D01DCD" w:rsidP="00D01DCD">
            <w:pPr>
              <w:pStyle w:val="Tabletext0"/>
            </w:pPr>
            <w:r w:rsidRPr="00E37D32">
              <w:t xml:space="preserve">Yes </w:t>
            </w:r>
          </w:p>
        </w:tc>
      </w:tr>
      <w:tr w:rsidR="00D01DCD" w:rsidRPr="00E37D32" w14:paraId="4FED3013" w14:textId="77777777" w:rsidTr="00E37D32">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334C45" w14:textId="77777777" w:rsidR="00D01DCD" w:rsidRPr="00E37D32" w:rsidRDefault="00D01DCD" w:rsidP="00D01DCD">
            <w:pPr>
              <w:pStyle w:val="Tabletext0"/>
            </w:pPr>
            <w:r w:rsidRPr="00E37D32">
              <w:t>Autolith EHL probe / laser fibre</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6501EBEC" w14:textId="5C4962C5" w:rsidR="00D01DCD" w:rsidRPr="00E37D32" w:rsidRDefault="00D01DCD" w:rsidP="00D01DCD">
            <w:pPr>
              <w:pStyle w:val="Tabletext0"/>
            </w:pPr>
            <w:r w:rsidRPr="00E37D32">
              <w:t>Yes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15C4BC6A" w14:textId="686792E9" w:rsidR="00D01DCD" w:rsidRPr="00E37D32" w:rsidRDefault="00D01DCD" w:rsidP="00D01DCD">
            <w:pPr>
              <w:pStyle w:val="Tabletext0"/>
            </w:pPr>
            <w:r w:rsidRPr="00E37D32">
              <w:t>Yes</w:t>
            </w: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14:paraId="377CF5C4" w14:textId="7EEEF8B8" w:rsidR="00D01DCD" w:rsidRPr="00E37D32" w:rsidRDefault="00D01DCD" w:rsidP="00D01DCD">
            <w:pPr>
              <w:pStyle w:val="Tabletext0"/>
            </w:pPr>
            <w:r w:rsidRPr="00E37D32">
              <w:t xml:space="preserve">Yes </w:t>
            </w:r>
            <w:r w:rsidR="002837E4" w:rsidRPr="00E37D32">
              <w:rPr>
                <w:vertAlign w:val="superscript"/>
              </w:rPr>
              <w:t>b</w:t>
            </w:r>
            <w:r w:rsidR="002837E4" w:rsidRPr="00E37D32">
              <w:t xml:space="preserve"> </w:t>
            </w:r>
          </w:p>
        </w:tc>
      </w:tr>
      <w:tr w:rsidR="00D01DCD" w:rsidRPr="00E37D32" w14:paraId="33F6E281" w14:textId="77777777" w:rsidTr="00E37D32">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5A3ADE" w14:textId="77777777" w:rsidR="00D01DCD" w:rsidRPr="00E37D32" w:rsidRDefault="00D01DCD" w:rsidP="00D01DCD">
            <w:pPr>
              <w:pStyle w:val="Tabletext0"/>
            </w:pPr>
            <w:r w:rsidRPr="00E37D32">
              <w:t>SpyBite Max biopsy forcep</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5913B0D" w14:textId="08E86A89" w:rsidR="00D01DCD" w:rsidRPr="00E37D32" w:rsidRDefault="00D01DCD" w:rsidP="00D01DCD">
            <w:pPr>
              <w:pStyle w:val="Tabletext0"/>
            </w:pPr>
            <w:r w:rsidRPr="00E37D32">
              <w:t>Yes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5F934AD8" w14:textId="70F2399D" w:rsidR="00D01DCD" w:rsidRPr="00E37D32" w:rsidRDefault="00D01DCD" w:rsidP="00D01DCD">
            <w:pPr>
              <w:pStyle w:val="Tabletext0"/>
            </w:pPr>
            <w:r w:rsidRPr="00E37D32">
              <w:t>Yes</w:t>
            </w: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14:paraId="30AB3AAE" w14:textId="43FCF801" w:rsidR="00D01DCD" w:rsidRPr="00E37D32" w:rsidRDefault="00D01DCD" w:rsidP="00D01DCD">
            <w:pPr>
              <w:pStyle w:val="Tabletext0"/>
            </w:pPr>
            <w:r w:rsidRPr="00E37D32">
              <w:t>Yes</w:t>
            </w:r>
          </w:p>
        </w:tc>
      </w:tr>
      <w:tr w:rsidR="00D01DCD" w:rsidRPr="00E37D32" w14:paraId="43F80CB0" w14:textId="77777777" w:rsidTr="00E37D32">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C38AB" w14:textId="77777777" w:rsidR="00D01DCD" w:rsidRPr="00E37D32" w:rsidRDefault="00D01DCD" w:rsidP="00D01DCD">
            <w:pPr>
              <w:pStyle w:val="Tabletext0"/>
            </w:pPr>
            <w:r w:rsidRPr="00E37D32">
              <w:t>SpyGlass Retrieval Basket</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69F6CEBC" w14:textId="181AF764" w:rsidR="00D01DCD" w:rsidRPr="00E37D32" w:rsidRDefault="00D01DCD" w:rsidP="00D01DCD">
            <w:pPr>
              <w:pStyle w:val="Tabletext0"/>
            </w:pPr>
            <w:r w:rsidRPr="00E37D32">
              <w:t>No</w:t>
            </w:r>
            <w:r w:rsidR="00E37D32">
              <w:t xml:space="preserve"> (optional, rarely used)</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3C66019A" w14:textId="6944A8F6" w:rsidR="00D01DCD" w:rsidRPr="00E37D32" w:rsidRDefault="00D01DCD" w:rsidP="00D01DCD">
            <w:pPr>
              <w:pStyle w:val="Tabletext0"/>
            </w:pPr>
            <w:r w:rsidRPr="00E37D32">
              <w:t>Yes</w:t>
            </w: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14:paraId="30583BBA" w14:textId="59C6FD28" w:rsidR="00D01DCD" w:rsidRPr="00E37D32" w:rsidRDefault="00D01DCD" w:rsidP="00D01DCD">
            <w:pPr>
              <w:pStyle w:val="Tabletext0"/>
            </w:pPr>
            <w:r w:rsidRPr="00E37D32">
              <w:t>No</w:t>
            </w:r>
          </w:p>
        </w:tc>
      </w:tr>
      <w:tr w:rsidR="00D01DCD" w:rsidRPr="00E37D32" w14:paraId="0457C6E8" w14:textId="77777777" w:rsidTr="00E37D32">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0B85AB" w14:textId="77777777" w:rsidR="00D01DCD" w:rsidRPr="00E37D32" w:rsidRDefault="00D01DCD" w:rsidP="00D01DCD">
            <w:pPr>
              <w:pStyle w:val="Tabletext0"/>
            </w:pPr>
            <w:r w:rsidRPr="00E37D32">
              <w:t>SpyGlass Retrieval Snare</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3B13C0C5" w14:textId="50BE9FDF" w:rsidR="00D01DCD" w:rsidRPr="00E37D32" w:rsidRDefault="00D01DCD" w:rsidP="00D01DCD">
            <w:pPr>
              <w:pStyle w:val="Tabletext0"/>
            </w:pPr>
            <w:r w:rsidRPr="00E37D32">
              <w:t>No</w:t>
            </w:r>
            <w:r w:rsidR="00E37D32">
              <w:t xml:space="preserve"> (optional, rarely used)</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FD722A0" w14:textId="0FC1DD73" w:rsidR="00D01DCD" w:rsidRPr="00E37D32" w:rsidRDefault="00D01DCD" w:rsidP="00D01DCD">
            <w:pPr>
              <w:pStyle w:val="Tabletext0"/>
            </w:pPr>
            <w:r w:rsidRPr="00E37D32">
              <w:t>Yes</w:t>
            </w: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14:paraId="7B5844E4" w14:textId="6637291D" w:rsidR="00D01DCD" w:rsidRPr="00E37D32" w:rsidRDefault="00D01DCD" w:rsidP="00D01DCD">
            <w:pPr>
              <w:pStyle w:val="Tabletext0"/>
            </w:pPr>
            <w:r w:rsidRPr="00E37D32">
              <w:t>No</w:t>
            </w:r>
          </w:p>
        </w:tc>
      </w:tr>
      <w:tr w:rsidR="00E37D32" w:rsidRPr="00E37D32" w14:paraId="7FF2DEC6" w14:textId="77777777" w:rsidTr="00E37D32">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76714C" w14:textId="77777777" w:rsidR="00E37D32" w:rsidRPr="00E37D32" w:rsidRDefault="00E37D32" w:rsidP="00D01DCD">
            <w:pPr>
              <w:pStyle w:val="Tabletext0"/>
            </w:pPr>
            <w:r w:rsidRPr="00E37D32">
              <w:t>Autolith Touch Extender Cable</w:t>
            </w:r>
          </w:p>
        </w:tc>
        <w:tc>
          <w:tcPr>
            <w:tcW w:w="2126" w:type="dxa"/>
            <w:vMerge w:val="restart"/>
            <w:tcBorders>
              <w:top w:val="nil"/>
              <w:left w:val="nil"/>
              <w:right w:val="single" w:sz="8" w:space="0" w:color="auto"/>
            </w:tcBorders>
            <w:tcMar>
              <w:top w:w="0" w:type="dxa"/>
              <w:left w:w="108" w:type="dxa"/>
              <w:bottom w:w="0" w:type="dxa"/>
              <w:right w:w="108" w:type="dxa"/>
            </w:tcMar>
            <w:hideMark/>
          </w:tcPr>
          <w:p w14:paraId="78E5413B" w14:textId="67C4253D" w:rsidR="00E37D32" w:rsidRPr="00E37D32" w:rsidRDefault="00E37D32" w:rsidP="00D01DCD">
            <w:pPr>
              <w:pStyle w:val="Tabletext0"/>
            </w:pPr>
            <w:r>
              <w:t xml:space="preserve">Yes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0E045F5C" w14:textId="4AE96F1A" w:rsidR="00E37D32" w:rsidRPr="00E37D32" w:rsidRDefault="00E37D32" w:rsidP="00D01DCD">
            <w:pPr>
              <w:pStyle w:val="Tabletext0"/>
            </w:pPr>
            <w:r w:rsidRPr="00E37D32">
              <w:t>Yes</w:t>
            </w: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14:paraId="58CB07B0" w14:textId="10E73DB4" w:rsidR="00E37D32" w:rsidRPr="00E37D32" w:rsidRDefault="00E37D32" w:rsidP="00D01DCD">
            <w:pPr>
              <w:pStyle w:val="Tabletext0"/>
            </w:pPr>
            <w:r w:rsidRPr="00E37D32">
              <w:t>No</w:t>
            </w:r>
          </w:p>
        </w:tc>
      </w:tr>
      <w:tr w:rsidR="00E37D32" w:rsidRPr="00E37D32" w14:paraId="05C9460D" w14:textId="77777777" w:rsidTr="00E37D32">
        <w:trPr>
          <w:trHeight w:val="385"/>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594B17" w14:textId="77777777" w:rsidR="00E37D32" w:rsidRPr="00E37D32" w:rsidRDefault="00E37D32" w:rsidP="00D01DCD">
            <w:pPr>
              <w:pStyle w:val="Tabletext0"/>
            </w:pPr>
            <w:r w:rsidRPr="00E37D32">
              <w:t>Autolith Touch Foot Pedal</w:t>
            </w:r>
          </w:p>
        </w:tc>
        <w:tc>
          <w:tcPr>
            <w:tcW w:w="2126" w:type="dxa"/>
            <w:vMerge/>
            <w:tcBorders>
              <w:left w:val="nil"/>
              <w:bottom w:val="single" w:sz="8" w:space="0" w:color="auto"/>
              <w:right w:val="single" w:sz="8" w:space="0" w:color="auto"/>
            </w:tcBorders>
            <w:tcMar>
              <w:top w:w="0" w:type="dxa"/>
              <w:left w:w="108" w:type="dxa"/>
              <w:bottom w:w="0" w:type="dxa"/>
              <w:right w:w="108" w:type="dxa"/>
            </w:tcMar>
            <w:hideMark/>
          </w:tcPr>
          <w:p w14:paraId="33A28042" w14:textId="566CB65D" w:rsidR="00E37D32" w:rsidRPr="00E37D32" w:rsidRDefault="00E37D32" w:rsidP="00D01DCD">
            <w:pPr>
              <w:pStyle w:val="Tabletext0"/>
            </w:pP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C1F21B7" w14:textId="652FB2C9" w:rsidR="00E37D32" w:rsidRPr="00E37D32" w:rsidRDefault="00E37D32" w:rsidP="00D01DCD">
            <w:pPr>
              <w:pStyle w:val="Tabletext0"/>
            </w:pPr>
            <w:r w:rsidRPr="00E37D32">
              <w:t>Yes</w:t>
            </w: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14:paraId="515D5D18" w14:textId="5428848E" w:rsidR="00E37D32" w:rsidRPr="00E37D32" w:rsidRDefault="00E37D32" w:rsidP="00D01DCD">
            <w:pPr>
              <w:pStyle w:val="Tabletext0"/>
            </w:pPr>
            <w:r w:rsidRPr="00E37D32">
              <w:t>Yes (with irrigation pump)</w:t>
            </w:r>
          </w:p>
        </w:tc>
      </w:tr>
      <w:tr w:rsidR="00D01DCD" w:rsidRPr="00E37D32" w14:paraId="6283B34B" w14:textId="77777777" w:rsidTr="00E37D32">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911C85" w14:textId="77777777" w:rsidR="00D01DCD" w:rsidRPr="00E37D32" w:rsidRDefault="00D01DCD" w:rsidP="00D01DCD">
            <w:pPr>
              <w:pStyle w:val="Tabletext0"/>
            </w:pPr>
            <w:r w:rsidRPr="00E37D32">
              <w:t>Travel cart</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AFFCBD7" w14:textId="1172F47E" w:rsidR="00D01DCD" w:rsidRPr="00E37D32" w:rsidRDefault="00D01DCD" w:rsidP="00D01DCD">
            <w:pPr>
              <w:pStyle w:val="Tabletext0"/>
            </w:pPr>
            <w:r w:rsidRPr="00E37D32">
              <w:t>No</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423BF9C8" w14:textId="30C14F07" w:rsidR="00D01DCD" w:rsidRPr="00E37D32" w:rsidRDefault="00D01DCD" w:rsidP="00D01DCD">
            <w:pPr>
              <w:pStyle w:val="Tabletext0"/>
            </w:pPr>
            <w:r w:rsidRPr="00E37D32">
              <w:t>No</w:t>
            </w: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14:paraId="11EA3F1B" w14:textId="1D60EA86" w:rsidR="00D01DCD" w:rsidRPr="00E37D32" w:rsidRDefault="00D01DCD" w:rsidP="00D01DCD">
            <w:pPr>
              <w:pStyle w:val="Tabletext0"/>
            </w:pPr>
            <w:r w:rsidRPr="00E37D32">
              <w:t>Yes</w:t>
            </w:r>
          </w:p>
        </w:tc>
      </w:tr>
      <w:tr w:rsidR="00D01DCD" w:rsidRPr="00E37D32" w14:paraId="45B22259" w14:textId="77777777" w:rsidTr="00E37D32">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821ED5" w14:textId="77777777" w:rsidR="00D01DCD" w:rsidRPr="00E37D32" w:rsidRDefault="00D01DCD" w:rsidP="00D01DCD">
            <w:pPr>
              <w:pStyle w:val="Tabletext0"/>
            </w:pPr>
            <w:r w:rsidRPr="00E37D32">
              <w:t>Light source</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27E5C25F" w14:textId="45BF3F24" w:rsidR="00D01DCD" w:rsidRPr="00E37D32" w:rsidRDefault="00D01DCD" w:rsidP="00D01DCD">
            <w:pPr>
              <w:pStyle w:val="Tabletext0"/>
            </w:pPr>
            <w:r w:rsidRPr="00E37D32">
              <w:t>No</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345E8D0E" w14:textId="6AF3C97C" w:rsidR="00D01DCD" w:rsidRPr="00E37D32" w:rsidRDefault="00D01DCD" w:rsidP="00D01DCD">
            <w:pPr>
              <w:pStyle w:val="Tabletext0"/>
            </w:pPr>
            <w:r w:rsidRPr="00E37D32">
              <w:t>No</w:t>
            </w: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14:paraId="2A56240F" w14:textId="0959BD20" w:rsidR="00D01DCD" w:rsidRPr="00E37D32" w:rsidRDefault="00D01DCD" w:rsidP="00D01DCD">
            <w:pPr>
              <w:pStyle w:val="Tabletext0"/>
            </w:pPr>
            <w:r w:rsidRPr="00E37D32">
              <w:t>Yes</w:t>
            </w:r>
          </w:p>
        </w:tc>
      </w:tr>
      <w:tr w:rsidR="00D01DCD" w:rsidRPr="00E37D32" w14:paraId="0491D1EB" w14:textId="77777777" w:rsidTr="00E37D32">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DC946F" w14:textId="77777777" w:rsidR="00D01DCD" w:rsidRPr="00E37D32" w:rsidRDefault="00D01DCD" w:rsidP="00D01DCD">
            <w:pPr>
              <w:pStyle w:val="Tabletext0"/>
            </w:pPr>
            <w:r w:rsidRPr="00E37D32">
              <w:t>Video monitor</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23759F0" w14:textId="1E1D011D" w:rsidR="00D01DCD" w:rsidRPr="00E37D32" w:rsidRDefault="00D01DCD" w:rsidP="00D01DCD">
            <w:pPr>
              <w:pStyle w:val="Tabletext0"/>
            </w:pPr>
            <w:r w:rsidRPr="00E37D32">
              <w:t>No</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50823071" w14:textId="0EC3D13A" w:rsidR="00D01DCD" w:rsidRPr="00E37D32" w:rsidRDefault="00D01DCD" w:rsidP="00D01DCD">
            <w:pPr>
              <w:pStyle w:val="Tabletext0"/>
            </w:pPr>
            <w:r w:rsidRPr="00E37D32">
              <w:t>No</w:t>
            </w: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14:paraId="2D893A64" w14:textId="27047F6F" w:rsidR="00D01DCD" w:rsidRPr="00E37D32" w:rsidRDefault="00D01DCD" w:rsidP="00D01DCD">
            <w:pPr>
              <w:pStyle w:val="Tabletext0"/>
            </w:pPr>
            <w:r w:rsidRPr="00E37D32">
              <w:t>Yes</w:t>
            </w:r>
          </w:p>
        </w:tc>
      </w:tr>
      <w:tr w:rsidR="00D01DCD" w:rsidRPr="00E37D32" w14:paraId="7885D9BF" w14:textId="77777777" w:rsidTr="00E37D32">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ED1B3" w14:textId="77777777" w:rsidR="00D01DCD" w:rsidRPr="00E37D32" w:rsidRDefault="00D01DCD" w:rsidP="00D01DCD">
            <w:pPr>
              <w:pStyle w:val="Tabletext0"/>
            </w:pPr>
            <w:r w:rsidRPr="00E37D32">
              <w:t>Irrigation pump</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442FBC1C" w14:textId="48B1256C" w:rsidR="00D01DCD" w:rsidRPr="00E37D32" w:rsidRDefault="00D01DCD" w:rsidP="00D01DCD">
            <w:pPr>
              <w:pStyle w:val="Tabletext0"/>
            </w:pPr>
            <w:r w:rsidRPr="00E37D32">
              <w:t>No</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6505037" w14:textId="35586A37" w:rsidR="00D01DCD" w:rsidRPr="00E37D32" w:rsidRDefault="00D01DCD" w:rsidP="00D01DCD">
            <w:pPr>
              <w:pStyle w:val="Tabletext0"/>
            </w:pPr>
            <w:r w:rsidRPr="00E37D32">
              <w:t>No</w:t>
            </w: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14:paraId="02224A37" w14:textId="089615CA" w:rsidR="00D01DCD" w:rsidRPr="00E37D32" w:rsidRDefault="00D01DCD" w:rsidP="00D01DCD">
            <w:pPr>
              <w:pStyle w:val="Tabletext0"/>
            </w:pPr>
            <w:r w:rsidRPr="00E37D32">
              <w:t>Yes</w:t>
            </w:r>
          </w:p>
        </w:tc>
      </w:tr>
      <w:tr w:rsidR="00D01DCD" w:rsidRPr="00E37D32" w14:paraId="606F226A" w14:textId="77777777" w:rsidTr="00E37D32">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FF7651" w14:textId="77777777" w:rsidR="00D01DCD" w:rsidRPr="00E37D32" w:rsidRDefault="00D01DCD" w:rsidP="00D01DCD">
            <w:pPr>
              <w:pStyle w:val="Tabletext0"/>
            </w:pPr>
            <w:r w:rsidRPr="00E37D32">
              <w:t>Ocular piece</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006ACAA3" w14:textId="3936A9A3" w:rsidR="00D01DCD" w:rsidRPr="00E37D32" w:rsidRDefault="00D01DCD" w:rsidP="00D01DCD">
            <w:pPr>
              <w:pStyle w:val="Tabletext0"/>
            </w:pPr>
            <w:r w:rsidRPr="00E37D32">
              <w:t>No</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1BEC6E16" w14:textId="5109C92D" w:rsidR="00D01DCD" w:rsidRPr="00E37D32" w:rsidRDefault="00D01DCD" w:rsidP="00D01DCD">
            <w:pPr>
              <w:pStyle w:val="Tabletext0"/>
            </w:pPr>
            <w:r w:rsidRPr="00E37D32">
              <w:t>No</w:t>
            </w: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14:paraId="5848158A" w14:textId="11C61507" w:rsidR="00D01DCD" w:rsidRPr="00E37D32" w:rsidRDefault="00D01DCD" w:rsidP="00D01DCD">
            <w:pPr>
              <w:pStyle w:val="Tabletext0"/>
            </w:pPr>
            <w:r w:rsidRPr="00E37D32">
              <w:t>Yes</w:t>
            </w:r>
          </w:p>
        </w:tc>
      </w:tr>
      <w:tr w:rsidR="00D01DCD" w:rsidRPr="00E37D32" w14:paraId="16557587" w14:textId="77777777" w:rsidTr="00E37D32">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882569" w14:textId="77777777" w:rsidR="00D01DCD" w:rsidRPr="00E37D32" w:rsidRDefault="00D01DCD" w:rsidP="00D01DCD">
            <w:pPr>
              <w:pStyle w:val="Tabletext0"/>
            </w:pPr>
            <w:r w:rsidRPr="00E37D32">
              <w:t>Isolation transformer</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5C0FEC02" w14:textId="5CE4D17E" w:rsidR="00D01DCD" w:rsidRPr="00E37D32" w:rsidRDefault="00D01DCD" w:rsidP="00D01DCD">
            <w:pPr>
              <w:pStyle w:val="Tabletext0"/>
            </w:pPr>
            <w:r w:rsidRPr="00E37D32">
              <w:t>No</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69DDF1C6" w14:textId="2D908CAF" w:rsidR="00D01DCD" w:rsidRPr="00E37D32" w:rsidRDefault="00D01DCD" w:rsidP="00D01DCD">
            <w:pPr>
              <w:pStyle w:val="Tabletext0"/>
            </w:pPr>
            <w:r w:rsidRPr="00E37D32">
              <w:t>No</w:t>
            </w: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14:paraId="02912C19" w14:textId="56CD5767" w:rsidR="00D01DCD" w:rsidRPr="00E37D32" w:rsidRDefault="00D01DCD" w:rsidP="00D01DCD">
            <w:pPr>
              <w:pStyle w:val="Tabletext0"/>
            </w:pPr>
            <w:r w:rsidRPr="00E37D32">
              <w:t>Yes</w:t>
            </w:r>
          </w:p>
        </w:tc>
      </w:tr>
      <w:tr w:rsidR="00D01DCD" w:rsidRPr="00E37D32" w14:paraId="7D80CFF0" w14:textId="77777777" w:rsidTr="00E37D32">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8A8998" w14:textId="77777777" w:rsidR="00D01DCD" w:rsidRPr="00E37D32" w:rsidRDefault="00D01DCD" w:rsidP="00D01DCD">
            <w:pPr>
              <w:pStyle w:val="Tabletext0"/>
            </w:pPr>
            <w:r w:rsidRPr="00E37D32">
              <w:t>Storage tray</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48CD7CFC" w14:textId="77D59281" w:rsidR="00D01DCD" w:rsidRPr="00E37D32" w:rsidRDefault="00D01DCD" w:rsidP="00D01DCD">
            <w:pPr>
              <w:pStyle w:val="Tabletext0"/>
            </w:pPr>
            <w:r w:rsidRPr="00E37D32">
              <w:t>No</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0E40B78D" w14:textId="3653CEAE" w:rsidR="00D01DCD" w:rsidRPr="00E37D32" w:rsidRDefault="00D01DCD" w:rsidP="00D01DCD">
            <w:pPr>
              <w:pStyle w:val="Tabletext0"/>
            </w:pPr>
            <w:r w:rsidRPr="00E37D32">
              <w:t>No</w:t>
            </w: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14:paraId="63CE5431" w14:textId="51EF3AE8" w:rsidR="00D01DCD" w:rsidRPr="00E37D32" w:rsidRDefault="00D01DCD" w:rsidP="00D01DCD">
            <w:pPr>
              <w:pStyle w:val="Tabletext0"/>
            </w:pPr>
            <w:r w:rsidRPr="00E37D32">
              <w:t>Yes</w:t>
            </w:r>
          </w:p>
        </w:tc>
      </w:tr>
    </w:tbl>
    <w:p w14:paraId="5D9F7587" w14:textId="1766A3CD" w:rsidR="00B5779E" w:rsidRPr="00E37D32" w:rsidRDefault="00B5779E" w:rsidP="00B5779E">
      <w:pPr>
        <w:pStyle w:val="TableFigureFooter"/>
        <w:spacing w:before="0" w:after="0"/>
        <w:rPr>
          <w:sz w:val="16"/>
          <w:szCs w:val="20"/>
        </w:rPr>
      </w:pPr>
      <w:r w:rsidRPr="00E37D32">
        <w:rPr>
          <w:sz w:val="16"/>
          <w:szCs w:val="20"/>
        </w:rPr>
        <w:t>Source: ADAR Economics and Financial Estimates spreadsheets</w:t>
      </w:r>
      <w:r w:rsidR="00D01DCD" w:rsidRPr="00E37D32">
        <w:rPr>
          <w:sz w:val="16"/>
          <w:szCs w:val="20"/>
        </w:rPr>
        <w:t xml:space="preserve">, </w:t>
      </w:r>
      <w:hyperlink r:id="rId10" w:history="1">
        <w:r w:rsidR="00D01DCD" w:rsidRPr="00E37D32">
          <w:rPr>
            <w:rStyle w:val="Hyperlink"/>
            <w:sz w:val="16"/>
            <w:szCs w:val="20"/>
          </w:rPr>
          <w:t>SpyGlass DS System Brochure</w:t>
        </w:r>
      </w:hyperlink>
      <w:r w:rsidR="00D01DCD" w:rsidRPr="00E37D32">
        <w:rPr>
          <w:sz w:val="16"/>
          <w:szCs w:val="20"/>
        </w:rPr>
        <w:t xml:space="preserve">, and the ASGE Technology Committee’s </w:t>
      </w:r>
      <w:hyperlink r:id="rId11" w:history="1">
        <w:r w:rsidR="00D01DCD" w:rsidRPr="00E37D32">
          <w:rPr>
            <w:rStyle w:val="Hyperlink"/>
            <w:sz w:val="16"/>
            <w:szCs w:val="20"/>
          </w:rPr>
          <w:t>2016 Status Evaluation Report on Cholangiopancreatoscopy</w:t>
        </w:r>
      </w:hyperlink>
      <w:r w:rsidR="00E37D32">
        <w:rPr>
          <w:rStyle w:val="Hyperlink"/>
          <w:sz w:val="16"/>
          <w:szCs w:val="20"/>
        </w:rPr>
        <w:t xml:space="preserve">; </w:t>
      </w:r>
      <w:r w:rsidR="00E37D32" w:rsidRPr="00E37D32">
        <w:rPr>
          <w:rStyle w:val="Hyperlink"/>
          <w:color w:val="auto"/>
          <w:sz w:val="16"/>
          <w:szCs w:val="20"/>
          <w:u w:val="none"/>
        </w:rPr>
        <w:t>and applicant’s pre-MSAC response</w:t>
      </w:r>
    </w:p>
    <w:p w14:paraId="3F8E0388" w14:textId="6F33DFCB" w:rsidR="002837E4" w:rsidRPr="00E37D32" w:rsidRDefault="002837E4" w:rsidP="00B5779E">
      <w:pPr>
        <w:pStyle w:val="TableFigureFooter"/>
        <w:spacing w:before="0" w:after="0"/>
        <w:rPr>
          <w:sz w:val="16"/>
          <w:szCs w:val="20"/>
        </w:rPr>
      </w:pPr>
      <w:r w:rsidRPr="00E37D32">
        <w:rPr>
          <w:sz w:val="16"/>
          <w:szCs w:val="20"/>
        </w:rPr>
        <w:t xml:space="preserve">Abbreviations: ASGE = American Society for Gastrointestinal Endoscopy; ERCP = endoscopic retrograde cholangiopancreatography; POCPS = peroral cholangiopancreatoscopy. </w:t>
      </w:r>
    </w:p>
    <w:p w14:paraId="5F1DEC24" w14:textId="768B4E40" w:rsidR="00B5779E" w:rsidRPr="00E37D32" w:rsidRDefault="00B5779E" w:rsidP="00B5779E">
      <w:pPr>
        <w:pStyle w:val="TableFigureFooter"/>
        <w:spacing w:before="0" w:after="0"/>
        <w:rPr>
          <w:sz w:val="16"/>
          <w:szCs w:val="20"/>
        </w:rPr>
      </w:pPr>
      <w:r w:rsidRPr="00E37D32">
        <w:rPr>
          <w:sz w:val="16"/>
          <w:szCs w:val="20"/>
          <w:vertAlign w:val="superscript"/>
        </w:rPr>
        <w:t>a</w:t>
      </w:r>
      <w:r w:rsidRPr="00E37D32">
        <w:rPr>
          <w:sz w:val="16"/>
          <w:szCs w:val="20"/>
        </w:rPr>
        <w:t xml:space="preserve"> Excluded consumables also used for ERCP</w:t>
      </w:r>
      <w:r w:rsidR="002837E4" w:rsidRPr="00E37D32">
        <w:rPr>
          <w:sz w:val="16"/>
          <w:szCs w:val="20"/>
        </w:rPr>
        <w:br/>
      </w:r>
      <w:r w:rsidR="002837E4" w:rsidRPr="00E37D32">
        <w:rPr>
          <w:sz w:val="16"/>
          <w:szCs w:val="20"/>
          <w:vertAlign w:val="superscript"/>
        </w:rPr>
        <w:t>b</w:t>
      </w:r>
      <w:r w:rsidR="002837E4" w:rsidRPr="00E37D32">
        <w:rPr>
          <w:sz w:val="16"/>
          <w:szCs w:val="20"/>
        </w:rPr>
        <w:t xml:space="preserve"> Not specifically for Spyglass</w:t>
      </w:r>
    </w:p>
    <w:p w14:paraId="34E0B08F" w14:textId="04B0FB2E" w:rsidR="00772829" w:rsidRPr="00CE28E3" w:rsidRDefault="0015035D" w:rsidP="004B4DB1">
      <w:pPr>
        <w:pStyle w:val="Heading2"/>
      </w:pPr>
      <w:bookmarkStart w:id="21" w:name="_Toc69491419"/>
      <w:r>
        <w:t>7</w:t>
      </w:r>
      <w:r w:rsidR="008678B2">
        <w:t>.</w:t>
      </w:r>
      <w:r w:rsidR="008678B2">
        <w:tab/>
      </w:r>
      <w:r w:rsidR="008678B2" w:rsidRPr="00CE28E3">
        <w:t>Population</w:t>
      </w:r>
      <w:bookmarkEnd w:id="21"/>
    </w:p>
    <w:p w14:paraId="37536128" w14:textId="7BCBDF42" w:rsidR="00576AAC" w:rsidRDefault="00576AAC" w:rsidP="001F621F">
      <w:pPr>
        <w:spacing w:after="240"/>
      </w:pPr>
      <w:r>
        <w:t>There are two PICO sets defined in the ADAR: one for the therapeutic application (POCPS-guided laser lithotripsy (LL) or POCPS-guided electrohydraulic lithotripsy (EHL) for the removal of difficult biliary stones) and one for the investigative application (POCPS-guided visualisation and biopsy for the diagnosis of indeterminate biliary strictures).</w:t>
      </w:r>
    </w:p>
    <w:p w14:paraId="0781B0FC" w14:textId="0FB53F8B" w:rsidR="003579CF" w:rsidRDefault="003579CF" w:rsidP="003579CF">
      <w:pPr>
        <w:pStyle w:val="Heading3"/>
      </w:pPr>
      <w:r>
        <w:t>Therapeutic application</w:t>
      </w:r>
    </w:p>
    <w:p w14:paraId="14A516A2" w14:textId="080E8342" w:rsidR="002C3F52" w:rsidRDefault="002C3F52" w:rsidP="001F621F">
      <w:pPr>
        <w:spacing w:after="240"/>
      </w:pPr>
      <w:r>
        <w:t>The population proposed as eligible for therapeutic POCPS are patients with difficult biliary stones, defined as unsuccessful clearance of stone(s) by conventional ERCP extraction techniques (ERCP-guided balloon/basket sphincteroplasty and/or mechanical lithotripsy).</w:t>
      </w:r>
    </w:p>
    <w:p w14:paraId="2FCE2277" w14:textId="128F3D09" w:rsidR="002C3F52" w:rsidRDefault="002C3F52" w:rsidP="001F621F">
      <w:pPr>
        <w:spacing w:after="240"/>
      </w:pPr>
      <w:r>
        <w:t xml:space="preserve">The proposed technology would be used in </w:t>
      </w:r>
      <w:r w:rsidR="00D82A74">
        <w:t>conjunction with the</w:t>
      </w:r>
      <w:r>
        <w:t xml:space="preserve"> current technology (ERCP) when extraction using conventional extraction techniques fails. The </w:t>
      </w:r>
      <w:r w:rsidR="00A05D89">
        <w:t xml:space="preserve">ERCP component of the </w:t>
      </w:r>
      <w:r>
        <w:t>current technology is publicly funded</w:t>
      </w:r>
      <w:r w:rsidR="00A05D89">
        <w:t xml:space="preserve"> by the MBS (item 30484). </w:t>
      </w:r>
      <w:r w:rsidR="00702714">
        <w:t>I</w:t>
      </w:r>
      <w:r w:rsidR="00A05D89">
        <w:t>n case ERCP-guided balloon/basket sphincteroplasty fail</w:t>
      </w:r>
      <w:r w:rsidR="00702714">
        <w:t>s</w:t>
      </w:r>
      <w:r w:rsidR="00A05D89">
        <w:t xml:space="preserve"> to remove the stone</w:t>
      </w:r>
      <w:r w:rsidR="00702714">
        <w:t>,</w:t>
      </w:r>
      <w:r w:rsidR="00702714" w:rsidRPr="00702714">
        <w:t xml:space="preserve"> </w:t>
      </w:r>
      <w:r w:rsidR="00702714">
        <w:t>mechanical lithotripsy may be used during the same ERCP procedure</w:t>
      </w:r>
      <w:r w:rsidR="00A05D89">
        <w:t>.</w:t>
      </w:r>
      <w:r w:rsidR="00702714">
        <w:t xml:space="preserve"> This component of the procedure is not listed on the MBS, and currently hospitals absorb the costs.</w:t>
      </w:r>
    </w:p>
    <w:p w14:paraId="06066890" w14:textId="5E4BD0E4" w:rsidR="00F51A7A" w:rsidRPr="0045298B" w:rsidRDefault="0045298B" w:rsidP="001F621F">
      <w:pPr>
        <w:spacing w:after="240"/>
      </w:pPr>
      <w:r>
        <w:t xml:space="preserve">The patient’s clinical management pathway before they are eligible for POCPS-guided LL or EHL is summarised in </w:t>
      </w:r>
      <w:r w:rsidRPr="001F621F">
        <w:rPr>
          <w:iCs/>
        </w:rPr>
        <w:fldChar w:fldCharType="begin"/>
      </w:r>
      <w:r w:rsidRPr="001F621F">
        <w:rPr>
          <w:iCs/>
        </w:rPr>
        <w:instrText xml:space="preserve"> REF _Ref89077398 \h </w:instrText>
      </w:r>
      <w:r w:rsidR="001F621F">
        <w:rPr>
          <w:iCs/>
        </w:rPr>
        <w:instrText xml:space="preserve"> \* MERGEFORMAT </w:instrText>
      </w:r>
      <w:r w:rsidRPr="001F621F">
        <w:rPr>
          <w:iCs/>
        </w:rPr>
      </w:r>
      <w:r w:rsidRPr="001F621F">
        <w:rPr>
          <w:iCs/>
        </w:rPr>
        <w:fldChar w:fldCharType="separate"/>
      </w:r>
      <w:r w:rsidR="00D422BC" w:rsidRPr="00D422BC">
        <w:rPr>
          <w:iCs/>
        </w:rPr>
        <w:t>Figure 1</w:t>
      </w:r>
      <w:r w:rsidRPr="001F621F">
        <w:rPr>
          <w:iCs/>
        </w:rPr>
        <w:fldChar w:fldCharType="end"/>
      </w:r>
      <w:r>
        <w:t>.</w:t>
      </w:r>
    </w:p>
    <w:bookmarkStart w:id="22" w:name="_Ref78289893"/>
    <w:bookmarkStart w:id="23" w:name="_Ref78289875"/>
    <w:bookmarkStart w:id="24" w:name="_Toc84313760"/>
    <w:bookmarkStart w:id="25" w:name="_Toc88760317"/>
    <w:p w14:paraId="3107591B" w14:textId="77777777" w:rsidR="0045298B" w:rsidRDefault="00F51A7A" w:rsidP="0045298B">
      <w:pPr>
        <w:pStyle w:val="Caption"/>
      </w:pPr>
      <w:r w:rsidRPr="0045298B">
        <w:rPr>
          <w:noProof/>
          <w:lang w:eastAsia="en-AU"/>
        </w:rPr>
        <w:lastRenderedPageBreak/>
        <mc:AlternateContent>
          <mc:Choice Requires="wpc">
            <w:drawing>
              <wp:inline distT="0" distB="0" distL="0" distR="0" wp14:anchorId="20C05F73" wp14:editId="76A5DC8F">
                <wp:extent cx="3678555" cy="3057524"/>
                <wp:effectExtent l="0" t="0" r="0" b="0"/>
                <wp:docPr id="102" name="Canvas 102" descr="Clinical management pathway before patients are eligible for therapeutic POCPS"/>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7" name="Text Box 37"/>
                        <wps:cNvSpPr txBox="1"/>
                        <wps:spPr>
                          <a:xfrm>
                            <a:off x="1098572" y="0"/>
                            <a:ext cx="1773835" cy="306000"/>
                          </a:xfrm>
                          <a:prstGeom prst="roundRect">
                            <a:avLst/>
                          </a:prstGeom>
                          <a:solidFill>
                            <a:schemeClr val="lt1"/>
                          </a:solidFill>
                          <a:ln w="6350">
                            <a:solidFill>
                              <a:prstClr val="black"/>
                            </a:solidFill>
                          </a:ln>
                        </wps:spPr>
                        <wps:txbx>
                          <w:txbxContent>
                            <w:p w14:paraId="0F2D915C" w14:textId="77777777" w:rsidR="001B3435" w:rsidRPr="00B82329" w:rsidRDefault="001B3435" w:rsidP="00F51A7A">
                              <w:pPr>
                                <w:spacing w:line="256" w:lineRule="auto"/>
                                <w:jc w:val="center"/>
                                <w:rPr>
                                  <w:rFonts w:ascii="Arial Narrow" w:eastAsia="Calibri" w:hAnsi="Arial Narrow"/>
                                  <w:sz w:val="18"/>
                                  <w:szCs w:val="18"/>
                                  <w:lang w:val="en-US"/>
                                </w:rPr>
                              </w:pPr>
                              <w:r w:rsidRPr="00B82329">
                                <w:rPr>
                                  <w:rFonts w:ascii="Arial Narrow" w:eastAsia="Calibri" w:hAnsi="Arial Narrow"/>
                                  <w:sz w:val="18"/>
                                  <w:szCs w:val="18"/>
                                  <w:lang w:val="en-US"/>
                                </w:rPr>
                                <w:t xml:space="preserve">Patient presents with biliary stones </w:t>
                              </w:r>
                            </w:p>
                          </w:txbxContent>
                        </wps:txbx>
                        <wps:bodyPr rot="0" spcFirstLastPara="0" vertOverflow="overflow" horzOverflow="overflow" vert="horz" wrap="square" lIns="72306" tIns="36153" rIns="72306" bIns="36153" numCol="1" spcCol="0" rtlCol="0" fromWordArt="0" anchor="ctr" anchorCtr="0" forceAA="0" compatLnSpc="1">
                          <a:prstTxWarp prst="textNoShape">
                            <a:avLst/>
                          </a:prstTxWarp>
                          <a:noAutofit/>
                        </wps:bodyPr>
                      </wps:wsp>
                      <wps:wsp>
                        <wps:cNvPr id="38" name="Text Box 38"/>
                        <wps:cNvSpPr txBox="1"/>
                        <wps:spPr>
                          <a:xfrm>
                            <a:off x="1044482" y="1778592"/>
                            <a:ext cx="1872000" cy="593726"/>
                          </a:xfrm>
                          <a:prstGeom prst="flowChartDecision">
                            <a:avLst/>
                          </a:prstGeom>
                          <a:solidFill>
                            <a:schemeClr val="lt1"/>
                          </a:solidFill>
                          <a:ln w="6350">
                            <a:solidFill>
                              <a:prstClr val="black"/>
                            </a:solidFill>
                          </a:ln>
                        </wps:spPr>
                        <wps:txbx>
                          <w:txbxContent>
                            <w:p w14:paraId="2296B0DF" w14:textId="77777777" w:rsidR="001B3435" w:rsidRPr="00B82329" w:rsidRDefault="001B3435" w:rsidP="00F51A7A">
                              <w:pPr>
                                <w:spacing w:line="256" w:lineRule="auto"/>
                                <w:jc w:val="center"/>
                                <w:rPr>
                                  <w:rFonts w:ascii="Arial Narrow" w:eastAsia="Calibri" w:hAnsi="Arial Narrow"/>
                                  <w:sz w:val="18"/>
                                  <w:szCs w:val="18"/>
                                  <w:lang w:val="en-US"/>
                                </w:rPr>
                              </w:pPr>
                              <w:r w:rsidRPr="00B82329">
                                <w:rPr>
                                  <w:rFonts w:ascii="Arial Narrow" w:eastAsia="Calibri" w:hAnsi="Arial Narrow"/>
                                  <w:sz w:val="18"/>
                                  <w:szCs w:val="18"/>
                                  <w:lang w:val="en-US"/>
                                </w:rPr>
                                <w:t xml:space="preserve">Stone cleared? </w:t>
                              </w:r>
                            </w:p>
                          </w:txbxContent>
                        </wps:txbx>
                        <wps:bodyPr rot="0" spcFirstLastPara="0" vertOverflow="overflow" horzOverflow="overflow" vert="horz" wrap="square" lIns="72306" tIns="36153" rIns="72306" bIns="36153" numCol="1" spcCol="0" rtlCol="0" fromWordArt="0" anchor="t" anchorCtr="0" forceAA="0" compatLnSpc="1">
                          <a:prstTxWarp prst="textNoShape">
                            <a:avLst/>
                          </a:prstTxWarp>
                          <a:noAutofit/>
                        </wps:bodyPr>
                      </wps:wsp>
                      <wps:wsp>
                        <wps:cNvPr id="39" name="Text Box 39"/>
                        <wps:cNvSpPr txBox="1"/>
                        <wps:spPr>
                          <a:xfrm>
                            <a:off x="1108097" y="2537759"/>
                            <a:ext cx="1776381" cy="343664"/>
                          </a:xfrm>
                          <a:prstGeom prst="roundRect">
                            <a:avLst/>
                          </a:prstGeom>
                          <a:solidFill>
                            <a:schemeClr val="bg2"/>
                          </a:solidFill>
                          <a:ln w="6350">
                            <a:solidFill>
                              <a:prstClr val="black"/>
                            </a:solidFill>
                          </a:ln>
                        </wps:spPr>
                        <wps:txbx>
                          <w:txbxContent>
                            <w:p w14:paraId="0F0CDB20" w14:textId="77777777" w:rsidR="001B3435" w:rsidRPr="00DA5461" w:rsidRDefault="001B3435" w:rsidP="00F51A7A">
                              <w:pPr>
                                <w:spacing w:line="256" w:lineRule="auto"/>
                                <w:jc w:val="center"/>
                                <w:rPr>
                                  <w:rFonts w:ascii="Arial Narrow" w:eastAsia="Calibri" w:hAnsi="Arial Narrow"/>
                                  <w:b/>
                                  <w:bCs/>
                                  <w:sz w:val="18"/>
                                  <w:szCs w:val="18"/>
                                  <w:lang w:val="en-US"/>
                                </w:rPr>
                              </w:pPr>
                              <w:r w:rsidRPr="00DA5461">
                                <w:rPr>
                                  <w:rFonts w:ascii="Arial Narrow" w:eastAsia="Calibri" w:hAnsi="Arial Narrow"/>
                                  <w:b/>
                                  <w:bCs/>
                                  <w:sz w:val="18"/>
                                  <w:szCs w:val="18"/>
                                  <w:lang w:val="en-US"/>
                                </w:rPr>
                                <w:t xml:space="preserve">Difficult biliary stone </w:t>
                              </w:r>
                            </w:p>
                          </w:txbxContent>
                        </wps:txbx>
                        <wps:bodyPr rot="0" spcFirstLastPara="0" vertOverflow="overflow" horzOverflow="overflow" vert="horz" wrap="square" lIns="72306" tIns="36153" rIns="72306" bIns="36153" numCol="1" spcCol="0" rtlCol="0" fromWordArt="0" anchor="ctr" anchorCtr="0" forceAA="0" compatLnSpc="1">
                          <a:prstTxWarp prst="textNoShape">
                            <a:avLst/>
                          </a:prstTxWarp>
                          <a:noAutofit/>
                        </wps:bodyPr>
                      </wps:wsp>
                      <wps:wsp>
                        <wps:cNvPr id="40" name="Text Box 40"/>
                        <wps:cNvSpPr txBox="1"/>
                        <wps:spPr>
                          <a:xfrm>
                            <a:off x="1094012" y="471487"/>
                            <a:ext cx="1773834" cy="306000"/>
                          </a:xfrm>
                          <a:prstGeom prst="roundRect">
                            <a:avLst/>
                          </a:prstGeom>
                          <a:solidFill>
                            <a:schemeClr val="lt1"/>
                          </a:solidFill>
                          <a:ln w="6350">
                            <a:solidFill>
                              <a:prstClr val="black"/>
                            </a:solidFill>
                          </a:ln>
                        </wps:spPr>
                        <wps:txbx>
                          <w:txbxContent>
                            <w:p w14:paraId="3BDEFAB2" w14:textId="77777777" w:rsidR="001B3435" w:rsidRPr="00B82329" w:rsidRDefault="001B3435" w:rsidP="00F51A7A">
                              <w:pPr>
                                <w:spacing w:line="256" w:lineRule="auto"/>
                                <w:jc w:val="center"/>
                                <w:rPr>
                                  <w:rFonts w:ascii="Arial Narrow" w:eastAsia="Calibri" w:hAnsi="Arial Narrow"/>
                                  <w:sz w:val="18"/>
                                  <w:szCs w:val="18"/>
                                  <w:lang w:val="en-US"/>
                                </w:rPr>
                              </w:pPr>
                              <w:r w:rsidRPr="00B82329">
                                <w:rPr>
                                  <w:rFonts w:ascii="Arial Narrow" w:eastAsia="Calibri" w:hAnsi="Arial Narrow"/>
                                  <w:sz w:val="18"/>
                                  <w:szCs w:val="18"/>
                                  <w:lang w:val="en-US"/>
                                </w:rPr>
                                <w:t>Laparoscopic cholecystectomy*</w:t>
                              </w:r>
                            </w:p>
                          </w:txbxContent>
                        </wps:txbx>
                        <wps:bodyPr rot="0" spcFirstLastPara="0" vertOverflow="overflow" horzOverflow="overflow" vert="horz" wrap="square" lIns="72306" tIns="36153" rIns="72306" bIns="36153" numCol="1" spcCol="0" rtlCol="0" fromWordArt="0" anchor="ctr" anchorCtr="0" forceAA="0" compatLnSpc="1">
                          <a:prstTxWarp prst="textNoShape">
                            <a:avLst/>
                          </a:prstTxWarp>
                          <a:noAutofit/>
                        </wps:bodyPr>
                      </wps:wsp>
                      <wps:wsp>
                        <wps:cNvPr id="41" name="Text Box 41" descr="Figure 1 Clinical management pathway before patients are eligible for therapeutic POCPS"/>
                        <wps:cNvSpPr txBox="1"/>
                        <wps:spPr>
                          <a:xfrm>
                            <a:off x="1094012" y="943101"/>
                            <a:ext cx="1773834" cy="628524"/>
                          </a:xfrm>
                          <a:prstGeom prst="roundRect">
                            <a:avLst/>
                          </a:prstGeom>
                          <a:solidFill>
                            <a:schemeClr val="lt1"/>
                          </a:solidFill>
                          <a:ln w="6350">
                            <a:solidFill>
                              <a:prstClr val="black"/>
                            </a:solidFill>
                          </a:ln>
                        </wps:spPr>
                        <wps:txbx>
                          <w:txbxContent>
                            <w:p w14:paraId="7E90CCAF" w14:textId="77777777" w:rsidR="001B3435" w:rsidRPr="00B82329" w:rsidRDefault="001B3435" w:rsidP="00F51A7A">
                              <w:pPr>
                                <w:spacing w:line="256" w:lineRule="auto"/>
                                <w:jc w:val="center"/>
                                <w:rPr>
                                  <w:rFonts w:ascii="Arial Narrow" w:eastAsia="Calibri" w:hAnsi="Arial Narrow"/>
                                  <w:sz w:val="18"/>
                                  <w:szCs w:val="18"/>
                                  <w:lang w:val="en-US"/>
                                </w:rPr>
                              </w:pPr>
                              <w:r w:rsidRPr="00654C1F">
                                <w:rPr>
                                  <w:rFonts w:ascii="Arial Narrow" w:eastAsia="Calibri" w:hAnsi="Arial Narrow"/>
                                  <w:sz w:val="18"/>
                                  <w:szCs w:val="18"/>
                                  <w:lang w:val="en-US"/>
                                </w:rPr>
                                <w:t xml:space="preserve">ERCP-guided balloon/basket sphincteroplasty </w:t>
                              </w:r>
                              <w:r w:rsidRPr="00B82329">
                                <w:rPr>
                                  <w:rFonts w:ascii="Arial Narrow" w:eastAsia="Calibri" w:hAnsi="Arial Narrow"/>
                                  <w:sz w:val="18"/>
                                  <w:szCs w:val="18"/>
                                  <w:lang w:val="en-US"/>
                                </w:rPr>
                                <w:t>and/or mechanical lithotripsy</w:t>
                              </w:r>
                            </w:p>
                          </w:txbxContent>
                        </wps:txbx>
                        <wps:bodyPr rot="0" spcFirstLastPara="0" vertOverflow="overflow" horzOverflow="overflow" vert="horz" wrap="square" lIns="72306" tIns="36153" rIns="72306" bIns="36153" numCol="1" spcCol="0" rtlCol="0" fromWordArt="0" anchor="t" anchorCtr="0" forceAA="0" compatLnSpc="1">
                          <a:prstTxWarp prst="textNoShape">
                            <a:avLst/>
                          </a:prstTxWarp>
                          <a:noAutofit/>
                        </wps:bodyPr>
                      </wps:wsp>
                      <wps:wsp>
                        <wps:cNvPr id="42" name="Straight Arrow Connector 42"/>
                        <wps:cNvCnPr/>
                        <wps:spPr>
                          <a:xfrm>
                            <a:off x="1980929" y="777487"/>
                            <a:ext cx="0" cy="16561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4" name="Straight Arrow Connector 44"/>
                        <wps:cNvCnPr/>
                        <wps:spPr>
                          <a:xfrm flipH="1">
                            <a:off x="1980929" y="306000"/>
                            <a:ext cx="1" cy="16548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6" name="Straight Arrow Connector 46"/>
                        <wps:cNvCnPr>
                          <a:endCxn id="38" idx="0"/>
                        </wps:cNvCnPr>
                        <wps:spPr>
                          <a:xfrm flipH="1">
                            <a:off x="1980482" y="1571287"/>
                            <a:ext cx="448" cy="2073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3" name="Straight Arrow Connector 63"/>
                        <wps:cNvCnPr/>
                        <wps:spPr>
                          <a:xfrm>
                            <a:off x="1980930" y="2372338"/>
                            <a:ext cx="451" cy="165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10" name="Left Brace 110"/>
                        <wps:cNvSpPr/>
                        <wps:spPr>
                          <a:xfrm>
                            <a:off x="845704" y="943101"/>
                            <a:ext cx="230588" cy="573279"/>
                          </a:xfrm>
                          <a:prstGeom prst="leftBrac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Text Box 112"/>
                        <wps:cNvSpPr txBox="1"/>
                        <wps:spPr>
                          <a:xfrm>
                            <a:off x="35999" y="975299"/>
                            <a:ext cx="809625" cy="541020"/>
                          </a:xfrm>
                          <a:prstGeom prst="rect">
                            <a:avLst/>
                          </a:prstGeom>
                          <a:solidFill>
                            <a:schemeClr val="lt1"/>
                          </a:solidFill>
                          <a:ln w="6350">
                            <a:noFill/>
                          </a:ln>
                        </wps:spPr>
                        <wps:txbx>
                          <w:txbxContent>
                            <w:p w14:paraId="461DFA2D" w14:textId="77777777" w:rsidR="001B3435" w:rsidRDefault="001B3435" w:rsidP="00F51A7A">
                              <w:pPr>
                                <w:spacing w:line="254" w:lineRule="auto"/>
                                <w:jc w:val="center"/>
                                <w:rPr>
                                  <w:rFonts w:ascii="Arial Narrow" w:eastAsia="Calibri" w:hAnsi="Arial Narrow"/>
                                  <w:sz w:val="16"/>
                                  <w:szCs w:val="16"/>
                                  <w:lang w:val="en-US"/>
                                </w:rPr>
                              </w:pPr>
                              <w:r>
                                <w:rPr>
                                  <w:rFonts w:ascii="Arial Narrow" w:eastAsia="Calibri" w:hAnsi="Arial Narrow"/>
                                  <w:sz w:val="16"/>
                                  <w:szCs w:val="16"/>
                                  <w:lang w:val="en-US"/>
                                </w:rPr>
                                <w:t xml:space="preserve">Conventional </w:t>
                              </w:r>
                            </w:p>
                            <w:p w14:paraId="07136FCF" w14:textId="77777777" w:rsidR="001B3435" w:rsidRDefault="001B3435" w:rsidP="00F51A7A">
                              <w:pPr>
                                <w:spacing w:line="254" w:lineRule="auto"/>
                                <w:jc w:val="center"/>
                                <w:rPr>
                                  <w:rFonts w:ascii="Arial Narrow" w:eastAsia="Calibri" w:hAnsi="Arial Narrow"/>
                                  <w:sz w:val="16"/>
                                  <w:szCs w:val="16"/>
                                  <w:lang w:val="en-US"/>
                                </w:rPr>
                              </w:pPr>
                              <w:r>
                                <w:rPr>
                                  <w:rFonts w:ascii="Arial Narrow" w:eastAsia="Calibri" w:hAnsi="Arial Narrow"/>
                                  <w:sz w:val="16"/>
                                  <w:szCs w:val="16"/>
                                  <w:lang w:val="en-US"/>
                                </w:rPr>
                                <w:t>ERCP-extraction</w:t>
                              </w:r>
                            </w:p>
                            <w:p w14:paraId="0FB51B6A" w14:textId="77777777" w:rsidR="001B3435" w:rsidRDefault="001B3435" w:rsidP="00F51A7A">
                              <w:pPr>
                                <w:spacing w:line="254" w:lineRule="auto"/>
                                <w:jc w:val="center"/>
                                <w:rPr>
                                  <w:rFonts w:ascii="Arial Narrow" w:eastAsia="Calibri" w:hAnsi="Arial Narrow"/>
                                  <w:sz w:val="16"/>
                                  <w:szCs w:val="16"/>
                                  <w:lang w:val="en-US"/>
                                </w:rPr>
                              </w:pPr>
                              <w:r>
                                <w:rPr>
                                  <w:rFonts w:ascii="Arial Narrow" w:eastAsia="Calibri" w:hAnsi="Arial Narrow"/>
                                  <w:sz w:val="16"/>
                                  <w:szCs w:val="16"/>
                                  <w:lang w:val="en-US"/>
                                </w:rPr>
                                <w:t xml:space="preserve">techniques  </w:t>
                              </w:r>
                              <w:r>
                                <w:rPr>
                                  <w:rFonts w:ascii="Arial Narrow" w:eastAsia="Calibri" w:hAnsi="Arial Narrow"/>
                                  <w:sz w:val="18"/>
                                  <w:szCs w:val="18"/>
                                  <w:lang w:val="en-US"/>
                                </w:rPr>
                                <w:t xml:space="preserve"> </w:t>
                              </w:r>
                            </w:p>
                            <w:p w14:paraId="31E9625D" w14:textId="77777777" w:rsidR="001B3435" w:rsidRPr="009822E4" w:rsidRDefault="001B3435" w:rsidP="00F51A7A">
                              <w:pPr>
                                <w:rPr>
                                  <w:lang w:val="en-US"/>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20C05F73" id="Canvas 102" o:spid="_x0000_s1026" editas="canvas" alt="Clinical management pathway before patients are eligible for therapeutic POCPS" style="width:289.65pt;height:240.75pt;mso-position-horizontal-relative:char;mso-position-vertical-relative:line" coordsize="36785,30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Clinical management pathway before patients are eligible for therapeutic POCPS" style="position:absolute;width:36785;height:30568;visibility:visible;mso-wrap-style:square" filled="t">
                  <v:fill o:detectmouseclick="t"/>
                  <v:path o:connecttype="none"/>
                </v:shape>
                <v:roundrect id="Text Box 37" o:spid="_x0000_s1028" style="position:absolute;left:10985;width:17739;height:30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" fillcolor="white [3201]" strokeweight=".5pt">
                  <v:textbox inset="2.0085mm,1.00425mm,2.0085mm,1.00425mm">
                    <w:txbxContent>
                      <w:p w14:paraId="0F2D915C" w14:textId="77777777" w:rsidR="001B3435" w:rsidRPr="00B82329" w:rsidRDefault="001B3435" w:rsidP="00F51A7A">
                        <w:pPr>
                          <w:spacing w:line="256" w:lineRule="auto"/>
                          <w:jc w:val="center"/>
                          <w:rPr>
                            <w:rFonts w:ascii="Arial Narrow" w:eastAsia="Calibri" w:hAnsi="Arial Narrow"/>
                            <w:sz w:val="18"/>
                            <w:szCs w:val="18"/>
                            <w:lang w:val="en-US"/>
                          </w:rPr>
                        </w:pPr>
                        <w:r w:rsidRPr="00B82329">
                          <w:rPr>
                            <w:rFonts w:ascii="Arial Narrow" w:eastAsia="Calibri" w:hAnsi="Arial Narrow"/>
                            <w:sz w:val="18"/>
                            <w:szCs w:val="18"/>
                            <w:lang w:val="en-US"/>
                          </w:rPr>
                          <w:t xml:space="preserve">Patient presents with biliary stones </w:t>
                        </w:r>
                      </w:p>
                    </w:txbxContent>
                  </v:textbox>
                </v:roundrect>
                <v:shapetype id="_x0000_t110" coordsize="21600,21600" o:spt="110" path="m10800,l,10800,10800,21600,21600,10800xe">
                  <v:stroke joinstyle="miter"/>
                  <v:path gradientshapeok="t" o:connecttype="rect" textboxrect="5400,5400,16200,16200"/>
                </v:shapetype>
                <v:shape id="Text Box 38" o:spid="_x0000_s1029" type="#_x0000_t110" style="position:absolute;left:10444;top:17785;width:18720;height:5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" fillcolor="white [3201]" strokeweight=".5pt">
                  <v:textbox inset="2.0085mm,1.00425mm,2.0085mm,1.00425mm">
                    <w:txbxContent>
                      <w:p w14:paraId="2296B0DF" w14:textId="77777777" w:rsidR="001B3435" w:rsidRPr="00B82329" w:rsidRDefault="001B3435" w:rsidP="00F51A7A">
                        <w:pPr>
                          <w:spacing w:line="256" w:lineRule="auto"/>
                          <w:jc w:val="center"/>
                          <w:rPr>
                            <w:rFonts w:ascii="Arial Narrow" w:eastAsia="Calibri" w:hAnsi="Arial Narrow"/>
                            <w:sz w:val="18"/>
                            <w:szCs w:val="18"/>
                            <w:lang w:val="en-US"/>
                          </w:rPr>
                        </w:pPr>
                        <w:r w:rsidRPr="00B82329">
                          <w:rPr>
                            <w:rFonts w:ascii="Arial Narrow" w:eastAsia="Calibri" w:hAnsi="Arial Narrow"/>
                            <w:sz w:val="18"/>
                            <w:szCs w:val="18"/>
                            <w:lang w:val="en-US"/>
                          </w:rPr>
                          <w:t xml:space="preserve">Stone cleared? </w:t>
                        </w:r>
                      </w:p>
                    </w:txbxContent>
                  </v:textbox>
                </v:shape>
                <v:roundrect id="Text Box 39" o:spid="_x0000_s1030" style="position:absolute;left:11080;top:25377;width:17764;height:34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" fillcolor="#e7e6e6 [3214]" strokeweight=".5pt">
                  <v:textbox inset="2.0085mm,1.00425mm,2.0085mm,1.00425mm">
                    <w:txbxContent>
                      <w:p w14:paraId="0F0CDB20" w14:textId="77777777" w:rsidR="001B3435" w:rsidRPr="00DA5461" w:rsidRDefault="001B3435" w:rsidP="00F51A7A">
                        <w:pPr>
                          <w:spacing w:line="256" w:lineRule="auto"/>
                          <w:jc w:val="center"/>
                          <w:rPr>
                            <w:rFonts w:ascii="Arial Narrow" w:eastAsia="Calibri" w:hAnsi="Arial Narrow"/>
                            <w:b/>
                            <w:bCs/>
                            <w:sz w:val="18"/>
                            <w:szCs w:val="18"/>
                            <w:lang w:val="en-US"/>
                          </w:rPr>
                        </w:pPr>
                        <w:r w:rsidRPr="00DA5461">
                          <w:rPr>
                            <w:rFonts w:ascii="Arial Narrow" w:eastAsia="Calibri" w:hAnsi="Arial Narrow"/>
                            <w:b/>
                            <w:bCs/>
                            <w:sz w:val="18"/>
                            <w:szCs w:val="18"/>
                            <w:lang w:val="en-US"/>
                          </w:rPr>
                          <w:t xml:space="preserve">Difficult biliary stone </w:t>
                        </w:r>
                      </w:p>
                    </w:txbxContent>
                  </v:textbox>
                </v:roundrect>
                <v:roundrect id="Text Box 40" o:spid="_x0000_s1031" style="position:absolute;left:10940;top:4714;width:17738;height:30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" fillcolor="white [3201]" strokeweight=".5pt">
                  <v:textbox inset="2.0085mm,1.00425mm,2.0085mm,1.00425mm">
                    <w:txbxContent>
                      <w:p w14:paraId="3BDEFAB2" w14:textId="77777777" w:rsidR="001B3435" w:rsidRPr="00B82329" w:rsidRDefault="001B3435" w:rsidP="00F51A7A">
                        <w:pPr>
                          <w:spacing w:line="256" w:lineRule="auto"/>
                          <w:jc w:val="center"/>
                          <w:rPr>
                            <w:rFonts w:ascii="Arial Narrow" w:eastAsia="Calibri" w:hAnsi="Arial Narrow"/>
                            <w:sz w:val="18"/>
                            <w:szCs w:val="18"/>
                            <w:lang w:val="en-US"/>
                          </w:rPr>
                        </w:pPr>
                        <w:r w:rsidRPr="00B82329">
                          <w:rPr>
                            <w:rFonts w:ascii="Arial Narrow" w:eastAsia="Calibri" w:hAnsi="Arial Narrow"/>
                            <w:sz w:val="18"/>
                            <w:szCs w:val="18"/>
                            <w:lang w:val="en-US"/>
                          </w:rPr>
                          <w:t>Laparoscopic cholecystectomy*</w:t>
                        </w:r>
                      </w:p>
                    </w:txbxContent>
                  </v:textbox>
                </v:roundrect>
                <v:roundrect id="Text Box 41" o:spid="_x0000_s1032" alt="Figure 1 Clinical management pathway before patients are eligible for therapeutic POCPS" style="position:absolute;left:10940;top:9431;width:17738;height:62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" fillcolor="white [3201]" strokeweight=".5pt">
                  <v:textbox inset="2.0085mm,1.00425mm,2.0085mm,1.00425mm">
                    <w:txbxContent>
                      <w:p w14:paraId="7E90CCAF" w14:textId="77777777" w:rsidR="001B3435" w:rsidRPr="00B82329" w:rsidRDefault="001B3435" w:rsidP="00F51A7A">
                        <w:pPr>
                          <w:spacing w:line="256" w:lineRule="auto"/>
                          <w:jc w:val="center"/>
                          <w:rPr>
                            <w:rFonts w:ascii="Arial Narrow" w:eastAsia="Calibri" w:hAnsi="Arial Narrow"/>
                            <w:sz w:val="18"/>
                            <w:szCs w:val="18"/>
                            <w:lang w:val="en-US"/>
                          </w:rPr>
                        </w:pPr>
                        <w:r w:rsidRPr="00654C1F">
                          <w:rPr>
                            <w:rFonts w:ascii="Arial Narrow" w:eastAsia="Calibri" w:hAnsi="Arial Narrow"/>
                            <w:sz w:val="18"/>
                            <w:szCs w:val="18"/>
                            <w:lang w:val="en-US"/>
                          </w:rPr>
                          <w:t xml:space="preserve">ERCP-guided balloon/basket sphincteroplasty </w:t>
                        </w:r>
                        <w:r w:rsidRPr="00B82329">
                          <w:rPr>
                            <w:rFonts w:ascii="Arial Narrow" w:eastAsia="Calibri" w:hAnsi="Arial Narrow"/>
                            <w:sz w:val="18"/>
                            <w:szCs w:val="18"/>
                            <w:lang w:val="en-US"/>
                          </w:rPr>
                          <w:t>and/or mechanical lithotripsy</w:t>
                        </w:r>
                      </w:p>
                    </w:txbxContent>
                  </v:textbox>
                </v:roundrect>
                <v:shapetype id="_x0000_t32" coordsize="21600,21600" o:spt="32" o:oned="t" path="m,l21600,21600e" filled="f">
                  <v:path arrowok="t" fillok="f" o:connecttype="none"/>
                  <o:lock v:ext="edit" shapetype="t"/>
                </v:shapetype>
                <v:shape id="Straight Arrow Connector 42" o:spid="_x0000_s1033" type="#_x0000_t32" style="position:absolute;left:19809;top:7774;width:0;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" strokecolor="black [3200]" strokeweight=".5pt">
                  <v:stroke endarrow="open" joinstyle="miter"/>
                </v:shape>
                <v:shape id="Straight Arrow Connector 44" o:spid="_x0000_s1034" type="#_x0000_t32" style="position:absolute;left:19809;top:3060;width:0;height:16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" strokecolor="black [3200]" strokeweight=".5pt">
                  <v:stroke endarrow="open" joinstyle="miter"/>
                </v:shape>
                <v:shape id="Straight Arrow Connector 46" o:spid="_x0000_s1035" type="#_x0000_t32" style="position:absolute;left:19804;top:15712;width:5;height:20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" strokecolor="black [3200]" strokeweight=".5pt">
                  <v:stroke endarrow="open" joinstyle="miter"/>
                </v:shape>
                <v:shape id="Straight Arrow Connector 63" o:spid="_x0000_s1036" type="#_x0000_t32" style="position:absolute;left:19809;top:23723;width:4;height:16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" strokecolor="black [3200]" strokeweight=".5pt">
                  <v:stroke endarrow="open" joinstyle="miter"/>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10" o:spid="_x0000_s1037" type="#_x0000_t87" style="position:absolute;left:8457;top:9431;width:2305;height:57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" adj="724" strokecolor="black [3213]" strokeweight=".25pt">
                  <v:stroke joinstyle="miter"/>
                </v:shape>
                <v:shapetype id="_x0000_t202" coordsize="21600,21600" o:spt="202" path="m,l,21600r21600,l21600,xe">
                  <v:stroke joinstyle="miter"/>
                  <v:path gradientshapeok="t" o:connecttype="rect"/>
                </v:shapetype>
                <v:shape id="Text Box 112" o:spid="_x0000_s1038" type="#_x0000_t202" style="position:absolute;left:359;top:9752;width:8097;height:54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" fillcolor="white [3201]" stroked="f" strokeweight=".5pt">
                  <v:textbox>
                    <w:txbxContent>
                      <w:p w14:paraId="461DFA2D" w14:textId="77777777" w:rsidR="001B3435" w:rsidRDefault="001B3435" w:rsidP="00F51A7A">
                        <w:pPr>
                          <w:spacing w:line="254" w:lineRule="auto"/>
                          <w:jc w:val="center"/>
                          <w:rPr>
                            <w:rFonts w:ascii="Arial Narrow" w:eastAsia="Calibri" w:hAnsi="Arial Narrow"/>
                            <w:sz w:val="16"/>
                            <w:szCs w:val="16"/>
                            <w:lang w:val="en-US"/>
                          </w:rPr>
                        </w:pPr>
                        <w:r>
                          <w:rPr>
                            <w:rFonts w:ascii="Arial Narrow" w:eastAsia="Calibri" w:hAnsi="Arial Narrow"/>
                            <w:sz w:val="16"/>
                            <w:szCs w:val="16"/>
                            <w:lang w:val="en-US"/>
                          </w:rPr>
                          <w:t xml:space="preserve">Conventional </w:t>
                        </w:r>
                      </w:p>
                      <w:p w14:paraId="07136FCF" w14:textId="77777777" w:rsidR="001B3435" w:rsidRDefault="001B3435" w:rsidP="00F51A7A">
                        <w:pPr>
                          <w:spacing w:line="254" w:lineRule="auto"/>
                          <w:jc w:val="center"/>
                          <w:rPr>
                            <w:rFonts w:ascii="Arial Narrow" w:eastAsia="Calibri" w:hAnsi="Arial Narrow"/>
                            <w:sz w:val="16"/>
                            <w:szCs w:val="16"/>
                            <w:lang w:val="en-US"/>
                          </w:rPr>
                        </w:pPr>
                        <w:r>
                          <w:rPr>
                            <w:rFonts w:ascii="Arial Narrow" w:eastAsia="Calibri" w:hAnsi="Arial Narrow"/>
                            <w:sz w:val="16"/>
                            <w:szCs w:val="16"/>
                            <w:lang w:val="en-US"/>
                          </w:rPr>
                          <w:t>ERCP-extraction</w:t>
                        </w:r>
                      </w:p>
                      <w:p w14:paraId="0FB51B6A" w14:textId="77777777" w:rsidR="001B3435" w:rsidRDefault="001B3435" w:rsidP="00F51A7A">
                        <w:pPr>
                          <w:spacing w:line="254" w:lineRule="auto"/>
                          <w:jc w:val="center"/>
                          <w:rPr>
                            <w:rFonts w:ascii="Arial Narrow" w:eastAsia="Calibri" w:hAnsi="Arial Narrow"/>
                            <w:sz w:val="16"/>
                            <w:szCs w:val="16"/>
                            <w:lang w:val="en-US"/>
                          </w:rPr>
                        </w:pPr>
                        <w:r>
                          <w:rPr>
                            <w:rFonts w:ascii="Arial Narrow" w:eastAsia="Calibri" w:hAnsi="Arial Narrow"/>
                            <w:sz w:val="16"/>
                            <w:szCs w:val="16"/>
                            <w:lang w:val="en-US"/>
                          </w:rPr>
                          <w:t xml:space="preserve">techniques  </w:t>
                        </w:r>
                        <w:r>
                          <w:rPr>
                            <w:rFonts w:ascii="Arial Narrow" w:eastAsia="Calibri" w:hAnsi="Arial Narrow"/>
                            <w:sz w:val="18"/>
                            <w:szCs w:val="18"/>
                            <w:lang w:val="en-US"/>
                          </w:rPr>
                          <w:t xml:space="preserve"> </w:t>
                        </w:r>
                      </w:p>
                      <w:p w14:paraId="31E9625D" w14:textId="77777777" w:rsidR="001B3435" w:rsidRPr="009822E4" w:rsidRDefault="001B3435" w:rsidP="00F51A7A">
                        <w:pPr>
                          <w:rPr>
                            <w:lang w:val="en-US"/>
                          </w:rPr>
                        </w:pPr>
                      </w:p>
                    </w:txbxContent>
                  </v:textbox>
                </v:shape>
                <w10:anchorlock/>
              </v:group>
            </w:pict>
          </mc:Fallback>
        </mc:AlternateContent>
      </w:r>
      <w:bookmarkEnd w:id="22"/>
      <w:bookmarkEnd w:id="23"/>
      <w:bookmarkEnd w:id="24"/>
      <w:bookmarkEnd w:id="25"/>
    </w:p>
    <w:p w14:paraId="3EE61D6D" w14:textId="6CDEB059" w:rsidR="00F51A7A" w:rsidRPr="0045298B" w:rsidRDefault="0045298B" w:rsidP="0045298B">
      <w:pPr>
        <w:pStyle w:val="Caption"/>
        <w:rPr>
          <w:rFonts w:eastAsiaTheme="minorHAnsi"/>
        </w:rPr>
      </w:pPr>
      <w:bookmarkStart w:id="26" w:name="_Ref89077398"/>
      <w:r>
        <w:t xml:space="preserve">Figure </w:t>
      </w:r>
      <w:r>
        <w:fldChar w:fldCharType="begin"/>
      </w:r>
      <w:r>
        <w:instrText>SEQ Figure \* ARABIC</w:instrText>
      </w:r>
      <w:r>
        <w:fldChar w:fldCharType="separate"/>
      </w:r>
      <w:r w:rsidR="00D422BC">
        <w:rPr>
          <w:noProof/>
        </w:rPr>
        <w:t>1</w:t>
      </w:r>
      <w:r>
        <w:fldChar w:fldCharType="end"/>
      </w:r>
      <w:bookmarkEnd w:id="26"/>
      <w:r>
        <w:tab/>
      </w:r>
      <w:r w:rsidRPr="00B93C20">
        <w:t>Clinical management pathway before patients are eligible for therapeutic POCPS</w:t>
      </w:r>
    </w:p>
    <w:p w14:paraId="1D03B285" w14:textId="6E2FDB82" w:rsidR="00F51A7A" w:rsidRDefault="00F51A7A" w:rsidP="0045298B">
      <w:pPr>
        <w:pStyle w:val="Tablenotes"/>
      </w:pPr>
      <w:bookmarkStart w:id="27" w:name="_Hlk64801557"/>
      <w:r>
        <w:t>Abbreviations: EPBD=</w:t>
      </w:r>
      <w:r w:rsidR="00FF1E7B">
        <w:t>e</w:t>
      </w:r>
      <w:r w:rsidRPr="00DF4CDD">
        <w:t>ndoscopic papillary balloon dilation</w:t>
      </w:r>
      <w:r w:rsidR="00FF1E7B">
        <w:t>;</w:t>
      </w:r>
      <w:r>
        <w:t xml:space="preserve"> ERCP=endoscopic retrograde cholangiopancreatography; ES=endoscopic</w:t>
      </w:r>
      <w:r w:rsidRPr="00DF4CDD">
        <w:t xml:space="preserve"> sphincterotomy</w:t>
      </w:r>
    </w:p>
    <w:p w14:paraId="31E45C94" w14:textId="77777777" w:rsidR="00F51A7A" w:rsidRPr="00927E85" w:rsidRDefault="00F51A7A" w:rsidP="0045298B">
      <w:pPr>
        <w:pStyle w:val="Tablenotes"/>
      </w:pPr>
      <w:r>
        <w:t>*</w:t>
      </w:r>
      <w:r w:rsidRPr="00537A95">
        <w:t xml:space="preserve"> Laparoscopic cholecystectomy</w:t>
      </w:r>
      <w:r>
        <w:t xml:space="preserve"> may be done, prior to or following an ERCP procedure.</w:t>
      </w:r>
      <w:bookmarkEnd w:id="27"/>
    </w:p>
    <w:p w14:paraId="6ABCFEC2" w14:textId="77777777" w:rsidR="000629F6" w:rsidRDefault="00B01880" w:rsidP="0015035D">
      <w:pPr>
        <w:spacing w:before="240" w:after="240"/>
      </w:pPr>
      <w:r>
        <w:t xml:space="preserve">The ADAR claims that the higher procedural success of POCPS-guided LL/EHL will help avoid repeated unsuccessful ERCP procedures or laparoscopic choledochotomy, </w:t>
      </w:r>
      <w:r w:rsidR="000629F6">
        <w:t>a more invasive surgical extraction with prolonged hospitalisation.</w:t>
      </w:r>
    </w:p>
    <w:p w14:paraId="2C156A17" w14:textId="137E3586" w:rsidR="00702714" w:rsidRDefault="00702714" w:rsidP="00702714">
      <w:pPr>
        <w:pStyle w:val="Heading3"/>
      </w:pPr>
      <w:r>
        <w:t>Investigative application</w:t>
      </w:r>
    </w:p>
    <w:p w14:paraId="4C93AF8C" w14:textId="62A09DF9" w:rsidR="00702714" w:rsidRDefault="00702714" w:rsidP="001F621F">
      <w:pPr>
        <w:spacing w:after="240"/>
      </w:pPr>
      <w:r>
        <w:t>The population proposed as eligible for investigative POCPS visualisation and biopsy are patients with inconclusive biliary strictures (i.e., inability to make a diagnosis) from prior ERCP-guided brush cytology and/or ERCP-guided intraductal biopsy.</w:t>
      </w:r>
    </w:p>
    <w:p w14:paraId="58C27ABB" w14:textId="3CBFB783" w:rsidR="00702714" w:rsidRDefault="00702714" w:rsidP="001F621F">
      <w:pPr>
        <w:spacing w:after="240"/>
      </w:pPr>
      <w:r>
        <w:t xml:space="preserve">The proposed technology would be used in </w:t>
      </w:r>
      <w:r w:rsidR="00D82A74">
        <w:t>conjunction with</w:t>
      </w:r>
      <w:r>
        <w:t xml:space="preserve"> </w:t>
      </w:r>
      <w:r w:rsidR="00D82A74">
        <w:t>the</w:t>
      </w:r>
      <w:r>
        <w:t xml:space="preserve"> current technology (ERCP) when </w:t>
      </w:r>
      <w:r w:rsidR="00D82A74">
        <w:t xml:space="preserve">prior ERCP-guided attempts failed </w:t>
      </w:r>
      <w:r w:rsidR="00F51A7A">
        <w:t>to reach a definitive diagnosis</w:t>
      </w:r>
      <w:r>
        <w:t xml:space="preserve">. The ERCP component of the current technology is publicly funded by the MBS (item 30484). </w:t>
      </w:r>
    </w:p>
    <w:p w14:paraId="12E8374C" w14:textId="65B77E91" w:rsidR="0045298B" w:rsidRPr="0045298B" w:rsidRDefault="0045298B" w:rsidP="001F621F">
      <w:pPr>
        <w:spacing w:after="240"/>
      </w:pPr>
      <w:r>
        <w:t>The patient’s clinical management pathway before they are eligible for POCPS-guided</w:t>
      </w:r>
      <w:r w:rsidR="00753A67">
        <w:t xml:space="preserve"> </w:t>
      </w:r>
      <w:r w:rsidR="00021AFC">
        <w:t xml:space="preserve">visualisation and biopsy </w:t>
      </w:r>
      <w:r>
        <w:t>is summarised in</w:t>
      </w:r>
      <w:r w:rsidR="00FF1E7B">
        <w:t xml:space="preserve"> </w:t>
      </w:r>
      <w:r w:rsidR="00FF1E7B" w:rsidRPr="001F621F">
        <w:rPr>
          <w:iCs/>
        </w:rPr>
        <w:fldChar w:fldCharType="begin"/>
      </w:r>
      <w:r w:rsidR="00FF1E7B" w:rsidRPr="001F621F">
        <w:rPr>
          <w:iCs/>
        </w:rPr>
        <w:instrText xml:space="preserve"> REF _Ref89077463 \h </w:instrText>
      </w:r>
      <w:r w:rsidR="001F621F">
        <w:rPr>
          <w:iCs/>
        </w:rPr>
        <w:instrText xml:space="preserve"> \* MERGEFORMAT </w:instrText>
      </w:r>
      <w:r w:rsidR="00FF1E7B" w:rsidRPr="001F621F">
        <w:rPr>
          <w:iCs/>
        </w:rPr>
      </w:r>
      <w:r w:rsidR="00FF1E7B" w:rsidRPr="001F621F">
        <w:rPr>
          <w:iCs/>
        </w:rPr>
        <w:fldChar w:fldCharType="separate"/>
      </w:r>
      <w:r w:rsidR="00D422BC" w:rsidRPr="00D422BC">
        <w:rPr>
          <w:iCs/>
        </w:rPr>
        <w:t>Figure 2</w:t>
      </w:r>
      <w:r w:rsidR="00FF1E7B" w:rsidRPr="001F621F">
        <w:rPr>
          <w:iCs/>
        </w:rPr>
        <w:fldChar w:fldCharType="end"/>
      </w:r>
      <w:r>
        <w:t>.</w:t>
      </w:r>
    </w:p>
    <w:bookmarkStart w:id="28" w:name="_Ref78291503"/>
    <w:bookmarkStart w:id="29" w:name="_Toc84313761"/>
    <w:bookmarkStart w:id="30" w:name="_Toc88760318"/>
    <w:p w14:paraId="2D253EEB" w14:textId="77777777" w:rsidR="00FF1E7B" w:rsidRDefault="0045298B" w:rsidP="00FF1E7B">
      <w:pPr>
        <w:pStyle w:val="Caption"/>
      </w:pPr>
      <w:r>
        <w:rPr>
          <w:noProof/>
          <w:lang w:eastAsia="en-AU"/>
        </w:rPr>
        <w:lastRenderedPageBreak/>
        <mc:AlternateContent>
          <mc:Choice Requires="wpc">
            <w:drawing>
              <wp:inline distT="0" distB="0" distL="0" distR="0" wp14:anchorId="6112EE8A" wp14:editId="5FBC4043">
                <wp:extent cx="6128385" cy="5275580"/>
                <wp:effectExtent l="0" t="0" r="5715" b="1270"/>
                <wp:docPr id="248" name="Canvas 248" descr="Figure 2  Clinical management pathway before patients are eligible for diagnostic POCPS"/>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13" name="Text Box 113"/>
                        <wps:cNvSpPr txBox="1"/>
                        <wps:spPr>
                          <a:xfrm>
                            <a:off x="2106896" y="0"/>
                            <a:ext cx="1733550" cy="306000"/>
                          </a:xfrm>
                          <a:prstGeom prst="roundRect">
                            <a:avLst/>
                          </a:prstGeom>
                          <a:solidFill>
                            <a:schemeClr val="lt1"/>
                          </a:solidFill>
                          <a:ln w="6350">
                            <a:solidFill>
                              <a:prstClr val="black"/>
                            </a:solidFill>
                          </a:ln>
                        </wps:spPr>
                        <wps:txbx>
                          <w:txbxContent>
                            <w:p w14:paraId="3389A33C" w14:textId="77777777" w:rsidR="001B3435" w:rsidRPr="00353CE5" w:rsidRDefault="001B3435" w:rsidP="0045298B">
                              <w:pPr>
                                <w:pStyle w:val="TableTextCA"/>
                                <w:rPr>
                                  <w:szCs w:val="18"/>
                                </w:rPr>
                              </w:pPr>
                              <w:r w:rsidRPr="00353CE5">
                                <w:rPr>
                                  <w:szCs w:val="18"/>
                                </w:rPr>
                                <w:t>Suspected biliary stricture*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4" name="Text Box 114" descr="Figure 2  Clinical management pathway before patients are eligible for diagnostic POCPS"/>
                        <wps:cNvSpPr txBox="1"/>
                        <wps:spPr>
                          <a:xfrm>
                            <a:off x="2108801" y="542926"/>
                            <a:ext cx="1733550" cy="306000"/>
                          </a:xfrm>
                          <a:prstGeom prst="roundRect">
                            <a:avLst/>
                          </a:prstGeom>
                          <a:solidFill>
                            <a:schemeClr val="lt1"/>
                          </a:solidFill>
                          <a:ln w="6350">
                            <a:solidFill>
                              <a:prstClr val="black"/>
                            </a:solidFill>
                          </a:ln>
                        </wps:spPr>
                        <wps:txbx>
                          <w:txbxContent>
                            <w:p w14:paraId="5E21DA85" w14:textId="77777777" w:rsidR="001B3435" w:rsidRPr="00353CE5" w:rsidRDefault="001B3435" w:rsidP="0045298B">
                              <w:pPr>
                                <w:pStyle w:val="TableTextCA"/>
                                <w:rPr>
                                  <w:szCs w:val="18"/>
                                </w:rPr>
                              </w:pPr>
                              <w:r w:rsidRPr="00353CE5">
                                <w:rPr>
                                  <w:szCs w:val="18"/>
                                </w:rPr>
                                <w:t>CT/MRI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Text Box 115"/>
                        <wps:cNvSpPr txBox="1"/>
                        <wps:spPr>
                          <a:xfrm>
                            <a:off x="647065" y="1272176"/>
                            <a:ext cx="2130266" cy="648000"/>
                          </a:xfrm>
                          <a:prstGeom prst="flowChartDecision">
                            <a:avLst/>
                          </a:prstGeom>
                          <a:solidFill>
                            <a:schemeClr val="lt1"/>
                          </a:solidFill>
                          <a:ln w="6350">
                            <a:solidFill>
                              <a:prstClr val="black"/>
                            </a:solidFill>
                          </a:ln>
                        </wps:spPr>
                        <wps:txbx>
                          <w:txbxContent>
                            <w:p w14:paraId="619EB1C7" w14:textId="77777777" w:rsidR="001B3435" w:rsidRPr="00353CE5" w:rsidRDefault="001B3435" w:rsidP="0045298B">
                              <w:pPr>
                                <w:jc w:val="center"/>
                                <w:rPr>
                                  <w:rFonts w:ascii="Arial Narrow" w:hAnsi="Arial Narrow"/>
                                  <w:sz w:val="18"/>
                                  <w:szCs w:val="18"/>
                                </w:rPr>
                              </w:pPr>
                              <w:r w:rsidRPr="00353CE5">
                                <w:rPr>
                                  <w:rFonts w:ascii="Arial Narrow" w:hAnsi="Arial Narrow"/>
                                  <w:sz w:val="18"/>
                                  <w:szCs w:val="18"/>
                                </w:rPr>
                                <w:t>Distal stricture</w:t>
                              </w:r>
                              <w:r>
                                <w:rPr>
                                  <w:rFonts w:ascii="Arial Narrow" w:hAnsi="Arial Narrow"/>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6" name="Text Box 116"/>
                        <wps:cNvSpPr txBox="1"/>
                        <wps:spPr>
                          <a:xfrm>
                            <a:off x="694656" y="2132353"/>
                            <a:ext cx="2016000" cy="648000"/>
                          </a:xfrm>
                          <a:prstGeom prst="flowChartDecision">
                            <a:avLst/>
                          </a:prstGeom>
                          <a:solidFill>
                            <a:schemeClr val="lt1"/>
                          </a:solidFill>
                          <a:ln w="6350">
                            <a:solidFill>
                              <a:prstClr val="black"/>
                            </a:solidFill>
                          </a:ln>
                        </wps:spPr>
                        <wps:txbx>
                          <w:txbxContent>
                            <w:p w14:paraId="2E5D2822" w14:textId="77777777" w:rsidR="001B3435" w:rsidRPr="00353CE5" w:rsidRDefault="001B3435" w:rsidP="0045298B">
                              <w:pPr>
                                <w:jc w:val="center"/>
                                <w:rPr>
                                  <w:rFonts w:ascii="Arial Narrow" w:hAnsi="Arial Narrow"/>
                                  <w:sz w:val="18"/>
                                  <w:szCs w:val="18"/>
                                </w:rPr>
                              </w:pPr>
                              <w:r>
                                <w:rPr>
                                  <w:rFonts w:ascii="Arial Narrow" w:hAnsi="Arial Narrow"/>
                                  <w:sz w:val="18"/>
                                  <w:szCs w:val="18"/>
                                </w:rPr>
                                <w:t>Symptomatic?</w:t>
                              </w:r>
                              <w:r w:rsidRPr="00353CE5">
                                <w:rPr>
                                  <w:rFonts w:ascii="Arial Narrow" w:hAnsi="Arial Narrow"/>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8" name="Text Box 118"/>
                        <wps:cNvSpPr txBox="1"/>
                        <wps:spPr>
                          <a:xfrm>
                            <a:off x="3276600" y="1272790"/>
                            <a:ext cx="2130266" cy="648000"/>
                          </a:xfrm>
                          <a:prstGeom prst="flowChartDecision">
                            <a:avLst/>
                          </a:prstGeom>
                          <a:solidFill>
                            <a:schemeClr val="lt1"/>
                          </a:solidFill>
                          <a:ln w="6350">
                            <a:solidFill>
                              <a:prstClr val="black"/>
                            </a:solidFill>
                          </a:ln>
                        </wps:spPr>
                        <wps:txbx>
                          <w:txbxContent>
                            <w:p w14:paraId="200C1D28" w14:textId="77777777" w:rsidR="001B3435" w:rsidRPr="00353CE5" w:rsidRDefault="001B3435" w:rsidP="0045298B">
                              <w:pPr>
                                <w:jc w:val="center"/>
                                <w:rPr>
                                  <w:rFonts w:ascii="Arial Narrow" w:hAnsi="Arial Narrow"/>
                                  <w:sz w:val="18"/>
                                  <w:szCs w:val="18"/>
                                </w:rPr>
                              </w:pPr>
                              <w:r w:rsidRPr="00353CE5">
                                <w:rPr>
                                  <w:rFonts w:ascii="Arial Narrow" w:hAnsi="Arial Narrow"/>
                                  <w:sz w:val="18"/>
                                  <w:szCs w:val="18"/>
                                </w:rPr>
                                <w:t>Proximal stricture</w:t>
                              </w:r>
                              <w:r>
                                <w:rPr>
                                  <w:rFonts w:ascii="Arial Narrow" w:hAnsi="Arial Narrow"/>
                                  <w:sz w:val="18"/>
                                  <w:szCs w:val="18"/>
                                </w:rPr>
                                <w:t>?</w:t>
                              </w:r>
                              <w:r w:rsidRPr="00353CE5">
                                <w:rPr>
                                  <w:rFonts w:ascii="Arial Narrow" w:hAnsi="Arial Narrow"/>
                                  <w:sz w:val="18"/>
                                  <w:szCs w:val="18"/>
                                </w:rPr>
                                <w:t xml:space="preserve"> </w:t>
                              </w:r>
                            </w:p>
                            <w:p w14:paraId="0BC749C5" w14:textId="77777777" w:rsidR="001B3435" w:rsidRPr="00353CE5" w:rsidRDefault="001B3435" w:rsidP="0045298B">
                              <w:pPr>
                                <w:jc w:val="center"/>
                                <w:rPr>
                                  <w:rFonts w:ascii="Arial Narrow" w:hAnsi="Arial Narrow" w:cstheme="minorHAnsi"/>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Text Box 119"/>
                        <wps:cNvSpPr txBox="1"/>
                        <wps:spPr>
                          <a:xfrm>
                            <a:off x="3324376" y="2132965"/>
                            <a:ext cx="2016000" cy="648000"/>
                          </a:xfrm>
                          <a:prstGeom prst="flowChartDecision">
                            <a:avLst/>
                          </a:prstGeom>
                          <a:solidFill>
                            <a:schemeClr val="lt1"/>
                          </a:solidFill>
                          <a:ln w="6350">
                            <a:solidFill>
                              <a:prstClr val="black"/>
                            </a:solidFill>
                          </a:ln>
                        </wps:spPr>
                        <wps:txbx>
                          <w:txbxContent>
                            <w:p w14:paraId="187FD7E8" w14:textId="77777777" w:rsidR="001B3435" w:rsidRPr="00353CE5" w:rsidRDefault="001B3435" w:rsidP="0045298B">
                              <w:pPr>
                                <w:jc w:val="center"/>
                                <w:rPr>
                                  <w:rFonts w:ascii="Arial Narrow" w:hAnsi="Arial Narrow"/>
                                  <w:sz w:val="18"/>
                                  <w:szCs w:val="18"/>
                                </w:rPr>
                              </w:pPr>
                              <w:r w:rsidRPr="00353CE5">
                                <w:rPr>
                                  <w:rFonts w:ascii="Arial Narrow" w:hAnsi="Arial Narrow"/>
                                  <w:sz w:val="18"/>
                                  <w:szCs w:val="18"/>
                                </w:rPr>
                                <w:t xml:space="preserve">Mass detected?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0" name="Text Box 120"/>
                        <wps:cNvSpPr txBox="1"/>
                        <wps:spPr>
                          <a:xfrm>
                            <a:off x="3477861" y="4152901"/>
                            <a:ext cx="1733550" cy="306000"/>
                          </a:xfrm>
                          <a:prstGeom prst="roundRect">
                            <a:avLst/>
                          </a:prstGeom>
                          <a:solidFill>
                            <a:schemeClr val="lt1"/>
                          </a:solidFill>
                          <a:ln w="6350">
                            <a:solidFill>
                              <a:prstClr val="black"/>
                            </a:solidFill>
                          </a:ln>
                        </wps:spPr>
                        <wps:txbx>
                          <w:txbxContent>
                            <w:p w14:paraId="11C4C4C4" w14:textId="77777777" w:rsidR="001B3435" w:rsidRPr="00455C0C" w:rsidRDefault="001B3435" w:rsidP="0045298B">
                              <w:pPr>
                                <w:pStyle w:val="TableTextCA"/>
                                <w:rPr>
                                  <w:szCs w:val="18"/>
                                </w:rPr>
                              </w:pPr>
                              <w:r w:rsidRPr="00455C0C">
                                <w:rPr>
                                  <w:szCs w:val="18"/>
                                </w:rPr>
                                <w:t>ERCP</w:t>
                              </w:r>
                              <w:r>
                                <w:rPr>
                                  <w:szCs w:val="18"/>
                                </w:rPr>
                                <w:t>-BC/IB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 name="Text Box 121"/>
                        <wps:cNvSpPr txBox="1"/>
                        <wps:spPr>
                          <a:xfrm>
                            <a:off x="840071" y="3693819"/>
                            <a:ext cx="1733550" cy="306000"/>
                          </a:xfrm>
                          <a:prstGeom prst="roundRect">
                            <a:avLst/>
                          </a:prstGeom>
                          <a:solidFill>
                            <a:schemeClr val="lt1"/>
                          </a:solidFill>
                          <a:ln w="6350">
                            <a:solidFill>
                              <a:prstClr val="black"/>
                            </a:solidFill>
                          </a:ln>
                        </wps:spPr>
                        <wps:txbx>
                          <w:txbxContent>
                            <w:p w14:paraId="2FD9AA04" w14:textId="77777777" w:rsidR="001B3435" w:rsidRPr="00455C0C" w:rsidRDefault="001B3435" w:rsidP="0045298B">
                              <w:pPr>
                                <w:pStyle w:val="TableTextCA"/>
                                <w:rPr>
                                  <w:szCs w:val="18"/>
                                </w:rPr>
                              </w:pPr>
                              <w:r w:rsidRPr="00455C0C">
                                <w:rPr>
                                  <w:szCs w:val="18"/>
                                </w:rPr>
                                <w:t>EUS</w:t>
                              </w:r>
                              <w:r>
                                <w:rPr>
                                  <w:szCs w:val="18"/>
                                </w:rPr>
                                <w:t>-FNA**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 name="Text Box 122"/>
                        <wps:cNvSpPr txBox="1"/>
                        <wps:spPr>
                          <a:xfrm>
                            <a:off x="3477630" y="4933951"/>
                            <a:ext cx="1733550" cy="306000"/>
                          </a:xfrm>
                          <a:prstGeom prst="roundRect">
                            <a:avLst/>
                          </a:prstGeom>
                          <a:solidFill>
                            <a:schemeClr val="accent3">
                              <a:lumMod val="20000"/>
                              <a:lumOff val="80000"/>
                            </a:schemeClr>
                          </a:solidFill>
                          <a:ln w="12700">
                            <a:solidFill>
                              <a:prstClr val="black"/>
                            </a:solidFill>
                          </a:ln>
                        </wps:spPr>
                        <wps:txbx>
                          <w:txbxContent>
                            <w:p w14:paraId="08B48D14" w14:textId="77777777" w:rsidR="001B3435" w:rsidRPr="00455C0C" w:rsidRDefault="001B3435" w:rsidP="0045298B">
                              <w:pPr>
                                <w:pStyle w:val="TableTextCA"/>
                                <w:rPr>
                                  <w:b/>
                                  <w:bCs/>
                                  <w:szCs w:val="18"/>
                                </w:rPr>
                              </w:pPr>
                              <w:r w:rsidRPr="00455C0C">
                                <w:rPr>
                                  <w:b/>
                                  <w:bCs/>
                                  <w:szCs w:val="18"/>
                                </w:rPr>
                                <w:t>Indeterminate biliary stricture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Connector: Elbow 123"/>
                        <wps:cNvCnPr/>
                        <wps:spPr>
                          <a:xfrm rot="5400000">
                            <a:off x="2127491" y="424091"/>
                            <a:ext cx="423250" cy="1272920"/>
                          </a:xfrm>
                          <a:prstGeom prst="bentConnector3">
                            <a:avLst>
                              <a:gd name="adj1" fmla="val 50000"/>
                            </a:avLst>
                          </a:prstGeom>
                          <a:ln w="3175">
                            <a:solidFill>
                              <a:schemeClr val="tx1"/>
                            </a:solidFill>
                            <a:tailEnd type="arrow"/>
                          </a:ln>
                        </wps:spPr>
                        <wps:style>
                          <a:lnRef idx="2">
                            <a:schemeClr val="accent5"/>
                          </a:lnRef>
                          <a:fillRef idx="0">
                            <a:schemeClr val="accent5"/>
                          </a:fillRef>
                          <a:effectRef idx="1">
                            <a:schemeClr val="accent5"/>
                          </a:effectRef>
                          <a:fontRef idx="minor">
                            <a:schemeClr val="tx1"/>
                          </a:fontRef>
                        </wps:style>
                        <wps:bodyPr/>
                      </wps:wsp>
                      <wps:wsp>
                        <wps:cNvPr id="125" name="Connector: Elbow 125"/>
                        <wps:cNvCnPr/>
                        <wps:spPr>
                          <a:xfrm rot="16200000" flipH="1">
                            <a:off x="3441951" y="382550"/>
                            <a:ext cx="423864" cy="1356615"/>
                          </a:xfrm>
                          <a:prstGeom prst="bentConnector3">
                            <a:avLst>
                              <a:gd name="adj1" fmla="val 50000"/>
                            </a:avLst>
                          </a:prstGeom>
                          <a:ln>
                            <a:tailEnd type="arrow"/>
                          </a:ln>
                        </wps:spPr>
                        <wps:style>
                          <a:lnRef idx="1">
                            <a:schemeClr val="dk1"/>
                          </a:lnRef>
                          <a:fillRef idx="0">
                            <a:schemeClr val="dk1"/>
                          </a:fillRef>
                          <a:effectRef idx="0">
                            <a:schemeClr val="dk1"/>
                          </a:effectRef>
                          <a:fontRef idx="minor">
                            <a:schemeClr val="tx1"/>
                          </a:fontRef>
                        </wps:style>
                        <wps:bodyPr/>
                      </wps:wsp>
                      <wps:wsp>
                        <wps:cNvPr id="146" name="Straight Arrow Connector 146"/>
                        <wps:cNvCnPr/>
                        <wps:spPr>
                          <a:xfrm>
                            <a:off x="1702656" y="1920176"/>
                            <a:ext cx="0" cy="21217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50" name="Straight Arrow Connector 150"/>
                        <wps:cNvCnPr/>
                        <wps:spPr>
                          <a:xfrm>
                            <a:off x="1702656" y="2780353"/>
                            <a:ext cx="4190" cy="91346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52" name="Straight Arrow Connector 152"/>
                        <wps:cNvCnPr/>
                        <wps:spPr>
                          <a:xfrm flipH="1" flipV="1">
                            <a:off x="2710656" y="2456353"/>
                            <a:ext cx="613720" cy="61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59" name="Straight Arrow Connector 159"/>
                        <wps:cNvCnPr/>
                        <wps:spPr>
                          <a:xfrm>
                            <a:off x="4332191" y="1920790"/>
                            <a:ext cx="185" cy="212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0" name="Straight Arrow Connector 160"/>
                        <wps:cNvCnPr/>
                        <wps:spPr>
                          <a:xfrm>
                            <a:off x="4332376" y="2780965"/>
                            <a:ext cx="12260" cy="137193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62" name="Connector: Elbow 162"/>
                        <wps:cNvCnPr/>
                        <wps:spPr>
                          <a:xfrm rot="16200000" flipH="1">
                            <a:off x="2242656" y="2244901"/>
                            <a:ext cx="1368000" cy="2448000"/>
                          </a:xfrm>
                          <a:prstGeom prst="bentConnector3">
                            <a:avLst>
                              <a:gd name="adj1" fmla="val 25017"/>
                            </a:avLst>
                          </a:prstGeom>
                          <a:ln>
                            <a:tailEnd type="arrow"/>
                          </a:ln>
                        </wps:spPr>
                        <wps:style>
                          <a:lnRef idx="1">
                            <a:schemeClr val="dk1"/>
                          </a:lnRef>
                          <a:fillRef idx="0">
                            <a:schemeClr val="dk1"/>
                          </a:fillRef>
                          <a:effectRef idx="0">
                            <a:schemeClr val="dk1"/>
                          </a:effectRef>
                          <a:fontRef idx="minor">
                            <a:schemeClr val="tx1"/>
                          </a:fontRef>
                        </wps:style>
                        <wps:bodyPr/>
                      </wps:wsp>
                      <wps:wsp>
                        <wps:cNvPr id="165" name="Text Box 165"/>
                        <wps:cNvSpPr txBox="1"/>
                        <wps:spPr>
                          <a:xfrm>
                            <a:off x="3124986" y="2132353"/>
                            <a:ext cx="337820" cy="325755"/>
                          </a:xfrm>
                          <a:prstGeom prst="rect">
                            <a:avLst/>
                          </a:prstGeom>
                          <a:noFill/>
                          <a:ln w="6350">
                            <a:noFill/>
                          </a:ln>
                        </wps:spPr>
                        <wps:txbx>
                          <w:txbxContent>
                            <w:p w14:paraId="16FCC287" w14:textId="77777777" w:rsidR="001B3435" w:rsidRPr="00DC4C0C" w:rsidRDefault="001B3435" w:rsidP="0045298B">
                              <w:pPr>
                                <w:spacing w:line="256" w:lineRule="auto"/>
                                <w:jc w:val="center"/>
                                <w:rPr>
                                  <w:rFonts w:ascii="Arial Narrow" w:hAnsi="Arial Narrow" w:cstheme="minorHAnsi"/>
                                  <w:b/>
                                  <w:bCs/>
                                  <w:sz w:val="16"/>
                                  <w:szCs w:val="16"/>
                                </w:rPr>
                              </w:pPr>
                              <w:r w:rsidRPr="00F87B7E">
                                <w:rPr>
                                  <w:rFonts w:ascii="Arial Narrow" w:eastAsia="Calibri" w:hAnsi="Arial Narrow" w:cstheme="minorHAnsi"/>
                                  <w:b/>
                                  <w:bCs/>
                                  <w:sz w:val="16"/>
                                  <w:szCs w:val="16"/>
                                  <w:lang w:val="en-US"/>
                                </w:rPr>
                                <w:t>Yes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66" name="Text Box 92"/>
                        <wps:cNvSpPr txBox="1"/>
                        <wps:spPr>
                          <a:xfrm>
                            <a:off x="1687297" y="2780965"/>
                            <a:ext cx="337820" cy="325755"/>
                          </a:xfrm>
                          <a:prstGeom prst="rect">
                            <a:avLst/>
                          </a:prstGeom>
                          <a:noFill/>
                          <a:ln w="6350">
                            <a:noFill/>
                          </a:ln>
                        </wps:spPr>
                        <wps:txbx>
                          <w:txbxContent>
                            <w:p w14:paraId="42A01F61" w14:textId="77777777" w:rsidR="001B3435" w:rsidRPr="00DC4C0C" w:rsidRDefault="001B3435" w:rsidP="0045298B">
                              <w:pPr>
                                <w:spacing w:line="256" w:lineRule="auto"/>
                                <w:jc w:val="center"/>
                                <w:rPr>
                                  <w:rFonts w:ascii="Arial Narrow" w:eastAsia="Calibri" w:hAnsi="Arial Narrow" w:cstheme="minorHAnsi"/>
                                  <w:b/>
                                  <w:bCs/>
                                  <w:sz w:val="16"/>
                                  <w:szCs w:val="16"/>
                                </w:rPr>
                              </w:pPr>
                              <w:r w:rsidRPr="00F87B7E">
                                <w:rPr>
                                  <w:rFonts w:ascii="Arial Narrow" w:eastAsia="Calibri" w:hAnsi="Arial Narrow" w:cs="Calibri"/>
                                  <w:b/>
                                  <w:bCs/>
                                  <w:sz w:val="16"/>
                                  <w:szCs w:val="16"/>
                                  <w:lang w:val="en-US"/>
                                </w:rPr>
                                <w:t>Yes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67" name="Text Box 92"/>
                        <wps:cNvSpPr txBox="1"/>
                        <wps:spPr>
                          <a:xfrm>
                            <a:off x="1413487" y="3085959"/>
                            <a:ext cx="300355" cy="353060"/>
                          </a:xfrm>
                          <a:prstGeom prst="rect">
                            <a:avLst/>
                          </a:prstGeom>
                          <a:noFill/>
                          <a:ln w="6350">
                            <a:noFill/>
                          </a:ln>
                        </wps:spPr>
                        <wps:txbx>
                          <w:txbxContent>
                            <w:p w14:paraId="2DCB8DDE" w14:textId="77777777" w:rsidR="001B3435" w:rsidRPr="00DC4C0C" w:rsidRDefault="001B3435" w:rsidP="0045298B">
                              <w:pPr>
                                <w:spacing w:line="256" w:lineRule="auto"/>
                                <w:jc w:val="center"/>
                                <w:rPr>
                                  <w:rFonts w:ascii="Arial Narrow" w:eastAsia="Calibri" w:hAnsi="Arial Narrow" w:cstheme="minorHAnsi"/>
                                  <w:b/>
                                  <w:bCs/>
                                  <w:sz w:val="16"/>
                                  <w:szCs w:val="16"/>
                                  <w:lang w:val="en-US"/>
                                </w:rPr>
                              </w:pPr>
                              <w:r w:rsidRPr="00DC4C0C">
                                <w:rPr>
                                  <w:rFonts w:ascii="Arial Narrow" w:eastAsia="Calibri" w:hAnsi="Arial Narrow" w:cstheme="minorHAnsi"/>
                                  <w:b/>
                                  <w:bCs/>
                                  <w:sz w:val="16"/>
                                  <w:szCs w:val="16"/>
                                  <w:lang w:val="en-US"/>
                                </w:rPr>
                                <w:t>No</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68" name="Text Box 92"/>
                        <wps:cNvSpPr txBox="1"/>
                        <wps:spPr>
                          <a:xfrm>
                            <a:off x="4401650" y="2730584"/>
                            <a:ext cx="300355" cy="353060"/>
                          </a:xfrm>
                          <a:prstGeom prst="rect">
                            <a:avLst/>
                          </a:prstGeom>
                          <a:noFill/>
                          <a:ln w="6350">
                            <a:noFill/>
                          </a:ln>
                        </wps:spPr>
                        <wps:txbx>
                          <w:txbxContent>
                            <w:p w14:paraId="412574C2" w14:textId="77777777" w:rsidR="001B3435" w:rsidRPr="00DC4C0C" w:rsidRDefault="001B3435" w:rsidP="0045298B">
                              <w:pPr>
                                <w:spacing w:line="256" w:lineRule="auto"/>
                                <w:jc w:val="center"/>
                                <w:rPr>
                                  <w:rFonts w:ascii="Arial Narrow" w:eastAsia="Calibri" w:hAnsi="Arial Narrow" w:cstheme="minorHAnsi"/>
                                  <w:b/>
                                  <w:bCs/>
                                  <w:sz w:val="16"/>
                                  <w:szCs w:val="16"/>
                                  <w:lang w:val="en-US"/>
                                </w:rPr>
                              </w:pPr>
                              <w:r w:rsidRPr="00DC4C0C">
                                <w:rPr>
                                  <w:rFonts w:ascii="Arial Narrow" w:eastAsia="Calibri" w:hAnsi="Arial Narrow" w:cstheme="minorHAnsi"/>
                                  <w:b/>
                                  <w:bCs/>
                                  <w:sz w:val="16"/>
                                  <w:szCs w:val="16"/>
                                  <w:lang w:val="en-US"/>
                                </w:rPr>
                                <w:t>No</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69" name="Straight Arrow Connector 169"/>
                        <wps:cNvCnPr/>
                        <wps:spPr>
                          <a:xfrm>
                            <a:off x="2973671" y="306000"/>
                            <a:ext cx="1905" cy="23692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70" name="Text Box 70"/>
                        <wps:cNvSpPr txBox="1"/>
                        <wps:spPr>
                          <a:xfrm>
                            <a:off x="2470752" y="2959798"/>
                            <a:ext cx="1009648" cy="306000"/>
                          </a:xfrm>
                          <a:prstGeom prst="roundRect">
                            <a:avLst/>
                          </a:prstGeom>
                          <a:solidFill>
                            <a:schemeClr val="lt1"/>
                          </a:solidFill>
                          <a:ln w="6350">
                            <a:solidFill>
                              <a:prstClr val="black"/>
                            </a:solidFill>
                          </a:ln>
                        </wps:spPr>
                        <wps:txbx>
                          <w:txbxContent>
                            <w:p w14:paraId="089EE52D" w14:textId="77777777" w:rsidR="001B3435" w:rsidRPr="001565B5" w:rsidRDefault="001B3435" w:rsidP="0045298B">
                              <w:pPr>
                                <w:pStyle w:val="TableTextCA"/>
                                <w:rPr>
                                  <w:szCs w:val="18"/>
                                </w:rPr>
                              </w:pPr>
                              <w:r w:rsidRPr="001565B5">
                                <w:rPr>
                                  <w:szCs w:val="18"/>
                                </w:rPr>
                                <w:t xml:space="preserve">Stent placement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5" name="Connector: Elbow 175"/>
                        <wps:cNvCnPr/>
                        <wps:spPr>
                          <a:xfrm rot="16200000" flipH="1">
                            <a:off x="2439312" y="3267352"/>
                            <a:ext cx="306082" cy="1771015"/>
                          </a:xfrm>
                          <a:prstGeom prst="bentConnector2">
                            <a:avLst/>
                          </a:prstGeom>
                          <a:ln w="3175">
                            <a:tailEnd type="arrow"/>
                          </a:ln>
                        </wps:spPr>
                        <wps:style>
                          <a:lnRef idx="1">
                            <a:schemeClr val="dk1"/>
                          </a:lnRef>
                          <a:fillRef idx="0">
                            <a:schemeClr val="dk1"/>
                          </a:fillRef>
                          <a:effectRef idx="0">
                            <a:schemeClr val="dk1"/>
                          </a:effectRef>
                          <a:fontRef idx="minor">
                            <a:schemeClr val="tx1"/>
                          </a:fontRef>
                        </wps:style>
                        <wps:bodyPr/>
                      </wps:wsp>
                      <wps:wsp>
                        <wps:cNvPr id="176" name="Text Box 92"/>
                        <wps:cNvSpPr txBox="1"/>
                        <wps:spPr>
                          <a:xfrm>
                            <a:off x="0" y="3693818"/>
                            <a:ext cx="588010" cy="352425"/>
                          </a:xfrm>
                          <a:prstGeom prst="rect">
                            <a:avLst/>
                          </a:prstGeom>
                          <a:noFill/>
                          <a:ln w="6350">
                            <a:noFill/>
                          </a:ln>
                        </wps:spPr>
                        <wps:txbx>
                          <w:txbxContent>
                            <w:p w14:paraId="40B322E5" w14:textId="77777777" w:rsidR="001B3435" w:rsidRDefault="001B3435" w:rsidP="0045298B">
                              <w:pPr>
                                <w:spacing w:line="254" w:lineRule="auto"/>
                                <w:jc w:val="center"/>
                                <w:rPr>
                                  <w:rFonts w:ascii="Arial Narrow" w:eastAsia="Calibri" w:hAnsi="Arial Narrow" w:cs="Calibri"/>
                                  <w:b/>
                                  <w:bCs/>
                                  <w:sz w:val="16"/>
                                  <w:szCs w:val="16"/>
                                  <w:lang w:val="en-US"/>
                                </w:rPr>
                              </w:pPr>
                              <w:r>
                                <w:rPr>
                                  <w:rFonts w:ascii="Arial Narrow" w:eastAsia="Calibri" w:hAnsi="Arial Narrow" w:cs="Calibri"/>
                                  <w:b/>
                                  <w:bCs/>
                                  <w:sz w:val="16"/>
                                  <w:szCs w:val="16"/>
                                  <w:lang w:val="en-US"/>
                                </w:rPr>
                                <w:t>Diagnosis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78" name="Connector: Elbow 178"/>
                        <wps:cNvCnPr/>
                        <wps:spPr>
                          <a:xfrm rot="10800000" flipV="1">
                            <a:off x="588011" y="3870031"/>
                            <a:ext cx="252061" cy="0"/>
                          </a:xfrm>
                          <a:prstGeom prst="bentConnector3">
                            <a:avLst>
                              <a:gd name="adj1" fmla="val 50000"/>
                            </a:avLst>
                          </a:prstGeom>
                          <a:ln>
                            <a:tailEnd type="arrow"/>
                          </a:ln>
                        </wps:spPr>
                        <wps:style>
                          <a:lnRef idx="1">
                            <a:schemeClr val="dk1"/>
                          </a:lnRef>
                          <a:fillRef idx="0">
                            <a:schemeClr val="dk1"/>
                          </a:fillRef>
                          <a:effectRef idx="0">
                            <a:schemeClr val="dk1"/>
                          </a:effectRef>
                          <a:fontRef idx="minor">
                            <a:schemeClr val="tx1"/>
                          </a:fontRef>
                        </wps:style>
                        <wps:bodyPr/>
                      </wps:wsp>
                      <wps:wsp>
                        <wps:cNvPr id="181" name="Text Box 92"/>
                        <wps:cNvSpPr txBox="1"/>
                        <wps:spPr>
                          <a:xfrm>
                            <a:off x="5468409" y="4125526"/>
                            <a:ext cx="588010" cy="352425"/>
                          </a:xfrm>
                          <a:prstGeom prst="rect">
                            <a:avLst/>
                          </a:prstGeom>
                          <a:noFill/>
                          <a:ln w="6350">
                            <a:noFill/>
                          </a:ln>
                        </wps:spPr>
                        <wps:txbx>
                          <w:txbxContent>
                            <w:p w14:paraId="689CBB32" w14:textId="77777777" w:rsidR="001B3435" w:rsidRDefault="001B3435" w:rsidP="0045298B">
                              <w:pPr>
                                <w:spacing w:line="254" w:lineRule="auto"/>
                                <w:jc w:val="center"/>
                                <w:rPr>
                                  <w:rFonts w:ascii="Arial Narrow" w:eastAsia="Calibri" w:hAnsi="Arial Narrow" w:cs="Calibri"/>
                                  <w:b/>
                                  <w:bCs/>
                                  <w:sz w:val="16"/>
                                  <w:szCs w:val="16"/>
                                  <w:lang w:val="en-US"/>
                                </w:rPr>
                              </w:pPr>
                              <w:r>
                                <w:rPr>
                                  <w:rFonts w:ascii="Arial Narrow" w:eastAsia="Calibri" w:hAnsi="Arial Narrow" w:cs="Calibri"/>
                                  <w:b/>
                                  <w:bCs/>
                                  <w:sz w:val="16"/>
                                  <w:szCs w:val="16"/>
                                  <w:lang w:val="en-US"/>
                                </w:rPr>
                                <w:t>Diagnosis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83" name="Connector: Elbow 183"/>
                        <wps:cNvCnPr/>
                        <wps:spPr>
                          <a:xfrm flipV="1">
                            <a:off x="5211411" y="4301739"/>
                            <a:ext cx="256998" cy="0"/>
                          </a:xfrm>
                          <a:prstGeom prst="bentConnector3">
                            <a:avLst>
                              <a:gd name="adj1" fmla="val 50000"/>
                            </a:avLst>
                          </a:prstGeom>
                          <a:ln>
                            <a:tailEnd type="arrow"/>
                          </a:ln>
                        </wps:spPr>
                        <wps:style>
                          <a:lnRef idx="1">
                            <a:schemeClr val="dk1"/>
                          </a:lnRef>
                          <a:fillRef idx="0">
                            <a:schemeClr val="dk1"/>
                          </a:fillRef>
                          <a:effectRef idx="0">
                            <a:schemeClr val="dk1"/>
                          </a:effectRef>
                          <a:fontRef idx="minor">
                            <a:schemeClr val="tx1"/>
                          </a:fontRef>
                        </wps:style>
                        <wps:bodyPr/>
                      </wps:wsp>
                      <wps:wsp>
                        <wps:cNvPr id="184" name="Text Box 92"/>
                        <wps:cNvSpPr txBox="1"/>
                        <wps:spPr>
                          <a:xfrm>
                            <a:off x="1732726" y="3999819"/>
                            <a:ext cx="694055" cy="352425"/>
                          </a:xfrm>
                          <a:prstGeom prst="rect">
                            <a:avLst/>
                          </a:prstGeom>
                          <a:noFill/>
                          <a:ln w="6350">
                            <a:noFill/>
                          </a:ln>
                        </wps:spPr>
                        <wps:txbx>
                          <w:txbxContent>
                            <w:p w14:paraId="550BFE1F" w14:textId="77777777" w:rsidR="001B3435" w:rsidRDefault="001B3435" w:rsidP="0045298B">
                              <w:pPr>
                                <w:spacing w:line="252" w:lineRule="auto"/>
                                <w:jc w:val="center"/>
                                <w:rPr>
                                  <w:rFonts w:ascii="Arial Narrow" w:eastAsia="Calibri" w:hAnsi="Arial Narrow" w:cs="Calibri"/>
                                  <w:b/>
                                  <w:bCs/>
                                  <w:sz w:val="16"/>
                                  <w:szCs w:val="16"/>
                                  <w:lang w:val="en-US"/>
                                </w:rPr>
                              </w:pPr>
                              <w:r>
                                <w:rPr>
                                  <w:rFonts w:ascii="Arial Narrow" w:eastAsia="Calibri" w:hAnsi="Arial Narrow" w:cs="Calibri"/>
                                  <w:b/>
                                  <w:bCs/>
                                  <w:sz w:val="16"/>
                                  <w:szCs w:val="16"/>
                                  <w:lang w:val="en-US"/>
                                </w:rPr>
                                <w:t>Inconclusive</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85" name="Connector: Elbow 185"/>
                        <wps:cNvCnPr>
                          <a:stCxn id="120" idx="2"/>
                          <a:endCxn id="122" idx="0"/>
                        </wps:cNvCnPr>
                        <wps:spPr>
                          <a:xfrm rot="5400000">
                            <a:off x="4106996" y="4696311"/>
                            <a:ext cx="475050" cy="231"/>
                          </a:xfrm>
                          <a:prstGeom prst="bentConnector3">
                            <a:avLst>
                              <a:gd name="adj1" fmla="val 50000"/>
                            </a:avLst>
                          </a:prstGeom>
                          <a:ln>
                            <a:tailEnd type="arrow"/>
                          </a:ln>
                        </wps:spPr>
                        <wps:style>
                          <a:lnRef idx="1">
                            <a:schemeClr val="dk1"/>
                          </a:lnRef>
                          <a:fillRef idx="0">
                            <a:schemeClr val="dk1"/>
                          </a:fillRef>
                          <a:effectRef idx="0">
                            <a:schemeClr val="dk1"/>
                          </a:effectRef>
                          <a:fontRef idx="minor">
                            <a:schemeClr val="tx1"/>
                          </a:fontRef>
                        </wps:style>
                        <wps:bodyPr/>
                      </wps:wsp>
                      <wps:wsp>
                        <wps:cNvPr id="186" name="Text Box 92"/>
                        <wps:cNvSpPr txBox="1"/>
                        <wps:spPr>
                          <a:xfrm>
                            <a:off x="3598217" y="4463890"/>
                            <a:ext cx="694055" cy="352425"/>
                          </a:xfrm>
                          <a:prstGeom prst="rect">
                            <a:avLst/>
                          </a:prstGeom>
                          <a:noFill/>
                          <a:ln w="6350">
                            <a:noFill/>
                          </a:ln>
                        </wps:spPr>
                        <wps:txbx>
                          <w:txbxContent>
                            <w:p w14:paraId="2BAC4E54" w14:textId="77777777" w:rsidR="001B3435" w:rsidRDefault="001B3435" w:rsidP="0045298B">
                              <w:pPr>
                                <w:spacing w:line="252" w:lineRule="auto"/>
                                <w:jc w:val="center"/>
                                <w:rPr>
                                  <w:rFonts w:ascii="Arial Narrow" w:eastAsia="Calibri" w:hAnsi="Arial Narrow" w:cs="Calibri"/>
                                  <w:b/>
                                  <w:bCs/>
                                  <w:sz w:val="16"/>
                                  <w:szCs w:val="16"/>
                                  <w:lang w:val="en-US"/>
                                </w:rPr>
                              </w:pPr>
                              <w:r>
                                <w:rPr>
                                  <w:rFonts w:ascii="Arial Narrow" w:eastAsia="Calibri" w:hAnsi="Arial Narrow" w:cs="Calibri"/>
                                  <w:b/>
                                  <w:bCs/>
                                  <w:sz w:val="16"/>
                                  <w:szCs w:val="16"/>
                                  <w:lang w:val="en-US"/>
                                </w:rPr>
                                <w:t>Inconclusive</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44" name="Text Box 92"/>
                        <wps:cNvSpPr txBox="1"/>
                        <wps:spPr>
                          <a:xfrm>
                            <a:off x="1735302" y="1806658"/>
                            <a:ext cx="337820" cy="325755"/>
                          </a:xfrm>
                          <a:prstGeom prst="rect">
                            <a:avLst/>
                          </a:prstGeom>
                          <a:noFill/>
                          <a:ln w="6350">
                            <a:noFill/>
                          </a:ln>
                        </wps:spPr>
                        <wps:txbx>
                          <w:txbxContent>
                            <w:p w14:paraId="66EC5B60" w14:textId="77777777" w:rsidR="001B3435" w:rsidRPr="00DC4C0C" w:rsidRDefault="001B3435" w:rsidP="0045298B">
                              <w:pPr>
                                <w:spacing w:line="256" w:lineRule="auto"/>
                                <w:jc w:val="center"/>
                                <w:rPr>
                                  <w:rFonts w:ascii="Arial Narrow" w:eastAsia="Calibri" w:hAnsi="Arial Narrow" w:cstheme="minorHAnsi"/>
                                  <w:b/>
                                  <w:bCs/>
                                  <w:sz w:val="16"/>
                                  <w:szCs w:val="16"/>
                                </w:rPr>
                              </w:pPr>
                              <w:r w:rsidRPr="00F87B7E">
                                <w:rPr>
                                  <w:rFonts w:ascii="Arial Narrow" w:eastAsia="Calibri" w:hAnsi="Arial Narrow" w:cs="Calibri"/>
                                  <w:b/>
                                  <w:bCs/>
                                  <w:sz w:val="16"/>
                                  <w:szCs w:val="16"/>
                                  <w:lang w:val="en-US"/>
                                </w:rPr>
                                <w:t>Yes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45" name="Text Box 92"/>
                        <wps:cNvSpPr txBox="1"/>
                        <wps:spPr>
                          <a:xfrm>
                            <a:off x="4391596" y="1806658"/>
                            <a:ext cx="337820" cy="325755"/>
                          </a:xfrm>
                          <a:prstGeom prst="rect">
                            <a:avLst/>
                          </a:prstGeom>
                          <a:noFill/>
                          <a:ln w="6350">
                            <a:noFill/>
                          </a:ln>
                        </wps:spPr>
                        <wps:txbx>
                          <w:txbxContent>
                            <w:p w14:paraId="32F0FA91" w14:textId="77777777" w:rsidR="001B3435" w:rsidRPr="00DC4C0C" w:rsidRDefault="001B3435" w:rsidP="0045298B">
                              <w:pPr>
                                <w:spacing w:line="256" w:lineRule="auto"/>
                                <w:jc w:val="center"/>
                                <w:rPr>
                                  <w:rFonts w:ascii="Arial Narrow" w:eastAsia="Calibri" w:hAnsi="Arial Narrow" w:cstheme="minorHAnsi"/>
                                  <w:b/>
                                  <w:bCs/>
                                  <w:sz w:val="16"/>
                                  <w:szCs w:val="16"/>
                                </w:rPr>
                              </w:pPr>
                              <w:r w:rsidRPr="00F87B7E">
                                <w:rPr>
                                  <w:rFonts w:ascii="Arial Narrow" w:eastAsia="Calibri" w:hAnsi="Arial Narrow" w:cs="Calibri"/>
                                  <w:b/>
                                  <w:bCs/>
                                  <w:sz w:val="16"/>
                                  <w:szCs w:val="16"/>
                                  <w:lang w:val="en-US"/>
                                </w:rPr>
                                <w:t>Yes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46" name="Connector: Elbow 246"/>
                        <wps:cNvCnPr/>
                        <wps:spPr>
                          <a:xfrm rot="5400000">
                            <a:off x="1426686" y="4029171"/>
                            <a:ext cx="309513" cy="250809"/>
                          </a:xfrm>
                          <a:prstGeom prst="bentConnector2">
                            <a:avLst/>
                          </a:prstGeom>
                          <a:ln w="3175">
                            <a:tailEnd type="arrow"/>
                          </a:ln>
                        </wps:spPr>
                        <wps:style>
                          <a:lnRef idx="1">
                            <a:schemeClr val="dk1"/>
                          </a:lnRef>
                          <a:fillRef idx="0">
                            <a:schemeClr val="dk1"/>
                          </a:fillRef>
                          <a:effectRef idx="0">
                            <a:schemeClr val="dk1"/>
                          </a:effectRef>
                          <a:fontRef idx="minor">
                            <a:schemeClr val="tx1"/>
                          </a:fontRef>
                        </wps:style>
                        <wps:bodyPr/>
                      </wps:wsp>
                      <wps:wsp>
                        <wps:cNvPr id="247" name="Text Box 76"/>
                        <wps:cNvSpPr txBox="1"/>
                        <wps:spPr>
                          <a:xfrm>
                            <a:off x="45683" y="4156614"/>
                            <a:ext cx="1410354" cy="339186"/>
                          </a:xfrm>
                          <a:prstGeom prst="roundRect">
                            <a:avLst/>
                          </a:prstGeom>
                          <a:solidFill>
                            <a:schemeClr val="lt1"/>
                          </a:solidFill>
                          <a:ln w="6350">
                            <a:solidFill>
                              <a:prstClr val="black"/>
                            </a:solidFill>
                          </a:ln>
                        </wps:spPr>
                        <wps:txbx>
                          <w:txbxContent>
                            <w:p w14:paraId="0582F23C" w14:textId="77777777" w:rsidR="001B3435" w:rsidRDefault="001B3435" w:rsidP="0045298B">
                              <w:pPr>
                                <w:jc w:val="center"/>
                                <w:rPr>
                                  <w:rFonts w:ascii="Arial Narrow" w:eastAsia="Calibri" w:hAnsi="Arial Narrow"/>
                                  <w:sz w:val="18"/>
                                  <w:szCs w:val="18"/>
                                </w:rPr>
                              </w:pPr>
                              <w:r>
                                <w:rPr>
                                  <w:rFonts w:ascii="Arial Narrow" w:eastAsia="Calibri" w:hAnsi="Arial Narrow"/>
                                  <w:sz w:val="18"/>
                                  <w:szCs w:val="18"/>
                                </w:rPr>
                                <w:t>EUS-FNA (repeat)</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6112EE8A" id="Canvas 248" o:spid="_x0000_s1039" editas="canvas" alt="Figure 2  Clinical management pathway before patients are eligible for diagnostic POCPS" style="width:482.55pt;height:415.4pt;mso-position-horizontal-relative:char;mso-position-vertical-relative:line" coordsize="61283,52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">
                <v:shape id="_x0000_s1040" type="#_x0000_t75" alt="Figure 2  Clinical management pathway before patients are eligible for diagnostic POCPS" style="position:absolute;width:61283;height:52755;visibility:visible;mso-wrap-style:square" filled="t">
                  <v:fill o:detectmouseclick="t"/>
                  <v:path o:connecttype="none"/>
                </v:shape>
                <v:roundrect id="Text Box 113" o:spid="_x0000_s1041" style="position:absolute;left:21068;width:17336;height:30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" fillcolor="white [3201]" strokeweight=".5pt">
                  <v:textbox>
                    <w:txbxContent>
                      <w:p w14:paraId="3389A33C" w14:textId="77777777" w:rsidR="001B3435" w:rsidRPr="00353CE5" w:rsidRDefault="001B3435" w:rsidP="0045298B">
                        <w:pPr>
                          <w:pStyle w:val="TableTextCA"/>
                          <w:rPr>
                            <w:szCs w:val="18"/>
                          </w:rPr>
                        </w:pPr>
                        <w:r w:rsidRPr="00353CE5">
                          <w:rPr>
                            <w:szCs w:val="18"/>
                          </w:rPr>
                          <w:t>Suspected biliary stricture*</w:t>
                        </w:r>
                      </w:p>
                    </w:txbxContent>
                  </v:textbox>
                </v:roundrect>
                <v:roundrect id="Text Box 114" o:spid="_x0000_s1042" alt="Figure 2  Clinical management pathway before patients are eligible for diagnostic POCPS" style="position:absolute;left:21088;top:5429;width:17335;height:30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" fillcolor="white [3201]" strokeweight=".5pt">
                  <v:textbox>
                    <w:txbxContent>
                      <w:p w14:paraId="5E21DA85" w14:textId="77777777" w:rsidR="001B3435" w:rsidRPr="00353CE5" w:rsidRDefault="001B3435" w:rsidP="0045298B">
                        <w:pPr>
                          <w:pStyle w:val="TableTextCA"/>
                          <w:rPr>
                            <w:szCs w:val="18"/>
                          </w:rPr>
                        </w:pPr>
                        <w:r w:rsidRPr="00353CE5">
                          <w:rPr>
                            <w:szCs w:val="18"/>
                          </w:rPr>
                          <w:t>CT/MRI</w:t>
                        </w:r>
                      </w:p>
                    </w:txbxContent>
                  </v:textbox>
                </v:roundrect>
                <v:shape id="Text Box 115" o:spid="_x0000_s1043" type="#_x0000_t110" style="position:absolute;left:6470;top:12721;width:21303;height:6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" fillcolor="white [3201]" strokeweight=".5pt">
                  <v:textbox>
                    <w:txbxContent>
                      <w:p w14:paraId="619EB1C7" w14:textId="77777777" w:rsidR="001B3435" w:rsidRPr="00353CE5" w:rsidRDefault="001B3435" w:rsidP="0045298B">
                        <w:pPr>
                          <w:jc w:val="center"/>
                          <w:rPr>
                            <w:rFonts w:ascii="Arial Narrow" w:hAnsi="Arial Narrow"/>
                            <w:sz w:val="18"/>
                            <w:szCs w:val="18"/>
                          </w:rPr>
                        </w:pPr>
                        <w:r w:rsidRPr="00353CE5">
                          <w:rPr>
                            <w:rFonts w:ascii="Arial Narrow" w:hAnsi="Arial Narrow"/>
                            <w:sz w:val="18"/>
                            <w:szCs w:val="18"/>
                          </w:rPr>
                          <w:t>Distal stricture</w:t>
                        </w:r>
                        <w:r>
                          <w:rPr>
                            <w:rFonts w:ascii="Arial Narrow" w:hAnsi="Arial Narrow"/>
                            <w:sz w:val="18"/>
                            <w:szCs w:val="18"/>
                          </w:rPr>
                          <w:t>?</w:t>
                        </w:r>
                      </w:p>
                    </w:txbxContent>
                  </v:textbox>
                </v:shape>
                <v:shape id="Text Box 116" o:spid="_x0000_s1044" type="#_x0000_t110" style="position:absolute;left:6946;top:21323;width:20160;height:6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" fillcolor="white [3201]" strokeweight=".5pt">
                  <v:textbox>
                    <w:txbxContent>
                      <w:p w14:paraId="2E5D2822" w14:textId="77777777" w:rsidR="001B3435" w:rsidRPr="00353CE5" w:rsidRDefault="001B3435" w:rsidP="0045298B">
                        <w:pPr>
                          <w:jc w:val="center"/>
                          <w:rPr>
                            <w:rFonts w:ascii="Arial Narrow" w:hAnsi="Arial Narrow"/>
                            <w:sz w:val="18"/>
                            <w:szCs w:val="18"/>
                          </w:rPr>
                        </w:pPr>
                        <w:r>
                          <w:rPr>
                            <w:rFonts w:ascii="Arial Narrow" w:hAnsi="Arial Narrow"/>
                            <w:sz w:val="18"/>
                            <w:szCs w:val="18"/>
                          </w:rPr>
                          <w:t>Symptomatic?</w:t>
                        </w:r>
                        <w:r w:rsidRPr="00353CE5">
                          <w:rPr>
                            <w:rFonts w:ascii="Arial Narrow" w:hAnsi="Arial Narrow"/>
                            <w:sz w:val="18"/>
                            <w:szCs w:val="18"/>
                          </w:rPr>
                          <w:t xml:space="preserve">  </w:t>
                        </w:r>
                      </w:p>
                    </w:txbxContent>
                  </v:textbox>
                </v:shape>
                <v:shape id="Text Box 118" o:spid="_x0000_s1045" type="#_x0000_t110" style="position:absolute;left:32766;top:12727;width:21302;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" fillcolor="white [3201]" strokeweight=".5pt">
                  <v:textbox>
                    <w:txbxContent>
                      <w:p w14:paraId="200C1D28" w14:textId="77777777" w:rsidR="001B3435" w:rsidRPr="00353CE5" w:rsidRDefault="001B3435" w:rsidP="0045298B">
                        <w:pPr>
                          <w:jc w:val="center"/>
                          <w:rPr>
                            <w:rFonts w:ascii="Arial Narrow" w:hAnsi="Arial Narrow"/>
                            <w:sz w:val="18"/>
                            <w:szCs w:val="18"/>
                          </w:rPr>
                        </w:pPr>
                        <w:r w:rsidRPr="00353CE5">
                          <w:rPr>
                            <w:rFonts w:ascii="Arial Narrow" w:hAnsi="Arial Narrow"/>
                            <w:sz w:val="18"/>
                            <w:szCs w:val="18"/>
                          </w:rPr>
                          <w:t>Proximal stricture</w:t>
                        </w:r>
                        <w:r>
                          <w:rPr>
                            <w:rFonts w:ascii="Arial Narrow" w:hAnsi="Arial Narrow"/>
                            <w:sz w:val="18"/>
                            <w:szCs w:val="18"/>
                          </w:rPr>
                          <w:t>?</w:t>
                        </w:r>
                        <w:r w:rsidRPr="00353CE5">
                          <w:rPr>
                            <w:rFonts w:ascii="Arial Narrow" w:hAnsi="Arial Narrow"/>
                            <w:sz w:val="18"/>
                            <w:szCs w:val="18"/>
                          </w:rPr>
                          <w:t xml:space="preserve"> </w:t>
                        </w:r>
                      </w:p>
                      <w:p w14:paraId="0BC749C5" w14:textId="77777777" w:rsidR="001B3435" w:rsidRPr="00353CE5" w:rsidRDefault="001B3435" w:rsidP="0045298B">
                        <w:pPr>
                          <w:jc w:val="center"/>
                          <w:rPr>
                            <w:rFonts w:ascii="Arial Narrow" w:hAnsi="Arial Narrow" w:cstheme="minorHAnsi"/>
                            <w:sz w:val="18"/>
                            <w:szCs w:val="18"/>
                          </w:rPr>
                        </w:pPr>
                      </w:p>
                    </w:txbxContent>
                  </v:textbox>
                </v:shape>
                <v:shape id="Text Box 119" o:spid="_x0000_s1046" type="#_x0000_t110" style="position:absolute;left:33243;top:21329;width:20160;height:6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" fillcolor="white [3201]" strokeweight=".5pt">
                  <v:textbox>
                    <w:txbxContent>
                      <w:p w14:paraId="187FD7E8" w14:textId="77777777" w:rsidR="001B3435" w:rsidRPr="00353CE5" w:rsidRDefault="001B3435" w:rsidP="0045298B">
                        <w:pPr>
                          <w:jc w:val="center"/>
                          <w:rPr>
                            <w:rFonts w:ascii="Arial Narrow" w:hAnsi="Arial Narrow"/>
                            <w:sz w:val="18"/>
                            <w:szCs w:val="18"/>
                          </w:rPr>
                        </w:pPr>
                        <w:r w:rsidRPr="00353CE5">
                          <w:rPr>
                            <w:rFonts w:ascii="Arial Narrow" w:hAnsi="Arial Narrow"/>
                            <w:sz w:val="18"/>
                            <w:szCs w:val="18"/>
                          </w:rPr>
                          <w:t xml:space="preserve">Mass detected? </w:t>
                        </w:r>
                      </w:p>
                    </w:txbxContent>
                  </v:textbox>
                </v:shape>
                <v:roundrect id="Text Box 120" o:spid="_x0000_s1047" style="position:absolute;left:34778;top:41529;width:17336;height:30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" fillcolor="white [3201]" strokeweight=".5pt">
                  <v:textbox>
                    <w:txbxContent>
                      <w:p w14:paraId="11C4C4C4" w14:textId="77777777" w:rsidR="001B3435" w:rsidRPr="00455C0C" w:rsidRDefault="001B3435" w:rsidP="0045298B">
                        <w:pPr>
                          <w:pStyle w:val="TableTextCA"/>
                          <w:rPr>
                            <w:szCs w:val="18"/>
                          </w:rPr>
                        </w:pPr>
                        <w:r w:rsidRPr="00455C0C">
                          <w:rPr>
                            <w:szCs w:val="18"/>
                          </w:rPr>
                          <w:t>ERCP</w:t>
                        </w:r>
                        <w:r>
                          <w:rPr>
                            <w:szCs w:val="18"/>
                          </w:rPr>
                          <w:t>-BC/IB</w:t>
                        </w:r>
                      </w:p>
                    </w:txbxContent>
                  </v:textbox>
                </v:roundrect>
                <v:roundrect id="Text Box 121" o:spid="_x0000_s1048" style="position:absolute;left:8400;top:36938;width:17336;height:30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" fillcolor="white [3201]" strokeweight=".5pt">
                  <v:textbox>
                    <w:txbxContent>
                      <w:p w14:paraId="2FD9AA04" w14:textId="77777777" w:rsidR="001B3435" w:rsidRPr="00455C0C" w:rsidRDefault="001B3435" w:rsidP="0045298B">
                        <w:pPr>
                          <w:pStyle w:val="TableTextCA"/>
                          <w:rPr>
                            <w:szCs w:val="18"/>
                          </w:rPr>
                        </w:pPr>
                        <w:r w:rsidRPr="00455C0C">
                          <w:rPr>
                            <w:szCs w:val="18"/>
                          </w:rPr>
                          <w:t>EUS</w:t>
                        </w:r>
                        <w:r>
                          <w:rPr>
                            <w:szCs w:val="18"/>
                          </w:rPr>
                          <w:t>-FNA**</w:t>
                        </w:r>
                      </w:p>
                    </w:txbxContent>
                  </v:textbox>
                </v:roundrect>
                <v:roundrect id="Text Box 122" o:spid="_x0000_s1049" style="position:absolute;left:34776;top:49339;width:17335;height:30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" fillcolor="#ededed [662]" strokeweight="1pt">
                  <v:textbox>
                    <w:txbxContent>
                      <w:p w14:paraId="08B48D14" w14:textId="77777777" w:rsidR="001B3435" w:rsidRPr="00455C0C" w:rsidRDefault="001B3435" w:rsidP="0045298B">
                        <w:pPr>
                          <w:pStyle w:val="TableTextCA"/>
                          <w:rPr>
                            <w:b/>
                            <w:bCs/>
                            <w:szCs w:val="18"/>
                          </w:rPr>
                        </w:pPr>
                        <w:r w:rsidRPr="00455C0C">
                          <w:rPr>
                            <w:b/>
                            <w:bCs/>
                            <w:szCs w:val="18"/>
                          </w:rPr>
                          <w:t>Indeterminate biliary stricture</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23" o:spid="_x0000_s1050" type="#_x0000_t34" style="position:absolute;left:21275;top:4240;width:4232;height:1272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" strokecolor="black [3213]" strokeweight=".25pt">
                  <v:stroke endarrow="open"/>
                </v:shape>
                <v:shape id="Connector: Elbow 125" o:spid="_x0000_s1051" type="#_x0000_t34" style="position:absolute;left:34419;top:3825;width:4238;height:1356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" strokecolor="black [3200]" strokeweight=".5pt">
                  <v:stroke endarrow="open"/>
                </v:shape>
                <v:shape id="Straight Arrow Connector 146" o:spid="_x0000_s1052" type="#_x0000_t32" style="position:absolute;left:17026;top:19201;width:0;height:21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" strokecolor="black [3200]" strokeweight=".5pt">
                  <v:stroke endarrow="open" joinstyle="miter"/>
                </v:shape>
                <v:shape id="Straight Arrow Connector 150" o:spid="_x0000_s1053" type="#_x0000_t32" style="position:absolute;left:17026;top:27803;width:42;height:91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" strokecolor="black [3200]" strokeweight=".5pt">
                  <v:stroke endarrow="open" joinstyle="miter"/>
                </v:shape>
                <v:shape id="Straight Arrow Connector 152" o:spid="_x0000_s1054" type="#_x0000_t32" style="position:absolute;left:27106;top:24563;width:6137;height: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" strokecolor="black [3200]" strokeweight=".5pt">
                  <v:stroke endarrow="open" joinstyle="miter"/>
                </v:shape>
                <v:shape id="Straight Arrow Connector 159" o:spid="_x0000_s1055" type="#_x0000_t32" style="position:absolute;left:43321;top:19207;width:2;height:21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" strokecolor="black [3213]" strokeweight=".5pt">
                  <v:stroke endarrow="open" joinstyle="miter"/>
                </v:shape>
                <v:shape id="Straight Arrow Connector 160" o:spid="_x0000_s1056" type="#_x0000_t32" style="position:absolute;left:43323;top:27809;width:123;height:13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" strokecolor="black [3200]" strokeweight=".5pt">
                  <v:stroke endarrow="open" joinstyle="miter"/>
                </v:shape>
                <v:shape id="Connector: Elbow 162" o:spid="_x0000_s1057" type="#_x0000_t34" style="position:absolute;left:22426;top:22449;width:13680;height:244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" adj="5404" strokecolor="black [3200]" strokeweight=".5pt">
                  <v:stroke endarrow="open"/>
                </v:shape>
                <v:shape id="Text Box 165" o:spid="_x0000_s1058" type="#_x0000_t202" style="position:absolute;left:31249;top:21323;width:3379;height:32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" filled="f" stroked="f" strokeweight=".5pt">
                  <v:textbox>
                    <w:txbxContent>
                      <w:p w14:paraId="16FCC287" w14:textId="77777777" w:rsidR="001B3435" w:rsidRPr="00DC4C0C" w:rsidRDefault="001B3435" w:rsidP="0045298B">
                        <w:pPr>
                          <w:spacing w:line="256" w:lineRule="auto"/>
                          <w:jc w:val="center"/>
                          <w:rPr>
                            <w:rFonts w:ascii="Arial Narrow" w:hAnsi="Arial Narrow" w:cstheme="minorHAnsi"/>
                            <w:b/>
                            <w:bCs/>
                            <w:sz w:val="16"/>
                            <w:szCs w:val="16"/>
                          </w:rPr>
                        </w:pPr>
                        <w:r w:rsidRPr="00F87B7E">
                          <w:rPr>
                            <w:rFonts w:ascii="Arial Narrow" w:eastAsia="Calibri" w:hAnsi="Arial Narrow" w:cstheme="minorHAnsi"/>
                            <w:b/>
                            <w:bCs/>
                            <w:sz w:val="16"/>
                            <w:szCs w:val="16"/>
                            <w:lang w:val="en-US"/>
                          </w:rPr>
                          <w:t>Yes</w:t>
                        </w:r>
                      </w:p>
                    </w:txbxContent>
                  </v:textbox>
                </v:shape>
                <v:shape id="Text Box 92" o:spid="_x0000_s1059" type="#_x0000_t202" style="position:absolute;left:16872;top:27809;width:3379;height:32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" filled="f" stroked="f" strokeweight=".5pt">
                  <v:textbox>
                    <w:txbxContent>
                      <w:p w14:paraId="42A01F61" w14:textId="77777777" w:rsidR="001B3435" w:rsidRPr="00DC4C0C" w:rsidRDefault="001B3435" w:rsidP="0045298B">
                        <w:pPr>
                          <w:spacing w:line="256" w:lineRule="auto"/>
                          <w:jc w:val="center"/>
                          <w:rPr>
                            <w:rFonts w:ascii="Arial Narrow" w:eastAsia="Calibri" w:hAnsi="Arial Narrow" w:cstheme="minorHAnsi"/>
                            <w:b/>
                            <w:bCs/>
                            <w:sz w:val="16"/>
                            <w:szCs w:val="16"/>
                          </w:rPr>
                        </w:pPr>
                        <w:r w:rsidRPr="00F87B7E">
                          <w:rPr>
                            <w:rFonts w:ascii="Arial Narrow" w:eastAsia="Calibri" w:hAnsi="Arial Narrow" w:cs="Calibri"/>
                            <w:b/>
                            <w:bCs/>
                            <w:sz w:val="16"/>
                            <w:szCs w:val="16"/>
                            <w:lang w:val="en-US"/>
                          </w:rPr>
                          <w:t>Yes</w:t>
                        </w:r>
                      </w:p>
                    </w:txbxContent>
                  </v:textbox>
                </v:shape>
                <v:shape id="Text Box 92" o:spid="_x0000_s1060" type="#_x0000_t202" style="position:absolute;left:14134;top:30859;width:3004;height:35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" filled="f" stroked="f" strokeweight=".5pt">
                  <v:textbox>
                    <w:txbxContent>
                      <w:p w14:paraId="2DCB8DDE" w14:textId="77777777" w:rsidR="001B3435" w:rsidRPr="00DC4C0C" w:rsidRDefault="001B3435" w:rsidP="0045298B">
                        <w:pPr>
                          <w:spacing w:line="256" w:lineRule="auto"/>
                          <w:jc w:val="center"/>
                          <w:rPr>
                            <w:rFonts w:ascii="Arial Narrow" w:eastAsia="Calibri" w:hAnsi="Arial Narrow" w:cstheme="minorHAnsi"/>
                            <w:b/>
                            <w:bCs/>
                            <w:sz w:val="16"/>
                            <w:szCs w:val="16"/>
                            <w:lang w:val="en-US"/>
                          </w:rPr>
                        </w:pPr>
                        <w:r w:rsidRPr="00DC4C0C">
                          <w:rPr>
                            <w:rFonts w:ascii="Arial Narrow" w:eastAsia="Calibri" w:hAnsi="Arial Narrow" w:cstheme="minorHAnsi"/>
                            <w:b/>
                            <w:bCs/>
                            <w:sz w:val="16"/>
                            <w:szCs w:val="16"/>
                            <w:lang w:val="en-US"/>
                          </w:rPr>
                          <w:t>No</w:t>
                        </w:r>
                      </w:p>
                    </w:txbxContent>
                  </v:textbox>
                </v:shape>
                <v:shape id="Text Box 92" o:spid="_x0000_s1061" type="#_x0000_t202" style="position:absolute;left:44016;top:27305;width:3004;height:35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" filled="f" stroked="f" strokeweight=".5pt">
                  <v:textbox>
                    <w:txbxContent>
                      <w:p w14:paraId="412574C2" w14:textId="77777777" w:rsidR="001B3435" w:rsidRPr="00DC4C0C" w:rsidRDefault="001B3435" w:rsidP="0045298B">
                        <w:pPr>
                          <w:spacing w:line="256" w:lineRule="auto"/>
                          <w:jc w:val="center"/>
                          <w:rPr>
                            <w:rFonts w:ascii="Arial Narrow" w:eastAsia="Calibri" w:hAnsi="Arial Narrow" w:cstheme="minorHAnsi"/>
                            <w:b/>
                            <w:bCs/>
                            <w:sz w:val="16"/>
                            <w:szCs w:val="16"/>
                            <w:lang w:val="en-US"/>
                          </w:rPr>
                        </w:pPr>
                        <w:r w:rsidRPr="00DC4C0C">
                          <w:rPr>
                            <w:rFonts w:ascii="Arial Narrow" w:eastAsia="Calibri" w:hAnsi="Arial Narrow" w:cstheme="minorHAnsi"/>
                            <w:b/>
                            <w:bCs/>
                            <w:sz w:val="16"/>
                            <w:szCs w:val="16"/>
                            <w:lang w:val="en-US"/>
                          </w:rPr>
                          <w:t>No</w:t>
                        </w:r>
                      </w:p>
                    </w:txbxContent>
                  </v:textbox>
                </v:shape>
                <v:shape id="Straight Arrow Connector 169" o:spid="_x0000_s1062" type="#_x0000_t32" style="position:absolute;left:29736;top:3060;width:19;height:2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" strokecolor="black [3200]" strokeweight=".5pt">
                  <v:stroke endarrow="open" joinstyle="miter"/>
                </v:shape>
                <v:roundrect id="Text Box 70" o:spid="_x0000_s1063" style="position:absolute;left:24707;top:29597;width:10097;height:30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" fillcolor="white [3201]" strokeweight=".5pt">
                  <v:textbox>
                    <w:txbxContent>
                      <w:p w14:paraId="089EE52D" w14:textId="77777777" w:rsidR="001B3435" w:rsidRPr="001565B5" w:rsidRDefault="001B3435" w:rsidP="0045298B">
                        <w:pPr>
                          <w:pStyle w:val="TableTextCA"/>
                          <w:rPr>
                            <w:szCs w:val="18"/>
                          </w:rPr>
                        </w:pPr>
                        <w:r w:rsidRPr="001565B5">
                          <w:rPr>
                            <w:szCs w:val="18"/>
                          </w:rPr>
                          <w:t xml:space="preserve">Stent placement </w:t>
                        </w:r>
                      </w:p>
                    </w:txbxContent>
                  </v:textbox>
                </v:roundrect>
                <v:shapetype id="_x0000_t33" coordsize="21600,21600" o:spt="33" o:oned="t" path="m,l21600,r,21600e" filled="f">
                  <v:stroke joinstyle="miter"/>
                  <v:path arrowok="t" fillok="f" o:connecttype="none"/>
                  <o:lock v:ext="edit" shapetype="t"/>
                </v:shapetype>
                <v:shape id="Connector: Elbow 175" o:spid="_x0000_s1064" type="#_x0000_t33" style="position:absolute;left:24392;top:32674;width:3061;height:1771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" strokecolor="black [3200]" strokeweight=".25pt">
                  <v:stroke endarrow="open"/>
                </v:shape>
                <v:shape id="Text Box 92" o:spid="_x0000_s1065" type="#_x0000_t202" style="position:absolute;top:36938;width:5880;height:3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" filled="f" stroked="f" strokeweight=".5pt">
                  <v:textbox>
                    <w:txbxContent>
                      <w:p w14:paraId="40B322E5" w14:textId="77777777" w:rsidR="001B3435" w:rsidRDefault="001B3435" w:rsidP="0045298B">
                        <w:pPr>
                          <w:spacing w:line="254" w:lineRule="auto"/>
                          <w:jc w:val="center"/>
                          <w:rPr>
                            <w:rFonts w:ascii="Arial Narrow" w:eastAsia="Calibri" w:hAnsi="Arial Narrow" w:cs="Calibri"/>
                            <w:b/>
                            <w:bCs/>
                            <w:sz w:val="16"/>
                            <w:szCs w:val="16"/>
                            <w:lang w:val="en-US"/>
                          </w:rPr>
                        </w:pPr>
                        <w:r>
                          <w:rPr>
                            <w:rFonts w:ascii="Arial Narrow" w:eastAsia="Calibri" w:hAnsi="Arial Narrow" w:cs="Calibri"/>
                            <w:b/>
                            <w:bCs/>
                            <w:sz w:val="16"/>
                            <w:szCs w:val="16"/>
                            <w:lang w:val="en-US"/>
                          </w:rPr>
                          <w:t>Diagnosis</w:t>
                        </w:r>
                      </w:p>
                    </w:txbxContent>
                  </v:textbox>
                </v:shape>
                <v:shape id="Connector: Elbow 178" o:spid="_x0000_s1066" type="#_x0000_t34" style="position:absolute;left:5880;top:38700;width:2520;height:0;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" strokecolor="black [3200]" strokeweight=".5pt">
                  <v:stroke endarrow="open"/>
                </v:shape>
                <v:shape id="Text Box 92" o:spid="_x0000_s1067" type="#_x0000_t202" style="position:absolute;left:54684;top:41255;width:5880;height:3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" filled="f" stroked="f" strokeweight=".5pt">
                  <v:textbox>
                    <w:txbxContent>
                      <w:p w14:paraId="689CBB32" w14:textId="77777777" w:rsidR="001B3435" w:rsidRDefault="001B3435" w:rsidP="0045298B">
                        <w:pPr>
                          <w:spacing w:line="254" w:lineRule="auto"/>
                          <w:jc w:val="center"/>
                          <w:rPr>
                            <w:rFonts w:ascii="Arial Narrow" w:eastAsia="Calibri" w:hAnsi="Arial Narrow" w:cs="Calibri"/>
                            <w:b/>
                            <w:bCs/>
                            <w:sz w:val="16"/>
                            <w:szCs w:val="16"/>
                            <w:lang w:val="en-US"/>
                          </w:rPr>
                        </w:pPr>
                        <w:r>
                          <w:rPr>
                            <w:rFonts w:ascii="Arial Narrow" w:eastAsia="Calibri" w:hAnsi="Arial Narrow" w:cs="Calibri"/>
                            <w:b/>
                            <w:bCs/>
                            <w:sz w:val="16"/>
                            <w:szCs w:val="16"/>
                            <w:lang w:val="en-US"/>
                          </w:rPr>
                          <w:t>Diagnosis</w:t>
                        </w:r>
                      </w:p>
                    </w:txbxContent>
                  </v:textbox>
                </v:shape>
                <v:shape id="Connector: Elbow 183" o:spid="_x0000_s1068" type="#_x0000_t34" style="position:absolute;left:52114;top:43017;width:2570;height: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" strokecolor="black [3200]" strokeweight=".5pt">
                  <v:stroke endarrow="open"/>
                </v:shape>
                <v:shape id="Text Box 92" o:spid="_x0000_s1069" type="#_x0000_t202" style="position:absolute;left:17327;top:39998;width:6940;height:3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" filled="f" stroked="f" strokeweight=".5pt">
                  <v:textbox>
                    <w:txbxContent>
                      <w:p w14:paraId="550BFE1F" w14:textId="77777777" w:rsidR="001B3435" w:rsidRDefault="001B3435" w:rsidP="0045298B">
                        <w:pPr>
                          <w:spacing w:line="252" w:lineRule="auto"/>
                          <w:jc w:val="center"/>
                          <w:rPr>
                            <w:rFonts w:ascii="Arial Narrow" w:eastAsia="Calibri" w:hAnsi="Arial Narrow" w:cs="Calibri"/>
                            <w:b/>
                            <w:bCs/>
                            <w:sz w:val="16"/>
                            <w:szCs w:val="16"/>
                            <w:lang w:val="en-US"/>
                          </w:rPr>
                        </w:pPr>
                        <w:r>
                          <w:rPr>
                            <w:rFonts w:ascii="Arial Narrow" w:eastAsia="Calibri" w:hAnsi="Arial Narrow" w:cs="Calibri"/>
                            <w:b/>
                            <w:bCs/>
                            <w:sz w:val="16"/>
                            <w:szCs w:val="16"/>
                            <w:lang w:val="en-US"/>
                          </w:rPr>
                          <w:t>Inconclusive</w:t>
                        </w:r>
                      </w:p>
                    </w:txbxContent>
                  </v:textbox>
                </v:shape>
                <v:shape id="Connector: Elbow 185" o:spid="_x0000_s1070" type="#_x0000_t34" style="position:absolute;left:41070;top:46963;width:4750;height: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" strokecolor="black [3200]" strokeweight=".5pt">
                  <v:stroke endarrow="open"/>
                </v:shape>
                <v:shape id="Text Box 92" o:spid="_x0000_s1071" type="#_x0000_t202" style="position:absolute;left:35982;top:44638;width:6940;height:35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" filled="f" stroked="f" strokeweight=".5pt">
                  <v:textbox>
                    <w:txbxContent>
                      <w:p w14:paraId="2BAC4E54" w14:textId="77777777" w:rsidR="001B3435" w:rsidRDefault="001B3435" w:rsidP="0045298B">
                        <w:pPr>
                          <w:spacing w:line="252" w:lineRule="auto"/>
                          <w:jc w:val="center"/>
                          <w:rPr>
                            <w:rFonts w:ascii="Arial Narrow" w:eastAsia="Calibri" w:hAnsi="Arial Narrow" w:cs="Calibri"/>
                            <w:b/>
                            <w:bCs/>
                            <w:sz w:val="16"/>
                            <w:szCs w:val="16"/>
                            <w:lang w:val="en-US"/>
                          </w:rPr>
                        </w:pPr>
                        <w:r>
                          <w:rPr>
                            <w:rFonts w:ascii="Arial Narrow" w:eastAsia="Calibri" w:hAnsi="Arial Narrow" w:cs="Calibri"/>
                            <w:b/>
                            <w:bCs/>
                            <w:sz w:val="16"/>
                            <w:szCs w:val="16"/>
                            <w:lang w:val="en-US"/>
                          </w:rPr>
                          <w:t>Inconclusive</w:t>
                        </w:r>
                      </w:p>
                    </w:txbxContent>
                  </v:textbox>
                </v:shape>
                <v:shape id="Text Box 92" o:spid="_x0000_s1072" type="#_x0000_t202" style="position:absolute;left:17353;top:18066;width:3378;height:32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" filled="f" stroked="f" strokeweight=".5pt">
                  <v:textbox>
                    <w:txbxContent>
                      <w:p w14:paraId="66EC5B60" w14:textId="77777777" w:rsidR="001B3435" w:rsidRPr="00DC4C0C" w:rsidRDefault="001B3435" w:rsidP="0045298B">
                        <w:pPr>
                          <w:spacing w:line="256" w:lineRule="auto"/>
                          <w:jc w:val="center"/>
                          <w:rPr>
                            <w:rFonts w:ascii="Arial Narrow" w:eastAsia="Calibri" w:hAnsi="Arial Narrow" w:cstheme="minorHAnsi"/>
                            <w:b/>
                            <w:bCs/>
                            <w:sz w:val="16"/>
                            <w:szCs w:val="16"/>
                          </w:rPr>
                        </w:pPr>
                        <w:r w:rsidRPr="00F87B7E">
                          <w:rPr>
                            <w:rFonts w:ascii="Arial Narrow" w:eastAsia="Calibri" w:hAnsi="Arial Narrow" w:cs="Calibri"/>
                            <w:b/>
                            <w:bCs/>
                            <w:sz w:val="16"/>
                            <w:szCs w:val="16"/>
                            <w:lang w:val="en-US"/>
                          </w:rPr>
                          <w:t>Yes</w:t>
                        </w:r>
                      </w:p>
                    </w:txbxContent>
                  </v:textbox>
                </v:shape>
                <v:shape id="Text Box 92" o:spid="_x0000_s1073" type="#_x0000_t202" style="position:absolute;left:43915;top:18066;width:3379;height:32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" filled="f" stroked="f" strokeweight=".5pt">
                  <v:textbox>
                    <w:txbxContent>
                      <w:p w14:paraId="32F0FA91" w14:textId="77777777" w:rsidR="001B3435" w:rsidRPr="00DC4C0C" w:rsidRDefault="001B3435" w:rsidP="0045298B">
                        <w:pPr>
                          <w:spacing w:line="256" w:lineRule="auto"/>
                          <w:jc w:val="center"/>
                          <w:rPr>
                            <w:rFonts w:ascii="Arial Narrow" w:eastAsia="Calibri" w:hAnsi="Arial Narrow" w:cstheme="minorHAnsi"/>
                            <w:b/>
                            <w:bCs/>
                            <w:sz w:val="16"/>
                            <w:szCs w:val="16"/>
                          </w:rPr>
                        </w:pPr>
                        <w:r w:rsidRPr="00F87B7E">
                          <w:rPr>
                            <w:rFonts w:ascii="Arial Narrow" w:eastAsia="Calibri" w:hAnsi="Arial Narrow" w:cs="Calibri"/>
                            <w:b/>
                            <w:bCs/>
                            <w:sz w:val="16"/>
                            <w:szCs w:val="16"/>
                            <w:lang w:val="en-US"/>
                          </w:rPr>
                          <w:t>Yes</w:t>
                        </w:r>
                      </w:p>
                    </w:txbxContent>
                  </v:textbox>
                </v:shape>
                <v:shape id="Connector: Elbow 246" o:spid="_x0000_s1074" type="#_x0000_t33" style="position:absolute;left:14266;top:40292;width:3095;height:250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" strokecolor="black [3200]" strokeweight=".25pt">
                  <v:stroke endarrow="open"/>
                </v:shape>
                <v:roundrect id="Text Box 76" o:spid="_x0000_s1075" style="position:absolute;left:456;top:41566;width:14104;height:339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" fillcolor="white [3201]" strokeweight=".5pt">
                  <v:textbox>
                    <w:txbxContent>
                      <w:p w14:paraId="0582F23C" w14:textId="77777777" w:rsidR="001B3435" w:rsidRDefault="001B3435" w:rsidP="0045298B">
                        <w:pPr>
                          <w:jc w:val="center"/>
                          <w:rPr>
                            <w:rFonts w:ascii="Arial Narrow" w:eastAsia="Calibri" w:hAnsi="Arial Narrow"/>
                            <w:sz w:val="18"/>
                            <w:szCs w:val="18"/>
                          </w:rPr>
                        </w:pPr>
                        <w:r>
                          <w:rPr>
                            <w:rFonts w:ascii="Arial Narrow" w:eastAsia="Calibri" w:hAnsi="Arial Narrow"/>
                            <w:sz w:val="18"/>
                            <w:szCs w:val="18"/>
                          </w:rPr>
                          <w:t>EUS-FNA (repeat)</w:t>
                        </w:r>
                      </w:p>
                    </w:txbxContent>
                  </v:textbox>
                </v:roundrect>
                <w10:anchorlock/>
              </v:group>
            </w:pict>
          </mc:Fallback>
        </mc:AlternateContent>
      </w:r>
      <w:bookmarkEnd w:id="28"/>
      <w:bookmarkEnd w:id="29"/>
      <w:bookmarkEnd w:id="30"/>
    </w:p>
    <w:p w14:paraId="378DAB8D" w14:textId="15CEB3DD" w:rsidR="0045298B" w:rsidRPr="0045298B" w:rsidRDefault="00FF1E7B" w:rsidP="00A3206A">
      <w:pPr>
        <w:pStyle w:val="Caption"/>
        <w:spacing w:before="0"/>
        <w:rPr>
          <w:rStyle w:val="TableFigureHeadingChar"/>
        </w:rPr>
      </w:pPr>
      <w:bookmarkStart w:id="31" w:name="_Ref89077463"/>
      <w:r>
        <w:t xml:space="preserve">Figure </w:t>
      </w:r>
      <w:r>
        <w:fldChar w:fldCharType="begin"/>
      </w:r>
      <w:r>
        <w:instrText>SEQ Figure \* ARABIC</w:instrText>
      </w:r>
      <w:r>
        <w:fldChar w:fldCharType="separate"/>
      </w:r>
      <w:r w:rsidR="00D422BC">
        <w:rPr>
          <w:noProof/>
        </w:rPr>
        <w:t>2</w:t>
      </w:r>
      <w:r>
        <w:fldChar w:fldCharType="end"/>
      </w:r>
      <w:bookmarkEnd w:id="31"/>
      <w:r w:rsidRPr="00436BBF">
        <w:t xml:space="preserve"> </w:t>
      </w:r>
      <w:r>
        <w:tab/>
      </w:r>
      <w:r w:rsidRPr="00436BBF">
        <w:t>Clinical management pathway before patients are eligible for diagnostic POCPS</w:t>
      </w:r>
    </w:p>
    <w:p w14:paraId="50FB2035" w14:textId="4A250608" w:rsidR="0045298B" w:rsidRDefault="0045298B" w:rsidP="0045298B">
      <w:pPr>
        <w:pStyle w:val="Abbreviations"/>
      </w:pPr>
      <w:r w:rsidRPr="002A44AF">
        <w:t xml:space="preserve">Abbreviations: </w:t>
      </w:r>
      <w:r>
        <w:t>CT=c</w:t>
      </w:r>
      <w:r w:rsidRPr="00831CBE">
        <w:t xml:space="preserve">omputerized </w:t>
      </w:r>
      <w:r>
        <w:t>t</w:t>
      </w:r>
      <w:r w:rsidRPr="00831CBE">
        <w:t>omography</w:t>
      </w:r>
      <w:r>
        <w:t>; ERCP-BC/IB=</w:t>
      </w:r>
      <w:r w:rsidRPr="000F5B28">
        <w:t xml:space="preserve">endoscopic </w:t>
      </w:r>
      <w:r>
        <w:t>r</w:t>
      </w:r>
      <w:r w:rsidRPr="000F5B28">
        <w:t xml:space="preserve">etrograde </w:t>
      </w:r>
      <w:r>
        <w:t>c</w:t>
      </w:r>
      <w:r w:rsidRPr="000F5B28">
        <w:t>holangio</w:t>
      </w:r>
      <w:r>
        <w:t>p</w:t>
      </w:r>
      <w:r w:rsidRPr="000F5B28">
        <w:t>ancreatography</w:t>
      </w:r>
      <w:r>
        <w:t>-guided brush cytology and/or intraductal biopsy, EUS-FNA=</w:t>
      </w:r>
      <w:r w:rsidRPr="00BE6E6A">
        <w:t xml:space="preserve">endoscopic </w:t>
      </w:r>
      <w:r>
        <w:t>u</w:t>
      </w:r>
      <w:r w:rsidRPr="00BE6E6A">
        <w:t>ltrasound</w:t>
      </w:r>
      <w:r>
        <w:t xml:space="preserve"> with fine needle aspiration; MRI=</w:t>
      </w:r>
      <w:r w:rsidRPr="00410240">
        <w:t xml:space="preserve">magnetic </w:t>
      </w:r>
      <w:r>
        <w:t>r</w:t>
      </w:r>
      <w:r w:rsidRPr="00410240">
        <w:t xml:space="preserve">esonance </w:t>
      </w:r>
      <w:r>
        <w:t>i</w:t>
      </w:r>
      <w:r w:rsidRPr="00410240">
        <w:t>maging</w:t>
      </w:r>
      <w:r>
        <w:t>, POCPS=</w:t>
      </w:r>
      <w:r w:rsidRPr="00331C92">
        <w:t>single use, single operator per</w:t>
      </w:r>
      <w:r>
        <w:t>oral</w:t>
      </w:r>
      <w:r w:rsidRPr="00331C92">
        <w:t xml:space="preserve"> cholangiopancreatoscopy </w:t>
      </w:r>
    </w:p>
    <w:p w14:paraId="4D0F5EE1" w14:textId="77777777" w:rsidR="0045298B" w:rsidRPr="00004568" w:rsidRDefault="0045298B" w:rsidP="0045298B">
      <w:pPr>
        <w:pStyle w:val="Abbreviations"/>
      </w:pPr>
      <w:r w:rsidRPr="00EF117E">
        <w:t xml:space="preserve">* Patients with suspected biliary stricture typically </w:t>
      </w:r>
      <w:r w:rsidRPr="00210E8B">
        <w:t>present with cholestatic clinical patterns including abdominal pain, nausea, fatigue, pruritus, dark urine, light stool, jaundice and/or abnormal liver tests (elevated alkaline phosphatase and bilirubin levels).</w:t>
      </w:r>
    </w:p>
    <w:p w14:paraId="61B7BE78" w14:textId="77777777" w:rsidR="0045298B" w:rsidRDefault="0045298B" w:rsidP="0045298B">
      <w:pPr>
        <w:pStyle w:val="Abbreviations"/>
      </w:pPr>
      <w:r w:rsidRPr="008A73E2">
        <w:t xml:space="preserve">** </w:t>
      </w:r>
      <w:r>
        <w:rPr>
          <w:color w:val="000000"/>
          <w:shd w:val="clear" w:color="auto" w:fill="FFFFFF"/>
        </w:rPr>
        <w:t>EUS-FNA</w:t>
      </w:r>
      <w:r w:rsidRPr="008A73E2">
        <w:t xml:space="preserve"> considered only after taking into con</w:t>
      </w:r>
      <w:r w:rsidRPr="00B71036">
        <w:t>sideration risk of tumour seeding</w:t>
      </w:r>
    </w:p>
    <w:p w14:paraId="0B9A44FC" w14:textId="351210E9" w:rsidR="00F51A7A" w:rsidRPr="00E9034D" w:rsidRDefault="00F51A7A" w:rsidP="001F621F">
      <w:pPr>
        <w:spacing w:after="240"/>
      </w:pPr>
      <w:r w:rsidRPr="00E9034D">
        <w:t>The ADAR addresse</w:t>
      </w:r>
      <w:r w:rsidR="00E9034D" w:rsidRPr="00E9034D">
        <w:t>d</w:t>
      </w:r>
      <w:r w:rsidRPr="00E9034D">
        <w:t xml:space="preserve"> the requirements of the </w:t>
      </w:r>
      <w:r w:rsidR="006C084E" w:rsidRPr="00E9034D">
        <w:t>Ratified</w:t>
      </w:r>
      <w:r w:rsidRPr="00E9034D">
        <w:t xml:space="preserve"> PICO.</w:t>
      </w:r>
    </w:p>
    <w:p w14:paraId="2AE3ABB8" w14:textId="33BCF8A7" w:rsidR="00B908F0" w:rsidRPr="00CE28E3" w:rsidRDefault="0015035D" w:rsidP="00B908F0">
      <w:pPr>
        <w:pStyle w:val="Heading2"/>
      </w:pPr>
      <w:bookmarkStart w:id="32" w:name="_Toc69491420"/>
      <w:r>
        <w:t>8</w:t>
      </w:r>
      <w:r w:rsidR="00B908F0">
        <w:t>.</w:t>
      </w:r>
      <w:r w:rsidR="00B908F0">
        <w:tab/>
      </w:r>
      <w:r w:rsidR="00B908F0" w:rsidRPr="00CE28E3">
        <w:t>Comparator</w:t>
      </w:r>
      <w:bookmarkEnd w:id="32"/>
    </w:p>
    <w:p w14:paraId="3CE5A558" w14:textId="77777777" w:rsidR="003D25EF" w:rsidRDefault="003D25EF" w:rsidP="003D25EF">
      <w:pPr>
        <w:pStyle w:val="Heading3"/>
      </w:pPr>
      <w:r>
        <w:t>Therapeutic application</w:t>
      </w:r>
    </w:p>
    <w:p w14:paraId="0A1A1F41" w14:textId="5B67EFB5" w:rsidR="003D25EF" w:rsidRPr="003F63C4" w:rsidRDefault="003D25EF" w:rsidP="001F621F">
      <w:pPr>
        <w:spacing w:after="240"/>
      </w:pPr>
      <w:r w:rsidRPr="003F63C4">
        <w:t xml:space="preserve">In the absence of POCPS, patients with difficult biliary stones may receive one of </w:t>
      </w:r>
      <w:r>
        <w:t xml:space="preserve">two </w:t>
      </w:r>
      <w:r w:rsidRPr="003F63C4">
        <w:t>procedures</w:t>
      </w:r>
      <w:r>
        <w:t>. T</w:t>
      </w:r>
      <w:r w:rsidRPr="00EC2260">
        <w:t>h</w:t>
      </w:r>
      <w:r>
        <w:t>is</w:t>
      </w:r>
      <w:r w:rsidRPr="00EC2260">
        <w:t xml:space="preserve"> choice </w:t>
      </w:r>
      <w:r>
        <w:t xml:space="preserve">is </w:t>
      </w:r>
      <w:r w:rsidRPr="00EC2260">
        <w:t>dependent on the preference of the treating physician</w:t>
      </w:r>
      <w:r>
        <w:t>.</w:t>
      </w:r>
    </w:p>
    <w:p w14:paraId="272DA841" w14:textId="079F119A" w:rsidR="003D25EF" w:rsidRPr="00C43D3E" w:rsidRDefault="003D25EF" w:rsidP="00286269">
      <w:pPr>
        <w:pStyle w:val="ListParagraph"/>
        <w:numPr>
          <w:ilvl w:val="0"/>
          <w:numId w:val="15"/>
        </w:numPr>
        <w:spacing w:after="240"/>
      </w:pPr>
      <w:r w:rsidRPr="003F63C4">
        <w:t>ERCP</w:t>
      </w:r>
      <w:r>
        <w:t>-</w:t>
      </w:r>
      <w:r w:rsidRPr="003F63C4">
        <w:t>guided mechanical lithotripsy</w:t>
      </w:r>
      <w:r>
        <w:t xml:space="preserve"> (</w:t>
      </w:r>
      <w:r w:rsidRPr="003F63C4">
        <w:t xml:space="preserve">MBS item </w:t>
      </w:r>
      <w:r>
        <w:t>30484 for the ERCP component</w:t>
      </w:r>
      <w:r w:rsidR="00420AC2">
        <w:t xml:space="preserve">, </w:t>
      </w:r>
      <w:r w:rsidR="00420AC2" w:rsidRPr="001F621F">
        <w:rPr>
          <w:iCs/>
        </w:rPr>
        <w:fldChar w:fldCharType="begin"/>
      </w:r>
      <w:r w:rsidR="00420AC2" w:rsidRPr="001F621F">
        <w:rPr>
          <w:iCs/>
        </w:rPr>
        <w:instrText xml:space="preserve"> REF _Ref89079403 \h </w:instrText>
      </w:r>
      <w:r w:rsidR="001F621F" w:rsidRPr="001F621F">
        <w:rPr>
          <w:iCs/>
        </w:rPr>
        <w:instrText xml:space="preserve"> \* MERGEFORMAT </w:instrText>
      </w:r>
      <w:r w:rsidR="00420AC2" w:rsidRPr="001F621F">
        <w:rPr>
          <w:iCs/>
        </w:rPr>
      </w:r>
      <w:r w:rsidR="00420AC2" w:rsidRPr="001F621F">
        <w:rPr>
          <w:iCs/>
        </w:rPr>
        <w:fldChar w:fldCharType="separate"/>
      </w:r>
      <w:r w:rsidR="00D422BC" w:rsidRPr="00D422BC">
        <w:rPr>
          <w:iCs/>
        </w:rPr>
        <w:t>Table 5</w:t>
      </w:r>
      <w:r w:rsidR="00420AC2" w:rsidRPr="001F621F">
        <w:rPr>
          <w:iCs/>
        </w:rPr>
        <w:fldChar w:fldCharType="end"/>
      </w:r>
      <w:r w:rsidRPr="001F621F">
        <w:rPr>
          <w:iCs/>
        </w:rPr>
        <w:t>).</w:t>
      </w:r>
      <w:r>
        <w:t xml:space="preserve"> Mechanical lithotripsy is not listed on the MBS, and currently</w:t>
      </w:r>
      <w:r w:rsidRPr="00E20AFB">
        <w:t xml:space="preserve"> hospitals absorb the costs </w:t>
      </w:r>
      <w:r w:rsidRPr="003D25EF">
        <w:t xml:space="preserve">of this component of the procedure. </w:t>
      </w:r>
    </w:p>
    <w:p w14:paraId="7D7AD2D0" w14:textId="0FBFC418" w:rsidR="003D25EF" w:rsidRDefault="003D25EF" w:rsidP="00286269">
      <w:pPr>
        <w:pStyle w:val="ListParagraph"/>
        <w:numPr>
          <w:ilvl w:val="0"/>
          <w:numId w:val="15"/>
        </w:numPr>
        <w:spacing w:after="240"/>
      </w:pPr>
      <w:r>
        <w:lastRenderedPageBreak/>
        <w:t>Laparoscopic choledochotomy (MBS item 30454 for choledochotomy</w:t>
      </w:r>
      <w:r w:rsidR="00420AC2">
        <w:t xml:space="preserve">; </w:t>
      </w:r>
      <w:r w:rsidR="00420AC2" w:rsidRPr="001F621F">
        <w:rPr>
          <w:iCs/>
        </w:rPr>
        <w:fldChar w:fldCharType="begin"/>
      </w:r>
      <w:r w:rsidR="00420AC2" w:rsidRPr="001F621F">
        <w:rPr>
          <w:iCs/>
        </w:rPr>
        <w:instrText xml:space="preserve"> REF _Ref78375911 \h </w:instrText>
      </w:r>
      <w:r w:rsidR="001F621F" w:rsidRPr="001F621F">
        <w:rPr>
          <w:iCs/>
        </w:rPr>
        <w:instrText xml:space="preserve"> \* MERGEFORMAT </w:instrText>
      </w:r>
      <w:r w:rsidR="00420AC2" w:rsidRPr="001F621F">
        <w:rPr>
          <w:iCs/>
        </w:rPr>
      </w:r>
      <w:r w:rsidR="00420AC2" w:rsidRPr="001F621F">
        <w:rPr>
          <w:iCs/>
        </w:rPr>
        <w:fldChar w:fldCharType="separate"/>
      </w:r>
      <w:r w:rsidR="00D422BC" w:rsidRPr="00D422BC">
        <w:rPr>
          <w:iCs/>
        </w:rPr>
        <w:t>Table 6</w:t>
      </w:r>
      <w:r w:rsidR="00420AC2" w:rsidRPr="001F621F">
        <w:rPr>
          <w:iCs/>
        </w:rPr>
        <w:fldChar w:fldCharType="end"/>
      </w:r>
      <w:r>
        <w:t>).</w:t>
      </w:r>
    </w:p>
    <w:p w14:paraId="37733AD3" w14:textId="658C1948" w:rsidR="003F7951" w:rsidRPr="00D37AE7" w:rsidRDefault="003F7951" w:rsidP="003F7951">
      <w:pPr>
        <w:pStyle w:val="Caption"/>
      </w:pPr>
      <w:bookmarkStart w:id="33" w:name="_Ref89079403"/>
      <w:bookmarkStart w:id="34" w:name="_Ref78375691"/>
      <w:bookmarkStart w:id="35" w:name="_Toc84313603"/>
      <w:bookmarkStart w:id="36" w:name="_Toc84324748"/>
      <w:bookmarkStart w:id="37" w:name="_Toc84344181"/>
      <w:bookmarkStart w:id="38" w:name="_Toc88760150"/>
      <w:r>
        <w:t xml:space="preserve">Table </w:t>
      </w:r>
      <w:r>
        <w:fldChar w:fldCharType="begin"/>
      </w:r>
      <w:r>
        <w:instrText>SEQ Table \* ARABIC</w:instrText>
      </w:r>
      <w:r>
        <w:fldChar w:fldCharType="separate"/>
      </w:r>
      <w:r w:rsidR="00D422BC">
        <w:rPr>
          <w:noProof/>
        </w:rPr>
        <w:t>5</w:t>
      </w:r>
      <w:r>
        <w:fldChar w:fldCharType="end"/>
      </w:r>
      <w:bookmarkEnd w:id="33"/>
      <w:r>
        <w:tab/>
        <w:t>MBS item for E</w:t>
      </w:r>
      <w:bookmarkEnd w:id="34"/>
      <w:r>
        <w:t>RCP</w:t>
      </w:r>
      <w:bookmarkEnd w:id="35"/>
      <w:bookmarkEnd w:id="36"/>
      <w:bookmarkEnd w:id="37"/>
      <w:bookmarkEnd w:id="38"/>
    </w:p>
    <w:tbl>
      <w:tblPr>
        <w:tblStyle w:val="PlainTable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Caption w:val="Table 15 MBS item for ERCP"/>
        <w:tblDescription w:val="Table 15 MBS item for ERCP"/>
      </w:tblPr>
      <w:tblGrid>
        <w:gridCol w:w="9016"/>
      </w:tblGrid>
      <w:tr w:rsidR="003F7951" w:rsidRPr="002150A4" w14:paraId="7536B762" w14:textId="77777777" w:rsidTr="00420A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AA4895E" w14:textId="77777777" w:rsidR="003F7951" w:rsidRPr="00420AC2" w:rsidRDefault="003F7951" w:rsidP="00420AC2">
            <w:pPr>
              <w:pStyle w:val="TableText"/>
              <w:rPr>
                <w:b w:val="0"/>
              </w:rPr>
            </w:pPr>
            <w:r w:rsidRPr="00420AC2">
              <w:rPr>
                <w:b w:val="0"/>
              </w:rPr>
              <w:t>Category 3 - Therapeutic Procedures</w:t>
            </w:r>
          </w:p>
        </w:tc>
      </w:tr>
      <w:tr w:rsidR="003F7951" w:rsidRPr="002150A4" w14:paraId="4F893C83" w14:textId="77777777" w:rsidTr="006D10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F261B71" w14:textId="37A199F2" w:rsidR="003F7951" w:rsidRPr="00F51F1B" w:rsidRDefault="003F7951" w:rsidP="006D10FC">
            <w:pPr>
              <w:pStyle w:val="TableText"/>
              <w:rPr>
                <w:b w:val="0"/>
                <w:bCs w:val="0"/>
              </w:rPr>
            </w:pPr>
            <w:r>
              <w:rPr>
                <w:b w:val="0"/>
                <w:bCs w:val="0"/>
              </w:rPr>
              <w:t xml:space="preserve">MBS item </w:t>
            </w:r>
            <w:r w:rsidRPr="00F51F1B">
              <w:rPr>
                <w:b w:val="0"/>
                <w:bCs w:val="0"/>
              </w:rPr>
              <w:t>30484</w:t>
            </w:r>
          </w:p>
          <w:p w14:paraId="03F7AD2C" w14:textId="77777777" w:rsidR="003F7951" w:rsidRPr="00F51F1B" w:rsidRDefault="003F7951" w:rsidP="006D10FC">
            <w:pPr>
              <w:pStyle w:val="TableText"/>
              <w:rPr>
                <w:b w:val="0"/>
                <w:bCs w:val="0"/>
              </w:rPr>
            </w:pPr>
            <w:r w:rsidRPr="00F51F1B">
              <w:rPr>
                <w:b w:val="0"/>
                <w:bCs w:val="0"/>
              </w:rPr>
              <w:t>ENDOSCOPIC RETROGRADE CHOLANGIOPANCREATOGRAPHY</w:t>
            </w:r>
          </w:p>
          <w:p w14:paraId="4FBB32C5" w14:textId="77777777" w:rsidR="003F7951" w:rsidRPr="00F51F1B" w:rsidRDefault="003F7951" w:rsidP="006D10FC">
            <w:pPr>
              <w:pStyle w:val="TableText"/>
              <w:rPr>
                <w:b w:val="0"/>
                <w:bCs w:val="0"/>
              </w:rPr>
            </w:pPr>
            <w:r w:rsidRPr="00F51F1B">
              <w:rPr>
                <w:b w:val="0"/>
                <w:bCs w:val="0"/>
              </w:rPr>
              <w:t>Multiple Operation Rule</w:t>
            </w:r>
          </w:p>
          <w:p w14:paraId="5B979BD6" w14:textId="77777777" w:rsidR="003F7951" w:rsidRPr="00F51F1B" w:rsidRDefault="003F7951" w:rsidP="006D10FC">
            <w:pPr>
              <w:pStyle w:val="TableText"/>
              <w:rPr>
                <w:b w:val="0"/>
                <w:bCs w:val="0"/>
              </w:rPr>
            </w:pPr>
            <w:r w:rsidRPr="00F51F1B">
              <w:rPr>
                <w:b w:val="0"/>
                <w:bCs w:val="0"/>
              </w:rPr>
              <w:t>(Anaes.)</w:t>
            </w:r>
          </w:p>
          <w:p w14:paraId="62424CA3" w14:textId="77777777" w:rsidR="003F7951" w:rsidRPr="00F51F1B" w:rsidRDefault="003F7951" w:rsidP="006D10FC">
            <w:pPr>
              <w:pStyle w:val="TableText"/>
              <w:rPr>
                <w:b w:val="0"/>
                <w:bCs w:val="0"/>
              </w:rPr>
            </w:pPr>
            <w:r w:rsidRPr="00F51F1B">
              <w:rPr>
                <w:b w:val="0"/>
                <w:bCs w:val="0"/>
              </w:rPr>
              <w:t>Fee: $379.70 Benefit: 75% = $284.80 85% = $322.75</w:t>
            </w:r>
          </w:p>
          <w:p w14:paraId="2482F8A3" w14:textId="77777777" w:rsidR="003F7951" w:rsidRPr="002150A4" w:rsidRDefault="003F7951" w:rsidP="006D10FC">
            <w:pPr>
              <w:pStyle w:val="TableText"/>
            </w:pPr>
            <w:r w:rsidRPr="00F51F1B">
              <w:rPr>
                <w:b w:val="0"/>
                <w:bCs w:val="0"/>
              </w:rPr>
              <w:t>(See para TN.8.17 of explanatory notes to this Category)</w:t>
            </w:r>
          </w:p>
        </w:tc>
      </w:tr>
    </w:tbl>
    <w:p w14:paraId="5EE34960" w14:textId="67464B7E" w:rsidR="003F7951" w:rsidRPr="00D37AE7" w:rsidRDefault="003F7951" w:rsidP="003F7951">
      <w:pPr>
        <w:pStyle w:val="Caption"/>
      </w:pPr>
      <w:bookmarkStart w:id="39" w:name="_Ref78375911"/>
      <w:bookmarkStart w:id="40" w:name="_Toc84313604"/>
      <w:bookmarkStart w:id="41" w:name="_Toc84324749"/>
      <w:bookmarkStart w:id="42" w:name="_Toc84344182"/>
      <w:bookmarkStart w:id="43" w:name="_Toc88760151"/>
      <w:r>
        <w:t xml:space="preserve">Table </w:t>
      </w:r>
      <w:r>
        <w:fldChar w:fldCharType="begin"/>
      </w:r>
      <w:r>
        <w:instrText>SEQ Table \* ARABIC</w:instrText>
      </w:r>
      <w:r>
        <w:fldChar w:fldCharType="separate"/>
      </w:r>
      <w:r w:rsidR="00D422BC">
        <w:rPr>
          <w:noProof/>
        </w:rPr>
        <w:t>6</w:t>
      </w:r>
      <w:r>
        <w:fldChar w:fldCharType="end"/>
      </w:r>
      <w:bookmarkEnd w:id="39"/>
      <w:r>
        <w:tab/>
        <w:t xml:space="preserve">MBS item for </w:t>
      </w:r>
      <w:r w:rsidRPr="003F7951">
        <w:t>laparoscopic choledochotomy</w:t>
      </w:r>
      <w:bookmarkEnd w:id="40"/>
      <w:bookmarkEnd w:id="41"/>
      <w:bookmarkEnd w:id="42"/>
      <w:bookmarkEnd w:id="43"/>
      <w:r>
        <w:t xml:space="preserve"> </w:t>
      </w:r>
    </w:p>
    <w:tbl>
      <w:tblPr>
        <w:tblStyle w:val="TableGrid"/>
        <w:tblW w:w="5000" w:type="pct"/>
        <w:tblCellMar>
          <w:left w:w="57" w:type="dxa"/>
          <w:right w:w="57" w:type="dxa"/>
        </w:tblCellMar>
        <w:tblLook w:val="04A0" w:firstRow="1" w:lastRow="0" w:firstColumn="1" w:lastColumn="0" w:noHBand="0" w:noVBand="1"/>
        <w:tblCaption w:val="Table 16 MBS item for laparoscopic choledochotomy "/>
        <w:tblDescription w:val="Table 16 MBS item for laparoscopic choledochotomy "/>
      </w:tblPr>
      <w:tblGrid>
        <w:gridCol w:w="9016"/>
      </w:tblGrid>
      <w:tr w:rsidR="003F7951" w14:paraId="463C9966" w14:textId="77777777" w:rsidTr="006D10FC">
        <w:tc>
          <w:tcPr>
            <w:tcW w:w="5000" w:type="pct"/>
          </w:tcPr>
          <w:p w14:paraId="5082D545" w14:textId="77777777" w:rsidR="003F7951" w:rsidRPr="00420AC2" w:rsidRDefault="003F7951" w:rsidP="003F7951">
            <w:pPr>
              <w:pStyle w:val="TableText"/>
              <w:ind w:left="57" w:right="57"/>
            </w:pPr>
            <w:r w:rsidRPr="00420AC2">
              <w:t xml:space="preserve">Category 3 - Therapeutic Procedures </w:t>
            </w:r>
          </w:p>
        </w:tc>
      </w:tr>
      <w:tr w:rsidR="003F7951" w14:paraId="7FEFB737" w14:textId="77777777" w:rsidTr="006D10FC">
        <w:tc>
          <w:tcPr>
            <w:tcW w:w="5000" w:type="pct"/>
          </w:tcPr>
          <w:p w14:paraId="1DD5B606" w14:textId="3D528749" w:rsidR="003F7951" w:rsidRPr="00F51F1B" w:rsidRDefault="00420AC2" w:rsidP="006D10FC">
            <w:pPr>
              <w:pStyle w:val="TableText"/>
              <w:ind w:left="57" w:right="57"/>
            </w:pPr>
            <w:r>
              <w:t xml:space="preserve">MBS item </w:t>
            </w:r>
            <w:r w:rsidR="003F7951" w:rsidRPr="00F51F1B">
              <w:t>30454</w:t>
            </w:r>
          </w:p>
          <w:p w14:paraId="2AB4C119" w14:textId="77777777" w:rsidR="003F7951" w:rsidRPr="00F51F1B" w:rsidRDefault="003F7951" w:rsidP="006D10FC">
            <w:pPr>
              <w:pStyle w:val="TableText"/>
              <w:ind w:left="57" w:right="57"/>
            </w:pPr>
            <w:r w:rsidRPr="00F51F1B">
              <w:t>Choledochotomy without cholecystectomy, with or without removal of calculi</w:t>
            </w:r>
          </w:p>
          <w:p w14:paraId="7360A968" w14:textId="77777777" w:rsidR="003F7951" w:rsidRPr="00F51F1B" w:rsidRDefault="003F7951" w:rsidP="006D10FC">
            <w:pPr>
              <w:pStyle w:val="TableText"/>
              <w:ind w:left="57" w:right="57"/>
            </w:pPr>
            <w:r w:rsidRPr="00F51F1B">
              <w:t>Multiple Operation Rule</w:t>
            </w:r>
          </w:p>
          <w:p w14:paraId="5E4FE601" w14:textId="77777777" w:rsidR="003F7951" w:rsidRPr="00F51F1B" w:rsidRDefault="003F7951" w:rsidP="006D10FC">
            <w:pPr>
              <w:pStyle w:val="TableText"/>
              <w:ind w:left="57" w:right="57"/>
            </w:pPr>
            <w:r w:rsidRPr="00F51F1B">
              <w:t>(Anaes.) (Assist.)</w:t>
            </w:r>
          </w:p>
          <w:p w14:paraId="3A378B81" w14:textId="77777777" w:rsidR="003F7951" w:rsidRPr="00F51F1B" w:rsidRDefault="003F7951" w:rsidP="006D10FC">
            <w:pPr>
              <w:pStyle w:val="TableText"/>
              <w:ind w:left="57" w:right="57"/>
            </w:pPr>
            <w:r w:rsidRPr="00F51F1B">
              <w:t>Fee: $1,371.65 Benefit: 75% = $1,028.75</w:t>
            </w:r>
          </w:p>
        </w:tc>
      </w:tr>
    </w:tbl>
    <w:p w14:paraId="1431309D" w14:textId="4CFB456B" w:rsidR="003D25EF" w:rsidRPr="003D25EF" w:rsidRDefault="00420AC2" w:rsidP="00402B01">
      <w:pPr>
        <w:spacing w:after="240"/>
        <w:rPr>
          <w:i/>
          <w:iCs/>
        </w:rPr>
      </w:pPr>
      <w:r>
        <w:t xml:space="preserve">As stated in the Ratified PICO, item </w:t>
      </w:r>
      <w:r w:rsidRPr="004C6D93">
        <w:t>30457</w:t>
      </w:r>
      <w:r>
        <w:t xml:space="preserve"> (</w:t>
      </w:r>
      <w:r w:rsidRPr="00420AC2">
        <w:t>choledochotomy, intrahepatic, involving removal of intrahepatic bile duct calculi</w:t>
      </w:r>
      <w:r>
        <w:t xml:space="preserve">) is also considered an appropriate MBS item for patients with intrahepatic stones. As </w:t>
      </w:r>
      <w:r w:rsidR="00EC08E6">
        <w:t xml:space="preserve">the </w:t>
      </w:r>
      <w:r>
        <w:t>majority of the population receiving l</w:t>
      </w:r>
      <w:r w:rsidRPr="00761556">
        <w:t>aparoscopic choledochotomy</w:t>
      </w:r>
      <w:r>
        <w:t xml:space="preserve"> are treated for extrahepatic stones, item </w:t>
      </w:r>
      <w:r w:rsidRPr="00761556">
        <w:t>30454</w:t>
      </w:r>
      <w:r>
        <w:t xml:space="preserve"> has been used throughout this ADAR. The cost of </w:t>
      </w:r>
      <w:r w:rsidRPr="00A74662">
        <w:t xml:space="preserve">item 30457 </w:t>
      </w:r>
      <w:r>
        <w:t>has been considered in a sensitivity analysis.</w:t>
      </w:r>
      <w:r w:rsidR="00E9034D">
        <w:t xml:space="preserve"> The commentary considered that </w:t>
      </w:r>
      <w:r w:rsidR="00E9034D" w:rsidRPr="00E9034D">
        <w:t>t</w:t>
      </w:r>
      <w:r w:rsidR="003D25EF" w:rsidRPr="00E9034D">
        <w:t xml:space="preserve">his </w:t>
      </w:r>
      <w:r w:rsidR="00E9034D" w:rsidRPr="00E9034D">
        <w:t>was</w:t>
      </w:r>
      <w:r w:rsidR="003D25EF" w:rsidRPr="00E9034D">
        <w:t xml:space="preserve"> appropriate.</w:t>
      </w:r>
    </w:p>
    <w:p w14:paraId="012AECD4" w14:textId="77777777" w:rsidR="003D25EF" w:rsidRDefault="003D25EF" w:rsidP="003D25EF">
      <w:pPr>
        <w:pStyle w:val="Heading3"/>
      </w:pPr>
      <w:r>
        <w:t>Investigative application</w:t>
      </w:r>
    </w:p>
    <w:p w14:paraId="37E37DF2" w14:textId="5481F208" w:rsidR="003F7951" w:rsidRDefault="003F7951" w:rsidP="00402B01">
      <w:pPr>
        <w:spacing w:after="240"/>
      </w:pPr>
      <w:r>
        <w:t xml:space="preserve">In the absence of POCPS, patients with indeterminate biliary strictures will undertake radiologically guided ERCP with brush cytology and/or blind intraductal biopsy (MBS item 30484; </w:t>
      </w:r>
      <w:r w:rsidR="005F32D2">
        <w:fldChar w:fldCharType="begin"/>
      </w:r>
      <w:r w:rsidR="005F32D2">
        <w:instrText xml:space="preserve"> REF _Ref89079403 \h </w:instrText>
      </w:r>
      <w:r w:rsidR="005F32D2">
        <w:fldChar w:fldCharType="separate"/>
      </w:r>
      <w:r w:rsidR="00D422BC">
        <w:t xml:space="preserve">Table </w:t>
      </w:r>
      <w:r w:rsidR="00D422BC">
        <w:rPr>
          <w:noProof/>
        </w:rPr>
        <w:t>5</w:t>
      </w:r>
      <w:r w:rsidR="005F32D2">
        <w:fldChar w:fldCharType="end"/>
      </w:r>
      <w:r>
        <w:t>).</w:t>
      </w:r>
    </w:p>
    <w:p w14:paraId="21C49A60" w14:textId="42B8D7F7" w:rsidR="00F172EB" w:rsidRPr="00CE28E3" w:rsidRDefault="0015035D" w:rsidP="00F172EB">
      <w:pPr>
        <w:pStyle w:val="Heading2"/>
      </w:pPr>
      <w:bookmarkStart w:id="44" w:name="_Toc69491421"/>
      <w:r>
        <w:t>9</w:t>
      </w:r>
      <w:r w:rsidR="00F172EB">
        <w:t>.</w:t>
      </w:r>
      <w:r w:rsidR="00F172EB">
        <w:tab/>
      </w:r>
      <w:r w:rsidR="00F172EB" w:rsidRPr="00CE28E3">
        <w:t xml:space="preserve">Summary of public consultation </w:t>
      </w:r>
      <w:r w:rsidR="00F172EB">
        <w:t>input</w:t>
      </w:r>
      <w:bookmarkEnd w:id="44"/>
    </w:p>
    <w:p w14:paraId="5F8756FE" w14:textId="77777777" w:rsidR="000140E1" w:rsidRDefault="000140E1" w:rsidP="000140E1">
      <w:pPr>
        <w:pStyle w:val="Heading3"/>
      </w:pPr>
      <w:r>
        <w:t>Therapeutic application</w:t>
      </w:r>
    </w:p>
    <w:p w14:paraId="44D750DD" w14:textId="558B23A4" w:rsidR="000140E1" w:rsidRDefault="000140E1" w:rsidP="00402B01">
      <w:pPr>
        <w:spacing w:after="240"/>
      </w:pPr>
      <w:r>
        <w:t xml:space="preserve">The </w:t>
      </w:r>
      <w:r w:rsidR="001D0F98">
        <w:t xml:space="preserve">Department </w:t>
      </w:r>
      <w:r>
        <w:t xml:space="preserve">received targeted consultation feedback </w:t>
      </w:r>
      <w:r w:rsidR="00EC08E6">
        <w:t>from</w:t>
      </w:r>
      <w:r>
        <w:t xml:space="preserve"> the Gastroenterological Society of Australia (GESA) and from a health professional.</w:t>
      </w:r>
    </w:p>
    <w:p w14:paraId="1345F59F" w14:textId="213B70DE" w:rsidR="000140E1" w:rsidRDefault="000140E1" w:rsidP="00402B01">
      <w:pPr>
        <w:spacing w:after="240"/>
      </w:pPr>
      <w:r>
        <w:t>GESA was strongly supportive of the application and considered that POCPS is superior to standard ERCP-based techniques for the removal of difficult biliary stones. Increased availability of POCPS through MBS funding would reduce the number of procedures patients undergo therapeutically, such as multiple ERCP procedures with attempted extraction of stones using standard transpapillary techniques or therapy of their indeterminate biliary stricture. GESA noted that POCPS is performed for the removal of difficult biliary stones as it allows for direct visualization of biliary stones and accurate targeting of the stone with EHL to fracture them to facilitate their removal.</w:t>
      </w:r>
    </w:p>
    <w:p w14:paraId="7DEC853D" w14:textId="77777777" w:rsidR="000140E1" w:rsidRDefault="000140E1" w:rsidP="00402B01">
      <w:pPr>
        <w:spacing w:after="240"/>
      </w:pPr>
      <w:r>
        <w:lastRenderedPageBreak/>
        <w:t>The health professional considered that POCPS would result in prompt and efficient treatment of difficult stones and reduced numbers of ERCP procedures with associated cost saving.</w:t>
      </w:r>
    </w:p>
    <w:p w14:paraId="75C06301" w14:textId="751B4084" w:rsidR="000140E1" w:rsidRDefault="000140E1" w:rsidP="00402B01">
      <w:pPr>
        <w:spacing w:after="240"/>
      </w:pPr>
      <w:r>
        <w:t>The letter of support from Pancare</w:t>
      </w:r>
      <w:r w:rsidR="006601D3">
        <w:t>, received with the application,</w:t>
      </w:r>
      <w:r>
        <w:t xml:space="preserve"> highlighted that:</w:t>
      </w:r>
    </w:p>
    <w:p w14:paraId="70A3024A" w14:textId="33B86E74" w:rsidR="000140E1" w:rsidRDefault="000140E1" w:rsidP="00286269">
      <w:pPr>
        <w:pStyle w:val="ListParagraph"/>
        <w:numPr>
          <w:ilvl w:val="0"/>
          <w:numId w:val="16"/>
        </w:numPr>
        <w:spacing w:after="240"/>
      </w:pPr>
      <w:r>
        <w:t>POCPS is a more effective approach for clearing difficult biliary stones compared to repeated ERCP. POCPS is recommended in clinical guidelines.</w:t>
      </w:r>
    </w:p>
    <w:p w14:paraId="389BC47F" w14:textId="0D389533" w:rsidR="000140E1" w:rsidRDefault="000140E1" w:rsidP="00286269">
      <w:pPr>
        <w:pStyle w:val="ListParagraph"/>
        <w:numPr>
          <w:ilvl w:val="0"/>
          <w:numId w:val="16"/>
        </w:numPr>
        <w:spacing w:after="240"/>
      </w:pPr>
      <w:r>
        <w:t>Early identification and removal of stones may enhance awareness, prevention, or early detection of biliary cancer.</w:t>
      </w:r>
    </w:p>
    <w:p w14:paraId="4DE548DB" w14:textId="29BF6D62" w:rsidR="000140E1" w:rsidRDefault="000140E1" w:rsidP="00286269">
      <w:pPr>
        <w:pStyle w:val="ListParagraph"/>
        <w:numPr>
          <w:ilvl w:val="0"/>
          <w:numId w:val="16"/>
        </w:numPr>
        <w:spacing w:after="240"/>
      </w:pPr>
      <w:r>
        <w:t>There is currently inequity to accessing this treatment due to a lack of public funding.</w:t>
      </w:r>
      <w:r w:rsidR="00514F2D">
        <w:t xml:space="preserve"> However, ESC noted that the procedure is currently provided in some public hospitals. </w:t>
      </w:r>
    </w:p>
    <w:p w14:paraId="5229E010" w14:textId="77777777" w:rsidR="000140E1" w:rsidRDefault="000140E1" w:rsidP="000140E1">
      <w:pPr>
        <w:pStyle w:val="Heading3"/>
      </w:pPr>
      <w:r>
        <w:t>Investigative application</w:t>
      </w:r>
    </w:p>
    <w:p w14:paraId="27108F67" w14:textId="063BDBF3" w:rsidR="000140E1" w:rsidRDefault="000140E1" w:rsidP="00402B01">
      <w:pPr>
        <w:spacing w:after="240"/>
      </w:pPr>
      <w:r>
        <w:t xml:space="preserve">GESA was strongly supportive of the application and considered that POCPS is superior to standard ERCP-based techniques for the diagnosis of indeterminate biliary strictures. GESA </w:t>
      </w:r>
      <w:r w:rsidR="00537DC6">
        <w:t xml:space="preserve">proposed </w:t>
      </w:r>
      <w:r>
        <w:t xml:space="preserve">that MBS funding of POCPS </w:t>
      </w:r>
      <w:r w:rsidR="00537DC6">
        <w:t xml:space="preserve">may </w:t>
      </w:r>
      <w:r>
        <w:t xml:space="preserve">lead to earlier diagnosis and patient treatment, and reduce the number of ERCP </w:t>
      </w:r>
      <w:r w:rsidR="00537DC6">
        <w:t xml:space="preserve">and other </w:t>
      </w:r>
      <w:r>
        <w:t>procedures, to make a diagnosis. GESA also considered that patients would be generally reassured that a diagnosis has been made.</w:t>
      </w:r>
    </w:p>
    <w:p w14:paraId="415A2C13" w14:textId="24409C03" w:rsidR="000140E1" w:rsidRDefault="000140E1" w:rsidP="00402B01">
      <w:pPr>
        <w:spacing w:after="240"/>
      </w:pPr>
      <w:r>
        <w:t>The health professional also supported the application and considered the benefits of POCPS would be in the accurate determination of the pathology of biliary structures, and result in inappropriate treatment of biliary str</w:t>
      </w:r>
      <w:r w:rsidR="006F43BB">
        <w:t>i</w:t>
      </w:r>
      <w:r>
        <w:t>ctures, such as surgery.</w:t>
      </w:r>
    </w:p>
    <w:p w14:paraId="3B599D95" w14:textId="77777777" w:rsidR="000140E1" w:rsidRDefault="000140E1" w:rsidP="00402B01">
      <w:pPr>
        <w:spacing w:after="240"/>
      </w:pPr>
      <w:r>
        <w:t>In their letter of support, Pancare highlighted the importance of early diagnosis of malignancy for treatment outcomes and quality of life. Pancare also highlighted the importance of avoiding multiple procedures, delays in diagnosis and the possibility of unnecessary surgical resection of benign strictures.</w:t>
      </w:r>
      <w:r w:rsidRPr="00310C3F">
        <w:t xml:space="preserve"> </w:t>
      </w:r>
    </w:p>
    <w:p w14:paraId="5BED8C5F" w14:textId="38477383" w:rsidR="00A240F8" w:rsidRPr="00CE28E3" w:rsidRDefault="0015035D" w:rsidP="00A240F8">
      <w:pPr>
        <w:pStyle w:val="Heading2"/>
      </w:pPr>
      <w:bookmarkStart w:id="45" w:name="_Toc69491422"/>
      <w:bookmarkStart w:id="46" w:name="_Ref96021365"/>
      <w:bookmarkStart w:id="47" w:name="_Ref69725651"/>
      <w:r>
        <w:t>10</w:t>
      </w:r>
      <w:r w:rsidR="00A240F8">
        <w:t>.</w:t>
      </w:r>
      <w:r w:rsidR="00A240F8">
        <w:tab/>
      </w:r>
      <w:r w:rsidR="00A240F8" w:rsidRPr="00CE28E3">
        <w:t>Characteristics of the evidence base</w:t>
      </w:r>
      <w:bookmarkEnd w:id="45"/>
      <w:bookmarkEnd w:id="46"/>
    </w:p>
    <w:p w14:paraId="13AABE2B" w14:textId="77777777" w:rsidR="005D4577" w:rsidRDefault="005D4577" w:rsidP="005D4577">
      <w:pPr>
        <w:pStyle w:val="Heading3"/>
      </w:pPr>
      <w:r>
        <w:t>Therapeutic application</w:t>
      </w:r>
    </w:p>
    <w:p w14:paraId="6E2BC223" w14:textId="1FC3AE94" w:rsidR="005E49D6" w:rsidRPr="005E49D6" w:rsidRDefault="00AE247E" w:rsidP="005E49D6">
      <w:pPr>
        <w:spacing w:after="240"/>
      </w:pPr>
      <w:r>
        <w:t xml:space="preserve">Two key trials were identified for the therapeutic application, one for each comparator. Their key features are summarised in </w:t>
      </w:r>
      <w:r w:rsidRPr="00402B01">
        <w:rPr>
          <w:iCs/>
        </w:rPr>
        <w:fldChar w:fldCharType="begin"/>
      </w:r>
      <w:r w:rsidRPr="00402B01">
        <w:rPr>
          <w:iCs/>
        </w:rPr>
        <w:instrText xml:space="preserve"> REF _Ref89085144 \h </w:instrText>
      </w:r>
      <w:r w:rsidR="00402B01">
        <w:rPr>
          <w:iCs/>
        </w:rPr>
        <w:instrText xml:space="preserve"> \* MERGEFORMAT </w:instrText>
      </w:r>
      <w:r w:rsidRPr="00402B01">
        <w:rPr>
          <w:iCs/>
        </w:rPr>
      </w:r>
      <w:r w:rsidRPr="00402B01">
        <w:rPr>
          <w:iCs/>
        </w:rPr>
        <w:fldChar w:fldCharType="separate"/>
      </w:r>
      <w:r w:rsidR="00D422BC" w:rsidRPr="00D422BC">
        <w:rPr>
          <w:iCs/>
        </w:rPr>
        <w:t>Table 7</w:t>
      </w:r>
      <w:r w:rsidRPr="00402B01">
        <w:rPr>
          <w:iCs/>
        </w:rPr>
        <w:fldChar w:fldCharType="end"/>
      </w:r>
      <w:r>
        <w:t>.</w:t>
      </w:r>
      <w:bookmarkStart w:id="48" w:name="_Ref89085144"/>
      <w:r w:rsidR="005E49D6">
        <w:br w:type="page"/>
      </w:r>
    </w:p>
    <w:p w14:paraId="692BCA4B" w14:textId="620B7F9E" w:rsidR="00956ACE" w:rsidRPr="00330A0A" w:rsidRDefault="00956ACE" w:rsidP="009A06F4">
      <w:pPr>
        <w:pStyle w:val="Caption"/>
        <w:rPr>
          <w:color w:val="538135" w:themeColor="accent6" w:themeShade="BF"/>
          <w:sz w:val="16"/>
          <w:szCs w:val="16"/>
        </w:rPr>
      </w:pPr>
      <w:r w:rsidRPr="00CE28E3">
        <w:lastRenderedPageBreak/>
        <w:t>Table</w:t>
      </w:r>
      <w:r w:rsidR="004A4FDF">
        <w:t> </w:t>
      </w:r>
      <w:r>
        <w:fldChar w:fldCharType="begin"/>
      </w:r>
      <w:r>
        <w:instrText>SEQ Table \* ARABIC</w:instrText>
      </w:r>
      <w:r>
        <w:fldChar w:fldCharType="separate"/>
      </w:r>
      <w:r w:rsidR="00D422BC">
        <w:rPr>
          <w:noProof/>
        </w:rPr>
        <w:t>7</w:t>
      </w:r>
      <w:r>
        <w:fldChar w:fldCharType="end"/>
      </w:r>
      <w:bookmarkEnd w:id="47"/>
      <w:bookmarkEnd w:id="48"/>
      <w:r w:rsidRPr="00CE28E3">
        <w:tab/>
        <w:t>Key features of the included evidence</w:t>
      </w:r>
    </w:p>
    <w:tbl>
      <w:tblPr>
        <w:tblStyle w:val="TableGrid1"/>
        <w:tblW w:w="5000" w:type="pct"/>
        <w:tblCellMar>
          <w:left w:w="28" w:type="dxa"/>
          <w:right w:w="28" w:type="dxa"/>
        </w:tblCellMar>
        <w:tblLook w:val="04A0" w:firstRow="1" w:lastRow="0" w:firstColumn="1" w:lastColumn="0" w:noHBand="0" w:noVBand="1"/>
        <w:tblDescription w:val="Key features of the included evidence"/>
      </w:tblPr>
      <w:tblGrid>
        <w:gridCol w:w="1452"/>
        <w:gridCol w:w="811"/>
        <w:gridCol w:w="1381"/>
        <w:gridCol w:w="1093"/>
        <w:gridCol w:w="1518"/>
        <w:gridCol w:w="1095"/>
        <w:gridCol w:w="1666"/>
      </w:tblGrid>
      <w:tr w:rsidR="00140931" w:rsidRPr="00CE28E3" w14:paraId="475D8C60" w14:textId="77777777" w:rsidTr="67B645D6">
        <w:trPr>
          <w:cnfStyle w:val="100000000000" w:firstRow="1" w:lastRow="0" w:firstColumn="0" w:lastColumn="0" w:oddVBand="0" w:evenVBand="0" w:oddHBand="0" w:evenHBand="0" w:firstRowFirstColumn="0" w:firstRowLastColumn="0" w:lastRowFirstColumn="0" w:lastRowLastColumn="0"/>
          <w:cantSplit/>
          <w:tblHeader/>
        </w:trPr>
        <w:tc>
          <w:tcPr>
            <w:tcW w:w="805" w:type="pct"/>
            <w:shd w:val="clear" w:color="auto" w:fill="auto"/>
            <w:vAlign w:val="center"/>
          </w:tcPr>
          <w:p w14:paraId="4FFC981B" w14:textId="77777777" w:rsidR="00956ACE" w:rsidRPr="00CE28E3" w:rsidRDefault="00956ACE" w:rsidP="00824458">
            <w:pPr>
              <w:pStyle w:val="In-tableHeading"/>
            </w:pPr>
            <w:bookmarkStart w:id="49" w:name="ColumnTitle_Table3"/>
            <w:bookmarkStart w:id="50" w:name="_Hlk68276112"/>
            <w:bookmarkEnd w:id="49"/>
            <w:r w:rsidRPr="00CE28E3">
              <w:t>References</w:t>
            </w:r>
          </w:p>
        </w:tc>
        <w:tc>
          <w:tcPr>
            <w:tcW w:w="450" w:type="pct"/>
            <w:shd w:val="clear" w:color="auto" w:fill="auto"/>
            <w:vAlign w:val="center"/>
          </w:tcPr>
          <w:p w14:paraId="28641D20" w14:textId="77777777" w:rsidR="00956ACE" w:rsidRPr="00CE28E3" w:rsidRDefault="00956ACE" w:rsidP="00824458">
            <w:pPr>
              <w:pStyle w:val="In-tableHeading"/>
              <w:jc w:val="center"/>
            </w:pPr>
            <w:r w:rsidRPr="00CE28E3">
              <w:t>N</w:t>
            </w:r>
          </w:p>
        </w:tc>
        <w:tc>
          <w:tcPr>
            <w:tcW w:w="766" w:type="pct"/>
            <w:shd w:val="clear" w:color="auto" w:fill="auto"/>
            <w:vAlign w:val="center"/>
          </w:tcPr>
          <w:p w14:paraId="23BE1BE2" w14:textId="0DE3768C" w:rsidR="00956ACE" w:rsidRPr="00CE28E3" w:rsidRDefault="00956ACE" w:rsidP="00824458">
            <w:pPr>
              <w:pStyle w:val="In-tableHeading"/>
              <w:jc w:val="center"/>
            </w:pPr>
            <w:r w:rsidRPr="00CE28E3">
              <w:t>Design/duration</w:t>
            </w:r>
          </w:p>
        </w:tc>
        <w:tc>
          <w:tcPr>
            <w:tcW w:w="606" w:type="pct"/>
            <w:shd w:val="clear" w:color="auto" w:fill="auto"/>
            <w:vAlign w:val="center"/>
          </w:tcPr>
          <w:p w14:paraId="4F407CF9" w14:textId="77777777" w:rsidR="00956ACE" w:rsidRPr="00CE28E3" w:rsidRDefault="00956ACE" w:rsidP="00824458">
            <w:pPr>
              <w:pStyle w:val="In-tableHeading"/>
              <w:jc w:val="center"/>
            </w:pPr>
            <w:r w:rsidRPr="00CE28E3">
              <w:t>Risk of bias</w:t>
            </w:r>
          </w:p>
        </w:tc>
        <w:tc>
          <w:tcPr>
            <w:tcW w:w="842" w:type="pct"/>
            <w:shd w:val="clear" w:color="auto" w:fill="auto"/>
            <w:vAlign w:val="center"/>
          </w:tcPr>
          <w:p w14:paraId="78074E6B" w14:textId="77777777" w:rsidR="00956ACE" w:rsidRPr="00CE28E3" w:rsidRDefault="00956ACE" w:rsidP="00824458">
            <w:pPr>
              <w:pStyle w:val="In-tableHeading"/>
              <w:jc w:val="center"/>
            </w:pPr>
            <w:r w:rsidRPr="00CE28E3">
              <w:t>Patient population</w:t>
            </w:r>
          </w:p>
        </w:tc>
        <w:tc>
          <w:tcPr>
            <w:tcW w:w="607" w:type="pct"/>
            <w:shd w:val="clear" w:color="auto" w:fill="auto"/>
            <w:vAlign w:val="center"/>
          </w:tcPr>
          <w:p w14:paraId="4B5869A3" w14:textId="77777777" w:rsidR="00956ACE" w:rsidRPr="00CE28E3" w:rsidRDefault="00956ACE" w:rsidP="00824458">
            <w:pPr>
              <w:pStyle w:val="In-tableHeading"/>
              <w:jc w:val="center"/>
            </w:pPr>
            <w:r w:rsidRPr="00CE28E3">
              <w:t>Outcome(s)</w:t>
            </w:r>
          </w:p>
        </w:tc>
        <w:tc>
          <w:tcPr>
            <w:tcW w:w="924" w:type="pct"/>
            <w:shd w:val="clear" w:color="auto" w:fill="auto"/>
            <w:vAlign w:val="center"/>
          </w:tcPr>
          <w:p w14:paraId="19D97B58" w14:textId="77777777" w:rsidR="00956ACE" w:rsidRPr="00CE28E3" w:rsidRDefault="00956ACE" w:rsidP="00824458">
            <w:pPr>
              <w:pStyle w:val="In-tableHeading"/>
              <w:jc w:val="center"/>
            </w:pPr>
            <w:r w:rsidRPr="00CE28E3">
              <w:t>Use in modelled evaluation</w:t>
            </w:r>
          </w:p>
        </w:tc>
      </w:tr>
      <w:tr w:rsidR="00956ACE" w:rsidRPr="00CE28E3" w14:paraId="0C31313E" w14:textId="77777777" w:rsidTr="67B645D6">
        <w:trPr>
          <w:cantSplit/>
        </w:trPr>
        <w:tc>
          <w:tcPr>
            <w:tcW w:w="5000" w:type="pct"/>
            <w:gridSpan w:val="7"/>
            <w:shd w:val="clear" w:color="auto" w:fill="auto"/>
            <w:vAlign w:val="center"/>
          </w:tcPr>
          <w:p w14:paraId="6ADF1B8F" w14:textId="5AA77AEB" w:rsidR="00956ACE" w:rsidRPr="00CE28E3" w:rsidRDefault="003059C3" w:rsidP="00824458">
            <w:pPr>
              <w:pStyle w:val="In-tableHeading"/>
            </w:pPr>
            <w:r>
              <w:t>POCPS-LL/EHL vs ERCP-ML</w:t>
            </w:r>
          </w:p>
        </w:tc>
      </w:tr>
      <w:tr w:rsidR="00140931" w:rsidRPr="00CE28E3" w14:paraId="7E776818" w14:textId="77777777" w:rsidTr="67B645D6">
        <w:trPr>
          <w:cantSplit/>
        </w:trPr>
        <w:tc>
          <w:tcPr>
            <w:tcW w:w="805" w:type="pct"/>
            <w:shd w:val="clear" w:color="auto" w:fill="auto"/>
            <w:vAlign w:val="center"/>
          </w:tcPr>
          <w:p w14:paraId="563AC767" w14:textId="7D65AE83" w:rsidR="00956ACE" w:rsidRPr="00CE28E3" w:rsidRDefault="005F1F4A" w:rsidP="00824458">
            <w:pPr>
              <w:pStyle w:val="TableText"/>
              <w:rPr>
                <w:lang w:val="en-US"/>
              </w:rPr>
            </w:pPr>
            <w:r>
              <w:fldChar w:fldCharType="begin">
                <w:fldData xml:space="preserve">PEVuZE5vdGU+PENpdGUgQXV0aG9yWWVhcj0iMSI+PEF1dGhvcj5BbmdzdXdhdGNoYXJha29uPC9B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</w:fldData>
              </w:fldChar>
            </w:r>
            <w:r>
              <w:instrText xml:space="preserve"> ADDIN EN.CITE </w:instrText>
            </w:r>
            <w:r>
              <w:fldChar w:fldCharType="begin">
                <w:fldData xml:space="preserve">PEVuZE5vdGU+PENpdGUgQXV0aG9yWWVhcj0iMSI+PEF1dGhvcj5BbmdzdXdhdGNoYXJha29uPC9B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</w:fldData>
              </w:fldChar>
            </w:r>
            <w:r>
              <w:instrText xml:space="preserve"> ADDIN EN.CITE.DATA </w:instrText>
            </w:r>
            <w:r>
              <w:fldChar w:fldCharType="end"/>
            </w:r>
            <w:r>
              <w:fldChar w:fldCharType="separate"/>
            </w:r>
            <w:r>
              <w:rPr>
                <w:noProof/>
              </w:rPr>
              <w:t>Angsuwatcharakon et al. (2019)</w:t>
            </w:r>
            <w:r>
              <w:fldChar w:fldCharType="end"/>
            </w:r>
          </w:p>
        </w:tc>
        <w:tc>
          <w:tcPr>
            <w:tcW w:w="450" w:type="pct"/>
            <w:shd w:val="clear" w:color="auto" w:fill="auto"/>
            <w:vAlign w:val="center"/>
          </w:tcPr>
          <w:p w14:paraId="280096E2" w14:textId="00526508" w:rsidR="00956ACE" w:rsidRPr="00CE28E3" w:rsidRDefault="007D1B7D" w:rsidP="00824458">
            <w:pPr>
              <w:pStyle w:val="TableText"/>
              <w:jc w:val="center"/>
              <w:rPr>
                <w:lang w:val="en-US"/>
              </w:rPr>
            </w:pPr>
            <w:r>
              <w:rPr>
                <w:lang w:val="en-US"/>
              </w:rPr>
              <w:t>32</w:t>
            </w:r>
          </w:p>
        </w:tc>
        <w:tc>
          <w:tcPr>
            <w:tcW w:w="766" w:type="pct"/>
            <w:shd w:val="clear" w:color="auto" w:fill="auto"/>
            <w:vAlign w:val="center"/>
          </w:tcPr>
          <w:p w14:paraId="59A8F0F7" w14:textId="6050DE15" w:rsidR="00956ACE" w:rsidRDefault="0084500B" w:rsidP="00824458">
            <w:pPr>
              <w:pStyle w:val="TableText"/>
              <w:jc w:val="center"/>
              <w:rPr>
                <w:lang w:val="en-US"/>
              </w:rPr>
            </w:pPr>
            <w:r>
              <w:rPr>
                <w:lang w:val="en-US"/>
              </w:rPr>
              <w:t>R</w:t>
            </w:r>
            <w:r w:rsidR="00AE70C5">
              <w:rPr>
                <w:lang w:val="en-US"/>
              </w:rPr>
              <w:t>CT</w:t>
            </w:r>
          </w:p>
          <w:p w14:paraId="39A9151F" w14:textId="4F64F2D8" w:rsidR="0050141E" w:rsidRPr="00CE28E3" w:rsidRDefault="0050141E" w:rsidP="00824458">
            <w:pPr>
              <w:pStyle w:val="TableText"/>
              <w:jc w:val="center"/>
              <w:rPr>
                <w:lang w:val="en-US"/>
              </w:rPr>
            </w:pPr>
            <w:r>
              <w:rPr>
                <w:lang w:val="en-US"/>
              </w:rPr>
              <w:t>6 months</w:t>
            </w:r>
          </w:p>
        </w:tc>
        <w:tc>
          <w:tcPr>
            <w:tcW w:w="606" w:type="pct"/>
            <w:shd w:val="clear" w:color="auto" w:fill="auto"/>
            <w:vAlign w:val="center"/>
          </w:tcPr>
          <w:p w14:paraId="269C28DF" w14:textId="67D59715" w:rsidR="007D1B7D" w:rsidRPr="001F2D6A" w:rsidRDefault="001F2D6A" w:rsidP="00824458">
            <w:pPr>
              <w:pStyle w:val="TableText"/>
              <w:jc w:val="center"/>
              <w:rPr>
                <w:iCs/>
                <w:vertAlign w:val="superscript"/>
                <w:lang w:val="en-US"/>
              </w:rPr>
            </w:pPr>
            <w:r w:rsidRPr="001F2D6A">
              <w:rPr>
                <w:iCs/>
                <w:lang w:val="en-US"/>
              </w:rPr>
              <w:t>High</w:t>
            </w:r>
            <w:r>
              <w:rPr>
                <w:iCs/>
                <w:lang w:val="en-US"/>
              </w:rPr>
              <w:t xml:space="preserve"> </w:t>
            </w:r>
            <w:r>
              <w:rPr>
                <w:iCs/>
                <w:vertAlign w:val="superscript"/>
                <w:lang w:val="en-US"/>
              </w:rPr>
              <w:t>a</w:t>
            </w:r>
          </w:p>
        </w:tc>
        <w:tc>
          <w:tcPr>
            <w:tcW w:w="842" w:type="pct"/>
            <w:shd w:val="clear" w:color="auto" w:fill="auto"/>
            <w:vAlign w:val="center"/>
          </w:tcPr>
          <w:p w14:paraId="4FD8A7FC" w14:textId="1E9B9A48" w:rsidR="00956ACE" w:rsidRPr="00CE28E3" w:rsidRDefault="007D1B7D" w:rsidP="00824458">
            <w:pPr>
              <w:pStyle w:val="TableText"/>
              <w:jc w:val="center"/>
              <w:rPr>
                <w:lang w:val="en-US"/>
              </w:rPr>
            </w:pPr>
            <w:r>
              <w:rPr>
                <w:lang w:val="en-US"/>
              </w:rPr>
              <w:t>Patients with very large CBD stones or with stones floating above a tapering CBD, and in whom extraction after standard sphincterotomy and/or EPLBD had failed</w:t>
            </w:r>
          </w:p>
        </w:tc>
        <w:tc>
          <w:tcPr>
            <w:tcW w:w="607" w:type="pct"/>
            <w:shd w:val="clear" w:color="auto" w:fill="auto"/>
            <w:vAlign w:val="center"/>
          </w:tcPr>
          <w:p w14:paraId="4219F013" w14:textId="77777777" w:rsidR="007D1B7D" w:rsidRDefault="007D1B7D" w:rsidP="00824458">
            <w:pPr>
              <w:pStyle w:val="TableText"/>
              <w:jc w:val="center"/>
              <w:rPr>
                <w:lang w:val="en-US"/>
              </w:rPr>
            </w:pPr>
            <w:r>
              <w:rPr>
                <w:lang w:val="en-US"/>
              </w:rPr>
              <w:t>Complete stone clearance</w:t>
            </w:r>
          </w:p>
          <w:p w14:paraId="6C62802C" w14:textId="77777777" w:rsidR="002265CA" w:rsidRDefault="002265CA" w:rsidP="002265CA">
            <w:pPr>
              <w:pStyle w:val="TableText"/>
              <w:jc w:val="center"/>
              <w:rPr>
                <w:lang w:val="en-US"/>
              </w:rPr>
            </w:pPr>
            <w:r>
              <w:rPr>
                <w:lang w:val="en-US"/>
              </w:rPr>
              <w:t>Single session stone clearance</w:t>
            </w:r>
          </w:p>
          <w:p w14:paraId="45B1587F" w14:textId="01358516" w:rsidR="007D1B7D" w:rsidRPr="00CE28E3" w:rsidRDefault="007D1B7D" w:rsidP="00824458">
            <w:pPr>
              <w:pStyle w:val="TableText"/>
              <w:jc w:val="center"/>
              <w:rPr>
                <w:lang w:val="en-US"/>
              </w:rPr>
            </w:pPr>
            <w:r>
              <w:rPr>
                <w:lang w:val="en-US"/>
              </w:rPr>
              <w:t>Overall adverse events</w:t>
            </w:r>
          </w:p>
        </w:tc>
        <w:tc>
          <w:tcPr>
            <w:tcW w:w="924" w:type="pct"/>
            <w:shd w:val="clear" w:color="auto" w:fill="auto"/>
            <w:vAlign w:val="center"/>
          </w:tcPr>
          <w:p w14:paraId="3F9CD3D5" w14:textId="48C35457" w:rsidR="00956ACE" w:rsidRPr="00CE28E3" w:rsidRDefault="7F6021ED">
            <w:pPr>
              <w:pStyle w:val="TableText"/>
              <w:jc w:val="center"/>
              <w:rPr>
                <w:rFonts w:eastAsia="Calibri"/>
                <w:lang w:val="en-US"/>
              </w:rPr>
            </w:pPr>
            <w:r w:rsidRPr="67B645D6">
              <w:rPr>
                <w:lang w:val="en-US"/>
              </w:rPr>
              <w:t>Yes</w:t>
            </w:r>
          </w:p>
        </w:tc>
      </w:tr>
      <w:tr w:rsidR="00AE70C5" w:rsidRPr="00CE28E3" w14:paraId="36984A3E" w14:textId="77777777" w:rsidTr="67B645D6">
        <w:trPr>
          <w:cantSplit/>
        </w:trPr>
        <w:tc>
          <w:tcPr>
            <w:tcW w:w="5000" w:type="pct"/>
            <w:gridSpan w:val="7"/>
            <w:shd w:val="clear" w:color="auto" w:fill="auto"/>
            <w:vAlign w:val="center"/>
          </w:tcPr>
          <w:p w14:paraId="71B48D29" w14:textId="7B642D67" w:rsidR="00AE70C5" w:rsidRPr="00CE28E3" w:rsidRDefault="00AE70C5" w:rsidP="00AE70C5">
            <w:pPr>
              <w:pStyle w:val="In-tableHeading"/>
            </w:pPr>
            <w:r>
              <w:t>POCPS-LL/EHL vs laparoscopic choledochotomy</w:t>
            </w:r>
          </w:p>
        </w:tc>
      </w:tr>
      <w:tr w:rsidR="00FE5F39" w:rsidRPr="00CE28E3" w14:paraId="764EB7FF" w14:textId="77777777" w:rsidTr="67B645D6">
        <w:trPr>
          <w:cantSplit/>
        </w:trPr>
        <w:tc>
          <w:tcPr>
            <w:tcW w:w="805" w:type="pct"/>
            <w:shd w:val="clear" w:color="auto" w:fill="auto"/>
            <w:vAlign w:val="center"/>
          </w:tcPr>
          <w:p w14:paraId="46BAB09C" w14:textId="1859688A" w:rsidR="00AE70C5" w:rsidRPr="00CE28E3" w:rsidRDefault="005F1F4A" w:rsidP="00AE70C5">
            <w:pPr>
              <w:pStyle w:val="TableText"/>
              <w:rPr>
                <w:lang w:val="en-US"/>
              </w:rPr>
            </w:pPr>
            <w:r>
              <w:fldChar w:fldCharType="begin">
                <w:fldData xml:space="preserve">PEVuZE5vdGU+PENpdGUgQXV0aG9yWWVhcj0iMSI+PEF1dGhvcj5MaTwvQXV0aG9yPjxZZWFyPjIw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</w:fldData>
              </w:fldChar>
            </w:r>
            <w:r>
              <w:instrText xml:space="preserve"> ADDIN EN.CITE </w:instrText>
            </w:r>
            <w:r>
              <w:fldChar w:fldCharType="begin">
                <w:fldData xml:space="preserve">PEVuZE5vdGU+PENpdGUgQXV0aG9yWWVhcj0iMSI+PEF1dGhvcj5MaTwvQXV0aG9yPjxZZWFyPjIw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</w:fldData>
              </w:fldChar>
            </w:r>
            <w:r>
              <w:instrText xml:space="preserve"> ADDIN EN.CITE.DATA </w:instrText>
            </w:r>
            <w:r>
              <w:fldChar w:fldCharType="end"/>
            </w:r>
            <w:r>
              <w:fldChar w:fldCharType="separate"/>
            </w:r>
            <w:r>
              <w:rPr>
                <w:noProof/>
              </w:rPr>
              <w:t>Li et al. (2021)</w:t>
            </w:r>
            <w:r>
              <w:fldChar w:fldCharType="end"/>
            </w:r>
          </w:p>
        </w:tc>
        <w:tc>
          <w:tcPr>
            <w:tcW w:w="450" w:type="pct"/>
            <w:shd w:val="clear" w:color="auto" w:fill="auto"/>
            <w:vAlign w:val="center"/>
          </w:tcPr>
          <w:p w14:paraId="03161CBA" w14:textId="7FBA0C2E" w:rsidR="00AE70C5" w:rsidRPr="00CE28E3" w:rsidRDefault="00AE70C5" w:rsidP="00AE70C5">
            <w:pPr>
              <w:pStyle w:val="TableText"/>
              <w:jc w:val="center"/>
              <w:rPr>
                <w:lang w:val="en-US"/>
              </w:rPr>
            </w:pPr>
            <w:r>
              <w:rPr>
                <w:lang w:val="en-US"/>
              </w:rPr>
              <w:t>157</w:t>
            </w:r>
          </w:p>
        </w:tc>
        <w:tc>
          <w:tcPr>
            <w:tcW w:w="766" w:type="pct"/>
            <w:tcBorders>
              <w:bottom w:val="single" w:sz="4" w:space="0" w:color="auto"/>
            </w:tcBorders>
            <w:shd w:val="clear" w:color="auto" w:fill="auto"/>
            <w:vAlign w:val="center"/>
          </w:tcPr>
          <w:p w14:paraId="56BAD776" w14:textId="7AB96AF6" w:rsidR="00AE70C5" w:rsidRDefault="00AE70C5" w:rsidP="00AE70C5">
            <w:pPr>
              <w:pStyle w:val="TableText"/>
              <w:jc w:val="center"/>
              <w:rPr>
                <w:lang w:val="en-US"/>
              </w:rPr>
            </w:pPr>
            <w:r>
              <w:rPr>
                <w:lang w:val="en-US"/>
              </w:rPr>
              <w:t>R</w:t>
            </w:r>
          </w:p>
          <w:p w14:paraId="0258CD10" w14:textId="21C54BAD" w:rsidR="00AE70C5" w:rsidRPr="00CE28E3" w:rsidRDefault="00AE70C5" w:rsidP="00AE70C5">
            <w:pPr>
              <w:pStyle w:val="TableText"/>
              <w:jc w:val="center"/>
              <w:rPr>
                <w:lang w:val="en-US"/>
              </w:rPr>
            </w:pPr>
            <w:r>
              <w:rPr>
                <w:lang w:val="en-US"/>
              </w:rPr>
              <w:t>12 months</w:t>
            </w:r>
          </w:p>
        </w:tc>
        <w:tc>
          <w:tcPr>
            <w:tcW w:w="606" w:type="pct"/>
            <w:tcBorders>
              <w:bottom w:val="single" w:sz="4" w:space="0" w:color="auto"/>
            </w:tcBorders>
            <w:shd w:val="clear" w:color="auto" w:fill="auto"/>
            <w:vAlign w:val="center"/>
          </w:tcPr>
          <w:p w14:paraId="23BF88DA" w14:textId="77777777" w:rsidR="00AE70C5" w:rsidRPr="0050141E" w:rsidRDefault="00AE70C5" w:rsidP="00AE70C5">
            <w:pPr>
              <w:pStyle w:val="TableText"/>
              <w:jc w:val="center"/>
              <w:rPr>
                <w:iCs/>
                <w:lang w:val="en-US"/>
              </w:rPr>
            </w:pPr>
            <w:r w:rsidRPr="0050141E">
              <w:rPr>
                <w:iCs/>
                <w:lang w:val="en-US"/>
              </w:rPr>
              <w:t>Low</w:t>
            </w:r>
          </w:p>
        </w:tc>
        <w:tc>
          <w:tcPr>
            <w:tcW w:w="842" w:type="pct"/>
            <w:tcBorders>
              <w:bottom w:val="single" w:sz="4" w:space="0" w:color="auto"/>
            </w:tcBorders>
            <w:shd w:val="clear" w:color="auto" w:fill="auto"/>
            <w:vAlign w:val="center"/>
          </w:tcPr>
          <w:p w14:paraId="05F1D9DA" w14:textId="30E2A10F" w:rsidR="00AE70C5" w:rsidRPr="00CE28E3" w:rsidRDefault="00AE70C5" w:rsidP="00AE70C5">
            <w:pPr>
              <w:pStyle w:val="TableText"/>
              <w:jc w:val="center"/>
              <w:rPr>
                <w:lang w:val="en-US"/>
              </w:rPr>
            </w:pPr>
            <w:r>
              <w:rPr>
                <w:lang w:val="en-US"/>
              </w:rPr>
              <w:t>Patients with CBD stone diameter ≥2 cm as diagnosed by ultrasonography, CT and MRI</w:t>
            </w:r>
          </w:p>
        </w:tc>
        <w:tc>
          <w:tcPr>
            <w:tcW w:w="607" w:type="pct"/>
            <w:tcBorders>
              <w:bottom w:val="single" w:sz="4" w:space="0" w:color="auto"/>
            </w:tcBorders>
            <w:shd w:val="clear" w:color="auto" w:fill="auto"/>
            <w:vAlign w:val="center"/>
          </w:tcPr>
          <w:p w14:paraId="7E7CC75E" w14:textId="77777777" w:rsidR="00AE70C5" w:rsidRDefault="00AE70C5" w:rsidP="00AE70C5">
            <w:pPr>
              <w:pStyle w:val="TableText"/>
              <w:jc w:val="center"/>
              <w:rPr>
                <w:lang w:val="en-US"/>
              </w:rPr>
            </w:pPr>
            <w:r>
              <w:rPr>
                <w:lang w:val="en-US"/>
              </w:rPr>
              <w:t>Complete stone clearance</w:t>
            </w:r>
          </w:p>
          <w:p w14:paraId="0145347F" w14:textId="77777777" w:rsidR="002265CA" w:rsidRDefault="002265CA" w:rsidP="002265CA">
            <w:pPr>
              <w:pStyle w:val="TableText"/>
              <w:jc w:val="center"/>
              <w:rPr>
                <w:lang w:val="en-US"/>
              </w:rPr>
            </w:pPr>
            <w:r>
              <w:rPr>
                <w:lang w:val="en-US"/>
              </w:rPr>
              <w:t>Single session stone clearance</w:t>
            </w:r>
          </w:p>
          <w:p w14:paraId="2A3F370B" w14:textId="13F9567D" w:rsidR="00AE70C5" w:rsidRPr="00CE28E3" w:rsidRDefault="00AE70C5" w:rsidP="00AE70C5">
            <w:pPr>
              <w:pStyle w:val="TableText"/>
              <w:jc w:val="center"/>
              <w:rPr>
                <w:lang w:val="en-US"/>
              </w:rPr>
            </w:pPr>
            <w:r>
              <w:rPr>
                <w:lang w:val="en-US"/>
              </w:rPr>
              <w:t>Overall adverse events</w:t>
            </w:r>
          </w:p>
        </w:tc>
        <w:tc>
          <w:tcPr>
            <w:tcW w:w="924" w:type="pct"/>
            <w:shd w:val="clear" w:color="auto" w:fill="auto"/>
            <w:vAlign w:val="center"/>
          </w:tcPr>
          <w:p w14:paraId="562F7956" w14:textId="0887565D" w:rsidR="00AE70C5" w:rsidRPr="00CE28E3" w:rsidRDefault="790D4F8E">
            <w:pPr>
              <w:pStyle w:val="TableText"/>
              <w:jc w:val="center"/>
              <w:rPr>
                <w:rFonts w:eastAsia="Calibri"/>
                <w:lang w:val="en-US"/>
              </w:rPr>
            </w:pPr>
            <w:r w:rsidRPr="67B645D6">
              <w:rPr>
                <w:lang w:val="en-US"/>
              </w:rPr>
              <w:t>Yes</w:t>
            </w:r>
          </w:p>
        </w:tc>
      </w:tr>
    </w:tbl>
    <w:p w14:paraId="341BAF8C" w14:textId="1783A919" w:rsidR="001F2D6A" w:rsidRPr="001F2D6A" w:rsidRDefault="0084500B" w:rsidP="00E76AE0">
      <w:pPr>
        <w:pStyle w:val="TableFigureFooter"/>
      </w:pPr>
      <w:bookmarkStart w:id="51" w:name="_Hlk68276176"/>
      <w:bookmarkEnd w:id="50"/>
      <w:r>
        <w:t xml:space="preserve">CBD=common bile duct; </w:t>
      </w:r>
      <w:r w:rsidR="0050141E">
        <w:t xml:space="preserve">CT=computed tomography; </w:t>
      </w:r>
      <w:r>
        <w:t xml:space="preserve">EPLBD=endoscopic papillary large-balloon dilation; MRI=magnetic resonance imagining; </w:t>
      </w:r>
      <w:r w:rsidR="00956ACE" w:rsidRPr="00CE28E3">
        <w:t>R</w:t>
      </w:r>
      <w:r w:rsidR="00AE70C5">
        <w:t>CT</w:t>
      </w:r>
      <w:r w:rsidR="00956ACE" w:rsidRPr="00CE28E3">
        <w:t>=randomised</w:t>
      </w:r>
      <w:r w:rsidR="00AE70C5">
        <w:t xml:space="preserve"> controlled trial</w:t>
      </w:r>
      <w:r w:rsidR="00956ACE" w:rsidRPr="00CE28E3">
        <w:t>.</w:t>
      </w:r>
      <w:r w:rsidR="001F2D6A">
        <w:br/>
      </w:r>
      <w:r w:rsidR="001F2D6A">
        <w:rPr>
          <w:vertAlign w:val="superscript"/>
        </w:rPr>
        <w:t>a</w:t>
      </w:r>
      <w:r w:rsidR="001F2D6A">
        <w:t xml:space="preserve"> Due to high risk of incomplete results and selective report. Unclear allocation concealment and blinding.</w:t>
      </w:r>
    </w:p>
    <w:p w14:paraId="7AC2280C" w14:textId="06D1B906" w:rsidR="009F4FD3" w:rsidRPr="00A90255" w:rsidRDefault="00A90255" w:rsidP="00402B01">
      <w:pPr>
        <w:spacing w:after="240"/>
      </w:pPr>
      <w:bookmarkStart w:id="52" w:name="_Ref69725659"/>
      <w:bookmarkEnd w:id="51"/>
      <w:r>
        <w:t>The ADAR presented f</w:t>
      </w:r>
      <w:r w:rsidR="00223781" w:rsidRPr="00A90255">
        <w:t xml:space="preserve">urther </w:t>
      </w:r>
      <w:r w:rsidR="00AE247E" w:rsidRPr="00A90255">
        <w:t xml:space="preserve">supportive </w:t>
      </w:r>
      <w:r w:rsidR="00223781" w:rsidRPr="00A90255">
        <w:t>evidence was provided in form of naïve indirect comparisons.</w:t>
      </w:r>
      <w:r w:rsidR="00AE247E" w:rsidRPr="00A90255">
        <w:t xml:space="preserve"> </w:t>
      </w:r>
      <w:r w:rsidR="009F4FD3" w:rsidRPr="00A90255">
        <w:t>Of 28 studies, only six reported that all participants had prior ERCP. The commentary questioned the inclusion of studies with either no information on previous ERCP or with only a proportion of patients with prior ERCP. The commentary considered that none of the included single-arm studies were conducted in Australia or appeared particularly relevant to the Australian context.</w:t>
      </w:r>
    </w:p>
    <w:p w14:paraId="7F836849" w14:textId="0B78ACDE" w:rsidR="00223781" w:rsidRPr="00A90255" w:rsidRDefault="00AE247E" w:rsidP="00402B01">
      <w:pPr>
        <w:spacing w:after="240"/>
      </w:pPr>
      <w:r w:rsidRPr="00A90255">
        <w:t>Given the methodological deficiencies of the indirect comparison approach in the ADAR (overly restrictive and inconsistent search strategy, few details on the risk of bias assessment, double counting of evidence, multiple extraction errors, no description of methods for the pooling of results for indirect comparisons, no method for the indirect comparison except for a naïve comparison), th</w:t>
      </w:r>
      <w:r w:rsidR="00A90255" w:rsidRPr="00A90255">
        <w:t>e</w:t>
      </w:r>
      <w:r w:rsidR="005147E7">
        <w:t xml:space="preserve"> </w:t>
      </w:r>
      <w:r w:rsidRPr="00A90255">
        <w:t>Commentary based its conclusions on the comparative evidence only.</w:t>
      </w:r>
      <w:r w:rsidR="005147E7">
        <w:t xml:space="preserve"> The pre-ESC response clarified that </w:t>
      </w:r>
      <w:r w:rsidR="005147E7" w:rsidRPr="005147E7">
        <w:t>the meta-analysis was performed by calculating pooled proportions using RStudio.</w:t>
      </w:r>
    </w:p>
    <w:p w14:paraId="270DBC50" w14:textId="6B5856BA" w:rsidR="00DD5A22" w:rsidRPr="00A90255" w:rsidRDefault="00A90255" w:rsidP="00402B01">
      <w:pPr>
        <w:spacing w:after="240"/>
      </w:pPr>
      <w:bookmarkStart w:id="53" w:name="_Hlk91968675"/>
      <w:r w:rsidRPr="00A90255">
        <w:t>The commentary noted that n</w:t>
      </w:r>
      <w:r w:rsidR="00DD5A22" w:rsidRPr="00A90255">
        <w:t>one of the identified studies (comparative or single-arm) w</w:t>
      </w:r>
      <w:r w:rsidR="000F3B74" w:rsidRPr="00A90255">
        <w:t>ere</w:t>
      </w:r>
      <w:r w:rsidR="00DD5A22" w:rsidRPr="00A90255">
        <w:t xml:space="preserve"> conducted in Australia or appeared particularly relevant to the Australian context. However, the inputs </w:t>
      </w:r>
      <w:r w:rsidR="003A19DC" w:rsidRPr="00A90255">
        <w:t xml:space="preserve">to modelling </w:t>
      </w:r>
      <w:r w:rsidR="00DD5A22" w:rsidRPr="00A90255">
        <w:t>from studies conducted overseas were considered appropriate by the 2021 Advisory Board.</w:t>
      </w:r>
    </w:p>
    <w:bookmarkEnd w:id="53"/>
    <w:p w14:paraId="0B0EA1CA" w14:textId="4A82304A" w:rsidR="005D4577" w:rsidRDefault="005D4577" w:rsidP="005D4577">
      <w:pPr>
        <w:pStyle w:val="Heading3"/>
      </w:pPr>
      <w:r>
        <w:t>Investigative application</w:t>
      </w:r>
    </w:p>
    <w:p w14:paraId="76BABD59" w14:textId="133A4D4F" w:rsidR="003A676E" w:rsidRDefault="003A676E" w:rsidP="00402B01">
      <w:pPr>
        <w:spacing w:after="240"/>
      </w:pPr>
      <w:r>
        <w:t xml:space="preserve">Two key trials were identified for the </w:t>
      </w:r>
      <w:r w:rsidR="000D5336">
        <w:t>investigative</w:t>
      </w:r>
      <w:r>
        <w:t xml:space="preserve"> application, one </w:t>
      </w:r>
      <w:r w:rsidR="000D5336">
        <w:t>randomised and one non-randomised</w:t>
      </w:r>
      <w:r>
        <w:t xml:space="preserve">. Their key features are summarised in </w:t>
      </w:r>
      <w:r w:rsidRPr="00402B01">
        <w:rPr>
          <w:iCs/>
        </w:rPr>
        <w:fldChar w:fldCharType="begin"/>
      </w:r>
      <w:r w:rsidRPr="00402B01">
        <w:rPr>
          <w:iCs/>
        </w:rPr>
        <w:instrText xml:space="preserve"> REF _Ref89085216 \h </w:instrText>
      </w:r>
      <w:r w:rsidR="00402B01">
        <w:rPr>
          <w:iCs/>
        </w:rPr>
        <w:instrText xml:space="preserve"> \* MERGEFORMAT </w:instrText>
      </w:r>
      <w:r w:rsidRPr="00402B01">
        <w:rPr>
          <w:iCs/>
        </w:rPr>
      </w:r>
      <w:r w:rsidRPr="00402B01">
        <w:rPr>
          <w:iCs/>
        </w:rPr>
        <w:fldChar w:fldCharType="separate"/>
      </w:r>
      <w:r w:rsidR="00D422BC" w:rsidRPr="00D422BC">
        <w:rPr>
          <w:iCs/>
        </w:rPr>
        <w:t>Table 8</w:t>
      </w:r>
      <w:r w:rsidRPr="00402B01">
        <w:rPr>
          <w:iCs/>
        </w:rPr>
        <w:fldChar w:fldCharType="end"/>
      </w:r>
      <w:r>
        <w:t>.</w:t>
      </w:r>
    </w:p>
    <w:p w14:paraId="005968B3" w14:textId="71C04A15" w:rsidR="00956ACE" w:rsidRPr="00CE28E3" w:rsidRDefault="00956ACE" w:rsidP="009A06F4">
      <w:pPr>
        <w:pStyle w:val="Caption"/>
        <w:rPr>
          <w:sz w:val="16"/>
          <w:szCs w:val="16"/>
        </w:rPr>
      </w:pPr>
      <w:bookmarkStart w:id="54" w:name="_Ref89085216"/>
      <w:r w:rsidRPr="00CE28E3">
        <w:lastRenderedPageBreak/>
        <w:t>Table</w:t>
      </w:r>
      <w:r w:rsidR="004A4FDF">
        <w:t> </w:t>
      </w:r>
      <w:r>
        <w:fldChar w:fldCharType="begin"/>
      </w:r>
      <w:r>
        <w:instrText>SEQ Table \* ARABIC</w:instrText>
      </w:r>
      <w:r>
        <w:fldChar w:fldCharType="separate"/>
      </w:r>
      <w:r w:rsidR="00D422BC">
        <w:rPr>
          <w:noProof/>
        </w:rPr>
        <w:t>8</w:t>
      </w:r>
      <w:r>
        <w:fldChar w:fldCharType="end"/>
      </w:r>
      <w:bookmarkEnd w:id="52"/>
      <w:bookmarkEnd w:id="54"/>
      <w:r w:rsidRPr="00CE28E3">
        <w:tab/>
        <w:t>Key features of the included evidence</w:t>
      </w:r>
    </w:p>
    <w:tbl>
      <w:tblPr>
        <w:tblStyle w:val="TableGrid1"/>
        <w:tblW w:w="5000" w:type="pct"/>
        <w:tblLook w:val="04A0" w:firstRow="1" w:lastRow="0" w:firstColumn="1" w:lastColumn="0" w:noHBand="0" w:noVBand="1"/>
        <w:tblDescription w:val="Key features of the included evidence"/>
      </w:tblPr>
      <w:tblGrid>
        <w:gridCol w:w="1495"/>
        <w:gridCol w:w="2737"/>
        <w:gridCol w:w="1596"/>
        <w:gridCol w:w="1594"/>
        <w:gridCol w:w="1594"/>
      </w:tblGrid>
      <w:tr w:rsidR="00E268E3" w:rsidRPr="00CE28E3" w14:paraId="530E3954" w14:textId="6DDB5F87" w:rsidTr="00B013B7">
        <w:trPr>
          <w:cnfStyle w:val="100000000000" w:firstRow="1" w:lastRow="0" w:firstColumn="0" w:lastColumn="0" w:oddVBand="0" w:evenVBand="0" w:oddHBand="0" w:evenHBand="0" w:firstRowFirstColumn="0" w:firstRowLastColumn="0" w:lastRowFirstColumn="0" w:lastRowLastColumn="0"/>
          <w:tblHeader/>
        </w:trPr>
        <w:tc>
          <w:tcPr>
            <w:tcW w:w="829" w:type="pct"/>
            <w:tcBorders>
              <w:top w:val="single" w:sz="4" w:space="0" w:color="auto"/>
              <w:left w:val="single" w:sz="4" w:space="0" w:color="auto"/>
              <w:bottom w:val="single" w:sz="4" w:space="0" w:color="auto"/>
              <w:right w:val="single" w:sz="4" w:space="0" w:color="auto"/>
            </w:tcBorders>
            <w:vAlign w:val="bottom"/>
          </w:tcPr>
          <w:p w14:paraId="0112563A" w14:textId="3CE1178E" w:rsidR="00E268E3" w:rsidRPr="00CE28E3" w:rsidRDefault="00E268E3" w:rsidP="00E268E3">
            <w:pPr>
              <w:pStyle w:val="TableText"/>
              <w:keepNext/>
              <w:rPr>
                <w:b/>
              </w:rPr>
            </w:pPr>
            <w:bookmarkStart w:id="55" w:name="ColumnTitle_Table4"/>
            <w:bookmarkStart w:id="56" w:name="_Hlk68276288"/>
            <w:bookmarkEnd w:id="55"/>
            <w:r>
              <w:rPr>
                <w:b/>
              </w:rPr>
              <w:t>Criterion</w:t>
            </w:r>
          </w:p>
        </w:tc>
        <w:tc>
          <w:tcPr>
            <w:tcW w:w="1518" w:type="pct"/>
            <w:tcBorders>
              <w:top w:val="single" w:sz="4" w:space="0" w:color="auto"/>
              <w:left w:val="single" w:sz="4" w:space="0" w:color="auto"/>
              <w:bottom w:val="single" w:sz="4" w:space="0" w:color="auto"/>
              <w:right w:val="single" w:sz="4" w:space="0" w:color="auto"/>
            </w:tcBorders>
            <w:vAlign w:val="bottom"/>
            <w:hideMark/>
          </w:tcPr>
          <w:p w14:paraId="37828F38" w14:textId="77777777" w:rsidR="00E268E3" w:rsidRPr="00CE28E3" w:rsidRDefault="00E268E3" w:rsidP="00E268E3">
            <w:pPr>
              <w:pStyle w:val="TableText"/>
              <w:keepNext/>
              <w:rPr>
                <w:b/>
              </w:rPr>
            </w:pPr>
            <w:r w:rsidRPr="00CE28E3">
              <w:rPr>
                <w:b/>
              </w:rPr>
              <w:t>Type of evidence supplied</w:t>
            </w:r>
          </w:p>
        </w:tc>
        <w:tc>
          <w:tcPr>
            <w:tcW w:w="885" w:type="pct"/>
            <w:tcBorders>
              <w:top w:val="single" w:sz="4" w:space="0" w:color="auto"/>
              <w:left w:val="single" w:sz="4" w:space="0" w:color="auto"/>
              <w:bottom w:val="single" w:sz="4" w:space="0" w:color="auto"/>
              <w:right w:val="single" w:sz="4" w:space="0" w:color="auto"/>
            </w:tcBorders>
            <w:vAlign w:val="bottom"/>
            <w:hideMark/>
          </w:tcPr>
          <w:p w14:paraId="26BD1646" w14:textId="77777777" w:rsidR="00E268E3" w:rsidRPr="00CE28E3" w:rsidRDefault="00E268E3" w:rsidP="00E268E3">
            <w:pPr>
              <w:pStyle w:val="TableText"/>
              <w:keepNext/>
              <w:rPr>
                <w:b/>
              </w:rPr>
            </w:pPr>
            <w:r w:rsidRPr="00CE28E3">
              <w:rPr>
                <w:b/>
              </w:rPr>
              <w:t>Extent of evidence supplied</w:t>
            </w:r>
          </w:p>
        </w:tc>
        <w:tc>
          <w:tcPr>
            <w:tcW w:w="884" w:type="pct"/>
            <w:tcBorders>
              <w:top w:val="single" w:sz="4" w:space="0" w:color="auto"/>
              <w:left w:val="single" w:sz="4" w:space="0" w:color="auto"/>
              <w:bottom w:val="single" w:sz="4" w:space="0" w:color="auto"/>
              <w:right w:val="single" w:sz="4" w:space="0" w:color="auto"/>
            </w:tcBorders>
            <w:vAlign w:val="bottom"/>
            <w:hideMark/>
          </w:tcPr>
          <w:p w14:paraId="3F0C39B2" w14:textId="65668C27" w:rsidR="00E268E3" w:rsidRPr="00CE28E3" w:rsidRDefault="72EF5C52" w:rsidP="67B645D6">
            <w:pPr>
              <w:pStyle w:val="TableText"/>
              <w:keepNext/>
              <w:rPr>
                <w:b/>
                <w:bCs/>
              </w:rPr>
            </w:pPr>
            <w:r w:rsidRPr="6EEFF546">
              <w:rPr>
                <w:b/>
                <w:bCs/>
              </w:rPr>
              <w:t>Overall risk of bias in evidence base</w:t>
            </w:r>
          </w:p>
        </w:tc>
        <w:tc>
          <w:tcPr>
            <w:tcW w:w="884" w:type="pct"/>
            <w:tcBorders>
              <w:top w:val="single" w:sz="4" w:space="0" w:color="auto"/>
              <w:left w:val="single" w:sz="4" w:space="0" w:color="auto"/>
              <w:bottom w:val="single" w:sz="4" w:space="0" w:color="auto"/>
              <w:right w:val="single" w:sz="4" w:space="0" w:color="auto"/>
            </w:tcBorders>
            <w:vAlign w:val="center"/>
          </w:tcPr>
          <w:p w14:paraId="13ECA094" w14:textId="18A1EFB9" w:rsidR="00E268E3" w:rsidRPr="00CE28E3" w:rsidRDefault="00E268E3" w:rsidP="00E268E3">
            <w:pPr>
              <w:pStyle w:val="TableText"/>
              <w:keepNext/>
              <w:rPr>
                <w:b/>
              </w:rPr>
            </w:pPr>
            <w:r w:rsidRPr="00B013B7">
              <w:rPr>
                <w:b/>
              </w:rPr>
              <w:t>Use in modelled evaluation</w:t>
            </w:r>
          </w:p>
        </w:tc>
      </w:tr>
      <w:tr w:rsidR="00E268E3" w:rsidRPr="00CE28E3" w14:paraId="34571304" w14:textId="79360663" w:rsidTr="00B013B7">
        <w:tc>
          <w:tcPr>
            <w:tcW w:w="829" w:type="pct"/>
            <w:tcBorders>
              <w:top w:val="single" w:sz="4" w:space="0" w:color="auto"/>
              <w:left w:val="single" w:sz="4" w:space="0" w:color="auto"/>
              <w:bottom w:val="single" w:sz="4" w:space="0" w:color="auto"/>
              <w:right w:val="single" w:sz="4" w:space="0" w:color="auto"/>
            </w:tcBorders>
            <w:hideMark/>
          </w:tcPr>
          <w:p w14:paraId="63BA3949" w14:textId="77777777" w:rsidR="00E268E3" w:rsidRPr="00CE28E3" w:rsidRDefault="00E268E3" w:rsidP="00E268E3">
            <w:pPr>
              <w:pStyle w:val="TableText"/>
              <w:keepNext/>
            </w:pPr>
            <w:r w:rsidRPr="00CE28E3">
              <w:t>Accuracy and performance of the test (cross-sectional accuracy)</w:t>
            </w:r>
          </w:p>
        </w:tc>
        <w:tc>
          <w:tcPr>
            <w:tcW w:w="1518" w:type="pct"/>
            <w:tcBorders>
              <w:top w:val="single" w:sz="4" w:space="0" w:color="auto"/>
              <w:left w:val="single" w:sz="4" w:space="0" w:color="auto"/>
              <w:bottom w:val="single" w:sz="4" w:space="0" w:color="auto"/>
              <w:right w:val="single" w:sz="4" w:space="0" w:color="auto"/>
            </w:tcBorders>
            <w:hideMark/>
          </w:tcPr>
          <w:p w14:paraId="7A348354" w14:textId="48D7F976" w:rsidR="00E268E3" w:rsidRPr="00CE28E3" w:rsidRDefault="00E268E3" w:rsidP="00E268E3">
            <w:pPr>
              <w:pStyle w:val="TableText"/>
              <w:keepNext/>
            </w:pPr>
            <w:r w:rsidRPr="009F6421">
              <w:t xml:space="preserve">1 RCT, 1 </w:t>
            </w:r>
            <w:r>
              <w:t>cohort study</w:t>
            </w:r>
          </w:p>
        </w:tc>
        <w:tc>
          <w:tcPr>
            <w:tcW w:w="885" w:type="pct"/>
            <w:tcBorders>
              <w:top w:val="single" w:sz="4" w:space="0" w:color="auto"/>
              <w:left w:val="single" w:sz="4" w:space="0" w:color="auto"/>
              <w:bottom w:val="single" w:sz="4" w:space="0" w:color="auto"/>
              <w:right w:val="single" w:sz="4" w:space="0" w:color="auto"/>
            </w:tcBorders>
            <w:hideMark/>
          </w:tcPr>
          <w:p w14:paraId="4B9F173D" w14:textId="6BB7682C" w:rsidR="00E268E3" w:rsidRPr="00CE28E3" w:rsidRDefault="00FC1160" w:rsidP="00E268E3">
            <w:pPr>
              <w:pStyle w:val="TableText"/>
              <w:keepNext/>
            </w:pPr>
            <w:sdt>
              <w:sdtPr>
                <w:id w:val="1454910707"/>
                <w14:checkbox>
                  <w14:checked w14:val="1"/>
                  <w14:checkedState w14:val="2612" w14:font="MS Gothic"/>
                  <w14:uncheckedState w14:val="2610" w14:font="MS Gothic"/>
                </w14:checkbox>
              </w:sdtPr>
              <w:sdtEndPr/>
              <w:sdtContent>
                <w:r w:rsidR="00E268E3">
                  <w:rPr>
                    <w:rFonts w:ascii="MS Gothic" w:eastAsia="MS Gothic" w:hAnsi="MS Gothic" w:hint="eastAsia"/>
                  </w:rPr>
                  <w:t>☒</w:t>
                </w:r>
              </w:sdtContent>
            </w:sdt>
            <w:r w:rsidR="00E268E3" w:rsidRPr="00CE28E3">
              <w:tab/>
              <w:t>k=</w:t>
            </w:r>
            <w:r w:rsidR="00E268E3">
              <w:t>2</w:t>
            </w:r>
            <w:r w:rsidR="00E268E3" w:rsidRPr="00CE28E3">
              <w:tab/>
              <w:t>n=</w:t>
            </w:r>
            <w:r w:rsidR="00E268E3">
              <w:t>86</w:t>
            </w:r>
          </w:p>
        </w:tc>
        <w:tc>
          <w:tcPr>
            <w:tcW w:w="884" w:type="pct"/>
            <w:tcBorders>
              <w:top w:val="single" w:sz="4" w:space="0" w:color="auto"/>
              <w:left w:val="single" w:sz="4" w:space="0" w:color="auto"/>
              <w:bottom w:val="single" w:sz="4" w:space="0" w:color="auto"/>
              <w:right w:val="single" w:sz="4" w:space="0" w:color="auto"/>
            </w:tcBorders>
            <w:hideMark/>
          </w:tcPr>
          <w:p w14:paraId="5D9E4990" w14:textId="4171A1F7" w:rsidR="00E268E3" w:rsidRPr="00061477" w:rsidRDefault="00E268E3" w:rsidP="00E268E3">
            <w:pPr>
              <w:pStyle w:val="TableText"/>
              <w:keepNext/>
            </w:pPr>
            <w:r w:rsidRPr="00061477">
              <w:t xml:space="preserve">1 RCT </w:t>
            </w:r>
            <w:r w:rsidR="00537DC6">
              <w:t xml:space="preserve">at </w:t>
            </w:r>
            <w:r w:rsidRPr="00061477">
              <w:t xml:space="preserve">risk of bias, concerns about applicability </w:t>
            </w:r>
          </w:p>
          <w:p w14:paraId="314B6464" w14:textId="5F979FE7" w:rsidR="00E268E3" w:rsidRPr="00CE28E3" w:rsidRDefault="00E268E3" w:rsidP="00E268E3">
            <w:pPr>
              <w:pStyle w:val="TableText"/>
              <w:keepNext/>
            </w:pPr>
            <w:r w:rsidRPr="00061477">
              <w:t>1 cohort study at risk of bias, concerns about applicability</w:t>
            </w:r>
          </w:p>
        </w:tc>
        <w:tc>
          <w:tcPr>
            <w:tcW w:w="884" w:type="pct"/>
            <w:tcBorders>
              <w:top w:val="single" w:sz="4" w:space="0" w:color="auto"/>
              <w:left w:val="single" w:sz="4" w:space="0" w:color="auto"/>
              <w:bottom w:val="single" w:sz="4" w:space="0" w:color="auto"/>
              <w:right w:val="single" w:sz="4" w:space="0" w:color="auto"/>
            </w:tcBorders>
          </w:tcPr>
          <w:p w14:paraId="29B2CB07" w14:textId="5E46A3E7" w:rsidR="00E268E3" w:rsidRPr="00061477" w:rsidRDefault="0603B114" w:rsidP="00E268E3">
            <w:pPr>
              <w:pStyle w:val="TableText"/>
              <w:keepNext/>
            </w:pPr>
            <w:r>
              <w:t>Yes</w:t>
            </w:r>
            <w:r w:rsidR="6E55A9A9">
              <w:t>*</w:t>
            </w:r>
          </w:p>
          <w:p w14:paraId="28A00E6F" w14:textId="54FFD9E7" w:rsidR="00E268E3" w:rsidRPr="00061477" w:rsidRDefault="00E268E3" w:rsidP="00E268E3">
            <w:pPr>
              <w:pStyle w:val="TableText"/>
              <w:keepNext/>
              <w:rPr>
                <w:rFonts w:eastAsia="Calibri"/>
              </w:rPr>
            </w:pPr>
          </w:p>
        </w:tc>
      </w:tr>
      <w:tr w:rsidR="00E268E3" w:rsidRPr="00CE28E3" w14:paraId="394F5D38" w14:textId="5BD6D438" w:rsidTr="00B013B7">
        <w:tc>
          <w:tcPr>
            <w:tcW w:w="829" w:type="pct"/>
            <w:tcBorders>
              <w:top w:val="single" w:sz="4" w:space="0" w:color="auto"/>
              <w:left w:val="single" w:sz="4" w:space="0" w:color="auto"/>
              <w:bottom w:val="single" w:sz="4" w:space="0" w:color="auto"/>
              <w:right w:val="single" w:sz="4" w:space="0" w:color="auto"/>
            </w:tcBorders>
          </w:tcPr>
          <w:p w14:paraId="3A23C7AF" w14:textId="51B79BEE" w:rsidR="00E268E3" w:rsidRPr="00CE28E3" w:rsidRDefault="00E268E3" w:rsidP="00E268E3">
            <w:pPr>
              <w:pStyle w:val="TableText"/>
              <w:keepNext/>
            </w:pPr>
            <w:r>
              <w:t>Safety (overall adverse events)</w:t>
            </w:r>
          </w:p>
        </w:tc>
        <w:tc>
          <w:tcPr>
            <w:tcW w:w="1518" w:type="pct"/>
            <w:tcBorders>
              <w:top w:val="single" w:sz="4" w:space="0" w:color="auto"/>
              <w:left w:val="single" w:sz="4" w:space="0" w:color="auto"/>
              <w:bottom w:val="single" w:sz="4" w:space="0" w:color="auto"/>
              <w:right w:val="single" w:sz="4" w:space="0" w:color="auto"/>
            </w:tcBorders>
          </w:tcPr>
          <w:p w14:paraId="09B067DC" w14:textId="426287A8" w:rsidR="00E268E3" w:rsidRPr="00BC4972" w:rsidRDefault="00E268E3" w:rsidP="00E268E3">
            <w:pPr>
              <w:pStyle w:val="TableText"/>
              <w:keepNext/>
              <w:rPr>
                <w:color w:val="258221"/>
              </w:rPr>
            </w:pPr>
            <w:r w:rsidRPr="00061477">
              <w:t>1 RCT</w:t>
            </w:r>
          </w:p>
        </w:tc>
        <w:tc>
          <w:tcPr>
            <w:tcW w:w="885" w:type="pct"/>
            <w:tcBorders>
              <w:top w:val="single" w:sz="4" w:space="0" w:color="auto"/>
              <w:left w:val="single" w:sz="4" w:space="0" w:color="auto"/>
              <w:bottom w:val="single" w:sz="4" w:space="0" w:color="auto"/>
              <w:right w:val="single" w:sz="4" w:space="0" w:color="auto"/>
            </w:tcBorders>
          </w:tcPr>
          <w:p w14:paraId="4F8D09E2" w14:textId="0E0001CB" w:rsidR="00E268E3" w:rsidRDefault="00FC1160" w:rsidP="00E268E3">
            <w:pPr>
              <w:pStyle w:val="TableText"/>
              <w:keepNext/>
            </w:pPr>
            <w:sdt>
              <w:sdtPr>
                <w:id w:val="-960961465"/>
                <w14:checkbox>
                  <w14:checked w14:val="1"/>
                  <w14:checkedState w14:val="2612" w14:font="MS Gothic"/>
                  <w14:uncheckedState w14:val="2610" w14:font="MS Gothic"/>
                </w14:checkbox>
              </w:sdtPr>
              <w:sdtEndPr/>
              <w:sdtContent>
                <w:r w:rsidR="00E268E3">
                  <w:rPr>
                    <w:rFonts w:ascii="MS Gothic" w:eastAsia="MS Gothic" w:hAnsi="MS Gothic" w:hint="eastAsia"/>
                  </w:rPr>
                  <w:t>☒</w:t>
                </w:r>
              </w:sdtContent>
            </w:sdt>
            <w:r w:rsidR="00E268E3" w:rsidRPr="00CE28E3">
              <w:tab/>
              <w:t>k=</w:t>
            </w:r>
            <w:r w:rsidR="00E268E3">
              <w:t>1</w:t>
            </w:r>
            <w:r w:rsidR="00E268E3" w:rsidRPr="00CE28E3">
              <w:tab/>
              <w:t>n=</w:t>
            </w:r>
            <w:r w:rsidR="00E268E3">
              <w:t>60</w:t>
            </w:r>
          </w:p>
        </w:tc>
        <w:tc>
          <w:tcPr>
            <w:tcW w:w="884" w:type="pct"/>
            <w:tcBorders>
              <w:top w:val="single" w:sz="4" w:space="0" w:color="auto"/>
              <w:left w:val="single" w:sz="4" w:space="0" w:color="auto"/>
              <w:bottom w:val="single" w:sz="4" w:space="0" w:color="auto"/>
              <w:right w:val="single" w:sz="4" w:space="0" w:color="auto"/>
            </w:tcBorders>
          </w:tcPr>
          <w:p w14:paraId="5EEDDD57" w14:textId="3F5F4C69" w:rsidR="00E268E3" w:rsidRPr="00061477" w:rsidRDefault="00E268E3" w:rsidP="00E268E3">
            <w:pPr>
              <w:pStyle w:val="TableText"/>
              <w:keepNext/>
            </w:pPr>
            <w:r w:rsidRPr="00061477">
              <w:t xml:space="preserve">1 RCT </w:t>
            </w:r>
            <w:r w:rsidR="00537DC6">
              <w:t>at</w:t>
            </w:r>
            <w:r w:rsidR="00537DC6" w:rsidRPr="00061477">
              <w:t xml:space="preserve"> </w:t>
            </w:r>
            <w:r w:rsidRPr="00061477">
              <w:t xml:space="preserve">risk of bias, concerns about applicability </w:t>
            </w:r>
          </w:p>
          <w:p w14:paraId="70C10E52" w14:textId="46E5726D" w:rsidR="00E268E3" w:rsidRPr="00BC4972" w:rsidRDefault="00E268E3" w:rsidP="00E268E3">
            <w:pPr>
              <w:pStyle w:val="TableText"/>
              <w:keepNext/>
              <w:rPr>
                <w:color w:val="258221"/>
              </w:rPr>
            </w:pPr>
          </w:p>
        </w:tc>
        <w:tc>
          <w:tcPr>
            <w:tcW w:w="884" w:type="pct"/>
            <w:tcBorders>
              <w:top w:val="single" w:sz="4" w:space="0" w:color="auto"/>
              <w:left w:val="single" w:sz="4" w:space="0" w:color="auto"/>
              <w:bottom w:val="single" w:sz="4" w:space="0" w:color="auto"/>
              <w:right w:val="single" w:sz="4" w:space="0" w:color="auto"/>
            </w:tcBorders>
          </w:tcPr>
          <w:p w14:paraId="5B98445B" w14:textId="2D8862ED" w:rsidR="00E268E3" w:rsidRPr="00061477" w:rsidRDefault="59746B3B" w:rsidP="00E268E3">
            <w:pPr>
              <w:pStyle w:val="TableText"/>
              <w:keepNext/>
            </w:pPr>
            <w:r>
              <w:t>Yes</w:t>
            </w:r>
          </w:p>
        </w:tc>
      </w:tr>
      <w:tr w:rsidR="00E268E3" w:rsidRPr="00CE28E3" w14:paraId="020F989B" w14:textId="343D548D" w:rsidTr="00B013B7">
        <w:tc>
          <w:tcPr>
            <w:tcW w:w="829" w:type="pct"/>
            <w:tcBorders>
              <w:top w:val="single" w:sz="4" w:space="0" w:color="auto"/>
              <w:left w:val="single" w:sz="4" w:space="0" w:color="auto"/>
              <w:bottom w:val="single" w:sz="4" w:space="0" w:color="auto"/>
              <w:right w:val="single" w:sz="4" w:space="0" w:color="auto"/>
            </w:tcBorders>
            <w:hideMark/>
          </w:tcPr>
          <w:p w14:paraId="252A909C" w14:textId="77777777" w:rsidR="00E268E3" w:rsidRPr="00CE28E3" w:rsidRDefault="00E268E3" w:rsidP="00E268E3">
            <w:pPr>
              <w:pStyle w:val="TableText"/>
              <w:keepNext/>
            </w:pPr>
            <w:r w:rsidRPr="00CE28E3">
              <w:t xml:space="preserve">Change in patient management </w:t>
            </w:r>
          </w:p>
        </w:tc>
        <w:tc>
          <w:tcPr>
            <w:tcW w:w="1518" w:type="pct"/>
            <w:tcBorders>
              <w:top w:val="single" w:sz="4" w:space="0" w:color="auto"/>
              <w:left w:val="single" w:sz="4" w:space="0" w:color="auto"/>
              <w:bottom w:val="single" w:sz="4" w:space="0" w:color="auto"/>
              <w:right w:val="single" w:sz="4" w:space="0" w:color="auto"/>
            </w:tcBorders>
            <w:hideMark/>
          </w:tcPr>
          <w:p w14:paraId="5CBE339B" w14:textId="77777777" w:rsidR="00E268E3" w:rsidRDefault="00E268E3" w:rsidP="00E268E3">
            <w:pPr>
              <w:pStyle w:val="TableText"/>
              <w:keepNext/>
            </w:pPr>
            <w:r>
              <w:t>3 cohort studies</w:t>
            </w:r>
          </w:p>
          <w:p w14:paraId="6CFA7EE5" w14:textId="5984C118" w:rsidR="00E268E3" w:rsidRPr="00CE28E3" w:rsidRDefault="00E268E3" w:rsidP="00E268E3">
            <w:pPr>
              <w:pStyle w:val="TableText"/>
              <w:keepNext/>
            </w:pPr>
            <w:r>
              <w:t>1 CEA</w:t>
            </w:r>
          </w:p>
        </w:tc>
        <w:tc>
          <w:tcPr>
            <w:tcW w:w="885" w:type="pct"/>
            <w:tcBorders>
              <w:top w:val="single" w:sz="4" w:space="0" w:color="auto"/>
              <w:left w:val="single" w:sz="4" w:space="0" w:color="auto"/>
              <w:bottom w:val="single" w:sz="4" w:space="0" w:color="auto"/>
              <w:right w:val="single" w:sz="4" w:space="0" w:color="auto"/>
            </w:tcBorders>
            <w:hideMark/>
          </w:tcPr>
          <w:p w14:paraId="60E3094E" w14:textId="6721E186" w:rsidR="00E268E3" w:rsidRPr="00CE28E3" w:rsidRDefault="00FC1160" w:rsidP="00E268E3">
            <w:pPr>
              <w:pStyle w:val="TableText"/>
              <w:keepNext/>
            </w:pPr>
            <w:sdt>
              <w:sdtPr>
                <w:id w:val="-1943214893"/>
                <w14:checkbox>
                  <w14:checked w14:val="1"/>
                  <w14:checkedState w14:val="2612" w14:font="MS Gothic"/>
                  <w14:uncheckedState w14:val="2610" w14:font="MS Gothic"/>
                </w14:checkbox>
              </w:sdtPr>
              <w:sdtEndPr/>
              <w:sdtContent>
                <w:r w:rsidR="00E268E3">
                  <w:rPr>
                    <w:rFonts w:ascii="MS Gothic" w:eastAsia="MS Gothic" w:hAnsi="MS Gothic" w:hint="eastAsia"/>
                  </w:rPr>
                  <w:t>☒</w:t>
                </w:r>
              </w:sdtContent>
            </w:sdt>
            <w:r w:rsidR="00E268E3" w:rsidRPr="00CE28E3">
              <w:tab/>
              <w:t>k=</w:t>
            </w:r>
            <w:r w:rsidR="00E268E3">
              <w:t>4</w:t>
            </w:r>
            <w:r w:rsidR="00E268E3" w:rsidRPr="00CE28E3">
              <w:tab/>
              <w:t>n=</w:t>
            </w:r>
            <w:r w:rsidR="00E268E3">
              <w:t>577</w:t>
            </w:r>
          </w:p>
        </w:tc>
        <w:tc>
          <w:tcPr>
            <w:tcW w:w="884" w:type="pct"/>
            <w:tcBorders>
              <w:top w:val="single" w:sz="4" w:space="0" w:color="auto"/>
              <w:left w:val="single" w:sz="4" w:space="0" w:color="auto"/>
              <w:bottom w:val="single" w:sz="4" w:space="0" w:color="auto"/>
              <w:right w:val="single" w:sz="4" w:space="0" w:color="auto"/>
            </w:tcBorders>
            <w:hideMark/>
          </w:tcPr>
          <w:p w14:paraId="00E8E7C1" w14:textId="69C553FC" w:rsidR="00E268E3" w:rsidRPr="00CE28E3" w:rsidRDefault="00E268E3" w:rsidP="00E268E3">
            <w:pPr>
              <w:pStyle w:val="TableText"/>
              <w:keepNext/>
            </w:pPr>
            <w:r w:rsidRPr="00061477">
              <w:t>NR</w:t>
            </w:r>
          </w:p>
        </w:tc>
        <w:tc>
          <w:tcPr>
            <w:tcW w:w="884" w:type="pct"/>
            <w:tcBorders>
              <w:top w:val="single" w:sz="4" w:space="0" w:color="auto"/>
              <w:left w:val="single" w:sz="4" w:space="0" w:color="auto"/>
              <w:bottom w:val="single" w:sz="4" w:space="0" w:color="auto"/>
              <w:right w:val="single" w:sz="4" w:space="0" w:color="auto"/>
            </w:tcBorders>
          </w:tcPr>
          <w:p w14:paraId="2FE16596" w14:textId="636727DD" w:rsidR="00E268E3" w:rsidRPr="00061477" w:rsidRDefault="1428FC03" w:rsidP="00E268E3">
            <w:pPr>
              <w:pStyle w:val="TableText"/>
              <w:keepNext/>
            </w:pPr>
            <w:r>
              <w:t>No</w:t>
            </w:r>
          </w:p>
        </w:tc>
      </w:tr>
      <w:tr w:rsidR="00E268E3" w:rsidRPr="00CE28E3" w14:paraId="0A575DD3" w14:textId="09AEB20D" w:rsidTr="00B013B7">
        <w:tc>
          <w:tcPr>
            <w:tcW w:w="829" w:type="pct"/>
            <w:tcBorders>
              <w:top w:val="single" w:sz="4" w:space="0" w:color="auto"/>
              <w:left w:val="single" w:sz="4" w:space="0" w:color="auto"/>
              <w:bottom w:val="single" w:sz="4" w:space="0" w:color="auto"/>
              <w:right w:val="single" w:sz="4" w:space="0" w:color="auto"/>
            </w:tcBorders>
            <w:hideMark/>
          </w:tcPr>
          <w:p w14:paraId="2B5E1C59" w14:textId="5E3BE4B1" w:rsidR="00E268E3" w:rsidRPr="00CE28E3" w:rsidRDefault="00E268E3" w:rsidP="00E268E3">
            <w:pPr>
              <w:pStyle w:val="TableText"/>
              <w:keepNext/>
            </w:pPr>
            <w:r>
              <w:t>Procedural success</w:t>
            </w:r>
            <w:r w:rsidRPr="00CE28E3">
              <w:t xml:space="preserve">  </w:t>
            </w:r>
          </w:p>
        </w:tc>
        <w:tc>
          <w:tcPr>
            <w:tcW w:w="1518" w:type="pct"/>
            <w:tcBorders>
              <w:top w:val="single" w:sz="4" w:space="0" w:color="auto"/>
              <w:left w:val="single" w:sz="4" w:space="0" w:color="auto"/>
              <w:bottom w:val="single" w:sz="4" w:space="0" w:color="auto"/>
              <w:right w:val="single" w:sz="4" w:space="0" w:color="auto"/>
            </w:tcBorders>
          </w:tcPr>
          <w:p w14:paraId="54723D7C" w14:textId="7CE849B7" w:rsidR="00E268E3" w:rsidRPr="00CE28E3" w:rsidRDefault="00E268E3" w:rsidP="00E268E3">
            <w:pPr>
              <w:pStyle w:val="TableText"/>
              <w:keepNext/>
            </w:pPr>
            <w:r w:rsidRPr="009F6421">
              <w:t xml:space="preserve">1 RCT, 1 </w:t>
            </w:r>
            <w:r>
              <w:t>cohort study</w:t>
            </w:r>
          </w:p>
        </w:tc>
        <w:tc>
          <w:tcPr>
            <w:tcW w:w="885" w:type="pct"/>
            <w:tcBorders>
              <w:top w:val="single" w:sz="4" w:space="0" w:color="auto"/>
              <w:left w:val="single" w:sz="4" w:space="0" w:color="auto"/>
              <w:bottom w:val="single" w:sz="4" w:space="0" w:color="auto"/>
              <w:right w:val="single" w:sz="4" w:space="0" w:color="auto"/>
            </w:tcBorders>
          </w:tcPr>
          <w:p w14:paraId="496A8CDC" w14:textId="7660F0B5" w:rsidR="00E268E3" w:rsidRPr="00CE28E3" w:rsidRDefault="00FC1160" w:rsidP="00E268E3">
            <w:pPr>
              <w:pStyle w:val="TableText"/>
              <w:keepNext/>
            </w:pPr>
            <w:sdt>
              <w:sdtPr>
                <w:id w:val="-354814927"/>
                <w14:checkbox>
                  <w14:checked w14:val="1"/>
                  <w14:checkedState w14:val="2612" w14:font="MS Gothic"/>
                  <w14:uncheckedState w14:val="2610" w14:font="MS Gothic"/>
                </w14:checkbox>
              </w:sdtPr>
              <w:sdtEndPr/>
              <w:sdtContent>
                <w:r w:rsidR="00E268E3">
                  <w:rPr>
                    <w:rFonts w:ascii="MS Gothic" w:eastAsia="MS Gothic" w:hAnsi="MS Gothic" w:hint="eastAsia"/>
                  </w:rPr>
                  <w:t>☒</w:t>
                </w:r>
              </w:sdtContent>
            </w:sdt>
            <w:r w:rsidR="00E268E3" w:rsidRPr="00CE28E3">
              <w:tab/>
              <w:t>k=</w:t>
            </w:r>
            <w:r w:rsidR="00E268E3">
              <w:t>2</w:t>
            </w:r>
            <w:r w:rsidR="00E268E3" w:rsidRPr="00CE28E3">
              <w:tab/>
              <w:t>n=</w:t>
            </w:r>
            <w:r w:rsidR="00E268E3">
              <w:t>86</w:t>
            </w:r>
          </w:p>
        </w:tc>
        <w:tc>
          <w:tcPr>
            <w:tcW w:w="884" w:type="pct"/>
            <w:tcBorders>
              <w:top w:val="single" w:sz="4" w:space="0" w:color="auto"/>
              <w:left w:val="single" w:sz="4" w:space="0" w:color="auto"/>
              <w:bottom w:val="single" w:sz="4" w:space="0" w:color="auto"/>
              <w:right w:val="single" w:sz="4" w:space="0" w:color="auto"/>
            </w:tcBorders>
            <w:hideMark/>
          </w:tcPr>
          <w:p w14:paraId="7D63E183" w14:textId="46031D27" w:rsidR="00E268E3" w:rsidRPr="00061477" w:rsidRDefault="00E268E3" w:rsidP="00E268E3">
            <w:pPr>
              <w:pStyle w:val="TableText"/>
              <w:keepNext/>
            </w:pPr>
            <w:r w:rsidRPr="00061477">
              <w:t xml:space="preserve">1 RCT </w:t>
            </w:r>
            <w:r w:rsidR="00537DC6">
              <w:t>at</w:t>
            </w:r>
            <w:r w:rsidR="00537DC6" w:rsidRPr="00061477">
              <w:t xml:space="preserve"> </w:t>
            </w:r>
            <w:r w:rsidRPr="00061477">
              <w:t xml:space="preserve">risk of bias, concerns about applicability </w:t>
            </w:r>
          </w:p>
          <w:p w14:paraId="17AAB10F" w14:textId="7BCF4D1B" w:rsidR="00E268E3" w:rsidRPr="00CE28E3" w:rsidRDefault="00E268E3" w:rsidP="00E268E3">
            <w:pPr>
              <w:pStyle w:val="TableText"/>
              <w:keepNext/>
            </w:pPr>
            <w:r w:rsidRPr="00061477">
              <w:t>1 cohort study at risk of bias, concerns about applicability</w:t>
            </w:r>
          </w:p>
        </w:tc>
        <w:tc>
          <w:tcPr>
            <w:tcW w:w="884" w:type="pct"/>
            <w:tcBorders>
              <w:top w:val="single" w:sz="4" w:space="0" w:color="auto"/>
              <w:left w:val="single" w:sz="4" w:space="0" w:color="auto"/>
              <w:bottom w:val="single" w:sz="4" w:space="0" w:color="auto"/>
              <w:right w:val="single" w:sz="4" w:space="0" w:color="auto"/>
            </w:tcBorders>
          </w:tcPr>
          <w:p w14:paraId="0DF1512D" w14:textId="7EBD76BA" w:rsidR="00E268E3" w:rsidRPr="00061477" w:rsidRDefault="47CCE85E" w:rsidP="00E268E3">
            <w:pPr>
              <w:pStyle w:val="TableText"/>
              <w:keepNext/>
            </w:pPr>
            <w:r>
              <w:t>Yes</w:t>
            </w:r>
          </w:p>
        </w:tc>
      </w:tr>
    </w:tbl>
    <w:p w14:paraId="36B53B57" w14:textId="3DB31232" w:rsidR="00956ACE" w:rsidRPr="00CE28E3" w:rsidRDefault="00E22323" w:rsidP="00C5596B">
      <w:pPr>
        <w:pStyle w:val="Tablenotes"/>
      </w:pPr>
      <w:bookmarkStart w:id="57" w:name="_Hlk68276301"/>
      <w:bookmarkEnd w:id="56"/>
      <w:r>
        <w:t xml:space="preserve">CEA=cost-effectiveness analysis; </w:t>
      </w:r>
      <w:r w:rsidR="00956ACE" w:rsidRPr="00CE28E3">
        <w:t>k=number of studies</w:t>
      </w:r>
      <w:r>
        <w:t>;</w:t>
      </w:r>
      <w:r w:rsidR="00956ACE" w:rsidRPr="00CE28E3">
        <w:t xml:space="preserve"> n=number of patients</w:t>
      </w:r>
      <w:r>
        <w:t>; NR=not reported; RCT=randomised controlled trial</w:t>
      </w:r>
      <w:r w:rsidR="00956ACE" w:rsidRPr="00CE28E3">
        <w:t>.</w:t>
      </w:r>
    </w:p>
    <w:p w14:paraId="62DBFA3A" w14:textId="5A408111" w:rsidR="6D5A1D8F" w:rsidRDefault="4291B9F4" w:rsidP="00B013B7">
      <w:pPr>
        <w:pStyle w:val="Tablenotes"/>
        <w:keepNext/>
      </w:pPr>
      <w:r>
        <w:t>*</w:t>
      </w:r>
      <w:r w:rsidR="6D5A1D8F">
        <w:t xml:space="preserve">Draganov et al. (2012) was used </w:t>
      </w:r>
      <w:r w:rsidR="488FFEB6">
        <w:t xml:space="preserve">as an alternative clinical input </w:t>
      </w:r>
      <w:r w:rsidR="6D5A1D8F">
        <w:t xml:space="preserve">in the sensitivity analysis for </w:t>
      </w:r>
      <w:r w:rsidR="5A5DC0B8">
        <w:t>the investigative application</w:t>
      </w:r>
    </w:p>
    <w:p w14:paraId="5534B8B9" w14:textId="4473E866" w:rsidR="009F6421" w:rsidRPr="00FA165F" w:rsidRDefault="009F6421" w:rsidP="00402B01">
      <w:pPr>
        <w:spacing w:after="240"/>
      </w:pPr>
      <w:bookmarkStart w:id="58" w:name="_Toc69491423"/>
      <w:bookmarkEnd w:id="57"/>
      <w:r w:rsidRPr="00FA165F">
        <w:t xml:space="preserve">Further supportive evidence was provided in form of naïve indirect comparisons. Given the methodological deficiencies of the indirect comparison </w:t>
      </w:r>
      <w:r w:rsidR="001F2D6A">
        <w:t>previously stated, the c</w:t>
      </w:r>
      <w:r w:rsidRPr="00FA165F">
        <w:t xml:space="preserve">ommentary </w:t>
      </w:r>
      <w:r w:rsidR="00C16B89" w:rsidRPr="00FA165F">
        <w:t>made</w:t>
      </w:r>
      <w:r w:rsidRPr="00FA165F">
        <w:t xml:space="preserve"> its conclusions on the </w:t>
      </w:r>
      <w:r w:rsidR="00C16B89" w:rsidRPr="00FA165F">
        <w:t xml:space="preserve">accuracy, safety, and procedural success based on the </w:t>
      </w:r>
      <w:r w:rsidRPr="00FA165F">
        <w:t>comparative evidence only.</w:t>
      </w:r>
    </w:p>
    <w:p w14:paraId="5345551E" w14:textId="6B638EB8" w:rsidR="003A19DC" w:rsidRPr="00FA165F" w:rsidRDefault="003A19DC" w:rsidP="00402B01">
      <w:pPr>
        <w:spacing w:after="240"/>
      </w:pPr>
      <w:r w:rsidRPr="00FA165F">
        <w:t>None of the identified studies (comparative or single-arm) w</w:t>
      </w:r>
      <w:r w:rsidR="000F3B74" w:rsidRPr="00FA165F">
        <w:t>ere</w:t>
      </w:r>
      <w:r w:rsidRPr="00FA165F">
        <w:t xml:space="preserve"> conducted in Australia or appeared particularly relevant to the Australian context. However, the inputs to modelling from studies conducted overseas were considered appropriate by the 2021 Advisory Board.</w:t>
      </w:r>
    </w:p>
    <w:bookmarkEnd w:id="58"/>
    <w:p w14:paraId="1E60C89C" w14:textId="6D57C031" w:rsidR="00DD41C2" w:rsidRPr="00CE28E3" w:rsidRDefault="0015035D" w:rsidP="00DD41C2">
      <w:pPr>
        <w:pStyle w:val="Heading2"/>
      </w:pPr>
      <w:r>
        <w:t>11</w:t>
      </w:r>
      <w:r w:rsidR="00DD41C2">
        <w:t>.</w:t>
      </w:r>
      <w:r w:rsidR="00DD41C2">
        <w:tab/>
      </w:r>
      <w:r w:rsidR="00DD41C2" w:rsidRPr="00CE28E3">
        <w:t>Comparative safety</w:t>
      </w:r>
    </w:p>
    <w:p w14:paraId="1C5859E8" w14:textId="77777777" w:rsidR="00C32193" w:rsidRDefault="00C32193" w:rsidP="00C32193">
      <w:pPr>
        <w:pStyle w:val="Heading3"/>
      </w:pPr>
      <w:r>
        <w:t>Therapeutic application</w:t>
      </w:r>
    </w:p>
    <w:p w14:paraId="52EC81E9" w14:textId="106175B0" w:rsidR="00C32193" w:rsidRDefault="00C32193" w:rsidP="00402B01">
      <w:pPr>
        <w:spacing w:after="240"/>
      </w:pPr>
      <w:r>
        <w:t>Overall safety of POCPS-LL versus ERCP with mechanical lithotripsy or laparoscopic choledochotomy is summarised in</w:t>
      </w:r>
      <w:r w:rsidR="005F32D2">
        <w:t xml:space="preserve"> </w:t>
      </w:r>
      <w:r w:rsidR="00FB029D">
        <w:fldChar w:fldCharType="begin"/>
      </w:r>
      <w:r w:rsidR="00FB029D">
        <w:instrText xml:space="preserve"> REF _Ref69729178 \h </w:instrText>
      </w:r>
      <w:r w:rsidR="00FB029D">
        <w:fldChar w:fldCharType="separate"/>
      </w:r>
      <w:r w:rsidR="00D422BC" w:rsidRPr="005F32D2">
        <w:t xml:space="preserve">Table </w:t>
      </w:r>
      <w:r w:rsidR="00D422BC">
        <w:rPr>
          <w:noProof/>
        </w:rPr>
        <w:t>9</w:t>
      </w:r>
      <w:r w:rsidR="00FB029D">
        <w:fldChar w:fldCharType="end"/>
      </w:r>
      <w:r w:rsidR="005F32D2">
        <w:rPr>
          <w:iCs/>
        </w:rPr>
        <w:t xml:space="preserve"> </w:t>
      </w:r>
      <w:r>
        <w:t>.</w:t>
      </w:r>
      <w:r w:rsidR="000D3529">
        <w:t xml:space="preserve"> </w:t>
      </w:r>
    </w:p>
    <w:p w14:paraId="673AD9D2" w14:textId="3A9D5109" w:rsidR="005F32D2" w:rsidRPr="005F32D2" w:rsidRDefault="005F32D2" w:rsidP="005F32D2">
      <w:pPr>
        <w:pStyle w:val="Caption"/>
      </w:pPr>
      <w:bookmarkStart w:id="59" w:name="_Ref69729178"/>
      <w:bookmarkStart w:id="60" w:name="_Toc71119525"/>
      <w:bookmarkStart w:id="61" w:name="_Toc88760177"/>
      <w:r w:rsidRPr="005F32D2">
        <w:lastRenderedPageBreak/>
        <w:t xml:space="preserve">Table </w:t>
      </w:r>
      <w:fldSimple w:instr=" SEQ Table \* ARABIC ">
        <w:r w:rsidR="00D422BC">
          <w:rPr>
            <w:noProof/>
          </w:rPr>
          <w:t>9</w:t>
        </w:r>
      </w:fldSimple>
      <w:bookmarkEnd w:id="59"/>
      <w:r w:rsidRPr="005F32D2">
        <w:tab/>
      </w:r>
      <w:bookmarkEnd w:id="60"/>
      <w:r w:rsidRPr="005F32D2">
        <w:t>Summary of findings – comparison of POCPS-LL with ERCP-guided mechanical lithotripsy and  laparoscopic choledochotomy in patients with difficult or infeasible biliary stones that have failed at least one attempt at removal via conventional extraction techniques</w:t>
      </w:r>
      <w:bookmarkEnd w:id="61"/>
    </w:p>
    <w:tbl>
      <w:tblPr>
        <w:tblStyle w:val="TableGrid1"/>
        <w:tblW w:w="9300" w:type="dxa"/>
        <w:tblLook w:val="04A0" w:firstRow="1" w:lastRow="0" w:firstColumn="1" w:lastColumn="0" w:noHBand="0" w:noVBand="1"/>
        <w:tblCaption w:val="Balance of clinical benefits and harms of opportunistic genetic carrier testing for CF relative to no opportunistic genetic carrier testing, and as measured by the critical patient-relevant outcomes in the key studies "/>
        <w:tblDescription w:val="Summary of findings table - Balance of clinical benefits and harms of opportunistic genetic carrier testing for CF relative to no opportunistic genetic carrier testing, and as measured by the critical patient-relevant outcomes in the key studies "/>
      </w:tblPr>
      <w:tblGrid>
        <w:gridCol w:w="1291"/>
        <w:gridCol w:w="1940"/>
        <w:gridCol w:w="1155"/>
        <w:gridCol w:w="1291"/>
        <w:gridCol w:w="1336"/>
        <w:gridCol w:w="1224"/>
        <w:gridCol w:w="1063"/>
      </w:tblGrid>
      <w:tr w:rsidR="005F32D2" w:rsidRPr="00EC502E" w14:paraId="3EB63EE4" w14:textId="77777777" w:rsidTr="004C5E25">
        <w:trPr>
          <w:cnfStyle w:val="100000000000" w:firstRow="1" w:lastRow="0" w:firstColumn="0" w:lastColumn="0" w:oddVBand="0" w:evenVBand="0" w:oddHBand="0" w:evenHBand="0" w:firstRowFirstColumn="0" w:firstRowLastColumn="0" w:lastRowFirstColumn="0" w:lastRowLastColumn="0"/>
          <w:cantSplit/>
          <w:trHeight w:val="855"/>
          <w:tblHeader/>
        </w:trPr>
        <w:tc>
          <w:tcPr>
            <w:tcW w:w="1271" w:type="dxa"/>
            <w:tcBorders>
              <w:top w:val="single" w:sz="4" w:space="0" w:color="auto"/>
              <w:left w:val="single" w:sz="4" w:space="0" w:color="auto"/>
              <w:bottom w:val="single" w:sz="4" w:space="0" w:color="auto"/>
              <w:right w:val="single" w:sz="4" w:space="0" w:color="auto"/>
            </w:tcBorders>
          </w:tcPr>
          <w:p w14:paraId="57C34CF7" w14:textId="2A547BEA" w:rsidR="005F32D2" w:rsidRPr="00EC502E" w:rsidRDefault="005F32D2" w:rsidP="00B75BA3">
            <w:pPr>
              <w:pStyle w:val="TableHeading"/>
              <w:spacing w:line="256" w:lineRule="auto"/>
            </w:pPr>
            <w:r w:rsidRPr="00EC502E">
              <w:t>Comparison</w:t>
            </w:r>
            <w:r w:rsidR="004C5E25">
              <w:t xml:space="preserve"> </w:t>
            </w:r>
          </w:p>
        </w:tc>
        <w:tc>
          <w:tcPr>
            <w:tcW w:w="1946" w:type="dxa"/>
            <w:tcBorders>
              <w:top w:val="single" w:sz="4" w:space="0" w:color="auto"/>
              <w:left w:val="single" w:sz="4" w:space="0" w:color="auto"/>
              <w:bottom w:val="single" w:sz="4" w:space="0" w:color="auto"/>
              <w:right w:val="single" w:sz="4" w:space="0" w:color="auto"/>
            </w:tcBorders>
          </w:tcPr>
          <w:p w14:paraId="7A6C8D59" w14:textId="000BC95E" w:rsidR="005F32D2" w:rsidRPr="00EC502E" w:rsidRDefault="005F32D2" w:rsidP="00B75BA3">
            <w:pPr>
              <w:pStyle w:val="TableHeading"/>
              <w:spacing w:line="256" w:lineRule="auto"/>
            </w:pPr>
            <w:r w:rsidRPr="00EC502E">
              <w:t xml:space="preserve">Number of studies (k), </w:t>
            </w:r>
            <w:r>
              <w:br/>
            </w:r>
            <w:r w:rsidRPr="00EC502E">
              <w:t>study design</w:t>
            </w:r>
            <w:r w:rsidR="004C5E25">
              <w:t xml:space="preserve">, </w:t>
            </w:r>
            <w:r>
              <w:br/>
            </w:r>
            <w:r w:rsidRPr="00EC502E">
              <w:t>patients (n)</w:t>
            </w:r>
          </w:p>
        </w:tc>
        <w:tc>
          <w:tcPr>
            <w:tcW w:w="1155" w:type="dxa"/>
            <w:tcBorders>
              <w:top w:val="single" w:sz="4" w:space="0" w:color="auto"/>
              <w:left w:val="single" w:sz="4" w:space="0" w:color="auto"/>
              <w:bottom w:val="single" w:sz="4" w:space="0" w:color="auto"/>
              <w:right w:val="single" w:sz="4" w:space="0" w:color="auto"/>
            </w:tcBorders>
          </w:tcPr>
          <w:p w14:paraId="31778592" w14:textId="77777777" w:rsidR="005F32D2" w:rsidRPr="00EC502E" w:rsidRDefault="005F32D2" w:rsidP="00B75BA3">
            <w:pPr>
              <w:pStyle w:val="TableHeading"/>
              <w:spacing w:line="256" w:lineRule="auto"/>
            </w:pPr>
            <w:r w:rsidRPr="00EC502E">
              <w:t>Intervention absolute effect</w:t>
            </w:r>
          </w:p>
        </w:tc>
        <w:tc>
          <w:tcPr>
            <w:tcW w:w="1293" w:type="dxa"/>
            <w:tcBorders>
              <w:top w:val="single" w:sz="4" w:space="0" w:color="auto"/>
              <w:left w:val="single" w:sz="4" w:space="0" w:color="auto"/>
              <w:bottom w:val="single" w:sz="4" w:space="0" w:color="auto"/>
              <w:right w:val="single" w:sz="4" w:space="0" w:color="auto"/>
            </w:tcBorders>
          </w:tcPr>
          <w:p w14:paraId="514BFDCA" w14:textId="77777777" w:rsidR="005F32D2" w:rsidRPr="00EC502E" w:rsidRDefault="005F32D2" w:rsidP="00B75BA3">
            <w:pPr>
              <w:pStyle w:val="TableHeading"/>
              <w:spacing w:line="256" w:lineRule="auto"/>
            </w:pPr>
            <w:r w:rsidRPr="00EC502E">
              <w:t>Comparator absolute effect</w:t>
            </w:r>
          </w:p>
        </w:tc>
        <w:tc>
          <w:tcPr>
            <w:tcW w:w="1341" w:type="dxa"/>
            <w:tcBorders>
              <w:top w:val="single" w:sz="4" w:space="0" w:color="auto"/>
              <w:left w:val="single" w:sz="4" w:space="0" w:color="auto"/>
              <w:bottom w:val="single" w:sz="4" w:space="0" w:color="auto"/>
              <w:right w:val="single" w:sz="4" w:space="0" w:color="auto"/>
            </w:tcBorders>
            <w:hideMark/>
          </w:tcPr>
          <w:p w14:paraId="6B5420B9" w14:textId="77777777" w:rsidR="005F32D2" w:rsidRPr="00EC502E" w:rsidRDefault="005F32D2" w:rsidP="00B75BA3">
            <w:pPr>
              <w:pStyle w:val="TableHeading"/>
              <w:spacing w:line="256" w:lineRule="auto"/>
            </w:pPr>
            <w:r w:rsidRPr="00EC502E">
              <w:t>Absolute difference (RD) [95% CI]</w:t>
            </w:r>
          </w:p>
        </w:tc>
        <w:tc>
          <w:tcPr>
            <w:tcW w:w="1229" w:type="dxa"/>
            <w:tcBorders>
              <w:top w:val="single" w:sz="4" w:space="0" w:color="auto"/>
              <w:left w:val="single" w:sz="4" w:space="0" w:color="auto"/>
              <w:bottom w:val="single" w:sz="4" w:space="0" w:color="auto"/>
              <w:right w:val="single" w:sz="4" w:space="0" w:color="auto"/>
            </w:tcBorders>
          </w:tcPr>
          <w:p w14:paraId="15783A18" w14:textId="77777777" w:rsidR="005F32D2" w:rsidRPr="00EC502E" w:rsidRDefault="005F32D2" w:rsidP="00B75BA3">
            <w:pPr>
              <w:pStyle w:val="TableHeading"/>
              <w:spacing w:line="256" w:lineRule="auto"/>
            </w:pPr>
            <w:r w:rsidRPr="00EC502E">
              <w:t>Relative effect (RR) [95% CI]</w:t>
            </w:r>
          </w:p>
        </w:tc>
        <w:tc>
          <w:tcPr>
            <w:tcW w:w="1065" w:type="dxa"/>
            <w:tcBorders>
              <w:top w:val="single" w:sz="4" w:space="0" w:color="auto"/>
              <w:left w:val="single" w:sz="4" w:space="0" w:color="auto"/>
              <w:bottom w:val="single" w:sz="4" w:space="0" w:color="auto"/>
              <w:right w:val="single" w:sz="4" w:space="0" w:color="auto"/>
            </w:tcBorders>
          </w:tcPr>
          <w:p w14:paraId="405958F3" w14:textId="77777777" w:rsidR="005F32D2" w:rsidRPr="00EC502E" w:rsidRDefault="005F32D2" w:rsidP="00B75BA3">
            <w:pPr>
              <w:pStyle w:val="TableHeading"/>
              <w:spacing w:line="256" w:lineRule="auto"/>
            </w:pPr>
            <w:r w:rsidRPr="00EC502E">
              <w:t>Quality of evidence (GRADE)</w:t>
            </w:r>
            <w:r w:rsidRPr="00EC502E">
              <w:rPr>
                <w:vertAlign w:val="superscript"/>
              </w:rPr>
              <w:t xml:space="preserve"> a</w:t>
            </w:r>
          </w:p>
        </w:tc>
      </w:tr>
      <w:tr w:rsidR="005F32D2" w:rsidRPr="00EC502E" w14:paraId="437BCEAE" w14:textId="77777777" w:rsidTr="004C5E25">
        <w:trPr>
          <w:cantSplit/>
        </w:trPr>
        <w:tc>
          <w:tcPr>
            <w:tcW w:w="1271" w:type="dxa"/>
            <w:tcBorders>
              <w:top w:val="single" w:sz="4" w:space="0" w:color="auto"/>
              <w:left w:val="single" w:sz="4" w:space="0" w:color="auto"/>
              <w:bottom w:val="single" w:sz="4" w:space="0" w:color="auto"/>
              <w:right w:val="single" w:sz="4" w:space="0" w:color="auto"/>
            </w:tcBorders>
            <w:hideMark/>
          </w:tcPr>
          <w:p w14:paraId="3B4EA4B4" w14:textId="77777777" w:rsidR="005F32D2" w:rsidRDefault="005F32D2" w:rsidP="00B75BA3">
            <w:pPr>
              <w:pStyle w:val="Tabletext0"/>
              <w:spacing w:line="256" w:lineRule="auto"/>
              <w:jc w:val="left"/>
              <w:rPr>
                <w:sz w:val="18"/>
                <w:szCs w:val="18"/>
                <w:lang w:eastAsia="en-US"/>
              </w:rPr>
            </w:pPr>
            <w:r w:rsidRPr="00EC502E">
              <w:rPr>
                <w:sz w:val="18"/>
                <w:szCs w:val="18"/>
                <w:lang w:eastAsia="en-US"/>
              </w:rPr>
              <w:t>POCPS</w:t>
            </w:r>
            <w:r w:rsidRPr="00EC502E">
              <w:rPr>
                <w:sz w:val="18"/>
                <w:szCs w:val="18"/>
                <w:lang w:eastAsia="en-US"/>
              </w:rPr>
              <w:noBreakHyphen/>
              <w:t>LL vs ERCP</w:t>
            </w:r>
            <w:r w:rsidRPr="00EC502E">
              <w:rPr>
                <w:sz w:val="18"/>
                <w:szCs w:val="18"/>
                <w:lang w:eastAsia="en-US"/>
              </w:rPr>
              <w:noBreakHyphen/>
              <w:t>ML</w:t>
            </w:r>
          </w:p>
          <w:p w14:paraId="709777C8" w14:textId="268F59A1" w:rsidR="004C5E25" w:rsidRPr="00EC502E" w:rsidRDefault="004C5E25" w:rsidP="00B75BA3">
            <w:pPr>
              <w:pStyle w:val="Tabletext0"/>
              <w:spacing w:line="256" w:lineRule="auto"/>
              <w:jc w:val="left"/>
              <w:rPr>
                <w:sz w:val="18"/>
                <w:szCs w:val="18"/>
                <w:lang w:eastAsia="en-US"/>
              </w:rPr>
            </w:pPr>
          </w:p>
        </w:tc>
        <w:tc>
          <w:tcPr>
            <w:tcW w:w="1946" w:type="dxa"/>
            <w:tcBorders>
              <w:top w:val="single" w:sz="4" w:space="0" w:color="auto"/>
              <w:left w:val="single" w:sz="4" w:space="0" w:color="auto"/>
              <w:bottom w:val="single" w:sz="4" w:space="0" w:color="auto"/>
              <w:right w:val="single" w:sz="4" w:space="0" w:color="auto"/>
            </w:tcBorders>
            <w:hideMark/>
          </w:tcPr>
          <w:p w14:paraId="5E1A1996" w14:textId="14E987DB" w:rsidR="005F32D2" w:rsidRDefault="005F32D2" w:rsidP="00B75BA3">
            <w:pPr>
              <w:pStyle w:val="Tabletext0"/>
              <w:spacing w:line="256" w:lineRule="auto"/>
              <w:jc w:val="left"/>
              <w:rPr>
                <w:sz w:val="18"/>
                <w:szCs w:val="18"/>
                <w:lang w:eastAsia="en-US"/>
              </w:rPr>
            </w:pPr>
            <w:r w:rsidRPr="00EC502E">
              <w:rPr>
                <w:sz w:val="18"/>
                <w:szCs w:val="18"/>
                <w:lang w:eastAsia="en-US"/>
              </w:rPr>
              <w:t>k=1</w:t>
            </w:r>
            <w:r w:rsidR="004C5E25">
              <w:rPr>
                <w:sz w:val="18"/>
                <w:szCs w:val="18"/>
                <w:lang w:eastAsia="en-US"/>
              </w:rPr>
              <w:t xml:space="preserve">, </w:t>
            </w:r>
            <w:r w:rsidRPr="00EC502E">
              <w:rPr>
                <w:sz w:val="18"/>
                <w:szCs w:val="18"/>
                <w:lang w:eastAsia="en-US"/>
              </w:rPr>
              <w:t>RCT</w:t>
            </w:r>
            <w:r w:rsidR="004C5E25">
              <w:rPr>
                <w:sz w:val="18"/>
                <w:szCs w:val="18"/>
                <w:lang w:eastAsia="en-US"/>
              </w:rPr>
              <w:t xml:space="preserve">, </w:t>
            </w:r>
            <w:r w:rsidRPr="00EC502E">
              <w:rPr>
                <w:sz w:val="18"/>
                <w:szCs w:val="18"/>
                <w:lang w:eastAsia="en-US"/>
              </w:rPr>
              <w:t>n=32</w:t>
            </w:r>
          </w:p>
          <w:p w14:paraId="7D5055A8" w14:textId="646E2C7C" w:rsidR="004C5E25" w:rsidRPr="00EC502E" w:rsidRDefault="004C5E25" w:rsidP="00B75BA3">
            <w:pPr>
              <w:pStyle w:val="Tabletext0"/>
              <w:spacing w:line="256" w:lineRule="auto"/>
              <w:jc w:val="left"/>
              <w:rPr>
                <w:sz w:val="18"/>
                <w:szCs w:val="18"/>
                <w:lang w:eastAsia="en-US"/>
              </w:rPr>
            </w:pPr>
            <w:r w:rsidRPr="004C5E25">
              <w:rPr>
                <w:sz w:val="18"/>
                <w:szCs w:val="18"/>
                <w:lang w:eastAsia="en-US"/>
              </w:rPr>
              <w:t>Angsuwatcharakon et al. (2019)</w:t>
            </w:r>
          </w:p>
        </w:tc>
        <w:tc>
          <w:tcPr>
            <w:tcW w:w="1155" w:type="dxa"/>
            <w:tcBorders>
              <w:top w:val="single" w:sz="4" w:space="0" w:color="auto"/>
              <w:left w:val="single" w:sz="4" w:space="0" w:color="auto"/>
              <w:bottom w:val="single" w:sz="4" w:space="0" w:color="auto"/>
              <w:right w:val="single" w:sz="4" w:space="0" w:color="auto"/>
            </w:tcBorders>
          </w:tcPr>
          <w:p w14:paraId="0DF303F9" w14:textId="77777777" w:rsidR="005F32D2" w:rsidRPr="00EC502E" w:rsidRDefault="005F32D2" w:rsidP="00B75BA3">
            <w:pPr>
              <w:pStyle w:val="Tabletext0"/>
              <w:spacing w:line="256" w:lineRule="auto"/>
              <w:jc w:val="left"/>
              <w:rPr>
                <w:sz w:val="18"/>
                <w:szCs w:val="18"/>
                <w:lang w:eastAsia="en-US"/>
              </w:rPr>
            </w:pPr>
            <w:r w:rsidRPr="00EC502E">
              <w:rPr>
                <w:sz w:val="18"/>
                <w:szCs w:val="18"/>
                <w:lang w:eastAsia="en-US"/>
              </w:rPr>
              <w:t>1/16 (6.3%)</w:t>
            </w:r>
          </w:p>
        </w:tc>
        <w:tc>
          <w:tcPr>
            <w:tcW w:w="1293" w:type="dxa"/>
            <w:tcBorders>
              <w:top w:val="single" w:sz="4" w:space="0" w:color="auto"/>
              <w:left w:val="single" w:sz="4" w:space="0" w:color="auto"/>
              <w:bottom w:val="single" w:sz="4" w:space="0" w:color="auto"/>
              <w:right w:val="single" w:sz="4" w:space="0" w:color="auto"/>
            </w:tcBorders>
          </w:tcPr>
          <w:p w14:paraId="3EEC1756" w14:textId="77777777" w:rsidR="005F32D2" w:rsidRPr="00EC502E" w:rsidRDefault="005F32D2" w:rsidP="00B75BA3">
            <w:pPr>
              <w:pStyle w:val="Tabletext0"/>
              <w:spacing w:line="256" w:lineRule="auto"/>
              <w:jc w:val="left"/>
              <w:rPr>
                <w:sz w:val="18"/>
                <w:szCs w:val="18"/>
                <w:lang w:eastAsia="en-US"/>
              </w:rPr>
            </w:pPr>
            <w:r w:rsidRPr="00EC502E">
              <w:rPr>
                <w:sz w:val="18"/>
                <w:szCs w:val="18"/>
                <w:lang w:eastAsia="en-US"/>
              </w:rPr>
              <w:t>2/16 (12.5%)</w:t>
            </w:r>
          </w:p>
        </w:tc>
        <w:tc>
          <w:tcPr>
            <w:tcW w:w="1341" w:type="dxa"/>
            <w:tcBorders>
              <w:top w:val="single" w:sz="4" w:space="0" w:color="auto"/>
              <w:left w:val="single" w:sz="4" w:space="0" w:color="auto"/>
              <w:bottom w:val="single" w:sz="4" w:space="0" w:color="auto"/>
              <w:right w:val="single" w:sz="4" w:space="0" w:color="auto"/>
            </w:tcBorders>
            <w:hideMark/>
          </w:tcPr>
          <w:p w14:paraId="02481AB5" w14:textId="77777777" w:rsidR="005F32D2" w:rsidRDefault="005F32D2" w:rsidP="00B75BA3">
            <w:pPr>
              <w:pStyle w:val="Tabletext0"/>
              <w:spacing w:line="256" w:lineRule="auto"/>
              <w:jc w:val="left"/>
              <w:rPr>
                <w:sz w:val="18"/>
                <w:szCs w:val="18"/>
                <w:lang w:eastAsia="en-US"/>
              </w:rPr>
            </w:pPr>
            <w:r w:rsidRPr="005F32D2">
              <w:rPr>
                <w:sz w:val="18"/>
                <w:szCs w:val="18"/>
                <w:lang w:eastAsia="en-US"/>
              </w:rPr>
              <w:t xml:space="preserve">-0.06 </w:t>
            </w:r>
          </w:p>
          <w:p w14:paraId="23354AC7" w14:textId="77777777" w:rsidR="005F32D2" w:rsidRPr="00EC502E" w:rsidRDefault="005F32D2" w:rsidP="00B75BA3">
            <w:pPr>
              <w:pStyle w:val="Tabletext0"/>
              <w:spacing w:line="256" w:lineRule="auto"/>
              <w:jc w:val="left"/>
              <w:rPr>
                <w:sz w:val="18"/>
                <w:szCs w:val="18"/>
                <w:lang w:eastAsia="en-US"/>
              </w:rPr>
            </w:pPr>
            <w:r w:rsidRPr="005F32D2">
              <w:rPr>
                <w:sz w:val="18"/>
                <w:szCs w:val="18"/>
                <w:lang w:eastAsia="en-US"/>
              </w:rPr>
              <w:t>(-0.26, 0.14)</w:t>
            </w:r>
          </w:p>
        </w:tc>
        <w:tc>
          <w:tcPr>
            <w:tcW w:w="1229" w:type="dxa"/>
            <w:tcBorders>
              <w:top w:val="single" w:sz="4" w:space="0" w:color="auto"/>
              <w:left w:val="single" w:sz="4" w:space="0" w:color="auto"/>
              <w:bottom w:val="single" w:sz="4" w:space="0" w:color="auto"/>
              <w:right w:val="single" w:sz="4" w:space="0" w:color="auto"/>
            </w:tcBorders>
          </w:tcPr>
          <w:p w14:paraId="4E827089" w14:textId="77777777" w:rsidR="005F32D2" w:rsidRDefault="005F32D2" w:rsidP="00B75BA3">
            <w:pPr>
              <w:pStyle w:val="Tabletext0"/>
              <w:spacing w:line="256" w:lineRule="auto"/>
              <w:jc w:val="left"/>
              <w:rPr>
                <w:sz w:val="18"/>
                <w:szCs w:val="18"/>
                <w:lang w:eastAsia="en-US"/>
              </w:rPr>
            </w:pPr>
            <w:r w:rsidRPr="00EC502E">
              <w:rPr>
                <w:sz w:val="18"/>
                <w:szCs w:val="18"/>
                <w:lang w:eastAsia="en-US"/>
              </w:rPr>
              <w:t xml:space="preserve">0.50 </w:t>
            </w:r>
          </w:p>
          <w:p w14:paraId="7D242A1B" w14:textId="77777777" w:rsidR="005F32D2" w:rsidRPr="00EC502E" w:rsidRDefault="005F32D2" w:rsidP="00B75BA3">
            <w:pPr>
              <w:pStyle w:val="Tabletext0"/>
              <w:spacing w:line="256" w:lineRule="auto"/>
              <w:jc w:val="left"/>
              <w:rPr>
                <w:rFonts w:ascii="Cambria Math" w:hAnsi="Cambria Math" w:cs="Cambria Math"/>
                <w:color w:val="00B050"/>
                <w:sz w:val="18"/>
                <w:szCs w:val="18"/>
              </w:rPr>
            </w:pPr>
            <w:r w:rsidRPr="00EC502E">
              <w:rPr>
                <w:sz w:val="18"/>
                <w:szCs w:val="18"/>
                <w:lang w:eastAsia="en-US"/>
              </w:rPr>
              <w:t>(0.05-4.98)</w:t>
            </w:r>
          </w:p>
        </w:tc>
        <w:tc>
          <w:tcPr>
            <w:tcW w:w="1065" w:type="dxa"/>
            <w:tcBorders>
              <w:top w:val="single" w:sz="4" w:space="0" w:color="auto"/>
              <w:left w:val="single" w:sz="4" w:space="0" w:color="auto"/>
              <w:bottom w:val="single" w:sz="4" w:space="0" w:color="auto"/>
              <w:right w:val="single" w:sz="4" w:space="0" w:color="auto"/>
            </w:tcBorders>
          </w:tcPr>
          <w:p w14:paraId="6F70550D" w14:textId="77777777" w:rsidR="005F32D2" w:rsidRPr="00EC502E" w:rsidRDefault="005F32D2" w:rsidP="00B75BA3">
            <w:pPr>
              <w:pStyle w:val="Tabletext0"/>
              <w:spacing w:line="256" w:lineRule="auto"/>
              <w:jc w:val="left"/>
              <w:rPr>
                <w:sz w:val="18"/>
                <w:szCs w:val="18"/>
                <w:lang w:eastAsia="en-US"/>
              </w:rPr>
            </w:pPr>
            <w:r w:rsidRPr="00EC502E">
              <w:rPr>
                <w:rFonts w:ascii="Cambria Math" w:hAnsi="Cambria Math" w:cs="Cambria Math"/>
                <w:color w:val="00B050"/>
                <w:sz w:val="18"/>
                <w:szCs w:val="18"/>
              </w:rPr>
              <w:t>⨁</w:t>
            </w:r>
            <w:r w:rsidRPr="00EC502E">
              <w:rPr>
                <w:rFonts w:ascii="Cambria Math" w:hAnsi="Cambria Math" w:cs="Cambria Math"/>
                <w:color w:val="C00000"/>
                <w:sz w:val="18"/>
                <w:szCs w:val="18"/>
              </w:rPr>
              <w:t>⨀⨀⨀</w:t>
            </w:r>
            <w:r w:rsidRPr="00EC502E">
              <w:rPr>
                <w:vertAlign w:val="superscript"/>
              </w:rPr>
              <w:t xml:space="preserve"> </w:t>
            </w:r>
            <w:r>
              <w:rPr>
                <w:vertAlign w:val="superscript"/>
              </w:rPr>
              <w:t>b</w:t>
            </w:r>
          </w:p>
        </w:tc>
      </w:tr>
      <w:tr w:rsidR="005F32D2" w:rsidRPr="00EC502E" w14:paraId="32BEE4DC" w14:textId="77777777" w:rsidTr="004C5E25">
        <w:trPr>
          <w:cantSplit/>
        </w:trPr>
        <w:tc>
          <w:tcPr>
            <w:tcW w:w="1271" w:type="dxa"/>
            <w:tcBorders>
              <w:top w:val="single" w:sz="4" w:space="0" w:color="auto"/>
              <w:left w:val="single" w:sz="4" w:space="0" w:color="auto"/>
              <w:bottom w:val="single" w:sz="4" w:space="0" w:color="auto"/>
              <w:right w:val="single" w:sz="4" w:space="0" w:color="auto"/>
            </w:tcBorders>
          </w:tcPr>
          <w:p w14:paraId="19B59AAE" w14:textId="77777777" w:rsidR="005F32D2" w:rsidRDefault="005F32D2" w:rsidP="00B75BA3">
            <w:pPr>
              <w:pStyle w:val="Tabletext0"/>
              <w:spacing w:line="256" w:lineRule="auto"/>
              <w:jc w:val="left"/>
              <w:rPr>
                <w:sz w:val="18"/>
                <w:szCs w:val="18"/>
                <w:lang w:eastAsia="en-US"/>
              </w:rPr>
            </w:pPr>
            <w:r w:rsidRPr="00EC502E">
              <w:rPr>
                <w:sz w:val="18"/>
                <w:szCs w:val="18"/>
                <w:lang w:eastAsia="en-US"/>
              </w:rPr>
              <w:t>POCPS</w:t>
            </w:r>
            <w:r w:rsidRPr="00EC502E">
              <w:rPr>
                <w:sz w:val="18"/>
                <w:szCs w:val="18"/>
                <w:lang w:eastAsia="en-US"/>
              </w:rPr>
              <w:noBreakHyphen/>
              <w:t>LL vs laparoscopic choledochotomy</w:t>
            </w:r>
          </w:p>
          <w:p w14:paraId="7FB4C5E5" w14:textId="404D51F6" w:rsidR="004C5E25" w:rsidRPr="00EC502E" w:rsidRDefault="004C5E25" w:rsidP="00B75BA3">
            <w:pPr>
              <w:pStyle w:val="Tabletext0"/>
              <w:spacing w:line="256" w:lineRule="auto"/>
              <w:jc w:val="left"/>
              <w:rPr>
                <w:sz w:val="18"/>
                <w:szCs w:val="18"/>
                <w:lang w:eastAsia="en-US"/>
              </w:rPr>
            </w:pPr>
          </w:p>
        </w:tc>
        <w:tc>
          <w:tcPr>
            <w:tcW w:w="1946" w:type="dxa"/>
            <w:tcBorders>
              <w:top w:val="single" w:sz="4" w:space="0" w:color="auto"/>
              <w:left w:val="single" w:sz="4" w:space="0" w:color="auto"/>
              <w:bottom w:val="single" w:sz="4" w:space="0" w:color="auto"/>
              <w:right w:val="single" w:sz="4" w:space="0" w:color="auto"/>
            </w:tcBorders>
          </w:tcPr>
          <w:p w14:paraId="5816215C" w14:textId="77777777" w:rsidR="004C5E25" w:rsidRDefault="005F32D2" w:rsidP="004C5E25">
            <w:pPr>
              <w:pStyle w:val="Tabletext0"/>
              <w:spacing w:line="256" w:lineRule="auto"/>
              <w:jc w:val="left"/>
              <w:rPr>
                <w:sz w:val="18"/>
                <w:szCs w:val="18"/>
                <w:lang w:eastAsia="en-US"/>
              </w:rPr>
            </w:pPr>
            <w:r w:rsidRPr="00EC502E">
              <w:rPr>
                <w:sz w:val="18"/>
                <w:szCs w:val="18"/>
                <w:lang w:eastAsia="en-US"/>
              </w:rPr>
              <w:t>k=1</w:t>
            </w:r>
            <w:r w:rsidR="004C5E25">
              <w:rPr>
                <w:sz w:val="18"/>
                <w:szCs w:val="18"/>
                <w:lang w:eastAsia="en-US"/>
              </w:rPr>
              <w:t xml:space="preserve">, </w:t>
            </w:r>
            <w:r w:rsidRPr="00EC502E">
              <w:rPr>
                <w:sz w:val="18"/>
                <w:szCs w:val="18"/>
                <w:lang w:eastAsia="en-US"/>
              </w:rPr>
              <w:t>RCT</w:t>
            </w:r>
            <w:r w:rsidR="004C5E25">
              <w:rPr>
                <w:sz w:val="18"/>
                <w:szCs w:val="18"/>
                <w:lang w:eastAsia="en-US"/>
              </w:rPr>
              <w:t xml:space="preserve">, </w:t>
            </w:r>
            <w:r w:rsidRPr="00EC502E">
              <w:rPr>
                <w:sz w:val="18"/>
                <w:szCs w:val="18"/>
                <w:lang w:eastAsia="en-US"/>
              </w:rPr>
              <w:t>n=157</w:t>
            </w:r>
          </w:p>
          <w:p w14:paraId="6A221A8F" w14:textId="5EA76D3A" w:rsidR="005F32D2" w:rsidRPr="00EC502E" w:rsidRDefault="004C5E25" w:rsidP="004C5E25">
            <w:pPr>
              <w:pStyle w:val="Tabletext0"/>
              <w:spacing w:line="256" w:lineRule="auto"/>
              <w:jc w:val="left"/>
              <w:rPr>
                <w:sz w:val="18"/>
                <w:szCs w:val="18"/>
                <w:lang w:eastAsia="en-US"/>
              </w:rPr>
            </w:pPr>
            <w:r>
              <w:fldChar w:fldCharType="begin">
                <w:fldData xml:space="preserve">PEVuZE5vdGU+PENpdGUgQXV0aG9yWWVhcj0iMSI+PEF1dGhvcj5MaTwvQXV0aG9yPjxZZWFyPjIw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</w:fldData>
              </w:fldChar>
            </w:r>
            <w:r>
              <w:instrText xml:space="preserve"> ADDIN EN.CITE </w:instrText>
            </w:r>
            <w:r>
              <w:fldChar w:fldCharType="begin">
                <w:fldData xml:space="preserve">PEVuZE5vdGU+PENpdGUgQXV0aG9yWWVhcj0iMSI+PEF1dGhvcj5MaTwvQXV0aG9yPjxZZWFyPjIw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</w:fldData>
              </w:fldChar>
            </w:r>
            <w:r>
              <w:instrText xml:space="preserve"> ADDIN EN.CITE.DATA </w:instrText>
            </w:r>
            <w:r>
              <w:fldChar w:fldCharType="end"/>
            </w:r>
            <w:r>
              <w:fldChar w:fldCharType="separate"/>
            </w:r>
            <w:r>
              <w:rPr>
                <w:noProof/>
              </w:rPr>
              <w:t>Li et al. (2021)</w:t>
            </w:r>
            <w:r>
              <w:fldChar w:fldCharType="end"/>
            </w:r>
          </w:p>
        </w:tc>
        <w:tc>
          <w:tcPr>
            <w:tcW w:w="1155" w:type="dxa"/>
            <w:tcBorders>
              <w:top w:val="single" w:sz="4" w:space="0" w:color="auto"/>
              <w:left w:val="single" w:sz="4" w:space="0" w:color="auto"/>
              <w:bottom w:val="single" w:sz="4" w:space="0" w:color="auto"/>
              <w:right w:val="single" w:sz="4" w:space="0" w:color="auto"/>
            </w:tcBorders>
          </w:tcPr>
          <w:p w14:paraId="3961BF55" w14:textId="77777777" w:rsidR="005F32D2" w:rsidRPr="00EC502E" w:rsidRDefault="005F32D2" w:rsidP="00B75BA3">
            <w:pPr>
              <w:pStyle w:val="Tabletext0"/>
              <w:spacing w:line="256" w:lineRule="auto"/>
              <w:jc w:val="left"/>
              <w:rPr>
                <w:sz w:val="18"/>
                <w:szCs w:val="18"/>
                <w:lang w:eastAsia="en-US"/>
              </w:rPr>
            </w:pPr>
            <w:r w:rsidRPr="00EC502E">
              <w:rPr>
                <w:sz w:val="18"/>
                <w:szCs w:val="18"/>
                <w:lang w:eastAsia="en-US"/>
              </w:rPr>
              <w:t>4/78 (5.1%)</w:t>
            </w:r>
          </w:p>
        </w:tc>
        <w:tc>
          <w:tcPr>
            <w:tcW w:w="1293" w:type="dxa"/>
            <w:tcBorders>
              <w:top w:val="single" w:sz="4" w:space="0" w:color="auto"/>
              <w:left w:val="single" w:sz="4" w:space="0" w:color="auto"/>
              <w:bottom w:val="single" w:sz="4" w:space="0" w:color="auto"/>
              <w:right w:val="single" w:sz="4" w:space="0" w:color="auto"/>
            </w:tcBorders>
          </w:tcPr>
          <w:p w14:paraId="75F6027B" w14:textId="77777777" w:rsidR="005F32D2" w:rsidRPr="00EC502E" w:rsidRDefault="005F32D2" w:rsidP="00B75BA3">
            <w:pPr>
              <w:pStyle w:val="Tabletext0"/>
              <w:spacing w:line="256" w:lineRule="auto"/>
              <w:jc w:val="left"/>
              <w:rPr>
                <w:sz w:val="18"/>
                <w:szCs w:val="18"/>
                <w:lang w:eastAsia="en-US"/>
              </w:rPr>
            </w:pPr>
            <w:r w:rsidRPr="00EC502E">
              <w:rPr>
                <w:sz w:val="18"/>
                <w:szCs w:val="18"/>
                <w:lang w:eastAsia="en-US"/>
              </w:rPr>
              <w:t>9/79 (10.1%)</w:t>
            </w:r>
          </w:p>
        </w:tc>
        <w:tc>
          <w:tcPr>
            <w:tcW w:w="1341" w:type="dxa"/>
            <w:tcBorders>
              <w:top w:val="single" w:sz="4" w:space="0" w:color="auto"/>
              <w:left w:val="single" w:sz="4" w:space="0" w:color="auto"/>
              <w:bottom w:val="single" w:sz="4" w:space="0" w:color="auto"/>
              <w:right w:val="single" w:sz="4" w:space="0" w:color="auto"/>
            </w:tcBorders>
          </w:tcPr>
          <w:p w14:paraId="79CA2A62" w14:textId="77777777" w:rsidR="005F32D2" w:rsidRDefault="005F32D2" w:rsidP="00B75BA3">
            <w:pPr>
              <w:pStyle w:val="Tabletext0"/>
              <w:spacing w:line="256" w:lineRule="auto"/>
              <w:jc w:val="left"/>
              <w:rPr>
                <w:sz w:val="18"/>
                <w:szCs w:val="18"/>
                <w:lang w:eastAsia="en-US"/>
              </w:rPr>
            </w:pPr>
            <w:r w:rsidRPr="005F32D2">
              <w:rPr>
                <w:sz w:val="18"/>
                <w:szCs w:val="18"/>
                <w:lang w:eastAsia="en-US"/>
              </w:rPr>
              <w:t xml:space="preserve">-0.06 </w:t>
            </w:r>
          </w:p>
          <w:p w14:paraId="5BC8DBA0" w14:textId="77777777" w:rsidR="005F32D2" w:rsidRPr="00EC502E" w:rsidRDefault="005F32D2" w:rsidP="00B75BA3">
            <w:pPr>
              <w:pStyle w:val="Tabletext0"/>
              <w:spacing w:line="256" w:lineRule="auto"/>
              <w:jc w:val="left"/>
              <w:rPr>
                <w:sz w:val="18"/>
                <w:szCs w:val="18"/>
                <w:lang w:eastAsia="en-US"/>
              </w:rPr>
            </w:pPr>
            <w:r w:rsidRPr="005F32D2">
              <w:rPr>
                <w:sz w:val="18"/>
                <w:szCs w:val="18"/>
                <w:lang w:eastAsia="en-US"/>
              </w:rPr>
              <w:t>(-0.15, 0.02)</w:t>
            </w:r>
          </w:p>
        </w:tc>
        <w:tc>
          <w:tcPr>
            <w:tcW w:w="1229" w:type="dxa"/>
            <w:tcBorders>
              <w:top w:val="single" w:sz="4" w:space="0" w:color="auto"/>
              <w:left w:val="single" w:sz="4" w:space="0" w:color="auto"/>
              <w:bottom w:val="single" w:sz="4" w:space="0" w:color="auto"/>
              <w:right w:val="single" w:sz="4" w:space="0" w:color="auto"/>
            </w:tcBorders>
          </w:tcPr>
          <w:p w14:paraId="439E63DD" w14:textId="77777777" w:rsidR="005F32D2" w:rsidRDefault="005F32D2" w:rsidP="00B75BA3">
            <w:pPr>
              <w:pStyle w:val="Tabletext0"/>
              <w:spacing w:line="256" w:lineRule="auto"/>
              <w:jc w:val="left"/>
              <w:rPr>
                <w:sz w:val="18"/>
                <w:szCs w:val="18"/>
                <w:lang w:eastAsia="en-US"/>
              </w:rPr>
            </w:pPr>
            <w:r w:rsidRPr="00EC502E">
              <w:rPr>
                <w:sz w:val="18"/>
                <w:szCs w:val="18"/>
                <w:lang w:eastAsia="en-US"/>
              </w:rPr>
              <w:t xml:space="preserve">0.45 </w:t>
            </w:r>
          </w:p>
          <w:p w14:paraId="2E69EDDA" w14:textId="77777777" w:rsidR="005F32D2" w:rsidRPr="00EC502E" w:rsidRDefault="005F32D2" w:rsidP="00B75BA3">
            <w:pPr>
              <w:pStyle w:val="Tabletext0"/>
              <w:spacing w:line="256" w:lineRule="auto"/>
              <w:jc w:val="left"/>
              <w:rPr>
                <w:rFonts w:ascii="Cambria Math" w:hAnsi="Cambria Math" w:cs="Cambria Math"/>
                <w:color w:val="00B050"/>
                <w:sz w:val="18"/>
                <w:szCs w:val="18"/>
                <w:lang w:eastAsia="en-US"/>
              </w:rPr>
            </w:pPr>
            <w:r w:rsidRPr="00EC502E">
              <w:rPr>
                <w:sz w:val="18"/>
                <w:szCs w:val="18"/>
                <w:lang w:eastAsia="en-US"/>
              </w:rPr>
              <w:t>(0.14-1.40)</w:t>
            </w:r>
          </w:p>
        </w:tc>
        <w:tc>
          <w:tcPr>
            <w:tcW w:w="1065" w:type="dxa"/>
            <w:tcBorders>
              <w:top w:val="single" w:sz="4" w:space="0" w:color="auto"/>
              <w:left w:val="single" w:sz="4" w:space="0" w:color="auto"/>
              <w:bottom w:val="single" w:sz="4" w:space="0" w:color="auto"/>
              <w:right w:val="single" w:sz="4" w:space="0" w:color="auto"/>
            </w:tcBorders>
          </w:tcPr>
          <w:p w14:paraId="30D6927F" w14:textId="77777777" w:rsidR="005F32D2" w:rsidRPr="00EC502E" w:rsidRDefault="005F32D2" w:rsidP="00B75BA3">
            <w:pPr>
              <w:pStyle w:val="Tabletext0"/>
              <w:spacing w:line="256" w:lineRule="auto"/>
              <w:jc w:val="left"/>
              <w:rPr>
                <w:sz w:val="18"/>
                <w:szCs w:val="18"/>
                <w:lang w:eastAsia="en-US"/>
              </w:rPr>
            </w:pPr>
            <w:r w:rsidRPr="00EC502E">
              <w:rPr>
                <w:rFonts w:ascii="Cambria Math" w:hAnsi="Cambria Math" w:cs="Cambria Math"/>
                <w:color w:val="00B050"/>
                <w:sz w:val="18"/>
                <w:szCs w:val="18"/>
                <w:lang w:eastAsia="en-US"/>
              </w:rPr>
              <w:t>⨁⨁</w:t>
            </w:r>
            <w:r w:rsidRPr="00EC502E">
              <w:rPr>
                <w:rFonts w:ascii="Cambria Math" w:hAnsi="Cambria Math" w:cs="Cambria Math"/>
                <w:color w:val="C00000"/>
                <w:sz w:val="18"/>
                <w:szCs w:val="18"/>
                <w:lang w:eastAsia="en-US"/>
              </w:rPr>
              <w:t>⨀⨀</w:t>
            </w:r>
            <w:r w:rsidRPr="00EC502E">
              <w:rPr>
                <w:vertAlign w:val="superscript"/>
              </w:rPr>
              <w:t xml:space="preserve"> </w:t>
            </w:r>
            <w:r>
              <w:rPr>
                <w:vertAlign w:val="superscript"/>
              </w:rPr>
              <w:t>c</w:t>
            </w:r>
          </w:p>
        </w:tc>
      </w:tr>
    </w:tbl>
    <w:p w14:paraId="605E93C7" w14:textId="77777777" w:rsidR="005F32D2" w:rsidRPr="0005649D" w:rsidRDefault="005F32D2" w:rsidP="005F32D2">
      <w:pPr>
        <w:pStyle w:val="Tablenotes"/>
      </w:pPr>
      <w:r w:rsidRPr="005F32D2">
        <w:t>Note:</w:t>
      </w:r>
      <w:r>
        <w:rPr>
          <w:vertAlign w:val="superscript"/>
        </w:rPr>
        <w:t xml:space="preserve"> </w:t>
      </w:r>
      <w:r w:rsidRPr="0005649D">
        <w:t>RD and RR calculated post hoc using RevMa</w:t>
      </w:r>
      <w:r>
        <w:t>n</w:t>
      </w:r>
    </w:p>
    <w:p w14:paraId="27581A8D" w14:textId="77777777" w:rsidR="005F32D2" w:rsidRDefault="005F32D2" w:rsidP="005F32D2">
      <w:pPr>
        <w:pStyle w:val="Tablenotes"/>
      </w:pPr>
      <w:r w:rsidRPr="0005649D">
        <w:t>Abbreviations: CI=confidence interval</w:t>
      </w:r>
      <w:r>
        <w:t>;</w:t>
      </w:r>
      <w:r w:rsidRPr="0005649D">
        <w:t xml:space="preserve"> ERCP-ML=endoscopic retrograde cholangiopancreatography-guided mechanical lithotripsy</w:t>
      </w:r>
      <w:r>
        <w:t>;</w:t>
      </w:r>
      <w:r w:rsidRPr="0005649D">
        <w:t xml:space="preserve"> N=number of participants</w:t>
      </w:r>
      <w:r>
        <w:t>;</w:t>
      </w:r>
      <w:r w:rsidRPr="0005649D">
        <w:t xml:space="preserve"> POCPS-EHL/LL=single operator, single use, peroral cholangiopancreatoscopy-guided electrohydraulic lithotripsy/laser lithotripsy</w:t>
      </w:r>
      <w:r>
        <w:t>;</w:t>
      </w:r>
      <w:r w:rsidRPr="0005649D">
        <w:t xml:space="preserve"> </w:t>
      </w:r>
      <w:r w:rsidRPr="005F32D2">
        <w:rPr>
          <w:bCs/>
        </w:rPr>
        <w:t xml:space="preserve">RCT=randomised controlled trial; </w:t>
      </w:r>
      <w:r w:rsidRPr="0005649D">
        <w:t>RD=risk difference</w:t>
      </w:r>
      <w:r>
        <w:t>;</w:t>
      </w:r>
      <w:r w:rsidRPr="0005649D">
        <w:t xml:space="preserve"> RR=relative risk</w:t>
      </w:r>
    </w:p>
    <w:p w14:paraId="79FF6438" w14:textId="13BB930C" w:rsidR="005F32D2" w:rsidRPr="0005649D" w:rsidRDefault="005F32D2" w:rsidP="005F32D2">
      <w:pPr>
        <w:pStyle w:val="Tablenotes"/>
      </w:pPr>
      <w:r>
        <w:t xml:space="preserve">Source: Table 37 of the ADAR. </w:t>
      </w:r>
      <w:r w:rsidR="004C5E25">
        <w:t>GRADE assessment, e</w:t>
      </w:r>
      <w:r>
        <w:t xml:space="preserve">dits and corrections to the original table </w:t>
      </w:r>
      <w:r w:rsidR="004C5E25">
        <w:t>were performed for the commentary</w:t>
      </w:r>
    </w:p>
    <w:p w14:paraId="0D612F57" w14:textId="77777777" w:rsidR="005F32D2" w:rsidRPr="005F32D2" w:rsidRDefault="005F32D2" w:rsidP="005F32D2">
      <w:pPr>
        <w:pStyle w:val="Tablenotes"/>
        <w:rPr>
          <w:szCs w:val="18"/>
        </w:rPr>
      </w:pPr>
      <w:r>
        <w:rPr>
          <w:szCs w:val="18"/>
          <w:vertAlign w:val="superscript"/>
        </w:rPr>
        <w:t xml:space="preserve">a </w:t>
      </w:r>
      <w:r w:rsidRPr="005F32D2">
        <w:rPr>
          <w:szCs w:val="18"/>
        </w:rPr>
        <w:t>GRADE Working Group grades of evidence (Guyatt et al., 2013)</w:t>
      </w:r>
    </w:p>
    <w:p w14:paraId="6461E4FC" w14:textId="77777777" w:rsidR="005F32D2" w:rsidRDefault="005F32D2" w:rsidP="005F32D2">
      <w:pPr>
        <w:pStyle w:val="Tablenotes"/>
        <w:rPr>
          <w:szCs w:val="18"/>
        </w:rPr>
      </w:pPr>
      <w:r w:rsidRPr="005F32D2">
        <w:rPr>
          <w:rFonts w:ascii="Cambria Math" w:hAnsi="Cambria Math"/>
          <w:color w:val="00B050"/>
        </w:rPr>
        <w:t xml:space="preserve">⨁⨁⨁⨁ </w:t>
      </w:r>
      <w:r w:rsidRPr="005F32D2">
        <w:rPr>
          <w:b/>
          <w:bCs/>
          <w:szCs w:val="18"/>
        </w:rPr>
        <w:t>High quality:</w:t>
      </w:r>
      <w:r w:rsidRPr="005F32D2">
        <w:rPr>
          <w:szCs w:val="18"/>
        </w:rPr>
        <w:t xml:space="preserve"> We are very confident that the true effect lies close to that of the estimate of effect. </w:t>
      </w:r>
      <w:r w:rsidRPr="005F32D2">
        <w:rPr>
          <w:szCs w:val="18"/>
        </w:rPr>
        <w:br/>
      </w:r>
      <w:r w:rsidRPr="005F32D2">
        <w:rPr>
          <w:rFonts w:ascii="Cambria Math" w:hAnsi="Cambria Math"/>
          <w:color w:val="00B050"/>
        </w:rPr>
        <w:t>⨁⨁⨁</w:t>
      </w:r>
      <w:r w:rsidRPr="005F32D2">
        <w:rPr>
          <w:rFonts w:ascii="Cambria Math" w:hAnsi="Cambria Math" w:cs="Cambria Math"/>
          <w:color w:val="C00000"/>
        </w:rPr>
        <w:t xml:space="preserve">⨀ </w:t>
      </w:r>
      <w:r w:rsidRPr="005F32D2">
        <w:rPr>
          <w:b/>
          <w:bCs/>
          <w:szCs w:val="18"/>
        </w:rPr>
        <w:t>Moderate quality:</w:t>
      </w:r>
      <w:r w:rsidRPr="005F32D2">
        <w:rPr>
          <w:szCs w:val="18"/>
        </w:rPr>
        <w:t xml:space="preserve"> We are moderately confident in the effect estimate: The true effect is likely to be close to the estimate of the effect, but there is a possibility that it is substantially different. </w:t>
      </w:r>
      <w:r w:rsidRPr="005F32D2">
        <w:rPr>
          <w:szCs w:val="18"/>
        </w:rPr>
        <w:br/>
      </w:r>
      <w:r w:rsidRPr="005F32D2">
        <w:rPr>
          <w:rFonts w:ascii="Cambria Math" w:hAnsi="Cambria Math"/>
          <w:color w:val="00B050"/>
        </w:rPr>
        <w:t>⨁⨁</w:t>
      </w:r>
      <w:r w:rsidRPr="005F32D2">
        <w:rPr>
          <w:rFonts w:ascii="Cambria Math" w:hAnsi="Cambria Math" w:cs="Cambria Math"/>
          <w:color w:val="C00000"/>
        </w:rPr>
        <w:t xml:space="preserve">⨀⨀ </w:t>
      </w:r>
      <w:r w:rsidRPr="005F32D2">
        <w:rPr>
          <w:b/>
          <w:bCs/>
          <w:szCs w:val="18"/>
        </w:rPr>
        <w:t>Low quality:</w:t>
      </w:r>
      <w:r w:rsidRPr="005F32D2">
        <w:rPr>
          <w:szCs w:val="18"/>
        </w:rPr>
        <w:t xml:space="preserve"> Our confidence in the effect estimate is limited: The true effect may be substantially different from the estimate of the effect.</w:t>
      </w:r>
      <w:r w:rsidRPr="005F32D2">
        <w:rPr>
          <w:szCs w:val="18"/>
        </w:rPr>
        <w:br/>
      </w:r>
      <w:r w:rsidRPr="005F32D2">
        <w:rPr>
          <w:rFonts w:ascii="Cambria Math" w:hAnsi="Cambria Math"/>
          <w:color w:val="00B050"/>
        </w:rPr>
        <w:t>⨁</w:t>
      </w:r>
      <w:r w:rsidRPr="005F32D2">
        <w:rPr>
          <w:rFonts w:ascii="Cambria Math" w:hAnsi="Cambria Math" w:cs="Cambria Math"/>
          <w:color w:val="C00000"/>
        </w:rPr>
        <w:t xml:space="preserve">⨀⨀⨀ </w:t>
      </w:r>
      <w:r w:rsidRPr="005F32D2">
        <w:rPr>
          <w:b/>
          <w:bCs/>
          <w:szCs w:val="18"/>
        </w:rPr>
        <w:t>Very low quality:</w:t>
      </w:r>
      <w:r w:rsidRPr="005F32D2">
        <w:rPr>
          <w:szCs w:val="18"/>
        </w:rPr>
        <w:t xml:space="preserve"> We have very little confidence in the effect estimate: The true effect is likely to be substantially different from the estimate of effect.</w:t>
      </w:r>
    </w:p>
    <w:p w14:paraId="1A9A8339" w14:textId="77777777" w:rsidR="005F32D2" w:rsidRDefault="005F32D2" w:rsidP="005F32D2">
      <w:pPr>
        <w:pStyle w:val="Tablenotes"/>
        <w:rPr>
          <w:szCs w:val="18"/>
        </w:rPr>
      </w:pPr>
      <w:r>
        <w:rPr>
          <w:szCs w:val="18"/>
          <w:vertAlign w:val="superscript"/>
        </w:rPr>
        <w:t>b</w:t>
      </w:r>
      <w:r>
        <w:rPr>
          <w:szCs w:val="18"/>
        </w:rPr>
        <w:t xml:space="preserve"> </w:t>
      </w:r>
      <w:r w:rsidRPr="005F32D2">
        <w:rPr>
          <w:szCs w:val="18"/>
        </w:rPr>
        <w:t>Downgraded by 3 points due to concerns about the methodological quality of the study, imprecision and search strategy comprehensiveness</w:t>
      </w:r>
    </w:p>
    <w:p w14:paraId="34A8D5DC" w14:textId="77777777" w:rsidR="005F32D2" w:rsidRPr="005F32D2" w:rsidRDefault="005F32D2" w:rsidP="005F32D2">
      <w:pPr>
        <w:pStyle w:val="Tablenotes"/>
        <w:rPr>
          <w:szCs w:val="18"/>
        </w:rPr>
      </w:pPr>
      <w:r>
        <w:rPr>
          <w:szCs w:val="18"/>
          <w:vertAlign w:val="superscript"/>
        </w:rPr>
        <w:t>c</w:t>
      </w:r>
      <w:r>
        <w:rPr>
          <w:szCs w:val="18"/>
        </w:rPr>
        <w:t xml:space="preserve"> </w:t>
      </w:r>
      <w:r w:rsidRPr="005F32D2">
        <w:rPr>
          <w:szCs w:val="18"/>
        </w:rPr>
        <w:t>Downgraded by 2 points due to concerns about imprecision and search strategy comprehensiveness</w:t>
      </w:r>
    </w:p>
    <w:p w14:paraId="4C211C95" w14:textId="095487E7" w:rsidR="005F32D2" w:rsidRDefault="005F32D2" w:rsidP="0015035D">
      <w:pPr>
        <w:spacing w:before="240" w:after="240"/>
      </w:pPr>
      <w:r w:rsidRPr="00FB029D">
        <w:t xml:space="preserve">No statistically significant differences were found in the safety of POCPS-LL versus ERCP-guided mechanical lithotripsy or versus laparoscopic choledochotomy. The </w:t>
      </w:r>
      <w:r w:rsidR="00FB029D">
        <w:t xml:space="preserve">commentary </w:t>
      </w:r>
      <w:r w:rsidRPr="00FB029D">
        <w:t>evidence was of very low quality for the ERCP-guided mechanical lithotripsy comparison and of low quality for the laparoscopic choledochotomy comparison.</w:t>
      </w:r>
    </w:p>
    <w:p w14:paraId="50A224BA" w14:textId="77777777" w:rsidR="004C5E25" w:rsidRPr="005F32D2" w:rsidRDefault="004C5E25" w:rsidP="004C5E25">
      <w:pPr>
        <w:spacing w:after="240"/>
      </w:pPr>
      <w:r w:rsidRPr="005F32D2">
        <w:fldChar w:fldCharType="begin">
          <w:fldData xml:space="preserve">PEVuZE5vdGU+PENpdGUgQXV0aG9yWWVhcj0iMSI+PEF1dGhvcj5BbmdzdXdhdGNoYXJha29uPC9B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</w:fldData>
        </w:fldChar>
      </w:r>
      <w:r w:rsidRPr="005F32D2">
        <w:instrText xml:space="preserve"> ADDIN EN.CITE </w:instrText>
      </w:r>
      <w:r w:rsidRPr="005F32D2">
        <w:fldChar w:fldCharType="begin">
          <w:fldData xml:space="preserve">PEVuZE5vdGU+PENpdGUgQXV0aG9yWWVhcj0iMSI+PEF1dGhvcj5BbmdzdXdhdGNoYXJha29uPC9B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</w:fldData>
        </w:fldChar>
      </w:r>
      <w:r w:rsidRPr="005F32D2">
        <w:instrText xml:space="preserve"> ADDIN EN.CITE.DATA </w:instrText>
      </w:r>
      <w:r w:rsidRPr="005F32D2">
        <w:fldChar w:fldCharType="end"/>
      </w:r>
      <w:r w:rsidRPr="005F32D2">
        <w:fldChar w:fldCharType="separate"/>
      </w:r>
      <w:r w:rsidRPr="005F32D2">
        <w:t>Angsuwatcharakon et al. (2019)</w:t>
      </w:r>
      <w:r w:rsidRPr="005F32D2">
        <w:fldChar w:fldCharType="end"/>
      </w:r>
      <w:r w:rsidRPr="005F32D2">
        <w:t xml:space="preserve"> reported one patient from each group developed mild post-ERCP pancreatitis, and one patient in the ERCP with mechanical lithotripsy developed mild post-sphincterotomy bleed.</w:t>
      </w:r>
    </w:p>
    <w:p w14:paraId="51348764" w14:textId="02D77507" w:rsidR="005F32D2" w:rsidRPr="005F32D2" w:rsidRDefault="004C5E25" w:rsidP="00402B01">
      <w:pPr>
        <w:spacing w:after="240"/>
      </w:pPr>
      <w:r w:rsidRPr="005F32D2">
        <w:fldChar w:fldCharType="begin">
          <w:fldData xml:space="preserve">PEVuZE5vdGU+PENpdGUgQXV0aG9yWWVhcj0iMSI+PEF1dGhvcj5MaTwvQXV0aG9yPjxZZWFyPjIw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</w:fldData>
        </w:fldChar>
      </w:r>
      <w:r w:rsidRPr="005F32D2">
        <w:instrText xml:space="preserve"> ADDIN EN.CITE </w:instrText>
      </w:r>
      <w:r w:rsidRPr="005F32D2">
        <w:fldChar w:fldCharType="begin">
          <w:fldData xml:space="preserve">PEVuZE5vdGU+PENpdGUgQXV0aG9yWWVhcj0iMSI+PEF1dGhvcj5MaTwvQXV0aG9yPjxZZWFyPjIw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</w:fldData>
        </w:fldChar>
      </w:r>
      <w:r w:rsidRPr="005F32D2">
        <w:instrText xml:space="preserve"> ADDIN EN.CITE.DATA </w:instrText>
      </w:r>
      <w:r w:rsidRPr="005F32D2">
        <w:fldChar w:fldCharType="end"/>
      </w:r>
      <w:r w:rsidRPr="005F32D2">
        <w:fldChar w:fldCharType="separate"/>
      </w:r>
      <w:r w:rsidRPr="005F32D2">
        <w:t>Li et al. (2021)</w:t>
      </w:r>
      <w:r w:rsidRPr="005F32D2">
        <w:fldChar w:fldCharType="end"/>
      </w:r>
      <w:r w:rsidRPr="005F32D2">
        <w:t xml:space="preserve"> reported that in the POCPS-guided LL group, one patient (1.3%) experienced haemorrhage, one patient (1.3%) had residual stones, and two patients (2.6%) developed post-ERCP pancreatitis. In the laparoscopic choledochotomy group, there were two cases (2.6%) of haemorrhage, two cases (2.6%) of residual stones, two cases (2.6%) of bile leakage, one case (1.3%) of abdominal infection, and one case (1.3%) of common bile duct stricture.</w:t>
      </w:r>
      <w:r>
        <w:t xml:space="preserve"> </w:t>
      </w:r>
      <w:r w:rsidR="005F32D2" w:rsidRPr="004C5E25">
        <w:t xml:space="preserve">Comparative evidence was presented for POCPS-guided LL only. Comparative studies on POCPS-guided EHL </w:t>
      </w:r>
      <w:r w:rsidR="00696253" w:rsidRPr="004C5E25">
        <w:t>were</w:t>
      </w:r>
      <w:r w:rsidR="005F32D2" w:rsidRPr="004C5E25">
        <w:t xml:space="preserve"> not identified. </w:t>
      </w:r>
      <w:r w:rsidRPr="004C5E25">
        <w:t>The commentary considered that it was</w:t>
      </w:r>
      <w:r w:rsidR="005F32D2" w:rsidRPr="004C5E25">
        <w:t xml:space="preserve"> unclear whether the same clinical claim holds for POCPS-guided EHL.</w:t>
      </w:r>
    </w:p>
    <w:p w14:paraId="554EFAB6" w14:textId="31C73FA5" w:rsidR="00C32193" w:rsidRPr="005F32D2" w:rsidRDefault="00C32193" w:rsidP="00402B01">
      <w:pPr>
        <w:spacing w:after="240"/>
        <w:rPr>
          <w:iCs/>
        </w:rPr>
      </w:pPr>
      <w:r w:rsidRPr="005F32D2">
        <w:rPr>
          <w:iCs/>
        </w:rPr>
        <w:t xml:space="preserve">Further supportive evidence was provided in form of naïve indirect comparisons. </w:t>
      </w:r>
      <w:r w:rsidR="004B52B4" w:rsidRPr="005F32D2">
        <w:rPr>
          <w:iCs/>
        </w:rPr>
        <w:t xml:space="preserve">Additional safety data for cholangitis, bleeding, and peritonitis </w:t>
      </w:r>
      <w:r w:rsidR="000D2B8D" w:rsidRPr="005F32D2">
        <w:rPr>
          <w:iCs/>
        </w:rPr>
        <w:t xml:space="preserve">from single-arm studies </w:t>
      </w:r>
      <w:r w:rsidR="004B52B4" w:rsidRPr="005F32D2">
        <w:rPr>
          <w:iCs/>
        </w:rPr>
        <w:t xml:space="preserve">was provided in an appendix, but no interpretation was provided. </w:t>
      </w:r>
      <w:r w:rsidR="0087547A" w:rsidRPr="005F32D2">
        <w:rPr>
          <w:iCs/>
        </w:rPr>
        <w:t xml:space="preserve">Proper assessment of the certainty of evidence, such as GRADE assessment, was not provided in the ADAR. </w:t>
      </w:r>
      <w:r w:rsidRPr="005F32D2">
        <w:rPr>
          <w:iCs/>
        </w:rPr>
        <w:t xml:space="preserve">Given the methodological deficiencies of the indirect comparison approach in this ADAR (overly restrictive and inconsistent search strategy, few details on the risk of bias assessment, double counting of evidence, multiple </w:t>
      </w:r>
      <w:r w:rsidRPr="005F32D2">
        <w:rPr>
          <w:iCs/>
        </w:rPr>
        <w:lastRenderedPageBreak/>
        <w:t xml:space="preserve">extraction errors, no description of methods for the pooling of results for indirect comparisons, no method for the indirect comparison except for a naïve comparison), a GRADE assessment </w:t>
      </w:r>
      <w:r w:rsidR="004C5E25">
        <w:rPr>
          <w:iCs/>
        </w:rPr>
        <w:t>was not performed for the commentary</w:t>
      </w:r>
      <w:r w:rsidRPr="005F32D2">
        <w:rPr>
          <w:iCs/>
        </w:rPr>
        <w:t>.</w:t>
      </w:r>
      <w:r w:rsidR="00126628" w:rsidRPr="005F32D2">
        <w:rPr>
          <w:iCs/>
        </w:rPr>
        <w:t xml:space="preserve"> </w:t>
      </w:r>
    </w:p>
    <w:p w14:paraId="494B0C18" w14:textId="77777777" w:rsidR="00062E01" w:rsidRDefault="00062E01" w:rsidP="00062E01">
      <w:pPr>
        <w:pStyle w:val="Heading3"/>
      </w:pPr>
      <w:r>
        <w:t>Investigative application</w:t>
      </w:r>
    </w:p>
    <w:p w14:paraId="49C18AC2" w14:textId="36478FC8" w:rsidR="00062E01" w:rsidRDefault="00062E01" w:rsidP="00402B01">
      <w:pPr>
        <w:spacing w:after="240"/>
      </w:pPr>
      <w:r>
        <w:t>Overall safety of POCPS-</w:t>
      </w:r>
      <w:r w:rsidR="00841406">
        <w:t>guided biopsy</w:t>
      </w:r>
      <w:r>
        <w:t xml:space="preserve"> versus ERCP</w:t>
      </w:r>
      <w:r w:rsidR="003F3CD7">
        <w:t>-guided brush cytology alone</w:t>
      </w:r>
      <w:r w:rsidRPr="00C5596B">
        <w:t xml:space="preserve"> is summarised in</w:t>
      </w:r>
      <w:r w:rsidR="00C5596B" w:rsidRPr="00C5596B">
        <w:t xml:space="preserve"> </w:t>
      </w:r>
      <w:r w:rsidR="00FA165F">
        <w:fldChar w:fldCharType="begin"/>
      </w:r>
      <w:r w:rsidR="00FA165F">
        <w:instrText xml:space="preserve"> REF _Ref88758042 \h </w:instrText>
      </w:r>
      <w:r w:rsidR="00FA165F">
        <w:fldChar w:fldCharType="separate"/>
      </w:r>
      <w:r w:rsidR="00D422BC" w:rsidRPr="004C5E25">
        <w:t xml:space="preserve">Table </w:t>
      </w:r>
      <w:r w:rsidR="00D422BC">
        <w:rPr>
          <w:noProof/>
        </w:rPr>
        <w:t>10</w:t>
      </w:r>
      <w:r w:rsidR="00FA165F">
        <w:fldChar w:fldCharType="end"/>
      </w:r>
      <w:r w:rsidRPr="00C5596B">
        <w:t>.</w:t>
      </w:r>
    </w:p>
    <w:p w14:paraId="7D37111C" w14:textId="33BFE071" w:rsidR="004C5E25" w:rsidRPr="004C5E25" w:rsidRDefault="004C5E25" w:rsidP="004C5E25">
      <w:pPr>
        <w:pStyle w:val="Caption"/>
      </w:pPr>
      <w:bookmarkStart w:id="62" w:name="_Ref88758042"/>
      <w:bookmarkStart w:id="63" w:name="_Toc88760203"/>
      <w:r w:rsidRPr="004C5E25">
        <w:t xml:space="preserve">Table </w:t>
      </w:r>
      <w:fldSimple w:instr=" SEQ Table \* ARABIC ">
        <w:r w:rsidR="00D422BC">
          <w:rPr>
            <w:noProof/>
          </w:rPr>
          <w:t>10</w:t>
        </w:r>
      </w:fldSimple>
      <w:bookmarkEnd w:id="62"/>
      <w:r w:rsidRPr="004C5E25">
        <w:tab/>
        <w:t xml:space="preserve">Summary of findings – comparison of </w:t>
      </w:r>
      <w:r>
        <w:t xml:space="preserve">safety outcomes (overall adverse events) with </w:t>
      </w:r>
      <w:r w:rsidRPr="004C5E25">
        <w:t xml:space="preserve">POCPS </w:t>
      </w:r>
      <w:r>
        <w:t>and</w:t>
      </w:r>
      <w:r w:rsidRPr="004C5E25">
        <w:t xml:space="preserve"> ERCP-guided brush cytology or intraductal biopsy in patients with indeterminate biliary strictures</w:t>
      </w:r>
      <w:bookmarkEnd w:id="63"/>
    </w:p>
    <w:tbl>
      <w:tblPr>
        <w:tblStyle w:val="TableGrid1"/>
        <w:tblW w:w="5000" w:type="pct"/>
        <w:tblLook w:val="04A0" w:firstRow="1" w:lastRow="0" w:firstColumn="1" w:lastColumn="0" w:noHBand="0" w:noVBand="1"/>
        <w:tblCaption w:val="Balance of clinical benefits and harms of opportunistic genetic carrier testing for CF relative to no opportunistic genetic carrier testing, and as measured by the critical patient-relevant outcomes in the key studies "/>
        <w:tblDescription w:val="Summary of findings table - Balance of clinical benefits and harms of opportunistic genetic carrier testing for CF relative to no opportunistic genetic carrier testing, and as measured by the critical patient-relevant outcomes in the key studies "/>
      </w:tblPr>
      <w:tblGrid>
        <w:gridCol w:w="1696"/>
        <w:gridCol w:w="2521"/>
        <w:gridCol w:w="1167"/>
        <w:gridCol w:w="1244"/>
        <w:gridCol w:w="1001"/>
        <w:gridCol w:w="1387"/>
      </w:tblGrid>
      <w:tr w:rsidR="00FA165F" w:rsidRPr="004C5E25" w14:paraId="1BC8CEDD" w14:textId="77777777" w:rsidTr="00FA165F">
        <w:trPr>
          <w:cnfStyle w:val="100000000000" w:firstRow="1" w:lastRow="0" w:firstColumn="0" w:lastColumn="0" w:oddVBand="0" w:evenVBand="0" w:oddHBand="0" w:evenHBand="0" w:firstRowFirstColumn="0" w:firstRowLastColumn="0" w:lastRowFirstColumn="0" w:lastRowLastColumn="0"/>
          <w:cantSplit/>
          <w:trHeight w:val="855"/>
          <w:tblHeader/>
        </w:trPr>
        <w:tc>
          <w:tcPr>
            <w:tcW w:w="941" w:type="pct"/>
            <w:tcBorders>
              <w:top w:val="single" w:sz="4" w:space="0" w:color="auto"/>
              <w:left w:val="single" w:sz="4" w:space="0" w:color="auto"/>
              <w:bottom w:val="single" w:sz="4" w:space="0" w:color="auto"/>
              <w:right w:val="single" w:sz="4" w:space="0" w:color="auto"/>
            </w:tcBorders>
          </w:tcPr>
          <w:p w14:paraId="21C6D7B2" w14:textId="35BE9248" w:rsidR="00FA165F" w:rsidRPr="004C5E25" w:rsidRDefault="00FA165F" w:rsidP="004C5E25">
            <w:pPr>
              <w:pStyle w:val="TableHeading"/>
              <w:spacing w:line="256" w:lineRule="auto"/>
              <w:rPr>
                <w:b w:val="0"/>
                <w:bCs/>
              </w:rPr>
            </w:pPr>
            <w:r w:rsidRPr="00EC502E">
              <w:t>Comparison</w:t>
            </w:r>
            <w:r>
              <w:t xml:space="preserve"> </w:t>
            </w:r>
          </w:p>
        </w:tc>
        <w:tc>
          <w:tcPr>
            <w:tcW w:w="1398" w:type="pct"/>
            <w:tcBorders>
              <w:top w:val="single" w:sz="4" w:space="0" w:color="auto"/>
              <w:left w:val="single" w:sz="4" w:space="0" w:color="auto"/>
              <w:bottom w:val="single" w:sz="4" w:space="0" w:color="auto"/>
              <w:right w:val="single" w:sz="4" w:space="0" w:color="auto"/>
            </w:tcBorders>
          </w:tcPr>
          <w:p w14:paraId="644D9A3C" w14:textId="77777777" w:rsidR="00FA165F" w:rsidRPr="004C5E25" w:rsidRDefault="00FA165F" w:rsidP="004C5E25">
            <w:pPr>
              <w:pStyle w:val="TableHeading"/>
              <w:spacing w:line="256" w:lineRule="auto"/>
            </w:pPr>
            <w:r w:rsidRPr="004C5E25">
              <w:t>Number of studies (k), study design; patients (n)</w:t>
            </w:r>
          </w:p>
        </w:tc>
        <w:tc>
          <w:tcPr>
            <w:tcW w:w="647" w:type="pct"/>
            <w:tcBorders>
              <w:top w:val="single" w:sz="4" w:space="0" w:color="auto"/>
              <w:left w:val="single" w:sz="4" w:space="0" w:color="auto"/>
              <w:bottom w:val="single" w:sz="4" w:space="0" w:color="auto"/>
            </w:tcBorders>
          </w:tcPr>
          <w:p w14:paraId="1022D015" w14:textId="77777777" w:rsidR="00FA165F" w:rsidRPr="004C5E25" w:rsidRDefault="00FA165F" w:rsidP="004C5E25">
            <w:pPr>
              <w:pStyle w:val="TableHeading"/>
              <w:spacing w:line="256" w:lineRule="auto"/>
            </w:pPr>
            <w:r w:rsidRPr="004C5E25">
              <w:t>Intervention absolute effect</w:t>
            </w:r>
          </w:p>
        </w:tc>
        <w:tc>
          <w:tcPr>
            <w:tcW w:w="690" w:type="pct"/>
            <w:tcBorders>
              <w:top w:val="single" w:sz="4" w:space="0" w:color="auto"/>
              <w:left w:val="single" w:sz="4" w:space="0" w:color="auto"/>
              <w:bottom w:val="single" w:sz="4" w:space="0" w:color="auto"/>
              <w:right w:val="single" w:sz="4" w:space="0" w:color="auto"/>
            </w:tcBorders>
          </w:tcPr>
          <w:p w14:paraId="229578C4" w14:textId="77777777" w:rsidR="00FA165F" w:rsidRPr="004C5E25" w:rsidRDefault="00FA165F" w:rsidP="004C5E25">
            <w:pPr>
              <w:pStyle w:val="TableHeading"/>
              <w:spacing w:line="256" w:lineRule="auto"/>
            </w:pPr>
            <w:r w:rsidRPr="004C5E25">
              <w:t>Comparator absolute effect</w:t>
            </w:r>
          </w:p>
        </w:tc>
        <w:tc>
          <w:tcPr>
            <w:tcW w:w="555" w:type="pct"/>
            <w:tcBorders>
              <w:top w:val="single" w:sz="4" w:space="0" w:color="auto"/>
              <w:left w:val="single" w:sz="4" w:space="0" w:color="auto"/>
              <w:bottom w:val="single" w:sz="4" w:space="0" w:color="auto"/>
              <w:right w:val="single" w:sz="4" w:space="0" w:color="auto"/>
            </w:tcBorders>
          </w:tcPr>
          <w:p w14:paraId="5B46C773" w14:textId="1F6F3AF8" w:rsidR="00FA165F" w:rsidRPr="004C5E25" w:rsidRDefault="00FA165F" w:rsidP="004C5E25">
            <w:pPr>
              <w:pStyle w:val="TableHeading"/>
              <w:spacing w:line="256" w:lineRule="auto"/>
            </w:pPr>
            <w:r>
              <w:t>Absolute difference</w:t>
            </w:r>
          </w:p>
        </w:tc>
        <w:tc>
          <w:tcPr>
            <w:tcW w:w="769" w:type="pct"/>
            <w:tcBorders>
              <w:top w:val="single" w:sz="4" w:space="0" w:color="auto"/>
              <w:left w:val="single" w:sz="4" w:space="0" w:color="auto"/>
              <w:bottom w:val="single" w:sz="4" w:space="0" w:color="auto"/>
              <w:right w:val="single" w:sz="4" w:space="0" w:color="auto"/>
            </w:tcBorders>
          </w:tcPr>
          <w:p w14:paraId="455E7539" w14:textId="77777777" w:rsidR="00FA165F" w:rsidRPr="004C5E25" w:rsidRDefault="00FA165F" w:rsidP="004C5E25">
            <w:pPr>
              <w:pStyle w:val="TableHeading"/>
              <w:spacing w:line="256" w:lineRule="auto"/>
            </w:pPr>
            <w:r w:rsidRPr="004C5E25">
              <w:t>Quality of evidence (GRADE)</w:t>
            </w:r>
            <w:r w:rsidRPr="004C5E25">
              <w:rPr>
                <w:vertAlign w:val="superscript"/>
              </w:rPr>
              <w:t xml:space="preserve"> a</w:t>
            </w:r>
          </w:p>
        </w:tc>
      </w:tr>
      <w:tr w:rsidR="00FA165F" w:rsidRPr="004C5E25" w14:paraId="4F867CDC" w14:textId="77777777" w:rsidTr="00FA165F">
        <w:trPr>
          <w:cantSplit/>
        </w:trPr>
        <w:tc>
          <w:tcPr>
            <w:tcW w:w="941" w:type="pct"/>
            <w:tcBorders>
              <w:top w:val="single" w:sz="4" w:space="0" w:color="auto"/>
              <w:left w:val="single" w:sz="4" w:space="0" w:color="auto"/>
              <w:bottom w:val="single" w:sz="4" w:space="0" w:color="auto"/>
              <w:right w:val="single" w:sz="4" w:space="0" w:color="auto"/>
            </w:tcBorders>
            <w:hideMark/>
          </w:tcPr>
          <w:p w14:paraId="03D0EA74" w14:textId="77777777" w:rsidR="00FA165F" w:rsidRDefault="00FA165F" w:rsidP="004C5E25">
            <w:pPr>
              <w:pStyle w:val="Tabletext0"/>
              <w:spacing w:line="256" w:lineRule="auto"/>
              <w:jc w:val="left"/>
              <w:rPr>
                <w:sz w:val="18"/>
                <w:szCs w:val="18"/>
                <w:lang w:eastAsia="en-US"/>
              </w:rPr>
            </w:pPr>
            <w:r>
              <w:rPr>
                <w:sz w:val="18"/>
                <w:szCs w:val="18"/>
                <w:lang w:eastAsia="en-US"/>
              </w:rPr>
              <w:t>POCPS biopsy vs ERCP brush cytology</w:t>
            </w:r>
          </w:p>
          <w:p w14:paraId="01B4B673" w14:textId="6F615398" w:rsidR="00FA165F" w:rsidRPr="004C5E25" w:rsidRDefault="00FA165F" w:rsidP="004C5E25">
            <w:pPr>
              <w:pStyle w:val="Tabletext0"/>
              <w:spacing w:line="256" w:lineRule="auto"/>
              <w:jc w:val="left"/>
              <w:rPr>
                <w:sz w:val="18"/>
                <w:szCs w:val="18"/>
                <w:lang w:eastAsia="en-US"/>
              </w:rPr>
            </w:pPr>
          </w:p>
        </w:tc>
        <w:tc>
          <w:tcPr>
            <w:tcW w:w="1398" w:type="pct"/>
            <w:tcBorders>
              <w:top w:val="single" w:sz="4" w:space="0" w:color="auto"/>
              <w:left w:val="single" w:sz="4" w:space="0" w:color="auto"/>
              <w:bottom w:val="single" w:sz="4" w:space="0" w:color="auto"/>
              <w:right w:val="single" w:sz="4" w:space="0" w:color="auto"/>
            </w:tcBorders>
            <w:hideMark/>
          </w:tcPr>
          <w:p w14:paraId="644A7CBE" w14:textId="44F736FC" w:rsidR="00FA165F" w:rsidRDefault="00FA165F" w:rsidP="004C5E25">
            <w:pPr>
              <w:pStyle w:val="Tabletext0"/>
              <w:spacing w:line="256" w:lineRule="auto"/>
              <w:jc w:val="left"/>
              <w:rPr>
                <w:sz w:val="18"/>
                <w:szCs w:val="18"/>
                <w:lang w:eastAsia="en-US"/>
              </w:rPr>
            </w:pPr>
            <w:r w:rsidRPr="004C5E25">
              <w:rPr>
                <w:sz w:val="18"/>
                <w:szCs w:val="18"/>
                <w:lang w:eastAsia="en-US"/>
              </w:rPr>
              <w:t>k=1</w:t>
            </w:r>
            <w:r>
              <w:rPr>
                <w:sz w:val="18"/>
                <w:szCs w:val="18"/>
                <w:lang w:eastAsia="en-US"/>
              </w:rPr>
              <w:t xml:space="preserve">, </w:t>
            </w:r>
            <w:r w:rsidRPr="004C5E25">
              <w:rPr>
                <w:sz w:val="18"/>
                <w:szCs w:val="18"/>
                <w:lang w:eastAsia="en-US"/>
              </w:rPr>
              <w:t>1 RCT</w:t>
            </w:r>
            <w:r>
              <w:rPr>
                <w:sz w:val="18"/>
                <w:szCs w:val="18"/>
                <w:lang w:eastAsia="en-US"/>
              </w:rPr>
              <w:t xml:space="preserve">, </w:t>
            </w:r>
            <w:r w:rsidRPr="004C5E25">
              <w:rPr>
                <w:sz w:val="18"/>
                <w:szCs w:val="18"/>
                <w:lang w:eastAsia="en-US"/>
              </w:rPr>
              <w:t>n=60</w:t>
            </w:r>
          </w:p>
          <w:p w14:paraId="71EB5924" w14:textId="3F768264" w:rsidR="00FA165F" w:rsidRPr="004C5E25" w:rsidRDefault="00FA165F" w:rsidP="004C5E25">
            <w:pPr>
              <w:pStyle w:val="Tabletext0"/>
              <w:spacing w:line="256" w:lineRule="auto"/>
              <w:jc w:val="left"/>
              <w:rPr>
                <w:sz w:val="18"/>
                <w:szCs w:val="18"/>
                <w:lang w:eastAsia="en-US"/>
              </w:rPr>
            </w:pPr>
            <w:r w:rsidRPr="00FA165F">
              <w:rPr>
                <w:sz w:val="18"/>
                <w:szCs w:val="18"/>
                <w:lang w:eastAsia="en-US"/>
              </w:rPr>
              <w:t>Gerges et al. (2020)</w:t>
            </w:r>
          </w:p>
        </w:tc>
        <w:tc>
          <w:tcPr>
            <w:tcW w:w="647" w:type="pct"/>
            <w:tcBorders>
              <w:top w:val="single" w:sz="4" w:space="0" w:color="auto"/>
              <w:left w:val="single" w:sz="4" w:space="0" w:color="auto"/>
              <w:bottom w:val="single" w:sz="4" w:space="0" w:color="auto"/>
              <w:right w:val="single" w:sz="4" w:space="0" w:color="auto"/>
            </w:tcBorders>
          </w:tcPr>
          <w:p w14:paraId="48A2ACC8" w14:textId="77777777" w:rsidR="00FA165F" w:rsidRPr="00C5596B" w:rsidRDefault="00FA165F" w:rsidP="004C5E25">
            <w:pPr>
              <w:pStyle w:val="Tabletext0"/>
              <w:jc w:val="left"/>
            </w:pPr>
            <w:r w:rsidRPr="00C5596B">
              <w:t>2/31</w:t>
            </w:r>
          </w:p>
          <w:p w14:paraId="6CC7BA94" w14:textId="01A89487" w:rsidR="00FA165F" w:rsidRPr="004C5E25" w:rsidRDefault="00FA165F" w:rsidP="004C5E25">
            <w:pPr>
              <w:pStyle w:val="Tabletext0"/>
              <w:spacing w:line="256" w:lineRule="auto"/>
              <w:jc w:val="left"/>
              <w:rPr>
                <w:sz w:val="18"/>
                <w:szCs w:val="18"/>
                <w:lang w:eastAsia="en-US"/>
              </w:rPr>
            </w:pPr>
            <w:r>
              <w:t>(</w:t>
            </w:r>
            <w:r w:rsidRPr="00FE5F39">
              <w:t>6.5%</w:t>
            </w:r>
            <w:r>
              <w:t>)</w:t>
            </w:r>
          </w:p>
        </w:tc>
        <w:tc>
          <w:tcPr>
            <w:tcW w:w="690" w:type="pct"/>
            <w:tcBorders>
              <w:top w:val="single" w:sz="4" w:space="0" w:color="auto"/>
              <w:left w:val="single" w:sz="4" w:space="0" w:color="auto"/>
              <w:bottom w:val="single" w:sz="4" w:space="0" w:color="auto"/>
              <w:right w:val="single" w:sz="4" w:space="0" w:color="auto"/>
            </w:tcBorders>
          </w:tcPr>
          <w:p w14:paraId="334C8BC9" w14:textId="77777777" w:rsidR="00FA165F" w:rsidRPr="00C5596B" w:rsidRDefault="00FA165F" w:rsidP="004C5E25">
            <w:pPr>
              <w:pStyle w:val="Tabletext0"/>
              <w:jc w:val="left"/>
            </w:pPr>
            <w:r w:rsidRPr="00C5596B">
              <w:t>3/29</w:t>
            </w:r>
          </w:p>
          <w:p w14:paraId="454DAD63" w14:textId="600041FF" w:rsidR="00FA165F" w:rsidRPr="004C5E25" w:rsidRDefault="00FA165F" w:rsidP="004C5E25">
            <w:pPr>
              <w:pStyle w:val="Tabletext0"/>
              <w:spacing w:line="256" w:lineRule="auto"/>
              <w:jc w:val="left"/>
              <w:rPr>
                <w:sz w:val="18"/>
                <w:szCs w:val="18"/>
                <w:lang w:eastAsia="en-US"/>
              </w:rPr>
            </w:pPr>
            <w:r>
              <w:t>(</w:t>
            </w:r>
            <w:r w:rsidRPr="00FE5F39">
              <w:t>10.3%</w:t>
            </w:r>
            <w:r>
              <w:t>)</w:t>
            </w:r>
          </w:p>
        </w:tc>
        <w:tc>
          <w:tcPr>
            <w:tcW w:w="555" w:type="pct"/>
            <w:tcBorders>
              <w:top w:val="single" w:sz="4" w:space="0" w:color="auto"/>
              <w:left w:val="single" w:sz="4" w:space="0" w:color="auto"/>
              <w:bottom w:val="single" w:sz="4" w:space="0" w:color="auto"/>
              <w:right w:val="single" w:sz="4" w:space="0" w:color="auto"/>
            </w:tcBorders>
          </w:tcPr>
          <w:p w14:paraId="50017EEA" w14:textId="69B13C83" w:rsidR="00FA165F" w:rsidRPr="004C5E25" w:rsidRDefault="00FA165F" w:rsidP="004C5E25">
            <w:pPr>
              <w:pStyle w:val="Tabletext0"/>
              <w:spacing w:line="256" w:lineRule="auto"/>
              <w:jc w:val="left"/>
              <w:rPr>
                <w:sz w:val="18"/>
                <w:szCs w:val="18"/>
                <w:lang w:eastAsia="en-US"/>
              </w:rPr>
            </w:pPr>
            <w:r w:rsidRPr="00C5596B">
              <w:t>-3.8% (p=0.59)</w:t>
            </w:r>
          </w:p>
        </w:tc>
        <w:tc>
          <w:tcPr>
            <w:tcW w:w="769" w:type="pct"/>
            <w:tcBorders>
              <w:top w:val="single" w:sz="4" w:space="0" w:color="auto"/>
              <w:left w:val="single" w:sz="4" w:space="0" w:color="auto"/>
              <w:bottom w:val="single" w:sz="4" w:space="0" w:color="auto"/>
              <w:right w:val="single" w:sz="4" w:space="0" w:color="auto"/>
            </w:tcBorders>
          </w:tcPr>
          <w:p w14:paraId="646EA994" w14:textId="22FA6241" w:rsidR="00FA165F" w:rsidRPr="00FA165F" w:rsidRDefault="00FA165F" w:rsidP="004C5E25">
            <w:pPr>
              <w:pStyle w:val="Tabletext0"/>
              <w:spacing w:line="256" w:lineRule="auto"/>
              <w:jc w:val="left"/>
              <w:rPr>
                <w:sz w:val="18"/>
                <w:szCs w:val="18"/>
                <w:vertAlign w:val="superscript"/>
                <w:lang w:eastAsia="en-US"/>
              </w:rPr>
            </w:pPr>
            <w:r w:rsidRPr="004C5E25">
              <w:rPr>
                <w:rFonts w:ascii="Cambria Math" w:hAnsi="Cambria Math"/>
                <w:color w:val="00B050"/>
                <w:sz w:val="18"/>
                <w:szCs w:val="18"/>
              </w:rPr>
              <w:t>⨁</w:t>
            </w:r>
            <w:r w:rsidRPr="004C5E25">
              <w:rPr>
                <w:rFonts w:ascii="Cambria Math" w:hAnsi="Cambria Math" w:cs="Cambria Math"/>
                <w:color w:val="C00000"/>
                <w:sz w:val="18"/>
                <w:szCs w:val="18"/>
              </w:rPr>
              <w:t>⨀⨀⨀</w:t>
            </w:r>
            <w:r>
              <w:rPr>
                <w:rFonts w:ascii="Cambria Math" w:hAnsi="Cambria Math" w:cs="Cambria Math"/>
                <w:color w:val="C00000"/>
                <w:sz w:val="18"/>
                <w:szCs w:val="18"/>
              </w:rPr>
              <w:t xml:space="preserve"> </w:t>
            </w:r>
            <w:r>
              <w:rPr>
                <w:vertAlign w:val="superscript"/>
              </w:rPr>
              <w:t>b</w:t>
            </w:r>
          </w:p>
        </w:tc>
      </w:tr>
    </w:tbl>
    <w:p w14:paraId="7E9EF7A9" w14:textId="4DE408B2" w:rsidR="00FA165F" w:rsidRDefault="00FA165F" w:rsidP="00FA165F">
      <w:pPr>
        <w:pStyle w:val="Tablenotes"/>
      </w:pPr>
      <w:r w:rsidRPr="00C5596B">
        <w:t>Source: Table 60 of the ADAR</w:t>
      </w:r>
      <w:r>
        <w:t xml:space="preserve">. GRADE assessment, edits and corrections to the original table </w:t>
      </w:r>
      <w:r w:rsidRPr="00FA165F">
        <w:t>were performed for the commentary</w:t>
      </w:r>
      <w:r>
        <w:t>.</w:t>
      </w:r>
    </w:p>
    <w:p w14:paraId="1219B0C4" w14:textId="21A442E8" w:rsidR="00FA165F" w:rsidRPr="00FA165F" w:rsidRDefault="00FA165F" w:rsidP="004C5E25">
      <w:pPr>
        <w:pStyle w:val="Tablenotes"/>
      </w:pPr>
      <w:r w:rsidRPr="00C5596B">
        <w:t>Abbreviations: ERCP-BC= endoscopic retrograde cholangiopancreatography-guided brush cytology; MRCP= magnetic resonance cholangiopancreatography; N = number of participants; NR = not reported; POCPS-B= single operator, single use, peroral cholangiopancreatoscopy-guided biopsy; RoB= Risk of Bias.</w:t>
      </w:r>
    </w:p>
    <w:p w14:paraId="7570D42B" w14:textId="3605A863" w:rsidR="004C5E25" w:rsidRPr="004C5E25" w:rsidRDefault="004C5E25" w:rsidP="004C5E25">
      <w:pPr>
        <w:pStyle w:val="Tablenotes"/>
        <w:rPr>
          <w:szCs w:val="18"/>
        </w:rPr>
      </w:pPr>
      <w:r w:rsidRPr="004C5E25">
        <w:rPr>
          <w:szCs w:val="18"/>
          <w:vertAlign w:val="superscript"/>
        </w:rPr>
        <w:t xml:space="preserve">a </w:t>
      </w:r>
      <w:r w:rsidRPr="004C5E25">
        <w:rPr>
          <w:szCs w:val="18"/>
        </w:rPr>
        <w:t>GRADE Working Group grades of evidence (Guyatt et al., 2013)</w:t>
      </w:r>
    </w:p>
    <w:p w14:paraId="04886412" w14:textId="7A980A7D" w:rsidR="004C5E25" w:rsidRDefault="004C5E25" w:rsidP="004C5E25">
      <w:pPr>
        <w:pStyle w:val="Tablenotes"/>
        <w:rPr>
          <w:szCs w:val="18"/>
        </w:rPr>
      </w:pPr>
      <w:r w:rsidRPr="004C5E25">
        <w:rPr>
          <w:rFonts w:ascii="Cambria Math" w:hAnsi="Cambria Math"/>
          <w:color w:val="00B050"/>
        </w:rPr>
        <w:t xml:space="preserve">⨁⨁⨁⨁ </w:t>
      </w:r>
      <w:r w:rsidRPr="004C5E25">
        <w:rPr>
          <w:b/>
          <w:bCs/>
          <w:szCs w:val="18"/>
        </w:rPr>
        <w:t>High quality:</w:t>
      </w:r>
      <w:r w:rsidRPr="004C5E25">
        <w:rPr>
          <w:szCs w:val="18"/>
        </w:rPr>
        <w:t xml:space="preserve"> We are very confident that the true effect lies close to that of the estimate of effect. </w:t>
      </w:r>
      <w:r w:rsidRPr="004C5E25">
        <w:rPr>
          <w:szCs w:val="18"/>
        </w:rPr>
        <w:br/>
      </w:r>
      <w:r w:rsidRPr="004C5E25">
        <w:rPr>
          <w:rFonts w:ascii="Cambria Math" w:hAnsi="Cambria Math"/>
          <w:color w:val="00B050"/>
        </w:rPr>
        <w:t>⨁⨁⨁</w:t>
      </w:r>
      <w:r w:rsidRPr="004C5E25">
        <w:rPr>
          <w:rFonts w:ascii="Cambria Math" w:hAnsi="Cambria Math" w:cs="Cambria Math"/>
          <w:color w:val="C00000"/>
        </w:rPr>
        <w:t xml:space="preserve">⨀ </w:t>
      </w:r>
      <w:r w:rsidRPr="004C5E25">
        <w:rPr>
          <w:b/>
          <w:bCs/>
          <w:szCs w:val="18"/>
        </w:rPr>
        <w:t>Moderate quality:</w:t>
      </w:r>
      <w:r w:rsidRPr="004C5E25">
        <w:rPr>
          <w:szCs w:val="18"/>
        </w:rPr>
        <w:t xml:space="preserve"> We are moderately confident in the effect estimate: The true effect is likely to be close to the estimate of the effect, but there is a possibility that it is substantially different. </w:t>
      </w:r>
      <w:r w:rsidRPr="004C5E25">
        <w:rPr>
          <w:szCs w:val="18"/>
        </w:rPr>
        <w:br/>
      </w:r>
      <w:r w:rsidRPr="004C5E25">
        <w:rPr>
          <w:rFonts w:ascii="Cambria Math" w:hAnsi="Cambria Math"/>
          <w:color w:val="00B050"/>
        </w:rPr>
        <w:t>⨁⨁</w:t>
      </w:r>
      <w:r w:rsidRPr="004C5E25">
        <w:rPr>
          <w:rFonts w:ascii="Cambria Math" w:hAnsi="Cambria Math" w:cs="Cambria Math"/>
          <w:color w:val="C00000"/>
        </w:rPr>
        <w:t xml:space="preserve">⨀⨀ </w:t>
      </w:r>
      <w:r w:rsidRPr="004C5E25">
        <w:rPr>
          <w:b/>
          <w:bCs/>
          <w:szCs w:val="18"/>
        </w:rPr>
        <w:t>Low quality:</w:t>
      </w:r>
      <w:r w:rsidRPr="004C5E25">
        <w:rPr>
          <w:szCs w:val="18"/>
        </w:rPr>
        <w:t xml:space="preserve"> Our confidence in the effect estimate is limited: The true effect may be substantially different from the estimate of the effect.</w:t>
      </w:r>
      <w:r w:rsidRPr="004C5E25">
        <w:rPr>
          <w:szCs w:val="18"/>
        </w:rPr>
        <w:br/>
      </w:r>
      <w:r w:rsidRPr="004C5E25">
        <w:rPr>
          <w:rFonts w:ascii="Cambria Math" w:hAnsi="Cambria Math"/>
          <w:color w:val="00B050"/>
        </w:rPr>
        <w:t>⨁</w:t>
      </w:r>
      <w:r w:rsidRPr="004C5E25">
        <w:rPr>
          <w:rFonts w:ascii="Cambria Math" w:hAnsi="Cambria Math" w:cs="Cambria Math"/>
          <w:color w:val="C00000"/>
        </w:rPr>
        <w:t xml:space="preserve">⨀⨀⨀ </w:t>
      </w:r>
      <w:r w:rsidRPr="004C5E25">
        <w:rPr>
          <w:b/>
          <w:bCs/>
          <w:szCs w:val="18"/>
        </w:rPr>
        <w:t>Very low quality:</w:t>
      </w:r>
      <w:r w:rsidRPr="004C5E25">
        <w:rPr>
          <w:szCs w:val="18"/>
        </w:rPr>
        <w:t xml:space="preserve"> We have very little confidence in the effect estimate: The true effect is likely to be substantially different from the estimate of effect.</w:t>
      </w:r>
    </w:p>
    <w:p w14:paraId="35D74410" w14:textId="72EEE95D" w:rsidR="00FA165F" w:rsidRPr="00FA165F" w:rsidRDefault="00FA165F" w:rsidP="004C5E25">
      <w:pPr>
        <w:pStyle w:val="Tablenotes"/>
        <w:rPr>
          <w:szCs w:val="18"/>
        </w:rPr>
      </w:pPr>
      <w:r>
        <w:rPr>
          <w:szCs w:val="18"/>
          <w:vertAlign w:val="superscript"/>
        </w:rPr>
        <w:t xml:space="preserve">b </w:t>
      </w:r>
      <w:r w:rsidRPr="00FA165F">
        <w:rPr>
          <w:szCs w:val="18"/>
        </w:rPr>
        <w:t>Downgraded due to concerns about indirectness, imprecision, and search strategy comprehensiveness</w:t>
      </w:r>
      <w:r>
        <w:rPr>
          <w:szCs w:val="18"/>
        </w:rPr>
        <w:t xml:space="preserve">. </w:t>
      </w:r>
      <w:r w:rsidRPr="004C5E25">
        <w:rPr>
          <w:szCs w:val="18"/>
        </w:rPr>
        <w:t>One RCT with serious applicability concerns reported non-significantly lower overall adverse events rate for POCPS compared with ERCP-BC</w:t>
      </w:r>
    </w:p>
    <w:p w14:paraId="7F73B01F" w14:textId="77777777" w:rsidR="004C5E25" w:rsidRPr="004C5E25" w:rsidRDefault="004C5E25" w:rsidP="004C5E25">
      <w:pPr>
        <w:pStyle w:val="Tablenotes"/>
        <w:rPr>
          <w:bCs/>
        </w:rPr>
      </w:pPr>
      <w:r w:rsidRPr="004C5E25">
        <w:rPr>
          <w:bCs/>
        </w:rPr>
        <w:t>ERCP-BC=endoscopic retrograde cholangiopancreatography-guided brush cytology; POCPS=peroral cholangiopancreatoscopy; RCT=randomised controlled trial; RR=risk ratio</w:t>
      </w:r>
    </w:p>
    <w:p w14:paraId="0D3379AB" w14:textId="0851CA85" w:rsidR="00FA165F" w:rsidRDefault="00EC08E6" w:rsidP="0015035D">
      <w:pPr>
        <w:spacing w:before="240" w:after="240"/>
      </w:pPr>
      <w:r>
        <w:t>N</w:t>
      </w:r>
      <w:r w:rsidR="00FA165F" w:rsidRPr="00FA165F">
        <w:t xml:space="preserve">o statistically significant differences were found in the overall safety of POCPS vs ERCP-guided brush cytology. The </w:t>
      </w:r>
      <w:r w:rsidR="00FA165F">
        <w:t xml:space="preserve">commentary considered the </w:t>
      </w:r>
      <w:r w:rsidR="00FA165F" w:rsidRPr="00FA165F">
        <w:t>evidence was of very low quality.</w:t>
      </w:r>
    </w:p>
    <w:p w14:paraId="1043CEF4" w14:textId="446BAA01" w:rsidR="00E23608" w:rsidRPr="00FA165F" w:rsidRDefault="00FA165F" w:rsidP="00402B01">
      <w:pPr>
        <w:spacing w:after="240"/>
      </w:pPr>
      <w:r w:rsidRPr="004C5E25">
        <w:fldChar w:fldCharType="begin">
          <w:fldData xml:space="preserve">PEVuZE5vdGU+PENpdGUgQXV0aG9yWWVhcj0iMSI+PEF1dGhvcj5HZXJnZXM8L0F1dGhvcj48WWVh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</w:fldData>
        </w:fldChar>
      </w:r>
      <w:r w:rsidRPr="004C5E25">
        <w:instrText xml:space="preserve"> ADDIN EN.CITE </w:instrText>
      </w:r>
      <w:r w:rsidRPr="004C5E25">
        <w:fldChar w:fldCharType="begin">
          <w:fldData xml:space="preserve">PEVuZE5vdGU+PENpdGUgQXV0aG9yWWVhcj0iMSI+PEF1dGhvcj5HZXJnZXM8L0F1dGhvcj48WWVh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</w:fldData>
        </w:fldChar>
      </w:r>
      <w:r w:rsidRPr="004C5E25">
        <w:instrText xml:space="preserve"> ADDIN EN.CITE.DATA </w:instrText>
      </w:r>
      <w:r w:rsidRPr="004C5E25">
        <w:fldChar w:fldCharType="end"/>
      </w:r>
      <w:r w:rsidRPr="004C5E25">
        <w:fldChar w:fldCharType="separate"/>
      </w:r>
      <w:r w:rsidRPr="004C5E25">
        <w:t>Gerges et al. (2020)</w:t>
      </w:r>
      <w:r w:rsidRPr="004C5E25">
        <w:fldChar w:fldCharType="end"/>
      </w:r>
      <w:r w:rsidRPr="004C5E25">
        <w:t xml:space="preserve"> reported </w:t>
      </w:r>
      <w:r w:rsidR="00820D4D">
        <w:t xml:space="preserve">that </w:t>
      </w:r>
      <w:r w:rsidRPr="004C5E25">
        <w:t xml:space="preserve">two patients (6.5%) in the POCPS group experienced pancreatitis. In the ERCP-guided brush cytology group, there was one case each of cholangitis, cholecystitis, and bleeding. All adverse events were considered mild and were treated conservatively. </w:t>
      </w:r>
      <w:r>
        <w:t xml:space="preserve">The commentary considered </w:t>
      </w:r>
      <w:r w:rsidRPr="00FA165F">
        <w:t>t</w:t>
      </w:r>
      <w:r w:rsidR="00E23608" w:rsidRPr="00FA165F">
        <w:t>here are uncertainties around the applicability of the evidence, as patients were not required to have a prior failed ERCP attempt to obtain a sample.</w:t>
      </w:r>
    </w:p>
    <w:p w14:paraId="4F21C489" w14:textId="7FAF58E1" w:rsidR="001D0F9C" w:rsidRPr="00FA165F" w:rsidRDefault="001D0F9C" w:rsidP="00402B01">
      <w:pPr>
        <w:spacing w:after="240"/>
      </w:pPr>
      <w:r w:rsidRPr="00FA165F">
        <w:t xml:space="preserve">No direct evidence was identified for the comparison of POCPS-guided biopsy versus ERCP-guided intraductal biopsy. </w:t>
      </w:r>
    </w:p>
    <w:p w14:paraId="4DB69D4D" w14:textId="570286BA" w:rsidR="001D0F9C" w:rsidRDefault="00FA165F" w:rsidP="00402B01">
      <w:pPr>
        <w:spacing w:after="240"/>
        <w:rPr>
          <w:i/>
        </w:rPr>
      </w:pPr>
      <w:r w:rsidRPr="00FA165F">
        <w:rPr>
          <w:iCs/>
        </w:rPr>
        <w:t>The ADAR presented f</w:t>
      </w:r>
      <w:r w:rsidR="001D0F9C" w:rsidRPr="00FA165F">
        <w:rPr>
          <w:iCs/>
        </w:rPr>
        <w:t xml:space="preserve">urther supportive evidence was provided in form of naïve indirect comparisons. </w:t>
      </w:r>
      <w:r w:rsidR="00E12E7B" w:rsidRPr="00FA165F">
        <w:rPr>
          <w:iCs/>
        </w:rPr>
        <w:t xml:space="preserve">Additional safety data for cholangitis, </w:t>
      </w:r>
      <w:r w:rsidR="00A51E98" w:rsidRPr="00FA165F">
        <w:rPr>
          <w:iCs/>
        </w:rPr>
        <w:t xml:space="preserve">cholecystitis, pancreatitis, </w:t>
      </w:r>
      <w:r w:rsidR="00E12E7B" w:rsidRPr="00FA165F">
        <w:rPr>
          <w:iCs/>
        </w:rPr>
        <w:t>bleeding</w:t>
      </w:r>
      <w:r w:rsidR="000513DE" w:rsidRPr="00FA165F">
        <w:rPr>
          <w:iCs/>
        </w:rPr>
        <w:t>, perforation, abdominal pain and cardiovascular adverse events</w:t>
      </w:r>
      <w:r w:rsidR="00E12E7B" w:rsidRPr="00FA165F">
        <w:rPr>
          <w:iCs/>
        </w:rPr>
        <w:t xml:space="preserve"> from single-arm studies was provided in an appendix, but no interpretation was provided.</w:t>
      </w:r>
      <w:r w:rsidR="00E12E7B">
        <w:rPr>
          <w:i/>
        </w:rPr>
        <w:t xml:space="preserve"> </w:t>
      </w:r>
    </w:p>
    <w:p w14:paraId="6C728171" w14:textId="77777777" w:rsidR="0016222A" w:rsidRPr="00FA165F" w:rsidRDefault="0016222A" w:rsidP="0016222A">
      <w:pPr>
        <w:spacing w:after="240"/>
      </w:pPr>
      <w:r w:rsidRPr="00FA165F">
        <w:lastRenderedPageBreak/>
        <w:t>Consequent harms of testing (i.e., those mediated through subsequent changes to clinical management) were not presented in the ADAR.</w:t>
      </w:r>
    </w:p>
    <w:p w14:paraId="16F77220" w14:textId="71A86104" w:rsidR="0016222A" w:rsidRDefault="0016222A" w:rsidP="00402B01">
      <w:pPr>
        <w:spacing w:after="240"/>
        <w:rPr>
          <w:iCs/>
        </w:rPr>
      </w:pPr>
      <w:r>
        <w:rPr>
          <w:iCs/>
        </w:rPr>
        <w:t xml:space="preserve">The pre-MSAC response provided additional </w:t>
      </w:r>
      <w:r w:rsidRPr="0016222A">
        <w:rPr>
          <w:iCs/>
        </w:rPr>
        <w:t>detailed adverse safety data</w:t>
      </w:r>
      <w:r>
        <w:rPr>
          <w:iCs/>
        </w:rPr>
        <w:t xml:space="preserve"> </w:t>
      </w:r>
      <w:r w:rsidRPr="0016222A">
        <w:rPr>
          <w:iCs/>
        </w:rPr>
        <w:t>from the non-comparative studies</w:t>
      </w:r>
      <w:r>
        <w:rPr>
          <w:iCs/>
        </w:rPr>
        <w:t>.</w:t>
      </w:r>
    </w:p>
    <w:p w14:paraId="620EA169" w14:textId="3C120FBB" w:rsidR="0016222A" w:rsidRDefault="0016222A" w:rsidP="0016222A">
      <w:pPr>
        <w:pStyle w:val="Caption"/>
      </w:pPr>
      <w:r>
        <w:t xml:space="preserve">Table </w:t>
      </w:r>
      <w:fldSimple w:instr=" SEQ Table \* ARABIC ">
        <w:r w:rsidR="00D422BC">
          <w:rPr>
            <w:noProof/>
          </w:rPr>
          <w:t>11</w:t>
        </w:r>
      </w:fldSimple>
      <w:r>
        <w:t xml:space="preserve"> </w:t>
      </w:r>
      <w:r w:rsidRPr="0016222A">
        <w:t>Comparative safety for ERCP, therapeutic POCPS and investigative POCPS</w:t>
      </w:r>
    </w:p>
    <w:tbl>
      <w:tblPr>
        <w:tblStyle w:val="HTAtableplain1"/>
        <w:tblW w:w="0" w:type="auto"/>
        <w:tblCellMar>
          <w:top w:w="113" w:type="dxa"/>
          <w:left w:w="113" w:type="dxa"/>
          <w:bottom w:w="113" w:type="dxa"/>
          <w:right w:w="113" w:type="dxa"/>
        </w:tblCellMar>
        <w:tblLook w:val="04A0" w:firstRow="1" w:lastRow="0" w:firstColumn="1" w:lastColumn="0" w:noHBand="0" w:noVBand="1"/>
      </w:tblPr>
      <w:tblGrid>
        <w:gridCol w:w="2458"/>
        <w:gridCol w:w="1657"/>
        <w:gridCol w:w="2454"/>
        <w:gridCol w:w="2447"/>
      </w:tblGrid>
      <w:tr w:rsidR="0016222A" w:rsidRPr="0016222A" w14:paraId="39E9BF7F" w14:textId="77777777" w:rsidTr="001622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58" w:type="dxa"/>
            <w:shd w:val="clear" w:color="auto" w:fill="FFFFFF" w:themeFill="background1"/>
          </w:tcPr>
          <w:p w14:paraId="195D5D99" w14:textId="77777777" w:rsidR="0016222A" w:rsidRPr="0016222A" w:rsidRDefault="0016222A" w:rsidP="0016222A">
            <w:pPr>
              <w:pStyle w:val="Tabletext0"/>
              <w:ind w:left="0"/>
              <w:rPr>
                <w:rFonts w:eastAsia="Calibri"/>
              </w:rPr>
            </w:pPr>
            <w:r w:rsidRPr="0016222A">
              <w:rPr>
                <w:rFonts w:eastAsia="Calibri"/>
              </w:rPr>
              <w:t>Adverse events</w:t>
            </w:r>
          </w:p>
        </w:tc>
        <w:tc>
          <w:tcPr>
            <w:tcW w:w="1657" w:type="dxa"/>
            <w:shd w:val="clear" w:color="auto" w:fill="FFFFFF" w:themeFill="background1"/>
          </w:tcPr>
          <w:p w14:paraId="2DDC8542" w14:textId="0DB12A19" w:rsidR="0016222A" w:rsidRPr="0016222A" w:rsidRDefault="0016222A" w:rsidP="0016222A">
            <w:pPr>
              <w:pStyle w:val="Tabletext0"/>
              <w:ind w:left="0"/>
              <w:cnfStyle w:val="100000000000" w:firstRow="1" w:lastRow="0" w:firstColumn="0" w:lastColumn="0" w:oddVBand="0" w:evenVBand="0" w:oddHBand="0" w:evenHBand="0" w:firstRowFirstColumn="0" w:firstRowLastColumn="0" w:lastRowFirstColumn="0" w:lastRowLastColumn="0"/>
              <w:rPr>
                <w:rFonts w:eastAsia="Calibri"/>
                <w:vertAlign w:val="superscript"/>
              </w:rPr>
            </w:pPr>
            <w:r w:rsidRPr="0016222A">
              <w:rPr>
                <w:rFonts w:eastAsia="Calibri"/>
              </w:rPr>
              <w:t>ERCP</w:t>
            </w:r>
            <w:r>
              <w:rPr>
                <w:rFonts w:eastAsia="Calibri"/>
              </w:rPr>
              <w:t xml:space="preserve"> </w:t>
            </w:r>
            <w:r>
              <w:rPr>
                <w:rFonts w:eastAsia="Calibri"/>
                <w:vertAlign w:val="superscript"/>
              </w:rPr>
              <w:t>a</w:t>
            </w:r>
          </w:p>
        </w:tc>
        <w:tc>
          <w:tcPr>
            <w:tcW w:w="2454" w:type="dxa"/>
            <w:shd w:val="clear" w:color="auto" w:fill="FFFFFF" w:themeFill="background1"/>
          </w:tcPr>
          <w:p w14:paraId="7FF1042C" w14:textId="34451E88" w:rsidR="0016222A" w:rsidRPr="0016222A" w:rsidRDefault="0016222A" w:rsidP="0016222A">
            <w:pPr>
              <w:pStyle w:val="Tabletext0"/>
              <w:ind w:left="0"/>
              <w:cnfStyle w:val="100000000000" w:firstRow="1" w:lastRow="0" w:firstColumn="0" w:lastColumn="0" w:oddVBand="0" w:evenVBand="0" w:oddHBand="0" w:evenHBand="0" w:firstRowFirstColumn="0" w:firstRowLastColumn="0" w:lastRowFirstColumn="0" w:lastRowLastColumn="0"/>
              <w:rPr>
                <w:rFonts w:eastAsia="Calibri"/>
              </w:rPr>
            </w:pPr>
            <w:r w:rsidRPr="0016222A">
              <w:rPr>
                <w:rFonts w:eastAsia="Calibri"/>
              </w:rPr>
              <w:t>Therapeutic POCPS</w:t>
            </w:r>
          </w:p>
        </w:tc>
        <w:tc>
          <w:tcPr>
            <w:tcW w:w="2447" w:type="dxa"/>
            <w:shd w:val="clear" w:color="auto" w:fill="FFFFFF" w:themeFill="background1"/>
          </w:tcPr>
          <w:p w14:paraId="5C3A0BF6" w14:textId="1ACE4352" w:rsidR="0016222A" w:rsidRPr="0016222A" w:rsidRDefault="0016222A" w:rsidP="0016222A">
            <w:pPr>
              <w:pStyle w:val="Tabletext0"/>
              <w:ind w:left="0"/>
              <w:cnfStyle w:val="100000000000" w:firstRow="1" w:lastRow="0" w:firstColumn="0" w:lastColumn="0" w:oddVBand="0" w:evenVBand="0" w:oddHBand="0" w:evenHBand="0" w:firstRowFirstColumn="0" w:firstRowLastColumn="0" w:lastRowFirstColumn="0" w:lastRowLastColumn="0"/>
              <w:rPr>
                <w:rFonts w:eastAsia="Calibri"/>
              </w:rPr>
            </w:pPr>
            <w:r w:rsidRPr="0016222A">
              <w:rPr>
                <w:rFonts w:eastAsia="Calibri"/>
              </w:rPr>
              <w:t>Investigative POCP</w:t>
            </w:r>
            <w:r>
              <w:rPr>
                <w:rFonts w:eastAsia="Calibri"/>
              </w:rPr>
              <w:t>S</w:t>
            </w:r>
          </w:p>
        </w:tc>
      </w:tr>
      <w:tr w:rsidR="0016222A" w:rsidRPr="0016222A" w14:paraId="7B16F877" w14:textId="77777777" w:rsidTr="0016222A">
        <w:tc>
          <w:tcPr>
            <w:cnfStyle w:val="001000000000" w:firstRow="0" w:lastRow="0" w:firstColumn="1" w:lastColumn="0" w:oddVBand="0" w:evenVBand="0" w:oddHBand="0" w:evenHBand="0" w:firstRowFirstColumn="0" w:firstRowLastColumn="0" w:lastRowFirstColumn="0" w:lastRowLastColumn="0"/>
            <w:tcW w:w="2458" w:type="dxa"/>
          </w:tcPr>
          <w:p w14:paraId="576450E3" w14:textId="77777777" w:rsidR="0016222A" w:rsidRPr="0016222A" w:rsidRDefault="0016222A" w:rsidP="0016222A">
            <w:pPr>
              <w:pStyle w:val="Tabletext0"/>
              <w:ind w:left="0"/>
              <w:rPr>
                <w:rFonts w:eastAsia="Calibri"/>
                <w:sz w:val="18"/>
                <w:szCs w:val="22"/>
              </w:rPr>
            </w:pPr>
            <w:r w:rsidRPr="0016222A">
              <w:rPr>
                <w:rFonts w:eastAsia="Calibri"/>
                <w:sz w:val="18"/>
                <w:szCs w:val="22"/>
              </w:rPr>
              <w:t>Pancreatitis</w:t>
            </w:r>
          </w:p>
        </w:tc>
        <w:tc>
          <w:tcPr>
            <w:tcW w:w="1657" w:type="dxa"/>
          </w:tcPr>
          <w:p w14:paraId="3E8007EE" w14:textId="77777777" w:rsidR="0016222A" w:rsidRPr="0016222A" w:rsidRDefault="0016222A" w:rsidP="0016222A">
            <w:pPr>
              <w:pStyle w:val="Tabletext0"/>
              <w:ind w:left="0"/>
              <w:cnfStyle w:val="000000000000" w:firstRow="0" w:lastRow="0" w:firstColumn="0" w:lastColumn="0" w:oddVBand="0" w:evenVBand="0" w:oddHBand="0" w:evenHBand="0" w:firstRowFirstColumn="0" w:firstRowLastColumn="0" w:lastRowFirstColumn="0" w:lastRowLastColumn="0"/>
              <w:rPr>
                <w:rFonts w:eastAsia="Calibri"/>
                <w:sz w:val="18"/>
                <w:szCs w:val="22"/>
              </w:rPr>
            </w:pPr>
            <w:r w:rsidRPr="0016222A">
              <w:rPr>
                <w:rFonts w:eastAsia="Calibri"/>
                <w:sz w:val="18"/>
                <w:szCs w:val="22"/>
              </w:rPr>
              <w:t>3.5%–9.7%</w:t>
            </w:r>
          </w:p>
        </w:tc>
        <w:tc>
          <w:tcPr>
            <w:tcW w:w="2454" w:type="dxa"/>
          </w:tcPr>
          <w:p w14:paraId="50BD0BC7" w14:textId="77777777" w:rsidR="0016222A" w:rsidRPr="0016222A" w:rsidRDefault="0016222A" w:rsidP="0016222A">
            <w:pPr>
              <w:pStyle w:val="Tabletext0"/>
              <w:ind w:left="0"/>
              <w:cnfStyle w:val="000000000000" w:firstRow="0" w:lastRow="0" w:firstColumn="0" w:lastColumn="0" w:oddVBand="0" w:evenVBand="0" w:oddHBand="0" w:evenHBand="0" w:firstRowFirstColumn="0" w:firstRowLastColumn="0" w:lastRowFirstColumn="0" w:lastRowLastColumn="0"/>
              <w:rPr>
                <w:rFonts w:eastAsia="Calibri"/>
                <w:sz w:val="18"/>
                <w:szCs w:val="22"/>
              </w:rPr>
            </w:pPr>
            <w:r w:rsidRPr="0016222A">
              <w:rPr>
                <w:rFonts w:eastAsia="Calibri"/>
                <w:sz w:val="18"/>
                <w:szCs w:val="22"/>
              </w:rPr>
              <w:t>NR</w:t>
            </w:r>
          </w:p>
        </w:tc>
        <w:tc>
          <w:tcPr>
            <w:tcW w:w="2447" w:type="dxa"/>
          </w:tcPr>
          <w:p w14:paraId="7F79B4B8" w14:textId="77777777" w:rsidR="0016222A" w:rsidRPr="0016222A" w:rsidRDefault="0016222A" w:rsidP="0016222A">
            <w:pPr>
              <w:pStyle w:val="Tabletext0"/>
              <w:ind w:left="0"/>
              <w:cnfStyle w:val="000000000000" w:firstRow="0" w:lastRow="0" w:firstColumn="0" w:lastColumn="0" w:oddVBand="0" w:evenVBand="0" w:oddHBand="0" w:evenHBand="0" w:firstRowFirstColumn="0" w:firstRowLastColumn="0" w:lastRowFirstColumn="0" w:lastRowLastColumn="0"/>
              <w:rPr>
                <w:rFonts w:eastAsia="Calibri"/>
                <w:sz w:val="18"/>
                <w:szCs w:val="22"/>
              </w:rPr>
            </w:pPr>
            <w:r w:rsidRPr="0016222A">
              <w:rPr>
                <w:rFonts w:eastAsia="Calibri"/>
                <w:sz w:val="18"/>
                <w:szCs w:val="22"/>
              </w:rPr>
              <w:t>0%–11.6% (8 studies)</w:t>
            </w:r>
          </w:p>
        </w:tc>
      </w:tr>
      <w:tr w:rsidR="0016222A" w:rsidRPr="0016222A" w14:paraId="1558715B" w14:textId="77777777" w:rsidTr="0016222A">
        <w:tc>
          <w:tcPr>
            <w:cnfStyle w:val="001000000000" w:firstRow="0" w:lastRow="0" w:firstColumn="1" w:lastColumn="0" w:oddVBand="0" w:evenVBand="0" w:oddHBand="0" w:evenHBand="0" w:firstRowFirstColumn="0" w:firstRowLastColumn="0" w:lastRowFirstColumn="0" w:lastRowLastColumn="0"/>
            <w:tcW w:w="2458" w:type="dxa"/>
          </w:tcPr>
          <w:p w14:paraId="3B46F6B9" w14:textId="77777777" w:rsidR="0016222A" w:rsidRPr="0016222A" w:rsidRDefault="0016222A" w:rsidP="0016222A">
            <w:pPr>
              <w:pStyle w:val="Tabletext0"/>
              <w:ind w:left="0"/>
              <w:rPr>
                <w:rFonts w:eastAsia="Calibri"/>
                <w:sz w:val="18"/>
                <w:szCs w:val="22"/>
              </w:rPr>
            </w:pPr>
            <w:r w:rsidRPr="0016222A">
              <w:rPr>
                <w:rFonts w:eastAsia="Calibri"/>
                <w:sz w:val="18"/>
                <w:szCs w:val="22"/>
              </w:rPr>
              <w:t>Cholangitis</w:t>
            </w:r>
          </w:p>
        </w:tc>
        <w:tc>
          <w:tcPr>
            <w:tcW w:w="1657" w:type="dxa"/>
          </w:tcPr>
          <w:p w14:paraId="2C73FD09" w14:textId="77777777" w:rsidR="0016222A" w:rsidRPr="0016222A" w:rsidRDefault="0016222A" w:rsidP="0016222A">
            <w:pPr>
              <w:pStyle w:val="Tabletext0"/>
              <w:ind w:left="0"/>
              <w:cnfStyle w:val="000000000000" w:firstRow="0" w:lastRow="0" w:firstColumn="0" w:lastColumn="0" w:oddVBand="0" w:evenVBand="0" w:oddHBand="0" w:evenHBand="0" w:firstRowFirstColumn="0" w:firstRowLastColumn="0" w:lastRowFirstColumn="0" w:lastRowLastColumn="0"/>
              <w:rPr>
                <w:rFonts w:eastAsia="Calibri"/>
                <w:sz w:val="18"/>
                <w:szCs w:val="22"/>
              </w:rPr>
            </w:pPr>
            <w:r w:rsidRPr="0016222A">
              <w:rPr>
                <w:rFonts w:eastAsia="Calibri"/>
                <w:sz w:val="18"/>
                <w:szCs w:val="22"/>
              </w:rPr>
              <w:t>0.5%–3.0%</w:t>
            </w:r>
          </w:p>
        </w:tc>
        <w:tc>
          <w:tcPr>
            <w:tcW w:w="2454" w:type="dxa"/>
          </w:tcPr>
          <w:p w14:paraId="78BF1656" w14:textId="77777777" w:rsidR="0016222A" w:rsidRPr="0016222A" w:rsidRDefault="0016222A" w:rsidP="0016222A">
            <w:pPr>
              <w:pStyle w:val="Tabletext0"/>
              <w:ind w:left="0"/>
              <w:cnfStyle w:val="000000000000" w:firstRow="0" w:lastRow="0" w:firstColumn="0" w:lastColumn="0" w:oddVBand="0" w:evenVBand="0" w:oddHBand="0" w:evenHBand="0" w:firstRowFirstColumn="0" w:firstRowLastColumn="0" w:lastRowFirstColumn="0" w:lastRowLastColumn="0"/>
              <w:rPr>
                <w:rFonts w:eastAsia="Calibri"/>
                <w:sz w:val="18"/>
                <w:szCs w:val="22"/>
              </w:rPr>
            </w:pPr>
            <w:r w:rsidRPr="0016222A">
              <w:rPr>
                <w:rFonts w:eastAsia="Calibri"/>
                <w:sz w:val="18"/>
                <w:szCs w:val="22"/>
              </w:rPr>
              <w:t>0.64%–11.9% (8 studies)</w:t>
            </w:r>
          </w:p>
        </w:tc>
        <w:tc>
          <w:tcPr>
            <w:tcW w:w="2447" w:type="dxa"/>
          </w:tcPr>
          <w:p w14:paraId="55C8D9CD" w14:textId="77777777" w:rsidR="0016222A" w:rsidRPr="0016222A" w:rsidRDefault="0016222A" w:rsidP="0016222A">
            <w:pPr>
              <w:pStyle w:val="Tabletext0"/>
              <w:ind w:left="0"/>
              <w:cnfStyle w:val="000000000000" w:firstRow="0" w:lastRow="0" w:firstColumn="0" w:lastColumn="0" w:oddVBand="0" w:evenVBand="0" w:oddHBand="0" w:evenHBand="0" w:firstRowFirstColumn="0" w:firstRowLastColumn="0" w:lastRowFirstColumn="0" w:lastRowLastColumn="0"/>
              <w:rPr>
                <w:rFonts w:eastAsia="Calibri"/>
                <w:sz w:val="18"/>
                <w:szCs w:val="22"/>
              </w:rPr>
            </w:pPr>
            <w:r w:rsidRPr="0016222A">
              <w:rPr>
                <w:rFonts w:eastAsia="Calibri"/>
                <w:sz w:val="18"/>
                <w:szCs w:val="22"/>
              </w:rPr>
              <w:t>0–12.7% (10 studies)</w:t>
            </w:r>
          </w:p>
        </w:tc>
      </w:tr>
      <w:tr w:rsidR="0016222A" w:rsidRPr="0016222A" w14:paraId="683FC992" w14:textId="77777777" w:rsidTr="0016222A">
        <w:tc>
          <w:tcPr>
            <w:cnfStyle w:val="001000000000" w:firstRow="0" w:lastRow="0" w:firstColumn="1" w:lastColumn="0" w:oddVBand="0" w:evenVBand="0" w:oddHBand="0" w:evenHBand="0" w:firstRowFirstColumn="0" w:firstRowLastColumn="0" w:lastRowFirstColumn="0" w:lastRowLastColumn="0"/>
            <w:tcW w:w="2458" w:type="dxa"/>
          </w:tcPr>
          <w:p w14:paraId="7D016867" w14:textId="77777777" w:rsidR="0016222A" w:rsidRPr="0016222A" w:rsidRDefault="0016222A" w:rsidP="0016222A">
            <w:pPr>
              <w:pStyle w:val="Tabletext0"/>
              <w:ind w:left="0"/>
              <w:rPr>
                <w:rFonts w:eastAsia="Calibri"/>
                <w:sz w:val="18"/>
                <w:szCs w:val="22"/>
              </w:rPr>
            </w:pPr>
            <w:r w:rsidRPr="0016222A">
              <w:rPr>
                <w:rFonts w:eastAsia="Calibri"/>
                <w:sz w:val="18"/>
                <w:szCs w:val="22"/>
              </w:rPr>
              <w:t>Cholecystitis</w:t>
            </w:r>
          </w:p>
        </w:tc>
        <w:tc>
          <w:tcPr>
            <w:tcW w:w="1657" w:type="dxa"/>
          </w:tcPr>
          <w:p w14:paraId="3A0F2809" w14:textId="77777777" w:rsidR="0016222A" w:rsidRPr="0016222A" w:rsidRDefault="0016222A" w:rsidP="0016222A">
            <w:pPr>
              <w:pStyle w:val="Tabletext0"/>
              <w:ind w:left="0"/>
              <w:cnfStyle w:val="000000000000" w:firstRow="0" w:lastRow="0" w:firstColumn="0" w:lastColumn="0" w:oddVBand="0" w:evenVBand="0" w:oddHBand="0" w:evenHBand="0" w:firstRowFirstColumn="0" w:firstRowLastColumn="0" w:lastRowFirstColumn="0" w:lastRowLastColumn="0"/>
              <w:rPr>
                <w:rFonts w:eastAsia="Calibri"/>
                <w:sz w:val="18"/>
                <w:szCs w:val="22"/>
              </w:rPr>
            </w:pPr>
            <w:r w:rsidRPr="0016222A">
              <w:rPr>
                <w:rFonts w:eastAsia="Calibri"/>
                <w:sz w:val="18"/>
                <w:szCs w:val="22"/>
              </w:rPr>
              <w:t>0.5%–5.2%</w:t>
            </w:r>
          </w:p>
        </w:tc>
        <w:tc>
          <w:tcPr>
            <w:tcW w:w="2454" w:type="dxa"/>
          </w:tcPr>
          <w:p w14:paraId="727FBB68" w14:textId="77777777" w:rsidR="0016222A" w:rsidRPr="0016222A" w:rsidRDefault="0016222A" w:rsidP="0016222A">
            <w:pPr>
              <w:pStyle w:val="Tabletext0"/>
              <w:ind w:left="0"/>
              <w:cnfStyle w:val="000000000000" w:firstRow="0" w:lastRow="0" w:firstColumn="0" w:lastColumn="0" w:oddVBand="0" w:evenVBand="0" w:oddHBand="0" w:evenHBand="0" w:firstRowFirstColumn="0" w:firstRowLastColumn="0" w:lastRowFirstColumn="0" w:lastRowLastColumn="0"/>
              <w:rPr>
                <w:rFonts w:eastAsia="Calibri"/>
                <w:sz w:val="18"/>
                <w:szCs w:val="22"/>
              </w:rPr>
            </w:pPr>
            <w:r w:rsidRPr="0016222A">
              <w:rPr>
                <w:rFonts w:eastAsia="Calibri"/>
                <w:sz w:val="18"/>
                <w:szCs w:val="22"/>
              </w:rPr>
              <w:t>NR</w:t>
            </w:r>
          </w:p>
        </w:tc>
        <w:tc>
          <w:tcPr>
            <w:tcW w:w="2447" w:type="dxa"/>
          </w:tcPr>
          <w:p w14:paraId="29457254" w14:textId="77777777" w:rsidR="0016222A" w:rsidRPr="0016222A" w:rsidRDefault="0016222A" w:rsidP="0016222A">
            <w:pPr>
              <w:pStyle w:val="Tabletext0"/>
              <w:ind w:left="0"/>
              <w:cnfStyle w:val="000000000000" w:firstRow="0" w:lastRow="0" w:firstColumn="0" w:lastColumn="0" w:oddVBand="0" w:evenVBand="0" w:oddHBand="0" w:evenHBand="0" w:firstRowFirstColumn="0" w:firstRowLastColumn="0" w:lastRowFirstColumn="0" w:lastRowLastColumn="0"/>
              <w:rPr>
                <w:rFonts w:eastAsia="Calibri"/>
                <w:sz w:val="18"/>
                <w:szCs w:val="22"/>
              </w:rPr>
            </w:pPr>
            <w:r w:rsidRPr="0016222A">
              <w:rPr>
                <w:rFonts w:eastAsia="Calibri"/>
                <w:sz w:val="18"/>
                <w:szCs w:val="22"/>
              </w:rPr>
              <w:t>0% (3 studies)</w:t>
            </w:r>
          </w:p>
        </w:tc>
      </w:tr>
      <w:tr w:rsidR="0016222A" w:rsidRPr="0016222A" w14:paraId="5E79CE19" w14:textId="77777777" w:rsidTr="0016222A">
        <w:tc>
          <w:tcPr>
            <w:cnfStyle w:val="001000000000" w:firstRow="0" w:lastRow="0" w:firstColumn="1" w:lastColumn="0" w:oddVBand="0" w:evenVBand="0" w:oddHBand="0" w:evenHBand="0" w:firstRowFirstColumn="0" w:firstRowLastColumn="0" w:lastRowFirstColumn="0" w:lastRowLastColumn="0"/>
            <w:tcW w:w="2458" w:type="dxa"/>
          </w:tcPr>
          <w:p w14:paraId="7224C3B2" w14:textId="77777777" w:rsidR="0016222A" w:rsidRPr="0016222A" w:rsidRDefault="0016222A" w:rsidP="0016222A">
            <w:pPr>
              <w:pStyle w:val="Tabletext0"/>
              <w:ind w:left="0"/>
              <w:rPr>
                <w:rFonts w:eastAsia="Calibri"/>
                <w:sz w:val="18"/>
                <w:szCs w:val="22"/>
              </w:rPr>
            </w:pPr>
            <w:r w:rsidRPr="0016222A">
              <w:rPr>
                <w:rFonts w:eastAsia="Calibri"/>
                <w:sz w:val="18"/>
                <w:szCs w:val="22"/>
              </w:rPr>
              <w:t>Bleeding</w:t>
            </w:r>
          </w:p>
        </w:tc>
        <w:tc>
          <w:tcPr>
            <w:tcW w:w="1657" w:type="dxa"/>
          </w:tcPr>
          <w:p w14:paraId="077485D1" w14:textId="77777777" w:rsidR="0016222A" w:rsidRPr="0016222A" w:rsidRDefault="0016222A" w:rsidP="0016222A">
            <w:pPr>
              <w:pStyle w:val="Tabletext0"/>
              <w:ind w:left="0"/>
              <w:cnfStyle w:val="000000000000" w:firstRow="0" w:lastRow="0" w:firstColumn="0" w:lastColumn="0" w:oddVBand="0" w:evenVBand="0" w:oddHBand="0" w:evenHBand="0" w:firstRowFirstColumn="0" w:firstRowLastColumn="0" w:lastRowFirstColumn="0" w:lastRowLastColumn="0"/>
              <w:rPr>
                <w:rFonts w:eastAsia="Calibri"/>
                <w:sz w:val="18"/>
                <w:szCs w:val="22"/>
              </w:rPr>
            </w:pPr>
            <w:r w:rsidRPr="0016222A">
              <w:rPr>
                <w:rFonts w:eastAsia="Calibri"/>
                <w:sz w:val="18"/>
                <w:szCs w:val="22"/>
              </w:rPr>
              <w:t>0.3%–9.6%</w:t>
            </w:r>
          </w:p>
        </w:tc>
        <w:tc>
          <w:tcPr>
            <w:tcW w:w="2454" w:type="dxa"/>
          </w:tcPr>
          <w:p w14:paraId="1C3E6A09" w14:textId="77777777" w:rsidR="0016222A" w:rsidRPr="0016222A" w:rsidRDefault="0016222A" w:rsidP="0016222A">
            <w:pPr>
              <w:pStyle w:val="Tabletext0"/>
              <w:ind w:left="0"/>
              <w:cnfStyle w:val="000000000000" w:firstRow="0" w:lastRow="0" w:firstColumn="0" w:lastColumn="0" w:oddVBand="0" w:evenVBand="0" w:oddHBand="0" w:evenHBand="0" w:firstRowFirstColumn="0" w:firstRowLastColumn="0" w:lastRowFirstColumn="0" w:lastRowLastColumn="0"/>
              <w:rPr>
                <w:rFonts w:eastAsia="Calibri"/>
                <w:sz w:val="18"/>
                <w:szCs w:val="22"/>
              </w:rPr>
            </w:pPr>
            <w:r w:rsidRPr="0016222A">
              <w:rPr>
                <w:rFonts w:eastAsia="Calibri"/>
                <w:sz w:val="18"/>
                <w:szCs w:val="22"/>
              </w:rPr>
              <w:t>0%–2.9% (4 studies)</w:t>
            </w:r>
          </w:p>
        </w:tc>
        <w:tc>
          <w:tcPr>
            <w:tcW w:w="2447" w:type="dxa"/>
          </w:tcPr>
          <w:p w14:paraId="21769D35" w14:textId="77777777" w:rsidR="0016222A" w:rsidRPr="0016222A" w:rsidRDefault="0016222A" w:rsidP="0016222A">
            <w:pPr>
              <w:pStyle w:val="Tabletext0"/>
              <w:ind w:left="0"/>
              <w:cnfStyle w:val="000000000000" w:firstRow="0" w:lastRow="0" w:firstColumn="0" w:lastColumn="0" w:oddVBand="0" w:evenVBand="0" w:oddHBand="0" w:evenHBand="0" w:firstRowFirstColumn="0" w:firstRowLastColumn="0" w:lastRowFirstColumn="0" w:lastRowLastColumn="0"/>
              <w:rPr>
                <w:rFonts w:eastAsia="Calibri"/>
                <w:sz w:val="18"/>
                <w:szCs w:val="22"/>
              </w:rPr>
            </w:pPr>
            <w:r w:rsidRPr="0016222A">
              <w:rPr>
                <w:rFonts w:eastAsia="Calibri"/>
                <w:sz w:val="18"/>
                <w:szCs w:val="22"/>
              </w:rPr>
              <w:t>0–3.2% (7 studies)</w:t>
            </w:r>
          </w:p>
        </w:tc>
      </w:tr>
      <w:tr w:rsidR="0016222A" w:rsidRPr="0016222A" w14:paraId="6FB47F01" w14:textId="77777777" w:rsidTr="0016222A">
        <w:tc>
          <w:tcPr>
            <w:cnfStyle w:val="001000000000" w:firstRow="0" w:lastRow="0" w:firstColumn="1" w:lastColumn="0" w:oddVBand="0" w:evenVBand="0" w:oddHBand="0" w:evenHBand="0" w:firstRowFirstColumn="0" w:firstRowLastColumn="0" w:lastRowFirstColumn="0" w:lastRowLastColumn="0"/>
            <w:tcW w:w="2458" w:type="dxa"/>
          </w:tcPr>
          <w:p w14:paraId="01E478BE" w14:textId="77777777" w:rsidR="0016222A" w:rsidRPr="0016222A" w:rsidRDefault="0016222A" w:rsidP="0016222A">
            <w:pPr>
              <w:pStyle w:val="Tabletext0"/>
              <w:ind w:left="0"/>
              <w:rPr>
                <w:rFonts w:eastAsia="Calibri"/>
                <w:sz w:val="18"/>
                <w:szCs w:val="22"/>
              </w:rPr>
            </w:pPr>
            <w:r w:rsidRPr="0016222A">
              <w:rPr>
                <w:rFonts w:eastAsia="Calibri"/>
                <w:sz w:val="18"/>
                <w:szCs w:val="22"/>
              </w:rPr>
              <w:t>Perforation</w:t>
            </w:r>
          </w:p>
        </w:tc>
        <w:tc>
          <w:tcPr>
            <w:tcW w:w="1657" w:type="dxa"/>
          </w:tcPr>
          <w:p w14:paraId="34F8B477" w14:textId="77777777" w:rsidR="0016222A" w:rsidRPr="0016222A" w:rsidRDefault="0016222A" w:rsidP="0016222A">
            <w:pPr>
              <w:pStyle w:val="Tabletext0"/>
              <w:ind w:left="0"/>
              <w:cnfStyle w:val="000000000000" w:firstRow="0" w:lastRow="0" w:firstColumn="0" w:lastColumn="0" w:oddVBand="0" w:evenVBand="0" w:oddHBand="0" w:evenHBand="0" w:firstRowFirstColumn="0" w:firstRowLastColumn="0" w:lastRowFirstColumn="0" w:lastRowLastColumn="0"/>
              <w:rPr>
                <w:rFonts w:eastAsia="Calibri"/>
                <w:sz w:val="18"/>
                <w:szCs w:val="22"/>
              </w:rPr>
            </w:pPr>
            <w:r w:rsidRPr="0016222A">
              <w:rPr>
                <w:rFonts w:eastAsia="Calibri"/>
                <w:sz w:val="18"/>
                <w:szCs w:val="22"/>
              </w:rPr>
              <w:t>0.08%–0.6%</w:t>
            </w:r>
          </w:p>
        </w:tc>
        <w:tc>
          <w:tcPr>
            <w:tcW w:w="2454" w:type="dxa"/>
          </w:tcPr>
          <w:p w14:paraId="44300FDA" w14:textId="77777777" w:rsidR="0016222A" w:rsidRPr="0016222A" w:rsidRDefault="0016222A" w:rsidP="0016222A">
            <w:pPr>
              <w:pStyle w:val="Tabletext0"/>
              <w:ind w:left="0"/>
              <w:cnfStyle w:val="000000000000" w:firstRow="0" w:lastRow="0" w:firstColumn="0" w:lastColumn="0" w:oddVBand="0" w:evenVBand="0" w:oddHBand="0" w:evenHBand="0" w:firstRowFirstColumn="0" w:firstRowLastColumn="0" w:lastRowFirstColumn="0" w:lastRowLastColumn="0"/>
              <w:rPr>
                <w:rFonts w:eastAsia="Calibri"/>
                <w:sz w:val="18"/>
                <w:szCs w:val="22"/>
              </w:rPr>
            </w:pPr>
            <w:r w:rsidRPr="0016222A">
              <w:rPr>
                <w:rFonts w:eastAsia="Calibri"/>
                <w:sz w:val="18"/>
                <w:szCs w:val="22"/>
              </w:rPr>
              <w:t>NR</w:t>
            </w:r>
          </w:p>
        </w:tc>
        <w:tc>
          <w:tcPr>
            <w:tcW w:w="2447" w:type="dxa"/>
          </w:tcPr>
          <w:p w14:paraId="02DCE7C7" w14:textId="77777777" w:rsidR="0016222A" w:rsidRPr="0016222A" w:rsidRDefault="0016222A" w:rsidP="0016222A">
            <w:pPr>
              <w:pStyle w:val="Tabletext0"/>
              <w:ind w:left="0"/>
              <w:cnfStyle w:val="000000000000" w:firstRow="0" w:lastRow="0" w:firstColumn="0" w:lastColumn="0" w:oddVBand="0" w:evenVBand="0" w:oddHBand="0" w:evenHBand="0" w:firstRowFirstColumn="0" w:firstRowLastColumn="0" w:lastRowFirstColumn="0" w:lastRowLastColumn="0"/>
              <w:rPr>
                <w:rFonts w:eastAsia="Calibri"/>
                <w:sz w:val="18"/>
                <w:szCs w:val="22"/>
              </w:rPr>
            </w:pPr>
            <w:r w:rsidRPr="0016222A">
              <w:rPr>
                <w:rFonts w:eastAsia="Calibri"/>
                <w:sz w:val="18"/>
                <w:szCs w:val="22"/>
              </w:rPr>
              <w:t>0.4% (1 study)</w:t>
            </w:r>
          </w:p>
        </w:tc>
      </w:tr>
      <w:tr w:rsidR="0016222A" w:rsidRPr="0016222A" w14:paraId="171B97F4" w14:textId="77777777" w:rsidTr="0016222A">
        <w:tc>
          <w:tcPr>
            <w:cnfStyle w:val="001000000000" w:firstRow="0" w:lastRow="0" w:firstColumn="1" w:lastColumn="0" w:oddVBand="0" w:evenVBand="0" w:oddHBand="0" w:evenHBand="0" w:firstRowFirstColumn="0" w:firstRowLastColumn="0" w:lastRowFirstColumn="0" w:lastRowLastColumn="0"/>
            <w:tcW w:w="2458" w:type="dxa"/>
          </w:tcPr>
          <w:p w14:paraId="7A792EAA" w14:textId="77777777" w:rsidR="0016222A" w:rsidRPr="0016222A" w:rsidRDefault="0016222A" w:rsidP="0016222A">
            <w:pPr>
              <w:pStyle w:val="Tabletext0"/>
              <w:ind w:left="0"/>
              <w:rPr>
                <w:rFonts w:eastAsia="Calibri"/>
                <w:sz w:val="18"/>
                <w:szCs w:val="22"/>
              </w:rPr>
            </w:pPr>
            <w:r w:rsidRPr="0016222A">
              <w:rPr>
                <w:rFonts w:eastAsia="Calibri"/>
                <w:sz w:val="18"/>
                <w:szCs w:val="22"/>
              </w:rPr>
              <w:t>Sedation-related AE’s</w:t>
            </w:r>
          </w:p>
        </w:tc>
        <w:tc>
          <w:tcPr>
            <w:tcW w:w="1657" w:type="dxa"/>
          </w:tcPr>
          <w:p w14:paraId="160036DB" w14:textId="77777777" w:rsidR="0016222A" w:rsidRPr="0016222A" w:rsidRDefault="0016222A" w:rsidP="0016222A">
            <w:pPr>
              <w:pStyle w:val="Tabletext0"/>
              <w:ind w:left="0"/>
              <w:cnfStyle w:val="000000000000" w:firstRow="0" w:lastRow="0" w:firstColumn="0" w:lastColumn="0" w:oddVBand="0" w:evenVBand="0" w:oddHBand="0" w:evenHBand="0" w:firstRowFirstColumn="0" w:firstRowLastColumn="0" w:lastRowFirstColumn="0" w:lastRowLastColumn="0"/>
              <w:rPr>
                <w:rFonts w:eastAsia="Calibri"/>
                <w:sz w:val="18"/>
                <w:szCs w:val="22"/>
              </w:rPr>
            </w:pPr>
            <w:r w:rsidRPr="0016222A">
              <w:rPr>
                <w:rFonts w:eastAsia="Calibri"/>
                <w:sz w:val="18"/>
                <w:szCs w:val="22"/>
              </w:rPr>
              <w:t>24.6%</w:t>
            </w:r>
          </w:p>
        </w:tc>
        <w:tc>
          <w:tcPr>
            <w:tcW w:w="2454" w:type="dxa"/>
          </w:tcPr>
          <w:p w14:paraId="21453638" w14:textId="77777777" w:rsidR="0016222A" w:rsidRPr="0016222A" w:rsidRDefault="0016222A" w:rsidP="0016222A">
            <w:pPr>
              <w:pStyle w:val="Tabletext0"/>
              <w:ind w:left="0"/>
              <w:cnfStyle w:val="000000000000" w:firstRow="0" w:lastRow="0" w:firstColumn="0" w:lastColumn="0" w:oddVBand="0" w:evenVBand="0" w:oddHBand="0" w:evenHBand="0" w:firstRowFirstColumn="0" w:firstRowLastColumn="0" w:lastRowFirstColumn="0" w:lastRowLastColumn="0"/>
              <w:rPr>
                <w:rFonts w:eastAsia="Calibri"/>
                <w:sz w:val="18"/>
                <w:szCs w:val="22"/>
              </w:rPr>
            </w:pPr>
            <w:r w:rsidRPr="0016222A">
              <w:rPr>
                <w:rFonts w:eastAsia="Calibri"/>
                <w:sz w:val="18"/>
                <w:szCs w:val="22"/>
              </w:rPr>
              <w:t>NR</w:t>
            </w:r>
          </w:p>
        </w:tc>
        <w:tc>
          <w:tcPr>
            <w:tcW w:w="2447" w:type="dxa"/>
          </w:tcPr>
          <w:p w14:paraId="773DC0D5" w14:textId="77777777" w:rsidR="0016222A" w:rsidRPr="0016222A" w:rsidRDefault="0016222A" w:rsidP="0016222A">
            <w:pPr>
              <w:pStyle w:val="Tabletext0"/>
              <w:ind w:left="0"/>
              <w:cnfStyle w:val="000000000000" w:firstRow="0" w:lastRow="0" w:firstColumn="0" w:lastColumn="0" w:oddVBand="0" w:evenVBand="0" w:oddHBand="0" w:evenHBand="0" w:firstRowFirstColumn="0" w:firstRowLastColumn="0" w:lastRowFirstColumn="0" w:lastRowLastColumn="0"/>
              <w:rPr>
                <w:rFonts w:eastAsia="Calibri"/>
                <w:sz w:val="18"/>
                <w:szCs w:val="22"/>
              </w:rPr>
            </w:pPr>
            <w:r w:rsidRPr="0016222A">
              <w:rPr>
                <w:rFonts w:eastAsia="Calibri"/>
                <w:sz w:val="18"/>
                <w:szCs w:val="22"/>
              </w:rPr>
              <w:t>NR</w:t>
            </w:r>
          </w:p>
        </w:tc>
      </w:tr>
    </w:tbl>
    <w:p w14:paraId="3DCFBED0" w14:textId="07D2DEFF" w:rsidR="0016222A" w:rsidRDefault="0016222A" w:rsidP="0016222A">
      <w:pPr>
        <w:pStyle w:val="TableFigureFooter"/>
        <w:spacing w:before="0" w:after="0"/>
      </w:pPr>
      <w:r w:rsidRPr="00C5596B">
        <w:t xml:space="preserve">Source: </w:t>
      </w:r>
      <w:r>
        <w:t>Pre-MSAC response</w:t>
      </w:r>
    </w:p>
    <w:p w14:paraId="3FC18087" w14:textId="43434233" w:rsidR="0016222A" w:rsidRDefault="0016222A" w:rsidP="0016222A">
      <w:pPr>
        <w:pStyle w:val="TableFigureFooter"/>
        <w:spacing w:before="0" w:after="0"/>
        <w:rPr>
          <w:bCs/>
        </w:rPr>
      </w:pPr>
      <w:r w:rsidRPr="004C5E25">
        <w:rPr>
          <w:bCs/>
        </w:rPr>
        <w:t>ERCP =endoscopic retrograde cholangiopancreatography; POCPS=peroral cholangiopancreatoscopy</w:t>
      </w:r>
    </w:p>
    <w:p w14:paraId="064F70F4" w14:textId="0884C54C" w:rsidR="0016222A" w:rsidRDefault="0016222A" w:rsidP="0016222A">
      <w:pPr>
        <w:pStyle w:val="TableFigureFooter"/>
        <w:spacing w:before="0" w:after="0"/>
        <w:rPr>
          <w:bCs/>
        </w:rPr>
      </w:pPr>
      <w:r>
        <w:rPr>
          <w:bCs/>
          <w:vertAlign w:val="superscript"/>
        </w:rPr>
        <w:t xml:space="preserve">a </w:t>
      </w:r>
      <w:r w:rsidRPr="0016222A">
        <w:rPr>
          <w:bCs/>
        </w:rPr>
        <w:t>Sourced from ESGE Guideline (Dumonceau et al., 2020)</w:t>
      </w:r>
    </w:p>
    <w:p w14:paraId="4F16136A" w14:textId="1CF39C9B" w:rsidR="0016222A" w:rsidRDefault="0016222A" w:rsidP="0016222A">
      <w:pPr>
        <w:pStyle w:val="TableFigureFooter"/>
        <w:spacing w:before="0" w:after="0"/>
      </w:pPr>
      <w:r>
        <w:rPr>
          <w:bCs/>
          <w:vertAlign w:val="superscript"/>
        </w:rPr>
        <w:t>b</w:t>
      </w:r>
      <w:r>
        <w:rPr>
          <w:bCs/>
        </w:rPr>
        <w:t xml:space="preserve"> </w:t>
      </w:r>
      <w:r w:rsidRPr="0016222A">
        <w:rPr>
          <w:bCs/>
        </w:rPr>
        <w:t>Sourced from all identified indirect non-comparative studies</w:t>
      </w:r>
      <w:r>
        <w:rPr>
          <w:bCs/>
        </w:rPr>
        <w:t xml:space="preserve"> presented in the ADAR (Appendix C supplementary data)</w:t>
      </w:r>
    </w:p>
    <w:p w14:paraId="5B7AADA5" w14:textId="1AB5E918" w:rsidR="00477034" w:rsidRPr="00CE28E3" w:rsidRDefault="00477034" w:rsidP="00477034">
      <w:pPr>
        <w:pStyle w:val="Heading2"/>
      </w:pPr>
      <w:bookmarkStart w:id="64" w:name="_Toc69491424"/>
      <w:r>
        <w:t>1</w:t>
      </w:r>
      <w:r w:rsidR="0015035D">
        <w:t>2</w:t>
      </w:r>
      <w:r>
        <w:t>.</w:t>
      </w:r>
      <w:r>
        <w:tab/>
      </w:r>
      <w:r w:rsidRPr="00CE28E3">
        <w:t>Comparative effectiveness</w:t>
      </w:r>
      <w:bookmarkEnd w:id="64"/>
    </w:p>
    <w:p w14:paraId="0853B677" w14:textId="0E8BB5FF" w:rsidR="00A60D0A" w:rsidRDefault="00A60D0A" w:rsidP="00A60D0A">
      <w:pPr>
        <w:pStyle w:val="Heading3"/>
      </w:pPr>
      <w:r>
        <w:t>Therapeutic application</w:t>
      </w:r>
    </w:p>
    <w:p w14:paraId="2728E45D" w14:textId="223E50B5" w:rsidR="002265CA" w:rsidRDefault="002265CA" w:rsidP="00402B01">
      <w:pPr>
        <w:spacing w:after="240"/>
      </w:pPr>
      <w:bookmarkStart w:id="65" w:name="_Ref81326513"/>
      <w:bookmarkStart w:id="66" w:name="_Toc84313621"/>
      <w:bookmarkStart w:id="67" w:name="_Toc84324766"/>
      <w:bookmarkStart w:id="68" w:name="_Toc84344199"/>
      <w:bookmarkStart w:id="69" w:name="_Toc88760168"/>
      <w:r>
        <w:t>Results of the primary effectiveness outcome, complete stone clearance, are summarised in</w:t>
      </w:r>
      <w:r w:rsidR="007F5A8A">
        <w:t xml:space="preserve"> </w:t>
      </w:r>
      <w:r w:rsidR="007F5A8A">
        <w:fldChar w:fldCharType="begin"/>
      </w:r>
      <w:r w:rsidR="007F5A8A">
        <w:instrText xml:space="preserve"> REF _Ref89093445 \h </w:instrText>
      </w:r>
      <w:r w:rsidR="007F5A8A">
        <w:fldChar w:fldCharType="separate"/>
      </w:r>
      <w:r w:rsidR="00D422BC" w:rsidRPr="007F5A8A">
        <w:t xml:space="preserve">Table </w:t>
      </w:r>
      <w:r w:rsidR="00D422BC">
        <w:rPr>
          <w:noProof/>
        </w:rPr>
        <w:t>12</w:t>
      </w:r>
      <w:r w:rsidR="007F5A8A">
        <w:fldChar w:fldCharType="end"/>
      </w:r>
      <w:r>
        <w:t>.</w:t>
      </w:r>
    </w:p>
    <w:p w14:paraId="0C25BF94" w14:textId="53803BAE" w:rsidR="007F5A8A" w:rsidRPr="007F5A8A" w:rsidRDefault="007F5A8A" w:rsidP="007F5A8A">
      <w:pPr>
        <w:pStyle w:val="Caption"/>
      </w:pPr>
      <w:bookmarkStart w:id="70" w:name="_Ref89093445"/>
      <w:bookmarkEnd w:id="65"/>
      <w:bookmarkEnd w:id="66"/>
      <w:bookmarkEnd w:id="67"/>
      <w:bookmarkEnd w:id="68"/>
      <w:bookmarkEnd w:id="69"/>
      <w:r w:rsidRPr="007F5A8A">
        <w:t xml:space="preserve">Table </w:t>
      </w:r>
      <w:fldSimple w:instr=" SEQ Table \* ARABIC ">
        <w:r w:rsidR="00D422BC">
          <w:rPr>
            <w:noProof/>
          </w:rPr>
          <w:t>12</w:t>
        </w:r>
      </w:fldSimple>
      <w:bookmarkEnd w:id="70"/>
      <w:r w:rsidRPr="007F5A8A">
        <w:tab/>
        <w:t xml:space="preserve">Complete stone clearance with POCPS-LL </w:t>
      </w:r>
    </w:p>
    <w:tbl>
      <w:tblPr>
        <w:tblStyle w:val="TableGrid1"/>
        <w:tblW w:w="9110" w:type="dxa"/>
        <w:tblLook w:val="04A0" w:firstRow="1" w:lastRow="0" w:firstColumn="1" w:lastColumn="0" w:noHBand="0" w:noVBand="1"/>
        <w:tblCaption w:val="Balance of clinical benefits and harms of opportunistic genetic carrier testing for CF relative to no opportunistic genetic carrier testing, and as measured by the critical patient-relevant outcomes in the key studies "/>
        <w:tblDescription w:val="Summary of findings table - Balance of clinical benefits and harms of opportunistic genetic carrier testing for CF relative to no opportunistic genetic carrier testing, and as measured by the critical patient-relevant outcomes in the key studies "/>
      </w:tblPr>
      <w:tblGrid>
        <w:gridCol w:w="1292"/>
        <w:gridCol w:w="1680"/>
        <w:gridCol w:w="1275"/>
        <w:gridCol w:w="1146"/>
        <w:gridCol w:w="1412"/>
        <w:gridCol w:w="1271"/>
        <w:gridCol w:w="1034"/>
      </w:tblGrid>
      <w:tr w:rsidR="007F5A8A" w:rsidRPr="003E2BA9" w14:paraId="53FFE2F5" w14:textId="77777777" w:rsidTr="00414F66">
        <w:trPr>
          <w:cnfStyle w:val="100000000000" w:firstRow="1" w:lastRow="0" w:firstColumn="0" w:lastColumn="0" w:oddVBand="0" w:evenVBand="0" w:oddHBand="0" w:evenHBand="0" w:firstRowFirstColumn="0" w:firstRowLastColumn="0" w:lastRowFirstColumn="0" w:lastRowLastColumn="0"/>
          <w:cantSplit/>
          <w:trHeight w:val="855"/>
          <w:tblHeader/>
        </w:trPr>
        <w:tc>
          <w:tcPr>
            <w:tcW w:w="1292" w:type="dxa"/>
            <w:tcBorders>
              <w:top w:val="single" w:sz="4" w:space="0" w:color="auto"/>
              <w:left w:val="single" w:sz="4" w:space="0" w:color="auto"/>
              <w:bottom w:val="single" w:sz="4" w:space="0" w:color="auto"/>
              <w:right w:val="single" w:sz="4" w:space="0" w:color="auto"/>
            </w:tcBorders>
          </w:tcPr>
          <w:p w14:paraId="1F334C90" w14:textId="77777777" w:rsidR="007F5A8A" w:rsidRPr="00AB219C" w:rsidRDefault="007F5A8A" w:rsidP="00414F66">
            <w:pPr>
              <w:pStyle w:val="TableHeading"/>
              <w:spacing w:line="256" w:lineRule="auto"/>
              <w:rPr>
                <w:b w:val="0"/>
                <w:bCs/>
              </w:rPr>
            </w:pPr>
            <w:r w:rsidRPr="00AB219C">
              <w:t>Comparison</w:t>
            </w:r>
          </w:p>
        </w:tc>
        <w:tc>
          <w:tcPr>
            <w:tcW w:w="1680" w:type="dxa"/>
            <w:tcBorders>
              <w:top w:val="single" w:sz="4" w:space="0" w:color="auto"/>
              <w:left w:val="single" w:sz="4" w:space="0" w:color="auto"/>
              <w:bottom w:val="single" w:sz="4" w:space="0" w:color="auto"/>
              <w:right w:val="single" w:sz="4" w:space="0" w:color="auto"/>
            </w:tcBorders>
          </w:tcPr>
          <w:p w14:paraId="0E0CE1D8" w14:textId="77777777" w:rsidR="007F5A8A" w:rsidRPr="00AB219C" w:rsidRDefault="007F5A8A" w:rsidP="00414F66">
            <w:pPr>
              <w:pStyle w:val="TableHeading"/>
              <w:spacing w:line="256" w:lineRule="auto"/>
            </w:pPr>
            <w:r w:rsidRPr="00AB219C">
              <w:t>Number of studies (k), study design; patients (n)</w:t>
            </w:r>
          </w:p>
        </w:tc>
        <w:tc>
          <w:tcPr>
            <w:tcW w:w="1275" w:type="dxa"/>
            <w:tcBorders>
              <w:top w:val="single" w:sz="4" w:space="0" w:color="auto"/>
              <w:left w:val="single" w:sz="4" w:space="0" w:color="auto"/>
              <w:bottom w:val="single" w:sz="4" w:space="0" w:color="auto"/>
              <w:right w:val="single" w:sz="4" w:space="0" w:color="auto"/>
            </w:tcBorders>
          </w:tcPr>
          <w:p w14:paraId="1F40D16B" w14:textId="77777777" w:rsidR="007F5A8A" w:rsidRPr="00AB219C" w:rsidRDefault="007F5A8A" w:rsidP="00414F66">
            <w:pPr>
              <w:pStyle w:val="TableHeading"/>
              <w:spacing w:line="256" w:lineRule="auto"/>
            </w:pPr>
            <w:r w:rsidRPr="00AB219C">
              <w:t>Intervention absolute effect</w:t>
            </w:r>
          </w:p>
        </w:tc>
        <w:tc>
          <w:tcPr>
            <w:tcW w:w="1146" w:type="dxa"/>
            <w:tcBorders>
              <w:top w:val="single" w:sz="4" w:space="0" w:color="auto"/>
              <w:left w:val="single" w:sz="4" w:space="0" w:color="auto"/>
              <w:bottom w:val="single" w:sz="4" w:space="0" w:color="auto"/>
              <w:right w:val="single" w:sz="4" w:space="0" w:color="auto"/>
            </w:tcBorders>
          </w:tcPr>
          <w:p w14:paraId="14AEC752" w14:textId="77777777" w:rsidR="007F5A8A" w:rsidRPr="00AB219C" w:rsidRDefault="007F5A8A" w:rsidP="00414F66">
            <w:pPr>
              <w:pStyle w:val="TableHeading"/>
              <w:spacing w:line="256" w:lineRule="auto"/>
            </w:pPr>
            <w:r w:rsidRPr="00AB219C">
              <w:t>Comparator absolute effect</w:t>
            </w:r>
          </w:p>
        </w:tc>
        <w:tc>
          <w:tcPr>
            <w:tcW w:w="1412" w:type="dxa"/>
            <w:tcBorders>
              <w:top w:val="single" w:sz="4" w:space="0" w:color="auto"/>
              <w:left w:val="single" w:sz="4" w:space="0" w:color="auto"/>
              <w:bottom w:val="single" w:sz="4" w:space="0" w:color="auto"/>
              <w:right w:val="single" w:sz="4" w:space="0" w:color="auto"/>
            </w:tcBorders>
            <w:hideMark/>
          </w:tcPr>
          <w:p w14:paraId="10215947" w14:textId="77777777" w:rsidR="007F5A8A" w:rsidRPr="00AB219C" w:rsidRDefault="007F5A8A" w:rsidP="00414F66">
            <w:pPr>
              <w:pStyle w:val="TableHeading"/>
              <w:spacing w:line="256" w:lineRule="auto"/>
            </w:pPr>
            <w:r w:rsidRPr="00AB219C">
              <w:t>Absolute difference (RD) [95% CI]</w:t>
            </w:r>
          </w:p>
        </w:tc>
        <w:tc>
          <w:tcPr>
            <w:tcW w:w="1271" w:type="dxa"/>
            <w:tcBorders>
              <w:top w:val="single" w:sz="4" w:space="0" w:color="auto"/>
              <w:left w:val="single" w:sz="4" w:space="0" w:color="auto"/>
              <w:bottom w:val="single" w:sz="4" w:space="0" w:color="auto"/>
              <w:right w:val="single" w:sz="4" w:space="0" w:color="auto"/>
            </w:tcBorders>
          </w:tcPr>
          <w:p w14:paraId="6A6AAD04" w14:textId="77777777" w:rsidR="007F5A8A" w:rsidRPr="00AB219C" w:rsidRDefault="007F5A8A" w:rsidP="00414F66">
            <w:pPr>
              <w:pStyle w:val="TableHeading"/>
              <w:spacing w:line="256" w:lineRule="auto"/>
            </w:pPr>
            <w:r w:rsidRPr="00AB219C">
              <w:t>Relative effect (RR) [95% CI]</w:t>
            </w:r>
          </w:p>
        </w:tc>
        <w:tc>
          <w:tcPr>
            <w:tcW w:w="1034" w:type="dxa"/>
            <w:tcBorders>
              <w:top w:val="single" w:sz="4" w:space="0" w:color="auto"/>
              <w:left w:val="single" w:sz="4" w:space="0" w:color="auto"/>
              <w:bottom w:val="single" w:sz="4" w:space="0" w:color="auto"/>
              <w:right w:val="single" w:sz="4" w:space="0" w:color="auto"/>
            </w:tcBorders>
          </w:tcPr>
          <w:p w14:paraId="197C6373" w14:textId="77777777" w:rsidR="007F5A8A" w:rsidRPr="00AB219C" w:rsidRDefault="007F5A8A" w:rsidP="00414F66">
            <w:pPr>
              <w:pStyle w:val="TableHeading"/>
              <w:spacing w:line="256" w:lineRule="auto"/>
            </w:pPr>
            <w:r w:rsidRPr="00AB219C">
              <w:t>Quality of evidence (GRADE)</w:t>
            </w:r>
            <w:r w:rsidRPr="00AB219C">
              <w:rPr>
                <w:vertAlign w:val="superscript"/>
              </w:rPr>
              <w:t xml:space="preserve"> a</w:t>
            </w:r>
          </w:p>
        </w:tc>
      </w:tr>
      <w:tr w:rsidR="007F5A8A" w:rsidRPr="003E2BA9" w14:paraId="078C3580" w14:textId="77777777" w:rsidTr="00414F66">
        <w:trPr>
          <w:cantSplit/>
        </w:trPr>
        <w:tc>
          <w:tcPr>
            <w:tcW w:w="1292" w:type="dxa"/>
            <w:tcBorders>
              <w:top w:val="single" w:sz="4" w:space="0" w:color="auto"/>
              <w:left w:val="single" w:sz="4" w:space="0" w:color="auto"/>
              <w:bottom w:val="single" w:sz="4" w:space="0" w:color="auto"/>
              <w:right w:val="single" w:sz="4" w:space="0" w:color="auto"/>
            </w:tcBorders>
          </w:tcPr>
          <w:p w14:paraId="1AB2A2FA" w14:textId="77777777" w:rsidR="007F5A8A" w:rsidRPr="00AB219C" w:rsidRDefault="007F5A8A" w:rsidP="00414F66">
            <w:pPr>
              <w:pStyle w:val="Tabletext0"/>
              <w:spacing w:line="256" w:lineRule="auto"/>
              <w:jc w:val="left"/>
              <w:rPr>
                <w:sz w:val="18"/>
                <w:szCs w:val="18"/>
                <w:lang w:eastAsia="en-US"/>
              </w:rPr>
            </w:pPr>
            <w:r w:rsidRPr="00AB219C">
              <w:rPr>
                <w:sz w:val="18"/>
                <w:szCs w:val="18"/>
                <w:lang w:eastAsia="en-US"/>
              </w:rPr>
              <w:t>POCPS</w:t>
            </w:r>
            <w:r w:rsidRPr="00AB219C">
              <w:rPr>
                <w:sz w:val="18"/>
                <w:szCs w:val="18"/>
                <w:lang w:eastAsia="en-US"/>
              </w:rPr>
              <w:noBreakHyphen/>
              <w:t>LL vs ERCP</w:t>
            </w:r>
            <w:r w:rsidRPr="00AB219C">
              <w:rPr>
                <w:sz w:val="18"/>
                <w:szCs w:val="18"/>
                <w:lang w:eastAsia="en-US"/>
              </w:rPr>
              <w:noBreakHyphen/>
              <w:t>ML</w:t>
            </w:r>
          </w:p>
        </w:tc>
        <w:tc>
          <w:tcPr>
            <w:tcW w:w="1680" w:type="dxa"/>
            <w:tcBorders>
              <w:top w:val="single" w:sz="4" w:space="0" w:color="auto"/>
              <w:left w:val="single" w:sz="4" w:space="0" w:color="auto"/>
              <w:bottom w:val="single" w:sz="4" w:space="0" w:color="auto"/>
              <w:right w:val="single" w:sz="4" w:space="0" w:color="auto"/>
            </w:tcBorders>
          </w:tcPr>
          <w:p w14:paraId="52231FB8" w14:textId="77777777" w:rsidR="007F5A8A" w:rsidRPr="00AB219C" w:rsidRDefault="007F5A8A" w:rsidP="00414F66">
            <w:pPr>
              <w:pStyle w:val="Tabletext0"/>
              <w:spacing w:line="256" w:lineRule="auto"/>
              <w:jc w:val="left"/>
              <w:rPr>
                <w:sz w:val="18"/>
                <w:szCs w:val="18"/>
                <w:lang w:eastAsia="en-US"/>
              </w:rPr>
            </w:pPr>
            <w:r w:rsidRPr="00AB219C">
              <w:rPr>
                <w:sz w:val="18"/>
                <w:szCs w:val="18"/>
                <w:lang w:eastAsia="en-US"/>
              </w:rPr>
              <w:t>k=1 RCT</w:t>
            </w:r>
          </w:p>
          <w:p w14:paraId="2884B9F3" w14:textId="77777777" w:rsidR="007F5A8A" w:rsidRPr="00AB219C" w:rsidRDefault="007F5A8A" w:rsidP="00414F66">
            <w:pPr>
              <w:pStyle w:val="Tabletext0"/>
              <w:spacing w:line="256" w:lineRule="auto"/>
              <w:jc w:val="left"/>
              <w:rPr>
                <w:sz w:val="18"/>
                <w:szCs w:val="18"/>
                <w:lang w:eastAsia="en-US"/>
              </w:rPr>
            </w:pPr>
            <w:r w:rsidRPr="00AB219C">
              <w:rPr>
                <w:sz w:val="18"/>
                <w:szCs w:val="18"/>
                <w:lang w:eastAsia="en-US"/>
              </w:rPr>
              <w:t>n=32</w:t>
            </w:r>
          </w:p>
        </w:tc>
        <w:tc>
          <w:tcPr>
            <w:tcW w:w="1275" w:type="dxa"/>
            <w:tcBorders>
              <w:top w:val="single" w:sz="4" w:space="0" w:color="auto"/>
              <w:left w:val="single" w:sz="4" w:space="0" w:color="auto"/>
              <w:bottom w:val="single" w:sz="4" w:space="0" w:color="auto"/>
              <w:right w:val="single" w:sz="4" w:space="0" w:color="auto"/>
            </w:tcBorders>
          </w:tcPr>
          <w:p w14:paraId="06DE6C88" w14:textId="77777777" w:rsidR="007F5A8A" w:rsidRPr="00AB219C" w:rsidRDefault="007F5A8A" w:rsidP="00414F66">
            <w:pPr>
              <w:pStyle w:val="Tabletext0"/>
              <w:spacing w:line="256" w:lineRule="auto"/>
              <w:jc w:val="left"/>
              <w:rPr>
                <w:sz w:val="18"/>
                <w:szCs w:val="18"/>
                <w:lang w:eastAsia="en-US"/>
              </w:rPr>
            </w:pPr>
            <w:r w:rsidRPr="00AB219C">
              <w:rPr>
                <w:sz w:val="18"/>
                <w:szCs w:val="18"/>
                <w:lang w:eastAsia="en-US"/>
              </w:rPr>
              <w:t>16/16 (100%)</w:t>
            </w:r>
          </w:p>
        </w:tc>
        <w:tc>
          <w:tcPr>
            <w:tcW w:w="1146" w:type="dxa"/>
            <w:tcBorders>
              <w:top w:val="single" w:sz="4" w:space="0" w:color="auto"/>
              <w:left w:val="single" w:sz="4" w:space="0" w:color="auto"/>
              <w:bottom w:val="single" w:sz="4" w:space="0" w:color="auto"/>
              <w:right w:val="single" w:sz="4" w:space="0" w:color="auto"/>
            </w:tcBorders>
          </w:tcPr>
          <w:p w14:paraId="1DF65B4D" w14:textId="77777777" w:rsidR="007F5A8A" w:rsidRPr="00AB219C" w:rsidRDefault="007F5A8A" w:rsidP="00414F66">
            <w:pPr>
              <w:pStyle w:val="Tabletext0"/>
              <w:spacing w:line="256" w:lineRule="auto"/>
              <w:jc w:val="left"/>
              <w:rPr>
                <w:sz w:val="18"/>
                <w:szCs w:val="18"/>
                <w:lang w:eastAsia="en-US"/>
              </w:rPr>
            </w:pPr>
            <w:r w:rsidRPr="00AB219C">
              <w:rPr>
                <w:sz w:val="18"/>
                <w:szCs w:val="18"/>
                <w:lang w:eastAsia="en-US"/>
              </w:rPr>
              <w:t>10/16 (62.5%)</w:t>
            </w:r>
          </w:p>
        </w:tc>
        <w:tc>
          <w:tcPr>
            <w:tcW w:w="1412" w:type="dxa"/>
            <w:tcBorders>
              <w:top w:val="single" w:sz="4" w:space="0" w:color="auto"/>
              <w:left w:val="single" w:sz="4" w:space="0" w:color="auto"/>
              <w:bottom w:val="single" w:sz="4" w:space="0" w:color="auto"/>
              <w:right w:val="single" w:sz="4" w:space="0" w:color="auto"/>
            </w:tcBorders>
          </w:tcPr>
          <w:p w14:paraId="0F194DCD" w14:textId="77777777" w:rsidR="007F5A8A" w:rsidRPr="00AB219C" w:rsidRDefault="007F5A8A" w:rsidP="00414F66">
            <w:pPr>
              <w:pStyle w:val="Tabletext0"/>
              <w:spacing w:line="256" w:lineRule="auto"/>
              <w:jc w:val="left"/>
              <w:rPr>
                <w:sz w:val="18"/>
                <w:szCs w:val="18"/>
                <w:lang w:eastAsia="en-US"/>
              </w:rPr>
            </w:pPr>
            <w:r w:rsidRPr="00AB219C">
              <w:rPr>
                <w:sz w:val="18"/>
                <w:szCs w:val="18"/>
                <w:lang w:eastAsia="en-US"/>
              </w:rPr>
              <w:t>0.38 (0.13, 0.62)</w:t>
            </w:r>
          </w:p>
        </w:tc>
        <w:tc>
          <w:tcPr>
            <w:tcW w:w="1271" w:type="dxa"/>
            <w:tcBorders>
              <w:top w:val="single" w:sz="4" w:space="0" w:color="auto"/>
              <w:left w:val="single" w:sz="4" w:space="0" w:color="auto"/>
              <w:bottom w:val="single" w:sz="4" w:space="0" w:color="auto"/>
              <w:right w:val="single" w:sz="4" w:space="0" w:color="auto"/>
            </w:tcBorders>
          </w:tcPr>
          <w:p w14:paraId="58CA671F" w14:textId="77777777" w:rsidR="007F5A8A" w:rsidRPr="00AB219C" w:rsidRDefault="007F5A8A" w:rsidP="00414F66">
            <w:pPr>
              <w:pStyle w:val="Tabletext0"/>
              <w:spacing w:line="256" w:lineRule="auto"/>
              <w:jc w:val="left"/>
              <w:rPr>
                <w:rFonts w:ascii="Cambria Math" w:hAnsi="Cambria Math" w:cs="Cambria Math"/>
                <w:color w:val="00B050"/>
                <w:sz w:val="18"/>
                <w:szCs w:val="18"/>
                <w:lang w:eastAsia="en-US"/>
              </w:rPr>
            </w:pPr>
            <w:r w:rsidRPr="00AB219C">
              <w:rPr>
                <w:sz w:val="18"/>
                <w:szCs w:val="18"/>
                <w:lang w:eastAsia="en-US"/>
              </w:rPr>
              <w:t>1.57 (1.07-2.30)</w:t>
            </w:r>
          </w:p>
        </w:tc>
        <w:tc>
          <w:tcPr>
            <w:tcW w:w="1034" w:type="dxa"/>
            <w:tcBorders>
              <w:top w:val="single" w:sz="4" w:space="0" w:color="auto"/>
              <w:left w:val="single" w:sz="4" w:space="0" w:color="auto"/>
              <w:bottom w:val="single" w:sz="4" w:space="0" w:color="auto"/>
              <w:right w:val="single" w:sz="4" w:space="0" w:color="auto"/>
            </w:tcBorders>
          </w:tcPr>
          <w:p w14:paraId="67E2EC32" w14:textId="77777777" w:rsidR="007F5A8A" w:rsidRPr="007F5A8A" w:rsidRDefault="007F5A8A" w:rsidP="00414F66">
            <w:pPr>
              <w:pStyle w:val="Tabletext0"/>
              <w:spacing w:line="256" w:lineRule="auto"/>
              <w:jc w:val="left"/>
              <w:rPr>
                <w:sz w:val="18"/>
                <w:szCs w:val="18"/>
                <w:lang w:eastAsia="en-US"/>
              </w:rPr>
            </w:pPr>
            <w:r w:rsidRPr="007F5A8A">
              <w:rPr>
                <w:rFonts w:ascii="Cambria Math" w:hAnsi="Cambria Math" w:cs="Cambria Math"/>
                <w:color w:val="00B050"/>
                <w:sz w:val="18"/>
                <w:szCs w:val="18"/>
                <w:lang w:eastAsia="en-US"/>
              </w:rPr>
              <w:t>⨁⨁</w:t>
            </w:r>
            <w:r w:rsidRPr="007F5A8A">
              <w:rPr>
                <w:rFonts w:ascii="Cambria Math" w:hAnsi="Cambria Math" w:cs="Cambria Math"/>
                <w:color w:val="C00000"/>
                <w:sz w:val="18"/>
                <w:szCs w:val="18"/>
                <w:lang w:eastAsia="en-US"/>
              </w:rPr>
              <w:t>⨀⨀</w:t>
            </w:r>
            <w:r w:rsidRPr="007F5A8A">
              <w:rPr>
                <w:rFonts w:cs="Cambria Math"/>
                <w:color w:val="C00000"/>
                <w:sz w:val="18"/>
                <w:szCs w:val="18"/>
                <w:lang w:eastAsia="en-US"/>
              </w:rPr>
              <w:t xml:space="preserve"> </w:t>
            </w:r>
            <w:r w:rsidRPr="007F5A8A">
              <w:rPr>
                <w:rFonts w:cs="Cambria Math"/>
                <w:sz w:val="18"/>
                <w:szCs w:val="18"/>
                <w:vertAlign w:val="superscript"/>
                <w:lang w:eastAsia="en-US"/>
              </w:rPr>
              <w:t>b</w:t>
            </w:r>
          </w:p>
        </w:tc>
      </w:tr>
      <w:tr w:rsidR="007F5A8A" w:rsidRPr="003E2BA9" w14:paraId="3BF9B9D3" w14:textId="77777777" w:rsidTr="00414F66">
        <w:trPr>
          <w:cantSplit/>
        </w:trPr>
        <w:tc>
          <w:tcPr>
            <w:tcW w:w="1292" w:type="dxa"/>
            <w:tcBorders>
              <w:top w:val="single" w:sz="4" w:space="0" w:color="auto"/>
              <w:left w:val="single" w:sz="4" w:space="0" w:color="auto"/>
              <w:bottom w:val="single" w:sz="4" w:space="0" w:color="auto"/>
              <w:right w:val="single" w:sz="4" w:space="0" w:color="auto"/>
            </w:tcBorders>
          </w:tcPr>
          <w:p w14:paraId="28ED223A" w14:textId="77777777" w:rsidR="007F5A8A" w:rsidRPr="00AB219C" w:rsidRDefault="007F5A8A" w:rsidP="00414F66">
            <w:pPr>
              <w:pStyle w:val="Tabletext0"/>
              <w:spacing w:line="256" w:lineRule="auto"/>
              <w:jc w:val="left"/>
              <w:rPr>
                <w:sz w:val="18"/>
                <w:szCs w:val="18"/>
                <w:lang w:eastAsia="en-US"/>
              </w:rPr>
            </w:pPr>
            <w:r w:rsidRPr="00AB219C">
              <w:rPr>
                <w:sz w:val="18"/>
                <w:szCs w:val="18"/>
                <w:lang w:eastAsia="en-US"/>
              </w:rPr>
              <w:t>POCPS</w:t>
            </w:r>
            <w:r w:rsidRPr="00AB219C">
              <w:rPr>
                <w:sz w:val="18"/>
                <w:szCs w:val="18"/>
                <w:lang w:eastAsia="en-US"/>
              </w:rPr>
              <w:noBreakHyphen/>
              <w:t>LL vs laparoscopic choledochotomy</w:t>
            </w:r>
          </w:p>
        </w:tc>
        <w:tc>
          <w:tcPr>
            <w:tcW w:w="1680" w:type="dxa"/>
            <w:tcBorders>
              <w:top w:val="single" w:sz="4" w:space="0" w:color="auto"/>
              <w:left w:val="single" w:sz="4" w:space="0" w:color="auto"/>
              <w:bottom w:val="single" w:sz="4" w:space="0" w:color="auto"/>
              <w:right w:val="single" w:sz="4" w:space="0" w:color="auto"/>
            </w:tcBorders>
          </w:tcPr>
          <w:p w14:paraId="2C46E3C9" w14:textId="77777777" w:rsidR="007F5A8A" w:rsidRPr="00AB219C" w:rsidRDefault="007F5A8A" w:rsidP="00414F66">
            <w:pPr>
              <w:pStyle w:val="Tabletext0"/>
              <w:spacing w:line="256" w:lineRule="auto"/>
              <w:jc w:val="left"/>
              <w:rPr>
                <w:sz w:val="18"/>
                <w:szCs w:val="18"/>
                <w:lang w:eastAsia="en-US"/>
              </w:rPr>
            </w:pPr>
            <w:r w:rsidRPr="00AB219C">
              <w:rPr>
                <w:sz w:val="18"/>
                <w:szCs w:val="18"/>
                <w:lang w:eastAsia="en-US"/>
              </w:rPr>
              <w:t>k=1 RCT</w:t>
            </w:r>
          </w:p>
          <w:p w14:paraId="369D7242" w14:textId="77777777" w:rsidR="007F5A8A" w:rsidRPr="00AB219C" w:rsidRDefault="007F5A8A" w:rsidP="00414F66">
            <w:pPr>
              <w:pStyle w:val="Tabletext0"/>
              <w:spacing w:line="256" w:lineRule="auto"/>
              <w:jc w:val="left"/>
              <w:rPr>
                <w:sz w:val="18"/>
                <w:szCs w:val="18"/>
                <w:lang w:eastAsia="en-US"/>
              </w:rPr>
            </w:pPr>
            <w:r w:rsidRPr="00AB219C">
              <w:rPr>
                <w:sz w:val="18"/>
                <w:szCs w:val="18"/>
                <w:lang w:eastAsia="en-US"/>
              </w:rPr>
              <w:t>n=157</w:t>
            </w:r>
          </w:p>
        </w:tc>
        <w:tc>
          <w:tcPr>
            <w:tcW w:w="1275" w:type="dxa"/>
            <w:tcBorders>
              <w:top w:val="single" w:sz="4" w:space="0" w:color="auto"/>
              <w:left w:val="single" w:sz="4" w:space="0" w:color="auto"/>
              <w:bottom w:val="single" w:sz="4" w:space="0" w:color="auto"/>
              <w:right w:val="single" w:sz="4" w:space="0" w:color="auto"/>
            </w:tcBorders>
          </w:tcPr>
          <w:p w14:paraId="51351874" w14:textId="77777777" w:rsidR="007F5A8A" w:rsidRPr="00AB219C" w:rsidRDefault="007F5A8A" w:rsidP="00414F66">
            <w:pPr>
              <w:pStyle w:val="Tabletext0"/>
              <w:spacing w:line="256" w:lineRule="auto"/>
              <w:jc w:val="left"/>
              <w:rPr>
                <w:sz w:val="18"/>
                <w:szCs w:val="18"/>
                <w:lang w:eastAsia="en-US"/>
              </w:rPr>
            </w:pPr>
            <w:r w:rsidRPr="00AB219C">
              <w:rPr>
                <w:sz w:val="18"/>
                <w:szCs w:val="18"/>
                <w:lang w:eastAsia="en-US"/>
              </w:rPr>
              <w:t>72/78 (92.3%)</w:t>
            </w:r>
          </w:p>
        </w:tc>
        <w:tc>
          <w:tcPr>
            <w:tcW w:w="1146" w:type="dxa"/>
            <w:tcBorders>
              <w:top w:val="single" w:sz="4" w:space="0" w:color="auto"/>
              <w:left w:val="single" w:sz="4" w:space="0" w:color="auto"/>
              <w:bottom w:val="single" w:sz="4" w:space="0" w:color="auto"/>
              <w:right w:val="single" w:sz="4" w:space="0" w:color="auto"/>
            </w:tcBorders>
          </w:tcPr>
          <w:p w14:paraId="7CF8091B" w14:textId="77777777" w:rsidR="007F5A8A" w:rsidRPr="00AB219C" w:rsidRDefault="007F5A8A" w:rsidP="00414F66">
            <w:pPr>
              <w:pStyle w:val="Tabletext0"/>
              <w:spacing w:line="256" w:lineRule="auto"/>
              <w:jc w:val="left"/>
              <w:rPr>
                <w:sz w:val="18"/>
                <w:szCs w:val="18"/>
                <w:lang w:eastAsia="en-US"/>
              </w:rPr>
            </w:pPr>
            <w:r w:rsidRPr="00AB219C">
              <w:rPr>
                <w:sz w:val="18"/>
                <w:szCs w:val="18"/>
                <w:lang w:eastAsia="en-US"/>
              </w:rPr>
              <w:t>76/79 (96.2%)</w:t>
            </w:r>
          </w:p>
        </w:tc>
        <w:tc>
          <w:tcPr>
            <w:tcW w:w="1412" w:type="dxa"/>
            <w:tcBorders>
              <w:top w:val="single" w:sz="4" w:space="0" w:color="auto"/>
              <w:left w:val="single" w:sz="4" w:space="0" w:color="auto"/>
              <w:bottom w:val="single" w:sz="4" w:space="0" w:color="auto"/>
              <w:right w:val="single" w:sz="4" w:space="0" w:color="auto"/>
            </w:tcBorders>
          </w:tcPr>
          <w:p w14:paraId="52825162" w14:textId="77777777" w:rsidR="007F5A8A" w:rsidRPr="00AB219C" w:rsidRDefault="007F5A8A" w:rsidP="00414F66">
            <w:pPr>
              <w:pStyle w:val="Tabletext0"/>
              <w:spacing w:line="256" w:lineRule="auto"/>
              <w:jc w:val="left"/>
              <w:rPr>
                <w:sz w:val="18"/>
                <w:szCs w:val="18"/>
                <w:lang w:eastAsia="en-US"/>
              </w:rPr>
            </w:pPr>
            <w:r w:rsidRPr="00AB219C">
              <w:rPr>
                <w:sz w:val="18"/>
                <w:szCs w:val="18"/>
                <w:lang w:eastAsia="en-US"/>
              </w:rPr>
              <w:t>-0.04 (-0.11, 0.03)</w:t>
            </w:r>
          </w:p>
        </w:tc>
        <w:tc>
          <w:tcPr>
            <w:tcW w:w="1271" w:type="dxa"/>
            <w:tcBorders>
              <w:top w:val="single" w:sz="4" w:space="0" w:color="auto"/>
              <w:left w:val="single" w:sz="4" w:space="0" w:color="auto"/>
              <w:bottom w:val="single" w:sz="4" w:space="0" w:color="auto"/>
              <w:right w:val="single" w:sz="4" w:space="0" w:color="auto"/>
            </w:tcBorders>
          </w:tcPr>
          <w:p w14:paraId="6C79111D" w14:textId="77777777" w:rsidR="007F5A8A" w:rsidRPr="00AB219C" w:rsidRDefault="007F5A8A" w:rsidP="00414F66">
            <w:pPr>
              <w:pStyle w:val="Tabletext0"/>
              <w:spacing w:line="256" w:lineRule="auto"/>
              <w:jc w:val="left"/>
              <w:rPr>
                <w:sz w:val="18"/>
                <w:szCs w:val="18"/>
                <w:lang w:eastAsia="en-US"/>
              </w:rPr>
            </w:pPr>
            <w:r w:rsidRPr="00AB219C">
              <w:rPr>
                <w:sz w:val="18"/>
                <w:szCs w:val="18"/>
                <w:lang w:eastAsia="en-US"/>
              </w:rPr>
              <w:t>0.96 (0.89-1.04)</w:t>
            </w:r>
          </w:p>
        </w:tc>
        <w:tc>
          <w:tcPr>
            <w:tcW w:w="1034" w:type="dxa"/>
            <w:tcBorders>
              <w:top w:val="single" w:sz="4" w:space="0" w:color="auto"/>
              <w:left w:val="single" w:sz="4" w:space="0" w:color="auto"/>
              <w:bottom w:val="single" w:sz="4" w:space="0" w:color="auto"/>
              <w:right w:val="single" w:sz="4" w:space="0" w:color="auto"/>
            </w:tcBorders>
          </w:tcPr>
          <w:p w14:paraId="7B9270AE" w14:textId="77777777" w:rsidR="007F5A8A" w:rsidRPr="007F5A8A" w:rsidRDefault="007F5A8A" w:rsidP="00414F66">
            <w:pPr>
              <w:pStyle w:val="Tabletext0"/>
              <w:spacing w:line="256" w:lineRule="auto"/>
              <w:jc w:val="left"/>
              <w:rPr>
                <w:rFonts w:cs="Cambria Math"/>
                <w:color w:val="00B050"/>
                <w:sz w:val="18"/>
                <w:szCs w:val="18"/>
                <w:vertAlign w:val="superscript"/>
                <w:lang w:eastAsia="en-US"/>
              </w:rPr>
            </w:pPr>
            <w:r w:rsidRPr="007F5A8A">
              <w:rPr>
                <w:rFonts w:ascii="Cambria Math" w:hAnsi="Cambria Math" w:cs="Cambria Math"/>
                <w:color w:val="00B050"/>
                <w:sz w:val="18"/>
                <w:szCs w:val="18"/>
              </w:rPr>
              <w:t>⨁⨁⨁</w:t>
            </w:r>
            <w:r w:rsidRPr="007F5A8A">
              <w:rPr>
                <w:rFonts w:ascii="Cambria Math" w:hAnsi="Cambria Math" w:cs="Cambria Math"/>
                <w:color w:val="C00000"/>
                <w:sz w:val="18"/>
                <w:szCs w:val="18"/>
              </w:rPr>
              <w:t>⨀</w:t>
            </w:r>
            <w:r w:rsidRPr="007F5A8A">
              <w:rPr>
                <w:rFonts w:cs="Cambria Math"/>
                <w:color w:val="C00000"/>
                <w:sz w:val="18"/>
                <w:szCs w:val="18"/>
              </w:rPr>
              <w:t xml:space="preserve"> </w:t>
            </w:r>
            <w:r w:rsidRPr="007F5A8A">
              <w:rPr>
                <w:rFonts w:cs="Cambria Math"/>
                <w:sz w:val="18"/>
                <w:szCs w:val="18"/>
                <w:vertAlign w:val="superscript"/>
              </w:rPr>
              <w:t>c</w:t>
            </w:r>
          </w:p>
        </w:tc>
      </w:tr>
    </w:tbl>
    <w:p w14:paraId="765A9BCE" w14:textId="77777777" w:rsidR="007F5A8A" w:rsidRPr="007F5A8A" w:rsidRDefault="007F5A8A" w:rsidP="007F5A8A">
      <w:pPr>
        <w:pStyle w:val="Tablenotes"/>
        <w:rPr>
          <w:szCs w:val="18"/>
        </w:rPr>
      </w:pPr>
      <w:r w:rsidRPr="007F5A8A">
        <w:rPr>
          <w:szCs w:val="18"/>
          <w:vertAlign w:val="superscript"/>
        </w:rPr>
        <w:t xml:space="preserve">a </w:t>
      </w:r>
      <w:r w:rsidRPr="007F5A8A">
        <w:rPr>
          <w:szCs w:val="18"/>
        </w:rPr>
        <w:t>GRADE Working Group grades of evidence (Guyatt et al., 2013)</w:t>
      </w:r>
    </w:p>
    <w:p w14:paraId="0D182AF8" w14:textId="40B7B661" w:rsidR="007F5A8A" w:rsidRPr="007F5A8A" w:rsidRDefault="007F5A8A" w:rsidP="007F5A8A">
      <w:pPr>
        <w:pStyle w:val="Tablenotes"/>
        <w:rPr>
          <w:szCs w:val="18"/>
        </w:rPr>
      </w:pPr>
      <w:r w:rsidRPr="007F5A8A">
        <w:rPr>
          <w:szCs w:val="18"/>
          <w:vertAlign w:val="superscript"/>
        </w:rPr>
        <w:t xml:space="preserve">b </w:t>
      </w:r>
      <w:r w:rsidRPr="007F5A8A">
        <w:rPr>
          <w:szCs w:val="18"/>
        </w:rPr>
        <w:t>Downgraded by 2 points due to concerns about the methodological quality of the study and search strategy comprehensiveness</w:t>
      </w:r>
      <w:r w:rsidR="00186357">
        <w:rPr>
          <w:szCs w:val="18"/>
        </w:rPr>
        <w:t xml:space="preserve">. The pre-ESC response considered it should be rated as ‘Moderate quality’. </w:t>
      </w:r>
    </w:p>
    <w:p w14:paraId="73352CC1" w14:textId="1C2BF08A" w:rsidR="007F5A8A" w:rsidRPr="007F5A8A" w:rsidRDefault="007F5A8A" w:rsidP="007F5A8A">
      <w:pPr>
        <w:pStyle w:val="Tablenotes"/>
        <w:rPr>
          <w:szCs w:val="18"/>
        </w:rPr>
      </w:pPr>
      <w:r w:rsidRPr="007F5A8A">
        <w:rPr>
          <w:szCs w:val="18"/>
          <w:vertAlign w:val="superscript"/>
        </w:rPr>
        <w:t xml:space="preserve">c </w:t>
      </w:r>
      <w:r w:rsidRPr="007F5A8A">
        <w:rPr>
          <w:szCs w:val="18"/>
        </w:rPr>
        <w:t>Downgraded by 1 point due to concerns about the search strategy comprehensiveness</w:t>
      </w:r>
      <w:r w:rsidR="00186357">
        <w:rPr>
          <w:szCs w:val="18"/>
        </w:rPr>
        <w:t xml:space="preserve">. The pre-ESC response considered it should be rated “High quality’. </w:t>
      </w:r>
    </w:p>
    <w:p w14:paraId="5A02DEF3" w14:textId="77777777" w:rsidR="007F5A8A" w:rsidRDefault="007F5A8A" w:rsidP="007F5A8A">
      <w:pPr>
        <w:pStyle w:val="Tablenotes"/>
        <w:rPr>
          <w:szCs w:val="18"/>
        </w:rPr>
      </w:pPr>
      <w:r w:rsidRPr="007F5A8A">
        <w:rPr>
          <w:rFonts w:ascii="Cambria Math" w:hAnsi="Cambria Math"/>
          <w:color w:val="00B050"/>
        </w:rPr>
        <w:t xml:space="preserve">⨁⨁⨁⨁ </w:t>
      </w:r>
      <w:r w:rsidRPr="007F5A8A">
        <w:rPr>
          <w:b/>
          <w:bCs/>
          <w:szCs w:val="18"/>
        </w:rPr>
        <w:t>High quality:</w:t>
      </w:r>
      <w:r w:rsidRPr="007F5A8A">
        <w:rPr>
          <w:szCs w:val="18"/>
        </w:rPr>
        <w:t xml:space="preserve"> We are very confident that the true effect lies close to that of the estimate of effect. </w:t>
      </w:r>
      <w:r w:rsidRPr="007F5A8A">
        <w:rPr>
          <w:szCs w:val="18"/>
        </w:rPr>
        <w:br/>
      </w:r>
      <w:r w:rsidRPr="007F5A8A">
        <w:rPr>
          <w:rFonts w:ascii="Cambria Math" w:hAnsi="Cambria Math"/>
          <w:color w:val="00B050"/>
        </w:rPr>
        <w:t>⨁⨁⨁</w:t>
      </w:r>
      <w:r w:rsidRPr="007F5A8A">
        <w:rPr>
          <w:rFonts w:ascii="Cambria Math" w:hAnsi="Cambria Math" w:cs="Cambria Math"/>
          <w:color w:val="C00000"/>
        </w:rPr>
        <w:t xml:space="preserve">⨀ </w:t>
      </w:r>
      <w:r w:rsidRPr="007F5A8A">
        <w:rPr>
          <w:b/>
          <w:bCs/>
          <w:szCs w:val="18"/>
        </w:rPr>
        <w:t>Moderate quality:</w:t>
      </w:r>
      <w:r w:rsidRPr="007F5A8A">
        <w:rPr>
          <w:szCs w:val="18"/>
        </w:rPr>
        <w:t xml:space="preserve"> We are moderately confident in the effect estimate: The true effect is likely to be close to the estimate of the effect, but there is a possibility that it is substantially different. </w:t>
      </w:r>
      <w:r w:rsidRPr="007F5A8A">
        <w:rPr>
          <w:szCs w:val="18"/>
        </w:rPr>
        <w:br/>
      </w:r>
      <w:r w:rsidRPr="007F5A8A">
        <w:rPr>
          <w:rFonts w:ascii="Cambria Math" w:hAnsi="Cambria Math"/>
          <w:color w:val="00B050"/>
        </w:rPr>
        <w:t>⨁⨁</w:t>
      </w:r>
      <w:r w:rsidRPr="007F5A8A">
        <w:rPr>
          <w:rFonts w:ascii="Cambria Math" w:hAnsi="Cambria Math" w:cs="Cambria Math"/>
          <w:color w:val="C00000"/>
        </w:rPr>
        <w:t xml:space="preserve">⨀⨀ </w:t>
      </w:r>
      <w:r w:rsidRPr="007F5A8A">
        <w:rPr>
          <w:b/>
          <w:bCs/>
          <w:szCs w:val="18"/>
        </w:rPr>
        <w:t>Low quality:</w:t>
      </w:r>
      <w:r w:rsidRPr="007F5A8A">
        <w:rPr>
          <w:szCs w:val="18"/>
        </w:rPr>
        <w:t xml:space="preserve"> Our confidence in the effect estimate is limited: The true effect may be substantially different from the estimate of the effect.</w:t>
      </w:r>
      <w:r w:rsidRPr="007F5A8A">
        <w:rPr>
          <w:szCs w:val="18"/>
        </w:rPr>
        <w:br/>
      </w:r>
      <w:r w:rsidRPr="007F5A8A">
        <w:rPr>
          <w:rFonts w:ascii="Cambria Math" w:hAnsi="Cambria Math"/>
          <w:color w:val="00B050"/>
        </w:rPr>
        <w:t>⨁</w:t>
      </w:r>
      <w:r w:rsidRPr="007F5A8A">
        <w:rPr>
          <w:rFonts w:ascii="Cambria Math" w:hAnsi="Cambria Math" w:cs="Cambria Math"/>
          <w:color w:val="C00000"/>
        </w:rPr>
        <w:t xml:space="preserve">⨀⨀⨀ </w:t>
      </w:r>
      <w:r w:rsidRPr="007F5A8A">
        <w:rPr>
          <w:b/>
          <w:bCs/>
          <w:szCs w:val="18"/>
        </w:rPr>
        <w:t>Very low quality:</w:t>
      </w:r>
      <w:r w:rsidRPr="007F5A8A">
        <w:rPr>
          <w:szCs w:val="18"/>
        </w:rPr>
        <w:t xml:space="preserve"> We have very little confidence in the effect estimate: The true effect is likely to be substantially different from the estimate of effect.</w:t>
      </w:r>
    </w:p>
    <w:p w14:paraId="3B2FED6A" w14:textId="77777777" w:rsidR="007F5A8A" w:rsidRDefault="007F5A8A" w:rsidP="007F5A8A">
      <w:pPr>
        <w:pStyle w:val="Tablenotes"/>
      </w:pPr>
      <w:r w:rsidRPr="001A4E5B">
        <w:t>Abbreviations</w:t>
      </w:r>
      <w:r>
        <w:t xml:space="preserve">: </w:t>
      </w:r>
      <w:r w:rsidRPr="0005649D">
        <w:t>C</w:t>
      </w:r>
      <w:r>
        <w:t xml:space="preserve"> </w:t>
      </w:r>
      <w:r w:rsidRPr="0005649D">
        <w:t>I</w:t>
      </w:r>
      <w:r>
        <w:t xml:space="preserve">= confidence interval; </w:t>
      </w:r>
      <w:r w:rsidRPr="001A4E5B">
        <w:t>ERCP</w:t>
      </w:r>
      <w:r>
        <w:t>-ML</w:t>
      </w:r>
      <w:r w:rsidRPr="001A4E5B">
        <w:t xml:space="preserve">= </w:t>
      </w:r>
      <w:r w:rsidRPr="0005649D">
        <w:t>endoscopic</w:t>
      </w:r>
      <w:r w:rsidRPr="001A4E5B">
        <w:t xml:space="preserve"> retrograde cholangiopancreatography</w:t>
      </w:r>
      <w:r w:rsidRPr="00E42C8D">
        <w:t xml:space="preserve">-guided </w:t>
      </w:r>
      <w:r>
        <w:t xml:space="preserve">mechanical lithotripsy; N = number of participants; </w:t>
      </w:r>
      <w:r w:rsidRPr="001A4E5B">
        <w:t>POCPS</w:t>
      </w:r>
      <w:r>
        <w:t>-EHL/LL</w:t>
      </w:r>
      <w:r w:rsidRPr="001A4E5B">
        <w:t xml:space="preserve">= </w:t>
      </w:r>
      <w:r w:rsidRPr="0005649D">
        <w:t>single</w:t>
      </w:r>
      <w:r w:rsidRPr="001A4E5B">
        <w:t xml:space="preserve"> operator, single use, peroral</w:t>
      </w:r>
      <w:r>
        <w:t xml:space="preserve"> </w:t>
      </w:r>
      <w:r w:rsidRPr="001A4E5B">
        <w:t>cholangiopancreatoscopy</w:t>
      </w:r>
      <w:r w:rsidRPr="00E42C8D">
        <w:t xml:space="preserve">-guided </w:t>
      </w:r>
      <w:r w:rsidRPr="002601D8">
        <w:t>electrohydraulic lithotripsy/laser lithotripsy</w:t>
      </w:r>
      <w:r>
        <w:t xml:space="preserve">; RD = risk difference; RoB = Risk of Bias; RR </w:t>
      </w:r>
      <w:r w:rsidRPr="0005649D">
        <w:t>= relative</w:t>
      </w:r>
      <w:r>
        <w:t xml:space="preserve"> risk</w:t>
      </w:r>
    </w:p>
    <w:p w14:paraId="38B3CCE1" w14:textId="77777777" w:rsidR="007F5A8A" w:rsidRPr="00476163" w:rsidRDefault="007F5A8A" w:rsidP="007F5A8A">
      <w:pPr>
        <w:pStyle w:val="Tablenotes"/>
        <w:rPr>
          <w:bCs/>
          <w:i/>
          <w:iCs/>
        </w:rPr>
      </w:pPr>
      <w:r>
        <w:t>Source: Table 33 of the ADAR.</w:t>
      </w:r>
    </w:p>
    <w:p w14:paraId="47079D03" w14:textId="1B818B7B" w:rsidR="007F5A8A" w:rsidRDefault="007F5A8A" w:rsidP="0015035D">
      <w:pPr>
        <w:spacing w:before="240" w:after="240"/>
      </w:pPr>
      <w:r w:rsidRPr="007F5A8A">
        <w:lastRenderedPageBreak/>
        <w:t xml:space="preserve">Comparative evidence was presented for POCPS-guided laser lithotripsy only. Comparative studies on POCPS-guided electrohydraulic lithotripsy were not identified. </w:t>
      </w:r>
      <w:r>
        <w:t xml:space="preserve">The commentary considered that it was </w:t>
      </w:r>
      <w:r w:rsidRPr="007F5A8A">
        <w:t>unclear whether the same clinical claim holds for POCPS-guided electrohydraulic lithotripsy.</w:t>
      </w:r>
    </w:p>
    <w:p w14:paraId="53D0B491" w14:textId="2A17E072" w:rsidR="00F03D46" w:rsidRDefault="00F03D46" w:rsidP="007F5A8A">
      <w:pPr>
        <w:spacing w:after="240"/>
      </w:pPr>
      <w:r w:rsidRPr="007F5A8A">
        <w:t xml:space="preserve">Secondary outcome </w:t>
      </w:r>
      <w:r w:rsidR="00A655BD">
        <w:t xml:space="preserve">of </w:t>
      </w:r>
      <w:r w:rsidRPr="007F5A8A">
        <w:t>single session stone clearance</w:t>
      </w:r>
      <w:r w:rsidR="00A655BD">
        <w:t xml:space="preserve"> was</w:t>
      </w:r>
      <w:r w:rsidRPr="007F5A8A">
        <w:t xml:space="preserve"> consistent with the primary outcome. No other outcomes were presented in the ADAR.</w:t>
      </w:r>
    </w:p>
    <w:p w14:paraId="710A425D" w14:textId="00DC208B" w:rsidR="00A655BD" w:rsidRPr="00A655BD" w:rsidRDefault="00A655BD" w:rsidP="007F5A8A">
      <w:pPr>
        <w:spacing w:after="240"/>
        <w:rPr>
          <w:i/>
          <w:iCs/>
        </w:rPr>
      </w:pPr>
      <w:r>
        <w:t xml:space="preserve">The commentary considered that </w:t>
      </w:r>
      <w:r w:rsidRPr="00A655BD">
        <w:t>POCPS-guided laser lithotripsy in patients with difficult or infeasible biliary stones that have failed at least one attempt at removal via conventional extraction techniques appears to be superior to ERCP-guided mechanical lithotripsy and non-inferior to laparoscopic choledochotomy.</w:t>
      </w:r>
    </w:p>
    <w:p w14:paraId="656EF490" w14:textId="4A0C45B6" w:rsidR="00F00039" w:rsidRPr="00F00039" w:rsidRDefault="00F00039" w:rsidP="00402B01">
      <w:pPr>
        <w:spacing w:after="240"/>
      </w:pPr>
      <w:r>
        <w:t xml:space="preserve">The ADAR presented </w:t>
      </w:r>
      <w:r w:rsidR="00A655BD">
        <w:t>f</w:t>
      </w:r>
      <w:r w:rsidR="00A655BD" w:rsidRPr="007F5A8A">
        <w:t xml:space="preserve">urther supportive evidence </w:t>
      </w:r>
      <w:r w:rsidR="00A655BD">
        <w:t>based on</w:t>
      </w:r>
      <w:r>
        <w:t xml:space="preserve"> meta-analysis of single arm studies that assessed either POCPS or ERCP. </w:t>
      </w:r>
      <w:r w:rsidR="00A655BD">
        <w:t>The commentary highlighted the methodological deficiencies with the naïve indirect comparison approach</w:t>
      </w:r>
      <w:r w:rsidR="004D02A7">
        <w:t xml:space="preserve"> outlined in </w:t>
      </w:r>
      <w:r w:rsidR="004D02A7" w:rsidRPr="004D02A7">
        <w:t>Characteristics of the evidence base</w:t>
      </w:r>
      <w:r w:rsidR="004D02A7">
        <w:t xml:space="preserve">. </w:t>
      </w:r>
    </w:p>
    <w:p w14:paraId="411B8A44" w14:textId="1378B399" w:rsidR="00F00039" w:rsidRDefault="00F00039" w:rsidP="00F03D46">
      <w:pPr>
        <w:pStyle w:val="TableFigureHeading"/>
      </w:pPr>
      <w:r>
        <w:t xml:space="preserve">Table </w:t>
      </w:r>
      <w:fldSimple w:instr=" SEQ Table \* ARABIC ">
        <w:r w:rsidR="00D422BC">
          <w:rPr>
            <w:noProof/>
          </w:rPr>
          <w:t>13</w:t>
        </w:r>
      </w:fldSimple>
      <w:r>
        <w:t xml:space="preserve"> </w:t>
      </w:r>
      <w:r w:rsidR="00F03D46" w:rsidRPr="00C72207">
        <w:t>Complete stone clearance</w:t>
      </w:r>
      <w:r w:rsidR="00F03D46" w:rsidRPr="00C95763">
        <w:rPr>
          <w:i/>
          <w:iCs/>
          <w:sz w:val="18"/>
          <w:szCs w:val="18"/>
          <w:lang w:eastAsia="en-US"/>
        </w:rPr>
        <w:t xml:space="preserve"> </w:t>
      </w:r>
      <w:r w:rsidR="00F03D46">
        <w:rPr>
          <w:sz w:val="18"/>
          <w:szCs w:val="18"/>
          <w:lang w:eastAsia="en-US"/>
        </w:rPr>
        <w:t xml:space="preserve">with POCPS </w:t>
      </w:r>
      <w:r w:rsidR="00F03D46">
        <w:t xml:space="preserve"> (indirect evidence)</w:t>
      </w:r>
      <w:r w:rsidR="00C72207" w:rsidRPr="00C72207">
        <w:t xml:space="preserve"> </w:t>
      </w:r>
    </w:p>
    <w:tbl>
      <w:tblPr>
        <w:tblStyle w:val="TableGrid1"/>
        <w:tblW w:w="5000" w:type="pct"/>
        <w:tblLook w:val="04A0" w:firstRow="1" w:lastRow="0" w:firstColumn="1" w:lastColumn="0" w:noHBand="0" w:noVBand="1"/>
        <w:tblDescription w:val="12 Complete stone clearance with POCPS  (indirect evidence) "/>
      </w:tblPr>
      <w:tblGrid>
        <w:gridCol w:w="1271"/>
        <w:gridCol w:w="3120"/>
        <w:gridCol w:w="2735"/>
        <w:gridCol w:w="1890"/>
      </w:tblGrid>
      <w:tr w:rsidR="0047032B" w:rsidRPr="00F03D46" w14:paraId="16D26CB8" w14:textId="77777777" w:rsidTr="001C18E9">
        <w:trPr>
          <w:cnfStyle w:val="100000000000" w:firstRow="1" w:lastRow="0" w:firstColumn="0" w:lastColumn="0" w:oddVBand="0" w:evenVBand="0" w:oddHBand="0" w:evenHBand="0" w:firstRowFirstColumn="0" w:firstRowLastColumn="0" w:lastRowFirstColumn="0" w:lastRowLastColumn="0"/>
          <w:cantSplit/>
          <w:trHeight w:val="706"/>
          <w:tblHeader/>
        </w:trPr>
        <w:tc>
          <w:tcPr>
            <w:tcW w:w="705" w:type="pct"/>
            <w:tcBorders>
              <w:top w:val="single" w:sz="4" w:space="0" w:color="auto"/>
              <w:left w:val="single" w:sz="4" w:space="0" w:color="auto"/>
              <w:bottom w:val="single" w:sz="4" w:space="0" w:color="auto"/>
              <w:right w:val="single" w:sz="4" w:space="0" w:color="auto"/>
            </w:tcBorders>
          </w:tcPr>
          <w:p w14:paraId="557152F6" w14:textId="189220F2" w:rsidR="0047032B" w:rsidRPr="00F03D46" w:rsidRDefault="0047032B" w:rsidP="00F00039">
            <w:pPr>
              <w:pStyle w:val="TableHeading"/>
              <w:spacing w:line="256" w:lineRule="auto"/>
              <w:rPr>
                <w:b w:val="0"/>
                <w:bCs/>
              </w:rPr>
            </w:pPr>
            <w:r>
              <w:t>Comparison</w:t>
            </w:r>
          </w:p>
        </w:tc>
        <w:tc>
          <w:tcPr>
            <w:tcW w:w="1730" w:type="pct"/>
            <w:tcBorders>
              <w:top w:val="single" w:sz="4" w:space="0" w:color="auto"/>
              <w:left w:val="single" w:sz="4" w:space="0" w:color="auto"/>
              <w:bottom w:val="single" w:sz="4" w:space="0" w:color="auto"/>
              <w:right w:val="single" w:sz="4" w:space="0" w:color="auto"/>
            </w:tcBorders>
          </w:tcPr>
          <w:p w14:paraId="778879B6" w14:textId="77777777" w:rsidR="0047032B" w:rsidRPr="00F03D46" w:rsidRDefault="0047032B" w:rsidP="00F00039">
            <w:pPr>
              <w:pStyle w:val="TableHeading"/>
              <w:spacing w:line="256" w:lineRule="auto"/>
            </w:pPr>
            <w:r w:rsidRPr="00F03D46">
              <w:t>Number of studies (k), study design; patients (n)</w:t>
            </w:r>
          </w:p>
        </w:tc>
        <w:tc>
          <w:tcPr>
            <w:tcW w:w="1517" w:type="pct"/>
            <w:tcBorders>
              <w:top w:val="single" w:sz="4" w:space="0" w:color="auto"/>
              <w:left w:val="single" w:sz="4" w:space="0" w:color="auto"/>
              <w:bottom w:val="single" w:sz="4" w:space="0" w:color="auto"/>
              <w:right w:val="single" w:sz="4" w:space="0" w:color="auto"/>
            </w:tcBorders>
          </w:tcPr>
          <w:p w14:paraId="49B22CDC" w14:textId="4663C451" w:rsidR="0047032B" w:rsidRPr="00F03D46" w:rsidRDefault="0047032B" w:rsidP="00F00039">
            <w:pPr>
              <w:pStyle w:val="TableHeading"/>
              <w:spacing w:line="256" w:lineRule="auto"/>
            </w:pPr>
            <w:r w:rsidRPr="00F03D46">
              <w:t>Intervention absolute effect</w:t>
            </w:r>
            <w:r w:rsidR="00FA165F">
              <w:t xml:space="preserve"> </w:t>
            </w:r>
            <w:r w:rsidRPr="00F03D46">
              <w:t>[95% CI]</w:t>
            </w:r>
          </w:p>
        </w:tc>
        <w:tc>
          <w:tcPr>
            <w:tcW w:w="1048" w:type="pct"/>
            <w:tcBorders>
              <w:top w:val="single" w:sz="4" w:space="0" w:color="auto"/>
              <w:left w:val="single" w:sz="4" w:space="0" w:color="auto"/>
              <w:bottom w:val="single" w:sz="4" w:space="0" w:color="auto"/>
              <w:right w:val="single" w:sz="4" w:space="0" w:color="auto"/>
            </w:tcBorders>
          </w:tcPr>
          <w:p w14:paraId="536FC392" w14:textId="50ADB048" w:rsidR="0047032B" w:rsidRPr="00F03D46" w:rsidRDefault="0047032B" w:rsidP="00F00039">
            <w:pPr>
              <w:pStyle w:val="TableHeading"/>
              <w:spacing w:line="256" w:lineRule="auto"/>
            </w:pPr>
            <w:r w:rsidRPr="00F03D46">
              <w:t>Comparator absolute effect</w:t>
            </w:r>
            <w:r w:rsidR="00FA165F">
              <w:t xml:space="preserve"> </w:t>
            </w:r>
            <w:r w:rsidRPr="00F03D46">
              <w:t>[95% CI]</w:t>
            </w:r>
          </w:p>
        </w:tc>
      </w:tr>
      <w:tr w:rsidR="0047032B" w:rsidRPr="00F03D46" w14:paraId="4FDB5C0F" w14:textId="77777777" w:rsidTr="001C18E9">
        <w:trPr>
          <w:cantSplit/>
        </w:trPr>
        <w:tc>
          <w:tcPr>
            <w:tcW w:w="705" w:type="pct"/>
            <w:tcBorders>
              <w:top w:val="single" w:sz="4" w:space="0" w:color="auto"/>
              <w:left w:val="single" w:sz="4" w:space="0" w:color="auto"/>
              <w:bottom w:val="single" w:sz="4" w:space="0" w:color="auto"/>
              <w:right w:val="single" w:sz="4" w:space="0" w:color="auto"/>
            </w:tcBorders>
          </w:tcPr>
          <w:p w14:paraId="7FF50480" w14:textId="77777777" w:rsidR="0047032B" w:rsidRDefault="0047032B" w:rsidP="00F00039">
            <w:pPr>
              <w:pStyle w:val="Tabletext0"/>
              <w:spacing w:line="256" w:lineRule="auto"/>
              <w:jc w:val="left"/>
              <w:rPr>
                <w:sz w:val="18"/>
                <w:szCs w:val="18"/>
                <w:lang w:eastAsia="en-US"/>
              </w:rPr>
            </w:pPr>
            <w:r>
              <w:rPr>
                <w:sz w:val="18"/>
                <w:szCs w:val="18"/>
                <w:lang w:eastAsia="en-US"/>
              </w:rPr>
              <w:t xml:space="preserve">POCPS </w:t>
            </w:r>
            <w:r w:rsidRPr="00F03D46">
              <w:rPr>
                <w:sz w:val="18"/>
                <w:szCs w:val="18"/>
                <w:lang w:eastAsia="en-US"/>
              </w:rPr>
              <w:t>Legacy</w:t>
            </w:r>
          </w:p>
          <w:p w14:paraId="21A1938E" w14:textId="61354EC6" w:rsidR="0047032B" w:rsidRPr="00F03D46" w:rsidRDefault="0047032B" w:rsidP="00F00039">
            <w:pPr>
              <w:pStyle w:val="Tabletext0"/>
              <w:spacing w:line="256" w:lineRule="auto"/>
              <w:jc w:val="left"/>
              <w:rPr>
                <w:sz w:val="18"/>
                <w:szCs w:val="18"/>
                <w:lang w:eastAsia="en-US"/>
              </w:rPr>
            </w:pPr>
            <w:r>
              <w:rPr>
                <w:sz w:val="18"/>
                <w:szCs w:val="18"/>
                <w:lang w:eastAsia="en-US"/>
              </w:rPr>
              <w:t>system</w:t>
            </w:r>
          </w:p>
        </w:tc>
        <w:tc>
          <w:tcPr>
            <w:tcW w:w="1730" w:type="pct"/>
            <w:tcBorders>
              <w:top w:val="single" w:sz="4" w:space="0" w:color="auto"/>
              <w:left w:val="single" w:sz="4" w:space="0" w:color="auto"/>
              <w:bottom w:val="single" w:sz="4" w:space="0" w:color="auto"/>
              <w:right w:val="single" w:sz="4" w:space="0" w:color="auto"/>
            </w:tcBorders>
          </w:tcPr>
          <w:p w14:paraId="634B8C1B" w14:textId="5E107B44" w:rsidR="0047032B" w:rsidRPr="0047032B" w:rsidRDefault="0047032B" w:rsidP="00F00039">
            <w:pPr>
              <w:pStyle w:val="Tabletext0"/>
              <w:spacing w:line="256" w:lineRule="auto"/>
              <w:jc w:val="left"/>
              <w:rPr>
                <w:sz w:val="18"/>
                <w:szCs w:val="18"/>
                <w:vertAlign w:val="superscript"/>
                <w:lang w:eastAsia="en-US"/>
              </w:rPr>
            </w:pPr>
            <w:r w:rsidRPr="00F03D46">
              <w:rPr>
                <w:sz w:val="18"/>
                <w:szCs w:val="18"/>
                <w:lang w:eastAsia="en-US"/>
              </w:rPr>
              <w:t>k=16</w:t>
            </w:r>
            <w:r w:rsidR="001C18E9">
              <w:rPr>
                <w:sz w:val="18"/>
                <w:szCs w:val="18"/>
                <w:lang w:eastAsia="en-US"/>
              </w:rPr>
              <w:t xml:space="preserve">, </w:t>
            </w:r>
            <w:r w:rsidRPr="00F03D46">
              <w:rPr>
                <w:sz w:val="18"/>
                <w:szCs w:val="18"/>
                <w:lang w:eastAsia="en-US"/>
              </w:rPr>
              <w:t>Single arm cohort</w:t>
            </w:r>
            <w:r>
              <w:rPr>
                <w:sz w:val="18"/>
                <w:szCs w:val="18"/>
                <w:lang w:eastAsia="en-US"/>
              </w:rPr>
              <w:t xml:space="preserve"> </w:t>
            </w:r>
            <w:r>
              <w:rPr>
                <w:sz w:val="18"/>
                <w:szCs w:val="18"/>
                <w:vertAlign w:val="superscript"/>
                <w:lang w:eastAsia="en-US"/>
              </w:rPr>
              <w:t>a</w:t>
            </w:r>
          </w:p>
          <w:p w14:paraId="644AE5D6" w14:textId="295C84C2" w:rsidR="0047032B" w:rsidRPr="00F03D46" w:rsidRDefault="0047032B" w:rsidP="00F00039">
            <w:pPr>
              <w:pStyle w:val="Tabletext0"/>
              <w:spacing w:line="256" w:lineRule="auto"/>
              <w:jc w:val="left"/>
              <w:rPr>
                <w:sz w:val="18"/>
                <w:szCs w:val="18"/>
                <w:lang w:eastAsia="en-US"/>
              </w:rPr>
            </w:pPr>
            <w:r w:rsidRPr="00F03D46">
              <w:rPr>
                <w:sz w:val="18"/>
                <w:szCs w:val="18"/>
                <w:lang w:eastAsia="en-US"/>
              </w:rPr>
              <w:t>n=628</w:t>
            </w:r>
          </w:p>
        </w:tc>
        <w:tc>
          <w:tcPr>
            <w:tcW w:w="1517" w:type="pct"/>
            <w:tcBorders>
              <w:top w:val="single" w:sz="4" w:space="0" w:color="auto"/>
              <w:left w:val="single" w:sz="4" w:space="0" w:color="auto"/>
              <w:bottom w:val="single" w:sz="4" w:space="0" w:color="auto"/>
              <w:right w:val="single" w:sz="4" w:space="0" w:color="auto"/>
            </w:tcBorders>
          </w:tcPr>
          <w:p w14:paraId="7C7E2E51" w14:textId="2398BEC9" w:rsidR="0047032B" w:rsidRPr="00F03D46" w:rsidRDefault="001C18E9" w:rsidP="00F00039">
            <w:pPr>
              <w:pStyle w:val="Tabletext0"/>
              <w:spacing w:line="256" w:lineRule="auto"/>
              <w:jc w:val="left"/>
              <w:rPr>
                <w:sz w:val="18"/>
                <w:szCs w:val="18"/>
                <w:lang w:eastAsia="en-US"/>
              </w:rPr>
            </w:pPr>
            <w:r>
              <w:rPr>
                <w:sz w:val="18"/>
                <w:szCs w:val="18"/>
                <w:lang w:eastAsia="en-US"/>
              </w:rPr>
              <w:t>89.7</w:t>
            </w:r>
            <w:r w:rsidR="0047032B" w:rsidRPr="00F03D46">
              <w:rPr>
                <w:sz w:val="18"/>
                <w:szCs w:val="18"/>
                <w:lang w:eastAsia="en-US"/>
              </w:rPr>
              <w:t xml:space="preserve">% </w:t>
            </w:r>
            <w:r w:rsidR="00117C11">
              <w:rPr>
                <w:sz w:val="18"/>
                <w:szCs w:val="18"/>
                <w:vertAlign w:val="superscript"/>
                <w:lang w:eastAsia="en-US"/>
              </w:rPr>
              <w:t>c</w:t>
            </w:r>
            <w:r>
              <w:rPr>
                <w:sz w:val="18"/>
                <w:szCs w:val="18"/>
                <w:vertAlign w:val="superscript"/>
                <w:lang w:eastAsia="en-US"/>
              </w:rPr>
              <w:t xml:space="preserve"> </w:t>
            </w:r>
            <w:r w:rsidR="0047032B" w:rsidRPr="00F03D46">
              <w:rPr>
                <w:sz w:val="18"/>
                <w:szCs w:val="18"/>
                <w:lang w:eastAsia="en-US"/>
              </w:rPr>
              <w:t>(8</w:t>
            </w:r>
            <w:r>
              <w:rPr>
                <w:sz w:val="18"/>
                <w:szCs w:val="18"/>
                <w:lang w:eastAsia="en-US"/>
              </w:rPr>
              <w:t>2</w:t>
            </w:r>
            <w:r w:rsidR="0047032B" w:rsidRPr="00F03D46">
              <w:rPr>
                <w:sz w:val="18"/>
                <w:szCs w:val="18"/>
                <w:lang w:eastAsia="en-US"/>
              </w:rPr>
              <w:t>.</w:t>
            </w:r>
            <w:r>
              <w:rPr>
                <w:sz w:val="18"/>
                <w:szCs w:val="18"/>
                <w:lang w:eastAsia="en-US"/>
              </w:rPr>
              <w:t>9</w:t>
            </w:r>
            <w:r w:rsidR="0047032B" w:rsidRPr="00F03D46">
              <w:rPr>
                <w:sz w:val="18"/>
                <w:szCs w:val="18"/>
                <w:lang w:eastAsia="en-US"/>
              </w:rPr>
              <w:t>%-9</w:t>
            </w:r>
            <w:r>
              <w:rPr>
                <w:sz w:val="18"/>
                <w:szCs w:val="18"/>
                <w:lang w:eastAsia="en-US"/>
              </w:rPr>
              <w:t>5</w:t>
            </w:r>
            <w:r w:rsidR="0047032B" w:rsidRPr="00F03D46">
              <w:rPr>
                <w:sz w:val="18"/>
                <w:szCs w:val="18"/>
                <w:lang w:eastAsia="en-US"/>
              </w:rPr>
              <w:t>.</w:t>
            </w:r>
            <w:r>
              <w:rPr>
                <w:sz w:val="18"/>
                <w:szCs w:val="18"/>
                <w:lang w:eastAsia="en-US"/>
              </w:rPr>
              <w:t>2</w:t>
            </w:r>
            <w:r w:rsidR="0047032B" w:rsidRPr="00F03D46">
              <w:rPr>
                <w:sz w:val="18"/>
                <w:szCs w:val="18"/>
                <w:lang w:eastAsia="en-US"/>
              </w:rPr>
              <w:t>%)</w:t>
            </w:r>
          </w:p>
          <w:p w14:paraId="28603084" w14:textId="35250F52" w:rsidR="0047032B" w:rsidRPr="00F03D46" w:rsidRDefault="0047032B" w:rsidP="00F00039">
            <w:pPr>
              <w:pStyle w:val="Tabletext0"/>
              <w:spacing w:line="256" w:lineRule="auto"/>
              <w:jc w:val="left"/>
              <w:rPr>
                <w:sz w:val="18"/>
                <w:szCs w:val="18"/>
                <w:lang w:eastAsia="en-US"/>
              </w:rPr>
            </w:pPr>
            <w:r w:rsidRPr="00F03D46">
              <w:rPr>
                <w:sz w:val="18"/>
                <w:szCs w:val="18"/>
                <w:lang w:eastAsia="en-US"/>
              </w:rPr>
              <w:t>I</w:t>
            </w:r>
            <w:r w:rsidRPr="00F03D46">
              <w:rPr>
                <w:sz w:val="18"/>
                <w:szCs w:val="18"/>
                <w:vertAlign w:val="superscript"/>
                <w:lang w:eastAsia="en-US"/>
              </w:rPr>
              <w:t>2</w:t>
            </w:r>
            <w:r w:rsidRPr="00F03D46">
              <w:rPr>
                <w:sz w:val="18"/>
                <w:szCs w:val="18"/>
                <w:lang w:eastAsia="en-US"/>
              </w:rPr>
              <w:t>=79%</w:t>
            </w:r>
          </w:p>
        </w:tc>
        <w:tc>
          <w:tcPr>
            <w:tcW w:w="1048" w:type="pct"/>
            <w:tcBorders>
              <w:top w:val="single" w:sz="4" w:space="0" w:color="auto"/>
              <w:left w:val="single" w:sz="4" w:space="0" w:color="auto"/>
              <w:bottom w:val="single" w:sz="4" w:space="0" w:color="auto"/>
              <w:right w:val="single" w:sz="4" w:space="0" w:color="auto"/>
            </w:tcBorders>
          </w:tcPr>
          <w:p w14:paraId="0D31EF67" w14:textId="189A90DD" w:rsidR="0047032B" w:rsidRPr="00F03D46" w:rsidRDefault="0047032B" w:rsidP="00F00039">
            <w:pPr>
              <w:pStyle w:val="Tabletext0"/>
              <w:spacing w:line="256" w:lineRule="auto"/>
              <w:jc w:val="left"/>
              <w:rPr>
                <w:sz w:val="18"/>
                <w:szCs w:val="18"/>
                <w:lang w:eastAsia="en-US"/>
              </w:rPr>
            </w:pPr>
            <w:r>
              <w:rPr>
                <w:sz w:val="18"/>
                <w:szCs w:val="18"/>
                <w:lang w:eastAsia="en-US"/>
              </w:rPr>
              <w:t>-</w:t>
            </w:r>
          </w:p>
        </w:tc>
      </w:tr>
      <w:tr w:rsidR="0047032B" w:rsidRPr="00F03D46" w14:paraId="47D57615" w14:textId="77777777" w:rsidTr="001C18E9">
        <w:trPr>
          <w:cantSplit/>
        </w:trPr>
        <w:tc>
          <w:tcPr>
            <w:tcW w:w="705" w:type="pct"/>
            <w:tcBorders>
              <w:top w:val="single" w:sz="4" w:space="0" w:color="auto"/>
              <w:left w:val="single" w:sz="4" w:space="0" w:color="auto"/>
              <w:bottom w:val="single" w:sz="4" w:space="0" w:color="auto"/>
              <w:right w:val="single" w:sz="4" w:space="0" w:color="auto"/>
            </w:tcBorders>
          </w:tcPr>
          <w:p w14:paraId="0103816C" w14:textId="77777777" w:rsidR="0047032B" w:rsidRDefault="0047032B" w:rsidP="00F00039">
            <w:pPr>
              <w:pStyle w:val="Tabletext0"/>
              <w:spacing w:line="256" w:lineRule="auto"/>
              <w:jc w:val="left"/>
              <w:rPr>
                <w:sz w:val="18"/>
                <w:szCs w:val="18"/>
                <w:lang w:eastAsia="en-US"/>
              </w:rPr>
            </w:pPr>
            <w:r>
              <w:rPr>
                <w:sz w:val="18"/>
                <w:szCs w:val="18"/>
                <w:lang w:eastAsia="en-US"/>
              </w:rPr>
              <w:t xml:space="preserve">POCPS </w:t>
            </w:r>
            <w:r w:rsidRPr="00F03D46">
              <w:rPr>
                <w:sz w:val="18"/>
                <w:szCs w:val="18"/>
                <w:lang w:eastAsia="en-US"/>
              </w:rPr>
              <w:t xml:space="preserve">Digital </w:t>
            </w:r>
          </w:p>
          <w:p w14:paraId="77892EBC" w14:textId="7E50E8E4" w:rsidR="0047032B" w:rsidRPr="00F03D46" w:rsidRDefault="0047032B" w:rsidP="00F00039">
            <w:pPr>
              <w:pStyle w:val="Tabletext0"/>
              <w:spacing w:line="256" w:lineRule="auto"/>
              <w:jc w:val="left"/>
              <w:rPr>
                <w:sz w:val="18"/>
                <w:szCs w:val="18"/>
                <w:lang w:eastAsia="en-US"/>
              </w:rPr>
            </w:pPr>
            <w:r>
              <w:rPr>
                <w:sz w:val="18"/>
                <w:szCs w:val="18"/>
                <w:lang w:eastAsia="en-US"/>
              </w:rPr>
              <w:t>system</w:t>
            </w:r>
          </w:p>
        </w:tc>
        <w:tc>
          <w:tcPr>
            <w:tcW w:w="1730" w:type="pct"/>
            <w:tcBorders>
              <w:top w:val="single" w:sz="4" w:space="0" w:color="auto"/>
              <w:left w:val="single" w:sz="4" w:space="0" w:color="auto"/>
              <w:bottom w:val="single" w:sz="4" w:space="0" w:color="auto"/>
              <w:right w:val="single" w:sz="4" w:space="0" w:color="auto"/>
            </w:tcBorders>
          </w:tcPr>
          <w:p w14:paraId="15281868" w14:textId="1E86E353" w:rsidR="0047032B" w:rsidRPr="00F03D46" w:rsidRDefault="0047032B" w:rsidP="00C95763">
            <w:pPr>
              <w:pStyle w:val="Tabletext0"/>
              <w:spacing w:line="256" w:lineRule="auto"/>
              <w:jc w:val="left"/>
              <w:rPr>
                <w:sz w:val="18"/>
                <w:szCs w:val="18"/>
                <w:lang w:eastAsia="en-US"/>
              </w:rPr>
            </w:pPr>
            <w:r w:rsidRPr="00F03D46">
              <w:rPr>
                <w:sz w:val="18"/>
                <w:szCs w:val="18"/>
                <w:lang w:eastAsia="en-US"/>
              </w:rPr>
              <w:t>k=12</w:t>
            </w:r>
            <w:r w:rsidR="001C18E9">
              <w:rPr>
                <w:sz w:val="18"/>
                <w:szCs w:val="18"/>
                <w:lang w:eastAsia="en-US"/>
              </w:rPr>
              <w:t xml:space="preserve">, </w:t>
            </w:r>
            <w:r w:rsidRPr="00F03D46">
              <w:rPr>
                <w:sz w:val="18"/>
                <w:szCs w:val="18"/>
                <w:lang w:eastAsia="en-US"/>
              </w:rPr>
              <w:t>Single arm cohort</w:t>
            </w:r>
            <w:r>
              <w:rPr>
                <w:sz w:val="18"/>
                <w:szCs w:val="18"/>
                <w:lang w:eastAsia="en-US"/>
              </w:rPr>
              <w:t xml:space="preserve"> </w:t>
            </w:r>
            <w:r>
              <w:rPr>
                <w:sz w:val="18"/>
                <w:szCs w:val="18"/>
                <w:vertAlign w:val="superscript"/>
                <w:lang w:eastAsia="en-US"/>
              </w:rPr>
              <w:t>a,b</w:t>
            </w:r>
          </w:p>
          <w:p w14:paraId="64D2E87E" w14:textId="1B6F8B12" w:rsidR="0047032B" w:rsidRPr="00F03D46" w:rsidRDefault="0047032B" w:rsidP="00C95763">
            <w:pPr>
              <w:pStyle w:val="Tabletext0"/>
              <w:spacing w:line="256" w:lineRule="auto"/>
              <w:jc w:val="left"/>
              <w:rPr>
                <w:sz w:val="18"/>
                <w:szCs w:val="18"/>
                <w:lang w:eastAsia="en-US"/>
              </w:rPr>
            </w:pPr>
            <w:r w:rsidRPr="00F03D46">
              <w:rPr>
                <w:sz w:val="18"/>
                <w:szCs w:val="18"/>
                <w:lang w:eastAsia="en-US"/>
              </w:rPr>
              <w:t>n=798</w:t>
            </w:r>
          </w:p>
        </w:tc>
        <w:tc>
          <w:tcPr>
            <w:tcW w:w="1517" w:type="pct"/>
            <w:tcBorders>
              <w:top w:val="single" w:sz="4" w:space="0" w:color="auto"/>
              <w:left w:val="single" w:sz="4" w:space="0" w:color="auto"/>
              <w:bottom w:val="single" w:sz="4" w:space="0" w:color="auto"/>
              <w:right w:val="single" w:sz="4" w:space="0" w:color="auto"/>
            </w:tcBorders>
          </w:tcPr>
          <w:p w14:paraId="267459ED" w14:textId="37CBB0E2" w:rsidR="0047032B" w:rsidRPr="00F03D46" w:rsidRDefault="0047032B" w:rsidP="00F00039">
            <w:pPr>
              <w:pStyle w:val="Tabletext0"/>
              <w:spacing w:line="256" w:lineRule="auto"/>
              <w:jc w:val="left"/>
              <w:rPr>
                <w:sz w:val="18"/>
                <w:szCs w:val="18"/>
                <w:lang w:eastAsia="en-US"/>
              </w:rPr>
            </w:pPr>
            <w:r w:rsidRPr="00F03D46">
              <w:rPr>
                <w:sz w:val="18"/>
                <w:szCs w:val="18"/>
                <w:lang w:eastAsia="en-US"/>
              </w:rPr>
              <w:t>95.5% (91.5%-98.4%)</w:t>
            </w:r>
          </w:p>
          <w:p w14:paraId="0A2E0FE8" w14:textId="58AAA97F" w:rsidR="0047032B" w:rsidRPr="00F03D46" w:rsidRDefault="0047032B" w:rsidP="00F00039">
            <w:pPr>
              <w:pStyle w:val="Tabletext0"/>
              <w:spacing w:line="256" w:lineRule="auto"/>
              <w:jc w:val="left"/>
              <w:rPr>
                <w:sz w:val="18"/>
                <w:szCs w:val="18"/>
                <w:lang w:eastAsia="en-US"/>
              </w:rPr>
            </w:pPr>
            <w:r w:rsidRPr="001C18E9">
              <w:rPr>
                <w:snapToGrid w:val="0"/>
                <w:sz w:val="18"/>
                <w:szCs w:val="18"/>
              </w:rPr>
              <w:t>I</w:t>
            </w:r>
            <w:r w:rsidRPr="001C18E9">
              <w:rPr>
                <w:snapToGrid w:val="0"/>
                <w:sz w:val="18"/>
                <w:szCs w:val="18"/>
                <w:vertAlign w:val="superscript"/>
              </w:rPr>
              <w:t>2</w:t>
            </w:r>
            <w:r w:rsidRPr="001C18E9">
              <w:rPr>
                <w:snapToGrid w:val="0"/>
                <w:sz w:val="18"/>
                <w:szCs w:val="18"/>
              </w:rPr>
              <w:t>= 64%</w:t>
            </w:r>
          </w:p>
        </w:tc>
        <w:tc>
          <w:tcPr>
            <w:tcW w:w="1048" w:type="pct"/>
            <w:tcBorders>
              <w:top w:val="single" w:sz="4" w:space="0" w:color="auto"/>
              <w:left w:val="single" w:sz="4" w:space="0" w:color="auto"/>
              <w:bottom w:val="single" w:sz="4" w:space="0" w:color="auto"/>
              <w:right w:val="single" w:sz="4" w:space="0" w:color="auto"/>
            </w:tcBorders>
          </w:tcPr>
          <w:p w14:paraId="2424DA80" w14:textId="7CB41C5D" w:rsidR="0047032B" w:rsidRPr="00F03D46" w:rsidRDefault="0047032B" w:rsidP="00F00039">
            <w:pPr>
              <w:pStyle w:val="Tabletext0"/>
              <w:spacing w:line="256" w:lineRule="auto"/>
              <w:jc w:val="left"/>
              <w:rPr>
                <w:sz w:val="18"/>
                <w:szCs w:val="18"/>
                <w:lang w:eastAsia="en-US"/>
              </w:rPr>
            </w:pPr>
            <w:r>
              <w:rPr>
                <w:sz w:val="18"/>
                <w:szCs w:val="18"/>
                <w:lang w:eastAsia="en-US"/>
              </w:rPr>
              <w:t>-</w:t>
            </w:r>
          </w:p>
        </w:tc>
      </w:tr>
      <w:tr w:rsidR="0047032B" w:rsidRPr="00F03D46" w14:paraId="1A8FCFFE" w14:textId="77777777" w:rsidTr="001C18E9">
        <w:trPr>
          <w:cantSplit/>
        </w:trPr>
        <w:tc>
          <w:tcPr>
            <w:tcW w:w="705" w:type="pct"/>
            <w:tcBorders>
              <w:top w:val="single" w:sz="4" w:space="0" w:color="auto"/>
              <w:left w:val="single" w:sz="4" w:space="0" w:color="auto"/>
              <w:bottom w:val="single" w:sz="4" w:space="0" w:color="auto"/>
              <w:right w:val="single" w:sz="4" w:space="0" w:color="auto"/>
            </w:tcBorders>
          </w:tcPr>
          <w:p w14:paraId="459A446F" w14:textId="36B8EADE" w:rsidR="0047032B" w:rsidRPr="00F03D46" w:rsidRDefault="0047032B" w:rsidP="00F00039">
            <w:pPr>
              <w:pStyle w:val="Tabletext0"/>
              <w:spacing w:line="256" w:lineRule="auto"/>
              <w:jc w:val="left"/>
              <w:rPr>
                <w:sz w:val="18"/>
                <w:szCs w:val="18"/>
                <w:lang w:eastAsia="en-US"/>
              </w:rPr>
            </w:pPr>
            <w:r>
              <w:rPr>
                <w:sz w:val="18"/>
                <w:szCs w:val="18"/>
                <w:lang w:eastAsia="en-US"/>
              </w:rPr>
              <w:t>ERCP</w:t>
            </w:r>
          </w:p>
        </w:tc>
        <w:tc>
          <w:tcPr>
            <w:tcW w:w="1730" w:type="pct"/>
            <w:tcBorders>
              <w:top w:val="single" w:sz="4" w:space="0" w:color="auto"/>
              <w:left w:val="single" w:sz="4" w:space="0" w:color="auto"/>
              <w:bottom w:val="single" w:sz="4" w:space="0" w:color="auto"/>
              <w:right w:val="single" w:sz="4" w:space="0" w:color="auto"/>
            </w:tcBorders>
          </w:tcPr>
          <w:p w14:paraId="7E084246" w14:textId="77777777" w:rsidR="0047032B" w:rsidRDefault="0047032B" w:rsidP="00F00039">
            <w:pPr>
              <w:pStyle w:val="Tabletext0"/>
              <w:spacing w:line="256" w:lineRule="auto"/>
              <w:jc w:val="left"/>
              <w:rPr>
                <w:sz w:val="18"/>
                <w:szCs w:val="18"/>
                <w:vertAlign w:val="superscript"/>
                <w:lang w:eastAsia="en-US"/>
              </w:rPr>
            </w:pPr>
            <w:r>
              <w:rPr>
                <w:sz w:val="18"/>
                <w:szCs w:val="18"/>
                <w:lang w:eastAsia="en-US"/>
              </w:rPr>
              <w:t>k=2</w:t>
            </w:r>
            <w:r w:rsidR="001C18E9">
              <w:rPr>
                <w:sz w:val="18"/>
                <w:szCs w:val="18"/>
                <w:lang w:eastAsia="en-US"/>
              </w:rPr>
              <w:t xml:space="preserve">, </w:t>
            </w:r>
            <w:r w:rsidR="001C18E9" w:rsidRPr="00F03D46">
              <w:rPr>
                <w:sz w:val="18"/>
                <w:szCs w:val="18"/>
                <w:lang w:eastAsia="en-US"/>
              </w:rPr>
              <w:t>Single arm cohort</w:t>
            </w:r>
            <w:r w:rsidR="001C18E9">
              <w:rPr>
                <w:sz w:val="18"/>
                <w:szCs w:val="18"/>
                <w:lang w:eastAsia="en-US"/>
              </w:rPr>
              <w:t xml:space="preserve"> </w:t>
            </w:r>
            <w:r w:rsidR="001C18E9">
              <w:rPr>
                <w:sz w:val="18"/>
                <w:szCs w:val="18"/>
                <w:vertAlign w:val="superscript"/>
                <w:lang w:eastAsia="en-US"/>
              </w:rPr>
              <w:t>a</w:t>
            </w:r>
          </w:p>
          <w:p w14:paraId="4A402A2B" w14:textId="29420CAC" w:rsidR="001C18E9" w:rsidRPr="001C18E9" w:rsidRDefault="001C18E9" w:rsidP="00F00039">
            <w:pPr>
              <w:pStyle w:val="Tabletext0"/>
              <w:spacing w:line="256" w:lineRule="auto"/>
              <w:jc w:val="left"/>
              <w:rPr>
                <w:sz w:val="18"/>
                <w:szCs w:val="18"/>
                <w:lang w:eastAsia="en-US"/>
              </w:rPr>
            </w:pPr>
            <w:r>
              <w:rPr>
                <w:sz w:val="18"/>
                <w:szCs w:val="18"/>
                <w:lang w:eastAsia="en-US"/>
              </w:rPr>
              <w:t>n=136</w:t>
            </w:r>
          </w:p>
        </w:tc>
        <w:tc>
          <w:tcPr>
            <w:tcW w:w="1517" w:type="pct"/>
            <w:tcBorders>
              <w:top w:val="single" w:sz="4" w:space="0" w:color="auto"/>
              <w:left w:val="single" w:sz="4" w:space="0" w:color="auto"/>
              <w:bottom w:val="single" w:sz="4" w:space="0" w:color="auto"/>
              <w:right w:val="single" w:sz="4" w:space="0" w:color="auto"/>
            </w:tcBorders>
          </w:tcPr>
          <w:p w14:paraId="1A9E9747" w14:textId="6CD4DC88" w:rsidR="0047032B" w:rsidRPr="00F03D46" w:rsidRDefault="0047032B" w:rsidP="00F00039">
            <w:pPr>
              <w:pStyle w:val="Tabletext0"/>
              <w:spacing w:line="256" w:lineRule="auto"/>
              <w:jc w:val="left"/>
              <w:rPr>
                <w:sz w:val="18"/>
                <w:szCs w:val="18"/>
                <w:lang w:eastAsia="en-US"/>
              </w:rPr>
            </w:pPr>
            <w:r>
              <w:rPr>
                <w:sz w:val="18"/>
                <w:szCs w:val="18"/>
                <w:lang w:eastAsia="en-US"/>
              </w:rPr>
              <w:t>-</w:t>
            </w:r>
          </w:p>
        </w:tc>
        <w:tc>
          <w:tcPr>
            <w:tcW w:w="1048" w:type="pct"/>
            <w:tcBorders>
              <w:top w:val="single" w:sz="4" w:space="0" w:color="auto"/>
              <w:left w:val="single" w:sz="4" w:space="0" w:color="auto"/>
              <w:bottom w:val="single" w:sz="4" w:space="0" w:color="auto"/>
              <w:right w:val="single" w:sz="4" w:space="0" w:color="auto"/>
            </w:tcBorders>
          </w:tcPr>
          <w:p w14:paraId="68A9ABCF" w14:textId="77777777" w:rsidR="0047032B" w:rsidRDefault="001C18E9" w:rsidP="00F00039">
            <w:pPr>
              <w:pStyle w:val="Tabletext0"/>
              <w:spacing w:line="256" w:lineRule="auto"/>
              <w:jc w:val="left"/>
              <w:rPr>
                <w:sz w:val="18"/>
                <w:szCs w:val="18"/>
                <w:lang w:eastAsia="en-US"/>
              </w:rPr>
            </w:pPr>
            <w:r w:rsidRPr="001C18E9">
              <w:rPr>
                <w:sz w:val="18"/>
                <w:szCs w:val="18"/>
                <w:lang w:eastAsia="en-US"/>
              </w:rPr>
              <w:t>53</w:t>
            </w:r>
            <w:r>
              <w:rPr>
                <w:sz w:val="18"/>
                <w:szCs w:val="18"/>
                <w:lang w:eastAsia="en-US"/>
              </w:rPr>
              <w:t>.</w:t>
            </w:r>
            <w:r w:rsidRPr="001C18E9">
              <w:rPr>
                <w:sz w:val="18"/>
                <w:szCs w:val="18"/>
                <w:lang w:eastAsia="en-US"/>
              </w:rPr>
              <w:t>3</w:t>
            </w:r>
            <w:r>
              <w:rPr>
                <w:sz w:val="18"/>
                <w:szCs w:val="18"/>
                <w:lang w:eastAsia="en-US"/>
              </w:rPr>
              <w:t>%</w:t>
            </w:r>
            <w:r w:rsidRPr="001C18E9">
              <w:rPr>
                <w:sz w:val="18"/>
                <w:szCs w:val="18"/>
                <w:lang w:eastAsia="en-US"/>
              </w:rPr>
              <w:t xml:space="preserve"> </w:t>
            </w:r>
            <w:r>
              <w:rPr>
                <w:sz w:val="18"/>
                <w:szCs w:val="18"/>
                <w:lang w:eastAsia="en-US"/>
              </w:rPr>
              <w:t>(</w:t>
            </w:r>
            <w:r w:rsidRPr="001C18E9">
              <w:rPr>
                <w:sz w:val="18"/>
                <w:szCs w:val="18"/>
                <w:lang w:eastAsia="en-US"/>
              </w:rPr>
              <w:t>28</w:t>
            </w:r>
            <w:r>
              <w:rPr>
                <w:sz w:val="18"/>
                <w:szCs w:val="18"/>
                <w:lang w:eastAsia="en-US"/>
              </w:rPr>
              <w:t>.</w:t>
            </w:r>
            <w:r w:rsidRPr="001C18E9">
              <w:rPr>
                <w:sz w:val="18"/>
                <w:szCs w:val="18"/>
                <w:lang w:eastAsia="en-US"/>
              </w:rPr>
              <w:t>2</w:t>
            </w:r>
            <w:r>
              <w:rPr>
                <w:sz w:val="18"/>
                <w:szCs w:val="18"/>
                <w:lang w:eastAsia="en-US"/>
              </w:rPr>
              <w:t>%</w:t>
            </w:r>
            <w:r w:rsidRPr="001C18E9">
              <w:rPr>
                <w:sz w:val="18"/>
                <w:szCs w:val="18"/>
                <w:lang w:eastAsia="en-US"/>
              </w:rPr>
              <w:t>, 77</w:t>
            </w:r>
            <w:r>
              <w:rPr>
                <w:sz w:val="18"/>
                <w:szCs w:val="18"/>
                <w:lang w:eastAsia="en-US"/>
              </w:rPr>
              <w:t>.</w:t>
            </w:r>
            <w:r w:rsidRPr="001C18E9">
              <w:rPr>
                <w:sz w:val="18"/>
                <w:szCs w:val="18"/>
                <w:lang w:eastAsia="en-US"/>
              </w:rPr>
              <w:t>6</w:t>
            </w:r>
            <w:r>
              <w:rPr>
                <w:sz w:val="18"/>
                <w:szCs w:val="18"/>
                <w:lang w:eastAsia="en-US"/>
              </w:rPr>
              <w:t>%)</w:t>
            </w:r>
          </w:p>
          <w:p w14:paraId="511E4899" w14:textId="52601675" w:rsidR="001C18E9" w:rsidRPr="00F03D46" w:rsidRDefault="001C18E9" w:rsidP="00F00039">
            <w:pPr>
              <w:pStyle w:val="Tabletext0"/>
              <w:spacing w:line="256" w:lineRule="auto"/>
              <w:jc w:val="left"/>
              <w:rPr>
                <w:sz w:val="18"/>
                <w:szCs w:val="18"/>
                <w:lang w:eastAsia="en-US"/>
              </w:rPr>
            </w:pPr>
            <w:r w:rsidRPr="001C18E9">
              <w:rPr>
                <w:sz w:val="18"/>
                <w:szCs w:val="18"/>
                <w:lang w:eastAsia="en-US"/>
              </w:rPr>
              <w:t>I</w:t>
            </w:r>
            <w:r w:rsidRPr="00ED0F96">
              <w:rPr>
                <w:sz w:val="18"/>
                <w:szCs w:val="18"/>
                <w:vertAlign w:val="superscript"/>
                <w:lang w:eastAsia="en-US"/>
              </w:rPr>
              <w:t>2</w:t>
            </w:r>
            <w:r w:rsidRPr="001C18E9">
              <w:rPr>
                <w:sz w:val="18"/>
                <w:szCs w:val="18"/>
                <w:lang w:eastAsia="en-US"/>
              </w:rPr>
              <w:t>= 88%</w:t>
            </w:r>
          </w:p>
        </w:tc>
      </w:tr>
    </w:tbl>
    <w:p w14:paraId="64EB8E49" w14:textId="351AF8B5" w:rsidR="00117C11" w:rsidRPr="00117C11" w:rsidRDefault="00C72207" w:rsidP="00117C11">
      <w:pPr>
        <w:pStyle w:val="TableFigureFooter"/>
        <w:spacing w:before="0" w:after="120"/>
      </w:pPr>
      <w:r>
        <w:t>Source: Table</w:t>
      </w:r>
      <w:r w:rsidR="0047032B">
        <w:t>d</w:t>
      </w:r>
      <w:r>
        <w:t xml:space="preserve"> 34-3</w:t>
      </w:r>
      <w:r w:rsidR="0047032B">
        <w:t>6</w:t>
      </w:r>
      <w:r>
        <w:t>, Figure 9 of the ADAR</w:t>
      </w:r>
      <w:r w:rsidR="001C18E9">
        <w:t xml:space="preserve">; Table 5-6 of the pre-ESC response. </w:t>
      </w:r>
      <w:r w:rsidR="0047032B">
        <w:br/>
      </w:r>
      <w:r w:rsidR="0047032B">
        <w:rPr>
          <w:vertAlign w:val="superscript"/>
        </w:rPr>
        <w:t>a</w:t>
      </w:r>
      <w:r w:rsidR="0047032B">
        <w:t xml:space="preserve"> </w:t>
      </w:r>
      <w:r w:rsidR="0047032B" w:rsidRPr="0047032B">
        <w:t xml:space="preserve">Not all studies were single arm studies. </w:t>
      </w:r>
      <w:r w:rsidR="0047032B">
        <w:br/>
      </w:r>
      <w:r w:rsidR="0047032B" w:rsidRPr="0047032B">
        <w:rPr>
          <w:vertAlign w:val="superscript"/>
        </w:rPr>
        <w:t>b</w:t>
      </w:r>
      <w:r w:rsidR="0047032B">
        <w:t xml:space="preserve"> </w:t>
      </w:r>
      <w:r w:rsidR="0047032B" w:rsidRPr="0047032B">
        <w:t>Includes Angsuwatcharakon et al. (2019) and Li et al. (2021) which accounted for 5.6% and 11.3% of meta-analysis</w:t>
      </w:r>
      <w:r w:rsidR="00117C11">
        <w:br/>
      </w:r>
      <w:r w:rsidR="00117C11">
        <w:rPr>
          <w:vertAlign w:val="superscript"/>
        </w:rPr>
        <w:t>c</w:t>
      </w:r>
      <w:r w:rsidR="00117C11">
        <w:t xml:space="preserve"> </w:t>
      </w:r>
      <w:r w:rsidR="001C18E9" w:rsidRPr="001C18E9">
        <w:t xml:space="preserve">Updated from 94.1% [71.3%-99.9%] presented in Table 35 1673 ADAR </w:t>
      </w:r>
    </w:p>
    <w:p w14:paraId="4F2DBCB3" w14:textId="6782A5A5" w:rsidR="00664987" w:rsidRPr="00186357" w:rsidRDefault="004D02A7" w:rsidP="0047032B">
      <w:r>
        <w:t xml:space="preserve">The commentary noted the </w:t>
      </w:r>
      <w:r w:rsidR="0047032B">
        <w:t xml:space="preserve">meta-analysis for digital POCPS-EHL/LL should not have included the randomised studies. </w:t>
      </w:r>
      <w:r w:rsidR="00664987">
        <w:t>The ADAR considered the majority of patients in the POCPS meta-analysis were from the USA and the results can be reasonably generalised to Australia with respect to the treatment of difficult biliary stones and ethnic background. The ADAR considered the heterogeneity may be due to</w:t>
      </w:r>
      <w:r w:rsidR="0047032B">
        <w:t xml:space="preserve"> </w:t>
      </w:r>
      <w:r w:rsidR="0047032B" w:rsidRPr="0047032B">
        <w:t>due to differences in patient baseline characteristics, study location, varied definition of difficult biliary stones, varied location of stones, previous attempted treatments as well as inter-operator procedural capability and familiarity.</w:t>
      </w:r>
      <w:r w:rsidR="00664987">
        <w:t xml:space="preserve">  </w:t>
      </w:r>
      <w:r w:rsidR="0047032B">
        <w:t xml:space="preserve">The ADAR noted limitations of the ERCP studies including potential differences due to the clinical setting and age of the study. </w:t>
      </w:r>
    </w:p>
    <w:p w14:paraId="5FDEBE43" w14:textId="77777777" w:rsidR="007416C2" w:rsidRDefault="007416C2" w:rsidP="007416C2">
      <w:pPr>
        <w:pStyle w:val="Heading3"/>
      </w:pPr>
      <w:r>
        <w:t>Investigative application</w:t>
      </w:r>
    </w:p>
    <w:p w14:paraId="37BA097D" w14:textId="40D5776A" w:rsidR="00AE550B" w:rsidRDefault="00FD75F1" w:rsidP="00AE550B">
      <w:pPr>
        <w:spacing w:after="240"/>
      </w:pPr>
      <w:r w:rsidRPr="00FD75F1">
        <w:t xml:space="preserve">The </w:t>
      </w:r>
      <w:r w:rsidR="00CC1550">
        <w:t xml:space="preserve">direct evidence for </w:t>
      </w:r>
      <w:r w:rsidRPr="00FD75F1">
        <w:t>diagnostic accuracy of POCPS-guided biopsy compared to ERCP-guided brush cytology and intraductal biopsy are presented in</w:t>
      </w:r>
      <w:r w:rsidR="00AE550B">
        <w:t xml:space="preserve"> </w:t>
      </w:r>
      <w:r w:rsidR="00AE550B">
        <w:fldChar w:fldCharType="begin"/>
      </w:r>
      <w:r w:rsidR="00AE550B">
        <w:instrText xml:space="preserve"> REF _Ref97720050 \h </w:instrText>
      </w:r>
      <w:r w:rsidR="00AE550B">
        <w:fldChar w:fldCharType="separate"/>
      </w:r>
      <w:r w:rsidR="00D422BC" w:rsidRPr="00EF117E">
        <w:t>Table </w:t>
      </w:r>
      <w:r w:rsidR="00D422BC">
        <w:rPr>
          <w:noProof/>
        </w:rPr>
        <w:t>14</w:t>
      </w:r>
      <w:r w:rsidR="00AE550B">
        <w:fldChar w:fldCharType="end"/>
      </w:r>
      <w:r w:rsidR="00AE550B">
        <w:t>.</w:t>
      </w:r>
    </w:p>
    <w:p w14:paraId="4EF34239" w14:textId="684A6046" w:rsidR="00FD75F1" w:rsidRDefault="00B34577" w:rsidP="00402B01">
      <w:pPr>
        <w:spacing w:after="240"/>
      </w:pPr>
      <w:r>
        <w:t>The ADAR did not identify</w:t>
      </w:r>
      <w:r w:rsidRPr="00B34577">
        <w:t xml:space="preserve"> </w:t>
      </w:r>
      <w:r>
        <w:t xml:space="preserve">any </w:t>
      </w:r>
      <w:r w:rsidRPr="00B34577">
        <w:t xml:space="preserve">studies on the diagnostic accuracy of combined POCPS-guided biopsy and visualisation. </w:t>
      </w:r>
      <w:r>
        <w:t xml:space="preserve">However, the ADAR considered that </w:t>
      </w:r>
      <w:r w:rsidRPr="00B34577">
        <w:t>POCPS-guided visualisation is an essential component of the diagnostic and standard clinical practice in Australia utilises both POCPS-guided visualisation and POCPS-guided biopsy to inform the diagnosis of an indeterminate biliary stricture</w:t>
      </w:r>
      <w:r>
        <w:t xml:space="preserve">. </w:t>
      </w:r>
    </w:p>
    <w:p w14:paraId="07546A00" w14:textId="3279764A" w:rsidR="00140931" w:rsidRPr="002008E8" w:rsidRDefault="00140931" w:rsidP="0015035D">
      <w:pPr>
        <w:pStyle w:val="Caption"/>
        <w:spacing w:before="240"/>
      </w:pPr>
      <w:bookmarkStart w:id="71" w:name="_Ref406161847"/>
      <w:bookmarkStart w:id="72" w:name="_Toc432677285"/>
      <w:bookmarkStart w:id="73" w:name="_Toc406659807"/>
      <w:bookmarkStart w:id="74" w:name="_Ref76313143"/>
      <w:bookmarkStart w:id="75" w:name="_Ref97720050"/>
      <w:bookmarkStart w:id="76" w:name="_Toc84313642"/>
      <w:bookmarkStart w:id="77" w:name="_Toc84324787"/>
      <w:bookmarkStart w:id="78" w:name="_Toc84344220"/>
      <w:bookmarkStart w:id="79" w:name="_Toc88760192"/>
      <w:r w:rsidRPr="00EF117E">
        <w:lastRenderedPageBreak/>
        <w:t>Table </w:t>
      </w:r>
      <w:r>
        <w:fldChar w:fldCharType="begin"/>
      </w:r>
      <w:r>
        <w:instrText>SEQ Table \* ARABIC</w:instrText>
      </w:r>
      <w:r>
        <w:fldChar w:fldCharType="separate"/>
      </w:r>
      <w:r w:rsidR="00D422BC">
        <w:rPr>
          <w:noProof/>
        </w:rPr>
        <w:t>14</w:t>
      </w:r>
      <w:r>
        <w:fldChar w:fldCharType="end"/>
      </w:r>
      <w:bookmarkEnd w:id="71"/>
      <w:bookmarkEnd w:id="72"/>
      <w:bookmarkEnd w:id="73"/>
      <w:bookmarkEnd w:id="74"/>
      <w:bookmarkEnd w:id="75"/>
      <w:r w:rsidRPr="008A73E2">
        <w:tab/>
      </w:r>
      <w:r w:rsidRPr="00B71036">
        <w:t xml:space="preserve">Results of </w:t>
      </w:r>
      <w:r w:rsidRPr="00C46917">
        <w:t xml:space="preserve">test accuracy </w:t>
      </w:r>
      <w:r w:rsidRPr="00A06A3C">
        <w:t>across studies evaluating</w:t>
      </w:r>
      <w:r w:rsidRPr="00470286">
        <w:t xml:space="preserve"> POCPS-</w:t>
      </w:r>
      <w:r>
        <w:t>B</w:t>
      </w:r>
      <w:r w:rsidRPr="00470286">
        <w:t xml:space="preserve"> compared with ERCP-</w:t>
      </w:r>
      <w:r>
        <w:t>BC</w:t>
      </w:r>
      <w:r w:rsidRPr="00470286">
        <w:t>: direct comparative evidence</w:t>
      </w:r>
      <w:bookmarkEnd w:id="76"/>
      <w:bookmarkEnd w:id="77"/>
      <w:bookmarkEnd w:id="78"/>
      <w:bookmarkEnd w:id="79"/>
      <w:r w:rsidRPr="00470286">
        <w:t xml:space="preserve">  </w:t>
      </w:r>
    </w:p>
    <w:tbl>
      <w:tblPr>
        <w:tblStyle w:val="TableGrid"/>
        <w:tblW w:w="5000" w:type="pct"/>
        <w:tblCellMar>
          <w:left w:w="57" w:type="dxa"/>
          <w:right w:w="57" w:type="dxa"/>
        </w:tblCellMar>
        <w:tblLook w:val="04A0" w:firstRow="1" w:lastRow="0" w:firstColumn="1" w:lastColumn="0" w:noHBand="0" w:noVBand="1"/>
        <w:tblCaption w:val="Table 54 Results of test accuracy across studies evaluating POCPS-B compared with ERCP-BC: direct comparative evidence  "/>
        <w:tblDescription w:val="Table 54 Results of test accuracy across studies evaluating POCPS-B compared with ERCP-BC: direct comparative evidence  "/>
      </w:tblPr>
      <w:tblGrid>
        <w:gridCol w:w="1169"/>
        <w:gridCol w:w="1726"/>
        <w:gridCol w:w="711"/>
        <w:gridCol w:w="1333"/>
        <w:gridCol w:w="1152"/>
        <w:gridCol w:w="878"/>
        <w:gridCol w:w="819"/>
        <w:gridCol w:w="1228"/>
      </w:tblGrid>
      <w:tr w:rsidR="00FD75F1" w14:paraId="021E37B2" w14:textId="77777777" w:rsidTr="00996C6A">
        <w:trPr>
          <w:cantSplit/>
          <w:trHeight w:val="301"/>
          <w:tblHeader/>
        </w:trPr>
        <w:tc>
          <w:tcPr>
            <w:tcW w:w="648" w:type="pct"/>
            <w:tcBorders>
              <w:bottom w:val="single" w:sz="4" w:space="0" w:color="D9D9D9" w:themeColor="background1" w:themeShade="D9"/>
            </w:tcBorders>
          </w:tcPr>
          <w:p w14:paraId="4DE12BC4" w14:textId="77777777" w:rsidR="00FD75F1" w:rsidRDefault="00FD75F1" w:rsidP="005E49D6">
            <w:pPr>
              <w:pStyle w:val="TableHeading0"/>
              <w:spacing w:before="0" w:after="0"/>
            </w:pPr>
            <w:r w:rsidRPr="0047211F">
              <w:t>Study</w:t>
            </w:r>
            <w:r>
              <w:t xml:space="preserve"> ID</w:t>
            </w:r>
            <w:r w:rsidRPr="0047211F">
              <w:t>, Country</w:t>
            </w:r>
          </w:p>
          <w:p w14:paraId="4C732657" w14:textId="5DAAEBF8" w:rsidR="00FD75F1" w:rsidRPr="00EF117E" w:rsidRDefault="00FD75F1" w:rsidP="005E49D6">
            <w:pPr>
              <w:pStyle w:val="TableHeading0"/>
              <w:spacing w:before="0" w:after="0"/>
            </w:pPr>
            <w:r>
              <w:t>Generation</w:t>
            </w:r>
          </w:p>
        </w:tc>
        <w:tc>
          <w:tcPr>
            <w:tcW w:w="957" w:type="pct"/>
            <w:tcBorders>
              <w:bottom w:val="single" w:sz="4" w:space="0" w:color="D9D9D9" w:themeColor="background1" w:themeShade="D9"/>
            </w:tcBorders>
          </w:tcPr>
          <w:p w14:paraId="6B2B1F5B" w14:textId="77777777" w:rsidR="00FD75F1" w:rsidRDefault="00FD75F1" w:rsidP="005E49D6">
            <w:pPr>
              <w:pStyle w:val="TableHeading0"/>
              <w:spacing w:before="0" w:after="0"/>
            </w:pPr>
            <w:r w:rsidRPr="0047211F">
              <w:t xml:space="preserve">Study </w:t>
            </w:r>
            <w:r>
              <w:t>D</w:t>
            </w:r>
            <w:r w:rsidRPr="0047211F">
              <w:t>esign, RoB</w:t>
            </w:r>
            <w:r w:rsidR="00996C6A">
              <w:t xml:space="preserve">, </w:t>
            </w:r>
          </w:p>
          <w:p w14:paraId="7892B51D" w14:textId="473C7B3C" w:rsidR="00996C6A" w:rsidRPr="00EF117E" w:rsidRDefault="00996C6A" w:rsidP="005E49D6">
            <w:pPr>
              <w:pStyle w:val="TableHeading0"/>
              <w:spacing w:before="0" w:after="0"/>
            </w:pPr>
            <w:r w:rsidRPr="00BF7812">
              <w:t>Quality of evidence (GRADE)</w:t>
            </w:r>
            <w:r w:rsidRPr="00BF7812">
              <w:rPr>
                <w:vertAlign w:val="superscript"/>
              </w:rPr>
              <w:t xml:space="preserve"> a</w:t>
            </w:r>
          </w:p>
        </w:tc>
        <w:tc>
          <w:tcPr>
            <w:tcW w:w="394" w:type="pct"/>
            <w:tcBorders>
              <w:bottom w:val="single" w:sz="4" w:space="0" w:color="D9D9D9" w:themeColor="background1" w:themeShade="D9"/>
            </w:tcBorders>
          </w:tcPr>
          <w:p w14:paraId="5FCBADBD" w14:textId="77777777" w:rsidR="00FD75F1" w:rsidRPr="00EF117E" w:rsidRDefault="00FD75F1" w:rsidP="005E49D6">
            <w:pPr>
              <w:pStyle w:val="TableHeading0"/>
              <w:spacing w:before="0" w:after="0"/>
            </w:pPr>
            <w:r w:rsidRPr="0047211F">
              <w:t xml:space="preserve">Prior </w:t>
            </w:r>
            <w:r>
              <w:t>T</w:t>
            </w:r>
            <w:r w:rsidRPr="0047211F">
              <w:t>est</w:t>
            </w:r>
          </w:p>
        </w:tc>
        <w:tc>
          <w:tcPr>
            <w:tcW w:w="739" w:type="pct"/>
            <w:tcBorders>
              <w:bottom w:val="single" w:sz="4" w:space="0" w:color="D9D9D9" w:themeColor="background1" w:themeShade="D9"/>
            </w:tcBorders>
          </w:tcPr>
          <w:p w14:paraId="23D5122A" w14:textId="77777777" w:rsidR="00FD75F1" w:rsidRPr="00EF117E" w:rsidRDefault="00FD75F1" w:rsidP="005E49D6">
            <w:pPr>
              <w:pStyle w:val="TableHeading0"/>
              <w:spacing w:before="0" w:after="0"/>
            </w:pPr>
            <w:r w:rsidRPr="0047211F">
              <w:t xml:space="preserve">Reference </w:t>
            </w:r>
            <w:r>
              <w:t>S</w:t>
            </w:r>
            <w:r w:rsidRPr="0047211F">
              <w:t>tandard</w:t>
            </w:r>
          </w:p>
        </w:tc>
        <w:tc>
          <w:tcPr>
            <w:tcW w:w="639" w:type="pct"/>
            <w:tcBorders>
              <w:bottom w:val="single" w:sz="4" w:space="0" w:color="D9D9D9" w:themeColor="background1" w:themeShade="D9"/>
            </w:tcBorders>
          </w:tcPr>
          <w:p w14:paraId="40269B51" w14:textId="77777777" w:rsidR="00FD75F1" w:rsidRPr="00EF117E" w:rsidRDefault="00FD75F1" w:rsidP="005E49D6">
            <w:pPr>
              <w:pStyle w:val="TableHeading0"/>
              <w:spacing w:before="0" w:after="0"/>
            </w:pPr>
            <w:r w:rsidRPr="0047211F">
              <w:t xml:space="preserve">Test </w:t>
            </w:r>
            <w:r>
              <w:t>A</w:t>
            </w:r>
            <w:r w:rsidRPr="0047211F">
              <w:t xml:space="preserve">ccuracy </w:t>
            </w:r>
            <w:r>
              <w:t>O</w:t>
            </w:r>
            <w:r w:rsidRPr="0047211F">
              <w:t>utcomes</w:t>
            </w:r>
          </w:p>
        </w:tc>
        <w:tc>
          <w:tcPr>
            <w:tcW w:w="487" w:type="pct"/>
            <w:tcBorders>
              <w:left w:val="single" w:sz="4" w:space="0" w:color="FFFFFF"/>
              <w:right w:val="single" w:sz="4" w:space="0" w:color="D9D9D9" w:themeColor="background1" w:themeShade="D9"/>
            </w:tcBorders>
          </w:tcPr>
          <w:p w14:paraId="242145E6" w14:textId="5CDB5C9C" w:rsidR="00FD75F1" w:rsidRPr="00EF117E" w:rsidRDefault="00FD75F1" w:rsidP="005E49D6">
            <w:pPr>
              <w:pStyle w:val="TableHeading0"/>
              <w:spacing w:before="0" w:after="0"/>
            </w:pPr>
            <w:r w:rsidRPr="00920E3C">
              <w:t>POCPS-B</w:t>
            </w:r>
          </w:p>
        </w:tc>
        <w:tc>
          <w:tcPr>
            <w:tcW w:w="454" w:type="pct"/>
            <w:tcBorders>
              <w:left w:val="single" w:sz="4" w:space="0" w:color="D9D9D9" w:themeColor="background1" w:themeShade="D9"/>
              <w:right w:val="single" w:sz="4" w:space="0" w:color="D9D9D9" w:themeColor="background1" w:themeShade="D9"/>
            </w:tcBorders>
          </w:tcPr>
          <w:p w14:paraId="2B83495F" w14:textId="59199279" w:rsidR="00FD75F1" w:rsidRPr="00210E8B" w:rsidRDefault="00FD75F1" w:rsidP="005E49D6">
            <w:pPr>
              <w:pStyle w:val="TableHeading0"/>
              <w:spacing w:before="0" w:after="0"/>
            </w:pPr>
            <w:r w:rsidRPr="00920E3C">
              <w:t>ERCP-BC</w:t>
            </w:r>
          </w:p>
        </w:tc>
        <w:tc>
          <w:tcPr>
            <w:tcW w:w="681" w:type="pct"/>
            <w:tcBorders>
              <w:left w:val="single" w:sz="4" w:space="0" w:color="D9D9D9" w:themeColor="background1" w:themeShade="D9"/>
            </w:tcBorders>
          </w:tcPr>
          <w:p w14:paraId="66A2798E" w14:textId="5A963886" w:rsidR="00FD75F1" w:rsidRPr="00004568" w:rsidRDefault="00FD75F1" w:rsidP="005E49D6">
            <w:pPr>
              <w:pStyle w:val="TableHeading0"/>
              <w:spacing w:before="0" w:after="0"/>
            </w:pPr>
            <w:r w:rsidRPr="00920E3C">
              <w:t>Difference</w:t>
            </w:r>
            <w:r w:rsidRPr="00920E3C">
              <w:br/>
              <w:t>(p-value)</w:t>
            </w:r>
          </w:p>
        </w:tc>
      </w:tr>
      <w:tr w:rsidR="00996C6A" w14:paraId="22BB8264" w14:textId="77777777" w:rsidTr="00B75BA3">
        <w:trPr>
          <w:cantSplit/>
          <w:trHeight w:val="85"/>
        </w:trPr>
        <w:tc>
          <w:tcPr>
            <w:tcW w:w="648" w:type="pct"/>
            <w:vMerge w:val="restart"/>
          </w:tcPr>
          <w:p w14:paraId="36D3CB8C" w14:textId="77FAF9C6" w:rsidR="00996C6A" w:rsidRDefault="00996C6A" w:rsidP="005E49D6">
            <w:pPr>
              <w:pStyle w:val="TableText"/>
              <w:spacing w:before="0" w:after="0"/>
              <w:ind w:left="57" w:right="57"/>
              <w:rPr>
                <w:rFonts w:cs="Calibri"/>
              </w:rPr>
            </w:pPr>
            <w:r>
              <w:fldChar w:fldCharType="begin">
                <w:fldData xml:space="preserve">PEVuZE5vdGU+PENpdGUgQXV0aG9yWWVhcj0iMSI+PEF1dGhvcj5HZXJnZXM8L0F1dGhvcj48WWVh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</w:fldData>
              </w:fldChar>
            </w:r>
            <w:r>
              <w:instrText xml:space="preserve"> ADDIN EN.CITE </w:instrText>
            </w:r>
            <w:r>
              <w:fldChar w:fldCharType="begin">
                <w:fldData xml:space="preserve">PEVuZE5vdGU+PENpdGUgQXV0aG9yWWVhcj0iMSI+PEF1dGhvcj5HZXJnZXM8L0F1dGhvcj48WWVh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</w:fldData>
              </w:fldChar>
            </w:r>
            <w:r>
              <w:instrText xml:space="preserve"> ADDIN EN.CITE.DATA </w:instrText>
            </w:r>
            <w:r>
              <w:fldChar w:fldCharType="end"/>
            </w:r>
            <w:r>
              <w:fldChar w:fldCharType="separate"/>
            </w:r>
            <w:r>
              <w:rPr>
                <w:noProof/>
              </w:rPr>
              <w:t>Gerges et al. (2020)</w:t>
            </w:r>
            <w:r>
              <w:fldChar w:fldCharType="end"/>
            </w:r>
            <w:r>
              <w:t xml:space="preserve">, </w:t>
            </w:r>
            <w:r>
              <w:rPr>
                <w:rFonts w:cs="Calibri"/>
              </w:rPr>
              <w:t>multiple</w:t>
            </w:r>
          </w:p>
          <w:p w14:paraId="1AAE1FD0" w14:textId="0AF1DE4A" w:rsidR="00996C6A" w:rsidRPr="008F3E59" w:rsidRDefault="00996C6A" w:rsidP="005E49D6">
            <w:pPr>
              <w:pStyle w:val="TableText"/>
              <w:spacing w:before="0" w:after="0"/>
              <w:ind w:left="57" w:right="57"/>
            </w:pPr>
            <w:r>
              <w:rPr>
                <w:rFonts w:cs="Calibri"/>
              </w:rPr>
              <w:t>Digital</w:t>
            </w:r>
          </w:p>
        </w:tc>
        <w:tc>
          <w:tcPr>
            <w:tcW w:w="957" w:type="pct"/>
            <w:vMerge w:val="restart"/>
          </w:tcPr>
          <w:p w14:paraId="25072496" w14:textId="3FA0D80B" w:rsidR="00996C6A" w:rsidRDefault="00996C6A" w:rsidP="005E49D6">
            <w:pPr>
              <w:pStyle w:val="TableText"/>
              <w:spacing w:before="0" w:after="0"/>
              <w:ind w:left="57" w:right="57"/>
            </w:pPr>
            <w:r>
              <w:t>RCT</w:t>
            </w:r>
          </w:p>
          <w:p w14:paraId="1E1366E9" w14:textId="77777777" w:rsidR="00996C6A" w:rsidRPr="00996C6A" w:rsidRDefault="00996C6A" w:rsidP="005E49D6">
            <w:pPr>
              <w:pStyle w:val="TableText"/>
              <w:spacing w:before="0" w:after="0"/>
              <w:ind w:left="57" w:right="57"/>
            </w:pPr>
            <w:r w:rsidRPr="00996C6A">
              <w:t>Low risk of bias</w:t>
            </w:r>
          </w:p>
          <w:p w14:paraId="46257167" w14:textId="77777777" w:rsidR="00996C6A" w:rsidRPr="00996C6A" w:rsidRDefault="00996C6A" w:rsidP="005E49D6">
            <w:pPr>
              <w:pStyle w:val="TableText"/>
              <w:spacing w:before="0" w:after="0"/>
              <w:ind w:left="57" w:right="57"/>
            </w:pPr>
            <w:r w:rsidRPr="00996C6A">
              <w:t>Concerns about applicability</w:t>
            </w:r>
          </w:p>
          <w:p w14:paraId="695FB901" w14:textId="7AEE30BA" w:rsidR="00996C6A" w:rsidRPr="00996C6A" w:rsidRDefault="00996C6A" w:rsidP="005E49D6">
            <w:pPr>
              <w:pStyle w:val="TableText"/>
              <w:spacing w:before="0" w:after="0"/>
              <w:ind w:left="57" w:right="57"/>
              <w:rPr>
                <w:b/>
                <w:bCs/>
                <w:i/>
                <w:iCs/>
                <w:vertAlign w:val="superscript"/>
              </w:rPr>
            </w:pPr>
            <w:r w:rsidRPr="00BF7812">
              <w:rPr>
                <w:rFonts w:ascii="Cambria Math" w:hAnsi="Cambria Math"/>
                <w:color w:val="00B050"/>
              </w:rPr>
              <w:t>⨁</w:t>
            </w:r>
            <w:r w:rsidRPr="00BF7812">
              <w:rPr>
                <w:rFonts w:ascii="Cambria Math" w:hAnsi="Cambria Math" w:cs="Cambria Math"/>
                <w:color w:val="C00000"/>
              </w:rPr>
              <w:t>⨀⨀⨀</w:t>
            </w:r>
            <w:r>
              <w:rPr>
                <w:rFonts w:ascii="Cambria Math" w:hAnsi="Cambria Math" w:cs="Cambria Math"/>
                <w:color w:val="C00000"/>
              </w:rPr>
              <w:t xml:space="preserve"> </w:t>
            </w:r>
            <w:r>
              <w:rPr>
                <w:vertAlign w:val="superscript"/>
              </w:rPr>
              <w:t>b</w:t>
            </w:r>
          </w:p>
        </w:tc>
        <w:tc>
          <w:tcPr>
            <w:tcW w:w="394" w:type="pct"/>
            <w:vMerge w:val="restart"/>
          </w:tcPr>
          <w:p w14:paraId="1521007A" w14:textId="77777777" w:rsidR="00996C6A" w:rsidRPr="008F3E59" w:rsidRDefault="00996C6A" w:rsidP="005E49D6">
            <w:pPr>
              <w:pStyle w:val="TableText"/>
              <w:spacing w:before="0" w:after="0"/>
              <w:ind w:left="57" w:right="57"/>
            </w:pPr>
            <w:r>
              <w:rPr>
                <w:bCs/>
                <w:snapToGrid w:val="0"/>
              </w:rPr>
              <w:t>MRCP</w:t>
            </w:r>
          </w:p>
        </w:tc>
        <w:tc>
          <w:tcPr>
            <w:tcW w:w="739" w:type="pct"/>
            <w:vMerge w:val="restart"/>
          </w:tcPr>
          <w:p w14:paraId="2E1C059D" w14:textId="40C1F980" w:rsidR="00996C6A" w:rsidRPr="008F3E59" w:rsidRDefault="00996C6A" w:rsidP="005E49D6">
            <w:pPr>
              <w:pStyle w:val="TableText"/>
              <w:spacing w:before="0" w:after="0"/>
              <w:ind w:left="57" w:right="57"/>
            </w:pPr>
            <w:r w:rsidRPr="00FC1D72">
              <w:rPr>
                <w:rFonts w:cs="Calibri"/>
                <w:lang w:eastAsia="en-GB"/>
              </w:rPr>
              <w:t>Clinical follow</w:t>
            </w:r>
            <w:r>
              <w:rPr>
                <w:rFonts w:cs="Calibri"/>
                <w:lang w:eastAsia="en-GB"/>
              </w:rPr>
              <w:t xml:space="preserve"> </w:t>
            </w:r>
            <w:r w:rsidRPr="00FC1D72">
              <w:rPr>
                <w:rFonts w:cs="Calibri"/>
                <w:lang w:eastAsia="en-GB"/>
              </w:rPr>
              <w:t xml:space="preserve">up </w:t>
            </w:r>
            <w:r>
              <w:rPr>
                <w:rFonts w:cs="Calibri"/>
                <w:lang w:eastAsia="en-GB"/>
              </w:rPr>
              <w:t xml:space="preserve">(6 months) </w:t>
            </w:r>
            <w:r w:rsidRPr="00FC1D72">
              <w:rPr>
                <w:rFonts w:cs="Calibri"/>
                <w:lang w:eastAsia="en-GB"/>
              </w:rPr>
              <w:t xml:space="preserve">or </w:t>
            </w:r>
            <w:r>
              <w:t>histological examination</w:t>
            </w:r>
          </w:p>
        </w:tc>
        <w:tc>
          <w:tcPr>
            <w:tcW w:w="639" w:type="pct"/>
          </w:tcPr>
          <w:p w14:paraId="041021D8" w14:textId="77777777" w:rsidR="00996C6A" w:rsidRPr="001D0483" w:rsidRDefault="00996C6A" w:rsidP="005E49D6">
            <w:pPr>
              <w:pStyle w:val="TableText"/>
              <w:spacing w:before="0" w:after="0"/>
              <w:ind w:left="57" w:right="57"/>
            </w:pPr>
            <w:r w:rsidRPr="001D0483">
              <w:t>Sensitivity</w:t>
            </w:r>
          </w:p>
        </w:tc>
        <w:tc>
          <w:tcPr>
            <w:tcW w:w="487" w:type="pct"/>
          </w:tcPr>
          <w:p w14:paraId="79EF0BB8" w14:textId="77777777" w:rsidR="00996C6A" w:rsidRPr="00996C6A" w:rsidRDefault="00996C6A" w:rsidP="005E49D6">
            <w:pPr>
              <w:pStyle w:val="TableText"/>
              <w:spacing w:before="0" w:after="0"/>
              <w:ind w:left="57" w:right="57"/>
            </w:pPr>
            <w:r w:rsidRPr="00996C6A">
              <w:t>68.2%</w:t>
            </w:r>
          </w:p>
        </w:tc>
        <w:tc>
          <w:tcPr>
            <w:tcW w:w="454" w:type="pct"/>
          </w:tcPr>
          <w:p w14:paraId="6B4A29A8" w14:textId="77777777" w:rsidR="00996C6A" w:rsidRPr="00996C6A" w:rsidRDefault="00996C6A" w:rsidP="005E49D6">
            <w:pPr>
              <w:pStyle w:val="TableText"/>
              <w:spacing w:before="0" w:after="0"/>
              <w:ind w:left="57" w:right="57"/>
            </w:pPr>
            <w:r w:rsidRPr="00996C6A">
              <w:t>21.4%</w:t>
            </w:r>
          </w:p>
        </w:tc>
        <w:tc>
          <w:tcPr>
            <w:tcW w:w="681" w:type="pct"/>
            <w:shd w:val="clear" w:color="auto" w:fill="auto"/>
          </w:tcPr>
          <w:p w14:paraId="34051D71" w14:textId="77777777" w:rsidR="00996C6A" w:rsidRPr="00996C6A" w:rsidRDefault="00996C6A" w:rsidP="005E49D6">
            <w:pPr>
              <w:pStyle w:val="TableText"/>
              <w:spacing w:before="0" w:after="0"/>
              <w:ind w:left="57" w:right="57"/>
            </w:pPr>
            <w:r w:rsidRPr="00996C6A">
              <w:t>46.8%</w:t>
            </w:r>
          </w:p>
          <w:p w14:paraId="43475603" w14:textId="77777777" w:rsidR="00996C6A" w:rsidRPr="00996C6A" w:rsidRDefault="00996C6A" w:rsidP="005E49D6">
            <w:pPr>
              <w:pStyle w:val="TableText"/>
              <w:spacing w:before="0" w:after="0"/>
              <w:ind w:left="57" w:right="57"/>
            </w:pPr>
            <w:r w:rsidRPr="00996C6A">
              <w:t>(&lt;0.01)</w:t>
            </w:r>
          </w:p>
        </w:tc>
      </w:tr>
      <w:tr w:rsidR="00996C6A" w14:paraId="07CDC730" w14:textId="77777777" w:rsidTr="00B75BA3">
        <w:trPr>
          <w:cantSplit/>
          <w:trHeight w:val="70"/>
        </w:trPr>
        <w:tc>
          <w:tcPr>
            <w:tcW w:w="648" w:type="pct"/>
            <w:vMerge/>
          </w:tcPr>
          <w:p w14:paraId="0E85ECE1" w14:textId="77777777" w:rsidR="00996C6A" w:rsidRPr="008F3E59" w:rsidRDefault="00996C6A" w:rsidP="005E49D6">
            <w:pPr>
              <w:pStyle w:val="TableText"/>
              <w:spacing w:before="0" w:after="0"/>
              <w:ind w:left="57" w:right="57"/>
            </w:pPr>
          </w:p>
        </w:tc>
        <w:tc>
          <w:tcPr>
            <w:tcW w:w="957" w:type="pct"/>
            <w:vMerge/>
          </w:tcPr>
          <w:p w14:paraId="42DD3035" w14:textId="77777777" w:rsidR="00996C6A" w:rsidRPr="008F3E59" w:rsidRDefault="00996C6A" w:rsidP="005E49D6">
            <w:pPr>
              <w:pStyle w:val="TableText"/>
              <w:spacing w:before="0" w:after="0"/>
              <w:ind w:left="57" w:right="57"/>
            </w:pPr>
          </w:p>
        </w:tc>
        <w:tc>
          <w:tcPr>
            <w:tcW w:w="394" w:type="pct"/>
            <w:vMerge/>
          </w:tcPr>
          <w:p w14:paraId="776D67E0" w14:textId="77777777" w:rsidR="00996C6A" w:rsidRPr="008F3E59" w:rsidRDefault="00996C6A" w:rsidP="005E49D6">
            <w:pPr>
              <w:pStyle w:val="TableText"/>
              <w:spacing w:before="0" w:after="0"/>
              <w:ind w:left="57" w:right="57"/>
            </w:pPr>
          </w:p>
        </w:tc>
        <w:tc>
          <w:tcPr>
            <w:tcW w:w="739" w:type="pct"/>
            <w:vMerge/>
          </w:tcPr>
          <w:p w14:paraId="3B3703B2" w14:textId="77777777" w:rsidR="00996C6A" w:rsidRPr="008F3E59" w:rsidRDefault="00996C6A" w:rsidP="005E49D6">
            <w:pPr>
              <w:pStyle w:val="TableText"/>
              <w:spacing w:before="0" w:after="0"/>
              <w:ind w:left="57" w:right="57"/>
            </w:pPr>
          </w:p>
        </w:tc>
        <w:tc>
          <w:tcPr>
            <w:tcW w:w="639" w:type="pct"/>
          </w:tcPr>
          <w:p w14:paraId="48959F4D" w14:textId="77777777" w:rsidR="00996C6A" w:rsidRPr="001D0483" w:rsidRDefault="00996C6A" w:rsidP="005E49D6">
            <w:pPr>
              <w:pStyle w:val="TableText"/>
              <w:spacing w:before="0" w:after="0"/>
              <w:ind w:left="57" w:right="57"/>
            </w:pPr>
            <w:r w:rsidRPr="001D0483">
              <w:t>Specificity</w:t>
            </w:r>
          </w:p>
        </w:tc>
        <w:tc>
          <w:tcPr>
            <w:tcW w:w="487" w:type="pct"/>
          </w:tcPr>
          <w:p w14:paraId="276E6189" w14:textId="77777777" w:rsidR="00996C6A" w:rsidRPr="00996C6A" w:rsidRDefault="00996C6A" w:rsidP="005E49D6">
            <w:pPr>
              <w:pStyle w:val="TableText"/>
              <w:spacing w:before="0" w:after="0"/>
              <w:ind w:left="57" w:right="57"/>
            </w:pPr>
            <w:r w:rsidRPr="00996C6A">
              <w:t>62.5%</w:t>
            </w:r>
          </w:p>
        </w:tc>
        <w:tc>
          <w:tcPr>
            <w:tcW w:w="454" w:type="pct"/>
          </w:tcPr>
          <w:p w14:paraId="50A09BFC" w14:textId="77777777" w:rsidR="00996C6A" w:rsidRPr="00996C6A" w:rsidRDefault="00996C6A" w:rsidP="005E49D6">
            <w:pPr>
              <w:pStyle w:val="TableText"/>
              <w:spacing w:before="0" w:after="0"/>
              <w:ind w:left="57" w:right="57"/>
            </w:pPr>
            <w:r w:rsidRPr="00996C6A">
              <w:t>85%</w:t>
            </w:r>
          </w:p>
        </w:tc>
        <w:tc>
          <w:tcPr>
            <w:tcW w:w="681" w:type="pct"/>
            <w:shd w:val="clear" w:color="auto" w:fill="auto"/>
          </w:tcPr>
          <w:p w14:paraId="3C8CFCDF" w14:textId="77777777" w:rsidR="00996C6A" w:rsidRPr="00996C6A" w:rsidRDefault="00996C6A" w:rsidP="005E49D6">
            <w:pPr>
              <w:pStyle w:val="TableText"/>
              <w:spacing w:before="0" w:after="0"/>
              <w:ind w:left="57" w:right="57"/>
            </w:pPr>
            <w:r w:rsidRPr="00996C6A">
              <w:t>-22% (0.25)</w:t>
            </w:r>
          </w:p>
        </w:tc>
      </w:tr>
      <w:tr w:rsidR="00996C6A" w14:paraId="06C3357D" w14:textId="77777777" w:rsidTr="00B75BA3">
        <w:trPr>
          <w:cantSplit/>
          <w:trHeight w:val="70"/>
        </w:trPr>
        <w:tc>
          <w:tcPr>
            <w:tcW w:w="648" w:type="pct"/>
            <w:vMerge/>
          </w:tcPr>
          <w:p w14:paraId="7C5F3D8C" w14:textId="77777777" w:rsidR="00996C6A" w:rsidRPr="008F3E59" w:rsidRDefault="00996C6A" w:rsidP="005E49D6">
            <w:pPr>
              <w:pStyle w:val="TableText"/>
              <w:spacing w:before="0" w:after="0"/>
              <w:ind w:left="57" w:right="57"/>
            </w:pPr>
          </w:p>
        </w:tc>
        <w:tc>
          <w:tcPr>
            <w:tcW w:w="957" w:type="pct"/>
            <w:vMerge/>
          </w:tcPr>
          <w:p w14:paraId="6CC91E24" w14:textId="77777777" w:rsidR="00996C6A" w:rsidRPr="008F3E59" w:rsidRDefault="00996C6A" w:rsidP="005E49D6">
            <w:pPr>
              <w:pStyle w:val="TableText"/>
              <w:spacing w:before="0" w:after="0"/>
              <w:ind w:left="57" w:right="57"/>
            </w:pPr>
          </w:p>
        </w:tc>
        <w:tc>
          <w:tcPr>
            <w:tcW w:w="394" w:type="pct"/>
            <w:vMerge/>
          </w:tcPr>
          <w:p w14:paraId="4AB40372" w14:textId="77777777" w:rsidR="00996C6A" w:rsidRPr="008F3E59" w:rsidRDefault="00996C6A" w:rsidP="005E49D6">
            <w:pPr>
              <w:pStyle w:val="TableText"/>
              <w:spacing w:before="0" w:after="0"/>
              <w:ind w:left="57" w:right="57"/>
            </w:pPr>
          </w:p>
        </w:tc>
        <w:tc>
          <w:tcPr>
            <w:tcW w:w="739" w:type="pct"/>
            <w:vMerge/>
          </w:tcPr>
          <w:p w14:paraId="76F50C2B" w14:textId="77777777" w:rsidR="00996C6A" w:rsidRPr="008F3E59" w:rsidRDefault="00996C6A" w:rsidP="005E49D6">
            <w:pPr>
              <w:pStyle w:val="TableText"/>
              <w:spacing w:before="0" w:after="0"/>
              <w:ind w:left="57" w:right="57"/>
            </w:pPr>
          </w:p>
        </w:tc>
        <w:tc>
          <w:tcPr>
            <w:tcW w:w="639" w:type="pct"/>
          </w:tcPr>
          <w:p w14:paraId="31E0D312" w14:textId="77777777" w:rsidR="00996C6A" w:rsidRPr="001D0483" w:rsidRDefault="00996C6A" w:rsidP="005E49D6">
            <w:pPr>
              <w:pStyle w:val="TableText"/>
              <w:spacing w:before="0" w:after="0"/>
              <w:ind w:left="57" w:right="57"/>
            </w:pPr>
            <w:r w:rsidRPr="001D0483">
              <w:t>PPV</w:t>
            </w:r>
          </w:p>
        </w:tc>
        <w:tc>
          <w:tcPr>
            <w:tcW w:w="487" w:type="pct"/>
          </w:tcPr>
          <w:p w14:paraId="4DFBC2C2" w14:textId="77777777" w:rsidR="00996C6A" w:rsidRPr="00996C6A" w:rsidRDefault="00996C6A" w:rsidP="005E49D6">
            <w:pPr>
              <w:pStyle w:val="TableText"/>
              <w:spacing w:before="0" w:after="0"/>
              <w:ind w:left="57" w:right="57"/>
            </w:pPr>
            <w:r w:rsidRPr="00996C6A">
              <w:t>100%</w:t>
            </w:r>
          </w:p>
        </w:tc>
        <w:tc>
          <w:tcPr>
            <w:tcW w:w="454" w:type="pct"/>
          </w:tcPr>
          <w:p w14:paraId="0AD370FF" w14:textId="77777777" w:rsidR="00996C6A" w:rsidRPr="00996C6A" w:rsidRDefault="00996C6A" w:rsidP="005E49D6">
            <w:pPr>
              <w:pStyle w:val="TableText"/>
              <w:spacing w:before="0" w:after="0"/>
              <w:ind w:left="57" w:right="57"/>
            </w:pPr>
            <w:r w:rsidRPr="00996C6A">
              <w:t>100%</w:t>
            </w:r>
          </w:p>
        </w:tc>
        <w:tc>
          <w:tcPr>
            <w:tcW w:w="681" w:type="pct"/>
            <w:shd w:val="clear" w:color="auto" w:fill="auto"/>
          </w:tcPr>
          <w:p w14:paraId="34B45F92" w14:textId="77777777" w:rsidR="00996C6A" w:rsidRPr="00996C6A" w:rsidRDefault="00996C6A" w:rsidP="005E49D6">
            <w:pPr>
              <w:pStyle w:val="TableText"/>
              <w:spacing w:before="0" w:after="0"/>
              <w:ind w:left="57" w:right="57"/>
            </w:pPr>
            <w:r w:rsidRPr="00996C6A">
              <w:t>0%</w:t>
            </w:r>
          </w:p>
        </w:tc>
      </w:tr>
      <w:tr w:rsidR="00996C6A" w14:paraId="32552EB0" w14:textId="77777777" w:rsidTr="00B75BA3">
        <w:trPr>
          <w:cantSplit/>
          <w:trHeight w:val="70"/>
        </w:trPr>
        <w:tc>
          <w:tcPr>
            <w:tcW w:w="648" w:type="pct"/>
            <w:vMerge/>
          </w:tcPr>
          <w:p w14:paraId="09E7C0E6" w14:textId="77777777" w:rsidR="00996C6A" w:rsidRPr="008F3E59" w:rsidRDefault="00996C6A" w:rsidP="005E49D6">
            <w:pPr>
              <w:pStyle w:val="TableText"/>
              <w:spacing w:before="0" w:after="0"/>
              <w:ind w:left="57" w:right="57"/>
            </w:pPr>
          </w:p>
        </w:tc>
        <w:tc>
          <w:tcPr>
            <w:tcW w:w="957" w:type="pct"/>
            <w:vMerge/>
          </w:tcPr>
          <w:p w14:paraId="1ADFEBC8" w14:textId="77777777" w:rsidR="00996C6A" w:rsidRPr="008F3E59" w:rsidRDefault="00996C6A" w:rsidP="005E49D6">
            <w:pPr>
              <w:pStyle w:val="TableText"/>
              <w:spacing w:before="0" w:after="0"/>
              <w:ind w:left="57" w:right="57"/>
            </w:pPr>
          </w:p>
        </w:tc>
        <w:tc>
          <w:tcPr>
            <w:tcW w:w="394" w:type="pct"/>
            <w:vMerge/>
          </w:tcPr>
          <w:p w14:paraId="0FFBD1EC" w14:textId="77777777" w:rsidR="00996C6A" w:rsidRPr="008F3E59" w:rsidRDefault="00996C6A" w:rsidP="005E49D6">
            <w:pPr>
              <w:pStyle w:val="TableText"/>
              <w:spacing w:before="0" w:after="0"/>
              <w:ind w:left="57" w:right="57"/>
            </w:pPr>
          </w:p>
        </w:tc>
        <w:tc>
          <w:tcPr>
            <w:tcW w:w="739" w:type="pct"/>
            <w:vMerge/>
          </w:tcPr>
          <w:p w14:paraId="4AB1087A" w14:textId="77777777" w:rsidR="00996C6A" w:rsidRPr="008F3E59" w:rsidRDefault="00996C6A" w:rsidP="005E49D6">
            <w:pPr>
              <w:pStyle w:val="TableText"/>
              <w:spacing w:before="0" w:after="0"/>
              <w:ind w:left="57" w:right="57"/>
            </w:pPr>
          </w:p>
        </w:tc>
        <w:tc>
          <w:tcPr>
            <w:tcW w:w="639" w:type="pct"/>
          </w:tcPr>
          <w:p w14:paraId="049EFD93" w14:textId="77777777" w:rsidR="00996C6A" w:rsidRPr="001D0483" w:rsidRDefault="00996C6A" w:rsidP="005E49D6">
            <w:pPr>
              <w:pStyle w:val="TableText"/>
              <w:spacing w:before="0" w:after="0"/>
              <w:ind w:left="57" w:right="57"/>
            </w:pPr>
            <w:r w:rsidRPr="001D0483">
              <w:t>NPV</w:t>
            </w:r>
          </w:p>
        </w:tc>
        <w:tc>
          <w:tcPr>
            <w:tcW w:w="487" w:type="pct"/>
          </w:tcPr>
          <w:p w14:paraId="64954E6F" w14:textId="77777777" w:rsidR="00996C6A" w:rsidRPr="00996C6A" w:rsidRDefault="00996C6A" w:rsidP="005E49D6">
            <w:pPr>
              <w:pStyle w:val="TableText"/>
              <w:spacing w:before="0" w:after="0"/>
              <w:ind w:left="57" w:right="57"/>
            </w:pPr>
            <w:r w:rsidRPr="00996C6A">
              <w:t>45.5%</w:t>
            </w:r>
          </w:p>
        </w:tc>
        <w:tc>
          <w:tcPr>
            <w:tcW w:w="454" w:type="pct"/>
          </w:tcPr>
          <w:p w14:paraId="3B54C32E" w14:textId="77777777" w:rsidR="00996C6A" w:rsidRPr="00996C6A" w:rsidRDefault="00996C6A" w:rsidP="005E49D6">
            <w:pPr>
              <w:pStyle w:val="TableText"/>
              <w:spacing w:before="0" w:after="0"/>
              <w:ind w:left="57" w:right="57"/>
            </w:pPr>
            <w:r w:rsidRPr="00996C6A">
              <w:t>64.7%</w:t>
            </w:r>
          </w:p>
        </w:tc>
        <w:tc>
          <w:tcPr>
            <w:tcW w:w="681" w:type="pct"/>
            <w:shd w:val="clear" w:color="auto" w:fill="auto"/>
          </w:tcPr>
          <w:p w14:paraId="054B3C4E" w14:textId="77777777" w:rsidR="00996C6A" w:rsidRPr="00996C6A" w:rsidRDefault="00996C6A" w:rsidP="005E49D6">
            <w:pPr>
              <w:pStyle w:val="TableText"/>
              <w:spacing w:before="0" w:after="0"/>
              <w:ind w:left="57" w:right="57"/>
            </w:pPr>
            <w:r w:rsidRPr="00996C6A">
              <w:t>-19.2%</w:t>
            </w:r>
          </w:p>
        </w:tc>
      </w:tr>
      <w:tr w:rsidR="00996C6A" w14:paraId="44776D32" w14:textId="77777777" w:rsidTr="00B75BA3">
        <w:trPr>
          <w:cantSplit/>
          <w:trHeight w:val="237"/>
        </w:trPr>
        <w:tc>
          <w:tcPr>
            <w:tcW w:w="648" w:type="pct"/>
            <w:tcBorders>
              <w:bottom w:val="single" w:sz="4" w:space="0" w:color="FFFFFF"/>
            </w:tcBorders>
          </w:tcPr>
          <w:p w14:paraId="4501312C" w14:textId="43E7AA55" w:rsidR="00996C6A" w:rsidRDefault="00996C6A" w:rsidP="005E49D6">
            <w:pPr>
              <w:pStyle w:val="TableText"/>
              <w:spacing w:before="0" w:after="0"/>
              <w:ind w:left="57" w:right="57"/>
              <w:rPr>
                <w:rFonts w:cs="Calibri"/>
              </w:rPr>
            </w:pPr>
            <w:r>
              <w:fldChar w:fldCharType="begin">
                <w:fldData xml:space="preserve">PEVuZE5vdGU+PENpdGUgQXV0aG9yWWVhcj0iMSI+PEF1dGhvcj5EcmFnYW5vdjwvQXV0aG9yPjxZ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==
</w:fldData>
              </w:fldChar>
            </w:r>
            <w:r>
              <w:instrText xml:space="preserve"> ADDIN EN.CITE </w:instrText>
            </w:r>
            <w:r>
              <w:fldChar w:fldCharType="begin">
                <w:fldData xml:space="preserve">PEVuZE5vdGU+PENpdGUgQXV0aG9yWWVhcj0iMSI+PEF1dGhvcj5EcmFnYW5vdjwvQXV0aG9yPjxZ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==
</w:fldData>
              </w:fldChar>
            </w:r>
            <w:r>
              <w:instrText xml:space="preserve"> ADDIN EN.CITE.DATA </w:instrText>
            </w:r>
            <w:r>
              <w:fldChar w:fldCharType="end"/>
            </w:r>
            <w:r>
              <w:fldChar w:fldCharType="separate"/>
            </w:r>
            <w:r>
              <w:rPr>
                <w:noProof/>
              </w:rPr>
              <w:t>Draganov et al. (2012)</w:t>
            </w:r>
            <w:r>
              <w:fldChar w:fldCharType="end"/>
            </w:r>
            <w:r>
              <w:t xml:space="preserve">, </w:t>
            </w:r>
            <w:r>
              <w:rPr>
                <w:rFonts w:cs="Calibri"/>
              </w:rPr>
              <w:t>USA</w:t>
            </w:r>
          </w:p>
          <w:p w14:paraId="08ECF22E" w14:textId="668EB65D" w:rsidR="00996C6A" w:rsidRPr="008F3E59" w:rsidRDefault="00996C6A" w:rsidP="005E49D6">
            <w:pPr>
              <w:pStyle w:val="TableText"/>
              <w:spacing w:before="0" w:after="0"/>
              <w:ind w:left="57" w:right="57"/>
            </w:pPr>
            <w:r>
              <w:rPr>
                <w:rFonts w:cs="Calibri"/>
              </w:rPr>
              <w:t>Legacy</w:t>
            </w:r>
          </w:p>
        </w:tc>
        <w:tc>
          <w:tcPr>
            <w:tcW w:w="957" w:type="pct"/>
            <w:vMerge w:val="restart"/>
          </w:tcPr>
          <w:p w14:paraId="051372D5" w14:textId="0B9F9BDB" w:rsidR="00996C6A" w:rsidRDefault="00996C6A" w:rsidP="005E49D6">
            <w:pPr>
              <w:pStyle w:val="TableText"/>
              <w:spacing w:before="0" w:after="0"/>
              <w:ind w:left="57" w:right="57"/>
            </w:pPr>
            <w:r>
              <w:t>NRCT</w:t>
            </w:r>
          </w:p>
          <w:p w14:paraId="5628F79F" w14:textId="77777777" w:rsidR="00996C6A" w:rsidRPr="00996C6A" w:rsidRDefault="00996C6A" w:rsidP="005E49D6">
            <w:pPr>
              <w:pStyle w:val="TableText"/>
              <w:spacing w:before="0" w:after="0"/>
              <w:ind w:left="57" w:right="57"/>
              <w:rPr>
                <w:iCs/>
              </w:rPr>
            </w:pPr>
            <w:r w:rsidRPr="00996C6A">
              <w:rPr>
                <w:iCs/>
              </w:rPr>
              <w:t>At risk of bias</w:t>
            </w:r>
          </w:p>
          <w:p w14:paraId="5B65C8BE" w14:textId="77777777" w:rsidR="00996C6A" w:rsidRDefault="00996C6A" w:rsidP="005E49D6">
            <w:pPr>
              <w:pStyle w:val="TableText"/>
              <w:spacing w:before="0" w:after="0"/>
              <w:ind w:left="57" w:right="57"/>
              <w:rPr>
                <w:iCs/>
              </w:rPr>
            </w:pPr>
            <w:r w:rsidRPr="00996C6A">
              <w:rPr>
                <w:iCs/>
              </w:rPr>
              <w:t>Concern about applicability</w:t>
            </w:r>
          </w:p>
          <w:p w14:paraId="7CB068F9" w14:textId="6AD31310" w:rsidR="00996C6A" w:rsidRPr="008F3E59" w:rsidRDefault="00996C6A" w:rsidP="005E49D6">
            <w:pPr>
              <w:pStyle w:val="TableText"/>
              <w:spacing w:before="0" w:after="0"/>
              <w:ind w:left="57" w:right="57"/>
            </w:pPr>
            <w:r w:rsidRPr="00BF7812">
              <w:rPr>
                <w:rFonts w:ascii="Cambria Math" w:hAnsi="Cambria Math"/>
                <w:color w:val="00B050"/>
              </w:rPr>
              <w:t>⨁</w:t>
            </w:r>
            <w:r w:rsidRPr="00BF7812">
              <w:rPr>
                <w:rFonts w:ascii="Cambria Math" w:hAnsi="Cambria Math" w:cs="Cambria Math"/>
                <w:color w:val="C00000"/>
              </w:rPr>
              <w:t>⨀⨀⨀</w:t>
            </w:r>
            <w:r>
              <w:rPr>
                <w:rFonts w:ascii="Cambria Math" w:hAnsi="Cambria Math" w:cs="Cambria Math"/>
                <w:color w:val="C00000"/>
              </w:rPr>
              <w:t xml:space="preserve"> </w:t>
            </w:r>
            <w:r>
              <w:rPr>
                <w:vertAlign w:val="superscript"/>
              </w:rPr>
              <w:t>b</w:t>
            </w:r>
          </w:p>
        </w:tc>
        <w:tc>
          <w:tcPr>
            <w:tcW w:w="394" w:type="pct"/>
            <w:tcBorders>
              <w:bottom w:val="single" w:sz="4" w:space="0" w:color="FFFFFF" w:themeColor="background1"/>
            </w:tcBorders>
          </w:tcPr>
          <w:p w14:paraId="461A4929" w14:textId="77777777" w:rsidR="00996C6A" w:rsidRPr="008F3E59" w:rsidRDefault="00996C6A" w:rsidP="005E49D6">
            <w:pPr>
              <w:pStyle w:val="TableText"/>
              <w:spacing w:before="0" w:after="0"/>
              <w:ind w:left="57" w:right="57"/>
            </w:pPr>
            <w:r>
              <w:rPr>
                <w:bCs/>
                <w:snapToGrid w:val="0"/>
              </w:rPr>
              <w:t>ERCP</w:t>
            </w:r>
            <w:r w:rsidRPr="00F2716B">
              <w:rPr>
                <w:bCs/>
                <w:snapToGrid w:val="0"/>
              </w:rPr>
              <w:t xml:space="preserve"> (92%)</w:t>
            </w:r>
          </w:p>
        </w:tc>
        <w:tc>
          <w:tcPr>
            <w:tcW w:w="739" w:type="pct"/>
            <w:tcBorders>
              <w:bottom w:val="single" w:sz="4" w:space="0" w:color="FFFFFF" w:themeColor="background1"/>
            </w:tcBorders>
          </w:tcPr>
          <w:p w14:paraId="7975824F" w14:textId="77777777" w:rsidR="00996C6A" w:rsidRPr="008F3E59" w:rsidRDefault="00996C6A" w:rsidP="005E49D6">
            <w:pPr>
              <w:pStyle w:val="TableText"/>
              <w:spacing w:before="0" w:after="0"/>
              <w:ind w:left="57" w:right="57"/>
            </w:pPr>
            <w:r w:rsidRPr="00FC1D72">
              <w:rPr>
                <w:rFonts w:cs="Calibri"/>
                <w:lang w:eastAsia="en-GB"/>
              </w:rPr>
              <w:t>Clinical follow</w:t>
            </w:r>
            <w:r>
              <w:rPr>
                <w:rFonts w:cs="Calibri"/>
                <w:lang w:eastAsia="en-GB"/>
              </w:rPr>
              <w:t xml:space="preserve"> </w:t>
            </w:r>
            <w:r w:rsidRPr="00FC1D72">
              <w:rPr>
                <w:rFonts w:cs="Calibri"/>
                <w:lang w:eastAsia="en-GB"/>
              </w:rPr>
              <w:t xml:space="preserve">up </w:t>
            </w:r>
            <w:r>
              <w:rPr>
                <w:rFonts w:cs="Calibri"/>
                <w:lang w:eastAsia="en-GB"/>
              </w:rPr>
              <w:t xml:space="preserve">(median </w:t>
            </w:r>
            <w:r w:rsidRPr="00AC54F0">
              <w:rPr>
                <w:rFonts w:cs="Calibri"/>
                <w:lang w:eastAsia="en-GB"/>
              </w:rPr>
              <w:t xml:space="preserve">21.8 </w:t>
            </w:r>
            <w:r>
              <w:rPr>
                <w:rFonts w:cs="Calibri"/>
                <w:lang w:eastAsia="en-GB"/>
              </w:rPr>
              <w:t xml:space="preserve">months) </w:t>
            </w:r>
            <w:r w:rsidRPr="00FC1D72">
              <w:rPr>
                <w:rFonts w:cs="Calibri"/>
                <w:lang w:eastAsia="en-GB"/>
              </w:rPr>
              <w:t xml:space="preserve">or </w:t>
            </w:r>
            <w:r>
              <w:t>histological examination</w:t>
            </w:r>
          </w:p>
        </w:tc>
        <w:tc>
          <w:tcPr>
            <w:tcW w:w="639" w:type="pct"/>
          </w:tcPr>
          <w:p w14:paraId="2C14F76D" w14:textId="77777777" w:rsidR="00996C6A" w:rsidRPr="001D0483" w:rsidRDefault="00996C6A" w:rsidP="005E49D6">
            <w:pPr>
              <w:pStyle w:val="TableText"/>
              <w:spacing w:before="0" w:after="0"/>
              <w:ind w:left="57" w:right="57"/>
            </w:pPr>
            <w:r w:rsidRPr="001D0483">
              <w:t>Sensitivity</w:t>
            </w:r>
          </w:p>
        </w:tc>
        <w:tc>
          <w:tcPr>
            <w:tcW w:w="487" w:type="pct"/>
          </w:tcPr>
          <w:p w14:paraId="3B64EBA3" w14:textId="77777777" w:rsidR="00996C6A" w:rsidRPr="00996C6A" w:rsidRDefault="00996C6A" w:rsidP="005E49D6">
            <w:pPr>
              <w:pStyle w:val="TableText"/>
              <w:spacing w:before="0" w:after="0"/>
              <w:ind w:left="57" w:right="57"/>
            </w:pPr>
            <w:r w:rsidRPr="00996C6A">
              <w:t>77%</w:t>
            </w:r>
          </w:p>
        </w:tc>
        <w:tc>
          <w:tcPr>
            <w:tcW w:w="454" w:type="pct"/>
          </w:tcPr>
          <w:p w14:paraId="29B09A4B" w14:textId="77777777" w:rsidR="00996C6A" w:rsidRPr="00996C6A" w:rsidRDefault="00996C6A" w:rsidP="005E49D6">
            <w:pPr>
              <w:pStyle w:val="TableText"/>
              <w:spacing w:before="0" w:after="0"/>
              <w:ind w:left="57" w:right="57"/>
            </w:pPr>
            <w:r w:rsidRPr="00996C6A">
              <w:t>5.8%</w:t>
            </w:r>
          </w:p>
        </w:tc>
        <w:tc>
          <w:tcPr>
            <w:tcW w:w="681" w:type="pct"/>
            <w:shd w:val="clear" w:color="auto" w:fill="auto"/>
          </w:tcPr>
          <w:p w14:paraId="05625309" w14:textId="5C190877" w:rsidR="00996C6A" w:rsidRPr="00996C6A" w:rsidRDefault="00996C6A" w:rsidP="005E49D6">
            <w:pPr>
              <w:pStyle w:val="TableText"/>
              <w:spacing w:before="0" w:after="0"/>
              <w:ind w:left="57" w:right="57"/>
            </w:pPr>
            <w:r w:rsidRPr="00996C6A">
              <w:t>70.7%</w:t>
            </w:r>
          </w:p>
          <w:p w14:paraId="28183A0B" w14:textId="77777777" w:rsidR="00996C6A" w:rsidRPr="00996C6A" w:rsidRDefault="00996C6A" w:rsidP="005E49D6">
            <w:pPr>
              <w:pStyle w:val="TableText"/>
              <w:spacing w:before="0" w:after="0"/>
              <w:ind w:left="57" w:right="57"/>
            </w:pPr>
            <w:r w:rsidRPr="00996C6A">
              <w:t>(p&lt;0.0001)</w:t>
            </w:r>
          </w:p>
        </w:tc>
      </w:tr>
      <w:tr w:rsidR="00996C6A" w14:paraId="6988DDAC" w14:textId="77777777" w:rsidTr="00B75BA3">
        <w:trPr>
          <w:cantSplit/>
          <w:trHeight w:val="70"/>
        </w:trPr>
        <w:tc>
          <w:tcPr>
            <w:tcW w:w="648" w:type="pct"/>
            <w:tcBorders>
              <w:top w:val="single" w:sz="4" w:space="0" w:color="FFFFFF"/>
              <w:bottom w:val="single" w:sz="4" w:space="0" w:color="FFFFFF"/>
            </w:tcBorders>
          </w:tcPr>
          <w:p w14:paraId="34A4EFA8" w14:textId="77777777" w:rsidR="00996C6A" w:rsidRPr="008F3E59" w:rsidRDefault="00996C6A" w:rsidP="005E49D6">
            <w:pPr>
              <w:pStyle w:val="TableText"/>
              <w:spacing w:before="0" w:after="0"/>
              <w:ind w:left="57" w:right="57"/>
            </w:pPr>
          </w:p>
        </w:tc>
        <w:tc>
          <w:tcPr>
            <w:tcW w:w="957" w:type="pct"/>
            <w:vMerge/>
          </w:tcPr>
          <w:p w14:paraId="368AC75D" w14:textId="77777777" w:rsidR="00996C6A" w:rsidRPr="008F3E59" w:rsidRDefault="00996C6A" w:rsidP="005E49D6">
            <w:pPr>
              <w:pStyle w:val="TableText"/>
              <w:spacing w:before="0" w:after="0"/>
              <w:ind w:left="57" w:right="57"/>
            </w:pPr>
          </w:p>
        </w:tc>
        <w:tc>
          <w:tcPr>
            <w:tcW w:w="394" w:type="pct"/>
            <w:tcBorders>
              <w:top w:val="single" w:sz="4" w:space="0" w:color="FFFFFF" w:themeColor="background1"/>
              <w:bottom w:val="single" w:sz="4" w:space="0" w:color="FFFFFF" w:themeColor="background1"/>
            </w:tcBorders>
          </w:tcPr>
          <w:p w14:paraId="33891A9E" w14:textId="77777777" w:rsidR="00996C6A" w:rsidRPr="008F3E59" w:rsidRDefault="00996C6A" w:rsidP="005E49D6">
            <w:pPr>
              <w:pStyle w:val="TableText"/>
              <w:spacing w:before="0" w:after="0"/>
              <w:ind w:left="57" w:right="57"/>
            </w:pPr>
          </w:p>
        </w:tc>
        <w:tc>
          <w:tcPr>
            <w:tcW w:w="739" w:type="pct"/>
            <w:tcBorders>
              <w:top w:val="single" w:sz="4" w:space="0" w:color="FFFFFF" w:themeColor="background1"/>
              <w:bottom w:val="single" w:sz="4" w:space="0" w:color="FFFFFF" w:themeColor="background1"/>
            </w:tcBorders>
          </w:tcPr>
          <w:p w14:paraId="2DCEDE90" w14:textId="77777777" w:rsidR="00996C6A" w:rsidRPr="008F3E59" w:rsidRDefault="00996C6A" w:rsidP="005E49D6">
            <w:pPr>
              <w:pStyle w:val="TableText"/>
              <w:spacing w:before="0" w:after="0"/>
              <w:ind w:left="57" w:right="57"/>
            </w:pPr>
          </w:p>
        </w:tc>
        <w:tc>
          <w:tcPr>
            <w:tcW w:w="639" w:type="pct"/>
          </w:tcPr>
          <w:p w14:paraId="743D18DF" w14:textId="77777777" w:rsidR="00996C6A" w:rsidRPr="001D0483" w:rsidRDefault="00996C6A" w:rsidP="005E49D6">
            <w:pPr>
              <w:pStyle w:val="TableText"/>
              <w:spacing w:before="0" w:after="0"/>
              <w:ind w:left="57" w:right="57"/>
            </w:pPr>
            <w:r w:rsidRPr="001D0483">
              <w:t>Specificity</w:t>
            </w:r>
          </w:p>
        </w:tc>
        <w:tc>
          <w:tcPr>
            <w:tcW w:w="487" w:type="pct"/>
          </w:tcPr>
          <w:p w14:paraId="66F005B1" w14:textId="77777777" w:rsidR="00996C6A" w:rsidRPr="001D0483" w:rsidRDefault="00996C6A" w:rsidP="005E49D6">
            <w:pPr>
              <w:pStyle w:val="TableText"/>
              <w:spacing w:before="0" w:after="0"/>
              <w:ind w:left="57" w:right="57"/>
            </w:pPr>
            <w:r w:rsidRPr="001D0483">
              <w:t>100%</w:t>
            </w:r>
          </w:p>
        </w:tc>
        <w:tc>
          <w:tcPr>
            <w:tcW w:w="454" w:type="pct"/>
          </w:tcPr>
          <w:p w14:paraId="211739AF" w14:textId="77777777" w:rsidR="00996C6A" w:rsidRPr="001D0483" w:rsidRDefault="00996C6A" w:rsidP="005E49D6">
            <w:pPr>
              <w:pStyle w:val="TableText"/>
              <w:spacing w:before="0" w:after="0"/>
              <w:ind w:left="57" w:right="57"/>
            </w:pPr>
            <w:r w:rsidRPr="001D0483">
              <w:t>100%</w:t>
            </w:r>
          </w:p>
        </w:tc>
        <w:tc>
          <w:tcPr>
            <w:tcW w:w="681" w:type="pct"/>
          </w:tcPr>
          <w:p w14:paraId="130CB503" w14:textId="77777777" w:rsidR="00996C6A" w:rsidRPr="001D0483" w:rsidRDefault="00996C6A" w:rsidP="005E49D6">
            <w:pPr>
              <w:pStyle w:val="TableText"/>
              <w:spacing w:before="0" w:after="0"/>
              <w:ind w:left="57" w:right="57"/>
            </w:pPr>
            <w:r>
              <w:t>0%</w:t>
            </w:r>
          </w:p>
        </w:tc>
      </w:tr>
      <w:tr w:rsidR="00996C6A" w14:paraId="05E57769" w14:textId="77777777" w:rsidTr="00B75BA3">
        <w:trPr>
          <w:cantSplit/>
          <w:trHeight w:val="70"/>
        </w:trPr>
        <w:tc>
          <w:tcPr>
            <w:tcW w:w="648" w:type="pct"/>
            <w:tcBorders>
              <w:top w:val="single" w:sz="4" w:space="0" w:color="FFFFFF"/>
              <w:bottom w:val="single" w:sz="4" w:space="0" w:color="FFFFFF"/>
            </w:tcBorders>
          </w:tcPr>
          <w:p w14:paraId="42AD086B" w14:textId="77777777" w:rsidR="00996C6A" w:rsidRPr="008F3E59" w:rsidRDefault="00996C6A" w:rsidP="005E49D6">
            <w:pPr>
              <w:pStyle w:val="TableText"/>
              <w:spacing w:before="0" w:after="0"/>
              <w:ind w:left="57" w:right="57"/>
            </w:pPr>
          </w:p>
        </w:tc>
        <w:tc>
          <w:tcPr>
            <w:tcW w:w="957" w:type="pct"/>
            <w:vMerge/>
          </w:tcPr>
          <w:p w14:paraId="0328D128" w14:textId="77777777" w:rsidR="00996C6A" w:rsidRPr="008F3E59" w:rsidRDefault="00996C6A" w:rsidP="005E49D6">
            <w:pPr>
              <w:pStyle w:val="TableText"/>
              <w:spacing w:before="0" w:after="0"/>
              <w:ind w:left="57" w:right="57"/>
            </w:pPr>
          </w:p>
        </w:tc>
        <w:tc>
          <w:tcPr>
            <w:tcW w:w="394" w:type="pct"/>
            <w:tcBorders>
              <w:top w:val="single" w:sz="4" w:space="0" w:color="FFFFFF" w:themeColor="background1"/>
              <w:bottom w:val="single" w:sz="4" w:space="0" w:color="FFFFFF" w:themeColor="background1"/>
            </w:tcBorders>
          </w:tcPr>
          <w:p w14:paraId="1D6BD951" w14:textId="77777777" w:rsidR="00996C6A" w:rsidRPr="008F3E59" w:rsidRDefault="00996C6A" w:rsidP="005E49D6">
            <w:pPr>
              <w:pStyle w:val="TableText"/>
              <w:spacing w:before="0" w:after="0"/>
              <w:ind w:left="57" w:right="57"/>
            </w:pPr>
          </w:p>
        </w:tc>
        <w:tc>
          <w:tcPr>
            <w:tcW w:w="739" w:type="pct"/>
            <w:tcBorders>
              <w:top w:val="single" w:sz="4" w:space="0" w:color="FFFFFF" w:themeColor="background1"/>
              <w:bottom w:val="single" w:sz="4" w:space="0" w:color="FFFFFF" w:themeColor="background1"/>
            </w:tcBorders>
          </w:tcPr>
          <w:p w14:paraId="4D7CBDE2" w14:textId="77777777" w:rsidR="00996C6A" w:rsidRPr="008F3E59" w:rsidRDefault="00996C6A" w:rsidP="005E49D6">
            <w:pPr>
              <w:pStyle w:val="TableText"/>
              <w:spacing w:before="0" w:after="0"/>
              <w:ind w:left="57" w:right="57"/>
            </w:pPr>
          </w:p>
        </w:tc>
        <w:tc>
          <w:tcPr>
            <w:tcW w:w="639" w:type="pct"/>
          </w:tcPr>
          <w:p w14:paraId="458D6F8D" w14:textId="77777777" w:rsidR="00996C6A" w:rsidRPr="001D0483" w:rsidRDefault="00996C6A" w:rsidP="005E49D6">
            <w:pPr>
              <w:pStyle w:val="TableText"/>
              <w:spacing w:before="0" w:after="0"/>
              <w:ind w:left="57" w:right="57"/>
            </w:pPr>
            <w:r w:rsidRPr="001D0483">
              <w:t>PPV</w:t>
            </w:r>
          </w:p>
        </w:tc>
        <w:tc>
          <w:tcPr>
            <w:tcW w:w="487" w:type="pct"/>
          </w:tcPr>
          <w:p w14:paraId="5DFD5601" w14:textId="77777777" w:rsidR="00996C6A" w:rsidRPr="001D0483" w:rsidRDefault="00996C6A" w:rsidP="005E49D6">
            <w:pPr>
              <w:pStyle w:val="TableText"/>
              <w:spacing w:before="0" w:after="0"/>
              <w:ind w:left="57" w:right="57"/>
            </w:pPr>
            <w:r w:rsidRPr="001D0483">
              <w:t>100%</w:t>
            </w:r>
          </w:p>
        </w:tc>
        <w:tc>
          <w:tcPr>
            <w:tcW w:w="454" w:type="pct"/>
          </w:tcPr>
          <w:p w14:paraId="5AD93FC6" w14:textId="77777777" w:rsidR="00996C6A" w:rsidRPr="001D0483" w:rsidRDefault="00996C6A" w:rsidP="005E49D6">
            <w:pPr>
              <w:pStyle w:val="TableText"/>
              <w:spacing w:before="0" w:after="0"/>
              <w:ind w:left="57" w:right="57"/>
            </w:pPr>
            <w:r w:rsidRPr="001D0483">
              <w:t>100%</w:t>
            </w:r>
          </w:p>
        </w:tc>
        <w:tc>
          <w:tcPr>
            <w:tcW w:w="681" w:type="pct"/>
          </w:tcPr>
          <w:p w14:paraId="5B707FD8" w14:textId="77777777" w:rsidR="00996C6A" w:rsidRPr="001D0483" w:rsidRDefault="00996C6A" w:rsidP="005E49D6">
            <w:pPr>
              <w:pStyle w:val="TableText"/>
              <w:spacing w:before="0" w:after="0"/>
              <w:ind w:left="57" w:right="57"/>
            </w:pPr>
            <w:r>
              <w:t>0%</w:t>
            </w:r>
          </w:p>
        </w:tc>
      </w:tr>
      <w:tr w:rsidR="00996C6A" w14:paraId="332E2F99" w14:textId="77777777" w:rsidTr="00B75BA3">
        <w:trPr>
          <w:cantSplit/>
          <w:trHeight w:val="85"/>
        </w:trPr>
        <w:tc>
          <w:tcPr>
            <w:tcW w:w="648" w:type="pct"/>
            <w:tcBorders>
              <w:top w:val="single" w:sz="4" w:space="0" w:color="FFFFFF"/>
            </w:tcBorders>
          </w:tcPr>
          <w:p w14:paraId="4F22A6E0" w14:textId="77777777" w:rsidR="00996C6A" w:rsidRPr="008F3E59" w:rsidRDefault="00996C6A" w:rsidP="005E49D6">
            <w:pPr>
              <w:pStyle w:val="TableText"/>
              <w:spacing w:before="0" w:after="0"/>
              <w:ind w:left="57" w:right="57"/>
            </w:pPr>
          </w:p>
        </w:tc>
        <w:tc>
          <w:tcPr>
            <w:tcW w:w="957" w:type="pct"/>
            <w:vMerge/>
          </w:tcPr>
          <w:p w14:paraId="7F68ADE5" w14:textId="77777777" w:rsidR="00996C6A" w:rsidRPr="008F3E59" w:rsidRDefault="00996C6A" w:rsidP="005E49D6">
            <w:pPr>
              <w:pStyle w:val="TableText"/>
              <w:spacing w:before="0" w:after="0"/>
              <w:ind w:left="57" w:right="57"/>
            </w:pPr>
          </w:p>
        </w:tc>
        <w:tc>
          <w:tcPr>
            <w:tcW w:w="394" w:type="pct"/>
            <w:tcBorders>
              <w:top w:val="single" w:sz="4" w:space="0" w:color="FFFFFF" w:themeColor="background1"/>
            </w:tcBorders>
          </w:tcPr>
          <w:p w14:paraId="3722E6A5" w14:textId="77777777" w:rsidR="00996C6A" w:rsidRPr="008F3E59" w:rsidRDefault="00996C6A" w:rsidP="005E49D6">
            <w:pPr>
              <w:pStyle w:val="TableText"/>
              <w:spacing w:before="0" w:after="0"/>
              <w:ind w:left="57" w:right="57"/>
            </w:pPr>
          </w:p>
        </w:tc>
        <w:tc>
          <w:tcPr>
            <w:tcW w:w="739" w:type="pct"/>
            <w:tcBorders>
              <w:top w:val="single" w:sz="4" w:space="0" w:color="FFFFFF" w:themeColor="background1"/>
            </w:tcBorders>
          </w:tcPr>
          <w:p w14:paraId="50F7144B" w14:textId="77777777" w:rsidR="00996C6A" w:rsidRPr="008F3E59" w:rsidRDefault="00996C6A" w:rsidP="005E49D6">
            <w:pPr>
              <w:pStyle w:val="TableText"/>
              <w:spacing w:before="0" w:after="0"/>
              <w:ind w:left="57" w:right="57"/>
            </w:pPr>
          </w:p>
        </w:tc>
        <w:tc>
          <w:tcPr>
            <w:tcW w:w="639" w:type="pct"/>
          </w:tcPr>
          <w:p w14:paraId="31D25E9C" w14:textId="77777777" w:rsidR="00996C6A" w:rsidRPr="001D0483" w:rsidRDefault="00996C6A" w:rsidP="005E49D6">
            <w:pPr>
              <w:pStyle w:val="TableText"/>
              <w:spacing w:before="0" w:after="0"/>
              <w:ind w:left="57" w:right="57"/>
            </w:pPr>
            <w:r w:rsidRPr="001D0483">
              <w:t>NPV</w:t>
            </w:r>
          </w:p>
        </w:tc>
        <w:tc>
          <w:tcPr>
            <w:tcW w:w="487" w:type="pct"/>
          </w:tcPr>
          <w:p w14:paraId="6394C002" w14:textId="77777777" w:rsidR="00996C6A" w:rsidRPr="00996C6A" w:rsidRDefault="00996C6A" w:rsidP="005E49D6">
            <w:pPr>
              <w:pStyle w:val="TableText"/>
              <w:spacing w:before="0" w:after="0"/>
              <w:ind w:left="57" w:right="57"/>
              <w:rPr>
                <w:iCs/>
              </w:rPr>
            </w:pPr>
            <w:r w:rsidRPr="00996C6A">
              <w:rPr>
                <w:iCs/>
              </w:rPr>
              <w:t>69.2%</w:t>
            </w:r>
          </w:p>
        </w:tc>
        <w:tc>
          <w:tcPr>
            <w:tcW w:w="454" w:type="pct"/>
          </w:tcPr>
          <w:p w14:paraId="24FE1001" w14:textId="77777777" w:rsidR="00996C6A" w:rsidRPr="00996C6A" w:rsidRDefault="00996C6A" w:rsidP="005E49D6">
            <w:pPr>
              <w:pStyle w:val="TableText"/>
              <w:spacing w:before="0" w:after="0"/>
              <w:ind w:left="57" w:right="57"/>
              <w:rPr>
                <w:iCs/>
              </w:rPr>
            </w:pPr>
            <w:r w:rsidRPr="00996C6A">
              <w:rPr>
                <w:iCs/>
              </w:rPr>
              <w:t>36%</w:t>
            </w:r>
          </w:p>
        </w:tc>
        <w:tc>
          <w:tcPr>
            <w:tcW w:w="681" w:type="pct"/>
          </w:tcPr>
          <w:p w14:paraId="669D14A7" w14:textId="77777777" w:rsidR="00996C6A" w:rsidRPr="00996C6A" w:rsidRDefault="00996C6A" w:rsidP="005E49D6">
            <w:pPr>
              <w:pStyle w:val="TableText"/>
              <w:spacing w:before="0" w:after="0"/>
              <w:ind w:left="57" w:right="57"/>
              <w:rPr>
                <w:iCs/>
              </w:rPr>
            </w:pPr>
            <w:r w:rsidRPr="00996C6A">
              <w:rPr>
                <w:iCs/>
              </w:rPr>
              <w:t>33.2%</w:t>
            </w:r>
          </w:p>
        </w:tc>
      </w:tr>
    </w:tbl>
    <w:p w14:paraId="0DE4CDC3" w14:textId="5459F7B3" w:rsidR="00140931" w:rsidRDefault="00140931" w:rsidP="00CC39AB">
      <w:pPr>
        <w:pStyle w:val="Tablenotes"/>
      </w:pPr>
      <w:r w:rsidRPr="001A4E5B">
        <w:t>Abbreviations</w:t>
      </w:r>
      <w:r>
        <w:t xml:space="preserve">: </w:t>
      </w:r>
      <w:r w:rsidRPr="001A4E5B">
        <w:t>ERCP</w:t>
      </w:r>
      <w:r>
        <w:t>-BC</w:t>
      </w:r>
      <w:r w:rsidRPr="001A4E5B">
        <w:t xml:space="preserve">= </w:t>
      </w:r>
      <w:r w:rsidRPr="0005649D">
        <w:t>endoscopic</w:t>
      </w:r>
      <w:r w:rsidRPr="001A4E5B">
        <w:t xml:space="preserve"> retrograde cholangiopancreatography</w:t>
      </w:r>
      <w:r w:rsidRPr="00E42C8D">
        <w:t>-guided brush cytology</w:t>
      </w:r>
      <w:r>
        <w:t xml:space="preserve">; MRCP </w:t>
      </w:r>
      <w:r w:rsidRPr="0005649D">
        <w:t>= magnetic</w:t>
      </w:r>
      <w:r w:rsidRPr="008B07B8">
        <w:t xml:space="preserve"> resonance</w:t>
      </w:r>
      <w:r>
        <w:t xml:space="preserve"> </w:t>
      </w:r>
      <w:r w:rsidRPr="008B07B8">
        <w:t>cholangiopancreatography</w:t>
      </w:r>
      <w:r>
        <w:t xml:space="preserve">; N = number of participants; NR = not reported, NRCT = non-randomised controlled trial; </w:t>
      </w:r>
      <w:r w:rsidRPr="001A4E5B">
        <w:t>POCPS</w:t>
      </w:r>
      <w:r>
        <w:t xml:space="preserve">-B </w:t>
      </w:r>
      <w:r w:rsidRPr="0005649D">
        <w:t xml:space="preserve">= single </w:t>
      </w:r>
      <w:r w:rsidRPr="001A4E5B">
        <w:t>operator, single use, peroral</w:t>
      </w:r>
      <w:r>
        <w:t xml:space="preserve"> </w:t>
      </w:r>
      <w:r w:rsidRPr="001A4E5B">
        <w:t>cholangiopancreatoscopy</w:t>
      </w:r>
      <w:r w:rsidRPr="00E42C8D">
        <w:t xml:space="preserve">-guided </w:t>
      </w:r>
      <w:r>
        <w:t xml:space="preserve">biopsy; RoB </w:t>
      </w:r>
      <w:r w:rsidRPr="0005649D">
        <w:t>= risk</w:t>
      </w:r>
      <w:r>
        <w:t xml:space="preserve"> of </w:t>
      </w:r>
      <w:r w:rsidRPr="0005649D">
        <w:t>bias</w:t>
      </w:r>
      <w:r>
        <w:t>.</w:t>
      </w:r>
    </w:p>
    <w:p w14:paraId="1A8070B6" w14:textId="40CE35F1" w:rsidR="00FD75F1" w:rsidRDefault="00FD75F1" w:rsidP="00CC39AB">
      <w:pPr>
        <w:pStyle w:val="Tablenotes"/>
      </w:pPr>
      <w:r>
        <w:t>Source: Table 57 of the ADAR</w:t>
      </w:r>
      <w:r w:rsidR="00CC39AB">
        <w:t xml:space="preserve">. </w:t>
      </w:r>
      <w:r w:rsidR="00996C6A">
        <w:t>GRADE Assessment, e</w:t>
      </w:r>
      <w:r w:rsidR="00CC39AB">
        <w:t xml:space="preserve">dits and corrections to the original table </w:t>
      </w:r>
      <w:r w:rsidR="00996C6A">
        <w:t xml:space="preserve">were conducted for the commentary. </w:t>
      </w:r>
    </w:p>
    <w:p w14:paraId="4CC5E06D" w14:textId="77777777" w:rsidR="00996C6A" w:rsidRPr="00BF7812" w:rsidRDefault="00996C6A" w:rsidP="00996C6A">
      <w:pPr>
        <w:pStyle w:val="Tablenotes"/>
        <w:rPr>
          <w:szCs w:val="18"/>
        </w:rPr>
      </w:pPr>
      <w:r w:rsidRPr="00BF7812">
        <w:rPr>
          <w:szCs w:val="18"/>
          <w:vertAlign w:val="superscript"/>
        </w:rPr>
        <w:t xml:space="preserve">a </w:t>
      </w:r>
      <w:r w:rsidRPr="00BF7812">
        <w:rPr>
          <w:szCs w:val="18"/>
        </w:rPr>
        <w:t>GRADE Working Group grades of evidence (Guyatt et al., 2013)</w:t>
      </w:r>
    </w:p>
    <w:p w14:paraId="5E3F9BE0" w14:textId="77777777" w:rsidR="00996C6A" w:rsidRPr="00BF7812" w:rsidRDefault="00996C6A" w:rsidP="00996C6A">
      <w:pPr>
        <w:pStyle w:val="Tablenotes"/>
        <w:rPr>
          <w:szCs w:val="18"/>
        </w:rPr>
      </w:pPr>
      <w:r w:rsidRPr="00BF7812">
        <w:rPr>
          <w:rFonts w:ascii="Cambria Math" w:hAnsi="Cambria Math"/>
          <w:color w:val="00B050"/>
        </w:rPr>
        <w:t xml:space="preserve">⨁⨁⨁⨁ </w:t>
      </w:r>
      <w:r w:rsidRPr="00BF7812">
        <w:rPr>
          <w:b/>
          <w:bCs/>
          <w:szCs w:val="18"/>
        </w:rPr>
        <w:t>High quality:</w:t>
      </w:r>
      <w:r w:rsidRPr="00BF7812">
        <w:rPr>
          <w:szCs w:val="18"/>
        </w:rPr>
        <w:t xml:space="preserve"> We are very confident that the true effect lies close to that of the estimate of effect. </w:t>
      </w:r>
      <w:r w:rsidRPr="00BF7812">
        <w:rPr>
          <w:szCs w:val="18"/>
        </w:rPr>
        <w:br/>
      </w:r>
      <w:r w:rsidRPr="00BF7812">
        <w:rPr>
          <w:rFonts w:ascii="Cambria Math" w:hAnsi="Cambria Math"/>
          <w:color w:val="00B050"/>
        </w:rPr>
        <w:t>⨁⨁⨁</w:t>
      </w:r>
      <w:r w:rsidRPr="00BF7812">
        <w:rPr>
          <w:rFonts w:ascii="Cambria Math" w:hAnsi="Cambria Math" w:cs="Cambria Math"/>
          <w:color w:val="C00000"/>
        </w:rPr>
        <w:t xml:space="preserve">⨀ </w:t>
      </w:r>
      <w:r w:rsidRPr="00BF7812">
        <w:rPr>
          <w:b/>
          <w:bCs/>
          <w:szCs w:val="18"/>
        </w:rPr>
        <w:t>Moderate quality:</w:t>
      </w:r>
      <w:r w:rsidRPr="00BF7812">
        <w:rPr>
          <w:szCs w:val="18"/>
        </w:rPr>
        <w:t xml:space="preserve"> We are moderately confident in the effect estimate: The true effect is likely to be close to the estimate of the effect, but there is a possibility that it is substantially different. </w:t>
      </w:r>
      <w:r w:rsidRPr="00BF7812">
        <w:rPr>
          <w:szCs w:val="18"/>
        </w:rPr>
        <w:br/>
      </w:r>
      <w:r w:rsidRPr="00BF7812">
        <w:rPr>
          <w:rFonts w:ascii="Cambria Math" w:hAnsi="Cambria Math"/>
          <w:color w:val="00B050"/>
        </w:rPr>
        <w:t>⨁⨁</w:t>
      </w:r>
      <w:r w:rsidRPr="00BF7812">
        <w:rPr>
          <w:rFonts w:ascii="Cambria Math" w:hAnsi="Cambria Math" w:cs="Cambria Math"/>
          <w:color w:val="C00000"/>
        </w:rPr>
        <w:t xml:space="preserve">⨀⨀ </w:t>
      </w:r>
      <w:r w:rsidRPr="00BF7812">
        <w:rPr>
          <w:b/>
          <w:bCs/>
          <w:szCs w:val="18"/>
        </w:rPr>
        <w:t>Low quality:</w:t>
      </w:r>
      <w:r w:rsidRPr="00BF7812">
        <w:rPr>
          <w:szCs w:val="18"/>
        </w:rPr>
        <w:t xml:space="preserve"> Our confidence in the effect estimate is limited: The true effect may be substantially different from the estimate of the effect.</w:t>
      </w:r>
      <w:r w:rsidRPr="00BF7812">
        <w:rPr>
          <w:szCs w:val="18"/>
        </w:rPr>
        <w:br/>
      </w:r>
      <w:r w:rsidRPr="00BF7812">
        <w:rPr>
          <w:rFonts w:ascii="Cambria Math" w:hAnsi="Cambria Math"/>
          <w:color w:val="00B050"/>
        </w:rPr>
        <w:t>⨁</w:t>
      </w:r>
      <w:r w:rsidRPr="00BF7812">
        <w:rPr>
          <w:rFonts w:ascii="Cambria Math" w:hAnsi="Cambria Math" w:cs="Cambria Math"/>
          <w:color w:val="C00000"/>
        </w:rPr>
        <w:t xml:space="preserve">⨀⨀⨀ </w:t>
      </w:r>
      <w:r w:rsidRPr="00BF7812">
        <w:rPr>
          <w:b/>
          <w:bCs/>
          <w:szCs w:val="18"/>
        </w:rPr>
        <w:t>Very low quality:</w:t>
      </w:r>
      <w:r w:rsidRPr="00BF7812">
        <w:rPr>
          <w:szCs w:val="18"/>
        </w:rPr>
        <w:t xml:space="preserve"> We have very little confidence in the effect estimate: The true effect is likely to be substantially different from the estimate of effect.</w:t>
      </w:r>
    </w:p>
    <w:p w14:paraId="62690758" w14:textId="74756FD4" w:rsidR="005E49D6" w:rsidRPr="005E49D6" w:rsidRDefault="00996C6A" w:rsidP="005E49D6">
      <w:pPr>
        <w:pStyle w:val="Tablenotes"/>
      </w:pPr>
      <w:r>
        <w:rPr>
          <w:vertAlign w:val="superscript"/>
        </w:rPr>
        <w:t>b</w:t>
      </w:r>
      <w:r w:rsidRPr="00996C6A">
        <w:t xml:space="preserve"> Downgraded due to concerns about the methodological quality of the studies, indirectness, imprecision, and search strategy comprehensiveness</w:t>
      </w:r>
      <w:r w:rsidR="00186357">
        <w:t xml:space="preserve">. The pre-ESC response considered the rating should be ‘Low quality’. </w:t>
      </w:r>
      <w:bookmarkStart w:id="80" w:name="_Ref83658496"/>
      <w:bookmarkStart w:id="81" w:name="_Ref76313175"/>
      <w:bookmarkStart w:id="82" w:name="_Toc84313643"/>
      <w:bookmarkStart w:id="83" w:name="_Toc84324788"/>
      <w:bookmarkStart w:id="84" w:name="_Toc84344221"/>
      <w:bookmarkStart w:id="85" w:name="_Toc88760193"/>
    </w:p>
    <w:p w14:paraId="1DB668C4" w14:textId="310D32F7" w:rsidR="00140931" w:rsidRPr="00D4687B" w:rsidRDefault="00140931" w:rsidP="00140931">
      <w:pPr>
        <w:pStyle w:val="Caption"/>
      </w:pPr>
      <w:r w:rsidRPr="00EF117E">
        <w:t>Table </w:t>
      </w:r>
      <w:r>
        <w:fldChar w:fldCharType="begin"/>
      </w:r>
      <w:r>
        <w:instrText>SEQ Table \* ARABIC</w:instrText>
      </w:r>
      <w:r>
        <w:fldChar w:fldCharType="separate"/>
      </w:r>
      <w:r w:rsidR="00D422BC">
        <w:rPr>
          <w:noProof/>
        </w:rPr>
        <w:t>15</w:t>
      </w:r>
      <w:r>
        <w:fldChar w:fldCharType="end"/>
      </w:r>
      <w:bookmarkEnd w:id="80"/>
      <w:r w:rsidRPr="008A73E2">
        <w:rPr>
          <w:noProof/>
        </w:rPr>
        <w:tab/>
      </w:r>
      <w:r w:rsidRPr="00B71036">
        <w:t xml:space="preserve">Results of test </w:t>
      </w:r>
      <w:r w:rsidRPr="00C46917">
        <w:t>accuracy across studies evaluating</w:t>
      </w:r>
      <w:r w:rsidRPr="00A06A3C">
        <w:rPr>
          <w:noProof/>
        </w:rPr>
        <w:t xml:space="preserve"> test accuracy of </w:t>
      </w:r>
      <w:r w:rsidRPr="00470286">
        <w:t>POCPS-</w:t>
      </w:r>
      <w:r>
        <w:t>B</w:t>
      </w:r>
      <w:r w:rsidRPr="00470286">
        <w:t xml:space="preserve"> compared with ERCP-</w:t>
      </w:r>
      <w:bookmarkEnd w:id="81"/>
      <w:r>
        <w:t>IB</w:t>
      </w:r>
      <w:r w:rsidRPr="00470286">
        <w:t xml:space="preserve">: direct comparative </w:t>
      </w:r>
      <w:r w:rsidRPr="00D4687B">
        <w:t>evidence</w:t>
      </w:r>
      <w:bookmarkEnd w:id="82"/>
      <w:bookmarkEnd w:id="83"/>
      <w:bookmarkEnd w:id="84"/>
      <w:bookmarkEnd w:id="85"/>
    </w:p>
    <w:tbl>
      <w:tblPr>
        <w:tblStyle w:val="TableGrid"/>
        <w:tblW w:w="5000" w:type="pct"/>
        <w:tblCellMar>
          <w:left w:w="57" w:type="dxa"/>
          <w:right w:w="57" w:type="dxa"/>
        </w:tblCellMar>
        <w:tblLook w:val="04A0" w:firstRow="1" w:lastRow="0" w:firstColumn="1" w:lastColumn="0" w:noHBand="0" w:noVBand="1"/>
        <w:tblCaption w:val="Table 55 Results of test accuracy across studies evaluating test accuracy of POCPS-B compared with ERCP-IB: direct comparative evidence  "/>
        <w:tblDescription w:val="Table 55 Results of test accuracy across studies evaluating test accuracy of POCPS-B compared with ERCP-IB: direct comparative evidence  "/>
      </w:tblPr>
      <w:tblGrid>
        <w:gridCol w:w="1019"/>
        <w:gridCol w:w="1810"/>
        <w:gridCol w:w="866"/>
        <w:gridCol w:w="1610"/>
        <w:gridCol w:w="1046"/>
        <w:gridCol w:w="804"/>
        <w:gridCol w:w="750"/>
        <w:gridCol w:w="1111"/>
      </w:tblGrid>
      <w:tr w:rsidR="00FD75F1" w14:paraId="3621B523" w14:textId="77777777" w:rsidTr="00996C6A">
        <w:trPr>
          <w:trHeight w:val="301"/>
          <w:tblHeader/>
        </w:trPr>
        <w:tc>
          <w:tcPr>
            <w:tcW w:w="565" w:type="pct"/>
            <w:tcBorders>
              <w:bottom w:val="single" w:sz="4" w:space="0" w:color="D9D9D9"/>
            </w:tcBorders>
          </w:tcPr>
          <w:p w14:paraId="652B83BC" w14:textId="77777777" w:rsidR="00FD75F1" w:rsidRDefault="00FD75F1" w:rsidP="005E49D6">
            <w:pPr>
              <w:pStyle w:val="TableHeading0"/>
              <w:spacing w:before="0" w:after="0"/>
            </w:pPr>
            <w:r w:rsidRPr="0047211F">
              <w:t>Study</w:t>
            </w:r>
            <w:r>
              <w:t xml:space="preserve"> ID</w:t>
            </w:r>
            <w:r w:rsidRPr="0047211F">
              <w:t>, Country</w:t>
            </w:r>
          </w:p>
          <w:p w14:paraId="79DDE025" w14:textId="71B8BB2C" w:rsidR="00FD75F1" w:rsidRPr="00EF117E" w:rsidRDefault="00FD75F1" w:rsidP="005E49D6">
            <w:pPr>
              <w:pStyle w:val="TableHeading0"/>
              <w:spacing w:before="0" w:after="0"/>
            </w:pPr>
            <w:r>
              <w:t>Generation</w:t>
            </w:r>
          </w:p>
        </w:tc>
        <w:tc>
          <w:tcPr>
            <w:tcW w:w="1004" w:type="pct"/>
            <w:tcBorders>
              <w:bottom w:val="single" w:sz="4" w:space="0" w:color="D9D9D9"/>
            </w:tcBorders>
          </w:tcPr>
          <w:p w14:paraId="5F04E201" w14:textId="77777777" w:rsidR="00FD75F1" w:rsidRDefault="00FD75F1" w:rsidP="005E49D6">
            <w:pPr>
              <w:pStyle w:val="TableHeading0"/>
              <w:spacing w:before="0" w:after="0"/>
            </w:pPr>
            <w:r w:rsidRPr="0047211F">
              <w:t xml:space="preserve">Study </w:t>
            </w:r>
            <w:r>
              <w:t>D</w:t>
            </w:r>
            <w:r w:rsidRPr="0047211F">
              <w:t>esign, RoB</w:t>
            </w:r>
          </w:p>
          <w:p w14:paraId="4FECED71" w14:textId="2495C5F3" w:rsidR="00996C6A" w:rsidRPr="00EF117E" w:rsidRDefault="00996C6A" w:rsidP="005E49D6">
            <w:pPr>
              <w:pStyle w:val="TableHeading0"/>
              <w:spacing w:before="0" w:after="0"/>
            </w:pPr>
            <w:r w:rsidRPr="00BF7812">
              <w:t>Quality of evidence (GRADE)</w:t>
            </w:r>
            <w:r w:rsidRPr="00BF7812">
              <w:rPr>
                <w:vertAlign w:val="superscript"/>
              </w:rPr>
              <w:t xml:space="preserve"> a</w:t>
            </w:r>
          </w:p>
        </w:tc>
        <w:tc>
          <w:tcPr>
            <w:tcW w:w="480" w:type="pct"/>
            <w:tcBorders>
              <w:bottom w:val="single" w:sz="4" w:space="0" w:color="D9D9D9"/>
            </w:tcBorders>
          </w:tcPr>
          <w:p w14:paraId="6AD2DAA3" w14:textId="0EBFE515" w:rsidR="00FD75F1" w:rsidRPr="0047211F" w:rsidRDefault="00FD75F1" w:rsidP="005E49D6">
            <w:pPr>
              <w:pStyle w:val="TableHeading0"/>
              <w:spacing w:before="0" w:after="0"/>
            </w:pPr>
            <w:r w:rsidRPr="0047211F">
              <w:t xml:space="preserve">Prior </w:t>
            </w:r>
            <w:r>
              <w:t>T</w:t>
            </w:r>
            <w:r w:rsidRPr="0047211F">
              <w:t>est</w:t>
            </w:r>
          </w:p>
        </w:tc>
        <w:tc>
          <w:tcPr>
            <w:tcW w:w="893" w:type="pct"/>
            <w:tcBorders>
              <w:bottom w:val="single" w:sz="4" w:space="0" w:color="D9D9D9"/>
            </w:tcBorders>
          </w:tcPr>
          <w:p w14:paraId="15109477" w14:textId="3FA65334" w:rsidR="00FD75F1" w:rsidRPr="00EF117E" w:rsidRDefault="00FD75F1" w:rsidP="005E49D6">
            <w:pPr>
              <w:pStyle w:val="TableHeading0"/>
              <w:spacing w:before="0" w:after="0"/>
            </w:pPr>
            <w:r w:rsidRPr="0047211F">
              <w:t xml:space="preserve">Reference </w:t>
            </w:r>
            <w:r>
              <w:t>S</w:t>
            </w:r>
            <w:r w:rsidRPr="0047211F">
              <w:t>tandard</w:t>
            </w:r>
          </w:p>
        </w:tc>
        <w:tc>
          <w:tcPr>
            <w:tcW w:w="580" w:type="pct"/>
            <w:tcBorders>
              <w:bottom w:val="single" w:sz="4" w:space="0" w:color="D9D9D9"/>
            </w:tcBorders>
          </w:tcPr>
          <w:p w14:paraId="347D61F9" w14:textId="77777777" w:rsidR="00FD75F1" w:rsidRPr="00EF117E" w:rsidRDefault="00FD75F1" w:rsidP="005E49D6">
            <w:pPr>
              <w:pStyle w:val="TableHeading0"/>
              <w:spacing w:before="0" w:after="0"/>
            </w:pPr>
            <w:r w:rsidRPr="0047211F">
              <w:t xml:space="preserve">Test </w:t>
            </w:r>
            <w:r>
              <w:t>A</w:t>
            </w:r>
            <w:r w:rsidRPr="0047211F">
              <w:t xml:space="preserve">ccuracy </w:t>
            </w:r>
            <w:r>
              <w:t>O</w:t>
            </w:r>
            <w:r w:rsidRPr="0047211F">
              <w:t>utcomes</w:t>
            </w:r>
          </w:p>
        </w:tc>
        <w:tc>
          <w:tcPr>
            <w:tcW w:w="446" w:type="pct"/>
            <w:tcBorders>
              <w:left w:val="single" w:sz="4" w:space="0" w:color="FFFFFF"/>
              <w:right w:val="single" w:sz="4" w:space="0" w:color="D9D9D9"/>
            </w:tcBorders>
          </w:tcPr>
          <w:p w14:paraId="49246340" w14:textId="29414529" w:rsidR="00FD75F1" w:rsidRPr="00EF117E" w:rsidRDefault="00FD75F1" w:rsidP="005E49D6">
            <w:pPr>
              <w:pStyle w:val="TableHeading0"/>
              <w:spacing w:before="0" w:after="0"/>
            </w:pPr>
            <w:r w:rsidRPr="00920E3C">
              <w:t>POCPS-B</w:t>
            </w:r>
          </w:p>
        </w:tc>
        <w:tc>
          <w:tcPr>
            <w:tcW w:w="416" w:type="pct"/>
            <w:tcBorders>
              <w:left w:val="single" w:sz="4" w:space="0" w:color="D9D9D9"/>
              <w:right w:val="single" w:sz="4" w:space="0" w:color="D9D9D9"/>
            </w:tcBorders>
          </w:tcPr>
          <w:p w14:paraId="14006745" w14:textId="480700AC" w:rsidR="00FD75F1" w:rsidRPr="00210E8B" w:rsidRDefault="00FD75F1" w:rsidP="005E49D6">
            <w:pPr>
              <w:pStyle w:val="TableHeading0"/>
              <w:spacing w:before="0" w:after="0"/>
            </w:pPr>
            <w:r w:rsidRPr="00920E3C">
              <w:t xml:space="preserve">ERCP-IB </w:t>
            </w:r>
          </w:p>
        </w:tc>
        <w:tc>
          <w:tcPr>
            <w:tcW w:w="616" w:type="pct"/>
            <w:tcBorders>
              <w:left w:val="single" w:sz="4" w:space="0" w:color="D9D9D9"/>
            </w:tcBorders>
          </w:tcPr>
          <w:p w14:paraId="4FB1AAF6" w14:textId="77777777" w:rsidR="00FD75F1" w:rsidRPr="00920E3C" w:rsidRDefault="00FD75F1" w:rsidP="005E49D6">
            <w:pPr>
              <w:pStyle w:val="TableHeading0"/>
              <w:spacing w:before="0" w:after="0"/>
            </w:pPr>
            <w:r w:rsidRPr="00920E3C">
              <w:t>Difference</w:t>
            </w:r>
          </w:p>
          <w:p w14:paraId="6E866D73" w14:textId="6DF88F75" w:rsidR="00FD75F1" w:rsidRPr="00004568" w:rsidRDefault="00FD75F1" w:rsidP="005E49D6">
            <w:pPr>
              <w:pStyle w:val="TableHeading0"/>
              <w:spacing w:before="0" w:after="0"/>
            </w:pPr>
            <w:r w:rsidRPr="00920E3C">
              <w:t>(p-value)</w:t>
            </w:r>
          </w:p>
        </w:tc>
      </w:tr>
      <w:tr w:rsidR="00996C6A" w14:paraId="58FD6C87" w14:textId="77777777" w:rsidTr="00996C6A">
        <w:trPr>
          <w:trHeight w:val="70"/>
        </w:trPr>
        <w:tc>
          <w:tcPr>
            <w:tcW w:w="565" w:type="pct"/>
            <w:tcBorders>
              <w:bottom w:val="single" w:sz="4" w:space="0" w:color="FFFFFF"/>
            </w:tcBorders>
          </w:tcPr>
          <w:p w14:paraId="0B983E13" w14:textId="78FBCD05" w:rsidR="00996C6A" w:rsidRDefault="00996C6A" w:rsidP="005E49D6">
            <w:pPr>
              <w:pStyle w:val="TableText"/>
              <w:spacing w:before="0" w:after="0"/>
              <w:ind w:left="57" w:right="57"/>
              <w:rPr>
                <w:rFonts w:cs="Calibri"/>
              </w:rPr>
            </w:pPr>
            <w:r>
              <w:fldChar w:fldCharType="begin">
                <w:fldData xml:space="preserve">PEVuZE5vdGU+PENpdGUgQXV0aG9yWWVhcj0iMSI+PEF1dGhvcj5EcmFnYW5vdjwvQXV0aG9yPjxZ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==
</w:fldData>
              </w:fldChar>
            </w:r>
            <w:r>
              <w:instrText xml:space="preserve"> ADDIN EN.CITE </w:instrText>
            </w:r>
            <w:r>
              <w:fldChar w:fldCharType="begin">
                <w:fldData xml:space="preserve">PEVuZE5vdGU+PENpdGUgQXV0aG9yWWVhcj0iMSI+PEF1dGhvcj5EcmFnYW5vdjwvQXV0aG9yPjxZ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==
</w:fldData>
              </w:fldChar>
            </w:r>
            <w:r>
              <w:instrText xml:space="preserve"> ADDIN EN.CITE.DATA </w:instrText>
            </w:r>
            <w:r>
              <w:fldChar w:fldCharType="end"/>
            </w:r>
            <w:r>
              <w:fldChar w:fldCharType="separate"/>
            </w:r>
            <w:r>
              <w:rPr>
                <w:noProof/>
              </w:rPr>
              <w:t>Draganov et al. (2012)</w:t>
            </w:r>
            <w:r>
              <w:fldChar w:fldCharType="end"/>
            </w:r>
            <w:r>
              <w:t xml:space="preserve">, </w:t>
            </w:r>
            <w:r>
              <w:rPr>
                <w:rFonts w:cs="Calibri"/>
              </w:rPr>
              <w:t>USA</w:t>
            </w:r>
          </w:p>
          <w:p w14:paraId="0DBAAF05" w14:textId="4A93B831" w:rsidR="00996C6A" w:rsidRPr="008F3E59" w:rsidRDefault="00996C6A" w:rsidP="005E49D6">
            <w:pPr>
              <w:pStyle w:val="TableText"/>
              <w:spacing w:before="0" w:after="0"/>
              <w:ind w:left="57" w:right="57"/>
            </w:pPr>
            <w:r>
              <w:rPr>
                <w:rFonts w:cs="Calibri"/>
              </w:rPr>
              <w:t>Legacy</w:t>
            </w:r>
          </w:p>
        </w:tc>
        <w:tc>
          <w:tcPr>
            <w:tcW w:w="1004" w:type="pct"/>
            <w:vMerge w:val="restart"/>
          </w:tcPr>
          <w:p w14:paraId="4DD91188" w14:textId="6BBE6C64" w:rsidR="00996C6A" w:rsidRDefault="00996C6A" w:rsidP="005E49D6">
            <w:pPr>
              <w:pStyle w:val="TableText"/>
              <w:spacing w:before="0" w:after="0"/>
              <w:ind w:left="57" w:right="57"/>
            </w:pPr>
            <w:r>
              <w:t>NRCT</w:t>
            </w:r>
          </w:p>
          <w:p w14:paraId="1B826986" w14:textId="77777777" w:rsidR="00996C6A" w:rsidRPr="00996C6A" w:rsidRDefault="00996C6A" w:rsidP="005E49D6">
            <w:pPr>
              <w:pStyle w:val="TableText"/>
              <w:spacing w:before="0" w:after="0"/>
              <w:ind w:left="57" w:right="57"/>
            </w:pPr>
            <w:r w:rsidRPr="00996C6A">
              <w:t>At risk of bias</w:t>
            </w:r>
          </w:p>
          <w:p w14:paraId="3CC40273" w14:textId="77777777" w:rsidR="00996C6A" w:rsidRDefault="00996C6A" w:rsidP="005E49D6">
            <w:pPr>
              <w:pStyle w:val="TableText"/>
              <w:spacing w:before="0" w:after="0"/>
              <w:ind w:left="57" w:right="57"/>
            </w:pPr>
            <w:r w:rsidRPr="00996C6A">
              <w:t>Concern about applicability</w:t>
            </w:r>
          </w:p>
          <w:p w14:paraId="7516E85B" w14:textId="6F9CDD8C" w:rsidR="00996C6A" w:rsidRPr="008F3E59" w:rsidRDefault="00996C6A" w:rsidP="005E49D6">
            <w:pPr>
              <w:pStyle w:val="TableText"/>
              <w:spacing w:before="0" w:after="0"/>
              <w:ind w:left="57" w:right="57"/>
            </w:pPr>
            <w:r w:rsidRPr="00BF7812">
              <w:rPr>
                <w:rFonts w:ascii="Cambria Math" w:hAnsi="Cambria Math"/>
                <w:color w:val="00B050"/>
              </w:rPr>
              <w:t>⨁</w:t>
            </w:r>
            <w:r w:rsidRPr="00BF7812">
              <w:rPr>
                <w:rFonts w:ascii="Cambria Math" w:hAnsi="Cambria Math" w:cs="Cambria Math"/>
                <w:color w:val="C00000"/>
              </w:rPr>
              <w:t>⨀⨀⨀</w:t>
            </w:r>
            <w:r>
              <w:rPr>
                <w:rFonts w:ascii="Cambria Math" w:hAnsi="Cambria Math" w:cs="Cambria Math"/>
                <w:color w:val="C00000"/>
              </w:rPr>
              <w:t xml:space="preserve"> </w:t>
            </w:r>
            <w:r>
              <w:rPr>
                <w:vertAlign w:val="superscript"/>
              </w:rPr>
              <w:t>b</w:t>
            </w:r>
          </w:p>
        </w:tc>
        <w:tc>
          <w:tcPr>
            <w:tcW w:w="480" w:type="pct"/>
            <w:tcBorders>
              <w:bottom w:val="single" w:sz="4" w:space="0" w:color="FFFFFF" w:themeColor="background1"/>
            </w:tcBorders>
          </w:tcPr>
          <w:p w14:paraId="3600E204" w14:textId="72C40A40" w:rsidR="00996C6A" w:rsidRPr="00FC1D72" w:rsidRDefault="00996C6A" w:rsidP="005E49D6">
            <w:pPr>
              <w:pStyle w:val="TableText"/>
              <w:spacing w:before="0" w:after="0"/>
              <w:ind w:left="57" w:right="57"/>
              <w:rPr>
                <w:rFonts w:cs="Calibri"/>
                <w:lang w:eastAsia="en-GB"/>
              </w:rPr>
            </w:pPr>
            <w:r>
              <w:rPr>
                <w:bCs/>
                <w:snapToGrid w:val="0"/>
              </w:rPr>
              <w:t>ERCP</w:t>
            </w:r>
            <w:r w:rsidRPr="00F2716B">
              <w:rPr>
                <w:bCs/>
                <w:snapToGrid w:val="0"/>
              </w:rPr>
              <w:t xml:space="preserve"> (92%)</w:t>
            </w:r>
          </w:p>
        </w:tc>
        <w:tc>
          <w:tcPr>
            <w:tcW w:w="893" w:type="pct"/>
            <w:tcBorders>
              <w:bottom w:val="single" w:sz="4" w:space="0" w:color="FFFFFF" w:themeColor="background1"/>
            </w:tcBorders>
          </w:tcPr>
          <w:p w14:paraId="1ECE0086" w14:textId="361A9CDF" w:rsidR="00996C6A" w:rsidRPr="008F3E59" w:rsidRDefault="00996C6A" w:rsidP="005E49D6">
            <w:pPr>
              <w:pStyle w:val="TableText"/>
              <w:spacing w:before="0" w:after="0"/>
              <w:ind w:left="57" w:right="57"/>
            </w:pPr>
            <w:r w:rsidRPr="00FC1D72">
              <w:rPr>
                <w:rFonts w:cs="Calibri"/>
                <w:lang w:eastAsia="en-GB"/>
              </w:rPr>
              <w:t>Clinical follow</w:t>
            </w:r>
            <w:r>
              <w:rPr>
                <w:rFonts w:cs="Calibri"/>
                <w:lang w:eastAsia="en-GB"/>
              </w:rPr>
              <w:t xml:space="preserve"> </w:t>
            </w:r>
            <w:r w:rsidRPr="00FC1D72">
              <w:rPr>
                <w:rFonts w:cs="Calibri"/>
                <w:lang w:eastAsia="en-GB"/>
              </w:rPr>
              <w:t xml:space="preserve">up </w:t>
            </w:r>
            <w:r>
              <w:rPr>
                <w:rFonts w:cs="Calibri"/>
                <w:lang w:eastAsia="en-GB"/>
              </w:rPr>
              <w:t xml:space="preserve">(median </w:t>
            </w:r>
            <w:r w:rsidRPr="00AC54F0">
              <w:rPr>
                <w:rFonts w:cs="Calibri"/>
                <w:lang w:eastAsia="en-GB"/>
              </w:rPr>
              <w:t xml:space="preserve">21.8 </w:t>
            </w:r>
            <w:r>
              <w:rPr>
                <w:rFonts w:cs="Calibri"/>
                <w:lang w:eastAsia="en-GB"/>
              </w:rPr>
              <w:t xml:space="preserve">months) </w:t>
            </w:r>
            <w:r w:rsidRPr="00FC1D72">
              <w:rPr>
                <w:rFonts w:cs="Calibri"/>
                <w:lang w:eastAsia="en-GB"/>
              </w:rPr>
              <w:t xml:space="preserve">or </w:t>
            </w:r>
            <w:r>
              <w:t>histological examination</w:t>
            </w:r>
          </w:p>
        </w:tc>
        <w:tc>
          <w:tcPr>
            <w:tcW w:w="580" w:type="pct"/>
          </w:tcPr>
          <w:p w14:paraId="199A5602" w14:textId="77777777" w:rsidR="00996C6A" w:rsidRPr="008F3E59" w:rsidRDefault="00996C6A" w:rsidP="005E49D6">
            <w:pPr>
              <w:pStyle w:val="TableText"/>
              <w:spacing w:before="0" w:after="0"/>
              <w:ind w:left="57" w:right="57"/>
            </w:pPr>
            <w:r w:rsidRPr="008F3E59">
              <w:t>Sensitivity</w:t>
            </w:r>
          </w:p>
        </w:tc>
        <w:tc>
          <w:tcPr>
            <w:tcW w:w="446" w:type="pct"/>
          </w:tcPr>
          <w:p w14:paraId="50E2446C" w14:textId="77777777" w:rsidR="00996C6A" w:rsidRPr="008F3E59" w:rsidRDefault="00996C6A" w:rsidP="005E49D6">
            <w:pPr>
              <w:pStyle w:val="TableText"/>
              <w:spacing w:before="0" w:after="0"/>
              <w:ind w:left="57" w:right="57"/>
            </w:pPr>
            <w:r w:rsidRPr="008F3E59">
              <w:t>77%</w:t>
            </w:r>
          </w:p>
        </w:tc>
        <w:tc>
          <w:tcPr>
            <w:tcW w:w="416" w:type="pct"/>
          </w:tcPr>
          <w:p w14:paraId="1367B7D5" w14:textId="77777777" w:rsidR="00996C6A" w:rsidRPr="008F3E59" w:rsidRDefault="00996C6A" w:rsidP="005E49D6">
            <w:pPr>
              <w:pStyle w:val="TableText"/>
              <w:spacing w:before="0" w:after="0"/>
              <w:ind w:left="57" w:right="57"/>
            </w:pPr>
            <w:r w:rsidRPr="008F3E59">
              <w:t>29.4%</w:t>
            </w:r>
          </w:p>
        </w:tc>
        <w:tc>
          <w:tcPr>
            <w:tcW w:w="616" w:type="pct"/>
          </w:tcPr>
          <w:p w14:paraId="71CB1371" w14:textId="77777777" w:rsidR="00996C6A" w:rsidRPr="00996C6A" w:rsidRDefault="00996C6A" w:rsidP="005E49D6">
            <w:pPr>
              <w:pStyle w:val="TableText"/>
              <w:spacing w:before="0" w:after="0"/>
              <w:ind w:left="57" w:right="57"/>
              <w:rPr>
                <w:iCs/>
              </w:rPr>
            </w:pPr>
            <w:r w:rsidRPr="00996C6A">
              <w:rPr>
                <w:iCs/>
              </w:rPr>
              <w:t>47.1%</w:t>
            </w:r>
          </w:p>
          <w:p w14:paraId="16B5D6C8" w14:textId="77777777" w:rsidR="00996C6A" w:rsidRPr="00996C6A" w:rsidRDefault="00996C6A" w:rsidP="005E49D6">
            <w:pPr>
              <w:pStyle w:val="TableText"/>
              <w:spacing w:before="0" w:after="0"/>
              <w:ind w:left="57" w:right="57"/>
              <w:rPr>
                <w:iCs/>
              </w:rPr>
            </w:pPr>
            <w:r w:rsidRPr="00996C6A">
              <w:rPr>
                <w:iCs/>
              </w:rPr>
              <w:t>(p=0.0215)</w:t>
            </w:r>
          </w:p>
        </w:tc>
      </w:tr>
      <w:tr w:rsidR="00996C6A" w14:paraId="3B8F6E6B" w14:textId="77777777" w:rsidTr="00996C6A">
        <w:trPr>
          <w:trHeight w:val="70"/>
        </w:trPr>
        <w:tc>
          <w:tcPr>
            <w:tcW w:w="565" w:type="pct"/>
            <w:tcBorders>
              <w:top w:val="single" w:sz="4" w:space="0" w:color="FFFFFF"/>
              <w:bottom w:val="single" w:sz="4" w:space="0" w:color="FFFFFF"/>
            </w:tcBorders>
          </w:tcPr>
          <w:p w14:paraId="0D3967E3" w14:textId="77777777" w:rsidR="00996C6A" w:rsidRPr="008F3E59" w:rsidRDefault="00996C6A" w:rsidP="005E49D6">
            <w:pPr>
              <w:pStyle w:val="TableText"/>
              <w:spacing w:before="0" w:after="0"/>
              <w:ind w:left="57" w:right="57"/>
            </w:pPr>
          </w:p>
        </w:tc>
        <w:tc>
          <w:tcPr>
            <w:tcW w:w="1004" w:type="pct"/>
            <w:vMerge/>
          </w:tcPr>
          <w:p w14:paraId="6E533811" w14:textId="77777777" w:rsidR="00996C6A" w:rsidRPr="008F3E59" w:rsidRDefault="00996C6A" w:rsidP="005E49D6">
            <w:pPr>
              <w:pStyle w:val="TableText"/>
              <w:spacing w:before="0" w:after="0"/>
              <w:ind w:left="57" w:right="57"/>
            </w:pPr>
          </w:p>
        </w:tc>
        <w:tc>
          <w:tcPr>
            <w:tcW w:w="480" w:type="pct"/>
            <w:tcBorders>
              <w:top w:val="single" w:sz="4" w:space="0" w:color="FFFFFF" w:themeColor="background1"/>
              <w:bottom w:val="single" w:sz="4" w:space="0" w:color="FFFFFF" w:themeColor="background1"/>
            </w:tcBorders>
          </w:tcPr>
          <w:p w14:paraId="1892B3B0" w14:textId="77777777" w:rsidR="00996C6A" w:rsidRPr="008F3E59" w:rsidRDefault="00996C6A" w:rsidP="005E49D6">
            <w:pPr>
              <w:pStyle w:val="TableText"/>
              <w:spacing w:before="0" w:after="0"/>
              <w:ind w:left="57" w:right="57"/>
            </w:pPr>
          </w:p>
        </w:tc>
        <w:tc>
          <w:tcPr>
            <w:tcW w:w="893" w:type="pct"/>
            <w:tcBorders>
              <w:top w:val="single" w:sz="4" w:space="0" w:color="FFFFFF" w:themeColor="background1"/>
              <w:bottom w:val="single" w:sz="4" w:space="0" w:color="FFFFFF" w:themeColor="background1"/>
            </w:tcBorders>
          </w:tcPr>
          <w:p w14:paraId="61100A82" w14:textId="5AEB8679" w:rsidR="00996C6A" w:rsidRPr="008F3E59" w:rsidRDefault="00996C6A" w:rsidP="005E49D6">
            <w:pPr>
              <w:pStyle w:val="TableText"/>
              <w:spacing w:before="0" w:after="0"/>
              <w:ind w:left="57" w:right="57"/>
            </w:pPr>
          </w:p>
        </w:tc>
        <w:tc>
          <w:tcPr>
            <w:tcW w:w="580" w:type="pct"/>
          </w:tcPr>
          <w:p w14:paraId="4665ED56" w14:textId="77777777" w:rsidR="00996C6A" w:rsidRPr="00E13001" w:rsidRDefault="00996C6A" w:rsidP="005E49D6">
            <w:pPr>
              <w:pStyle w:val="TableText"/>
              <w:spacing w:before="0" w:after="0"/>
              <w:ind w:left="57" w:right="57"/>
            </w:pPr>
            <w:r w:rsidRPr="00E13001">
              <w:t>Specificity</w:t>
            </w:r>
          </w:p>
        </w:tc>
        <w:tc>
          <w:tcPr>
            <w:tcW w:w="446" w:type="pct"/>
          </w:tcPr>
          <w:p w14:paraId="4F4EE67D" w14:textId="77777777" w:rsidR="00996C6A" w:rsidRPr="00E13001" w:rsidRDefault="00996C6A" w:rsidP="005E49D6">
            <w:pPr>
              <w:pStyle w:val="TableText"/>
              <w:spacing w:before="0" w:after="0"/>
              <w:ind w:left="57" w:right="57"/>
            </w:pPr>
            <w:r w:rsidRPr="00E13001">
              <w:t>100%</w:t>
            </w:r>
          </w:p>
        </w:tc>
        <w:tc>
          <w:tcPr>
            <w:tcW w:w="416" w:type="pct"/>
          </w:tcPr>
          <w:p w14:paraId="20ED38FB" w14:textId="77777777" w:rsidR="00996C6A" w:rsidRPr="00E13001" w:rsidRDefault="00996C6A" w:rsidP="005E49D6">
            <w:pPr>
              <w:pStyle w:val="TableText"/>
              <w:spacing w:before="0" w:after="0"/>
              <w:ind w:left="57" w:right="57"/>
            </w:pPr>
            <w:r w:rsidRPr="00E13001">
              <w:t>100%</w:t>
            </w:r>
          </w:p>
        </w:tc>
        <w:tc>
          <w:tcPr>
            <w:tcW w:w="616" w:type="pct"/>
          </w:tcPr>
          <w:p w14:paraId="47AFBA6B" w14:textId="77777777" w:rsidR="00996C6A" w:rsidRPr="00E13001" w:rsidRDefault="00996C6A" w:rsidP="005E49D6">
            <w:pPr>
              <w:pStyle w:val="TableText"/>
              <w:spacing w:before="0" w:after="0"/>
              <w:ind w:left="57" w:right="57"/>
            </w:pPr>
            <w:r w:rsidRPr="00E13001">
              <w:t>0%</w:t>
            </w:r>
          </w:p>
        </w:tc>
      </w:tr>
      <w:tr w:rsidR="00996C6A" w14:paraId="25317A32" w14:textId="77777777" w:rsidTr="00996C6A">
        <w:trPr>
          <w:trHeight w:val="70"/>
        </w:trPr>
        <w:tc>
          <w:tcPr>
            <w:tcW w:w="565" w:type="pct"/>
            <w:tcBorders>
              <w:top w:val="single" w:sz="4" w:space="0" w:color="FFFFFF"/>
              <w:bottom w:val="single" w:sz="4" w:space="0" w:color="FFFFFF"/>
            </w:tcBorders>
          </w:tcPr>
          <w:p w14:paraId="088BC6A8" w14:textId="77777777" w:rsidR="00996C6A" w:rsidRPr="008F3E59" w:rsidRDefault="00996C6A" w:rsidP="005E49D6">
            <w:pPr>
              <w:pStyle w:val="TableText"/>
              <w:spacing w:before="0" w:after="0"/>
              <w:ind w:left="57" w:right="57"/>
            </w:pPr>
          </w:p>
        </w:tc>
        <w:tc>
          <w:tcPr>
            <w:tcW w:w="1004" w:type="pct"/>
            <w:vMerge/>
          </w:tcPr>
          <w:p w14:paraId="7550CEF4" w14:textId="77777777" w:rsidR="00996C6A" w:rsidRPr="008F3E59" w:rsidRDefault="00996C6A" w:rsidP="005E49D6">
            <w:pPr>
              <w:pStyle w:val="TableText"/>
              <w:spacing w:before="0" w:after="0"/>
              <w:ind w:left="57" w:right="57"/>
            </w:pPr>
          </w:p>
        </w:tc>
        <w:tc>
          <w:tcPr>
            <w:tcW w:w="480" w:type="pct"/>
            <w:tcBorders>
              <w:top w:val="single" w:sz="4" w:space="0" w:color="FFFFFF" w:themeColor="background1"/>
              <w:bottom w:val="single" w:sz="4" w:space="0" w:color="FFFFFF" w:themeColor="background1"/>
            </w:tcBorders>
          </w:tcPr>
          <w:p w14:paraId="6FDA139C" w14:textId="77777777" w:rsidR="00996C6A" w:rsidRPr="008F3E59" w:rsidRDefault="00996C6A" w:rsidP="005E49D6">
            <w:pPr>
              <w:pStyle w:val="TableText"/>
              <w:spacing w:before="0" w:after="0"/>
              <w:ind w:left="57" w:right="57"/>
            </w:pPr>
          </w:p>
        </w:tc>
        <w:tc>
          <w:tcPr>
            <w:tcW w:w="893" w:type="pct"/>
            <w:tcBorders>
              <w:top w:val="single" w:sz="4" w:space="0" w:color="FFFFFF" w:themeColor="background1"/>
              <w:bottom w:val="single" w:sz="4" w:space="0" w:color="FFFFFF" w:themeColor="background1"/>
            </w:tcBorders>
          </w:tcPr>
          <w:p w14:paraId="5368410B" w14:textId="4F0437B6" w:rsidR="00996C6A" w:rsidRPr="008F3E59" w:rsidRDefault="00996C6A" w:rsidP="005E49D6">
            <w:pPr>
              <w:pStyle w:val="TableText"/>
              <w:spacing w:before="0" w:after="0"/>
              <w:ind w:left="57" w:right="57"/>
            </w:pPr>
          </w:p>
        </w:tc>
        <w:tc>
          <w:tcPr>
            <w:tcW w:w="580" w:type="pct"/>
          </w:tcPr>
          <w:p w14:paraId="0C8753DF" w14:textId="77777777" w:rsidR="00996C6A" w:rsidRPr="00E13001" w:rsidRDefault="00996C6A" w:rsidP="005E49D6">
            <w:pPr>
              <w:pStyle w:val="TableText"/>
              <w:spacing w:before="0" w:after="0"/>
              <w:ind w:left="57" w:right="57"/>
            </w:pPr>
            <w:r w:rsidRPr="00E13001">
              <w:t>PPV</w:t>
            </w:r>
          </w:p>
        </w:tc>
        <w:tc>
          <w:tcPr>
            <w:tcW w:w="446" w:type="pct"/>
          </w:tcPr>
          <w:p w14:paraId="3EA9499C" w14:textId="77777777" w:rsidR="00996C6A" w:rsidRPr="00E13001" w:rsidRDefault="00996C6A" w:rsidP="005E49D6">
            <w:pPr>
              <w:pStyle w:val="TableText"/>
              <w:spacing w:before="0" w:after="0"/>
              <w:ind w:left="57" w:right="57"/>
            </w:pPr>
            <w:r w:rsidRPr="00E13001">
              <w:t>100%</w:t>
            </w:r>
          </w:p>
        </w:tc>
        <w:tc>
          <w:tcPr>
            <w:tcW w:w="416" w:type="pct"/>
          </w:tcPr>
          <w:p w14:paraId="7F79B6F7" w14:textId="77777777" w:rsidR="00996C6A" w:rsidRPr="00E13001" w:rsidRDefault="00996C6A" w:rsidP="005E49D6">
            <w:pPr>
              <w:pStyle w:val="TableText"/>
              <w:spacing w:before="0" w:after="0"/>
              <w:ind w:left="57" w:right="57"/>
            </w:pPr>
            <w:r w:rsidRPr="00E13001">
              <w:t>100%</w:t>
            </w:r>
          </w:p>
        </w:tc>
        <w:tc>
          <w:tcPr>
            <w:tcW w:w="616" w:type="pct"/>
          </w:tcPr>
          <w:p w14:paraId="7B6D2500" w14:textId="77777777" w:rsidR="00996C6A" w:rsidRPr="00E13001" w:rsidRDefault="00996C6A" w:rsidP="005E49D6">
            <w:pPr>
              <w:pStyle w:val="TableText"/>
              <w:spacing w:before="0" w:after="0"/>
              <w:ind w:left="57" w:right="57"/>
            </w:pPr>
            <w:r>
              <w:t>0%</w:t>
            </w:r>
          </w:p>
        </w:tc>
      </w:tr>
      <w:tr w:rsidR="00996C6A" w14:paraId="64EFED29" w14:textId="77777777" w:rsidTr="00996C6A">
        <w:trPr>
          <w:trHeight w:val="85"/>
        </w:trPr>
        <w:tc>
          <w:tcPr>
            <w:tcW w:w="565" w:type="pct"/>
            <w:tcBorders>
              <w:top w:val="single" w:sz="4" w:space="0" w:color="FFFFFF"/>
            </w:tcBorders>
          </w:tcPr>
          <w:p w14:paraId="76299A1E" w14:textId="77777777" w:rsidR="00996C6A" w:rsidRPr="008F3E59" w:rsidRDefault="00996C6A" w:rsidP="005E49D6">
            <w:pPr>
              <w:pStyle w:val="TableText"/>
              <w:spacing w:before="0" w:after="0"/>
              <w:ind w:right="57"/>
            </w:pPr>
          </w:p>
        </w:tc>
        <w:tc>
          <w:tcPr>
            <w:tcW w:w="1004" w:type="pct"/>
            <w:vMerge/>
          </w:tcPr>
          <w:p w14:paraId="350A5574" w14:textId="77777777" w:rsidR="00996C6A" w:rsidRPr="008F3E59" w:rsidRDefault="00996C6A" w:rsidP="005E49D6">
            <w:pPr>
              <w:pStyle w:val="TableText"/>
              <w:spacing w:before="0" w:after="0"/>
              <w:ind w:left="57" w:right="57"/>
            </w:pPr>
          </w:p>
        </w:tc>
        <w:tc>
          <w:tcPr>
            <w:tcW w:w="480" w:type="pct"/>
            <w:tcBorders>
              <w:top w:val="single" w:sz="4" w:space="0" w:color="FFFFFF" w:themeColor="background1"/>
            </w:tcBorders>
          </w:tcPr>
          <w:p w14:paraId="5CD10EF3" w14:textId="77777777" w:rsidR="00996C6A" w:rsidRPr="008F3E59" w:rsidRDefault="00996C6A" w:rsidP="005E49D6">
            <w:pPr>
              <w:pStyle w:val="TableText"/>
              <w:spacing w:before="0" w:after="0"/>
              <w:ind w:left="57" w:right="57"/>
            </w:pPr>
          </w:p>
        </w:tc>
        <w:tc>
          <w:tcPr>
            <w:tcW w:w="893" w:type="pct"/>
            <w:tcBorders>
              <w:top w:val="single" w:sz="4" w:space="0" w:color="FFFFFF" w:themeColor="background1"/>
            </w:tcBorders>
          </w:tcPr>
          <w:p w14:paraId="3A5E4C2C" w14:textId="1C2F475A" w:rsidR="00996C6A" w:rsidRPr="008F3E59" w:rsidRDefault="00996C6A" w:rsidP="005E49D6">
            <w:pPr>
              <w:pStyle w:val="TableText"/>
              <w:spacing w:before="0" w:after="0"/>
              <w:ind w:left="57" w:right="57"/>
            </w:pPr>
          </w:p>
        </w:tc>
        <w:tc>
          <w:tcPr>
            <w:tcW w:w="580" w:type="pct"/>
          </w:tcPr>
          <w:p w14:paraId="7822C09A" w14:textId="77777777" w:rsidR="00996C6A" w:rsidRPr="00E13001" w:rsidRDefault="00996C6A" w:rsidP="005E49D6">
            <w:pPr>
              <w:pStyle w:val="TableText"/>
              <w:spacing w:before="0" w:after="0"/>
              <w:ind w:left="57" w:right="57"/>
            </w:pPr>
            <w:r w:rsidRPr="00E13001">
              <w:t>NPV</w:t>
            </w:r>
          </w:p>
        </w:tc>
        <w:tc>
          <w:tcPr>
            <w:tcW w:w="446" w:type="pct"/>
          </w:tcPr>
          <w:p w14:paraId="094BF44D" w14:textId="77777777" w:rsidR="00996C6A" w:rsidRPr="00C53825" w:rsidRDefault="00996C6A" w:rsidP="005E49D6">
            <w:pPr>
              <w:pStyle w:val="TableText"/>
              <w:spacing w:before="0" w:after="0"/>
              <w:ind w:left="57" w:right="57"/>
              <w:rPr>
                <w:iCs/>
              </w:rPr>
            </w:pPr>
            <w:r w:rsidRPr="00C53825">
              <w:rPr>
                <w:iCs/>
              </w:rPr>
              <w:t>69.2%</w:t>
            </w:r>
          </w:p>
        </w:tc>
        <w:tc>
          <w:tcPr>
            <w:tcW w:w="416" w:type="pct"/>
          </w:tcPr>
          <w:p w14:paraId="79B21413" w14:textId="77777777" w:rsidR="00996C6A" w:rsidRPr="00C53825" w:rsidRDefault="00996C6A" w:rsidP="005E49D6">
            <w:pPr>
              <w:pStyle w:val="TableText"/>
              <w:spacing w:before="0" w:after="0"/>
              <w:ind w:left="57" w:right="57"/>
              <w:rPr>
                <w:iCs/>
              </w:rPr>
            </w:pPr>
            <w:r w:rsidRPr="00C53825">
              <w:rPr>
                <w:iCs/>
              </w:rPr>
              <w:t>42.8%</w:t>
            </w:r>
          </w:p>
        </w:tc>
        <w:tc>
          <w:tcPr>
            <w:tcW w:w="616" w:type="pct"/>
          </w:tcPr>
          <w:p w14:paraId="3831AE13" w14:textId="77777777" w:rsidR="00996C6A" w:rsidRPr="00C53825" w:rsidRDefault="00996C6A" w:rsidP="005E49D6">
            <w:pPr>
              <w:pStyle w:val="TableText"/>
              <w:spacing w:before="0" w:after="0"/>
              <w:ind w:left="57" w:right="57"/>
              <w:rPr>
                <w:iCs/>
              </w:rPr>
            </w:pPr>
            <w:r w:rsidRPr="00C53825">
              <w:rPr>
                <w:iCs/>
              </w:rPr>
              <w:t>26.4%</w:t>
            </w:r>
          </w:p>
        </w:tc>
      </w:tr>
    </w:tbl>
    <w:p w14:paraId="700ACBD3" w14:textId="77777777" w:rsidR="00140931" w:rsidRDefault="00140931" w:rsidP="00CC39AB">
      <w:pPr>
        <w:pStyle w:val="Tablenotes"/>
      </w:pPr>
      <w:r w:rsidRPr="001A4E5B">
        <w:t>Abbreviations</w:t>
      </w:r>
      <w:r>
        <w:t xml:space="preserve">: </w:t>
      </w:r>
      <w:r w:rsidRPr="001A4E5B">
        <w:t>ERCP</w:t>
      </w:r>
      <w:r>
        <w:t xml:space="preserve">-IB </w:t>
      </w:r>
      <w:r w:rsidRPr="001A4E5B">
        <w:t xml:space="preserve">= </w:t>
      </w:r>
      <w:r w:rsidRPr="0005649D">
        <w:t>endoscopic</w:t>
      </w:r>
      <w:r w:rsidRPr="001A4E5B">
        <w:t xml:space="preserve"> retrograde cholangiopancreatography</w:t>
      </w:r>
      <w:r w:rsidRPr="00E42C8D">
        <w:t>-guided intraductal biopsy</w:t>
      </w:r>
      <w:r>
        <w:t>;</w:t>
      </w:r>
      <w:r w:rsidRPr="00E42C8D">
        <w:t xml:space="preserve"> </w:t>
      </w:r>
      <w:r>
        <w:t xml:space="preserve">MRCP= </w:t>
      </w:r>
      <w:r w:rsidRPr="0005649D">
        <w:t>magnetic</w:t>
      </w:r>
      <w:r w:rsidRPr="008B07B8">
        <w:t xml:space="preserve"> resonance</w:t>
      </w:r>
      <w:r>
        <w:t xml:space="preserve"> </w:t>
      </w:r>
      <w:r w:rsidRPr="008B07B8">
        <w:t>cholangiopancreatography</w:t>
      </w:r>
      <w:r>
        <w:t xml:space="preserve">; N = number of participants, NR = not reported, </w:t>
      </w:r>
      <w:r w:rsidRPr="001A4E5B">
        <w:t>POCPS</w:t>
      </w:r>
      <w:r>
        <w:t>-B</w:t>
      </w:r>
      <w:r w:rsidRPr="001A4E5B">
        <w:t xml:space="preserve">= </w:t>
      </w:r>
      <w:r w:rsidRPr="0005649D">
        <w:t>single</w:t>
      </w:r>
      <w:r w:rsidRPr="001A4E5B">
        <w:t xml:space="preserve"> operator, single use, peroral</w:t>
      </w:r>
      <w:r>
        <w:t xml:space="preserve"> </w:t>
      </w:r>
      <w:r w:rsidRPr="001A4E5B">
        <w:t>cholangiopancreatoscopy</w:t>
      </w:r>
      <w:r w:rsidRPr="00E42C8D">
        <w:t xml:space="preserve">-guided </w:t>
      </w:r>
      <w:r>
        <w:t xml:space="preserve">biopsy, RoB= </w:t>
      </w:r>
      <w:r w:rsidRPr="0005649D">
        <w:t>risk</w:t>
      </w:r>
      <w:r>
        <w:t xml:space="preserve"> of </w:t>
      </w:r>
      <w:r w:rsidRPr="0005649D">
        <w:t>bias</w:t>
      </w:r>
      <w:r>
        <w:t>.</w:t>
      </w:r>
    </w:p>
    <w:p w14:paraId="7B6F209E" w14:textId="06418111" w:rsidR="00FD75F1" w:rsidRDefault="00FD75F1" w:rsidP="00CC39AB">
      <w:pPr>
        <w:pStyle w:val="Tablenotes"/>
      </w:pPr>
      <w:r>
        <w:t>Source: Table 58 of the ADAR</w:t>
      </w:r>
      <w:r w:rsidR="00CC39AB">
        <w:t>. Edits and corrections to the original table are marked in italics.</w:t>
      </w:r>
    </w:p>
    <w:p w14:paraId="396430F1" w14:textId="77777777" w:rsidR="00996C6A" w:rsidRPr="00BF7812" w:rsidRDefault="00996C6A" w:rsidP="00996C6A">
      <w:pPr>
        <w:pStyle w:val="Tablenotes"/>
        <w:rPr>
          <w:szCs w:val="18"/>
        </w:rPr>
      </w:pPr>
      <w:r w:rsidRPr="00BF7812">
        <w:rPr>
          <w:szCs w:val="18"/>
          <w:vertAlign w:val="superscript"/>
        </w:rPr>
        <w:t xml:space="preserve">a </w:t>
      </w:r>
      <w:r w:rsidRPr="00BF7812">
        <w:rPr>
          <w:szCs w:val="18"/>
        </w:rPr>
        <w:t>GRADE Working Group grades of evidence (Guyatt et al., 2013)</w:t>
      </w:r>
    </w:p>
    <w:p w14:paraId="53B66298" w14:textId="77777777" w:rsidR="00996C6A" w:rsidRPr="00BF7812" w:rsidRDefault="00996C6A" w:rsidP="00996C6A">
      <w:pPr>
        <w:pStyle w:val="Tablenotes"/>
        <w:rPr>
          <w:szCs w:val="18"/>
        </w:rPr>
      </w:pPr>
      <w:r w:rsidRPr="00BF7812">
        <w:rPr>
          <w:rFonts w:ascii="Cambria Math" w:hAnsi="Cambria Math"/>
          <w:color w:val="00B050"/>
        </w:rPr>
        <w:t xml:space="preserve">⨁⨁⨁⨁ </w:t>
      </w:r>
      <w:r w:rsidRPr="00BF7812">
        <w:rPr>
          <w:b/>
          <w:bCs/>
          <w:szCs w:val="18"/>
        </w:rPr>
        <w:t>High quality:</w:t>
      </w:r>
      <w:r w:rsidRPr="00BF7812">
        <w:rPr>
          <w:szCs w:val="18"/>
        </w:rPr>
        <w:t xml:space="preserve"> We are very confident that the true effect lies close to that of the estimate of effect. </w:t>
      </w:r>
      <w:r w:rsidRPr="00BF7812">
        <w:rPr>
          <w:szCs w:val="18"/>
        </w:rPr>
        <w:br/>
      </w:r>
      <w:r w:rsidRPr="00BF7812">
        <w:rPr>
          <w:rFonts w:ascii="Cambria Math" w:hAnsi="Cambria Math"/>
          <w:color w:val="00B050"/>
        </w:rPr>
        <w:t>⨁⨁⨁</w:t>
      </w:r>
      <w:r w:rsidRPr="00BF7812">
        <w:rPr>
          <w:rFonts w:ascii="Cambria Math" w:hAnsi="Cambria Math" w:cs="Cambria Math"/>
          <w:color w:val="C00000"/>
        </w:rPr>
        <w:t xml:space="preserve">⨀ </w:t>
      </w:r>
      <w:r w:rsidRPr="00BF7812">
        <w:rPr>
          <w:b/>
          <w:bCs/>
          <w:szCs w:val="18"/>
        </w:rPr>
        <w:t>Moderate quality:</w:t>
      </w:r>
      <w:r w:rsidRPr="00BF7812">
        <w:rPr>
          <w:szCs w:val="18"/>
        </w:rPr>
        <w:t xml:space="preserve"> We are moderately confident in the effect estimate: The true effect is likely to be close to the estimate of the effect, but there is a possibility that it is substantially different. </w:t>
      </w:r>
      <w:r w:rsidRPr="00BF7812">
        <w:rPr>
          <w:szCs w:val="18"/>
        </w:rPr>
        <w:br/>
      </w:r>
      <w:r w:rsidRPr="00BF7812">
        <w:rPr>
          <w:rFonts w:ascii="Cambria Math" w:hAnsi="Cambria Math"/>
          <w:color w:val="00B050"/>
        </w:rPr>
        <w:lastRenderedPageBreak/>
        <w:t>⨁⨁</w:t>
      </w:r>
      <w:r w:rsidRPr="00BF7812">
        <w:rPr>
          <w:rFonts w:ascii="Cambria Math" w:hAnsi="Cambria Math" w:cs="Cambria Math"/>
          <w:color w:val="C00000"/>
        </w:rPr>
        <w:t xml:space="preserve">⨀⨀ </w:t>
      </w:r>
      <w:r w:rsidRPr="00BF7812">
        <w:rPr>
          <w:b/>
          <w:bCs/>
          <w:szCs w:val="18"/>
        </w:rPr>
        <w:t>Low quality:</w:t>
      </w:r>
      <w:r w:rsidRPr="00BF7812">
        <w:rPr>
          <w:szCs w:val="18"/>
        </w:rPr>
        <w:t xml:space="preserve"> Our confidence in the effect estimate is limited: The true effect may be substantially different from the estimate of the effect.</w:t>
      </w:r>
      <w:r w:rsidRPr="00BF7812">
        <w:rPr>
          <w:szCs w:val="18"/>
        </w:rPr>
        <w:br/>
      </w:r>
      <w:r w:rsidRPr="00BF7812">
        <w:rPr>
          <w:rFonts w:ascii="Cambria Math" w:hAnsi="Cambria Math"/>
          <w:color w:val="00B050"/>
        </w:rPr>
        <w:t>⨁</w:t>
      </w:r>
      <w:r w:rsidRPr="00BF7812">
        <w:rPr>
          <w:rFonts w:ascii="Cambria Math" w:hAnsi="Cambria Math" w:cs="Cambria Math"/>
          <w:color w:val="C00000"/>
        </w:rPr>
        <w:t xml:space="preserve">⨀⨀⨀ </w:t>
      </w:r>
      <w:r w:rsidRPr="00BF7812">
        <w:rPr>
          <w:b/>
          <w:bCs/>
          <w:szCs w:val="18"/>
        </w:rPr>
        <w:t>Very low quality:</w:t>
      </w:r>
      <w:r w:rsidRPr="00BF7812">
        <w:rPr>
          <w:szCs w:val="18"/>
        </w:rPr>
        <w:t xml:space="preserve"> We have very little confidence in the effect estimate: The true effect is likely to be substantially different from the estimate of effect.</w:t>
      </w:r>
    </w:p>
    <w:p w14:paraId="16F14148" w14:textId="77777777" w:rsidR="00996C6A" w:rsidRPr="00996C6A" w:rsidRDefault="00996C6A" w:rsidP="00996C6A">
      <w:pPr>
        <w:pStyle w:val="Tablenotes"/>
      </w:pPr>
      <w:r>
        <w:rPr>
          <w:vertAlign w:val="superscript"/>
        </w:rPr>
        <w:t>b</w:t>
      </w:r>
      <w:r w:rsidRPr="00996C6A">
        <w:t xml:space="preserve"> Downgraded due to concerns about the methodological quality of the studies, indirectness, imprecision, and search strategy comprehensiveness</w:t>
      </w:r>
    </w:p>
    <w:p w14:paraId="2F12A7BF" w14:textId="3499EB44" w:rsidR="00443CCD" w:rsidRDefault="00CC1550" w:rsidP="0015035D">
      <w:pPr>
        <w:spacing w:before="240" w:after="240"/>
        <w:rPr>
          <w:iCs/>
        </w:rPr>
      </w:pPr>
      <w:r>
        <w:t xml:space="preserve">The </w:t>
      </w:r>
      <w:r w:rsidR="00AD5B25">
        <w:t xml:space="preserve">direct </w:t>
      </w:r>
      <w:r>
        <w:t>e</w:t>
      </w:r>
      <w:r w:rsidR="00AD5B25">
        <w:t xml:space="preserve">vidence for procedural success of </w:t>
      </w:r>
      <w:r w:rsidR="00AD5B25" w:rsidRPr="00FD75F1">
        <w:t>POCPS-guided biopsy compared to ERCP-guided brush cytology and intraductal biopsy are presented in</w:t>
      </w:r>
      <w:r w:rsidR="00746F39">
        <w:t xml:space="preserve"> </w:t>
      </w:r>
      <w:bookmarkStart w:id="86" w:name="_Ref83276571"/>
      <w:bookmarkStart w:id="87" w:name="_Ref76490018"/>
      <w:bookmarkStart w:id="88" w:name="_Toc84313651"/>
      <w:bookmarkStart w:id="89" w:name="_Toc84324796"/>
      <w:bookmarkStart w:id="90" w:name="_Toc84344229"/>
      <w:bookmarkStart w:id="91" w:name="_Toc88760205"/>
      <w:r w:rsidR="006F50D0">
        <w:rPr>
          <w:iCs/>
        </w:rPr>
        <w:t xml:space="preserve"> </w:t>
      </w:r>
      <w:r w:rsidR="006F50D0">
        <w:rPr>
          <w:iCs/>
        </w:rPr>
        <w:fldChar w:fldCharType="begin"/>
      </w:r>
      <w:r w:rsidR="006F50D0">
        <w:rPr>
          <w:iCs/>
        </w:rPr>
        <w:instrText xml:space="preserve"> REF _Ref97720108 \h </w:instrText>
      </w:r>
      <w:r w:rsidR="006F50D0">
        <w:rPr>
          <w:iCs/>
        </w:rPr>
      </w:r>
      <w:r w:rsidR="006F50D0">
        <w:rPr>
          <w:iCs/>
        </w:rPr>
        <w:fldChar w:fldCharType="separate"/>
      </w:r>
      <w:r w:rsidR="00D422BC">
        <w:t xml:space="preserve">Table </w:t>
      </w:r>
      <w:r w:rsidR="00D422BC">
        <w:rPr>
          <w:noProof/>
        </w:rPr>
        <w:t>16</w:t>
      </w:r>
      <w:r w:rsidR="006F50D0">
        <w:rPr>
          <w:iCs/>
        </w:rPr>
        <w:fldChar w:fldCharType="end"/>
      </w:r>
      <w:r w:rsidR="006F50D0">
        <w:rPr>
          <w:iCs/>
        </w:rPr>
        <w:t xml:space="preserve"> and </w:t>
      </w:r>
      <w:r w:rsidR="006F50D0">
        <w:rPr>
          <w:iCs/>
        </w:rPr>
        <w:fldChar w:fldCharType="begin"/>
      </w:r>
      <w:r w:rsidR="006F50D0">
        <w:rPr>
          <w:iCs/>
        </w:rPr>
        <w:instrText xml:space="preserve"> REF _Ref83276657 \h </w:instrText>
      </w:r>
      <w:r w:rsidR="006F50D0">
        <w:rPr>
          <w:iCs/>
        </w:rPr>
      </w:r>
      <w:r w:rsidR="006F50D0">
        <w:rPr>
          <w:iCs/>
        </w:rPr>
        <w:fldChar w:fldCharType="separate"/>
      </w:r>
      <w:r w:rsidR="00D422BC">
        <w:t xml:space="preserve">Table </w:t>
      </w:r>
      <w:r w:rsidR="00D422BC">
        <w:rPr>
          <w:noProof/>
        </w:rPr>
        <w:t>17</w:t>
      </w:r>
      <w:r w:rsidR="006F50D0">
        <w:rPr>
          <w:iCs/>
        </w:rPr>
        <w:fldChar w:fldCharType="end"/>
      </w:r>
      <w:r w:rsidR="006F50D0">
        <w:rPr>
          <w:iCs/>
        </w:rPr>
        <w:t>.</w:t>
      </w:r>
    </w:p>
    <w:p w14:paraId="472FABC4" w14:textId="21ECFC9E" w:rsidR="00AD5B25" w:rsidRPr="00296E51" w:rsidRDefault="00AD5B25" w:rsidP="00AD5B25">
      <w:pPr>
        <w:pStyle w:val="Caption"/>
      </w:pPr>
      <w:bookmarkStart w:id="92" w:name="_Ref97720108"/>
      <w:r>
        <w:t xml:space="preserve">Table </w:t>
      </w:r>
      <w:r>
        <w:fldChar w:fldCharType="begin"/>
      </w:r>
      <w:r>
        <w:instrText>SEQ Table \* ARABIC</w:instrText>
      </w:r>
      <w:r>
        <w:fldChar w:fldCharType="separate"/>
      </w:r>
      <w:r w:rsidR="00D422BC">
        <w:rPr>
          <w:noProof/>
        </w:rPr>
        <w:t>16</w:t>
      </w:r>
      <w:r>
        <w:fldChar w:fldCharType="end"/>
      </w:r>
      <w:bookmarkEnd w:id="86"/>
      <w:bookmarkEnd w:id="92"/>
      <w:r>
        <w:tab/>
        <w:t>Proportion of i</w:t>
      </w:r>
      <w:r>
        <w:rPr>
          <w:noProof/>
        </w:rPr>
        <w:t xml:space="preserve">ndeterminate results </w:t>
      </w:r>
      <w:r w:rsidRPr="0005649D">
        <w:t>across studies evaluating</w:t>
      </w:r>
      <w:r>
        <w:rPr>
          <w:noProof/>
        </w:rPr>
        <w:t xml:space="preserve"> </w:t>
      </w:r>
      <w:r w:rsidRPr="008228BE">
        <w:rPr>
          <w:noProof/>
        </w:rPr>
        <w:t>POCPS-</w:t>
      </w:r>
      <w:r>
        <w:rPr>
          <w:noProof/>
        </w:rPr>
        <w:t>B compared with ERCP-</w:t>
      </w:r>
      <w:bookmarkEnd w:id="87"/>
      <w:r>
        <w:rPr>
          <w:noProof/>
        </w:rPr>
        <w:t>BC</w:t>
      </w:r>
      <w:bookmarkEnd w:id="88"/>
      <w:bookmarkEnd w:id="89"/>
      <w:bookmarkEnd w:id="90"/>
      <w:bookmarkEnd w:id="91"/>
      <w:r>
        <w:rPr>
          <w:noProof/>
        </w:rPr>
        <w:t xml:space="preserve"> </w:t>
      </w:r>
    </w:p>
    <w:tbl>
      <w:tblPr>
        <w:tblStyle w:val="TableGrid"/>
        <w:tblW w:w="0" w:type="auto"/>
        <w:tblCellMar>
          <w:left w:w="57" w:type="dxa"/>
          <w:right w:w="57" w:type="dxa"/>
        </w:tblCellMar>
        <w:tblLook w:val="04A0" w:firstRow="1" w:lastRow="0" w:firstColumn="1" w:lastColumn="0" w:noHBand="0" w:noVBand="1"/>
        <w:tblCaption w:val="Table 63 Results of indeterminate results across studies evaluating POCPS-B compared with ERCP-BC "/>
        <w:tblDescription w:val="Table 63 Results of indeterminate results across studies evaluating POCPS-B compared with ERCP-BC "/>
      </w:tblPr>
      <w:tblGrid>
        <w:gridCol w:w="1555"/>
        <w:gridCol w:w="3402"/>
        <w:gridCol w:w="899"/>
        <w:gridCol w:w="1122"/>
        <w:gridCol w:w="1122"/>
        <w:gridCol w:w="916"/>
      </w:tblGrid>
      <w:tr w:rsidR="00AD5B25" w:rsidRPr="00664DC3" w14:paraId="2737513F" w14:textId="77777777" w:rsidTr="00996C6A">
        <w:trPr>
          <w:trHeight w:val="301"/>
          <w:tblHeader/>
        </w:trPr>
        <w:tc>
          <w:tcPr>
            <w:tcW w:w="1555" w:type="dxa"/>
            <w:tcBorders>
              <w:bottom w:val="single" w:sz="4" w:space="0" w:color="D9D9D9" w:themeColor="background1" w:themeShade="D9"/>
            </w:tcBorders>
          </w:tcPr>
          <w:p w14:paraId="55932159" w14:textId="77777777" w:rsidR="00AD5B25" w:rsidRDefault="00AD5B25" w:rsidP="005E49D6">
            <w:pPr>
              <w:pStyle w:val="TableHeading0"/>
              <w:spacing w:before="0" w:after="0"/>
            </w:pPr>
            <w:r w:rsidRPr="0047211F">
              <w:t>Study</w:t>
            </w:r>
            <w:r>
              <w:t xml:space="preserve"> ID</w:t>
            </w:r>
            <w:r w:rsidRPr="0047211F">
              <w:t>, Country</w:t>
            </w:r>
          </w:p>
          <w:p w14:paraId="0ADD5892" w14:textId="087347A0" w:rsidR="00AD5B25" w:rsidRPr="0047211F" w:rsidRDefault="00AD5B25" w:rsidP="005E49D6">
            <w:pPr>
              <w:pStyle w:val="TableHeading0"/>
              <w:spacing w:before="0" w:after="0"/>
              <w:rPr>
                <w:b w:val="0"/>
              </w:rPr>
            </w:pPr>
            <w:r>
              <w:t>Generation</w:t>
            </w:r>
          </w:p>
        </w:tc>
        <w:tc>
          <w:tcPr>
            <w:tcW w:w="3402" w:type="dxa"/>
            <w:tcBorders>
              <w:bottom w:val="single" w:sz="4" w:space="0" w:color="D9D9D9"/>
            </w:tcBorders>
          </w:tcPr>
          <w:p w14:paraId="7A810740" w14:textId="77777777" w:rsidR="00AD5B25" w:rsidRDefault="00AD5B25" w:rsidP="005E49D6">
            <w:pPr>
              <w:pStyle w:val="TableHeading0"/>
              <w:spacing w:before="0" w:after="0"/>
            </w:pPr>
            <w:r w:rsidRPr="0047211F">
              <w:t xml:space="preserve">Study </w:t>
            </w:r>
            <w:r>
              <w:t>D</w:t>
            </w:r>
            <w:r w:rsidRPr="0047211F">
              <w:t>esign, RoB</w:t>
            </w:r>
          </w:p>
          <w:p w14:paraId="689B8EC3" w14:textId="43002A8B" w:rsidR="00ED0F96" w:rsidRPr="0047211F" w:rsidRDefault="00ED0F96" w:rsidP="005E49D6">
            <w:pPr>
              <w:pStyle w:val="TableHeading0"/>
              <w:spacing w:before="0" w:after="0"/>
              <w:rPr>
                <w:b w:val="0"/>
              </w:rPr>
            </w:pPr>
            <w:r w:rsidRPr="00BF7812">
              <w:t>Quality of evidence (GRADE)</w:t>
            </w:r>
            <w:r w:rsidRPr="00BF7812">
              <w:rPr>
                <w:vertAlign w:val="superscript"/>
              </w:rPr>
              <w:t xml:space="preserve"> a</w:t>
            </w:r>
          </w:p>
        </w:tc>
        <w:tc>
          <w:tcPr>
            <w:tcW w:w="899" w:type="dxa"/>
            <w:tcBorders>
              <w:bottom w:val="single" w:sz="4" w:space="0" w:color="D9D9D9"/>
            </w:tcBorders>
          </w:tcPr>
          <w:p w14:paraId="16345F89" w14:textId="77777777" w:rsidR="00AD5B25" w:rsidRPr="0047211F" w:rsidRDefault="00AD5B25" w:rsidP="005E49D6">
            <w:pPr>
              <w:pStyle w:val="TableHeading0"/>
              <w:spacing w:before="0" w:after="0"/>
              <w:rPr>
                <w:b w:val="0"/>
              </w:rPr>
            </w:pPr>
            <w:r w:rsidRPr="0047211F">
              <w:t xml:space="preserve">Prior </w:t>
            </w:r>
            <w:r>
              <w:t>T</w:t>
            </w:r>
            <w:r w:rsidRPr="0047211F">
              <w:t>est</w:t>
            </w:r>
          </w:p>
        </w:tc>
        <w:tc>
          <w:tcPr>
            <w:tcW w:w="0" w:type="auto"/>
            <w:tcBorders>
              <w:bottom w:val="single" w:sz="4" w:space="0" w:color="auto"/>
              <w:right w:val="single" w:sz="4" w:space="0" w:color="auto"/>
            </w:tcBorders>
          </w:tcPr>
          <w:p w14:paraId="5648CFEB" w14:textId="77777777" w:rsidR="00AD5B25" w:rsidRDefault="00AD5B25" w:rsidP="005E49D6">
            <w:pPr>
              <w:pStyle w:val="TableHeading0"/>
              <w:spacing w:before="0" w:after="0"/>
            </w:pPr>
            <w:r w:rsidRPr="00EF117E">
              <w:t>POCPS-B</w:t>
            </w:r>
            <w:r w:rsidRPr="0047211F">
              <w:t xml:space="preserve"> </w:t>
            </w:r>
          </w:p>
          <w:p w14:paraId="7241D266" w14:textId="6E2D2DF4" w:rsidR="00AD5B25" w:rsidRPr="0047211F" w:rsidRDefault="00AD5B25" w:rsidP="005E49D6">
            <w:pPr>
              <w:pStyle w:val="TableHeading0"/>
              <w:spacing w:before="0" w:after="0"/>
              <w:rPr>
                <w:b w:val="0"/>
              </w:rPr>
            </w:pPr>
            <w:r>
              <w:t>N</w:t>
            </w:r>
            <w:r w:rsidRPr="0047211F">
              <w:t>/N %</w:t>
            </w:r>
          </w:p>
        </w:tc>
        <w:tc>
          <w:tcPr>
            <w:tcW w:w="0" w:type="auto"/>
            <w:tcBorders>
              <w:left w:val="single" w:sz="4" w:space="0" w:color="auto"/>
              <w:bottom w:val="single" w:sz="4" w:space="0" w:color="auto"/>
              <w:right w:val="single" w:sz="4" w:space="0" w:color="auto"/>
            </w:tcBorders>
          </w:tcPr>
          <w:p w14:paraId="4D2D8FCA" w14:textId="77777777" w:rsidR="00AD5B25" w:rsidRDefault="00AD5B25" w:rsidP="005E49D6">
            <w:pPr>
              <w:pStyle w:val="TableHeading0"/>
              <w:spacing w:before="0" w:after="0"/>
            </w:pPr>
            <w:r w:rsidRPr="00004568">
              <w:t>ERCP-BC</w:t>
            </w:r>
          </w:p>
          <w:p w14:paraId="623185C5" w14:textId="67F21E35" w:rsidR="00AD5B25" w:rsidRPr="0047211F" w:rsidRDefault="00AD5B25" w:rsidP="005E49D6">
            <w:pPr>
              <w:pStyle w:val="TableHeading0"/>
              <w:spacing w:before="0" w:after="0"/>
              <w:rPr>
                <w:b w:val="0"/>
              </w:rPr>
            </w:pPr>
            <w:r>
              <w:t>N</w:t>
            </w:r>
            <w:r w:rsidRPr="0047211F">
              <w:t>/N %</w:t>
            </w:r>
          </w:p>
        </w:tc>
        <w:tc>
          <w:tcPr>
            <w:tcW w:w="0" w:type="auto"/>
            <w:tcBorders>
              <w:left w:val="single" w:sz="4" w:space="0" w:color="auto"/>
              <w:bottom w:val="single" w:sz="4" w:space="0" w:color="auto"/>
              <w:right w:val="single" w:sz="4" w:space="0" w:color="auto"/>
            </w:tcBorders>
          </w:tcPr>
          <w:p w14:paraId="20E5B401" w14:textId="66A1789C" w:rsidR="00AD5B25" w:rsidRPr="0047211F" w:rsidRDefault="00AD5B25" w:rsidP="005E49D6">
            <w:pPr>
              <w:pStyle w:val="TableHeading0"/>
              <w:spacing w:before="0" w:after="0"/>
              <w:rPr>
                <w:b w:val="0"/>
              </w:rPr>
            </w:pPr>
            <w:r w:rsidRPr="00B71036">
              <w:t xml:space="preserve">Difference </w:t>
            </w:r>
          </w:p>
        </w:tc>
      </w:tr>
      <w:tr w:rsidR="00AD5B25" w:rsidRPr="00664DC3" w14:paraId="3A928E6B" w14:textId="77777777" w:rsidTr="00996C6A">
        <w:trPr>
          <w:trHeight w:val="70"/>
        </w:trPr>
        <w:tc>
          <w:tcPr>
            <w:tcW w:w="1555" w:type="dxa"/>
          </w:tcPr>
          <w:p w14:paraId="6DD84D98" w14:textId="00AA6660" w:rsidR="00AD5B25" w:rsidRPr="00664DC3" w:rsidRDefault="005F1F4A" w:rsidP="005E49D6">
            <w:pPr>
              <w:pStyle w:val="TableText"/>
              <w:spacing w:before="0" w:after="0"/>
              <w:ind w:left="57" w:right="57"/>
            </w:pPr>
            <w:r>
              <w:fldChar w:fldCharType="begin">
                <w:fldData xml:space="preserve">PEVuZE5vdGU+PENpdGUgQXV0aG9yWWVhcj0iMSI+PEF1dGhvcj5HZXJnZXM8L0F1dGhvcj48WWVh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</w:fldData>
              </w:fldChar>
            </w:r>
            <w:r>
              <w:instrText xml:space="preserve"> ADDIN EN.CITE </w:instrText>
            </w:r>
            <w:r>
              <w:fldChar w:fldCharType="begin">
                <w:fldData xml:space="preserve">PEVuZE5vdGU+PENpdGUgQXV0aG9yWWVhcj0iMSI+PEF1dGhvcj5HZXJnZXM8L0F1dGhvcj48WWVh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</w:fldData>
              </w:fldChar>
            </w:r>
            <w:r>
              <w:instrText xml:space="preserve"> ADDIN EN.CITE.DATA </w:instrText>
            </w:r>
            <w:r>
              <w:fldChar w:fldCharType="end"/>
            </w:r>
            <w:r>
              <w:fldChar w:fldCharType="separate"/>
            </w:r>
            <w:r>
              <w:rPr>
                <w:noProof/>
              </w:rPr>
              <w:t>Gerges et al. (2020)</w:t>
            </w:r>
            <w:r>
              <w:fldChar w:fldCharType="end"/>
            </w:r>
            <w:r w:rsidR="00AD5B25">
              <w:t xml:space="preserve">, </w:t>
            </w:r>
            <w:r w:rsidR="00AD5B25">
              <w:rPr>
                <w:rFonts w:cs="Calibri"/>
              </w:rPr>
              <w:t>multiple continents</w:t>
            </w:r>
            <w:r w:rsidR="00AD5B25">
              <w:t xml:space="preserve"> </w:t>
            </w:r>
            <w:r w:rsidR="00186357">
              <w:br/>
            </w:r>
            <w:r w:rsidR="00AD5B25">
              <w:t>Digital</w:t>
            </w:r>
          </w:p>
        </w:tc>
        <w:tc>
          <w:tcPr>
            <w:tcW w:w="3402" w:type="dxa"/>
          </w:tcPr>
          <w:p w14:paraId="1E25BE07" w14:textId="71F8AAD4" w:rsidR="00AD5B25" w:rsidRPr="00186357" w:rsidRDefault="00AD5B25" w:rsidP="005E49D6">
            <w:pPr>
              <w:pStyle w:val="TableText"/>
              <w:spacing w:before="0" w:after="0"/>
              <w:ind w:left="57" w:right="57"/>
            </w:pPr>
            <w:r w:rsidRPr="00186357">
              <w:t>RCT</w:t>
            </w:r>
          </w:p>
          <w:p w14:paraId="28F7C51F" w14:textId="66E2D648" w:rsidR="00AD5B25" w:rsidRPr="00186357" w:rsidRDefault="00186357" w:rsidP="005E49D6">
            <w:pPr>
              <w:pStyle w:val="TableText"/>
              <w:spacing w:before="0" w:after="0"/>
              <w:ind w:left="57" w:right="57"/>
              <w:rPr>
                <w:vertAlign w:val="superscript"/>
              </w:rPr>
            </w:pPr>
            <w:r w:rsidRPr="00186357">
              <w:t>High</w:t>
            </w:r>
            <w:r w:rsidR="00AD5B25" w:rsidRPr="00186357">
              <w:t xml:space="preserve"> risk of bias</w:t>
            </w:r>
            <w:r w:rsidRPr="00186357">
              <w:t xml:space="preserve"> </w:t>
            </w:r>
            <w:r w:rsidR="00ED0F96">
              <w:rPr>
                <w:vertAlign w:val="superscript"/>
              </w:rPr>
              <w:t>b</w:t>
            </w:r>
          </w:p>
          <w:p w14:paraId="35BAFE76" w14:textId="77777777" w:rsidR="00AD5B25" w:rsidRDefault="00AD5B25" w:rsidP="005E49D6">
            <w:pPr>
              <w:pStyle w:val="TableText"/>
              <w:spacing w:before="0" w:after="0"/>
              <w:ind w:left="57" w:right="57"/>
            </w:pPr>
            <w:r w:rsidRPr="00186357">
              <w:t xml:space="preserve">Concerns about </w:t>
            </w:r>
            <w:r w:rsidR="00746F39" w:rsidRPr="00186357">
              <w:t>applicability</w:t>
            </w:r>
          </w:p>
          <w:p w14:paraId="4452010A" w14:textId="4B5B2C30" w:rsidR="00ED0F96" w:rsidRPr="00186357" w:rsidRDefault="00ED0F96" w:rsidP="005E49D6">
            <w:pPr>
              <w:pStyle w:val="TableText"/>
              <w:spacing w:before="0" w:after="0"/>
              <w:ind w:left="57" w:right="57"/>
            </w:pPr>
            <w:r w:rsidRPr="00BF7812">
              <w:rPr>
                <w:rFonts w:ascii="Cambria Math" w:hAnsi="Cambria Math"/>
                <w:color w:val="00B050"/>
              </w:rPr>
              <w:t>⨁</w:t>
            </w:r>
            <w:r w:rsidRPr="00BF7812">
              <w:rPr>
                <w:rFonts w:ascii="Cambria Math" w:hAnsi="Cambria Math" w:cs="Cambria Math"/>
                <w:color w:val="C00000"/>
              </w:rPr>
              <w:t>⨀⨀⨀</w:t>
            </w:r>
            <w:r>
              <w:rPr>
                <w:vertAlign w:val="superscript"/>
              </w:rPr>
              <w:t xml:space="preserve"> c</w:t>
            </w:r>
            <w:r>
              <w:rPr>
                <w:rFonts w:ascii="Cambria Math" w:hAnsi="Cambria Math" w:cs="Cambria Math"/>
                <w:color w:val="C00000"/>
              </w:rPr>
              <w:t xml:space="preserve"> </w:t>
            </w:r>
          </w:p>
        </w:tc>
        <w:tc>
          <w:tcPr>
            <w:tcW w:w="899" w:type="dxa"/>
          </w:tcPr>
          <w:p w14:paraId="37C4D0C2" w14:textId="77777777" w:rsidR="00AD5B25" w:rsidRPr="00186357" w:rsidRDefault="00AD5B25" w:rsidP="005E49D6">
            <w:pPr>
              <w:pStyle w:val="TableText"/>
              <w:spacing w:before="0" w:after="0"/>
              <w:ind w:left="57" w:right="57"/>
              <w:rPr>
                <w:snapToGrid w:val="0"/>
              </w:rPr>
            </w:pPr>
            <w:r w:rsidRPr="00186357">
              <w:rPr>
                <w:bCs/>
                <w:snapToGrid w:val="0"/>
              </w:rPr>
              <w:t>MRCP</w:t>
            </w:r>
          </w:p>
        </w:tc>
        <w:tc>
          <w:tcPr>
            <w:tcW w:w="0" w:type="auto"/>
            <w:shd w:val="clear" w:color="auto" w:fill="auto"/>
          </w:tcPr>
          <w:p w14:paraId="14897B45" w14:textId="77777777" w:rsidR="00AD5B25" w:rsidRPr="00186357" w:rsidRDefault="00AD5B25" w:rsidP="005E49D6">
            <w:pPr>
              <w:pStyle w:val="TableText"/>
              <w:spacing w:before="0" w:after="0"/>
              <w:ind w:left="57" w:right="57"/>
            </w:pPr>
            <w:r w:rsidRPr="00186357">
              <w:t>4/30 (13.3%)</w:t>
            </w:r>
          </w:p>
        </w:tc>
        <w:tc>
          <w:tcPr>
            <w:tcW w:w="0" w:type="auto"/>
          </w:tcPr>
          <w:p w14:paraId="794AC2E8" w14:textId="77777777" w:rsidR="00AD5B25" w:rsidRPr="00186357" w:rsidRDefault="00AD5B25" w:rsidP="005E49D6">
            <w:pPr>
              <w:pStyle w:val="TableText"/>
              <w:spacing w:before="0" w:after="0"/>
              <w:ind w:left="57" w:right="57"/>
            </w:pPr>
            <w:r w:rsidRPr="00186357">
              <w:t>7/27 (25.9%)</w:t>
            </w:r>
          </w:p>
        </w:tc>
        <w:tc>
          <w:tcPr>
            <w:tcW w:w="0" w:type="auto"/>
          </w:tcPr>
          <w:p w14:paraId="44242B01" w14:textId="77777777" w:rsidR="00AD5B25" w:rsidRPr="00186357" w:rsidRDefault="00AD5B25" w:rsidP="005E49D6">
            <w:pPr>
              <w:pStyle w:val="TableText"/>
              <w:spacing w:before="0" w:after="0"/>
              <w:ind w:left="57" w:right="57"/>
            </w:pPr>
            <w:r w:rsidRPr="00186357">
              <w:t>12.6%</w:t>
            </w:r>
          </w:p>
        </w:tc>
      </w:tr>
      <w:tr w:rsidR="00AD5B25" w:rsidRPr="00664DC3" w14:paraId="1C5F7C39" w14:textId="77777777" w:rsidTr="00996C6A">
        <w:trPr>
          <w:trHeight w:val="397"/>
        </w:trPr>
        <w:tc>
          <w:tcPr>
            <w:tcW w:w="1555" w:type="dxa"/>
            <w:tcBorders>
              <w:bottom w:val="single" w:sz="4" w:space="0" w:color="auto"/>
            </w:tcBorders>
          </w:tcPr>
          <w:p w14:paraId="1D06EE72" w14:textId="3F6ED16C" w:rsidR="00AD5B25" w:rsidRDefault="005F1F4A" w:rsidP="005E49D6">
            <w:pPr>
              <w:pStyle w:val="TableText"/>
              <w:spacing w:before="0" w:after="0"/>
              <w:ind w:left="57" w:right="57"/>
              <w:rPr>
                <w:rFonts w:cs="Calibri"/>
              </w:rPr>
            </w:pPr>
            <w:r>
              <w:fldChar w:fldCharType="begin">
                <w:fldData xml:space="preserve">PEVuZE5vdGU+PENpdGUgQXV0aG9yWWVhcj0iMSI+PEF1dGhvcj5EcmFnYW5vdjwvQXV0aG9yPjxZ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==
</w:fldData>
              </w:fldChar>
            </w:r>
            <w:r>
              <w:instrText xml:space="preserve"> ADDIN EN.CITE </w:instrText>
            </w:r>
            <w:r>
              <w:fldChar w:fldCharType="begin">
                <w:fldData xml:space="preserve">PEVuZE5vdGU+PENpdGUgQXV0aG9yWWVhcj0iMSI+PEF1dGhvcj5EcmFnYW5vdjwvQXV0aG9yPjxZ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==
</w:fldData>
              </w:fldChar>
            </w:r>
            <w:r>
              <w:instrText xml:space="preserve"> ADDIN EN.CITE.DATA </w:instrText>
            </w:r>
            <w:r>
              <w:fldChar w:fldCharType="end"/>
            </w:r>
            <w:r>
              <w:fldChar w:fldCharType="separate"/>
            </w:r>
            <w:r>
              <w:rPr>
                <w:noProof/>
              </w:rPr>
              <w:t>Draganov et al. (2012)</w:t>
            </w:r>
            <w:r>
              <w:fldChar w:fldCharType="end"/>
            </w:r>
            <w:r w:rsidR="00AD5B25">
              <w:t xml:space="preserve">, </w:t>
            </w:r>
            <w:r w:rsidR="00AD5B25">
              <w:rPr>
                <w:rFonts w:cs="Calibri"/>
              </w:rPr>
              <w:t>USA</w:t>
            </w:r>
          </w:p>
          <w:p w14:paraId="236E7C89" w14:textId="2DF65632" w:rsidR="00AD5B25" w:rsidRPr="008F3E59" w:rsidRDefault="00AD5B25" w:rsidP="005E49D6">
            <w:pPr>
              <w:pStyle w:val="TableText"/>
              <w:spacing w:before="0" w:after="0"/>
              <w:ind w:left="57" w:right="57"/>
            </w:pPr>
            <w:r>
              <w:t>Legacy</w:t>
            </w:r>
          </w:p>
        </w:tc>
        <w:tc>
          <w:tcPr>
            <w:tcW w:w="3402" w:type="dxa"/>
            <w:tcBorders>
              <w:bottom w:val="single" w:sz="4" w:space="0" w:color="auto"/>
            </w:tcBorders>
          </w:tcPr>
          <w:p w14:paraId="60AC4931" w14:textId="5B658C9C" w:rsidR="00AD5B25" w:rsidRPr="00186357" w:rsidRDefault="00AD5B25" w:rsidP="005E49D6">
            <w:pPr>
              <w:pStyle w:val="TableText"/>
              <w:spacing w:before="0" w:after="0"/>
              <w:ind w:left="57" w:right="57"/>
            </w:pPr>
            <w:r w:rsidRPr="00186357">
              <w:t>NRCT</w:t>
            </w:r>
          </w:p>
          <w:p w14:paraId="4C80CA32" w14:textId="189C14D5" w:rsidR="00AD5B25" w:rsidRPr="00186357" w:rsidRDefault="00186357" w:rsidP="005E49D6">
            <w:pPr>
              <w:pStyle w:val="TableText"/>
              <w:spacing w:before="0" w:after="0"/>
              <w:ind w:left="57" w:right="57"/>
              <w:rPr>
                <w:vertAlign w:val="superscript"/>
              </w:rPr>
            </w:pPr>
            <w:r>
              <w:t xml:space="preserve">High risk </w:t>
            </w:r>
            <w:r w:rsidR="00AD5B25" w:rsidRPr="00186357">
              <w:t>of bias</w:t>
            </w:r>
            <w:r>
              <w:t xml:space="preserve"> </w:t>
            </w:r>
            <w:r w:rsidR="00ED0F96">
              <w:rPr>
                <w:vertAlign w:val="superscript"/>
              </w:rPr>
              <w:t>d</w:t>
            </w:r>
          </w:p>
          <w:p w14:paraId="4D5E1E55" w14:textId="77777777" w:rsidR="00AD5B25" w:rsidRDefault="00AD5B25" w:rsidP="005E49D6">
            <w:pPr>
              <w:pStyle w:val="TableText"/>
              <w:spacing w:before="0" w:after="0"/>
              <w:ind w:left="57" w:right="57"/>
            </w:pPr>
            <w:r w:rsidRPr="00186357">
              <w:t>Concerns about applicability</w:t>
            </w:r>
          </w:p>
          <w:p w14:paraId="03D9C180" w14:textId="3A24CC21" w:rsidR="00ED0F96" w:rsidRPr="00186357" w:rsidRDefault="00ED0F96" w:rsidP="005E49D6">
            <w:pPr>
              <w:pStyle w:val="TableText"/>
              <w:spacing w:before="0" w:after="0"/>
              <w:ind w:left="57" w:right="57"/>
              <w:rPr>
                <w:rFonts w:cs="Calibri"/>
              </w:rPr>
            </w:pPr>
            <w:r w:rsidRPr="00BF7812">
              <w:rPr>
                <w:rFonts w:ascii="Cambria Math" w:hAnsi="Cambria Math"/>
                <w:color w:val="00B050"/>
              </w:rPr>
              <w:t>⨁</w:t>
            </w:r>
            <w:r w:rsidRPr="00BF7812">
              <w:rPr>
                <w:rFonts w:ascii="Cambria Math" w:hAnsi="Cambria Math" w:cs="Cambria Math"/>
                <w:color w:val="C00000"/>
              </w:rPr>
              <w:t>⨀⨀⨀</w:t>
            </w:r>
            <w:r>
              <w:rPr>
                <w:vertAlign w:val="superscript"/>
              </w:rPr>
              <w:t xml:space="preserve"> c</w:t>
            </w:r>
          </w:p>
        </w:tc>
        <w:tc>
          <w:tcPr>
            <w:tcW w:w="899" w:type="dxa"/>
            <w:tcBorders>
              <w:bottom w:val="single" w:sz="4" w:space="0" w:color="auto"/>
            </w:tcBorders>
          </w:tcPr>
          <w:p w14:paraId="4E5FB16A" w14:textId="77777777" w:rsidR="00AD5B25" w:rsidRPr="00186357" w:rsidRDefault="00AD5B25" w:rsidP="005E49D6">
            <w:pPr>
              <w:pStyle w:val="TableText"/>
              <w:spacing w:before="0" w:after="0"/>
              <w:ind w:left="57" w:right="57"/>
              <w:rPr>
                <w:bCs/>
                <w:snapToGrid w:val="0"/>
              </w:rPr>
            </w:pPr>
            <w:r w:rsidRPr="00186357">
              <w:rPr>
                <w:rFonts w:cs="Calibri"/>
                <w:lang w:eastAsia="en-GB"/>
              </w:rPr>
              <w:t>ERCP</w:t>
            </w:r>
          </w:p>
        </w:tc>
        <w:tc>
          <w:tcPr>
            <w:tcW w:w="0" w:type="auto"/>
            <w:tcBorders>
              <w:bottom w:val="single" w:sz="4" w:space="0" w:color="auto"/>
            </w:tcBorders>
            <w:shd w:val="clear" w:color="auto" w:fill="auto"/>
          </w:tcPr>
          <w:p w14:paraId="75D711C9" w14:textId="77777777" w:rsidR="00AD5B25" w:rsidRPr="00186357" w:rsidRDefault="00AD5B25" w:rsidP="005E49D6">
            <w:pPr>
              <w:pStyle w:val="TableText"/>
              <w:spacing w:before="0" w:after="0"/>
              <w:ind w:left="57" w:right="57"/>
            </w:pPr>
            <w:r w:rsidRPr="00186357">
              <w:t>2/25 (8.0%)</w:t>
            </w:r>
          </w:p>
        </w:tc>
        <w:tc>
          <w:tcPr>
            <w:tcW w:w="0" w:type="auto"/>
            <w:tcBorders>
              <w:bottom w:val="single" w:sz="4" w:space="0" w:color="auto"/>
            </w:tcBorders>
          </w:tcPr>
          <w:p w14:paraId="5C8C5AD6" w14:textId="77777777" w:rsidR="00AD5B25" w:rsidRPr="00186357" w:rsidRDefault="00AD5B25" w:rsidP="005E49D6">
            <w:pPr>
              <w:pStyle w:val="TableText"/>
              <w:spacing w:before="0" w:after="0"/>
              <w:ind w:left="57" w:right="57"/>
            </w:pPr>
            <w:r w:rsidRPr="00186357">
              <w:t>4/25 (16.0%)</w:t>
            </w:r>
          </w:p>
        </w:tc>
        <w:tc>
          <w:tcPr>
            <w:tcW w:w="0" w:type="auto"/>
            <w:tcBorders>
              <w:bottom w:val="single" w:sz="4" w:space="0" w:color="auto"/>
            </w:tcBorders>
          </w:tcPr>
          <w:p w14:paraId="14264CDD" w14:textId="77777777" w:rsidR="00AD5B25" w:rsidRPr="00186357" w:rsidRDefault="00AD5B25" w:rsidP="005E49D6">
            <w:pPr>
              <w:pStyle w:val="TableText"/>
              <w:spacing w:before="0" w:after="0"/>
              <w:ind w:left="57" w:right="57"/>
            </w:pPr>
            <w:r w:rsidRPr="00186357">
              <w:t>8.0%</w:t>
            </w:r>
          </w:p>
        </w:tc>
      </w:tr>
    </w:tbl>
    <w:p w14:paraId="162D6A8E" w14:textId="4F911E43" w:rsidR="00AD5B25" w:rsidRDefault="00AD5B25" w:rsidP="002D147E">
      <w:pPr>
        <w:pStyle w:val="Tablenotes"/>
      </w:pPr>
      <w:r w:rsidRPr="002D147E">
        <w:rPr>
          <w:snapToGrid/>
        </w:rPr>
        <w:t xml:space="preserve">Abbreviations: </w:t>
      </w:r>
      <w:r w:rsidRPr="001A4E5B">
        <w:t>ERCP</w:t>
      </w:r>
      <w:r>
        <w:t>-BC</w:t>
      </w:r>
      <w:r w:rsidRPr="001A4E5B">
        <w:t xml:space="preserve">= </w:t>
      </w:r>
      <w:r w:rsidRPr="0005649D">
        <w:t>endoscopic</w:t>
      </w:r>
      <w:r w:rsidRPr="001A4E5B">
        <w:t xml:space="preserve"> retrograde cholangiopancreatography</w:t>
      </w:r>
      <w:r w:rsidRPr="00E42C8D">
        <w:t>-guided brush cytology</w:t>
      </w:r>
      <w:r>
        <w:t xml:space="preserve">; MRCP = </w:t>
      </w:r>
      <w:r w:rsidRPr="002D147E">
        <w:rPr>
          <w:snapToGrid/>
        </w:rPr>
        <w:t>magnetic resonance cholangiopancreatography</w:t>
      </w:r>
      <w:r>
        <w:t xml:space="preserve">; </w:t>
      </w:r>
      <w:r w:rsidRPr="0005649D">
        <w:t>N = number of participants</w:t>
      </w:r>
      <w:r>
        <w:t xml:space="preserve">; </w:t>
      </w:r>
      <w:r w:rsidRPr="001A4E5B">
        <w:t>POCPS</w:t>
      </w:r>
      <w:r>
        <w:t>-B</w:t>
      </w:r>
      <w:r w:rsidRPr="001A4E5B">
        <w:t xml:space="preserve">= </w:t>
      </w:r>
      <w:r w:rsidRPr="0005649D">
        <w:t xml:space="preserve">single </w:t>
      </w:r>
      <w:r w:rsidRPr="001A4E5B">
        <w:t>operator, single use, peroral</w:t>
      </w:r>
      <w:r>
        <w:t xml:space="preserve"> </w:t>
      </w:r>
      <w:r w:rsidRPr="001A4E5B">
        <w:t>cholangiopancreatoscopy</w:t>
      </w:r>
      <w:r w:rsidRPr="00E42C8D">
        <w:t xml:space="preserve">-guided </w:t>
      </w:r>
      <w:r>
        <w:t>biopsy; RCT = randomised controlled trial; RoB = risk of bias.</w:t>
      </w:r>
    </w:p>
    <w:p w14:paraId="0D42CD7B" w14:textId="7B44BD93" w:rsidR="00746F39" w:rsidRDefault="00746F39" w:rsidP="002D147E">
      <w:pPr>
        <w:pStyle w:val="Tablenotes"/>
      </w:pPr>
      <w:r>
        <w:t>Source: Table 70 of the ADAR</w:t>
      </w:r>
      <w:r w:rsidR="00CC39AB">
        <w:t>. Edits and corrections to the original table are marked in italics.</w:t>
      </w:r>
    </w:p>
    <w:p w14:paraId="32CE1A0F" w14:textId="77777777" w:rsidR="00ED0F96" w:rsidRPr="00BF7812" w:rsidRDefault="00ED0F96" w:rsidP="00ED0F96">
      <w:pPr>
        <w:pStyle w:val="Tablenotes"/>
        <w:rPr>
          <w:szCs w:val="18"/>
        </w:rPr>
      </w:pPr>
      <w:r w:rsidRPr="00BF7812">
        <w:rPr>
          <w:szCs w:val="18"/>
          <w:vertAlign w:val="superscript"/>
        </w:rPr>
        <w:t xml:space="preserve">a </w:t>
      </w:r>
      <w:r w:rsidRPr="00BF7812">
        <w:rPr>
          <w:szCs w:val="18"/>
        </w:rPr>
        <w:t>GRADE Working Group grades of evidence (Guyatt et al., 2013)</w:t>
      </w:r>
    </w:p>
    <w:p w14:paraId="27CA8ED0" w14:textId="77777777" w:rsidR="00ED0F96" w:rsidRPr="00BF7812" w:rsidRDefault="00ED0F96" w:rsidP="00ED0F96">
      <w:pPr>
        <w:pStyle w:val="Tablenotes"/>
        <w:rPr>
          <w:szCs w:val="18"/>
        </w:rPr>
      </w:pPr>
      <w:r w:rsidRPr="00BF7812">
        <w:rPr>
          <w:rFonts w:ascii="Cambria Math" w:hAnsi="Cambria Math"/>
          <w:color w:val="00B050"/>
        </w:rPr>
        <w:t xml:space="preserve">⨁⨁⨁⨁ </w:t>
      </w:r>
      <w:r w:rsidRPr="00BF7812">
        <w:rPr>
          <w:b/>
          <w:bCs/>
          <w:szCs w:val="18"/>
        </w:rPr>
        <w:t>High quality:</w:t>
      </w:r>
      <w:r w:rsidRPr="00BF7812">
        <w:rPr>
          <w:szCs w:val="18"/>
        </w:rPr>
        <w:t xml:space="preserve"> We are very confident that the true effect lies close to that of the estimate of effect. </w:t>
      </w:r>
      <w:r w:rsidRPr="00BF7812">
        <w:rPr>
          <w:szCs w:val="18"/>
        </w:rPr>
        <w:br/>
      </w:r>
      <w:r w:rsidRPr="00BF7812">
        <w:rPr>
          <w:rFonts w:ascii="Cambria Math" w:hAnsi="Cambria Math"/>
          <w:color w:val="00B050"/>
        </w:rPr>
        <w:t>⨁⨁⨁</w:t>
      </w:r>
      <w:r w:rsidRPr="00BF7812">
        <w:rPr>
          <w:rFonts w:ascii="Cambria Math" w:hAnsi="Cambria Math" w:cs="Cambria Math"/>
          <w:color w:val="C00000"/>
        </w:rPr>
        <w:t xml:space="preserve">⨀ </w:t>
      </w:r>
      <w:r w:rsidRPr="00BF7812">
        <w:rPr>
          <w:b/>
          <w:bCs/>
          <w:szCs w:val="18"/>
        </w:rPr>
        <w:t>Moderate quality:</w:t>
      </w:r>
      <w:r w:rsidRPr="00BF7812">
        <w:rPr>
          <w:szCs w:val="18"/>
        </w:rPr>
        <w:t xml:space="preserve"> We are moderately confident in the effect estimate: The true effect is likely to be close to the estimate of the effect, but there is a possibility that it is substantially different. </w:t>
      </w:r>
      <w:r w:rsidRPr="00BF7812">
        <w:rPr>
          <w:szCs w:val="18"/>
        </w:rPr>
        <w:br/>
      </w:r>
      <w:r w:rsidRPr="00BF7812">
        <w:rPr>
          <w:rFonts w:ascii="Cambria Math" w:hAnsi="Cambria Math"/>
          <w:color w:val="00B050"/>
        </w:rPr>
        <w:t>⨁⨁</w:t>
      </w:r>
      <w:r w:rsidRPr="00BF7812">
        <w:rPr>
          <w:rFonts w:ascii="Cambria Math" w:hAnsi="Cambria Math" w:cs="Cambria Math"/>
          <w:color w:val="C00000"/>
        </w:rPr>
        <w:t xml:space="preserve">⨀⨀ </w:t>
      </w:r>
      <w:r w:rsidRPr="00BF7812">
        <w:rPr>
          <w:b/>
          <w:bCs/>
          <w:szCs w:val="18"/>
        </w:rPr>
        <w:t>Low quality:</w:t>
      </w:r>
      <w:r w:rsidRPr="00BF7812">
        <w:rPr>
          <w:szCs w:val="18"/>
        </w:rPr>
        <w:t xml:space="preserve"> Our confidence in the effect estimate is limited: The true effect may be substantially different from the estimate of the effect.</w:t>
      </w:r>
      <w:r w:rsidRPr="00BF7812">
        <w:rPr>
          <w:szCs w:val="18"/>
        </w:rPr>
        <w:br/>
      </w:r>
      <w:r w:rsidRPr="00BF7812">
        <w:rPr>
          <w:rFonts w:ascii="Cambria Math" w:hAnsi="Cambria Math"/>
          <w:color w:val="00B050"/>
        </w:rPr>
        <w:t>⨁</w:t>
      </w:r>
      <w:r w:rsidRPr="00BF7812">
        <w:rPr>
          <w:rFonts w:ascii="Cambria Math" w:hAnsi="Cambria Math" w:cs="Cambria Math"/>
          <w:color w:val="C00000"/>
        </w:rPr>
        <w:t xml:space="preserve">⨀⨀⨀ </w:t>
      </w:r>
      <w:r w:rsidRPr="00BF7812">
        <w:rPr>
          <w:b/>
          <w:bCs/>
          <w:szCs w:val="18"/>
        </w:rPr>
        <w:t>Very low quality:</w:t>
      </w:r>
      <w:r w:rsidRPr="00BF7812">
        <w:rPr>
          <w:szCs w:val="18"/>
        </w:rPr>
        <w:t xml:space="preserve"> We have very little confidence in the effect estimate: The true effect is likely to be substantially different from the estimate of effect.</w:t>
      </w:r>
    </w:p>
    <w:p w14:paraId="29D5AEDA" w14:textId="54425C2A" w:rsidR="00186357" w:rsidRDefault="00ED0F96" w:rsidP="002D147E">
      <w:pPr>
        <w:pStyle w:val="Tablenotes"/>
      </w:pPr>
      <w:r>
        <w:rPr>
          <w:vertAlign w:val="superscript"/>
        </w:rPr>
        <w:t>b</w:t>
      </w:r>
      <w:r w:rsidR="00186357" w:rsidRPr="00186357">
        <w:t xml:space="preserve"> </w:t>
      </w:r>
      <w:r w:rsidR="00E62E31">
        <w:t xml:space="preserve">High risk of bias due to potential unequal randomisation (different prevalence of malignancy), potential difference application of the reference standard, no prior ERCP. </w:t>
      </w:r>
    </w:p>
    <w:p w14:paraId="10D6961F" w14:textId="59E30182" w:rsidR="00ED0F96" w:rsidRPr="00ED0F96" w:rsidRDefault="00ED0F96" w:rsidP="002D147E">
      <w:pPr>
        <w:pStyle w:val="Tablenotes"/>
      </w:pPr>
      <w:r>
        <w:rPr>
          <w:vertAlign w:val="superscript"/>
        </w:rPr>
        <w:t>c</w:t>
      </w:r>
      <w:r>
        <w:t xml:space="preserve"> </w:t>
      </w:r>
      <w:r w:rsidRPr="00ED0F96">
        <w:t>Downgraded due to concerns about the methodological quality of the studies, indirectness, imprecision, and search strategy comprehensiveness</w:t>
      </w:r>
      <w:r>
        <w:t xml:space="preserve">. The Pre-ESC response assessed the quality of evidence as being ‘Low quality’. </w:t>
      </w:r>
    </w:p>
    <w:p w14:paraId="2260058A" w14:textId="6C4D96AC" w:rsidR="00186357" w:rsidRPr="00186357" w:rsidRDefault="00ED0F96" w:rsidP="002D147E">
      <w:pPr>
        <w:pStyle w:val="Tablenotes"/>
      </w:pPr>
      <w:r>
        <w:rPr>
          <w:vertAlign w:val="superscript"/>
        </w:rPr>
        <w:t>d</w:t>
      </w:r>
      <w:r w:rsidR="00186357">
        <w:t xml:space="preserve"> </w:t>
      </w:r>
      <w:r w:rsidR="00E62E31">
        <w:t>High risk of bias due to lack of randomisation, reference standard (surgery) used variably and lack of blinding.</w:t>
      </w:r>
    </w:p>
    <w:p w14:paraId="675D86E0" w14:textId="1B18CB12" w:rsidR="00AD5B25" w:rsidRPr="00296E51" w:rsidRDefault="00AD5B25" w:rsidP="00AD5B25">
      <w:pPr>
        <w:pStyle w:val="Caption"/>
      </w:pPr>
      <w:bookmarkStart w:id="93" w:name="_Ref83276657"/>
      <w:bookmarkStart w:id="94" w:name="_Toc84313652"/>
      <w:bookmarkStart w:id="95" w:name="_Toc84324797"/>
      <w:bookmarkStart w:id="96" w:name="_Toc84344230"/>
      <w:bookmarkStart w:id="97" w:name="_Toc88760206"/>
      <w:r>
        <w:t xml:space="preserve">Table </w:t>
      </w:r>
      <w:r>
        <w:fldChar w:fldCharType="begin"/>
      </w:r>
      <w:r>
        <w:instrText>SEQ Table \* ARABIC</w:instrText>
      </w:r>
      <w:r>
        <w:fldChar w:fldCharType="separate"/>
      </w:r>
      <w:r w:rsidR="00D422BC">
        <w:rPr>
          <w:noProof/>
        </w:rPr>
        <w:t>17</w:t>
      </w:r>
      <w:r>
        <w:fldChar w:fldCharType="end"/>
      </w:r>
      <w:bookmarkEnd w:id="93"/>
      <w:r>
        <w:tab/>
        <w:t>Proportion</w:t>
      </w:r>
      <w:r>
        <w:rPr>
          <w:noProof/>
        </w:rPr>
        <w:t xml:space="preserve"> of indeterminate results </w:t>
      </w:r>
      <w:r w:rsidRPr="0005649D">
        <w:t>across studies evaluating</w:t>
      </w:r>
      <w:r>
        <w:rPr>
          <w:noProof/>
        </w:rPr>
        <w:t xml:space="preserve"> </w:t>
      </w:r>
      <w:r w:rsidRPr="008228BE">
        <w:rPr>
          <w:noProof/>
        </w:rPr>
        <w:t>POCPS-</w:t>
      </w:r>
      <w:r>
        <w:rPr>
          <w:noProof/>
        </w:rPr>
        <w:t>B compared with ERCP-IB</w:t>
      </w:r>
      <w:bookmarkEnd w:id="94"/>
      <w:bookmarkEnd w:id="95"/>
      <w:bookmarkEnd w:id="96"/>
      <w:bookmarkEnd w:id="97"/>
      <w:r>
        <w:rPr>
          <w:noProof/>
        </w:rPr>
        <w:t xml:space="preserve"> </w:t>
      </w:r>
    </w:p>
    <w:tbl>
      <w:tblPr>
        <w:tblStyle w:val="TableGrid"/>
        <w:tblW w:w="5000" w:type="pct"/>
        <w:tblCellMar>
          <w:left w:w="57" w:type="dxa"/>
          <w:right w:w="57" w:type="dxa"/>
        </w:tblCellMar>
        <w:tblLook w:val="04A0" w:firstRow="1" w:lastRow="0" w:firstColumn="1" w:lastColumn="0" w:noHBand="0" w:noVBand="1"/>
        <w:tblCaption w:val="Table 64 Results of indeterminate results across studies evaluating POCPS-B compared with ERCP-IB "/>
        <w:tblDescription w:val="Table 64 Results of indeterminate results across studies evaluating POCPS-B compared with ERCP-IB "/>
      </w:tblPr>
      <w:tblGrid>
        <w:gridCol w:w="1701"/>
        <w:gridCol w:w="3397"/>
        <w:gridCol w:w="992"/>
        <w:gridCol w:w="994"/>
        <w:gridCol w:w="994"/>
        <w:gridCol w:w="938"/>
      </w:tblGrid>
      <w:tr w:rsidR="00AD5B25" w:rsidRPr="00664DC3" w14:paraId="2EBEBC18" w14:textId="77777777" w:rsidTr="00ED0F96">
        <w:trPr>
          <w:trHeight w:val="301"/>
          <w:tblHeader/>
        </w:trPr>
        <w:tc>
          <w:tcPr>
            <w:tcW w:w="943" w:type="pct"/>
            <w:tcBorders>
              <w:bottom w:val="single" w:sz="4" w:space="0" w:color="D9D9D9" w:themeColor="background1" w:themeShade="D9"/>
            </w:tcBorders>
          </w:tcPr>
          <w:p w14:paraId="30E43C7C" w14:textId="77777777" w:rsidR="00AD5B25" w:rsidRDefault="00AD5B25" w:rsidP="005E49D6">
            <w:pPr>
              <w:pStyle w:val="TableHeading0"/>
              <w:spacing w:before="0" w:after="0"/>
            </w:pPr>
            <w:r w:rsidRPr="0047211F">
              <w:t>Study, Country</w:t>
            </w:r>
          </w:p>
          <w:p w14:paraId="0A0C2F8C" w14:textId="3EF12588" w:rsidR="00AD5B25" w:rsidRPr="0047211F" w:rsidRDefault="00AD5B25" w:rsidP="005E49D6">
            <w:pPr>
              <w:pStyle w:val="TableHeading0"/>
              <w:spacing w:before="0" w:after="0"/>
              <w:rPr>
                <w:b w:val="0"/>
              </w:rPr>
            </w:pPr>
            <w:r w:rsidRPr="0047211F">
              <w:t>Generation</w:t>
            </w:r>
          </w:p>
        </w:tc>
        <w:tc>
          <w:tcPr>
            <w:tcW w:w="1884" w:type="pct"/>
            <w:tcBorders>
              <w:bottom w:val="single" w:sz="4" w:space="0" w:color="D9D9D9" w:themeColor="background1" w:themeShade="D9"/>
            </w:tcBorders>
          </w:tcPr>
          <w:p w14:paraId="698D0C08" w14:textId="77777777" w:rsidR="00AD5B25" w:rsidRDefault="00AD5B25" w:rsidP="005E49D6">
            <w:pPr>
              <w:pStyle w:val="TableHeading0"/>
              <w:spacing w:before="0" w:after="0"/>
            </w:pPr>
            <w:r w:rsidRPr="0047211F">
              <w:t xml:space="preserve">Study </w:t>
            </w:r>
            <w:r>
              <w:t>D</w:t>
            </w:r>
            <w:r w:rsidRPr="0047211F">
              <w:t>esign, RoB</w:t>
            </w:r>
          </w:p>
          <w:p w14:paraId="1088BE1E" w14:textId="661EC830" w:rsidR="00ED0F96" w:rsidRPr="0047211F" w:rsidRDefault="00ED0F96" w:rsidP="005E49D6">
            <w:pPr>
              <w:pStyle w:val="TableHeading0"/>
              <w:spacing w:before="0" w:after="0"/>
              <w:rPr>
                <w:b w:val="0"/>
              </w:rPr>
            </w:pPr>
            <w:r w:rsidRPr="00BF7812">
              <w:t>Quality of evidence (GRADE)</w:t>
            </w:r>
            <w:r w:rsidRPr="00BF7812">
              <w:rPr>
                <w:vertAlign w:val="superscript"/>
              </w:rPr>
              <w:t xml:space="preserve"> a</w:t>
            </w:r>
          </w:p>
        </w:tc>
        <w:tc>
          <w:tcPr>
            <w:tcW w:w="550" w:type="pct"/>
            <w:tcBorders>
              <w:bottom w:val="single" w:sz="4" w:space="0" w:color="D9D9D9" w:themeColor="background1" w:themeShade="D9"/>
            </w:tcBorders>
          </w:tcPr>
          <w:p w14:paraId="6E7F930A" w14:textId="77777777" w:rsidR="00AD5B25" w:rsidRPr="0047211F" w:rsidRDefault="00AD5B25" w:rsidP="005E49D6">
            <w:pPr>
              <w:pStyle w:val="TableHeading0"/>
              <w:spacing w:before="0" w:after="0"/>
              <w:rPr>
                <w:b w:val="0"/>
              </w:rPr>
            </w:pPr>
            <w:r w:rsidRPr="0047211F">
              <w:t xml:space="preserve">Prior </w:t>
            </w:r>
            <w:r>
              <w:t>T</w:t>
            </w:r>
            <w:r w:rsidRPr="0047211F">
              <w:t>est</w:t>
            </w:r>
          </w:p>
        </w:tc>
        <w:tc>
          <w:tcPr>
            <w:tcW w:w="551" w:type="pct"/>
            <w:tcBorders>
              <w:bottom w:val="single" w:sz="4" w:space="0" w:color="auto"/>
              <w:right w:val="single" w:sz="4" w:space="0" w:color="auto"/>
            </w:tcBorders>
          </w:tcPr>
          <w:p w14:paraId="34775414" w14:textId="77777777" w:rsidR="00AD5B25" w:rsidRDefault="00AD5B25" w:rsidP="005E49D6">
            <w:pPr>
              <w:pStyle w:val="TableHeading0"/>
              <w:spacing w:before="0" w:after="0"/>
            </w:pPr>
            <w:r w:rsidRPr="00EF117E">
              <w:t>POCPS-B</w:t>
            </w:r>
          </w:p>
          <w:p w14:paraId="2F38DCA5" w14:textId="60E1608D" w:rsidR="00AD5B25" w:rsidRPr="0047211F" w:rsidRDefault="00AD5B25" w:rsidP="005E49D6">
            <w:pPr>
              <w:pStyle w:val="TableHeading0"/>
              <w:spacing w:before="0" w:after="0"/>
              <w:rPr>
                <w:b w:val="0"/>
              </w:rPr>
            </w:pPr>
            <w:r>
              <w:t>N</w:t>
            </w:r>
            <w:r w:rsidRPr="0047211F">
              <w:t>/N %</w:t>
            </w:r>
          </w:p>
        </w:tc>
        <w:tc>
          <w:tcPr>
            <w:tcW w:w="551" w:type="pct"/>
            <w:tcBorders>
              <w:left w:val="single" w:sz="4" w:space="0" w:color="auto"/>
              <w:bottom w:val="single" w:sz="4" w:space="0" w:color="auto"/>
              <w:right w:val="single" w:sz="4" w:space="0" w:color="auto"/>
            </w:tcBorders>
          </w:tcPr>
          <w:p w14:paraId="174F9D0C" w14:textId="77777777" w:rsidR="00AD5B25" w:rsidRDefault="00AD5B25" w:rsidP="005E49D6">
            <w:pPr>
              <w:pStyle w:val="TableHeading0"/>
              <w:spacing w:before="0" w:after="0"/>
            </w:pPr>
            <w:r w:rsidRPr="00004568">
              <w:t>ERCP-</w:t>
            </w:r>
            <w:r w:rsidRPr="008A73E2">
              <w:t>IB</w:t>
            </w:r>
          </w:p>
          <w:p w14:paraId="33758314" w14:textId="64488E74" w:rsidR="00AD5B25" w:rsidRPr="0047211F" w:rsidRDefault="00AD5B25" w:rsidP="005E49D6">
            <w:pPr>
              <w:pStyle w:val="TableHeading0"/>
              <w:spacing w:before="0" w:after="0"/>
              <w:rPr>
                <w:b w:val="0"/>
              </w:rPr>
            </w:pPr>
            <w:r>
              <w:t>N</w:t>
            </w:r>
            <w:r w:rsidRPr="0047211F">
              <w:t>/N %</w:t>
            </w:r>
          </w:p>
        </w:tc>
        <w:tc>
          <w:tcPr>
            <w:tcW w:w="520" w:type="pct"/>
            <w:tcBorders>
              <w:left w:val="single" w:sz="4" w:space="0" w:color="auto"/>
              <w:bottom w:val="single" w:sz="4" w:space="0" w:color="auto"/>
              <w:right w:val="single" w:sz="4" w:space="0" w:color="auto"/>
            </w:tcBorders>
          </w:tcPr>
          <w:p w14:paraId="3E3267A3" w14:textId="66B710A3" w:rsidR="00AD5B25" w:rsidRPr="0047211F" w:rsidRDefault="00AD5B25" w:rsidP="005E49D6">
            <w:pPr>
              <w:pStyle w:val="TableHeading0"/>
              <w:spacing w:before="0" w:after="0"/>
              <w:rPr>
                <w:b w:val="0"/>
              </w:rPr>
            </w:pPr>
            <w:r w:rsidRPr="00C46917">
              <w:t xml:space="preserve">Difference </w:t>
            </w:r>
          </w:p>
        </w:tc>
      </w:tr>
      <w:tr w:rsidR="00AD5B25" w:rsidRPr="00664DC3" w14:paraId="54C5CA39" w14:textId="77777777" w:rsidTr="00ED0F96">
        <w:trPr>
          <w:trHeight w:val="443"/>
        </w:trPr>
        <w:tc>
          <w:tcPr>
            <w:tcW w:w="943" w:type="pct"/>
            <w:tcBorders>
              <w:bottom w:val="single" w:sz="4" w:space="0" w:color="auto"/>
            </w:tcBorders>
          </w:tcPr>
          <w:p w14:paraId="596290B1" w14:textId="6DDE293D" w:rsidR="00AD5B25" w:rsidRDefault="005F1F4A" w:rsidP="005E49D6">
            <w:pPr>
              <w:pStyle w:val="TableText"/>
              <w:spacing w:before="0" w:after="0"/>
              <w:ind w:left="57" w:right="57"/>
              <w:rPr>
                <w:rFonts w:cs="Calibri"/>
              </w:rPr>
            </w:pPr>
            <w:r>
              <w:fldChar w:fldCharType="begin">
                <w:fldData xml:space="preserve">PEVuZE5vdGU+PENpdGUgQXV0aG9yWWVhcj0iMSI+PEF1dGhvcj5EcmFnYW5vdjwvQXV0aG9yPjxZ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==
</w:fldData>
              </w:fldChar>
            </w:r>
            <w:r>
              <w:instrText xml:space="preserve"> ADDIN EN.CITE </w:instrText>
            </w:r>
            <w:r>
              <w:fldChar w:fldCharType="begin">
                <w:fldData xml:space="preserve">PEVuZE5vdGU+PENpdGUgQXV0aG9yWWVhcj0iMSI+PEF1dGhvcj5EcmFnYW5vdjwvQXV0aG9yPjxZ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==
</w:fldData>
              </w:fldChar>
            </w:r>
            <w:r>
              <w:instrText xml:space="preserve"> ADDIN EN.CITE.DATA </w:instrText>
            </w:r>
            <w:r>
              <w:fldChar w:fldCharType="end"/>
            </w:r>
            <w:r>
              <w:fldChar w:fldCharType="separate"/>
            </w:r>
            <w:r>
              <w:rPr>
                <w:noProof/>
              </w:rPr>
              <w:t>Draganov et al. (2012)</w:t>
            </w:r>
            <w:r>
              <w:fldChar w:fldCharType="end"/>
            </w:r>
            <w:r w:rsidR="00AD5B25">
              <w:t xml:space="preserve">, </w:t>
            </w:r>
            <w:r w:rsidR="00AD5B25">
              <w:rPr>
                <w:rFonts w:cs="Calibri"/>
              </w:rPr>
              <w:t>USA</w:t>
            </w:r>
          </w:p>
          <w:p w14:paraId="7AD6C9E3" w14:textId="3555B649" w:rsidR="00AD5B25" w:rsidRPr="008F3E59" w:rsidRDefault="00AD5B25" w:rsidP="005E49D6">
            <w:pPr>
              <w:pStyle w:val="TableText"/>
              <w:spacing w:before="0" w:after="0"/>
              <w:ind w:left="57" w:right="57"/>
            </w:pPr>
            <w:r>
              <w:t>Legacy</w:t>
            </w:r>
          </w:p>
        </w:tc>
        <w:tc>
          <w:tcPr>
            <w:tcW w:w="1884" w:type="pct"/>
            <w:tcBorders>
              <w:bottom w:val="single" w:sz="4" w:space="0" w:color="auto"/>
            </w:tcBorders>
          </w:tcPr>
          <w:p w14:paraId="1D0BF0A5" w14:textId="07440E33" w:rsidR="00AD5B25" w:rsidRPr="00ED0F96" w:rsidRDefault="00AD5B25" w:rsidP="005E49D6">
            <w:pPr>
              <w:pStyle w:val="TableText"/>
              <w:spacing w:before="0" w:after="0"/>
              <w:ind w:left="57" w:right="57"/>
            </w:pPr>
            <w:r w:rsidRPr="00ED0F96">
              <w:t>NRCT</w:t>
            </w:r>
          </w:p>
          <w:p w14:paraId="6E1BA20F" w14:textId="779768AB" w:rsidR="00AD5B25" w:rsidRPr="00ED0F96" w:rsidRDefault="00ED0F96" w:rsidP="005E49D6">
            <w:pPr>
              <w:pStyle w:val="TableText"/>
              <w:spacing w:before="0" w:after="0"/>
              <w:ind w:left="57" w:right="57"/>
            </w:pPr>
            <w:r w:rsidRPr="00ED0F96">
              <w:t>High</w:t>
            </w:r>
            <w:r w:rsidR="00AD5B25" w:rsidRPr="00ED0F96">
              <w:t xml:space="preserve"> risk of bias</w:t>
            </w:r>
          </w:p>
          <w:p w14:paraId="7AB4FC72" w14:textId="77777777" w:rsidR="00AD5B25" w:rsidRDefault="00AD5B25" w:rsidP="005E49D6">
            <w:pPr>
              <w:pStyle w:val="TableText"/>
              <w:spacing w:before="0" w:after="0"/>
              <w:ind w:left="57" w:right="57"/>
            </w:pPr>
            <w:r w:rsidRPr="00ED0F96">
              <w:t>Concerns about applicability</w:t>
            </w:r>
          </w:p>
          <w:p w14:paraId="35251B87" w14:textId="7BEB9BB9" w:rsidR="00ED0F96" w:rsidRPr="00ED0F96" w:rsidRDefault="00ED0F96" w:rsidP="005E49D6">
            <w:pPr>
              <w:pStyle w:val="TableText"/>
              <w:spacing w:before="0" w:after="0"/>
              <w:ind w:left="57" w:right="57"/>
              <w:rPr>
                <w:rFonts w:cs="Calibri"/>
                <w:i/>
                <w:iCs/>
              </w:rPr>
            </w:pPr>
            <w:r w:rsidRPr="00BF7812">
              <w:rPr>
                <w:rFonts w:ascii="Cambria Math" w:hAnsi="Cambria Math"/>
                <w:color w:val="00B050"/>
              </w:rPr>
              <w:t>⨁</w:t>
            </w:r>
            <w:r w:rsidRPr="00BF7812">
              <w:rPr>
                <w:rFonts w:ascii="Cambria Math" w:hAnsi="Cambria Math" w:cs="Cambria Math"/>
                <w:color w:val="C00000"/>
              </w:rPr>
              <w:t>⨀⨀⨀</w:t>
            </w:r>
            <w:r>
              <w:rPr>
                <w:vertAlign w:val="superscript"/>
              </w:rPr>
              <w:t xml:space="preserve"> b</w:t>
            </w:r>
          </w:p>
        </w:tc>
        <w:tc>
          <w:tcPr>
            <w:tcW w:w="550" w:type="pct"/>
            <w:tcBorders>
              <w:bottom w:val="single" w:sz="4" w:space="0" w:color="auto"/>
            </w:tcBorders>
          </w:tcPr>
          <w:p w14:paraId="470B3901" w14:textId="77777777" w:rsidR="00AD5B25" w:rsidRPr="00ED0F96" w:rsidRDefault="00AD5B25" w:rsidP="005E49D6">
            <w:pPr>
              <w:pStyle w:val="TableText"/>
              <w:spacing w:before="0" w:after="0"/>
              <w:ind w:left="57" w:right="57"/>
              <w:rPr>
                <w:bCs/>
                <w:snapToGrid w:val="0"/>
              </w:rPr>
            </w:pPr>
            <w:r w:rsidRPr="00ED0F96">
              <w:rPr>
                <w:rFonts w:cs="Calibri"/>
                <w:lang w:eastAsia="en-GB"/>
              </w:rPr>
              <w:t>ERCP</w:t>
            </w:r>
          </w:p>
        </w:tc>
        <w:tc>
          <w:tcPr>
            <w:tcW w:w="551" w:type="pct"/>
            <w:tcBorders>
              <w:bottom w:val="single" w:sz="4" w:space="0" w:color="auto"/>
            </w:tcBorders>
            <w:shd w:val="clear" w:color="auto" w:fill="auto"/>
          </w:tcPr>
          <w:p w14:paraId="74AC9DD1" w14:textId="77777777" w:rsidR="00AD5B25" w:rsidRPr="00ED0F96" w:rsidRDefault="00AD5B25" w:rsidP="005E49D6">
            <w:pPr>
              <w:pStyle w:val="TableText"/>
              <w:spacing w:before="0" w:after="0"/>
              <w:ind w:left="57" w:right="57"/>
            </w:pPr>
            <w:r w:rsidRPr="00ED0F96">
              <w:t>2/25 (8.0%)</w:t>
            </w:r>
          </w:p>
        </w:tc>
        <w:tc>
          <w:tcPr>
            <w:tcW w:w="551" w:type="pct"/>
            <w:tcBorders>
              <w:bottom w:val="single" w:sz="4" w:space="0" w:color="auto"/>
            </w:tcBorders>
          </w:tcPr>
          <w:p w14:paraId="1D2F62EC" w14:textId="77777777" w:rsidR="00AD5B25" w:rsidRPr="00ED0F96" w:rsidRDefault="00AD5B25" w:rsidP="005E49D6">
            <w:pPr>
              <w:pStyle w:val="TableText"/>
              <w:spacing w:before="0" w:after="0"/>
              <w:ind w:left="57" w:right="57"/>
            </w:pPr>
            <w:r w:rsidRPr="00ED0F96">
              <w:t>7/26 (26.9%)</w:t>
            </w:r>
          </w:p>
        </w:tc>
        <w:tc>
          <w:tcPr>
            <w:tcW w:w="520" w:type="pct"/>
            <w:tcBorders>
              <w:bottom w:val="single" w:sz="4" w:space="0" w:color="auto"/>
            </w:tcBorders>
          </w:tcPr>
          <w:p w14:paraId="25875B49" w14:textId="77777777" w:rsidR="00AD5B25" w:rsidRPr="00ED0F96" w:rsidRDefault="00AD5B25" w:rsidP="005E49D6">
            <w:pPr>
              <w:pStyle w:val="TableText"/>
              <w:spacing w:before="0" w:after="0"/>
              <w:ind w:left="57" w:right="57"/>
            </w:pPr>
            <w:r w:rsidRPr="00ED0F96">
              <w:t>18.9%</w:t>
            </w:r>
          </w:p>
        </w:tc>
      </w:tr>
    </w:tbl>
    <w:p w14:paraId="42EBCA38" w14:textId="52BB2A93" w:rsidR="00AD5B25" w:rsidRDefault="00AD5B25" w:rsidP="00CC39AB">
      <w:pPr>
        <w:pStyle w:val="Tablenotes"/>
      </w:pPr>
      <w:r w:rsidRPr="0005649D">
        <w:t xml:space="preserve">Abbreviations: </w:t>
      </w:r>
      <w:r w:rsidRPr="001A4E5B">
        <w:t>ERCP</w:t>
      </w:r>
      <w:r>
        <w:t>-IB</w:t>
      </w:r>
      <w:r w:rsidRPr="001A4E5B">
        <w:t xml:space="preserve">= </w:t>
      </w:r>
      <w:r w:rsidRPr="0005649D">
        <w:t>endoscopic</w:t>
      </w:r>
      <w:r w:rsidRPr="001A4E5B">
        <w:t xml:space="preserve"> retrograde cholangiopancreatography</w:t>
      </w:r>
      <w:r w:rsidRPr="00E42C8D">
        <w:t xml:space="preserve">-guided </w:t>
      </w:r>
      <w:r>
        <w:t>intraductal biopsy; MRCP = m</w:t>
      </w:r>
      <w:r w:rsidRPr="00853697">
        <w:t>agnetic resonance cholangiopancreatography</w:t>
      </w:r>
      <w:r>
        <w:t xml:space="preserve">; </w:t>
      </w:r>
      <w:r w:rsidRPr="0005649D">
        <w:t>N = number of participants</w:t>
      </w:r>
      <w:r>
        <w:t xml:space="preserve">; </w:t>
      </w:r>
      <w:r w:rsidRPr="001A4E5B">
        <w:t>POCPS</w:t>
      </w:r>
      <w:r>
        <w:t>-B</w:t>
      </w:r>
      <w:r w:rsidRPr="001A4E5B">
        <w:t xml:space="preserve">= </w:t>
      </w:r>
      <w:r w:rsidRPr="0005649D">
        <w:t xml:space="preserve">single </w:t>
      </w:r>
      <w:r w:rsidRPr="001A4E5B">
        <w:t>operator, single use, peroral</w:t>
      </w:r>
      <w:r>
        <w:t xml:space="preserve"> </w:t>
      </w:r>
      <w:r w:rsidRPr="001A4E5B">
        <w:t>cholangiopancreatoscopy</w:t>
      </w:r>
      <w:r w:rsidRPr="00E42C8D">
        <w:t xml:space="preserve">-guided </w:t>
      </w:r>
      <w:r>
        <w:t>biopsy; RCT = randomised controlled trial; RoB = risk of bias.</w:t>
      </w:r>
    </w:p>
    <w:p w14:paraId="715D1BE5" w14:textId="242996BC" w:rsidR="00746F39" w:rsidRDefault="00746F39" w:rsidP="00CC39AB">
      <w:pPr>
        <w:pStyle w:val="Tablenotes"/>
      </w:pPr>
      <w:r>
        <w:t>Source: Table 71 of the ADAR</w:t>
      </w:r>
      <w:r w:rsidR="00CC39AB">
        <w:t>. Edits and corrections to the original table are marked in italics.</w:t>
      </w:r>
    </w:p>
    <w:p w14:paraId="0C90A5F5" w14:textId="77777777" w:rsidR="00ED0F96" w:rsidRPr="00BF7812" w:rsidRDefault="00ED0F96" w:rsidP="00ED0F96">
      <w:pPr>
        <w:pStyle w:val="Tablenotes"/>
        <w:rPr>
          <w:szCs w:val="18"/>
        </w:rPr>
      </w:pPr>
      <w:r w:rsidRPr="00BF7812">
        <w:rPr>
          <w:szCs w:val="18"/>
          <w:vertAlign w:val="superscript"/>
        </w:rPr>
        <w:t xml:space="preserve">a </w:t>
      </w:r>
      <w:r w:rsidRPr="00BF7812">
        <w:rPr>
          <w:szCs w:val="18"/>
        </w:rPr>
        <w:t>GRADE Working Group grades of evidence (Guyatt et al., 2013)</w:t>
      </w:r>
    </w:p>
    <w:p w14:paraId="243B6CCA" w14:textId="77777777" w:rsidR="00ED0F96" w:rsidRPr="00BF7812" w:rsidRDefault="00ED0F96" w:rsidP="00ED0F96">
      <w:pPr>
        <w:pStyle w:val="Tablenotes"/>
        <w:rPr>
          <w:szCs w:val="18"/>
        </w:rPr>
      </w:pPr>
      <w:r w:rsidRPr="00BF7812">
        <w:rPr>
          <w:rFonts w:ascii="Cambria Math" w:hAnsi="Cambria Math"/>
          <w:color w:val="00B050"/>
        </w:rPr>
        <w:t xml:space="preserve">⨁⨁⨁⨁ </w:t>
      </w:r>
      <w:r w:rsidRPr="00BF7812">
        <w:rPr>
          <w:b/>
          <w:bCs/>
          <w:szCs w:val="18"/>
        </w:rPr>
        <w:t>High quality:</w:t>
      </w:r>
      <w:r w:rsidRPr="00BF7812">
        <w:rPr>
          <w:szCs w:val="18"/>
        </w:rPr>
        <w:t xml:space="preserve"> We are very confident that the true effect lies close to that of the estimate of effect. </w:t>
      </w:r>
      <w:r w:rsidRPr="00BF7812">
        <w:rPr>
          <w:szCs w:val="18"/>
        </w:rPr>
        <w:br/>
      </w:r>
      <w:r w:rsidRPr="00BF7812">
        <w:rPr>
          <w:rFonts w:ascii="Cambria Math" w:hAnsi="Cambria Math"/>
          <w:color w:val="00B050"/>
        </w:rPr>
        <w:lastRenderedPageBreak/>
        <w:t>⨁⨁⨁</w:t>
      </w:r>
      <w:r w:rsidRPr="00BF7812">
        <w:rPr>
          <w:rFonts w:ascii="Cambria Math" w:hAnsi="Cambria Math" w:cs="Cambria Math"/>
          <w:color w:val="C00000"/>
        </w:rPr>
        <w:t xml:space="preserve">⨀ </w:t>
      </w:r>
      <w:r w:rsidRPr="00BF7812">
        <w:rPr>
          <w:b/>
          <w:bCs/>
          <w:szCs w:val="18"/>
        </w:rPr>
        <w:t>Moderate quality:</w:t>
      </w:r>
      <w:r w:rsidRPr="00BF7812">
        <w:rPr>
          <w:szCs w:val="18"/>
        </w:rPr>
        <w:t xml:space="preserve"> We are moderately confident in the effect estimate: The true effect is likely to be close to the estimate of the effect, but there is a possibility that it is substantially different. </w:t>
      </w:r>
      <w:r w:rsidRPr="00BF7812">
        <w:rPr>
          <w:szCs w:val="18"/>
        </w:rPr>
        <w:br/>
      </w:r>
      <w:r w:rsidRPr="00BF7812">
        <w:rPr>
          <w:rFonts w:ascii="Cambria Math" w:hAnsi="Cambria Math"/>
          <w:color w:val="00B050"/>
        </w:rPr>
        <w:t>⨁⨁</w:t>
      </w:r>
      <w:r w:rsidRPr="00BF7812">
        <w:rPr>
          <w:rFonts w:ascii="Cambria Math" w:hAnsi="Cambria Math" w:cs="Cambria Math"/>
          <w:color w:val="C00000"/>
        </w:rPr>
        <w:t xml:space="preserve">⨀⨀ </w:t>
      </w:r>
      <w:r w:rsidRPr="00BF7812">
        <w:rPr>
          <w:b/>
          <w:bCs/>
          <w:szCs w:val="18"/>
        </w:rPr>
        <w:t>Low quality:</w:t>
      </w:r>
      <w:r w:rsidRPr="00BF7812">
        <w:rPr>
          <w:szCs w:val="18"/>
        </w:rPr>
        <w:t xml:space="preserve"> Our confidence in the effect estimate is limited: The true effect may be substantially different from the estimate of the effect.</w:t>
      </w:r>
      <w:r w:rsidRPr="00BF7812">
        <w:rPr>
          <w:szCs w:val="18"/>
        </w:rPr>
        <w:br/>
      </w:r>
      <w:r w:rsidRPr="00BF7812">
        <w:rPr>
          <w:rFonts w:ascii="Cambria Math" w:hAnsi="Cambria Math"/>
          <w:color w:val="00B050"/>
        </w:rPr>
        <w:t>⨁</w:t>
      </w:r>
      <w:r w:rsidRPr="00BF7812">
        <w:rPr>
          <w:rFonts w:ascii="Cambria Math" w:hAnsi="Cambria Math" w:cs="Cambria Math"/>
          <w:color w:val="C00000"/>
        </w:rPr>
        <w:t xml:space="preserve">⨀⨀⨀ </w:t>
      </w:r>
      <w:r w:rsidRPr="00BF7812">
        <w:rPr>
          <w:b/>
          <w:bCs/>
          <w:szCs w:val="18"/>
        </w:rPr>
        <w:t>Very low quality:</w:t>
      </w:r>
      <w:r w:rsidRPr="00BF7812">
        <w:rPr>
          <w:szCs w:val="18"/>
        </w:rPr>
        <w:t xml:space="preserve"> We have very little confidence in the effect estimate: The true effect is likely to be substantially different from the estimate of effect.</w:t>
      </w:r>
    </w:p>
    <w:p w14:paraId="4447BC31" w14:textId="469AD15B" w:rsidR="00ED0F96" w:rsidRPr="00ED0F96" w:rsidRDefault="00ED0F96" w:rsidP="00ED0F96">
      <w:pPr>
        <w:pStyle w:val="Tablenotes"/>
      </w:pPr>
      <w:r>
        <w:rPr>
          <w:vertAlign w:val="superscript"/>
        </w:rPr>
        <w:t>b</w:t>
      </w:r>
      <w:r>
        <w:t xml:space="preserve"> </w:t>
      </w:r>
      <w:r w:rsidRPr="00ED0F96">
        <w:t>Downgraded due to concerns about the methodological quality of the studies, indirectness, imprecision, and search strategy comprehensiveness</w:t>
      </w:r>
      <w:r>
        <w:t xml:space="preserve">. The Pre-ESC response assessed the quality of evidence as being ‘Low quality’. </w:t>
      </w:r>
    </w:p>
    <w:p w14:paraId="6D413183" w14:textId="44D30F55" w:rsidR="00E62E31" w:rsidRDefault="008B6AB2" w:rsidP="0015035D">
      <w:pPr>
        <w:spacing w:before="240" w:after="240"/>
      </w:pPr>
      <w:r w:rsidRPr="00C53825">
        <w:t>One RCT</w:t>
      </w:r>
      <w:r w:rsidR="0001550A" w:rsidRPr="00C53825">
        <w:t xml:space="preserve"> with small sample size</w:t>
      </w:r>
      <w:r w:rsidRPr="00C53825">
        <w:t xml:space="preserve"> reporting procedural success was identified </w:t>
      </w:r>
      <w:r w:rsidRPr="00C53825">
        <w:fldChar w:fldCharType="begin">
          <w:fldData xml:space="preserve">PEVuZE5vdGU+PENpdGU+PEF1dGhvcj5HZXJnZXM8L0F1dGhvcj48WWVhcj4yMDIwPC9ZZWFyPjxS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==
</w:fldData>
        </w:fldChar>
      </w:r>
      <w:r w:rsidRPr="00C53825">
        <w:instrText xml:space="preserve"> ADDIN EN.CITE </w:instrText>
      </w:r>
      <w:r w:rsidRPr="00C53825">
        <w:fldChar w:fldCharType="begin">
          <w:fldData xml:space="preserve">PEVuZE5vdGU+PENpdGU+PEF1dGhvcj5HZXJnZXM8L0F1dGhvcj48WWVhcj4yMDIwPC9ZZWFyPjxS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==
</w:fldData>
        </w:fldChar>
      </w:r>
      <w:r w:rsidRPr="00C53825">
        <w:instrText xml:space="preserve"> ADDIN EN.CITE.DATA </w:instrText>
      </w:r>
      <w:r w:rsidRPr="00C53825">
        <w:fldChar w:fldCharType="end"/>
      </w:r>
      <w:r w:rsidRPr="00C53825">
        <w:fldChar w:fldCharType="separate"/>
      </w:r>
      <w:r w:rsidRPr="00C53825">
        <w:t>(</w:t>
      </w:r>
      <w:hyperlink w:anchor="_ENREF_60" w:tooltip="Gerges, 2020 #13" w:history="1">
        <w:r w:rsidRPr="00C53825">
          <w:t>Gerges et al., 2020</w:t>
        </w:r>
      </w:hyperlink>
      <w:r w:rsidRPr="00C53825">
        <w:t>)</w:t>
      </w:r>
      <w:r w:rsidRPr="00C53825">
        <w:fldChar w:fldCharType="end"/>
      </w:r>
      <w:r w:rsidRPr="00C53825">
        <w:t xml:space="preserve">; this study had serious applicability concerns </w:t>
      </w:r>
      <w:r w:rsidR="00641A20" w:rsidRPr="00C53825">
        <w:t>(</w:t>
      </w:r>
      <w:r w:rsidR="007E0314" w:rsidRPr="00C53825">
        <w:t xml:space="preserve">patients had </w:t>
      </w:r>
      <w:r w:rsidR="00641A20" w:rsidRPr="00C53825">
        <w:t>no previous unsuccessful ERCP attempt</w:t>
      </w:r>
      <w:r w:rsidR="007E0314" w:rsidRPr="00C53825">
        <w:t>)</w:t>
      </w:r>
      <w:r w:rsidR="00641A20" w:rsidRPr="00C53825">
        <w:t xml:space="preserve"> </w:t>
      </w:r>
      <w:r w:rsidRPr="00C53825">
        <w:t>and was not powered for the outcome.</w:t>
      </w:r>
      <w:r w:rsidR="007E0314" w:rsidRPr="00C53825">
        <w:t xml:space="preserve"> </w:t>
      </w:r>
      <w:r w:rsidR="00E62E31">
        <w:t xml:space="preserve">ESC highlighted that Gerges et al (2020) may not have been effectively randomised as the two arms had a different prevalence of malignancy and the reference standard was not consistent. Gerges et al (2020) reported a similar number of procedures to get a final diagnosis for both arms. </w:t>
      </w:r>
    </w:p>
    <w:p w14:paraId="49D0B76D" w14:textId="1FAA8F1E" w:rsidR="008B6AB2" w:rsidRPr="00C53825" w:rsidRDefault="007E0314" w:rsidP="00B013B7">
      <w:pPr>
        <w:spacing w:after="240"/>
      </w:pPr>
      <w:r w:rsidRPr="00C53825">
        <w:t>They reported lower rates of indeterminate results for POCPS compared with ERCP-BC, bu</w:t>
      </w:r>
      <w:r w:rsidR="00647D1F" w:rsidRPr="00C53825">
        <w:t>t its statistical or clinical significance is unclear.</w:t>
      </w:r>
      <w:r w:rsidR="008B6AB2" w:rsidRPr="00C53825">
        <w:t xml:space="preserve"> </w:t>
      </w:r>
    </w:p>
    <w:p w14:paraId="6719AE08" w14:textId="5F4FA7C2" w:rsidR="008B6AB2" w:rsidRPr="00C53825" w:rsidRDefault="00C53825" w:rsidP="00B013B7">
      <w:pPr>
        <w:spacing w:after="240"/>
      </w:pPr>
      <w:r>
        <w:t>The commentary considered d</w:t>
      </w:r>
      <w:r w:rsidR="008B6AB2" w:rsidRPr="00C53825">
        <w:t xml:space="preserve">ata from </w:t>
      </w:r>
      <w:hyperlink w:anchor="_ENREF_50" w:tooltip="Draganov, 2012 #14" w:history="1">
        <w:r w:rsidR="008B6AB2" w:rsidRPr="00C53825">
          <w:fldChar w:fldCharType="begin">
            <w:fldData xml:space="preserve">PEVuZE5vdGU+PENpdGUgQXV0aG9yWWVhcj0iMSI+PEF1dGhvcj5EcmFnYW5vdjwvQXV0aG9yPjxZ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==
</w:fldData>
          </w:fldChar>
        </w:r>
        <w:r w:rsidR="008B6AB2" w:rsidRPr="00C53825">
          <w:instrText xml:space="preserve"> ADDIN EN.CITE </w:instrText>
        </w:r>
        <w:r w:rsidR="008B6AB2" w:rsidRPr="00C53825">
          <w:fldChar w:fldCharType="begin">
            <w:fldData xml:space="preserve">PEVuZE5vdGU+PENpdGUgQXV0aG9yWWVhcj0iMSI+PEF1dGhvcj5EcmFnYW5vdjwvQXV0aG9yPjxZ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==
</w:fldData>
          </w:fldChar>
        </w:r>
        <w:r w:rsidR="008B6AB2" w:rsidRPr="00C53825">
          <w:instrText xml:space="preserve"> ADDIN EN.CITE.DATA </w:instrText>
        </w:r>
        <w:r w:rsidR="008B6AB2" w:rsidRPr="00C53825">
          <w:fldChar w:fldCharType="end"/>
        </w:r>
        <w:r w:rsidR="008B6AB2" w:rsidRPr="00C53825">
          <w:fldChar w:fldCharType="separate"/>
        </w:r>
        <w:r w:rsidR="008B6AB2" w:rsidRPr="00C53825">
          <w:t>Draganov et al. (2012)</w:t>
        </w:r>
        <w:r w:rsidR="008B6AB2" w:rsidRPr="00C53825">
          <w:fldChar w:fldCharType="end"/>
        </w:r>
      </w:hyperlink>
      <w:r w:rsidR="008B6AB2" w:rsidRPr="00C53825">
        <w:t xml:space="preserve"> are likely more applicable to this ADAR, however, that study also had a small sample size, was at risk of bias</w:t>
      </w:r>
      <w:r w:rsidR="00223153" w:rsidRPr="00C53825">
        <w:t xml:space="preserve"> (</w:t>
      </w:r>
      <w:r w:rsidR="00D65F07" w:rsidRPr="00C53825">
        <w:t>no blinding of pathologists to the clinical history)</w:t>
      </w:r>
      <w:r w:rsidR="008B6AB2" w:rsidRPr="00C53825">
        <w:t>, and was not powered for this outcome.</w:t>
      </w:r>
      <w:r w:rsidR="002E52BF" w:rsidRPr="00C53825">
        <w:t xml:space="preserve"> </w:t>
      </w:r>
      <w:r w:rsidR="00D65F07" w:rsidRPr="00C53825">
        <w:t>They also reported l</w:t>
      </w:r>
      <w:r w:rsidR="002E52BF" w:rsidRPr="00C53825">
        <w:t>ower rates of indeterminate results for POCPS compared with ERCP-BC and ERCP-IB, however, its statistical or clinical significance is unclear.</w:t>
      </w:r>
    </w:p>
    <w:p w14:paraId="2034D1A3" w14:textId="0DE3B5BD" w:rsidR="002D147E" w:rsidRPr="00C53825" w:rsidRDefault="002D147E" w:rsidP="00402B01">
      <w:pPr>
        <w:spacing w:after="240"/>
      </w:pPr>
      <w:r w:rsidRPr="00C53825">
        <w:t xml:space="preserve">Further supportive evidence was provided in form of single-arm studies for the intervention, but no evidence was identified for the comparator. No indirect comparison was therefore possible. </w:t>
      </w:r>
    </w:p>
    <w:p w14:paraId="3DF31FC8" w14:textId="104C6344" w:rsidR="00804D1B" w:rsidRDefault="00804D1B" w:rsidP="00402B01">
      <w:pPr>
        <w:spacing w:after="240"/>
      </w:pPr>
      <w:r>
        <w:t xml:space="preserve">The identified evidence for change in management of </w:t>
      </w:r>
      <w:r w:rsidRPr="00FD75F1">
        <w:t>POCPS-guided biopsy compared to ERCP-guided brush cytology and intraductal biopsy are presented in</w:t>
      </w:r>
      <w:r w:rsidR="00DF1899">
        <w:t xml:space="preserve"> </w:t>
      </w:r>
      <w:r w:rsidR="00E13C10">
        <w:rPr>
          <w:iCs/>
        </w:rPr>
        <w:fldChar w:fldCharType="begin"/>
      </w:r>
      <w:r w:rsidR="00E13C10">
        <w:instrText xml:space="preserve"> REF _Ref97720141 \h </w:instrText>
      </w:r>
      <w:r w:rsidR="00E13C10">
        <w:rPr>
          <w:iCs/>
        </w:rPr>
      </w:r>
      <w:r w:rsidR="00E13C10">
        <w:rPr>
          <w:iCs/>
        </w:rPr>
        <w:fldChar w:fldCharType="separate"/>
      </w:r>
      <w:r w:rsidR="00D422BC" w:rsidRPr="00CE28E3">
        <w:t>Table</w:t>
      </w:r>
      <w:r w:rsidR="00D422BC">
        <w:t> </w:t>
      </w:r>
      <w:r w:rsidR="00D422BC">
        <w:rPr>
          <w:noProof/>
        </w:rPr>
        <w:t>18</w:t>
      </w:r>
      <w:r w:rsidR="00E13C10">
        <w:rPr>
          <w:iCs/>
        </w:rPr>
        <w:fldChar w:fldCharType="end"/>
      </w:r>
      <w:r w:rsidR="00E13C10">
        <w:rPr>
          <w:iCs/>
        </w:rPr>
        <w:t>.</w:t>
      </w:r>
    </w:p>
    <w:p w14:paraId="462C8706" w14:textId="7D92E966" w:rsidR="00917A40" w:rsidRPr="00CE28E3" w:rsidRDefault="00917A40" w:rsidP="0015035D">
      <w:pPr>
        <w:pStyle w:val="Caption"/>
        <w:spacing w:before="240"/>
      </w:pPr>
      <w:bookmarkStart w:id="98" w:name="_Ref89097434"/>
      <w:bookmarkStart w:id="99" w:name="_Ref97720141"/>
      <w:bookmarkStart w:id="100" w:name="_Ref76489994"/>
      <w:bookmarkStart w:id="101" w:name="_Toc84313656"/>
      <w:bookmarkStart w:id="102" w:name="_Toc84324801"/>
      <w:bookmarkStart w:id="103" w:name="_Toc84344234"/>
      <w:bookmarkStart w:id="104" w:name="_Toc88760212"/>
      <w:r w:rsidRPr="00CE28E3">
        <w:t>Table</w:t>
      </w:r>
      <w:r>
        <w:t> </w:t>
      </w:r>
      <w:r>
        <w:fldChar w:fldCharType="begin"/>
      </w:r>
      <w:r>
        <w:instrText>SEQ Table \* ARABIC</w:instrText>
      </w:r>
      <w:r>
        <w:fldChar w:fldCharType="separate"/>
      </w:r>
      <w:r w:rsidR="00D422BC">
        <w:rPr>
          <w:noProof/>
        </w:rPr>
        <w:t>18</w:t>
      </w:r>
      <w:r>
        <w:fldChar w:fldCharType="end"/>
      </w:r>
      <w:bookmarkEnd w:id="98"/>
      <w:bookmarkEnd w:id="99"/>
      <w:r w:rsidRPr="00CE28E3">
        <w:rPr>
          <w:noProof/>
        </w:rPr>
        <w:tab/>
      </w:r>
      <w:bookmarkEnd w:id="100"/>
      <w:r>
        <w:rPr>
          <w:noProof/>
        </w:rPr>
        <w:t xml:space="preserve"> </w:t>
      </w:r>
      <w:r w:rsidRPr="0005649D">
        <w:t xml:space="preserve">Results </w:t>
      </w:r>
      <w:r>
        <w:t xml:space="preserve">of </w:t>
      </w:r>
      <w:r>
        <w:rPr>
          <w:noProof/>
        </w:rPr>
        <w:t xml:space="preserve">change in management </w:t>
      </w:r>
      <w:r w:rsidRPr="0005649D">
        <w:t>across studies evaluating</w:t>
      </w:r>
      <w:r>
        <w:rPr>
          <w:noProof/>
        </w:rPr>
        <w:t xml:space="preserve"> </w:t>
      </w:r>
      <w:r w:rsidRPr="008228BE">
        <w:rPr>
          <w:noProof/>
        </w:rPr>
        <w:t>POCPS-</w:t>
      </w:r>
      <w:r>
        <w:rPr>
          <w:noProof/>
        </w:rPr>
        <w:t xml:space="preserve">V and </w:t>
      </w:r>
      <w:r w:rsidRPr="008228BE">
        <w:rPr>
          <w:noProof/>
        </w:rPr>
        <w:t>POCPS-</w:t>
      </w:r>
      <w:r>
        <w:rPr>
          <w:noProof/>
        </w:rPr>
        <w:t>B</w:t>
      </w:r>
      <w:bookmarkEnd w:id="101"/>
      <w:bookmarkEnd w:id="102"/>
      <w:bookmarkEnd w:id="103"/>
      <w:bookmarkEnd w:id="104"/>
    </w:p>
    <w:tbl>
      <w:tblPr>
        <w:tblStyle w:val="TableGrid"/>
        <w:tblW w:w="5000" w:type="pct"/>
        <w:tblCellMar>
          <w:left w:w="57" w:type="dxa"/>
          <w:right w:w="57" w:type="dxa"/>
        </w:tblCellMar>
        <w:tblLook w:val="04A0" w:firstRow="1" w:lastRow="0" w:firstColumn="1" w:lastColumn="0" w:noHBand="0" w:noVBand="1"/>
        <w:tblCaption w:val="Table 68  Results of change in management across studies evaluating POCPS-V and POCPS-B"/>
        <w:tblDescription w:val="Table 68  Results of change in management across studies evaluating POCPS-V and POCPS-B"/>
      </w:tblPr>
      <w:tblGrid>
        <w:gridCol w:w="1796"/>
        <w:gridCol w:w="1614"/>
        <w:gridCol w:w="1374"/>
        <w:gridCol w:w="1549"/>
        <w:gridCol w:w="1138"/>
        <w:gridCol w:w="1545"/>
      </w:tblGrid>
      <w:tr w:rsidR="00917A40" w:rsidRPr="00C53825" w14:paraId="59855704" w14:textId="77777777" w:rsidTr="00B40B89">
        <w:trPr>
          <w:trHeight w:val="301"/>
          <w:tblHeader/>
        </w:trPr>
        <w:tc>
          <w:tcPr>
            <w:tcW w:w="996" w:type="pct"/>
            <w:tcBorders>
              <w:bottom w:val="single" w:sz="4" w:space="0" w:color="FFFFFF"/>
            </w:tcBorders>
          </w:tcPr>
          <w:p w14:paraId="16010BBB" w14:textId="77777777" w:rsidR="00917A40" w:rsidRPr="00C53825" w:rsidRDefault="00917A40" w:rsidP="006D10FC">
            <w:pPr>
              <w:pStyle w:val="TableHeading0"/>
            </w:pPr>
            <w:r w:rsidRPr="00C53825">
              <w:t xml:space="preserve">Study ID, Country </w:t>
            </w:r>
          </w:p>
          <w:p w14:paraId="453D2698" w14:textId="77777777" w:rsidR="00917A40" w:rsidRPr="00C53825" w:rsidRDefault="00917A40" w:rsidP="006D10FC">
            <w:pPr>
              <w:pStyle w:val="TableHeading0"/>
            </w:pPr>
            <w:r w:rsidRPr="00C53825">
              <w:t>Study Design</w:t>
            </w:r>
          </w:p>
          <w:p w14:paraId="3544C40D" w14:textId="3E0CB784" w:rsidR="00917A40" w:rsidRPr="00C53825" w:rsidRDefault="00917A40" w:rsidP="006D10FC">
            <w:pPr>
              <w:pStyle w:val="TableHeading0"/>
            </w:pPr>
            <w:r w:rsidRPr="00C53825">
              <w:t>Generation</w:t>
            </w:r>
          </w:p>
        </w:tc>
        <w:tc>
          <w:tcPr>
            <w:tcW w:w="895" w:type="pct"/>
            <w:tcBorders>
              <w:bottom w:val="single" w:sz="4" w:space="0" w:color="FFFFFF"/>
            </w:tcBorders>
          </w:tcPr>
          <w:p w14:paraId="7D86F7D6" w14:textId="11648736" w:rsidR="00917A40" w:rsidRPr="00C53825" w:rsidRDefault="00917A40" w:rsidP="006D10FC">
            <w:pPr>
              <w:pStyle w:val="TableHeading0"/>
            </w:pPr>
            <w:r w:rsidRPr="00C53825">
              <w:t>N</w:t>
            </w:r>
          </w:p>
        </w:tc>
        <w:tc>
          <w:tcPr>
            <w:tcW w:w="762" w:type="pct"/>
            <w:tcBorders>
              <w:bottom w:val="single" w:sz="4" w:space="0" w:color="FFFFFF"/>
            </w:tcBorders>
          </w:tcPr>
          <w:p w14:paraId="3DDED38A" w14:textId="77777777" w:rsidR="00917A40" w:rsidRPr="00C53825" w:rsidRDefault="00917A40" w:rsidP="006D10FC">
            <w:pPr>
              <w:pStyle w:val="TableHeading0"/>
            </w:pPr>
            <w:r w:rsidRPr="00C53825">
              <w:t xml:space="preserve">Prior Test </w:t>
            </w:r>
          </w:p>
        </w:tc>
        <w:tc>
          <w:tcPr>
            <w:tcW w:w="859" w:type="pct"/>
            <w:tcBorders>
              <w:bottom w:val="single" w:sz="4" w:space="0" w:color="FFFFFF" w:themeColor="background1"/>
              <w:right w:val="single" w:sz="4" w:space="0" w:color="000000"/>
            </w:tcBorders>
          </w:tcPr>
          <w:p w14:paraId="2405602D" w14:textId="2803DC8B" w:rsidR="00DF1899" w:rsidRPr="00C53825" w:rsidRDefault="00917A40" w:rsidP="006D10FC">
            <w:pPr>
              <w:pStyle w:val="TableHeading0"/>
            </w:pPr>
            <w:r w:rsidRPr="00C53825">
              <w:t xml:space="preserve">Change </w:t>
            </w:r>
            <w:r w:rsidR="00DF1899" w:rsidRPr="00C53825">
              <w:t>i</w:t>
            </w:r>
            <w:r w:rsidRPr="00C53825">
              <w:t xml:space="preserve">n </w:t>
            </w:r>
            <w:r w:rsidR="00DF1899" w:rsidRPr="00C53825">
              <w:t>m</w:t>
            </w:r>
            <w:r w:rsidRPr="00C53825">
              <w:t>anagement</w:t>
            </w:r>
          </w:p>
          <w:p w14:paraId="28662648" w14:textId="3E88DFFA" w:rsidR="00917A40" w:rsidRPr="00C53825" w:rsidRDefault="00917A40" w:rsidP="006D10FC">
            <w:pPr>
              <w:pStyle w:val="TableHeading0"/>
            </w:pPr>
            <w:r w:rsidRPr="00C53825">
              <w:t>N/N %</w:t>
            </w:r>
          </w:p>
        </w:tc>
        <w:tc>
          <w:tcPr>
            <w:tcW w:w="631" w:type="pct"/>
            <w:tcBorders>
              <w:left w:val="single" w:sz="4" w:space="0" w:color="000000"/>
              <w:bottom w:val="single" w:sz="4" w:space="0" w:color="auto"/>
              <w:right w:val="single" w:sz="4" w:space="0" w:color="000000"/>
            </w:tcBorders>
          </w:tcPr>
          <w:p w14:paraId="34CD154F" w14:textId="77777777" w:rsidR="00DF1899" w:rsidRPr="00C53825" w:rsidRDefault="00917A40" w:rsidP="006D10FC">
            <w:pPr>
              <w:pStyle w:val="TableHeading0"/>
            </w:pPr>
            <w:r w:rsidRPr="00C53825">
              <w:t xml:space="preserve">Avoided Surgery </w:t>
            </w:r>
          </w:p>
          <w:p w14:paraId="71D76721" w14:textId="7D475677" w:rsidR="00917A40" w:rsidRPr="00C53825" w:rsidRDefault="00917A40" w:rsidP="006D10FC">
            <w:pPr>
              <w:pStyle w:val="TableHeading0"/>
            </w:pPr>
            <w:r w:rsidRPr="00C53825">
              <w:t>N/N %</w:t>
            </w:r>
          </w:p>
        </w:tc>
        <w:tc>
          <w:tcPr>
            <w:tcW w:w="857" w:type="pct"/>
            <w:tcBorders>
              <w:left w:val="single" w:sz="4" w:space="0" w:color="000000"/>
              <w:bottom w:val="single" w:sz="4" w:space="0" w:color="auto"/>
              <w:right w:val="single" w:sz="4" w:space="0" w:color="000000"/>
            </w:tcBorders>
          </w:tcPr>
          <w:p w14:paraId="6F9C480F" w14:textId="77777777" w:rsidR="00917A40" w:rsidRPr="00C53825" w:rsidRDefault="00917A40" w:rsidP="006D10FC">
            <w:pPr>
              <w:pStyle w:val="TableHeading0"/>
            </w:pPr>
            <w:r w:rsidRPr="00C53825">
              <w:t>Reduction In Repeated Procedures</w:t>
            </w:r>
          </w:p>
        </w:tc>
      </w:tr>
      <w:tr w:rsidR="00917A40" w:rsidRPr="00C53825" w14:paraId="3B271810" w14:textId="77777777" w:rsidTr="00917A40">
        <w:trPr>
          <w:trHeight w:val="70"/>
        </w:trPr>
        <w:tc>
          <w:tcPr>
            <w:tcW w:w="996" w:type="pct"/>
          </w:tcPr>
          <w:p w14:paraId="6498F5D2" w14:textId="226798FE" w:rsidR="00DF1899" w:rsidRPr="00C53825" w:rsidRDefault="005F1F4A" w:rsidP="006D10FC">
            <w:pPr>
              <w:pStyle w:val="TableText"/>
              <w:ind w:left="57" w:right="57"/>
            </w:pPr>
            <w:r w:rsidRPr="00C53825">
              <w:fldChar w:fldCharType="begin">
                <w:fldData xml:space="preserve">PEVuZE5vdGU+PENpdGUgQXV0aG9yWWVhcj0iMSI+PEF1dGhvcj5BbG1hZGk8L0F1dGhvcj48WWVh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</w:fldData>
              </w:fldChar>
            </w:r>
            <w:r w:rsidRPr="00C53825">
              <w:instrText xml:space="preserve"> ADDIN EN.CITE </w:instrText>
            </w:r>
            <w:r w:rsidRPr="00C53825">
              <w:fldChar w:fldCharType="begin">
                <w:fldData xml:space="preserve">PEVuZE5vdGU+PENpdGUgQXV0aG9yWWVhcj0iMSI+PEF1dGhvcj5BbG1hZGk8L0F1dGhvcj48WWVh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</w:fldData>
              </w:fldChar>
            </w:r>
            <w:r w:rsidRPr="00C53825">
              <w:instrText xml:space="preserve"> ADDIN EN.CITE.DATA </w:instrText>
            </w:r>
            <w:r w:rsidRPr="00C53825">
              <w:fldChar w:fldCharType="end"/>
            </w:r>
            <w:r w:rsidRPr="00C53825">
              <w:fldChar w:fldCharType="separate"/>
            </w:r>
            <w:r w:rsidRPr="00C53825">
              <w:rPr>
                <w:noProof/>
              </w:rPr>
              <w:t>Almadi et al. (2020)</w:t>
            </w:r>
            <w:r w:rsidRPr="00C53825">
              <w:fldChar w:fldCharType="end"/>
            </w:r>
            <w:r w:rsidR="00917A40" w:rsidRPr="00C53825">
              <w:t>,</w:t>
            </w:r>
            <w:r w:rsidR="00917A40" w:rsidRPr="00C53825">
              <w:rPr>
                <w:lang w:eastAsia="en-GB"/>
              </w:rPr>
              <w:t xml:space="preserve"> </w:t>
            </w:r>
            <w:r w:rsidR="00917A40" w:rsidRPr="00C53825">
              <w:rPr>
                <w:noProof/>
                <w:lang w:eastAsia="en-GB"/>
              </w:rPr>
              <w:t>Prospective, multicentre</w:t>
            </w:r>
          </w:p>
          <w:p w14:paraId="6B68201F" w14:textId="486EFAD1" w:rsidR="00917A40" w:rsidRPr="00C53825" w:rsidRDefault="00917A40" w:rsidP="006D10FC">
            <w:pPr>
              <w:pStyle w:val="TableText"/>
              <w:ind w:left="57" w:right="57"/>
            </w:pPr>
            <w:r w:rsidRPr="00C53825">
              <w:t>Digital</w:t>
            </w:r>
          </w:p>
        </w:tc>
        <w:tc>
          <w:tcPr>
            <w:tcW w:w="895" w:type="pct"/>
          </w:tcPr>
          <w:p w14:paraId="4E7060C0" w14:textId="77777777" w:rsidR="00917A40" w:rsidRPr="00C53825" w:rsidRDefault="00917A40" w:rsidP="006D10FC">
            <w:pPr>
              <w:pStyle w:val="TableText"/>
              <w:ind w:left="57" w:right="57"/>
            </w:pPr>
            <w:r w:rsidRPr="00C53825">
              <w:t>n=289</w:t>
            </w:r>
          </w:p>
        </w:tc>
        <w:tc>
          <w:tcPr>
            <w:tcW w:w="762" w:type="pct"/>
          </w:tcPr>
          <w:p w14:paraId="483C782C" w14:textId="77777777" w:rsidR="00917A40" w:rsidRPr="00C53825" w:rsidRDefault="00917A40" w:rsidP="006D10FC">
            <w:pPr>
              <w:pStyle w:val="TableText"/>
              <w:ind w:left="57" w:right="57"/>
            </w:pPr>
            <w:r w:rsidRPr="00C53825">
              <w:rPr>
                <w:lang w:eastAsia="en-GB"/>
              </w:rPr>
              <w:t>ERCP (60.2%)</w:t>
            </w:r>
          </w:p>
        </w:tc>
        <w:tc>
          <w:tcPr>
            <w:tcW w:w="859" w:type="pct"/>
            <w:shd w:val="clear" w:color="auto" w:fill="auto"/>
          </w:tcPr>
          <w:p w14:paraId="36F54242" w14:textId="389A5AB9" w:rsidR="00917A40" w:rsidRPr="00C53825" w:rsidRDefault="00917A40" w:rsidP="00917A40">
            <w:pPr>
              <w:pStyle w:val="TableText"/>
              <w:ind w:left="57" w:right="57"/>
            </w:pPr>
            <w:r w:rsidRPr="00C53825">
              <w:t>249/289 (86.2%; 95% CI 81.6-89.9%)</w:t>
            </w:r>
          </w:p>
        </w:tc>
        <w:tc>
          <w:tcPr>
            <w:tcW w:w="631" w:type="pct"/>
          </w:tcPr>
          <w:p w14:paraId="79FBAD79" w14:textId="77777777" w:rsidR="00917A40" w:rsidRPr="00C53825" w:rsidRDefault="00917A40" w:rsidP="006D10FC">
            <w:pPr>
              <w:pStyle w:val="TableText"/>
              <w:ind w:left="57" w:right="57"/>
            </w:pPr>
            <w:r w:rsidRPr="00C53825">
              <w:t>22.2%</w:t>
            </w:r>
          </w:p>
        </w:tc>
        <w:tc>
          <w:tcPr>
            <w:tcW w:w="857" w:type="pct"/>
          </w:tcPr>
          <w:p w14:paraId="473AF072" w14:textId="77777777" w:rsidR="00917A40" w:rsidRPr="00C53825" w:rsidRDefault="00917A40" w:rsidP="006D10FC">
            <w:pPr>
              <w:pStyle w:val="TableText"/>
              <w:ind w:left="57" w:right="57"/>
            </w:pPr>
            <w:r w:rsidRPr="00C53825">
              <w:t>NR</w:t>
            </w:r>
          </w:p>
        </w:tc>
      </w:tr>
      <w:tr w:rsidR="00917A40" w:rsidRPr="00C53825" w14:paraId="563C73A8" w14:textId="77777777" w:rsidTr="00917A40">
        <w:trPr>
          <w:trHeight w:val="70"/>
        </w:trPr>
        <w:tc>
          <w:tcPr>
            <w:tcW w:w="996" w:type="pct"/>
          </w:tcPr>
          <w:p w14:paraId="6AAD4057" w14:textId="020FB47A" w:rsidR="00917A40" w:rsidRPr="00C53825" w:rsidRDefault="005F1F4A" w:rsidP="006D10FC">
            <w:pPr>
              <w:pStyle w:val="TableText"/>
              <w:ind w:left="57" w:right="57"/>
              <w:rPr>
                <w:noProof/>
                <w:lang w:eastAsia="en-GB"/>
              </w:rPr>
            </w:pPr>
            <w:r w:rsidRPr="00C53825">
              <w:fldChar w:fldCharType="begin">
                <w:fldData xml:space="preserve">PEVuZE5vdGU+PENpdGUgQXV0aG9yWWVhcj0iMSI+PEF1dGhvcj5DaGVuPC9BdXRob3I+PFllYXI+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</w:fldData>
              </w:fldChar>
            </w:r>
            <w:r w:rsidRPr="00C53825">
              <w:instrText xml:space="preserve"> ADDIN EN.CITE </w:instrText>
            </w:r>
            <w:r w:rsidRPr="00C53825">
              <w:fldChar w:fldCharType="begin">
                <w:fldData xml:space="preserve">PEVuZE5vdGU+PENpdGUgQXV0aG9yWWVhcj0iMSI+PEF1dGhvcj5DaGVuPC9BdXRob3I+PFllYXI+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</w:fldData>
              </w:fldChar>
            </w:r>
            <w:r w:rsidRPr="00C53825">
              <w:instrText xml:space="preserve"> ADDIN EN.CITE.DATA </w:instrText>
            </w:r>
            <w:r w:rsidRPr="00C53825">
              <w:fldChar w:fldCharType="end"/>
            </w:r>
            <w:r w:rsidRPr="00C53825">
              <w:fldChar w:fldCharType="separate"/>
            </w:r>
            <w:r w:rsidRPr="00C53825">
              <w:rPr>
                <w:noProof/>
              </w:rPr>
              <w:t>Chen et al. (2011)</w:t>
            </w:r>
            <w:r w:rsidRPr="00C53825">
              <w:fldChar w:fldCharType="end"/>
            </w:r>
            <w:r w:rsidR="00917A40" w:rsidRPr="00C53825">
              <w:rPr>
                <w:lang w:eastAsia="en-GB"/>
              </w:rPr>
              <w:t xml:space="preserve"> </w:t>
            </w:r>
            <w:r w:rsidR="00917A40" w:rsidRPr="00C53825">
              <w:rPr>
                <w:noProof/>
                <w:lang w:eastAsia="en-GB"/>
              </w:rPr>
              <w:t>Prospective, multicentre</w:t>
            </w:r>
          </w:p>
          <w:p w14:paraId="65D2DEB3" w14:textId="46AD0EF1" w:rsidR="00DF1899" w:rsidRPr="00C53825" w:rsidRDefault="00DF1899" w:rsidP="006D10FC">
            <w:pPr>
              <w:pStyle w:val="TableText"/>
              <w:ind w:left="57" w:right="57"/>
            </w:pPr>
            <w:r w:rsidRPr="00C53825">
              <w:rPr>
                <w:noProof/>
                <w:lang w:eastAsia="en-GB"/>
              </w:rPr>
              <w:t>Legacy</w:t>
            </w:r>
          </w:p>
        </w:tc>
        <w:tc>
          <w:tcPr>
            <w:tcW w:w="895" w:type="pct"/>
          </w:tcPr>
          <w:p w14:paraId="745C8929" w14:textId="77777777" w:rsidR="00917A40" w:rsidRPr="00C53825" w:rsidRDefault="00917A40" w:rsidP="006D10FC">
            <w:pPr>
              <w:pStyle w:val="TableText"/>
              <w:ind w:left="57" w:right="57"/>
            </w:pPr>
            <w:r w:rsidRPr="00C53825">
              <w:t>Diagnostic POCPS: n=226</w:t>
            </w:r>
          </w:p>
        </w:tc>
        <w:tc>
          <w:tcPr>
            <w:tcW w:w="762" w:type="pct"/>
          </w:tcPr>
          <w:p w14:paraId="1D06D6C5" w14:textId="77777777" w:rsidR="00917A40" w:rsidRPr="00C53825" w:rsidRDefault="00917A40" w:rsidP="006D10FC">
            <w:pPr>
              <w:pStyle w:val="TableText"/>
              <w:ind w:left="57" w:right="57"/>
            </w:pPr>
            <w:r w:rsidRPr="00C53825">
              <w:rPr>
                <w:noProof/>
                <w:lang w:eastAsia="en-GB"/>
              </w:rPr>
              <w:t>ERCP (86.2%)</w:t>
            </w:r>
          </w:p>
        </w:tc>
        <w:tc>
          <w:tcPr>
            <w:tcW w:w="859" w:type="pct"/>
            <w:shd w:val="clear" w:color="auto" w:fill="auto"/>
          </w:tcPr>
          <w:p w14:paraId="3DC9F795" w14:textId="54D08011" w:rsidR="00917A40" w:rsidRPr="00C53825" w:rsidRDefault="00917A40" w:rsidP="006D10FC">
            <w:pPr>
              <w:pStyle w:val="TableText"/>
              <w:ind w:left="57" w:right="57"/>
            </w:pPr>
            <w:r w:rsidRPr="00C53825">
              <w:t>64%; 95% CI 57-70%</w:t>
            </w:r>
          </w:p>
        </w:tc>
        <w:tc>
          <w:tcPr>
            <w:tcW w:w="631" w:type="pct"/>
          </w:tcPr>
          <w:p w14:paraId="082BEBAB" w14:textId="77777777" w:rsidR="00917A40" w:rsidRPr="00C53825" w:rsidRDefault="00917A40" w:rsidP="006D10FC">
            <w:pPr>
              <w:pStyle w:val="TableText"/>
              <w:ind w:left="57" w:right="57"/>
            </w:pPr>
            <w:r w:rsidRPr="00C53825">
              <w:t>25%</w:t>
            </w:r>
          </w:p>
        </w:tc>
        <w:tc>
          <w:tcPr>
            <w:tcW w:w="857" w:type="pct"/>
          </w:tcPr>
          <w:p w14:paraId="17FCBF1D" w14:textId="77777777" w:rsidR="00917A40" w:rsidRPr="00C53825" w:rsidRDefault="00917A40" w:rsidP="006D10FC">
            <w:pPr>
              <w:pStyle w:val="TableText"/>
              <w:ind w:left="57" w:right="57"/>
            </w:pPr>
            <w:r w:rsidRPr="00C53825">
              <w:t>NR</w:t>
            </w:r>
          </w:p>
        </w:tc>
      </w:tr>
      <w:tr w:rsidR="00917A40" w:rsidRPr="00C53825" w14:paraId="5736ACD3" w14:textId="77777777" w:rsidTr="00917A40">
        <w:trPr>
          <w:trHeight w:val="70"/>
        </w:trPr>
        <w:tc>
          <w:tcPr>
            <w:tcW w:w="996" w:type="pct"/>
          </w:tcPr>
          <w:p w14:paraId="4FEAFF6D" w14:textId="6A354660" w:rsidR="00917A40" w:rsidRPr="00C53825" w:rsidRDefault="005F1F4A" w:rsidP="006D10FC">
            <w:pPr>
              <w:pStyle w:val="TableText"/>
              <w:ind w:left="57" w:right="57"/>
              <w:rPr>
                <w:noProof/>
                <w:lang w:eastAsia="en-GB"/>
              </w:rPr>
            </w:pPr>
            <w:r w:rsidRPr="00C53825">
              <w:fldChar w:fldCharType="begin">
                <w:fldData xml:space="preserve">PEVuZE5vdGU+PENpdGUgQXV0aG9yWWVhcj0iMSI+PEF1dGhvcj5QcmF0PC9BdXRob3I+PFllYXI+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=
</w:fldData>
              </w:fldChar>
            </w:r>
            <w:r w:rsidRPr="00C53825">
              <w:instrText xml:space="preserve"> ADDIN EN.CITE </w:instrText>
            </w:r>
            <w:r w:rsidRPr="00C53825">
              <w:fldChar w:fldCharType="begin">
                <w:fldData xml:space="preserve">PEVuZE5vdGU+PENpdGUgQXV0aG9yWWVhcj0iMSI+PEF1dGhvcj5QcmF0PC9BdXRob3I+PFllYXI+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=
</w:fldData>
              </w:fldChar>
            </w:r>
            <w:r w:rsidRPr="00C53825">
              <w:instrText xml:space="preserve"> ADDIN EN.CITE.DATA </w:instrText>
            </w:r>
            <w:r w:rsidRPr="00C53825">
              <w:fldChar w:fldCharType="end"/>
            </w:r>
            <w:r w:rsidRPr="00C53825">
              <w:fldChar w:fldCharType="separate"/>
            </w:r>
            <w:r w:rsidRPr="00C53825">
              <w:rPr>
                <w:noProof/>
              </w:rPr>
              <w:t>Prat et al. (2019)</w:t>
            </w:r>
            <w:r w:rsidRPr="00C53825">
              <w:fldChar w:fldCharType="end"/>
            </w:r>
            <w:r w:rsidR="00917A40" w:rsidRPr="00C53825">
              <w:rPr>
                <w:noProof/>
                <w:lang w:eastAsia="en-GB"/>
              </w:rPr>
              <w:t xml:space="preserve"> Prospective, multicentre</w:t>
            </w:r>
          </w:p>
          <w:p w14:paraId="682DCFBE" w14:textId="1F90633C" w:rsidR="00DF1899" w:rsidRPr="00C53825" w:rsidRDefault="00DF1899" w:rsidP="006D10FC">
            <w:pPr>
              <w:pStyle w:val="TableText"/>
              <w:ind w:left="57" w:right="57"/>
            </w:pPr>
            <w:r w:rsidRPr="00C53825">
              <w:rPr>
                <w:noProof/>
                <w:lang w:eastAsia="en-GB"/>
              </w:rPr>
              <w:t>Legacy</w:t>
            </w:r>
          </w:p>
        </w:tc>
        <w:tc>
          <w:tcPr>
            <w:tcW w:w="895" w:type="pct"/>
          </w:tcPr>
          <w:p w14:paraId="1181D91E" w14:textId="77777777" w:rsidR="00917A40" w:rsidRPr="00C53825" w:rsidRDefault="00917A40" w:rsidP="006D10FC">
            <w:pPr>
              <w:pStyle w:val="TableText"/>
              <w:ind w:left="57" w:right="57"/>
            </w:pPr>
            <w:r w:rsidRPr="00C53825">
              <w:rPr>
                <w:lang w:eastAsia="en-GB"/>
              </w:rPr>
              <w:t>Indeterminate biliary strictures: n=48</w:t>
            </w:r>
          </w:p>
        </w:tc>
        <w:tc>
          <w:tcPr>
            <w:tcW w:w="762" w:type="pct"/>
          </w:tcPr>
          <w:p w14:paraId="0341C4C8" w14:textId="77777777" w:rsidR="00917A40" w:rsidRPr="00C53825" w:rsidRDefault="00917A40" w:rsidP="006D10FC">
            <w:pPr>
              <w:pStyle w:val="TableText"/>
              <w:rPr>
                <w:rFonts w:cs="Calibri"/>
              </w:rPr>
            </w:pPr>
            <w:r w:rsidRPr="00C53825">
              <w:rPr>
                <w:rFonts w:cs="Calibri"/>
              </w:rPr>
              <w:t>Inconclusive ERCP-BC ±CT/MRI</w:t>
            </w:r>
          </w:p>
          <w:p w14:paraId="0D26D69F" w14:textId="77777777" w:rsidR="00917A40" w:rsidRPr="00C53825" w:rsidRDefault="00917A40" w:rsidP="006D10FC">
            <w:pPr>
              <w:pStyle w:val="TableText"/>
              <w:ind w:left="57" w:right="57"/>
            </w:pPr>
            <w:r w:rsidRPr="00C53825">
              <w:rPr>
                <w:rFonts w:cs="Calibri"/>
              </w:rPr>
              <w:t>Not amenable to EUS-FNA</w:t>
            </w:r>
          </w:p>
        </w:tc>
        <w:tc>
          <w:tcPr>
            <w:tcW w:w="859" w:type="pct"/>
            <w:shd w:val="clear" w:color="auto" w:fill="auto"/>
          </w:tcPr>
          <w:p w14:paraId="62768F9D" w14:textId="77777777" w:rsidR="00917A40" w:rsidRPr="00C53825" w:rsidRDefault="00917A40" w:rsidP="006D10FC">
            <w:pPr>
              <w:pStyle w:val="TableText"/>
              <w:ind w:left="57" w:right="57"/>
            </w:pPr>
            <w:r w:rsidRPr="00C53825">
              <w:t>28/48 (58.3%)</w:t>
            </w:r>
          </w:p>
          <w:p w14:paraId="707667EE" w14:textId="77777777" w:rsidR="00917A40" w:rsidRPr="00C53825" w:rsidRDefault="00917A40" w:rsidP="006D10FC">
            <w:pPr>
              <w:pStyle w:val="TableText"/>
              <w:ind w:left="57" w:right="57"/>
            </w:pPr>
            <w:r w:rsidRPr="00C53825">
              <w:t>Adequate management before POCPS: 21/48 (56.2%)</w:t>
            </w:r>
          </w:p>
          <w:p w14:paraId="26043A74" w14:textId="28471578" w:rsidR="00917A40" w:rsidRPr="00C53825" w:rsidRDefault="00917A40" w:rsidP="006D10FC">
            <w:pPr>
              <w:pStyle w:val="TableText"/>
              <w:ind w:left="57" w:right="57"/>
            </w:pPr>
            <w:r w:rsidRPr="00C53825">
              <w:lastRenderedPageBreak/>
              <w:t>Adequate management after POCPS: 41/48 (85.4%)</w:t>
            </w:r>
            <w:r w:rsidR="00DF1899" w:rsidRPr="00C53825">
              <w:t>, p&lt;0.001</w:t>
            </w:r>
          </w:p>
        </w:tc>
        <w:tc>
          <w:tcPr>
            <w:tcW w:w="631" w:type="pct"/>
          </w:tcPr>
          <w:p w14:paraId="0C324601" w14:textId="77777777" w:rsidR="00917A40" w:rsidRPr="00C53825" w:rsidRDefault="00917A40" w:rsidP="00917A40">
            <w:pPr>
              <w:pStyle w:val="TableText"/>
              <w:ind w:left="57" w:right="57"/>
            </w:pPr>
            <w:r w:rsidRPr="00C53825">
              <w:lastRenderedPageBreak/>
              <w:t>26/48 (54.2%)</w:t>
            </w:r>
          </w:p>
          <w:p w14:paraId="2BA67ED6" w14:textId="005306A3" w:rsidR="00DF1899" w:rsidRPr="00C53825" w:rsidRDefault="00DF1899" w:rsidP="00917A40">
            <w:pPr>
              <w:pStyle w:val="TableText"/>
              <w:ind w:left="57" w:right="57"/>
            </w:pPr>
          </w:p>
        </w:tc>
        <w:tc>
          <w:tcPr>
            <w:tcW w:w="857" w:type="pct"/>
          </w:tcPr>
          <w:p w14:paraId="2D5CABC7" w14:textId="77777777" w:rsidR="00917A40" w:rsidRPr="00C53825" w:rsidRDefault="00917A40" w:rsidP="006D10FC">
            <w:pPr>
              <w:pStyle w:val="TableText"/>
              <w:ind w:left="57" w:right="57"/>
            </w:pPr>
            <w:r w:rsidRPr="00C53825">
              <w:t>NR</w:t>
            </w:r>
          </w:p>
        </w:tc>
      </w:tr>
      <w:tr w:rsidR="00917A40" w:rsidRPr="00C53825" w14:paraId="6C3EE1AA" w14:textId="77777777" w:rsidTr="00917A40">
        <w:trPr>
          <w:trHeight w:val="340"/>
        </w:trPr>
        <w:tc>
          <w:tcPr>
            <w:tcW w:w="996" w:type="pct"/>
          </w:tcPr>
          <w:p w14:paraId="6C72CCF9" w14:textId="41ECD4E7" w:rsidR="00917A40" w:rsidRPr="00C53825" w:rsidRDefault="005F1F4A" w:rsidP="006D10FC">
            <w:pPr>
              <w:pStyle w:val="TableText"/>
              <w:ind w:left="57" w:right="57"/>
              <w:rPr>
                <w:noProof/>
                <w:lang w:eastAsia="en-GB"/>
              </w:rPr>
            </w:pPr>
            <w:r w:rsidRPr="00C53825">
              <w:fldChar w:fldCharType="begin"/>
            </w:r>
            <w:r w:rsidRPr="00C53825">
              <w:instrText xml:space="preserve"> ADDIN EN.CITE &lt;EndNote&gt;&lt;Cite AuthorYear="1"&gt;&lt;Author&gt;Deprez&lt;/Author&gt;&lt;Year&gt;2018&lt;/Year&gt;&lt;RecNum&gt;19&lt;/RecNum&gt;&lt;DisplayText&gt;Deprez et al. (2018)&lt;/DisplayText&gt;&lt;record&gt;&lt;rec-number&gt;19&lt;/rec-number&gt;&lt;foreign-keys&gt;&lt;key app="EN" db-id="xrd5xtv9xdvftxetprq5st9c5trzx5z2xzpp" timestamp="1633407183"&gt;19&lt;/key&gt;&lt;/foreign-keys&gt;&lt;ref-type name="Journal Article"&gt;17&lt;/ref-type&gt;&lt;contributors&gt;&lt;authors&gt;&lt;author&gt;Deprez, Pierre H.&lt;/author&gt;&lt;author&gt;Garces Duran, Rodrigo&lt;/author&gt;&lt;author&gt;Moreels, Tom&lt;/author&gt;&lt;author&gt;Furneri, Gianluca&lt;/author&gt;&lt;author&gt;Demma, Federica&lt;/author&gt;&lt;author&gt;Verbeke, Len&lt;/author&gt;&lt;author&gt;Van der Merwe, Schalk W.&lt;/author&gt;&lt;author&gt;Laleman, Wim&lt;/author&gt;&lt;/authors&gt;&lt;/contributors&gt;&lt;titles&gt;&lt;title&gt;The economic impact of using single-operator cholangioscopy for the treatment of difficult bile duct stones and diagnosis of indeterminate bile duct </w:instrText>
            </w:r>
            <w:r w:rsidRPr="00C53825">
              <w:lastRenderedPageBreak/>
              <w:instrText>strictures&lt;/title&gt;&lt;secondary-title&gt;Endoscopy&lt;/secondary-title&gt;&lt;/titles&gt;&lt;periodical&gt;&lt;full-title&gt;Endoscopy&lt;/full-title&gt;&lt;/periodical&gt;&lt;pages&gt;109-118&lt;/pages&gt;&lt;volume&gt;50&lt;/volume&gt;&lt;number&gt;02&lt;/number&gt;&lt;edition&gt;24.11.2017&lt;/edition&gt;&lt;section&gt;109&lt;/section&gt;&lt;dates&gt;&lt;year&gt;2018&lt;/year&gt;&lt;pub-dates&gt;&lt;date&gt;//&amp;#xD;29.01.2018&lt;/date&gt;&lt;/pub-dates&gt;&lt;/dates&gt;&lt;isbn&gt;0013-726X DOI - 10.1055/s-0043-121268&lt;/isbn&gt;&lt;urls&gt;&lt;/urls&gt;&lt;language&gt;En&lt;/language&gt;&lt;/record&gt;&lt;/Cite&gt;&lt;/EndNote&gt;</w:instrText>
            </w:r>
            <w:r w:rsidRPr="00C53825">
              <w:fldChar w:fldCharType="separate"/>
            </w:r>
            <w:r w:rsidRPr="00C53825">
              <w:rPr>
                <w:noProof/>
              </w:rPr>
              <w:t>Deprez et al. (2018)</w:t>
            </w:r>
            <w:r w:rsidRPr="00C53825">
              <w:fldChar w:fldCharType="end"/>
            </w:r>
            <w:r w:rsidR="00917A40" w:rsidRPr="00C53825">
              <w:rPr>
                <w:noProof/>
                <w:lang w:eastAsia="en-GB"/>
              </w:rPr>
              <w:t xml:space="preserve"> </w:t>
            </w:r>
          </w:p>
          <w:p w14:paraId="6EE62D3D" w14:textId="21E3194B" w:rsidR="00917A40" w:rsidRPr="00C53825" w:rsidRDefault="00917A40" w:rsidP="006D10FC">
            <w:pPr>
              <w:pStyle w:val="TableText"/>
              <w:ind w:left="57" w:right="57"/>
              <w:rPr>
                <w:noProof/>
                <w:lang w:eastAsia="en-GB"/>
              </w:rPr>
            </w:pPr>
            <w:r w:rsidRPr="00C53825">
              <w:rPr>
                <w:noProof/>
                <w:lang w:eastAsia="en-GB"/>
              </w:rPr>
              <w:t>Cost</w:t>
            </w:r>
            <w:r w:rsidR="00DF1899" w:rsidRPr="00C53825">
              <w:rPr>
                <w:noProof/>
                <w:lang w:eastAsia="en-GB"/>
              </w:rPr>
              <w:t>-</w:t>
            </w:r>
            <w:r w:rsidRPr="00C53825">
              <w:rPr>
                <w:noProof/>
                <w:lang w:eastAsia="en-GB"/>
              </w:rPr>
              <w:t>effectivenss study</w:t>
            </w:r>
          </w:p>
          <w:p w14:paraId="6790ED55" w14:textId="4EF79B66" w:rsidR="00917A40" w:rsidRPr="00C53825" w:rsidRDefault="00917A40" w:rsidP="006D10FC">
            <w:pPr>
              <w:pStyle w:val="TableText"/>
              <w:ind w:left="57" w:right="57"/>
              <w:rPr>
                <w:lang w:eastAsia="en-GB"/>
              </w:rPr>
            </w:pPr>
            <w:r w:rsidRPr="00C53825">
              <w:rPr>
                <w:noProof/>
                <w:lang w:eastAsia="en-GB"/>
              </w:rPr>
              <w:t>NR</w:t>
            </w:r>
          </w:p>
        </w:tc>
        <w:tc>
          <w:tcPr>
            <w:tcW w:w="895" w:type="pct"/>
          </w:tcPr>
          <w:p w14:paraId="54C351C0" w14:textId="77777777" w:rsidR="00917A40" w:rsidRPr="00C53825" w:rsidRDefault="00917A40" w:rsidP="006D10FC">
            <w:pPr>
              <w:pStyle w:val="TableText"/>
              <w:ind w:left="57" w:right="57"/>
              <w:rPr>
                <w:lang w:eastAsia="en-GB"/>
              </w:rPr>
            </w:pPr>
            <w:r w:rsidRPr="00C53825">
              <w:rPr>
                <w:noProof/>
                <w:lang w:eastAsia="en-GB"/>
              </w:rPr>
              <w:lastRenderedPageBreak/>
              <w:t>NR</w:t>
            </w:r>
          </w:p>
        </w:tc>
        <w:tc>
          <w:tcPr>
            <w:tcW w:w="762" w:type="pct"/>
          </w:tcPr>
          <w:p w14:paraId="64241BB9" w14:textId="77777777" w:rsidR="00917A40" w:rsidRPr="00C53825" w:rsidRDefault="00917A40" w:rsidP="006D10FC">
            <w:pPr>
              <w:pStyle w:val="TableText"/>
              <w:ind w:left="57" w:right="57"/>
              <w:rPr>
                <w:lang w:eastAsia="en-GB"/>
              </w:rPr>
            </w:pPr>
            <w:r w:rsidRPr="00C53825">
              <w:rPr>
                <w:lang w:eastAsia="en-GB"/>
              </w:rPr>
              <w:t>ERCP</w:t>
            </w:r>
          </w:p>
        </w:tc>
        <w:tc>
          <w:tcPr>
            <w:tcW w:w="859" w:type="pct"/>
            <w:shd w:val="clear" w:color="auto" w:fill="auto"/>
          </w:tcPr>
          <w:p w14:paraId="58487467" w14:textId="77777777" w:rsidR="00917A40" w:rsidRPr="00C53825" w:rsidRDefault="00917A40" w:rsidP="006D10FC">
            <w:pPr>
              <w:pStyle w:val="TableText"/>
              <w:ind w:left="57" w:right="57"/>
            </w:pPr>
            <w:r w:rsidRPr="00C53825">
              <w:t>NR</w:t>
            </w:r>
          </w:p>
        </w:tc>
        <w:tc>
          <w:tcPr>
            <w:tcW w:w="631" w:type="pct"/>
          </w:tcPr>
          <w:p w14:paraId="6EA67858" w14:textId="77777777" w:rsidR="00917A40" w:rsidRPr="00C53825" w:rsidRDefault="00917A40" w:rsidP="006D10FC">
            <w:pPr>
              <w:pStyle w:val="TableText"/>
              <w:ind w:left="57" w:right="57"/>
            </w:pPr>
            <w:r w:rsidRPr="00C53825">
              <w:t>NR</w:t>
            </w:r>
          </w:p>
        </w:tc>
        <w:tc>
          <w:tcPr>
            <w:tcW w:w="857" w:type="pct"/>
          </w:tcPr>
          <w:p w14:paraId="241D47AA" w14:textId="77777777" w:rsidR="00917A40" w:rsidRPr="00C53825" w:rsidRDefault="00917A40" w:rsidP="0069725D">
            <w:pPr>
              <w:pStyle w:val="TableText"/>
              <w:ind w:left="57" w:right="57"/>
            </w:pPr>
            <w:r w:rsidRPr="00C53825">
              <w:t>Diagnostic procedures:   -22%</w:t>
            </w:r>
          </w:p>
          <w:p w14:paraId="12530BA5" w14:textId="77777777" w:rsidR="00917A40" w:rsidRPr="00C53825" w:rsidRDefault="00917A40" w:rsidP="0069725D">
            <w:pPr>
              <w:pStyle w:val="TableText"/>
              <w:ind w:left="57" w:right="57"/>
            </w:pPr>
            <w:r w:rsidRPr="00C53825">
              <w:t>Surgical procedures:       -91%</w:t>
            </w:r>
          </w:p>
          <w:p w14:paraId="16F265FA" w14:textId="77777777" w:rsidR="00917A40" w:rsidRPr="00C53825" w:rsidRDefault="00917A40" w:rsidP="0069725D">
            <w:pPr>
              <w:pStyle w:val="TableText"/>
              <w:ind w:left="57" w:right="57"/>
            </w:pPr>
            <w:r w:rsidRPr="00C53825">
              <w:t>Total procedures: -31%</w:t>
            </w:r>
          </w:p>
        </w:tc>
      </w:tr>
    </w:tbl>
    <w:p w14:paraId="4364194A" w14:textId="34D6275A" w:rsidR="00917A40" w:rsidRPr="0086546C" w:rsidRDefault="00917A40" w:rsidP="00DF1899">
      <w:pPr>
        <w:pStyle w:val="Tablenotes"/>
      </w:pPr>
      <w:r w:rsidRPr="0005649D">
        <w:t>Abbreviations:</w:t>
      </w:r>
      <w:r w:rsidR="007E40C0">
        <w:t xml:space="preserve"> CI=confidence interval;</w:t>
      </w:r>
      <w:r w:rsidRPr="0005649D">
        <w:t xml:space="preserve"> </w:t>
      </w:r>
      <w:r w:rsidRPr="001A4E5B">
        <w:t xml:space="preserve">ERCP = </w:t>
      </w:r>
      <w:r w:rsidRPr="0005649D">
        <w:t>endoscopic</w:t>
      </w:r>
      <w:r w:rsidRPr="001A4E5B">
        <w:t xml:space="preserve"> retrograde cholangiopancreatography</w:t>
      </w:r>
      <w:r>
        <w:t xml:space="preserve">; EUS-FNA= </w:t>
      </w:r>
      <w:r w:rsidRPr="002A5A0B">
        <w:t>endoscopic ultrasound</w:t>
      </w:r>
      <w:r>
        <w:t xml:space="preserve">; </w:t>
      </w:r>
      <w:r w:rsidRPr="0005649D">
        <w:t>N = number of participants</w:t>
      </w:r>
      <w:r>
        <w:t xml:space="preserve">; NR = not reported; </w:t>
      </w:r>
      <w:r w:rsidRPr="001A4E5B">
        <w:t>POCPS</w:t>
      </w:r>
      <w:r>
        <w:t>-V/B</w:t>
      </w:r>
      <w:r w:rsidRPr="001A4E5B">
        <w:t xml:space="preserve">= </w:t>
      </w:r>
      <w:r w:rsidRPr="0005649D">
        <w:t xml:space="preserve">single </w:t>
      </w:r>
      <w:r w:rsidRPr="001A4E5B">
        <w:t>operator, single use, peroral</w:t>
      </w:r>
      <w:r>
        <w:t xml:space="preserve"> </w:t>
      </w:r>
      <w:r w:rsidRPr="001A4E5B">
        <w:t>cholangiopancreatoscopy</w:t>
      </w:r>
      <w:r w:rsidRPr="00E42C8D">
        <w:t xml:space="preserve">-guided </w:t>
      </w:r>
      <w:r>
        <w:t>visualisation/biopsy</w:t>
      </w:r>
    </w:p>
    <w:p w14:paraId="02076388" w14:textId="77777777" w:rsidR="00917A40" w:rsidRDefault="00917A40" w:rsidP="00DF1899">
      <w:pPr>
        <w:pStyle w:val="Tablenotes"/>
      </w:pPr>
      <w:r w:rsidRPr="0005649D">
        <w:t xml:space="preserve">single </w:t>
      </w:r>
      <w:r w:rsidRPr="001A4E5B">
        <w:t>operator, single use, peroral</w:t>
      </w:r>
      <w:r>
        <w:t xml:space="preserve"> </w:t>
      </w:r>
      <w:r w:rsidRPr="001A4E5B">
        <w:t>cholangiopancreatoscopy</w:t>
      </w:r>
      <w:r w:rsidRPr="00E42C8D">
        <w:t xml:space="preserve">-guided </w:t>
      </w:r>
      <w:r>
        <w:t>visualisation/biopsy</w:t>
      </w:r>
    </w:p>
    <w:p w14:paraId="49AB4312" w14:textId="6F6AD06D" w:rsidR="00DF1899" w:rsidRDefault="00DF1899" w:rsidP="00DF1899">
      <w:pPr>
        <w:pStyle w:val="Tablenotes"/>
      </w:pPr>
      <w:r>
        <w:t>Source: Table 77 of the ADAR. Edits and corrections to the original table are marked in italics.</w:t>
      </w:r>
    </w:p>
    <w:p w14:paraId="7CE81D9D" w14:textId="1B0D9AA4" w:rsidR="002265CA" w:rsidRPr="00C53825" w:rsidRDefault="00DF1899" w:rsidP="008903D3">
      <w:pPr>
        <w:spacing w:after="240"/>
      </w:pPr>
      <w:r w:rsidRPr="00C53825">
        <w:t xml:space="preserve">No comparative evidence for the change of management was identified. </w:t>
      </w:r>
      <w:r w:rsidR="00C53825" w:rsidRPr="00C53825">
        <w:t>The commentary considered that t</w:t>
      </w:r>
      <w:r w:rsidRPr="00C53825">
        <w:t xml:space="preserve">here is a large amount of uncertainty in the interpretation of the presented evidence and its applicability to the </w:t>
      </w:r>
      <w:r w:rsidR="00FE0279" w:rsidRPr="00C53825">
        <w:t>Australian context</w:t>
      </w:r>
      <w:r w:rsidR="00B34577" w:rsidRPr="00C53825">
        <w:t xml:space="preserve">. In particular, </w:t>
      </w:r>
      <w:r w:rsidR="00102A99" w:rsidRPr="00C53825">
        <w:t xml:space="preserve">Australian practice might be different in terms of </w:t>
      </w:r>
      <w:r w:rsidR="00D2408B" w:rsidRPr="00C53825">
        <w:t xml:space="preserve">next steps depending on the clinician’s judgement of </w:t>
      </w:r>
      <w:r w:rsidR="00AA3F89" w:rsidRPr="00C53825">
        <w:t xml:space="preserve">the likelihood of a </w:t>
      </w:r>
      <w:r w:rsidR="00D2408B" w:rsidRPr="00C53825">
        <w:t>malignan</w:t>
      </w:r>
      <w:r w:rsidR="00AA3F89" w:rsidRPr="00C53825">
        <w:t>t cause</w:t>
      </w:r>
      <w:r w:rsidR="00B34577" w:rsidRPr="00C53825">
        <w:t xml:space="preserve">, </w:t>
      </w:r>
      <w:r w:rsidR="00FE0279" w:rsidRPr="00C53825">
        <w:t>and to the population of interest to this ADAR (i.e., patients with a prior failed ERCP attempt at biopsy/cytology).</w:t>
      </w:r>
    </w:p>
    <w:p w14:paraId="20D1A50C" w14:textId="46BA8D99" w:rsidR="00A60D0A" w:rsidRDefault="007E40C0" w:rsidP="008903D3">
      <w:pPr>
        <w:spacing w:after="240"/>
      </w:pPr>
      <w:r>
        <w:t>The ADAR makes a claim that linked health outcomes identified in the submission are the following:</w:t>
      </w:r>
    </w:p>
    <w:p w14:paraId="7DD70284" w14:textId="1F198742" w:rsidR="007E40C0" w:rsidRDefault="007E40C0" w:rsidP="00286269">
      <w:pPr>
        <w:pStyle w:val="ListParagraph"/>
        <w:numPr>
          <w:ilvl w:val="0"/>
          <w:numId w:val="17"/>
        </w:numPr>
        <w:spacing w:after="240"/>
      </w:pPr>
      <w:r>
        <w:t>Avoided repeated procedures</w:t>
      </w:r>
    </w:p>
    <w:p w14:paraId="3166A693" w14:textId="710EEA86" w:rsidR="007E40C0" w:rsidRDefault="007E40C0" w:rsidP="00286269">
      <w:pPr>
        <w:pStyle w:val="ListParagraph"/>
        <w:numPr>
          <w:ilvl w:val="0"/>
          <w:numId w:val="17"/>
        </w:numPr>
        <w:spacing w:after="240"/>
      </w:pPr>
      <w:r>
        <w:t>Avoided delays in treatment</w:t>
      </w:r>
    </w:p>
    <w:p w14:paraId="6447FB4E" w14:textId="0C7EF801" w:rsidR="007E40C0" w:rsidRDefault="007E40C0" w:rsidP="00286269">
      <w:pPr>
        <w:pStyle w:val="ListParagraph"/>
        <w:numPr>
          <w:ilvl w:val="0"/>
          <w:numId w:val="17"/>
        </w:numPr>
        <w:spacing w:after="240"/>
      </w:pPr>
      <w:r>
        <w:t>Avoided unnecessary surgical resection.</w:t>
      </w:r>
    </w:p>
    <w:p w14:paraId="204F6044" w14:textId="7DFD082A" w:rsidR="007E40C0" w:rsidRPr="00C53825" w:rsidRDefault="007E40C0" w:rsidP="008903D3">
      <w:pPr>
        <w:spacing w:after="240"/>
      </w:pPr>
      <w:r w:rsidRPr="00C53825">
        <w:t xml:space="preserve">However, no evidence is presented in Section 2B.7 to </w:t>
      </w:r>
      <w:r w:rsidR="00C83F59" w:rsidRPr="00C53825">
        <w:t xml:space="preserve">directly </w:t>
      </w:r>
      <w:r w:rsidRPr="00C53825">
        <w:t>support this claim.</w:t>
      </w:r>
    </w:p>
    <w:p w14:paraId="48C8B48F" w14:textId="1C5DCB12" w:rsidR="00ED0F96" w:rsidRDefault="00C53825" w:rsidP="00ED0F96">
      <w:pPr>
        <w:spacing w:after="240"/>
      </w:pPr>
      <w:r w:rsidRPr="00C53825">
        <w:lastRenderedPageBreak/>
        <w:t>The commentary considered t</w:t>
      </w:r>
      <w:r w:rsidR="00C83F59" w:rsidRPr="00C53825">
        <w:t xml:space="preserve">he linked evidence approach in the ADAR does not integrate the individual steps into a </w:t>
      </w:r>
      <w:r w:rsidR="006D53BB" w:rsidRPr="00C53825">
        <w:t>coherent</w:t>
      </w:r>
      <w:r w:rsidR="00C83F59" w:rsidRPr="00C53825">
        <w:t xml:space="preserve"> argument to support its clinical claim for the investigative application.</w:t>
      </w:r>
      <w:r>
        <w:rPr>
          <w:i/>
          <w:iCs/>
        </w:rPr>
        <w:t xml:space="preserve"> </w:t>
      </w:r>
      <w:r>
        <w:t xml:space="preserve">The pre-ESC response claimed </w:t>
      </w:r>
      <w:r w:rsidRPr="00C53825">
        <w:t>POCPS-guided visualisation and biopsy results in superior effectiveness compared with ERCP-guided brush cytology and/or intraductal biopsy</w:t>
      </w:r>
      <w:r>
        <w:t xml:space="preserve"> and provid</w:t>
      </w:r>
      <w:r w:rsidR="00180F79">
        <w:t>ing superior accuracy and</w:t>
      </w:r>
      <w:r w:rsidR="00180F79" w:rsidRPr="00180F79">
        <w:t xml:space="preserve"> a reduced number of inconclusive test results</w:t>
      </w:r>
      <w:r w:rsidR="00180F79">
        <w:t xml:space="preserve">. The pre-ESC response considered that this would </w:t>
      </w:r>
      <w:r w:rsidR="00180F79" w:rsidRPr="00180F79">
        <w:t>result in a significant change in the management of patients</w:t>
      </w:r>
      <w:r w:rsidR="00180F79">
        <w:t xml:space="preserve"> </w:t>
      </w:r>
      <w:r w:rsidR="00180F79" w:rsidRPr="00180F79">
        <w:t>including a reduction in repeated diagnostic procedures and unnecessary surgical resection of benign strictures. These outcomes have numerous health impacts on patients including a reduction in a range of adverse events and delays in diagnosing malignancy which can place patient</w:t>
      </w:r>
      <w:r w:rsidR="00112FA6">
        <w:t xml:space="preserve"> at greater risk of a worse clinical outcome. </w:t>
      </w:r>
    </w:p>
    <w:p w14:paraId="75BB824E" w14:textId="1A8DB0EA" w:rsidR="006A7B65" w:rsidRPr="00223664" w:rsidRDefault="006A7B65" w:rsidP="00ED0F96">
      <w:pPr>
        <w:spacing w:after="240"/>
        <w:rPr>
          <w:b/>
          <w:bCs/>
        </w:rPr>
      </w:pPr>
      <w:r w:rsidRPr="00223664">
        <w:rPr>
          <w:b/>
          <w:bCs/>
        </w:rPr>
        <w:t>Clinical claim</w:t>
      </w:r>
    </w:p>
    <w:p w14:paraId="7344DFC2" w14:textId="77777777" w:rsidR="007D2334" w:rsidRDefault="007D2334" w:rsidP="007D2334">
      <w:pPr>
        <w:pStyle w:val="Heading3"/>
      </w:pPr>
      <w:r>
        <w:t>Therapeutic application</w:t>
      </w:r>
    </w:p>
    <w:p w14:paraId="031E2707" w14:textId="52C5BD1E" w:rsidR="007D2334" w:rsidRPr="00EA4BF1" w:rsidRDefault="007D2334" w:rsidP="008903D3">
      <w:pPr>
        <w:spacing w:after="240"/>
      </w:pPr>
      <w:r w:rsidRPr="007D2334">
        <w:t xml:space="preserve">The </w:t>
      </w:r>
      <w:r>
        <w:t xml:space="preserve">ADAR </w:t>
      </w:r>
      <w:r w:rsidR="00FE2E93">
        <w:t>claimed that</w:t>
      </w:r>
      <w:r w:rsidRPr="007D2334">
        <w:t xml:space="preserve"> POCPS-guided LL/EHL results in superior effectiveness compared with ERCP-guided mechanical lithotripsy and laparoscopic choledochotomy. </w:t>
      </w:r>
    </w:p>
    <w:p w14:paraId="274083A8" w14:textId="6ABC5114" w:rsidR="00EA4BF1" w:rsidRPr="005147E7" w:rsidRDefault="00EA4BF1" w:rsidP="008903D3">
      <w:pPr>
        <w:spacing w:after="240"/>
      </w:pPr>
      <w:r w:rsidRPr="005147E7">
        <w:t>The</w:t>
      </w:r>
      <w:r w:rsidR="005147E7" w:rsidRPr="005147E7">
        <w:t xml:space="preserve"> commentary considered the</w:t>
      </w:r>
      <w:r w:rsidRPr="005147E7">
        <w:t xml:space="preserve"> clinical effectiveness claim for Comparator 2 (laparoscopic choledochotomy) is not supported by the evidence. The pivotal study by </w:t>
      </w:r>
      <w:r w:rsidR="005F1F4A" w:rsidRPr="005147E7">
        <w:fldChar w:fldCharType="begin">
          <w:fldData xml:space="preserve">PEVuZE5vdGU+PENpdGUgQXV0aG9yWWVhcj0iMSI+PEF1dGhvcj5MaTwvQXV0aG9yPjxZZWFyPjIw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</w:fldData>
        </w:fldChar>
      </w:r>
      <w:r w:rsidR="005F1F4A" w:rsidRPr="005147E7">
        <w:instrText xml:space="preserve"> ADDIN EN.CITE </w:instrText>
      </w:r>
      <w:r w:rsidR="005F1F4A" w:rsidRPr="005147E7">
        <w:fldChar w:fldCharType="begin">
          <w:fldData xml:space="preserve">PEVuZE5vdGU+PENpdGUgQXV0aG9yWWVhcj0iMSI+PEF1dGhvcj5MaTwvQXV0aG9yPjxZZWFyPjIw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</w:fldData>
        </w:fldChar>
      </w:r>
      <w:r w:rsidR="005F1F4A" w:rsidRPr="005147E7">
        <w:instrText xml:space="preserve"> ADDIN EN.CITE.DATA </w:instrText>
      </w:r>
      <w:r w:rsidR="005F1F4A" w:rsidRPr="005147E7">
        <w:fldChar w:fldCharType="end"/>
      </w:r>
      <w:r w:rsidR="005F1F4A" w:rsidRPr="005147E7">
        <w:fldChar w:fldCharType="separate"/>
      </w:r>
      <w:r w:rsidR="005F1F4A" w:rsidRPr="005147E7">
        <w:rPr>
          <w:noProof/>
        </w:rPr>
        <w:t>Li et al. (2021)</w:t>
      </w:r>
      <w:r w:rsidR="005F1F4A" w:rsidRPr="005147E7">
        <w:fldChar w:fldCharType="end"/>
      </w:r>
      <w:r w:rsidRPr="005147E7">
        <w:t>, presented as the only evidence for Comparator 2, was a non-inferiority study. Therefore, only a non-inferiority claim can be made.</w:t>
      </w:r>
      <w:r w:rsidR="005147E7">
        <w:t xml:space="preserve"> </w:t>
      </w:r>
    </w:p>
    <w:p w14:paraId="5B5981A7" w14:textId="7FB9E8BD" w:rsidR="00EA4BF1" w:rsidRDefault="00FE2E93" w:rsidP="008903D3">
      <w:pPr>
        <w:spacing w:after="240"/>
        <w:rPr>
          <w:i/>
          <w:iCs/>
        </w:rPr>
      </w:pPr>
      <w:r w:rsidRPr="007D2334">
        <w:t xml:space="preserve">The </w:t>
      </w:r>
      <w:r>
        <w:t>ADAR claimed</w:t>
      </w:r>
      <w:r w:rsidRPr="007D2334">
        <w:t xml:space="preserve"> POCPS-guided LL/EHL results in non-inferior safety compared with ERCP-guided mechanical lithotripsy and superior safety compared with laparoscopic choledochotomy.</w:t>
      </w:r>
      <w:r>
        <w:t xml:space="preserve"> </w:t>
      </w:r>
      <w:r w:rsidR="00EA4BF1" w:rsidRPr="00B677EF">
        <w:t xml:space="preserve">The </w:t>
      </w:r>
      <w:r w:rsidR="00E206C3" w:rsidRPr="00B677EF">
        <w:t>commentary considered the</w:t>
      </w:r>
      <w:r w:rsidR="00BC6BD3">
        <w:t xml:space="preserve"> claim</w:t>
      </w:r>
      <w:r w:rsidR="00E206C3" w:rsidRPr="00B677EF">
        <w:t xml:space="preserve"> of superior </w:t>
      </w:r>
      <w:r w:rsidR="00EA4BF1" w:rsidRPr="00B677EF">
        <w:t xml:space="preserve">safety </w:t>
      </w:r>
      <w:r w:rsidR="00E206C3" w:rsidRPr="00B677EF">
        <w:t xml:space="preserve">compared with </w:t>
      </w:r>
      <w:r w:rsidR="00EA4BF1" w:rsidRPr="00B677EF">
        <w:t>laparoscopic choledochotomy</w:t>
      </w:r>
      <w:r w:rsidR="00E206C3" w:rsidRPr="00B677EF">
        <w:t xml:space="preserve"> was not supported </w:t>
      </w:r>
      <w:r w:rsidR="00EA4BF1" w:rsidRPr="00B677EF">
        <w:t xml:space="preserve">by the evidence. </w:t>
      </w:r>
      <w:r w:rsidR="00E206C3" w:rsidRPr="00B677EF">
        <w:t>There were n</w:t>
      </w:r>
      <w:r w:rsidR="00EA4BF1" w:rsidRPr="00B677EF">
        <w:t xml:space="preserve">o statistically significant differences in the safety of POCPS-LL </w:t>
      </w:r>
      <w:r w:rsidR="00A60D0A" w:rsidRPr="00B677EF">
        <w:t>versus</w:t>
      </w:r>
      <w:r w:rsidR="00EA4BF1" w:rsidRPr="00B677EF">
        <w:t xml:space="preserve"> laparoscopic choledochotomy</w:t>
      </w:r>
      <w:r w:rsidR="00E206C3" w:rsidRPr="00B677EF">
        <w:t xml:space="preserve"> and the</w:t>
      </w:r>
      <w:r w:rsidR="00EA4BF1" w:rsidRPr="00B677EF">
        <w:t xml:space="preserve"> evidence was of very low quality. </w:t>
      </w:r>
      <w:r w:rsidR="00E206C3" w:rsidRPr="00B677EF">
        <w:t>The</w:t>
      </w:r>
      <w:r w:rsidR="00EA4BF1" w:rsidRPr="00B677EF">
        <w:t xml:space="preserve"> </w:t>
      </w:r>
      <w:r w:rsidR="00E206C3" w:rsidRPr="00B677EF">
        <w:t xml:space="preserve">commentary considered the </w:t>
      </w:r>
      <w:r w:rsidR="00EA4BF1" w:rsidRPr="00B677EF">
        <w:t xml:space="preserve">claim should be revised </w:t>
      </w:r>
      <w:r w:rsidR="00B677EF" w:rsidRPr="00B677EF">
        <w:t>to</w:t>
      </w:r>
      <w:r w:rsidR="00EA4BF1" w:rsidRPr="00B677EF">
        <w:t xml:space="preserve"> non-inferior</w:t>
      </w:r>
      <w:r w:rsidR="00B677EF" w:rsidRPr="00B677EF">
        <w:t xml:space="preserve"> safety</w:t>
      </w:r>
      <w:r w:rsidR="00EA4BF1" w:rsidRPr="00B677EF">
        <w:t>.</w:t>
      </w:r>
    </w:p>
    <w:p w14:paraId="13E70F7A" w14:textId="30A027CC" w:rsidR="00B677EF" w:rsidRPr="0060269D" w:rsidRDefault="00B677EF" w:rsidP="008903D3">
      <w:pPr>
        <w:spacing w:after="240"/>
      </w:pPr>
      <w:r w:rsidRPr="0060269D">
        <w:t>The pre-ESC response accepted the claim of non-inferiority compared with laparoscopic choledochotomy but highlighted that there may be other benefits such as shorter length of hospitalisation and quality of life.</w:t>
      </w:r>
      <w:r w:rsidR="0060269D">
        <w:t xml:space="preserve"> The pre-ESC response claimed </w:t>
      </w:r>
      <w:r w:rsidR="0060269D" w:rsidRPr="0060269D">
        <w:t xml:space="preserve">patients would typically </w:t>
      </w:r>
      <w:r w:rsidR="0060269D">
        <w:t xml:space="preserve">undergo </w:t>
      </w:r>
      <w:r w:rsidR="0005709A">
        <w:t xml:space="preserve">a </w:t>
      </w:r>
      <w:r w:rsidR="0060269D" w:rsidRPr="0060269D">
        <w:t>repeat  endoscopic extraction attempt three times before they are referred to  surgery</w:t>
      </w:r>
      <w:r w:rsidR="0005709A">
        <w:t xml:space="preserve"> as</w:t>
      </w:r>
      <w:r w:rsidR="0060269D" w:rsidRPr="0060269D">
        <w:t xml:space="preserve"> i</w:t>
      </w:r>
      <w:r w:rsidR="0060269D">
        <w:t xml:space="preserve">t is </w:t>
      </w:r>
      <w:r w:rsidR="0060269D" w:rsidRPr="0060269D">
        <w:t>kept as a last resource</w:t>
      </w:r>
      <w:r w:rsidR="0005709A">
        <w:t>,</w:t>
      </w:r>
      <w:r w:rsidR="0060269D" w:rsidRPr="0060269D">
        <w:t xml:space="preserve"> only attempted when no </w:t>
      </w:r>
      <w:r w:rsidR="0005709A">
        <w:t xml:space="preserve">other </w:t>
      </w:r>
      <w:r w:rsidR="0060269D" w:rsidRPr="0060269D">
        <w:t xml:space="preserve">non-invasive procedures </w:t>
      </w:r>
      <w:r w:rsidR="0005709A">
        <w:t>are</w:t>
      </w:r>
      <w:r w:rsidR="00BC6BD3">
        <w:t xml:space="preserve"> </w:t>
      </w:r>
      <w:r w:rsidR="0005709A">
        <w:t>possible</w:t>
      </w:r>
      <w:r w:rsidR="0060269D">
        <w:t xml:space="preserve">. </w:t>
      </w:r>
    </w:p>
    <w:p w14:paraId="79B0B9DD" w14:textId="35CE0B86" w:rsidR="0060269D" w:rsidRPr="0060269D" w:rsidRDefault="0060269D" w:rsidP="008903D3">
      <w:pPr>
        <w:spacing w:after="240"/>
      </w:pPr>
      <w:r w:rsidRPr="0060269D">
        <w:t>The commentary considered that it was unclear whether the same clinical claim holds for POCPS-guided EHL as no comparative evidence for POCPS-guided EHL was identified.</w:t>
      </w:r>
    </w:p>
    <w:p w14:paraId="1D33B7DD" w14:textId="77777777" w:rsidR="00EA4BF1" w:rsidRDefault="00EA4BF1" w:rsidP="00EA4BF1">
      <w:pPr>
        <w:pStyle w:val="Heading3"/>
      </w:pPr>
      <w:r>
        <w:t>Investigative application</w:t>
      </w:r>
    </w:p>
    <w:p w14:paraId="1B2CBA30" w14:textId="5D01FAFA" w:rsidR="005E4433" w:rsidRPr="0005649D" w:rsidRDefault="005E4433" w:rsidP="008903D3">
      <w:pPr>
        <w:spacing w:after="240"/>
      </w:pPr>
      <w:r w:rsidRPr="0005649D">
        <w:t xml:space="preserve">The use of POCPS-guided visualisation and biopsy results in superior effectiveness compared with </w:t>
      </w:r>
      <w:r>
        <w:t>ERCP-guided brush cytology and/or intraductal biopsy</w:t>
      </w:r>
      <w:r w:rsidRPr="0005649D">
        <w:t>.</w:t>
      </w:r>
    </w:p>
    <w:p w14:paraId="1DEF7232" w14:textId="77777777" w:rsidR="005E4433" w:rsidRPr="0005649D" w:rsidRDefault="005E4433" w:rsidP="008903D3">
      <w:pPr>
        <w:spacing w:after="240"/>
      </w:pPr>
      <w:r w:rsidRPr="0005649D">
        <w:t>The use of POCPS-guided visualisation and biopsy results in non</w:t>
      </w:r>
      <w:r>
        <w:t>-inferior</w:t>
      </w:r>
      <w:r w:rsidRPr="0005649D">
        <w:t xml:space="preserve"> safety compared with </w:t>
      </w:r>
      <w:r>
        <w:t>ERCP-guided brush cytology and/or intraductal biopsy</w:t>
      </w:r>
      <w:r w:rsidRPr="0005649D">
        <w:t xml:space="preserve">. </w:t>
      </w:r>
    </w:p>
    <w:p w14:paraId="48E59D7D" w14:textId="7CCEF2D9" w:rsidR="005E4433" w:rsidRPr="00A235E1" w:rsidRDefault="005E4433" w:rsidP="008903D3">
      <w:pPr>
        <w:spacing w:after="240"/>
      </w:pPr>
      <w:r w:rsidRPr="00A235E1">
        <w:t xml:space="preserve">The </w:t>
      </w:r>
      <w:r w:rsidR="00A235E1" w:rsidRPr="00A235E1">
        <w:t xml:space="preserve">commentary considered the </w:t>
      </w:r>
      <w:r w:rsidRPr="00A235E1">
        <w:t>claim for superior effectiveness may need to be revised from superior to non-inferior, given concerns about the consistency, applicability, and overall certainty of the very low-quality evidence identified.</w:t>
      </w:r>
    </w:p>
    <w:p w14:paraId="2BD7A166" w14:textId="4FFFB427" w:rsidR="005E4433" w:rsidRPr="00A235E1" w:rsidRDefault="005E4433" w:rsidP="008903D3">
      <w:pPr>
        <w:spacing w:after="240"/>
      </w:pPr>
      <w:r w:rsidRPr="00A235E1">
        <w:t xml:space="preserve">The </w:t>
      </w:r>
      <w:r w:rsidR="00A235E1" w:rsidRPr="00A235E1">
        <w:t xml:space="preserve">commentary considered that the </w:t>
      </w:r>
      <w:r w:rsidRPr="00A235E1">
        <w:t>clinical claim of non-inferior safety is likely appropriate.</w:t>
      </w:r>
    </w:p>
    <w:p w14:paraId="2722EDCD" w14:textId="706BFC41" w:rsidR="005C7A0D" w:rsidRPr="00CE28E3" w:rsidRDefault="005C7A0D" w:rsidP="005C7A0D">
      <w:pPr>
        <w:pStyle w:val="Heading2"/>
      </w:pPr>
      <w:bookmarkStart w:id="105" w:name="_Toc69491425"/>
      <w:r>
        <w:lastRenderedPageBreak/>
        <w:t>1</w:t>
      </w:r>
      <w:r w:rsidR="0015035D">
        <w:t>3</w:t>
      </w:r>
      <w:r>
        <w:t>.</w:t>
      </w:r>
      <w:r>
        <w:tab/>
      </w:r>
      <w:r w:rsidRPr="00CE28E3">
        <w:t>Economic evaluation</w:t>
      </w:r>
      <w:bookmarkEnd w:id="105"/>
    </w:p>
    <w:p w14:paraId="6DF40F36" w14:textId="2E50BF61" w:rsidR="007B6DDB" w:rsidRDefault="007B6DDB" w:rsidP="54C1B43C">
      <w:pPr>
        <w:pStyle w:val="Heading3"/>
      </w:pPr>
      <w:r>
        <w:t>Overview and rationale of the economic evaluation</w:t>
      </w:r>
    </w:p>
    <w:p w14:paraId="2678D688" w14:textId="77777777" w:rsidR="007B6DDB" w:rsidRDefault="007B6DDB" w:rsidP="007B6DDB">
      <w:pPr>
        <w:pStyle w:val="Heading4"/>
      </w:pPr>
      <w:r>
        <w:t>Therapeutic application</w:t>
      </w:r>
    </w:p>
    <w:p w14:paraId="74E36FF1" w14:textId="4D250D29" w:rsidR="007B6DDB" w:rsidRDefault="007B6DDB" w:rsidP="008903D3">
      <w:pPr>
        <w:spacing w:after="240"/>
      </w:pPr>
      <w:r>
        <w:t xml:space="preserve">This </w:t>
      </w:r>
      <w:r w:rsidR="008D4CFA">
        <w:t>ADAR</w:t>
      </w:r>
      <w:r>
        <w:t xml:space="preserve"> present</w:t>
      </w:r>
      <w:r w:rsidR="008D4CFA">
        <w:t>ed</w:t>
      </w:r>
      <w:r>
        <w:t xml:space="preserve"> a CEA to assess the value of POCPS-guided EHL/LL compared to</w:t>
      </w:r>
      <w:r w:rsidRPr="00E93A65">
        <w:t xml:space="preserve"> ERCP-guided mechanical lithotripsy</w:t>
      </w:r>
      <w:r>
        <w:t xml:space="preserve"> and</w:t>
      </w:r>
      <w:r w:rsidRPr="00E93A65">
        <w:t xml:space="preserve"> </w:t>
      </w:r>
      <w:r>
        <w:t>l</w:t>
      </w:r>
      <w:r w:rsidRPr="0006390F">
        <w:t xml:space="preserve">aparoscopic </w:t>
      </w:r>
      <w:r>
        <w:t>c</w:t>
      </w:r>
      <w:r w:rsidRPr="0006390F">
        <w:t>holedochotomy</w:t>
      </w:r>
      <w:r>
        <w:t xml:space="preserve">, and the downstream healthcare resource utilisation impact associated with difficult biliary stones. The reason why a CEA was preferred to a CUA for this submission is due to the </w:t>
      </w:r>
      <w:r w:rsidRPr="00DB33E2">
        <w:t>complexity of the downstream healthcare resources utilisation</w:t>
      </w:r>
      <w:r>
        <w:t xml:space="preserve"> associated with the treatment of difficult biliary stones, and the limited availability of associated utility data, which would make the results of the assessment highly uncertain.</w:t>
      </w:r>
    </w:p>
    <w:p w14:paraId="2176BA95" w14:textId="0B2396E1" w:rsidR="008D4CFA" w:rsidRDefault="008D4CFA" w:rsidP="008D4CFA">
      <w:r w:rsidRPr="008D4CFA">
        <w:t xml:space="preserve">The economic model was based on the clinical claim of superiority and under that clinical claim a cost effectiveness is appropriate, however as the clinical claim for laparoscopic choledochotomy has been revised to  non-inferior safety, </w:t>
      </w:r>
      <w:r>
        <w:t xml:space="preserve">the commentary considered  </w:t>
      </w:r>
      <w:r w:rsidRPr="008D4CFA">
        <w:t>a cost minimisation analysis may also be appropriate for this comparator.</w:t>
      </w:r>
    </w:p>
    <w:p w14:paraId="4A3DE832" w14:textId="30AC3BD9" w:rsidR="005E49D6" w:rsidRDefault="007B6DDB" w:rsidP="005E49D6">
      <w:pPr>
        <w:spacing w:after="240"/>
        <w:rPr>
          <w:rFonts w:cstheme="minorHAnsi"/>
          <w:iCs/>
        </w:rPr>
      </w:pPr>
      <w:r>
        <w:t>This economic evaluation presents the incremental cost per successful stone removal. As recommended by PASC, the cost to the MBS and hospital budget</w:t>
      </w:r>
      <w:r w:rsidR="008D4CFA">
        <w:t>s</w:t>
      </w:r>
      <w:r>
        <w:t xml:space="preserve"> (consumables and capital) have both been included. </w:t>
      </w:r>
      <w:r w:rsidR="00D5643E" w:rsidRPr="00D5643E">
        <w:rPr>
          <w:rFonts w:cstheme="minorHAnsi"/>
          <w:iCs/>
        </w:rPr>
        <w:t xml:space="preserve">A summary of the key characteristics of the economic evaluation of therapeutic POCPS is detailed in </w:t>
      </w:r>
      <w:r w:rsidR="008F0A27">
        <w:rPr>
          <w:rFonts w:cstheme="minorHAnsi"/>
          <w:iCs/>
        </w:rPr>
        <w:t xml:space="preserve"> </w:t>
      </w:r>
      <w:r w:rsidR="008F0A27">
        <w:rPr>
          <w:rFonts w:cstheme="minorHAnsi"/>
          <w:iCs/>
        </w:rPr>
        <w:fldChar w:fldCharType="begin"/>
      </w:r>
      <w:r w:rsidR="008F0A27">
        <w:rPr>
          <w:rFonts w:cstheme="minorHAnsi"/>
          <w:iCs/>
        </w:rPr>
        <w:instrText xml:space="preserve"> REF _Ref97709611 \h </w:instrText>
      </w:r>
      <w:r w:rsidR="008F0A27">
        <w:rPr>
          <w:rFonts w:cstheme="minorHAnsi"/>
          <w:iCs/>
        </w:rPr>
      </w:r>
      <w:r w:rsidR="008F0A27">
        <w:rPr>
          <w:rFonts w:cstheme="minorHAnsi"/>
          <w:iCs/>
        </w:rPr>
        <w:fldChar w:fldCharType="separate"/>
      </w:r>
      <w:r w:rsidR="00D422BC">
        <w:t xml:space="preserve">Table </w:t>
      </w:r>
      <w:r w:rsidR="00D422BC">
        <w:rPr>
          <w:noProof/>
        </w:rPr>
        <w:t>19</w:t>
      </w:r>
      <w:r w:rsidR="008F0A27">
        <w:rPr>
          <w:rFonts w:cstheme="minorHAnsi"/>
          <w:iCs/>
        </w:rPr>
        <w:fldChar w:fldCharType="end"/>
      </w:r>
      <w:r w:rsidR="008F0A27">
        <w:rPr>
          <w:rFonts w:cstheme="minorHAnsi"/>
          <w:iCs/>
        </w:rPr>
        <w:t>.</w:t>
      </w:r>
      <w:bookmarkStart w:id="106" w:name="_Ref97709611"/>
      <w:r w:rsidR="005E49D6">
        <w:rPr>
          <w:rFonts w:cstheme="minorHAnsi"/>
          <w:iCs/>
        </w:rPr>
        <w:t xml:space="preserve"> </w:t>
      </w:r>
    </w:p>
    <w:p w14:paraId="4174473D" w14:textId="6CCDC726" w:rsidR="005E49D6" w:rsidRPr="005E49D6" w:rsidRDefault="005E49D6" w:rsidP="005E49D6">
      <w:pPr>
        <w:pStyle w:val="Caption"/>
        <w:rPr>
          <w:rFonts w:cstheme="minorHAnsi"/>
          <w:iCs/>
        </w:rPr>
      </w:pPr>
      <w:r>
        <w:rPr>
          <w:rFonts w:cstheme="minorHAnsi"/>
          <w:iCs/>
        </w:rPr>
        <w:br w:type="page"/>
      </w:r>
    </w:p>
    <w:p w14:paraId="0E90312B" w14:textId="37974664" w:rsidR="00D5643E" w:rsidRDefault="00D5643E" w:rsidP="008F0A27">
      <w:pPr>
        <w:pStyle w:val="Caption"/>
      </w:pPr>
      <w:r>
        <w:lastRenderedPageBreak/>
        <w:t xml:space="preserve">Table </w:t>
      </w:r>
      <w:r>
        <w:fldChar w:fldCharType="begin"/>
      </w:r>
      <w:r>
        <w:instrText>SEQ Table \* ARABIC</w:instrText>
      </w:r>
      <w:r>
        <w:fldChar w:fldCharType="separate"/>
      </w:r>
      <w:r w:rsidR="00D422BC">
        <w:rPr>
          <w:noProof/>
        </w:rPr>
        <w:t>19</w:t>
      </w:r>
      <w:r>
        <w:fldChar w:fldCharType="end"/>
      </w:r>
      <w:bookmarkEnd w:id="106"/>
      <w:r>
        <w:t xml:space="preserve">: </w:t>
      </w:r>
      <w:r w:rsidRPr="00247AA4">
        <w:t>Summary of the therapeutic economic evaluation</w:t>
      </w:r>
    </w:p>
    <w:tbl>
      <w:tblPr>
        <w:tblStyle w:val="ADAR"/>
        <w:tblW w:w="5000" w:type="pct"/>
        <w:tblLook w:val="04A0" w:firstRow="1" w:lastRow="0" w:firstColumn="1" w:lastColumn="0" w:noHBand="0" w:noVBand="1"/>
      </w:tblPr>
      <w:tblGrid>
        <w:gridCol w:w="3026"/>
        <w:gridCol w:w="5990"/>
      </w:tblGrid>
      <w:tr w:rsidR="00D5643E" w:rsidRPr="00CE28E3" w14:paraId="2321631E" w14:textId="77777777" w:rsidTr="00B75BA3">
        <w:trPr>
          <w:trHeight w:val="283"/>
        </w:trPr>
        <w:tc>
          <w:tcPr>
            <w:tcW w:w="1678" w:type="pct"/>
          </w:tcPr>
          <w:p w14:paraId="4CBAF937" w14:textId="77777777" w:rsidR="00D5643E" w:rsidRPr="00210E8B" w:rsidRDefault="00D5643E" w:rsidP="00B75BA3">
            <w:pPr>
              <w:pStyle w:val="TableHeading0"/>
            </w:pPr>
            <w:bookmarkStart w:id="107" w:name="Title_Table32" w:colFirst="0" w:colLast="0"/>
            <w:r w:rsidRPr="00EF117E">
              <w:t>Component</w:t>
            </w:r>
          </w:p>
        </w:tc>
        <w:tc>
          <w:tcPr>
            <w:tcW w:w="3322" w:type="pct"/>
          </w:tcPr>
          <w:p w14:paraId="3BF78E78" w14:textId="77777777" w:rsidR="00D5643E" w:rsidRPr="008A73E2" w:rsidRDefault="00D5643E" w:rsidP="00B75BA3">
            <w:pPr>
              <w:pStyle w:val="TableHeading0"/>
            </w:pPr>
            <w:r w:rsidRPr="00004568">
              <w:t>Description</w:t>
            </w:r>
          </w:p>
        </w:tc>
      </w:tr>
      <w:bookmarkEnd w:id="107"/>
      <w:tr w:rsidR="00D5643E" w:rsidRPr="000449D1" w14:paraId="74294642" w14:textId="77777777" w:rsidTr="00B75BA3">
        <w:tc>
          <w:tcPr>
            <w:tcW w:w="1678" w:type="pct"/>
          </w:tcPr>
          <w:p w14:paraId="52E4415A" w14:textId="77777777" w:rsidR="00D5643E" w:rsidRPr="000449D1" w:rsidRDefault="00D5643E" w:rsidP="00B75BA3">
            <w:pPr>
              <w:pStyle w:val="TableText"/>
              <w:keepNext/>
              <w:rPr>
                <w:rFonts w:cs="Courier New"/>
                <w:szCs w:val="20"/>
              </w:rPr>
            </w:pPr>
            <w:r w:rsidRPr="000449D1">
              <w:rPr>
                <w:rFonts w:cs="Courier New"/>
                <w:szCs w:val="20"/>
              </w:rPr>
              <w:t>Perspective</w:t>
            </w:r>
          </w:p>
        </w:tc>
        <w:tc>
          <w:tcPr>
            <w:tcW w:w="3322" w:type="pct"/>
          </w:tcPr>
          <w:p w14:paraId="19ABF02A" w14:textId="77777777" w:rsidR="00D5643E" w:rsidRPr="0006390F" w:rsidRDefault="00D5643E" w:rsidP="00B75BA3">
            <w:pPr>
              <w:pStyle w:val="TableText"/>
              <w:keepNext/>
            </w:pPr>
            <w:r w:rsidRPr="00430EBC">
              <w:t xml:space="preserve">Australian </w:t>
            </w:r>
            <w:r>
              <w:t>Government</w:t>
            </w:r>
          </w:p>
        </w:tc>
      </w:tr>
      <w:tr w:rsidR="00D5643E" w:rsidRPr="000449D1" w14:paraId="280C6504" w14:textId="77777777" w:rsidTr="00B75BA3">
        <w:tc>
          <w:tcPr>
            <w:tcW w:w="1678" w:type="pct"/>
          </w:tcPr>
          <w:p w14:paraId="6E794B5C" w14:textId="77777777" w:rsidR="00D5643E" w:rsidRPr="000449D1" w:rsidRDefault="00D5643E" w:rsidP="00B75BA3">
            <w:pPr>
              <w:pStyle w:val="TableText"/>
              <w:keepNext/>
              <w:rPr>
                <w:rFonts w:cs="Courier New"/>
                <w:szCs w:val="20"/>
              </w:rPr>
            </w:pPr>
            <w:r w:rsidRPr="000449D1">
              <w:rPr>
                <w:rFonts w:cs="Courier New"/>
                <w:szCs w:val="20"/>
              </w:rPr>
              <w:t>Population</w:t>
            </w:r>
          </w:p>
        </w:tc>
        <w:tc>
          <w:tcPr>
            <w:tcW w:w="3322" w:type="pct"/>
          </w:tcPr>
          <w:p w14:paraId="3E4CEC27" w14:textId="77777777" w:rsidR="00D5643E" w:rsidRPr="0006390F" w:rsidRDefault="00D5643E" w:rsidP="00B75BA3">
            <w:pPr>
              <w:pStyle w:val="TableText"/>
              <w:keepNext/>
            </w:pPr>
            <w:r>
              <w:t>Difficult biliary stones</w:t>
            </w:r>
          </w:p>
        </w:tc>
      </w:tr>
      <w:tr w:rsidR="00D5643E" w:rsidRPr="000449D1" w14:paraId="0C3D5963" w14:textId="77777777" w:rsidTr="00B75BA3">
        <w:tc>
          <w:tcPr>
            <w:tcW w:w="1678" w:type="pct"/>
          </w:tcPr>
          <w:p w14:paraId="7E8C23EA" w14:textId="77777777" w:rsidR="00D5643E" w:rsidRPr="000449D1" w:rsidRDefault="00D5643E" w:rsidP="00B75BA3">
            <w:pPr>
              <w:pStyle w:val="TableText"/>
              <w:keepNext/>
              <w:rPr>
                <w:rFonts w:cs="Courier New"/>
                <w:szCs w:val="20"/>
              </w:rPr>
            </w:pPr>
            <w:r>
              <w:rPr>
                <w:rFonts w:cs="Courier New"/>
                <w:szCs w:val="20"/>
              </w:rPr>
              <w:t>Intervention</w:t>
            </w:r>
          </w:p>
        </w:tc>
        <w:tc>
          <w:tcPr>
            <w:tcW w:w="3322" w:type="pct"/>
          </w:tcPr>
          <w:p w14:paraId="614AC390" w14:textId="77777777" w:rsidR="00D5643E" w:rsidRDefault="00D5643E" w:rsidP="00B75BA3">
            <w:pPr>
              <w:pStyle w:val="TableText"/>
              <w:keepNext/>
            </w:pPr>
            <w:r>
              <w:t>POCPS-EHL/LL</w:t>
            </w:r>
          </w:p>
        </w:tc>
      </w:tr>
      <w:tr w:rsidR="00D5643E" w:rsidRPr="000449D1" w14:paraId="3F07A41C" w14:textId="77777777" w:rsidTr="00B75BA3">
        <w:tc>
          <w:tcPr>
            <w:tcW w:w="1678" w:type="pct"/>
          </w:tcPr>
          <w:p w14:paraId="289AD7EC" w14:textId="77777777" w:rsidR="00D5643E" w:rsidRPr="000449D1" w:rsidRDefault="00D5643E" w:rsidP="00B75BA3">
            <w:pPr>
              <w:pStyle w:val="TableText"/>
              <w:keepNext/>
              <w:rPr>
                <w:rFonts w:cs="Courier New"/>
                <w:szCs w:val="20"/>
              </w:rPr>
            </w:pPr>
            <w:r w:rsidRPr="000449D1">
              <w:rPr>
                <w:rFonts w:cs="Courier New"/>
                <w:szCs w:val="20"/>
              </w:rPr>
              <w:t>Comparator</w:t>
            </w:r>
          </w:p>
        </w:tc>
        <w:tc>
          <w:tcPr>
            <w:tcW w:w="3322" w:type="pct"/>
          </w:tcPr>
          <w:p w14:paraId="575A51F9" w14:textId="77777777" w:rsidR="00D5643E" w:rsidRPr="0006390F" w:rsidRDefault="00D5643E" w:rsidP="00B75BA3">
            <w:pPr>
              <w:pStyle w:val="TableText"/>
              <w:keepNext/>
            </w:pPr>
            <w:r>
              <w:t>ERCP-ML, l</w:t>
            </w:r>
            <w:r w:rsidRPr="00E56DE3">
              <w:t xml:space="preserve">aparoscopic </w:t>
            </w:r>
            <w:r>
              <w:t>c</w:t>
            </w:r>
            <w:r w:rsidRPr="00E56DE3">
              <w:t>holedochotomy</w:t>
            </w:r>
          </w:p>
        </w:tc>
      </w:tr>
      <w:tr w:rsidR="00D5643E" w:rsidRPr="000449D1" w14:paraId="772422C1" w14:textId="77777777" w:rsidTr="00B75BA3">
        <w:tc>
          <w:tcPr>
            <w:tcW w:w="1678" w:type="pct"/>
          </w:tcPr>
          <w:p w14:paraId="232F9A2B" w14:textId="77777777" w:rsidR="00D5643E" w:rsidRPr="000449D1" w:rsidRDefault="00D5643E" w:rsidP="00B75BA3">
            <w:pPr>
              <w:pStyle w:val="TableText"/>
              <w:keepNext/>
              <w:rPr>
                <w:rFonts w:cs="Courier New"/>
                <w:szCs w:val="20"/>
              </w:rPr>
            </w:pPr>
            <w:r w:rsidRPr="004E4EBF">
              <w:rPr>
                <w:rFonts w:cs="Courier New"/>
                <w:szCs w:val="20"/>
              </w:rPr>
              <w:t>Type of economic evaluation</w:t>
            </w:r>
          </w:p>
        </w:tc>
        <w:tc>
          <w:tcPr>
            <w:tcW w:w="3322" w:type="pct"/>
          </w:tcPr>
          <w:p w14:paraId="743A2ED9" w14:textId="77777777" w:rsidR="00D5643E" w:rsidRPr="0006390F" w:rsidRDefault="00D5643E" w:rsidP="00B75BA3">
            <w:pPr>
              <w:pStyle w:val="TableText"/>
              <w:keepNext/>
            </w:pPr>
            <w:r w:rsidRPr="0006390F">
              <w:t>Cost</w:t>
            </w:r>
            <w:r>
              <w:t xml:space="preserve"> </w:t>
            </w:r>
            <w:r w:rsidRPr="0006390F">
              <w:t>effectiveness analysis (CEA)</w:t>
            </w:r>
          </w:p>
        </w:tc>
      </w:tr>
      <w:tr w:rsidR="00D5643E" w:rsidRPr="000449D1" w14:paraId="4E2032D7" w14:textId="77777777" w:rsidTr="00B75BA3">
        <w:tc>
          <w:tcPr>
            <w:tcW w:w="1678" w:type="pct"/>
          </w:tcPr>
          <w:p w14:paraId="405643EB" w14:textId="77777777" w:rsidR="00D5643E" w:rsidRPr="000449D1" w:rsidRDefault="00D5643E" w:rsidP="00B75BA3">
            <w:pPr>
              <w:pStyle w:val="TableText"/>
              <w:keepNext/>
              <w:rPr>
                <w:rFonts w:cs="Courier New"/>
                <w:szCs w:val="20"/>
              </w:rPr>
            </w:pPr>
            <w:r>
              <w:rPr>
                <w:rFonts w:cs="Courier New"/>
                <w:szCs w:val="20"/>
              </w:rPr>
              <w:t>Sources of evidence</w:t>
            </w:r>
          </w:p>
        </w:tc>
        <w:tc>
          <w:tcPr>
            <w:tcW w:w="3322" w:type="pct"/>
          </w:tcPr>
          <w:p w14:paraId="48786750" w14:textId="77777777" w:rsidR="00D5643E" w:rsidRPr="0006390F" w:rsidRDefault="00D5643E" w:rsidP="00B75BA3">
            <w:pPr>
              <w:pStyle w:val="TableText"/>
              <w:keepNext/>
            </w:pPr>
            <w:r w:rsidRPr="0006390F">
              <w:t xml:space="preserve">2021 Advisory Board, </w:t>
            </w:r>
            <w:r>
              <w:fldChar w:fldCharType="begin">
                <w:fldData xml:space="preserve">PEVuZE5vdGU+PENpdGUgQXV0aG9yWWVhcj0iMSI+PEF1dGhvcj5MaTwvQXV0aG9yPjxZZWFyPjIw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</w:fldData>
              </w:fldChar>
            </w:r>
            <w:r>
              <w:instrText xml:space="preserve"> ADDIN EN.CITE </w:instrText>
            </w:r>
            <w:r>
              <w:fldChar w:fldCharType="begin">
                <w:fldData xml:space="preserve">PEVuZE5vdGU+PENpdGUgQXV0aG9yWWVhcj0iMSI+PEF1dGhvcj5MaTwvQXV0aG9yPjxZZWFyPjIw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</w:fldData>
              </w:fldChar>
            </w:r>
            <w:r>
              <w:instrText xml:space="preserve"> ADDIN EN.CITE.DATA </w:instrText>
            </w:r>
            <w:r>
              <w:fldChar w:fldCharType="end"/>
            </w:r>
            <w:r>
              <w:fldChar w:fldCharType="separate"/>
            </w:r>
            <w:r>
              <w:rPr>
                <w:noProof/>
              </w:rPr>
              <w:t>Li et al. (2021)</w:t>
            </w:r>
            <w:r>
              <w:fldChar w:fldCharType="end"/>
            </w:r>
            <w:r w:rsidRPr="0006390F">
              <w:t xml:space="preserve">, </w:t>
            </w:r>
            <w:r>
              <w:fldChar w:fldCharType="begin">
                <w:fldData xml:space="preserve">PEVuZE5vdGU+PENpdGUgQXV0aG9yWWVhcj0iMSI+PEF1dGhvcj5BbmdzdXdhdGNoYXJha29uPC9B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</w:fldData>
              </w:fldChar>
            </w:r>
            <w:r>
              <w:instrText xml:space="preserve"> ADDIN EN.CITE </w:instrText>
            </w:r>
            <w:r>
              <w:fldChar w:fldCharType="begin">
                <w:fldData xml:space="preserve">PEVuZE5vdGU+PENpdGUgQXV0aG9yWWVhcj0iMSI+PEF1dGhvcj5BbmdzdXdhdGNoYXJha29uPC9B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</w:fldData>
              </w:fldChar>
            </w:r>
            <w:r>
              <w:instrText xml:space="preserve"> ADDIN EN.CITE.DATA </w:instrText>
            </w:r>
            <w:r>
              <w:fldChar w:fldCharType="end"/>
            </w:r>
            <w:r>
              <w:fldChar w:fldCharType="separate"/>
            </w:r>
            <w:r>
              <w:rPr>
                <w:noProof/>
              </w:rPr>
              <w:t>Angsuwatcharakon et al. (2019)</w:t>
            </w:r>
            <w:r>
              <w:fldChar w:fldCharType="end"/>
            </w:r>
          </w:p>
        </w:tc>
      </w:tr>
      <w:tr w:rsidR="00D5643E" w:rsidRPr="000449D1" w14:paraId="1EC5045C" w14:textId="77777777" w:rsidTr="00B75BA3">
        <w:tc>
          <w:tcPr>
            <w:tcW w:w="1678" w:type="pct"/>
          </w:tcPr>
          <w:p w14:paraId="444B4696" w14:textId="77777777" w:rsidR="00D5643E" w:rsidRPr="000449D1" w:rsidRDefault="00D5643E" w:rsidP="00B75BA3">
            <w:pPr>
              <w:pStyle w:val="TableText"/>
              <w:keepNext/>
              <w:rPr>
                <w:rFonts w:cs="Courier New"/>
                <w:szCs w:val="20"/>
              </w:rPr>
            </w:pPr>
            <w:r w:rsidRPr="000449D1">
              <w:rPr>
                <w:rFonts w:cs="Courier New"/>
                <w:szCs w:val="20"/>
              </w:rPr>
              <w:t>Outcomes</w:t>
            </w:r>
          </w:p>
        </w:tc>
        <w:tc>
          <w:tcPr>
            <w:tcW w:w="3322" w:type="pct"/>
          </w:tcPr>
          <w:p w14:paraId="16DFB239" w14:textId="77777777" w:rsidR="00D5643E" w:rsidRPr="000449D1" w:rsidRDefault="00D5643E" w:rsidP="00B75BA3">
            <w:pPr>
              <w:pStyle w:val="TableText"/>
              <w:keepNext/>
              <w:rPr>
                <w:rFonts w:cs="Courier New"/>
                <w:szCs w:val="20"/>
              </w:rPr>
            </w:pPr>
            <w:r>
              <w:rPr>
                <w:rFonts w:cs="Courier New"/>
                <w:szCs w:val="20"/>
              </w:rPr>
              <w:t>I</w:t>
            </w:r>
            <w:r w:rsidRPr="0042343D">
              <w:rPr>
                <w:rFonts w:cs="Courier New"/>
                <w:szCs w:val="20"/>
              </w:rPr>
              <w:t xml:space="preserve">ncremental cost per </w:t>
            </w:r>
            <w:r>
              <w:rPr>
                <w:rFonts w:cs="Courier New"/>
                <w:szCs w:val="20"/>
              </w:rPr>
              <w:t>successful stone removal</w:t>
            </w:r>
          </w:p>
        </w:tc>
      </w:tr>
      <w:tr w:rsidR="00D5643E" w:rsidRPr="000449D1" w14:paraId="303D48C2" w14:textId="77777777" w:rsidTr="00B75BA3">
        <w:tc>
          <w:tcPr>
            <w:tcW w:w="1678" w:type="pct"/>
          </w:tcPr>
          <w:p w14:paraId="0744F420" w14:textId="77777777" w:rsidR="00D5643E" w:rsidRPr="000449D1" w:rsidRDefault="00D5643E" w:rsidP="00B75BA3">
            <w:pPr>
              <w:pStyle w:val="TableText"/>
              <w:keepNext/>
              <w:rPr>
                <w:rFonts w:cs="Courier New"/>
                <w:szCs w:val="20"/>
              </w:rPr>
            </w:pPr>
            <w:r w:rsidRPr="00B7675A">
              <w:t>Methods used to generate results</w:t>
            </w:r>
          </w:p>
        </w:tc>
        <w:tc>
          <w:tcPr>
            <w:tcW w:w="3322" w:type="pct"/>
          </w:tcPr>
          <w:p w14:paraId="7B5613AA" w14:textId="77777777" w:rsidR="00D5643E" w:rsidRPr="000449D1" w:rsidRDefault="00D5643E" w:rsidP="00B75BA3">
            <w:pPr>
              <w:pStyle w:val="TableText"/>
              <w:keepNext/>
              <w:rPr>
                <w:rFonts w:cs="Courier New"/>
                <w:szCs w:val="20"/>
              </w:rPr>
            </w:pPr>
            <w:r>
              <w:t>Decision analytic tree</w:t>
            </w:r>
          </w:p>
        </w:tc>
      </w:tr>
      <w:tr w:rsidR="00D5643E" w:rsidRPr="000449D1" w14:paraId="04991EEA" w14:textId="77777777" w:rsidTr="00B75BA3">
        <w:trPr>
          <w:trHeight w:val="70"/>
        </w:trPr>
        <w:tc>
          <w:tcPr>
            <w:tcW w:w="1678" w:type="pct"/>
          </w:tcPr>
          <w:p w14:paraId="3A1D18D0" w14:textId="77777777" w:rsidR="00D5643E" w:rsidRPr="000449D1" w:rsidRDefault="00D5643E" w:rsidP="00B75BA3">
            <w:pPr>
              <w:pStyle w:val="TableText"/>
              <w:keepNext/>
              <w:rPr>
                <w:rFonts w:cs="Courier New"/>
                <w:szCs w:val="20"/>
              </w:rPr>
            </w:pPr>
            <w:r w:rsidRPr="00B7675A">
              <w:t>Software packages used</w:t>
            </w:r>
          </w:p>
        </w:tc>
        <w:tc>
          <w:tcPr>
            <w:tcW w:w="3322" w:type="pct"/>
          </w:tcPr>
          <w:p w14:paraId="094DB157" w14:textId="77777777" w:rsidR="00D5643E" w:rsidRPr="000449D1" w:rsidRDefault="00D5643E" w:rsidP="00B75BA3">
            <w:pPr>
              <w:pStyle w:val="TableText"/>
              <w:keepNext/>
              <w:rPr>
                <w:rFonts w:cs="Courier New"/>
                <w:szCs w:val="20"/>
              </w:rPr>
            </w:pPr>
            <w:r>
              <w:t>Microsoft</w:t>
            </w:r>
            <w:r w:rsidRPr="0020377A">
              <w:t xml:space="preserve"> Excel </w:t>
            </w:r>
            <w:r>
              <w:t>2021</w:t>
            </w:r>
            <w:r w:rsidRPr="0020377A">
              <w:t>®</w:t>
            </w:r>
          </w:p>
        </w:tc>
      </w:tr>
    </w:tbl>
    <w:p w14:paraId="544A6A02" w14:textId="1D90F5F8" w:rsidR="007B6DDB" w:rsidRPr="00D5643E" w:rsidRDefault="00D5643E" w:rsidP="00D5643E">
      <w:pPr>
        <w:pStyle w:val="Abbreviations"/>
        <w:rPr>
          <w:snapToGrid w:val="0"/>
        </w:rPr>
      </w:pPr>
      <w:r w:rsidRPr="0005649D">
        <w:t>Abbreviations</w:t>
      </w:r>
      <w:r>
        <w:t xml:space="preserve">: </w:t>
      </w:r>
      <w:r w:rsidRPr="001A4E5B">
        <w:rPr>
          <w:snapToGrid w:val="0"/>
        </w:rPr>
        <w:t>ERCP</w:t>
      </w:r>
      <w:r>
        <w:rPr>
          <w:snapToGrid w:val="0"/>
        </w:rPr>
        <w:t xml:space="preserve">-ML </w:t>
      </w:r>
      <w:r w:rsidRPr="001A4E5B">
        <w:rPr>
          <w:snapToGrid w:val="0"/>
        </w:rPr>
        <w:t xml:space="preserve">= </w:t>
      </w:r>
      <w:r w:rsidRPr="0005649D">
        <w:rPr>
          <w:snapToGrid w:val="0"/>
        </w:rPr>
        <w:t>endoscopic</w:t>
      </w:r>
      <w:r w:rsidRPr="001A4E5B">
        <w:rPr>
          <w:snapToGrid w:val="0"/>
        </w:rPr>
        <w:t xml:space="preserve"> retrograde cholangiopancreatography</w:t>
      </w:r>
      <w:r>
        <w:rPr>
          <w:snapToGrid w:val="0"/>
        </w:rPr>
        <w:t xml:space="preserve">-guided mechanical lithotripsy; </w:t>
      </w:r>
      <w:r w:rsidRPr="001A4E5B">
        <w:rPr>
          <w:snapToGrid w:val="0"/>
        </w:rPr>
        <w:t>POCPS</w:t>
      </w:r>
      <w:r>
        <w:rPr>
          <w:snapToGrid w:val="0"/>
        </w:rPr>
        <w:t xml:space="preserve">-guided EHL/LL </w:t>
      </w:r>
      <w:r w:rsidRPr="001A4E5B">
        <w:rPr>
          <w:snapToGrid w:val="0"/>
        </w:rPr>
        <w:t xml:space="preserve">= </w:t>
      </w:r>
      <w:r w:rsidRPr="0005649D">
        <w:rPr>
          <w:snapToGrid w:val="0"/>
        </w:rPr>
        <w:t xml:space="preserve">single </w:t>
      </w:r>
      <w:r w:rsidRPr="001A4E5B">
        <w:rPr>
          <w:snapToGrid w:val="0"/>
        </w:rPr>
        <w:t>operator, single use, peroral</w:t>
      </w:r>
      <w:r>
        <w:rPr>
          <w:snapToGrid w:val="0"/>
        </w:rPr>
        <w:t xml:space="preserve"> </w:t>
      </w:r>
      <w:r w:rsidRPr="001A4E5B">
        <w:rPr>
          <w:snapToGrid w:val="0"/>
        </w:rPr>
        <w:t>cholangiopancreatoscopy</w:t>
      </w:r>
      <w:r>
        <w:rPr>
          <w:snapToGrid w:val="0"/>
        </w:rPr>
        <w:t>-guided electrohydraulic lithotripsy/ laser lithotripsy</w:t>
      </w:r>
    </w:p>
    <w:p w14:paraId="19C6371F" w14:textId="4B091B7A" w:rsidR="007B6DDB" w:rsidRPr="008903D3" w:rsidRDefault="007B6DDB" w:rsidP="008D4CFA">
      <w:pPr>
        <w:pStyle w:val="BodyText"/>
        <w:spacing w:before="120" w:after="160" w:line="259" w:lineRule="auto"/>
        <w:rPr>
          <w:rFonts w:ascii="Franklin Gothic Book" w:eastAsiaTheme="minorHAnsi" w:hAnsi="Franklin Gothic Book" w:cstheme="minorBidi"/>
          <w:lang w:eastAsia="en-US"/>
        </w:rPr>
      </w:pPr>
      <w:r w:rsidRPr="008903D3">
        <w:rPr>
          <w:rFonts w:ascii="Franklin Gothic Book" w:eastAsiaTheme="minorHAnsi" w:hAnsi="Franklin Gothic Book" w:cstheme="minorBidi"/>
          <w:lang w:eastAsia="en-US"/>
        </w:rPr>
        <w:t xml:space="preserve">To determine the cost effectiveness of POCPS-guided EHL/LL in patients with difficult biliary stones, an incremental cost per successful stone removal was calculated using the data from the two pivotal RCTs presented </w:t>
      </w:r>
      <w:r w:rsidR="009053AD">
        <w:rPr>
          <w:rFonts w:ascii="Franklin Gothic Book" w:eastAsiaTheme="minorHAnsi" w:hAnsi="Franklin Gothic Book" w:cstheme="minorBidi"/>
          <w:lang w:eastAsia="en-US"/>
        </w:rPr>
        <w:t xml:space="preserve">in </w:t>
      </w:r>
      <w:r w:rsidRPr="008903D3">
        <w:rPr>
          <w:rFonts w:ascii="Franklin Gothic Book" w:eastAsiaTheme="minorHAnsi" w:hAnsi="Franklin Gothic Book" w:cstheme="minorBidi"/>
          <w:lang w:eastAsia="en-US"/>
        </w:rPr>
        <w:t xml:space="preserve">the clinical evaluation </w:t>
      </w:r>
      <w:r w:rsidR="005F1F4A">
        <w:rPr>
          <w:rFonts w:ascii="Franklin Gothic Book" w:eastAsiaTheme="minorHAnsi" w:hAnsi="Franklin Gothic Book" w:cstheme="minorBidi"/>
          <w:iCs/>
          <w:lang w:eastAsia="en-US"/>
        </w:rPr>
        <w:fldChar w:fldCharType="begin">
          <w:fldData xml:space="preserve">PEVuZE5vdGU+PENpdGU+PEF1dGhvcj5BbmdzdXdhdGNoYXJha29uPC9BdXRob3I+PFllYXI+MjAx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</w:fldData>
        </w:fldChar>
      </w:r>
      <w:r w:rsidR="005F1F4A">
        <w:rPr>
          <w:rFonts w:ascii="Franklin Gothic Book" w:eastAsiaTheme="minorHAnsi" w:hAnsi="Franklin Gothic Book" w:cstheme="minorBidi"/>
          <w:iCs/>
          <w:lang w:eastAsia="en-US"/>
        </w:rPr>
        <w:instrText xml:space="preserve"> ADDIN EN.CITE </w:instrText>
      </w:r>
      <w:r w:rsidR="005F1F4A">
        <w:rPr>
          <w:rFonts w:ascii="Franklin Gothic Book" w:eastAsiaTheme="minorHAnsi" w:hAnsi="Franklin Gothic Book" w:cstheme="minorBidi"/>
          <w:iCs/>
          <w:lang w:eastAsia="en-US"/>
        </w:rPr>
        <w:fldChar w:fldCharType="begin">
          <w:fldData xml:space="preserve">PEVuZE5vdGU+PENpdGU+PEF1dGhvcj5BbmdzdXdhdGNoYXJha29uPC9BdXRob3I+PFllYXI+MjAx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</w:fldData>
        </w:fldChar>
      </w:r>
      <w:r w:rsidR="005F1F4A">
        <w:rPr>
          <w:rFonts w:ascii="Franklin Gothic Book" w:eastAsiaTheme="minorHAnsi" w:hAnsi="Franklin Gothic Book" w:cstheme="minorBidi"/>
          <w:iCs/>
          <w:lang w:eastAsia="en-US"/>
        </w:rPr>
        <w:instrText xml:space="preserve"> ADDIN EN.CITE.DATA </w:instrText>
      </w:r>
      <w:r w:rsidR="005F1F4A">
        <w:rPr>
          <w:rFonts w:ascii="Franklin Gothic Book" w:eastAsiaTheme="minorHAnsi" w:hAnsi="Franklin Gothic Book" w:cstheme="minorBidi"/>
          <w:iCs/>
          <w:lang w:eastAsia="en-US"/>
        </w:rPr>
      </w:r>
      <w:r w:rsidR="005F1F4A">
        <w:rPr>
          <w:rFonts w:ascii="Franklin Gothic Book" w:eastAsiaTheme="minorHAnsi" w:hAnsi="Franklin Gothic Book" w:cstheme="minorBidi"/>
          <w:iCs/>
          <w:lang w:eastAsia="en-US"/>
        </w:rPr>
        <w:fldChar w:fldCharType="end"/>
      </w:r>
      <w:r w:rsidR="005F1F4A">
        <w:rPr>
          <w:rFonts w:ascii="Franklin Gothic Book" w:eastAsiaTheme="minorHAnsi" w:hAnsi="Franklin Gothic Book" w:cstheme="minorBidi"/>
          <w:iCs/>
          <w:lang w:eastAsia="en-US"/>
        </w:rPr>
      </w:r>
      <w:r w:rsidR="005F1F4A">
        <w:rPr>
          <w:rFonts w:ascii="Franklin Gothic Book" w:eastAsiaTheme="minorHAnsi" w:hAnsi="Franklin Gothic Book" w:cstheme="minorBidi"/>
          <w:iCs/>
          <w:lang w:eastAsia="en-US"/>
        </w:rPr>
        <w:fldChar w:fldCharType="separate"/>
      </w:r>
      <w:r w:rsidR="005F1F4A">
        <w:rPr>
          <w:rFonts w:ascii="Franklin Gothic Book" w:eastAsiaTheme="minorHAnsi" w:hAnsi="Franklin Gothic Book" w:cstheme="minorBidi"/>
          <w:iCs/>
          <w:noProof/>
          <w:lang w:eastAsia="en-US"/>
        </w:rPr>
        <w:t>(Angsuwatcharakon et al., 2019; Liu et al., 2017)</w:t>
      </w:r>
      <w:r w:rsidR="005F1F4A">
        <w:rPr>
          <w:rFonts w:ascii="Franklin Gothic Book" w:eastAsiaTheme="minorHAnsi" w:hAnsi="Franklin Gothic Book" w:cstheme="minorBidi"/>
          <w:iCs/>
          <w:lang w:eastAsia="en-US"/>
        </w:rPr>
        <w:fldChar w:fldCharType="end"/>
      </w:r>
      <w:r w:rsidRPr="008903D3">
        <w:rPr>
          <w:rFonts w:ascii="Franklin Gothic Book" w:eastAsiaTheme="minorHAnsi" w:hAnsi="Franklin Gothic Book" w:cstheme="minorBidi"/>
          <w:iCs/>
          <w:lang w:eastAsia="en-US"/>
        </w:rPr>
        <w:t>.</w:t>
      </w:r>
      <w:r w:rsidRPr="008903D3">
        <w:rPr>
          <w:rFonts w:ascii="Franklin Gothic Book" w:eastAsiaTheme="minorHAnsi" w:hAnsi="Franklin Gothic Book" w:cstheme="minorBidi"/>
          <w:lang w:eastAsia="en-US"/>
        </w:rPr>
        <w:t xml:space="preserve"> Lowering the number of repeated endoscopic extraction attempts avoids several poor patient outcomes, including increased healthcare resource utilisation, increased medical costs, safety implications and delays in treatment </w:t>
      </w:r>
      <w:r w:rsidR="005F1F4A">
        <w:rPr>
          <w:rFonts w:ascii="Franklin Gothic Book" w:eastAsiaTheme="minorHAnsi" w:hAnsi="Franklin Gothic Book" w:cstheme="minorBidi"/>
          <w:iCs/>
          <w:lang w:eastAsia="en-US"/>
        </w:rPr>
        <w:fldChar w:fldCharType="begin">
          <w:fldData xml:space="preserve">PEVuZE5vdGU+PENpdGU+PEF1dGhvcj5DaGFuZHJhc2VraGFyYTwvQXV0aG9yPjxZZWFyPjIwMTc8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</w:fldData>
        </w:fldChar>
      </w:r>
      <w:r w:rsidR="005F1F4A">
        <w:rPr>
          <w:rFonts w:ascii="Franklin Gothic Book" w:eastAsiaTheme="minorHAnsi" w:hAnsi="Franklin Gothic Book" w:cstheme="minorBidi"/>
          <w:iCs/>
          <w:lang w:eastAsia="en-US"/>
        </w:rPr>
        <w:instrText xml:space="preserve"> ADDIN EN.CITE </w:instrText>
      </w:r>
      <w:r w:rsidR="005F1F4A">
        <w:rPr>
          <w:rFonts w:ascii="Franklin Gothic Book" w:eastAsiaTheme="minorHAnsi" w:hAnsi="Franklin Gothic Book" w:cstheme="minorBidi"/>
          <w:iCs/>
          <w:lang w:eastAsia="en-US"/>
        </w:rPr>
        <w:fldChar w:fldCharType="begin">
          <w:fldData xml:space="preserve">PEVuZE5vdGU+PENpdGU+PEF1dGhvcj5DaGFuZHJhc2VraGFyYTwvQXV0aG9yPjxZZWFyPjIwMTc8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</w:fldData>
        </w:fldChar>
      </w:r>
      <w:r w:rsidR="005F1F4A">
        <w:rPr>
          <w:rFonts w:ascii="Franklin Gothic Book" w:eastAsiaTheme="minorHAnsi" w:hAnsi="Franklin Gothic Book" w:cstheme="minorBidi"/>
          <w:iCs/>
          <w:lang w:eastAsia="en-US"/>
        </w:rPr>
        <w:instrText xml:space="preserve"> ADDIN EN.CITE.DATA </w:instrText>
      </w:r>
      <w:r w:rsidR="005F1F4A">
        <w:rPr>
          <w:rFonts w:ascii="Franklin Gothic Book" w:eastAsiaTheme="minorHAnsi" w:hAnsi="Franklin Gothic Book" w:cstheme="minorBidi"/>
          <w:iCs/>
          <w:lang w:eastAsia="en-US"/>
        </w:rPr>
      </w:r>
      <w:r w:rsidR="005F1F4A">
        <w:rPr>
          <w:rFonts w:ascii="Franklin Gothic Book" w:eastAsiaTheme="minorHAnsi" w:hAnsi="Franklin Gothic Book" w:cstheme="minorBidi"/>
          <w:iCs/>
          <w:lang w:eastAsia="en-US"/>
        </w:rPr>
        <w:fldChar w:fldCharType="end"/>
      </w:r>
      <w:r w:rsidR="005F1F4A">
        <w:rPr>
          <w:rFonts w:ascii="Franklin Gothic Book" w:eastAsiaTheme="minorHAnsi" w:hAnsi="Franklin Gothic Book" w:cstheme="minorBidi"/>
          <w:iCs/>
          <w:lang w:eastAsia="en-US"/>
        </w:rPr>
      </w:r>
      <w:r w:rsidR="005F1F4A">
        <w:rPr>
          <w:rFonts w:ascii="Franklin Gothic Book" w:eastAsiaTheme="minorHAnsi" w:hAnsi="Franklin Gothic Book" w:cstheme="minorBidi"/>
          <w:iCs/>
          <w:lang w:eastAsia="en-US"/>
        </w:rPr>
        <w:fldChar w:fldCharType="separate"/>
      </w:r>
      <w:r w:rsidR="005F1F4A">
        <w:rPr>
          <w:rFonts w:ascii="Franklin Gothic Book" w:eastAsiaTheme="minorHAnsi" w:hAnsi="Franklin Gothic Book" w:cstheme="minorBidi"/>
          <w:iCs/>
          <w:noProof/>
          <w:lang w:eastAsia="en-US"/>
        </w:rPr>
        <w:t>(Boix &amp; Lorenzo-Zúñiga, 2011; Chandrasekhara et al., 2017; Li et al., 2021)</w:t>
      </w:r>
      <w:r w:rsidR="005F1F4A">
        <w:rPr>
          <w:rFonts w:ascii="Franklin Gothic Book" w:eastAsiaTheme="minorHAnsi" w:hAnsi="Franklin Gothic Book" w:cstheme="minorBidi"/>
          <w:iCs/>
          <w:lang w:eastAsia="en-US"/>
        </w:rPr>
        <w:fldChar w:fldCharType="end"/>
      </w:r>
      <w:r w:rsidRPr="008903D3">
        <w:rPr>
          <w:rFonts w:ascii="Franklin Gothic Book" w:eastAsiaTheme="minorHAnsi" w:hAnsi="Franklin Gothic Book" w:cstheme="minorBidi"/>
          <w:iCs/>
          <w:lang w:eastAsia="en-US"/>
        </w:rPr>
        <w:t>.</w:t>
      </w:r>
      <w:r w:rsidRPr="008903D3">
        <w:rPr>
          <w:rFonts w:ascii="Franklin Gothic Book" w:eastAsiaTheme="minorHAnsi" w:hAnsi="Franklin Gothic Book" w:cstheme="minorBidi"/>
          <w:lang w:eastAsia="en-US"/>
        </w:rPr>
        <w:t xml:space="preserve"> Additionally, POCPS-guided LL/EHL lowers the number of patients referred to surgical extraction (laparoscopic choledochotomy) which is a more invasive procedure associated with significantly longer hospital stays </w:t>
      </w:r>
      <w:r w:rsidR="005F1F4A">
        <w:rPr>
          <w:rFonts w:ascii="Franklin Gothic Book" w:eastAsiaTheme="minorHAnsi" w:hAnsi="Franklin Gothic Book" w:cstheme="minorBidi"/>
          <w:iCs/>
          <w:lang w:eastAsia="en-US"/>
        </w:rPr>
        <w:fldChar w:fldCharType="begin">
          <w:fldData xml:space="preserve">PEVuZE5vdGU+PENpdGU+PEF1dGhvcj5MaTwvQXV0aG9yPjxZZWFyPjIwMjE8L1llYXI+PFJlY051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</w:fldData>
        </w:fldChar>
      </w:r>
      <w:r w:rsidR="005F1F4A">
        <w:rPr>
          <w:rFonts w:ascii="Franklin Gothic Book" w:eastAsiaTheme="minorHAnsi" w:hAnsi="Franklin Gothic Book" w:cstheme="minorBidi"/>
          <w:iCs/>
          <w:lang w:eastAsia="en-US"/>
        </w:rPr>
        <w:instrText xml:space="preserve"> ADDIN EN.CITE </w:instrText>
      </w:r>
      <w:r w:rsidR="005F1F4A">
        <w:rPr>
          <w:rFonts w:ascii="Franklin Gothic Book" w:eastAsiaTheme="minorHAnsi" w:hAnsi="Franklin Gothic Book" w:cstheme="minorBidi"/>
          <w:iCs/>
          <w:lang w:eastAsia="en-US"/>
        </w:rPr>
        <w:fldChar w:fldCharType="begin">
          <w:fldData xml:space="preserve">PEVuZE5vdGU+PENpdGU+PEF1dGhvcj5MaTwvQXV0aG9yPjxZZWFyPjIwMjE8L1llYXI+PFJlY051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</w:fldData>
        </w:fldChar>
      </w:r>
      <w:r w:rsidR="005F1F4A">
        <w:rPr>
          <w:rFonts w:ascii="Franklin Gothic Book" w:eastAsiaTheme="minorHAnsi" w:hAnsi="Franklin Gothic Book" w:cstheme="minorBidi"/>
          <w:iCs/>
          <w:lang w:eastAsia="en-US"/>
        </w:rPr>
        <w:instrText xml:space="preserve"> ADDIN EN.CITE.DATA </w:instrText>
      </w:r>
      <w:r w:rsidR="005F1F4A">
        <w:rPr>
          <w:rFonts w:ascii="Franklin Gothic Book" w:eastAsiaTheme="minorHAnsi" w:hAnsi="Franklin Gothic Book" w:cstheme="minorBidi"/>
          <w:iCs/>
          <w:lang w:eastAsia="en-US"/>
        </w:rPr>
      </w:r>
      <w:r w:rsidR="005F1F4A">
        <w:rPr>
          <w:rFonts w:ascii="Franklin Gothic Book" w:eastAsiaTheme="minorHAnsi" w:hAnsi="Franklin Gothic Book" w:cstheme="minorBidi"/>
          <w:iCs/>
          <w:lang w:eastAsia="en-US"/>
        </w:rPr>
        <w:fldChar w:fldCharType="end"/>
      </w:r>
      <w:r w:rsidR="005F1F4A">
        <w:rPr>
          <w:rFonts w:ascii="Franklin Gothic Book" w:eastAsiaTheme="minorHAnsi" w:hAnsi="Franklin Gothic Book" w:cstheme="minorBidi"/>
          <w:iCs/>
          <w:lang w:eastAsia="en-US"/>
        </w:rPr>
      </w:r>
      <w:r w:rsidR="005F1F4A">
        <w:rPr>
          <w:rFonts w:ascii="Franklin Gothic Book" w:eastAsiaTheme="minorHAnsi" w:hAnsi="Franklin Gothic Book" w:cstheme="minorBidi"/>
          <w:iCs/>
          <w:lang w:eastAsia="en-US"/>
        </w:rPr>
        <w:fldChar w:fldCharType="separate"/>
      </w:r>
      <w:r w:rsidR="005F1F4A">
        <w:rPr>
          <w:rFonts w:ascii="Franklin Gothic Book" w:eastAsiaTheme="minorHAnsi" w:hAnsi="Franklin Gothic Book" w:cstheme="minorBidi"/>
          <w:iCs/>
          <w:noProof/>
          <w:lang w:eastAsia="en-US"/>
        </w:rPr>
        <w:t>(Li et al., 2021)</w:t>
      </w:r>
      <w:r w:rsidR="005F1F4A">
        <w:rPr>
          <w:rFonts w:ascii="Franklin Gothic Book" w:eastAsiaTheme="minorHAnsi" w:hAnsi="Franklin Gothic Book" w:cstheme="minorBidi"/>
          <w:iCs/>
          <w:lang w:eastAsia="en-US"/>
        </w:rPr>
        <w:fldChar w:fldCharType="end"/>
      </w:r>
      <w:r w:rsidRPr="008903D3">
        <w:rPr>
          <w:rFonts w:ascii="Franklin Gothic Book" w:eastAsiaTheme="minorHAnsi" w:hAnsi="Franklin Gothic Book" w:cstheme="minorBidi"/>
          <w:iCs/>
          <w:lang w:eastAsia="en-US"/>
        </w:rPr>
        <w:t>.</w:t>
      </w:r>
    </w:p>
    <w:p w14:paraId="643D6F02" w14:textId="01C42641" w:rsidR="007B6DDB" w:rsidRPr="00537849" w:rsidRDefault="007B6DDB" w:rsidP="00537849">
      <w:r w:rsidRPr="00537849">
        <w:t xml:space="preserve">Limitations of the studies mentioned in the clinical evaluation include a small number of participants in </w:t>
      </w:r>
      <w:r w:rsidR="005F1F4A" w:rsidRPr="00537849">
        <w:fldChar w:fldCharType="begin">
          <w:fldData xml:space="preserve">PEVuZE5vdGU+PENpdGU+PEF1dGhvcj5BbmdzdXdhdGNoYXJha29uPC9BdXRob3I+PFllYXI+MjAx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</w:fldData>
        </w:fldChar>
      </w:r>
      <w:r w:rsidR="005F1F4A" w:rsidRPr="00537849">
        <w:instrText xml:space="preserve"> ADDIN EN.CITE </w:instrText>
      </w:r>
      <w:r w:rsidR="005F1F4A" w:rsidRPr="00537849">
        <w:fldChar w:fldCharType="begin">
          <w:fldData xml:space="preserve">PEVuZE5vdGU+PENpdGU+PEF1dGhvcj5BbmdzdXdhdGNoYXJha29uPC9BdXRob3I+PFllYXI+MjAx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</w:fldData>
        </w:fldChar>
      </w:r>
      <w:r w:rsidR="005F1F4A" w:rsidRPr="00537849">
        <w:instrText xml:space="preserve"> ADDIN EN.CITE.DATA </w:instrText>
      </w:r>
      <w:r w:rsidR="005F1F4A" w:rsidRPr="00537849">
        <w:fldChar w:fldCharType="end"/>
      </w:r>
      <w:r w:rsidR="005F1F4A" w:rsidRPr="00537849">
        <w:fldChar w:fldCharType="separate"/>
      </w:r>
      <w:r w:rsidR="005F1F4A" w:rsidRPr="00537849">
        <w:t>(Angsuwatcharakon et al., 2019)</w:t>
      </w:r>
      <w:r w:rsidR="005F1F4A" w:rsidRPr="00537849">
        <w:fldChar w:fldCharType="end"/>
      </w:r>
      <w:r w:rsidRPr="00537849">
        <w:t xml:space="preserve">, and </w:t>
      </w:r>
      <w:r w:rsidR="00EE3236" w:rsidRPr="00537849">
        <w:t xml:space="preserve">different </w:t>
      </w:r>
      <w:r w:rsidRPr="00537849">
        <w:t xml:space="preserve">study locations for both RCTs, where the clinical setting, costs and practices may not fully reflect the Australian context. </w:t>
      </w:r>
      <w:r w:rsidR="00537849">
        <w:t>The commentary considered that i</w:t>
      </w:r>
      <w:r w:rsidRPr="00537849">
        <w:t>t is also unclear whether the 2021 Advisory Board has attempted to mitigate this uncertainty by validating these outcomes for the Australian setting. The Clinical Advisory Board Minutes Summary support</w:t>
      </w:r>
      <w:r w:rsidR="00CC0D57" w:rsidRPr="00537849">
        <w:t>s</w:t>
      </w:r>
      <w:r w:rsidRPr="00537849">
        <w:t xml:space="preserve"> the use of data from </w:t>
      </w:r>
      <w:r w:rsidR="005F1F4A" w:rsidRPr="00537849">
        <w:fldChar w:fldCharType="begin">
          <w:fldData xml:space="preserve">PEVuZE5vdGU+PENpdGUgQXV0aG9yWWVhcj0iMSI+PEF1dGhvcj5MaTwvQXV0aG9yPjxZZWFyPjIw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</w:fldData>
        </w:fldChar>
      </w:r>
      <w:r w:rsidR="005F1F4A" w:rsidRPr="00537849">
        <w:instrText xml:space="preserve"> ADDIN EN.CITE </w:instrText>
      </w:r>
      <w:r w:rsidR="005F1F4A" w:rsidRPr="00537849">
        <w:fldChar w:fldCharType="begin">
          <w:fldData xml:space="preserve">PEVuZE5vdGU+PENpdGUgQXV0aG9yWWVhcj0iMSI+PEF1dGhvcj5MaTwvQXV0aG9yPjxZZWFyPjIw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</w:fldData>
        </w:fldChar>
      </w:r>
      <w:r w:rsidR="005F1F4A" w:rsidRPr="00537849">
        <w:instrText xml:space="preserve"> ADDIN EN.CITE.DATA </w:instrText>
      </w:r>
      <w:r w:rsidR="005F1F4A" w:rsidRPr="00537849">
        <w:fldChar w:fldCharType="end"/>
      </w:r>
      <w:r w:rsidR="005F1F4A" w:rsidRPr="00537849">
        <w:fldChar w:fldCharType="separate"/>
      </w:r>
      <w:r w:rsidR="005F1F4A" w:rsidRPr="00537849">
        <w:t>Li et al. (2021)</w:t>
      </w:r>
      <w:r w:rsidR="005F1F4A" w:rsidRPr="00537849">
        <w:fldChar w:fldCharType="end"/>
      </w:r>
      <w:r w:rsidRPr="00537849">
        <w:t xml:space="preserve"> in the base case analysis due to the large number of participants and closely aligned estimates to those presented by physicians.</w:t>
      </w:r>
    </w:p>
    <w:p w14:paraId="47EF6578" w14:textId="3DCC2DB2" w:rsidR="007B6DDB" w:rsidRPr="00537849" w:rsidRDefault="007B6DDB" w:rsidP="00537849">
      <w:r w:rsidRPr="00537849">
        <w:t xml:space="preserve">The model structure used to assess the cost effectiveness of POCPS for therapeutic application is consistent with the feedback provided during the 2021 Advisory Board, international clinical guidelines </w:t>
      </w:r>
      <w:r w:rsidR="005F1F4A" w:rsidRPr="00537849">
        <w:fldChar w:fldCharType="begin"/>
      </w:r>
      <w:r w:rsidR="005F1F4A" w:rsidRPr="00537849">
        <w:instrText xml:space="preserve"> ADDIN EN.CITE &lt;EndNote&gt;&lt;Cite&gt;&lt;Author&gt;Williams&lt;/Author&gt;&lt;Year&gt;2017&lt;/Year&gt;&lt;RecNum&gt;5&lt;/RecNum&gt;&lt;DisplayText&gt;(Williams et al., 2017)&lt;/DisplayText&gt;&lt;record&gt;&lt;rec-number&gt;5&lt;/rec-number&gt;&lt;foreign-keys&gt;&lt;key app="EN" db-id="xrd5xtv9xdvftxetprq5st9c5trzx5z2xzpp" timestamp="1633407182"&gt;5&lt;/key&gt;&lt;/foreign-keys&gt;&lt;ref-type name="Journal Article"&gt;17&lt;/ref-type&gt;&lt;contributors&gt;&lt;authors&gt;&lt;author&gt;Williams, Earl&lt;/author&gt;&lt;author&gt;Beckingham, Ian&lt;/author&gt;&lt;author&gt;El Sayed, Ghassan&lt;/author&gt;&lt;author&gt;Gurusamy, Kurinchi&lt;/author&gt;&lt;author&gt;Sturgess, Richard&lt;/author&gt;&lt;author&gt;Webster, George&lt;/author&gt;&lt;author&gt;Young, Tudor&lt;/author&gt;&lt;/authors&gt;&lt;/contributors&gt;&lt;titles&gt;&lt;title&gt;Updated guideline on the management of common bile duct stones (CBDS)&lt;/title&gt;&lt;secondary-title&gt;Gut&lt;/secondary-title&gt;&lt;/titles&gt;&lt;periodical&gt;&lt;full-title&gt;Gut&lt;/full-title&gt;&lt;/periodical&gt;&lt;pages&gt;765&lt;/pages&gt;&lt;volume&gt;66&lt;/volume&gt;&lt;number&gt;5&lt;/number&gt;&lt;dates&gt;&lt;year&gt;2017&lt;/year&gt;&lt;/dates&gt;&lt;urls&gt;&lt;related-</w:instrText>
      </w:r>
      <w:r w:rsidR="005F1F4A" w:rsidRPr="00537849">
        <w:lastRenderedPageBreak/>
        <w:instrText>urls&gt;&lt;url&gt;http://gut.bmj.com/content/66/5/765.abstract&lt;/url&gt;&lt;url&gt;https://core.ac.uk/download/79554484.pdf&lt;/url&gt;&lt;/related-urls&gt;&lt;/urls&gt;&lt;electronic-resource-num&gt;10.1136/gutjnl-2016-312317&lt;/electronic-resource-num&gt;&lt;/record&gt;&lt;/Cite&gt;&lt;/EndNote&gt;</w:instrText>
      </w:r>
      <w:r w:rsidR="005F1F4A" w:rsidRPr="00537849">
        <w:fldChar w:fldCharType="separate"/>
      </w:r>
      <w:r w:rsidR="005F1F4A" w:rsidRPr="00537849">
        <w:t>(Williams et al., 2017)</w:t>
      </w:r>
      <w:r w:rsidR="005F1F4A" w:rsidRPr="00537849">
        <w:fldChar w:fldCharType="end"/>
      </w:r>
      <w:r w:rsidRPr="00537849">
        <w:t xml:space="preserve"> and several published economic analysis. A similar CEA structure was used in the recent POCPS evidence appraisal report by Health Technology Wales </w:t>
      </w:r>
      <w:r w:rsidR="005F1F4A" w:rsidRPr="00537849">
        <w:fldChar w:fldCharType="begin"/>
      </w:r>
      <w:r w:rsidR="005F1F4A" w:rsidRPr="00537849">
        <w:instrText xml:space="preserve"> ADDIN EN.CITE &lt;EndNote&gt;&lt;Cite&gt;&lt;Author&gt;Health Technology Wales&lt;/Author&gt;&lt;Year&gt;2020&lt;/Year&gt;&lt;RecNum&gt;131&lt;/RecNum&gt;&lt;DisplayText&gt;(Health Technology Wales, 2020)&lt;/DisplayText&gt;&lt;record&gt;&lt;rec-number&gt;131&lt;/rec-number&gt;&lt;foreign-keys&gt;&lt;key app="EN" db-id="xrd5xtv9xdvftxetprq5st9c5trzx5z2xzpp" timestamp="1633407200"&gt;131&lt;/key&gt;&lt;/foreign-keys&gt;&lt;ref-type name="Electronic Article"&gt;43&lt;/ref-type&gt;&lt;contributors&gt;&lt;authors&gt;&lt;author&gt;Health Technology Wales, &lt;/author&gt;&lt;/authors&gt;&lt;/contributors&gt;&lt;titles&gt;&lt;title&gt;Single-operator per-oral cholangioscopy for the evaluation and treatment of hepato-biliary-pancreatic disorders&lt;/title&gt;&lt;/titles&gt;&lt;dates&gt;&lt;year&gt;2020&lt;/year&gt;&lt;/dates&gt;&lt;urls&gt;&lt;related-urls&gt;&lt;url&gt;https://www.healthtechnology.wales/reports-guidance/spyglass-for-the-management-of-hepatobiliary-pancreatic-disorders/&lt;/url&gt;&lt;/related-urls&gt;&lt;/urls&gt;&lt;custom2&gt;02 August 2021&lt;/custom2&gt;&lt;/record&gt;&lt;/Cite&gt;&lt;/EndNote&gt;</w:instrText>
      </w:r>
      <w:r w:rsidR="005F1F4A" w:rsidRPr="00537849">
        <w:fldChar w:fldCharType="separate"/>
      </w:r>
      <w:r w:rsidR="005F1F4A" w:rsidRPr="00537849">
        <w:t>(Health Technology Wales, 2020)</w:t>
      </w:r>
      <w:r w:rsidR="005F1F4A" w:rsidRPr="00537849">
        <w:fldChar w:fldCharType="end"/>
      </w:r>
      <w:r w:rsidRPr="00537849">
        <w:t>.</w:t>
      </w:r>
    </w:p>
    <w:p w14:paraId="46149019" w14:textId="265C3339" w:rsidR="007B6DDB" w:rsidRPr="008D4CFA" w:rsidRDefault="007B6DDB" w:rsidP="006E2AB2">
      <w:pPr>
        <w:spacing w:after="240"/>
        <w:rPr>
          <w:rFonts w:cstheme="minorHAnsi"/>
          <w:iCs/>
        </w:rPr>
      </w:pPr>
      <w:r w:rsidRPr="008D4CFA">
        <w:rPr>
          <w:rFonts w:cstheme="minorHAnsi"/>
          <w:iCs/>
        </w:rPr>
        <w:t xml:space="preserve">The international clinical guidelines state that ERCP (supplemented by EPBD with prior sphincterotomy, mechanical lithotripsy or cholangioscopy) is a successful treatment for the removal of difficult ductal stones </w:t>
      </w:r>
      <w:r w:rsidR="005F1F4A" w:rsidRPr="008D4CFA">
        <w:rPr>
          <w:rFonts w:cstheme="minorHAnsi"/>
          <w:iCs/>
        </w:rPr>
        <w:fldChar w:fldCharType="begin"/>
      </w:r>
      <w:r w:rsidR="005F1F4A" w:rsidRPr="008D4CFA">
        <w:rPr>
          <w:rFonts w:cstheme="minorHAnsi"/>
          <w:iCs/>
        </w:rPr>
        <w:instrText xml:space="preserve"> ADDIN EN.CITE &lt;EndNote&gt;&lt;Cite&gt;&lt;Author&gt;Williams&lt;/Author&gt;&lt;Year&gt;2017&lt;/Year&gt;&lt;RecNum&gt;5&lt;/RecNum&gt;&lt;DisplayText&gt;(Williams et al., 2017)&lt;/DisplayText&gt;&lt;record&gt;&lt;rec-number&gt;5&lt;/rec-number&gt;&lt;foreign-keys&gt;&lt;key app="EN" db-id="xrd5xtv9xdvftxetprq5st9c5trzx5z2xzpp" timestamp="1633407182"&gt;5&lt;/key&gt;&lt;/foreign-keys&gt;&lt;ref-type name="Journal Article"&gt;17&lt;/ref-type&gt;&lt;contributors&gt;&lt;authors&gt;&lt;author&gt;Williams, Earl&lt;/author&gt;&lt;author&gt;Beckingham, Ian&lt;/author&gt;&lt;author&gt;El Sayed, Ghassan&lt;/author&gt;&lt;author&gt;Gurusamy, Kurinchi&lt;/author&gt;&lt;author&gt;Sturgess, Richard&lt;/author&gt;&lt;author&gt;Webster, George&lt;/author&gt;&lt;author&gt;Young, Tudor&lt;/author&gt;&lt;/authors&gt;&lt;/contributors&gt;&lt;titles&gt;&lt;title&gt;Updated guideline on the management of common bile duct stones (CBDS)&lt;/title&gt;&lt;secondary-title&gt;Gut&lt;/secondary-title&gt;&lt;/titles&gt;&lt;periodical&gt;&lt;full-title&gt;Gut&lt;/full-title&gt;&lt;/periodical&gt;&lt;pages&gt;765&lt;/pages&gt;&lt;volume&gt;66&lt;/volume&gt;&lt;number&gt;5&lt;/number&gt;&lt;dates&gt;&lt;year&gt;2017&lt;/year&gt;&lt;/dates&gt;&lt;urls&gt;&lt;related-urls&gt;&lt;url&gt;http://gut.bmj.com/content/66/5/765.abstract&lt;/url&gt;&lt;url&gt;https://core.ac.uk/download/79554484.pdf&lt;/url&gt;&lt;/related-urls&gt;&lt;/urls&gt;&lt;electronic-resource-num&gt;10.1136/gutjnl-2016-312317&lt;/electronic-resource-num&gt;&lt;/record&gt;&lt;/Cite&gt;&lt;/EndNote&gt;</w:instrText>
      </w:r>
      <w:r w:rsidR="005F1F4A" w:rsidRPr="008D4CFA">
        <w:rPr>
          <w:rFonts w:cstheme="minorHAnsi"/>
          <w:iCs/>
        </w:rPr>
        <w:fldChar w:fldCharType="separate"/>
      </w:r>
      <w:r w:rsidR="005F1F4A" w:rsidRPr="008D4CFA">
        <w:rPr>
          <w:rFonts w:cstheme="minorHAnsi"/>
          <w:iCs/>
          <w:noProof/>
        </w:rPr>
        <w:t>(Williams et al., 2017)</w:t>
      </w:r>
      <w:r w:rsidR="005F1F4A" w:rsidRPr="008D4CFA">
        <w:rPr>
          <w:rFonts w:cstheme="minorHAnsi"/>
          <w:iCs/>
        </w:rPr>
        <w:fldChar w:fldCharType="end"/>
      </w:r>
      <w:r w:rsidRPr="008D4CFA">
        <w:rPr>
          <w:rFonts w:cstheme="minorHAnsi"/>
          <w:iCs/>
        </w:rPr>
        <w:t>. The alternative in the model for ERCP is choledochotomy, which is also assumed in the guidelines as an appropriate surgical extraction method. Additionally, the guidelines note that the use of EHL or LL should be considered where options fail to achieve duct clearance, which is consistent with the intervention in the ADAR.</w:t>
      </w:r>
    </w:p>
    <w:p w14:paraId="2A5FBDED" w14:textId="55D4F42B" w:rsidR="001E1264" w:rsidRPr="00A902AE" w:rsidRDefault="007B6DDB" w:rsidP="00096324">
      <w:pPr>
        <w:spacing w:after="240"/>
        <w:rPr>
          <w:rFonts w:cstheme="minorHAnsi"/>
          <w:iCs/>
        </w:rPr>
      </w:pPr>
      <w:r w:rsidRPr="008D4CFA">
        <w:rPr>
          <w:rFonts w:cstheme="minorHAnsi"/>
          <w:iCs/>
        </w:rPr>
        <w:t>The</w:t>
      </w:r>
      <w:r w:rsidR="008D4CFA" w:rsidRPr="008D4CFA">
        <w:rPr>
          <w:rFonts w:cstheme="minorHAnsi"/>
          <w:iCs/>
        </w:rPr>
        <w:t xml:space="preserve"> commentary noted the</w:t>
      </w:r>
      <w:r w:rsidRPr="008D4CFA">
        <w:rPr>
          <w:rFonts w:cstheme="minorHAnsi"/>
          <w:iCs/>
        </w:rPr>
        <w:t xml:space="preserve"> model structure in the ADAR is similar to that developed by Health Technology Wales </w:t>
      </w:r>
      <w:r w:rsidR="00371152" w:rsidRPr="008D4CFA">
        <w:rPr>
          <w:rFonts w:cstheme="minorHAnsi"/>
          <w:iCs/>
        </w:rPr>
        <w:t xml:space="preserve">(HTW) </w:t>
      </w:r>
      <w:r w:rsidRPr="008D4CFA">
        <w:rPr>
          <w:rFonts w:cstheme="minorHAnsi"/>
          <w:iCs/>
        </w:rPr>
        <w:t>in terms of the comparators for diagnostic and therapeutic applications of POCPS, model structure and outcomes. Key differences include the cost data and resource utilisation. Additionally, the HTW model considers POCPS in comparison to conventional therapy</w:t>
      </w:r>
      <w:r w:rsidR="00877CF4" w:rsidRPr="008D4CFA">
        <w:rPr>
          <w:rFonts w:cstheme="minorHAnsi"/>
          <w:iCs/>
        </w:rPr>
        <w:t xml:space="preserve"> </w:t>
      </w:r>
      <w:r w:rsidR="00371152" w:rsidRPr="008D4CFA">
        <w:rPr>
          <w:rFonts w:cstheme="minorHAnsi"/>
          <w:iCs/>
        </w:rPr>
        <w:t xml:space="preserve">as a first line treatment for the removal of difficult biliary stones, </w:t>
      </w:r>
      <w:r w:rsidR="00877CF4" w:rsidRPr="008D4CFA">
        <w:rPr>
          <w:rFonts w:cstheme="minorHAnsi"/>
          <w:iCs/>
        </w:rPr>
        <w:t>and</w:t>
      </w:r>
      <w:r w:rsidRPr="008D4CFA">
        <w:rPr>
          <w:rFonts w:cstheme="minorHAnsi"/>
          <w:iCs/>
        </w:rPr>
        <w:t xml:space="preserve"> POCPS </w:t>
      </w:r>
      <w:r w:rsidR="00371152" w:rsidRPr="008D4CFA">
        <w:rPr>
          <w:rFonts w:cstheme="minorHAnsi"/>
          <w:iCs/>
        </w:rPr>
        <w:t xml:space="preserve">intervention </w:t>
      </w:r>
      <w:r w:rsidRPr="008D4CFA">
        <w:rPr>
          <w:rFonts w:cstheme="minorHAnsi"/>
          <w:iCs/>
        </w:rPr>
        <w:t>after unsuccessful ERC.</w:t>
      </w:r>
      <w:r w:rsidR="008D4CFA" w:rsidRPr="008D4CFA">
        <w:rPr>
          <w:rFonts w:cstheme="minorHAnsi"/>
          <w:iCs/>
        </w:rPr>
        <w:t xml:space="preserve"> </w:t>
      </w:r>
      <w:r w:rsidRPr="008D4CFA">
        <w:rPr>
          <w:rFonts w:cstheme="minorHAnsi"/>
          <w:iCs/>
        </w:rPr>
        <w:t xml:space="preserve">While there may be greater certainty with a cost-effectiveness analysis, </w:t>
      </w:r>
      <w:r w:rsidR="008D4CFA" w:rsidRPr="008D4CFA">
        <w:rPr>
          <w:rFonts w:cstheme="minorHAnsi"/>
          <w:iCs/>
        </w:rPr>
        <w:t xml:space="preserve">the commentary considered that </w:t>
      </w:r>
      <w:r w:rsidRPr="008D4CFA">
        <w:rPr>
          <w:rFonts w:cstheme="minorHAnsi"/>
          <w:iCs/>
        </w:rPr>
        <w:t xml:space="preserve">a cost-utility model is more informative when comparing across health technology assessments, and therefore beneficial in the decision-making process. While the HTW model did not provide a cost-utility model for the therapeutic application, a cost-utility </w:t>
      </w:r>
      <w:r w:rsidRPr="008D4CFA">
        <w:rPr>
          <w:rFonts w:cstheme="minorHAnsi"/>
          <w:iCs/>
        </w:rPr>
        <w:lastRenderedPageBreak/>
        <w:t>model was reported for the investigative application, and as such enough evidence may be available for a cost-utility model, at least for the investigative application.</w:t>
      </w:r>
      <w:bookmarkStart w:id="108" w:name="_Ref88830118"/>
      <w:bookmarkStart w:id="109" w:name="_Ref88830114"/>
    </w:p>
    <w:bookmarkEnd w:id="108"/>
    <w:bookmarkEnd w:id="109"/>
    <w:p w14:paraId="2E3C8EBD" w14:textId="77777777" w:rsidR="007B6DDB" w:rsidRDefault="22F24E05" w:rsidP="007B6DDB">
      <w:pPr>
        <w:pStyle w:val="Heading4"/>
      </w:pPr>
      <w:r>
        <w:t>Investigative application</w:t>
      </w:r>
    </w:p>
    <w:p w14:paraId="53DBC8C6" w14:textId="593FB7D6" w:rsidR="00D2449D" w:rsidRDefault="22F24E05" w:rsidP="00096324">
      <w:pPr>
        <w:pStyle w:val="BodyText"/>
        <w:spacing w:before="120" w:after="240" w:line="259" w:lineRule="auto"/>
        <w:rPr>
          <w:rFonts w:ascii="Franklin Gothic Book" w:eastAsiaTheme="minorEastAsia" w:hAnsi="Franklin Gothic Book" w:cstheme="minorBidi"/>
          <w:lang w:eastAsia="en-US"/>
        </w:rPr>
      </w:pPr>
      <w:r w:rsidRPr="111B45FF">
        <w:rPr>
          <w:rFonts w:ascii="Franklin Gothic Book" w:eastAsiaTheme="minorEastAsia" w:hAnsi="Franklin Gothic Book" w:cstheme="minorBidi"/>
          <w:lang w:eastAsia="en-US"/>
        </w:rPr>
        <w:t>The clinical evaluation demonstrates that relative to ERCP-guided brush cytology and/or intraductal biopsy, POCPS-guided visualisation and biopsy has superior effectiveness and non-inferior safety.</w:t>
      </w:r>
    </w:p>
    <w:p w14:paraId="06C57F4B" w14:textId="0029158D" w:rsidR="007B6DDB" w:rsidRPr="008903D3" w:rsidRDefault="007B6DDB" w:rsidP="00096324">
      <w:pPr>
        <w:pStyle w:val="BodyText"/>
        <w:spacing w:before="120" w:after="240" w:line="259" w:lineRule="auto"/>
        <w:rPr>
          <w:rFonts w:ascii="Franklin Gothic Book" w:eastAsiaTheme="minorHAnsi" w:hAnsi="Franklin Gothic Book" w:cstheme="minorBidi"/>
          <w:lang w:eastAsia="en-US"/>
        </w:rPr>
      </w:pPr>
      <w:r w:rsidRPr="008903D3">
        <w:rPr>
          <w:rFonts w:ascii="Franklin Gothic Book" w:eastAsiaTheme="minorHAnsi" w:hAnsi="Franklin Gothic Book" w:cstheme="minorBidi"/>
          <w:lang w:eastAsia="en-US"/>
        </w:rPr>
        <w:t>This submission presents a CEA to assess the value of POCPS-guided visualisation and biopsy compared to ERCP-guided brush cytology and/or intraductal biopsy, and the downstream healthcare resource utilisation associated with indeterminate biliary strictures given the complexity of the potential downstream impacts following the diagnosis.  The reason why a CEA was preferred to a CUA for this submission is due to the complexity of the downstream healthcare resources utilisation associated with the diagnosis of indeterminate biliary strictures. PASC considered that sufficient data may not be available about the downstream consequences given the multiple potential diagnoses/outcomes, which would make the results of the assessment highly uncertain (1673 Ratified PICO, page 19).</w:t>
      </w:r>
    </w:p>
    <w:p w14:paraId="09DF264D" w14:textId="45E7D573" w:rsidR="002D1ED5" w:rsidRPr="00537849" w:rsidRDefault="00726CCD" w:rsidP="00096324">
      <w:pPr>
        <w:pStyle w:val="Instructionaltext"/>
        <w:spacing w:after="240"/>
        <w:rPr>
          <w:rFonts w:eastAsia="Times New Roman" w:cs="Tahoma"/>
          <w:i/>
          <w:iCs/>
          <w:color w:val="auto"/>
          <w:lang w:eastAsia="en-AU"/>
        </w:rPr>
      </w:pPr>
      <w:r w:rsidRPr="00726CCD">
        <w:rPr>
          <w:rFonts w:eastAsia="Times New Roman" w:cs="Tahoma"/>
          <w:color w:val="auto"/>
          <w:lang w:eastAsia="en-AU"/>
        </w:rPr>
        <w:t>The commentary considered that t</w:t>
      </w:r>
      <w:r w:rsidR="30B46648" w:rsidRPr="00726CCD">
        <w:rPr>
          <w:rFonts w:eastAsia="Times New Roman" w:cs="Tahoma"/>
          <w:color w:val="auto"/>
          <w:lang w:eastAsia="en-AU"/>
        </w:rPr>
        <w:t xml:space="preserve">his approach is appropriate given the clinical claims and availability of healthcare resource utilisation </w:t>
      </w:r>
      <w:r w:rsidR="00753A67" w:rsidRPr="00726CCD">
        <w:rPr>
          <w:rFonts w:eastAsia="Times New Roman" w:cs="Tahoma"/>
          <w:color w:val="auto"/>
          <w:lang w:eastAsia="en-AU"/>
        </w:rPr>
        <w:t>da</w:t>
      </w:r>
      <w:r w:rsidR="00753A67" w:rsidRPr="00726CCD">
        <w:rPr>
          <w:rFonts w:eastAsiaTheme="minorEastAsia"/>
          <w:color w:val="auto"/>
          <w:lang w:eastAsia="en-AU"/>
        </w:rPr>
        <w:t>ta.</w:t>
      </w:r>
      <w:r w:rsidR="00753A67" w:rsidRPr="00726CCD">
        <w:rPr>
          <w:rFonts w:eastAsia="Times New Roman" w:cs="Tahoma"/>
          <w:iCs/>
          <w:color w:val="auto"/>
          <w:lang w:eastAsia="en-AU"/>
        </w:rPr>
        <w:t xml:space="preserve"> The</w:t>
      </w:r>
      <w:r w:rsidRPr="00726CCD">
        <w:rPr>
          <w:rFonts w:eastAsia="Times New Roman" w:cs="Tahoma"/>
          <w:iCs/>
          <w:color w:val="auto"/>
          <w:lang w:eastAsia="en-AU"/>
        </w:rPr>
        <w:t xml:space="preserve"> commentary </w:t>
      </w:r>
      <w:r w:rsidR="002D1ED5" w:rsidRPr="00726CCD">
        <w:rPr>
          <w:rFonts w:eastAsia="Times New Roman" w:cs="Tahoma"/>
          <w:iCs/>
          <w:color w:val="auto"/>
          <w:lang w:eastAsia="en-AU"/>
        </w:rPr>
        <w:t xml:space="preserve">noted that HTW reported a cost-utility for the investigative application, and as such enough evidence may be available for a cost-utility model </w:t>
      </w:r>
      <w:r w:rsidR="005F1F4A" w:rsidRPr="00726CCD">
        <w:rPr>
          <w:rFonts w:eastAsia="Times New Roman" w:cs="Tahoma"/>
          <w:iCs/>
          <w:color w:val="auto"/>
          <w:lang w:eastAsia="en-AU"/>
        </w:rPr>
        <w:fldChar w:fldCharType="begin"/>
      </w:r>
      <w:r w:rsidR="005F1F4A" w:rsidRPr="00726CCD">
        <w:rPr>
          <w:rFonts w:eastAsia="Times New Roman" w:cs="Tahoma"/>
          <w:iCs/>
          <w:color w:val="auto"/>
          <w:lang w:eastAsia="en-AU"/>
        </w:rPr>
        <w:instrText xml:space="preserve"> ADDIN EN.CITE &lt;EndNote&gt;&lt;Cite&gt;&lt;Author&gt;Health Technology Wales&lt;/Author&gt;&lt;Year&gt;2020&lt;/Year&gt;&lt;RecNum&gt;131&lt;/RecNum&gt;&lt;DisplayText&gt;(Health Technology Wales, 2020)&lt;/DisplayText&gt;&lt;record&gt;&lt;rec-number&gt;131&lt;/rec-number&gt;&lt;foreign-keys&gt;&lt;key app="EN" db-id="xrd5xtv9xdvftxetprq5st9c5trzx5z2xzpp" timestamp="1633407200"&gt;131&lt;/key&gt;&lt;/foreign-keys&gt;&lt;ref-type name="Electronic Article"&gt;43&lt;/ref-type&gt;&lt;contributors&gt;&lt;authors&gt;&lt;author&gt;Health Technology Wales, &lt;/author&gt;&lt;/authors&gt;&lt;/contributors&gt;&lt;titles&gt;&lt;title&gt;Single-operator per-oral cholangioscopy for the evaluation and treatment of hepato-biliary-pancreatic disorders&lt;/title&gt;&lt;/titles&gt;&lt;dates&gt;&lt;year&gt;2020&lt;/year&gt;&lt;/dates&gt;&lt;urls&gt;&lt;related-urls&gt;&lt;url&gt;https://www.healthtechnology.wales/reports-guidance/spyglass-for-the-management-of-hepatobiliary-pancreatic-disorders/&lt;/url&gt;&lt;/related-urls&gt;&lt;/urls&gt;&lt;custom2&gt;02 August 2021&lt;/custom2&gt;&lt;/record&gt;&lt;/Cite&gt;&lt;/EndNote&gt;</w:instrText>
      </w:r>
      <w:r w:rsidR="005F1F4A" w:rsidRPr="00726CCD">
        <w:rPr>
          <w:rFonts w:eastAsia="Times New Roman" w:cs="Tahoma"/>
          <w:iCs/>
          <w:color w:val="auto"/>
          <w:lang w:eastAsia="en-AU"/>
        </w:rPr>
        <w:fldChar w:fldCharType="separate"/>
      </w:r>
      <w:r w:rsidR="005F1F4A" w:rsidRPr="00726CCD">
        <w:rPr>
          <w:rFonts w:eastAsia="Times New Roman" w:cs="Tahoma"/>
          <w:iCs/>
          <w:noProof/>
          <w:color w:val="auto"/>
          <w:lang w:eastAsia="en-AU"/>
        </w:rPr>
        <w:t>(Health Technology Wales, 2020)</w:t>
      </w:r>
      <w:r w:rsidR="005F1F4A" w:rsidRPr="00726CCD">
        <w:rPr>
          <w:rFonts w:eastAsia="Times New Roman" w:cs="Tahoma"/>
          <w:iCs/>
          <w:color w:val="auto"/>
          <w:lang w:eastAsia="en-AU"/>
        </w:rPr>
        <w:fldChar w:fldCharType="end"/>
      </w:r>
      <w:r w:rsidR="002D1ED5" w:rsidRPr="00726CCD">
        <w:rPr>
          <w:rFonts w:eastAsia="Times New Roman" w:cs="Tahoma"/>
          <w:iCs/>
          <w:color w:val="auto"/>
          <w:lang w:eastAsia="en-AU"/>
        </w:rPr>
        <w:t>.</w:t>
      </w:r>
    </w:p>
    <w:p w14:paraId="50CD035B" w14:textId="69F484DA" w:rsidR="007B6DDB" w:rsidRPr="008903D3" w:rsidRDefault="007B6DDB" w:rsidP="00096324">
      <w:pPr>
        <w:pStyle w:val="BodyText"/>
        <w:spacing w:before="120" w:after="240" w:line="259" w:lineRule="auto"/>
        <w:rPr>
          <w:rFonts w:ascii="Franklin Gothic Book" w:eastAsiaTheme="minorHAnsi" w:hAnsi="Franklin Gothic Book" w:cstheme="minorBidi"/>
          <w:lang w:eastAsia="en-US"/>
        </w:rPr>
      </w:pPr>
      <w:r w:rsidRPr="008903D3">
        <w:rPr>
          <w:rFonts w:ascii="Franklin Gothic Book" w:eastAsiaTheme="minorHAnsi" w:hAnsi="Franklin Gothic Book" w:cstheme="minorBidi"/>
          <w:lang w:eastAsia="en-US"/>
        </w:rPr>
        <w:t xml:space="preserve">To determine the cost effectiveness of POCPS-guided visualisation and biopsy in patients with indeterminate biliary strictures, incremental cost per correctly diagnosed patient was calculated using the data from key trials presented in the clinical evaluation </w:t>
      </w:r>
      <w:r w:rsidR="005F1F4A">
        <w:rPr>
          <w:rFonts w:ascii="Franklin Gothic Book" w:eastAsiaTheme="minorHAnsi" w:hAnsi="Franklin Gothic Book" w:cstheme="minorBidi"/>
          <w:iCs/>
          <w:lang w:eastAsia="en-US"/>
        </w:rPr>
        <w:fldChar w:fldCharType="begin">
          <w:fldData xml:space="preserve">PEVuZE5vdGU+PENpdGU+PEF1dGhvcj5NaW5hbWk8L0F1dGhvcj48WWVhcj4yMDIxPC9ZZWFyPjxS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</w:fldData>
        </w:fldChar>
      </w:r>
      <w:r w:rsidR="005F1F4A">
        <w:rPr>
          <w:rFonts w:ascii="Franklin Gothic Book" w:eastAsiaTheme="minorHAnsi" w:hAnsi="Franklin Gothic Book" w:cstheme="minorBidi"/>
          <w:iCs/>
          <w:lang w:eastAsia="en-US"/>
        </w:rPr>
        <w:instrText xml:space="preserve"> ADDIN EN.CITE </w:instrText>
      </w:r>
      <w:r w:rsidR="005F1F4A">
        <w:rPr>
          <w:rFonts w:ascii="Franklin Gothic Book" w:eastAsiaTheme="minorHAnsi" w:hAnsi="Franklin Gothic Book" w:cstheme="minorBidi"/>
          <w:iCs/>
          <w:lang w:eastAsia="en-US"/>
        </w:rPr>
        <w:fldChar w:fldCharType="begin">
          <w:fldData xml:space="preserve">PEVuZE5vdGU+PENpdGU+PEF1dGhvcj5NaW5hbWk8L0F1dGhvcj48WWVhcj4yMDIxPC9ZZWFyPjxS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</w:fldData>
        </w:fldChar>
      </w:r>
      <w:r w:rsidR="005F1F4A">
        <w:rPr>
          <w:rFonts w:ascii="Franklin Gothic Book" w:eastAsiaTheme="minorHAnsi" w:hAnsi="Franklin Gothic Book" w:cstheme="minorBidi"/>
          <w:iCs/>
          <w:lang w:eastAsia="en-US"/>
        </w:rPr>
        <w:instrText xml:space="preserve"> ADDIN EN.CITE.DATA </w:instrText>
      </w:r>
      <w:r w:rsidR="005F1F4A">
        <w:rPr>
          <w:rFonts w:ascii="Franklin Gothic Book" w:eastAsiaTheme="minorHAnsi" w:hAnsi="Franklin Gothic Book" w:cstheme="minorBidi"/>
          <w:iCs/>
          <w:lang w:eastAsia="en-US"/>
        </w:rPr>
      </w:r>
      <w:r w:rsidR="005F1F4A">
        <w:rPr>
          <w:rFonts w:ascii="Franklin Gothic Book" w:eastAsiaTheme="minorHAnsi" w:hAnsi="Franklin Gothic Book" w:cstheme="minorBidi"/>
          <w:iCs/>
          <w:lang w:eastAsia="en-US"/>
        </w:rPr>
        <w:fldChar w:fldCharType="end"/>
      </w:r>
      <w:r w:rsidR="005F1F4A">
        <w:rPr>
          <w:rFonts w:ascii="Franklin Gothic Book" w:eastAsiaTheme="minorHAnsi" w:hAnsi="Franklin Gothic Book" w:cstheme="minorBidi"/>
          <w:iCs/>
          <w:lang w:eastAsia="en-US"/>
        </w:rPr>
      </w:r>
      <w:r w:rsidR="005F1F4A">
        <w:rPr>
          <w:rFonts w:ascii="Franklin Gothic Book" w:eastAsiaTheme="minorHAnsi" w:hAnsi="Franklin Gothic Book" w:cstheme="minorBidi"/>
          <w:iCs/>
          <w:lang w:eastAsia="en-US"/>
        </w:rPr>
        <w:fldChar w:fldCharType="separate"/>
      </w:r>
      <w:r w:rsidR="005F1F4A">
        <w:rPr>
          <w:rFonts w:ascii="Franklin Gothic Book" w:eastAsiaTheme="minorHAnsi" w:hAnsi="Franklin Gothic Book" w:cstheme="minorBidi"/>
          <w:iCs/>
          <w:noProof/>
          <w:lang w:eastAsia="en-US"/>
        </w:rPr>
        <w:t>(Minami et al., 2021; Navaneethan et al., 2015b)</w:t>
      </w:r>
      <w:r w:rsidR="005F1F4A">
        <w:rPr>
          <w:rFonts w:ascii="Franklin Gothic Book" w:eastAsiaTheme="minorHAnsi" w:hAnsi="Franklin Gothic Book" w:cstheme="minorBidi"/>
          <w:iCs/>
          <w:lang w:eastAsia="en-US"/>
        </w:rPr>
        <w:fldChar w:fldCharType="end"/>
      </w:r>
      <w:r w:rsidRPr="008903D3">
        <w:rPr>
          <w:rFonts w:ascii="Franklin Gothic Book" w:eastAsiaTheme="minorHAnsi" w:hAnsi="Franklin Gothic Book" w:cstheme="minorBidi"/>
          <w:iCs/>
          <w:lang w:eastAsia="en-US"/>
        </w:rPr>
        <w:t>.</w:t>
      </w:r>
      <w:r w:rsidRPr="008903D3">
        <w:rPr>
          <w:rFonts w:ascii="Franklin Gothic Book" w:eastAsiaTheme="minorHAnsi" w:hAnsi="Franklin Gothic Book" w:cstheme="minorBidi"/>
          <w:lang w:eastAsia="en-US"/>
        </w:rPr>
        <w:t xml:space="preserve"> Reducing the number of patients with benign strictures </w:t>
      </w:r>
      <w:r w:rsidR="001344B1">
        <w:rPr>
          <w:rFonts w:ascii="Franklin Gothic Book" w:eastAsiaTheme="minorHAnsi" w:hAnsi="Franklin Gothic Book" w:cstheme="minorBidi"/>
          <w:lang w:eastAsia="en-US"/>
        </w:rPr>
        <w:t xml:space="preserve">who are </w:t>
      </w:r>
      <w:r w:rsidRPr="008903D3">
        <w:rPr>
          <w:rFonts w:ascii="Franklin Gothic Book" w:eastAsiaTheme="minorHAnsi" w:hAnsi="Franklin Gothic Book" w:cstheme="minorBidi"/>
          <w:lang w:eastAsia="en-US"/>
        </w:rPr>
        <w:t xml:space="preserve">incorrectly referred to surgery avoids several poor patient outcomes, including prolonged hospital stays, increased medical costs and mortality. Additionally, due to the lower number of indeterminate results, POCPS-guided visualisation reduces the number of repeated ERCP procedures, improving patient safety and reducing costs </w:t>
      </w:r>
      <w:r w:rsidR="005F1F4A">
        <w:rPr>
          <w:rFonts w:ascii="Franklin Gothic Book" w:eastAsiaTheme="minorHAnsi" w:hAnsi="Franklin Gothic Book" w:cstheme="minorBidi"/>
          <w:iCs/>
          <w:lang w:eastAsia="en-US"/>
        </w:rPr>
        <w:fldChar w:fldCharType="begin"/>
      </w:r>
      <w:r w:rsidR="005F1F4A">
        <w:rPr>
          <w:rFonts w:ascii="Franklin Gothic Book" w:eastAsiaTheme="minorHAnsi" w:hAnsi="Franklin Gothic Book" w:cstheme="minorBidi"/>
          <w:iCs/>
          <w:lang w:eastAsia="en-US"/>
        </w:rPr>
        <w:instrText xml:space="preserve"> ADDIN EN.CITE &lt;EndNote&gt;&lt;Cite ExcludeYear="1"&gt;&lt;Author&gt;ASGE&lt;/Author&gt;&lt;Year&gt;2020&lt;/Year&gt;&lt;RecNum&gt;25&lt;/RecNum&gt;&lt;DisplayText&gt;(ASGE)&lt;/DisplayText&gt;&lt;record&gt;&lt;rec-number&gt;25&lt;/rec-number&gt;&lt;foreign-keys&gt;&lt;key app="EN" db-id="xrd5xtv9xdvftxetprq5st9c5trzx5z2xzpp" timestamp="1633407183"&gt;25&lt;/key&gt;&lt;/foreign-keys&gt;&lt;ref-type name="Electronic Article"&gt;43&lt;/ref-type&gt;&lt;contributors&gt;&lt;authors&gt;&lt;author&gt;ASGE,&lt;/author&gt;&lt;/authors&gt;&lt;/contributors&gt;&lt;titles&gt;&lt;title&gt;Understanding ERCP&lt;/title&gt;&lt;/titles&gt;&lt;dates&gt;&lt;year&gt;2020&lt;/year&gt;&lt;/dates&gt;&lt;urls&gt;&lt;related-urls&gt;&lt;url&gt;https://www.asge.org/home/for-patients/patient-information/understanding-ercp&lt;/url&gt;&lt;/related-urls&gt;&lt;/urls&gt;&lt;custom2&gt;7 July </w:instrText>
      </w:r>
      <w:r w:rsidR="005F1F4A">
        <w:rPr>
          <w:rFonts w:ascii="Franklin Gothic Book" w:eastAsiaTheme="minorHAnsi" w:hAnsi="Franklin Gothic Book" w:cstheme="minorBidi"/>
          <w:iCs/>
          <w:lang w:eastAsia="en-US"/>
        </w:rPr>
        <w:lastRenderedPageBreak/>
        <w:instrText>2021&lt;/custom2&gt;&lt;/record&gt;&lt;/Cite&gt;&lt;/EndNote&gt;</w:instrText>
      </w:r>
      <w:r w:rsidR="005F1F4A">
        <w:rPr>
          <w:rFonts w:ascii="Franklin Gothic Book" w:eastAsiaTheme="minorHAnsi" w:hAnsi="Franklin Gothic Book" w:cstheme="minorBidi"/>
          <w:iCs/>
          <w:lang w:eastAsia="en-US"/>
        </w:rPr>
        <w:fldChar w:fldCharType="separate"/>
      </w:r>
      <w:r w:rsidR="005F1F4A">
        <w:rPr>
          <w:rFonts w:ascii="Franklin Gothic Book" w:eastAsiaTheme="minorHAnsi" w:hAnsi="Franklin Gothic Book" w:cstheme="minorBidi"/>
          <w:iCs/>
          <w:noProof/>
          <w:lang w:eastAsia="en-US"/>
        </w:rPr>
        <w:t>(ASGE)</w:t>
      </w:r>
      <w:r w:rsidR="005F1F4A">
        <w:rPr>
          <w:rFonts w:ascii="Franklin Gothic Book" w:eastAsiaTheme="minorHAnsi" w:hAnsi="Franklin Gothic Book" w:cstheme="minorBidi"/>
          <w:iCs/>
          <w:lang w:eastAsia="en-US"/>
        </w:rPr>
        <w:fldChar w:fldCharType="end"/>
      </w:r>
      <w:r w:rsidRPr="008903D3">
        <w:rPr>
          <w:rFonts w:ascii="Franklin Gothic Book" w:eastAsiaTheme="minorHAnsi" w:hAnsi="Franklin Gothic Book" w:cstheme="minorBidi"/>
          <w:iCs/>
          <w:lang w:eastAsia="en-US"/>
        </w:rPr>
        <w:t>.</w:t>
      </w:r>
      <w:r w:rsidRPr="008903D3">
        <w:rPr>
          <w:rFonts w:ascii="Franklin Gothic Book" w:eastAsiaTheme="minorHAnsi" w:hAnsi="Franklin Gothic Book" w:cstheme="minorBidi"/>
          <w:lang w:eastAsia="en-US"/>
        </w:rPr>
        <w:t xml:space="preserve"> These repeated procedures may also lead to a substantial delay in diagnosis, </w:t>
      </w:r>
      <w:r w:rsidR="001344B1">
        <w:rPr>
          <w:rFonts w:ascii="Franklin Gothic Book" w:eastAsiaTheme="minorHAnsi" w:hAnsi="Franklin Gothic Book" w:cstheme="minorBidi"/>
          <w:lang w:eastAsia="en-US"/>
        </w:rPr>
        <w:t>particularly</w:t>
      </w:r>
      <w:r w:rsidR="001344B1" w:rsidRPr="008903D3">
        <w:rPr>
          <w:rFonts w:ascii="Franklin Gothic Book" w:eastAsiaTheme="minorHAnsi" w:hAnsi="Franklin Gothic Book" w:cstheme="minorBidi"/>
          <w:lang w:eastAsia="en-US"/>
        </w:rPr>
        <w:t xml:space="preserve"> </w:t>
      </w:r>
      <w:r w:rsidRPr="008903D3">
        <w:rPr>
          <w:rFonts w:ascii="Franklin Gothic Book" w:eastAsiaTheme="minorHAnsi" w:hAnsi="Franklin Gothic Book" w:cstheme="minorBidi"/>
          <w:lang w:eastAsia="en-US"/>
        </w:rPr>
        <w:t xml:space="preserve">considering patients with inconclusive results must wait at least three months between each ERCP procedure. Delays in diagnosing malignancy place patients at a high risk for disease progression, which significantly impacts long-term survival </w:t>
      </w:r>
      <w:r w:rsidR="005F1F4A">
        <w:rPr>
          <w:rFonts w:ascii="Franklin Gothic Book" w:eastAsiaTheme="minorHAnsi" w:hAnsi="Franklin Gothic Book" w:cstheme="minorBidi"/>
          <w:iCs/>
          <w:lang w:eastAsia="en-US"/>
        </w:rPr>
        <w:fldChar w:fldCharType="begin">
          <w:fldData xml:space="preserve">PEVuZE5vdGU+PENpdGU+PEF1dGhvcj5WaWN0b3I8L0F1dGhvcj48WWVhcj4yMDEyPC9ZZWFyPjxS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</w:fldData>
        </w:fldChar>
      </w:r>
      <w:r w:rsidR="005F1F4A">
        <w:rPr>
          <w:rFonts w:ascii="Franklin Gothic Book" w:eastAsiaTheme="minorHAnsi" w:hAnsi="Franklin Gothic Book" w:cstheme="minorBidi"/>
          <w:iCs/>
          <w:lang w:eastAsia="en-US"/>
        </w:rPr>
        <w:instrText xml:space="preserve"> ADDIN EN.CITE </w:instrText>
      </w:r>
      <w:r w:rsidR="005F1F4A">
        <w:rPr>
          <w:rFonts w:ascii="Franklin Gothic Book" w:eastAsiaTheme="minorHAnsi" w:hAnsi="Franklin Gothic Book" w:cstheme="minorBidi"/>
          <w:iCs/>
          <w:lang w:eastAsia="en-US"/>
        </w:rPr>
        <w:fldChar w:fldCharType="begin">
          <w:fldData xml:space="preserve">PEVuZE5vdGU+PENpdGU+PEF1dGhvcj5WaWN0b3I8L0F1dGhvcj48WWVhcj4yMDEyPC9ZZWFyPjxS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</w:fldData>
        </w:fldChar>
      </w:r>
      <w:r w:rsidR="005F1F4A">
        <w:rPr>
          <w:rFonts w:ascii="Franklin Gothic Book" w:eastAsiaTheme="minorHAnsi" w:hAnsi="Franklin Gothic Book" w:cstheme="minorBidi"/>
          <w:iCs/>
          <w:lang w:eastAsia="en-US"/>
        </w:rPr>
        <w:instrText xml:space="preserve"> ADDIN EN.CITE.DATA </w:instrText>
      </w:r>
      <w:r w:rsidR="005F1F4A">
        <w:rPr>
          <w:rFonts w:ascii="Franklin Gothic Book" w:eastAsiaTheme="minorHAnsi" w:hAnsi="Franklin Gothic Book" w:cstheme="minorBidi"/>
          <w:iCs/>
          <w:lang w:eastAsia="en-US"/>
        </w:rPr>
      </w:r>
      <w:r w:rsidR="005F1F4A">
        <w:rPr>
          <w:rFonts w:ascii="Franklin Gothic Book" w:eastAsiaTheme="minorHAnsi" w:hAnsi="Franklin Gothic Book" w:cstheme="minorBidi"/>
          <w:iCs/>
          <w:lang w:eastAsia="en-US"/>
        </w:rPr>
        <w:fldChar w:fldCharType="end"/>
      </w:r>
      <w:r w:rsidR="005F1F4A">
        <w:rPr>
          <w:rFonts w:ascii="Franklin Gothic Book" w:eastAsiaTheme="minorHAnsi" w:hAnsi="Franklin Gothic Book" w:cstheme="minorBidi"/>
          <w:iCs/>
          <w:lang w:eastAsia="en-US"/>
        </w:rPr>
      </w:r>
      <w:r w:rsidR="005F1F4A">
        <w:rPr>
          <w:rFonts w:ascii="Franklin Gothic Book" w:eastAsiaTheme="minorHAnsi" w:hAnsi="Franklin Gothic Book" w:cstheme="minorBidi"/>
          <w:iCs/>
          <w:lang w:eastAsia="en-US"/>
        </w:rPr>
        <w:fldChar w:fldCharType="separate"/>
      </w:r>
      <w:r w:rsidR="005F1F4A">
        <w:rPr>
          <w:rFonts w:ascii="Franklin Gothic Book" w:eastAsiaTheme="minorHAnsi" w:hAnsi="Franklin Gothic Book" w:cstheme="minorBidi"/>
          <w:iCs/>
          <w:noProof/>
          <w:lang w:eastAsia="en-US"/>
        </w:rPr>
        <w:t>(Jang et al., 2005; Victor et al., 2012)</w:t>
      </w:r>
      <w:r w:rsidR="005F1F4A">
        <w:rPr>
          <w:rFonts w:ascii="Franklin Gothic Book" w:eastAsiaTheme="minorHAnsi" w:hAnsi="Franklin Gothic Book" w:cstheme="minorBidi"/>
          <w:iCs/>
          <w:lang w:eastAsia="en-US"/>
        </w:rPr>
        <w:fldChar w:fldCharType="end"/>
      </w:r>
      <w:r w:rsidRPr="008903D3">
        <w:rPr>
          <w:rFonts w:ascii="Franklin Gothic Book" w:eastAsiaTheme="minorHAnsi" w:hAnsi="Franklin Gothic Book" w:cstheme="minorBidi"/>
          <w:iCs/>
          <w:lang w:eastAsia="en-US"/>
        </w:rPr>
        <w:t>.</w:t>
      </w:r>
    </w:p>
    <w:p w14:paraId="00D0BFAE" w14:textId="6900B2B5" w:rsidR="009213DC" w:rsidRPr="0059603B" w:rsidRDefault="0059603B" w:rsidP="00096324">
      <w:pPr>
        <w:pStyle w:val="BodyText"/>
        <w:spacing w:before="120" w:after="240" w:line="259" w:lineRule="auto"/>
        <w:rPr>
          <w:rFonts w:ascii="Franklin Gothic Book" w:hAnsi="Franklin Gothic Book"/>
        </w:rPr>
      </w:pPr>
      <w:r w:rsidRPr="0059603B">
        <w:rPr>
          <w:rFonts w:ascii="Franklin Gothic Book" w:hAnsi="Franklin Gothic Book"/>
        </w:rPr>
        <w:t>The commentary highlighted that the s</w:t>
      </w:r>
      <w:r w:rsidR="2B0882FF" w:rsidRPr="0059603B">
        <w:rPr>
          <w:rFonts w:ascii="Franklin Gothic Book" w:hAnsi="Franklin Gothic Book"/>
        </w:rPr>
        <w:t xml:space="preserve">ensitivity and specificity for ERCP-BC or forceps biopsy were correctly reported in the model where the specificity was </w:t>
      </w:r>
      <w:r w:rsidR="00753A67" w:rsidRPr="0059603B">
        <w:rPr>
          <w:rFonts w:ascii="Franklin Gothic Book" w:hAnsi="Franklin Gothic Book"/>
        </w:rPr>
        <w:t>100% and</w:t>
      </w:r>
      <w:r w:rsidR="2B0882FF" w:rsidRPr="0059603B">
        <w:rPr>
          <w:rFonts w:ascii="Franklin Gothic Book" w:hAnsi="Franklin Gothic Book"/>
        </w:rPr>
        <w:t xml:space="preserve"> denoted in the model as 99% </w:t>
      </w:r>
      <w:r w:rsidR="005F1F4A" w:rsidRPr="0059603B">
        <w:rPr>
          <w:rFonts w:ascii="Franklin Gothic Book" w:hAnsi="Franklin Gothic Book"/>
        </w:rPr>
        <w:fldChar w:fldCharType="begin">
          <w:fldData xml:space="preserve">PEVuZE5vdGU+PENpdGU+PEF1dGhvcj5OYXZhbmVldGhhbjwvQXV0aG9yPjxZZWFyPjIwMTU8L1ll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</w:fldData>
        </w:fldChar>
      </w:r>
      <w:r w:rsidR="005F1F4A" w:rsidRPr="0059603B">
        <w:rPr>
          <w:rFonts w:ascii="Franklin Gothic Book" w:hAnsi="Franklin Gothic Book"/>
        </w:rPr>
        <w:instrText xml:space="preserve"> ADDIN EN.CITE </w:instrText>
      </w:r>
      <w:r w:rsidR="005F1F4A" w:rsidRPr="0059603B">
        <w:rPr>
          <w:rFonts w:ascii="Franklin Gothic Book" w:hAnsi="Franklin Gothic Book"/>
        </w:rPr>
        <w:fldChar w:fldCharType="begin">
          <w:fldData xml:space="preserve">PEVuZE5vdGU+PENpdGU+PEF1dGhvcj5OYXZhbmVldGhhbjwvQXV0aG9yPjxZZWFyPjIwMTU8L1ll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</w:fldData>
        </w:fldChar>
      </w:r>
      <w:r w:rsidR="005F1F4A" w:rsidRPr="0059603B">
        <w:rPr>
          <w:rFonts w:ascii="Franklin Gothic Book" w:hAnsi="Franklin Gothic Book"/>
        </w:rPr>
        <w:instrText xml:space="preserve"> ADDIN EN.CITE.DATA </w:instrText>
      </w:r>
      <w:r w:rsidR="005F1F4A" w:rsidRPr="0059603B">
        <w:rPr>
          <w:rFonts w:ascii="Franklin Gothic Book" w:hAnsi="Franklin Gothic Book"/>
        </w:rPr>
      </w:r>
      <w:r w:rsidR="005F1F4A" w:rsidRPr="0059603B">
        <w:rPr>
          <w:rFonts w:ascii="Franklin Gothic Book" w:hAnsi="Franklin Gothic Book"/>
        </w:rPr>
        <w:fldChar w:fldCharType="end"/>
      </w:r>
      <w:r w:rsidR="005F1F4A" w:rsidRPr="0059603B">
        <w:rPr>
          <w:rFonts w:ascii="Franklin Gothic Book" w:hAnsi="Franklin Gothic Book"/>
        </w:rPr>
      </w:r>
      <w:r w:rsidR="005F1F4A" w:rsidRPr="0059603B">
        <w:rPr>
          <w:rFonts w:ascii="Franklin Gothic Book" w:hAnsi="Franklin Gothic Book"/>
        </w:rPr>
        <w:fldChar w:fldCharType="separate"/>
      </w:r>
      <w:r w:rsidR="033E358D" w:rsidRPr="0059603B">
        <w:rPr>
          <w:rFonts w:ascii="Franklin Gothic Book" w:hAnsi="Franklin Gothic Book"/>
          <w:noProof/>
        </w:rPr>
        <w:t>(Navaneethan et al., 2015a)</w:t>
      </w:r>
      <w:r w:rsidR="005F1F4A" w:rsidRPr="0059603B">
        <w:rPr>
          <w:rFonts w:ascii="Franklin Gothic Book" w:hAnsi="Franklin Gothic Book"/>
        </w:rPr>
        <w:fldChar w:fldCharType="end"/>
      </w:r>
      <w:r w:rsidR="2B0882FF" w:rsidRPr="0059603B">
        <w:rPr>
          <w:rFonts w:ascii="Franklin Gothic Book" w:hAnsi="Franklin Gothic Book"/>
        </w:rPr>
        <w:t xml:space="preserve">. A specificity of 100% suggests that the intervention detects no false positives which may be plausible considering the diagnostic </w:t>
      </w:r>
      <w:r w:rsidR="001344B1">
        <w:rPr>
          <w:rFonts w:ascii="Franklin Gothic Book" w:hAnsi="Franklin Gothic Book"/>
        </w:rPr>
        <w:t xml:space="preserve">process </w:t>
      </w:r>
      <w:r w:rsidR="2B0882FF" w:rsidRPr="0059603B">
        <w:rPr>
          <w:rFonts w:ascii="Franklin Gothic Book" w:hAnsi="Franklin Gothic Book"/>
        </w:rPr>
        <w:t>relies on visual identification. This is based on a meta-analysis and systematic review of six studies that reported the pooled sensitivity and specificity of intraductal biopsies and brushing for cytology for the diagnosis of malignant biliary strictures. A key limitation of the systematic review and meta-analysis is the inclusion of low-quality studies where specificity of ERCP-BC may be overestimated, although the</w:t>
      </w:r>
      <w:r w:rsidR="42E168F3" w:rsidRPr="0059603B">
        <w:rPr>
          <w:rFonts w:ascii="Franklin Gothic Book" w:hAnsi="Franklin Gothic Book"/>
        </w:rPr>
        <w:t>re is a low</w:t>
      </w:r>
      <w:r w:rsidR="2B0882FF" w:rsidRPr="0059603B">
        <w:rPr>
          <w:rFonts w:ascii="Franklin Gothic Book" w:hAnsi="Franklin Gothic Book"/>
        </w:rPr>
        <w:t xml:space="preserve"> risk of bias </w:t>
      </w:r>
      <w:r w:rsidR="3EED26DF" w:rsidRPr="0059603B">
        <w:rPr>
          <w:rFonts w:ascii="Franklin Gothic Book" w:hAnsi="Franklin Gothic Book"/>
        </w:rPr>
        <w:t>in most of the included studies</w:t>
      </w:r>
      <w:r w:rsidR="00D2449D" w:rsidRPr="0059603B">
        <w:rPr>
          <w:rFonts w:ascii="Franklin Gothic Book" w:hAnsi="Franklin Gothic Book"/>
        </w:rPr>
        <w:t xml:space="preserve"> </w:t>
      </w:r>
      <w:r w:rsidR="7FBC264E" w:rsidRPr="0059603B">
        <w:rPr>
          <w:rFonts w:ascii="Franklin Gothic Book" w:hAnsi="Franklin Gothic Book"/>
        </w:rPr>
        <w:t>as</w:t>
      </w:r>
      <w:r w:rsidR="30CA77BA" w:rsidRPr="0059603B">
        <w:rPr>
          <w:rFonts w:ascii="Franklin Gothic Book" w:hAnsi="Franklin Gothic Book"/>
        </w:rPr>
        <w:t xml:space="preserve"> indicated in </w:t>
      </w:r>
      <w:r w:rsidR="671C1AD3" w:rsidRPr="0059603B">
        <w:rPr>
          <w:rFonts w:ascii="Franklin Gothic Book" w:hAnsi="Franklin Gothic Book"/>
        </w:rPr>
        <w:t>the key evidence and outcomes section in the ADAR.</w:t>
      </w:r>
    </w:p>
    <w:p w14:paraId="6C5EC4F9" w14:textId="774008BA" w:rsidR="007B6DDB" w:rsidRPr="008903D3" w:rsidRDefault="007B6DDB" w:rsidP="00096324">
      <w:pPr>
        <w:pStyle w:val="BodyText"/>
        <w:spacing w:before="120" w:after="240" w:line="259" w:lineRule="auto"/>
        <w:rPr>
          <w:rFonts w:ascii="Franklin Gothic Book" w:eastAsiaTheme="minorHAnsi" w:hAnsi="Franklin Gothic Book" w:cstheme="minorBidi"/>
          <w:lang w:eastAsia="en-US"/>
        </w:rPr>
      </w:pPr>
      <w:r w:rsidRPr="008903D3">
        <w:rPr>
          <w:rFonts w:ascii="Franklin Gothic Book" w:eastAsiaTheme="minorHAnsi" w:hAnsi="Franklin Gothic Book" w:cstheme="minorBidi"/>
          <w:lang w:eastAsia="en-US"/>
        </w:rPr>
        <w:t xml:space="preserve">Patients who are incorrectly diagnosed undergo inappropriate treatment or face </w:t>
      </w:r>
      <w:r w:rsidR="00753A67" w:rsidRPr="008903D3">
        <w:rPr>
          <w:rFonts w:ascii="Franklin Gothic Book" w:eastAsiaTheme="minorHAnsi" w:hAnsi="Franklin Gothic Book" w:cstheme="minorBidi"/>
          <w:lang w:eastAsia="en-US"/>
        </w:rPr>
        <w:t>late-stage</w:t>
      </w:r>
      <w:r w:rsidRPr="008903D3">
        <w:rPr>
          <w:rFonts w:ascii="Franklin Gothic Book" w:eastAsiaTheme="minorHAnsi" w:hAnsi="Franklin Gothic Book" w:cstheme="minorBidi"/>
          <w:lang w:eastAsia="en-US"/>
        </w:rPr>
        <w:t xml:space="preserve"> treatment with poor patient outcomes and is associated with significant cost. The cost of incorrect diagnosis for malignant patients are not included in the economic analysis as there is </w:t>
      </w:r>
      <w:r w:rsidR="00042747">
        <w:rPr>
          <w:rFonts w:ascii="Franklin Gothic Book" w:eastAsiaTheme="minorHAnsi" w:hAnsi="Franklin Gothic Book" w:cstheme="minorBidi"/>
          <w:lang w:eastAsia="en-US"/>
        </w:rPr>
        <w:t xml:space="preserve">a </w:t>
      </w:r>
      <w:r w:rsidRPr="008903D3">
        <w:rPr>
          <w:rFonts w:ascii="Franklin Gothic Book" w:eastAsiaTheme="minorHAnsi" w:hAnsi="Franklin Gothic Book" w:cstheme="minorBidi"/>
          <w:lang w:eastAsia="en-US"/>
        </w:rPr>
        <w:t xml:space="preserve">high degree of uncertainty in the duration of delay to a correct diagnosis. In addition, cholangiocarcinoma is understood to show no obvious symptoms or signs (such as jaundice) until it reaches later stage </w:t>
      </w:r>
      <w:r w:rsidR="005F1F4A">
        <w:rPr>
          <w:rFonts w:ascii="Franklin Gothic Book" w:eastAsiaTheme="minorHAnsi" w:hAnsi="Franklin Gothic Book" w:cstheme="minorBidi"/>
          <w:iCs/>
          <w:lang w:eastAsia="en-US"/>
        </w:rPr>
        <w:fldChar w:fldCharType="begin">
          <w:fldData xml:space="preserve">PEVuZE5vdGU+PENpdGU+PEF1dGhvcj5QYXRlbDwvQXV0aG9yPjxZZWFyPjIwMTQ8L1llYXI+PFJl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</w:fldData>
        </w:fldChar>
      </w:r>
      <w:r w:rsidR="005F1F4A">
        <w:rPr>
          <w:rFonts w:ascii="Franklin Gothic Book" w:eastAsiaTheme="minorHAnsi" w:hAnsi="Franklin Gothic Book" w:cstheme="minorBidi"/>
          <w:iCs/>
          <w:lang w:eastAsia="en-US"/>
        </w:rPr>
        <w:instrText xml:space="preserve"> ADDIN EN.CITE </w:instrText>
      </w:r>
      <w:r w:rsidR="005F1F4A">
        <w:rPr>
          <w:rFonts w:ascii="Franklin Gothic Book" w:eastAsiaTheme="minorHAnsi" w:hAnsi="Franklin Gothic Book" w:cstheme="minorBidi"/>
          <w:iCs/>
          <w:lang w:eastAsia="en-US"/>
        </w:rPr>
        <w:fldChar w:fldCharType="begin">
          <w:fldData xml:space="preserve">PEVuZE5vdGU+PENpdGU+PEF1dGhvcj5QYXRlbDwvQXV0aG9yPjxZZWFyPjIwMTQ8L1llYXI+PFJl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</w:fldData>
        </w:fldChar>
      </w:r>
      <w:r w:rsidR="005F1F4A">
        <w:rPr>
          <w:rFonts w:ascii="Franklin Gothic Book" w:eastAsiaTheme="minorHAnsi" w:hAnsi="Franklin Gothic Book" w:cstheme="minorBidi"/>
          <w:iCs/>
          <w:lang w:eastAsia="en-US"/>
        </w:rPr>
        <w:instrText xml:space="preserve"> ADDIN EN.CITE.DATA </w:instrText>
      </w:r>
      <w:r w:rsidR="005F1F4A">
        <w:rPr>
          <w:rFonts w:ascii="Franklin Gothic Book" w:eastAsiaTheme="minorHAnsi" w:hAnsi="Franklin Gothic Book" w:cstheme="minorBidi"/>
          <w:iCs/>
          <w:lang w:eastAsia="en-US"/>
        </w:rPr>
      </w:r>
      <w:r w:rsidR="005F1F4A">
        <w:rPr>
          <w:rFonts w:ascii="Franklin Gothic Book" w:eastAsiaTheme="minorHAnsi" w:hAnsi="Franklin Gothic Book" w:cstheme="minorBidi"/>
          <w:iCs/>
          <w:lang w:eastAsia="en-US"/>
        </w:rPr>
        <w:fldChar w:fldCharType="end"/>
      </w:r>
      <w:r w:rsidR="005F1F4A">
        <w:rPr>
          <w:rFonts w:ascii="Franklin Gothic Book" w:eastAsiaTheme="minorHAnsi" w:hAnsi="Franklin Gothic Book" w:cstheme="minorBidi"/>
          <w:iCs/>
          <w:lang w:eastAsia="en-US"/>
        </w:rPr>
      </w:r>
      <w:r w:rsidR="005F1F4A">
        <w:rPr>
          <w:rFonts w:ascii="Franklin Gothic Book" w:eastAsiaTheme="minorHAnsi" w:hAnsi="Franklin Gothic Book" w:cstheme="minorBidi"/>
          <w:iCs/>
          <w:lang w:eastAsia="en-US"/>
        </w:rPr>
        <w:fldChar w:fldCharType="separate"/>
      </w:r>
      <w:r w:rsidR="005F1F4A">
        <w:rPr>
          <w:rFonts w:ascii="Franklin Gothic Book" w:eastAsiaTheme="minorHAnsi" w:hAnsi="Franklin Gothic Book" w:cstheme="minorBidi"/>
          <w:iCs/>
          <w:noProof/>
          <w:lang w:eastAsia="en-US"/>
        </w:rPr>
        <w:t>(Patel et al., 2014)</w:t>
      </w:r>
      <w:r w:rsidR="005F1F4A">
        <w:rPr>
          <w:rFonts w:ascii="Franklin Gothic Book" w:eastAsiaTheme="minorHAnsi" w:hAnsi="Franklin Gothic Book" w:cstheme="minorBidi"/>
          <w:iCs/>
          <w:lang w:eastAsia="en-US"/>
        </w:rPr>
        <w:fldChar w:fldCharType="end"/>
      </w:r>
      <w:r w:rsidRPr="008903D3">
        <w:rPr>
          <w:rFonts w:ascii="Franklin Gothic Book" w:eastAsiaTheme="minorHAnsi" w:hAnsi="Franklin Gothic Book" w:cstheme="minorBidi"/>
          <w:iCs/>
          <w:lang w:eastAsia="en-US"/>
        </w:rPr>
        <w:t>.</w:t>
      </w:r>
      <w:r w:rsidRPr="008903D3">
        <w:rPr>
          <w:rFonts w:ascii="Franklin Gothic Book" w:eastAsiaTheme="minorHAnsi" w:hAnsi="Franklin Gothic Book" w:cstheme="minorBidi"/>
          <w:lang w:eastAsia="en-US"/>
        </w:rPr>
        <w:t xml:space="preserve"> Similarly, the cost for true benign patients incorrectly diagnosed is also not included, as there is high variation in additional staging for diagnosis and the treatment modalities which are hard to assess. The Applicant considers this approach conservative as retesting alone in incorrectly diagnosed patients is a significant cost. The Applicant has prepared a clean CEA demonstrating the value of POCPS when compared to ERCP in more accurate diagnosis for indeterminate biliary strictures and avoidance of unnecessary surgeries for benign patients, which are PASC agreed outcomes.</w:t>
      </w:r>
    </w:p>
    <w:p w14:paraId="0AB776F3" w14:textId="77777777" w:rsidR="007B6DDB" w:rsidRPr="008903D3" w:rsidRDefault="007B6DDB" w:rsidP="00096324">
      <w:pPr>
        <w:pStyle w:val="BodyText"/>
        <w:spacing w:before="120" w:after="240" w:line="259" w:lineRule="auto"/>
        <w:rPr>
          <w:rFonts w:ascii="Franklin Gothic Book" w:eastAsiaTheme="minorHAnsi" w:hAnsi="Franklin Gothic Book" w:cstheme="minorBidi"/>
          <w:lang w:eastAsia="en-US"/>
        </w:rPr>
      </w:pPr>
      <w:r w:rsidRPr="008903D3">
        <w:rPr>
          <w:rFonts w:ascii="Franklin Gothic Book" w:eastAsiaTheme="minorHAnsi" w:hAnsi="Franklin Gothic Book" w:cstheme="minorBidi"/>
          <w:lang w:eastAsia="en-US"/>
        </w:rPr>
        <w:t>This approach is aligned with the model presented in application 1072 [endoscopic ultrasound (EUS) and endoscopic ultrasound guided fine needle aspiration (EUS-FNA) for diagnosing and staging gastrointestinal neoplasms], which claimed superior diagnostic accuracy, reduction in unnecessary surgeries, and non-inferior safety in a comparable disease area. The submission presented decision analytic model using data from the literature to evaluate the performance characteristics of EUS and estimate the cost implications associated with reducing unnecessary surgical procedures. Performing EUS and consequently avoiding unnecessary surgical procedures resulted in a cost saving of between $1,506.50- $2,845.14 per patient for gastric cancer stage and $2,149.95 per patient for pancreatic cancer staging and subsequently obtained a positive MSAC recommendation.</w:t>
      </w:r>
    </w:p>
    <w:p w14:paraId="3B5B10BC" w14:textId="3C84F521" w:rsidR="007B6DDB" w:rsidRPr="00A73EAD" w:rsidRDefault="6BEEFE20" w:rsidP="00096324">
      <w:pPr>
        <w:spacing w:after="240"/>
      </w:pPr>
      <w:r w:rsidRPr="00A73EAD">
        <w:t>The model structure for application 1072 is aligned with the model structure presented in this ADAR, where similarities exist including model type (decision analytic model), cost data sourcing methods, downstream healthcare resourced utilisation and outcomes</w:t>
      </w:r>
    </w:p>
    <w:p w14:paraId="2F9DC893" w14:textId="5BDB2090" w:rsidR="007B6DDB" w:rsidRPr="00A73EAD" w:rsidRDefault="007B6DDB" w:rsidP="00096324">
      <w:pPr>
        <w:spacing w:after="240"/>
      </w:pPr>
      <w:r w:rsidRPr="00A73EAD">
        <w:t xml:space="preserve">A summary of the key characteristics of the economic evaluation of therapeutic POCPS is detailed in </w:t>
      </w:r>
      <w:r w:rsidRPr="00A73EAD">
        <w:fldChar w:fldCharType="begin"/>
      </w:r>
      <w:r w:rsidRPr="00A73EAD">
        <w:instrText xml:space="preserve"> REF _Ref79011210 \h  \* MERGEFORMAT </w:instrText>
      </w:r>
      <w:r w:rsidRPr="00A73EAD">
        <w:fldChar w:fldCharType="separate"/>
      </w:r>
      <w:r w:rsidR="00D422BC" w:rsidRPr="00CE28E3">
        <w:t>Table</w:t>
      </w:r>
      <w:r w:rsidR="00D422BC">
        <w:t> 20</w:t>
      </w:r>
      <w:r w:rsidRPr="00A73EAD">
        <w:fldChar w:fldCharType="end"/>
      </w:r>
      <w:r w:rsidRPr="00A73EAD">
        <w:t>.</w:t>
      </w:r>
    </w:p>
    <w:p w14:paraId="532485CB" w14:textId="7A42248F" w:rsidR="007B6DDB" w:rsidRPr="00CE28E3" w:rsidRDefault="007B6DDB" w:rsidP="007B6DDB">
      <w:pPr>
        <w:pStyle w:val="Caption"/>
        <w:keepLines/>
        <w:rPr>
          <w:noProof/>
        </w:rPr>
      </w:pPr>
      <w:bookmarkStart w:id="110" w:name="_Ref79011210"/>
      <w:bookmarkStart w:id="111" w:name="_Ref79011199"/>
      <w:bookmarkStart w:id="112" w:name="_Toc84313661"/>
      <w:bookmarkStart w:id="113" w:name="_Toc84324806"/>
      <w:bookmarkStart w:id="114" w:name="_Toc84344238"/>
      <w:bookmarkStart w:id="115" w:name="_Toc84348129"/>
      <w:r w:rsidRPr="00CE28E3">
        <w:lastRenderedPageBreak/>
        <w:t>Table</w:t>
      </w:r>
      <w:r>
        <w:t> </w:t>
      </w:r>
      <w:r>
        <w:fldChar w:fldCharType="begin"/>
      </w:r>
      <w:r>
        <w:instrText>SEQ Table \* ARABIC</w:instrText>
      </w:r>
      <w:r>
        <w:fldChar w:fldCharType="separate"/>
      </w:r>
      <w:r w:rsidR="00D422BC">
        <w:rPr>
          <w:noProof/>
        </w:rPr>
        <w:t>20</w:t>
      </w:r>
      <w:r>
        <w:fldChar w:fldCharType="end"/>
      </w:r>
      <w:bookmarkEnd w:id="110"/>
      <w:r w:rsidRPr="00CE28E3">
        <w:tab/>
      </w:r>
      <w:r>
        <w:t xml:space="preserve"> </w:t>
      </w:r>
      <w:r w:rsidRPr="00CE28E3">
        <w:t xml:space="preserve">Summary of the </w:t>
      </w:r>
      <w:r w:rsidR="00842C5D">
        <w:t>investigative</w:t>
      </w:r>
      <w:r>
        <w:t xml:space="preserve"> </w:t>
      </w:r>
      <w:r w:rsidRPr="00CE28E3">
        <w:t>economic evaluation</w:t>
      </w:r>
      <w:bookmarkEnd w:id="111"/>
      <w:bookmarkEnd w:id="112"/>
      <w:bookmarkEnd w:id="113"/>
      <w:bookmarkEnd w:id="114"/>
      <w:bookmarkEnd w:id="115"/>
      <w:r w:rsidRPr="00CE28E3">
        <w:t xml:space="preserve"> </w:t>
      </w:r>
    </w:p>
    <w:tbl>
      <w:tblPr>
        <w:tblStyle w:val="ADAR"/>
        <w:tblW w:w="5000" w:type="pct"/>
        <w:tblLook w:val="04A0" w:firstRow="1" w:lastRow="0" w:firstColumn="1" w:lastColumn="0" w:noHBand="0" w:noVBand="1"/>
      </w:tblPr>
      <w:tblGrid>
        <w:gridCol w:w="2972"/>
        <w:gridCol w:w="6044"/>
      </w:tblGrid>
      <w:tr w:rsidR="007B6DDB" w:rsidRPr="00CE28E3" w14:paraId="6F7FF07B" w14:textId="77777777" w:rsidTr="00C4011B">
        <w:trPr>
          <w:trHeight w:val="283"/>
        </w:trPr>
        <w:tc>
          <w:tcPr>
            <w:tcW w:w="1648" w:type="pct"/>
          </w:tcPr>
          <w:p w14:paraId="3B2DA725" w14:textId="77777777" w:rsidR="007B6DDB" w:rsidRPr="00210E8B" w:rsidRDefault="007B6DDB" w:rsidP="007B6DDB">
            <w:pPr>
              <w:pStyle w:val="TableHeading0"/>
              <w:keepNext/>
              <w:keepLines/>
              <w:ind w:left="75"/>
            </w:pPr>
            <w:r w:rsidRPr="00EF117E">
              <w:t>Component</w:t>
            </w:r>
          </w:p>
        </w:tc>
        <w:tc>
          <w:tcPr>
            <w:tcW w:w="3352" w:type="pct"/>
          </w:tcPr>
          <w:p w14:paraId="61720D95" w14:textId="77777777" w:rsidR="007B6DDB" w:rsidRPr="008A73E2" w:rsidRDefault="007B6DDB" w:rsidP="007B6DDB">
            <w:pPr>
              <w:pStyle w:val="TableHeading0"/>
              <w:keepNext/>
              <w:keepLines/>
            </w:pPr>
            <w:r w:rsidRPr="00004568">
              <w:t>Description</w:t>
            </w:r>
          </w:p>
        </w:tc>
      </w:tr>
      <w:tr w:rsidR="007B6DDB" w:rsidRPr="000449D1" w14:paraId="11652812" w14:textId="77777777" w:rsidTr="00C4011B">
        <w:tc>
          <w:tcPr>
            <w:tcW w:w="1648" w:type="pct"/>
          </w:tcPr>
          <w:p w14:paraId="1A399958" w14:textId="77777777" w:rsidR="007B6DDB" w:rsidRPr="000449D1" w:rsidRDefault="007B6DDB" w:rsidP="007B6DDB">
            <w:pPr>
              <w:pStyle w:val="TableText"/>
              <w:keepNext/>
              <w:keepLines/>
              <w:rPr>
                <w:rFonts w:cs="Courier New"/>
                <w:szCs w:val="20"/>
              </w:rPr>
            </w:pPr>
            <w:r w:rsidRPr="000449D1">
              <w:rPr>
                <w:rFonts w:cs="Courier New"/>
                <w:szCs w:val="20"/>
              </w:rPr>
              <w:t>Perspective</w:t>
            </w:r>
          </w:p>
        </w:tc>
        <w:tc>
          <w:tcPr>
            <w:tcW w:w="3352" w:type="pct"/>
          </w:tcPr>
          <w:p w14:paraId="2EBC85C8" w14:textId="77777777" w:rsidR="007B6DDB" w:rsidRPr="00597595" w:rsidRDefault="007B6DDB" w:rsidP="007B6DDB">
            <w:pPr>
              <w:pStyle w:val="TableText"/>
              <w:keepNext/>
              <w:keepLines/>
            </w:pPr>
            <w:r w:rsidRPr="00430EBC">
              <w:t xml:space="preserve">Australian </w:t>
            </w:r>
            <w:r>
              <w:t>Government</w:t>
            </w:r>
          </w:p>
        </w:tc>
      </w:tr>
      <w:tr w:rsidR="007B6DDB" w:rsidRPr="000449D1" w14:paraId="2FBE419A" w14:textId="77777777" w:rsidTr="00C4011B">
        <w:tc>
          <w:tcPr>
            <w:tcW w:w="1648" w:type="pct"/>
          </w:tcPr>
          <w:p w14:paraId="70BEE8EB" w14:textId="77777777" w:rsidR="007B6DDB" w:rsidRPr="000449D1" w:rsidRDefault="007B6DDB" w:rsidP="007B6DDB">
            <w:pPr>
              <w:pStyle w:val="TableText"/>
              <w:keepNext/>
              <w:keepLines/>
              <w:rPr>
                <w:rFonts w:cs="Courier New"/>
                <w:szCs w:val="20"/>
              </w:rPr>
            </w:pPr>
            <w:r w:rsidRPr="000449D1">
              <w:rPr>
                <w:rFonts w:cs="Courier New"/>
                <w:szCs w:val="20"/>
              </w:rPr>
              <w:t>Population</w:t>
            </w:r>
          </w:p>
        </w:tc>
        <w:tc>
          <w:tcPr>
            <w:tcW w:w="3352" w:type="pct"/>
          </w:tcPr>
          <w:p w14:paraId="66FA69EB" w14:textId="77777777" w:rsidR="007B6DDB" w:rsidRPr="00597595" w:rsidRDefault="007B6DDB" w:rsidP="007B6DDB">
            <w:pPr>
              <w:pStyle w:val="TableText"/>
              <w:keepNext/>
              <w:keepLines/>
            </w:pPr>
            <w:r w:rsidRPr="00597595">
              <w:t>Indeterminate biliary strictures</w:t>
            </w:r>
          </w:p>
        </w:tc>
      </w:tr>
      <w:tr w:rsidR="007B6DDB" w:rsidRPr="000449D1" w14:paraId="0B10197B" w14:textId="77777777" w:rsidTr="00C4011B">
        <w:tc>
          <w:tcPr>
            <w:tcW w:w="1648" w:type="pct"/>
          </w:tcPr>
          <w:p w14:paraId="30E773A2" w14:textId="77777777" w:rsidR="007B6DDB" w:rsidRPr="000449D1" w:rsidRDefault="007B6DDB" w:rsidP="007B6DDB">
            <w:pPr>
              <w:pStyle w:val="TableText"/>
              <w:keepNext/>
              <w:keepLines/>
              <w:rPr>
                <w:rFonts w:cs="Courier New"/>
                <w:szCs w:val="20"/>
              </w:rPr>
            </w:pPr>
            <w:r>
              <w:rPr>
                <w:rFonts w:cs="Courier New"/>
                <w:szCs w:val="20"/>
              </w:rPr>
              <w:t>Intervention</w:t>
            </w:r>
          </w:p>
        </w:tc>
        <w:tc>
          <w:tcPr>
            <w:tcW w:w="3352" w:type="pct"/>
          </w:tcPr>
          <w:p w14:paraId="3A4BDAA7" w14:textId="77777777" w:rsidR="007B6DDB" w:rsidRPr="00597595" w:rsidRDefault="007B6DDB" w:rsidP="007B6DDB">
            <w:pPr>
              <w:pStyle w:val="TableText"/>
              <w:keepNext/>
              <w:keepLines/>
            </w:pPr>
            <w:r>
              <w:t>POCPS-V with POCP-B</w:t>
            </w:r>
          </w:p>
        </w:tc>
      </w:tr>
      <w:tr w:rsidR="007B6DDB" w:rsidRPr="000449D1" w14:paraId="27D24B00" w14:textId="77777777" w:rsidTr="00C4011B">
        <w:tc>
          <w:tcPr>
            <w:tcW w:w="1648" w:type="pct"/>
          </w:tcPr>
          <w:p w14:paraId="03AE2AE0" w14:textId="77777777" w:rsidR="007B6DDB" w:rsidRPr="000449D1" w:rsidRDefault="007B6DDB" w:rsidP="007B6DDB">
            <w:pPr>
              <w:pStyle w:val="TableText"/>
              <w:keepNext/>
              <w:keepLines/>
              <w:rPr>
                <w:rFonts w:cs="Courier New"/>
                <w:szCs w:val="20"/>
              </w:rPr>
            </w:pPr>
            <w:r w:rsidRPr="000449D1">
              <w:rPr>
                <w:rFonts w:cs="Courier New"/>
                <w:szCs w:val="20"/>
              </w:rPr>
              <w:t>Prior testing</w:t>
            </w:r>
          </w:p>
        </w:tc>
        <w:tc>
          <w:tcPr>
            <w:tcW w:w="3352" w:type="pct"/>
          </w:tcPr>
          <w:p w14:paraId="4BAF86C7" w14:textId="77777777" w:rsidR="007B6DDB" w:rsidRPr="00597595" w:rsidRDefault="007B6DDB" w:rsidP="007B6DDB">
            <w:pPr>
              <w:pStyle w:val="TableText"/>
              <w:keepNext/>
              <w:keepLines/>
            </w:pPr>
            <w:r w:rsidRPr="00597595">
              <w:t>ERCP-</w:t>
            </w:r>
            <w:r>
              <w:t>BC</w:t>
            </w:r>
            <w:r w:rsidRPr="00597595">
              <w:t xml:space="preserve"> and/or ERCP-</w:t>
            </w:r>
            <w:r>
              <w:t>IB</w:t>
            </w:r>
          </w:p>
        </w:tc>
      </w:tr>
      <w:tr w:rsidR="007B6DDB" w:rsidRPr="000449D1" w14:paraId="3B82454E" w14:textId="77777777" w:rsidTr="00C4011B">
        <w:tc>
          <w:tcPr>
            <w:tcW w:w="1648" w:type="pct"/>
          </w:tcPr>
          <w:p w14:paraId="4993F626" w14:textId="77777777" w:rsidR="007B6DDB" w:rsidRPr="000449D1" w:rsidRDefault="007B6DDB" w:rsidP="007B6DDB">
            <w:pPr>
              <w:pStyle w:val="TableText"/>
              <w:keepNext/>
              <w:keepLines/>
              <w:rPr>
                <w:rFonts w:cs="Courier New"/>
                <w:szCs w:val="20"/>
              </w:rPr>
            </w:pPr>
            <w:r w:rsidRPr="000449D1">
              <w:rPr>
                <w:rFonts w:cs="Courier New"/>
                <w:szCs w:val="20"/>
              </w:rPr>
              <w:t>Comparator</w:t>
            </w:r>
          </w:p>
        </w:tc>
        <w:tc>
          <w:tcPr>
            <w:tcW w:w="3352" w:type="pct"/>
          </w:tcPr>
          <w:p w14:paraId="4C56DDA8" w14:textId="77777777" w:rsidR="007B6DDB" w:rsidRPr="000449D1" w:rsidRDefault="007B6DDB" w:rsidP="007B6DDB">
            <w:pPr>
              <w:pStyle w:val="TableText"/>
              <w:keepNext/>
              <w:keepLines/>
              <w:rPr>
                <w:rFonts w:cs="Courier New"/>
                <w:szCs w:val="20"/>
              </w:rPr>
            </w:pPr>
            <w:r w:rsidRPr="00597595">
              <w:t>ERCP-guided brush cytology and/or ERCP-guided intraductal biopsy</w:t>
            </w:r>
            <w:r>
              <w:t xml:space="preserve"> (repeated)</w:t>
            </w:r>
          </w:p>
        </w:tc>
      </w:tr>
      <w:tr w:rsidR="007B6DDB" w:rsidRPr="000449D1" w14:paraId="45E3D65E" w14:textId="77777777" w:rsidTr="00C4011B">
        <w:tc>
          <w:tcPr>
            <w:tcW w:w="1648" w:type="pct"/>
          </w:tcPr>
          <w:p w14:paraId="0FA9A1EC" w14:textId="77777777" w:rsidR="007B6DDB" w:rsidRPr="000449D1" w:rsidRDefault="007B6DDB" w:rsidP="007B6DDB">
            <w:pPr>
              <w:pStyle w:val="TableText"/>
              <w:keepNext/>
              <w:keepLines/>
              <w:rPr>
                <w:rFonts w:cs="Courier New"/>
                <w:szCs w:val="20"/>
              </w:rPr>
            </w:pPr>
            <w:r w:rsidRPr="004E4EBF">
              <w:rPr>
                <w:rFonts w:cs="Courier New"/>
                <w:szCs w:val="20"/>
              </w:rPr>
              <w:t>Type of economic evaluation</w:t>
            </w:r>
          </w:p>
        </w:tc>
        <w:tc>
          <w:tcPr>
            <w:tcW w:w="3352" w:type="pct"/>
          </w:tcPr>
          <w:p w14:paraId="79B59361" w14:textId="77777777" w:rsidR="007B6DDB" w:rsidRPr="000449D1" w:rsidRDefault="007B6DDB" w:rsidP="007B6DDB">
            <w:pPr>
              <w:pStyle w:val="TableText"/>
              <w:keepNext/>
              <w:keepLines/>
              <w:rPr>
                <w:rFonts w:cs="Courier New"/>
                <w:szCs w:val="20"/>
              </w:rPr>
            </w:pPr>
            <w:r>
              <w:rPr>
                <w:rFonts w:cs="Courier New"/>
                <w:szCs w:val="20"/>
              </w:rPr>
              <w:t>Cost effectiveness analysis (CEA)</w:t>
            </w:r>
          </w:p>
        </w:tc>
      </w:tr>
      <w:tr w:rsidR="007B6DDB" w:rsidRPr="000449D1" w14:paraId="33259923" w14:textId="77777777" w:rsidTr="00C4011B">
        <w:tc>
          <w:tcPr>
            <w:tcW w:w="1648" w:type="pct"/>
          </w:tcPr>
          <w:p w14:paraId="50A39DCD" w14:textId="77777777" w:rsidR="007B6DDB" w:rsidRPr="000449D1" w:rsidRDefault="007B6DDB" w:rsidP="007B6DDB">
            <w:pPr>
              <w:pStyle w:val="TableText"/>
              <w:keepNext/>
              <w:keepLines/>
              <w:rPr>
                <w:rFonts w:cs="Courier New"/>
                <w:szCs w:val="20"/>
              </w:rPr>
            </w:pPr>
            <w:r>
              <w:rPr>
                <w:rFonts w:cs="Courier New"/>
                <w:szCs w:val="20"/>
              </w:rPr>
              <w:t>Sources of evidence</w:t>
            </w:r>
          </w:p>
        </w:tc>
        <w:tc>
          <w:tcPr>
            <w:tcW w:w="3352" w:type="pct"/>
          </w:tcPr>
          <w:p w14:paraId="2FE9B085" w14:textId="67CF7753" w:rsidR="007B6DDB" w:rsidRDefault="007B6DDB" w:rsidP="007B6DDB">
            <w:pPr>
              <w:pStyle w:val="TableText"/>
              <w:keepNext/>
              <w:keepLines/>
              <w:rPr>
                <w:rFonts w:cs="Courier New"/>
                <w:szCs w:val="20"/>
              </w:rPr>
            </w:pPr>
            <w:r>
              <w:rPr>
                <w:rFonts w:cs="Courier New"/>
                <w:szCs w:val="20"/>
              </w:rPr>
              <w:t xml:space="preserve">2021 Advisory Board, </w:t>
            </w:r>
            <w:r w:rsidR="005F1F4A">
              <w:rPr>
                <w:rFonts w:cs="Courier New"/>
                <w:szCs w:val="20"/>
              </w:rPr>
              <w:fldChar w:fldCharType="begin">
                <w:fldData xml:space="preserve">PEVuZE5vdGU+PENpdGUgQXV0aG9yWWVhcj0iMSI+PEF1dGhvcj5HZXJnZXM8L0F1dGhvcj48WWVh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</w:fldData>
              </w:fldChar>
            </w:r>
            <w:r w:rsidR="005F1F4A">
              <w:rPr>
                <w:rFonts w:cs="Courier New"/>
                <w:szCs w:val="20"/>
              </w:rPr>
              <w:instrText xml:space="preserve"> ADDIN EN.CITE </w:instrText>
            </w:r>
            <w:r w:rsidR="005F1F4A">
              <w:rPr>
                <w:rFonts w:cs="Courier New"/>
                <w:szCs w:val="20"/>
              </w:rPr>
              <w:fldChar w:fldCharType="begin">
                <w:fldData xml:space="preserve">PEVuZE5vdGU+PENpdGUgQXV0aG9yWWVhcj0iMSI+PEF1dGhvcj5HZXJnZXM8L0F1dGhvcj48WWVh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</w:fldData>
              </w:fldChar>
            </w:r>
            <w:r w:rsidR="005F1F4A">
              <w:rPr>
                <w:rFonts w:cs="Courier New"/>
                <w:szCs w:val="20"/>
              </w:rPr>
              <w:instrText xml:space="preserve"> ADDIN EN.CITE.DATA </w:instrText>
            </w:r>
            <w:r w:rsidR="005F1F4A">
              <w:rPr>
                <w:rFonts w:cs="Courier New"/>
                <w:szCs w:val="20"/>
              </w:rPr>
            </w:r>
            <w:r w:rsidR="005F1F4A">
              <w:rPr>
                <w:rFonts w:cs="Courier New"/>
                <w:szCs w:val="20"/>
              </w:rPr>
              <w:fldChar w:fldCharType="end"/>
            </w:r>
            <w:r w:rsidR="005F1F4A">
              <w:rPr>
                <w:rFonts w:cs="Courier New"/>
                <w:szCs w:val="20"/>
              </w:rPr>
            </w:r>
            <w:r w:rsidR="005F1F4A">
              <w:rPr>
                <w:rFonts w:cs="Courier New"/>
                <w:szCs w:val="20"/>
              </w:rPr>
              <w:fldChar w:fldCharType="separate"/>
            </w:r>
            <w:r w:rsidR="005F1F4A">
              <w:rPr>
                <w:rFonts w:cs="Courier New"/>
                <w:noProof/>
                <w:szCs w:val="20"/>
              </w:rPr>
              <w:t>Gerges et al. (2020)</w:t>
            </w:r>
            <w:r w:rsidR="005F1F4A">
              <w:rPr>
                <w:rFonts w:cs="Courier New"/>
                <w:szCs w:val="20"/>
              </w:rPr>
              <w:fldChar w:fldCharType="end"/>
            </w:r>
            <w:r>
              <w:rPr>
                <w:rFonts w:cs="Courier New"/>
                <w:szCs w:val="20"/>
              </w:rPr>
              <w:t xml:space="preserve">, </w:t>
            </w:r>
            <w:r w:rsidR="005F1F4A">
              <w:rPr>
                <w:rFonts w:cs="Courier New"/>
                <w:szCs w:val="20"/>
              </w:rPr>
              <w:fldChar w:fldCharType="begin">
                <w:fldData xml:space="preserve">PEVuZE5vdGU+PENpdGUgQXV0aG9yWWVhcj0iMSI+PEF1dGhvcj5NaW5hbWk8L0F1dGhvcj48WWVh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</w:fldData>
              </w:fldChar>
            </w:r>
            <w:r w:rsidR="005F1F4A">
              <w:rPr>
                <w:rFonts w:cs="Courier New"/>
                <w:szCs w:val="20"/>
              </w:rPr>
              <w:instrText xml:space="preserve"> ADDIN EN.CITE </w:instrText>
            </w:r>
            <w:r w:rsidR="005F1F4A">
              <w:rPr>
                <w:rFonts w:cs="Courier New"/>
                <w:szCs w:val="20"/>
              </w:rPr>
              <w:fldChar w:fldCharType="begin">
                <w:fldData xml:space="preserve">PEVuZE5vdGU+PENpdGUgQXV0aG9yWWVhcj0iMSI+PEF1dGhvcj5NaW5hbWk8L0F1dGhvcj48WWVh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</w:fldData>
              </w:fldChar>
            </w:r>
            <w:r w:rsidR="005F1F4A">
              <w:rPr>
                <w:rFonts w:cs="Courier New"/>
                <w:szCs w:val="20"/>
              </w:rPr>
              <w:instrText xml:space="preserve"> ADDIN EN.CITE.DATA </w:instrText>
            </w:r>
            <w:r w:rsidR="005F1F4A">
              <w:rPr>
                <w:rFonts w:cs="Courier New"/>
                <w:szCs w:val="20"/>
              </w:rPr>
            </w:r>
            <w:r w:rsidR="005F1F4A">
              <w:rPr>
                <w:rFonts w:cs="Courier New"/>
                <w:szCs w:val="20"/>
              </w:rPr>
              <w:fldChar w:fldCharType="end"/>
            </w:r>
            <w:r w:rsidR="005F1F4A">
              <w:rPr>
                <w:rFonts w:cs="Courier New"/>
                <w:szCs w:val="20"/>
              </w:rPr>
            </w:r>
            <w:r w:rsidR="005F1F4A">
              <w:rPr>
                <w:rFonts w:cs="Courier New"/>
                <w:szCs w:val="20"/>
              </w:rPr>
              <w:fldChar w:fldCharType="separate"/>
            </w:r>
            <w:r w:rsidR="005F1F4A">
              <w:rPr>
                <w:rFonts w:cs="Courier New"/>
                <w:noProof/>
                <w:szCs w:val="20"/>
              </w:rPr>
              <w:t>Minami et al. (2021)</w:t>
            </w:r>
            <w:r w:rsidR="005F1F4A">
              <w:rPr>
                <w:rFonts w:cs="Courier New"/>
                <w:szCs w:val="20"/>
              </w:rPr>
              <w:fldChar w:fldCharType="end"/>
            </w:r>
          </w:p>
        </w:tc>
      </w:tr>
      <w:tr w:rsidR="007B6DDB" w:rsidRPr="000449D1" w14:paraId="21576070" w14:textId="77777777" w:rsidTr="00C4011B">
        <w:tc>
          <w:tcPr>
            <w:tcW w:w="1648" w:type="pct"/>
          </w:tcPr>
          <w:p w14:paraId="44709DBE" w14:textId="77777777" w:rsidR="007B6DDB" w:rsidRPr="000449D1" w:rsidRDefault="007B6DDB" w:rsidP="007B6DDB">
            <w:pPr>
              <w:pStyle w:val="TableText"/>
              <w:keepNext/>
              <w:keepLines/>
              <w:rPr>
                <w:rFonts w:cs="Courier New"/>
                <w:szCs w:val="20"/>
              </w:rPr>
            </w:pPr>
            <w:r w:rsidRPr="000449D1">
              <w:rPr>
                <w:rFonts w:cs="Courier New"/>
                <w:szCs w:val="20"/>
              </w:rPr>
              <w:t>Outcomes</w:t>
            </w:r>
          </w:p>
        </w:tc>
        <w:tc>
          <w:tcPr>
            <w:tcW w:w="3352" w:type="pct"/>
          </w:tcPr>
          <w:p w14:paraId="2F606D8C" w14:textId="77777777" w:rsidR="007B6DDB" w:rsidRPr="000449D1" w:rsidRDefault="007B6DDB" w:rsidP="007B6DDB">
            <w:pPr>
              <w:pStyle w:val="TableText"/>
              <w:keepNext/>
              <w:keepLines/>
              <w:rPr>
                <w:rFonts w:cs="Courier New"/>
                <w:szCs w:val="20"/>
              </w:rPr>
            </w:pPr>
            <w:r>
              <w:rPr>
                <w:rFonts w:cs="Courier New"/>
                <w:szCs w:val="20"/>
              </w:rPr>
              <w:t xml:space="preserve">Incremental </w:t>
            </w:r>
            <w:r w:rsidRPr="0042343D">
              <w:rPr>
                <w:rFonts w:cs="Courier New"/>
                <w:szCs w:val="20"/>
              </w:rPr>
              <w:t xml:space="preserve">cost per </w:t>
            </w:r>
            <w:r>
              <w:rPr>
                <w:rFonts w:cs="Courier New"/>
                <w:szCs w:val="20"/>
              </w:rPr>
              <w:t>correctly diagnosed patient</w:t>
            </w:r>
          </w:p>
        </w:tc>
      </w:tr>
      <w:tr w:rsidR="007B6DDB" w:rsidRPr="000449D1" w14:paraId="515BC435" w14:textId="77777777" w:rsidTr="00C4011B">
        <w:tc>
          <w:tcPr>
            <w:tcW w:w="1648" w:type="pct"/>
          </w:tcPr>
          <w:p w14:paraId="301B7497" w14:textId="77777777" w:rsidR="007B6DDB" w:rsidRPr="000449D1" w:rsidRDefault="007B6DDB" w:rsidP="007B6DDB">
            <w:pPr>
              <w:pStyle w:val="TableText"/>
              <w:keepNext/>
              <w:keepLines/>
              <w:rPr>
                <w:rFonts w:cs="Courier New"/>
                <w:szCs w:val="20"/>
              </w:rPr>
            </w:pPr>
            <w:r w:rsidRPr="00B7675A">
              <w:t>Methods used to generate results</w:t>
            </w:r>
          </w:p>
        </w:tc>
        <w:tc>
          <w:tcPr>
            <w:tcW w:w="3352" w:type="pct"/>
          </w:tcPr>
          <w:p w14:paraId="28549EC5" w14:textId="77777777" w:rsidR="007B6DDB" w:rsidRPr="000449D1" w:rsidRDefault="007B6DDB" w:rsidP="007B6DDB">
            <w:pPr>
              <w:pStyle w:val="TableText"/>
              <w:keepNext/>
              <w:keepLines/>
              <w:rPr>
                <w:rFonts w:cs="Courier New"/>
                <w:szCs w:val="20"/>
              </w:rPr>
            </w:pPr>
            <w:r>
              <w:t>Decision analytic tree</w:t>
            </w:r>
          </w:p>
        </w:tc>
      </w:tr>
      <w:tr w:rsidR="007B6DDB" w:rsidRPr="000449D1" w14:paraId="7F245362" w14:textId="77777777" w:rsidTr="00C4011B">
        <w:tc>
          <w:tcPr>
            <w:tcW w:w="1648" w:type="pct"/>
          </w:tcPr>
          <w:p w14:paraId="4882FA86" w14:textId="77777777" w:rsidR="007B6DDB" w:rsidRPr="000449D1" w:rsidRDefault="007B6DDB" w:rsidP="007B6DDB">
            <w:pPr>
              <w:pStyle w:val="TableText"/>
              <w:keepNext/>
              <w:keepLines/>
              <w:rPr>
                <w:rFonts w:cs="Courier New"/>
                <w:szCs w:val="20"/>
              </w:rPr>
            </w:pPr>
            <w:r w:rsidRPr="00B7675A">
              <w:t>Software packages used</w:t>
            </w:r>
          </w:p>
        </w:tc>
        <w:tc>
          <w:tcPr>
            <w:tcW w:w="3352" w:type="pct"/>
          </w:tcPr>
          <w:p w14:paraId="63D1B547" w14:textId="77777777" w:rsidR="007B6DDB" w:rsidRPr="000449D1" w:rsidRDefault="007B6DDB" w:rsidP="007B6DDB">
            <w:pPr>
              <w:pStyle w:val="TableText"/>
              <w:keepNext/>
              <w:keepLines/>
              <w:rPr>
                <w:rFonts w:cs="Courier New"/>
                <w:szCs w:val="20"/>
              </w:rPr>
            </w:pPr>
            <w:r>
              <w:t>Microsoft</w:t>
            </w:r>
            <w:r w:rsidRPr="0020377A">
              <w:t xml:space="preserve"> Excel </w:t>
            </w:r>
            <w:r>
              <w:t>2021</w:t>
            </w:r>
            <w:r w:rsidRPr="0020377A">
              <w:t>®</w:t>
            </w:r>
          </w:p>
        </w:tc>
      </w:tr>
    </w:tbl>
    <w:p w14:paraId="44E10386" w14:textId="5408CB74" w:rsidR="00DE1CCE" w:rsidRDefault="00DE1CCE" w:rsidP="00DE1CCE">
      <w:pPr>
        <w:pStyle w:val="Abbreviations"/>
      </w:pPr>
      <w:r w:rsidRPr="0005649D">
        <w:t>Abbreviations</w:t>
      </w:r>
      <w:r>
        <w:t xml:space="preserve">: </w:t>
      </w:r>
      <w:r w:rsidRPr="001A4E5B">
        <w:rPr>
          <w:snapToGrid w:val="0"/>
        </w:rPr>
        <w:t>ERCP</w:t>
      </w:r>
      <w:r>
        <w:rPr>
          <w:snapToGrid w:val="0"/>
        </w:rPr>
        <w:t xml:space="preserve">-BC/IB </w:t>
      </w:r>
      <w:r w:rsidRPr="001A4E5B">
        <w:rPr>
          <w:snapToGrid w:val="0"/>
        </w:rPr>
        <w:t xml:space="preserve">= </w:t>
      </w:r>
      <w:r w:rsidRPr="0005649D">
        <w:rPr>
          <w:snapToGrid w:val="0"/>
        </w:rPr>
        <w:t>endoscopic</w:t>
      </w:r>
      <w:r w:rsidRPr="001A4E5B">
        <w:rPr>
          <w:snapToGrid w:val="0"/>
        </w:rPr>
        <w:t xml:space="preserve"> retrograde cholangiopancreatography</w:t>
      </w:r>
      <w:r>
        <w:rPr>
          <w:snapToGrid w:val="0"/>
        </w:rPr>
        <w:t xml:space="preserve">-guided brush cytology/intraductal biopsy; </w:t>
      </w:r>
      <w:r w:rsidRPr="001A4E5B">
        <w:rPr>
          <w:snapToGrid w:val="0"/>
        </w:rPr>
        <w:t>POCPS</w:t>
      </w:r>
      <w:r>
        <w:rPr>
          <w:snapToGrid w:val="0"/>
        </w:rPr>
        <w:t xml:space="preserve">-V/B </w:t>
      </w:r>
      <w:r w:rsidRPr="001A4E5B">
        <w:rPr>
          <w:snapToGrid w:val="0"/>
        </w:rPr>
        <w:t xml:space="preserve">= </w:t>
      </w:r>
      <w:r w:rsidRPr="0005649D">
        <w:rPr>
          <w:snapToGrid w:val="0"/>
        </w:rPr>
        <w:t xml:space="preserve">single </w:t>
      </w:r>
      <w:r w:rsidRPr="001A4E5B">
        <w:rPr>
          <w:snapToGrid w:val="0"/>
        </w:rPr>
        <w:t>operator, single use, peroral</w:t>
      </w:r>
      <w:r>
        <w:rPr>
          <w:snapToGrid w:val="0"/>
        </w:rPr>
        <w:t xml:space="preserve"> </w:t>
      </w:r>
      <w:r w:rsidRPr="001A4E5B">
        <w:rPr>
          <w:snapToGrid w:val="0"/>
        </w:rPr>
        <w:t>cholangiopancreatoscopy</w:t>
      </w:r>
      <w:r>
        <w:rPr>
          <w:snapToGrid w:val="0"/>
        </w:rPr>
        <w:t>-guided visualisation/</w:t>
      </w:r>
      <w:r w:rsidR="00753A67">
        <w:rPr>
          <w:snapToGrid w:val="0"/>
        </w:rPr>
        <w:t>biopsy</w:t>
      </w:r>
      <w:r w:rsidR="00753A67">
        <w:t xml:space="preserve"> Type</w:t>
      </w:r>
      <w:r>
        <w:t xml:space="preserve"> of economic evaluation </w:t>
      </w:r>
    </w:p>
    <w:p w14:paraId="47E94C89" w14:textId="4D393DA8" w:rsidR="00DE1CCE" w:rsidRDefault="00DE1CCE" w:rsidP="00DE1CCE">
      <w:pPr>
        <w:pStyle w:val="Heading3"/>
      </w:pPr>
      <w:r>
        <w:t>Type of economic evaluation</w:t>
      </w:r>
    </w:p>
    <w:p w14:paraId="170B509B" w14:textId="77777777" w:rsidR="00DE1CCE" w:rsidRPr="00161050" w:rsidRDefault="00DE1CCE" w:rsidP="00DE1CCE">
      <w:pPr>
        <w:pStyle w:val="Heading4"/>
      </w:pPr>
      <w:r>
        <w:t>Therapeutic application</w:t>
      </w:r>
    </w:p>
    <w:p w14:paraId="281FFDF0" w14:textId="5CA2693D" w:rsidR="00DE1CCE" w:rsidRPr="008903D3" w:rsidRDefault="00DE1CCE" w:rsidP="00096324">
      <w:pPr>
        <w:pStyle w:val="BodyText"/>
        <w:spacing w:before="120" w:after="240" w:line="259" w:lineRule="auto"/>
        <w:rPr>
          <w:rFonts w:ascii="Franklin Gothic Book" w:eastAsiaTheme="minorHAnsi" w:hAnsi="Franklin Gothic Book" w:cstheme="minorBidi"/>
          <w:lang w:eastAsia="en-US"/>
        </w:rPr>
      </w:pPr>
      <w:r w:rsidRPr="008903D3">
        <w:rPr>
          <w:rFonts w:ascii="Franklin Gothic Book" w:eastAsiaTheme="minorHAnsi" w:hAnsi="Franklin Gothic Book" w:cstheme="minorBidi"/>
          <w:lang w:eastAsia="en-US"/>
        </w:rPr>
        <w:t>This economic evaluation presents the incremental cost per successful stone removal. As recommended by PASC, the cost to the MBS and hospital budget (consumables and capital) have both been included.</w:t>
      </w:r>
    </w:p>
    <w:p w14:paraId="302F5F03" w14:textId="22227917" w:rsidR="00747194" w:rsidRPr="008903D3" w:rsidRDefault="00DE1CCE" w:rsidP="00096324">
      <w:pPr>
        <w:pStyle w:val="BodyText"/>
        <w:spacing w:before="120" w:after="240" w:line="259" w:lineRule="auto"/>
        <w:rPr>
          <w:rFonts w:ascii="Franklin Gothic Book" w:eastAsiaTheme="minorHAnsi" w:hAnsi="Franklin Gothic Book" w:cstheme="minorBidi"/>
          <w:lang w:eastAsia="en-US"/>
        </w:rPr>
      </w:pPr>
      <w:r w:rsidRPr="008903D3">
        <w:rPr>
          <w:rFonts w:ascii="Franklin Gothic Book" w:eastAsiaTheme="minorHAnsi" w:hAnsi="Franklin Gothic Book" w:cstheme="minorBidi"/>
          <w:lang w:eastAsia="en-US"/>
        </w:rPr>
        <w:t xml:space="preserve">The model structure </w:t>
      </w:r>
      <w:r w:rsidR="00747194" w:rsidRPr="00747194">
        <w:rPr>
          <w:rFonts w:ascii="Franklin Gothic Book" w:eastAsiaTheme="minorHAnsi" w:hAnsi="Franklin Gothic Book" w:cstheme="minorBidi"/>
          <w:lang w:eastAsia="en-US"/>
        </w:rPr>
        <w:t>depicts the current clinical management paradigm (either ERCP-guided mechanical lithotripsy or laparoscopic choledochotomy) and the proposed alternative (POCPS-guided EHL/LL) for removing difficult biliary stones. A hypothetical cohort of 1,000 patients is designated to receive either POCPS-guided EHL/LL or the comparator. A weighted comparator was calculated based on the proportion of ERCP-guided mechanical lithotripsy and laparoscopic choledochotomy use in Australian practice, with 67% of patients treated with ERCP-guided mechanical lithotripsy and 33% of patients treated with laparoscopic choledochotomy (2021 Advisory Board). In all scenarios, patients with successful stone clearance after the first extraction attempt exit the model</w:t>
      </w:r>
      <w:r w:rsidR="00747194">
        <w:rPr>
          <w:rFonts w:ascii="Franklin Gothic Book" w:eastAsiaTheme="minorHAnsi" w:hAnsi="Franklin Gothic Book" w:cstheme="minorBidi"/>
          <w:lang w:eastAsia="en-US"/>
        </w:rPr>
        <w:t xml:space="preserve"> (83% for POCPS, 63% for ERCP, 96% for </w:t>
      </w:r>
      <w:r w:rsidR="00747194" w:rsidRPr="00747194">
        <w:rPr>
          <w:rFonts w:ascii="Franklin Gothic Book" w:eastAsiaTheme="minorHAnsi" w:hAnsi="Franklin Gothic Book" w:cstheme="minorBidi"/>
          <w:lang w:eastAsia="en-US"/>
        </w:rPr>
        <w:t>laparoscopic choledochotomy</w:t>
      </w:r>
      <w:r w:rsidR="00747194">
        <w:rPr>
          <w:rFonts w:ascii="Franklin Gothic Book" w:eastAsiaTheme="minorHAnsi" w:hAnsi="Franklin Gothic Book" w:cstheme="minorBidi"/>
          <w:lang w:eastAsia="en-US"/>
        </w:rPr>
        <w:t>)</w:t>
      </w:r>
      <w:r w:rsidR="00747194" w:rsidRPr="00747194">
        <w:rPr>
          <w:rFonts w:ascii="Franklin Gothic Book" w:eastAsiaTheme="minorHAnsi" w:hAnsi="Franklin Gothic Book" w:cstheme="minorBidi"/>
          <w:lang w:eastAsia="en-US"/>
        </w:rPr>
        <w:t>. The remaining patients with unsuccessful stone clearance undergo a second stone removal attempt before being referred to surgery (laparoscopic choledochotomy)</w:t>
      </w:r>
      <w:r w:rsidR="00F97019">
        <w:rPr>
          <w:rFonts w:ascii="Franklin Gothic Book" w:eastAsiaTheme="minorHAnsi" w:hAnsi="Franklin Gothic Book" w:cstheme="minorBidi"/>
          <w:lang w:eastAsia="en-US"/>
        </w:rPr>
        <w:t xml:space="preserve"> with the same success rate for each procedure type</w:t>
      </w:r>
      <w:r w:rsidR="00747194" w:rsidRPr="00747194">
        <w:rPr>
          <w:rFonts w:ascii="Franklin Gothic Book" w:eastAsiaTheme="minorHAnsi" w:hAnsi="Franklin Gothic Book" w:cstheme="minorBidi"/>
          <w:lang w:eastAsia="en-US"/>
        </w:rPr>
        <w:t>. The proportion of patients receiving a particular intervention at each step of the model is based on data from data from two pivotal RCTs (Angsuwatcharakon et al., 2019; Li et al., 2021) and the 2021 Advisory Board.</w:t>
      </w:r>
    </w:p>
    <w:p w14:paraId="3C55D902" w14:textId="27A8F251" w:rsidR="00DE1CCE" w:rsidRPr="00747194" w:rsidRDefault="00DE1CCE" w:rsidP="00096324">
      <w:pPr>
        <w:pStyle w:val="BodyText"/>
        <w:spacing w:before="120" w:after="240" w:line="259" w:lineRule="auto"/>
        <w:rPr>
          <w:rFonts w:ascii="Franklin Gothic Book" w:eastAsiaTheme="minorHAnsi" w:hAnsi="Franklin Gothic Book" w:cstheme="minorBidi"/>
          <w:iCs/>
          <w:lang w:eastAsia="en-US"/>
        </w:rPr>
      </w:pPr>
      <w:r w:rsidRPr="00747194">
        <w:rPr>
          <w:rFonts w:ascii="Franklin Gothic Book" w:eastAsiaTheme="minorHAnsi" w:hAnsi="Franklin Gothic Book" w:cstheme="minorBidi"/>
          <w:iCs/>
          <w:lang w:eastAsia="en-US"/>
        </w:rPr>
        <w:t>The model presented in the ADAR only includes two repeat procedures before receiving surgery. This is in line with the therapeutic procedure MBS item for POCPS in the Ratified PICO that states patients can receive a maximum of three procedures per year.</w:t>
      </w:r>
    </w:p>
    <w:p w14:paraId="09EDE4D6" w14:textId="77777777" w:rsidR="00DE1CCE" w:rsidRPr="00D91D90" w:rsidRDefault="00DE1CCE" w:rsidP="00DE1CCE">
      <w:pPr>
        <w:pStyle w:val="Heading4"/>
      </w:pPr>
      <w:r>
        <w:t>Investigative application</w:t>
      </w:r>
    </w:p>
    <w:p w14:paraId="620F4059" w14:textId="6956C90F" w:rsidR="0059603B" w:rsidRPr="008903D3" w:rsidRDefault="00DE1CCE" w:rsidP="00096324">
      <w:pPr>
        <w:pStyle w:val="BodyText"/>
        <w:spacing w:before="120" w:after="240" w:line="259" w:lineRule="auto"/>
        <w:contextualSpacing/>
        <w:rPr>
          <w:rFonts w:ascii="Franklin Gothic Book" w:eastAsiaTheme="minorHAnsi" w:hAnsi="Franklin Gothic Book" w:cstheme="minorBidi"/>
          <w:lang w:eastAsia="en-US"/>
        </w:rPr>
      </w:pPr>
      <w:r w:rsidRPr="008903D3">
        <w:rPr>
          <w:rFonts w:ascii="Franklin Gothic Book" w:eastAsiaTheme="minorHAnsi" w:hAnsi="Franklin Gothic Book" w:cstheme="minorBidi"/>
          <w:lang w:eastAsia="en-US"/>
        </w:rPr>
        <w:t>The model structure</w:t>
      </w:r>
      <w:r w:rsidR="0059603B">
        <w:rPr>
          <w:rFonts w:ascii="Franklin Gothic Book" w:eastAsiaTheme="minorHAnsi" w:hAnsi="Franklin Gothic Book" w:cstheme="minorBidi"/>
          <w:lang w:eastAsia="en-US"/>
        </w:rPr>
        <w:t xml:space="preserve"> </w:t>
      </w:r>
      <w:r w:rsidR="002C58F6" w:rsidRPr="002C58F6">
        <w:rPr>
          <w:rFonts w:ascii="Franklin Gothic Book" w:eastAsiaTheme="minorHAnsi" w:hAnsi="Franklin Gothic Book"/>
        </w:rPr>
        <w:t>(</w:t>
      </w:r>
      <w:r w:rsidR="002C58F6" w:rsidRPr="002C58F6">
        <w:rPr>
          <w:rFonts w:ascii="Franklin Gothic Book" w:eastAsiaTheme="minorHAnsi" w:hAnsi="Franklin Gothic Book"/>
        </w:rPr>
        <w:fldChar w:fldCharType="begin"/>
      </w:r>
      <w:r w:rsidR="002C58F6" w:rsidRPr="002C58F6">
        <w:rPr>
          <w:rFonts w:ascii="Franklin Gothic Book" w:eastAsiaTheme="minorHAnsi" w:hAnsi="Franklin Gothic Book"/>
        </w:rPr>
        <w:instrText xml:space="preserve"> REF _Ref96537902 \h  \* MERGEFORMAT </w:instrText>
      </w:r>
      <w:r w:rsidR="002C58F6" w:rsidRPr="002C58F6">
        <w:rPr>
          <w:rFonts w:ascii="Franklin Gothic Book" w:eastAsiaTheme="minorHAnsi" w:hAnsi="Franklin Gothic Book"/>
        </w:rPr>
      </w:r>
      <w:r w:rsidR="002C58F6" w:rsidRPr="002C58F6">
        <w:rPr>
          <w:rFonts w:ascii="Franklin Gothic Book" w:eastAsiaTheme="minorHAnsi" w:hAnsi="Franklin Gothic Book"/>
        </w:rPr>
        <w:fldChar w:fldCharType="separate"/>
      </w:r>
      <w:r w:rsidR="00D422BC" w:rsidRPr="00D422BC">
        <w:rPr>
          <w:rFonts w:ascii="Franklin Gothic Book" w:hAnsi="Franklin Gothic Book"/>
        </w:rPr>
        <w:t>Figure 3</w:t>
      </w:r>
      <w:r w:rsidR="002C58F6" w:rsidRPr="002C58F6">
        <w:rPr>
          <w:rFonts w:ascii="Franklin Gothic Book" w:eastAsiaTheme="minorHAnsi" w:hAnsi="Franklin Gothic Book"/>
        </w:rPr>
        <w:fldChar w:fldCharType="end"/>
      </w:r>
      <w:r w:rsidR="002C58F6" w:rsidRPr="002C58F6">
        <w:rPr>
          <w:rFonts w:ascii="Franklin Gothic Book" w:eastAsiaTheme="minorHAnsi" w:hAnsi="Franklin Gothic Book"/>
        </w:rPr>
        <w:t xml:space="preserve"> and </w:t>
      </w:r>
      <w:r w:rsidR="002C58F6" w:rsidRPr="002C58F6">
        <w:rPr>
          <w:rFonts w:ascii="Franklin Gothic Book" w:eastAsiaTheme="minorHAnsi" w:hAnsi="Franklin Gothic Book"/>
        </w:rPr>
        <w:fldChar w:fldCharType="begin"/>
      </w:r>
      <w:r w:rsidR="002C58F6" w:rsidRPr="002C58F6">
        <w:rPr>
          <w:rFonts w:ascii="Franklin Gothic Book" w:eastAsiaTheme="minorHAnsi" w:hAnsi="Franklin Gothic Book"/>
        </w:rPr>
        <w:instrText xml:space="preserve"> REF _Ref96537908 \h  \* MERGEFORMAT </w:instrText>
      </w:r>
      <w:r w:rsidR="002C58F6" w:rsidRPr="002C58F6">
        <w:rPr>
          <w:rFonts w:ascii="Franklin Gothic Book" w:eastAsiaTheme="minorHAnsi" w:hAnsi="Franklin Gothic Book"/>
        </w:rPr>
      </w:r>
      <w:r w:rsidR="002C58F6" w:rsidRPr="002C58F6">
        <w:rPr>
          <w:rFonts w:ascii="Franklin Gothic Book" w:eastAsiaTheme="minorHAnsi" w:hAnsi="Franklin Gothic Book"/>
        </w:rPr>
        <w:fldChar w:fldCharType="separate"/>
      </w:r>
      <w:r w:rsidR="00D422BC" w:rsidRPr="00D422BC">
        <w:rPr>
          <w:rFonts w:ascii="Franklin Gothic Book" w:hAnsi="Franklin Gothic Book"/>
        </w:rPr>
        <w:t>Figure 4</w:t>
      </w:r>
      <w:r w:rsidR="002C58F6" w:rsidRPr="002C58F6">
        <w:rPr>
          <w:rFonts w:ascii="Franklin Gothic Book" w:eastAsiaTheme="minorHAnsi" w:hAnsi="Franklin Gothic Book"/>
        </w:rPr>
        <w:fldChar w:fldCharType="end"/>
      </w:r>
      <w:r w:rsidR="002C58F6" w:rsidRPr="002C58F6">
        <w:rPr>
          <w:rFonts w:ascii="Franklin Gothic Book" w:eastAsiaTheme="minorHAnsi" w:hAnsi="Franklin Gothic Book"/>
        </w:rPr>
        <w:t xml:space="preserve">) </w:t>
      </w:r>
      <w:r w:rsidR="0059603B">
        <w:rPr>
          <w:rFonts w:ascii="Franklin Gothic Book" w:eastAsiaTheme="minorHAnsi" w:hAnsi="Franklin Gothic Book" w:cstheme="minorBidi"/>
          <w:lang w:eastAsia="en-US"/>
        </w:rPr>
        <w:t>d</w:t>
      </w:r>
      <w:r w:rsidR="0059603B" w:rsidRPr="008903D3">
        <w:rPr>
          <w:rFonts w:ascii="Franklin Gothic Book" w:eastAsiaTheme="minorHAnsi" w:hAnsi="Franklin Gothic Book" w:cstheme="minorBidi"/>
          <w:lang w:eastAsia="en-US"/>
        </w:rPr>
        <w:t>epicts the current clinical management paradigm</w:t>
      </w:r>
      <w:r w:rsidR="0059603B" w:rsidRPr="008903D3" w:rsidDel="009C23F7">
        <w:rPr>
          <w:rFonts w:ascii="Franklin Gothic Book" w:eastAsiaTheme="minorHAnsi" w:hAnsi="Franklin Gothic Book" w:cstheme="minorBidi"/>
          <w:lang w:eastAsia="en-US"/>
        </w:rPr>
        <w:t xml:space="preserve"> </w:t>
      </w:r>
      <w:r w:rsidR="0059603B" w:rsidRPr="008903D3">
        <w:rPr>
          <w:rFonts w:ascii="Franklin Gothic Book" w:eastAsiaTheme="minorHAnsi" w:hAnsi="Franklin Gothic Book" w:cstheme="minorBidi"/>
          <w:lang w:eastAsia="en-US"/>
        </w:rPr>
        <w:t xml:space="preserve">(ERCP-guided brush cytology and/or intraductal biopsy) and proposed alternative (POCPS-guided visualisation and biopsy) for the diagnosis of indeterminate biliary strictures. A hypothetical cohort of 1,000 </w:t>
      </w:r>
      <w:r w:rsidR="0059603B" w:rsidRPr="008903D3">
        <w:rPr>
          <w:rFonts w:ascii="Franklin Gothic Book" w:eastAsiaTheme="minorHAnsi" w:hAnsi="Franklin Gothic Book" w:cstheme="minorBidi"/>
          <w:lang w:eastAsia="en-US"/>
        </w:rPr>
        <w:lastRenderedPageBreak/>
        <w:t>patients is designated to receive either POCPS-guided EHL/LL or the comparator. In both scenarios, patients achieving a diagnosis are subsequently treated and exit the model. Based on physician advice, patients with indeterminate results were assumed to either undergo surgical resection, due to concerns of malignancy, or were re-evaluated with a repeat diagnostic procedure (i.e. ERCP-guided brush cytology and/or intraductal biopsy in the comparator arm and POCPS-guided biopsy and visualisation in the intervention arm). Those remaining undiagnosed after the repeat procedure were assumed to undergo surgical resection (validated by the 2021 Advisory Board).</w:t>
      </w:r>
    </w:p>
    <w:p w14:paraId="1A5CC0CB" w14:textId="424D79AF" w:rsidR="00C26309" w:rsidRDefault="0059603B" w:rsidP="00096324">
      <w:pPr>
        <w:spacing w:after="240"/>
        <w:rPr>
          <w:iCs/>
        </w:rPr>
      </w:pPr>
      <w:bookmarkStart w:id="116" w:name="_Hlk89160027"/>
      <w:r w:rsidRPr="0059603B">
        <w:t xml:space="preserve">This model structure is in line with feedback from the 2021 Advisory Board and international consensus guidelines for the diagnosis of indeterminate biliary strictures </w:t>
      </w:r>
      <w:r w:rsidRPr="0059603B">
        <w:fldChar w:fldCharType="begin"/>
      </w:r>
      <w:r w:rsidRPr="0059603B">
        <w:instrText xml:space="preserve"> ADDIN EN.CITE &lt;EndNote&gt;&lt;Cite&gt;&lt;Author&gt;Angsuwatcharakon&lt;/Author&gt;&lt;Year&gt;2021&lt;/Year&gt;&lt;RecNum&gt;63&lt;/RecNum&gt;&lt;DisplayText&gt;(Angsuwatcharakon et al., 2021)&lt;/DisplayText&gt;&lt;record&gt;&lt;rec-number&gt;63&lt;/rec-number&gt;&lt;foreign-keys&gt;&lt;key app="EN" db-id="xrd5xtv9xdvftxetprq5st9c5trzx5z2xzpp" timestamp="1633407184"&gt;63&lt;/key&gt;&lt;/foreign-keys&gt;&lt;ref-type name="Journal Article"&gt;17&lt;/ref-type&gt;&lt;contributors&gt;&lt;authors&gt;&lt;author&gt;Angsuwatcharakon, Phonthep&lt;/author&gt;&lt;author&gt;Kulpatcharapong, Santi&lt;/author&gt;&lt;author&gt;Moon, Jong H.&lt;/author&gt;&lt;author&gt;Ramchandani, Mohan&lt;/author&gt;&lt;author&gt;Lau, James&lt;/author&gt;&lt;author&gt;Isayama, Hiroyuki&lt;/author&gt;&lt;author&gt;Seo, Dong W.&lt;/author&gt;&lt;author&gt;Maydeo, Amit&lt;/author&gt;&lt;author&gt;Wang, Hsiu- P.&lt;/author&gt;&lt;author&gt;Nakai, Yousuke&lt;/author&gt;&lt;author&gt;Ratanachu-ek, Thawee&lt;/author&gt;&lt;author&gt;Bapaye, Amol&lt;/author&gt;&lt;author&gt;Hu, Bing&lt;/author&gt;&lt;author&gt;Devereaux, Benedict&lt;/author&gt;&lt;author&gt;Ponnudurai, Ryan&lt;/author&gt;&lt;author&gt;Khor, Christopher&lt;/author&gt;&lt;author&gt;Kongkam, Pradermchai&lt;/author&gt;&lt;author&gt;Pausawasdi, Nonthalee&lt;/author&gt;&lt;author&gt;Ridtitid, Wiriyaporn&lt;/author&gt;&lt;author&gt;Piyachaturawat, Panida&lt;/author&gt;&lt;author&gt;Khanh, Pham C.&lt;/author&gt;&lt;author&gt;Dy, Federick&lt;/author&gt;&lt;author&gt;Rerknimitr, Rungsun&lt;/author&gt;&lt;/authors&gt;&lt;/contributors&gt;&lt;titles&gt;&lt;title&gt;Consensus guidelines on the role of cholangioscopy to diagnose indeterminate biliary stricture&lt;/title&gt;&lt;secondary-title&gt;HPB&lt;/secondary-title&gt;&lt;/titles&gt;&lt;periodical&gt;&lt;full-title&gt;HPB&lt;/full-title&gt;&lt;/periodical&gt;&lt;dates&gt;&lt;year&gt;2021&lt;/year&gt;&lt;/dates&gt;&lt;publisher&gt;Elsevier&lt;/publisher&gt;&lt;isbn&gt;1365-182X&lt;/isbn&gt;&lt;urls&gt;&lt;related-urls&gt;&lt;url&gt;https://doi.org/10.1016/j.hpb.2021.05.005&lt;/url&gt;&lt;url&gt;https://www.hpbonline.org/article/S1365-182X(21)00156-8/pdf&lt;/url&gt;&lt;/related-urls&gt;&lt;/urls&gt;&lt;electronic-resource-num&gt;10.1016/j.hpb.2021.05.005&lt;/electronic-resource-num&gt;&lt;access-date&gt;2021/07/25&lt;/access-date&gt;&lt;/record&gt;&lt;/Cite&gt;&lt;/EndNote&gt;</w:instrText>
      </w:r>
      <w:r w:rsidRPr="0059603B">
        <w:fldChar w:fldCharType="separate"/>
      </w:r>
      <w:r w:rsidRPr="0059603B">
        <w:rPr>
          <w:noProof/>
        </w:rPr>
        <w:t>(Angsuwatcharakon et al., 2021)</w:t>
      </w:r>
      <w:r w:rsidRPr="0059603B">
        <w:fldChar w:fldCharType="end"/>
      </w:r>
      <w:r w:rsidRPr="0059603B">
        <w:t>.</w:t>
      </w:r>
      <w:r w:rsidR="00C26309" w:rsidRPr="00C26309">
        <w:rPr>
          <w:iCs/>
        </w:rPr>
        <w:t xml:space="preserve"> </w:t>
      </w:r>
    </w:p>
    <w:p w14:paraId="6E875522" w14:textId="125E797A" w:rsidR="00042747" w:rsidRPr="0059603B" w:rsidDel="00AE6932" w:rsidRDefault="00C26309" w:rsidP="005E49D6">
      <w:pPr>
        <w:spacing w:before="240" w:after="240"/>
        <w:rPr>
          <w:iCs/>
        </w:rPr>
      </w:pPr>
      <w:r w:rsidRPr="0059603B">
        <w:rPr>
          <w:iCs/>
        </w:rPr>
        <w:t xml:space="preserve">The commentary considered that the structure of the model is appropriate and considers the primary outcome of cost per correctly diagnosed patient. The applicant acknowledged the importance of capturing all listed safety outcomes, however these are not captured in the available clinical evidence base. Given </w:t>
      </w:r>
      <w:r w:rsidR="00042747">
        <w:rPr>
          <w:iCs/>
        </w:rPr>
        <w:t xml:space="preserve">the </w:t>
      </w:r>
      <w:r w:rsidRPr="0059603B">
        <w:rPr>
          <w:iCs/>
        </w:rPr>
        <w:t>non-inferior safety profile, it is assumed that safety profiles do not greatly differ between the intervention and the comparator.</w:t>
      </w:r>
    </w:p>
    <w:p w14:paraId="411944D5" w14:textId="735CE9E5" w:rsidR="00C26309" w:rsidRDefault="00C26309" w:rsidP="00096324">
      <w:pPr>
        <w:spacing w:after="240"/>
        <w:contextualSpacing/>
      </w:pPr>
      <w:r w:rsidRPr="0059603B">
        <w:t xml:space="preserve">This ADAR has included a one-off cost for the incorrect diagnosis of malignant biliary structures (incorrectly diagnosed as benign) to account for this factor. It is noted that the number of patients with malignant disease diagnosed as benign is more frequent in the comparator arm, amounting to 18 and 228 for POCPS and ERCP respectively. The cost of this impact is calculated using a terminal care cost which amounts to $30,001 AUD (2009/2010) and reflects the yearly average health care costs of patients who died from cancer ($37,912 when inflated to 2021 costs). </w:t>
      </w:r>
      <w:r>
        <w:t>The commentary considered that t</w:t>
      </w:r>
      <w:r w:rsidRPr="0059603B">
        <w:t xml:space="preserve">his cost may be appropriate as it is reflective of the Australian health care setting and acts as an opportunity cost for receiving a correct malignant </w:t>
      </w:r>
      <w:r w:rsidRPr="0059603B">
        <w:lastRenderedPageBreak/>
        <w:t>diagnosis, assuming patients with incorrect diagnosis die from cancer. The method is appropriate given the best available data provided in other clinical studies and economic models. However, this assumption should be tested in a sensitivity analysis to assess the impact of sensitivity and specificity with the inclusion of inconclusive test results. This is not considered in the sensitivity model in this ADAR.</w:t>
      </w:r>
    </w:p>
    <w:p w14:paraId="4E85FCF3" w14:textId="77777777" w:rsidR="00C26309" w:rsidRPr="0059603B" w:rsidRDefault="00C26309" w:rsidP="00C26309">
      <w:pPr>
        <w:spacing w:after="240"/>
      </w:pPr>
    </w:p>
    <w:p w14:paraId="1CE24AF4" w14:textId="01728955" w:rsidR="002C58F6" w:rsidRDefault="002C58F6" w:rsidP="0059603B">
      <w:pPr>
        <w:spacing w:after="240"/>
        <w:sectPr w:rsidR="002C58F6" w:rsidSect="006D10FC">
          <w:footerReference w:type="even" r:id="rId12"/>
          <w:footerReference w:type="default" r:id="rId13"/>
          <w:pgSz w:w="11906" w:h="16838"/>
          <w:pgMar w:top="1440" w:right="1440" w:bottom="1440" w:left="1440" w:header="709" w:footer="709" w:gutter="0"/>
          <w:cols w:space="720"/>
        </w:sectPr>
      </w:pPr>
    </w:p>
    <w:bookmarkEnd w:id="116"/>
    <w:p w14:paraId="560E58DC" w14:textId="77777777" w:rsidR="00DE1CCE" w:rsidRDefault="00DE1CCE" w:rsidP="00DE1CCE">
      <w:pPr>
        <w:pStyle w:val="Instructionaltext"/>
        <w:jc w:val="center"/>
        <w:rPr>
          <w:noProof/>
        </w:rPr>
      </w:pPr>
    </w:p>
    <w:p w14:paraId="7F73E302" w14:textId="77777777" w:rsidR="00DE1CCE" w:rsidRDefault="00DE1CCE" w:rsidP="00DE1CCE">
      <w:pPr>
        <w:pStyle w:val="Instructionaltext"/>
        <w:jc w:val="center"/>
        <w:rPr>
          <w:noProof/>
        </w:rPr>
      </w:pPr>
      <w:r>
        <w:rPr>
          <w:noProof/>
          <w:lang w:eastAsia="en-AU"/>
        </w:rPr>
        <w:drawing>
          <wp:inline distT="0" distB="0" distL="0" distR="0" wp14:anchorId="08FEFBBC" wp14:editId="664D30F0">
            <wp:extent cx="9305925" cy="3400725"/>
            <wp:effectExtent l="0" t="0" r="0" b="9525"/>
            <wp:docPr id="1" name="Picture 1" descr="Figure 19 Structure of analytic tree for indeterminate biliary strictures (comparator ar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Figure 19 Structure of analytic tree for indeterminate biliary strictures (comparator arm) "/>
                    <pic:cNvPicPr/>
                  </pic:nvPicPr>
                  <pic:blipFill rotWithShape="1">
                    <a:blip r:embed="rId14"/>
                    <a:srcRect t="3448" b="16629"/>
                    <a:stretch/>
                  </pic:blipFill>
                  <pic:spPr bwMode="auto">
                    <a:xfrm>
                      <a:off x="0" y="0"/>
                      <a:ext cx="9417938" cy="3441659"/>
                    </a:xfrm>
                    <a:prstGeom prst="rect">
                      <a:avLst/>
                    </a:prstGeom>
                    <a:ln>
                      <a:noFill/>
                    </a:ln>
                    <a:extLst>
                      <a:ext uri="{53640926-AAD7-44D8-BBD7-CCE9431645EC}">
                        <a14:shadowObscured xmlns:a14="http://schemas.microsoft.com/office/drawing/2010/main"/>
                      </a:ext>
                    </a:extLst>
                  </pic:spPr>
                </pic:pic>
              </a:graphicData>
            </a:graphic>
          </wp:inline>
        </w:drawing>
      </w:r>
    </w:p>
    <w:p w14:paraId="1BD8C3EE" w14:textId="77777777" w:rsidR="00DE1CCE" w:rsidRDefault="00DE1CCE" w:rsidP="00DE1CCE">
      <w:pPr>
        <w:tabs>
          <w:tab w:val="left" w:pos="4395"/>
        </w:tabs>
      </w:pPr>
      <w:r>
        <w:tab/>
      </w:r>
    </w:p>
    <w:p w14:paraId="1C72D6E1" w14:textId="245593B0" w:rsidR="00B013B7" w:rsidRDefault="00B013B7" w:rsidP="00B013B7">
      <w:pPr>
        <w:pStyle w:val="Caption"/>
      </w:pPr>
      <w:bookmarkStart w:id="117" w:name="_Ref96537902"/>
      <w:bookmarkStart w:id="118" w:name="_Ref79043398"/>
      <w:bookmarkStart w:id="119" w:name="_Toc84313779"/>
      <w:bookmarkStart w:id="120" w:name="_Toc84348247"/>
      <w:r>
        <w:t xml:space="preserve">Figure </w:t>
      </w:r>
      <w:r>
        <w:fldChar w:fldCharType="begin"/>
      </w:r>
      <w:r>
        <w:instrText>SEQ Figure \* ARABIC</w:instrText>
      </w:r>
      <w:r>
        <w:fldChar w:fldCharType="separate"/>
      </w:r>
      <w:r w:rsidR="00D422BC">
        <w:rPr>
          <w:noProof/>
        </w:rPr>
        <w:t>3</w:t>
      </w:r>
      <w:r>
        <w:fldChar w:fldCharType="end"/>
      </w:r>
      <w:bookmarkEnd w:id="117"/>
      <w:r>
        <w:tab/>
        <w:t xml:space="preserve">Structure of analytic tree for indeterminate biliary strictures (comparator arm) </w:t>
      </w:r>
    </w:p>
    <w:p w14:paraId="7E4F8C46" w14:textId="77777777" w:rsidR="00252917" w:rsidRDefault="00252917">
      <w:pPr>
        <w:spacing w:before="0"/>
        <w:rPr>
          <w:rFonts w:ascii="Arial Narrow" w:eastAsia="Times New Roman" w:hAnsi="Arial Narrow" w:cs="Times New Roman"/>
          <w:b/>
          <w:bCs/>
          <w:sz w:val="20"/>
          <w:szCs w:val="20"/>
        </w:rPr>
      </w:pPr>
      <w:r>
        <w:br w:type="page"/>
      </w:r>
    </w:p>
    <w:p w14:paraId="00E51FC9" w14:textId="77777777" w:rsidR="00B013B7" w:rsidRDefault="00B013B7" w:rsidP="00DE1CCE">
      <w:pPr>
        <w:pStyle w:val="Caption"/>
      </w:pPr>
      <w:r>
        <w:rPr>
          <w:noProof/>
          <w:lang w:eastAsia="en-AU"/>
        </w:rPr>
        <w:lastRenderedPageBreak/>
        <w:drawing>
          <wp:inline distT="0" distB="0" distL="0" distR="0" wp14:anchorId="3961BAFF" wp14:editId="63CA5AAD">
            <wp:extent cx="8863330" cy="3466669"/>
            <wp:effectExtent l="0" t="0" r="0" b="635"/>
            <wp:docPr id="3" name="Picture 3" descr="Figure 20 Structure of analytic tree for indeterminate biliary strictures (intervention ar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Figure 20 Structure of analytic tree for indeterminate biliary strictures (intervention arm) "/>
                    <pic:cNvPicPr/>
                  </pic:nvPicPr>
                  <pic:blipFill rotWithShape="1">
                    <a:blip r:embed="rId15"/>
                    <a:srcRect l="1611" t="3652" r="917" b="25435"/>
                    <a:stretch/>
                  </pic:blipFill>
                  <pic:spPr bwMode="auto">
                    <a:xfrm>
                      <a:off x="0" y="0"/>
                      <a:ext cx="8863330" cy="3466669"/>
                    </a:xfrm>
                    <a:prstGeom prst="rect">
                      <a:avLst/>
                    </a:prstGeom>
                    <a:ln>
                      <a:noFill/>
                    </a:ln>
                    <a:extLst>
                      <a:ext uri="{53640926-AAD7-44D8-BBD7-CCE9431645EC}">
                        <a14:shadowObscured xmlns:a14="http://schemas.microsoft.com/office/drawing/2010/main"/>
                      </a:ext>
                    </a:extLst>
                  </pic:spPr>
                </pic:pic>
              </a:graphicData>
            </a:graphic>
          </wp:inline>
        </w:drawing>
      </w:r>
    </w:p>
    <w:p w14:paraId="65E15335" w14:textId="4941F884" w:rsidR="00DE1CCE" w:rsidRDefault="00DE1CCE" w:rsidP="00DE1CCE">
      <w:pPr>
        <w:pStyle w:val="Caption"/>
      </w:pPr>
      <w:bookmarkStart w:id="121" w:name="_Ref96537908"/>
      <w:r>
        <w:t xml:space="preserve">Figure </w:t>
      </w:r>
      <w:r>
        <w:fldChar w:fldCharType="begin"/>
      </w:r>
      <w:r>
        <w:instrText>SEQ Figure \* ARABIC</w:instrText>
      </w:r>
      <w:r>
        <w:fldChar w:fldCharType="separate"/>
      </w:r>
      <w:r w:rsidR="00D422BC">
        <w:rPr>
          <w:noProof/>
        </w:rPr>
        <w:t>4</w:t>
      </w:r>
      <w:r>
        <w:fldChar w:fldCharType="end"/>
      </w:r>
      <w:bookmarkEnd w:id="118"/>
      <w:bookmarkEnd w:id="121"/>
      <w:r>
        <w:tab/>
        <w:t>Structure of analytic tree for indeterminate biliary strictures (intervention arm)</w:t>
      </w:r>
      <w:bookmarkEnd w:id="119"/>
      <w:bookmarkEnd w:id="120"/>
      <w:r>
        <w:t xml:space="preserve"> </w:t>
      </w:r>
    </w:p>
    <w:p w14:paraId="1041F89D" w14:textId="63A84988" w:rsidR="00DE1CCE" w:rsidRDefault="00DE1CCE" w:rsidP="00DE1CCE">
      <w:pPr>
        <w:pStyle w:val="Instructionaltext"/>
        <w:jc w:val="center"/>
      </w:pPr>
    </w:p>
    <w:p w14:paraId="4DFCFE99" w14:textId="77777777" w:rsidR="00252917" w:rsidRDefault="00252917">
      <w:pPr>
        <w:spacing w:before="0"/>
        <w:rPr>
          <w:i/>
        </w:rPr>
        <w:sectPr w:rsidR="00252917" w:rsidSect="00B013B7">
          <w:pgSz w:w="16838" w:h="11906" w:orient="landscape"/>
          <w:pgMar w:top="1440" w:right="1440" w:bottom="1440" w:left="1440" w:header="709" w:footer="709" w:gutter="0"/>
          <w:cols w:space="720"/>
        </w:sectPr>
      </w:pPr>
    </w:p>
    <w:p w14:paraId="280DDE53" w14:textId="35AA2FBC" w:rsidR="007B6DDB" w:rsidRDefault="007B6DDB" w:rsidP="54C1B43C">
      <w:pPr>
        <w:pStyle w:val="Heading3"/>
      </w:pPr>
      <w:r>
        <w:lastRenderedPageBreak/>
        <w:t>Generation of the base case</w:t>
      </w:r>
    </w:p>
    <w:p w14:paraId="14B4B51F" w14:textId="77777777" w:rsidR="0059603B" w:rsidRPr="000C0219" w:rsidRDefault="0059603B" w:rsidP="0059603B">
      <w:pPr>
        <w:pStyle w:val="Heading4"/>
      </w:pPr>
      <w:r>
        <w:t>Therapeutic application</w:t>
      </w:r>
    </w:p>
    <w:p w14:paraId="55329B1A" w14:textId="2F24E5F1" w:rsidR="007B6DDB" w:rsidRDefault="719E7052" w:rsidP="0015035D">
      <w:pPr>
        <w:pStyle w:val="BodyText"/>
        <w:spacing w:before="120" w:after="240" w:line="259" w:lineRule="auto"/>
        <w:rPr>
          <w:rFonts w:ascii="Franklin Gothic Book" w:eastAsiaTheme="minorEastAsia" w:hAnsi="Franklin Gothic Book" w:cstheme="minorBidi"/>
          <w:lang w:eastAsia="en-US"/>
        </w:rPr>
      </w:pPr>
      <w:r w:rsidRPr="67B645D6">
        <w:rPr>
          <w:rFonts w:ascii="Franklin Gothic Book" w:eastAsiaTheme="minorEastAsia" w:hAnsi="Franklin Gothic Book" w:cstheme="minorBidi"/>
          <w:lang w:eastAsia="en-US"/>
        </w:rPr>
        <w:t xml:space="preserve">Single session stone clearance was used as the key clinical input for this analysis. The two identified RCTs presented in the clinical evaluation reported high rates of single session stone clearance for POCPS-guided EHL/LL (100% </w:t>
      </w:r>
      <w:r w:rsidR="005F1F4A" w:rsidRPr="67B645D6">
        <w:rPr>
          <w:rFonts w:ascii="Franklin Gothic Book" w:eastAsiaTheme="minorEastAsia" w:hAnsi="Franklin Gothic Book" w:cstheme="minorBidi"/>
          <w:lang w:eastAsia="en-US"/>
        </w:rPr>
        <w:fldChar w:fldCharType="begin">
          <w:fldData xml:space="preserve">PEVuZE5vdGU+PENpdGU+PEF1dGhvcj5BbmdzdXdhdGNoYXJha29uPC9BdXRob3I+PFllYXI+MjAx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</w:fldData>
        </w:fldChar>
      </w:r>
      <w:r w:rsidR="005F1F4A" w:rsidRPr="67B645D6">
        <w:rPr>
          <w:rFonts w:ascii="Franklin Gothic Book" w:eastAsiaTheme="minorEastAsia" w:hAnsi="Franklin Gothic Book" w:cstheme="minorBidi"/>
          <w:lang w:eastAsia="en-US"/>
        </w:rPr>
        <w:instrText xml:space="preserve"> ADDIN EN.CITE </w:instrText>
      </w:r>
      <w:r w:rsidR="005F1F4A" w:rsidRPr="67B645D6">
        <w:rPr>
          <w:rFonts w:ascii="Franklin Gothic Book" w:eastAsiaTheme="minorEastAsia" w:hAnsi="Franklin Gothic Book" w:cstheme="minorBidi"/>
          <w:lang w:eastAsia="en-US"/>
        </w:rPr>
        <w:fldChar w:fldCharType="begin">
          <w:fldData xml:space="preserve">PEVuZE5vdGU+PENpdGU+PEF1dGhvcj5BbmdzdXdhdGNoYXJha29uPC9BdXRob3I+PFllYXI+MjAx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</w:fldData>
        </w:fldChar>
      </w:r>
      <w:r w:rsidR="005F1F4A" w:rsidRPr="67B645D6">
        <w:rPr>
          <w:rFonts w:ascii="Franklin Gothic Book" w:eastAsiaTheme="minorEastAsia" w:hAnsi="Franklin Gothic Book" w:cstheme="minorBidi"/>
          <w:lang w:eastAsia="en-US"/>
        </w:rPr>
        <w:instrText xml:space="preserve"> ADDIN EN.CITE.DATA </w:instrText>
      </w:r>
      <w:r w:rsidR="005F1F4A" w:rsidRPr="67B645D6">
        <w:rPr>
          <w:rFonts w:ascii="Franklin Gothic Book" w:eastAsiaTheme="minorEastAsia" w:hAnsi="Franklin Gothic Book" w:cstheme="minorBidi"/>
          <w:lang w:eastAsia="en-US"/>
        </w:rPr>
      </w:r>
      <w:r w:rsidR="005F1F4A" w:rsidRPr="67B645D6">
        <w:rPr>
          <w:rFonts w:ascii="Franklin Gothic Book" w:eastAsiaTheme="minorEastAsia" w:hAnsi="Franklin Gothic Book" w:cstheme="minorBidi"/>
          <w:lang w:eastAsia="en-US"/>
        </w:rPr>
        <w:fldChar w:fldCharType="end"/>
      </w:r>
      <w:r w:rsidR="005F1F4A" w:rsidRPr="67B645D6">
        <w:rPr>
          <w:rFonts w:ascii="Franklin Gothic Book" w:eastAsiaTheme="minorEastAsia" w:hAnsi="Franklin Gothic Book" w:cstheme="minorBidi"/>
          <w:lang w:eastAsia="en-US"/>
        </w:rPr>
      </w:r>
      <w:r w:rsidR="005F1F4A" w:rsidRPr="67B645D6">
        <w:rPr>
          <w:rFonts w:ascii="Franklin Gothic Book" w:eastAsiaTheme="minorEastAsia" w:hAnsi="Franklin Gothic Book" w:cstheme="minorBidi"/>
          <w:lang w:eastAsia="en-US"/>
        </w:rPr>
        <w:fldChar w:fldCharType="separate"/>
      </w:r>
      <w:r w:rsidR="5F1667E8" w:rsidRPr="67B645D6">
        <w:rPr>
          <w:rFonts w:ascii="Franklin Gothic Book" w:eastAsiaTheme="minorEastAsia" w:hAnsi="Franklin Gothic Book" w:cstheme="minorBidi"/>
          <w:noProof/>
          <w:lang w:eastAsia="en-US"/>
        </w:rPr>
        <w:t>(Angsuwatcharakon et al., 2019)</w:t>
      </w:r>
      <w:r w:rsidR="005F1F4A" w:rsidRPr="67B645D6">
        <w:rPr>
          <w:rFonts w:ascii="Franklin Gothic Book" w:eastAsiaTheme="minorEastAsia" w:hAnsi="Franklin Gothic Book" w:cstheme="minorBidi"/>
          <w:lang w:eastAsia="en-US"/>
        </w:rPr>
        <w:fldChar w:fldCharType="end"/>
      </w:r>
      <w:r w:rsidRPr="67B645D6">
        <w:rPr>
          <w:rFonts w:ascii="Franklin Gothic Book" w:eastAsiaTheme="minorEastAsia" w:hAnsi="Franklin Gothic Book" w:cstheme="minorBidi"/>
          <w:lang w:eastAsia="en-US"/>
        </w:rPr>
        <w:t xml:space="preserve"> and 92.3% </w:t>
      </w:r>
      <w:r w:rsidR="005F1F4A" w:rsidRPr="67B645D6">
        <w:rPr>
          <w:rFonts w:ascii="Franklin Gothic Book" w:eastAsiaTheme="minorEastAsia" w:hAnsi="Franklin Gothic Book" w:cstheme="minorBidi"/>
          <w:lang w:eastAsia="en-US"/>
        </w:rPr>
        <w:fldChar w:fldCharType="begin">
          <w:fldData xml:space="preserve">PEVuZE5vdGU+PENpdGU+PEF1dGhvcj5MaTwvQXV0aG9yPjxZZWFyPjIwMjE8L1llYXI+PFJlY051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</w:fldData>
        </w:fldChar>
      </w:r>
      <w:r w:rsidR="005F1F4A" w:rsidRPr="67B645D6">
        <w:rPr>
          <w:rFonts w:ascii="Franklin Gothic Book" w:eastAsiaTheme="minorEastAsia" w:hAnsi="Franklin Gothic Book" w:cstheme="minorBidi"/>
          <w:lang w:eastAsia="en-US"/>
        </w:rPr>
        <w:instrText xml:space="preserve"> ADDIN EN.CITE </w:instrText>
      </w:r>
      <w:r w:rsidR="005F1F4A" w:rsidRPr="67B645D6">
        <w:rPr>
          <w:rFonts w:ascii="Franklin Gothic Book" w:eastAsiaTheme="minorEastAsia" w:hAnsi="Franklin Gothic Book" w:cstheme="minorBidi"/>
          <w:lang w:eastAsia="en-US"/>
        </w:rPr>
        <w:fldChar w:fldCharType="begin">
          <w:fldData xml:space="preserve">PEVuZE5vdGU+PENpdGU+PEF1dGhvcj5MaTwvQXV0aG9yPjxZZWFyPjIwMjE8L1llYXI+PFJlY051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</w:fldData>
        </w:fldChar>
      </w:r>
      <w:r w:rsidR="005F1F4A" w:rsidRPr="67B645D6">
        <w:rPr>
          <w:rFonts w:ascii="Franklin Gothic Book" w:eastAsiaTheme="minorEastAsia" w:hAnsi="Franklin Gothic Book" w:cstheme="minorBidi"/>
          <w:lang w:eastAsia="en-US"/>
        </w:rPr>
        <w:instrText xml:space="preserve"> ADDIN EN.CITE.DATA </w:instrText>
      </w:r>
      <w:r w:rsidR="005F1F4A" w:rsidRPr="67B645D6">
        <w:rPr>
          <w:rFonts w:ascii="Franklin Gothic Book" w:eastAsiaTheme="minorEastAsia" w:hAnsi="Franklin Gothic Book" w:cstheme="minorBidi"/>
          <w:lang w:eastAsia="en-US"/>
        </w:rPr>
      </w:r>
      <w:r w:rsidR="005F1F4A" w:rsidRPr="67B645D6">
        <w:rPr>
          <w:rFonts w:ascii="Franklin Gothic Book" w:eastAsiaTheme="minorEastAsia" w:hAnsi="Franklin Gothic Book" w:cstheme="minorBidi"/>
          <w:lang w:eastAsia="en-US"/>
        </w:rPr>
        <w:fldChar w:fldCharType="end"/>
      </w:r>
      <w:r w:rsidR="005F1F4A" w:rsidRPr="67B645D6">
        <w:rPr>
          <w:rFonts w:ascii="Franklin Gothic Book" w:eastAsiaTheme="minorEastAsia" w:hAnsi="Franklin Gothic Book" w:cstheme="minorBidi"/>
          <w:lang w:eastAsia="en-US"/>
        </w:rPr>
      </w:r>
      <w:r w:rsidR="005F1F4A" w:rsidRPr="67B645D6">
        <w:rPr>
          <w:rFonts w:ascii="Franklin Gothic Book" w:eastAsiaTheme="minorEastAsia" w:hAnsi="Franklin Gothic Book" w:cstheme="minorBidi"/>
          <w:lang w:eastAsia="en-US"/>
        </w:rPr>
        <w:fldChar w:fldCharType="separate"/>
      </w:r>
      <w:r w:rsidR="5F1667E8" w:rsidRPr="67B645D6">
        <w:rPr>
          <w:rFonts w:ascii="Franklin Gothic Book" w:eastAsiaTheme="minorEastAsia" w:hAnsi="Franklin Gothic Book" w:cstheme="minorBidi"/>
          <w:noProof/>
          <w:lang w:eastAsia="en-US"/>
        </w:rPr>
        <w:t>(Li et al., 2021)</w:t>
      </w:r>
      <w:r w:rsidR="005F1F4A" w:rsidRPr="67B645D6">
        <w:rPr>
          <w:rFonts w:ascii="Franklin Gothic Book" w:eastAsiaTheme="minorEastAsia" w:hAnsi="Franklin Gothic Book" w:cstheme="minorBidi"/>
          <w:lang w:eastAsia="en-US"/>
        </w:rPr>
        <w:fldChar w:fldCharType="end"/>
      </w:r>
      <w:r w:rsidRPr="67B645D6">
        <w:rPr>
          <w:rFonts w:ascii="Franklin Gothic Book" w:eastAsiaTheme="minorEastAsia" w:hAnsi="Franklin Gothic Book" w:cstheme="minorBidi"/>
          <w:lang w:eastAsia="en-US"/>
        </w:rPr>
        <w:t>).</w:t>
      </w:r>
    </w:p>
    <w:p w14:paraId="11751EC6" w14:textId="5C3C5A23" w:rsidR="007B6DDB" w:rsidRDefault="007B6DDB" w:rsidP="0015035D">
      <w:pPr>
        <w:pStyle w:val="BodyText"/>
        <w:spacing w:before="240" w:after="240" w:line="259" w:lineRule="auto"/>
        <w:rPr>
          <w:rFonts w:ascii="Franklin Gothic Book" w:eastAsiaTheme="minorHAnsi" w:hAnsi="Franklin Gothic Book" w:cstheme="minorBidi"/>
          <w:iCs/>
          <w:lang w:eastAsia="en-US"/>
        </w:rPr>
      </w:pPr>
      <w:r w:rsidRPr="008903D3">
        <w:rPr>
          <w:rFonts w:ascii="Franklin Gothic Book" w:eastAsiaTheme="minorHAnsi" w:hAnsi="Franklin Gothic Book" w:cstheme="minorBidi"/>
          <w:iCs/>
          <w:lang w:eastAsia="en-US"/>
        </w:rPr>
        <w:t xml:space="preserve">As with other key economic analysis </w:t>
      </w:r>
      <w:r w:rsidR="005F1F4A">
        <w:rPr>
          <w:rFonts w:ascii="Franklin Gothic Book" w:eastAsiaTheme="minorHAnsi" w:hAnsi="Franklin Gothic Book" w:cstheme="minorBidi"/>
          <w:iCs/>
          <w:lang w:eastAsia="en-US"/>
        </w:rPr>
        <w:fldChar w:fldCharType="begin"/>
      </w:r>
      <w:r w:rsidR="005F1F4A">
        <w:rPr>
          <w:rFonts w:ascii="Franklin Gothic Book" w:eastAsiaTheme="minorHAnsi" w:hAnsi="Franklin Gothic Book" w:cstheme="minorBidi"/>
          <w:iCs/>
          <w:lang w:eastAsia="en-US"/>
        </w:rPr>
        <w:instrText xml:space="preserve"> ADDIN EN.CITE &lt;EndNote&gt;&lt;Cite&gt;&lt;Author&gt;Health Technology Wales&lt;/Author&gt;&lt;Year&gt;2020&lt;/Year&gt;&lt;RecNum&gt;131&lt;/RecNum&gt;&lt;DisplayText&gt;(Health Technology Wales, 2020)&lt;/DisplayText&gt;&lt;record&gt;&lt;rec-number&gt;131&lt;/rec-number&gt;&lt;foreign-keys&gt;&lt;key app="EN" db-id="xrd5xtv9xdvftxetprq5st9c5trzx5z2xzpp" timestamp="1633407200"&gt;131&lt;/key&gt;&lt;/foreign-keys&gt;&lt;ref-type name="Electronic Article"&gt;43&lt;/ref-type&gt;&lt;contributors&gt;&lt;authors&gt;&lt;author&gt;Health Technology Wales, &lt;/author&gt;&lt;/authors&gt;&lt;/contributors&gt;&lt;titles&gt;&lt;title&gt;Single-operator per-oral cholangioscopy for the evaluation and treatment of hepato-biliary-pancreatic disorders&lt;/title&gt;&lt;/titles&gt;&lt;dates&gt;&lt;year&gt;2020&lt;/year&gt;&lt;/dates&gt;&lt;urls&gt;&lt;related-urls&gt;&lt;url&gt;https://www.healthtechnology.wales/reports-guidance/spyglass-for-the-management-of-hepatobiliary-pancreatic-disorders/&lt;/url&gt;&lt;/related-urls&gt;&lt;/urls&gt;&lt;custom2&gt;02 August 2021&lt;/custom2&gt;&lt;/record&gt;&lt;/Cite&gt;&lt;/EndNote&gt;</w:instrText>
      </w:r>
      <w:r w:rsidR="005F1F4A">
        <w:rPr>
          <w:rFonts w:ascii="Franklin Gothic Book" w:eastAsiaTheme="minorHAnsi" w:hAnsi="Franklin Gothic Book" w:cstheme="minorBidi"/>
          <w:iCs/>
          <w:lang w:eastAsia="en-US"/>
        </w:rPr>
        <w:fldChar w:fldCharType="separate"/>
      </w:r>
      <w:r w:rsidR="005F1F4A">
        <w:rPr>
          <w:rFonts w:ascii="Franklin Gothic Book" w:eastAsiaTheme="minorHAnsi" w:hAnsi="Franklin Gothic Book" w:cstheme="minorBidi"/>
          <w:iCs/>
          <w:noProof/>
          <w:lang w:eastAsia="en-US"/>
        </w:rPr>
        <w:t>(Health Technology Wales, 2020)</w:t>
      </w:r>
      <w:r w:rsidR="005F1F4A">
        <w:rPr>
          <w:rFonts w:ascii="Franklin Gothic Book" w:eastAsiaTheme="minorHAnsi" w:hAnsi="Franklin Gothic Book" w:cstheme="minorBidi"/>
          <w:iCs/>
          <w:lang w:eastAsia="en-US"/>
        </w:rPr>
        <w:fldChar w:fldCharType="end"/>
      </w:r>
      <w:r w:rsidRPr="008903D3">
        <w:rPr>
          <w:rFonts w:ascii="Franklin Gothic Book" w:eastAsiaTheme="minorHAnsi" w:hAnsi="Franklin Gothic Book" w:cstheme="minorBidi"/>
          <w:iCs/>
          <w:lang w:eastAsia="en-US"/>
        </w:rPr>
        <w:t xml:space="preserve">, the only clinical efficacy data available was for the initial extraction attempt of a difficult stone. </w:t>
      </w:r>
      <w:r w:rsidRPr="008903D3">
        <w:rPr>
          <w:rFonts w:ascii="Franklin Gothic Book" w:eastAsiaTheme="minorHAnsi" w:hAnsi="Franklin Gothic Book" w:cstheme="minorBidi"/>
          <w:lang w:eastAsia="en-US"/>
        </w:rPr>
        <w:t xml:space="preserve">As the efficacy rates for repeated procedures are not known, it was assumed that the accuracy of all repeat procedures would be equal to the success rate of the initial extraction attempt reported in </w:t>
      </w:r>
      <w:r w:rsidR="005F1F4A">
        <w:rPr>
          <w:rFonts w:ascii="Franklin Gothic Book" w:eastAsiaTheme="minorHAnsi" w:hAnsi="Franklin Gothic Book" w:cstheme="minorBidi"/>
          <w:iCs/>
          <w:lang w:eastAsia="en-US"/>
        </w:rPr>
        <w:fldChar w:fldCharType="begin">
          <w:fldData xml:space="preserve">PEVuZE5vdGU+PENpdGUgQXV0aG9yWWVhcj0iMSI+PEF1dGhvcj5BbmdzdXdhdGNoYXJha29uPC9B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</w:fldData>
        </w:fldChar>
      </w:r>
      <w:r w:rsidR="005F1F4A">
        <w:rPr>
          <w:rFonts w:ascii="Franklin Gothic Book" w:eastAsiaTheme="minorHAnsi" w:hAnsi="Franklin Gothic Book" w:cstheme="minorBidi"/>
          <w:iCs/>
          <w:lang w:eastAsia="en-US"/>
        </w:rPr>
        <w:instrText xml:space="preserve"> ADDIN EN.CITE </w:instrText>
      </w:r>
      <w:r w:rsidR="005F1F4A">
        <w:rPr>
          <w:rFonts w:ascii="Franklin Gothic Book" w:eastAsiaTheme="minorHAnsi" w:hAnsi="Franklin Gothic Book" w:cstheme="minorBidi"/>
          <w:iCs/>
          <w:lang w:eastAsia="en-US"/>
        </w:rPr>
        <w:fldChar w:fldCharType="begin">
          <w:fldData xml:space="preserve">PEVuZE5vdGU+PENpdGUgQXV0aG9yWWVhcj0iMSI+PEF1dGhvcj5BbmdzdXdhdGNoYXJha29uPC9B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</w:fldData>
        </w:fldChar>
      </w:r>
      <w:r w:rsidR="005F1F4A">
        <w:rPr>
          <w:rFonts w:ascii="Franklin Gothic Book" w:eastAsiaTheme="minorHAnsi" w:hAnsi="Franklin Gothic Book" w:cstheme="minorBidi"/>
          <w:iCs/>
          <w:lang w:eastAsia="en-US"/>
        </w:rPr>
        <w:instrText xml:space="preserve"> ADDIN EN.CITE.DATA </w:instrText>
      </w:r>
      <w:r w:rsidR="005F1F4A">
        <w:rPr>
          <w:rFonts w:ascii="Franklin Gothic Book" w:eastAsiaTheme="minorHAnsi" w:hAnsi="Franklin Gothic Book" w:cstheme="minorBidi"/>
          <w:iCs/>
          <w:lang w:eastAsia="en-US"/>
        </w:rPr>
      </w:r>
      <w:r w:rsidR="005F1F4A">
        <w:rPr>
          <w:rFonts w:ascii="Franklin Gothic Book" w:eastAsiaTheme="minorHAnsi" w:hAnsi="Franklin Gothic Book" w:cstheme="minorBidi"/>
          <w:iCs/>
          <w:lang w:eastAsia="en-US"/>
        </w:rPr>
        <w:fldChar w:fldCharType="end"/>
      </w:r>
      <w:r w:rsidR="005F1F4A">
        <w:rPr>
          <w:rFonts w:ascii="Franklin Gothic Book" w:eastAsiaTheme="minorHAnsi" w:hAnsi="Franklin Gothic Book" w:cstheme="minorBidi"/>
          <w:iCs/>
          <w:lang w:eastAsia="en-US"/>
        </w:rPr>
      </w:r>
      <w:r w:rsidR="005F1F4A">
        <w:rPr>
          <w:rFonts w:ascii="Franklin Gothic Book" w:eastAsiaTheme="minorHAnsi" w:hAnsi="Franklin Gothic Book" w:cstheme="minorBidi"/>
          <w:iCs/>
          <w:lang w:eastAsia="en-US"/>
        </w:rPr>
        <w:fldChar w:fldCharType="separate"/>
      </w:r>
      <w:r w:rsidR="005F1F4A">
        <w:rPr>
          <w:rFonts w:ascii="Franklin Gothic Book" w:eastAsiaTheme="minorHAnsi" w:hAnsi="Franklin Gothic Book" w:cstheme="minorBidi"/>
          <w:iCs/>
          <w:noProof/>
          <w:lang w:eastAsia="en-US"/>
        </w:rPr>
        <w:t>Angsuwatcharakon et al. (2019)</w:t>
      </w:r>
      <w:r w:rsidR="005F1F4A">
        <w:rPr>
          <w:rFonts w:ascii="Franklin Gothic Book" w:eastAsiaTheme="minorHAnsi" w:hAnsi="Franklin Gothic Book" w:cstheme="minorBidi"/>
          <w:iCs/>
          <w:lang w:eastAsia="en-US"/>
        </w:rPr>
        <w:fldChar w:fldCharType="end"/>
      </w:r>
      <w:r w:rsidRPr="008903D3">
        <w:rPr>
          <w:rFonts w:ascii="Franklin Gothic Book" w:eastAsiaTheme="minorHAnsi" w:hAnsi="Franklin Gothic Book" w:cstheme="minorBidi"/>
          <w:iCs/>
          <w:lang w:eastAsia="en-US"/>
        </w:rPr>
        <w:t>.</w:t>
      </w:r>
    </w:p>
    <w:p w14:paraId="552A3BBD" w14:textId="428C1F11" w:rsidR="007B6DDB" w:rsidRDefault="007B6DDB" w:rsidP="0015035D">
      <w:pPr>
        <w:pStyle w:val="BodyText"/>
        <w:spacing w:before="240" w:after="240" w:line="259" w:lineRule="auto"/>
        <w:rPr>
          <w:rFonts w:ascii="Franklin Gothic Book" w:hAnsi="Franklin Gothic Book"/>
        </w:rPr>
      </w:pPr>
      <w:r w:rsidRPr="007A5848">
        <w:rPr>
          <w:rFonts w:ascii="Franklin Gothic Book" w:hAnsi="Franklin Gothic Book"/>
        </w:rPr>
        <w:t xml:space="preserve">The </w:t>
      </w:r>
      <w:r w:rsidR="00BF6F92" w:rsidRPr="007A5848">
        <w:rPr>
          <w:rFonts w:ascii="Franklin Gothic Book" w:hAnsi="Franklin Gothic Book"/>
        </w:rPr>
        <w:t xml:space="preserve">commentary highlighted that the </w:t>
      </w:r>
      <w:r w:rsidRPr="007A5848">
        <w:rPr>
          <w:rFonts w:ascii="Franklin Gothic Book" w:hAnsi="Franklin Gothic Book"/>
        </w:rPr>
        <w:t xml:space="preserve">economic model developed by Health Technology Wales noted that the success rate of repeat procedures is unknown, and as such, the accuracy of all repeated procedures is equal to previous procedures. This assumption is appropriate for the model presented in the ADAR. To note, this assumption is conservative and favours the comparator </w:t>
      </w:r>
      <w:r w:rsidR="005F1F4A" w:rsidRPr="007A5848">
        <w:rPr>
          <w:rFonts w:ascii="Franklin Gothic Book" w:hAnsi="Franklin Gothic Book"/>
        </w:rPr>
        <w:fldChar w:fldCharType="begin"/>
      </w:r>
      <w:r w:rsidR="005F1F4A" w:rsidRPr="007A5848">
        <w:rPr>
          <w:rFonts w:ascii="Franklin Gothic Book" w:hAnsi="Franklin Gothic Book"/>
        </w:rPr>
        <w:instrText xml:space="preserve"> ADDIN EN.CITE &lt;EndNote&gt;&lt;Cite&gt;&lt;Author&gt;Health Technology Wales&lt;/Author&gt;&lt;Year&gt;2020&lt;/Year&gt;&lt;RecNum&gt;131&lt;/RecNum&gt;&lt;DisplayText&gt;(Health Technology Wales, 2020)&lt;/DisplayText&gt;&lt;record&gt;&lt;rec-number&gt;131&lt;/rec-number&gt;&lt;foreign-keys&gt;&lt;key app="EN" db-id="xrd5xtv9xdvftxetprq5st9c5trzx5z2xzpp" timestamp="1633407200"&gt;131&lt;/key&gt;&lt;/foreign-keys&gt;&lt;ref-type name="Electronic Article"&gt;43&lt;/ref-type&gt;&lt;contributors&gt;&lt;authors&gt;&lt;author&gt;Health Technology Wales, &lt;/author&gt;&lt;/authors&gt;&lt;/contributors&gt;&lt;titles&gt;&lt;title&gt;Single-operator per-oral cholangioscopy for the evaluation and treatment of hepato-biliary-pancreatic disorders&lt;/title&gt;&lt;/titles&gt;&lt;dates&gt;&lt;year&gt;2020&lt;/year&gt;&lt;/dates&gt;&lt;urls&gt;&lt;related-urls&gt;&lt;url&gt;https://www.healthtechnology.wales/reports-guidance/spyglass-for-the-management-of-hepatobiliary-pancreatic-disorders/&lt;/url&gt;&lt;/related-urls&gt;&lt;/urls&gt;&lt;custom2&gt;02 August 2021&lt;/custom2&gt;&lt;/record&gt;&lt;/Cite&gt;&lt;/EndNote&gt;</w:instrText>
      </w:r>
      <w:r w:rsidR="005F1F4A" w:rsidRPr="007A5848">
        <w:rPr>
          <w:rFonts w:ascii="Franklin Gothic Book" w:hAnsi="Franklin Gothic Book"/>
        </w:rPr>
        <w:fldChar w:fldCharType="separate"/>
      </w:r>
      <w:r w:rsidR="005F1F4A" w:rsidRPr="007A5848">
        <w:rPr>
          <w:rFonts w:ascii="Franklin Gothic Book" w:hAnsi="Franklin Gothic Book"/>
          <w:noProof/>
        </w:rPr>
        <w:t>(Health Technology Wales, 2020)</w:t>
      </w:r>
      <w:r w:rsidR="005F1F4A" w:rsidRPr="007A5848">
        <w:rPr>
          <w:rFonts w:ascii="Franklin Gothic Book" w:hAnsi="Franklin Gothic Book"/>
        </w:rPr>
        <w:fldChar w:fldCharType="end"/>
      </w:r>
      <w:r w:rsidRPr="007A5848">
        <w:rPr>
          <w:rFonts w:ascii="Franklin Gothic Book" w:hAnsi="Franklin Gothic Book"/>
        </w:rPr>
        <w:t>.</w:t>
      </w:r>
    </w:p>
    <w:p w14:paraId="5042A923" w14:textId="42D2B5B2" w:rsidR="007B6DDB" w:rsidRPr="008903D3" w:rsidRDefault="007B6DDB" w:rsidP="0015035D">
      <w:pPr>
        <w:pStyle w:val="BodyText"/>
        <w:spacing w:before="240" w:after="240" w:line="259" w:lineRule="auto"/>
        <w:rPr>
          <w:rFonts w:ascii="Franklin Gothic Book" w:eastAsiaTheme="minorHAnsi" w:hAnsi="Franklin Gothic Book" w:cstheme="minorBidi"/>
          <w:lang w:eastAsia="en-US"/>
        </w:rPr>
      </w:pPr>
      <w:r w:rsidRPr="008903D3">
        <w:rPr>
          <w:rFonts w:ascii="Franklin Gothic Book" w:eastAsiaTheme="minorHAnsi" w:hAnsi="Franklin Gothic Book" w:cstheme="minorBidi"/>
          <w:lang w:eastAsia="en-US"/>
        </w:rPr>
        <w:t>As verified by the 2021 Advisory Board, POCPS-guided EHL/LL has increasing incremental efficacy with the increasing difficulty of stones. Therefore, the results in this analysis may underestimate the comparative effectiveness of POCPS-guided EHL/LL, as the increasing difficulty of stone extraction at follow up procedures is not captured.</w:t>
      </w:r>
    </w:p>
    <w:p w14:paraId="285F77A3" w14:textId="28914C61" w:rsidR="007B6DDB" w:rsidRPr="008903D3" w:rsidRDefault="007B6DDB" w:rsidP="00096324">
      <w:pPr>
        <w:pStyle w:val="BodyText"/>
        <w:spacing w:before="120" w:after="240" w:line="259" w:lineRule="auto"/>
        <w:contextualSpacing/>
        <w:rPr>
          <w:rFonts w:ascii="Franklin Gothic Book" w:eastAsiaTheme="minorHAnsi" w:hAnsi="Franklin Gothic Book" w:cstheme="minorBidi"/>
          <w:lang w:eastAsia="en-US"/>
        </w:rPr>
      </w:pPr>
      <w:r w:rsidRPr="008903D3" w:rsidDel="009F4063">
        <w:rPr>
          <w:rFonts w:ascii="Franklin Gothic Book" w:eastAsiaTheme="minorHAnsi" w:hAnsi="Franklin Gothic Book" w:cstheme="minorBidi"/>
          <w:lang w:eastAsia="en-US"/>
        </w:rPr>
        <w:t xml:space="preserve">This economic model presents a stepped evaluation of the cost of the proposed medical service (POCPS) and comparator medical service (ERCP/ laparoscopic choledochotomy). The first step </w:t>
      </w:r>
      <w:r w:rsidRPr="008903D3" w:rsidDel="009F4063">
        <w:rPr>
          <w:rFonts w:ascii="Franklin Gothic Book" w:eastAsiaTheme="minorHAnsi" w:hAnsi="Franklin Gothic Book" w:cstheme="minorBidi"/>
          <w:lang w:eastAsia="en-US"/>
        </w:rPr>
        <w:lastRenderedPageBreak/>
        <w:t>considers MBS costs, and the second step includes additional costs to the hospital budget (consumables, capital, and other hospital costs).</w:t>
      </w:r>
    </w:p>
    <w:p w14:paraId="73B74A00" w14:textId="707CEC27" w:rsidR="007B6DDB" w:rsidRPr="0059603B" w:rsidRDefault="0059603B" w:rsidP="00096324">
      <w:pPr>
        <w:spacing w:after="240"/>
        <w:contextualSpacing/>
        <w:rPr>
          <w:rFonts w:eastAsia="Times New Roman" w:cs="Tahoma"/>
          <w:iCs/>
          <w:lang w:eastAsia="en-AU"/>
        </w:rPr>
      </w:pPr>
      <w:r w:rsidRPr="0059603B">
        <w:rPr>
          <w:iCs/>
        </w:rPr>
        <w:t>The commentary noted</w:t>
      </w:r>
      <w:r w:rsidR="007B6DDB" w:rsidRPr="0059603B">
        <w:rPr>
          <w:iCs/>
        </w:rPr>
        <w:t xml:space="preserve"> the cost weightings considered for surgery include complexities associated with</w:t>
      </w:r>
      <w:r w:rsidR="007B6DDB" w:rsidRPr="0059603B">
        <w:rPr>
          <w:rFonts w:eastAsia="Times New Roman" w:cs="Tahoma"/>
          <w:iCs/>
          <w:lang w:eastAsia="en-AU"/>
        </w:rPr>
        <w:t xml:space="preserve"> pancreas and liver. Surgeries for conditions associated with the pancreas and liver are likely to </w:t>
      </w:r>
      <w:r w:rsidR="00266522">
        <w:rPr>
          <w:rFonts w:eastAsia="Times New Roman" w:cs="Tahoma"/>
          <w:iCs/>
          <w:lang w:eastAsia="en-AU"/>
        </w:rPr>
        <w:t>b</w:t>
      </w:r>
      <w:r w:rsidR="007B6DDB" w:rsidRPr="0059603B">
        <w:rPr>
          <w:rFonts w:eastAsia="Times New Roman" w:cs="Tahoma"/>
          <w:iCs/>
          <w:lang w:eastAsia="en-AU"/>
        </w:rPr>
        <w:t>e more complex than surgeries for the removal of difficult biliary stones and as such, price weightings may be overestimated.</w:t>
      </w:r>
    </w:p>
    <w:p w14:paraId="599EDF81" w14:textId="77777777" w:rsidR="007B6DDB" w:rsidRPr="00D91D90" w:rsidRDefault="007B6DDB" w:rsidP="001E7AA2">
      <w:pPr>
        <w:pStyle w:val="Heading4"/>
        <w:spacing w:before="40" w:after="180" w:line="312" w:lineRule="auto"/>
      </w:pPr>
      <w:r>
        <w:t>Investigative application</w:t>
      </w:r>
    </w:p>
    <w:p w14:paraId="3EF13B4B" w14:textId="42202008" w:rsidR="007B6DDB" w:rsidRPr="008903D3" w:rsidRDefault="007B6DDB" w:rsidP="00096324">
      <w:pPr>
        <w:pStyle w:val="BodyText"/>
        <w:spacing w:before="120" w:after="240" w:line="259" w:lineRule="auto"/>
        <w:rPr>
          <w:rFonts w:ascii="Franklin Gothic Book" w:eastAsiaTheme="minorHAnsi" w:hAnsi="Franklin Gothic Book" w:cstheme="minorBidi"/>
          <w:lang w:eastAsia="en-US"/>
        </w:rPr>
      </w:pPr>
      <w:r w:rsidRPr="008903D3">
        <w:rPr>
          <w:rFonts w:ascii="Franklin Gothic Book" w:eastAsiaTheme="minorHAnsi" w:hAnsi="Franklin Gothic Book" w:cstheme="minorBidi"/>
          <w:lang w:eastAsia="en-US"/>
        </w:rPr>
        <w:t xml:space="preserve">The proportion of patients with indeterminate results was a key clinical input for the analysis. The results used in the base case analysis were extracted from the key RCT identified in the clinical evaluation </w:t>
      </w:r>
      <w:r w:rsidR="005F1F4A">
        <w:rPr>
          <w:rFonts w:ascii="Franklin Gothic Book" w:eastAsiaTheme="minorHAnsi" w:hAnsi="Franklin Gothic Book" w:cstheme="minorBidi"/>
          <w:iCs/>
          <w:lang w:eastAsia="en-US"/>
        </w:rPr>
        <w:fldChar w:fldCharType="begin">
          <w:fldData xml:space="preserve">PEVuZE5vdGU+PENpdGU+PEF1dGhvcj5HZXJnZXM8L0F1dGhvcj48WWVhcj4yMDIwPC9ZZWFyPjxS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==
</w:fldData>
        </w:fldChar>
      </w:r>
      <w:r w:rsidR="005F1F4A">
        <w:rPr>
          <w:rFonts w:ascii="Franklin Gothic Book" w:eastAsiaTheme="minorHAnsi" w:hAnsi="Franklin Gothic Book" w:cstheme="minorBidi"/>
          <w:iCs/>
          <w:lang w:eastAsia="en-US"/>
        </w:rPr>
        <w:instrText xml:space="preserve"> ADDIN EN.CITE </w:instrText>
      </w:r>
      <w:r w:rsidR="005F1F4A">
        <w:rPr>
          <w:rFonts w:ascii="Franklin Gothic Book" w:eastAsiaTheme="minorHAnsi" w:hAnsi="Franklin Gothic Book" w:cstheme="minorBidi"/>
          <w:iCs/>
          <w:lang w:eastAsia="en-US"/>
        </w:rPr>
        <w:fldChar w:fldCharType="begin">
          <w:fldData xml:space="preserve">PEVuZE5vdGU+PENpdGU+PEF1dGhvcj5HZXJnZXM8L0F1dGhvcj48WWVhcj4yMDIwPC9ZZWFyPjxS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==
</w:fldData>
        </w:fldChar>
      </w:r>
      <w:r w:rsidR="005F1F4A">
        <w:rPr>
          <w:rFonts w:ascii="Franklin Gothic Book" w:eastAsiaTheme="minorHAnsi" w:hAnsi="Franklin Gothic Book" w:cstheme="minorBidi"/>
          <w:iCs/>
          <w:lang w:eastAsia="en-US"/>
        </w:rPr>
        <w:instrText xml:space="preserve"> ADDIN EN.CITE.DATA </w:instrText>
      </w:r>
      <w:r w:rsidR="005F1F4A">
        <w:rPr>
          <w:rFonts w:ascii="Franklin Gothic Book" w:eastAsiaTheme="minorHAnsi" w:hAnsi="Franklin Gothic Book" w:cstheme="minorBidi"/>
          <w:iCs/>
          <w:lang w:eastAsia="en-US"/>
        </w:rPr>
      </w:r>
      <w:r w:rsidR="005F1F4A">
        <w:rPr>
          <w:rFonts w:ascii="Franklin Gothic Book" w:eastAsiaTheme="minorHAnsi" w:hAnsi="Franklin Gothic Book" w:cstheme="minorBidi"/>
          <w:iCs/>
          <w:lang w:eastAsia="en-US"/>
        </w:rPr>
        <w:fldChar w:fldCharType="end"/>
      </w:r>
      <w:r w:rsidR="005F1F4A">
        <w:rPr>
          <w:rFonts w:ascii="Franklin Gothic Book" w:eastAsiaTheme="minorHAnsi" w:hAnsi="Franklin Gothic Book" w:cstheme="minorBidi"/>
          <w:iCs/>
          <w:lang w:eastAsia="en-US"/>
        </w:rPr>
      </w:r>
      <w:r w:rsidR="005F1F4A">
        <w:rPr>
          <w:rFonts w:ascii="Franklin Gothic Book" w:eastAsiaTheme="minorHAnsi" w:hAnsi="Franklin Gothic Book" w:cstheme="minorBidi"/>
          <w:iCs/>
          <w:lang w:eastAsia="en-US"/>
        </w:rPr>
        <w:fldChar w:fldCharType="separate"/>
      </w:r>
      <w:r w:rsidR="005F1F4A">
        <w:rPr>
          <w:rFonts w:ascii="Franklin Gothic Book" w:eastAsiaTheme="minorHAnsi" w:hAnsi="Franklin Gothic Book" w:cstheme="minorBidi"/>
          <w:iCs/>
          <w:noProof/>
          <w:lang w:eastAsia="en-US"/>
        </w:rPr>
        <w:t>(Gerges et al., 2020)</w:t>
      </w:r>
      <w:r w:rsidR="005F1F4A">
        <w:rPr>
          <w:rFonts w:ascii="Franklin Gothic Book" w:eastAsiaTheme="minorHAnsi" w:hAnsi="Franklin Gothic Book" w:cstheme="minorBidi"/>
          <w:iCs/>
          <w:lang w:eastAsia="en-US"/>
        </w:rPr>
        <w:fldChar w:fldCharType="end"/>
      </w:r>
      <w:r w:rsidRPr="008903D3">
        <w:rPr>
          <w:rFonts w:ascii="Franklin Gothic Book" w:eastAsiaTheme="minorHAnsi" w:hAnsi="Franklin Gothic Book" w:cstheme="minorBidi"/>
          <w:iCs/>
          <w:lang w:eastAsia="en-US"/>
        </w:rPr>
        <w:t>,</w:t>
      </w:r>
      <w:r w:rsidRPr="008903D3">
        <w:rPr>
          <w:rFonts w:ascii="Franklin Gothic Book" w:eastAsiaTheme="minorHAnsi" w:hAnsi="Franklin Gothic Book" w:cstheme="minorBidi"/>
          <w:lang w:eastAsia="en-US"/>
        </w:rPr>
        <w:t xml:space="preserve"> in which the number of indeterminate results for the proposed and comparator test (13.3% vs 25.9%) were directly compared. As summarised in the clinical evaluation, the reported 12% reduction in indeterminate values associated with the use of POCPS is likely to be highly conservative given that patients were evaluated at the index ERCP procedure and that the impact of POCPS-guided visualisation was not accounted for.</w:t>
      </w:r>
    </w:p>
    <w:p w14:paraId="477C8782" w14:textId="74F4D450" w:rsidR="007B6DDB" w:rsidRPr="008903D3" w:rsidRDefault="007B6DDB" w:rsidP="00096324">
      <w:pPr>
        <w:pStyle w:val="BodyText"/>
        <w:spacing w:before="120" w:after="240" w:line="259" w:lineRule="auto"/>
        <w:rPr>
          <w:rFonts w:ascii="Franklin Gothic Book" w:eastAsiaTheme="minorHAnsi" w:hAnsi="Franklin Gothic Book" w:cstheme="minorBidi"/>
          <w:lang w:eastAsia="en-US"/>
        </w:rPr>
      </w:pPr>
      <w:r w:rsidRPr="008903D3">
        <w:rPr>
          <w:rFonts w:ascii="Franklin Gothic Book" w:eastAsiaTheme="minorHAnsi" w:hAnsi="Franklin Gothic Book" w:cstheme="minorBidi"/>
          <w:lang w:eastAsia="en-US"/>
        </w:rPr>
        <w:t xml:space="preserve">The model is segmented based on the true condition of the patient (malignant vs benign). The proportion of patients in each arm of the decision analysis tree is based on the prevalence of malignancy for patients with indeterminate biliary strictures. The prevalence of malignancy was estimated to be 63% based on data from studies included in </w:t>
      </w:r>
      <w:r w:rsidR="005F1F4A">
        <w:rPr>
          <w:rFonts w:ascii="Franklin Gothic Book" w:eastAsiaTheme="minorHAnsi" w:hAnsi="Franklin Gothic Book" w:cstheme="minorBidi"/>
          <w:lang w:eastAsia="en-US"/>
        </w:rPr>
        <w:fldChar w:fldCharType="begin">
          <w:fldData xml:space="preserve">PEVuZE5vdGU+PENpdGUgQXV0aG9yWWVhcj0iMSI+PEF1dGhvcj5OYXZhbmVldGhhbjwvQXV0aG9y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</w:fldData>
        </w:fldChar>
      </w:r>
      <w:r w:rsidR="005F1F4A">
        <w:rPr>
          <w:rFonts w:ascii="Franklin Gothic Book" w:eastAsiaTheme="minorHAnsi" w:hAnsi="Franklin Gothic Book" w:cstheme="minorBidi"/>
          <w:lang w:eastAsia="en-US"/>
        </w:rPr>
        <w:instrText xml:space="preserve"> ADDIN EN.CITE </w:instrText>
      </w:r>
      <w:r w:rsidR="005F1F4A">
        <w:rPr>
          <w:rFonts w:ascii="Franklin Gothic Book" w:eastAsiaTheme="minorHAnsi" w:hAnsi="Franklin Gothic Book" w:cstheme="minorBidi"/>
          <w:lang w:eastAsia="en-US"/>
        </w:rPr>
        <w:fldChar w:fldCharType="begin">
          <w:fldData xml:space="preserve">PEVuZE5vdGU+PENpdGUgQXV0aG9yWWVhcj0iMSI+PEF1dGhvcj5OYXZhbmVldGhhbjwvQXV0aG9y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</w:fldData>
        </w:fldChar>
      </w:r>
      <w:r w:rsidR="005F1F4A">
        <w:rPr>
          <w:rFonts w:ascii="Franklin Gothic Book" w:eastAsiaTheme="minorHAnsi" w:hAnsi="Franklin Gothic Book" w:cstheme="minorBidi"/>
          <w:lang w:eastAsia="en-US"/>
        </w:rPr>
        <w:instrText xml:space="preserve"> ADDIN EN.CITE.DATA </w:instrText>
      </w:r>
      <w:r w:rsidR="005F1F4A">
        <w:rPr>
          <w:rFonts w:ascii="Franklin Gothic Book" w:eastAsiaTheme="minorHAnsi" w:hAnsi="Franklin Gothic Book" w:cstheme="minorBidi"/>
          <w:lang w:eastAsia="en-US"/>
        </w:rPr>
      </w:r>
      <w:r w:rsidR="005F1F4A">
        <w:rPr>
          <w:rFonts w:ascii="Franklin Gothic Book" w:eastAsiaTheme="minorHAnsi" w:hAnsi="Franklin Gothic Book" w:cstheme="minorBidi"/>
          <w:lang w:eastAsia="en-US"/>
        </w:rPr>
        <w:fldChar w:fldCharType="end"/>
      </w:r>
      <w:r w:rsidR="005F1F4A">
        <w:rPr>
          <w:rFonts w:ascii="Franklin Gothic Book" w:eastAsiaTheme="minorHAnsi" w:hAnsi="Franklin Gothic Book" w:cstheme="minorBidi"/>
          <w:lang w:eastAsia="en-US"/>
        </w:rPr>
      </w:r>
      <w:r w:rsidR="005F1F4A">
        <w:rPr>
          <w:rFonts w:ascii="Franklin Gothic Book" w:eastAsiaTheme="minorHAnsi" w:hAnsi="Franklin Gothic Book" w:cstheme="minorBidi"/>
          <w:lang w:eastAsia="en-US"/>
        </w:rPr>
        <w:fldChar w:fldCharType="separate"/>
      </w:r>
      <w:r w:rsidR="005F1F4A">
        <w:rPr>
          <w:rFonts w:ascii="Franklin Gothic Book" w:eastAsiaTheme="minorHAnsi" w:hAnsi="Franklin Gothic Book" w:cstheme="minorBidi"/>
          <w:noProof/>
          <w:lang w:eastAsia="en-US"/>
        </w:rPr>
        <w:t>Navaneethan et al. (2015b)</w:t>
      </w:r>
      <w:r w:rsidR="005F1F4A">
        <w:rPr>
          <w:rFonts w:ascii="Franklin Gothic Book" w:eastAsiaTheme="minorHAnsi" w:hAnsi="Franklin Gothic Book" w:cstheme="minorBidi"/>
          <w:lang w:eastAsia="en-US"/>
        </w:rPr>
        <w:fldChar w:fldCharType="end"/>
      </w:r>
      <w:r w:rsidR="005F1F4A">
        <w:rPr>
          <w:rFonts w:ascii="Franklin Gothic Book" w:eastAsiaTheme="minorHAnsi" w:hAnsi="Franklin Gothic Book" w:cstheme="minorBidi"/>
          <w:lang w:eastAsia="en-US"/>
        </w:rPr>
        <w:t xml:space="preserve"> </w:t>
      </w:r>
      <w:r w:rsidRPr="008903D3">
        <w:rPr>
          <w:rFonts w:ascii="Franklin Gothic Book" w:eastAsiaTheme="minorHAnsi" w:hAnsi="Franklin Gothic Book" w:cstheme="minorBidi"/>
          <w:lang w:eastAsia="en-US"/>
        </w:rPr>
        <w:t xml:space="preserve">which enrolled patients with indeterminate strictures based on inconclusive results from a prior ERCP. </w:t>
      </w:r>
      <w:r w:rsidRPr="008903D3">
        <w:rPr>
          <w:rFonts w:ascii="Franklin Gothic Book" w:eastAsiaTheme="minorHAnsi" w:hAnsi="Franklin Gothic Book" w:cstheme="minorBidi"/>
          <w:iCs/>
          <w:lang w:eastAsia="en-US"/>
        </w:rPr>
        <w:t xml:space="preserve">This prevalence value was consistent with the HTW Evidence Appraisal Report </w:t>
      </w:r>
      <w:r w:rsidR="005F1F4A">
        <w:rPr>
          <w:rFonts w:ascii="Franklin Gothic Book" w:eastAsiaTheme="minorHAnsi" w:hAnsi="Franklin Gothic Book" w:cstheme="minorBidi"/>
          <w:iCs/>
          <w:lang w:eastAsia="en-US"/>
        </w:rPr>
        <w:fldChar w:fldCharType="begin"/>
      </w:r>
      <w:r w:rsidR="005F1F4A">
        <w:rPr>
          <w:rFonts w:ascii="Franklin Gothic Book" w:eastAsiaTheme="minorHAnsi" w:hAnsi="Franklin Gothic Book" w:cstheme="minorBidi"/>
          <w:iCs/>
          <w:lang w:eastAsia="en-US"/>
        </w:rPr>
        <w:instrText xml:space="preserve"> ADDIN EN.CITE &lt;EndNote&gt;&lt;Cite&gt;&lt;Author&gt;Health Technology Wales&lt;/Author&gt;&lt;Year&gt;2020&lt;/Year&gt;&lt;RecNum&gt;131&lt;/RecNum&gt;&lt;DisplayText&gt;(Health Technology Wales, 2020)&lt;/DisplayText&gt;&lt;record&gt;&lt;rec-number&gt;131&lt;/rec-number&gt;&lt;foreign-keys&gt;&lt;key app="EN" db-id="xrd5xtv9xdvftxetprq5st9c5trzx5z2xzpp" timestamp="1633407200"&gt;131&lt;/key&gt;&lt;/foreign-keys&gt;&lt;ref-type name="Electronic Article"&gt;43&lt;/ref-type&gt;&lt;contributors&gt;&lt;authors&gt;&lt;author&gt;Health Technology Wales, &lt;/author&gt;&lt;/authors&gt;&lt;/contributors&gt;&lt;titles&gt;&lt;title&gt;Single-operator per-oral cholangioscopy for the evaluation and treatment of hepato-biliary-pancreatic disorders&lt;/title&gt;&lt;/titles&gt;&lt;dates&gt;&lt;year&gt;2020&lt;/year&gt;&lt;/dates&gt;&lt;urls&gt;&lt;related-urls&gt;&lt;url&gt;https://www.healthtechnology.wales/reports-guidance/spyglass-for-the-management-of-hepatobiliary-pancreatic-disorders/&lt;/url&gt;&lt;/related-urls&gt;&lt;/urls&gt;&lt;custom2&gt;02 August 2021&lt;/custom2&gt;&lt;/record&gt;&lt;/Cite&gt;&lt;/EndNote&gt;</w:instrText>
      </w:r>
      <w:r w:rsidR="005F1F4A">
        <w:rPr>
          <w:rFonts w:ascii="Franklin Gothic Book" w:eastAsiaTheme="minorHAnsi" w:hAnsi="Franklin Gothic Book" w:cstheme="minorBidi"/>
          <w:iCs/>
          <w:lang w:eastAsia="en-US"/>
        </w:rPr>
        <w:fldChar w:fldCharType="separate"/>
      </w:r>
      <w:r w:rsidR="005F1F4A">
        <w:rPr>
          <w:rFonts w:ascii="Franklin Gothic Book" w:eastAsiaTheme="minorHAnsi" w:hAnsi="Franklin Gothic Book" w:cstheme="minorBidi"/>
          <w:iCs/>
          <w:noProof/>
          <w:lang w:eastAsia="en-US"/>
        </w:rPr>
        <w:t>(Health Technology Wales, 2020)</w:t>
      </w:r>
      <w:r w:rsidR="005F1F4A">
        <w:rPr>
          <w:rFonts w:ascii="Franklin Gothic Book" w:eastAsiaTheme="minorHAnsi" w:hAnsi="Franklin Gothic Book" w:cstheme="minorBidi"/>
          <w:iCs/>
          <w:lang w:eastAsia="en-US"/>
        </w:rPr>
        <w:fldChar w:fldCharType="end"/>
      </w:r>
      <w:r w:rsidRPr="008903D3">
        <w:rPr>
          <w:rFonts w:ascii="Franklin Gothic Book" w:eastAsiaTheme="minorHAnsi" w:hAnsi="Franklin Gothic Book" w:cstheme="minorBidi"/>
          <w:iCs/>
          <w:lang w:eastAsia="en-US"/>
        </w:rPr>
        <w:t xml:space="preserve"> and was validated by the 2021 Advisory Board.</w:t>
      </w:r>
    </w:p>
    <w:p w14:paraId="0F676936" w14:textId="07CBAD05" w:rsidR="007B6DDB" w:rsidRPr="008903D3" w:rsidRDefault="719E7052" w:rsidP="00096324">
      <w:pPr>
        <w:pStyle w:val="BodyText"/>
        <w:spacing w:before="120" w:after="240" w:line="259" w:lineRule="auto"/>
        <w:rPr>
          <w:rFonts w:ascii="Franklin Gothic Book" w:eastAsiaTheme="minorEastAsia" w:hAnsi="Franklin Gothic Book" w:cstheme="minorBidi"/>
          <w:lang w:eastAsia="en-US"/>
        </w:rPr>
      </w:pPr>
      <w:r w:rsidRPr="67B645D6">
        <w:rPr>
          <w:rFonts w:ascii="Franklin Gothic Book" w:eastAsiaTheme="minorEastAsia" w:hAnsi="Franklin Gothic Book" w:cstheme="minorBidi"/>
          <w:lang w:eastAsia="en-US"/>
        </w:rPr>
        <w:t xml:space="preserve">Results used in the base case analysis for POCPS sensitivity and specificity were extracted from </w:t>
      </w:r>
      <w:r w:rsidR="005F1F4A" w:rsidRPr="67B645D6">
        <w:rPr>
          <w:rFonts w:ascii="Franklin Gothic Book" w:eastAsiaTheme="minorEastAsia" w:hAnsi="Franklin Gothic Book" w:cstheme="minorBidi"/>
          <w:lang w:eastAsia="en-US"/>
        </w:rPr>
        <w:fldChar w:fldCharType="begin">
          <w:fldData xml:space="preserve">PEVuZE5vdGU+PENpdGUgQXV0aG9yWWVhcj0iMSI+PEF1dGhvcj5NaW5hbWk8L0F1dGhvcj48WWVh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</w:fldData>
        </w:fldChar>
      </w:r>
      <w:r w:rsidR="005F1F4A" w:rsidRPr="67B645D6">
        <w:rPr>
          <w:rFonts w:ascii="Franklin Gothic Book" w:eastAsiaTheme="minorEastAsia" w:hAnsi="Franklin Gothic Book" w:cstheme="minorBidi"/>
          <w:lang w:eastAsia="en-US"/>
        </w:rPr>
        <w:instrText xml:space="preserve"> ADDIN EN.CITE </w:instrText>
      </w:r>
      <w:r w:rsidR="005F1F4A" w:rsidRPr="67B645D6">
        <w:rPr>
          <w:rFonts w:ascii="Franklin Gothic Book" w:eastAsiaTheme="minorEastAsia" w:hAnsi="Franklin Gothic Book" w:cstheme="minorBidi"/>
          <w:lang w:eastAsia="en-US"/>
        </w:rPr>
        <w:fldChar w:fldCharType="begin">
          <w:fldData xml:space="preserve">PEVuZE5vdGU+PENpdGUgQXV0aG9yWWVhcj0iMSI+PEF1dGhvcj5NaW5hbWk8L0F1dGhvcj48WWVh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</w:fldData>
        </w:fldChar>
      </w:r>
      <w:r w:rsidR="005F1F4A" w:rsidRPr="67B645D6">
        <w:rPr>
          <w:rFonts w:ascii="Franklin Gothic Book" w:eastAsiaTheme="minorEastAsia" w:hAnsi="Franklin Gothic Book" w:cstheme="minorBidi"/>
          <w:lang w:eastAsia="en-US"/>
        </w:rPr>
        <w:instrText xml:space="preserve"> ADDIN EN.CITE.DATA </w:instrText>
      </w:r>
      <w:r w:rsidR="005F1F4A" w:rsidRPr="67B645D6">
        <w:rPr>
          <w:rFonts w:ascii="Franklin Gothic Book" w:eastAsiaTheme="minorEastAsia" w:hAnsi="Franklin Gothic Book" w:cstheme="minorBidi"/>
          <w:lang w:eastAsia="en-US"/>
        </w:rPr>
      </w:r>
      <w:r w:rsidR="005F1F4A" w:rsidRPr="67B645D6">
        <w:rPr>
          <w:rFonts w:ascii="Franklin Gothic Book" w:eastAsiaTheme="minorEastAsia" w:hAnsi="Franklin Gothic Book" w:cstheme="minorBidi"/>
          <w:lang w:eastAsia="en-US"/>
        </w:rPr>
        <w:fldChar w:fldCharType="end"/>
      </w:r>
      <w:r w:rsidR="005F1F4A" w:rsidRPr="67B645D6">
        <w:rPr>
          <w:rFonts w:ascii="Franklin Gothic Book" w:eastAsiaTheme="minorEastAsia" w:hAnsi="Franklin Gothic Book" w:cstheme="minorBidi"/>
          <w:lang w:eastAsia="en-US"/>
        </w:rPr>
      </w:r>
      <w:r w:rsidR="005F1F4A" w:rsidRPr="67B645D6">
        <w:rPr>
          <w:rFonts w:ascii="Franklin Gothic Book" w:eastAsiaTheme="minorEastAsia" w:hAnsi="Franklin Gothic Book" w:cstheme="minorBidi"/>
          <w:lang w:eastAsia="en-US"/>
        </w:rPr>
        <w:fldChar w:fldCharType="separate"/>
      </w:r>
      <w:r w:rsidR="5F1667E8" w:rsidRPr="67B645D6">
        <w:rPr>
          <w:rFonts w:ascii="Franklin Gothic Book" w:eastAsiaTheme="minorEastAsia" w:hAnsi="Franklin Gothic Book" w:cstheme="minorBidi"/>
          <w:noProof/>
          <w:lang w:eastAsia="en-US"/>
        </w:rPr>
        <w:t>Minami et al. (2021)</w:t>
      </w:r>
      <w:r w:rsidR="005F1F4A" w:rsidRPr="67B645D6">
        <w:rPr>
          <w:rFonts w:ascii="Franklin Gothic Book" w:eastAsiaTheme="minorEastAsia" w:hAnsi="Franklin Gothic Book" w:cstheme="minorBidi"/>
          <w:lang w:eastAsia="en-US"/>
        </w:rPr>
        <w:fldChar w:fldCharType="end"/>
      </w:r>
      <w:r w:rsidRPr="67B645D6">
        <w:rPr>
          <w:rFonts w:ascii="Franklin Gothic Book" w:eastAsiaTheme="minorEastAsia" w:hAnsi="Franklin Gothic Book" w:cstheme="minorBidi"/>
          <w:lang w:eastAsia="en-US"/>
        </w:rPr>
        <w:t xml:space="preserve"> (96.5%, 91.7%). Although a large range of studies reported on POCPS test accuracy, </w:t>
      </w:r>
      <w:r w:rsidR="005F1F4A" w:rsidRPr="67B645D6">
        <w:rPr>
          <w:rFonts w:ascii="Franklin Gothic Book" w:eastAsiaTheme="minorEastAsia" w:hAnsi="Franklin Gothic Book" w:cstheme="minorBidi"/>
          <w:lang w:eastAsia="en-US"/>
        </w:rPr>
        <w:fldChar w:fldCharType="begin">
          <w:fldData xml:space="preserve">PEVuZE5vdGU+PENpdGUgQXV0aG9yWWVhcj0iMSI+PEF1dGhvcj5NaW5hbWk8L0F1dGhvcj48WWVh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</w:fldData>
        </w:fldChar>
      </w:r>
      <w:r w:rsidR="005F1F4A" w:rsidRPr="67B645D6">
        <w:rPr>
          <w:rFonts w:ascii="Franklin Gothic Book" w:eastAsiaTheme="minorEastAsia" w:hAnsi="Franklin Gothic Book" w:cstheme="minorBidi"/>
          <w:lang w:eastAsia="en-US"/>
        </w:rPr>
        <w:instrText xml:space="preserve"> ADDIN EN.CITE </w:instrText>
      </w:r>
      <w:r w:rsidR="005F1F4A" w:rsidRPr="67B645D6">
        <w:rPr>
          <w:rFonts w:ascii="Franklin Gothic Book" w:eastAsiaTheme="minorEastAsia" w:hAnsi="Franklin Gothic Book" w:cstheme="minorBidi"/>
          <w:lang w:eastAsia="en-US"/>
        </w:rPr>
        <w:fldChar w:fldCharType="begin">
          <w:fldData xml:space="preserve">PEVuZE5vdGU+PENpdGUgQXV0aG9yWWVhcj0iMSI+PEF1dGhvcj5NaW5hbWk8L0F1dGhvcj48WWVh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</w:fldData>
        </w:fldChar>
      </w:r>
      <w:r w:rsidR="005F1F4A" w:rsidRPr="67B645D6">
        <w:rPr>
          <w:rFonts w:ascii="Franklin Gothic Book" w:eastAsiaTheme="minorEastAsia" w:hAnsi="Franklin Gothic Book" w:cstheme="minorBidi"/>
          <w:lang w:eastAsia="en-US"/>
        </w:rPr>
        <w:instrText xml:space="preserve"> ADDIN EN.CITE.DATA </w:instrText>
      </w:r>
      <w:r w:rsidR="005F1F4A" w:rsidRPr="67B645D6">
        <w:rPr>
          <w:rFonts w:ascii="Franklin Gothic Book" w:eastAsiaTheme="minorEastAsia" w:hAnsi="Franklin Gothic Book" w:cstheme="minorBidi"/>
          <w:lang w:eastAsia="en-US"/>
        </w:rPr>
      </w:r>
      <w:r w:rsidR="005F1F4A" w:rsidRPr="67B645D6">
        <w:rPr>
          <w:rFonts w:ascii="Franklin Gothic Book" w:eastAsiaTheme="minorEastAsia" w:hAnsi="Franklin Gothic Book" w:cstheme="minorBidi"/>
          <w:lang w:eastAsia="en-US"/>
        </w:rPr>
        <w:fldChar w:fldCharType="end"/>
      </w:r>
      <w:r w:rsidR="005F1F4A" w:rsidRPr="67B645D6">
        <w:rPr>
          <w:rFonts w:ascii="Franklin Gothic Book" w:eastAsiaTheme="minorEastAsia" w:hAnsi="Franklin Gothic Book" w:cstheme="minorBidi"/>
          <w:lang w:eastAsia="en-US"/>
        </w:rPr>
      </w:r>
      <w:r w:rsidR="005F1F4A" w:rsidRPr="67B645D6">
        <w:rPr>
          <w:rFonts w:ascii="Franklin Gothic Book" w:eastAsiaTheme="minorEastAsia" w:hAnsi="Franklin Gothic Book" w:cstheme="minorBidi"/>
          <w:lang w:eastAsia="en-US"/>
        </w:rPr>
        <w:fldChar w:fldCharType="separate"/>
      </w:r>
      <w:r w:rsidR="5F1667E8" w:rsidRPr="67B645D6">
        <w:rPr>
          <w:rFonts w:ascii="Franklin Gothic Book" w:eastAsiaTheme="minorEastAsia" w:hAnsi="Franklin Gothic Book" w:cstheme="minorBidi"/>
          <w:noProof/>
          <w:lang w:eastAsia="en-US"/>
        </w:rPr>
        <w:t>Minami et al. (2021)</w:t>
      </w:r>
      <w:r w:rsidR="005F1F4A" w:rsidRPr="67B645D6">
        <w:rPr>
          <w:rFonts w:ascii="Franklin Gothic Book" w:eastAsiaTheme="minorEastAsia" w:hAnsi="Franklin Gothic Book" w:cstheme="minorBidi"/>
          <w:lang w:eastAsia="en-US"/>
        </w:rPr>
        <w:fldChar w:fldCharType="end"/>
      </w:r>
      <w:r w:rsidRPr="67B645D6">
        <w:rPr>
          <w:rFonts w:ascii="Franklin Gothic Book" w:eastAsiaTheme="minorEastAsia" w:hAnsi="Franklin Gothic Book" w:cstheme="minorBidi"/>
          <w:lang w:eastAsia="en-US"/>
        </w:rPr>
        <w:t xml:space="preserve"> was the only study evaluating the combined sensitivity and specificity of POCPS-guided visualisation and POCPS-guided biopsy. According to the 2021 Advisory Board, standard clinical practice in Australia uses the combined results of visualisation and biopsy to inform the diagnosis of an indeterminate biliary stricture. Therefore, the results presented by </w:t>
      </w:r>
      <w:r w:rsidR="005F1F4A" w:rsidRPr="67B645D6">
        <w:rPr>
          <w:rFonts w:ascii="Franklin Gothic Book" w:eastAsiaTheme="minorEastAsia" w:hAnsi="Franklin Gothic Book" w:cstheme="minorBidi"/>
          <w:lang w:eastAsia="en-US"/>
        </w:rPr>
        <w:fldChar w:fldCharType="begin">
          <w:fldData xml:space="preserve">PEVuZE5vdGU+PENpdGUgQXV0aG9yWWVhcj0iMSI+PEF1dGhvcj5NaW5hbWk8L0F1dGhvcj48WWVh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</w:fldData>
        </w:fldChar>
      </w:r>
      <w:r w:rsidR="005F1F4A" w:rsidRPr="67B645D6">
        <w:rPr>
          <w:rFonts w:ascii="Franklin Gothic Book" w:eastAsiaTheme="minorEastAsia" w:hAnsi="Franklin Gothic Book" w:cstheme="minorBidi"/>
          <w:lang w:eastAsia="en-US"/>
        </w:rPr>
        <w:instrText xml:space="preserve"> ADDIN EN.CITE </w:instrText>
      </w:r>
      <w:r w:rsidR="005F1F4A" w:rsidRPr="67B645D6">
        <w:rPr>
          <w:rFonts w:ascii="Franklin Gothic Book" w:eastAsiaTheme="minorEastAsia" w:hAnsi="Franklin Gothic Book" w:cstheme="minorBidi"/>
          <w:lang w:eastAsia="en-US"/>
        </w:rPr>
        <w:fldChar w:fldCharType="begin">
          <w:fldData xml:space="preserve">PEVuZE5vdGU+PENpdGUgQXV0aG9yWWVhcj0iMSI+PEF1dGhvcj5NaW5hbWk8L0F1dGhvcj48WWVh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</w:fldData>
        </w:fldChar>
      </w:r>
      <w:r w:rsidR="005F1F4A" w:rsidRPr="67B645D6">
        <w:rPr>
          <w:rFonts w:ascii="Franklin Gothic Book" w:eastAsiaTheme="minorEastAsia" w:hAnsi="Franklin Gothic Book" w:cstheme="minorBidi"/>
          <w:lang w:eastAsia="en-US"/>
        </w:rPr>
        <w:instrText xml:space="preserve"> ADDIN EN.CITE.DATA </w:instrText>
      </w:r>
      <w:r w:rsidR="005F1F4A" w:rsidRPr="67B645D6">
        <w:rPr>
          <w:rFonts w:ascii="Franklin Gothic Book" w:eastAsiaTheme="minorEastAsia" w:hAnsi="Franklin Gothic Book" w:cstheme="minorBidi"/>
          <w:lang w:eastAsia="en-US"/>
        </w:rPr>
      </w:r>
      <w:r w:rsidR="005F1F4A" w:rsidRPr="67B645D6">
        <w:rPr>
          <w:rFonts w:ascii="Franklin Gothic Book" w:eastAsiaTheme="minorEastAsia" w:hAnsi="Franklin Gothic Book" w:cstheme="minorBidi"/>
          <w:lang w:eastAsia="en-US"/>
        </w:rPr>
        <w:fldChar w:fldCharType="end"/>
      </w:r>
      <w:r w:rsidR="005F1F4A" w:rsidRPr="67B645D6">
        <w:rPr>
          <w:rFonts w:ascii="Franklin Gothic Book" w:eastAsiaTheme="minorEastAsia" w:hAnsi="Franklin Gothic Book" w:cstheme="minorBidi"/>
          <w:lang w:eastAsia="en-US"/>
        </w:rPr>
      </w:r>
      <w:r w:rsidR="005F1F4A" w:rsidRPr="67B645D6">
        <w:rPr>
          <w:rFonts w:ascii="Franklin Gothic Book" w:eastAsiaTheme="minorEastAsia" w:hAnsi="Franklin Gothic Book" w:cstheme="minorBidi"/>
          <w:lang w:eastAsia="en-US"/>
        </w:rPr>
        <w:fldChar w:fldCharType="separate"/>
      </w:r>
      <w:r w:rsidR="5F1667E8" w:rsidRPr="67B645D6">
        <w:rPr>
          <w:rFonts w:ascii="Franklin Gothic Book" w:eastAsiaTheme="minorEastAsia" w:hAnsi="Franklin Gothic Book" w:cstheme="minorBidi"/>
          <w:noProof/>
          <w:lang w:eastAsia="en-US"/>
        </w:rPr>
        <w:t>Minami et al. (2021)</w:t>
      </w:r>
      <w:r w:rsidR="005F1F4A" w:rsidRPr="67B645D6">
        <w:rPr>
          <w:rFonts w:ascii="Franklin Gothic Book" w:eastAsiaTheme="minorEastAsia" w:hAnsi="Franklin Gothic Book" w:cstheme="minorBidi"/>
          <w:lang w:eastAsia="en-US"/>
        </w:rPr>
        <w:fldChar w:fldCharType="end"/>
      </w:r>
      <w:r w:rsidRPr="67B645D6">
        <w:rPr>
          <w:rFonts w:ascii="Franklin Gothic Book" w:eastAsiaTheme="minorEastAsia" w:hAnsi="Franklin Gothic Book" w:cstheme="minorBidi"/>
          <w:lang w:eastAsia="en-US"/>
        </w:rPr>
        <w:t xml:space="preserve"> (96.5% sensitivity and 91.7% specificity) are the best reflection of test accuracy observed in Australian clinical practice.</w:t>
      </w:r>
    </w:p>
    <w:p w14:paraId="31870B06" w14:textId="14DC1D71" w:rsidR="5A3CB33F" w:rsidRPr="0059603B" w:rsidRDefault="5A3CB33F" w:rsidP="00096324">
      <w:pPr>
        <w:spacing w:after="240"/>
        <w:rPr>
          <w:rFonts w:eastAsiaTheme="minorEastAsia"/>
        </w:rPr>
      </w:pPr>
      <w:r w:rsidRPr="0059603B">
        <w:rPr>
          <w:rFonts w:eastAsiaTheme="minorEastAsia"/>
        </w:rPr>
        <w:t xml:space="preserve">The study </w:t>
      </w:r>
      <w:r w:rsidR="4D3532B1" w:rsidRPr="0059603B">
        <w:rPr>
          <w:rFonts w:eastAsiaTheme="minorEastAsia"/>
        </w:rPr>
        <w:t xml:space="preserve">Minami et al. (2021) </w:t>
      </w:r>
      <w:r w:rsidR="753B187F" w:rsidRPr="0059603B">
        <w:rPr>
          <w:rFonts w:eastAsiaTheme="minorEastAsia"/>
        </w:rPr>
        <w:t xml:space="preserve">was considered as </w:t>
      </w:r>
      <w:r w:rsidR="3592D482" w:rsidRPr="0059603B">
        <w:rPr>
          <w:rFonts w:eastAsiaTheme="minorEastAsia"/>
        </w:rPr>
        <w:t xml:space="preserve">having </w:t>
      </w:r>
      <w:r w:rsidR="753B187F" w:rsidRPr="0059603B">
        <w:rPr>
          <w:rFonts w:eastAsiaTheme="minorEastAsia"/>
        </w:rPr>
        <w:t xml:space="preserve">low risk of bias </w:t>
      </w:r>
      <w:r w:rsidR="76A82B95" w:rsidRPr="0059603B">
        <w:rPr>
          <w:rFonts w:eastAsiaTheme="minorEastAsia"/>
        </w:rPr>
        <w:t xml:space="preserve">in </w:t>
      </w:r>
      <w:r w:rsidR="0BF6A3F7" w:rsidRPr="0059603B">
        <w:rPr>
          <w:rFonts w:eastAsiaTheme="minorEastAsia"/>
        </w:rPr>
        <w:t xml:space="preserve">the </w:t>
      </w:r>
      <w:r w:rsidR="074ECB67" w:rsidRPr="0059603B">
        <w:rPr>
          <w:rFonts w:eastAsiaTheme="minorEastAsia"/>
        </w:rPr>
        <w:t xml:space="preserve">clinical evidence section </w:t>
      </w:r>
      <w:r w:rsidR="75174228" w:rsidRPr="0059603B">
        <w:rPr>
          <w:rFonts w:eastAsiaTheme="minorEastAsia"/>
        </w:rPr>
        <w:t xml:space="preserve">in </w:t>
      </w:r>
      <w:r w:rsidR="074ECB67" w:rsidRPr="0059603B">
        <w:rPr>
          <w:rFonts w:eastAsiaTheme="minorEastAsia"/>
        </w:rPr>
        <w:t>the ADAR. This was amended to reflect</w:t>
      </w:r>
      <w:r w:rsidR="1B628F18" w:rsidRPr="0059603B">
        <w:rPr>
          <w:rFonts w:eastAsiaTheme="minorEastAsia"/>
        </w:rPr>
        <w:t xml:space="preserve"> a status of ‘at risk of bias’ due to a high risk of </w:t>
      </w:r>
      <w:r w:rsidR="1B628F18" w:rsidRPr="0059603B">
        <w:rPr>
          <w:rFonts w:eastAsiaTheme="minorEastAsia"/>
        </w:rPr>
        <w:lastRenderedPageBreak/>
        <w:t>bias identified in the domain of reference standard.</w:t>
      </w:r>
      <w:r w:rsidR="63F10459" w:rsidRPr="0059603B">
        <w:rPr>
          <w:rFonts w:eastAsiaTheme="minorEastAsia"/>
        </w:rPr>
        <w:t xml:space="preserve"> As such, there is a degree of uncertainty around the testing accuracy of POCPS</w:t>
      </w:r>
      <w:r w:rsidR="1D7310AD" w:rsidRPr="0059603B">
        <w:rPr>
          <w:rFonts w:eastAsiaTheme="minorEastAsia"/>
        </w:rPr>
        <w:t xml:space="preserve"> used in the model</w:t>
      </w:r>
      <w:r w:rsidR="63F10459" w:rsidRPr="0059603B">
        <w:rPr>
          <w:rFonts w:eastAsiaTheme="minorEastAsia"/>
        </w:rPr>
        <w:t xml:space="preserve">. </w:t>
      </w:r>
    </w:p>
    <w:p w14:paraId="0D3BEE13" w14:textId="20AFA3C1" w:rsidR="007B6DDB" w:rsidRPr="008903D3" w:rsidRDefault="007B6DDB" w:rsidP="00096324">
      <w:pPr>
        <w:pStyle w:val="BodyText"/>
        <w:spacing w:before="120" w:after="240" w:line="259" w:lineRule="auto"/>
        <w:rPr>
          <w:rFonts w:ascii="Franklin Gothic Book" w:eastAsiaTheme="minorHAnsi" w:hAnsi="Franklin Gothic Book" w:cstheme="minorBidi"/>
          <w:lang w:eastAsia="en-US"/>
        </w:rPr>
      </w:pPr>
      <w:r w:rsidRPr="008903D3">
        <w:rPr>
          <w:rFonts w:ascii="Franklin Gothic Book" w:eastAsiaTheme="minorHAnsi" w:hAnsi="Franklin Gothic Book" w:cstheme="minorBidi"/>
          <w:lang w:eastAsia="en-US"/>
        </w:rPr>
        <w:t xml:space="preserve">Results used in the base case analysis for ERCP sensitivity and specificity were extracted from </w:t>
      </w:r>
      <w:r w:rsidR="005F1F4A">
        <w:rPr>
          <w:rFonts w:ascii="Franklin Gothic Book" w:eastAsiaTheme="minorHAnsi" w:hAnsi="Franklin Gothic Book" w:cstheme="minorBidi"/>
          <w:iCs/>
          <w:lang w:eastAsia="en-US"/>
        </w:rPr>
        <w:fldChar w:fldCharType="begin">
          <w:fldData xml:space="preserve">PEVuZE5vdGU+PENpdGUgQXV0aG9yWWVhcj0iMSI+PEF1dGhvcj5OYXZhbmVldGhhbjwvQXV0aG9y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</w:fldData>
        </w:fldChar>
      </w:r>
      <w:r w:rsidR="005F1F4A">
        <w:rPr>
          <w:rFonts w:ascii="Franklin Gothic Book" w:eastAsiaTheme="minorHAnsi" w:hAnsi="Franklin Gothic Book" w:cstheme="minorBidi"/>
          <w:iCs/>
          <w:lang w:eastAsia="en-US"/>
        </w:rPr>
        <w:instrText xml:space="preserve"> ADDIN EN.CITE </w:instrText>
      </w:r>
      <w:r w:rsidR="005F1F4A">
        <w:rPr>
          <w:rFonts w:ascii="Franklin Gothic Book" w:eastAsiaTheme="minorHAnsi" w:hAnsi="Franklin Gothic Book" w:cstheme="minorBidi"/>
          <w:iCs/>
          <w:lang w:eastAsia="en-US"/>
        </w:rPr>
        <w:fldChar w:fldCharType="begin">
          <w:fldData xml:space="preserve">PEVuZE5vdGU+PENpdGUgQXV0aG9yWWVhcj0iMSI+PEF1dGhvcj5OYXZhbmVldGhhbjwvQXV0aG9y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</w:fldData>
        </w:fldChar>
      </w:r>
      <w:r w:rsidR="005F1F4A">
        <w:rPr>
          <w:rFonts w:ascii="Franklin Gothic Book" w:eastAsiaTheme="minorHAnsi" w:hAnsi="Franklin Gothic Book" w:cstheme="minorBidi"/>
          <w:iCs/>
          <w:lang w:eastAsia="en-US"/>
        </w:rPr>
        <w:instrText xml:space="preserve"> ADDIN EN.CITE.DATA </w:instrText>
      </w:r>
      <w:r w:rsidR="005F1F4A">
        <w:rPr>
          <w:rFonts w:ascii="Franklin Gothic Book" w:eastAsiaTheme="minorHAnsi" w:hAnsi="Franklin Gothic Book" w:cstheme="minorBidi"/>
          <w:iCs/>
          <w:lang w:eastAsia="en-US"/>
        </w:rPr>
      </w:r>
      <w:r w:rsidR="005F1F4A">
        <w:rPr>
          <w:rFonts w:ascii="Franklin Gothic Book" w:eastAsiaTheme="minorHAnsi" w:hAnsi="Franklin Gothic Book" w:cstheme="minorBidi"/>
          <w:iCs/>
          <w:lang w:eastAsia="en-US"/>
        </w:rPr>
        <w:fldChar w:fldCharType="end"/>
      </w:r>
      <w:r w:rsidR="005F1F4A">
        <w:rPr>
          <w:rFonts w:ascii="Franklin Gothic Book" w:eastAsiaTheme="minorHAnsi" w:hAnsi="Franklin Gothic Book" w:cstheme="minorBidi"/>
          <w:iCs/>
          <w:lang w:eastAsia="en-US"/>
        </w:rPr>
      </w:r>
      <w:r w:rsidR="005F1F4A">
        <w:rPr>
          <w:rFonts w:ascii="Franklin Gothic Book" w:eastAsiaTheme="minorHAnsi" w:hAnsi="Franklin Gothic Book" w:cstheme="minorBidi"/>
          <w:iCs/>
          <w:lang w:eastAsia="en-US"/>
        </w:rPr>
        <w:fldChar w:fldCharType="separate"/>
      </w:r>
      <w:r w:rsidR="005F1F4A">
        <w:rPr>
          <w:rFonts w:ascii="Franklin Gothic Book" w:eastAsiaTheme="minorHAnsi" w:hAnsi="Franklin Gothic Book" w:cstheme="minorBidi"/>
          <w:iCs/>
          <w:noProof/>
          <w:lang w:eastAsia="en-US"/>
        </w:rPr>
        <w:t>Navaneethan et al. (2015a)</w:t>
      </w:r>
      <w:r w:rsidR="005F1F4A">
        <w:rPr>
          <w:rFonts w:ascii="Franklin Gothic Book" w:eastAsiaTheme="minorHAnsi" w:hAnsi="Franklin Gothic Book" w:cstheme="minorBidi"/>
          <w:iCs/>
          <w:lang w:eastAsia="en-US"/>
        </w:rPr>
        <w:fldChar w:fldCharType="end"/>
      </w:r>
      <w:r w:rsidRPr="008903D3">
        <w:rPr>
          <w:rFonts w:ascii="Franklin Gothic Book" w:eastAsiaTheme="minorHAnsi" w:hAnsi="Franklin Gothic Book" w:cstheme="minorBidi"/>
          <w:iCs/>
          <w:lang w:eastAsia="en-US"/>
        </w:rPr>
        <w:t>.</w:t>
      </w:r>
      <w:r w:rsidRPr="008903D3">
        <w:rPr>
          <w:rFonts w:ascii="Franklin Gothic Book" w:eastAsiaTheme="minorHAnsi" w:hAnsi="Franklin Gothic Book" w:cstheme="minorBidi"/>
          <w:lang w:eastAsia="en-US"/>
        </w:rPr>
        <w:t xml:space="preserve"> According to Australian physicians, the combined pooled sensitivity and specificity results for ERCP-guided brush cytology and ERCP-guided intraductal biopsy are the best reflection of clinical practice in Australia (59.4% sensitivity and 100% specificity). These results are however likely to be an overestimation of what </w:t>
      </w:r>
      <w:r w:rsidR="00266522">
        <w:rPr>
          <w:rFonts w:ascii="Franklin Gothic Book" w:eastAsiaTheme="minorHAnsi" w:hAnsi="Franklin Gothic Book" w:cstheme="minorBidi"/>
          <w:lang w:eastAsia="en-US"/>
        </w:rPr>
        <w:t xml:space="preserve">is </w:t>
      </w:r>
      <w:r w:rsidRPr="008903D3">
        <w:rPr>
          <w:rFonts w:ascii="Franklin Gothic Book" w:eastAsiaTheme="minorHAnsi" w:hAnsi="Franklin Gothic Book" w:cstheme="minorBidi"/>
          <w:lang w:eastAsia="en-US"/>
        </w:rPr>
        <w:t>observed in clinical practice, as ERCP-guided brush cytology and ERCP-guided intraductal biopsy were evaluated at the index ERCP procedure.</w:t>
      </w:r>
    </w:p>
    <w:p w14:paraId="4F28FDE2" w14:textId="15493169" w:rsidR="007B6DDB" w:rsidRPr="008903D3" w:rsidRDefault="007B6DDB" w:rsidP="00096324">
      <w:pPr>
        <w:pStyle w:val="BodyText"/>
        <w:spacing w:before="120" w:after="240" w:line="259" w:lineRule="auto"/>
        <w:rPr>
          <w:rFonts w:ascii="Franklin Gothic Book" w:eastAsiaTheme="minorHAnsi" w:hAnsi="Franklin Gothic Book" w:cstheme="minorBidi"/>
          <w:lang w:eastAsia="en-US"/>
        </w:rPr>
      </w:pPr>
      <w:r w:rsidRPr="008903D3">
        <w:rPr>
          <w:rFonts w:ascii="Franklin Gothic Book" w:eastAsiaTheme="minorHAnsi" w:hAnsi="Franklin Gothic Book" w:cstheme="minorBidi"/>
          <w:lang w:eastAsia="en-US"/>
        </w:rPr>
        <w:t>Given the management of strictures is highly dependent on local clinical practice, all patient management inputs were derived from the 2021 Advisory Board.</w:t>
      </w:r>
    </w:p>
    <w:p w14:paraId="7E90395A" w14:textId="3ED80D80" w:rsidR="00842C5D" w:rsidRPr="00842C5D" w:rsidRDefault="00842C5D" w:rsidP="00096324">
      <w:pPr>
        <w:spacing w:after="240"/>
        <w:rPr>
          <w:iCs/>
        </w:rPr>
      </w:pPr>
      <w:bookmarkStart w:id="122" w:name="_Hlk89025916"/>
      <w:r>
        <w:rPr>
          <w:iCs/>
        </w:rPr>
        <w:t xml:space="preserve">The commentary noted that that the MBS fees for POCPS was poorly justified. The </w:t>
      </w:r>
      <w:r w:rsidR="00BC6BD3">
        <w:rPr>
          <w:iCs/>
        </w:rPr>
        <w:t xml:space="preserve">commentary </w:t>
      </w:r>
      <w:r>
        <w:rPr>
          <w:iCs/>
        </w:rPr>
        <w:t xml:space="preserve">considered that </w:t>
      </w:r>
      <w:r w:rsidRPr="00842C5D">
        <w:t>it is unclear whether the cost of POCPS has been appropriately estimated as the inputs for the calculations amounting to 128% and 63% are unclear.</w:t>
      </w:r>
    </w:p>
    <w:bookmarkEnd w:id="122"/>
    <w:p w14:paraId="6B975AA7" w14:textId="1702092B" w:rsidR="007B6DDB" w:rsidRPr="001803BF" w:rsidRDefault="719E7052" w:rsidP="00096324">
      <w:pPr>
        <w:spacing w:after="240"/>
      </w:pPr>
      <w:r w:rsidRPr="001803BF">
        <w:t>Capital</w:t>
      </w:r>
      <w:r w:rsidRPr="001803BF">
        <w:rPr>
          <w:rFonts w:cs="Tahoma"/>
          <w:color w:val="000000" w:themeColor="text1"/>
          <w:lang w:val="en-US"/>
        </w:rPr>
        <w:t xml:space="preserve"> and consumable equipment for ERCP, POCPS and laparoscopic choledochotomy in both therapeutic and investigative applications have been assessed in comparison with equipment outlined in other studies. It is not certain that the equipment listed in the ADAR is appropriate given information in these studies is varied and subject to individual preferences of hospitals, health professionals and countries. </w:t>
      </w:r>
      <w:r w:rsidR="001803BF" w:rsidRPr="001803BF">
        <w:rPr>
          <w:rFonts w:eastAsiaTheme="minorEastAsia"/>
          <w:color w:val="000000" w:themeColor="text1"/>
        </w:rPr>
        <w:t xml:space="preserve">The applicant clarified that differences in the required equipment were due to differences in the legacy and digital systems. </w:t>
      </w:r>
    </w:p>
    <w:p w14:paraId="287D9E7F" w14:textId="77777777" w:rsidR="007B6DDB" w:rsidRDefault="007B6DDB" w:rsidP="00DE1CCE">
      <w:pPr>
        <w:pStyle w:val="Heading3"/>
      </w:pPr>
      <w:r>
        <w:t>Results of the base case</w:t>
      </w:r>
    </w:p>
    <w:p w14:paraId="77B7C67C" w14:textId="583CCCA0" w:rsidR="78C58619" w:rsidRPr="00842C5D" w:rsidRDefault="00842C5D" w:rsidP="00096324">
      <w:pPr>
        <w:pStyle w:val="BodyText"/>
        <w:spacing w:before="120" w:after="240" w:line="259" w:lineRule="auto"/>
        <w:rPr>
          <w:rFonts w:ascii="Franklin Gothic Book" w:eastAsiaTheme="minorEastAsia" w:hAnsi="Franklin Gothic Book" w:cstheme="minorBidi"/>
          <w:lang w:eastAsia="en-US"/>
        </w:rPr>
      </w:pPr>
      <w:r w:rsidRPr="00842C5D">
        <w:rPr>
          <w:rFonts w:ascii="Franklin Gothic Book" w:eastAsiaTheme="minorEastAsia" w:hAnsi="Franklin Gothic Book" w:cstheme="minorBidi"/>
          <w:lang w:eastAsia="en-US"/>
        </w:rPr>
        <w:t>The commentary considered the c</w:t>
      </w:r>
      <w:r w:rsidR="78C58619" w:rsidRPr="00842C5D">
        <w:rPr>
          <w:rFonts w:ascii="Franklin Gothic Book" w:eastAsiaTheme="minorEastAsia" w:hAnsi="Franklin Gothic Book" w:cstheme="minorBidi"/>
          <w:lang w:eastAsia="en-US"/>
        </w:rPr>
        <w:t xml:space="preserve">osts were appropriately captured in the ADAR including the total and repeat MBS costs of ERCP, POCPS and laparoscopic choledochotomy, the cost of consumables and capital equipment and additional hospital costs, and downstream costs of surgery. Private hospital cost weightings were used to quantify additional hospital costs for the removal of difficult biliary stones and </w:t>
      </w:r>
      <w:r w:rsidR="00266522">
        <w:rPr>
          <w:rFonts w:ascii="Franklin Gothic Book" w:eastAsiaTheme="minorEastAsia" w:hAnsi="Franklin Gothic Book" w:cstheme="minorBidi"/>
          <w:lang w:eastAsia="en-US"/>
        </w:rPr>
        <w:t xml:space="preserve">the </w:t>
      </w:r>
      <w:r w:rsidR="78C58619" w:rsidRPr="00842C5D">
        <w:rPr>
          <w:rFonts w:ascii="Franklin Gothic Book" w:eastAsiaTheme="minorEastAsia" w:hAnsi="Franklin Gothic Book" w:cstheme="minorBidi"/>
          <w:lang w:eastAsia="en-US"/>
        </w:rPr>
        <w:t>diagnosis of intermediate biliary strictures, and include costs for accommodation, coronary care unit, hospital-in-the-home, intensive care unit, ward labour, pharmacy, prostheses and theatre per separation in private hospitals. While out of pocket costs and the impact of adverse events are considered they are not explicitly quantified in the ADAR.</w:t>
      </w:r>
    </w:p>
    <w:p w14:paraId="1A999D53" w14:textId="77777777" w:rsidR="007B6DDB" w:rsidRPr="000C0219" w:rsidRDefault="007B6DDB" w:rsidP="007B6DDB">
      <w:pPr>
        <w:pStyle w:val="Heading4"/>
      </w:pPr>
      <w:r>
        <w:t>Therapeutic application</w:t>
      </w:r>
    </w:p>
    <w:p w14:paraId="1DE3E3D1" w14:textId="092765F2" w:rsidR="007B6DDB" w:rsidRPr="008903D3" w:rsidRDefault="007B6DDB" w:rsidP="00096324">
      <w:pPr>
        <w:pStyle w:val="BodyText"/>
        <w:spacing w:before="120" w:after="240" w:line="259" w:lineRule="auto"/>
        <w:rPr>
          <w:rFonts w:ascii="Franklin Gothic Book" w:eastAsiaTheme="minorHAnsi" w:hAnsi="Franklin Gothic Book" w:cstheme="minorBidi"/>
          <w:lang w:eastAsia="en-US"/>
        </w:rPr>
      </w:pPr>
      <w:r w:rsidRPr="008903D3">
        <w:rPr>
          <w:rFonts w:ascii="Franklin Gothic Book" w:eastAsiaTheme="minorHAnsi" w:hAnsi="Franklin Gothic Book" w:cstheme="minorBidi"/>
          <w:lang w:eastAsia="en-US"/>
        </w:rPr>
        <w:t xml:space="preserve">The clinical and costs impacts of POCPS-guided EHL/LL are presented in </w:t>
      </w:r>
      <w:r w:rsidRPr="008903D3">
        <w:rPr>
          <w:rFonts w:ascii="Franklin Gothic Book" w:eastAsiaTheme="minorHAnsi" w:hAnsi="Franklin Gothic Book" w:cstheme="minorBidi"/>
          <w:iCs/>
          <w:lang w:eastAsia="en-US"/>
        </w:rPr>
        <w:fldChar w:fldCharType="begin"/>
      </w:r>
      <w:r w:rsidRPr="008903D3">
        <w:rPr>
          <w:rFonts w:ascii="Franklin Gothic Book" w:eastAsiaTheme="minorHAnsi" w:hAnsi="Franklin Gothic Book" w:cstheme="minorBidi"/>
          <w:iCs/>
          <w:lang w:eastAsia="en-US"/>
        </w:rPr>
        <w:instrText xml:space="preserve"> REF _Ref79135696 \h </w:instrText>
      </w:r>
      <w:r w:rsidR="008903D3">
        <w:rPr>
          <w:rFonts w:ascii="Franklin Gothic Book" w:eastAsiaTheme="minorHAnsi" w:hAnsi="Franklin Gothic Book" w:cstheme="minorBidi"/>
          <w:iCs/>
          <w:lang w:eastAsia="en-US"/>
        </w:rPr>
        <w:instrText xml:space="preserve"> \* MERGEFORMAT </w:instrText>
      </w:r>
      <w:r w:rsidRPr="008903D3">
        <w:rPr>
          <w:rFonts w:ascii="Franklin Gothic Book" w:eastAsiaTheme="minorHAnsi" w:hAnsi="Franklin Gothic Book" w:cstheme="minorBidi"/>
          <w:iCs/>
          <w:lang w:eastAsia="en-US"/>
        </w:rPr>
      </w:r>
      <w:r w:rsidRPr="008903D3">
        <w:rPr>
          <w:rFonts w:ascii="Franklin Gothic Book" w:eastAsiaTheme="minorHAnsi" w:hAnsi="Franklin Gothic Book" w:cstheme="minorBidi"/>
          <w:iCs/>
          <w:lang w:eastAsia="en-US"/>
        </w:rPr>
        <w:fldChar w:fldCharType="separate"/>
      </w:r>
      <w:r w:rsidR="00D422BC" w:rsidRPr="00D422BC">
        <w:rPr>
          <w:rFonts w:ascii="Franklin Gothic Book" w:eastAsiaTheme="minorHAnsi" w:hAnsi="Franklin Gothic Book" w:cstheme="minorBidi"/>
          <w:iCs/>
          <w:lang w:eastAsia="en-US"/>
        </w:rPr>
        <w:t>Table 21</w:t>
      </w:r>
      <w:r w:rsidRPr="008903D3">
        <w:rPr>
          <w:rFonts w:ascii="Franklin Gothic Book" w:eastAsiaTheme="minorHAnsi" w:hAnsi="Franklin Gothic Book" w:cstheme="minorBidi"/>
          <w:iCs/>
          <w:lang w:eastAsia="en-US"/>
        </w:rPr>
        <w:fldChar w:fldCharType="end"/>
      </w:r>
      <w:r w:rsidRPr="008903D3">
        <w:rPr>
          <w:rFonts w:ascii="Franklin Gothic Book" w:eastAsiaTheme="minorHAnsi" w:hAnsi="Franklin Gothic Book" w:cstheme="minorBidi"/>
          <w:lang w:eastAsia="en-US"/>
        </w:rPr>
        <w:t>.</w:t>
      </w:r>
      <w:r w:rsidR="001F2D6A">
        <w:rPr>
          <w:rFonts w:ascii="Franklin Gothic Book" w:eastAsiaTheme="minorHAnsi" w:hAnsi="Franklin Gothic Book" w:cstheme="minorBidi"/>
          <w:lang w:eastAsia="en-US"/>
        </w:rPr>
        <w:t xml:space="preserve"> </w:t>
      </w:r>
      <w:r w:rsidRPr="008903D3">
        <w:rPr>
          <w:rFonts w:ascii="Franklin Gothic Book" w:eastAsiaTheme="minorHAnsi" w:hAnsi="Franklin Gothic Book" w:cstheme="minorBidi"/>
          <w:lang w:eastAsia="en-US"/>
        </w:rPr>
        <w:t>In the base case analysis for patients with difficult biliary stones, POCPS-guided EHL/LL was associated with an incremental saving of $127.97 per successful stone removal (</w:t>
      </w:r>
      <w:r w:rsidRPr="008903D3">
        <w:rPr>
          <w:rFonts w:ascii="Franklin Gothic Book" w:eastAsiaTheme="minorHAnsi" w:hAnsi="Franklin Gothic Book" w:cstheme="minorBidi"/>
          <w:lang w:eastAsia="en-US"/>
        </w:rPr>
        <w:fldChar w:fldCharType="begin"/>
      </w:r>
      <w:r>
        <w:instrText xml:space="preserve"> REF _Ref79135696 \h  \* MERGEFORMAT </w:instrText>
      </w:r>
      <w:r w:rsidRPr="008903D3">
        <w:rPr>
          <w:rFonts w:ascii="Franklin Gothic Book" w:eastAsiaTheme="minorHAnsi" w:hAnsi="Franklin Gothic Book" w:cstheme="minorBidi"/>
          <w:lang w:eastAsia="en-US"/>
        </w:rPr>
      </w:r>
      <w:r w:rsidRPr="008903D3">
        <w:rPr>
          <w:rFonts w:ascii="Franklin Gothic Book" w:eastAsiaTheme="minorHAnsi" w:hAnsi="Franklin Gothic Book" w:cstheme="minorBidi"/>
          <w:lang w:eastAsia="en-US"/>
        </w:rPr>
        <w:fldChar w:fldCharType="separate"/>
      </w:r>
      <w:r w:rsidR="00D422BC" w:rsidRPr="00D422BC">
        <w:rPr>
          <w:rFonts w:ascii="Franklin Gothic Book" w:eastAsiaTheme="minorHAnsi" w:hAnsi="Franklin Gothic Book" w:cstheme="minorBidi"/>
          <w:lang w:eastAsia="en-US"/>
        </w:rPr>
        <w:t xml:space="preserve">Table </w:t>
      </w:r>
      <w:r w:rsidR="00D422BC" w:rsidRPr="00D422BC">
        <w:rPr>
          <w:rFonts w:ascii="Franklin Gothic Book" w:eastAsiaTheme="minorHAnsi" w:hAnsi="Franklin Gothic Book" w:cstheme="minorBidi"/>
          <w:iCs/>
          <w:lang w:eastAsia="en-US"/>
        </w:rPr>
        <w:t>21</w:t>
      </w:r>
      <w:r w:rsidRPr="008903D3">
        <w:rPr>
          <w:rFonts w:ascii="Franklin Gothic Book" w:eastAsiaTheme="minorHAnsi" w:hAnsi="Franklin Gothic Book" w:cstheme="minorBidi"/>
          <w:lang w:eastAsia="en-US"/>
        </w:rPr>
        <w:fldChar w:fldCharType="end"/>
      </w:r>
      <w:r w:rsidRPr="008903D3">
        <w:rPr>
          <w:rFonts w:ascii="Franklin Gothic Book" w:eastAsiaTheme="minorHAnsi" w:hAnsi="Franklin Gothic Book" w:cstheme="minorBidi"/>
          <w:lang w:eastAsia="en-US"/>
        </w:rPr>
        <w:t>).</w:t>
      </w:r>
    </w:p>
    <w:p w14:paraId="4AA78B89" w14:textId="465CC08E" w:rsidR="007B6DDB" w:rsidRPr="008903D3" w:rsidRDefault="719E7052" w:rsidP="00096324">
      <w:pPr>
        <w:pStyle w:val="BodyText"/>
        <w:spacing w:before="120" w:after="240" w:line="259" w:lineRule="auto"/>
        <w:rPr>
          <w:rFonts w:ascii="Franklin Gothic Book" w:eastAsiaTheme="minorEastAsia" w:hAnsi="Franklin Gothic Book" w:cstheme="minorBidi"/>
          <w:lang w:eastAsia="en-US"/>
        </w:rPr>
      </w:pPr>
      <w:r w:rsidRPr="67B645D6">
        <w:rPr>
          <w:rFonts w:ascii="Franklin Gothic Book" w:eastAsiaTheme="minorEastAsia" w:hAnsi="Franklin Gothic Book" w:cstheme="minorBidi"/>
          <w:lang w:eastAsia="en-US"/>
        </w:rPr>
        <w:t>The cost of the initial procedure is $865,716.00 for therapeutic POCPS-guided EHL/LL compared with $834,489.50 for the weighted comparator (ERCP-guided mechanical lithotripsy and laparoscopic choledochotomy)</w:t>
      </w:r>
      <w:r w:rsidR="6CDE4517" w:rsidRPr="67B645D6">
        <w:rPr>
          <w:rFonts w:ascii="Franklin Gothic Book" w:eastAsiaTheme="minorEastAsia" w:hAnsi="Franklin Gothic Book" w:cstheme="minorBidi"/>
          <w:lang w:eastAsia="en-US"/>
        </w:rPr>
        <w:t xml:space="preserve"> based on a patient cohort of 1000 for each arm</w:t>
      </w:r>
      <w:r w:rsidRPr="67B645D6">
        <w:rPr>
          <w:rFonts w:ascii="Franklin Gothic Book" w:eastAsiaTheme="minorEastAsia" w:hAnsi="Franklin Gothic Book" w:cstheme="minorBidi"/>
          <w:lang w:eastAsia="en-US"/>
        </w:rPr>
        <w:t>. Therapeutic POCPS-guided EHL/LL successfully removed stones in 67 more patients that ERCP-guided mechanical lithotripsy and avoided repeated endoscopic procedures and surgeries in 84 and 409 patients, respectively. When including the costs to the hospital budget, the saving per successful stone removal was $2,484.77.</w:t>
      </w:r>
    </w:p>
    <w:p w14:paraId="18A0F2F8" w14:textId="19BEFCD4" w:rsidR="007B6DDB" w:rsidRPr="00CE28E3" w:rsidRDefault="007B6DDB" w:rsidP="007B6DDB">
      <w:pPr>
        <w:pStyle w:val="Caption"/>
        <w:keepLines/>
      </w:pPr>
      <w:bookmarkStart w:id="123" w:name="_Ref79135696"/>
      <w:bookmarkStart w:id="124" w:name="_Toc84313682"/>
      <w:bookmarkStart w:id="125" w:name="_Toc84324828"/>
      <w:bookmarkStart w:id="126" w:name="_Toc84344260"/>
      <w:bookmarkStart w:id="127" w:name="_Toc84348151"/>
      <w:r w:rsidRPr="00CE28E3">
        <w:lastRenderedPageBreak/>
        <w:t>Table</w:t>
      </w:r>
      <w:r>
        <w:t xml:space="preserve"> </w:t>
      </w:r>
      <w:r>
        <w:fldChar w:fldCharType="begin"/>
      </w:r>
      <w:r>
        <w:instrText>SEQ Table \* ARABIC</w:instrText>
      </w:r>
      <w:r>
        <w:fldChar w:fldCharType="separate"/>
      </w:r>
      <w:r w:rsidR="00D422BC">
        <w:rPr>
          <w:noProof/>
        </w:rPr>
        <w:t>21</w:t>
      </w:r>
      <w:r>
        <w:fldChar w:fldCharType="end"/>
      </w:r>
      <w:bookmarkEnd w:id="123"/>
      <w:r w:rsidRPr="00CE28E3">
        <w:tab/>
      </w:r>
      <w:r>
        <w:t>S</w:t>
      </w:r>
      <w:r w:rsidRPr="00CE28E3">
        <w:t>ummary of</w:t>
      </w:r>
      <w:r>
        <w:t xml:space="preserve"> clinical and </w:t>
      </w:r>
      <w:r w:rsidRPr="00CE28E3">
        <w:t>cost impacts</w:t>
      </w:r>
      <w:r>
        <w:t xml:space="preserve"> </w:t>
      </w:r>
      <w:r w:rsidRPr="00CE28E3">
        <w:t>in the economic evaluation</w:t>
      </w:r>
      <w:r w:rsidRPr="00743489">
        <w:t xml:space="preserve"> </w:t>
      </w:r>
      <w:r>
        <w:t>of therapeutic POCPS (per 1,000 procedures)</w:t>
      </w:r>
      <w:bookmarkEnd w:id="124"/>
      <w:bookmarkEnd w:id="125"/>
      <w:bookmarkEnd w:id="126"/>
      <w:bookmarkEnd w:id="127"/>
    </w:p>
    <w:tbl>
      <w:tblPr>
        <w:tblStyle w:val="ADAR"/>
        <w:tblW w:w="9016" w:type="dxa"/>
        <w:tblLook w:val="04A0" w:firstRow="1" w:lastRow="0" w:firstColumn="1" w:lastColumn="0" w:noHBand="0" w:noVBand="1"/>
      </w:tblPr>
      <w:tblGrid>
        <w:gridCol w:w="4603"/>
        <w:gridCol w:w="1410"/>
        <w:gridCol w:w="1620"/>
        <w:gridCol w:w="1383"/>
      </w:tblGrid>
      <w:tr w:rsidR="007B6DDB" w:rsidRPr="00CE28E3" w14:paraId="3BB15149" w14:textId="77777777" w:rsidTr="00B013B7">
        <w:trPr>
          <w:tblHeader/>
        </w:trPr>
        <w:tc>
          <w:tcPr>
            <w:tcW w:w="4603" w:type="dxa"/>
          </w:tcPr>
          <w:p w14:paraId="7195D2A8" w14:textId="77777777" w:rsidR="007B6DDB" w:rsidRPr="0058435C" w:rsidRDefault="007B6DDB" w:rsidP="008A78B2">
            <w:pPr>
              <w:pStyle w:val="TableHeading0"/>
              <w:keepNext/>
              <w:keepLines/>
            </w:pPr>
            <w:bookmarkStart w:id="128" w:name="Title_Table34" w:colFirst="0" w:colLast="0"/>
            <w:r w:rsidRPr="0058435C">
              <w:t>Type of resource item</w:t>
            </w:r>
          </w:p>
        </w:tc>
        <w:tc>
          <w:tcPr>
            <w:tcW w:w="1410" w:type="dxa"/>
          </w:tcPr>
          <w:p w14:paraId="1BBF6A93" w14:textId="77777777" w:rsidR="007B6DDB" w:rsidRPr="0058435C" w:rsidRDefault="007B6DDB" w:rsidP="00627FC8">
            <w:pPr>
              <w:pStyle w:val="TableHeading0"/>
              <w:keepNext/>
              <w:keepLines/>
              <w:jc w:val="center"/>
            </w:pPr>
            <w:r>
              <w:t>POCPS</w:t>
            </w:r>
          </w:p>
        </w:tc>
        <w:tc>
          <w:tcPr>
            <w:tcW w:w="1620" w:type="dxa"/>
          </w:tcPr>
          <w:p w14:paraId="1968407A" w14:textId="77777777" w:rsidR="007B6DDB" w:rsidRPr="0058435C" w:rsidRDefault="007B6DDB" w:rsidP="00627FC8">
            <w:pPr>
              <w:pStyle w:val="TableHeading0"/>
              <w:keepNext/>
              <w:keepLines/>
              <w:jc w:val="center"/>
            </w:pPr>
            <w:r>
              <w:t>ERCP /laparoscopic choledochotomy</w:t>
            </w:r>
          </w:p>
        </w:tc>
        <w:tc>
          <w:tcPr>
            <w:tcW w:w="1383" w:type="dxa"/>
          </w:tcPr>
          <w:p w14:paraId="4F7E4F34" w14:textId="7E34081C" w:rsidR="007B6DDB" w:rsidRPr="0058435C" w:rsidRDefault="007B6DDB" w:rsidP="00627FC8">
            <w:pPr>
              <w:pStyle w:val="TableHeading0"/>
              <w:keepNext/>
              <w:keepLines/>
              <w:jc w:val="center"/>
            </w:pPr>
            <w:r w:rsidRPr="0058435C">
              <w:t>Incremental</w:t>
            </w:r>
          </w:p>
        </w:tc>
      </w:tr>
      <w:tr w:rsidR="007B6DDB" w:rsidRPr="00CE28E3" w14:paraId="26B7072C" w14:textId="77777777" w:rsidTr="00B013B7">
        <w:trPr>
          <w:trHeight w:val="70"/>
        </w:trPr>
        <w:tc>
          <w:tcPr>
            <w:tcW w:w="4603" w:type="dxa"/>
          </w:tcPr>
          <w:p w14:paraId="1C883DBB" w14:textId="77777777" w:rsidR="007B6DDB" w:rsidRPr="00E54CFD" w:rsidRDefault="007B6DDB" w:rsidP="008A78B2">
            <w:pPr>
              <w:pStyle w:val="TableText"/>
              <w:keepNext/>
              <w:keepLines/>
              <w:rPr>
                <w:b/>
                <w:bCs/>
              </w:rPr>
            </w:pPr>
            <w:r w:rsidRPr="00E54CFD">
              <w:rPr>
                <w:b/>
                <w:bCs/>
              </w:rPr>
              <w:t xml:space="preserve">Clinical outcomes </w:t>
            </w:r>
          </w:p>
        </w:tc>
        <w:tc>
          <w:tcPr>
            <w:tcW w:w="1410" w:type="dxa"/>
          </w:tcPr>
          <w:p w14:paraId="31B4EB1A" w14:textId="77777777" w:rsidR="007B6DDB" w:rsidRPr="005613AC" w:rsidRDefault="007B6DDB" w:rsidP="008A78B2">
            <w:pPr>
              <w:pStyle w:val="TableTextCA"/>
              <w:keepNext/>
              <w:keepLines/>
              <w:jc w:val="left"/>
            </w:pPr>
          </w:p>
        </w:tc>
        <w:tc>
          <w:tcPr>
            <w:tcW w:w="1620" w:type="dxa"/>
          </w:tcPr>
          <w:p w14:paraId="04AC18D2" w14:textId="77777777" w:rsidR="007B6DDB" w:rsidRPr="005613AC" w:rsidRDefault="007B6DDB" w:rsidP="008A78B2">
            <w:pPr>
              <w:pStyle w:val="TableTextCA"/>
              <w:keepNext/>
              <w:keepLines/>
              <w:jc w:val="left"/>
            </w:pPr>
          </w:p>
        </w:tc>
        <w:tc>
          <w:tcPr>
            <w:tcW w:w="1383" w:type="dxa"/>
          </w:tcPr>
          <w:p w14:paraId="5940D1A2" w14:textId="77777777" w:rsidR="007B6DDB" w:rsidRPr="005613AC" w:rsidRDefault="007B6DDB" w:rsidP="008A78B2">
            <w:pPr>
              <w:pStyle w:val="TableTextCA"/>
              <w:keepNext/>
              <w:keepLines/>
              <w:jc w:val="left"/>
            </w:pPr>
          </w:p>
        </w:tc>
      </w:tr>
      <w:tr w:rsidR="007B6DDB" w:rsidRPr="009631EF" w14:paraId="476EE102" w14:textId="77777777" w:rsidTr="00B013B7">
        <w:trPr>
          <w:trHeight w:val="70"/>
        </w:trPr>
        <w:tc>
          <w:tcPr>
            <w:tcW w:w="4603" w:type="dxa"/>
          </w:tcPr>
          <w:p w14:paraId="569AFC39" w14:textId="77777777" w:rsidR="007B6DDB" w:rsidRDefault="007B6DDB" w:rsidP="008A78B2">
            <w:pPr>
              <w:pStyle w:val="TableText"/>
              <w:keepNext/>
              <w:keepLines/>
            </w:pPr>
            <w:r w:rsidRPr="000530A3">
              <w:t>Number of patients with stones successfully removed (initial and follow up procedures)</w:t>
            </w:r>
          </w:p>
        </w:tc>
        <w:tc>
          <w:tcPr>
            <w:tcW w:w="1410" w:type="dxa"/>
          </w:tcPr>
          <w:p w14:paraId="12CAFD5D" w14:textId="77777777" w:rsidR="007B6DDB" w:rsidRPr="003C4FB7" w:rsidRDefault="007B6DDB" w:rsidP="008A78B2">
            <w:pPr>
              <w:pStyle w:val="TableTextCA"/>
              <w:keepNext/>
              <w:keepLines/>
            </w:pPr>
            <w:r w:rsidRPr="000530A3">
              <w:t>972</w:t>
            </w:r>
          </w:p>
        </w:tc>
        <w:tc>
          <w:tcPr>
            <w:tcW w:w="1620" w:type="dxa"/>
          </w:tcPr>
          <w:p w14:paraId="1066866B" w14:textId="77777777" w:rsidR="007B6DDB" w:rsidRPr="003C4FB7" w:rsidRDefault="007B6DDB" w:rsidP="008A78B2">
            <w:pPr>
              <w:pStyle w:val="TableTextCA"/>
              <w:keepNext/>
              <w:keepLines/>
            </w:pPr>
            <w:r w:rsidRPr="000530A3">
              <w:t>905</w:t>
            </w:r>
          </w:p>
        </w:tc>
        <w:tc>
          <w:tcPr>
            <w:tcW w:w="1383" w:type="dxa"/>
          </w:tcPr>
          <w:p w14:paraId="483F8219" w14:textId="77777777" w:rsidR="007B6DDB" w:rsidRPr="008D6C7C" w:rsidRDefault="007B6DDB" w:rsidP="008A78B2">
            <w:pPr>
              <w:pStyle w:val="TableTextCA"/>
              <w:keepNext/>
              <w:keepLines/>
            </w:pPr>
            <w:r w:rsidRPr="000530A3">
              <w:t>67</w:t>
            </w:r>
          </w:p>
        </w:tc>
      </w:tr>
      <w:tr w:rsidR="007B6DDB" w:rsidRPr="009631EF" w14:paraId="555BABE6" w14:textId="77777777" w:rsidTr="00B013B7">
        <w:trPr>
          <w:trHeight w:val="70"/>
        </w:trPr>
        <w:tc>
          <w:tcPr>
            <w:tcW w:w="4603" w:type="dxa"/>
          </w:tcPr>
          <w:p w14:paraId="03BAE119" w14:textId="77777777" w:rsidR="007B6DDB" w:rsidRPr="004C115C" w:rsidRDefault="007B6DDB" w:rsidP="008A78B2">
            <w:pPr>
              <w:pStyle w:val="TableText"/>
              <w:keepNext/>
              <w:keepLines/>
            </w:pPr>
            <w:r w:rsidRPr="004C115C">
              <w:t>Total number of repeated endoscopic procedures (POCPS/ERCP)</w:t>
            </w:r>
          </w:p>
        </w:tc>
        <w:tc>
          <w:tcPr>
            <w:tcW w:w="1410" w:type="dxa"/>
          </w:tcPr>
          <w:p w14:paraId="335A279E" w14:textId="77777777" w:rsidR="007B6DDB" w:rsidRPr="005613AC" w:rsidRDefault="007B6DDB" w:rsidP="008A78B2">
            <w:pPr>
              <w:pStyle w:val="TableTextCA"/>
              <w:keepNext/>
              <w:keepLines/>
            </w:pPr>
            <w:r w:rsidRPr="004C115C">
              <w:t>167</w:t>
            </w:r>
          </w:p>
        </w:tc>
        <w:tc>
          <w:tcPr>
            <w:tcW w:w="1620" w:type="dxa"/>
          </w:tcPr>
          <w:p w14:paraId="24AEA055" w14:textId="77777777" w:rsidR="007B6DDB" w:rsidRPr="005613AC" w:rsidRDefault="007B6DDB" w:rsidP="008A78B2">
            <w:pPr>
              <w:pStyle w:val="TableTextCA"/>
              <w:keepNext/>
              <w:keepLines/>
            </w:pPr>
            <w:r w:rsidRPr="004C115C">
              <w:t>251</w:t>
            </w:r>
          </w:p>
        </w:tc>
        <w:tc>
          <w:tcPr>
            <w:tcW w:w="1383" w:type="dxa"/>
          </w:tcPr>
          <w:p w14:paraId="5A499EBD" w14:textId="77777777" w:rsidR="007B6DDB" w:rsidRPr="005613AC" w:rsidRDefault="007B6DDB" w:rsidP="008A78B2">
            <w:pPr>
              <w:pStyle w:val="TableTextCA"/>
              <w:keepNext/>
              <w:keepLines/>
            </w:pPr>
            <w:r w:rsidRPr="004C115C">
              <w:t>-84</w:t>
            </w:r>
          </w:p>
        </w:tc>
      </w:tr>
      <w:tr w:rsidR="007B6DDB" w:rsidRPr="009631EF" w14:paraId="15232ECA" w14:textId="77777777" w:rsidTr="00B013B7">
        <w:trPr>
          <w:trHeight w:val="70"/>
        </w:trPr>
        <w:tc>
          <w:tcPr>
            <w:tcW w:w="4603" w:type="dxa"/>
          </w:tcPr>
          <w:p w14:paraId="38DE7E55" w14:textId="77777777" w:rsidR="007B6DDB" w:rsidRDefault="007B6DDB" w:rsidP="008A78B2">
            <w:pPr>
              <w:pStyle w:val="TableText"/>
              <w:keepNext/>
              <w:keepLines/>
            </w:pPr>
            <w:r w:rsidRPr="004C115C">
              <w:t xml:space="preserve">Total number of endoscopic procedures (POCPS/ERCP) conversion to </w:t>
            </w:r>
            <w:r>
              <w:rPr>
                <w:bCs/>
              </w:rPr>
              <w:t xml:space="preserve">laparoscopic </w:t>
            </w:r>
            <w:r w:rsidRPr="004C115C">
              <w:t>choledochotomy</w:t>
            </w:r>
          </w:p>
        </w:tc>
        <w:tc>
          <w:tcPr>
            <w:tcW w:w="1410" w:type="dxa"/>
          </w:tcPr>
          <w:p w14:paraId="4AA14C4F" w14:textId="77777777" w:rsidR="007B6DDB" w:rsidRPr="00B115C7" w:rsidRDefault="007B6DDB" w:rsidP="008A78B2">
            <w:pPr>
              <w:pStyle w:val="TableTextCA"/>
              <w:keepNext/>
              <w:keepLines/>
            </w:pPr>
            <w:r w:rsidRPr="004C201C">
              <w:t>28</w:t>
            </w:r>
          </w:p>
        </w:tc>
        <w:tc>
          <w:tcPr>
            <w:tcW w:w="1620" w:type="dxa"/>
          </w:tcPr>
          <w:p w14:paraId="28F94CD7" w14:textId="77777777" w:rsidR="007B6DDB" w:rsidRPr="00B115C7" w:rsidRDefault="007B6DDB" w:rsidP="008A78B2">
            <w:pPr>
              <w:pStyle w:val="TableTextCA"/>
              <w:keepNext/>
              <w:keepLines/>
            </w:pPr>
            <w:r w:rsidRPr="004C201C">
              <w:t>94</w:t>
            </w:r>
          </w:p>
        </w:tc>
        <w:tc>
          <w:tcPr>
            <w:tcW w:w="1383" w:type="dxa"/>
          </w:tcPr>
          <w:p w14:paraId="7F059B49" w14:textId="77777777" w:rsidR="007B6DDB" w:rsidRDefault="007B6DDB" w:rsidP="008A78B2">
            <w:pPr>
              <w:pStyle w:val="TableTextCA"/>
              <w:keepNext/>
              <w:keepLines/>
            </w:pPr>
            <w:r w:rsidRPr="004C201C">
              <w:t>-66</w:t>
            </w:r>
          </w:p>
        </w:tc>
      </w:tr>
      <w:tr w:rsidR="007B6DDB" w:rsidRPr="009631EF" w14:paraId="3A540E16" w14:textId="77777777" w:rsidTr="00B013B7">
        <w:trPr>
          <w:trHeight w:val="70"/>
        </w:trPr>
        <w:tc>
          <w:tcPr>
            <w:tcW w:w="4603" w:type="dxa"/>
          </w:tcPr>
          <w:p w14:paraId="01C6CB30" w14:textId="77777777" w:rsidR="007B6DDB" w:rsidRDefault="007B6DDB" w:rsidP="008A78B2">
            <w:pPr>
              <w:pStyle w:val="TableText"/>
              <w:keepNext/>
              <w:keepLines/>
            </w:pPr>
            <w:r w:rsidRPr="004C115C">
              <w:t xml:space="preserve">Total number of </w:t>
            </w:r>
            <w:r>
              <w:rPr>
                <w:bCs/>
              </w:rPr>
              <w:t xml:space="preserve">laparoscopic </w:t>
            </w:r>
            <w:r w:rsidRPr="004C115C">
              <w:t xml:space="preserve">choledochotomy procedures performed </w:t>
            </w:r>
          </w:p>
        </w:tc>
        <w:tc>
          <w:tcPr>
            <w:tcW w:w="1410" w:type="dxa"/>
          </w:tcPr>
          <w:p w14:paraId="426D8EB5" w14:textId="77777777" w:rsidR="007B6DDB" w:rsidRPr="005613AC" w:rsidRDefault="007B6DDB" w:rsidP="008A78B2">
            <w:pPr>
              <w:pStyle w:val="TableTextCA"/>
              <w:keepNext/>
              <w:keepLines/>
            </w:pPr>
            <w:r w:rsidRPr="009631EF">
              <w:t>28</w:t>
            </w:r>
          </w:p>
        </w:tc>
        <w:tc>
          <w:tcPr>
            <w:tcW w:w="1620" w:type="dxa"/>
          </w:tcPr>
          <w:p w14:paraId="00089E49" w14:textId="77777777" w:rsidR="007B6DDB" w:rsidRPr="005613AC" w:rsidRDefault="007B6DDB" w:rsidP="008A78B2">
            <w:pPr>
              <w:pStyle w:val="TableTextCA"/>
              <w:keepNext/>
              <w:keepLines/>
            </w:pPr>
            <w:r w:rsidRPr="009631EF">
              <w:t>437</w:t>
            </w:r>
          </w:p>
        </w:tc>
        <w:tc>
          <w:tcPr>
            <w:tcW w:w="1383" w:type="dxa"/>
          </w:tcPr>
          <w:p w14:paraId="65AD098B" w14:textId="77777777" w:rsidR="007B6DDB" w:rsidRPr="005613AC" w:rsidRDefault="007B6DDB" w:rsidP="008A78B2">
            <w:pPr>
              <w:pStyle w:val="TableTextCA"/>
              <w:keepNext/>
              <w:keepLines/>
            </w:pPr>
            <w:r>
              <w:t>-</w:t>
            </w:r>
            <w:r w:rsidRPr="009631EF">
              <w:t>409</w:t>
            </w:r>
          </w:p>
        </w:tc>
      </w:tr>
      <w:tr w:rsidR="007B6DDB" w:rsidRPr="00CE28E3" w14:paraId="6B2FCE60" w14:textId="77777777" w:rsidTr="00B013B7">
        <w:trPr>
          <w:trHeight w:val="70"/>
        </w:trPr>
        <w:tc>
          <w:tcPr>
            <w:tcW w:w="4603" w:type="dxa"/>
          </w:tcPr>
          <w:p w14:paraId="45AD3B62" w14:textId="77777777" w:rsidR="007B6DDB" w:rsidRPr="00E54CFD" w:rsidRDefault="007B6DDB" w:rsidP="008A78B2">
            <w:pPr>
              <w:pStyle w:val="TableText"/>
              <w:keepNext/>
              <w:keepLines/>
              <w:rPr>
                <w:b/>
                <w:bCs/>
              </w:rPr>
            </w:pPr>
            <w:r w:rsidRPr="00E54CFD">
              <w:rPr>
                <w:b/>
                <w:bCs/>
              </w:rPr>
              <w:t>Cost outcomes</w:t>
            </w:r>
            <w:r>
              <w:rPr>
                <w:b/>
                <w:bCs/>
              </w:rPr>
              <w:t xml:space="preserve"> (step 1 – MBS costs)</w:t>
            </w:r>
          </w:p>
        </w:tc>
        <w:tc>
          <w:tcPr>
            <w:tcW w:w="1410" w:type="dxa"/>
          </w:tcPr>
          <w:p w14:paraId="21CBECD4" w14:textId="77777777" w:rsidR="007B6DDB" w:rsidRPr="00FA70AE" w:rsidRDefault="007B6DDB" w:rsidP="008A78B2">
            <w:pPr>
              <w:pStyle w:val="TableTextCA"/>
              <w:keepNext/>
              <w:keepLines/>
              <w:jc w:val="left"/>
            </w:pPr>
          </w:p>
        </w:tc>
        <w:tc>
          <w:tcPr>
            <w:tcW w:w="1620" w:type="dxa"/>
          </w:tcPr>
          <w:p w14:paraId="27494CC5" w14:textId="77777777" w:rsidR="007B6DDB" w:rsidRPr="00FA70AE" w:rsidRDefault="007B6DDB" w:rsidP="008A78B2">
            <w:pPr>
              <w:pStyle w:val="TableTextCA"/>
              <w:keepNext/>
              <w:keepLines/>
              <w:jc w:val="left"/>
            </w:pPr>
          </w:p>
        </w:tc>
        <w:tc>
          <w:tcPr>
            <w:tcW w:w="1383" w:type="dxa"/>
          </w:tcPr>
          <w:p w14:paraId="4212ED8B" w14:textId="77777777" w:rsidR="007B6DDB" w:rsidRPr="00FA70AE" w:rsidRDefault="007B6DDB" w:rsidP="008A78B2">
            <w:pPr>
              <w:pStyle w:val="TableTextCA"/>
              <w:keepNext/>
              <w:keepLines/>
              <w:jc w:val="left"/>
            </w:pPr>
          </w:p>
        </w:tc>
      </w:tr>
      <w:bookmarkEnd w:id="128"/>
      <w:tr w:rsidR="007B6DDB" w:rsidRPr="00CE28E3" w14:paraId="16FB38D5" w14:textId="77777777" w:rsidTr="00B013B7">
        <w:trPr>
          <w:trHeight w:val="70"/>
        </w:trPr>
        <w:tc>
          <w:tcPr>
            <w:tcW w:w="4603" w:type="dxa"/>
          </w:tcPr>
          <w:p w14:paraId="240D33C2" w14:textId="77777777" w:rsidR="007B6DDB" w:rsidRPr="00CE28E3" w:rsidRDefault="007B6DDB" w:rsidP="008A78B2">
            <w:pPr>
              <w:pStyle w:val="TableText"/>
              <w:keepNext/>
              <w:keepLines/>
            </w:pPr>
            <w:r w:rsidRPr="00A96B59">
              <w:t>Total cost of initial procedure</w:t>
            </w:r>
          </w:p>
        </w:tc>
        <w:tc>
          <w:tcPr>
            <w:tcW w:w="1410" w:type="dxa"/>
          </w:tcPr>
          <w:p w14:paraId="29876F1F" w14:textId="77777777" w:rsidR="007B6DDB" w:rsidRPr="00CE28E3" w:rsidRDefault="007B6DDB" w:rsidP="008A78B2">
            <w:pPr>
              <w:pStyle w:val="TableTextCA"/>
              <w:keepNext/>
              <w:keepLines/>
            </w:pPr>
            <w:r w:rsidRPr="006F170C">
              <w:t>$865,716.00</w:t>
            </w:r>
          </w:p>
        </w:tc>
        <w:tc>
          <w:tcPr>
            <w:tcW w:w="1620" w:type="dxa"/>
          </w:tcPr>
          <w:p w14:paraId="4BBEC357" w14:textId="77777777" w:rsidR="007B6DDB" w:rsidRPr="00CE28E3" w:rsidRDefault="007B6DDB" w:rsidP="008A78B2">
            <w:pPr>
              <w:pStyle w:val="TableTextCA"/>
              <w:keepNext/>
              <w:keepLines/>
            </w:pPr>
            <w:r w:rsidRPr="006F170C">
              <w:t>$834,489.50</w:t>
            </w:r>
          </w:p>
        </w:tc>
        <w:tc>
          <w:tcPr>
            <w:tcW w:w="1383" w:type="dxa"/>
          </w:tcPr>
          <w:p w14:paraId="7058BA97" w14:textId="77777777" w:rsidR="007B6DDB" w:rsidRPr="00CE28E3" w:rsidRDefault="007B6DDB" w:rsidP="008A78B2">
            <w:pPr>
              <w:pStyle w:val="TableTextCA"/>
              <w:keepNext/>
              <w:keepLines/>
            </w:pPr>
            <w:r w:rsidRPr="006F170C">
              <w:t>$31,226.50</w:t>
            </w:r>
          </w:p>
        </w:tc>
      </w:tr>
      <w:tr w:rsidR="007B6DDB" w:rsidRPr="00CE28E3" w14:paraId="675D5DAF" w14:textId="77777777" w:rsidTr="00B013B7">
        <w:trPr>
          <w:trHeight w:val="70"/>
        </w:trPr>
        <w:tc>
          <w:tcPr>
            <w:tcW w:w="4603" w:type="dxa"/>
          </w:tcPr>
          <w:p w14:paraId="3EBFEE2A" w14:textId="77777777" w:rsidR="007B6DDB" w:rsidRDefault="007B6DDB" w:rsidP="008A78B2">
            <w:pPr>
              <w:pStyle w:val="TableText"/>
              <w:keepNext/>
              <w:keepLines/>
            </w:pPr>
            <w:r w:rsidRPr="00A96B59">
              <w:t>Total cost of repeated endoscopic procedures (POCPS/ERCP)</w:t>
            </w:r>
          </w:p>
        </w:tc>
        <w:tc>
          <w:tcPr>
            <w:tcW w:w="1410" w:type="dxa"/>
          </w:tcPr>
          <w:p w14:paraId="6420903B" w14:textId="77777777" w:rsidR="007B6DDB" w:rsidRPr="00CE28E3" w:rsidRDefault="007B6DDB" w:rsidP="008A78B2">
            <w:pPr>
              <w:pStyle w:val="TableTextCA"/>
              <w:keepNext/>
              <w:keepLines/>
            </w:pPr>
            <w:r w:rsidRPr="006F170C">
              <w:t>$250,209.38</w:t>
            </w:r>
          </w:p>
        </w:tc>
        <w:tc>
          <w:tcPr>
            <w:tcW w:w="1620" w:type="dxa"/>
          </w:tcPr>
          <w:p w14:paraId="504A1281" w14:textId="77777777" w:rsidR="007B6DDB" w:rsidRPr="00CE28E3" w:rsidRDefault="007B6DDB" w:rsidP="008A78B2">
            <w:pPr>
              <w:pStyle w:val="TableTextCA"/>
              <w:keepNext/>
              <w:keepLines/>
            </w:pPr>
            <w:r w:rsidRPr="006F170C">
              <w:t>$292,806.11</w:t>
            </w:r>
          </w:p>
        </w:tc>
        <w:tc>
          <w:tcPr>
            <w:tcW w:w="1383" w:type="dxa"/>
          </w:tcPr>
          <w:p w14:paraId="44B4CE5B" w14:textId="77777777" w:rsidR="007B6DDB" w:rsidRPr="00CE28E3" w:rsidRDefault="007B6DDB" w:rsidP="008A78B2">
            <w:pPr>
              <w:pStyle w:val="TableTextCA"/>
              <w:keepNext/>
              <w:keepLines/>
            </w:pPr>
            <w:r w:rsidRPr="006F170C">
              <w:t>-$42,596.73</w:t>
            </w:r>
          </w:p>
        </w:tc>
      </w:tr>
      <w:tr w:rsidR="007B6DDB" w:rsidRPr="00CE28E3" w14:paraId="0F7C3E77" w14:textId="77777777" w:rsidTr="00B013B7">
        <w:trPr>
          <w:trHeight w:val="70"/>
        </w:trPr>
        <w:tc>
          <w:tcPr>
            <w:tcW w:w="4603" w:type="dxa"/>
          </w:tcPr>
          <w:p w14:paraId="03E0009C" w14:textId="77777777" w:rsidR="007B6DDB" w:rsidRDefault="007B6DDB" w:rsidP="008A78B2">
            <w:pPr>
              <w:pStyle w:val="TableText"/>
              <w:keepNext/>
              <w:keepLines/>
            </w:pPr>
            <w:r w:rsidRPr="00A96B59">
              <w:t xml:space="preserve">Total cost of conversion to </w:t>
            </w:r>
            <w:r>
              <w:rPr>
                <w:bCs/>
              </w:rPr>
              <w:t xml:space="preserve">laparoscopic </w:t>
            </w:r>
            <w:r w:rsidRPr="00A96B59">
              <w:t>choledochotomy</w:t>
            </w:r>
          </w:p>
        </w:tc>
        <w:tc>
          <w:tcPr>
            <w:tcW w:w="1410" w:type="dxa"/>
          </w:tcPr>
          <w:p w14:paraId="438401B7" w14:textId="77777777" w:rsidR="007B6DDB" w:rsidRPr="00CE28E3" w:rsidRDefault="007B6DDB" w:rsidP="008A78B2">
            <w:pPr>
              <w:pStyle w:val="TableTextCA"/>
              <w:keepNext/>
              <w:keepLines/>
            </w:pPr>
            <w:r w:rsidRPr="006F170C">
              <w:t>$49,024.68</w:t>
            </w:r>
          </w:p>
        </w:tc>
        <w:tc>
          <w:tcPr>
            <w:tcW w:w="1620" w:type="dxa"/>
          </w:tcPr>
          <w:p w14:paraId="3A42A74B" w14:textId="77777777" w:rsidR="007B6DDB" w:rsidRPr="00CE28E3" w:rsidRDefault="007B6DDB" w:rsidP="008A78B2">
            <w:pPr>
              <w:pStyle w:val="TableTextCA"/>
              <w:keepNext/>
              <w:keepLines/>
            </w:pPr>
            <w:r w:rsidRPr="006F170C">
              <w:t>$165,622.43</w:t>
            </w:r>
          </w:p>
        </w:tc>
        <w:tc>
          <w:tcPr>
            <w:tcW w:w="1383" w:type="dxa"/>
          </w:tcPr>
          <w:p w14:paraId="2A18AB9C" w14:textId="77777777" w:rsidR="007B6DDB" w:rsidRPr="00CE28E3" w:rsidRDefault="007B6DDB" w:rsidP="008A78B2">
            <w:pPr>
              <w:pStyle w:val="TableTextCA"/>
              <w:keepNext/>
              <w:keepLines/>
            </w:pPr>
            <w:r w:rsidRPr="006F170C">
              <w:t>-$116,597.75</w:t>
            </w:r>
          </w:p>
        </w:tc>
      </w:tr>
      <w:tr w:rsidR="007B6DDB" w:rsidRPr="00CE28E3" w14:paraId="070CAE10" w14:textId="77777777" w:rsidTr="00B013B7">
        <w:trPr>
          <w:trHeight w:val="70"/>
        </w:trPr>
        <w:tc>
          <w:tcPr>
            <w:tcW w:w="4603" w:type="dxa"/>
          </w:tcPr>
          <w:p w14:paraId="2C7516F3" w14:textId="77777777" w:rsidR="007B6DDB" w:rsidRDefault="007B6DDB" w:rsidP="008A78B2">
            <w:pPr>
              <w:pStyle w:val="TableText"/>
              <w:keepNext/>
              <w:keepLines/>
            </w:pPr>
            <w:r w:rsidRPr="00A96B59">
              <w:t>Total cost of extraction of difficult biliary stones</w:t>
            </w:r>
          </w:p>
        </w:tc>
        <w:tc>
          <w:tcPr>
            <w:tcW w:w="1410" w:type="dxa"/>
          </w:tcPr>
          <w:p w14:paraId="22FE3934" w14:textId="77777777" w:rsidR="007B6DDB" w:rsidRPr="00CE28E3" w:rsidRDefault="007B6DDB" w:rsidP="008A78B2">
            <w:pPr>
              <w:pStyle w:val="TableTextCA"/>
              <w:keepNext/>
              <w:keepLines/>
            </w:pPr>
            <w:r w:rsidRPr="006F170C">
              <w:t>$1,164,950.06</w:t>
            </w:r>
          </w:p>
        </w:tc>
        <w:tc>
          <w:tcPr>
            <w:tcW w:w="1620" w:type="dxa"/>
          </w:tcPr>
          <w:p w14:paraId="0DE539F7" w14:textId="77777777" w:rsidR="007B6DDB" w:rsidRPr="00CE28E3" w:rsidRDefault="007B6DDB" w:rsidP="008A78B2">
            <w:pPr>
              <w:pStyle w:val="TableTextCA"/>
              <w:keepNext/>
              <w:keepLines/>
            </w:pPr>
            <w:r w:rsidRPr="006F170C">
              <w:t>$1,292,918.04</w:t>
            </w:r>
          </w:p>
        </w:tc>
        <w:tc>
          <w:tcPr>
            <w:tcW w:w="1383" w:type="dxa"/>
          </w:tcPr>
          <w:p w14:paraId="2DED6371" w14:textId="77777777" w:rsidR="007B6DDB" w:rsidRPr="00CE28E3" w:rsidRDefault="007B6DDB" w:rsidP="008A78B2">
            <w:pPr>
              <w:pStyle w:val="TableTextCA"/>
              <w:keepNext/>
              <w:keepLines/>
            </w:pPr>
            <w:r w:rsidRPr="006F170C">
              <w:t>-$127,967.98</w:t>
            </w:r>
          </w:p>
        </w:tc>
      </w:tr>
      <w:tr w:rsidR="007B6DDB" w:rsidRPr="00CE28E3" w14:paraId="42FAD75A" w14:textId="77777777" w:rsidTr="00B013B7">
        <w:trPr>
          <w:trHeight w:val="417"/>
        </w:trPr>
        <w:tc>
          <w:tcPr>
            <w:tcW w:w="4603" w:type="dxa"/>
          </w:tcPr>
          <w:p w14:paraId="0C7E3E48" w14:textId="77777777" w:rsidR="007B6DDB" w:rsidRPr="00380034" w:rsidRDefault="007B6DDB" w:rsidP="008A78B2">
            <w:pPr>
              <w:pStyle w:val="TableText"/>
              <w:keepNext/>
              <w:keepLines/>
              <w:rPr>
                <w:b/>
                <w:bCs/>
              </w:rPr>
            </w:pPr>
            <w:r>
              <w:rPr>
                <w:b/>
                <w:bCs/>
              </w:rPr>
              <w:t>C</w:t>
            </w:r>
            <w:r w:rsidRPr="00380034">
              <w:rPr>
                <w:b/>
                <w:bCs/>
              </w:rPr>
              <w:t xml:space="preserve">ost per </w:t>
            </w:r>
            <w:r>
              <w:rPr>
                <w:b/>
                <w:bCs/>
              </w:rPr>
              <w:t xml:space="preserve">patient with difficult biliary stones </w:t>
            </w:r>
          </w:p>
        </w:tc>
        <w:tc>
          <w:tcPr>
            <w:tcW w:w="1410" w:type="dxa"/>
          </w:tcPr>
          <w:p w14:paraId="622818E9" w14:textId="77777777" w:rsidR="007B6DDB" w:rsidRPr="00380034" w:rsidRDefault="007B6DDB" w:rsidP="008A78B2">
            <w:pPr>
              <w:pStyle w:val="TableTextCA"/>
              <w:keepNext/>
              <w:keepLines/>
              <w:rPr>
                <w:b/>
                <w:bCs/>
              </w:rPr>
            </w:pPr>
            <w:r>
              <w:rPr>
                <w:b/>
                <w:bCs/>
              </w:rPr>
              <w:t>$1,164.95</w:t>
            </w:r>
          </w:p>
        </w:tc>
        <w:tc>
          <w:tcPr>
            <w:tcW w:w="1620" w:type="dxa"/>
          </w:tcPr>
          <w:p w14:paraId="37508ACC" w14:textId="77777777" w:rsidR="007B6DDB" w:rsidRPr="00380034" w:rsidRDefault="007B6DDB" w:rsidP="008A78B2">
            <w:pPr>
              <w:pStyle w:val="TableTextCA"/>
              <w:keepNext/>
              <w:keepLines/>
              <w:rPr>
                <w:b/>
                <w:bCs/>
              </w:rPr>
            </w:pPr>
            <w:r>
              <w:rPr>
                <w:b/>
                <w:bCs/>
              </w:rPr>
              <w:t>$1,292.92</w:t>
            </w:r>
          </w:p>
        </w:tc>
        <w:tc>
          <w:tcPr>
            <w:tcW w:w="1383" w:type="dxa"/>
          </w:tcPr>
          <w:p w14:paraId="27E97A05" w14:textId="54566DB4" w:rsidR="007B6DDB" w:rsidRPr="00380034" w:rsidRDefault="007B6DDB" w:rsidP="008A78B2">
            <w:pPr>
              <w:pStyle w:val="TableTextCA"/>
              <w:keepNext/>
              <w:keepLines/>
              <w:rPr>
                <w:b/>
                <w:bCs/>
              </w:rPr>
            </w:pPr>
            <w:r w:rsidRPr="00033619">
              <w:rPr>
                <w:b/>
                <w:bCs/>
              </w:rPr>
              <w:t>-</w:t>
            </w:r>
            <w:r w:rsidR="00627FC8">
              <w:rPr>
                <w:b/>
                <w:bCs/>
              </w:rPr>
              <w:t>$</w:t>
            </w:r>
            <w:r>
              <w:rPr>
                <w:b/>
                <w:bCs/>
              </w:rPr>
              <w:t>127.97</w:t>
            </w:r>
          </w:p>
        </w:tc>
      </w:tr>
      <w:tr w:rsidR="007B6DDB" w:rsidRPr="00CE28E3" w14:paraId="54A6ABE4" w14:textId="77777777" w:rsidTr="00B013B7">
        <w:trPr>
          <w:trHeight w:val="422"/>
        </w:trPr>
        <w:tc>
          <w:tcPr>
            <w:tcW w:w="4603" w:type="dxa"/>
          </w:tcPr>
          <w:p w14:paraId="2C2460C0" w14:textId="77777777" w:rsidR="007B6DDB" w:rsidRPr="00380034" w:rsidRDefault="007B6DDB" w:rsidP="008A78B2">
            <w:pPr>
              <w:pStyle w:val="TableText"/>
              <w:keepNext/>
              <w:keepLines/>
              <w:rPr>
                <w:b/>
                <w:bCs/>
              </w:rPr>
            </w:pPr>
            <w:r>
              <w:rPr>
                <w:b/>
                <w:bCs/>
              </w:rPr>
              <w:t>C</w:t>
            </w:r>
            <w:r w:rsidRPr="00C63F26">
              <w:rPr>
                <w:b/>
                <w:bCs/>
              </w:rPr>
              <w:t>ost per successful stone removal</w:t>
            </w:r>
          </w:p>
        </w:tc>
        <w:tc>
          <w:tcPr>
            <w:tcW w:w="1410" w:type="dxa"/>
          </w:tcPr>
          <w:p w14:paraId="0AA0836A" w14:textId="77777777" w:rsidR="007B6DDB" w:rsidRPr="00380034" w:rsidRDefault="007B6DDB" w:rsidP="008A78B2">
            <w:pPr>
              <w:pStyle w:val="TableTextCA"/>
              <w:keepNext/>
              <w:keepLines/>
              <w:rPr>
                <w:b/>
                <w:bCs/>
              </w:rPr>
            </w:pPr>
            <w:r w:rsidRPr="00D802EC">
              <w:rPr>
                <w:b/>
                <w:bCs/>
              </w:rPr>
              <w:t>$1,147.94</w:t>
            </w:r>
          </w:p>
        </w:tc>
        <w:tc>
          <w:tcPr>
            <w:tcW w:w="1620" w:type="dxa"/>
          </w:tcPr>
          <w:p w14:paraId="4ADE2EEE" w14:textId="77777777" w:rsidR="007B6DDB" w:rsidRPr="00380034" w:rsidRDefault="007B6DDB" w:rsidP="008A78B2">
            <w:pPr>
              <w:pStyle w:val="TableTextCA"/>
              <w:keepNext/>
              <w:keepLines/>
              <w:rPr>
                <w:b/>
                <w:bCs/>
              </w:rPr>
            </w:pPr>
            <w:r w:rsidRPr="00D802EC">
              <w:rPr>
                <w:b/>
                <w:bCs/>
              </w:rPr>
              <w:t>$1,245.21</w:t>
            </w:r>
          </w:p>
        </w:tc>
        <w:tc>
          <w:tcPr>
            <w:tcW w:w="1383" w:type="dxa"/>
          </w:tcPr>
          <w:p w14:paraId="48BB4DDB" w14:textId="7BC6A6EB" w:rsidR="007B6DDB" w:rsidRPr="00380034" w:rsidRDefault="0024568F" w:rsidP="008A78B2">
            <w:pPr>
              <w:pStyle w:val="TableTextCA"/>
              <w:keepNext/>
              <w:keepLines/>
              <w:rPr>
                <w:b/>
                <w:bCs/>
              </w:rPr>
            </w:pPr>
            <w:r>
              <w:rPr>
                <w:b/>
                <w:bCs/>
              </w:rPr>
              <w:t>Dominant</w:t>
            </w:r>
          </w:p>
        </w:tc>
      </w:tr>
      <w:tr w:rsidR="007B6DDB" w:rsidRPr="00CE28E3" w14:paraId="3FBF75DF" w14:textId="77777777" w:rsidTr="00B013B7">
        <w:trPr>
          <w:trHeight w:val="70"/>
        </w:trPr>
        <w:tc>
          <w:tcPr>
            <w:tcW w:w="9016" w:type="dxa"/>
            <w:gridSpan w:val="4"/>
          </w:tcPr>
          <w:p w14:paraId="191D21CC" w14:textId="77777777" w:rsidR="007B6DDB" w:rsidRPr="00380034" w:rsidRDefault="007B6DDB" w:rsidP="008A78B2">
            <w:pPr>
              <w:pStyle w:val="TableTextCA"/>
              <w:keepNext/>
              <w:keepLines/>
              <w:jc w:val="left"/>
              <w:rPr>
                <w:b/>
                <w:bCs/>
              </w:rPr>
            </w:pPr>
            <w:r w:rsidRPr="00E54CFD">
              <w:rPr>
                <w:b/>
                <w:bCs/>
              </w:rPr>
              <w:t>Cost outcomes</w:t>
            </w:r>
            <w:r>
              <w:rPr>
                <w:b/>
                <w:bCs/>
              </w:rPr>
              <w:t xml:space="preserve"> (step 2 – including capital, consumables and additional hospitalisation costs)</w:t>
            </w:r>
          </w:p>
        </w:tc>
      </w:tr>
      <w:tr w:rsidR="00627FC8" w:rsidRPr="00CE28E3" w14:paraId="4B4DFC5B" w14:textId="77777777" w:rsidTr="00B013B7">
        <w:trPr>
          <w:trHeight w:val="70"/>
        </w:trPr>
        <w:tc>
          <w:tcPr>
            <w:tcW w:w="4603" w:type="dxa"/>
          </w:tcPr>
          <w:p w14:paraId="2F19B0DF" w14:textId="77777777" w:rsidR="00627FC8" w:rsidRPr="00B972EA" w:rsidRDefault="00627FC8" w:rsidP="00627FC8">
            <w:pPr>
              <w:pStyle w:val="TableText"/>
              <w:keepNext/>
              <w:keepLines/>
            </w:pPr>
            <w:r w:rsidRPr="00B972EA">
              <w:t>Total cost of initial procedure</w:t>
            </w:r>
          </w:p>
        </w:tc>
        <w:tc>
          <w:tcPr>
            <w:tcW w:w="1410" w:type="dxa"/>
          </w:tcPr>
          <w:p w14:paraId="07A33215" w14:textId="32482384" w:rsidR="00627FC8" w:rsidRPr="006F170C" w:rsidRDefault="00627FC8" w:rsidP="00627FC8">
            <w:pPr>
              <w:pStyle w:val="TableTextCA"/>
              <w:keepNext/>
              <w:keepLines/>
            </w:pPr>
            <w:r w:rsidRPr="002B2231">
              <w:t>$12,310,352.67</w:t>
            </w:r>
          </w:p>
        </w:tc>
        <w:tc>
          <w:tcPr>
            <w:tcW w:w="1620" w:type="dxa"/>
          </w:tcPr>
          <w:p w14:paraId="1AC505A8" w14:textId="236123B8" w:rsidR="00627FC8" w:rsidRPr="006F170C" w:rsidRDefault="00627FC8" w:rsidP="00627FC8">
            <w:pPr>
              <w:pStyle w:val="TableTextCA"/>
              <w:keepNext/>
              <w:keepLines/>
            </w:pPr>
            <w:r w:rsidRPr="002B2231">
              <w:t>$13,008,929.10</w:t>
            </w:r>
          </w:p>
        </w:tc>
        <w:tc>
          <w:tcPr>
            <w:tcW w:w="1383" w:type="dxa"/>
          </w:tcPr>
          <w:p w14:paraId="1376B016" w14:textId="10C966FA" w:rsidR="00627FC8" w:rsidRPr="006F170C" w:rsidRDefault="00627FC8" w:rsidP="00627FC8">
            <w:pPr>
              <w:pStyle w:val="TableTextCA"/>
              <w:keepNext/>
              <w:keepLines/>
            </w:pPr>
            <w:r w:rsidRPr="002B2231">
              <w:t>-$698,576.43</w:t>
            </w:r>
          </w:p>
        </w:tc>
      </w:tr>
      <w:tr w:rsidR="00627FC8" w:rsidRPr="00CE28E3" w14:paraId="30A3BB02" w14:textId="77777777" w:rsidTr="00B013B7">
        <w:trPr>
          <w:trHeight w:val="70"/>
        </w:trPr>
        <w:tc>
          <w:tcPr>
            <w:tcW w:w="4603" w:type="dxa"/>
          </w:tcPr>
          <w:p w14:paraId="09D70A06" w14:textId="77777777" w:rsidR="00627FC8" w:rsidRPr="00B972EA" w:rsidRDefault="00627FC8" w:rsidP="00627FC8">
            <w:pPr>
              <w:pStyle w:val="TableText"/>
              <w:keepNext/>
              <w:keepLines/>
            </w:pPr>
            <w:r w:rsidRPr="00B972EA">
              <w:t>Total cost of repeated endoscopic procedures (POCPS/ERCP)</w:t>
            </w:r>
          </w:p>
        </w:tc>
        <w:tc>
          <w:tcPr>
            <w:tcW w:w="1410" w:type="dxa"/>
          </w:tcPr>
          <w:p w14:paraId="19A84F4A" w14:textId="69D6AC6E" w:rsidR="00627FC8" w:rsidRPr="006F170C" w:rsidRDefault="00627FC8" w:rsidP="00627FC8">
            <w:pPr>
              <w:pStyle w:val="TableTextCA"/>
              <w:keepNext/>
              <w:keepLines/>
            </w:pPr>
            <w:r w:rsidRPr="002B2231">
              <w:t>$2,229,933.70</w:t>
            </w:r>
          </w:p>
        </w:tc>
        <w:tc>
          <w:tcPr>
            <w:tcW w:w="1620" w:type="dxa"/>
          </w:tcPr>
          <w:p w14:paraId="68F68BD1" w14:textId="3E054896" w:rsidR="00627FC8" w:rsidRPr="006F170C" w:rsidRDefault="00627FC8" w:rsidP="00627FC8">
            <w:pPr>
              <w:pStyle w:val="TableTextCA"/>
              <w:keepNext/>
              <w:keepLines/>
            </w:pPr>
            <w:r w:rsidRPr="002B2231">
              <w:t>$2,901,142.11</w:t>
            </w:r>
          </w:p>
        </w:tc>
        <w:tc>
          <w:tcPr>
            <w:tcW w:w="1383" w:type="dxa"/>
          </w:tcPr>
          <w:p w14:paraId="555ECB22" w14:textId="078C0558" w:rsidR="00627FC8" w:rsidRPr="006F170C" w:rsidRDefault="00627FC8" w:rsidP="00627FC8">
            <w:pPr>
              <w:pStyle w:val="TableTextCA"/>
              <w:keepNext/>
              <w:keepLines/>
            </w:pPr>
            <w:r w:rsidRPr="002B2231">
              <w:t>-$671,208.40</w:t>
            </w:r>
          </w:p>
        </w:tc>
      </w:tr>
      <w:tr w:rsidR="00627FC8" w:rsidRPr="00CE28E3" w14:paraId="07AC17FC" w14:textId="77777777" w:rsidTr="00B013B7">
        <w:trPr>
          <w:trHeight w:val="70"/>
        </w:trPr>
        <w:tc>
          <w:tcPr>
            <w:tcW w:w="4603" w:type="dxa"/>
          </w:tcPr>
          <w:p w14:paraId="144A0589" w14:textId="382FF64E" w:rsidR="00627FC8" w:rsidRPr="00B013B7" w:rsidRDefault="00627FC8" w:rsidP="00627FC8">
            <w:pPr>
              <w:pStyle w:val="TableText"/>
              <w:keepNext/>
              <w:keepLines/>
              <w:rPr>
                <w:u w:val="single"/>
              </w:rPr>
            </w:pPr>
            <w:r w:rsidRPr="00B013B7">
              <w:rPr>
                <w:u w:val="single"/>
              </w:rPr>
              <w:t>Total cost of conversion to laparoscopic choledochotomy</w:t>
            </w:r>
            <w:r w:rsidRPr="67B645D6">
              <w:rPr>
                <w:u w:val="single"/>
              </w:rPr>
              <w:t>*</w:t>
            </w:r>
          </w:p>
        </w:tc>
        <w:tc>
          <w:tcPr>
            <w:tcW w:w="1410" w:type="dxa"/>
          </w:tcPr>
          <w:p w14:paraId="76C30905" w14:textId="55003241" w:rsidR="00627FC8" w:rsidRPr="00B013B7" w:rsidRDefault="00627FC8" w:rsidP="00627FC8">
            <w:pPr>
              <w:pStyle w:val="TableTextCA"/>
              <w:keepNext/>
              <w:keepLines/>
              <w:rPr>
                <w:u w:val="single"/>
              </w:rPr>
            </w:pPr>
            <w:r w:rsidRPr="002B2231">
              <w:t>$567,065.01</w:t>
            </w:r>
          </w:p>
        </w:tc>
        <w:tc>
          <w:tcPr>
            <w:tcW w:w="1620" w:type="dxa"/>
          </w:tcPr>
          <w:p w14:paraId="333E041F" w14:textId="7EE4F8C1" w:rsidR="00627FC8" w:rsidRPr="00B013B7" w:rsidRDefault="00627FC8" w:rsidP="00627FC8">
            <w:pPr>
              <w:pStyle w:val="TableTextCA"/>
              <w:keepNext/>
              <w:keepLines/>
              <w:rPr>
                <w:u w:val="single"/>
              </w:rPr>
            </w:pPr>
            <w:r w:rsidRPr="002B2231">
              <w:t>$1,915,743.00</w:t>
            </w:r>
          </w:p>
        </w:tc>
        <w:tc>
          <w:tcPr>
            <w:tcW w:w="1383" w:type="dxa"/>
          </w:tcPr>
          <w:p w14:paraId="6D30E41D" w14:textId="6745E8A7" w:rsidR="00627FC8" w:rsidRPr="00B013B7" w:rsidRDefault="00627FC8" w:rsidP="00627FC8">
            <w:pPr>
              <w:pStyle w:val="TableTextCA"/>
              <w:keepNext/>
              <w:keepLines/>
              <w:rPr>
                <w:u w:val="single"/>
              </w:rPr>
            </w:pPr>
            <w:r w:rsidRPr="002B2231">
              <w:t>-$1,348,677.99</w:t>
            </w:r>
          </w:p>
        </w:tc>
      </w:tr>
      <w:tr w:rsidR="00627FC8" w:rsidRPr="00CE28E3" w14:paraId="613A4969" w14:textId="77777777" w:rsidTr="00B013B7">
        <w:trPr>
          <w:trHeight w:val="70"/>
        </w:trPr>
        <w:tc>
          <w:tcPr>
            <w:tcW w:w="4603" w:type="dxa"/>
          </w:tcPr>
          <w:p w14:paraId="7020E44D" w14:textId="77777777" w:rsidR="00627FC8" w:rsidRPr="00AC1E51" w:rsidRDefault="00627FC8" w:rsidP="00627FC8">
            <w:pPr>
              <w:pStyle w:val="TableText"/>
              <w:keepNext/>
              <w:keepLines/>
            </w:pPr>
            <w:r w:rsidRPr="00AC1E51">
              <w:t>Total cost of extraction of difficult biliary stones</w:t>
            </w:r>
          </w:p>
        </w:tc>
        <w:tc>
          <w:tcPr>
            <w:tcW w:w="1410" w:type="dxa"/>
          </w:tcPr>
          <w:p w14:paraId="38E3624C" w14:textId="658F43E2" w:rsidR="00627FC8" w:rsidRPr="00AC1E51" w:rsidRDefault="00627FC8" w:rsidP="00627FC8">
            <w:pPr>
              <w:pStyle w:val="TableTextCA"/>
              <w:keepNext/>
              <w:keepLines/>
            </w:pPr>
            <w:r w:rsidRPr="002B2231">
              <w:t>$15,107,351.38</w:t>
            </w:r>
          </w:p>
        </w:tc>
        <w:tc>
          <w:tcPr>
            <w:tcW w:w="1620" w:type="dxa"/>
          </w:tcPr>
          <w:p w14:paraId="063ECF0F" w14:textId="6ADE32DB" w:rsidR="00627FC8" w:rsidRPr="00AC1E51" w:rsidRDefault="00627FC8" w:rsidP="00627FC8">
            <w:pPr>
              <w:pStyle w:val="TableTextCA"/>
              <w:keepNext/>
              <w:keepLines/>
            </w:pPr>
            <w:r w:rsidRPr="002B2231">
              <w:t>$17,825,814.20</w:t>
            </w:r>
          </w:p>
        </w:tc>
        <w:tc>
          <w:tcPr>
            <w:tcW w:w="1383" w:type="dxa"/>
          </w:tcPr>
          <w:p w14:paraId="329A36EF" w14:textId="07AD4B2E" w:rsidR="00627FC8" w:rsidRPr="00AC1E51" w:rsidRDefault="00627FC8" w:rsidP="00627FC8">
            <w:pPr>
              <w:pStyle w:val="TableTextCA"/>
              <w:keepNext/>
              <w:keepLines/>
            </w:pPr>
            <w:r w:rsidRPr="002B2231">
              <w:t>-$2,718,462.82</w:t>
            </w:r>
          </w:p>
        </w:tc>
      </w:tr>
      <w:tr w:rsidR="00627FC8" w:rsidRPr="00CE28E3" w14:paraId="0F38AF75" w14:textId="77777777" w:rsidTr="00B013B7">
        <w:trPr>
          <w:trHeight w:val="70"/>
        </w:trPr>
        <w:tc>
          <w:tcPr>
            <w:tcW w:w="4603" w:type="dxa"/>
          </w:tcPr>
          <w:p w14:paraId="141F3224" w14:textId="77777777" w:rsidR="00627FC8" w:rsidRPr="00630A91" w:rsidRDefault="00627FC8" w:rsidP="00627FC8">
            <w:pPr>
              <w:pStyle w:val="TableText"/>
              <w:keepNext/>
              <w:keepLines/>
              <w:rPr>
                <w:b/>
                <w:bCs/>
              </w:rPr>
            </w:pPr>
            <w:r>
              <w:rPr>
                <w:b/>
                <w:bCs/>
              </w:rPr>
              <w:t>C</w:t>
            </w:r>
            <w:r w:rsidRPr="00630A91">
              <w:rPr>
                <w:b/>
                <w:bCs/>
              </w:rPr>
              <w:t>ost per patient with difficult biliary stones</w:t>
            </w:r>
          </w:p>
        </w:tc>
        <w:tc>
          <w:tcPr>
            <w:tcW w:w="1410" w:type="dxa"/>
          </w:tcPr>
          <w:p w14:paraId="0BD33F43" w14:textId="44EC4CB9" w:rsidR="00627FC8" w:rsidRPr="00627FC8" w:rsidRDefault="00627FC8" w:rsidP="00627FC8">
            <w:pPr>
              <w:pStyle w:val="TableTextCA"/>
              <w:keepNext/>
              <w:keepLines/>
              <w:rPr>
                <w:b/>
                <w:bCs/>
              </w:rPr>
            </w:pPr>
            <w:r w:rsidRPr="00627FC8">
              <w:rPr>
                <w:b/>
                <w:bCs/>
              </w:rPr>
              <w:t>$15,107.35</w:t>
            </w:r>
          </w:p>
        </w:tc>
        <w:tc>
          <w:tcPr>
            <w:tcW w:w="1620" w:type="dxa"/>
          </w:tcPr>
          <w:p w14:paraId="422E98F3" w14:textId="44FC88A0" w:rsidR="00627FC8" w:rsidRPr="00627FC8" w:rsidRDefault="00627FC8" w:rsidP="00627FC8">
            <w:pPr>
              <w:pStyle w:val="TableTextCA"/>
              <w:keepNext/>
              <w:keepLines/>
              <w:rPr>
                <w:b/>
                <w:bCs/>
              </w:rPr>
            </w:pPr>
            <w:r w:rsidRPr="00627FC8">
              <w:rPr>
                <w:b/>
                <w:bCs/>
              </w:rPr>
              <w:t>$17,825.81</w:t>
            </w:r>
          </w:p>
        </w:tc>
        <w:tc>
          <w:tcPr>
            <w:tcW w:w="1383" w:type="dxa"/>
          </w:tcPr>
          <w:p w14:paraId="10AE712E" w14:textId="019BE405" w:rsidR="00627FC8" w:rsidRPr="00627FC8" w:rsidRDefault="00627FC8" w:rsidP="00627FC8">
            <w:pPr>
              <w:pStyle w:val="TableTextCA"/>
              <w:keepNext/>
              <w:keepLines/>
              <w:rPr>
                <w:b/>
                <w:bCs/>
              </w:rPr>
            </w:pPr>
            <w:r w:rsidRPr="00627FC8">
              <w:rPr>
                <w:b/>
                <w:bCs/>
              </w:rPr>
              <w:t>-$2,718.46</w:t>
            </w:r>
          </w:p>
        </w:tc>
      </w:tr>
      <w:tr w:rsidR="00627FC8" w:rsidRPr="00CE28E3" w14:paraId="4375F0A0" w14:textId="77777777" w:rsidTr="00B013B7">
        <w:trPr>
          <w:trHeight w:val="70"/>
        </w:trPr>
        <w:tc>
          <w:tcPr>
            <w:tcW w:w="4603" w:type="dxa"/>
          </w:tcPr>
          <w:p w14:paraId="0CAFC265" w14:textId="77777777" w:rsidR="00627FC8" w:rsidRPr="00630A91" w:rsidRDefault="00627FC8" w:rsidP="00627FC8">
            <w:pPr>
              <w:pStyle w:val="TableText"/>
              <w:keepNext/>
              <w:keepLines/>
              <w:rPr>
                <w:b/>
                <w:bCs/>
              </w:rPr>
            </w:pPr>
            <w:r>
              <w:rPr>
                <w:b/>
                <w:bCs/>
              </w:rPr>
              <w:t>C</w:t>
            </w:r>
            <w:r w:rsidRPr="00630A91">
              <w:rPr>
                <w:b/>
                <w:bCs/>
              </w:rPr>
              <w:t>ost per successful stone removal (initial and follow up procedures)</w:t>
            </w:r>
          </w:p>
        </w:tc>
        <w:tc>
          <w:tcPr>
            <w:tcW w:w="1410" w:type="dxa"/>
          </w:tcPr>
          <w:p w14:paraId="4DC15A95" w14:textId="66FD6FE8" w:rsidR="00627FC8" w:rsidRPr="00627FC8" w:rsidRDefault="00627FC8" w:rsidP="00627FC8">
            <w:pPr>
              <w:pStyle w:val="TableTextCA"/>
              <w:keepNext/>
              <w:keepLines/>
              <w:rPr>
                <w:b/>
                <w:bCs/>
              </w:rPr>
            </w:pPr>
            <w:r w:rsidRPr="00627FC8">
              <w:rPr>
                <w:b/>
                <w:bCs/>
              </w:rPr>
              <w:t>$14,957.43</w:t>
            </w:r>
          </w:p>
        </w:tc>
        <w:tc>
          <w:tcPr>
            <w:tcW w:w="1620" w:type="dxa"/>
          </w:tcPr>
          <w:p w14:paraId="0DBCE152" w14:textId="58A3C2B2" w:rsidR="00627FC8" w:rsidRPr="00627FC8" w:rsidRDefault="00627FC8" w:rsidP="00627FC8">
            <w:pPr>
              <w:pStyle w:val="TableTextCA"/>
              <w:keepNext/>
              <w:keepLines/>
              <w:rPr>
                <w:b/>
                <w:bCs/>
              </w:rPr>
            </w:pPr>
            <w:r w:rsidRPr="00627FC8">
              <w:rPr>
                <w:b/>
                <w:bCs/>
              </w:rPr>
              <w:t>$17,574.27</w:t>
            </w:r>
          </w:p>
        </w:tc>
        <w:tc>
          <w:tcPr>
            <w:tcW w:w="1383" w:type="dxa"/>
          </w:tcPr>
          <w:p w14:paraId="221CBC71" w14:textId="3B976CF3" w:rsidR="00627FC8" w:rsidRPr="00F36D4F" w:rsidRDefault="00627FC8" w:rsidP="00627FC8">
            <w:pPr>
              <w:pStyle w:val="TableTextCA"/>
              <w:keepNext/>
              <w:keepLines/>
              <w:rPr>
                <w:b/>
                <w:bCs/>
              </w:rPr>
            </w:pPr>
            <w:r>
              <w:rPr>
                <w:b/>
                <w:bCs/>
              </w:rPr>
              <w:t>Dominant</w:t>
            </w:r>
          </w:p>
        </w:tc>
      </w:tr>
    </w:tbl>
    <w:p w14:paraId="507D0D75" w14:textId="3C75EE3F" w:rsidR="007B6DDB" w:rsidRDefault="00627FC8" w:rsidP="008A78B2">
      <w:pPr>
        <w:pStyle w:val="Abbreviations"/>
        <w:keepNext/>
        <w:keepLines/>
      </w:pPr>
      <w:r>
        <w:t xml:space="preserve">Source: Pre-MSAC response with corrected </w:t>
      </w:r>
      <w:r w:rsidRPr="00627FC8">
        <w:t>capital cost per service</w:t>
      </w:r>
      <w:r>
        <w:t>.</w:t>
      </w:r>
      <w:r>
        <w:br/>
      </w:r>
      <w:r w:rsidR="719E7052" w:rsidRPr="0005649D">
        <w:t>Abbreviations</w:t>
      </w:r>
      <w:r w:rsidR="719E7052">
        <w:t xml:space="preserve">: </w:t>
      </w:r>
      <w:r w:rsidR="719E7052" w:rsidRPr="001A4E5B">
        <w:rPr>
          <w:snapToGrid w:val="0"/>
        </w:rPr>
        <w:t>ERCP</w:t>
      </w:r>
      <w:r w:rsidR="719E7052">
        <w:rPr>
          <w:snapToGrid w:val="0"/>
        </w:rPr>
        <w:t xml:space="preserve"> </w:t>
      </w:r>
      <w:r w:rsidR="719E7052" w:rsidRPr="001A4E5B">
        <w:rPr>
          <w:snapToGrid w:val="0"/>
        </w:rPr>
        <w:t xml:space="preserve">= </w:t>
      </w:r>
      <w:r w:rsidR="719E7052" w:rsidRPr="0005649D">
        <w:rPr>
          <w:snapToGrid w:val="0"/>
        </w:rPr>
        <w:t>endoscopic</w:t>
      </w:r>
      <w:r w:rsidR="719E7052" w:rsidRPr="001A4E5B">
        <w:rPr>
          <w:snapToGrid w:val="0"/>
        </w:rPr>
        <w:t xml:space="preserve"> retrograde cholangiopancreatography</w:t>
      </w:r>
      <w:r w:rsidR="719E7052">
        <w:rPr>
          <w:snapToGrid w:val="0"/>
        </w:rPr>
        <w:t xml:space="preserve">-guided mechanical lithotripsy; </w:t>
      </w:r>
      <w:r w:rsidR="719E7052" w:rsidRPr="001A4E5B">
        <w:rPr>
          <w:snapToGrid w:val="0"/>
        </w:rPr>
        <w:t>POCPS</w:t>
      </w:r>
      <w:r w:rsidR="719E7052">
        <w:rPr>
          <w:snapToGrid w:val="0"/>
        </w:rPr>
        <w:t xml:space="preserve"> </w:t>
      </w:r>
      <w:r w:rsidR="719E7052" w:rsidRPr="001A4E5B">
        <w:rPr>
          <w:snapToGrid w:val="0"/>
        </w:rPr>
        <w:t xml:space="preserve">= </w:t>
      </w:r>
      <w:r w:rsidR="719E7052" w:rsidRPr="0005649D">
        <w:rPr>
          <w:snapToGrid w:val="0"/>
        </w:rPr>
        <w:t xml:space="preserve">single </w:t>
      </w:r>
      <w:r w:rsidR="719E7052" w:rsidRPr="001A4E5B">
        <w:rPr>
          <w:snapToGrid w:val="0"/>
        </w:rPr>
        <w:t>operator, single use, peroral</w:t>
      </w:r>
      <w:r w:rsidR="719E7052">
        <w:rPr>
          <w:snapToGrid w:val="0"/>
        </w:rPr>
        <w:t xml:space="preserve"> </w:t>
      </w:r>
      <w:r w:rsidR="719E7052" w:rsidRPr="001A4E5B">
        <w:rPr>
          <w:snapToGrid w:val="0"/>
        </w:rPr>
        <w:t>cholangiopancreatoscopy</w:t>
      </w:r>
      <w:r w:rsidR="719E7052">
        <w:rPr>
          <w:snapToGrid w:val="0"/>
        </w:rPr>
        <w:t xml:space="preserve"> electrohydraulic or lases lithotripsy</w:t>
      </w:r>
    </w:p>
    <w:p w14:paraId="07F314D0" w14:textId="141543B0" w:rsidR="007B6DDB" w:rsidRPr="005D5F2F" w:rsidRDefault="3BE96DC0" w:rsidP="00B013B7">
      <w:pPr>
        <w:pStyle w:val="Abbreviations"/>
        <w:keepNext/>
        <w:keepLines/>
      </w:pPr>
      <w:r>
        <w:rPr>
          <w:snapToGrid w:val="0"/>
        </w:rPr>
        <w:t>*</w:t>
      </w:r>
      <w:r w:rsidR="45CB1D5C" w:rsidRPr="00B013B7">
        <w:rPr>
          <w:rFonts w:eastAsiaTheme="minorEastAsia"/>
          <w:szCs w:val="16"/>
        </w:rPr>
        <w:t xml:space="preserve">It is noted that </w:t>
      </w:r>
      <w:r w:rsidR="164F3C8C" w:rsidRPr="00B013B7">
        <w:rPr>
          <w:rFonts w:eastAsiaTheme="minorEastAsia"/>
          <w:szCs w:val="16"/>
        </w:rPr>
        <w:t xml:space="preserve">the total cost of conversion to laparoscopic choledochotomy makes up a large </w:t>
      </w:r>
      <w:r w:rsidR="05E2BC40" w:rsidRPr="00B013B7">
        <w:rPr>
          <w:rFonts w:eastAsiaTheme="minorEastAsia"/>
          <w:szCs w:val="16"/>
        </w:rPr>
        <w:t>proportion</w:t>
      </w:r>
      <w:r w:rsidR="164F3C8C" w:rsidRPr="00B013B7">
        <w:rPr>
          <w:rFonts w:eastAsiaTheme="minorEastAsia"/>
          <w:szCs w:val="16"/>
        </w:rPr>
        <w:t xml:space="preserve"> of the total per patient cost and the costs of successful stone remov</w:t>
      </w:r>
      <w:r w:rsidR="53B760BC" w:rsidRPr="00B013B7">
        <w:rPr>
          <w:rFonts w:eastAsiaTheme="minorEastAsia"/>
          <w:szCs w:val="16"/>
        </w:rPr>
        <w:t>al.</w:t>
      </w:r>
      <w:bookmarkStart w:id="129" w:name="_Hlk89026655"/>
    </w:p>
    <w:p w14:paraId="4E0CF586" w14:textId="4FADB7B1" w:rsidR="001E1264" w:rsidRPr="005E49D6" w:rsidRDefault="6C8B3F08" w:rsidP="005E49D6">
      <w:pPr>
        <w:tabs>
          <w:tab w:val="left" w:pos="1134"/>
        </w:tabs>
        <w:spacing w:after="240"/>
        <w:rPr>
          <w:rFonts w:eastAsiaTheme="minorEastAsia"/>
        </w:rPr>
      </w:pPr>
      <w:r w:rsidRPr="00977BC0">
        <w:rPr>
          <w:rFonts w:eastAsiaTheme="minorEastAsia"/>
        </w:rPr>
        <w:t xml:space="preserve">The cost of capital for ERCP and POCPS </w:t>
      </w:r>
      <w:r w:rsidR="2E19B3B1" w:rsidRPr="00977BC0">
        <w:rPr>
          <w:rFonts w:eastAsiaTheme="minorEastAsia"/>
        </w:rPr>
        <w:t xml:space="preserve">in both therapeutic and investigative applications </w:t>
      </w:r>
      <w:r w:rsidRPr="00977BC0">
        <w:rPr>
          <w:rFonts w:eastAsiaTheme="minorEastAsia"/>
        </w:rPr>
        <w:t xml:space="preserve">is calculated using the forgone capital return of a duodenoscope and spyglass equipment </w:t>
      </w:r>
      <w:r w:rsidR="46221E05" w:rsidRPr="00977BC0">
        <w:rPr>
          <w:rFonts w:eastAsiaTheme="minorEastAsia"/>
        </w:rPr>
        <w:t>(</w:t>
      </w:r>
      <w:r w:rsidRPr="00977BC0">
        <w:rPr>
          <w:rFonts w:eastAsiaTheme="minorEastAsia"/>
        </w:rPr>
        <w:t>DS digital controller</w:t>
      </w:r>
      <w:r w:rsidR="40A8A7D3" w:rsidRPr="00977BC0">
        <w:rPr>
          <w:rFonts w:eastAsiaTheme="minorEastAsia"/>
        </w:rPr>
        <w:t xml:space="preserve"> for both applications, with the addition of an Autolith Generator in the therapeutic application</w:t>
      </w:r>
      <w:r w:rsidRPr="00977BC0">
        <w:rPr>
          <w:rFonts w:eastAsiaTheme="minorEastAsia"/>
        </w:rPr>
        <w:t>) respectively, reported based on cost per service.</w:t>
      </w:r>
      <w:r w:rsidR="471AF233" w:rsidRPr="00977BC0">
        <w:rPr>
          <w:rFonts w:eastAsiaTheme="minorEastAsia"/>
        </w:rPr>
        <w:t xml:space="preserve"> Th</w:t>
      </w:r>
      <w:r w:rsidR="70736F1B" w:rsidRPr="00977BC0">
        <w:rPr>
          <w:rFonts w:eastAsiaTheme="minorEastAsia"/>
        </w:rPr>
        <w:t xml:space="preserve">e </w:t>
      </w:r>
      <w:r w:rsidR="00627FC8">
        <w:rPr>
          <w:rFonts w:eastAsiaTheme="minorEastAsia"/>
        </w:rPr>
        <w:t xml:space="preserve">corrected </w:t>
      </w:r>
      <w:r w:rsidR="70736F1B" w:rsidRPr="00977BC0">
        <w:rPr>
          <w:rFonts w:eastAsiaTheme="minorEastAsia"/>
        </w:rPr>
        <w:t xml:space="preserve">capital cost for the therapeutic application </w:t>
      </w:r>
      <w:r w:rsidR="00627FC8">
        <w:rPr>
          <w:rFonts w:eastAsiaTheme="minorEastAsia"/>
        </w:rPr>
        <w:t xml:space="preserve">(from the pre-MSAC response) </w:t>
      </w:r>
      <w:r w:rsidR="70736F1B" w:rsidRPr="00977BC0">
        <w:rPr>
          <w:rFonts w:eastAsiaTheme="minorEastAsia"/>
        </w:rPr>
        <w:t xml:space="preserve">been disaggregated </w:t>
      </w:r>
      <w:r w:rsidR="471AF233" w:rsidRPr="00977BC0">
        <w:rPr>
          <w:rFonts w:eastAsiaTheme="minorEastAsia"/>
        </w:rPr>
        <w:t xml:space="preserve">in the table below. </w:t>
      </w:r>
      <w:r w:rsidR="001E1264">
        <w:br w:type="page"/>
      </w:r>
    </w:p>
    <w:p w14:paraId="58F3E9D9" w14:textId="75CBDCA3" w:rsidR="00607E6D" w:rsidRDefault="00607E6D" w:rsidP="00B013B7">
      <w:pPr>
        <w:pStyle w:val="Caption"/>
      </w:pPr>
      <w:r>
        <w:lastRenderedPageBreak/>
        <w:t xml:space="preserve">Table </w:t>
      </w:r>
      <w:fldSimple w:instr=" SEQ Table \* ARABIC ">
        <w:r w:rsidR="00D422BC">
          <w:rPr>
            <w:noProof/>
          </w:rPr>
          <w:t>22</w:t>
        </w:r>
      </w:fldSimple>
      <w:r>
        <w:t xml:space="preserve"> </w:t>
      </w:r>
      <w:r w:rsidRPr="00786D41">
        <w:t>Disaggregation of therapeutic capital cost per service</w:t>
      </w:r>
    </w:p>
    <w:tbl>
      <w:tblPr>
        <w:tblStyle w:val="TableGrid"/>
        <w:tblW w:w="0" w:type="auto"/>
        <w:tblLayout w:type="fixed"/>
        <w:tblLook w:val="06A0" w:firstRow="1" w:lastRow="0" w:firstColumn="1" w:lastColumn="0" w:noHBand="1" w:noVBand="1"/>
      </w:tblPr>
      <w:tblGrid>
        <w:gridCol w:w="3675"/>
        <w:gridCol w:w="3509"/>
        <w:gridCol w:w="1831"/>
      </w:tblGrid>
      <w:tr w:rsidR="67B645D6" w14:paraId="6C6CA609" w14:textId="77777777" w:rsidTr="00B013B7">
        <w:trPr>
          <w:trHeight w:val="255"/>
        </w:trPr>
        <w:tc>
          <w:tcPr>
            <w:tcW w:w="3675" w:type="dxa"/>
            <w:tcBorders>
              <w:top w:val="single" w:sz="4" w:space="0" w:color="auto"/>
              <w:left w:val="single" w:sz="4" w:space="0" w:color="auto"/>
              <w:bottom w:val="single" w:sz="4" w:space="0" w:color="auto"/>
              <w:right w:val="nil"/>
            </w:tcBorders>
            <w:vAlign w:val="center"/>
          </w:tcPr>
          <w:p w14:paraId="6F5C6C65" w14:textId="4A20652E" w:rsidR="21073A7D" w:rsidRPr="00B013B7" w:rsidRDefault="21073A7D" w:rsidP="67B645D6">
            <w:pPr>
              <w:rPr>
                <w:rFonts w:ascii="Arial Narrow" w:eastAsia="Calibri Light" w:hAnsi="Arial Narrow" w:cs="Calibri Light"/>
                <w:b/>
                <w:bCs/>
                <w:color w:val="000000" w:themeColor="text1"/>
                <w:sz w:val="20"/>
                <w:szCs w:val="20"/>
              </w:rPr>
            </w:pPr>
            <w:r w:rsidRPr="00B013B7">
              <w:rPr>
                <w:rFonts w:ascii="Arial Narrow" w:eastAsia="Calibri Light" w:hAnsi="Arial Narrow" w:cs="Calibri Light"/>
                <w:b/>
                <w:bCs/>
                <w:color w:val="000000" w:themeColor="text1"/>
                <w:sz w:val="20"/>
                <w:szCs w:val="20"/>
              </w:rPr>
              <w:t>Procedure</w:t>
            </w:r>
          </w:p>
        </w:tc>
        <w:tc>
          <w:tcPr>
            <w:tcW w:w="3509" w:type="dxa"/>
            <w:tcBorders>
              <w:top w:val="single" w:sz="4" w:space="0" w:color="auto"/>
              <w:left w:val="single" w:sz="4" w:space="0" w:color="auto"/>
              <w:bottom w:val="single" w:sz="4" w:space="0" w:color="auto"/>
              <w:right w:val="single" w:sz="4" w:space="0" w:color="auto"/>
            </w:tcBorders>
            <w:vAlign w:val="center"/>
          </w:tcPr>
          <w:p w14:paraId="0DBB48B0" w14:textId="4B071775" w:rsidR="67B645D6" w:rsidRPr="00B013B7" w:rsidRDefault="67B645D6" w:rsidP="67B645D6">
            <w:pPr>
              <w:rPr>
                <w:rFonts w:ascii="Arial Narrow" w:eastAsia="Calibri Light" w:hAnsi="Arial Narrow" w:cs="Calibri Light"/>
                <w:b/>
                <w:bCs/>
                <w:color w:val="000000" w:themeColor="text1"/>
                <w:sz w:val="20"/>
                <w:szCs w:val="20"/>
              </w:rPr>
            </w:pPr>
            <w:r w:rsidRPr="00B013B7">
              <w:rPr>
                <w:rFonts w:ascii="Arial Narrow" w:eastAsia="Calibri Light" w:hAnsi="Arial Narrow" w:cs="Calibri Light"/>
                <w:b/>
                <w:bCs/>
                <w:color w:val="000000" w:themeColor="text1"/>
                <w:sz w:val="20"/>
                <w:szCs w:val="20"/>
              </w:rPr>
              <w:t>Item</w:t>
            </w:r>
          </w:p>
        </w:tc>
        <w:tc>
          <w:tcPr>
            <w:tcW w:w="1831" w:type="dxa"/>
            <w:tcBorders>
              <w:top w:val="single" w:sz="4" w:space="0" w:color="auto"/>
              <w:left w:val="single" w:sz="4" w:space="0" w:color="auto"/>
              <w:bottom w:val="single" w:sz="4" w:space="0" w:color="auto"/>
              <w:right w:val="single" w:sz="4" w:space="0" w:color="auto"/>
            </w:tcBorders>
            <w:vAlign w:val="center"/>
          </w:tcPr>
          <w:p w14:paraId="47CEB5C6" w14:textId="7AB1BF72" w:rsidR="67B645D6" w:rsidRPr="00B013B7" w:rsidRDefault="67B645D6" w:rsidP="00B013B7">
            <w:pPr>
              <w:jc w:val="center"/>
              <w:rPr>
                <w:rFonts w:ascii="Arial Narrow" w:eastAsia="Calibri Light" w:hAnsi="Arial Narrow" w:cs="Calibri Light"/>
                <w:b/>
                <w:bCs/>
                <w:sz w:val="20"/>
                <w:szCs w:val="20"/>
              </w:rPr>
            </w:pPr>
            <w:r w:rsidRPr="00B013B7">
              <w:rPr>
                <w:rFonts w:ascii="Arial Narrow" w:eastAsia="Calibri Light" w:hAnsi="Arial Narrow" w:cs="Calibri Light"/>
                <w:b/>
                <w:bCs/>
                <w:sz w:val="20"/>
                <w:szCs w:val="20"/>
              </w:rPr>
              <w:t>Fee</w:t>
            </w:r>
          </w:p>
        </w:tc>
      </w:tr>
      <w:tr w:rsidR="67B645D6" w14:paraId="79C299EC" w14:textId="77777777" w:rsidTr="00B013B7">
        <w:trPr>
          <w:trHeight w:val="420"/>
        </w:trPr>
        <w:tc>
          <w:tcPr>
            <w:tcW w:w="3675" w:type="dxa"/>
            <w:vMerge w:val="restart"/>
            <w:tcBorders>
              <w:top w:val="single" w:sz="4" w:space="0" w:color="auto"/>
              <w:left w:val="single" w:sz="4" w:space="0" w:color="auto"/>
              <w:bottom w:val="single" w:sz="4" w:space="0" w:color="000000" w:themeColor="text1"/>
              <w:right w:val="single" w:sz="4" w:space="0" w:color="auto"/>
            </w:tcBorders>
            <w:vAlign w:val="center"/>
          </w:tcPr>
          <w:p w14:paraId="2162D797" w14:textId="13CF635F" w:rsidR="67B645D6" w:rsidRPr="00B013B7" w:rsidRDefault="67B645D6" w:rsidP="00B013B7">
            <w:pPr>
              <w:jc w:val="center"/>
              <w:rPr>
                <w:rFonts w:ascii="Arial Narrow" w:eastAsia="Calibri Light" w:hAnsi="Arial Narrow" w:cs="Calibri Light"/>
                <w:sz w:val="20"/>
                <w:szCs w:val="20"/>
              </w:rPr>
            </w:pPr>
            <w:r w:rsidRPr="00B013B7">
              <w:rPr>
                <w:rFonts w:ascii="Arial Narrow" w:eastAsia="Calibri Light" w:hAnsi="Arial Narrow" w:cs="Calibri Light"/>
                <w:sz w:val="20"/>
                <w:szCs w:val="20"/>
              </w:rPr>
              <w:t>ERCP</w:t>
            </w:r>
          </w:p>
        </w:tc>
        <w:tc>
          <w:tcPr>
            <w:tcW w:w="3509" w:type="dxa"/>
            <w:tcBorders>
              <w:top w:val="single" w:sz="4" w:space="0" w:color="auto"/>
              <w:left w:val="single" w:sz="4" w:space="0" w:color="auto"/>
              <w:bottom w:val="single" w:sz="4" w:space="0" w:color="auto"/>
              <w:right w:val="nil"/>
            </w:tcBorders>
            <w:vAlign w:val="center"/>
          </w:tcPr>
          <w:p w14:paraId="74A5CE53" w14:textId="4DC32CD2" w:rsidR="67B645D6" w:rsidRPr="00B013B7" w:rsidRDefault="67B645D6" w:rsidP="67B645D6">
            <w:pPr>
              <w:rPr>
                <w:rFonts w:ascii="Arial Narrow" w:eastAsia="Calibri Light" w:hAnsi="Arial Narrow" w:cs="Calibri Light"/>
                <w:sz w:val="20"/>
                <w:szCs w:val="20"/>
              </w:rPr>
            </w:pPr>
            <w:r w:rsidRPr="00B013B7">
              <w:rPr>
                <w:rFonts w:ascii="Arial Narrow" w:eastAsia="Calibri Light" w:hAnsi="Arial Narrow" w:cs="Calibri Light"/>
                <w:sz w:val="20"/>
                <w:szCs w:val="20"/>
              </w:rPr>
              <w:t>Reusable duodenoscope (capital)</w:t>
            </w:r>
          </w:p>
        </w:tc>
        <w:tc>
          <w:tcPr>
            <w:tcW w:w="1831" w:type="dxa"/>
            <w:tcBorders>
              <w:top w:val="single" w:sz="4" w:space="0" w:color="auto"/>
              <w:left w:val="single" w:sz="4" w:space="0" w:color="auto"/>
              <w:bottom w:val="single" w:sz="4" w:space="0" w:color="auto"/>
              <w:right w:val="single" w:sz="4" w:space="0" w:color="auto"/>
            </w:tcBorders>
            <w:vAlign w:val="center"/>
          </w:tcPr>
          <w:p w14:paraId="50330369" w14:textId="5DAC75ED" w:rsidR="67B645D6" w:rsidRPr="00B013B7" w:rsidRDefault="67B645D6" w:rsidP="00B013B7">
            <w:pPr>
              <w:jc w:val="center"/>
              <w:rPr>
                <w:rFonts w:ascii="Arial Narrow" w:eastAsia="Calibri Light" w:hAnsi="Arial Narrow" w:cs="Calibri Light"/>
                <w:sz w:val="20"/>
                <w:szCs w:val="20"/>
              </w:rPr>
            </w:pPr>
            <w:r w:rsidRPr="00B013B7">
              <w:rPr>
                <w:rFonts w:ascii="Arial Narrow" w:eastAsia="Calibri Light" w:hAnsi="Arial Narrow" w:cs="Calibri Light"/>
                <w:sz w:val="20"/>
                <w:szCs w:val="20"/>
              </w:rPr>
              <w:t>$35,000.00</w:t>
            </w:r>
          </w:p>
        </w:tc>
      </w:tr>
      <w:tr w:rsidR="67B645D6" w14:paraId="4D62A8B1" w14:textId="77777777" w:rsidTr="00B013B7">
        <w:trPr>
          <w:trHeight w:val="255"/>
        </w:trPr>
        <w:tc>
          <w:tcPr>
            <w:tcW w:w="3675" w:type="dxa"/>
            <w:vMerge/>
            <w:tcBorders>
              <w:left w:val="single" w:sz="0" w:space="0" w:color="auto"/>
              <w:right w:val="single" w:sz="0" w:space="0" w:color="auto"/>
            </w:tcBorders>
            <w:vAlign w:val="center"/>
          </w:tcPr>
          <w:p w14:paraId="525595BB" w14:textId="77777777" w:rsidR="004F4943" w:rsidRPr="00B013B7" w:rsidRDefault="004F4943">
            <w:pPr>
              <w:rPr>
                <w:rFonts w:ascii="Arial Narrow" w:hAnsi="Arial Narrow"/>
              </w:rPr>
            </w:pPr>
          </w:p>
        </w:tc>
        <w:tc>
          <w:tcPr>
            <w:tcW w:w="3509" w:type="dxa"/>
            <w:tcBorders>
              <w:top w:val="single" w:sz="4" w:space="0" w:color="auto"/>
              <w:left w:val="nil"/>
              <w:bottom w:val="single" w:sz="4" w:space="0" w:color="auto"/>
              <w:right w:val="nil"/>
            </w:tcBorders>
            <w:vAlign w:val="center"/>
          </w:tcPr>
          <w:p w14:paraId="161FF39C" w14:textId="66642AC4" w:rsidR="67B645D6" w:rsidRPr="00B013B7" w:rsidRDefault="67B645D6" w:rsidP="67B645D6">
            <w:pPr>
              <w:rPr>
                <w:rFonts w:ascii="Arial Narrow" w:eastAsia="Calibri Light" w:hAnsi="Arial Narrow" w:cs="Calibri Light"/>
                <w:sz w:val="20"/>
                <w:szCs w:val="20"/>
              </w:rPr>
            </w:pPr>
            <w:r w:rsidRPr="00B013B7">
              <w:rPr>
                <w:rFonts w:ascii="Arial Narrow" w:eastAsia="Calibri Light" w:hAnsi="Arial Narrow" w:cs="Calibri Light"/>
                <w:sz w:val="20"/>
                <w:szCs w:val="20"/>
              </w:rPr>
              <w:t>Life years</w:t>
            </w:r>
          </w:p>
        </w:tc>
        <w:tc>
          <w:tcPr>
            <w:tcW w:w="1831" w:type="dxa"/>
            <w:tcBorders>
              <w:top w:val="single" w:sz="4" w:space="0" w:color="auto"/>
              <w:left w:val="single" w:sz="4" w:space="0" w:color="auto"/>
              <w:bottom w:val="single" w:sz="4" w:space="0" w:color="auto"/>
              <w:right w:val="single" w:sz="4" w:space="0" w:color="auto"/>
            </w:tcBorders>
            <w:vAlign w:val="center"/>
          </w:tcPr>
          <w:p w14:paraId="5874641A" w14:textId="0F1808FC" w:rsidR="67B645D6" w:rsidRPr="00B013B7" w:rsidRDefault="67B645D6" w:rsidP="00B013B7">
            <w:pPr>
              <w:jc w:val="center"/>
              <w:rPr>
                <w:rFonts w:ascii="Arial Narrow" w:eastAsia="Calibri Light" w:hAnsi="Arial Narrow" w:cs="Calibri Light"/>
                <w:sz w:val="20"/>
                <w:szCs w:val="20"/>
              </w:rPr>
            </w:pPr>
            <w:r w:rsidRPr="00B013B7">
              <w:rPr>
                <w:rFonts w:ascii="Arial Narrow" w:eastAsia="Calibri Light" w:hAnsi="Arial Narrow" w:cs="Calibri Light"/>
                <w:sz w:val="20"/>
                <w:szCs w:val="20"/>
              </w:rPr>
              <w:t>3</w:t>
            </w:r>
          </w:p>
        </w:tc>
      </w:tr>
      <w:tr w:rsidR="67B645D6" w14:paraId="1C59B852" w14:textId="77777777" w:rsidTr="00B013B7">
        <w:trPr>
          <w:trHeight w:val="255"/>
        </w:trPr>
        <w:tc>
          <w:tcPr>
            <w:tcW w:w="3675" w:type="dxa"/>
            <w:vMerge/>
            <w:tcBorders>
              <w:left w:val="single" w:sz="0" w:space="0" w:color="auto"/>
              <w:right w:val="single" w:sz="0" w:space="0" w:color="auto"/>
            </w:tcBorders>
            <w:vAlign w:val="center"/>
          </w:tcPr>
          <w:p w14:paraId="3436CF85" w14:textId="77777777" w:rsidR="004F4943" w:rsidRPr="00B013B7" w:rsidRDefault="004F4943">
            <w:pPr>
              <w:rPr>
                <w:rFonts w:ascii="Arial Narrow" w:hAnsi="Arial Narrow"/>
              </w:rPr>
            </w:pPr>
          </w:p>
        </w:tc>
        <w:tc>
          <w:tcPr>
            <w:tcW w:w="3509" w:type="dxa"/>
            <w:tcBorders>
              <w:top w:val="single" w:sz="4" w:space="0" w:color="auto"/>
              <w:left w:val="nil"/>
              <w:bottom w:val="single" w:sz="4" w:space="0" w:color="auto"/>
              <w:right w:val="nil"/>
            </w:tcBorders>
            <w:vAlign w:val="center"/>
          </w:tcPr>
          <w:p w14:paraId="470CE43A" w14:textId="079A58A7" w:rsidR="67B645D6" w:rsidRPr="00B013B7" w:rsidRDefault="67B645D6" w:rsidP="67B645D6">
            <w:pPr>
              <w:rPr>
                <w:rFonts w:ascii="Arial Narrow" w:eastAsia="Calibri Light" w:hAnsi="Arial Narrow" w:cs="Calibri Light"/>
                <w:color w:val="000000" w:themeColor="text1"/>
                <w:sz w:val="20"/>
                <w:szCs w:val="20"/>
              </w:rPr>
            </w:pPr>
            <w:r w:rsidRPr="00B013B7">
              <w:rPr>
                <w:rFonts w:ascii="Arial Narrow" w:eastAsia="Calibri Light" w:hAnsi="Arial Narrow" w:cs="Calibri Light"/>
                <w:color w:val="000000" w:themeColor="text1"/>
                <w:sz w:val="20"/>
                <w:szCs w:val="20"/>
              </w:rPr>
              <w:t>Forgone capital return</w:t>
            </w:r>
          </w:p>
        </w:tc>
        <w:tc>
          <w:tcPr>
            <w:tcW w:w="1831" w:type="dxa"/>
            <w:tcBorders>
              <w:top w:val="single" w:sz="4" w:space="0" w:color="auto"/>
              <w:left w:val="single" w:sz="4" w:space="0" w:color="auto"/>
              <w:bottom w:val="single" w:sz="4" w:space="0" w:color="auto"/>
              <w:right w:val="single" w:sz="4" w:space="0" w:color="auto"/>
            </w:tcBorders>
            <w:vAlign w:val="center"/>
          </w:tcPr>
          <w:p w14:paraId="6FEEB74B" w14:textId="5AF9EC1E" w:rsidR="67B645D6" w:rsidRPr="00B013B7" w:rsidRDefault="67B645D6" w:rsidP="00B013B7">
            <w:pPr>
              <w:jc w:val="center"/>
              <w:rPr>
                <w:rFonts w:ascii="Arial Narrow" w:eastAsia="Calibri Light" w:hAnsi="Arial Narrow" w:cs="Calibri Light"/>
                <w:sz w:val="20"/>
                <w:szCs w:val="20"/>
              </w:rPr>
            </w:pPr>
            <w:r w:rsidRPr="00B013B7">
              <w:rPr>
                <w:rFonts w:ascii="Arial Narrow" w:eastAsia="Calibri Light" w:hAnsi="Arial Narrow" w:cs="Calibri Light"/>
                <w:sz w:val="20"/>
                <w:szCs w:val="20"/>
              </w:rPr>
              <w:t>1750</w:t>
            </w:r>
          </w:p>
        </w:tc>
      </w:tr>
      <w:tr w:rsidR="67B645D6" w14:paraId="5C7B7F1A" w14:textId="77777777" w:rsidTr="00B013B7">
        <w:trPr>
          <w:trHeight w:val="255"/>
        </w:trPr>
        <w:tc>
          <w:tcPr>
            <w:tcW w:w="3675" w:type="dxa"/>
            <w:vMerge/>
            <w:tcBorders>
              <w:left w:val="single" w:sz="0" w:space="0" w:color="auto"/>
              <w:right w:val="single" w:sz="0" w:space="0" w:color="auto"/>
            </w:tcBorders>
            <w:vAlign w:val="center"/>
          </w:tcPr>
          <w:p w14:paraId="167253ED" w14:textId="77777777" w:rsidR="004F4943" w:rsidRPr="00B013B7" w:rsidRDefault="004F4943">
            <w:pPr>
              <w:rPr>
                <w:rFonts w:ascii="Arial Narrow" w:hAnsi="Arial Narrow"/>
              </w:rPr>
            </w:pPr>
          </w:p>
        </w:tc>
        <w:tc>
          <w:tcPr>
            <w:tcW w:w="3509" w:type="dxa"/>
            <w:tcBorders>
              <w:top w:val="single" w:sz="4" w:space="0" w:color="auto"/>
              <w:left w:val="nil"/>
              <w:bottom w:val="single" w:sz="4" w:space="0" w:color="auto"/>
              <w:right w:val="nil"/>
            </w:tcBorders>
            <w:vAlign w:val="center"/>
          </w:tcPr>
          <w:p w14:paraId="542C5DE7" w14:textId="04A2035D" w:rsidR="67B645D6" w:rsidRPr="00B013B7" w:rsidRDefault="67B645D6" w:rsidP="67B645D6">
            <w:pPr>
              <w:rPr>
                <w:rFonts w:ascii="Arial Narrow" w:eastAsia="Calibri Light" w:hAnsi="Arial Narrow" w:cs="Calibri Light"/>
                <w:color w:val="000000" w:themeColor="text1"/>
                <w:sz w:val="20"/>
                <w:szCs w:val="20"/>
              </w:rPr>
            </w:pPr>
            <w:r w:rsidRPr="00B013B7">
              <w:rPr>
                <w:rFonts w:ascii="Arial Narrow" w:eastAsia="Calibri Light" w:hAnsi="Arial Narrow" w:cs="Calibri Light"/>
                <w:color w:val="000000" w:themeColor="text1"/>
                <w:sz w:val="20"/>
                <w:szCs w:val="20"/>
              </w:rPr>
              <w:t>Total opportunity cost of capital</w:t>
            </w:r>
          </w:p>
        </w:tc>
        <w:tc>
          <w:tcPr>
            <w:tcW w:w="1831" w:type="dxa"/>
            <w:tcBorders>
              <w:top w:val="single" w:sz="4" w:space="0" w:color="auto"/>
              <w:left w:val="single" w:sz="4" w:space="0" w:color="auto"/>
              <w:bottom w:val="single" w:sz="4" w:space="0" w:color="auto"/>
              <w:right w:val="single" w:sz="4" w:space="0" w:color="auto"/>
            </w:tcBorders>
            <w:vAlign w:val="center"/>
          </w:tcPr>
          <w:p w14:paraId="0DE33592" w14:textId="65CF998F" w:rsidR="67B645D6" w:rsidRPr="00B013B7" w:rsidRDefault="67B645D6" w:rsidP="00B013B7">
            <w:pPr>
              <w:jc w:val="center"/>
              <w:rPr>
                <w:rFonts w:ascii="Arial Narrow" w:eastAsia="Calibri Light" w:hAnsi="Arial Narrow" w:cs="Calibri Light"/>
                <w:sz w:val="20"/>
                <w:szCs w:val="20"/>
              </w:rPr>
            </w:pPr>
            <w:r w:rsidRPr="00B013B7">
              <w:rPr>
                <w:rFonts w:ascii="Arial Narrow" w:eastAsia="Calibri Light" w:hAnsi="Arial Narrow" w:cs="Calibri Light"/>
                <w:sz w:val="20"/>
                <w:szCs w:val="20"/>
              </w:rPr>
              <w:t>$13,416.67</w:t>
            </w:r>
          </w:p>
        </w:tc>
      </w:tr>
      <w:tr w:rsidR="67B645D6" w14:paraId="2330CFC6" w14:textId="77777777" w:rsidTr="00B013B7">
        <w:trPr>
          <w:trHeight w:val="255"/>
        </w:trPr>
        <w:tc>
          <w:tcPr>
            <w:tcW w:w="3675" w:type="dxa"/>
            <w:vMerge/>
            <w:tcBorders>
              <w:left w:val="single" w:sz="0" w:space="0" w:color="auto"/>
              <w:right w:val="single" w:sz="0" w:space="0" w:color="auto"/>
            </w:tcBorders>
            <w:vAlign w:val="center"/>
          </w:tcPr>
          <w:p w14:paraId="50CA29B3" w14:textId="77777777" w:rsidR="004F4943" w:rsidRPr="00B013B7" w:rsidRDefault="004F4943">
            <w:pPr>
              <w:rPr>
                <w:rFonts w:ascii="Arial Narrow" w:hAnsi="Arial Narrow"/>
              </w:rPr>
            </w:pPr>
          </w:p>
        </w:tc>
        <w:tc>
          <w:tcPr>
            <w:tcW w:w="3509" w:type="dxa"/>
            <w:tcBorders>
              <w:top w:val="single" w:sz="4" w:space="0" w:color="auto"/>
              <w:left w:val="nil"/>
              <w:bottom w:val="single" w:sz="4" w:space="0" w:color="auto"/>
              <w:right w:val="single" w:sz="4" w:space="0" w:color="auto"/>
            </w:tcBorders>
            <w:shd w:val="clear" w:color="auto" w:fill="FFFFFF" w:themeFill="background1"/>
            <w:vAlign w:val="bottom"/>
          </w:tcPr>
          <w:p w14:paraId="1E4AE36E" w14:textId="315F0F39" w:rsidR="67B645D6" w:rsidRPr="00B013B7" w:rsidRDefault="67B645D6" w:rsidP="67B645D6">
            <w:pPr>
              <w:rPr>
                <w:rFonts w:ascii="Arial Narrow" w:eastAsia="Calibri Light" w:hAnsi="Arial Narrow" w:cs="Calibri Light"/>
                <w:color w:val="000000" w:themeColor="text1"/>
                <w:sz w:val="20"/>
                <w:szCs w:val="20"/>
              </w:rPr>
            </w:pPr>
            <w:r w:rsidRPr="00B013B7">
              <w:rPr>
                <w:rFonts w:ascii="Arial Narrow" w:eastAsia="Calibri Light" w:hAnsi="Arial Narrow" w:cs="Calibri Light"/>
                <w:color w:val="000000" w:themeColor="text1"/>
                <w:sz w:val="20"/>
                <w:szCs w:val="20"/>
              </w:rPr>
              <w:t>Duodenoscope cost per service</w:t>
            </w:r>
          </w:p>
        </w:tc>
        <w:tc>
          <w:tcPr>
            <w:tcW w:w="18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7EC650" w14:textId="7A0F56C4" w:rsidR="67B645D6" w:rsidRPr="00B013B7" w:rsidRDefault="67B645D6" w:rsidP="00B013B7">
            <w:pPr>
              <w:jc w:val="center"/>
              <w:rPr>
                <w:rFonts w:ascii="Arial Narrow" w:eastAsia="Calibri Light" w:hAnsi="Arial Narrow" w:cs="Calibri Light"/>
                <w:sz w:val="20"/>
                <w:szCs w:val="20"/>
              </w:rPr>
            </w:pPr>
            <w:r w:rsidRPr="00B013B7">
              <w:rPr>
                <w:rFonts w:ascii="Arial Narrow" w:eastAsia="Calibri Light" w:hAnsi="Arial Narrow" w:cs="Calibri Light"/>
                <w:sz w:val="20"/>
                <w:szCs w:val="20"/>
              </w:rPr>
              <w:t>$13.42</w:t>
            </w:r>
          </w:p>
        </w:tc>
      </w:tr>
      <w:tr w:rsidR="67B645D6" w14:paraId="7BB9C509" w14:textId="77777777" w:rsidTr="002C28A0">
        <w:trPr>
          <w:trHeight w:val="255"/>
        </w:trPr>
        <w:tc>
          <w:tcPr>
            <w:tcW w:w="3675" w:type="dxa"/>
            <w:vMerge/>
            <w:tcBorders>
              <w:left w:val="single" w:sz="0" w:space="0" w:color="auto"/>
              <w:bottom w:val="single" w:sz="0" w:space="0" w:color="000000" w:themeColor="text1"/>
              <w:right w:val="single" w:sz="0" w:space="0" w:color="auto"/>
            </w:tcBorders>
            <w:vAlign w:val="center"/>
          </w:tcPr>
          <w:p w14:paraId="3FE1F381" w14:textId="77777777" w:rsidR="004F4943" w:rsidRPr="00B013B7" w:rsidRDefault="004F4943">
            <w:pPr>
              <w:rPr>
                <w:rFonts w:ascii="Arial Narrow" w:hAnsi="Arial Narrow"/>
              </w:rPr>
            </w:pPr>
          </w:p>
        </w:tc>
        <w:tc>
          <w:tcPr>
            <w:tcW w:w="3509" w:type="dxa"/>
            <w:tcBorders>
              <w:top w:val="single" w:sz="4" w:space="0" w:color="auto"/>
              <w:left w:val="nil"/>
              <w:bottom w:val="single" w:sz="4" w:space="0" w:color="auto"/>
              <w:right w:val="nil"/>
            </w:tcBorders>
            <w:shd w:val="clear" w:color="auto" w:fill="auto"/>
            <w:vAlign w:val="bottom"/>
          </w:tcPr>
          <w:p w14:paraId="6EF356B7" w14:textId="22652157" w:rsidR="67B645D6" w:rsidRPr="00B013B7" w:rsidRDefault="67B645D6" w:rsidP="67B645D6">
            <w:pPr>
              <w:rPr>
                <w:rFonts w:ascii="Arial Narrow" w:eastAsia="Calibri Light" w:hAnsi="Arial Narrow" w:cs="Calibri Light"/>
                <w:color w:val="000000" w:themeColor="text1"/>
                <w:sz w:val="20"/>
                <w:szCs w:val="20"/>
              </w:rPr>
            </w:pPr>
            <w:r w:rsidRPr="00B013B7">
              <w:rPr>
                <w:rFonts w:ascii="Arial Narrow" w:eastAsia="Calibri Light" w:hAnsi="Arial Narrow" w:cs="Calibri Light"/>
                <w:color w:val="000000" w:themeColor="text1"/>
                <w:sz w:val="20"/>
                <w:szCs w:val="20"/>
              </w:rPr>
              <w:t>Total cost per service</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499B69B9" w14:textId="7D5CBAA2" w:rsidR="67B645D6" w:rsidRPr="00B013B7" w:rsidRDefault="67B645D6" w:rsidP="00B013B7">
            <w:pPr>
              <w:jc w:val="center"/>
              <w:rPr>
                <w:rFonts w:ascii="Arial Narrow" w:eastAsia="Calibri Light" w:hAnsi="Arial Narrow" w:cs="Calibri Light"/>
                <w:sz w:val="20"/>
                <w:szCs w:val="20"/>
              </w:rPr>
            </w:pPr>
            <w:r w:rsidRPr="00B013B7">
              <w:rPr>
                <w:rFonts w:ascii="Arial Narrow" w:eastAsia="Calibri Light" w:hAnsi="Arial Narrow" w:cs="Calibri Light"/>
                <w:sz w:val="20"/>
                <w:szCs w:val="20"/>
              </w:rPr>
              <w:t>$13.42</w:t>
            </w:r>
          </w:p>
        </w:tc>
      </w:tr>
      <w:tr w:rsidR="67B645D6" w14:paraId="0CCEF9A9" w14:textId="77777777" w:rsidTr="002C28A0">
        <w:trPr>
          <w:trHeight w:val="300"/>
        </w:trPr>
        <w:tc>
          <w:tcPr>
            <w:tcW w:w="3675" w:type="dxa"/>
            <w:vMerge w:val="restart"/>
            <w:tcBorders>
              <w:top w:val="nil"/>
              <w:left w:val="single" w:sz="4" w:space="0" w:color="auto"/>
              <w:bottom w:val="single" w:sz="4" w:space="0" w:color="auto"/>
              <w:right w:val="single" w:sz="4" w:space="0" w:color="auto"/>
            </w:tcBorders>
            <w:vAlign w:val="center"/>
          </w:tcPr>
          <w:p w14:paraId="5CC446FE" w14:textId="3CBA2E85" w:rsidR="67B645D6" w:rsidRPr="00B013B7" w:rsidRDefault="67B645D6" w:rsidP="00B013B7">
            <w:pPr>
              <w:jc w:val="center"/>
              <w:rPr>
                <w:rFonts w:ascii="Arial Narrow" w:eastAsia="Calibri Light" w:hAnsi="Arial Narrow" w:cs="Calibri Light"/>
                <w:color w:val="000000" w:themeColor="text1"/>
                <w:sz w:val="20"/>
                <w:szCs w:val="20"/>
              </w:rPr>
            </w:pPr>
            <w:r w:rsidRPr="00B013B7">
              <w:rPr>
                <w:rFonts w:ascii="Arial Narrow" w:eastAsia="Calibri Light" w:hAnsi="Arial Narrow" w:cs="Calibri Light"/>
                <w:color w:val="000000" w:themeColor="text1"/>
                <w:sz w:val="20"/>
                <w:szCs w:val="20"/>
              </w:rPr>
              <w:t>POCPS</w:t>
            </w:r>
          </w:p>
        </w:tc>
        <w:tc>
          <w:tcPr>
            <w:tcW w:w="3509" w:type="dxa"/>
            <w:tcBorders>
              <w:top w:val="single" w:sz="4" w:space="0" w:color="auto"/>
              <w:left w:val="single" w:sz="4" w:space="0" w:color="auto"/>
              <w:bottom w:val="single" w:sz="4" w:space="0" w:color="auto"/>
              <w:right w:val="nil"/>
            </w:tcBorders>
            <w:shd w:val="clear" w:color="auto" w:fill="auto"/>
            <w:vAlign w:val="center"/>
          </w:tcPr>
          <w:p w14:paraId="4567B1FC" w14:textId="651B18B2" w:rsidR="67B645D6" w:rsidRPr="00B013B7" w:rsidRDefault="67B645D6" w:rsidP="67B645D6">
            <w:pPr>
              <w:rPr>
                <w:rFonts w:ascii="Arial Narrow" w:eastAsia="Calibri Light" w:hAnsi="Arial Narrow" w:cs="Calibri Light"/>
                <w:color w:val="000000" w:themeColor="text1"/>
                <w:sz w:val="20"/>
                <w:szCs w:val="20"/>
              </w:rPr>
            </w:pPr>
            <w:r w:rsidRPr="00B013B7">
              <w:rPr>
                <w:rFonts w:ascii="Arial Narrow" w:eastAsia="Calibri Light" w:hAnsi="Arial Narrow" w:cs="Calibri Light"/>
                <w:color w:val="000000" w:themeColor="text1"/>
                <w:sz w:val="20"/>
                <w:szCs w:val="20"/>
              </w:rPr>
              <w:t>SpyGlass DS Digital Controller (capital)</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58088106" w14:textId="3B682A3E" w:rsidR="67B645D6" w:rsidRPr="00B013B7" w:rsidRDefault="67B645D6" w:rsidP="00B013B7">
            <w:pPr>
              <w:jc w:val="center"/>
              <w:rPr>
                <w:rFonts w:ascii="Arial Narrow" w:eastAsia="Calibri Light" w:hAnsi="Arial Narrow" w:cs="Calibri Light"/>
                <w:sz w:val="20"/>
                <w:szCs w:val="20"/>
              </w:rPr>
            </w:pPr>
            <w:r w:rsidRPr="00B013B7">
              <w:rPr>
                <w:rFonts w:ascii="Arial Narrow" w:eastAsia="Calibri Light" w:hAnsi="Arial Narrow" w:cs="Calibri Light"/>
                <w:sz w:val="20"/>
                <w:szCs w:val="20"/>
              </w:rPr>
              <w:t>$</w:t>
            </w:r>
            <w:r w:rsidR="001B3435">
              <w:rPr>
                <w:rFonts w:ascii="Arial Narrow" w:eastAsia="Calibri Light" w:hAnsi="Arial Narrow" w:cs="Calibri Light"/>
                <w:sz w:val="20"/>
                <w:szCs w:val="20"/>
              </w:rPr>
              <w:t>redacted</w:t>
            </w:r>
          </w:p>
        </w:tc>
      </w:tr>
      <w:tr w:rsidR="67B645D6" w14:paraId="78CDAB1F" w14:textId="77777777" w:rsidTr="002C28A0">
        <w:trPr>
          <w:trHeight w:val="255"/>
        </w:trPr>
        <w:tc>
          <w:tcPr>
            <w:tcW w:w="3675" w:type="dxa"/>
            <w:vMerge/>
            <w:tcBorders>
              <w:left w:val="single" w:sz="0" w:space="0" w:color="auto"/>
              <w:right w:val="single" w:sz="0" w:space="0" w:color="auto"/>
            </w:tcBorders>
            <w:vAlign w:val="center"/>
          </w:tcPr>
          <w:p w14:paraId="68D77022" w14:textId="77777777" w:rsidR="004F4943" w:rsidRPr="00B013B7" w:rsidRDefault="004F4943">
            <w:pPr>
              <w:rPr>
                <w:rFonts w:ascii="Arial Narrow" w:hAnsi="Arial Narrow"/>
              </w:rPr>
            </w:pPr>
          </w:p>
        </w:tc>
        <w:tc>
          <w:tcPr>
            <w:tcW w:w="3509" w:type="dxa"/>
            <w:tcBorders>
              <w:top w:val="single" w:sz="4" w:space="0" w:color="auto"/>
              <w:left w:val="nil"/>
              <w:bottom w:val="single" w:sz="4" w:space="0" w:color="auto"/>
              <w:right w:val="nil"/>
            </w:tcBorders>
            <w:shd w:val="clear" w:color="auto" w:fill="auto"/>
            <w:vAlign w:val="center"/>
          </w:tcPr>
          <w:p w14:paraId="0978B276" w14:textId="0743987C" w:rsidR="67B645D6" w:rsidRPr="00B013B7" w:rsidRDefault="67B645D6" w:rsidP="67B645D6">
            <w:pPr>
              <w:rPr>
                <w:rFonts w:ascii="Arial Narrow" w:eastAsia="Calibri Light" w:hAnsi="Arial Narrow" w:cs="Calibri Light"/>
                <w:color w:val="000000" w:themeColor="text1"/>
                <w:sz w:val="20"/>
                <w:szCs w:val="20"/>
              </w:rPr>
            </w:pPr>
            <w:r w:rsidRPr="00B013B7">
              <w:rPr>
                <w:rFonts w:ascii="Arial Narrow" w:eastAsia="Calibri Light" w:hAnsi="Arial Narrow" w:cs="Calibri Light"/>
                <w:color w:val="000000" w:themeColor="text1"/>
                <w:sz w:val="20"/>
                <w:szCs w:val="20"/>
              </w:rPr>
              <w:t>Autolith Generator</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1EADA28E" w14:textId="26295475" w:rsidR="67B645D6" w:rsidRPr="00B013B7" w:rsidRDefault="67B645D6" w:rsidP="00B013B7">
            <w:pPr>
              <w:jc w:val="center"/>
              <w:rPr>
                <w:rFonts w:ascii="Arial Narrow" w:eastAsia="Calibri Light" w:hAnsi="Arial Narrow" w:cs="Calibri Light"/>
                <w:sz w:val="20"/>
                <w:szCs w:val="20"/>
              </w:rPr>
            </w:pPr>
            <w:r w:rsidRPr="00B013B7">
              <w:rPr>
                <w:rFonts w:ascii="Arial Narrow" w:eastAsia="Calibri Light" w:hAnsi="Arial Narrow" w:cs="Calibri Light"/>
                <w:sz w:val="20"/>
                <w:szCs w:val="20"/>
              </w:rPr>
              <w:t>$</w:t>
            </w:r>
            <w:r w:rsidR="001B3435">
              <w:rPr>
                <w:rFonts w:ascii="Arial Narrow" w:eastAsia="Calibri Light" w:hAnsi="Arial Narrow" w:cs="Calibri Light"/>
                <w:sz w:val="20"/>
                <w:szCs w:val="20"/>
              </w:rPr>
              <w:t>redacted</w:t>
            </w:r>
          </w:p>
        </w:tc>
      </w:tr>
      <w:tr w:rsidR="67B645D6" w14:paraId="03BFC4F0" w14:textId="77777777" w:rsidTr="002C28A0">
        <w:trPr>
          <w:trHeight w:val="255"/>
        </w:trPr>
        <w:tc>
          <w:tcPr>
            <w:tcW w:w="3675" w:type="dxa"/>
            <w:vMerge/>
            <w:tcBorders>
              <w:left w:val="single" w:sz="0" w:space="0" w:color="auto"/>
              <w:right w:val="single" w:sz="0" w:space="0" w:color="auto"/>
            </w:tcBorders>
            <w:vAlign w:val="center"/>
          </w:tcPr>
          <w:p w14:paraId="3B9B093D" w14:textId="77777777" w:rsidR="004F4943" w:rsidRPr="00B013B7" w:rsidRDefault="004F4943">
            <w:pPr>
              <w:rPr>
                <w:rFonts w:ascii="Arial Narrow" w:hAnsi="Arial Narrow"/>
              </w:rPr>
            </w:pPr>
          </w:p>
        </w:tc>
        <w:tc>
          <w:tcPr>
            <w:tcW w:w="3509" w:type="dxa"/>
            <w:tcBorders>
              <w:top w:val="single" w:sz="4" w:space="0" w:color="auto"/>
              <w:left w:val="nil"/>
              <w:bottom w:val="single" w:sz="4" w:space="0" w:color="auto"/>
              <w:right w:val="nil"/>
            </w:tcBorders>
            <w:shd w:val="clear" w:color="auto" w:fill="auto"/>
            <w:vAlign w:val="center"/>
          </w:tcPr>
          <w:p w14:paraId="5267704C" w14:textId="6DF9DCE7" w:rsidR="67B645D6" w:rsidRPr="00B013B7" w:rsidRDefault="67B645D6" w:rsidP="67B645D6">
            <w:pPr>
              <w:rPr>
                <w:rFonts w:ascii="Arial Narrow" w:eastAsia="Calibri Light" w:hAnsi="Arial Narrow" w:cs="Calibri Light"/>
                <w:color w:val="000000" w:themeColor="text1"/>
                <w:sz w:val="20"/>
                <w:szCs w:val="20"/>
              </w:rPr>
            </w:pPr>
            <w:r w:rsidRPr="00B013B7">
              <w:rPr>
                <w:rFonts w:ascii="Arial Narrow" w:eastAsia="Calibri Light" w:hAnsi="Arial Narrow" w:cs="Calibri Light"/>
                <w:color w:val="000000" w:themeColor="text1"/>
                <w:sz w:val="20"/>
                <w:szCs w:val="20"/>
              </w:rPr>
              <w:t xml:space="preserve">SpyGlass DS Digital Controller Life years </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1B8A375B" w14:textId="570DCCFF" w:rsidR="67B645D6" w:rsidRPr="00B013B7" w:rsidRDefault="67B645D6" w:rsidP="00B013B7">
            <w:pPr>
              <w:jc w:val="center"/>
              <w:rPr>
                <w:rFonts w:ascii="Arial Narrow" w:eastAsia="Calibri Light" w:hAnsi="Arial Narrow" w:cs="Calibri Light"/>
                <w:sz w:val="20"/>
                <w:szCs w:val="20"/>
              </w:rPr>
            </w:pPr>
            <w:r w:rsidRPr="00B013B7">
              <w:rPr>
                <w:rFonts w:ascii="Arial Narrow" w:eastAsia="Calibri Light" w:hAnsi="Arial Narrow" w:cs="Calibri Light"/>
                <w:sz w:val="20"/>
                <w:szCs w:val="20"/>
              </w:rPr>
              <w:t>5</w:t>
            </w:r>
          </w:p>
        </w:tc>
      </w:tr>
      <w:tr w:rsidR="67B645D6" w14:paraId="08EF78E8" w14:textId="77777777" w:rsidTr="002C28A0">
        <w:trPr>
          <w:trHeight w:val="255"/>
        </w:trPr>
        <w:tc>
          <w:tcPr>
            <w:tcW w:w="3675" w:type="dxa"/>
            <w:vMerge/>
            <w:tcBorders>
              <w:left w:val="single" w:sz="0" w:space="0" w:color="auto"/>
              <w:right w:val="single" w:sz="0" w:space="0" w:color="auto"/>
            </w:tcBorders>
            <w:vAlign w:val="center"/>
          </w:tcPr>
          <w:p w14:paraId="765916F9" w14:textId="77777777" w:rsidR="004F4943" w:rsidRPr="00B013B7" w:rsidRDefault="004F4943">
            <w:pPr>
              <w:rPr>
                <w:rFonts w:ascii="Arial Narrow" w:hAnsi="Arial Narrow"/>
              </w:rPr>
            </w:pPr>
          </w:p>
        </w:tc>
        <w:tc>
          <w:tcPr>
            <w:tcW w:w="3509" w:type="dxa"/>
            <w:tcBorders>
              <w:top w:val="single" w:sz="4" w:space="0" w:color="auto"/>
              <w:left w:val="nil"/>
              <w:bottom w:val="single" w:sz="4" w:space="0" w:color="auto"/>
              <w:right w:val="nil"/>
            </w:tcBorders>
            <w:shd w:val="clear" w:color="auto" w:fill="auto"/>
            <w:vAlign w:val="center"/>
          </w:tcPr>
          <w:p w14:paraId="189E8B26" w14:textId="0758F6DB" w:rsidR="67B645D6" w:rsidRPr="00B013B7" w:rsidRDefault="67B645D6" w:rsidP="67B645D6">
            <w:pPr>
              <w:rPr>
                <w:rFonts w:ascii="Arial Narrow" w:eastAsia="Calibri Light" w:hAnsi="Arial Narrow" w:cs="Calibri Light"/>
                <w:color w:val="000000" w:themeColor="text1"/>
                <w:sz w:val="20"/>
                <w:szCs w:val="20"/>
              </w:rPr>
            </w:pPr>
            <w:r w:rsidRPr="00B013B7">
              <w:rPr>
                <w:rFonts w:ascii="Arial Narrow" w:eastAsia="Calibri Light" w:hAnsi="Arial Narrow" w:cs="Calibri Light"/>
                <w:color w:val="000000" w:themeColor="text1"/>
                <w:sz w:val="20"/>
                <w:szCs w:val="20"/>
              </w:rPr>
              <w:t xml:space="preserve">Autolith Generator Life years </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1CF28D02" w14:textId="38448DB7" w:rsidR="67B645D6" w:rsidRPr="00B013B7" w:rsidRDefault="67B645D6" w:rsidP="00B013B7">
            <w:pPr>
              <w:jc w:val="center"/>
              <w:rPr>
                <w:rFonts w:ascii="Arial Narrow" w:eastAsia="Calibri Light" w:hAnsi="Arial Narrow" w:cs="Calibri Light"/>
                <w:sz w:val="20"/>
                <w:szCs w:val="20"/>
              </w:rPr>
            </w:pPr>
            <w:r w:rsidRPr="00B013B7">
              <w:rPr>
                <w:rFonts w:ascii="Arial Narrow" w:eastAsia="Calibri Light" w:hAnsi="Arial Narrow" w:cs="Calibri Light"/>
                <w:sz w:val="20"/>
                <w:szCs w:val="20"/>
              </w:rPr>
              <w:t>5</w:t>
            </w:r>
          </w:p>
        </w:tc>
      </w:tr>
      <w:tr w:rsidR="67B645D6" w14:paraId="644B58DE" w14:textId="77777777" w:rsidTr="002C28A0">
        <w:trPr>
          <w:trHeight w:val="255"/>
        </w:trPr>
        <w:tc>
          <w:tcPr>
            <w:tcW w:w="3675" w:type="dxa"/>
            <w:vMerge/>
            <w:tcBorders>
              <w:left w:val="single" w:sz="0" w:space="0" w:color="auto"/>
              <w:right w:val="single" w:sz="0" w:space="0" w:color="auto"/>
            </w:tcBorders>
            <w:vAlign w:val="center"/>
          </w:tcPr>
          <w:p w14:paraId="36F4793A" w14:textId="77777777" w:rsidR="004F4943" w:rsidRPr="00B013B7" w:rsidRDefault="004F4943">
            <w:pPr>
              <w:rPr>
                <w:rFonts w:ascii="Arial Narrow" w:hAnsi="Arial Narrow"/>
              </w:rPr>
            </w:pPr>
          </w:p>
        </w:tc>
        <w:tc>
          <w:tcPr>
            <w:tcW w:w="3509" w:type="dxa"/>
            <w:tcBorders>
              <w:top w:val="single" w:sz="4" w:space="0" w:color="auto"/>
              <w:left w:val="nil"/>
              <w:bottom w:val="single" w:sz="4" w:space="0" w:color="auto"/>
              <w:right w:val="nil"/>
            </w:tcBorders>
            <w:shd w:val="clear" w:color="auto" w:fill="auto"/>
            <w:vAlign w:val="center"/>
          </w:tcPr>
          <w:p w14:paraId="3F079E79" w14:textId="0D11CD7D" w:rsidR="67B645D6" w:rsidRPr="00B013B7" w:rsidRDefault="67B645D6" w:rsidP="67B645D6">
            <w:pPr>
              <w:rPr>
                <w:rFonts w:ascii="Arial Narrow" w:eastAsia="Calibri Light" w:hAnsi="Arial Narrow" w:cs="Calibri Light"/>
                <w:color w:val="000000" w:themeColor="text1"/>
                <w:sz w:val="20"/>
                <w:szCs w:val="20"/>
              </w:rPr>
            </w:pPr>
            <w:r w:rsidRPr="00B013B7">
              <w:rPr>
                <w:rFonts w:ascii="Arial Narrow" w:eastAsia="Calibri Light" w:hAnsi="Arial Narrow" w:cs="Calibri Light"/>
                <w:color w:val="000000" w:themeColor="text1"/>
                <w:sz w:val="20"/>
                <w:szCs w:val="20"/>
              </w:rPr>
              <w:t>Forgone capital return</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540BAAB8" w14:textId="465D302C" w:rsidR="67B645D6" w:rsidRPr="00B013B7" w:rsidRDefault="67B645D6" w:rsidP="00B013B7">
            <w:pPr>
              <w:jc w:val="center"/>
              <w:rPr>
                <w:rFonts w:ascii="Arial Narrow" w:eastAsia="Calibri Light" w:hAnsi="Arial Narrow" w:cs="Calibri Light"/>
                <w:sz w:val="20"/>
                <w:szCs w:val="20"/>
              </w:rPr>
            </w:pPr>
            <w:r w:rsidRPr="00B013B7">
              <w:rPr>
                <w:rFonts w:ascii="Arial Narrow" w:eastAsia="Calibri Light" w:hAnsi="Arial Narrow" w:cs="Calibri Light"/>
                <w:sz w:val="20"/>
                <w:szCs w:val="20"/>
              </w:rPr>
              <w:t>$46,600.00</w:t>
            </w:r>
          </w:p>
        </w:tc>
      </w:tr>
      <w:tr w:rsidR="67B645D6" w14:paraId="73B3EA3E" w14:textId="77777777" w:rsidTr="002C28A0">
        <w:trPr>
          <w:trHeight w:val="255"/>
        </w:trPr>
        <w:tc>
          <w:tcPr>
            <w:tcW w:w="3675" w:type="dxa"/>
            <w:vMerge/>
            <w:tcBorders>
              <w:left w:val="single" w:sz="0" w:space="0" w:color="auto"/>
              <w:bottom w:val="single" w:sz="0" w:space="0" w:color="000000" w:themeColor="text1"/>
              <w:right w:val="single" w:sz="0" w:space="0" w:color="auto"/>
            </w:tcBorders>
            <w:vAlign w:val="center"/>
          </w:tcPr>
          <w:p w14:paraId="5EB12993" w14:textId="77777777" w:rsidR="004F4943" w:rsidRPr="00B013B7" w:rsidRDefault="004F4943">
            <w:pPr>
              <w:rPr>
                <w:rFonts w:ascii="Arial Narrow" w:hAnsi="Arial Narrow"/>
              </w:rPr>
            </w:pPr>
          </w:p>
        </w:tc>
        <w:tc>
          <w:tcPr>
            <w:tcW w:w="3509" w:type="dxa"/>
            <w:tcBorders>
              <w:top w:val="single" w:sz="4" w:space="0" w:color="auto"/>
              <w:left w:val="nil"/>
              <w:bottom w:val="single" w:sz="4" w:space="0" w:color="auto"/>
              <w:right w:val="nil"/>
            </w:tcBorders>
            <w:shd w:val="clear" w:color="auto" w:fill="auto"/>
            <w:vAlign w:val="center"/>
          </w:tcPr>
          <w:p w14:paraId="100675EA" w14:textId="1CC91290" w:rsidR="67B645D6" w:rsidRPr="00B013B7" w:rsidRDefault="67B645D6" w:rsidP="67B645D6">
            <w:pPr>
              <w:rPr>
                <w:rFonts w:ascii="Arial Narrow" w:eastAsia="Calibri Light" w:hAnsi="Arial Narrow" w:cs="Calibri Light"/>
                <w:color w:val="000000" w:themeColor="text1"/>
                <w:sz w:val="20"/>
                <w:szCs w:val="20"/>
              </w:rPr>
            </w:pPr>
            <w:r w:rsidRPr="00B013B7">
              <w:rPr>
                <w:rFonts w:ascii="Arial Narrow" w:eastAsia="Calibri Light" w:hAnsi="Arial Narrow" w:cs="Calibri Light"/>
                <w:color w:val="000000" w:themeColor="text1"/>
                <w:sz w:val="20"/>
                <w:szCs w:val="20"/>
              </w:rPr>
              <w:t>Total opportunity cost of capital</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2F29DBCC" w14:textId="18B1ACFB" w:rsidR="67B645D6" w:rsidRPr="00B013B7" w:rsidRDefault="67B645D6" w:rsidP="00B013B7">
            <w:pPr>
              <w:jc w:val="center"/>
              <w:rPr>
                <w:rFonts w:ascii="Arial Narrow" w:eastAsia="Calibri Light" w:hAnsi="Arial Narrow" w:cs="Calibri Light"/>
                <w:sz w:val="20"/>
                <w:szCs w:val="20"/>
              </w:rPr>
            </w:pPr>
            <w:r w:rsidRPr="00B013B7">
              <w:rPr>
                <w:rFonts w:ascii="Arial Narrow" w:eastAsia="Calibri Light" w:hAnsi="Arial Narrow" w:cs="Calibri Light"/>
                <w:sz w:val="20"/>
                <w:szCs w:val="20"/>
              </w:rPr>
              <w:t>$233,000.00</w:t>
            </w:r>
          </w:p>
        </w:tc>
      </w:tr>
      <w:tr w:rsidR="67B645D6" w14:paraId="3952595D" w14:textId="77777777" w:rsidTr="002C28A0">
        <w:trPr>
          <w:trHeight w:val="255"/>
        </w:trPr>
        <w:tc>
          <w:tcPr>
            <w:tcW w:w="3675" w:type="dxa"/>
            <w:vMerge/>
            <w:tcBorders>
              <w:left w:val="single" w:sz="0" w:space="0" w:color="auto"/>
              <w:right w:val="single" w:sz="0" w:space="0" w:color="auto"/>
            </w:tcBorders>
            <w:vAlign w:val="center"/>
          </w:tcPr>
          <w:p w14:paraId="3979DCAA" w14:textId="77777777" w:rsidR="004F4943" w:rsidRPr="00B013B7" w:rsidRDefault="004F4943">
            <w:pPr>
              <w:rPr>
                <w:rFonts w:ascii="Arial Narrow" w:hAnsi="Arial Narrow"/>
              </w:rPr>
            </w:pPr>
          </w:p>
        </w:tc>
        <w:tc>
          <w:tcPr>
            <w:tcW w:w="3509" w:type="dxa"/>
            <w:tcBorders>
              <w:top w:val="single" w:sz="4" w:space="0" w:color="auto"/>
              <w:left w:val="nil"/>
              <w:bottom w:val="single" w:sz="4" w:space="0" w:color="auto"/>
              <w:right w:val="nil"/>
            </w:tcBorders>
            <w:shd w:val="clear" w:color="auto" w:fill="auto"/>
            <w:vAlign w:val="center"/>
          </w:tcPr>
          <w:p w14:paraId="405061AD" w14:textId="4BEC73EF" w:rsidR="67B645D6" w:rsidRPr="00B013B7" w:rsidRDefault="67B645D6" w:rsidP="67B645D6">
            <w:pPr>
              <w:rPr>
                <w:rFonts w:ascii="Arial Narrow" w:eastAsia="Calibri Light" w:hAnsi="Arial Narrow" w:cs="Calibri Light"/>
                <w:color w:val="000000" w:themeColor="text1"/>
                <w:sz w:val="20"/>
                <w:szCs w:val="20"/>
              </w:rPr>
            </w:pPr>
            <w:r w:rsidRPr="00B013B7">
              <w:rPr>
                <w:rFonts w:ascii="Arial Narrow" w:eastAsia="Calibri Light" w:hAnsi="Arial Narrow" w:cs="Calibri Light"/>
                <w:color w:val="000000" w:themeColor="text1"/>
                <w:sz w:val="20"/>
                <w:szCs w:val="20"/>
              </w:rPr>
              <w:t>POCPS cost per service</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72758FE8" w14:textId="63FB2575" w:rsidR="67B645D6" w:rsidRPr="00B013B7" w:rsidRDefault="67B645D6" w:rsidP="00B013B7">
            <w:pPr>
              <w:jc w:val="center"/>
              <w:rPr>
                <w:rFonts w:ascii="Arial Narrow" w:eastAsia="Calibri Light" w:hAnsi="Arial Narrow" w:cs="Calibri Light"/>
                <w:sz w:val="20"/>
                <w:szCs w:val="20"/>
              </w:rPr>
            </w:pPr>
            <w:r w:rsidRPr="00B013B7">
              <w:rPr>
                <w:rFonts w:ascii="Arial Narrow" w:eastAsia="Calibri Light" w:hAnsi="Arial Narrow" w:cs="Calibri Light"/>
                <w:sz w:val="20"/>
                <w:szCs w:val="20"/>
              </w:rPr>
              <w:t>$6.</w:t>
            </w:r>
            <w:r w:rsidR="00627FC8">
              <w:rPr>
                <w:rFonts w:ascii="Arial Narrow" w:eastAsia="Calibri Light" w:hAnsi="Arial Narrow" w:cs="Calibri Light"/>
                <w:sz w:val="20"/>
                <w:szCs w:val="20"/>
              </w:rPr>
              <w:t>55</w:t>
            </w:r>
          </w:p>
        </w:tc>
      </w:tr>
      <w:tr w:rsidR="67B645D6" w14:paraId="6591065F" w14:textId="77777777" w:rsidTr="002C28A0">
        <w:trPr>
          <w:trHeight w:val="255"/>
        </w:trPr>
        <w:tc>
          <w:tcPr>
            <w:tcW w:w="3675" w:type="dxa"/>
            <w:vMerge/>
            <w:tcBorders>
              <w:left w:val="single" w:sz="0" w:space="0" w:color="auto"/>
              <w:bottom w:val="single" w:sz="0" w:space="0" w:color="auto"/>
              <w:right w:val="single" w:sz="0" w:space="0" w:color="auto"/>
            </w:tcBorders>
            <w:vAlign w:val="center"/>
          </w:tcPr>
          <w:p w14:paraId="45E1907C" w14:textId="77777777" w:rsidR="004F4943" w:rsidRPr="00B013B7" w:rsidRDefault="004F4943">
            <w:pPr>
              <w:rPr>
                <w:rFonts w:ascii="Arial Narrow" w:hAnsi="Arial Narrow"/>
              </w:rPr>
            </w:pPr>
          </w:p>
        </w:tc>
        <w:tc>
          <w:tcPr>
            <w:tcW w:w="3509" w:type="dxa"/>
            <w:tcBorders>
              <w:top w:val="single" w:sz="4" w:space="0" w:color="auto"/>
              <w:left w:val="nil"/>
              <w:bottom w:val="single" w:sz="4" w:space="0" w:color="auto"/>
              <w:right w:val="nil"/>
            </w:tcBorders>
            <w:shd w:val="clear" w:color="auto" w:fill="auto"/>
            <w:vAlign w:val="center"/>
          </w:tcPr>
          <w:p w14:paraId="0CBAB26B" w14:textId="69F21CE5" w:rsidR="67B645D6" w:rsidRPr="00B013B7" w:rsidRDefault="67B645D6" w:rsidP="67B645D6">
            <w:pPr>
              <w:rPr>
                <w:rFonts w:ascii="Arial Narrow" w:hAnsi="Arial Narrow"/>
              </w:rPr>
            </w:pPr>
            <w:r w:rsidRPr="00B013B7">
              <w:rPr>
                <w:rFonts w:ascii="Arial Narrow" w:eastAsiaTheme="minorEastAsia" w:hAnsi="Arial Narrow"/>
                <w:sz w:val="20"/>
                <w:szCs w:val="20"/>
              </w:rPr>
              <w:t>Total cost per service</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28013C37" w14:textId="186E1A01" w:rsidR="67B645D6" w:rsidRPr="00B013B7" w:rsidRDefault="67B645D6" w:rsidP="00B013B7">
            <w:pPr>
              <w:jc w:val="center"/>
              <w:rPr>
                <w:rFonts w:ascii="Arial Narrow" w:hAnsi="Arial Narrow"/>
              </w:rPr>
            </w:pPr>
            <w:r w:rsidRPr="00B013B7">
              <w:rPr>
                <w:rFonts w:ascii="Arial Narrow" w:eastAsiaTheme="minorEastAsia" w:hAnsi="Arial Narrow"/>
                <w:sz w:val="20"/>
                <w:szCs w:val="20"/>
              </w:rPr>
              <w:t>$46.</w:t>
            </w:r>
            <w:r w:rsidR="00627FC8">
              <w:rPr>
                <w:rFonts w:ascii="Arial Narrow" w:eastAsiaTheme="minorEastAsia" w:hAnsi="Arial Narrow"/>
                <w:sz w:val="20"/>
                <w:szCs w:val="20"/>
              </w:rPr>
              <w:t>17</w:t>
            </w:r>
          </w:p>
        </w:tc>
      </w:tr>
    </w:tbl>
    <w:p w14:paraId="71B7966E" w14:textId="77777777" w:rsidR="007D626D" w:rsidRDefault="007D626D" w:rsidP="007D626D">
      <w:pPr>
        <w:pStyle w:val="Abbreviations"/>
        <w:rPr>
          <w:snapToGrid w:val="0"/>
        </w:rPr>
      </w:pPr>
      <w:r>
        <w:t xml:space="preserve">Abbreviations: </w:t>
      </w:r>
      <w:r>
        <w:rPr>
          <w:snapToGrid w:val="0"/>
        </w:rPr>
        <w:t>ERCP = endoscopic retrograde cholangiopancreatography; POCPS = single operator, single use, peroral cholangiopancreatoscopy</w:t>
      </w:r>
    </w:p>
    <w:p w14:paraId="6684B33C" w14:textId="1B99E17D" w:rsidR="007D626D" w:rsidRPr="007D626D" w:rsidRDefault="007D626D" w:rsidP="007D626D">
      <w:pPr>
        <w:pStyle w:val="Abbreviations"/>
        <w:rPr>
          <w:snapToGrid w:val="0"/>
        </w:rPr>
      </w:pPr>
      <w:r>
        <w:t>Source: Attachment 3.1(Therapeutic CEA spreadsheet)</w:t>
      </w:r>
      <w:r w:rsidR="00F025A0">
        <w:t xml:space="preserve"> – pre-MSAC response</w:t>
      </w:r>
      <w:r w:rsidR="00627FC8">
        <w:br/>
        <w:t xml:space="preserve">Note: </w:t>
      </w:r>
      <w:r w:rsidR="00627FC8" w:rsidRPr="00627FC8">
        <w:t xml:space="preserve">The </w:t>
      </w:r>
      <w:r w:rsidR="00627FC8">
        <w:t xml:space="preserve">pre-MSAC response corrected the </w:t>
      </w:r>
      <w:r w:rsidR="00627FC8" w:rsidRPr="00627FC8">
        <w:t xml:space="preserve">cost of the controller </w:t>
      </w:r>
      <w:r w:rsidR="00627FC8">
        <w:t xml:space="preserve">which </w:t>
      </w:r>
      <w:r w:rsidR="00627FC8" w:rsidRPr="00627FC8">
        <w:t xml:space="preserve">was incorrectly </w:t>
      </w:r>
      <w:r w:rsidR="00627FC8">
        <w:t xml:space="preserve">stated </w:t>
      </w:r>
      <w:r w:rsidR="00627FC8" w:rsidRPr="00627FC8">
        <w:t>as $</w:t>
      </w:r>
      <w:r w:rsidR="00FD0220">
        <w:t>redacted</w:t>
      </w:r>
      <w:r w:rsidR="00627FC8" w:rsidRPr="00627FC8">
        <w:t xml:space="preserve"> instead of $</w:t>
      </w:r>
      <w:r w:rsidR="00FD0220">
        <w:t>redacted</w:t>
      </w:r>
      <w:r w:rsidR="00627FC8" w:rsidRPr="00627FC8">
        <w:t xml:space="preserve"> and hence was overestimated</w:t>
      </w:r>
      <w:r w:rsidR="00627FC8">
        <w:t>. This decreased the cost of POCPS</w:t>
      </w:r>
    </w:p>
    <w:p w14:paraId="137221EB" w14:textId="5514F684" w:rsidR="007B6DDB" w:rsidRDefault="00537849" w:rsidP="00096324">
      <w:pPr>
        <w:spacing w:after="240"/>
      </w:pPr>
      <w:r>
        <w:t xml:space="preserve">The commentary highlighted that </w:t>
      </w:r>
      <w:r w:rsidR="719E7052" w:rsidRPr="00537849">
        <w:t xml:space="preserve">PASC noted that POCPS is currently performed at a limited number of public hospitals and not commonly performed in the private sector due to the high cost of equipment (Ratified PICO, page 9). Similarly, using DRG H02B and H01C as a proxy for private and public hospital separations, the procedure is likely to be performed in public hospitals (2606 and 572 separations in public and private hospitals in 2018-19 respectively). </w:t>
      </w:r>
      <w:r w:rsidR="5A3D07B4" w:rsidRPr="00537849">
        <w:t xml:space="preserve">As such, it may be incorrect to assume that capital and consumable costs will be funded primarily by private health insurers, instead of the </w:t>
      </w:r>
      <w:r w:rsidR="789CDE1E" w:rsidRPr="00537849">
        <w:t>government health budgets</w:t>
      </w:r>
      <w:r w:rsidR="5A3D07B4" w:rsidRPr="00537849">
        <w:t>.</w:t>
      </w:r>
    </w:p>
    <w:p w14:paraId="22ADB600" w14:textId="5E54B0C3" w:rsidR="003D5C94" w:rsidRPr="00D442D6" w:rsidRDefault="003D5C94" w:rsidP="00096324">
      <w:pPr>
        <w:pStyle w:val="BodyText"/>
        <w:spacing w:before="120" w:after="240" w:line="259" w:lineRule="auto"/>
        <w:rPr>
          <w:rFonts w:ascii="Franklin Gothic Book" w:eastAsiaTheme="minorHAnsi" w:hAnsi="Franklin Gothic Book" w:cstheme="minorBidi"/>
          <w:lang w:eastAsia="en-US"/>
        </w:rPr>
      </w:pPr>
      <w:r w:rsidRPr="00D442D6">
        <w:rPr>
          <w:rFonts w:ascii="Franklin Gothic Book" w:eastAsiaTheme="minorHAnsi" w:hAnsi="Franklin Gothic Book" w:cstheme="minorBidi"/>
          <w:lang w:eastAsia="en-US"/>
        </w:rPr>
        <w:t xml:space="preserve">To provide a suite of metrics for MSAC review, several sensitivity analyses were performed to adjust for the range of clinical efficacy results reported in the clinical </w:t>
      </w:r>
      <w:r w:rsidR="00753A67" w:rsidRPr="00D442D6">
        <w:rPr>
          <w:rFonts w:ascii="Franklin Gothic Book" w:eastAsiaTheme="minorHAnsi" w:hAnsi="Franklin Gothic Book" w:cstheme="minorBidi"/>
          <w:lang w:eastAsia="en-US"/>
        </w:rPr>
        <w:t>evaluation.</w:t>
      </w:r>
    </w:p>
    <w:p w14:paraId="7D2BEE65" w14:textId="77777777" w:rsidR="003D5C94" w:rsidRPr="00D442D6" w:rsidRDefault="003D5C94" w:rsidP="00096324">
      <w:pPr>
        <w:pStyle w:val="BodyText"/>
        <w:spacing w:before="120" w:after="240" w:line="259" w:lineRule="auto"/>
        <w:rPr>
          <w:rFonts w:ascii="Franklin Gothic Book" w:eastAsiaTheme="minorHAnsi" w:hAnsi="Franklin Gothic Book" w:cstheme="minorBidi"/>
          <w:lang w:eastAsia="en-US"/>
        </w:rPr>
      </w:pPr>
      <w:r w:rsidRPr="00D442D6">
        <w:rPr>
          <w:rFonts w:ascii="Franklin Gothic Book" w:eastAsiaTheme="minorHAnsi" w:hAnsi="Franklin Gothic Book" w:cstheme="minorBidi"/>
          <w:lang w:eastAsia="en-US"/>
        </w:rPr>
        <w:t>For therapeutic POCPS, alternative clinical inputs included:</w:t>
      </w:r>
    </w:p>
    <w:p w14:paraId="19659513" w14:textId="77777777" w:rsidR="003D5C94" w:rsidRPr="00D442D6" w:rsidRDefault="003D5C94" w:rsidP="00096324">
      <w:pPr>
        <w:pStyle w:val="BodyText"/>
        <w:numPr>
          <w:ilvl w:val="0"/>
          <w:numId w:val="18"/>
        </w:numPr>
        <w:spacing w:before="120" w:after="240" w:line="259" w:lineRule="auto"/>
        <w:rPr>
          <w:rFonts w:ascii="Franklin Gothic Book" w:eastAsiaTheme="minorHAnsi" w:hAnsi="Franklin Gothic Book" w:cstheme="minorBidi"/>
          <w:lang w:eastAsia="en-US"/>
        </w:rPr>
      </w:pPr>
      <w:r w:rsidRPr="00D442D6">
        <w:rPr>
          <w:rFonts w:ascii="Franklin Gothic Book" w:eastAsiaTheme="minorHAnsi" w:hAnsi="Franklin Gothic Book" w:cstheme="minorBidi"/>
          <w:lang w:eastAsia="en-US"/>
        </w:rPr>
        <w:t xml:space="preserve">Single session stone clearance values reported in the RCT by </w:t>
      </w:r>
      <w:r>
        <w:rPr>
          <w:rFonts w:ascii="Franklin Gothic Book" w:eastAsiaTheme="minorHAnsi" w:hAnsi="Franklin Gothic Book" w:cstheme="minorBidi"/>
          <w:iCs/>
          <w:lang w:eastAsia="en-US"/>
        </w:rPr>
        <w:fldChar w:fldCharType="begin">
          <w:fldData xml:space="preserve">PEVuZE5vdGU+PENpdGUgQXV0aG9yWWVhcj0iMSI+PEF1dGhvcj5BbmdzdXdhdGNoYXJha29uPC9B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</w:fldData>
        </w:fldChar>
      </w:r>
      <w:r>
        <w:rPr>
          <w:rFonts w:ascii="Franklin Gothic Book" w:eastAsiaTheme="minorHAnsi" w:hAnsi="Franklin Gothic Book" w:cstheme="minorBidi"/>
          <w:iCs/>
          <w:lang w:eastAsia="en-US"/>
        </w:rPr>
        <w:instrText xml:space="preserve"> ADDIN EN.CITE </w:instrText>
      </w:r>
      <w:r>
        <w:rPr>
          <w:rFonts w:ascii="Franklin Gothic Book" w:eastAsiaTheme="minorHAnsi" w:hAnsi="Franklin Gothic Book" w:cstheme="minorBidi"/>
          <w:iCs/>
          <w:lang w:eastAsia="en-US"/>
        </w:rPr>
        <w:fldChar w:fldCharType="begin">
          <w:fldData xml:space="preserve">PEVuZE5vdGU+PENpdGUgQXV0aG9yWWVhcj0iMSI+PEF1dGhvcj5BbmdzdXdhdGNoYXJha29uPC9B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</w:fldData>
        </w:fldChar>
      </w:r>
      <w:r>
        <w:rPr>
          <w:rFonts w:ascii="Franklin Gothic Book" w:eastAsiaTheme="minorHAnsi" w:hAnsi="Franklin Gothic Book" w:cstheme="minorBidi"/>
          <w:iCs/>
          <w:lang w:eastAsia="en-US"/>
        </w:rPr>
        <w:instrText xml:space="preserve"> ADDIN EN.CITE.DATA </w:instrText>
      </w:r>
      <w:r>
        <w:rPr>
          <w:rFonts w:ascii="Franklin Gothic Book" w:eastAsiaTheme="minorHAnsi" w:hAnsi="Franklin Gothic Book" w:cstheme="minorBidi"/>
          <w:iCs/>
          <w:lang w:eastAsia="en-US"/>
        </w:rPr>
      </w:r>
      <w:r>
        <w:rPr>
          <w:rFonts w:ascii="Franklin Gothic Book" w:eastAsiaTheme="minorHAnsi" w:hAnsi="Franklin Gothic Book" w:cstheme="minorBidi"/>
          <w:iCs/>
          <w:lang w:eastAsia="en-US"/>
        </w:rPr>
        <w:fldChar w:fldCharType="end"/>
      </w:r>
      <w:r>
        <w:rPr>
          <w:rFonts w:ascii="Franklin Gothic Book" w:eastAsiaTheme="minorHAnsi" w:hAnsi="Franklin Gothic Book" w:cstheme="minorBidi"/>
          <w:iCs/>
          <w:lang w:eastAsia="en-US"/>
        </w:rPr>
      </w:r>
      <w:r>
        <w:rPr>
          <w:rFonts w:ascii="Franklin Gothic Book" w:eastAsiaTheme="minorHAnsi" w:hAnsi="Franklin Gothic Book" w:cstheme="minorBidi"/>
          <w:iCs/>
          <w:lang w:eastAsia="en-US"/>
        </w:rPr>
        <w:fldChar w:fldCharType="separate"/>
      </w:r>
      <w:r>
        <w:rPr>
          <w:rFonts w:ascii="Franklin Gothic Book" w:eastAsiaTheme="minorHAnsi" w:hAnsi="Franklin Gothic Book" w:cstheme="minorBidi"/>
          <w:iCs/>
          <w:noProof/>
          <w:lang w:eastAsia="en-US"/>
        </w:rPr>
        <w:t>Angsuwatcharakon et al. (2019)</w:t>
      </w:r>
      <w:r>
        <w:rPr>
          <w:rFonts w:ascii="Franklin Gothic Book" w:eastAsiaTheme="minorHAnsi" w:hAnsi="Franklin Gothic Book" w:cstheme="minorBidi"/>
          <w:iCs/>
          <w:lang w:eastAsia="en-US"/>
        </w:rPr>
        <w:fldChar w:fldCharType="end"/>
      </w:r>
    </w:p>
    <w:p w14:paraId="6914C175" w14:textId="77777777" w:rsidR="003D5C94" w:rsidRPr="00D442D6" w:rsidRDefault="003D5C94" w:rsidP="00096324">
      <w:pPr>
        <w:pStyle w:val="BodyText"/>
        <w:numPr>
          <w:ilvl w:val="0"/>
          <w:numId w:val="18"/>
        </w:numPr>
        <w:spacing w:before="120" w:after="240" w:line="259" w:lineRule="auto"/>
        <w:rPr>
          <w:rFonts w:ascii="Franklin Gothic Book" w:eastAsiaTheme="minorHAnsi" w:hAnsi="Franklin Gothic Book" w:cstheme="minorBidi"/>
          <w:iCs/>
          <w:lang w:eastAsia="en-US"/>
        </w:rPr>
      </w:pPr>
      <w:r w:rsidRPr="00D442D6">
        <w:rPr>
          <w:rFonts w:ascii="Franklin Gothic Book" w:eastAsiaTheme="minorHAnsi" w:hAnsi="Franklin Gothic Book" w:cstheme="minorBidi"/>
          <w:iCs/>
          <w:lang w:eastAsia="en-US"/>
        </w:rPr>
        <w:t xml:space="preserve">Single session stone clearance upper values reported in indirect comparative evidence (pooled digital POCPS vs results reported in </w:t>
      </w:r>
      <w:r>
        <w:rPr>
          <w:rFonts w:ascii="Franklin Gothic Book" w:eastAsiaTheme="minorHAnsi" w:hAnsi="Franklin Gothic Book" w:cstheme="minorBidi"/>
          <w:iCs/>
          <w:lang w:eastAsia="en-US"/>
        </w:rPr>
        <w:fldChar w:fldCharType="begin">
          <w:fldData xml:space="preserve">PEVuZE5vdGU+PENpdGUgQXV0aG9yWWVhcj0iMSI+PEF1dGhvcj5BbmdzdXdhdGNoYXJha29uPC9B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</w:fldData>
        </w:fldChar>
      </w:r>
      <w:r>
        <w:rPr>
          <w:rFonts w:ascii="Franklin Gothic Book" w:eastAsiaTheme="minorHAnsi" w:hAnsi="Franklin Gothic Book" w:cstheme="minorBidi"/>
          <w:iCs/>
          <w:lang w:eastAsia="en-US"/>
        </w:rPr>
        <w:instrText xml:space="preserve"> ADDIN EN.CITE </w:instrText>
      </w:r>
      <w:r>
        <w:rPr>
          <w:rFonts w:ascii="Franklin Gothic Book" w:eastAsiaTheme="minorHAnsi" w:hAnsi="Franklin Gothic Book" w:cstheme="minorBidi"/>
          <w:iCs/>
          <w:lang w:eastAsia="en-US"/>
        </w:rPr>
        <w:fldChar w:fldCharType="begin">
          <w:fldData xml:space="preserve">PEVuZE5vdGU+PENpdGUgQXV0aG9yWWVhcj0iMSI+PEF1dGhvcj5BbmdzdXdhdGNoYXJha29uPC9B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</w:fldData>
        </w:fldChar>
      </w:r>
      <w:r>
        <w:rPr>
          <w:rFonts w:ascii="Franklin Gothic Book" w:eastAsiaTheme="minorHAnsi" w:hAnsi="Franklin Gothic Book" w:cstheme="minorBidi"/>
          <w:iCs/>
          <w:lang w:eastAsia="en-US"/>
        </w:rPr>
        <w:instrText xml:space="preserve"> ADDIN EN.CITE.DATA </w:instrText>
      </w:r>
      <w:r>
        <w:rPr>
          <w:rFonts w:ascii="Franklin Gothic Book" w:eastAsiaTheme="minorHAnsi" w:hAnsi="Franklin Gothic Book" w:cstheme="minorBidi"/>
          <w:iCs/>
          <w:lang w:eastAsia="en-US"/>
        </w:rPr>
      </w:r>
      <w:r>
        <w:rPr>
          <w:rFonts w:ascii="Franklin Gothic Book" w:eastAsiaTheme="minorHAnsi" w:hAnsi="Franklin Gothic Book" w:cstheme="minorBidi"/>
          <w:iCs/>
          <w:lang w:eastAsia="en-US"/>
        </w:rPr>
        <w:fldChar w:fldCharType="end"/>
      </w:r>
      <w:r>
        <w:rPr>
          <w:rFonts w:ascii="Franklin Gothic Book" w:eastAsiaTheme="minorHAnsi" w:hAnsi="Franklin Gothic Book" w:cstheme="minorBidi"/>
          <w:iCs/>
          <w:lang w:eastAsia="en-US"/>
        </w:rPr>
      </w:r>
      <w:r>
        <w:rPr>
          <w:rFonts w:ascii="Franklin Gothic Book" w:eastAsiaTheme="minorHAnsi" w:hAnsi="Franklin Gothic Book" w:cstheme="minorBidi"/>
          <w:iCs/>
          <w:lang w:eastAsia="en-US"/>
        </w:rPr>
        <w:fldChar w:fldCharType="separate"/>
      </w:r>
      <w:r>
        <w:rPr>
          <w:rFonts w:ascii="Franklin Gothic Book" w:eastAsiaTheme="minorHAnsi" w:hAnsi="Franklin Gothic Book" w:cstheme="minorBidi"/>
          <w:iCs/>
          <w:noProof/>
          <w:lang w:eastAsia="en-US"/>
        </w:rPr>
        <w:t>Angsuwatcharakon et al. (2019)</w:t>
      </w:r>
      <w:r>
        <w:rPr>
          <w:rFonts w:ascii="Franklin Gothic Book" w:eastAsiaTheme="minorHAnsi" w:hAnsi="Franklin Gothic Book" w:cstheme="minorBidi"/>
          <w:iCs/>
          <w:lang w:eastAsia="en-US"/>
        </w:rPr>
        <w:fldChar w:fldCharType="end"/>
      </w:r>
    </w:p>
    <w:p w14:paraId="5C4E9140" w14:textId="77777777" w:rsidR="003D5C94" w:rsidRPr="00D442D6" w:rsidRDefault="003D5C94" w:rsidP="00096324">
      <w:pPr>
        <w:pStyle w:val="BodyText"/>
        <w:numPr>
          <w:ilvl w:val="0"/>
          <w:numId w:val="18"/>
        </w:numPr>
        <w:spacing w:before="120" w:after="240" w:line="259" w:lineRule="auto"/>
        <w:rPr>
          <w:rFonts w:ascii="Franklin Gothic Book" w:eastAsiaTheme="minorHAnsi" w:hAnsi="Franklin Gothic Book" w:cstheme="minorBidi"/>
          <w:lang w:eastAsia="en-US"/>
        </w:rPr>
      </w:pPr>
      <w:r w:rsidRPr="00D442D6">
        <w:rPr>
          <w:rFonts w:ascii="Franklin Gothic Book" w:eastAsiaTheme="minorHAnsi" w:hAnsi="Franklin Gothic Book" w:cstheme="minorBidi"/>
          <w:iCs/>
          <w:lang w:eastAsia="en-US"/>
        </w:rPr>
        <w:t xml:space="preserve">Single session stone clearance lower values reported in indirect comparative evidence (pooled legacy POCPS vs results reported in </w:t>
      </w:r>
      <w:r>
        <w:rPr>
          <w:rFonts w:ascii="Franklin Gothic Book" w:eastAsiaTheme="minorHAnsi" w:hAnsi="Franklin Gothic Book" w:cstheme="minorBidi"/>
          <w:iCs/>
          <w:lang w:eastAsia="en-US"/>
        </w:rPr>
        <w:fldChar w:fldCharType="begin"/>
      </w:r>
      <w:r>
        <w:rPr>
          <w:rFonts w:ascii="Franklin Gothic Book" w:eastAsiaTheme="minorHAnsi" w:hAnsi="Franklin Gothic Book" w:cstheme="minorBidi"/>
          <w:iCs/>
          <w:lang w:eastAsia="en-US"/>
        </w:rPr>
        <w:instrText xml:space="preserve"> ADDIN EN.CITE &lt;EndNote&gt;&lt;Cite AuthorYear="1"&gt;&lt;Author&gt;Cipolletta&lt;/Author&gt;&lt;Year&gt;1997&lt;/Year&gt;&lt;RecNum&gt;67&lt;/RecNum&gt;&lt;DisplayText&gt;Cipolletta et al. (1997)&lt;/DisplayText&gt;&lt;record&gt;&lt;rec-number&gt;67&lt;/rec-number&gt;&lt;foreign-keys&gt;&lt;key app="EN" db-id="xrd5xtv9xdvftxetprq5st9c5trzx5z2xzpp" timestamp="1633407184"&gt;67&lt;/key&gt;&lt;/foreign-keys&gt;&lt;ref-type name="Journal </w:instrText>
      </w:r>
      <w:r>
        <w:rPr>
          <w:rFonts w:ascii="Franklin Gothic Book" w:eastAsiaTheme="minorHAnsi" w:hAnsi="Franklin Gothic Book" w:cstheme="minorBidi"/>
          <w:iCs/>
          <w:lang w:eastAsia="en-US"/>
        </w:rPr>
        <w:lastRenderedPageBreak/>
        <w:instrText>Article"&gt;17&lt;/ref-type&gt;&lt;contributors&gt;&lt;authors&gt;&lt;author&gt;Cipolletta, L.&lt;/author&gt;&lt;author&gt;Costamagna, G.&lt;/author&gt;&lt;author&gt;Bianco, M. A.&lt;/author&gt;&lt;author&gt;Rotondano, G.&lt;/author&gt;&lt;author&gt;Piscopo, R.&lt;/author&gt;&lt;author&gt;Mutignani, M.&lt;/author&gt;&lt;author&gt;Marmo, R.&lt;/author&gt;&lt;/authors&gt;&lt;/contributors&gt;&lt;auth-address&gt;Servizio di Gastroenterologia ed Endoscopia Digestiva, Ospedale Agostino Maresca, Torre del Greco, Università Cattolica del Sacro Cuore, Rome, Italy.&lt;/auth-address&gt;&lt;titles&gt;&lt;title&gt;Endoscopic mechanical lithotripsy of difficult common bile duct stones&lt;/title&gt;&lt;secondary-title&gt;Br J Surg&lt;/secondary-title&gt;&lt;/titles&gt;&lt;periodical&gt;&lt;full-title&gt;Br J Surg&lt;/full-title&gt;&lt;/periodical&gt;&lt;pages&gt;1407-9&lt;/pages&gt;&lt;volume&gt;84&lt;/volume&gt;&lt;number&gt;10&lt;/number&gt;&lt;edition&gt;1997/11/15&lt;/edition&gt;&lt;keywords&gt;&lt;keyword&gt;Adult&lt;/keyword&gt;&lt;keyword&gt;Aged&lt;/keyword&gt;&lt;keyword&gt;Aged, 80 and over&lt;/keyword&gt;&lt;keyword&gt;Cholecystectomy, Laparoscopic&lt;/keyword&gt;&lt;keyword&gt;Endoscopy, Digestive System&lt;/keyword&gt;&lt;keyword&gt;Female&lt;/keyword&gt;&lt;keyword&gt;Gallstones/surgery/*therapy&lt;/keyword&gt;&lt;keyword&gt;Humans&lt;/keyword&gt;&lt;keyword&gt;Lithotripsy/*methods&lt;/keyword&gt;&lt;keyword&gt;Male&lt;/keyword&gt;&lt;keyword&gt;Middle Aged&lt;/keyword&gt;&lt;keyword&gt;Retrospective Studies&lt;/keyword&gt;&lt;keyword&gt;Treatment Outcome&lt;/keyword&gt;&lt;/keywords&gt;&lt;dates&gt;&lt;year&gt;1997&lt;/year&gt;&lt;pub-dates&gt;&lt;date&gt;Oct&lt;/date&gt;&lt;/pub-dates&gt;&lt;/dates&gt;&lt;isbn&gt;0007-1323 (Print)&amp;#xD;0007-1323&lt;/isbn&gt;&lt;accession-num&gt;9361600&lt;/accession-num&gt;&lt;urls&gt;&lt;/urls&gt;&lt;remote-database-provider&gt;NLM&lt;/remote-database-provider&gt;&lt;research-notes&gt;Therapeutic&lt;/research-notes&gt;&lt;language&gt;eng&lt;/language&gt;&lt;/record&gt;&lt;/Cite&gt;&lt;/EndNote&gt;</w:instrText>
      </w:r>
      <w:r>
        <w:rPr>
          <w:rFonts w:ascii="Franklin Gothic Book" w:eastAsiaTheme="minorHAnsi" w:hAnsi="Franklin Gothic Book" w:cstheme="minorBidi"/>
          <w:iCs/>
          <w:lang w:eastAsia="en-US"/>
        </w:rPr>
        <w:fldChar w:fldCharType="separate"/>
      </w:r>
      <w:r>
        <w:rPr>
          <w:rFonts w:ascii="Franklin Gothic Book" w:eastAsiaTheme="minorHAnsi" w:hAnsi="Franklin Gothic Book" w:cstheme="minorBidi"/>
          <w:iCs/>
          <w:noProof/>
          <w:lang w:eastAsia="en-US"/>
        </w:rPr>
        <w:t>Cipolletta et al. (1997)</w:t>
      </w:r>
      <w:r>
        <w:rPr>
          <w:rFonts w:ascii="Franklin Gothic Book" w:eastAsiaTheme="minorHAnsi" w:hAnsi="Franklin Gothic Book" w:cstheme="minorBidi"/>
          <w:iCs/>
          <w:lang w:eastAsia="en-US"/>
        </w:rPr>
        <w:fldChar w:fldCharType="end"/>
      </w:r>
      <w:r w:rsidRPr="00D442D6">
        <w:rPr>
          <w:rFonts w:ascii="Franklin Gothic Book" w:eastAsiaTheme="minorHAnsi" w:hAnsi="Franklin Gothic Book" w:cstheme="minorBidi"/>
          <w:iCs/>
          <w:lang w:eastAsia="en-US"/>
        </w:rPr>
        <w:t>).</w:t>
      </w:r>
    </w:p>
    <w:p w14:paraId="4D2725BB" w14:textId="77777777" w:rsidR="003D5C94" w:rsidRPr="00D442D6" w:rsidRDefault="003D5C94" w:rsidP="00096324">
      <w:pPr>
        <w:pStyle w:val="BodyText"/>
        <w:spacing w:before="120" w:after="240" w:line="259" w:lineRule="auto"/>
        <w:rPr>
          <w:rFonts w:ascii="Franklin Gothic Book" w:eastAsiaTheme="minorHAnsi" w:hAnsi="Franklin Gothic Book" w:cstheme="minorBidi"/>
          <w:lang w:eastAsia="en-US"/>
        </w:rPr>
      </w:pPr>
      <w:r w:rsidRPr="00D442D6">
        <w:rPr>
          <w:rFonts w:ascii="Franklin Gothic Book" w:eastAsiaTheme="minorHAnsi" w:hAnsi="Franklin Gothic Book" w:cstheme="minorBidi"/>
          <w:lang w:eastAsia="en-US"/>
        </w:rPr>
        <w:t>The main source of uncertainty for the utilisation of POCPS is its uptake rate in the ERCP market. There is no definitive epidemiology on patients with difficult biliary stones, therefore, three approaches were presented in the Ratified PICO (page 17). There is no definitive epidemiology on patients with difficult biliary stones, therefore, three approaches were presented in the Ratified PICO (1673 Ratified PICO, page 17).</w:t>
      </w:r>
    </w:p>
    <w:p w14:paraId="71DF5CD5" w14:textId="77777777" w:rsidR="003D5C94" w:rsidRPr="00D442D6" w:rsidRDefault="003D5C94" w:rsidP="00096324">
      <w:pPr>
        <w:pStyle w:val="BodyText"/>
        <w:spacing w:before="120" w:after="240" w:line="259" w:lineRule="auto"/>
        <w:rPr>
          <w:rFonts w:ascii="Franklin Gothic Book" w:eastAsiaTheme="minorHAnsi" w:hAnsi="Franklin Gothic Book" w:cstheme="minorBidi"/>
          <w:lang w:eastAsia="en-US"/>
        </w:rPr>
      </w:pPr>
      <w:r w:rsidRPr="00D442D6">
        <w:rPr>
          <w:rFonts w:ascii="Franklin Gothic Book" w:eastAsiaTheme="minorHAnsi" w:hAnsi="Franklin Gothic Book" w:cstheme="minorBidi"/>
          <w:lang w:eastAsia="en-US"/>
        </w:rPr>
        <w:t xml:space="preserve">When considering the total incremental cost per patient, POCPS remained cost saving in all scenarios. The result was most sensitive to single session stone clearance. In the scenario where POCPS clearance rate was 100% </w:t>
      </w:r>
      <w:r>
        <w:rPr>
          <w:rFonts w:ascii="Franklin Gothic Book" w:eastAsiaTheme="minorHAnsi" w:hAnsi="Franklin Gothic Book" w:cstheme="minorBidi"/>
          <w:iCs/>
          <w:lang w:eastAsia="en-US"/>
        </w:rPr>
        <w:fldChar w:fldCharType="begin">
          <w:fldData xml:space="preserve">PEVuZE5vdGU+PENpdGU+PEF1dGhvcj5BbmdzdXdhdGNoYXJha29uPC9BdXRob3I+PFllYXI+MjAx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</w:fldData>
        </w:fldChar>
      </w:r>
      <w:r>
        <w:rPr>
          <w:rFonts w:ascii="Franklin Gothic Book" w:eastAsiaTheme="minorHAnsi" w:hAnsi="Franklin Gothic Book" w:cstheme="minorBidi"/>
          <w:iCs/>
          <w:lang w:eastAsia="en-US"/>
        </w:rPr>
        <w:instrText xml:space="preserve"> ADDIN EN.CITE </w:instrText>
      </w:r>
      <w:r>
        <w:rPr>
          <w:rFonts w:ascii="Franklin Gothic Book" w:eastAsiaTheme="minorHAnsi" w:hAnsi="Franklin Gothic Book" w:cstheme="minorBidi"/>
          <w:iCs/>
          <w:lang w:eastAsia="en-US"/>
        </w:rPr>
        <w:fldChar w:fldCharType="begin">
          <w:fldData xml:space="preserve">PEVuZE5vdGU+PENpdGU+PEF1dGhvcj5BbmdzdXdhdGNoYXJha29uPC9BdXRob3I+PFllYXI+MjAx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</w:fldData>
        </w:fldChar>
      </w:r>
      <w:r>
        <w:rPr>
          <w:rFonts w:ascii="Franklin Gothic Book" w:eastAsiaTheme="minorHAnsi" w:hAnsi="Franklin Gothic Book" w:cstheme="minorBidi"/>
          <w:iCs/>
          <w:lang w:eastAsia="en-US"/>
        </w:rPr>
        <w:instrText xml:space="preserve"> ADDIN EN.CITE.DATA </w:instrText>
      </w:r>
      <w:r>
        <w:rPr>
          <w:rFonts w:ascii="Franklin Gothic Book" w:eastAsiaTheme="minorHAnsi" w:hAnsi="Franklin Gothic Book" w:cstheme="minorBidi"/>
          <w:iCs/>
          <w:lang w:eastAsia="en-US"/>
        </w:rPr>
      </w:r>
      <w:r>
        <w:rPr>
          <w:rFonts w:ascii="Franklin Gothic Book" w:eastAsiaTheme="minorHAnsi" w:hAnsi="Franklin Gothic Book" w:cstheme="minorBidi"/>
          <w:iCs/>
          <w:lang w:eastAsia="en-US"/>
        </w:rPr>
        <w:fldChar w:fldCharType="end"/>
      </w:r>
      <w:r>
        <w:rPr>
          <w:rFonts w:ascii="Franklin Gothic Book" w:eastAsiaTheme="minorHAnsi" w:hAnsi="Franklin Gothic Book" w:cstheme="minorBidi"/>
          <w:iCs/>
          <w:lang w:eastAsia="en-US"/>
        </w:rPr>
      </w:r>
      <w:r>
        <w:rPr>
          <w:rFonts w:ascii="Franklin Gothic Book" w:eastAsiaTheme="minorHAnsi" w:hAnsi="Franklin Gothic Book" w:cstheme="minorBidi"/>
          <w:iCs/>
          <w:lang w:eastAsia="en-US"/>
        </w:rPr>
        <w:fldChar w:fldCharType="separate"/>
      </w:r>
      <w:r>
        <w:rPr>
          <w:rFonts w:ascii="Franklin Gothic Book" w:eastAsiaTheme="minorHAnsi" w:hAnsi="Franklin Gothic Book" w:cstheme="minorBidi"/>
          <w:iCs/>
          <w:noProof/>
          <w:lang w:eastAsia="en-US"/>
        </w:rPr>
        <w:t>(Angsuwatcharakon et al., 2019)</w:t>
      </w:r>
      <w:r>
        <w:rPr>
          <w:rFonts w:ascii="Franklin Gothic Book" w:eastAsiaTheme="minorHAnsi" w:hAnsi="Franklin Gothic Book" w:cstheme="minorBidi"/>
          <w:iCs/>
          <w:lang w:eastAsia="en-US"/>
        </w:rPr>
        <w:fldChar w:fldCharType="end"/>
      </w:r>
      <w:r w:rsidRPr="00D442D6">
        <w:rPr>
          <w:rFonts w:ascii="Franklin Gothic Book" w:eastAsiaTheme="minorHAnsi" w:hAnsi="Franklin Gothic Book" w:cstheme="minorBidi"/>
          <w:iCs/>
          <w:lang w:eastAsia="en-US"/>
        </w:rPr>
        <w:t>,</w:t>
      </w:r>
      <w:r w:rsidRPr="00D442D6">
        <w:rPr>
          <w:rFonts w:ascii="Franklin Gothic Book" w:eastAsiaTheme="minorHAnsi" w:hAnsi="Franklin Gothic Book" w:cstheme="minorBidi"/>
          <w:lang w:eastAsia="en-US"/>
        </w:rPr>
        <w:t xml:space="preserve"> the cost effectiveness of POCPS increased 234% to -$427.20 per patient. Similarly, when the clearance rate for ERCP was decreased to 25.6% (and POCPS decreased to 73.1%), the incremental cost effectiveness of POCPS was -$633.54 per initial procedure.</w:t>
      </w:r>
    </w:p>
    <w:p w14:paraId="7764E4D1" w14:textId="77777777" w:rsidR="00C86DC6" w:rsidRDefault="00C86DC6" w:rsidP="00C86DC6">
      <w:pPr>
        <w:pStyle w:val="Heading3"/>
        <w:spacing w:before="40" w:after="180" w:line="312" w:lineRule="auto"/>
      </w:pPr>
      <w:r>
        <w:t>Sensitivity analysis</w:t>
      </w:r>
    </w:p>
    <w:p w14:paraId="1652C6A6" w14:textId="6D3C2244" w:rsidR="003D5C94" w:rsidRPr="00D72D0E" w:rsidRDefault="003D5C94" w:rsidP="00D72D0E">
      <w:pPr>
        <w:spacing w:after="240"/>
        <w:rPr>
          <w:rFonts w:eastAsia="Times New Roman" w:cs="Tahoma"/>
          <w:lang w:eastAsia="en-AU"/>
        </w:rPr>
      </w:pPr>
      <w:r w:rsidRPr="001803BF">
        <w:rPr>
          <w:rFonts w:eastAsia="Times New Roman" w:cs="Tahoma"/>
          <w:lang w:eastAsia="en-AU"/>
        </w:rPr>
        <w:t xml:space="preserve">The commentary has repeated the sensitivity analysis for the therapeutic and investigative application of POCPS using inputs provided in the CEA model. Each parameter has been adjusted by </w:t>
      </w:r>
      <w:r w:rsidRPr="001803BF">
        <w:rPr>
          <w:rFonts w:eastAsia="Times New Roman" w:cs="Calibri"/>
          <w:lang w:eastAsia="en-AU"/>
        </w:rPr>
        <w:t>±</w:t>
      </w:r>
      <w:r w:rsidRPr="001803BF">
        <w:rPr>
          <w:rFonts w:eastAsia="Times New Roman" w:cs="Tahoma"/>
          <w:lang w:eastAsia="en-AU"/>
        </w:rPr>
        <w:t xml:space="preserve">20% their original value to assess the impact to the model and identify the main drivers. </w:t>
      </w:r>
      <w:r w:rsidRPr="001803BF">
        <w:t xml:space="preserve">The sensitivity analysis’ in the ADAR are largely aligned with the </w:t>
      </w:r>
      <w:r w:rsidR="00D72D0E">
        <w:t>commentary’s</w:t>
      </w:r>
      <w:r w:rsidRPr="001803BF">
        <w:t xml:space="preserve"> analysis (with the addition of consumables and capital and additional hospital costs in the HTA sensitivity analysis). </w:t>
      </w:r>
      <w:r w:rsidR="00D72D0E">
        <w:t>The commentary considered t</w:t>
      </w:r>
      <w:r w:rsidRPr="001803BF">
        <w:rPr>
          <w:rFonts w:eastAsia="Times New Roman" w:cs="Tahoma"/>
          <w:lang w:eastAsia="en-AU"/>
        </w:rPr>
        <w:t>he biggest driver</w:t>
      </w:r>
      <w:r w:rsidR="00D72D0E">
        <w:rPr>
          <w:rFonts w:eastAsia="Times New Roman" w:cs="Tahoma"/>
          <w:lang w:eastAsia="en-AU"/>
        </w:rPr>
        <w:t xml:space="preserve"> </w:t>
      </w:r>
      <w:r w:rsidRPr="001803BF">
        <w:rPr>
          <w:rFonts w:eastAsia="Times New Roman" w:cs="Tahoma"/>
          <w:lang w:eastAsia="en-AU"/>
        </w:rPr>
        <w:t xml:space="preserve">of the model </w:t>
      </w:r>
      <w:r w:rsidR="00D72D0E">
        <w:rPr>
          <w:rFonts w:eastAsia="Times New Roman" w:cs="Tahoma"/>
          <w:lang w:eastAsia="en-AU"/>
        </w:rPr>
        <w:t>to be</w:t>
      </w:r>
      <w:r w:rsidRPr="001803BF">
        <w:rPr>
          <w:rFonts w:eastAsia="Times New Roman" w:cs="Tahoma"/>
          <w:lang w:eastAsia="en-AU"/>
        </w:rPr>
        <w:t xml:space="preserve"> single session stone clearance. The biggest drivers of the MBS sensitivity analysis </w:t>
      </w:r>
      <w:r w:rsidR="00753A67">
        <w:rPr>
          <w:rFonts w:eastAsia="Times New Roman" w:cs="Tahoma"/>
          <w:lang w:eastAsia="en-AU"/>
        </w:rPr>
        <w:t>were</w:t>
      </w:r>
      <w:r w:rsidRPr="001803BF">
        <w:rPr>
          <w:rFonts w:eastAsia="Times New Roman" w:cs="Tahoma"/>
          <w:lang w:eastAsia="en-AU"/>
        </w:rPr>
        <w:t xml:space="preserve"> single session stone clearance for POCPS, ERCP, and laparoscopic choledochotomy, which is in line with the sensitivity analysis provided in the ADAR</w:t>
      </w:r>
      <w:r w:rsidR="00D72D0E">
        <w:rPr>
          <w:rFonts w:eastAsia="Times New Roman" w:cs="Tahoma"/>
          <w:lang w:eastAsia="en-AU"/>
        </w:rPr>
        <w:t xml:space="preserve">. </w:t>
      </w:r>
      <w:r w:rsidRPr="00D72D0E">
        <w:rPr>
          <w:rFonts w:eastAsia="Times New Roman" w:cs="Tahoma"/>
          <w:lang w:eastAsia="en-AU"/>
        </w:rPr>
        <w:t>The cost of treatment (POCPS), and MBS cost of ERCP and laparoscopic choledochotomy were major drivers of the model, as presented in the ADAR</w:t>
      </w:r>
      <w:r w:rsidR="00D72D0E">
        <w:t xml:space="preserve">. </w:t>
      </w:r>
      <w:r w:rsidRPr="00D72D0E">
        <w:rPr>
          <w:rFonts w:eastAsia="Times New Roman" w:cs="Tahoma"/>
          <w:lang w:eastAsia="en-AU"/>
        </w:rPr>
        <w:t>Other drivers that may be worth considering are the proportion of use of ERCP and choledochotomy for difficult stones, and the percentage of procedures repeated after one failed stone clearance for ERCP</w:t>
      </w:r>
    </w:p>
    <w:p w14:paraId="009B8887" w14:textId="698155A4" w:rsidR="003D5C94" w:rsidRPr="001803BF" w:rsidRDefault="003D5C94" w:rsidP="003D5C94">
      <w:pPr>
        <w:spacing w:after="240"/>
      </w:pPr>
      <w:r w:rsidRPr="001803BF">
        <w:rPr>
          <w:rFonts w:eastAsia="Times New Roman" w:cs="Tahoma"/>
          <w:lang w:eastAsia="en-AU"/>
        </w:rPr>
        <w:lastRenderedPageBreak/>
        <w:t>Overall, the commentary considered the sensitivity analysis in the ADAR reasonably captured the major drivers of the model.</w:t>
      </w:r>
      <w:r w:rsidR="009B4241">
        <w:rPr>
          <w:rFonts w:eastAsia="Times New Roman" w:cs="Tahoma"/>
          <w:lang w:eastAsia="en-AU"/>
        </w:rPr>
        <w:t xml:space="preserve"> </w:t>
      </w:r>
      <w:r w:rsidRPr="001803BF">
        <w:t>Although there is a degree of uncertainty surrounding the accuracy of calculations for the cost of POCPS (and since this is the fourth and second largest driver in the HTA and ADAR model respectively) any discrepancies in cost will have a large effect on the outcomes of the model. The commentary considered this fee should be further justified to ensure the accuracy of the outcomes.</w:t>
      </w:r>
    </w:p>
    <w:p w14:paraId="2042185F" w14:textId="7F0B246D" w:rsidR="003D5C94" w:rsidRDefault="003D5C94" w:rsidP="6EEFF546">
      <w:pPr>
        <w:spacing w:after="240"/>
      </w:pPr>
      <w:r w:rsidRPr="001803BF">
        <w:t>A separate analysis for the therapeutic application of POCPS was conducted with the inclusion of consumables, capital, and additional hospital cost. Key inclusions in this model that were</w:t>
      </w:r>
      <w:r>
        <w:t xml:space="preserve"> not </w:t>
      </w:r>
      <w:r w:rsidRPr="001803BF">
        <w:t xml:space="preserve">included in the MBS cost sensitivity analysis are the sum of consumable and capital costs </w:t>
      </w:r>
      <w:r w:rsidRPr="001803BF">
        <w:rPr>
          <w:rFonts w:eastAsia="Times New Roman" w:cs="Tahoma"/>
          <w:lang w:eastAsia="en-AU"/>
        </w:rPr>
        <w:t>of POCPS, laparoscopic choledochotomy and ERCP.</w:t>
      </w:r>
    </w:p>
    <w:p w14:paraId="25CA1A0D" w14:textId="2C402FD4" w:rsidR="003F36FF" w:rsidRDefault="0024568F" w:rsidP="6EEFF546">
      <w:pPr>
        <w:spacing w:after="240"/>
      </w:pPr>
      <w:r>
        <w:t xml:space="preserve">Additional sensitivity analyses performed by ESC are presented in </w:t>
      </w:r>
      <w:r>
        <w:fldChar w:fldCharType="begin"/>
      </w:r>
      <w:r>
        <w:instrText xml:space="preserve"> REF _Ref96590000 \h </w:instrText>
      </w:r>
      <w:r>
        <w:fldChar w:fldCharType="separate"/>
      </w:r>
      <w:r w:rsidR="00D422BC">
        <w:t xml:space="preserve">Table </w:t>
      </w:r>
      <w:r w:rsidR="00D422BC">
        <w:rPr>
          <w:noProof/>
        </w:rPr>
        <w:t>23</w:t>
      </w:r>
      <w:r>
        <w:fldChar w:fldCharType="end"/>
      </w:r>
      <w:r>
        <w:t xml:space="preserve">. </w:t>
      </w:r>
      <w:r w:rsidR="00B05EA6">
        <w:t>ESC considered comparisons where ERCP was the only comparator (</w:t>
      </w:r>
      <w:r w:rsidR="00B05EA6" w:rsidRPr="00B05EA6">
        <w:t>laparoscopic choledochotomy</w:t>
      </w:r>
      <w:r w:rsidR="00B05EA6">
        <w:t xml:space="preserve"> third line) and modelling non-inferior effectiveness between POCPS and </w:t>
      </w:r>
      <w:r w:rsidR="00B05EA6" w:rsidRPr="00FF6EEF">
        <w:t>laparoscopic choledochotomy</w:t>
      </w:r>
      <w:r w:rsidR="00B05EA6">
        <w:t xml:space="preserve"> would be informative. </w:t>
      </w:r>
    </w:p>
    <w:p w14:paraId="1DF99D3B" w14:textId="2BDC233F" w:rsidR="0024568F" w:rsidRDefault="0024568F" w:rsidP="0024568F">
      <w:pPr>
        <w:pStyle w:val="Caption"/>
      </w:pPr>
      <w:bookmarkStart w:id="130" w:name="_Ref96590000"/>
      <w:r>
        <w:t xml:space="preserve">Table </w:t>
      </w:r>
      <w:fldSimple w:instr=" SEQ Table \* ARABIC ">
        <w:r w:rsidR="00D422BC">
          <w:rPr>
            <w:noProof/>
          </w:rPr>
          <w:t>23</w:t>
        </w:r>
      </w:fldSimple>
      <w:bookmarkEnd w:id="130"/>
      <w:r>
        <w:t xml:space="preserve">: Sensitivity analyses </w:t>
      </w:r>
      <w:r w:rsidR="00B05EA6">
        <w:t>performed for ESC</w:t>
      </w:r>
    </w:p>
    <w:tbl>
      <w:tblPr>
        <w:tblStyle w:val="ADAR"/>
        <w:tblW w:w="9016" w:type="dxa"/>
        <w:tblLook w:val="04A0" w:firstRow="1" w:lastRow="0" w:firstColumn="1" w:lastColumn="0" w:noHBand="0" w:noVBand="1"/>
      </w:tblPr>
      <w:tblGrid>
        <w:gridCol w:w="3114"/>
        <w:gridCol w:w="1417"/>
        <w:gridCol w:w="1708"/>
        <w:gridCol w:w="2777"/>
      </w:tblGrid>
      <w:tr w:rsidR="00BA1768" w:rsidRPr="0058435C" w14:paraId="0FC66238" w14:textId="77777777" w:rsidTr="00BA1768">
        <w:trPr>
          <w:tblHeader/>
        </w:trPr>
        <w:tc>
          <w:tcPr>
            <w:tcW w:w="3114" w:type="dxa"/>
          </w:tcPr>
          <w:p w14:paraId="1554E6CF" w14:textId="1F8FE9A6" w:rsidR="003F36FF" w:rsidRPr="0058435C" w:rsidRDefault="003F36FF" w:rsidP="003A6CC7">
            <w:pPr>
              <w:pStyle w:val="TableHeading0"/>
              <w:keepNext/>
              <w:keepLines/>
            </w:pPr>
            <w:r>
              <w:t>Parameter</w:t>
            </w:r>
          </w:p>
        </w:tc>
        <w:tc>
          <w:tcPr>
            <w:tcW w:w="1417" w:type="dxa"/>
          </w:tcPr>
          <w:p w14:paraId="75275D4D" w14:textId="03B212F4" w:rsidR="003F36FF" w:rsidRPr="0058435C" w:rsidRDefault="00DB02B5" w:rsidP="00DB02B5">
            <w:pPr>
              <w:pStyle w:val="TableHeading0"/>
              <w:keepNext/>
              <w:keepLines/>
              <w:jc w:val="center"/>
            </w:pPr>
            <w:r>
              <w:t>Incremental effectiveness</w:t>
            </w:r>
          </w:p>
        </w:tc>
        <w:tc>
          <w:tcPr>
            <w:tcW w:w="1708" w:type="dxa"/>
          </w:tcPr>
          <w:p w14:paraId="02334578" w14:textId="488954FE" w:rsidR="003F36FF" w:rsidRPr="0058435C" w:rsidRDefault="00DB02B5" w:rsidP="00DB02B5">
            <w:pPr>
              <w:pStyle w:val="TableHeading0"/>
              <w:keepNext/>
              <w:keepLines/>
              <w:jc w:val="center"/>
            </w:pPr>
            <w:r>
              <w:t>Incremental cost</w:t>
            </w:r>
          </w:p>
        </w:tc>
        <w:tc>
          <w:tcPr>
            <w:tcW w:w="2777" w:type="dxa"/>
          </w:tcPr>
          <w:p w14:paraId="03FCAEB1" w14:textId="114D66DD" w:rsidR="003F36FF" w:rsidRPr="0058435C" w:rsidRDefault="00DB02B5" w:rsidP="00FF6EEF">
            <w:pPr>
              <w:pStyle w:val="TableHeading0"/>
              <w:keepNext/>
              <w:keepLines/>
              <w:jc w:val="center"/>
            </w:pPr>
            <w:r>
              <w:t>ICER</w:t>
            </w:r>
            <w:r w:rsidR="00FF6EEF">
              <w:t xml:space="preserve"> </w:t>
            </w:r>
            <w:r w:rsidR="00FF6EEF">
              <w:br/>
              <w:t>(per successful  stone removal)</w:t>
            </w:r>
          </w:p>
        </w:tc>
      </w:tr>
      <w:tr w:rsidR="00BA1768" w:rsidRPr="005613AC" w14:paraId="2D70C6B0" w14:textId="77777777" w:rsidTr="00BA1768">
        <w:trPr>
          <w:trHeight w:val="70"/>
        </w:trPr>
        <w:tc>
          <w:tcPr>
            <w:tcW w:w="3114" w:type="dxa"/>
          </w:tcPr>
          <w:p w14:paraId="48B2C55E" w14:textId="6493761C" w:rsidR="003F36FF" w:rsidRPr="00E54CFD" w:rsidRDefault="00DB02B5" w:rsidP="003A6CC7">
            <w:pPr>
              <w:pStyle w:val="TableText"/>
              <w:keepNext/>
              <w:keepLines/>
              <w:rPr>
                <w:b/>
                <w:bCs/>
              </w:rPr>
            </w:pPr>
            <w:r>
              <w:rPr>
                <w:b/>
                <w:bCs/>
              </w:rPr>
              <w:t>Base case</w:t>
            </w:r>
          </w:p>
        </w:tc>
        <w:tc>
          <w:tcPr>
            <w:tcW w:w="1417" w:type="dxa"/>
          </w:tcPr>
          <w:p w14:paraId="0D4A793C" w14:textId="29CCD89D" w:rsidR="003F36FF" w:rsidRPr="005613AC" w:rsidRDefault="00DB02B5" w:rsidP="00DB02B5">
            <w:pPr>
              <w:pStyle w:val="TableTextCA"/>
              <w:keepNext/>
              <w:keepLines/>
            </w:pPr>
            <w:r>
              <w:t>+67</w:t>
            </w:r>
          </w:p>
        </w:tc>
        <w:tc>
          <w:tcPr>
            <w:tcW w:w="1708" w:type="dxa"/>
          </w:tcPr>
          <w:p w14:paraId="7D19B8ED" w14:textId="6143A33C" w:rsidR="003F36FF" w:rsidRPr="005613AC" w:rsidRDefault="00FF6EEF" w:rsidP="00DB02B5">
            <w:pPr>
              <w:pStyle w:val="TableTextCA"/>
              <w:keepNext/>
              <w:keepLines/>
            </w:pPr>
            <w:r>
              <w:t>-</w:t>
            </w:r>
            <w:r w:rsidR="00DB02B5" w:rsidRPr="00DB02B5">
              <w:t>$2,484,771</w:t>
            </w:r>
          </w:p>
        </w:tc>
        <w:tc>
          <w:tcPr>
            <w:tcW w:w="2777" w:type="dxa"/>
          </w:tcPr>
          <w:p w14:paraId="5ED85CE6" w14:textId="73E8F266" w:rsidR="003F36FF" w:rsidRPr="005613AC" w:rsidRDefault="00DB02B5" w:rsidP="00DB02B5">
            <w:pPr>
              <w:pStyle w:val="TableTextCA"/>
              <w:keepNext/>
              <w:keepLines/>
            </w:pPr>
            <w:r>
              <w:t>Dominant</w:t>
            </w:r>
          </w:p>
        </w:tc>
      </w:tr>
      <w:tr w:rsidR="00BA1768" w:rsidRPr="008D6C7C" w14:paraId="2AFFDFE9" w14:textId="77777777" w:rsidTr="00BA1768">
        <w:trPr>
          <w:trHeight w:val="70"/>
        </w:trPr>
        <w:tc>
          <w:tcPr>
            <w:tcW w:w="3114" w:type="dxa"/>
          </w:tcPr>
          <w:p w14:paraId="5A830D53" w14:textId="7A997985" w:rsidR="003F36FF" w:rsidRDefault="00DB02B5" w:rsidP="003A6CC7">
            <w:pPr>
              <w:pStyle w:val="TableText"/>
              <w:keepNext/>
              <w:keepLines/>
            </w:pPr>
            <w:r>
              <w:t>ERCP as only comparator</w:t>
            </w:r>
          </w:p>
        </w:tc>
        <w:tc>
          <w:tcPr>
            <w:tcW w:w="1417" w:type="dxa"/>
          </w:tcPr>
          <w:p w14:paraId="70A31C9D" w14:textId="28685018" w:rsidR="003F36FF" w:rsidRPr="003C4FB7" w:rsidRDefault="00DB02B5" w:rsidP="003A6CC7">
            <w:pPr>
              <w:pStyle w:val="TableTextCA"/>
              <w:keepNext/>
              <w:keepLines/>
            </w:pPr>
            <w:r>
              <w:t>+113</w:t>
            </w:r>
          </w:p>
        </w:tc>
        <w:tc>
          <w:tcPr>
            <w:tcW w:w="1708" w:type="dxa"/>
          </w:tcPr>
          <w:p w14:paraId="3C8DAFB7" w14:textId="017B7195" w:rsidR="003F36FF" w:rsidRPr="003C4FB7" w:rsidRDefault="0024568F" w:rsidP="003A6CC7">
            <w:pPr>
              <w:pStyle w:val="TableTextCA"/>
              <w:keepNext/>
              <w:keepLines/>
            </w:pPr>
            <w:r w:rsidRPr="0024568F">
              <w:t>-$3,425,29</w:t>
            </w:r>
            <w:r>
              <w:t>8</w:t>
            </w:r>
          </w:p>
        </w:tc>
        <w:tc>
          <w:tcPr>
            <w:tcW w:w="2777" w:type="dxa"/>
          </w:tcPr>
          <w:p w14:paraId="229AE2EA" w14:textId="7120E60B" w:rsidR="003F36FF" w:rsidRPr="008D6C7C" w:rsidRDefault="0024568F" w:rsidP="003A6CC7">
            <w:pPr>
              <w:pStyle w:val="TableTextCA"/>
              <w:keepNext/>
              <w:keepLines/>
            </w:pPr>
            <w:r>
              <w:t>Dominant</w:t>
            </w:r>
            <w:r w:rsidR="00DB02B5">
              <w:t xml:space="preserve"> </w:t>
            </w:r>
          </w:p>
        </w:tc>
      </w:tr>
      <w:tr w:rsidR="00BA1768" w:rsidRPr="005613AC" w14:paraId="277EF507" w14:textId="77777777" w:rsidTr="00BA1768">
        <w:trPr>
          <w:trHeight w:val="70"/>
        </w:trPr>
        <w:tc>
          <w:tcPr>
            <w:tcW w:w="3114" w:type="dxa"/>
          </w:tcPr>
          <w:p w14:paraId="353DAA43" w14:textId="69DD14AA" w:rsidR="003F36FF" w:rsidRPr="004C115C" w:rsidRDefault="00FF4255" w:rsidP="003A6CC7">
            <w:pPr>
              <w:pStyle w:val="TableText"/>
              <w:keepNext/>
              <w:keepLines/>
            </w:pPr>
            <w:r>
              <w:t xml:space="preserve">POCPS non-inferior to </w:t>
            </w:r>
            <w:r w:rsidR="00FF6EEF" w:rsidRPr="00FF6EEF">
              <w:t>laparoscopic choledochotomy</w:t>
            </w:r>
            <w:r w:rsidR="00FF6EEF">
              <w:t xml:space="preserve"> </w:t>
            </w:r>
            <w:r w:rsidR="0024568F">
              <w:t>(83% clearance)</w:t>
            </w:r>
          </w:p>
        </w:tc>
        <w:tc>
          <w:tcPr>
            <w:tcW w:w="1417" w:type="dxa"/>
          </w:tcPr>
          <w:p w14:paraId="19B9A429" w14:textId="45AA8BA6" w:rsidR="003F36FF" w:rsidRPr="005613AC" w:rsidRDefault="00FF6EEF" w:rsidP="003A6CC7">
            <w:pPr>
              <w:pStyle w:val="TableTextCA"/>
              <w:keepNext/>
              <w:keepLines/>
            </w:pPr>
            <w:r>
              <w:t>+76</w:t>
            </w:r>
          </w:p>
        </w:tc>
        <w:tc>
          <w:tcPr>
            <w:tcW w:w="1708" w:type="dxa"/>
          </w:tcPr>
          <w:p w14:paraId="01DB67E1" w14:textId="759DC735" w:rsidR="003F36FF" w:rsidRPr="005613AC" w:rsidRDefault="00FF6EEF" w:rsidP="003A6CC7">
            <w:pPr>
              <w:pStyle w:val="TableTextCA"/>
              <w:keepNext/>
              <w:keepLines/>
            </w:pPr>
            <w:r w:rsidRPr="00FF6EEF">
              <w:t>-$3,425,298</w:t>
            </w:r>
          </w:p>
        </w:tc>
        <w:tc>
          <w:tcPr>
            <w:tcW w:w="2777" w:type="dxa"/>
          </w:tcPr>
          <w:p w14:paraId="592CD1F1" w14:textId="03426A29" w:rsidR="003F36FF" w:rsidRPr="005613AC" w:rsidRDefault="00FF6EEF" w:rsidP="003A6CC7">
            <w:pPr>
              <w:pStyle w:val="TableTextCA"/>
              <w:keepNext/>
              <w:keepLines/>
            </w:pPr>
            <w:r>
              <w:t>Dominant</w:t>
            </w:r>
          </w:p>
        </w:tc>
      </w:tr>
      <w:tr w:rsidR="00BA1768" w:rsidRPr="005613AC" w14:paraId="2B1EF6F7" w14:textId="77777777" w:rsidTr="00BA1768">
        <w:trPr>
          <w:trHeight w:val="70"/>
        </w:trPr>
        <w:tc>
          <w:tcPr>
            <w:tcW w:w="9016" w:type="dxa"/>
            <w:gridSpan w:val="4"/>
            <w:vAlign w:val="center"/>
          </w:tcPr>
          <w:p w14:paraId="08FE9ECE" w14:textId="47FAC929" w:rsidR="00BA1768" w:rsidRPr="00BA1768" w:rsidRDefault="00BA1768" w:rsidP="00BA1768">
            <w:pPr>
              <w:pStyle w:val="TableTextCA"/>
              <w:keepNext/>
              <w:keepLines/>
              <w:jc w:val="left"/>
              <w:rPr>
                <w:b/>
                <w:bCs/>
              </w:rPr>
            </w:pPr>
            <w:r w:rsidRPr="00BA1768">
              <w:rPr>
                <w:b/>
                <w:bCs/>
              </w:rPr>
              <w:t>+ MBS cost of POCPS = ERCP</w:t>
            </w:r>
          </w:p>
        </w:tc>
      </w:tr>
      <w:tr w:rsidR="00BA1768" w:rsidRPr="005613AC" w14:paraId="51A8B32E" w14:textId="77777777" w:rsidTr="00BA1768">
        <w:trPr>
          <w:trHeight w:val="70"/>
        </w:trPr>
        <w:tc>
          <w:tcPr>
            <w:tcW w:w="3114" w:type="dxa"/>
          </w:tcPr>
          <w:p w14:paraId="0691E2C1" w14:textId="596141D8" w:rsidR="00DB02B5" w:rsidRPr="004C115C" w:rsidRDefault="00BA1768" w:rsidP="003A6CC7">
            <w:pPr>
              <w:pStyle w:val="TableText"/>
              <w:keepNext/>
              <w:keepLines/>
            </w:pPr>
            <w:r>
              <w:t>Base case (revised fee)</w:t>
            </w:r>
          </w:p>
        </w:tc>
        <w:tc>
          <w:tcPr>
            <w:tcW w:w="1417" w:type="dxa"/>
          </w:tcPr>
          <w:p w14:paraId="25B4C548" w14:textId="21DD89B9" w:rsidR="00DB02B5" w:rsidRPr="005613AC" w:rsidRDefault="0024568F" w:rsidP="003A6CC7">
            <w:pPr>
              <w:pStyle w:val="TableTextCA"/>
              <w:keepNext/>
              <w:keepLines/>
            </w:pPr>
            <w:r>
              <w:t>+67</w:t>
            </w:r>
          </w:p>
        </w:tc>
        <w:tc>
          <w:tcPr>
            <w:tcW w:w="1708" w:type="dxa"/>
          </w:tcPr>
          <w:p w14:paraId="2301135B" w14:textId="43EBD043" w:rsidR="00DB02B5" w:rsidRPr="005613AC" w:rsidRDefault="0024568F" w:rsidP="003A6CC7">
            <w:pPr>
              <w:pStyle w:val="TableTextCA"/>
              <w:keepNext/>
              <w:keepLines/>
            </w:pPr>
            <w:r w:rsidRPr="0024568F">
              <w:t>-$3,051,952</w:t>
            </w:r>
          </w:p>
        </w:tc>
        <w:tc>
          <w:tcPr>
            <w:tcW w:w="2777" w:type="dxa"/>
          </w:tcPr>
          <w:p w14:paraId="7B50465F" w14:textId="3662B8DF" w:rsidR="00DB02B5" w:rsidRPr="005613AC" w:rsidRDefault="0024568F" w:rsidP="003A6CC7">
            <w:pPr>
              <w:pStyle w:val="TableTextCA"/>
              <w:keepNext/>
              <w:keepLines/>
            </w:pPr>
            <w:r>
              <w:t>Dominant</w:t>
            </w:r>
          </w:p>
        </w:tc>
      </w:tr>
      <w:tr w:rsidR="00BA1768" w:rsidRPr="005613AC" w14:paraId="2844E9F5" w14:textId="77777777" w:rsidTr="00BA1768">
        <w:trPr>
          <w:trHeight w:val="70"/>
        </w:trPr>
        <w:tc>
          <w:tcPr>
            <w:tcW w:w="3114" w:type="dxa"/>
          </w:tcPr>
          <w:p w14:paraId="4865ECDA" w14:textId="752CBC18" w:rsidR="00BA1768" w:rsidRPr="004C115C" w:rsidRDefault="00BA1768" w:rsidP="00BA1768">
            <w:pPr>
              <w:pStyle w:val="TableText"/>
              <w:keepNext/>
              <w:keepLines/>
            </w:pPr>
            <w:r w:rsidRPr="00A91C93">
              <w:t>ERCP as only comparator</w:t>
            </w:r>
          </w:p>
        </w:tc>
        <w:tc>
          <w:tcPr>
            <w:tcW w:w="1417" w:type="dxa"/>
          </w:tcPr>
          <w:p w14:paraId="093C35A6" w14:textId="1B21E9A0" w:rsidR="00BA1768" w:rsidRPr="005613AC" w:rsidRDefault="00BA1768" w:rsidP="00BA1768">
            <w:pPr>
              <w:pStyle w:val="TableTextCA"/>
              <w:keepNext/>
              <w:keepLines/>
            </w:pPr>
            <w:r>
              <w:t>+113</w:t>
            </w:r>
          </w:p>
        </w:tc>
        <w:tc>
          <w:tcPr>
            <w:tcW w:w="1708" w:type="dxa"/>
          </w:tcPr>
          <w:p w14:paraId="65E2DB99" w14:textId="78DE1F93" w:rsidR="00BA1768" w:rsidRPr="005613AC" w:rsidRDefault="00BA1768" w:rsidP="00BA1768">
            <w:pPr>
              <w:pStyle w:val="TableTextCA"/>
              <w:keepNext/>
              <w:keepLines/>
            </w:pPr>
            <w:r w:rsidRPr="00BA1768">
              <w:t>-$1,403,591</w:t>
            </w:r>
          </w:p>
        </w:tc>
        <w:tc>
          <w:tcPr>
            <w:tcW w:w="2777" w:type="dxa"/>
          </w:tcPr>
          <w:p w14:paraId="4B0F628F" w14:textId="1499E48B" w:rsidR="00BA1768" w:rsidRPr="005613AC" w:rsidRDefault="00BA1768" w:rsidP="00BA1768">
            <w:pPr>
              <w:pStyle w:val="TableTextCA"/>
              <w:keepNext/>
              <w:keepLines/>
            </w:pPr>
            <w:r>
              <w:t>Dominant</w:t>
            </w:r>
          </w:p>
        </w:tc>
      </w:tr>
      <w:tr w:rsidR="00BA1768" w:rsidRPr="005613AC" w14:paraId="7DBE146F" w14:textId="77777777" w:rsidTr="00BA1768">
        <w:trPr>
          <w:trHeight w:val="70"/>
        </w:trPr>
        <w:tc>
          <w:tcPr>
            <w:tcW w:w="3114" w:type="dxa"/>
          </w:tcPr>
          <w:p w14:paraId="2C54A599" w14:textId="4CA640C1" w:rsidR="00BA1768" w:rsidRPr="004C115C" w:rsidRDefault="00BA1768" w:rsidP="00BA1768">
            <w:pPr>
              <w:pStyle w:val="TableText"/>
              <w:keepNext/>
              <w:keepLines/>
            </w:pPr>
            <w:r w:rsidRPr="00A91C93">
              <w:t xml:space="preserve">POCPS non-inferior to laparoscopic choledochotomy  </w:t>
            </w:r>
            <w:r w:rsidR="0024568F" w:rsidRPr="0024568F">
              <w:t>(83% clearance)</w:t>
            </w:r>
          </w:p>
        </w:tc>
        <w:tc>
          <w:tcPr>
            <w:tcW w:w="1417" w:type="dxa"/>
          </w:tcPr>
          <w:p w14:paraId="4661A637" w14:textId="49A3BC99" w:rsidR="00BA1768" w:rsidRPr="005613AC" w:rsidRDefault="00BA1768" w:rsidP="00BA1768">
            <w:pPr>
              <w:pStyle w:val="TableTextCA"/>
              <w:keepNext/>
              <w:keepLines/>
            </w:pPr>
            <w:r>
              <w:t>+76</w:t>
            </w:r>
          </w:p>
        </w:tc>
        <w:tc>
          <w:tcPr>
            <w:tcW w:w="1708" w:type="dxa"/>
          </w:tcPr>
          <w:p w14:paraId="2B325856" w14:textId="4B31A914" w:rsidR="00BA1768" w:rsidRPr="005613AC" w:rsidRDefault="00BA1768" w:rsidP="00BA1768">
            <w:pPr>
              <w:pStyle w:val="TableTextCA"/>
              <w:keepNext/>
              <w:keepLines/>
            </w:pPr>
            <w:r w:rsidRPr="00BA1768">
              <w:t>-$3,992,478</w:t>
            </w:r>
          </w:p>
        </w:tc>
        <w:tc>
          <w:tcPr>
            <w:tcW w:w="2777" w:type="dxa"/>
          </w:tcPr>
          <w:p w14:paraId="4573923D" w14:textId="5F0840D9" w:rsidR="00BA1768" w:rsidRPr="005613AC" w:rsidRDefault="00BA1768" w:rsidP="00BA1768">
            <w:pPr>
              <w:pStyle w:val="TableTextCA"/>
              <w:keepNext/>
              <w:keepLines/>
            </w:pPr>
            <w:r>
              <w:t>Dominant</w:t>
            </w:r>
          </w:p>
        </w:tc>
      </w:tr>
    </w:tbl>
    <w:p w14:paraId="0436B8F9" w14:textId="1489706C" w:rsidR="00B05EA6" w:rsidRDefault="00B05EA6" w:rsidP="00B05EA6">
      <w:pPr>
        <w:pStyle w:val="Abbreviations"/>
        <w:rPr>
          <w:snapToGrid w:val="0"/>
        </w:rPr>
      </w:pPr>
      <w:r>
        <w:t>Source: Calculated for the ESC report</w:t>
      </w:r>
      <w:r w:rsidR="00627FC8">
        <w:t xml:space="preserve"> using capital costs presented in the ADAR</w:t>
      </w:r>
      <w:r>
        <w:br/>
      </w:r>
      <w:r w:rsidRPr="0005649D">
        <w:t>Abbreviations</w:t>
      </w:r>
      <w:r>
        <w:t xml:space="preserve">: </w:t>
      </w:r>
      <w:r w:rsidRPr="001A4E5B">
        <w:rPr>
          <w:snapToGrid w:val="0"/>
        </w:rPr>
        <w:t>ERCP</w:t>
      </w:r>
      <w:r>
        <w:rPr>
          <w:snapToGrid w:val="0"/>
        </w:rPr>
        <w:t xml:space="preserve"> </w:t>
      </w:r>
      <w:r w:rsidRPr="001A4E5B">
        <w:rPr>
          <w:snapToGrid w:val="0"/>
        </w:rPr>
        <w:t xml:space="preserve">= </w:t>
      </w:r>
      <w:r w:rsidRPr="0005649D">
        <w:rPr>
          <w:snapToGrid w:val="0"/>
        </w:rPr>
        <w:t>endoscopic</w:t>
      </w:r>
      <w:r w:rsidRPr="001A4E5B">
        <w:rPr>
          <w:snapToGrid w:val="0"/>
        </w:rPr>
        <w:t xml:space="preserve"> retrograde cholangiopancreatography</w:t>
      </w:r>
      <w:r>
        <w:rPr>
          <w:snapToGrid w:val="0"/>
        </w:rPr>
        <w:t xml:space="preserve">; </w:t>
      </w:r>
      <w:r w:rsidRPr="001A4E5B">
        <w:rPr>
          <w:snapToGrid w:val="0"/>
        </w:rPr>
        <w:t>POCPS</w:t>
      </w:r>
      <w:r>
        <w:rPr>
          <w:snapToGrid w:val="0"/>
        </w:rPr>
        <w:t xml:space="preserve"> </w:t>
      </w:r>
      <w:r w:rsidRPr="001A4E5B">
        <w:rPr>
          <w:snapToGrid w:val="0"/>
        </w:rPr>
        <w:t xml:space="preserve">= </w:t>
      </w:r>
      <w:r w:rsidRPr="0005649D">
        <w:rPr>
          <w:snapToGrid w:val="0"/>
        </w:rPr>
        <w:t xml:space="preserve">single </w:t>
      </w:r>
      <w:r w:rsidRPr="001A4E5B">
        <w:rPr>
          <w:snapToGrid w:val="0"/>
        </w:rPr>
        <w:t>operator, single use, peroral</w:t>
      </w:r>
      <w:r>
        <w:rPr>
          <w:snapToGrid w:val="0"/>
        </w:rPr>
        <w:t xml:space="preserve"> </w:t>
      </w:r>
      <w:r w:rsidRPr="001A4E5B">
        <w:rPr>
          <w:snapToGrid w:val="0"/>
        </w:rPr>
        <w:t>cholangiopancreatoscopy</w:t>
      </w:r>
    </w:p>
    <w:bookmarkEnd w:id="129"/>
    <w:p w14:paraId="3EA63D5E" w14:textId="77777777" w:rsidR="007B6DDB" w:rsidRDefault="007B6DDB" w:rsidP="007B6DDB">
      <w:pPr>
        <w:pStyle w:val="Heading4"/>
      </w:pPr>
      <w:r>
        <w:t>Investigative application</w:t>
      </w:r>
    </w:p>
    <w:p w14:paraId="0A8D07C2" w14:textId="6C361CBA" w:rsidR="007B6DDB" w:rsidRPr="00C3508B" w:rsidRDefault="007B6DDB" w:rsidP="00096324">
      <w:pPr>
        <w:pStyle w:val="BodyText"/>
        <w:spacing w:before="120" w:after="240" w:line="259" w:lineRule="auto"/>
        <w:rPr>
          <w:rFonts w:ascii="Franklin Gothic Book" w:eastAsiaTheme="minorHAnsi" w:hAnsi="Franklin Gothic Book" w:cstheme="minorBidi"/>
          <w:lang w:eastAsia="en-US"/>
        </w:rPr>
      </w:pPr>
      <w:r w:rsidRPr="00C3508B">
        <w:rPr>
          <w:rFonts w:ascii="Franklin Gothic Book" w:eastAsiaTheme="minorHAnsi" w:hAnsi="Franklin Gothic Book" w:cstheme="minorBidi"/>
          <w:lang w:eastAsia="en-US"/>
        </w:rPr>
        <w:t xml:space="preserve">The clinical and costs impacts of POCPS-guided visualisation and biopsy are presented in </w:t>
      </w:r>
      <w:r w:rsidRPr="00C3508B">
        <w:rPr>
          <w:rFonts w:ascii="Franklin Gothic Book" w:eastAsiaTheme="minorHAnsi" w:hAnsi="Franklin Gothic Book" w:cstheme="minorBidi"/>
          <w:lang w:eastAsia="en-US"/>
        </w:rPr>
        <w:fldChar w:fldCharType="begin"/>
      </w:r>
      <w:r>
        <w:instrText xml:space="preserve"> REF _Ref79135745 \h  \* MERGEFORMAT </w:instrText>
      </w:r>
      <w:r w:rsidRPr="00C3508B">
        <w:rPr>
          <w:rFonts w:ascii="Franklin Gothic Book" w:eastAsiaTheme="minorHAnsi" w:hAnsi="Franklin Gothic Book" w:cstheme="minorBidi"/>
          <w:lang w:eastAsia="en-US"/>
        </w:rPr>
      </w:r>
      <w:r w:rsidRPr="00C3508B">
        <w:rPr>
          <w:rFonts w:ascii="Franklin Gothic Book" w:eastAsiaTheme="minorHAnsi" w:hAnsi="Franklin Gothic Book" w:cstheme="minorBidi"/>
          <w:lang w:eastAsia="en-US"/>
        </w:rPr>
        <w:fldChar w:fldCharType="separate"/>
      </w:r>
      <w:r w:rsidR="00D422BC" w:rsidRPr="00D422BC">
        <w:rPr>
          <w:rFonts w:ascii="Franklin Gothic Book" w:eastAsiaTheme="minorHAnsi" w:hAnsi="Franklin Gothic Book" w:cstheme="minorBidi"/>
          <w:lang w:eastAsia="en-US"/>
        </w:rPr>
        <w:t>Table 24</w:t>
      </w:r>
      <w:r w:rsidRPr="00C3508B">
        <w:rPr>
          <w:rFonts w:ascii="Franklin Gothic Book" w:eastAsiaTheme="minorHAnsi" w:hAnsi="Franklin Gothic Book" w:cstheme="minorBidi"/>
          <w:lang w:eastAsia="en-US"/>
        </w:rPr>
        <w:fldChar w:fldCharType="end"/>
      </w:r>
      <w:r w:rsidRPr="00C3508B">
        <w:rPr>
          <w:rFonts w:ascii="Franklin Gothic Book" w:eastAsiaTheme="minorHAnsi" w:hAnsi="Franklin Gothic Book" w:cstheme="minorBidi"/>
          <w:lang w:eastAsia="en-US"/>
        </w:rPr>
        <w:t>.</w:t>
      </w:r>
    </w:p>
    <w:p w14:paraId="5F6F5153" w14:textId="355AD047" w:rsidR="007B6DDB" w:rsidRPr="00C3508B" w:rsidRDefault="007B6DDB" w:rsidP="00096324">
      <w:pPr>
        <w:pStyle w:val="BodyText"/>
        <w:spacing w:before="120" w:after="240" w:line="259" w:lineRule="auto"/>
        <w:rPr>
          <w:rFonts w:ascii="Franklin Gothic Book" w:eastAsiaTheme="minorHAnsi" w:hAnsi="Franklin Gothic Book" w:cstheme="minorBidi"/>
          <w:lang w:eastAsia="en-US"/>
        </w:rPr>
      </w:pPr>
      <w:r w:rsidRPr="00C3508B">
        <w:rPr>
          <w:rFonts w:ascii="Franklin Gothic Book" w:eastAsiaTheme="minorHAnsi" w:hAnsi="Franklin Gothic Book" w:cstheme="minorBidi"/>
          <w:lang w:eastAsia="en-US"/>
        </w:rPr>
        <w:t>In the base case analysis for patients with difficult biliary stones, POCPS-guided visualisation/biopsy was associated with an incremental saving of $2,568.39 per correctly diagnosed patient. When including the costs to the hospital budget, the incremental cost per correctly diagnosed patient was $6,807.96. Th</w:t>
      </w:r>
      <w:r w:rsidR="00B05EA6">
        <w:rPr>
          <w:rFonts w:ascii="Franklin Gothic Book" w:eastAsiaTheme="minorHAnsi" w:hAnsi="Franklin Gothic Book" w:cstheme="minorBidi"/>
          <w:lang w:eastAsia="en-US"/>
        </w:rPr>
        <w:t xml:space="preserve">e commentary considered that </w:t>
      </w:r>
      <w:r w:rsidRPr="00C3508B">
        <w:rPr>
          <w:rFonts w:ascii="Franklin Gothic Book" w:eastAsiaTheme="minorHAnsi" w:hAnsi="Franklin Gothic Book" w:cstheme="minorBidi"/>
          <w:lang w:eastAsia="en-US"/>
        </w:rPr>
        <w:t xml:space="preserve">is a reasonable cost given that earlier diagnosis of malignancy increases the proportion of patients eligible for surgical resection, which remains the only means of cure for biliary tract cancer (Fairweather et al., 2016).  </w:t>
      </w:r>
    </w:p>
    <w:p w14:paraId="4C8FD1AA" w14:textId="30404339" w:rsidR="007B6DDB" w:rsidRPr="00CE28E3" w:rsidRDefault="007B6DDB" w:rsidP="007B6DDB">
      <w:pPr>
        <w:pStyle w:val="Caption"/>
      </w:pPr>
      <w:bookmarkStart w:id="131" w:name="_Ref79135745"/>
      <w:bookmarkStart w:id="132" w:name="_Toc84313683"/>
      <w:bookmarkStart w:id="133" w:name="_Toc84324829"/>
      <w:bookmarkStart w:id="134" w:name="_Toc84344261"/>
      <w:bookmarkStart w:id="135" w:name="_Toc84348152"/>
      <w:r w:rsidRPr="00CE28E3">
        <w:t>Table</w:t>
      </w:r>
      <w:r>
        <w:t> </w:t>
      </w:r>
      <w:r>
        <w:fldChar w:fldCharType="begin"/>
      </w:r>
      <w:r>
        <w:instrText>SEQ Table \* ARABIC</w:instrText>
      </w:r>
      <w:r>
        <w:fldChar w:fldCharType="separate"/>
      </w:r>
      <w:r w:rsidR="00D422BC">
        <w:rPr>
          <w:noProof/>
        </w:rPr>
        <w:t>24</w:t>
      </w:r>
      <w:r>
        <w:fldChar w:fldCharType="end"/>
      </w:r>
      <w:bookmarkEnd w:id="131"/>
      <w:r w:rsidRPr="00CE28E3">
        <w:tab/>
      </w:r>
      <w:r>
        <w:t>S</w:t>
      </w:r>
      <w:r w:rsidRPr="00CE28E3">
        <w:t>ummary of</w:t>
      </w:r>
      <w:r>
        <w:t xml:space="preserve"> clinical and </w:t>
      </w:r>
      <w:r w:rsidRPr="00CE28E3">
        <w:t>cost impacts</w:t>
      </w:r>
      <w:r>
        <w:t xml:space="preserve"> </w:t>
      </w:r>
      <w:r w:rsidRPr="00CE28E3">
        <w:t>in the economic evaluation</w:t>
      </w:r>
      <w:r w:rsidRPr="00743489">
        <w:t xml:space="preserve"> </w:t>
      </w:r>
      <w:r>
        <w:t>of investigative POCPS (per 1,000 procedures)</w:t>
      </w:r>
      <w:bookmarkEnd w:id="132"/>
      <w:bookmarkEnd w:id="133"/>
      <w:bookmarkEnd w:id="134"/>
      <w:bookmarkEnd w:id="135"/>
    </w:p>
    <w:tbl>
      <w:tblPr>
        <w:tblStyle w:val="ADAR"/>
        <w:tblW w:w="5000" w:type="pct"/>
        <w:tblLook w:val="04A0" w:firstRow="1" w:lastRow="0" w:firstColumn="1" w:lastColumn="0" w:noHBand="0" w:noVBand="1"/>
      </w:tblPr>
      <w:tblGrid>
        <w:gridCol w:w="5035"/>
        <w:gridCol w:w="1358"/>
        <w:gridCol w:w="1358"/>
        <w:gridCol w:w="1265"/>
      </w:tblGrid>
      <w:tr w:rsidR="007B6DDB" w:rsidRPr="009032B4" w14:paraId="55A3F0EB" w14:textId="77777777" w:rsidTr="00F025A0">
        <w:trPr>
          <w:trHeight w:val="283"/>
          <w:tblHeader/>
        </w:trPr>
        <w:tc>
          <w:tcPr>
            <w:tcW w:w="2793" w:type="pct"/>
          </w:tcPr>
          <w:p w14:paraId="446B51E8" w14:textId="77777777" w:rsidR="007B6DDB" w:rsidRPr="009032B4" w:rsidRDefault="007B6DDB" w:rsidP="006D10FC">
            <w:pPr>
              <w:pStyle w:val="TableHeading0"/>
            </w:pPr>
            <w:r w:rsidRPr="009032B4">
              <w:t>Type of resource item</w:t>
            </w:r>
          </w:p>
        </w:tc>
        <w:tc>
          <w:tcPr>
            <w:tcW w:w="753" w:type="pct"/>
          </w:tcPr>
          <w:p w14:paraId="64320161" w14:textId="77777777" w:rsidR="007B6DDB" w:rsidRPr="00E51719" w:rsidRDefault="007B6DDB" w:rsidP="00B05EA6">
            <w:pPr>
              <w:pStyle w:val="TableHeading0"/>
              <w:jc w:val="center"/>
            </w:pPr>
            <w:r w:rsidRPr="009032B4">
              <w:t>POCPS</w:t>
            </w:r>
          </w:p>
        </w:tc>
        <w:tc>
          <w:tcPr>
            <w:tcW w:w="753" w:type="pct"/>
          </w:tcPr>
          <w:p w14:paraId="6D6BC6BE" w14:textId="77777777" w:rsidR="007B6DDB" w:rsidRPr="00AE6932" w:rsidRDefault="007B6DDB" w:rsidP="00B05EA6">
            <w:pPr>
              <w:pStyle w:val="TableHeading0"/>
              <w:jc w:val="center"/>
            </w:pPr>
            <w:r w:rsidRPr="00AE6932">
              <w:t>ERCP</w:t>
            </w:r>
          </w:p>
        </w:tc>
        <w:tc>
          <w:tcPr>
            <w:tcW w:w="702" w:type="pct"/>
          </w:tcPr>
          <w:p w14:paraId="5AB4656D" w14:textId="4405C82A" w:rsidR="007B6DDB" w:rsidRPr="002D495E" w:rsidRDefault="007B6DDB" w:rsidP="00B05EA6">
            <w:pPr>
              <w:pStyle w:val="TableHeading0"/>
              <w:jc w:val="center"/>
            </w:pPr>
            <w:r w:rsidRPr="002D495E">
              <w:t>Incremental</w:t>
            </w:r>
          </w:p>
        </w:tc>
      </w:tr>
      <w:tr w:rsidR="007B6DDB" w:rsidRPr="009032B4" w14:paraId="32E67C1C" w14:textId="77777777" w:rsidTr="00F025A0">
        <w:trPr>
          <w:trHeight w:val="70"/>
        </w:trPr>
        <w:tc>
          <w:tcPr>
            <w:tcW w:w="2793" w:type="pct"/>
          </w:tcPr>
          <w:p w14:paraId="0D5E5DE9" w14:textId="77777777" w:rsidR="007B6DDB" w:rsidRPr="009032B4" w:rsidRDefault="007B6DDB" w:rsidP="006D10FC">
            <w:pPr>
              <w:pStyle w:val="TableText"/>
              <w:rPr>
                <w:b/>
                <w:bCs/>
              </w:rPr>
            </w:pPr>
            <w:r w:rsidRPr="009032B4">
              <w:rPr>
                <w:b/>
                <w:bCs/>
              </w:rPr>
              <w:t xml:space="preserve">Clinical outcomes </w:t>
            </w:r>
          </w:p>
        </w:tc>
        <w:tc>
          <w:tcPr>
            <w:tcW w:w="753" w:type="pct"/>
          </w:tcPr>
          <w:p w14:paraId="784574C1" w14:textId="77777777" w:rsidR="007B6DDB" w:rsidRPr="009032B4" w:rsidRDefault="007B6DDB" w:rsidP="006D10FC">
            <w:pPr>
              <w:pStyle w:val="TableTextCA"/>
            </w:pPr>
          </w:p>
        </w:tc>
        <w:tc>
          <w:tcPr>
            <w:tcW w:w="753" w:type="pct"/>
          </w:tcPr>
          <w:p w14:paraId="1B9D0A66" w14:textId="77777777" w:rsidR="007B6DDB" w:rsidRPr="009032B4" w:rsidRDefault="007B6DDB" w:rsidP="006D10FC">
            <w:pPr>
              <w:pStyle w:val="TableTextCA"/>
            </w:pPr>
          </w:p>
        </w:tc>
        <w:tc>
          <w:tcPr>
            <w:tcW w:w="702" w:type="pct"/>
          </w:tcPr>
          <w:p w14:paraId="72A4AF50" w14:textId="77777777" w:rsidR="007B6DDB" w:rsidRPr="009032B4" w:rsidRDefault="007B6DDB" w:rsidP="006D10FC">
            <w:pPr>
              <w:pStyle w:val="TableTextCA"/>
            </w:pPr>
          </w:p>
        </w:tc>
      </w:tr>
      <w:tr w:rsidR="007B6DDB" w:rsidRPr="009032B4" w14:paraId="1AC6D4DE" w14:textId="77777777" w:rsidTr="00F025A0">
        <w:trPr>
          <w:trHeight w:val="70"/>
        </w:trPr>
        <w:tc>
          <w:tcPr>
            <w:tcW w:w="2793" w:type="pct"/>
          </w:tcPr>
          <w:p w14:paraId="4F341550" w14:textId="77777777" w:rsidR="007B6DDB" w:rsidRPr="009032B4" w:rsidRDefault="007B6DDB" w:rsidP="006D10FC">
            <w:pPr>
              <w:pStyle w:val="TableText"/>
            </w:pPr>
            <w:r w:rsidRPr="009032B4">
              <w:lastRenderedPageBreak/>
              <w:t>Number of patients correctly diagnosed</w:t>
            </w:r>
          </w:p>
        </w:tc>
        <w:tc>
          <w:tcPr>
            <w:tcW w:w="753" w:type="pct"/>
          </w:tcPr>
          <w:p w14:paraId="1C22816C" w14:textId="77777777" w:rsidR="007B6DDB" w:rsidRPr="009032B4" w:rsidRDefault="007B6DDB" w:rsidP="006D10FC">
            <w:pPr>
              <w:pStyle w:val="TableTextCA"/>
            </w:pPr>
            <w:r w:rsidRPr="009032B4">
              <w:t>909</w:t>
            </w:r>
          </w:p>
        </w:tc>
        <w:tc>
          <w:tcPr>
            <w:tcW w:w="753" w:type="pct"/>
          </w:tcPr>
          <w:p w14:paraId="72CBBA2A" w14:textId="77777777" w:rsidR="007B6DDB" w:rsidRPr="009032B4" w:rsidRDefault="007B6DDB" w:rsidP="006D10FC">
            <w:pPr>
              <w:pStyle w:val="TableTextCA"/>
            </w:pPr>
            <w:r w:rsidRPr="009032B4">
              <w:t>653</w:t>
            </w:r>
          </w:p>
        </w:tc>
        <w:tc>
          <w:tcPr>
            <w:tcW w:w="702" w:type="pct"/>
          </w:tcPr>
          <w:p w14:paraId="0CB1C45D" w14:textId="77777777" w:rsidR="007B6DDB" w:rsidRPr="009032B4" w:rsidRDefault="007B6DDB" w:rsidP="006D10FC">
            <w:pPr>
              <w:pStyle w:val="TableTextCA"/>
            </w:pPr>
            <w:r w:rsidRPr="009032B4">
              <w:t>256</w:t>
            </w:r>
          </w:p>
        </w:tc>
      </w:tr>
      <w:tr w:rsidR="007B6DDB" w:rsidRPr="009032B4" w14:paraId="73481506" w14:textId="77777777" w:rsidTr="00F025A0">
        <w:trPr>
          <w:trHeight w:val="70"/>
        </w:trPr>
        <w:tc>
          <w:tcPr>
            <w:tcW w:w="2793" w:type="pct"/>
          </w:tcPr>
          <w:p w14:paraId="58E0FB26" w14:textId="77777777" w:rsidR="007B6DDB" w:rsidRPr="009032B4" w:rsidRDefault="007B6DDB" w:rsidP="006D10FC">
            <w:pPr>
              <w:pStyle w:val="TableText"/>
            </w:pPr>
            <w:r w:rsidRPr="009032B4">
              <w:t>Number of repeated ERCP procedures</w:t>
            </w:r>
          </w:p>
        </w:tc>
        <w:tc>
          <w:tcPr>
            <w:tcW w:w="753" w:type="pct"/>
          </w:tcPr>
          <w:p w14:paraId="4A0FCAFA" w14:textId="77777777" w:rsidR="007B6DDB" w:rsidRPr="009032B4" w:rsidRDefault="007B6DDB" w:rsidP="006D10FC">
            <w:pPr>
              <w:pStyle w:val="TableTextCA"/>
            </w:pPr>
            <w:r w:rsidRPr="009032B4">
              <w:t>98</w:t>
            </w:r>
          </w:p>
        </w:tc>
        <w:tc>
          <w:tcPr>
            <w:tcW w:w="753" w:type="pct"/>
          </w:tcPr>
          <w:p w14:paraId="5AEAC16B" w14:textId="77777777" w:rsidR="007B6DDB" w:rsidRPr="009032B4" w:rsidRDefault="007B6DDB" w:rsidP="006D10FC">
            <w:pPr>
              <w:pStyle w:val="TableTextCA"/>
            </w:pPr>
            <w:r w:rsidRPr="009032B4">
              <w:t>195</w:t>
            </w:r>
          </w:p>
        </w:tc>
        <w:tc>
          <w:tcPr>
            <w:tcW w:w="702" w:type="pct"/>
          </w:tcPr>
          <w:p w14:paraId="7B0B1596" w14:textId="77777777" w:rsidR="007B6DDB" w:rsidRPr="009032B4" w:rsidRDefault="007B6DDB" w:rsidP="006D10FC">
            <w:pPr>
              <w:pStyle w:val="TableTextCA"/>
            </w:pPr>
            <w:r w:rsidRPr="009032B4">
              <w:t>-98</w:t>
            </w:r>
          </w:p>
        </w:tc>
      </w:tr>
      <w:tr w:rsidR="007B6DDB" w:rsidRPr="009032B4" w14:paraId="75710D0F" w14:textId="77777777" w:rsidTr="00F025A0">
        <w:trPr>
          <w:trHeight w:val="70"/>
        </w:trPr>
        <w:tc>
          <w:tcPr>
            <w:tcW w:w="2793" w:type="pct"/>
          </w:tcPr>
          <w:p w14:paraId="2F5B78FF" w14:textId="77777777" w:rsidR="007B6DDB" w:rsidRPr="009032B4" w:rsidRDefault="007B6DDB" w:rsidP="006D10FC">
            <w:pPr>
              <w:pStyle w:val="TableText"/>
            </w:pPr>
            <w:r w:rsidRPr="009032B4">
              <w:t>Number of unnecessary surgeries performed</w:t>
            </w:r>
          </w:p>
        </w:tc>
        <w:tc>
          <w:tcPr>
            <w:tcW w:w="753" w:type="pct"/>
          </w:tcPr>
          <w:p w14:paraId="633DA52D" w14:textId="77777777" w:rsidR="007B6DDB" w:rsidRPr="009032B4" w:rsidRDefault="007B6DDB" w:rsidP="006D10FC">
            <w:pPr>
              <w:pStyle w:val="TableTextCA"/>
            </w:pPr>
            <w:r w:rsidRPr="009032B4">
              <w:t>17</w:t>
            </w:r>
          </w:p>
        </w:tc>
        <w:tc>
          <w:tcPr>
            <w:tcW w:w="753" w:type="pct"/>
          </w:tcPr>
          <w:p w14:paraId="4EF6A7AF" w14:textId="77777777" w:rsidR="007B6DDB" w:rsidRPr="009032B4" w:rsidRDefault="007B6DDB" w:rsidP="006D10FC">
            <w:pPr>
              <w:pStyle w:val="TableTextCA"/>
            </w:pPr>
            <w:r w:rsidRPr="009032B4">
              <w:t>43</w:t>
            </w:r>
          </w:p>
        </w:tc>
        <w:tc>
          <w:tcPr>
            <w:tcW w:w="702" w:type="pct"/>
          </w:tcPr>
          <w:p w14:paraId="678BB379" w14:textId="77777777" w:rsidR="007B6DDB" w:rsidRPr="009032B4" w:rsidRDefault="007B6DDB" w:rsidP="006D10FC">
            <w:pPr>
              <w:pStyle w:val="TableTextCA"/>
            </w:pPr>
            <w:r w:rsidRPr="009032B4">
              <w:t>-26</w:t>
            </w:r>
          </w:p>
        </w:tc>
      </w:tr>
      <w:tr w:rsidR="007B6DDB" w:rsidRPr="009032B4" w14:paraId="09B77A41" w14:textId="77777777" w:rsidTr="00F025A0">
        <w:trPr>
          <w:trHeight w:val="70"/>
        </w:trPr>
        <w:tc>
          <w:tcPr>
            <w:tcW w:w="2793" w:type="pct"/>
          </w:tcPr>
          <w:p w14:paraId="0D0EEC11" w14:textId="77777777" w:rsidR="007B6DDB" w:rsidRPr="009032B4" w:rsidRDefault="007B6DDB" w:rsidP="006D10FC">
            <w:pPr>
              <w:pStyle w:val="TableText"/>
            </w:pPr>
            <w:r w:rsidRPr="009032B4">
              <w:t>Number of malignant patients diagnosed as benign</w:t>
            </w:r>
          </w:p>
        </w:tc>
        <w:tc>
          <w:tcPr>
            <w:tcW w:w="753" w:type="pct"/>
          </w:tcPr>
          <w:p w14:paraId="10830625" w14:textId="77777777" w:rsidR="007B6DDB" w:rsidRPr="009032B4" w:rsidRDefault="007B6DDB" w:rsidP="006D10FC">
            <w:pPr>
              <w:pStyle w:val="TableTextCA"/>
            </w:pPr>
            <w:r w:rsidRPr="009032B4">
              <w:t>18</w:t>
            </w:r>
          </w:p>
        </w:tc>
        <w:tc>
          <w:tcPr>
            <w:tcW w:w="753" w:type="pct"/>
          </w:tcPr>
          <w:p w14:paraId="0D8F753D" w14:textId="77777777" w:rsidR="007B6DDB" w:rsidRPr="009032B4" w:rsidRDefault="007B6DDB" w:rsidP="006D10FC">
            <w:pPr>
              <w:pStyle w:val="TableTextCA"/>
            </w:pPr>
            <w:r w:rsidRPr="009032B4">
              <w:t>228</w:t>
            </w:r>
          </w:p>
        </w:tc>
        <w:tc>
          <w:tcPr>
            <w:tcW w:w="702" w:type="pct"/>
          </w:tcPr>
          <w:p w14:paraId="539156B0" w14:textId="77777777" w:rsidR="007B6DDB" w:rsidRPr="009032B4" w:rsidRDefault="007B6DDB" w:rsidP="006D10FC">
            <w:pPr>
              <w:pStyle w:val="TableTextCA"/>
            </w:pPr>
            <w:r w:rsidRPr="009032B4">
              <w:t>-210</w:t>
            </w:r>
          </w:p>
        </w:tc>
      </w:tr>
      <w:tr w:rsidR="007B6DDB" w:rsidRPr="009032B4" w14:paraId="5D9C9C25" w14:textId="77777777" w:rsidTr="00F025A0">
        <w:trPr>
          <w:trHeight w:val="70"/>
        </w:trPr>
        <w:tc>
          <w:tcPr>
            <w:tcW w:w="2793" w:type="pct"/>
          </w:tcPr>
          <w:p w14:paraId="5ED9BAB2" w14:textId="77777777" w:rsidR="007B6DDB" w:rsidRPr="009032B4" w:rsidRDefault="007B6DDB" w:rsidP="006D10FC">
            <w:pPr>
              <w:pStyle w:val="TableText"/>
              <w:rPr>
                <w:b/>
                <w:bCs/>
              </w:rPr>
            </w:pPr>
            <w:r w:rsidRPr="009032B4">
              <w:rPr>
                <w:b/>
                <w:bCs/>
              </w:rPr>
              <w:t>Cost outcomes (step 1 – MBS costs)</w:t>
            </w:r>
          </w:p>
        </w:tc>
        <w:tc>
          <w:tcPr>
            <w:tcW w:w="753" w:type="pct"/>
          </w:tcPr>
          <w:p w14:paraId="61DC2983" w14:textId="77777777" w:rsidR="007B6DDB" w:rsidRPr="009032B4" w:rsidRDefault="007B6DDB" w:rsidP="006D10FC">
            <w:pPr>
              <w:pStyle w:val="TableTextCA"/>
            </w:pPr>
          </w:p>
        </w:tc>
        <w:tc>
          <w:tcPr>
            <w:tcW w:w="753" w:type="pct"/>
          </w:tcPr>
          <w:p w14:paraId="5631612D" w14:textId="77777777" w:rsidR="007B6DDB" w:rsidRPr="009032B4" w:rsidRDefault="007B6DDB" w:rsidP="006D10FC">
            <w:pPr>
              <w:pStyle w:val="TableTextCA"/>
            </w:pPr>
          </w:p>
        </w:tc>
        <w:tc>
          <w:tcPr>
            <w:tcW w:w="702" w:type="pct"/>
          </w:tcPr>
          <w:p w14:paraId="3F69EC57" w14:textId="77777777" w:rsidR="007B6DDB" w:rsidRPr="009032B4" w:rsidRDefault="007B6DDB" w:rsidP="006D10FC">
            <w:pPr>
              <w:pStyle w:val="TableTextCA"/>
            </w:pPr>
          </w:p>
        </w:tc>
      </w:tr>
      <w:tr w:rsidR="007B6DDB" w:rsidRPr="009032B4" w14:paraId="6C5BC9A8" w14:textId="77777777" w:rsidTr="00F025A0">
        <w:trPr>
          <w:trHeight w:val="70"/>
        </w:trPr>
        <w:tc>
          <w:tcPr>
            <w:tcW w:w="2793" w:type="pct"/>
          </w:tcPr>
          <w:p w14:paraId="5C1F2FC6" w14:textId="77777777" w:rsidR="007B6DDB" w:rsidRPr="009032B4" w:rsidRDefault="007B6DDB" w:rsidP="006D10FC">
            <w:pPr>
              <w:pStyle w:val="TableText"/>
            </w:pPr>
            <w:r w:rsidRPr="009032B4">
              <w:t>Cost of initial test</w:t>
            </w:r>
          </w:p>
        </w:tc>
        <w:tc>
          <w:tcPr>
            <w:tcW w:w="753" w:type="pct"/>
          </w:tcPr>
          <w:p w14:paraId="3378B432" w14:textId="77777777" w:rsidR="007B6DDB" w:rsidRPr="009032B4" w:rsidRDefault="007B6DDB" w:rsidP="006D10FC">
            <w:pPr>
              <w:pStyle w:val="TableTextCA"/>
            </w:pPr>
            <w:r w:rsidRPr="009032B4">
              <w:t>$1,213,609.25</w:t>
            </w:r>
          </w:p>
        </w:tc>
        <w:tc>
          <w:tcPr>
            <w:tcW w:w="753" w:type="pct"/>
          </w:tcPr>
          <w:p w14:paraId="38A59FE8" w14:textId="77777777" w:rsidR="007B6DDB" w:rsidRPr="009032B4" w:rsidRDefault="007B6DDB" w:rsidP="006D10FC">
            <w:pPr>
              <w:pStyle w:val="TableTextCA"/>
            </w:pPr>
            <w:r w:rsidRPr="009032B4">
              <w:t>$1,022,998.25</w:t>
            </w:r>
          </w:p>
        </w:tc>
        <w:tc>
          <w:tcPr>
            <w:tcW w:w="702" w:type="pct"/>
          </w:tcPr>
          <w:p w14:paraId="44F45488" w14:textId="77777777" w:rsidR="007B6DDB" w:rsidRPr="009032B4" w:rsidRDefault="007B6DDB" w:rsidP="006D10FC">
            <w:pPr>
              <w:pStyle w:val="TableTextCA"/>
            </w:pPr>
            <w:r w:rsidRPr="009032B4">
              <w:t>$190,611.00</w:t>
            </w:r>
          </w:p>
        </w:tc>
      </w:tr>
      <w:tr w:rsidR="007B6DDB" w:rsidRPr="009032B4" w14:paraId="5D62EA87" w14:textId="77777777" w:rsidTr="00F025A0">
        <w:trPr>
          <w:trHeight w:val="70"/>
        </w:trPr>
        <w:tc>
          <w:tcPr>
            <w:tcW w:w="2793" w:type="pct"/>
          </w:tcPr>
          <w:p w14:paraId="18543396" w14:textId="77777777" w:rsidR="007B6DDB" w:rsidRPr="009032B4" w:rsidRDefault="007B6DDB" w:rsidP="006D10FC">
            <w:pPr>
              <w:pStyle w:val="TableText"/>
            </w:pPr>
            <w:r w:rsidRPr="009032B4">
              <w:t>Cost of retesting</w:t>
            </w:r>
          </w:p>
        </w:tc>
        <w:tc>
          <w:tcPr>
            <w:tcW w:w="753" w:type="pct"/>
          </w:tcPr>
          <w:p w14:paraId="714BB737" w14:textId="77777777" w:rsidR="007B6DDB" w:rsidRPr="009032B4" w:rsidRDefault="007B6DDB" w:rsidP="006D10FC">
            <w:pPr>
              <w:pStyle w:val="TableTextCA"/>
            </w:pPr>
            <w:r w:rsidRPr="009032B4">
              <w:t>$118,326.90</w:t>
            </w:r>
          </w:p>
        </w:tc>
        <w:tc>
          <w:tcPr>
            <w:tcW w:w="753" w:type="pct"/>
          </w:tcPr>
          <w:p w14:paraId="00C09BE4" w14:textId="77777777" w:rsidR="007B6DDB" w:rsidRPr="009032B4" w:rsidRDefault="007B6DDB" w:rsidP="006D10FC">
            <w:pPr>
              <w:pStyle w:val="TableTextCA"/>
            </w:pPr>
            <w:r w:rsidRPr="009032B4">
              <w:t>$199,484.66</w:t>
            </w:r>
          </w:p>
        </w:tc>
        <w:tc>
          <w:tcPr>
            <w:tcW w:w="702" w:type="pct"/>
          </w:tcPr>
          <w:p w14:paraId="7829244F" w14:textId="77777777" w:rsidR="007B6DDB" w:rsidRPr="009032B4" w:rsidRDefault="007B6DDB" w:rsidP="006D10FC">
            <w:pPr>
              <w:pStyle w:val="TableTextCA"/>
            </w:pPr>
            <w:r w:rsidRPr="009032B4">
              <w:t>-$81,157.76</w:t>
            </w:r>
          </w:p>
        </w:tc>
      </w:tr>
      <w:tr w:rsidR="007B6DDB" w:rsidRPr="009032B4" w14:paraId="59355127" w14:textId="77777777" w:rsidTr="00F025A0">
        <w:trPr>
          <w:trHeight w:val="70"/>
        </w:trPr>
        <w:tc>
          <w:tcPr>
            <w:tcW w:w="2793" w:type="pct"/>
          </w:tcPr>
          <w:p w14:paraId="36CC1DC7" w14:textId="77777777" w:rsidR="007B6DDB" w:rsidRPr="009032B4" w:rsidRDefault="007B6DDB" w:rsidP="006D10FC">
            <w:pPr>
              <w:pStyle w:val="TableText"/>
            </w:pPr>
            <w:r w:rsidRPr="009032B4">
              <w:t>Cost of unnecessary surgery</w:t>
            </w:r>
          </w:p>
        </w:tc>
        <w:tc>
          <w:tcPr>
            <w:tcW w:w="753" w:type="pct"/>
          </w:tcPr>
          <w:p w14:paraId="4F9F21E0" w14:textId="77777777" w:rsidR="007B6DDB" w:rsidRPr="009032B4" w:rsidRDefault="007B6DDB" w:rsidP="006D10FC">
            <w:pPr>
              <w:pStyle w:val="TableTextCA"/>
            </w:pPr>
            <w:r w:rsidRPr="009032B4">
              <w:t>$491,118.87</w:t>
            </w:r>
          </w:p>
        </w:tc>
        <w:tc>
          <w:tcPr>
            <w:tcW w:w="753" w:type="pct"/>
          </w:tcPr>
          <w:p w14:paraId="26E36C43" w14:textId="77777777" w:rsidR="007B6DDB" w:rsidRPr="009032B4" w:rsidRDefault="007B6DDB" w:rsidP="006D10FC">
            <w:pPr>
              <w:pStyle w:val="TableTextCA"/>
            </w:pPr>
            <w:r w:rsidRPr="009032B4">
              <w:t>$1,257,829.62</w:t>
            </w:r>
          </w:p>
        </w:tc>
        <w:tc>
          <w:tcPr>
            <w:tcW w:w="702" w:type="pct"/>
          </w:tcPr>
          <w:p w14:paraId="7DBD10AA" w14:textId="77777777" w:rsidR="007B6DDB" w:rsidRPr="009032B4" w:rsidRDefault="007B6DDB" w:rsidP="006D10FC">
            <w:pPr>
              <w:pStyle w:val="TableTextCA"/>
            </w:pPr>
            <w:r w:rsidRPr="009032B4">
              <w:t>-$766,710.75</w:t>
            </w:r>
          </w:p>
        </w:tc>
      </w:tr>
      <w:tr w:rsidR="007B6DDB" w:rsidRPr="009032B4" w14:paraId="5ABCD7EA" w14:textId="77777777" w:rsidTr="00F025A0">
        <w:trPr>
          <w:trHeight w:val="70"/>
        </w:trPr>
        <w:tc>
          <w:tcPr>
            <w:tcW w:w="2793" w:type="pct"/>
          </w:tcPr>
          <w:p w14:paraId="6D7727B2" w14:textId="77777777" w:rsidR="007B6DDB" w:rsidRPr="009032B4" w:rsidRDefault="007B6DDB" w:rsidP="006D10FC">
            <w:pPr>
              <w:pStyle w:val="TableText"/>
            </w:pPr>
            <w:r w:rsidRPr="009032B4">
              <w:t>Total cost of diagnosis</w:t>
            </w:r>
          </w:p>
        </w:tc>
        <w:tc>
          <w:tcPr>
            <w:tcW w:w="753" w:type="pct"/>
          </w:tcPr>
          <w:p w14:paraId="0F3AD266" w14:textId="77777777" w:rsidR="007B6DDB" w:rsidRPr="009032B4" w:rsidRDefault="007B6DDB" w:rsidP="006D10FC">
            <w:pPr>
              <w:pStyle w:val="TableTextCA"/>
            </w:pPr>
            <w:r w:rsidRPr="009032B4">
              <w:t>$1,823,055.02</w:t>
            </w:r>
          </w:p>
        </w:tc>
        <w:tc>
          <w:tcPr>
            <w:tcW w:w="753" w:type="pct"/>
          </w:tcPr>
          <w:p w14:paraId="5EA65AE9" w14:textId="77777777" w:rsidR="007B6DDB" w:rsidRPr="009032B4" w:rsidRDefault="007B6DDB" w:rsidP="006D10FC">
            <w:pPr>
              <w:pStyle w:val="TableTextCA"/>
            </w:pPr>
            <w:r w:rsidRPr="009032B4">
              <w:t>$2,480,312.53</w:t>
            </w:r>
          </w:p>
        </w:tc>
        <w:tc>
          <w:tcPr>
            <w:tcW w:w="702" w:type="pct"/>
          </w:tcPr>
          <w:p w14:paraId="2EFA7DE7" w14:textId="77777777" w:rsidR="007B6DDB" w:rsidRPr="009032B4" w:rsidRDefault="007B6DDB" w:rsidP="006D10FC">
            <w:pPr>
              <w:pStyle w:val="TableTextCA"/>
            </w:pPr>
            <w:r w:rsidRPr="009032B4">
              <w:t>-$657,257.51</w:t>
            </w:r>
          </w:p>
        </w:tc>
      </w:tr>
      <w:tr w:rsidR="007B6DDB" w:rsidRPr="009032B4" w14:paraId="39FFA9B9" w14:textId="77777777" w:rsidTr="00F025A0">
        <w:trPr>
          <w:trHeight w:val="70"/>
        </w:trPr>
        <w:tc>
          <w:tcPr>
            <w:tcW w:w="2793" w:type="pct"/>
          </w:tcPr>
          <w:p w14:paraId="19B41369" w14:textId="77777777" w:rsidR="007B6DDB" w:rsidRPr="009032B4" w:rsidRDefault="007B6DDB" w:rsidP="006D10FC">
            <w:pPr>
              <w:pStyle w:val="TableText"/>
            </w:pPr>
            <w:r w:rsidRPr="009032B4">
              <w:t>Cost of diagnosis per patient tested</w:t>
            </w:r>
          </w:p>
        </w:tc>
        <w:tc>
          <w:tcPr>
            <w:tcW w:w="753" w:type="pct"/>
          </w:tcPr>
          <w:p w14:paraId="2C597019" w14:textId="77777777" w:rsidR="007B6DDB" w:rsidRPr="009032B4" w:rsidRDefault="007B6DDB" w:rsidP="006D10FC">
            <w:pPr>
              <w:pStyle w:val="TableTextCA"/>
            </w:pPr>
            <w:r w:rsidRPr="009032B4">
              <w:t>$1,823.06</w:t>
            </w:r>
          </w:p>
        </w:tc>
        <w:tc>
          <w:tcPr>
            <w:tcW w:w="753" w:type="pct"/>
          </w:tcPr>
          <w:p w14:paraId="7E2E3776" w14:textId="77777777" w:rsidR="007B6DDB" w:rsidRPr="009032B4" w:rsidRDefault="007B6DDB" w:rsidP="006D10FC">
            <w:pPr>
              <w:pStyle w:val="TableTextCA"/>
            </w:pPr>
            <w:r w:rsidRPr="009032B4">
              <w:t>$2,480.31</w:t>
            </w:r>
          </w:p>
        </w:tc>
        <w:tc>
          <w:tcPr>
            <w:tcW w:w="702" w:type="pct"/>
          </w:tcPr>
          <w:p w14:paraId="4E12958A" w14:textId="77777777" w:rsidR="007B6DDB" w:rsidRPr="009032B4" w:rsidRDefault="007B6DDB" w:rsidP="006D10FC">
            <w:pPr>
              <w:pStyle w:val="TableTextCA"/>
            </w:pPr>
            <w:r w:rsidRPr="009032B4">
              <w:t>-$657.26</w:t>
            </w:r>
          </w:p>
        </w:tc>
      </w:tr>
      <w:tr w:rsidR="007B6DDB" w:rsidRPr="009032B4" w14:paraId="355EDC97" w14:textId="77777777" w:rsidTr="00F025A0">
        <w:trPr>
          <w:trHeight w:val="413"/>
        </w:trPr>
        <w:tc>
          <w:tcPr>
            <w:tcW w:w="2793" w:type="pct"/>
          </w:tcPr>
          <w:p w14:paraId="201EE8D6" w14:textId="77777777" w:rsidR="007B6DDB" w:rsidRPr="009032B4" w:rsidRDefault="007B6DDB" w:rsidP="006D10FC">
            <w:pPr>
              <w:pStyle w:val="TableText"/>
            </w:pPr>
            <w:r w:rsidRPr="009032B4">
              <w:t>Cost per correctly diagnosed patient (initial cost only)</w:t>
            </w:r>
          </w:p>
        </w:tc>
        <w:tc>
          <w:tcPr>
            <w:tcW w:w="753" w:type="pct"/>
          </w:tcPr>
          <w:p w14:paraId="5CD73048" w14:textId="77777777" w:rsidR="007B6DDB" w:rsidRPr="009032B4" w:rsidRDefault="007B6DDB" w:rsidP="006D10FC">
            <w:pPr>
              <w:pStyle w:val="TableTextCA"/>
            </w:pPr>
            <w:r w:rsidRPr="009032B4">
              <w:t>$1,335.81</w:t>
            </w:r>
          </w:p>
        </w:tc>
        <w:tc>
          <w:tcPr>
            <w:tcW w:w="753" w:type="pct"/>
          </w:tcPr>
          <w:p w14:paraId="4664327E" w14:textId="77777777" w:rsidR="007B6DDB" w:rsidRPr="009032B4" w:rsidRDefault="007B6DDB" w:rsidP="006D10FC">
            <w:pPr>
              <w:pStyle w:val="TableTextCA"/>
            </w:pPr>
            <w:r w:rsidRPr="009032B4">
              <w:t>$1,567.54</w:t>
            </w:r>
          </w:p>
        </w:tc>
        <w:tc>
          <w:tcPr>
            <w:tcW w:w="702" w:type="pct"/>
          </w:tcPr>
          <w:p w14:paraId="0CF1DAAD" w14:textId="77777777" w:rsidR="007B6DDB" w:rsidRPr="009032B4" w:rsidRDefault="007B6DDB" w:rsidP="006D10FC">
            <w:pPr>
              <w:pStyle w:val="TableTextCA"/>
            </w:pPr>
            <w:r w:rsidRPr="009032B4">
              <w:t>$744.86</w:t>
            </w:r>
          </w:p>
        </w:tc>
      </w:tr>
      <w:tr w:rsidR="007B6DDB" w:rsidRPr="009032B4" w14:paraId="2EBD6E07" w14:textId="77777777" w:rsidTr="00F025A0">
        <w:trPr>
          <w:trHeight w:val="413"/>
        </w:trPr>
        <w:tc>
          <w:tcPr>
            <w:tcW w:w="2793" w:type="pct"/>
          </w:tcPr>
          <w:p w14:paraId="13415A1C" w14:textId="77777777" w:rsidR="007B6DDB" w:rsidRPr="009032B4" w:rsidRDefault="007B6DDB" w:rsidP="006D10FC">
            <w:pPr>
              <w:pStyle w:val="TableText"/>
              <w:rPr>
                <w:b/>
              </w:rPr>
            </w:pPr>
            <w:r w:rsidRPr="009032B4">
              <w:rPr>
                <w:b/>
              </w:rPr>
              <w:t>Cost per correctly diagnosed patient (total cost of diagnosis)</w:t>
            </w:r>
          </w:p>
        </w:tc>
        <w:tc>
          <w:tcPr>
            <w:tcW w:w="753" w:type="pct"/>
          </w:tcPr>
          <w:p w14:paraId="4D2AA210" w14:textId="77777777" w:rsidR="007B6DDB" w:rsidRPr="009032B4" w:rsidRDefault="007B6DDB" w:rsidP="006D10FC">
            <w:pPr>
              <w:pStyle w:val="TableTextCA"/>
              <w:rPr>
                <w:b/>
              </w:rPr>
            </w:pPr>
            <w:r w:rsidRPr="009032B4">
              <w:rPr>
                <w:b/>
              </w:rPr>
              <w:t>$2,</w:t>
            </w:r>
            <w:r w:rsidRPr="009032B4">
              <w:rPr>
                <w:b/>
                <w:bCs/>
              </w:rPr>
              <w:t>006.63</w:t>
            </w:r>
          </w:p>
        </w:tc>
        <w:tc>
          <w:tcPr>
            <w:tcW w:w="753" w:type="pct"/>
          </w:tcPr>
          <w:p w14:paraId="77981AFF" w14:textId="77777777" w:rsidR="007B6DDB" w:rsidRPr="009032B4" w:rsidRDefault="007B6DDB" w:rsidP="006D10FC">
            <w:pPr>
              <w:pStyle w:val="TableTextCA"/>
              <w:rPr>
                <w:b/>
              </w:rPr>
            </w:pPr>
            <w:r w:rsidRPr="009032B4">
              <w:rPr>
                <w:b/>
              </w:rPr>
              <w:t>$3,</w:t>
            </w:r>
            <w:r w:rsidRPr="009032B4">
              <w:rPr>
                <w:b/>
                <w:bCs/>
              </w:rPr>
              <w:t>800.58</w:t>
            </w:r>
          </w:p>
        </w:tc>
        <w:tc>
          <w:tcPr>
            <w:tcW w:w="702" w:type="pct"/>
          </w:tcPr>
          <w:p w14:paraId="2150AB04" w14:textId="77777777" w:rsidR="007B6DDB" w:rsidRPr="009032B4" w:rsidRDefault="007B6DDB" w:rsidP="006D10FC">
            <w:pPr>
              <w:pStyle w:val="TableTextCA"/>
              <w:rPr>
                <w:b/>
              </w:rPr>
            </w:pPr>
            <w:r w:rsidRPr="009032B4">
              <w:rPr>
                <w:b/>
              </w:rPr>
              <w:t>-$2,568</w:t>
            </w:r>
            <w:r w:rsidRPr="009032B4">
              <w:rPr>
                <w:b/>
                <w:bCs/>
              </w:rPr>
              <w:t>.39</w:t>
            </w:r>
          </w:p>
        </w:tc>
      </w:tr>
      <w:tr w:rsidR="007B6DDB" w:rsidRPr="009032B4" w14:paraId="7DBDBC55" w14:textId="77777777" w:rsidTr="00F025A0">
        <w:trPr>
          <w:trHeight w:val="413"/>
        </w:trPr>
        <w:tc>
          <w:tcPr>
            <w:tcW w:w="3546" w:type="pct"/>
            <w:gridSpan w:val="2"/>
          </w:tcPr>
          <w:p w14:paraId="3432D783" w14:textId="77777777" w:rsidR="007B6DDB" w:rsidRPr="009032B4" w:rsidRDefault="007B6DDB" w:rsidP="006D10FC">
            <w:pPr>
              <w:pStyle w:val="TableTextCA"/>
              <w:jc w:val="left"/>
            </w:pPr>
            <w:r w:rsidRPr="009032B4">
              <w:rPr>
                <w:b/>
                <w:bCs/>
              </w:rPr>
              <w:t>Cost outcomes (step 2 – including capital, consumables, and additional hospitalisation costs)</w:t>
            </w:r>
          </w:p>
        </w:tc>
        <w:tc>
          <w:tcPr>
            <w:tcW w:w="753" w:type="pct"/>
          </w:tcPr>
          <w:p w14:paraId="1D8295AF" w14:textId="77777777" w:rsidR="007B6DDB" w:rsidRPr="009032B4" w:rsidRDefault="007B6DDB" w:rsidP="006D10FC">
            <w:pPr>
              <w:pStyle w:val="TableTextCA"/>
            </w:pPr>
          </w:p>
        </w:tc>
        <w:tc>
          <w:tcPr>
            <w:tcW w:w="702" w:type="pct"/>
          </w:tcPr>
          <w:p w14:paraId="35B50CED" w14:textId="77777777" w:rsidR="007B6DDB" w:rsidRPr="009032B4" w:rsidRDefault="007B6DDB" w:rsidP="006D10FC">
            <w:pPr>
              <w:pStyle w:val="TableTextCA"/>
            </w:pPr>
          </w:p>
        </w:tc>
      </w:tr>
      <w:tr w:rsidR="00F025A0" w:rsidRPr="009032B4" w14:paraId="6D54BFA4" w14:textId="77777777" w:rsidTr="00F025A0">
        <w:trPr>
          <w:trHeight w:val="413"/>
        </w:trPr>
        <w:tc>
          <w:tcPr>
            <w:tcW w:w="2793" w:type="pct"/>
          </w:tcPr>
          <w:p w14:paraId="72EEF9B8" w14:textId="77777777" w:rsidR="00F025A0" w:rsidRPr="009032B4" w:rsidRDefault="00F025A0" w:rsidP="00F025A0">
            <w:pPr>
              <w:pStyle w:val="TableText"/>
            </w:pPr>
            <w:r w:rsidRPr="009032B4">
              <w:t>Cost of initial test</w:t>
            </w:r>
          </w:p>
        </w:tc>
        <w:tc>
          <w:tcPr>
            <w:tcW w:w="753" w:type="pct"/>
          </w:tcPr>
          <w:p w14:paraId="54EEF6F6" w14:textId="43B0D561" w:rsidR="00F025A0" w:rsidRPr="009032B4" w:rsidRDefault="00F025A0" w:rsidP="00F025A0">
            <w:pPr>
              <w:pStyle w:val="TableTextCA"/>
            </w:pPr>
            <w:r w:rsidRPr="00801F70">
              <w:t>$15,262,745.92</w:t>
            </w:r>
          </w:p>
        </w:tc>
        <w:tc>
          <w:tcPr>
            <w:tcW w:w="753" w:type="pct"/>
          </w:tcPr>
          <w:p w14:paraId="6E852397" w14:textId="2051C185" w:rsidR="00F025A0" w:rsidRPr="009032B4" w:rsidRDefault="00F025A0" w:rsidP="00F025A0">
            <w:pPr>
              <w:pStyle w:val="TableTextCA"/>
            </w:pPr>
            <w:r w:rsidRPr="00801F70">
              <w:t>$12,101,884.92</w:t>
            </w:r>
          </w:p>
        </w:tc>
        <w:tc>
          <w:tcPr>
            <w:tcW w:w="702" w:type="pct"/>
          </w:tcPr>
          <w:p w14:paraId="04B34B19" w14:textId="0CCC530E" w:rsidR="00F025A0" w:rsidRPr="009032B4" w:rsidRDefault="00F025A0" w:rsidP="00F025A0">
            <w:pPr>
              <w:pStyle w:val="TableTextCA"/>
            </w:pPr>
            <w:r w:rsidRPr="00801F70">
              <w:t>$3,160,861.00</w:t>
            </w:r>
          </w:p>
        </w:tc>
      </w:tr>
      <w:tr w:rsidR="00F025A0" w:rsidRPr="009032B4" w14:paraId="7712DCF2" w14:textId="77777777" w:rsidTr="00F025A0">
        <w:trPr>
          <w:trHeight w:val="413"/>
        </w:trPr>
        <w:tc>
          <w:tcPr>
            <w:tcW w:w="2793" w:type="pct"/>
          </w:tcPr>
          <w:p w14:paraId="6748F44E" w14:textId="77777777" w:rsidR="00F025A0" w:rsidRPr="009032B4" w:rsidRDefault="00F025A0" w:rsidP="00F025A0">
            <w:pPr>
              <w:pStyle w:val="TableText"/>
            </w:pPr>
            <w:r w:rsidRPr="009032B4">
              <w:t>Cost of retesting</w:t>
            </w:r>
          </w:p>
        </w:tc>
        <w:tc>
          <w:tcPr>
            <w:tcW w:w="753" w:type="pct"/>
          </w:tcPr>
          <w:p w14:paraId="74D14CBE" w14:textId="736AB966" w:rsidR="00F025A0" w:rsidRPr="009032B4" w:rsidRDefault="00F025A0" w:rsidP="00F025A0">
            <w:pPr>
              <w:pStyle w:val="TableTextCA"/>
            </w:pPr>
            <w:r w:rsidRPr="00801F70">
              <w:t>$1,488,117.73</w:t>
            </w:r>
          </w:p>
        </w:tc>
        <w:tc>
          <w:tcPr>
            <w:tcW w:w="753" w:type="pct"/>
          </w:tcPr>
          <w:p w14:paraId="1C7A1142" w14:textId="138E6A06" w:rsidR="00F025A0" w:rsidRPr="009032B4" w:rsidRDefault="00F025A0" w:rsidP="00F025A0">
            <w:pPr>
              <w:pStyle w:val="TableTextCA"/>
            </w:pPr>
            <w:r w:rsidRPr="00801F70">
              <w:t>$2,359,867.56</w:t>
            </w:r>
          </w:p>
        </w:tc>
        <w:tc>
          <w:tcPr>
            <w:tcW w:w="702" w:type="pct"/>
          </w:tcPr>
          <w:p w14:paraId="11F4CAC0" w14:textId="0C7A8431" w:rsidR="00F025A0" w:rsidRPr="009032B4" w:rsidRDefault="00F025A0" w:rsidP="00F025A0">
            <w:pPr>
              <w:pStyle w:val="TableTextCA"/>
            </w:pPr>
            <w:r w:rsidRPr="00801F70">
              <w:t>-$871,749.83</w:t>
            </w:r>
          </w:p>
        </w:tc>
      </w:tr>
      <w:tr w:rsidR="00F025A0" w:rsidRPr="009032B4" w14:paraId="32B7D4C1" w14:textId="77777777" w:rsidTr="00F025A0">
        <w:trPr>
          <w:trHeight w:val="413"/>
        </w:trPr>
        <w:tc>
          <w:tcPr>
            <w:tcW w:w="2793" w:type="pct"/>
          </w:tcPr>
          <w:p w14:paraId="29B32EC5" w14:textId="77777777" w:rsidR="00F025A0" w:rsidRPr="009032B4" w:rsidRDefault="00F025A0" w:rsidP="00F025A0">
            <w:pPr>
              <w:pStyle w:val="TableText"/>
            </w:pPr>
            <w:r w:rsidRPr="009032B4">
              <w:t>Cost of unnecessary surgery</w:t>
            </w:r>
          </w:p>
        </w:tc>
        <w:tc>
          <w:tcPr>
            <w:tcW w:w="753" w:type="pct"/>
          </w:tcPr>
          <w:p w14:paraId="5A1602F9" w14:textId="298F96F9" w:rsidR="00F025A0" w:rsidRPr="009032B4" w:rsidRDefault="00F025A0" w:rsidP="00F025A0">
            <w:pPr>
              <w:pStyle w:val="TableTextCA"/>
            </w:pPr>
            <w:r w:rsidRPr="00801F70">
              <w:t>$491,118.87</w:t>
            </w:r>
          </w:p>
        </w:tc>
        <w:tc>
          <w:tcPr>
            <w:tcW w:w="753" w:type="pct"/>
          </w:tcPr>
          <w:p w14:paraId="197CE845" w14:textId="773CD480" w:rsidR="00F025A0" w:rsidRPr="009032B4" w:rsidRDefault="00F025A0" w:rsidP="00F025A0">
            <w:pPr>
              <w:pStyle w:val="TableTextCA"/>
            </w:pPr>
            <w:r w:rsidRPr="00801F70">
              <w:t>$1,257,829.62</w:t>
            </w:r>
          </w:p>
        </w:tc>
        <w:tc>
          <w:tcPr>
            <w:tcW w:w="702" w:type="pct"/>
          </w:tcPr>
          <w:p w14:paraId="67E7626D" w14:textId="6F211EA7" w:rsidR="00F025A0" w:rsidRPr="009032B4" w:rsidRDefault="00F025A0" w:rsidP="00F025A0">
            <w:pPr>
              <w:pStyle w:val="TableTextCA"/>
            </w:pPr>
            <w:r w:rsidRPr="00801F70">
              <w:t>-$766,710.75</w:t>
            </w:r>
          </w:p>
        </w:tc>
      </w:tr>
      <w:tr w:rsidR="00F025A0" w:rsidRPr="009032B4" w14:paraId="57E12890" w14:textId="77777777" w:rsidTr="00F025A0">
        <w:trPr>
          <w:trHeight w:val="413"/>
        </w:trPr>
        <w:tc>
          <w:tcPr>
            <w:tcW w:w="2793" w:type="pct"/>
          </w:tcPr>
          <w:p w14:paraId="5169ABD5" w14:textId="77777777" w:rsidR="00F025A0" w:rsidRPr="009032B4" w:rsidRDefault="00F025A0" w:rsidP="00F025A0">
            <w:pPr>
              <w:pStyle w:val="TableText"/>
            </w:pPr>
            <w:r w:rsidRPr="009032B4">
              <w:t>Total cost of diagnosis</w:t>
            </w:r>
          </w:p>
        </w:tc>
        <w:tc>
          <w:tcPr>
            <w:tcW w:w="753" w:type="pct"/>
          </w:tcPr>
          <w:p w14:paraId="5DF1DB4D" w14:textId="2E68AE0B" w:rsidR="00F025A0" w:rsidRPr="009032B4" w:rsidRDefault="00F025A0" w:rsidP="00F025A0">
            <w:pPr>
              <w:pStyle w:val="TableTextCA"/>
            </w:pPr>
            <w:r w:rsidRPr="00801F70">
              <w:t>$17,241,982.51</w:t>
            </w:r>
          </w:p>
        </w:tc>
        <w:tc>
          <w:tcPr>
            <w:tcW w:w="753" w:type="pct"/>
          </w:tcPr>
          <w:p w14:paraId="2276F968" w14:textId="1DA76A4F" w:rsidR="00F025A0" w:rsidRPr="009032B4" w:rsidRDefault="00F025A0" w:rsidP="00F025A0">
            <w:pPr>
              <w:pStyle w:val="TableTextCA"/>
            </w:pPr>
            <w:r w:rsidRPr="00801F70">
              <w:t>$15,719,582.10</w:t>
            </w:r>
          </w:p>
        </w:tc>
        <w:tc>
          <w:tcPr>
            <w:tcW w:w="702" w:type="pct"/>
          </w:tcPr>
          <w:p w14:paraId="494ADBDA" w14:textId="11D738E0" w:rsidR="00F025A0" w:rsidRPr="009032B4" w:rsidRDefault="00F025A0" w:rsidP="00F025A0">
            <w:pPr>
              <w:pStyle w:val="TableTextCA"/>
            </w:pPr>
            <w:r w:rsidRPr="00801F70">
              <w:t>$1,522,400.42</w:t>
            </w:r>
          </w:p>
        </w:tc>
      </w:tr>
      <w:tr w:rsidR="00F025A0" w:rsidRPr="009032B4" w14:paraId="564A2397" w14:textId="77777777" w:rsidTr="00F025A0">
        <w:trPr>
          <w:trHeight w:val="413"/>
        </w:trPr>
        <w:tc>
          <w:tcPr>
            <w:tcW w:w="2793" w:type="pct"/>
          </w:tcPr>
          <w:p w14:paraId="73DE0B81" w14:textId="77777777" w:rsidR="00F025A0" w:rsidRPr="009032B4" w:rsidRDefault="00F025A0" w:rsidP="00F025A0">
            <w:pPr>
              <w:pStyle w:val="TableText"/>
            </w:pPr>
            <w:r w:rsidRPr="009032B4">
              <w:t>Cost of diagnosis per patient tested</w:t>
            </w:r>
          </w:p>
        </w:tc>
        <w:tc>
          <w:tcPr>
            <w:tcW w:w="753" w:type="pct"/>
          </w:tcPr>
          <w:p w14:paraId="286C42FC" w14:textId="06E5CEB1" w:rsidR="00F025A0" w:rsidRPr="009032B4" w:rsidRDefault="00F025A0" w:rsidP="00F025A0">
            <w:pPr>
              <w:pStyle w:val="TableTextCA"/>
            </w:pPr>
            <w:r w:rsidRPr="00801F70">
              <w:t>$17,241.98</w:t>
            </w:r>
          </w:p>
        </w:tc>
        <w:tc>
          <w:tcPr>
            <w:tcW w:w="753" w:type="pct"/>
          </w:tcPr>
          <w:p w14:paraId="5C527F68" w14:textId="0F5F82BD" w:rsidR="00F025A0" w:rsidRPr="009032B4" w:rsidRDefault="00F025A0" w:rsidP="00F025A0">
            <w:pPr>
              <w:pStyle w:val="TableTextCA"/>
            </w:pPr>
            <w:r w:rsidRPr="00801F70">
              <w:t>$15,719.58</w:t>
            </w:r>
          </w:p>
        </w:tc>
        <w:tc>
          <w:tcPr>
            <w:tcW w:w="702" w:type="pct"/>
          </w:tcPr>
          <w:p w14:paraId="63EEAC05" w14:textId="2178800A" w:rsidR="00F025A0" w:rsidRPr="009032B4" w:rsidRDefault="00F025A0" w:rsidP="00F025A0">
            <w:pPr>
              <w:pStyle w:val="TableTextCA"/>
            </w:pPr>
            <w:r w:rsidRPr="00801F70">
              <w:t>$1,522.40</w:t>
            </w:r>
          </w:p>
        </w:tc>
      </w:tr>
      <w:tr w:rsidR="00F025A0" w:rsidRPr="009032B4" w14:paraId="109C6807" w14:textId="77777777" w:rsidTr="00F025A0">
        <w:trPr>
          <w:trHeight w:val="413"/>
        </w:trPr>
        <w:tc>
          <w:tcPr>
            <w:tcW w:w="2793" w:type="pct"/>
          </w:tcPr>
          <w:p w14:paraId="754447A5" w14:textId="77777777" w:rsidR="00F025A0" w:rsidRPr="009032B4" w:rsidRDefault="00F025A0" w:rsidP="00F025A0">
            <w:pPr>
              <w:pStyle w:val="TableText"/>
            </w:pPr>
            <w:r w:rsidRPr="009032B4">
              <w:t>Cost per correctly diagnosed patient (initial cost only)</w:t>
            </w:r>
          </w:p>
        </w:tc>
        <w:tc>
          <w:tcPr>
            <w:tcW w:w="753" w:type="pct"/>
          </w:tcPr>
          <w:p w14:paraId="577D8571" w14:textId="48D3EBC0" w:rsidR="00F025A0" w:rsidRPr="009032B4" w:rsidRDefault="00F025A0" w:rsidP="00F025A0">
            <w:pPr>
              <w:pStyle w:val="TableTextCA"/>
            </w:pPr>
            <w:r w:rsidRPr="00801F70">
              <w:t>$16,799.64</w:t>
            </w:r>
          </w:p>
        </w:tc>
        <w:tc>
          <w:tcPr>
            <w:tcW w:w="753" w:type="pct"/>
          </w:tcPr>
          <w:p w14:paraId="05752DAD" w14:textId="1D4069BB" w:rsidR="00F025A0" w:rsidRPr="009032B4" w:rsidRDefault="00F025A0" w:rsidP="00F025A0">
            <w:pPr>
              <w:pStyle w:val="TableTextCA"/>
            </w:pPr>
            <w:r w:rsidRPr="00801F70">
              <w:t>$18,543.73</w:t>
            </w:r>
          </w:p>
        </w:tc>
        <w:tc>
          <w:tcPr>
            <w:tcW w:w="702" w:type="pct"/>
          </w:tcPr>
          <w:p w14:paraId="7B65EF5B" w14:textId="620A8194" w:rsidR="00F025A0" w:rsidRPr="009032B4" w:rsidRDefault="00F025A0" w:rsidP="00F025A0">
            <w:pPr>
              <w:pStyle w:val="TableTextCA"/>
            </w:pPr>
            <w:r w:rsidRPr="00801F70">
              <w:t>$12,351.81</w:t>
            </w:r>
          </w:p>
        </w:tc>
      </w:tr>
      <w:tr w:rsidR="00F025A0" w:rsidRPr="00CE28E3" w14:paraId="5453D454" w14:textId="77777777" w:rsidTr="00F025A0">
        <w:trPr>
          <w:trHeight w:val="413"/>
        </w:trPr>
        <w:tc>
          <w:tcPr>
            <w:tcW w:w="2793" w:type="pct"/>
          </w:tcPr>
          <w:p w14:paraId="5B4F92A8" w14:textId="77777777" w:rsidR="00F025A0" w:rsidRPr="009032B4" w:rsidRDefault="00F025A0" w:rsidP="00F025A0">
            <w:pPr>
              <w:pStyle w:val="TableText"/>
              <w:rPr>
                <w:b/>
              </w:rPr>
            </w:pPr>
            <w:r w:rsidRPr="009032B4">
              <w:rPr>
                <w:b/>
              </w:rPr>
              <w:t>Cost per correctly diagnosed patient (total cost of diagnosis)</w:t>
            </w:r>
          </w:p>
        </w:tc>
        <w:tc>
          <w:tcPr>
            <w:tcW w:w="753" w:type="pct"/>
          </w:tcPr>
          <w:p w14:paraId="16BA2720" w14:textId="293AC83E" w:rsidR="00F025A0" w:rsidRPr="00F025A0" w:rsidRDefault="00F025A0" w:rsidP="00F025A0">
            <w:pPr>
              <w:pStyle w:val="TableTextCA"/>
              <w:rPr>
                <w:b/>
                <w:bCs/>
              </w:rPr>
            </w:pPr>
            <w:r w:rsidRPr="00F025A0">
              <w:rPr>
                <w:b/>
                <w:bCs/>
              </w:rPr>
              <w:t>$18,978.18</w:t>
            </w:r>
          </w:p>
        </w:tc>
        <w:tc>
          <w:tcPr>
            <w:tcW w:w="753" w:type="pct"/>
          </w:tcPr>
          <w:p w14:paraId="7E7BC645" w14:textId="3683D205" w:rsidR="00F025A0" w:rsidRPr="00F025A0" w:rsidRDefault="00F025A0" w:rsidP="00F025A0">
            <w:pPr>
              <w:pStyle w:val="TableTextCA"/>
              <w:rPr>
                <w:b/>
                <w:bCs/>
              </w:rPr>
            </w:pPr>
            <w:r w:rsidRPr="00F025A0">
              <w:rPr>
                <w:b/>
                <w:bCs/>
              </w:rPr>
              <w:t>$24,087.13</w:t>
            </w:r>
          </w:p>
        </w:tc>
        <w:tc>
          <w:tcPr>
            <w:tcW w:w="702" w:type="pct"/>
          </w:tcPr>
          <w:p w14:paraId="6D72487D" w14:textId="41BB112D" w:rsidR="00F025A0" w:rsidRPr="00F025A0" w:rsidRDefault="00F025A0" w:rsidP="00F025A0">
            <w:pPr>
              <w:pStyle w:val="TableTextCA"/>
              <w:rPr>
                <w:b/>
                <w:bCs/>
              </w:rPr>
            </w:pPr>
            <w:r w:rsidRPr="00F025A0">
              <w:rPr>
                <w:b/>
                <w:bCs/>
              </w:rPr>
              <w:t>$5,949.14</w:t>
            </w:r>
          </w:p>
        </w:tc>
      </w:tr>
    </w:tbl>
    <w:p w14:paraId="2F056A2A" w14:textId="6609CDDF" w:rsidR="007B6DDB" w:rsidRDefault="007B6DDB" w:rsidP="007B6DDB">
      <w:pPr>
        <w:pStyle w:val="Abbreviations"/>
        <w:rPr>
          <w:snapToGrid w:val="0"/>
        </w:rPr>
      </w:pPr>
      <w:r w:rsidRPr="0005649D">
        <w:t>Abbreviations</w:t>
      </w:r>
      <w:r>
        <w:t xml:space="preserve">: </w:t>
      </w:r>
      <w:r w:rsidRPr="001A4E5B">
        <w:rPr>
          <w:snapToGrid w:val="0"/>
        </w:rPr>
        <w:t>ERCP</w:t>
      </w:r>
      <w:r>
        <w:rPr>
          <w:snapToGrid w:val="0"/>
        </w:rPr>
        <w:t xml:space="preserve"> </w:t>
      </w:r>
      <w:r w:rsidRPr="001A4E5B">
        <w:rPr>
          <w:snapToGrid w:val="0"/>
        </w:rPr>
        <w:t xml:space="preserve">= </w:t>
      </w:r>
      <w:r w:rsidRPr="0005649D">
        <w:rPr>
          <w:snapToGrid w:val="0"/>
        </w:rPr>
        <w:t>endoscopic</w:t>
      </w:r>
      <w:r w:rsidRPr="001A4E5B">
        <w:rPr>
          <w:snapToGrid w:val="0"/>
        </w:rPr>
        <w:t xml:space="preserve"> retrograde cholangiopancreatography</w:t>
      </w:r>
      <w:r>
        <w:rPr>
          <w:snapToGrid w:val="0"/>
        </w:rPr>
        <w:t xml:space="preserve">; </w:t>
      </w:r>
      <w:r w:rsidRPr="001A4E5B">
        <w:rPr>
          <w:snapToGrid w:val="0"/>
        </w:rPr>
        <w:t>POCPS</w:t>
      </w:r>
      <w:r>
        <w:rPr>
          <w:snapToGrid w:val="0"/>
        </w:rPr>
        <w:t xml:space="preserve"> </w:t>
      </w:r>
      <w:r w:rsidRPr="001A4E5B">
        <w:rPr>
          <w:snapToGrid w:val="0"/>
        </w:rPr>
        <w:t xml:space="preserve">= </w:t>
      </w:r>
      <w:r w:rsidRPr="0005649D">
        <w:rPr>
          <w:snapToGrid w:val="0"/>
        </w:rPr>
        <w:t xml:space="preserve">single </w:t>
      </w:r>
      <w:r w:rsidRPr="001A4E5B">
        <w:rPr>
          <w:snapToGrid w:val="0"/>
        </w:rPr>
        <w:t>operator, single use, peroral</w:t>
      </w:r>
      <w:r>
        <w:rPr>
          <w:snapToGrid w:val="0"/>
        </w:rPr>
        <w:t xml:space="preserve"> </w:t>
      </w:r>
      <w:r w:rsidRPr="001A4E5B">
        <w:rPr>
          <w:snapToGrid w:val="0"/>
        </w:rPr>
        <w:t>cholangiopancreatoscopy</w:t>
      </w:r>
      <w:r w:rsidR="00F025A0">
        <w:rPr>
          <w:snapToGrid w:val="0"/>
        </w:rPr>
        <w:br/>
      </w:r>
      <w:r w:rsidR="00F025A0" w:rsidRPr="00F025A0">
        <w:rPr>
          <w:snapToGrid w:val="0"/>
        </w:rPr>
        <w:t>Source: Pre-MSAC response with corrected capital cost per service.</w:t>
      </w:r>
    </w:p>
    <w:p w14:paraId="4980D631" w14:textId="611AF39F" w:rsidR="007B6DDB" w:rsidRPr="001803BF" w:rsidRDefault="001803BF" w:rsidP="00096324">
      <w:pPr>
        <w:spacing w:after="240"/>
      </w:pPr>
      <w:bookmarkStart w:id="136" w:name="_Hlk89068353"/>
      <w:r w:rsidRPr="001803BF">
        <w:t>The commentary considered that</w:t>
      </w:r>
      <w:r w:rsidR="719E7052" w:rsidRPr="001803BF">
        <w:t xml:space="preserve"> this service is likely to be performed in public hospitals where hospitals absorb the capital and consumable costs.</w:t>
      </w:r>
      <w:bookmarkEnd w:id="136"/>
    </w:p>
    <w:p w14:paraId="5FC1D3A5" w14:textId="566CE3AE" w:rsidR="00B013B7" w:rsidRPr="005E49D6" w:rsidRDefault="7C7F9F80" w:rsidP="005E49D6">
      <w:pPr>
        <w:tabs>
          <w:tab w:val="left" w:pos="1134"/>
        </w:tabs>
        <w:spacing w:after="240"/>
        <w:rPr>
          <w:rFonts w:eastAsiaTheme="minorEastAsia"/>
        </w:rPr>
      </w:pPr>
      <w:r w:rsidRPr="001803BF">
        <w:rPr>
          <w:rFonts w:eastAsiaTheme="minorEastAsia"/>
        </w:rPr>
        <w:t xml:space="preserve">The cost of capital for ERCP and POCPS in both therapeutic and investigative applications is calculated using the forgone capital return of a duodenoscope and spyglass equipment (DS digital controller for both applications, with the addition of an Autolith Generator in the therapeutic application) respectively, reported based on cost per service. The capital cost has for the investigative application been disaggregated in the table below. </w:t>
      </w:r>
      <w:r w:rsidR="00B013B7">
        <w:br w:type="page"/>
      </w:r>
    </w:p>
    <w:p w14:paraId="14122513" w14:textId="7D257554" w:rsidR="00607E6D" w:rsidRDefault="00607E6D" w:rsidP="00B013B7">
      <w:pPr>
        <w:pStyle w:val="Caption"/>
      </w:pPr>
      <w:r>
        <w:lastRenderedPageBreak/>
        <w:t xml:space="preserve">Table </w:t>
      </w:r>
      <w:fldSimple w:instr=" SEQ Table \* ARABIC ">
        <w:r w:rsidR="00D422BC">
          <w:rPr>
            <w:noProof/>
          </w:rPr>
          <w:t>25</w:t>
        </w:r>
      </w:fldSimple>
      <w:r>
        <w:t xml:space="preserve"> </w:t>
      </w:r>
      <w:r w:rsidRPr="006E0D39">
        <w:t>Disaggregation of investigative capital cost per service</w:t>
      </w:r>
    </w:p>
    <w:tbl>
      <w:tblPr>
        <w:tblStyle w:val="TableGrid"/>
        <w:tblW w:w="0" w:type="auto"/>
        <w:tblLayout w:type="fixed"/>
        <w:tblLook w:val="06A0" w:firstRow="1" w:lastRow="0" w:firstColumn="1" w:lastColumn="0" w:noHBand="1" w:noVBand="1"/>
      </w:tblPr>
      <w:tblGrid>
        <w:gridCol w:w="3645"/>
        <w:gridCol w:w="3045"/>
        <w:gridCol w:w="2325"/>
      </w:tblGrid>
      <w:tr w:rsidR="67B645D6" w14:paraId="5C24775D" w14:textId="77777777" w:rsidTr="00B013B7">
        <w:trPr>
          <w:trHeight w:val="255"/>
        </w:trPr>
        <w:tc>
          <w:tcPr>
            <w:tcW w:w="3645" w:type="dxa"/>
            <w:tcBorders>
              <w:top w:val="single" w:sz="4" w:space="0" w:color="auto"/>
              <w:left w:val="single" w:sz="4" w:space="0" w:color="auto"/>
              <w:bottom w:val="single" w:sz="4" w:space="0" w:color="auto"/>
              <w:right w:val="nil"/>
            </w:tcBorders>
            <w:vAlign w:val="center"/>
          </w:tcPr>
          <w:p w14:paraId="6D6AF598" w14:textId="25AF0665" w:rsidR="67B645D6" w:rsidRPr="00B013B7" w:rsidRDefault="67B645D6">
            <w:pPr>
              <w:rPr>
                <w:rFonts w:ascii="Arial Narrow" w:hAnsi="Arial Narrow"/>
              </w:rPr>
            </w:pPr>
            <w:r w:rsidRPr="00B013B7">
              <w:rPr>
                <w:rFonts w:ascii="Arial Narrow" w:eastAsia="Calibri Light" w:hAnsi="Arial Narrow" w:cs="Calibri Light"/>
                <w:b/>
                <w:bCs/>
                <w:color w:val="000000" w:themeColor="text1"/>
                <w:sz w:val="20"/>
                <w:szCs w:val="20"/>
              </w:rPr>
              <w:t>Service</w:t>
            </w:r>
          </w:p>
        </w:tc>
        <w:tc>
          <w:tcPr>
            <w:tcW w:w="3045" w:type="dxa"/>
            <w:tcBorders>
              <w:top w:val="single" w:sz="4" w:space="0" w:color="auto"/>
              <w:left w:val="single" w:sz="4" w:space="0" w:color="auto"/>
              <w:bottom w:val="single" w:sz="4" w:space="0" w:color="auto"/>
              <w:right w:val="single" w:sz="4" w:space="0" w:color="auto"/>
            </w:tcBorders>
            <w:vAlign w:val="center"/>
          </w:tcPr>
          <w:p w14:paraId="20308E06" w14:textId="0DBA6CAB" w:rsidR="67B645D6" w:rsidRPr="00B013B7" w:rsidRDefault="67B645D6">
            <w:pPr>
              <w:rPr>
                <w:rFonts w:ascii="Arial Narrow" w:hAnsi="Arial Narrow"/>
              </w:rPr>
            </w:pPr>
            <w:r w:rsidRPr="00B013B7">
              <w:rPr>
                <w:rFonts w:ascii="Arial Narrow" w:eastAsia="Calibri Light" w:hAnsi="Arial Narrow" w:cs="Calibri Light"/>
                <w:b/>
                <w:bCs/>
                <w:color w:val="000000" w:themeColor="text1"/>
                <w:sz w:val="20"/>
                <w:szCs w:val="20"/>
              </w:rPr>
              <w:t>Item</w:t>
            </w:r>
          </w:p>
        </w:tc>
        <w:tc>
          <w:tcPr>
            <w:tcW w:w="2325" w:type="dxa"/>
            <w:tcBorders>
              <w:top w:val="single" w:sz="4" w:space="0" w:color="auto"/>
              <w:left w:val="single" w:sz="4" w:space="0" w:color="auto"/>
              <w:bottom w:val="single" w:sz="4" w:space="0" w:color="auto"/>
              <w:right w:val="single" w:sz="4" w:space="0" w:color="auto"/>
            </w:tcBorders>
            <w:vAlign w:val="center"/>
          </w:tcPr>
          <w:p w14:paraId="4A8E7FC3" w14:textId="31F816BE" w:rsidR="67B645D6" w:rsidRPr="00B013B7" w:rsidRDefault="67B645D6" w:rsidP="00B013B7">
            <w:pPr>
              <w:jc w:val="center"/>
              <w:rPr>
                <w:rFonts w:ascii="Arial Narrow" w:eastAsia="Calibri Light" w:hAnsi="Arial Narrow" w:cs="Calibri Light"/>
                <w:b/>
                <w:bCs/>
                <w:color w:val="000000" w:themeColor="text1"/>
                <w:sz w:val="20"/>
                <w:szCs w:val="20"/>
              </w:rPr>
            </w:pPr>
            <w:r w:rsidRPr="00B013B7">
              <w:rPr>
                <w:rFonts w:ascii="Arial Narrow" w:eastAsia="Calibri Light" w:hAnsi="Arial Narrow" w:cs="Calibri Light"/>
                <w:b/>
                <w:bCs/>
                <w:color w:val="000000" w:themeColor="text1"/>
                <w:sz w:val="20"/>
                <w:szCs w:val="20"/>
              </w:rPr>
              <w:t>Fee</w:t>
            </w:r>
          </w:p>
        </w:tc>
      </w:tr>
      <w:tr w:rsidR="67B645D6" w14:paraId="7F45C195" w14:textId="77777777" w:rsidTr="00B013B7">
        <w:trPr>
          <w:trHeight w:val="420"/>
        </w:trPr>
        <w:tc>
          <w:tcPr>
            <w:tcW w:w="3645" w:type="dxa"/>
            <w:vMerge w:val="restart"/>
            <w:tcBorders>
              <w:top w:val="single" w:sz="4" w:space="0" w:color="auto"/>
              <w:left w:val="single" w:sz="4" w:space="0" w:color="auto"/>
              <w:bottom w:val="single" w:sz="4" w:space="0" w:color="000000" w:themeColor="text1"/>
              <w:right w:val="single" w:sz="4" w:space="0" w:color="auto"/>
            </w:tcBorders>
            <w:vAlign w:val="center"/>
          </w:tcPr>
          <w:p w14:paraId="076C57AE" w14:textId="5C179DD9" w:rsidR="67B645D6" w:rsidRPr="00B013B7" w:rsidRDefault="67B645D6" w:rsidP="00B013B7">
            <w:pPr>
              <w:jc w:val="center"/>
              <w:rPr>
                <w:rFonts w:ascii="Arial Narrow" w:eastAsia="Calibri Light" w:hAnsi="Arial Narrow" w:cs="Calibri Light"/>
                <w:sz w:val="20"/>
                <w:szCs w:val="20"/>
              </w:rPr>
            </w:pPr>
            <w:r w:rsidRPr="00B013B7">
              <w:rPr>
                <w:rFonts w:ascii="Arial Narrow" w:eastAsia="Calibri Light" w:hAnsi="Arial Narrow" w:cs="Calibri Light"/>
                <w:sz w:val="20"/>
                <w:szCs w:val="20"/>
              </w:rPr>
              <w:t>ERCP</w:t>
            </w:r>
          </w:p>
        </w:tc>
        <w:tc>
          <w:tcPr>
            <w:tcW w:w="3045" w:type="dxa"/>
            <w:tcBorders>
              <w:top w:val="single" w:sz="4" w:space="0" w:color="auto"/>
              <w:left w:val="single" w:sz="4" w:space="0" w:color="auto"/>
              <w:bottom w:val="single" w:sz="4" w:space="0" w:color="auto"/>
              <w:right w:val="nil"/>
            </w:tcBorders>
            <w:vAlign w:val="center"/>
          </w:tcPr>
          <w:p w14:paraId="217E8EC8" w14:textId="54351225" w:rsidR="67B645D6" w:rsidRPr="00B013B7" w:rsidRDefault="67B645D6" w:rsidP="67B645D6">
            <w:pPr>
              <w:rPr>
                <w:rFonts w:ascii="Arial Narrow" w:hAnsi="Arial Narrow"/>
              </w:rPr>
            </w:pPr>
            <w:r w:rsidRPr="00B013B7">
              <w:rPr>
                <w:rFonts w:ascii="Arial Narrow" w:eastAsia="Calibri Light" w:hAnsi="Arial Narrow" w:cs="Calibri Light"/>
                <w:sz w:val="20"/>
                <w:szCs w:val="20"/>
              </w:rPr>
              <w:t>Reusable duodenoscope (capital)</w:t>
            </w:r>
          </w:p>
        </w:tc>
        <w:tc>
          <w:tcPr>
            <w:tcW w:w="2325" w:type="dxa"/>
            <w:tcBorders>
              <w:top w:val="single" w:sz="4" w:space="0" w:color="auto"/>
              <w:left w:val="single" w:sz="4" w:space="0" w:color="auto"/>
              <w:bottom w:val="single" w:sz="4" w:space="0" w:color="auto"/>
              <w:right w:val="single" w:sz="4" w:space="0" w:color="auto"/>
            </w:tcBorders>
            <w:vAlign w:val="center"/>
          </w:tcPr>
          <w:p w14:paraId="0F7166DB" w14:textId="5408DD64" w:rsidR="67B645D6" w:rsidRPr="00B013B7" w:rsidRDefault="67B645D6" w:rsidP="00B013B7">
            <w:pPr>
              <w:jc w:val="right"/>
              <w:rPr>
                <w:rFonts w:ascii="Arial Narrow" w:eastAsia="Calibri Light" w:hAnsi="Arial Narrow" w:cs="Calibri Light"/>
                <w:color w:val="000000" w:themeColor="text1"/>
                <w:sz w:val="20"/>
                <w:szCs w:val="20"/>
              </w:rPr>
            </w:pPr>
            <w:r w:rsidRPr="00B013B7">
              <w:rPr>
                <w:rFonts w:ascii="Arial Narrow" w:eastAsia="Calibri Light" w:hAnsi="Arial Narrow" w:cs="Calibri Light"/>
                <w:color w:val="000000" w:themeColor="text1"/>
                <w:sz w:val="20"/>
                <w:szCs w:val="20"/>
              </w:rPr>
              <w:t>$35,000.00</w:t>
            </w:r>
          </w:p>
        </w:tc>
      </w:tr>
      <w:tr w:rsidR="67B645D6" w14:paraId="1C09A67F" w14:textId="77777777" w:rsidTr="00B013B7">
        <w:trPr>
          <w:trHeight w:val="255"/>
        </w:trPr>
        <w:tc>
          <w:tcPr>
            <w:tcW w:w="3645" w:type="dxa"/>
            <w:vMerge/>
            <w:tcBorders>
              <w:left w:val="single" w:sz="0" w:space="0" w:color="auto"/>
              <w:right w:val="single" w:sz="0" w:space="0" w:color="auto"/>
            </w:tcBorders>
            <w:vAlign w:val="center"/>
          </w:tcPr>
          <w:p w14:paraId="7E9EC25F" w14:textId="77777777" w:rsidR="004F4943" w:rsidRPr="00B013B7" w:rsidRDefault="004F4943">
            <w:pPr>
              <w:rPr>
                <w:rFonts w:ascii="Arial Narrow" w:hAnsi="Arial Narrow"/>
              </w:rPr>
            </w:pPr>
          </w:p>
        </w:tc>
        <w:tc>
          <w:tcPr>
            <w:tcW w:w="3045" w:type="dxa"/>
            <w:tcBorders>
              <w:top w:val="single" w:sz="4" w:space="0" w:color="auto"/>
              <w:left w:val="nil"/>
              <w:bottom w:val="single" w:sz="4" w:space="0" w:color="auto"/>
              <w:right w:val="nil"/>
            </w:tcBorders>
            <w:vAlign w:val="center"/>
          </w:tcPr>
          <w:p w14:paraId="38648528" w14:textId="19C58B57" w:rsidR="67B645D6" w:rsidRPr="00B013B7" w:rsidRDefault="67B645D6">
            <w:pPr>
              <w:rPr>
                <w:rFonts w:ascii="Arial Narrow" w:hAnsi="Arial Narrow"/>
              </w:rPr>
            </w:pPr>
            <w:r w:rsidRPr="00B013B7">
              <w:rPr>
                <w:rFonts w:ascii="Arial Narrow" w:eastAsia="Calibri Light" w:hAnsi="Arial Narrow" w:cs="Calibri Light"/>
                <w:sz w:val="20"/>
                <w:szCs w:val="20"/>
              </w:rPr>
              <w:t>Life years</w:t>
            </w:r>
          </w:p>
        </w:tc>
        <w:tc>
          <w:tcPr>
            <w:tcW w:w="2325" w:type="dxa"/>
            <w:tcBorders>
              <w:top w:val="single" w:sz="4" w:space="0" w:color="auto"/>
              <w:left w:val="single" w:sz="4" w:space="0" w:color="auto"/>
              <w:bottom w:val="single" w:sz="4" w:space="0" w:color="auto"/>
              <w:right w:val="single" w:sz="4" w:space="0" w:color="auto"/>
            </w:tcBorders>
            <w:vAlign w:val="center"/>
          </w:tcPr>
          <w:p w14:paraId="3C277EBD" w14:textId="26AEF4DB" w:rsidR="67B645D6" w:rsidRPr="00B013B7" w:rsidRDefault="67B645D6" w:rsidP="00B013B7">
            <w:pPr>
              <w:jc w:val="right"/>
              <w:rPr>
                <w:rFonts w:ascii="Arial Narrow" w:eastAsia="Calibri Light" w:hAnsi="Arial Narrow" w:cs="Calibri Light"/>
                <w:sz w:val="20"/>
                <w:szCs w:val="20"/>
              </w:rPr>
            </w:pPr>
            <w:r w:rsidRPr="00B013B7">
              <w:rPr>
                <w:rFonts w:ascii="Arial Narrow" w:eastAsia="Calibri Light" w:hAnsi="Arial Narrow" w:cs="Calibri Light"/>
                <w:sz w:val="20"/>
                <w:szCs w:val="20"/>
              </w:rPr>
              <w:t>3</w:t>
            </w:r>
          </w:p>
        </w:tc>
      </w:tr>
      <w:tr w:rsidR="67B645D6" w14:paraId="5E2FCF7B" w14:textId="77777777" w:rsidTr="00B013B7">
        <w:trPr>
          <w:trHeight w:val="255"/>
        </w:trPr>
        <w:tc>
          <w:tcPr>
            <w:tcW w:w="3645" w:type="dxa"/>
            <w:vMerge/>
            <w:tcBorders>
              <w:left w:val="single" w:sz="0" w:space="0" w:color="auto"/>
              <w:right w:val="single" w:sz="0" w:space="0" w:color="auto"/>
            </w:tcBorders>
            <w:vAlign w:val="center"/>
          </w:tcPr>
          <w:p w14:paraId="1484BBB8" w14:textId="77777777" w:rsidR="004F4943" w:rsidRPr="00B013B7" w:rsidRDefault="004F4943">
            <w:pPr>
              <w:rPr>
                <w:rFonts w:ascii="Arial Narrow" w:hAnsi="Arial Narrow"/>
              </w:rPr>
            </w:pPr>
          </w:p>
        </w:tc>
        <w:tc>
          <w:tcPr>
            <w:tcW w:w="3045" w:type="dxa"/>
            <w:tcBorders>
              <w:top w:val="single" w:sz="4" w:space="0" w:color="auto"/>
              <w:left w:val="nil"/>
              <w:bottom w:val="single" w:sz="4" w:space="0" w:color="auto"/>
              <w:right w:val="nil"/>
            </w:tcBorders>
            <w:vAlign w:val="center"/>
          </w:tcPr>
          <w:p w14:paraId="17FA38FD" w14:textId="7049DD8E" w:rsidR="67B645D6" w:rsidRPr="00B013B7" w:rsidRDefault="67B645D6">
            <w:pPr>
              <w:rPr>
                <w:rFonts w:ascii="Arial Narrow" w:hAnsi="Arial Narrow"/>
              </w:rPr>
            </w:pPr>
            <w:r w:rsidRPr="00B013B7">
              <w:rPr>
                <w:rFonts w:ascii="Arial Narrow" w:eastAsia="Calibri Light" w:hAnsi="Arial Narrow" w:cs="Calibri Light"/>
                <w:color w:val="000000" w:themeColor="text1"/>
                <w:sz w:val="20"/>
                <w:szCs w:val="20"/>
              </w:rPr>
              <w:t>Forgone capital return</w:t>
            </w:r>
          </w:p>
        </w:tc>
        <w:tc>
          <w:tcPr>
            <w:tcW w:w="2325" w:type="dxa"/>
            <w:tcBorders>
              <w:top w:val="single" w:sz="4" w:space="0" w:color="auto"/>
              <w:left w:val="single" w:sz="4" w:space="0" w:color="auto"/>
              <w:bottom w:val="single" w:sz="4" w:space="0" w:color="auto"/>
              <w:right w:val="single" w:sz="4" w:space="0" w:color="auto"/>
            </w:tcBorders>
            <w:vAlign w:val="center"/>
          </w:tcPr>
          <w:p w14:paraId="7CFC6868" w14:textId="0A8C2931" w:rsidR="67B645D6" w:rsidRPr="00B013B7" w:rsidRDefault="67B645D6" w:rsidP="00B013B7">
            <w:pPr>
              <w:jc w:val="right"/>
              <w:rPr>
                <w:rFonts w:ascii="Arial Narrow" w:eastAsia="Calibri Light" w:hAnsi="Arial Narrow" w:cs="Calibri Light"/>
                <w:color w:val="000000" w:themeColor="text1"/>
                <w:sz w:val="20"/>
                <w:szCs w:val="20"/>
              </w:rPr>
            </w:pPr>
            <w:r w:rsidRPr="00B013B7">
              <w:rPr>
                <w:rFonts w:ascii="Arial Narrow" w:eastAsia="Calibri Light" w:hAnsi="Arial Narrow" w:cs="Calibri Light"/>
                <w:color w:val="000000" w:themeColor="text1"/>
                <w:sz w:val="20"/>
                <w:szCs w:val="20"/>
              </w:rPr>
              <w:t>$1,750.00</w:t>
            </w:r>
          </w:p>
        </w:tc>
      </w:tr>
      <w:tr w:rsidR="67B645D6" w14:paraId="363829E8" w14:textId="77777777" w:rsidTr="00B013B7">
        <w:trPr>
          <w:trHeight w:val="255"/>
        </w:trPr>
        <w:tc>
          <w:tcPr>
            <w:tcW w:w="3645" w:type="dxa"/>
            <w:vMerge/>
            <w:tcBorders>
              <w:left w:val="single" w:sz="0" w:space="0" w:color="auto"/>
              <w:right w:val="single" w:sz="0" w:space="0" w:color="auto"/>
            </w:tcBorders>
            <w:vAlign w:val="center"/>
          </w:tcPr>
          <w:p w14:paraId="5CE04008" w14:textId="77777777" w:rsidR="004F4943" w:rsidRPr="00B013B7" w:rsidRDefault="004F4943">
            <w:pPr>
              <w:rPr>
                <w:rFonts w:ascii="Arial Narrow" w:hAnsi="Arial Narrow"/>
              </w:rPr>
            </w:pPr>
          </w:p>
        </w:tc>
        <w:tc>
          <w:tcPr>
            <w:tcW w:w="3045" w:type="dxa"/>
            <w:tcBorders>
              <w:top w:val="single" w:sz="4" w:space="0" w:color="auto"/>
              <w:left w:val="nil"/>
              <w:bottom w:val="single" w:sz="4" w:space="0" w:color="auto"/>
              <w:right w:val="nil"/>
            </w:tcBorders>
            <w:vAlign w:val="center"/>
          </w:tcPr>
          <w:p w14:paraId="2C0F4CFC" w14:textId="46D12FFD" w:rsidR="67B645D6" w:rsidRPr="00B013B7" w:rsidRDefault="67B645D6">
            <w:pPr>
              <w:rPr>
                <w:rFonts w:ascii="Arial Narrow" w:hAnsi="Arial Narrow"/>
              </w:rPr>
            </w:pPr>
            <w:r w:rsidRPr="00B013B7">
              <w:rPr>
                <w:rFonts w:ascii="Arial Narrow" w:eastAsia="Calibri Light" w:hAnsi="Arial Narrow" w:cs="Calibri Light"/>
                <w:color w:val="000000" w:themeColor="text1"/>
                <w:sz w:val="20"/>
                <w:szCs w:val="20"/>
              </w:rPr>
              <w:t>Total opportunity cost of capital</w:t>
            </w:r>
          </w:p>
        </w:tc>
        <w:tc>
          <w:tcPr>
            <w:tcW w:w="2325" w:type="dxa"/>
            <w:tcBorders>
              <w:top w:val="single" w:sz="4" w:space="0" w:color="auto"/>
              <w:left w:val="single" w:sz="4" w:space="0" w:color="auto"/>
              <w:bottom w:val="single" w:sz="4" w:space="0" w:color="auto"/>
              <w:right w:val="single" w:sz="4" w:space="0" w:color="auto"/>
            </w:tcBorders>
            <w:vAlign w:val="center"/>
          </w:tcPr>
          <w:p w14:paraId="4114C6A7" w14:textId="5A117B56" w:rsidR="67B645D6" w:rsidRPr="00B013B7" w:rsidRDefault="67B645D6" w:rsidP="00B013B7">
            <w:pPr>
              <w:jc w:val="right"/>
              <w:rPr>
                <w:rFonts w:ascii="Arial Narrow" w:eastAsia="Calibri Light" w:hAnsi="Arial Narrow" w:cs="Calibri Light"/>
                <w:color w:val="000000" w:themeColor="text1"/>
                <w:sz w:val="20"/>
                <w:szCs w:val="20"/>
              </w:rPr>
            </w:pPr>
            <w:r w:rsidRPr="00B013B7">
              <w:rPr>
                <w:rFonts w:ascii="Arial Narrow" w:eastAsia="Calibri Light" w:hAnsi="Arial Narrow" w:cs="Calibri Light"/>
                <w:color w:val="000000" w:themeColor="text1"/>
                <w:sz w:val="20"/>
                <w:szCs w:val="20"/>
              </w:rPr>
              <w:t>$13,416.67</w:t>
            </w:r>
          </w:p>
        </w:tc>
      </w:tr>
      <w:tr w:rsidR="67B645D6" w14:paraId="437CEA57" w14:textId="77777777" w:rsidTr="00B013B7">
        <w:trPr>
          <w:trHeight w:val="255"/>
        </w:trPr>
        <w:tc>
          <w:tcPr>
            <w:tcW w:w="3645" w:type="dxa"/>
            <w:vMerge/>
            <w:tcBorders>
              <w:left w:val="single" w:sz="0" w:space="0" w:color="auto"/>
              <w:right w:val="single" w:sz="0" w:space="0" w:color="auto"/>
            </w:tcBorders>
            <w:vAlign w:val="center"/>
          </w:tcPr>
          <w:p w14:paraId="33007D03" w14:textId="77777777" w:rsidR="004F4943" w:rsidRPr="00B013B7" w:rsidRDefault="004F4943">
            <w:pPr>
              <w:rPr>
                <w:rFonts w:ascii="Arial Narrow" w:hAnsi="Arial Narrow"/>
              </w:rPr>
            </w:pPr>
          </w:p>
        </w:tc>
        <w:tc>
          <w:tcPr>
            <w:tcW w:w="3045" w:type="dxa"/>
            <w:tcBorders>
              <w:top w:val="single" w:sz="4" w:space="0" w:color="auto"/>
              <w:left w:val="nil"/>
              <w:bottom w:val="single" w:sz="4" w:space="0" w:color="auto"/>
              <w:right w:val="single" w:sz="4" w:space="0" w:color="auto"/>
            </w:tcBorders>
            <w:shd w:val="clear" w:color="auto" w:fill="FFFFFF" w:themeFill="background1"/>
            <w:vAlign w:val="bottom"/>
          </w:tcPr>
          <w:p w14:paraId="4F466EC3" w14:textId="39FBFA8A" w:rsidR="67B645D6" w:rsidRPr="00B013B7" w:rsidRDefault="67B645D6">
            <w:pPr>
              <w:rPr>
                <w:rFonts w:ascii="Arial Narrow" w:hAnsi="Arial Narrow"/>
              </w:rPr>
            </w:pPr>
            <w:r w:rsidRPr="00B013B7">
              <w:rPr>
                <w:rFonts w:ascii="Arial Narrow" w:eastAsia="Calibri Light" w:hAnsi="Arial Narrow" w:cs="Calibri Light"/>
                <w:color w:val="000000" w:themeColor="text1"/>
                <w:sz w:val="20"/>
                <w:szCs w:val="20"/>
              </w:rPr>
              <w:t>Duodenoscope cost per service</w:t>
            </w:r>
          </w:p>
        </w:tc>
        <w:tc>
          <w:tcPr>
            <w:tcW w:w="23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556E1" w14:textId="6FF7D132" w:rsidR="67B645D6" w:rsidRPr="00B013B7" w:rsidRDefault="67B645D6" w:rsidP="00B013B7">
            <w:pPr>
              <w:jc w:val="right"/>
              <w:rPr>
                <w:rFonts w:ascii="Arial Narrow" w:eastAsia="Calibri Light" w:hAnsi="Arial Narrow" w:cs="Calibri Light"/>
                <w:color w:val="000000" w:themeColor="text1"/>
                <w:sz w:val="20"/>
                <w:szCs w:val="20"/>
              </w:rPr>
            </w:pPr>
            <w:r w:rsidRPr="00B013B7">
              <w:rPr>
                <w:rFonts w:ascii="Arial Narrow" w:eastAsia="Calibri Light" w:hAnsi="Arial Narrow" w:cs="Calibri Light"/>
                <w:color w:val="000000" w:themeColor="text1"/>
                <w:sz w:val="20"/>
                <w:szCs w:val="20"/>
              </w:rPr>
              <w:t>$13.42</w:t>
            </w:r>
          </w:p>
        </w:tc>
      </w:tr>
      <w:tr w:rsidR="67B645D6" w14:paraId="4A4BBE7E" w14:textId="77777777" w:rsidTr="002C28A0">
        <w:trPr>
          <w:trHeight w:val="255"/>
        </w:trPr>
        <w:tc>
          <w:tcPr>
            <w:tcW w:w="3645" w:type="dxa"/>
            <w:vMerge/>
            <w:tcBorders>
              <w:left w:val="single" w:sz="0" w:space="0" w:color="auto"/>
              <w:bottom w:val="single" w:sz="0" w:space="0" w:color="000000" w:themeColor="text1"/>
              <w:right w:val="single" w:sz="0" w:space="0" w:color="auto"/>
            </w:tcBorders>
            <w:vAlign w:val="center"/>
          </w:tcPr>
          <w:p w14:paraId="3FD1C6B0" w14:textId="77777777" w:rsidR="004F4943" w:rsidRPr="00B013B7" w:rsidRDefault="004F4943">
            <w:pPr>
              <w:rPr>
                <w:rFonts w:ascii="Arial Narrow" w:hAnsi="Arial Narrow"/>
              </w:rPr>
            </w:pPr>
          </w:p>
        </w:tc>
        <w:tc>
          <w:tcPr>
            <w:tcW w:w="3045" w:type="dxa"/>
            <w:tcBorders>
              <w:top w:val="single" w:sz="4" w:space="0" w:color="auto"/>
              <w:left w:val="nil"/>
              <w:bottom w:val="single" w:sz="4" w:space="0" w:color="auto"/>
              <w:right w:val="nil"/>
            </w:tcBorders>
            <w:shd w:val="clear" w:color="auto" w:fill="auto"/>
            <w:vAlign w:val="bottom"/>
          </w:tcPr>
          <w:p w14:paraId="5F932487" w14:textId="13DDDED8" w:rsidR="67B645D6" w:rsidRPr="00B013B7" w:rsidRDefault="67B645D6">
            <w:pPr>
              <w:rPr>
                <w:rFonts w:ascii="Arial Narrow" w:hAnsi="Arial Narrow"/>
              </w:rPr>
            </w:pPr>
            <w:r w:rsidRPr="00B013B7">
              <w:rPr>
                <w:rFonts w:ascii="Arial Narrow" w:eastAsia="Calibri Light" w:hAnsi="Arial Narrow" w:cs="Calibri Light"/>
                <w:color w:val="000000" w:themeColor="text1"/>
                <w:sz w:val="20"/>
                <w:szCs w:val="20"/>
              </w:rPr>
              <w:t>Total cost per service</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1AFFCA65" w14:textId="7C53E94C" w:rsidR="67B645D6" w:rsidRPr="00B013B7" w:rsidRDefault="67B645D6" w:rsidP="00B013B7">
            <w:pPr>
              <w:jc w:val="right"/>
              <w:rPr>
                <w:rFonts w:ascii="Arial Narrow" w:eastAsia="Calibri Light" w:hAnsi="Arial Narrow" w:cs="Calibri Light"/>
                <w:color w:val="000000" w:themeColor="text1"/>
                <w:sz w:val="20"/>
                <w:szCs w:val="20"/>
              </w:rPr>
            </w:pPr>
            <w:r w:rsidRPr="00B013B7">
              <w:rPr>
                <w:rFonts w:ascii="Arial Narrow" w:eastAsia="Calibri Light" w:hAnsi="Arial Narrow" w:cs="Calibri Light"/>
                <w:color w:val="000000" w:themeColor="text1"/>
                <w:sz w:val="20"/>
                <w:szCs w:val="20"/>
              </w:rPr>
              <w:t>$13.42</w:t>
            </w:r>
          </w:p>
        </w:tc>
      </w:tr>
      <w:tr w:rsidR="67B645D6" w14:paraId="586930A3" w14:textId="77777777" w:rsidTr="002C28A0">
        <w:trPr>
          <w:trHeight w:val="720"/>
        </w:trPr>
        <w:tc>
          <w:tcPr>
            <w:tcW w:w="3645" w:type="dxa"/>
            <w:vMerge w:val="restart"/>
            <w:tcBorders>
              <w:top w:val="nil"/>
              <w:left w:val="single" w:sz="4" w:space="0" w:color="auto"/>
              <w:bottom w:val="single" w:sz="4" w:space="0" w:color="auto"/>
              <w:right w:val="single" w:sz="4" w:space="0" w:color="auto"/>
            </w:tcBorders>
            <w:vAlign w:val="center"/>
          </w:tcPr>
          <w:p w14:paraId="47C4F5FF" w14:textId="4AC569C3" w:rsidR="67B645D6" w:rsidRPr="00B013B7" w:rsidRDefault="67B645D6" w:rsidP="00B013B7">
            <w:pPr>
              <w:jc w:val="center"/>
              <w:rPr>
                <w:rFonts w:ascii="Arial Narrow" w:eastAsia="Calibri Light" w:hAnsi="Arial Narrow" w:cs="Calibri Light"/>
                <w:color w:val="000000" w:themeColor="text1"/>
                <w:sz w:val="20"/>
                <w:szCs w:val="20"/>
              </w:rPr>
            </w:pPr>
            <w:r w:rsidRPr="00B013B7">
              <w:rPr>
                <w:rFonts w:ascii="Arial Narrow" w:eastAsia="Calibri Light" w:hAnsi="Arial Narrow" w:cs="Calibri Light"/>
                <w:color w:val="000000" w:themeColor="text1"/>
                <w:sz w:val="20"/>
                <w:szCs w:val="20"/>
              </w:rPr>
              <w:t>POCPS</w:t>
            </w:r>
          </w:p>
        </w:tc>
        <w:tc>
          <w:tcPr>
            <w:tcW w:w="3045" w:type="dxa"/>
            <w:tcBorders>
              <w:top w:val="single" w:sz="4" w:space="0" w:color="auto"/>
              <w:left w:val="single" w:sz="4" w:space="0" w:color="auto"/>
              <w:bottom w:val="single" w:sz="4" w:space="0" w:color="auto"/>
              <w:right w:val="nil"/>
            </w:tcBorders>
            <w:shd w:val="clear" w:color="auto" w:fill="auto"/>
            <w:vAlign w:val="center"/>
          </w:tcPr>
          <w:p w14:paraId="19E97FDA" w14:textId="6B6A484F" w:rsidR="67B645D6" w:rsidRPr="00B013B7" w:rsidRDefault="67B645D6">
            <w:pPr>
              <w:rPr>
                <w:rFonts w:ascii="Arial Narrow" w:hAnsi="Arial Narrow"/>
              </w:rPr>
            </w:pPr>
            <w:r w:rsidRPr="00B013B7">
              <w:rPr>
                <w:rFonts w:ascii="Arial Narrow" w:eastAsia="Calibri Light" w:hAnsi="Arial Narrow" w:cs="Calibri Light"/>
                <w:color w:val="000000" w:themeColor="text1"/>
                <w:sz w:val="20"/>
                <w:szCs w:val="20"/>
              </w:rPr>
              <w:t>SpyGlass DS Digital Controller (capital)</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119854AF" w14:textId="796C4B0E" w:rsidR="67B645D6" w:rsidRPr="00B013B7" w:rsidRDefault="67B645D6" w:rsidP="00B013B7">
            <w:pPr>
              <w:jc w:val="right"/>
              <w:rPr>
                <w:rFonts w:ascii="Arial Narrow" w:eastAsia="Calibri Light" w:hAnsi="Arial Narrow" w:cs="Calibri Light"/>
                <w:color w:val="000000" w:themeColor="text1"/>
                <w:sz w:val="20"/>
                <w:szCs w:val="20"/>
              </w:rPr>
            </w:pPr>
            <w:r w:rsidRPr="00B013B7">
              <w:rPr>
                <w:rFonts w:ascii="Arial Narrow" w:eastAsia="Calibri Light" w:hAnsi="Arial Narrow" w:cs="Calibri Light"/>
                <w:color w:val="000000" w:themeColor="text1"/>
                <w:sz w:val="20"/>
                <w:szCs w:val="20"/>
              </w:rPr>
              <w:t>$</w:t>
            </w:r>
            <w:r w:rsidR="001B3435">
              <w:rPr>
                <w:rFonts w:ascii="Arial Narrow" w:eastAsia="Calibri Light" w:hAnsi="Arial Narrow" w:cs="Calibri Light"/>
                <w:color w:val="000000" w:themeColor="text1"/>
                <w:sz w:val="20"/>
                <w:szCs w:val="20"/>
              </w:rPr>
              <w:t>redacted</w:t>
            </w:r>
          </w:p>
        </w:tc>
      </w:tr>
      <w:tr w:rsidR="67B645D6" w14:paraId="3205D040" w14:textId="77777777" w:rsidTr="002C28A0">
        <w:trPr>
          <w:trHeight w:val="255"/>
        </w:trPr>
        <w:tc>
          <w:tcPr>
            <w:tcW w:w="3645" w:type="dxa"/>
            <w:vMerge/>
            <w:tcBorders>
              <w:left w:val="single" w:sz="0" w:space="0" w:color="auto"/>
              <w:right w:val="single" w:sz="0" w:space="0" w:color="auto"/>
            </w:tcBorders>
            <w:vAlign w:val="center"/>
          </w:tcPr>
          <w:p w14:paraId="784EAA5E" w14:textId="77777777" w:rsidR="004F4943" w:rsidRPr="00B013B7" w:rsidRDefault="004F4943">
            <w:pPr>
              <w:rPr>
                <w:rFonts w:ascii="Arial Narrow" w:hAnsi="Arial Narrow"/>
              </w:rPr>
            </w:pPr>
          </w:p>
        </w:tc>
        <w:tc>
          <w:tcPr>
            <w:tcW w:w="3045" w:type="dxa"/>
            <w:tcBorders>
              <w:top w:val="single" w:sz="4" w:space="0" w:color="auto"/>
              <w:left w:val="nil"/>
              <w:bottom w:val="single" w:sz="4" w:space="0" w:color="auto"/>
              <w:right w:val="nil"/>
            </w:tcBorders>
            <w:shd w:val="clear" w:color="auto" w:fill="auto"/>
            <w:vAlign w:val="center"/>
          </w:tcPr>
          <w:p w14:paraId="1648BE45" w14:textId="5B0B03DE" w:rsidR="67B645D6" w:rsidRPr="00B013B7" w:rsidRDefault="67B645D6">
            <w:pPr>
              <w:rPr>
                <w:rFonts w:ascii="Arial Narrow" w:hAnsi="Arial Narrow"/>
              </w:rPr>
            </w:pPr>
            <w:r w:rsidRPr="00B013B7">
              <w:rPr>
                <w:rFonts w:ascii="Arial Narrow" w:eastAsia="Calibri Light" w:hAnsi="Arial Narrow" w:cs="Calibri Light"/>
                <w:color w:val="000000" w:themeColor="text1"/>
                <w:sz w:val="20"/>
                <w:szCs w:val="20"/>
              </w:rPr>
              <w:t xml:space="preserve">SpyGlass DS Digital Controller Life years </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39DAB8D7" w14:textId="3444ED11" w:rsidR="67B645D6" w:rsidRPr="00B013B7" w:rsidRDefault="67B645D6" w:rsidP="00B013B7">
            <w:pPr>
              <w:jc w:val="right"/>
              <w:rPr>
                <w:rFonts w:ascii="Arial Narrow" w:eastAsia="Calibri Light" w:hAnsi="Arial Narrow" w:cs="Calibri Light"/>
                <w:sz w:val="20"/>
                <w:szCs w:val="20"/>
              </w:rPr>
            </w:pPr>
            <w:r w:rsidRPr="00B013B7">
              <w:rPr>
                <w:rFonts w:ascii="Arial Narrow" w:eastAsia="Calibri Light" w:hAnsi="Arial Narrow" w:cs="Calibri Light"/>
                <w:sz w:val="20"/>
                <w:szCs w:val="20"/>
              </w:rPr>
              <w:t>5</w:t>
            </w:r>
          </w:p>
        </w:tc>
      </w:tr>
      <w:tr w:rsidR="67B645D6" w14:paraId="4D27CE4E" w14:textId="77777777" w:rsidTr="002C28A0">
        <w:trPr>
          <w:trHeight w:val="255"/>
        </w:trPr>
        <w:tc>
          <w:tcPr>
            <w:tcW w:w="3645" w:type="dxa"/>
            <w:vMerge/>
            <w:tcBorders>
              <w:left w:val="single" w:sz="0" w:space="0" w:color="auto"/>
              <w:right w:val="single" w:sz="0" w:space="0" w:color="auto"/>
            </w:tcBorders>
            <w:vAlign w:val="center"/>
          </w:tcPr>
          <w:p w14:paraId="6F21DDAA" w14:textId="77777777" w:rsidR="004F4943" w:rsidRPr="00B013B7" w:rsidRDefault="004F4943">
            <w:pPr>
              <w:rPr>
                <w:rFonts w:ascii="Arial Narrow" w:hAnsi="Arial Narrow"/>
              </w:rPr>
            </w:pPr>
          </w:p>
        </w:tc>
        <w:tc>
          <w:tcPr>
            <w:tcW w:w="3045" w:type="dxa"/>
            <w:tcBorders>
              <w:top w:val="single" w:sz="4" w:space="0" w:color="auto"/>
              <w:left w:val="nil"/>
              <w:bottom w:val="single" w:sz="4" w:space="0" w:color="auto"/>
              <w:right w:val="nil"/>
            </w:tcBorders>
            <w:shd w:val="clear" w:color="auto" w:fill="auto"/>
            <w:vAlign w:val="center"/>
          </w:tcPr>
          <w:p w14:paraId="49592414" w14:textId="53D904AF" w:rsidR="67B645D6" w:rsidRPr="00B013B7" w:rsidRDefault="67B645D6">
            <w:pPr>
              <w:rPr>
                <w:rFonts w:ascii="Arial Narrow" w:hAnsi="Arial Narrow"/>
              </w:rPr>
            </w:pPr>
            <w:r w:rsidRPr="00B013B7">
              <w:rPr>
                <w:rFonts w:ascii="Arial Narrow" w:eastAsia="Calibri Light" w:hAnsi="Arial Narrow" w:cs="Calibri Light"/>
                <w:color w:val="000000" w:themeColor="text1"/>
                <w:sz w:val="20"/>
                <w:szCs w:val="20"/>
              </w:rPr>
              <w:t>Forgone capital return</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7F10A044" w14:textId="3171C0E9" w:rsidR="67B645D6" w:rsidRPr="00B013B7" w:rsidRDefault="67B645D6" w:rsidP="00B013B7">
            <w:pPr>
              <w:jc w:val="right"/>
              <w:rPr>
                <w:rFonts w:ascii="Arial Narrow" w:eastAsia="Calibri Light" w:hAnsi="Arial Narrow" w:cs="Calibri Light"/>
                <w:color w:val="000000" w:themeColor="text1"/>
                <w:sz w:val="20"/>
                <w:szCs w:val="20"/>
              </w:rPr>
            </w:pPr>
            <w:r w:rsidRPr="00B013B7">
              <w:rPr>
                <w:rFonts w:ascii="Arial Narrow" w:eastAsia="Calibri Light" w:hAnsi="Arial Narrow" w:cs="Calibri Light"/>
                <w:color w:val="000000" w:themeColor="text1"/>
                <w:sz w:val="20"/>
                <w:szCs w:val="20"/>
              </w:rPr>
              <w:t>$44,500.00</w:t>
            </w:r>
          </w:p>
        </w:tc>
      </w:tr>
      <w:tr w:rsidR="67B645D6" w14:paraId="4B237768" w14:textId="77777777" w:rsidTr="002C28A0">
        <w:trPr>
          <w:trHeight w:val="255"/>
        </w:trPr>
        <w:tc>
          <w:tcPr>
            <w:tcW w:w="3645" w:type="dxa"/>
            <w:vMerge/>
            <w:tcBorders>
              <w:left w:val="single" w:sz="0" w:space="0" w:color="auto"/>
              <w:right w:val="single" w:sz="0" w:space="0" w:color="auto"/>
            </w:tcBorders>
            <w:vAlign w:val="center"/>
          </w:tcPr>
          <w:p w14:paraId="6672A566" w14:textId="77777777" w:rsidR="004F4943" w:rsidRPr="00B013B7" w:rsidRDefault="004F4943">
            <w:pPr>
              <w:rPr>
                <w:rFonts w:ascii="Arial Narrow" w:hAnsi="Arial Narrow"/>
              </w:rPr>
            </w:pPr>
          </w:p>
        </w:tc>
        <w:tc>
          <w:tcPr>
            <w:tcW w:w="3045" w:type="dxa"/>
            <w:tcBorders>
              <w:top w:val="single" w:sz="4" w:space="0" w:color="auto"/>
              <w:left w:val="nil"/>
              <w:bottom w:val="single" w:sz="4" w:space="0" w:color="auto"/>
              <w:right w:val="nil"/>
            </w:tcBorders>
            <w:shd w:val="clear" w:color="auto" w:fill="auto"/>
            <w:vAlign w:val="center"/>
          </w:tcPr>
          <w:p w14:paraId="16048D1C" w14:textId="40EE6F64" w:rsidR="67B645D6" w:rsidRPr="00B013B7" w:rsidRDefault="67B645D6">
            <w:pPr>
              <w:rPr>
                <w:rFonts w:ascii="Arial Narrow" w:hAnsi="Arial Narrow"/>
              </w:rPr>
            </w:pPr>
            <w:r w:rsidRPr="00B013B7">
              <w:rPr>
                <w:rFonts w:ascii="Arial Narrow" w:eastAsia="Calibri Light" w:hAnsi="Arial Narrow" w:cs="Calibri Light"/>
                <w:color w:val="000000" w:themeColor="text1"/>
                <w:sz w:val="20"/>
                <w:szCs w:val="20"/>
              </w:rPr>
              <w:t>Total opportunity cost of capital</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3A1C5C5C" w14:textId="795E05CD" w:rsidR="67B645D6" w:rsidRPr="00B013B7" w:rsidRDefault="67B645D6" w:rsidP="00B013B7">
            <w:pPr>
              <w:jc w:val="right"/>
              <w:rPr>
                <w:rFonts w:ascii="Arial Narrow" w:eastAsia="Calibri Light" w:hAnsi="Arial Narrow" w:cs="Calibri Light"/>
                <w:color w:val="000000" w:themeColor="text1"/>
                <w:sz w:val="20"/>
                <w:szCs w:val="20"/>
              </w:rPr>
            </w:pPr>
            <w:r w:rsidRPr="00B013B7">
              <w:rPr>
                <w:rFonts w:ascii="Arial Narrow" w:eastAsia="Calibri Light" w:hAnsi="Arial Narrow" w:cs="Calibri Light"/>
                <w:color w:val="000000" w:themeColor="text1"/>
                <w:sz w:val="20"/>
                <w:szCs w:val="20"/>
              </w:rPr>
              <w:t>$222,500.00</w:t>
            </w:r>
          </w:p>
        </w:tc>
      </w:tr>
      <w:tr w:rsidR="67B645D6" w14:paraId="12A9D42A" w14:textId="77777777" w:rsidTr="002C28A0">
        <w:trPr>
          <w:trHeight w:val="255"/>
        </w:trPr>
        <w:tc>
          <w:tcPr>
            <w:tcW w:w="3645" w:type="dxa"/>
            <w:vMerge/>
            <w:tcBorders>
              <w:left w:val="single" w:sz="0" w:space="0" w:color="auto"/>
              <w:right w:val="single" w:sz="0" w:space="0" w:color="auto"/>
            </w:tcBorders>
            <w:vAlign w:val="center"/>
          </w:tcPr>
          <w:p w14:paraId="1A2B3BAA" w14:textId="77777777" w:rsidR="004F4943" w:rsidRPr="00B013B7" w:rsidRDefault="004F4943">
            <w:pPr>
              <w:rPr>
                <w:rFonts w:ascii="Arial Narrow" w:hAnsi="Arial Narrow"/>
              </w:rPr>
            </w:pPr>
          </w:p>
        </w:tc>
        <w:tc>
          <w:tcPr>
            <w:tcW w:w="3045" w:type="dxa"/>
            <w:tcBorders>
              <w:top w:val="single" w:sz="4" w:space="0" w:color="auto"/>
              <w:left w:val="nil"/>
              <w:bottom w:val="single" w:sz="4" w:space="0" w:color="auto"/>
              <w:right w:val="nil"/>
            </w:tcBorders>
            <w:shd w:val="clear" w:color="auto" w:fill="auto"/>
            <w:vAlign w:val="center"/>
          </w:tcPr>
          <w:p w14:paraId="3D602D44" w14:textId="234C239C" w:rsidR="67B645D6" w:rsidRPr="00B013B7" w:rsidRDefault="67B645D6">
            <w:pPr>
              <w:rPr>
                <w:rFonts w:ascii="Arial Narrow" w:hAnsi="Arial Narrow"/>
              </w:rPr>
            </w:pPr>
            <w:r w:rsidRPr="00B013B7">
              <w:rPr>
                <w:rFonts w:ascii="Arial Narrow" w:eastAsia="Calibri Light" w:hAnsi="Arial Narrow" w:cs="Calibri Light"/>
                <w:color w:val="000000" w:themeColor="text1"/>
                <w:sz w:val="20"/>
                <w:szCs w:val="20"/>
              </w:rPr>
              <w:t>POCPS cost per service</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08AA677F" w14:textId="73A76888" w:rsidR="67B645D6" w:rsidRPr="00B013B7" w:rsidRDefault="67B645D6" w:rsidP="00B013B7">
            <w:pPr>
              <w:jc w:val="right"/>
              <w:rPr>
                <w:rFonts w:ascii="Arial Narrow" w:eastAsia="Calibri Light" w:hAnsi="Arial Narrow" w:cs="Calibri Light"/>
                <w:color w:val="000000" w:themeColor="text1"/>
                <w:sz w:val="20"/>
                <w:szCs w:val="20"/>
              </w:rPr>
            </w:pPr>
            <w:r w:rsidRPr="00B013B7">
              <w:rPr>
                <w:rFonts w:ascii="Arial Narrow" w:eastAsia="Calibri Light" w:hAnsi="Arial Narrow" w:cs="Calibri Light"/>
                <w:color w:val="000000" w:themeColor="text1"/>
                <w:sz w:val="20"/>
                <w:szCs w:val="20"/>
              </w:rPr>
              <w:t>$4.</w:t>
            </w:r>
            <w:r w:rsidR="00F025A0">
              <w:rPr>
                <w:rFonts w:ascii="Arial Narrow" w:eastAsia="Calibri Light" w:hAnsi="Arial Narrow" w:cs="Calibri Light"/>
                <w:color w:val="000000" w:themeColor="text1"/>
                <w:sz w:val="20"/>
                <w:szCs w:val="20"/>
              </w:rPr>
              <w:t>45</w:t>
            </w:r>
          </w:p>
        </w:tc>
      </w:tr>
      <w:tr w:rsidR="00424DBC" w14:paraId="30110DD3" w14:textId="77777777" w:rsidTr="002C28A0">
        <w:trPr>
          <w:trHeight w:val="255"/>
        </w:trPr>
        <w:tc>
          <w:tcPr>
            <w:tcW w:w="3645" w:type="dxa"/>
            <w:vMerge/>
            <w:tcBorders>
              <w:left w:val="single" w:sz="0" w:space="0" w:color="auto"/>
              <w:bottom w:val="single" w:sz="0" w:space="0" w:color="000000" w:themeColor="text1"/>
              <w:right w:val="single" w:sz="0" w:space="0" w:color="auto"/>
            </w:tcBorders>
            <w:vAlign w:val="center"/>
          </w:tcPr>
          <w:p w14:paraId="232EC292" w14:textId="77777777" w:rsidR="004F4943" w:rsidRPr="00B013B7" w:rsidRDefault="004F4943">
            <w:pPr>
              <w:rPr>
                <w:rFonts w:ascii="Arial Narrow" w:hAnsi="Arial Narrow"/>
              </w:rPr>
            </w:pPr>
          </w:p>
        </w:tc>
        <w:tc>
          <w:tcPr>
            <w:tcW w:w="3045" w:type="dxa"/>
            <w:tcBorders>
              <w:top w:val="single" w:sz="4" w:space="0" w:color="auto"/>
              <w:left w:val="nil"/>
              <w:bottom w:val="single" w:sz="4" w:space="0" w:color="auto"/>
              <w:right w:val="nil"/>
            </w:tcBorders>
            <w:shd w:val="clear" w:color="auto" w:fill="auto"/>
            <w:vAlign w:val="center"/>
          </w:tcPr>
          <w:p w14:paraId="7C72CD4E" w14:textId="76DA3CCB" w:rsidR="67B645D6" w:rsidRPr="00B013B7" w:rsidRDefault="67B645D6" w:rsidP="00B013B7">
            <w:pPr>
              <w:spacing w:line="259" w:lineRule="auto"/>
              <w:rPr>
                <w:rFonts w:ascii="Arial Narrow" w:eastAsia="Calibri Light" w:hAnsi="Arial Narrow" w:cs="Calibri Light"/>
                <w:color w:val="000000" w:themeColor="text1"/>
                <w:sz w:val="20"/>
                <w:szCs w:val="20"/>
              </w:rPr>
            </w:pPr>
            <w:r w:rsidRPr="00B013B7">
              <w:rPr>
                <w:rFonts w:ascii="Arial Narrow" w:eastAsia="Calibri Light" w:hAnsi="Arial Narrow" w:cs="Calibri Light"/>
                <w:color w:val="000000" w:themeColor="text1"/>
                <w:sz w:val="20"/>
                <w:szCs w:val="20"/>
              </w:rPr>
              <w:t>Total cost per service</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562036A9" w14:textId="45BF2EA7" w:rsidR="67B645D6" w:rsidRPr="00B013B7" w:rsidRDefault="67B645D6" w:rsidP="00B013B7">
            <w:pPr>
              <w:spacing w:line="259" w:lineRule="auto"/>
              <w:jc w:val="right"/>
              <w:rPr>
                <w:rFonts w:ascii="Arial Narrow" w:eastAsia="Calibri Light" w:hAnsi="Arial Narrow" w:cs="Calibri Light"/>
                <w:color w:val="000000" w:themeColor="text1"/>
                <w:sz w:val="20"/>
                <w:szCs w:val="20"/>
              </w:rPr>
            </w:pPr>
            <w:r w:rsidRPr="00B013B7">
              <w:rPr>
                <w:rFonts w:ascii="Arial Narrow" w:eastAsia="Calibri Light" w:hAnsi="Arial Narrow" w:cs="Calibri Light"/>
                <w:color w:val="000000" w:themeColor="text1"/>
                <w:sz w:val="20"/>
                <w:szCs w:val="20"/>
              </w:rPr>
              <w:t>$35.</w:t>
            </w:r>
            <w:r w:rsidR="00F025A0">
              <w:rPr>
                <w:rFonts w:ascii="Arial Narrow" w:eastAsia="Calibri Light" w:hAnsi="Arial Narrow" w:cs="Calibri Light"/>
                <w:color w:val="000000" w:themeColor="text1"/>
                <w:sz w:val="20"/>
                <w:szCs w:val="20"/>
              </w:rPr>
              <w:t>67</w:t>
            </w:r>
          </w:p>
        </w:tc>
      </w:tr>
    </w:tbl>
    <w:p w14:paraId="2DF1152C" w14:textId="67F2ABC5" w:rsidR="00F025A0" w:rsidRPr="00F025A0" w:rsidRDefault="00F025A0" w:rsidP="00F025A0">
      <w:pPr>
        <w:pStyle w:val="Abbreviations"/>
        <w:rPr>
          <w:snapToGrid w:val="0"/>
        </w:rPr>
      </w:pPr>
      <w:r>
        <w:t>Source: Attachment 3.2 (Investigative CEA spreadsheet) – pre-MSAC response</w:t>
      </w:r>
      <w:r>
        <w:br/>
        <w:t xml:space="preserve">Note: </w:t>
      </w:r>
      <w:r w:rsidRPr="00627FC8">
        <w:t xml:space="preserve">The </w:t>
      </w:r>
      <w:r>
        <w:t xml:space="preserve">pre-MSAC response corrected the </w:t>
      </w:r>
      <w:r w:rsidRPr="00627FC8">
        <w:t xml:space="preserve">cost of the controller </w:t>
      </w:r>
      <w:r>
        <w:t xml:space="preserve">which </w:t>
      </w:r>
      <w:r w:rsidRPr="00627FC8">
        <w:t xml:space="preserve">was incorrectly </w:t>
      </w:r>
      <w:r>
        <w:t xml:space="preserve">stated </w:t>
      </w:r>
      <w:r w:rsidRPr="00627FC8">
        <w:t>as $</w:t>
      </w:r>
      <w:r w:rsidR="00FD0220">
        <w:t>redacted</w:t>
      </w:r>
      <w:r w:rsidRPr="00627FC8">
        <w:t xml:space="preserve"> instead of $</w:t>
      </w:r>
      <w:r w:rsidR="00FD0220">
        <w:t>redacted</w:t>
      </w:r>
      <w:r w:rsidRPr="00627FC8">
        <w:t xml:space="preserve"> and hence was overestimated</w:t>
      </w:r>
      <w:r>
        <w:t>. This decreased the cost of POCPS</w:t>
      </w:r>
    </w:p>
    <w:p w14:paraId="110AFFBD" w14:textId="36F346D4" w:rsidR="154C8B3D" w:rsidRPr="001803BF" w:rsidRDefault="7813953A" w:rsidP="00096324">
      <w:pPr>
        <w:spacing w:after="240"/>
        <w:rPr>
          <w:rFonts w:eastAsia="Franklin Gothic Book" w:cs="Franklin Gothic Book"/>
        </w:rPr>
      </w:pPr>
      <w:r w:rsidRPr="001803BF">
        <w:rPr>
          <w:rFonts w:eastAsia="Franklin Gothic Book" w:cs="Franklin Gothic Book"/>
        </w:rPr>
        <w:t xml:space="preserve">Whilst not included in the cost effectiveness model, the </w:t>
      </w:r>
      <w:r w:rsidR="001803BF">
        <w:rPr>
          <w:rFonts w:eastAsia="Franklin Gothic Book" w:cs="Franklin Gothic Book"/>
        </w:rPr>
        <w:t xml:space="preserve">commentary considered the </w:t>
      </w:r>
      <w:r w:rsidRPr="001803BF">
        <w:rPr>
          <w:rFonts w:eastAsia="Franklin Gothic Book" w:cs="Franklin Gothic Book"/>
        </w:rPr>
        <w:t>outcomes of reduced repeated procedures to determine a definitive malignant diagnosis can be considered as additional benefits with long-term impacts on health system costs and patient safety.</w:t>
      </w:r>
    </w:p>
    <w:p w14:paraId="347A8B53" w14:textId="0951988E" w:rsidR="007B6DDB" w:rsidRDefault="001803BF" w:rsidP="00C86DC6">
      <w:pPr>
        <w:pStyle w:val="Heading3"/>
        <w:spacing w:before="40" w:after="180" w:line="312" w:lineRule="auto"/>
      </w:pPr>
      <w:r>
        <w:t>Sensitivity</w:t>
      </w:r>
      <w:r w:rsidR="007B6DDB">
        <w:t xml:space="preserve"> analysis</w:t>
      </w:r>
    </w:p>
    <w:p w14:paraId="5C3FBD4D" w14:textId="5430A9C2" w:rsidR="007B6DDB" w:rsidRDefault="001779D7" w:rsidP="00096324">
      <w:pPr>
        <w:pStyle w:val="BodyText"/>
        <w:spacing w:before="120" w:after="240" w:line="259" w:lineRule="auto"/>
        <w:rPr>
          <w:rFonts w:ascii="Franklin Gothic Book" w:eastAsiaTheme="minorHAnsi" w:hAnsi="Franklin Gothic Book" w:cstheme="minorBidi"/>
          <w:lang w:eastAsia="en-US"/>
        </w:rPr>
      </w:pPr>
      <w:r>
        <w:rPr>
          <w:rFonts w:ascii="Franklin Gothic Book" w:eastAsiaTheme="minorHAnsi" w:hAnsi="Franklin Gothic Book" w:cstheme="minorBidi"/>
          <w:lang w:eastAsia="en-US"/>
        </w:rPr>
        <w:t>The ADAR presented</w:t>
      </w:r>
      <w:r w:rsidR="007B6DDB" w:rsidRPr="00D442D6">
        <w:rPr>
          <w:rFonts w:ascii="Franklin Gothic Book" w:eastAsiaTheme="minorHAnsi" w:hAnsi="Franklin Gothic Book" w:cstheme="minorBidi"/>
          <w:lang w:eastAsia="en-US"/>
        </w:rPr>
        <w:t xml:space="preserve"> several sensitivity analyses to adjust for the range of clinical efficacy results reported in the clinical evaluation.</w:t>
      </w:r>
      <w:r>
        <w:rPr>
          <w:rFonts w:ascii="Franklin Gothic Book" w:eastAsiaTheme="minorHAnsi" w:hAnsi="Franklin Gothic Book" w:cstheme="minorBidi"/>
          <w:lang w:eastAsia="en-US"/>
        </w:rPr>
        <w:t xml:space="preserve"> The results presented in the ADAR were based on total MBS costs of diagnosis and did not include hospital, consumable and capital costs. The ADAR’s sensitivity analyses demonstrated that POCPS was dominant for all the analyses. The results of the key sensitivity analysis based on the total cost (including hospital, consumable and capital costs) are presented in </w:t>
      </w:r>
      <w:r>
        <w:rPr>
          <w:rFonts w:ascii="Franklin Gothic Book" w:eastAsiaTheme="minorHAnsi" w:hAnsi="Franklin Gothic Book" w:cstheme="minorBidi"/>
          <w:lang w:eastAsia="en-US"/>
        </w:rPr>
        <w:fldChar w:fldCharType="begin"/>
      </w:r>
      <w:r>
        <w:rPr>
          <w:rFonts w:ascii="Franklin Gothic Book" w:eastAsiaTheme="minorHAnsi" w:hAnsi="Franklin Gothic Book" w:cstheme="minorBidi"/>
          <w:lang w:eastAsia="en-US"/>
        </w:rPr>
        <w:instrText xml:space="preserve"> REF _Ref96869429 \h </w:instrText>
      </w:r>
      <w:r>
        <w:rPr>
          <w:rFonts w:ascii="Franklin Gothic Book" w:eastAsiaTheme="minorHAnsi" w:hAnsi="Franklin Gothic Book" w:cstheme="minorBidi"/>
          <w:lang w:eastAsia="en-US"/>
        </w:rPr>
      </w:r>
      <w:r>
        <w:rPr>
          <w:rFonts w:ascii="Franklin Gothic Book" w:eastAsiaTheme="minorHAnsi" w:hAnsi="Franklin Gothic Book" w:cstheme="minorBidi"/>
          <w:lang w:eastAsia="en-US"/>
        </w:rPr>
        <w:fldChar w:fldCharType="separate"/>
      </w:r>
      <w:r w:rsidR="00D422BC">
        <w:t xml:space="preserve">Table </w:t>
      </w:r>
      <w:r w:rsidR="00D422BC">
        <w:rPr>
          <w:noProof/>
        </w:rPr>
        <w:t>26</w:t>
      </w:r>
      <w:r>
        <w:rPr>
          <w:rFonts w:ascii="Franklin Gothic Book" w:eastAsiaTheme="minorHAnsi" w:hAnsi="Franklin Gothic Book" w:cstheme="minorBidi"/>
          <w:lang w:eastAsia="en-US"/>
        </w:rPr>
        <w:fldChar w:fldCharType="end"/>
      </w:r>
      <w:r>
        <w:rPr>
          <w:rFonts w:ascii="Franklin Gothic Book" w:eastAsiaTheme="minorHAnsi" w:hAnsi="Franklin Gothic Book" w:cstheme="minorBidi"/>
          <w:lang w:eastAsia="en-US"/>
        </w:rPr>
        <w:t xml:space="preserve">. </w:t>
      </w:r>
    </w:p>
    <w:p w14:paraId="12EA78B1" w14:textId="2EFF9BB1" w:rsidR="009B769D" w:rsidRDefault="009B769D" w:rsidP="009B769D">
      <w:pPr>
        <w:pStyle w:val="Caption"/>
      </w:pPr>
      <w:bookmarkStart w:id="137" w:name="_Ref96869429"/>
      <w:r>
        <w:lastRenderedPageBreak/>
        <w:t xml:space="preserve">Table </w:t>
      </w:r>
      <w:fldSimple w:instr=" SEQ Table \* ARABIC ">
        <w:r w:rsidR="00D422BC">
          <w:rPr>
            <w:noProof/>
          </w:rPr>
          <w:t>26</w:t>
        </w:r>
      </w:fldSimple>
      <w:bookmarkEnd w:id="137"/>
      <w:r>
        <w:t>: Sensitivity analyses for biliary strictures</w:t>
      </w:r>
      <w:r w:rsidR="00345085">
        <w:t xml:space="preserve"> (per additional correctly diagnosed patient – total cost)</w:t>
      </w:r>
    </w:p>
    <w:tbl>
      <w:tblPr>
        <w:tblStyle w:val="ADAR"/>
        <w:tblW w:w="9016" w:type="dxa"/>
        <w:tblLook w:val="04A0" w:firstRow="1" w:lastRow="0" w:firstColumn="1" w:lastColumn="0" w:noHBand="0" w:noVBand="1"/>
      </w:tblPr>
      <w:tblGrid>
        <w:gridCol w:w="4673"/>
        <w:gridCol w:w="1276"/>
        <w:gridCol w:w="1276"/>
        <w:gridCol w:w="1791"/>
      </w:tblGrid>
      <w:tr w:rsidR="009B769D" w:rsidRPr="0058435C" w14:paraId="3E12059D" w14:textId="77777777" w:rsidTr="00011C85">
        <w:trPr>
          <w:tblHeader/>
        </w:trPr>
        <w:tc>
          <w:tcPr>
            <w:tcW w:w="4673" w:type="dxa"/>
          </w:tcPr>
          <w:p w14:paraId="4824E389" w14:textId="77777777" w:rsidR="009B769D" w:rsidRPr="0058435C" w:rsidRDefault="009B769D" w:rsidP="00B25D4E">
            <w:pPr>
              <w:pStyle w:val="TableHeading0"/>
              <w:keepNext/>
              <w:keepLines/>
            </w:pPr>
            <w:r>
              <w:t>Parameter</w:t>
            </w:r>
          </w:p>
        </w:tc>
        <w:tc>
          <w:tcPr>
            <w:tcW w:w="1276" w:type="dxa"/>
          </w:tcPr>
          <w:p w14:paraId="4A39D250" w14:textId="77777777" w:rsidR="009B769D" w:rsidRPr="0058435C" w:rsidRDefault="009B769D" w:rsidP="00B25D4E">
            <w:pPr>
              <w:pStyle w:val="TableHeading0"/>
              <w:keepNext/>
              <w:keepLines/>
              <w:jc w:val="center"/>
            </w:pPr>
            <w:r>
              <w:t>Incremental effectiveness</w:t>
            </w:r>
          </w:p>
        </w:tc>
        <w:tc>
          <w:tcPr>
            <w:tcW w:w="1276" w:type="dxa"/>
          </w:tcPr>
          <w:p w14:paraId="27463535" w14:textId="77777777" w:rsidR="009B769D" w:rsidRPr="0058435C" w:rsidRDefault="009B769D" w:rsidP="00B25D4E">
            <w:pPr>
              <w:pStyle w:val="TableHeading0"/>
              <w:keepNext/>
              <w:keepLines/>
              <w:jc w:val="center"/>
            </w:pPr>
            <w:r>
              <w:t>Incremental cost</w:t>
            </w:r>
          </w:p>
        </w:tc>
        <w:tc>
          <w:tcPr>
            <w:tcW w:w="1791" w:type="dxa"/>
          </w:tcPr>
          <w:p w14:paraId="4B740C8B" w14:textId="4B1BF3B8" w:rsidR="009B769D" w:rsidRPr="0058435C" w:rsidRDefault="009B769D" w:rsidP="00B25D4E">
            <w:pPr>
              <w:pStyle w:val="TableHeading0"/>
              <w:keepNext/>
              <w:keepLines/>
              <w:jc w:val="center"/>
            </w:pPr>
            <w:r>
              <w:t xml:space="preserve">ICER </w:t>
            </w:r>
            <w:r w:rsidR="00011C85">
              <w:t xml:space="preserve"> </w:t>
            </w:r>
            <w:r>
              <w:t>(per correctly diagnosed patient)</w:t>
            </w:r>
          </w:p>
        </w:tc>
      </w:tr>
      <w:tr w:rsidR="009B769D" w:rsidRPr="005613AC" w14:paraId="1EF03785" w14:textId="77777777" w:rsidTr="00011C85">
        <w:trPr>
          <w:trHeight w:val="70"/>
        </w:trPr>
        <w:tc>
          <w:tcPr>
            <w:tcW w:w="4673" w:type="dxa"/>
          </w:tcPr>
          <w:p w14:paraId="546E3F10" w14:textId="77777777" w:rsidR="009B769D" w:rsidRPr="00E54CFD" w:rsidRDefault="009B769D" w:rsidP="00B25D4E">
            <w:pPr>
              <w:pStyle w:val="TableText"/>
              <w:keepNext/>
              <w:keepLines/>
              <w:rPr>
                <w:b/>
                <w:bCs/>
              </w:rPr>
            </w:pPr>
            <w:r>
              <w:rPr>
                <w:b/>
                <w:bCs/>
              </w:rPr>
              <w:t>Base case</w:t>
            </w:r>
          </w:p>
        </w:tc>
        <w:tc>
          <w:tcPr>
            <w:tcW w:w="1276" w:type="dxa"/>
          </w:tcPr>
          <w:p w14:paraId="2476194A" w14:textId="3DA13490" w:rsidR="009B769D" w:rsidRPr="005613AC" w:rsidRDefault="009B769D" w:rsidP="00B25D4E">
            <w:pPr>
              <w:pStyle w:val="TableTextCA"/>
              <w:keepNext/>
              <w:keepLines/>
            </w:pPr>
            <w:r>
              <w:t>+256</w:t>
            </w:r>
          </w:p>
        </w:tc>
        <w:tc>
          <w:tcPr>
            <w:tcW w:w="1276" w:type="dxa"/>
          </w:tcPr>
          <w:p w14:paraId="61B4E281" w14:textId="659C368E" w:rsidR="009B769D" w:rsidRPr="005613AC" w:rsidRDefault="009B769D" w:rsidP="00B25D4E">
            <w:pPr>
              <w:pStyle w:val="TableTextCA"/>
              <w:keepNext/>
              <w:keepLines/>
            </w:pPr>
            <w:r w:rsidRPr="009B769D">
              <w:t>$1,742,17</w:t>
            </w:r>
            <w:r>
              <w:t>5</w:t>
            </w:r>
          </w:p>
        </w:tc>
        <w:tc>
          <w:tcPr>
            <w:tcW w:w="1791" w:type="dxa"/>
          </w:tcPr>
          <w:p w14:paraId="736258A9" w14:textId="56EF265C" w:rsidR="009B769D" w:rsidRPr="005613AC" w:rsidRDefault="009B769D" w:rsidP="00B25D4E">
            <w:pPr>
              <w:pStyle w:val="TableTextCA"/>
              <w:keepNext/>
              <w:keepLines/>
            </w:pPr>
            <w:r w:rsidRPr="009B769D">
              <w:t>$6,808</w:t>
            </w:r>
          </w:p>
        </w:tc>
      </w:tr>
      <w:tr w:rsidR="00345085" w:rsidRPr="005613AC" w14:paraId="19870ABD" w14:textId="77777777" w:rsidTr="00011C85">
        <w:trPr>
          <w:trHeight w:val="70"/>
        </w:trPr>
        <w:tc>
          <w:tcPr>
            <w:tcW w:w="4673" w:type="dxa"/>
          </w:tcPr>
          <w:p w14:paraId="7B408033" w14:textId="63F33416" w:rsidR="00345085" w:rsidRPr="00345085" w:rsidRDefault="00345085" w:rsidP="00B25D4E">
            <w:pPr>
              <w:pStyle w:val="TableText"/>
              <w:keepNext/>
              <w:keepLines/>
            </w:pPr>
            <w:r w:rsidRPr="00345085">
              <w:t>MBS cost POCPS = MBS cost of ERCP</w:t>
            </w:r>
          </w:p>
        </w:tc>
        <w:tc>
          <w:tcPr>
            <w:tcW w:w="1276" w:type="dxa"/>
          </w:tcPr>
          <w:p w14:paraId="74832A7F" w14:textId="5085995F" w:rsidR="00345085" w:rsidRDefault="00345085" w:rsidP="00B25D4E">
            <w:pPr>
              <w:pStyle w:val="TableTextCA"/>
              <w:keepNext/>
              <w:keepLines/>
            </w:pPr>
            <w:r>
              <w:t>+256</w:t>
            </w:r>
          </w:p>
        </w:tc>
        <w:tc>
          <w:tcPr>
            <w:tcW w:w="1276" w:type="dxa"/>
          </w:tcPr>
          <w:p w14:paraId="670241A5" w14:textId="3AD2268C" w:rsidR="00345085" w:rsidRPr="009B769D" w:rsidRDefault="00345085" w:rsidP="00B25D4E">
            <w:pPr>
              <w:pStyle w:val="TableTextCA"/>
              <w:keepNext/>
              <w:keepLines/>
            </w:pPr>
            <w:r w:rsidRPr="00345085">
              <w:t>$1,479,641</w:t>
            </w:r>
          </w:p>
        </w:tc>
        <w:tc>
          <w:tcPr>
            <w:tcW w:w="1791" w:type="dxa"/>
          </w:tcPr>
          <w:p w14:paraId="5C9D4C5A" w14:textId="38618A63" w:rsidR="00345085" w:rsidRPr="009B769D" w:rsidRDefault="00345085" w:rsidP="00B25D4E">
            <w:pPr>
              <w:pStyle w:val="TableTextCA"/>
              <w:keepNext/>
              <w:keepLines/>
            </w:pPr>
            <w:r w:rsidRPr="00345085">
              <w:t>$5,782</w:t>
            </w:r>
          </w:p>
        </w:tc>
      </w:tr>
      <w:tr w:rsidR="00814003" w:rsidRPr="008D6C7C" w14:paraId="71A4A60B" w14:textId="77777777" w:rsidTr="00814003">
        <w:trPr>
          <w:trHeight w:val="70"/>
        </w:trPr>
        <w:tc>
          <w:tcPr>
            <w:tcW w:w="9016" w:type="dxa"/>
            <w:gridSpan w:val="4"/>
            <w:vAlign w:val="center"/>
          </w:tcPr>
          <w:p w14:paraId="3B777A89" w14:textId="1EDA0A46" w:rsidR="00814003" w:rsidRPr="008D6C7C" w:rsidRDefault="00814003" w:rsidP="00814003">
            <w:pPr>
              <w:pStyle w:val="TableTextCA"/>
              <w:keepNext/>
              <w:keepLines/>
              <w:jc w:val="left"/>
            </w:pPr>
            <w:r w:rsidRPr="00381DF9">
              <w:rPr>
                <w:b/>
                <w:bCs/>
              </w:rPr>
              <w:t>Prevalence of malignancy</w:t>
            </w:r>
            <w:r>
              <w:t xml:space="preserve"> (base case 63%)</w:t>
            </w:r>
          </w:p>
        </w:tc>
      </w:tr>
      <w:tr w:rsidR="005332D8" w:rsidRPr="008D6C7C" w14:paraId="0C3BD118" w14:textId="77777777" w:rsidTr="00345085">
        <w:trPr>
          <w:trHeight w:val="70"/>
        </w:trPr>
        <w:tc>
          <w:tcPr>
            <w:tcW w:w="4673" w:type="dxa"/>
            <w:shd w:val="clear" w:color="auto" w:fill="auto"/>
          </w:tcPr>
          <w:p w14:paraId="5A9F7CDD" w14:textId="2DC8CF29" w:rsidR="005332D8" w:rsidRDefault="005332D8" w:rsidP="005332D8">
            <w:pPr>
              <w:pStyle w:val="TableText"/>
              <w:keepNext/>
              <w:keepLines/>
            </w:pPr>
            <w:r>
              <w:t>Lower prevalence (50%)</w:t>
            </w:r>
          </w:p>
        </w:tc>
        <w:tc>
          <w:tcPr>
            <w:tcW w:w="1276" w:type="dxa"/>
            <w:shd w:val="clear" w:color="auto" w:fill="auto"/>
          </w:tcPr>
          <w:p w14:paraId="3386162F" w14:textId="4D4B28D9" w:rsidR="005332D8" w:rsidRDefault="005332D8" w:rsidP="005332D8">
            <w:pPr>
              <w:pStyle w:val="TableTextCA"/>
              <w:keepNext/>
              <w:keepLines/>
            </w:pPr>
            <w:r w:rsidRPr="00AC2108">
              <w:t>204</w:t>
            </w:r>
          </w:p>
        </w:tc>
        <w:tc>
          <w:tcPr>
            <w:tcW w:w="1276" w:type="dxa"/>
            <w:shd w:val="clear" w:color="auto" w:fill="auto"/>
          </w:tcPr>
          <w:p w14:paraId="3A0DD221" w14:textId="576AEF83" w:rsidR="005332D8" w:rsidRPr="0024568F" w:rsidRDefault="005332D8" w:rsidP="005332D8">
            <w:pPr>
              <w:pStyle w:val="TableTextCA"/>
              <w:keepNext/>
              <w:keepLines/>
            </w:pPr>
            <w:r w:rsidRPr="00AC2108">
              <w:t>$1,472,790</w:t>
            </w:r>
          </w:p>
        </w:tc>
        <w:tc>
          <w:tcPr>
            <w:tcW w:w="1791" w:type="dxa"/>
            <w:shd w:val="clear" w:color="auto" w:fill="auto"/>
          </w:tcPr>
          <w:p w14:paraId="3F4319A6" w14:textId="3C7356E5" w:rsidR="005332D8" w:rsidRDefault="005332D8" w:rsidP="005332D8">
            <w:pPr>
              <w:pStyle w:val="TableTextCA"/>
              <w:keepNext/>
              <w:keepLines/>
            </w:pPr>
            <w:r w:rsidRPr="00AC2108">
              <w:t>$7,230</w:t>
            </w:r>
          </w:p>
        </w:tc>
      </w:tr>
      <w:tr w:rsidR="005332D8" w:rsidRPr="008D6C7C" w14:paraId="490EF668" w14:textId="77777777" w:rsidTr="00345085">
        <w:trPr>
          <w:trHeight w:val="70"/>
        </w:trPr>
        <w:tc>
          <w:tcPr>
            <w:tcW w:w="4673" w:type="dxa"/>
            <w:shd w:val="clear" w:color="auto" w:fill="auto"/>
          </w:tcPr>
          <w:p w14:paraId="15A91BB8" w14:textId="6D5F35C8" w:rsidR="005332D8" w:rsidRDefault="005332D8" w:rsidP="005332D8">
            <w:pPr>
              <w:pStyle w:val="TableText"/>
              <w:keepNext/>
              <w:keepLines/>
            </w:pPr>
            <w:r>
              <w:t>Higher prevalence (70%)</w:t>
            </w:r>
          </w:p>
        </w:tc>
        <w:tc>
          <w:tcPr>
            <w:tcW w:w="1276" w:type="dxa"/>
            <w:shd w:val="clear" w:color="auto" w:fill="auto"/>
          </w:tcPr>
          <w:p w14:paraId="13992715" w14:textId="2AC9DC27" w:rsidR="005332D8" w:rsidRDefault="005332D8" w:rsidP="005332D8">
            <w:pPr>
              <w:pStyle w:val="TableTextCA"/>
              <w:keepNext/>
              <w:keepLines/>
            </w:pPr>
            <w:r w:rsidRPr="00A53ECD">
              <w:t>284</w:t>
            </w:r>
          </w:p>
        </w:tc>
        <w:tc>
          <w:tcPr>
            <w:tcW w:w="1276" w:type="dxa"/>
            <w:shd w:val="clear" w:color="auto" w:fill="auto"/>
          </w:tcPr>
          <w:p w14:paraId="757CFDCF" w14:textId="1D0F9684" w:rsidR="005332D8" w:rsidRPr="0024568F" w:rsidRDefault="005332D8" w:rsidP="005332D8">
            <w:pPr>
              <w:pStyle w:val="TableTextCA"/>
              <w:keepNext/>
              <w:keepLines/>
            </w:pPr>
            <w:r w:rsidRPr="00A53ECD">
              <w:t>$1,887,228</w:t>
            </w:r>
          </w:p>
        </w:tc>
        <w:tc>
          <w:tcPr>
            <w:tcW w:w="1791" w:type="dxa"/>
            <w:shd w:val="clear" w:color="auto" w:fill="auto"/>
          </w:tcPr>
          <w:p w14:paraId="5721DC58" w14:textId="7A0E1154" w:rsidR="005332D8" w:rsidRDefault="005332D8" w:rsidP="005332D8">
            <w:pPr>
              <w:pStyle w:val="TableTextCA"/>
              <w:keepNext/>
              <w:keepLines/>
            </w:pPr>
            <w:r w:rsidRPr="00A53ECD">
              <w:t>$6,645</w:t>
            </w:r>
          </w:p>
        </w:tc>
      </w:tr>
      <w:tr w:rsidR="005332D8" w:rsidRPr="008D6C7C" w14:paraId="5D62A68D" w14:textId="77777777" w:rsidTr="00345085">
        <w:trPr>
          <w:trHeight w:val="70"/>
        </w:trPr>
        <w:tc>
          <w:tcPr>
            <w:tcW w:w="9016" w:type="dxa"/>
            <w:gridSpan w:val="4"/>
            <w:shd w:val="clear" w:color="auto" w:fill="auto"/>
            <w:vAlign w:val="center"/>
          </w:tcPr>
          <w:p w14:paraId="48B831FE" w14:textId="353EC8C4" w:rsidR="005332D8" w:rsidRDefault="00381DF9" w:rsidP="00011C85">
            <w:pPr>
              <w:pStyle w:val="TableTextCA"/>
              <w:keepNext/>
              <w:keepLines/>
              <w:jc w:val="left"/>
            </w:pPr>
            <w:r w:rsidRPr="00381DF9">
              <w:rPr>
                <w:b/>
                <w:bCs/>
              </w:rPr>
              <w:t>Diagnostic</w:t>
            </w:r>
            <w:r w:rsidR="005332D8" w:rsidRPr="00381DF9">
              <w:rPr>
                <w:b/>
                <w:bCs/>
              </w:rPr>
              <w:t xml:space="preserve"> </w:t>
            </w:r>
            <w:r w:rsidRPr="00381DF9">
              <w:rPr>
                <w:b/>
                <w:bCs/>
              </w:rPr>
              <w:t>performance</w:t>
            </w:r>
            <w:r w:rsidR="00011C85">
              <w:t xml:space="preserve"> (Base case POCPS: Sens = 97%, Spec =92%;  ERCP: Sens =59%, Spec = 99%)</w:t>
            </w:r>
          </w:p>
        </w:tc>
      </w:tr>
      <w:tr w:rsidR="00814003" w:rsidRPr="008D6C7C" w14:paraId="184D50A5" w14:textId="77777777" w:rsidTr="00345085">
        <w:trPr>
          <w:trHeight w:val="70"/>
        </w:trPr>
        <w:tc>
          <w:tcPr>
            <w:tcW w:w="4673" w:type="dxa"/>
            <w:shd w:val="clear" w:color="auto" w:fill="auto"/>
          </w:tcPr>
          <w:p w14:paraId="7E1A6E3F" w14:textId="1F4C7715" w:rsidR="00011C85" w:rsidRDefault="00011C85" w:rsidP="00B25D4E">
            <w:pPr>
              <w:pStyle w:val="TableText"/>
              <w:keepNext/>
              <w:keepLines/>
            </w:pPr>
            <w:r>
              <w:t>POCPS: Sens = 68%, Spec = 63% (Gerges 2020)</w:t>
            </w:r>
          </w:p>
          <w:p w14:paraId="22A70488" w14:textId="7EB52D99" w:rsidR="00814003" w:rsidRDefault="00011C85" w:rsidP="00B25D4E">
            <w:pPr>
              <w:pStyle w:val="TableText"/>
              <w:keepNext/>
              <w:keepLines/>
            </w:pPr>
            <w:r>
              <w:t>ERCP : Sens = 22%; Spec = 85% (Gerges 2020)</w:t>
            </w:r>
          </w:p>
        </w:tc>
        <w:tc>
          <w:tcPr>
            <w:tcW w:w="1276" w:type="dxa"/>
            <w:shd w:val="clear" w:color="auto" w:fill="auto"/>
            <w:vAlign w:val="center"/>
          </w:tcPr>
          <w:p w14:paraId="7C6597F0" w14:textId="19048172" w:rsidR="00814003" w:rsidRDefault="00011C85" w:rsidP="003C3AE3">
            <w:pPr>
              <w:pStyle w:val="TableTextCA"/>
              <w:keepNext/>
              <w:keepLines/>
            </w:pPr>
            <w:r>
              <w:t>+232</w:t>
            </w:r>
          </w:p>
        </w:tc>
        <w:tc>
          <w:tcPr>
            <w:tcW w:w="1276" w:type="dxa"/>
            <w:shd w:val="clear" w:color="auto" w:fill="auto"/>
            <w:vAlign w:val="center"/>
          </w:tcPr>
          <w:p w14:paraId="6082DDC7" w14:textId="06B603B6" w:rsidR="00814003" w:rsidRPr="0024568F" w:rsidRDefault="00011C85" w:rsidP="003C3AE3">
            <w:pPr>
              <w:pStyle w:val="TableTextCA"/>
              <w:keepNext/>
              <w:keepLines/>
            </w:pPr>
            <w:r w:rsidRPr="00011C85">
              <w:t>$1,742,175</w:t>
            </w:r>
          </w:p>
        </w:tc>
        <w:tc>
          <w:tcPr>
            <w:tcW w:w="1791" w:type="dxa"/>
            <w:shd w:val="clear" w:color="auto" w:fill="auto"/>
            <w:vAlign w:val="center"/>
          </w:tcPr>
          <w:p w14:paraId="1783046C" w14:textId="447494E4" w:rsidR="00814003" w:rsidRDefault="00011C85" w:rsidP="003C3AE3">
            <w:pPr>
              <w:pStyle w:val="TableTextCA"/>
              <w:keepNext/>
              <w:keepLines/>
            </w:pPr>
            <w:r w:rsidRPr="00011C85">
              <w:t>$7,505</w:t>
            </w:r>
          </w:p>
        </w:tc>
      </w:tr>
      <w:tr w:rsidR="00465613" w:rsidRPr="008D6C7C" w14:paraId="6724092F" w14:textId="77777777" w:rsidTr="00345085">
        <w:trPr>
          <w:trHeight w:val="70"/>
        </w:trPr>
        <w:tc>
          <w:tcPr>
            <w:tcW w:w="4673" w:type="dxa"/>
            <w:shd w:val="clear" w:color="auto" w:fill="auto"/>
          </w:tcPr>
          <w:p w14:paraId="3C4A3B61" w14:textId="1C75B4D8" w:rsidR="00465613" w:rsidRDefault="00465613" w:rsidP="00465613">
            <w:pPr>
              <w:pStyle w:val="TableText"/>
              <w:keepNext/>
              <w:keepLines/>
            </w:pPr>
            <w:r>
              <w:t>POCPS: Sens. 77%, Spec. 100% (</w:t>
            </w:r>
            <w:r w:rsidRPr="00011C85">
              <w:t>Draganov 2012)</w:t>
            </w:r>
          </w:p>
          <w:p w14:paraId="65FBB813" w14:textId="27ED0643" w:rsidR="00465613" w:rsidRDefault="00465613" w:rsidP="00465613">
            <w:pPr>
              <w:pStyle w:val="TableText"/>
              <w:keepNext/>
              <w:keepLines/>
            </w:pPr>
            <w:r>
              <w:t>ERCP: Sens. 5.8%, Spec. 100% (</w:t>
            </w:r>
            <w:r w:rsidRPr="00011C85">
              <w:t>Draganov 2012</w:t>
            </w:r>
            <w:r>
              <w:t xml:space="preserve"> ERCP</w:t>
            </w:r>
            <w:r>
              <w:noBreakHyphen/>
              <w:t>BC</w:t>
            </w:r>
            <w:r w:rsidRPr="00011C85">
              <w:t>)</w:t>
            </w:r>
          </w:p>
        </w:tc>
        <w:tc>
          <w:tcPr>
            <w:tcW w:w="1276" w:type="dxa"/>
            <w:shd w:val="clear" w:color="auto" w:fill="auto"/>
            <w:vAlign w:val="center"/>
          </w:tcPr>
          <w:p w14:paraId="04D19383" w14:textId="2D178C63" w:rsidR="00465613" w:rsidRDefault="00465613" w:rsidP="003C3AE3">
            <w:pPr>
              <w:pStyle w:val="TableTextCA"/>
              <w:keepNext/>
              <w:keepLines/>
            </w:pPr>
            <w:r>
              <w:t>+</w:t>
            </w:r>
            <w:r w:rsidRPr="00465613">
              <w:t>457</w:t>
            </w:r>
          </w:p>
        </w:tc>
        <w:tc>
          <w:tcPr>
            <w:tcW w:w="1276" w:type="dxa"/>
            <w:shd w:val="clear" w:color="auto" w:fill="auto"/>
            <w:vAlign w:val="center"/>
          </w:tcPr>
          <w:p w14:paraId="7714BD90" w14:textId="546426F7" w:rsidR="00465613" w:rsidRPr="0024568F" w:rsidRDefault="00465613" w:rsidP="003C3AE3">
            <w:pPr>
              <w:pStyle w:val="TableTextCA"/>
              <w:keepNext/>
              <w:keepLines/>
            </w:pPr>
            <w:r w:rsidRPr="00667C88">
              <w:t>$1,742,175</w:t>
            </w:r>
          </w:p>
        </w:tc>
        <w:tc>
          <w:tcPr>
            <w:tcW w:w="1791" w:type="dxa"/>
            <w:shd w:val="clear" w:color="auto" w:fill="auto"/>
            <w:vAlign w:val="center"/>
          </w:tcPr>
          <w:p w14:paraId="71B92742" w14:textId="2137C62C" w:rsidR="00465613" w:rsidRDefault="00465613" w:rsidP="003C3AE3">
            <w:pPr>
              <w:pStyle w:val="TableTextCA"/>
              <w:keepNext/>
              <w:keepLines/>
            </w:pPr>
            <w:r w:rsidRPr="00667C88">
              <w:t>$3,812</w:t>
            </w:r>
          </w:p>
        </w:tc>
      </w:tr>
      <w:tr w:rsidR="003C3AE3" w:rsidRPr="008D6C7C" w14:paraId="15106E29" w14:textId="77777777" w:rsidTr="00345085">
        <w:trPr>
          <w:trHeight w:val="70"/>
        </w:trPr>
        <w:tc>
          <w:tcPr>
            <w:tcW w:w="4673" w:type="dxa"/>
            <w:shd w:val="clear" w:color="auto" w:fill="auto"/>
          </w:tcPr>
          <w:p w14:paraId="6438EF90" w14:textId="07F563D7" w:rsidR="003C3AE3" w:rsidRDefault="003C3AE3" w:rsidP="003C3AE3">
            <w:pPr>
              <w:pStyle w:val="TableText"/>
              <w:keepNext/>
              <w:keepLines/>
            </w:pPr>
            <w:r>
              <w:t>POCPS: Sens. 77%, Spec. 100% (</w:t>
            </w:r>
            <w:r w:rsidRPr="00011C85">
              <w:t>Draganov 2012)</w:t>
            </w:r>
          </w:p>
          <w:p w14:paraId="17608D3A" w14:textId="019A8BCC" w:rsidR="003C3AE3" w:rsidRDefault="003C3AE3" w:rsidP="003C3AE3">
            <w:pPr>
              <w:pStyle w:val="TableText"/>
              <w:keepNext/>
              <w:keepLines/>
            </w:pPr>
            <w:r>
              <w:t>ERCP: Sens. 29.4%, Spec. 100%</w:t>
            </w:r>
            <w:r w:rsidR="00381DF9">
              <w:t xml:space="preserve"> </w:t>
            </w:r>
            <w:r>
              <w:t>(</w:t>
            </w:r>
            <w:r w:rsidRPr="00011C85">
              <w:t>Draganov 2012</w:t>
            </w:r>
            <w:r>
              <w:t xml:space="preserve"> ERCP-IB</w:t>
            </w:r>
            <w:r w:rsidRPr="00011C85">
              <w:t>)</w:t>
            </w:r>
          </w:p>
        </w:tc>
        <w:tc>
          <w:tcPr>
            <w:tcW w:w="1276" w:type="dxa"/>
            <w:shd w:val="clear" w:color="auto" w:fill="auto"/>
            <w:vAlign w:val="center"/>
          </w:tcPr>
          <w:p w14:paraId="6E16BAB1" w14:textId="77DF2609" w:rsidR="003C3AE3" w:rsidRDefault="00381DF9" w:rsidP="003C3AE3">
            <w:pPr>
              <w:pStyle w:val="TableTextCA"/>
              <w:keepNext/>
              <w:keepLines/>
            </w:pPr>
            <w:r>
              <w:t>+</w:t>
            </w:r>
            <w:r w:rsidR="003C3AE3" w:rsidRPr="002A4234">
              <w:t>325</w:t>
            </w:r>
          </w:p>
        </w:tc>
        <w:tc>
          <w:tcPr>
            <w:tcW w:w="1276" w:type="dxa"/>
            <w:shd w:val="clear" w:color="auto" w:fill="auto"/>
            <w:vAlign w:val="center"/>
          </w:tcPr>
          <w:p w14:paraId="79050338" w14:textId="78981F9C" w:rsidR="003C3AE3" w:rsidRPr="0024568F" w:rsidRDefault="003C3AE3" w:rsidP="003C3AE3">
            <w:pPr>
              <w:pStyle w:val="TableTextCA"/>
              <w:keepNext/>
              <w:keepLines/>
            </w:pPr>
            <w:r w:rsidRPr="002A4234">
              <w:t>$1,742,175</w:t>
            </w:r>
          </w:p>
        </w:tc>
        <w:tc>
          <w:tcPr>
            <w:tcW w:w="1791" w:type="dxa"/>
            <w:shd w:val="clear" w:color="auto" w:fill="auto"/>
            <w:vAlign w:val="center"/>
          </w:tcPr>
          <w:p w14:paraId="50598357" w14:textId="7F01A538" w:rsidR="003C3AE3" w:rsidRDefault="003C3AE3" w:rsidP="003C3AE3">
            <w:pPr>
              <w:pStyle w:val="TableTextCA"/>
              <w:keepNext/>
              <w:keepLines/>
            </w:pPr>
            <w:r w:rsidRPr="002A4234">
              <w:t>$5,352</w:t>
            </w:r>
          </w:p>
        </w:tc>
      </w:tr>
      <w:tr w:rsidR="00381DF9" w:rsidRPr="008D6C7C" w14:paraId="3CBE57BD" w14:textId="77777777" w:rsidTr="00381DF9">
        <w:trPr>
          <w:trHeight w:val="70"/>
        </w:trPr>
        <w:tc>
          <w:tcPr>
            <w:tcW w:w="9016" w:type="dxa"/>
            <w:gridSpan w:val="4"/>
            <w:vAlign w:val="center"/>
          </w:tcPr>
          <w:p w14:paraId="67658579" w14:textId="6FC13CBD" w:rsidR="00381DF9" w:rsidRPr="00381DF9" w:rsidRDefault="00381DF9" w:rsidP="00381DF9">
            <w:pPr>
              <w:pStyle w:val="TableTextCA"/>
              <w:keepNext/>
              <w:keepLines/>
              <w:jc w:val="left"/>
            </w:pPr>
            <w:r w:rsidRPr="00381DF9">
              <w:rPr>
                <w:b/>
                <w:bCs/>
              </w:rPr>
              <w:t xml:space="preserve">Patients receiving correct diagnosis </w:t>
            </w:r>
            <w:r>
              <w:t>(Base case Gerges (2020): POCPS: 87% ERCP: 74%)</w:t>
            </w:r>
          </w:p>
        </w:tc>
      </w:tr>
      <w:tr w:rsidR="00381DF9" w:rsidRPr="008D6C7C" w14:paraId="4752A5F0" w14:textId="77777777" w:rsidTr="00011C85">
        <w:trPr>
          <w:trHeight w:val="70"/>
        </w:trPr>
        <w:tc>
          <w:tcPr>
            <w:tcW w:w="4673" w:type="dxa"/>
          </w:tcPr>
          <w:p w14:paraId="72582044" w14:textId="5E076257" w:rsidR="00381DF9" w:rsidRDefault="00381DF9" w:rsidP="00381DF9">
            <w:pPr>
              <w:pStyle w:val="TableText"/>
              <w:keepNext/>
              <w:keepLines/>
            </w:pPr>
            <w:r>
              <w:t>POCPS: 91.7% ERCP: 83.3% (</w:t>
            </w:r>
            <w:r w:rsidRPr="00011C85">
              <w:t>Draganov 2012</w:t>
            </w:r>
            <w:r>
              <w:t xml:space="preserve"> ERCP</w:t>
            </w:r>
            <w:r>
              <w:noBreakHyphen/>
              <w:t>BC</w:t>
            </w:r>
            <w:r w:rsidRPr="00011C85">
              <w:t>)</w:t>
            </w:r>
          </w:p>
        </w:tc>
        <w:tc>
          <w:tcPr>
            <w:tcW w:w="1276" w:type="dxa"/>
          </w:tcPr>
          <w:p w14:paraId="39DABB67" w14:textId="46C31796" w:rsidR="00381DF9" w:rsidRDefault="00381DF9" w:rsidP="00381DF9">
            <w:pPr>
              <w:pStyle w:val="TableTextCA"/>
              <w:keepNext/>
              <w:keepLines/>
            </w:pPr>
            <w:r>
              <w:t>+</w:t>
            </w:r>
            <w:r w:rsidRPr="00A21B21">
              <w:t>235</w:t>
            </w:r>
          </w:p>
        </w:tc>
        <w:tc>
          <w:tcPr>
            <w:tcW w:w="1276" w:type="dxa"/>
          </w:tcPr>
          <w:p w14:paraId="17542B13" w14:textId="7EA3A7DB" w:rsidR="00381DF9" w:rsidRPr="0024568F" w:rsidRDefault="00381DF9" w:rsidP="00381DF9">
            <w:pPr>
              <w:pStyle w:val="TableTextCA"/>
              <w:keepNext/>
              <w:keepLines/>
            </w:pPr>
            <w:r w:rsidRPr="00A21B21">
              <w:t>$2,408,395</w:t>
            </w:r>
          </w:p>
        </w:tc>
        <w:tc>
          <w:tcPr>
            <w:tcW w:w="1791" w:type="dxa"/>
          </w:tcPr>
          <w:p w14:paraId="1305246A" w14:textId="676B6B86" w:rsidR="00381DF9" w:rsidRDefault="00381DF9" w:rsidP="00381DF9">
            <w:pPr>
              <w:pStyle w:val="TableTextCA"/>
              <w:keepNext/>
              <w:keepLines/>
            </w:pPr>
            <w:r w:rsidRPr="00A21B21">
              <w:t>$10,245</w:t>
            </w:r>
          </w:p>
        </w:tc>
      </w:tr>
      <w:tr w:rsidR="00345085" w:rsidRPr="005613AC" w14:paraId="09C3CE91" w14:textId="77777777" w:rsidTr="00011C85">
        <w:trPr>
          <w:trHeight w:val="70"/>
        </w:trPr>
        <w:tc>
          <w:tcPr>
            <w:tcW w:w="4673" w:type="dxa"/>
          </w:tcPr>
          <w:p w14:paraId="5482F0C0" w14:textId="3CFE03A8" w:rsidR="00345085" w:rsidRPr="004C115C" w:rsidRDefault="00345085" w:rsidP="00345085">
            <w:pPr>
              <w:pStyle w:val="TableText"/>
              <w:keepNext/>
              <w:keepLines/>
            </w:pPr>
            <w:r>
              <w:t>POCPS: 91.7% ERCP: 73.1% (</w:t>
            </w:r>
            <w:r w:rsidRPr="00011C85">
              <w:t>Draganov 2012</w:t>
            </w:r>
            <w:r>
              <w:t xml:space="preserve"> ERCP-IB</w:t>
            </w:r>
            <w:r w:rsidRPr="00011C85">
              <w:t>)</w:t>
            </w:r>
          </w:p>
        </w:tc>
        <w:tc>
          <w:tcPr>
            <w:tcW w:w="1276" w:type="dxa"/>
          </w:tcPr>
          <w:p w14:paraId="3E5AE039" w14:textId="616F9D6F" w:rsidR="00345085" w:rsidRPr="005613AC" w:rsidRDefault="00345085" w:rsidP="00345085">
            <w:pPr>
              <w:pStyle w:val="TableTextCA"/>
              <w:keepNext/>
              <w:keepLines/>
            </w:pPr>
            <w:r>
              <w:t>+</w:t>
            </w:r>
            <w:r w:rsidRPr="006A47C8">
              <w:t>279</w:t>
            </w:r>
          </w:p>
        </w:tc>
        <w:tc>
          <w:tcPr>
            <w:tcW w:w="1276" w:type="dxa"/>
          </w:tcPr>
          <w:p w14:paraId="3F58C8D1" w14:textId="5C3E3E3E" w:rsidR="00345085" w:rsidRPr="005613AC" w:rsidRDefault="00345085" w:rsidP="00345085">
            <w:pPr>
              <w:pStyle w:val="TableTextCA"/>
              <w:keepNext/>
              <w:keepLines/>
            </w:pPr>
            <w:r w:rsidRPr="006A47C8">
              <w:t>$842,771</w:t>
            </w:r>
          </w:p>
        </w:tc>
        <w:tc>
          <w:tcPr>
            <w:tcW w:w="1791" w:type="dxa"/>
          </w:tcPr>
          <w:p w14:paraId="4C1CD929" w14:textId="5AE6C064" w:rsidR="00345085" w:rsidRPr="005613AC" w:rsidRDefault="00345085" w:rsidP="00345085">
            <w:pPr>
              <w:pStyle w:val="TableTextCA"/>
              <w:keepNext/>
              <w:keepLines/>
            </w:pPr>
            <w:r w:rsidRPr="006A47C8">
              <w:t>$3,026</w:t>
            </w:r>
          </w:p>
        </w:tc>
      </w:tr>
    </w:tbl>
    <w:p w14:paraId="2474C7AE" w14:textId="4BD0DB00" w:rsidR="009B769D" w:rsidRDefault="009B769D" w:rsidP="00096324">
      <w:pPr>
        <w:pStyle w:val="Abbreviations"/>
        <w:spacing w:before="120" w:after="240" w:line="259" w:lineRule="auto"/>
        <w:rPr>
          <w:snapToGrid w:val="0"/>
        </w:rPr>
      </w:pPr>
      <w:r>
        <w:t>Source: Calculated for the ESC report</w:t>
      </w:r>
      <w:r w:rsidR="00756B25">
        <w:t xml:space="preserve"> using Table 110 of the ADAR</w:t>
      </w:r>
      <w:r w:rsidR="00F025A0">
        <w:t xml:space="preserve"> using the cost of capital from the ADAR</w:t>
      </w:r>
      <w:r>
        <w:br/>
      </w:r>
      <w:r w:rsidRPr="0005649D">
        <w:t>Abbreviations</w:t>
      </w:r>
      <w:r>
        <w:t xml:space="preserve">: </w:t>
      </w:r>
      <w:r w:rsidR="00465613">
        <w:t xml:space="preserve">BC = brush cytology; </w:t>
      </w:r>
      <w:r w:rsidRPr="001A4E5B">
        <w:rPr>
          <w:snapToGrid w:val="0"/>
        </w:rPr>
        <w:t>ERCP</w:t>
      </w:r>
      <w:r>
        <w:rPr>
          <w:snapToGrid w:val="0"/>
        </w:rPr>
        <w:t xml:space="preserve"> </w:t>
      </w:r>
      <w:r w:rsidRPr="001A4E5B">
        <w:rPr>
          <w:snapToGrid w:val="0"/>
        </w:rPr>
        <w:t xml:space="preserve">= </w:t>
      </w:r>
      <w:r w:rsidRPr="0005649D">
        <w:rPr>
          <w:snapToGrid w:val="0"/>
        </w:rPr>
        <w:t>endoscopic</w:t>
      </w:r>
      <w:r w:rsidRPr="001A4E5B">
        <w:rPr>
          <w:snapToGrid w:val="0"/>
        </w:rPr>
        <w:t xml:space="preserve"> retrograde cholangiopancreatography</w:t>
      </w:r>
      <w:r>
        <w:rPr>
          <w:snapToGrid w:val="0"/>
        </w:rPr>
        <w:t xml:space="preserve">; </w:t>
      </w:r>
      <w:r w:rsidR="00465613">
        <w:rPr>
          <w:snapToGrid w:val="0"/>
        </w:rPr>
        <w:t xml:space="preserve">IB = intraductal biopsy; </w:t>
      </w:r>
      <w:r w:rsidRPr="001A4E5B">
        <w:rPr>
          <w:snapToGrid w:val="0"/>
        </w:rPr>
        <w:t>POCPS</w:t>
      </w:r>
      <w:r>
        <w:rPr>
          <w:snapToGrid w:val="0"/>
        </w:rPr>
        <w:t xml:space="preserve"> </w:t>
      </w:r>
      <w:r w:rsidRPr="001A4E5B">
        <w:rPr>
          <w:snapToGrid w:val="0"/>
        </w:rPr>
        <w:t xml:space="preserve">= </w:t>
      </w:r>
      <w:r w:rsidRPr="0005649D">
        <w:rPr>
          <w:snapToGrid w:val="0"/>
        </w:rPr>
        <w:t xml:space="preserve">single </w:t>
      </w:r>
      <w:r w:rsidRPr="001A4E5B">
        <w:rPr>
          <w:snapToGrid w:val="0"/>
        </w:rPr>
        <w:t>operator, single use, peroral</w:t>
      </w:r>
      <w:r>
        <w:rPr>
          <w:snapToGrid w:val="0"/>
        </w:rPr>
        <w:t xml:space="preserve"> </w:t>
      </w:r>
      <w:r w:rsidRPr="001A4E5B">
        <w:rPr>
          <w:snapToGrid w:val="0"/>
        </w:rPr>
        <w:t>cholangiopancreatoscopy</w:t>
      </w:r>
      <w:r w:rsidR="00756B25">
        <w:rPr>
          <w:snapToGrid w:val="0"/>
        </w:rPr>
        <w:t>; sens = sensitivity; spec = specificity</w:t>
      </w:r>
    </w:p>
    <w:p w14:paraId="5619AAE2" w14:textId="6B2A29EF" w:rsidR="001779D7" w:rsidRPr="001779D7" w:rsidRDefault="007B6DDB" w:rsidP="00096324">
      <w:pPr>
        <w:pStyle w:val="BodyText"/>
        <w:spacing w:before="120" w:after="240" w:line="259" w:lineRule="auto"/>
        <w:rPr>
          <w:rFonts w:ascii="Franklin Gothic Book" w:eastAsiaTheme="minorHAnsi" w:hAnsi="Franklin Gothic Book" w:cstheme="minorBidi"/>
          <w:lang w:eastAsia="en-US"/>
        </w:rPr>
      </w:pPr>
      <w:r w:rsidRPr="008664A5">
        <w:rPr>
          <w:rFonts w:ascii="Franklin Gothic Book" w:eastAsiaTheme="minorHAnsi" w:hAnsi="Franklin Gothic Book" w:cstheme="minorBidi"/>
          <w:lang w:eastAsia="en-US"/>
        </w:rPr>
        <w:t>The</w:t>
      </w:r>
      <w:r w:rsidR="001779D7">
        <w:rPr>
          <w:rFonts w:ascii="Franklin Gothic Book" w:eastAsiaTheme="minorHAnsi" w:hAnsi="Franklin Gothic Book" w:cstheme="minorBidi"/>
          <w:lang w:eastAsia="en-US"/>
        </w:rPr>
        <w:t xml:space="preserve"> commentary considered the </w:t>
      </w:r>
      <w:r w:rsidR="001779D7" w:rsidRPr="001779D7">
        <w:rPr>
          <w:rFonts w:ascii="Franklin Gothic Book" w:eastAsiaTheme="minorHAnsi" w:hAnsi="Franklin Gothic Book" w:cstheme="minorBidi"/>
          <w:lang w:eastAsia="en-US"/>
        </w:rPr>
        <w:t>main drivers of the investigative model included the proportion of people that receive a diagnosis for POCPS and ERCP.</w:t>
      </w:r>
      <w:r w:rsidR="001779D7">
        <w:rPr>
          <w:rFonts w:ascii="Franklin Gothic Book" w:eastAsiaTheme="minorHAnsi" w:hAnsi="Franklin Gothic Book" w:cstheme="minorBidi"/>
          <w:lang w:eastAsia="en-US"/>
        </w:rPr>
        <w:t xml:space="preserve"> </w:t>
      </w:r>
      <w:r w:rsidR="001779D7" w:rsidRPr="001779D7">
        <w:rPr>
          <w:rFonts w:ascii="Franklin Gothic Book" w:eastAsiaTheme="minorHAnsi" w:hAnsi="Franklin Gothic Book" w:cstheme="minorBidi"/>
          <w:lang w:eastAsia="en-US"/>
        </w:rPr>
        <w:t xml:space="preserve">The accuracy and cost of the diagnostic test and proportion of people who must retest after failed ERCP diagnostic attempts are also important factors in the model for both ERCP and POCPS. </w:t>
      </w:r>
      <w:r w:rsidR="001779D7">
        <w:rPr>
          <w:rFonts w:ascii="Franklin Gothic Book" w:eastAsiaTheme="minorHAnsi" w:hAnsi="Franklin Gothic Book" w:cstheme="minorBidi"/>
          <w:lang w:eastAsia="en-US"/>
        </w:rPr>
        <w:t xml:space="preserve"> </w:t>
      </w:r>
      <w:r w:rsidR="001779D7" w:rsidRPr="001779D7">
        <w:rPr>
          <w:rFonts w:ascii="Franklin Gothic Book" w:eastAsiaTheme="minorHAnsi" w:hAnsi="Franklin Gothic Book" w:cstheme="minorBidi"/>
          <w:lang w:eastAsia="en-US"/>
        </w:rPr>
        <w:t>The prevalence of malignancy is among the largest drivers of the model which is also consistent with the ADAR sensitivity analysis.</w:t>
      </w:r>
    </w:p>
    <w:p w14:paraId="6A948AA6" w14:textId="2D3A6F16" w:rsidR="001779D7" w:rsidRPr="00AA29B9" w:rsidRDefault="001779D7" w:rsidP="00096324">
      <w:pPr>
        <w:spacing w:after="240"/>
        <w:rPr>
          <w:iCs/>
        </w:rPr>
      </w:pPr>
      <w:r w:rsidRPr="00AA29B9">
        <w:rPr>
          <w:iCs/>
        </w:rPr>
        <w:t xml:space="preserve">The commentary considered that there is a degree of uncertainty surrounding the accuracy of calculations for the cost of POCPS, and since this noted as one of the top 10 drivers and any discrepancies in cost will have a large effect on the outcomes of the model. The commentary considered fee should be further justified to ensure the accuracy of the outcomes. </w:t>
      </w:r>
    </w:p>
    <w:p w14:paraId="69FD477C" w14:textId="78B1407C" w:rsidR="007B6DDB" w:rsidRPr="00B44A37" w:rsidRDefault="007B6DDB" w:rsidP="00096324">
      <w:pPr>
        <w:pStyle w:val="BodyText"/>
        <w:spacing w:before="120" w:after="240" w:line="259" w:lineRule="auto"/>
        <w:rPr>
          <w:rFonts w:ascii="Franklin Gothic Book" w:eastAsiaTheme="minorHAnsi" w:hAnsi="Franklin Gothic Book" w:cstheme="minorBidi"/>
          <w:lang w:eastAsia="en-US"/>
        </w:rPr>
      </w:pPr>
      <w:r w:rsidRPr="008664A5">
        <w:rPr>
          <w:rFonts w:ascii="Franklin Gothic Book" w:eastAsiaTheme="minorHAnsi" w:hAnsi="Franklin Gothic Book" w:cstheme="minorBidi"/>
          <w:lang w:eastAsia="en-US"/>
        </w:rPr>
        <w:t>Th</w:t>
      </w:r>
      <w:r w:rsidR="00AA29B9">
        <w:rPr>
          <w:rFonts w:ascii="Franklin Gothic Book" w:eastAsiaTheme="minorHAnsi" w:hAnsi="Franklin Gothic Book" w:cstheme="minorBidi"/>
          <w:lang w:eastAsia="en-US"/>
        </w:rPr>
        <w:t xml:space="preserve">e </w:t>
      </w:r>
      <w:r w:rsidRPr="008664A5">
        <w:rPr>
          <w:rFonts w:ascii="Franklin Gothic Book" w:eastAsiaTheme="minorHAnsi" w:hAnsi="Franklin Gothic Book" w:cstheme="minorBidi"/>
          <w:lang w:eastAsia="en-US"/>
        </w:rPr>
        <w:t>economic a</w:t>
      </w:r>
      <w:r w:rsidRPr="00B44A37">
        <w:rPr>
          <w:rFonts w:ascii="Franklin Gothic Book" w:eastAsiaTheme="minorHAnsi" w:hAnsi="Franklin Gothic Book" w:cstheme="minorBidi"/>
          <w:lang w:eastAsia="en-US"/>
        </w:rPr>
        <w:t>nalysis d</w:t>
      </w:r>
      <w:r w:rsidR="00AA29B9">
        <w:rPr>
          <w:rFonts w:ascii="Franklin Gothic Book" w:eastAsiaTheme="minorHAnsi" w:hAnsi="Franklin Gothic Book" w:cstheme="minorBidi"/>
          <w:lang w:eastAsia="en-US"/>
        </w:rPr>
        <w:t>id</w:t>
      </w:r>
      <w:r w:rsidRPr="00B44A37">
        <w:rPr>
          <w:rFonts w:ascii="Franklin Gothic Book" w:eastAsiaTheme="minorHAnsi" w:hAnsi="Franklin Gothic Book" w:cstheme="minorBidi"/>
          <w:lang w:eastAsia="en-US"/>
        </w:rPr>
        <w:t xml:space="preserve"> not explore the management of correct or incorrect diagnosis due to the complexity and uncertainly of the downstream costs for multiple potential conditions. However, to emphasise the impact of misdiagnosing malignancies, a terminal care cost was applied to all patients with malignant strictures diagnosed as benign.</w:t>
      </w:r>
    </w:p>
    <w:p w14:paraId="2A2AA20D" w14:textId="150DB60D" w:rsidR="00845DD5" w:rsidRPr="00CE28E3" w:rsidRDefault="00845DD5" w:rsidP="00845DD5">
      <w:pPr>
        <w:pStyle w:val="Heading2"/>
      </w:pPr>
      <w:bookmarkStart w:id="138" w:name="_Toc69491426"/>
      <w:r>
        <w:t>1</w:t>
      </w:r>
      <w:r w:rsidR="0015035D">
        <w:t>4</w:t>
      </w:r>
      <w:r>
        <w:t>.</w:t>
      </w:r>
      <w:r>
        <w:tab/>
      </w:r>
      <w:r w:rsidRPr="00CE28E3">
        <w:t>Financial/budgetary impacts</w:t>
      </w:r>
      <w:bookmarkEnd w:id="138"/>
    </w:p>
    <w:p w14:paraId="2E9A1FA0" w14:textId="77777777" w:rsidR="007B6DDB" w:rsidRPr="008664A5" w:rsidRDefault="007B6DDB" w:rsidP="00096324">
      <w:pPr>
        <w:pStyle w:val="BodyText"/>
        <w:spacing w:before="120" w:after="240" w:line="259" w:lineRule="auto"/>
        <w:rPr>
          <w:rFonts w:ascii="Franklin Gothic Book" w:eastAsiaTheme="minorHAnsi" w:hAnsi="Franklin Gothic Book" w:cstheme="minorBidi"/>
          <w:lang w:eastAsia="en-US"/>
        </w:rPr>
      </w:pPr>
      <w:r w:rsidRPr="54C1B43C">
        <w:rPr>
          <w:rFonts w:ascii="Franklin Gothic Book" w:eastAsiaTheme="minorEastAsia" w:hAnsi="Franklin Gothic Book" w:cstheme="minorBidi"/>
          <w:lang w:eastAsia="en-US"/>
        </w:rPr>
        <w:t xml:space="preserve">A mixed market share and epidemiological approach was adopted to inform the utilisation estimates and financial implication to the Government upon MBS listing of the two applications of POCPS in Australia. The MBS Statistics data published epidemiological data and the 2021 Advisory Board were used to estimate the number of POCPS services provided under the MBS for the removal of difficult biliary stones (therapeutic application) and for the diagnosis of indeterminate biliary strictures (investigative application). In addition to the budget impact to the </w:t>
      </w:r>
      <w:r w:rsidRPr="54C1B43C">
        <w:rPr>
          <w:rFonts w:ascii="Franklin Gothic Book" w:eastAsiaTheme="minorEastAsia" w:hAnsi="Franklin Gothic Book" w:cstheme="minorBidi"/>
          <w:lang w:eastAsia="en-US"/>
        </w:rPr>
        <w:lastRenderedPageBreak/>
        <w:t>MBS, this budget impact analysis also considers the financial implications to the hospital budget, including capital and consumable costs.</w:t>
      </w:r>
    </w:p>
    <w:p w14:paraId="7EF709F0" w14:textId="77361B5E" w:rsidR="001E1264" w:rsidRPr="00C86DC6" w:rsidRDefault="6C9D1C73" w:rsidP="00096324">
      <w:pPr>
        <w:pStyle w:val="BodyText"/>
        <w:spacing w:before="120" w:after="240" w:line="259" w:lineRule="auto"/>
        <w:rPr>
          <w:rFonts w:ascii="Franklin Gothic Book" w:eastAsia="Franklin Gothic Book" w:hAnsi="Franklin Gothic Book" w:cs="Franklin Gothic Book"/>
        </w:rPr>
      </w:pPr>
      <w:r w:rsidRPr="00C86DC6">
        <w:rPr>
          <w:rFonts w:eastAsia="Calibri" w:cs="Calibri"/>
        </w:rPr>
        <w:t>T</w:t>
      </w:r>
      <w:r w:rsidRPr="00C86DC6">
        <w:rPr>
          <w:rFonts w:ascii="Franklin Gothic Book" w:eastAsia="Franklin Gothic Book" w:hAnsi="Franklin Gothic Book" w:cs="Franklin Gothic Book"/>
        </w:rPr>
        <w:t xml:space="preserve">he </w:t>
      </w:r>
      <w:r w:rsidR="00C86DC6" w:rsidRPr="00C86DC6">
        <w:rPr>
          <w:rFonts w:ascii="Franklin Gothic Book" w:eastAsia="Franklin Gothic Book" w:hAnsi="Franklin Gothic Book" w:cs="Franklin Gothic Book"/>
        </w:rPr>
        <w:t xml:space="preserve">commentary considered the </w:t>
      </w:r>
      <w:r w:rsidRPr="00C86DC6">
        <w:rPr>
          <w:rFonts w:ascii="Franklin Gothic Book" w:eastAsia="Franklin Gothic Book" w:hAnsi="Franklin Gothic Book" w:cs="Franklin Gothic Book"/>
        </w:rPr>
        <w:t xml:space="preserve">financial estimates for therapeutic and investigative applications were appropriately addressed in the ADAR. Key assumptions and inputs for both applications have been assessed and are appropriate in respect to the available information.   </w:t>
      </w:r>
      <w:r w:rsidR="00C86DC6">
        <w:rPr>
          <w:rFonts w:ascii="Franklin Gothic Book" w:eastAsia="Franklin Gothic Book" w:hAnsi="Franklin Gothic Book" w:cs="Franklin Gothic Book"/>
        </w:rPr>
        <w:t xml:space="preserve">The main limitations were the </w:t>
      </w:r>
      <w:r w:rsidR="27A5E702" w:rsidRPr="00C86DC6">
        <w:rPr>
          <w:rFonts w:ascii="Franklin Gothic Book" w:eastAsia="Franklin Gothic Book" w:hAnsi="Franklin Gothic Book" w:cs="Franklin Gothic Book"/>
        </w:rPr>
        <w:t xml:space="preserve">uncertainty surrounding POCPS fee calculations and </w:t>
      </w:r>
      <w:r w:rsidR="00C86DC6">
        <w:rPr>
          <w:rFonts w:ascii="Franklin Gothic Book" w:eastAsia="Franklin Gothic Book" w:hAnsi="Franklin Gothic Book" w:cs="Franklin Gothic Book"/>
        </w:rPr>
        <w:t xml:space="preserve">parameters based on </w:t>
      </w:r>
      <w:r w:rsidR="27A5E702" w:rsidRPr="00C86DC6">
        <w:rPr>
          <w:rFonts w:ascii="Franklin Gothic Book" w:eastAsia="Franklin Gothic Book" w:hAnsi="Franklin Gothic Book" w:cs="Franklin Gothic Book"/>
        </w:rPr>
        <w:t>expert opinion.</w:t>
      </w:r>
    </w:p>
    <w:p w14:paraId="69BC1863" w14:textId="6583A6EB" w:rsidR="007B6DDB" w:rsidRDefault="007B6DDB" w:rsidP="00096324">
      <w:pPr>
        <w:pStyle w:val="Heading3"/>
        <w:spacing w:before="120" w:after="240" w:line="259" w:lineRule="auto"/>
      </w:pPr>
      <w:bookmarkStart w:id="139" w:name="_Toc69491427"/>
      <w:r>
        <w:t>Selection of data sources</w:t>
      </w:r>
    </w:p>
    <w:p w14:paraId="5BF9CBBB" w14:textId="724E5B62" w:rsidR="007B6DDB" w:rsidRPr="002B1FF6" w:rsidRDefault="007B6DDB" w:rsidP="00096324">
      <w:pPr>
        <w:pStyle w:val="BodyText"/>
        <w:spacing w:before="120" w:after="240" w:line="259" w:lineRule="auto"/>
      </w:pPr>
      <w:r w:rsidRPr="0050428C">
        <w:rPr>
          <w:rFonts w:ascii="Franklin Gothic Book" w:eastAsiaTheme="minorHAnsi" w:hAnsi="Franklin Gothic Book" w:cstheme="minorBidi"/>
          <w:lang w:eastAsia="en-US"/>
        </w:rPr>
        <w:t>The variables and associated data sources used to determine the utilisation and financial implication associated with a listing for therapeutic POCPS on the MBS are presented in</w:t>
      </w:r>
      <w:r>
        <w:rPr>
          <w:rFonts w:ascii="Franklin Gothic Book" w:eastAsiaTheme="minorHAnsi" w:hAnsi="Franklin Gothic Book" w:cstheme="minorBidi"/>
          <w:lang w:eastAsia="en-US"/>
        </w:rPr>
        <w:t xml:space="preserve"> </w:t>
      </w:r>
      <w:r w:rsidR="0050428C">
        <w:rPr>
          <w:rFonts w:ascii="Franklin Gothic Book" w:eastAsiaTheme="minorHAnsi" w:hAnsi="Franklin Gothic Book" w:cstheme="minorBidi"/>
          <w:iCs/>
          <w:lang w:eastAsia="en-US"/>
        </w:rPr>
        <w:fldChar w:fldCharType="begin"/>
      </w:r>
      <w:r w:rsidR="0050428C">
        <w:rPr>
          <w:rFonts w:ascii="Franklin Gothic Book" w:eastAsiaTheme="minorHAnsi" w:hAnsi="Franklin Gothic Book" w:cstheme="minorBidi"/>
          <w:iCs/>
          <w:lang w:eastAsia="en-US"/>
        </w:rPr>
        <w:instrText xml:space="preserve"> REF _Ref89027895 \h </w:instrText>
      </w:r>
      <w:r w:rsidR="0050428C">
        <w:rPr>
          <w:rFonts w:ascii="Franklin Gothic Book" w:eastAsiaTheme="minorHAnsi" w:hAnsi="Franklin Gothic Book" w:cstheme="minorBidi"/>
          <w:iCs/>
          <w:lang w:eastAsia="en-US"/>
        </w:rPr>
      </w:r>
      <w:r w:rsidR="0050428C">
        <w:rPr>
          <w:rFonts w:ascii="Franklin Gothic Book" w:eastAsiaTheme="minorHAnsi" w:hAnsi="Franklin Gothic Book" w:cstheme="minorBidi"/>
          <w:iCs/>
          <w:lang w:eastAsia="en-US"/>
        </w:rPr>
        <w:fldChar w:fldCharType="separate"/>
      </w:r>
      <w:r w:rsidR="00D422BC">
        <w:t xml:space="preserve">Table </w:t>
      </w:r>
      <w:r w:rsidR="00D422BC">
        <w:rPr>
          <w:noProof/>
        </w:rPr>
        <w:t>27</w:t>
      </w:r>
      <w:r w:rsidR="0050428C">
        <w:rPr>
          <w:rFonts w:ascii="Franklin Gothic Book" w:eastAsiaTheme="minorHAnsi" w:hAnsi="Franklin Gothic Book" w:cstheme="minorBidi"/>
          <w:iCs/>
          <w:lang w:eastAsia="en-US"/>
        </w:rPr>
        <w:fldChar w:fldCharType="end"/>
      </w:r>
      <w:r w:rsidRPr="0050428C">
        <w:rPr>
          <w:rFonts w:ascii="Franklin Gothic Book" w:eastAsiaTheme="minorHAnsi" w:hAnsi="Franklin Gothic Book" w:cstheme="minorBidi"/>
          <w:iCs/>
          <w:lang w:eastAsia="en-US"/>
        </w:rPr>
        <w:t>.</w:t>
      </w:r>
    </w:p>
    <w:p w14:paraId="19099A48" w14:textId="19970B53" w:rsidR="007B6DDB" w:rsidRDefault="007B6DDB" w:rsidP="007B6DDB">
      <w:pPr>
        <w:pStyle w:val="Caption"/>
      </w:pPr>
      <w:bookmarkStart w:id="140" w:name="_Ref89027895"/>
      <w:bookmarkStart w:id="141" w:name="_Ref89162983"/>
      <w:r>
        <w:lastRenderedPageBreak/>
        <w:t xml:space="preserve">Table </w:t>
      </w:r>
      <w:r>
        <w:fldChar w:fldCharType="begin"/>
      </w:r>
      <w:r>
        <w:instrText>SEQ Table \* ARABIC</w:instrText>
      </w:r>
      <w:r>
        <w:fldChar w:fldCharType="separate"/>
      </w:r>
      <w:r w:rsidR="00D422BC">
        <w:rPr>
          <w:noProof/>
        </w:rPr>
        <w:t>27</w:t>
      </w:r>
      <w:r>
        <w:fldChar w:fldCharType="end"/>
      </w:r>
      <w:bookmarkEnd w:id="140"/>
      <w:r>
        <w:t xml:space="preserve"> </w:t>
      </w:r>
      <w:r w:rsidR="00560219">
        <w:tab/>
      </w:r>
      <w:r w:rsidRPr="004E7DE8">
        <w:t>Summary of data sources and parameter values applied in the utilisation and financial estimates for therapeutic POCPS</w:t>
      </w:r>
      <w:bookmarkEnd w:id="141"/>
    </w:p>
    <w:tbl>
      <w:tblPr>
        <w:tblStyle w:val="TableGrid1"/>
        <w:tblW w:w="5000" w:type="pct"/>
        <w:tblCellMar>
          <w:left w:w="57" w:type="dxa"/>
          <w:right w:w="57" w:type="dxa"/>
        </w:tblCellMar>
        <w:tblLook w:val="04A0" w:firstRow="1" w:lastRow="0" w:firstColumn="1" w:lastColumn="0" w:noHBand="0" w:noVBand="1"/>
        <w:tblDescription w:val="Summary of data sources and parameter values applied in the utilisation and financial estimates for therapeutic POCPS"/>
      </w:tblPr>
      <w:tblGrid>
        <w:gridCol w:w="1632"/>
        <w:gridCol w:w="1057"/>
        <w:gridCol w:w="1417"/>
        <w:gridCol w:w="4910"/>
      </w:tblGrid>
      <w:tr w:rsidR="007B6DDB" w:rsidRPr="00F934C8" w14:paraId="5479ABEC" w14:textId="77777777" w:rsidTr="00F934C8">
        <w:trPr>
          <w:cnfStyle w:val="100000000000" w:firstRow="1" w:lastRow="0" w:firstColumn="0" w:lastColumn="0" w:oddVBand="0" w:evenVBand="0" w:oddHBand="0" w:evenHBand="0" w:firstRowFirstColumn="0" w:firstRowLastColumn="0" w:lastRowFirstColumn="0" w:lastRowLastColumn="0"/>
          <w:tblHeader/>
        </w:trPr>
        <w:tc>
          <w:tcPr>
            <w:tcW w:w="905" w:type="pct"/>
            <w:shd w:val="clear" w:color="auto" w:fill="auto"/>
          </w:tcPr>
          <w:p w14:paraId="20706B5D" w14:textId="77777777" w:rsidR="007B6DDB" w:rsidRPr="00210E8B" w:rsidRDefault="007B6DDB" w:rsidP="00F934C8">
            <w:pPr>
              <w:pStyle w:val="TableHeading0"/>
              <w:spacing w:before="40" w:after="40"/>
            </w:pPr>
            <w:bookmarkStart w:id="142" w:name="ColumnTitle_Table39"/>
            <w:r w:rsidRPr="00EF117E">
              <w:lastRenderedPageBreak/>
              <w:t>Data</w:t>
            </w:r>
          </w:p>
        </w:tc>
        <w:tc>
          <w:tcPr>
            <w:tcW w:w="586" w:type="pct"/>
            <w:shd w:val="clear" w:color="auto" w:fill="auto"/>
          </w:tcPr>
          <w:p w14:paraId="13D392E6" w14:textId="77777777" w:rsidR="007B6DDB" w:rsidRPr="008A73E2" w:rsidRDefault="007B6DDB" w:rsidP="00F934C8">
            <w:pPr>
              <w:pStyle w:val="TableHeading0"/>
              <w:spacing w:before="40" w:after="40"/>
            </w:pPr>
            <w:r w:rsidRPr="00004568">
              <w:t>Value</w:t>
            </w:r>
          </w:p>
        </w:tc>
        <w:tc>
          <w:tcPr>
            <w:tcW w:w="786" w:type="pct"/>
            <w:shd w:val="clear" w:color="auto" w:fill="auto"/>
          </w:tcPr>
          <w:p w14:paraId="36B7394D" w14:textId="77777777" w:rsidR="007B6DDB" w:rsidRPr="00C46917" w:rsidRDefault="007B6DDB" w:rsidP="00F934C8">
            <w:pPr>
              <w:pStyle w:val="TableHeading0"/>
              <w:spacing w:before="40" w:after="40"/>
            </w:pPr>
            <w:r w:rsidRPr="00B71036">
              <w:t xml:space="preserve">Source </w:t>
            </w:r>
          </w:p>
        </w:tc>
        <w:tc>
          <w:tcPr>
            <w:tcW w:w="2723" w:type="pct"/>
            <w:shd w:val="clear" w:color="auto" w:fill="auto"/>
          </w:tcPr>
          <w:p w14:paraId="2E1E1E35" w14:textId="77777777" w:rsidR="007B6DDB" w:rsidRPr="00470286" w:rsidRDefault="007B6DDB" w:rsidP="00F934C8">
            <w:pPr>
              <w:pStyle w:val="TableHeading0"/>
              <w:spacing w:before="40" w:after="40"/>
            </w:pPr>
            <w:r w:rsidRPr="00A06A3C">
              <w:t>Justification</w:t>
            </w:r>
          </w:p>
        </w:tc>
      </w:tr>
      <w:bookmarkEnd w:id="142"/>
      <w:tr w:rsidR="007B6DDB" w:rsidRPr="00F934C8" w14:paraId="62D27FAD" w14:textId="77777777" w:rsidTr="00F934C8">
        <w:trPr>
          <w:cnfStyle w:val="100000000000" w:firstRow="1" w:lastRow="0" w:firstColumn="0" w:lastColumn="0" w:oddVBand="0" w:evenVBand="0" w:oddHBand="0" w:evenHBand="0" w:firstRowFirstColumn="0" w:firstRowLastColumn="0" w:lastRowFirstColumn="0" w:lastRowLastColumn="0"/>
          <w:tblHeader/>
        </w:trPr>
        <w:tc>
          <w:tcPr>
            <w:tcW w:w="905" w:type="pct"/>
            <w:shd w:val="clear" w:color="auto" w:fill="auto"/>
            <w:vAlign w:val="center"/>
          </w:tcPr>
          <w:p w14:paraId="5AC56050" w14:textId="77777777" w:rsidR="007B6DDB" w:rsidRPr="00CE28E3" w:rsidRDefault="007B6DDB" w:rsidP="006D10FC">
            <w:pPr>
              <w:pStyle w:val="TableText"/>
            </w:pPr>
            <w:r w:rsidRPr="00805D2C">
              <w:t xml:space="preserve">Procedure </w:t>
            </w:r>
            <w:r>
              <w:t>a</w:t>
            </w:r>
            <w:r w:rsidRPr="00805D2C">
              <w:t xml:space="preserve">nnual </w:t>
            </w:r>
            <w:r>
              <w:t>g</w:t>
            </w:r>
            <w:r w:rsidRPr="00805D2C">
              <w:t xml:space="preserve">rowth </w:t>
            </w:r>
            <w:r>
              <w:t>r</w:t>
            </w:r>
            <w:r w:rsidRPr="00805D2C">
              <w:t>ate</w:t>
            </w:r>
          </w:p>
        </w:tc>
        <w:tc>
          <w:tcPr>
            <w:tcW w:w="586" w:type="pct"/>
            <w:shd w:val="clear" w:color="auto" w:fill="auto"/>
            <w:vAlign w:val="center"/>
          </w:tcPr>
          <w:p w14:paraId="610CC643" w14:textId="77777777" w:rsidR="007B6DDB" w:rsidRPr="00F526D1" w:rsidRDefault="007B6DDB" w:rsidP="006D10FC">
            <w:pPr>
              <w:pStyle w:val="TableText"/>
              <w:jc w:val="center"/>
            </w:pPr>
            <w:r w:rsidRPr="00F526D1">
              <w:t>3.74%</w:t>
            </w:r>
          </w:p>
        </w:tc>
        <w:tc>
          <w:tcPr>
            <w:tcW w:w="786" w:type="pct"/>
            <w:shd w:val="clear" w:color="auto" w:fill="auto"/>
            <w:vAlign w:val="center"/>
          </w:tcPr>
          <w:p w14:paraId="421ED314" w14:textId="77777777" w:rsidR="007B6DDB" w:rsidRPr="00CE28E3" w:rsidRDefault="007B6DDB" w:rsidP="006D10FC">
            <w:pPr>
              <w:pStyle w:val="TableText"/>
              <w:jc w:val="center"/>
            </w:pPr>
            <w:r>
              <w:t xml:space="preserve">Medicare Statistics MBS Item Reports for </w:t>
            </w:r>
            <w:r w:rsidRPr="00D50AFB">
              <w:t>30484</w:t>
            </w:r>
          </w:p>
        </w:tc>
        <w:tc>
          <w:tcPr>
            <w:tcW w:w="2723" w:type="pct"/>
            <w:shd w:val="clear" w:color="auto" w:fill="auto"/>
            <w:vAlign w:val="center"/>
          </w:tcPr>
          <w:p w14:paraId="33947ED5" w14:textId="77777777" w:rsidR="007B6DDB" w:rsidRPr="00CE28E3" w:rsidRDefault="007B6DDB" w:rsidP="006D10FC">
            <w:pPr>
              <w:pStyle w:val="TableText"/>
            </w:pPr>
            <w:r>
              <w:t xml:space="preserve">Eligibility for POCPS is dependent on a prior ERCP. Therefore, the rate of growth for ERCP procedures (item </w:t>
            </w:r>
            <w:r w:rsidRPr="00D50AFB">
              <w:t>30484</w:t>
            </w:r>
            <w:r>
              <w:t xml:space="preserve">) is estimated to reflect the rate of growth of POCPS </w:t>
            </w:r>
          </w:p>
        </w:tc>
      </w:tr>
      <w:tr w:rsidR="007B6DDB" w:rsidRPr="00F934C8" w14:paraId="431577FF" w14:textId="77777777" w:rsidTr="00F934C8">
        <w:trPr>
          <w:cnfStyle w:val="100000000000" w:firstRow="1" w:lastRow="0" w:firstColumn="0" w:lastColumn="0" w:oddVBand="0" w:evenVBand="0" w:oddHBand="0" w:evenHBand="0" w:firstRowFirstColumn="0" w:firstRowLastColumn="0" w:lastRowFirstColumn="0" w:lastRowLastColumn="0"/>
          <w:tblHeader/>
        </w:trPr>
        <w:tc>
          <w:tcPr>
            <w:tcW w:w="905" w:type="pct"/>
            <w:shd w:val="clear" w:color="auto" w:fill="auto"/>
            <w:vAlign w:val="center"/>
          </w:tcPr>
          <w:p w14:paraId="407908EF" w14:textId="77777777" w:rsidR="007B6DDB" w:rsidRPr="00CE28E3" w:rsidRDefault="007B6DDB" w:rsidP="006D10FC">
            <w:pPr>
              <w:pStyle w:val="TableText"/>
            </w:pPr>
            <w:r w:rsidRPr="00805D2C">
              <w:lastRenderedPageBreak/>
              <w:t>Proportion of ERCP procedures undertaken to remove stones</w:t>
            </w:r>
          </w:p>
        </w:tc>
        <w:tc>
          <w:tcPr>
            <w:tcW w:w="586" w:type="pct"/>
            <w:shd w:val="clear" w:color="auto" w:fill="auto"/>
            <w:vAlign w:val="center"/>
          </w:tcPr>
          <w:p w14:paraId="7E5880AD" w14:textId="77777777" w:rsidR="007B6DDB" w:rsidRPr="00F526D1" w:rsidRDefault="007B6DDB" w:rsidP="006D10FC">
            <w:pPr>
              <w:pStyle w:val="TableText"/>
              <w:jc w:val="center"/>
            </w:pPr>
            <w:r w:rsidRPr="00F526D1">
              <w:t>45.50%</w:t>
            </w:r>
          </w:p>
        </w:tc>
        <w:tc>
          <w:tcPr>
            <w:tcW w:w="786" w:type="pct"/>
            <w:shd w:val="clear" w:color="auto" w:fill="auto"/>
            <w:vAlign w:val="center"/>
          </w:tcPr>
          <w:p w14:paraId="244D7478" w14:textId="25E64450" w:rsidR="007B6DDB" w:rsidRPr="00CE28E3" w:rsidRDefault="005F1F4A" w:rsidP="006D10FC">
            <w:pPr>
              <w:pStyle w:val="TableText"/>
              <w:jc w:val="center"/>
            </w:pPr>
            <w:r>
              <w:fldChar w:fldCharType="begin"/>
            </w:r>
            <w:r>
              <w:instrText xml:space="preserve"> ADDIN EN.CITE &lt;EndNote&gt;&lt;Cite AuthorYear="1"&gt;&lt;Author&gt;Testoni&lt;/Author&gt;&lt;Year&gt;2010&lt;/Year&gt;&lt;RecNum&gt;142&lt;/RecNum&gt;&lt;DisplayText&gt;Testoni et al. (2010)&lt;/DisplayText&gt;&lt;record&gt;&lt;rec-number&gt;142&lt;/rec-number&gt;&lt;foreign-keys&gt;&lt;key app="EN" db-id="xrd5xtv9xdvftxetprq5st9c5trzx5z2xzpp" timestamp="1633407204"&gt;142&lt;/key&gt;&lt;/foreign-keys&gt;&lt;ref-type name="Journal Article"&gt;17&lt;/ref-type&gt;&lt;contributors&gt;&lt;authors&gt;&lt;author&gt;Testoni, Pier&lt;/author&gt;&lt;author&gt;Mariani, Alberto&lt;/author&gt;&lt;author&gt;Giussani, Antonella&lt;/author&gt;&lt;author&gt;Vailati, Cristian&lt;/author&gt;&lt;author&gt;Masci, Enzo&lt;/author&gt;&lt;author&gt;Macarri, Giampiero&lt;/author&gt;&lt;author&gt;Ghezzo, Luigi&lt;/author&gt;&lt;author&gt;Familiari, Luigi&lt;/author&gt;&lt;author&gt;Giardullo, Nicola&lt;/author&gt;&lt;author&gt;Mutignani, Massimiliano&lt;/author&gt;&lt;author&gt;Lombardi, Giuliano&lt;/author&gt;&lt;author&gt;Talamini, Giorgio&lt;/author&gt;&lt;author&gt;Spadaccini, </w:instrText>
            </w:r>
            <w:r>
              <w:lastRenderedPageBreak/>
              <w:instrText>Antonio&lt;/author&gt;&lt;author&gt;Briglia, Romolo&lt;/author&gt;&lt;author&gt;Piazzi, Lucia&lt;/author&gt;&lt;author&gt;Terruzzi, Vittorio&lt;/author&gt;&lt;/authors&gt;&lt;/contributors&gt;&lt;titles&gt;&lt;title&gt;Risk Factors for Post-ERCP Pancreatitis in High- and Low-Volume Centers and Among Expert and Non-Expert Operators: A Prospective Multicenter Study&lt;/title&gt;&lt;secondary-title&gt;The American journal of gastroenterology&lt;/secondary-title&gt;&lt;/titles&gt;&lt;periodical&gt;&lt;full-title&gt;The American journal of gastroenterology&lt;/full-title&gt;&lt;/periodical&gt;&lt;pages&gt;1753-61&lt;/pages&gt;&lt;volume&gt;105&lt;/volume&gt;&lt;dates&gt;&lt;year&gt;2010&lt;/year&gt;&lt;pub-dates&gt;&lt;date&gt;04/01&lt;/date&gt;&lt;/pub-dates&gt;&lt;/dates&gt;&lt;urls&gt;&lt;/urls&gt;&lt;electronic-resource-num&gt;10.1038/ajg.2010.136&lt;/electronic-resource-num&gt;&lt;/record&gt;&lt;/Cite&gt;&lt;/EndNote&gt;</w:instrText>
            </w:r>
            <w:r>
              <w:fldChar w:fldCharType="separate"/>
            </w:r>
            <w:r>
              <w:rPr>
                <w:noProof/>
              </w:rPr>
              <w:t>Testoni et al. (2010)</w:t>
            </w:r>
            <w:r>
              <w:fldChar w:fldCharType="end"/>
            </w:r>
            <w:r w:rsidR="007B6DDB">
              <w:t>, 2021 Advisory Board</w:t>
            </w:r>
          </w:p>
        </w:tc>
        <w:tc>
          <w:tcPr>
            <w:tcW w:w="2723" w:type="pct"/>
            <w:shd w:val="clear" w:color="auto" w:fill="auto"/>
            <w:vAlign w:val="center"/>
          </w:tcPr>
          <w:p w14:paraId="4A79F0BE" w14:textId="77777777" w:rsidR="007B6DDB" w:rsidRPr="00CE28E3" w:rsidRDefault="007B6DDB" w:rsidP="006D10FC">
            <w:pPr>
              <w:pStyle w:val="TableText"/>
            </w:pPr>
            <w:r>
              <w:lastRenderedPageBreak/>
              <w:t>Estimated using values from an Italian m</w:t>
            </w:r>
            <w:r w:rsidRPr="00652CA8">
              <w:t xml:space="preserve">ulticentre </w:t>
            </w:r>
            <w:r>
              <w:t>s</w:t>
            </w:r>
            <w:r w:rsidRPr="00652CA8">
              <w:t>tudy</w:t>
            </w:r>
            <w:r>
              <w:t xml:space="preserve"> on </w:t>
            </w:r>
            <w:r w:rsidRPr="00D562A4">
              <w:t>3,635 ERCP procedures</w:t>
            </w:r>
            <w:r>
              <w:t>, of which 45.5% were performed for c</w:t>
            </w:r>
            <w:r w:rsidRPr="001C37AF">
              <w:t>holedocholithiasis</w:t>
            </w:r>
            <w:r>
              <w:t>. This value was deemed to be applicable to the Australian clinical setting by the 2021 Advisory Board</w:t>
            </w:r>
          </w:p>
        </w:tc>
      </w:tr>
      <w:tr w:rsidR="007B6DDB" w:rsidRPr="00F934C8" w14:paraId="51AA822B" w14:textId="77777777" w:rsidTr="00F934C8">
        <w:trPr>
          <w:cnfStyle w:val="100000000000" w:firstRow="1" w:lastRow="0" w:firstColumn="0" w:lastColumn="0" w:oddVBand="0" w:evenVBand="0" w:oddHBand="0" w:evenHBand="0" w:firstRowFirstColumn="0" w:firstRowLastColumn="0" w:lastRowFirstColumn="0" w:lastRowLastColumn="0"/>
          <w:tblHeader/>
        </w:trPr>
        <w:tc>
          <w:tcPr>
            <w:tcW w:w="905" w:type="pct"/>
            <w:shd w:val="clear" w:color="auto" w:fill="auto"/>
            <w:vAlign w:val="center"/>
          </w:tcPr>
          <w:p w14:paraId="29A95CB6" w14:textId="77777777" w:rsidR="007B6DDB" w:rsidRPr="00CE28E3" w:rsidRDefault="007B6DDB" w:rsidP="006D10FC">
            <w:pPr>
              <w:pStyle w:val="TableText"/>
            </w:pPr>
            <w:r w:rsidRPr="00805D2C">
              <w:lastRenderedPageBreak/>
              <w:t xml:space="preserve">Proportion of stones which are </w:t>
            </w:r>
            <w:r>
              <w:t>unable to be removed by standard ERCP extraction techniques</w:t>
            </w:r>
          </w:p>
        </w:tc>
        <w:tc>
          <w:tcPr>
            <w:tcW w:w="586" w:type="pct"/>
            <w:shd w:val="clear" w:color="auto" w:fill="auto"/>
            <w:vAlign w:val="center"/>
          </w:tcPr>
          <w:p w14:paraId="61567B3F" w14:textId="77777777" w:rsidR="007B6DDB" w:rsidRPr="00F526D1" w:rsidRDefault="007B6DDB" w:rsidP="006D10FC">
            <w:pPr>
              <w:pStyle w:val="TableText"/>
              <w:jc w:val="center"/>
            </w:pPr>
            <w:r w:rsidRPr="00F526D1">
              <w:t>10.00%</w:t>
            </w:r>
          </w:p>
        </w:tc>
        <w:tc>
          <w:tcPr>
            <w:tcW w:w="786" w:type="pct"/>
            <w:shd w:val="clear" w:color="auto" w:fill="auto"/>
            <w:vAlign w:val="center"/>
          </w:tcPr>
          <w:p w14:paraId="4DC30484" w14:textId="54CA2529" w:rsidR="007B6DDB" w:rsidRPr="00CE28E3" w:rsidRDefault="007B6DDB" w:rsidP="006D10FC">
            <w:pPr>
              <w:pStyle w:val="TableText"/>
              <w:jc w:val="center"/>
            </w:pPr>
            <w:r>
              <w:t xml:space="preserve">2021 Advisory Board, </w:t>
            </w:r>
            <w:r w:rsidR="005F1F4A">
              <w:fldChar w:fldCharType="begin"/>
            </w:r>
            <w:r w:rsidR="005F1F4A">
              <w:instrText xml:space="preserve"> ADDIN EN.CITE &lt;EndNote&gt;&lt;Cite AuthorYear="1"&gt;&lt;Author&gt;McHenry&lt;/Author&gt;&lt;Year&gt;2006&lt;/Year&gt;&lt;RecNum&gt;41&lt;/RecNum&gt;&lt;DisplayText&gt;McHenry and Lehman (2006)&lt;/DisplayText&gt;&lt;record&gt;&lt;rec-number&gt;41&lt;/rec-number&gt;&lt;foreign-keys&gt;&lt;key app="EN" db-id="xrd5xtv9xdvftxetprq5st9c5trzx5z2xzpp" timestamp="1633407183"&gt;41&lt;/key&gt;&lt;/foreign-keys&gt;&lt;ref-type name="Journal Article"&gt;17&lt;/ref-type&gt;&lt;contributors&gt;&lt;authors&gt;&lt;author&gt;McHenry, L.&lt;/author&gt;&lt;author&gt;Lehman, G.&lt;/author&gt;&lt;/authors&gt;&lt;/contributors&gt;&lt;auth-address&gt;Indiana University Medical Center, Indianapolis, IN 46202, USA. lmchenry@iupui.edu&lt;/auth-address&gt;&lt;titles&gt;&lt;title&gt;Difficult bile duct stones&lt;/title&gt;&lt;secondary-title&gt;Curr Treat Options Gastroenterol&lt;/secondary-title&gt;&lt;/titles&gt;&lt;periodical&gt;&lt;full-title&gt;Curr Treat Options Gastroenterol&lt;/full-title&gt;&lt;/periodical&gt;&lt;pages&gt;123-</w:instrText>
            </w:r>
            <w:r w:rsidR="005F1F4A">
              <w:lastRenderedPageBreak/>
              <w:instrText>32&lt;/pages&gt;&lt;volume&gt;9&lt;/volume&gt;&lt;number&gt;2&lt;/number&gt;&lt;edition&gt;2006/03/17&lt;/edition&gt;&lt;dates&gt;&lt;year&gt;2006&lt;/year&gt;&lt;pub-dates&gt;&lt;date&gt;Apr&lt;/date&gt;&lt;/pub-dates&gt;&lt;/dates&gt;&lt;isbn&gt;1092-8472 (Print)&amp;#xD;1092-8472&lt;/isbn&gt;&lt;accession-num&gt;16539873&lt;/accession-num&gt;&lt;urls&gt;&lt;related-urls&gt;&lt;url&gt;https://link.springer.com/content/pdf/10.1007/s11938-006-0031-6.pdf&lt;/url&gt;&lt;/related-urls&gt;&lt;/urls&gt;&lt;electronic-resource-num&gt;10.1007/s11938-006-0031-6&lt;/electronic-resource-num&gt;&lt;remote-database-provider&gt;NLM&lt;/remote-database-provider&gt;&lt;language&gt;eng&lt;/language&gt;&lt;/record&gt;&lt;/Cite&gt;&lt;/EndNote&gt;</w:instrText>
            </w:r>
            <w:r w:rsidR="005F1F4A">
              <w:fldChar w:fldCharType="separate"/>
            </w:r>
            <w:r w:rsidR="005F1F4A">
              <w:rPr>
                <w:noProof/>
              </w:rPr>
              <w:t>McHenry and Lehman (2006)</w:t>
            </w:r>
            <w:r w:rsidR="005F1F4A">
              <w:fldChar w:fldCharType="end"/>
            </w:r>
          </w:p>
        </w:tc>
        <w:tc>
          <w:tcPr>
            <w:tcW w:w="2723" w:type="pct"/>
            <w:shd w:val="clear" w:color="auto" w:fill="auto"/>
            <w:vAlign w:val="center"/>
          </w:tcPr>
          <w:p w14:paraId="4D91139E" w14:textId="2DE27B38" w:rsidR="007B6DDB" w:rsidRPr="00CE28E3" w:rsidRDefault="007B6DDB" w:rsidP="006D10FC">
            <w:pPr>
              <w:pStyle w:val="TableText"/>
            </w:pPr>
            <w:r w:rsidRPr="0036397B">
              <w:lastRenderedPageBreak/>
              <w:t xml:space="preserve">Patients with biliary stones </w:t>
            </w:r>
            <w:r>
              <w:t>are typically</w:t>
            </w:r>
            <w:r w:rsidRPr="0036397B">
              <w:t xml:space="preserve"> </w:t>
            </w:r>
            <w:r>
              <w:t>treated</w:t>
            </w:r>
            <w:r w:rsidRPr="0036397B">
              <w:t xml:space="preserve"> </w:t>
            </w:r>
            <w:r>
              <w:t xml:space="preserve">using </w:t>
            </w:r>
            <w:r w:rsidRPr="0036397B">
              <w:t xml:space="preserve">conventional </w:t>
            </w:r>
            <w:r>
              <w:t>ERCP extraction</w:t>
            </w:r>
            <w:r w:rsidRPr="0036397B">
              <w:t xml:space="preserve"> techniques, however approximately 10</w:t>
            </w:r>
            <w:r>
              <w:t xml:space="preserve">% are to be unable to removed. </w:t>
            </w:r>
            <w:r w:rsidRPr="00D16DE4">
              <w:rPr>
                <w:color w:val="000000"/>
                <w:shd w:val="clear" w:color="auto" w:fill="FFFFFF"/>
              </w:rPr>
              <w:t xml:space="preserve">Biliary stones may be difficult to remove if they </w:t>
            </w:r>
            <w:r w:rsidRPr="00EC2260">
              <w:t xml:space="preserve">are impacted, lodged behind strictures, large in size (&gt; 15 mm in diameter) or located in regions of the biliary tree which are difficult to target endoscopically </w:t>
            </w:r>
            <w:r w:rsidR="005F1F4A">
              <w:fldChar w:fldCharType="begin"/>
            </w:r>
            <w:r w:rsidR="005F1F4A">
              <w:instrText xml:space="preserve"> ADDIN EN.CITE &lt;EndNote&gt;&lt;Cite&gt;&lt;Author&gt;Aljebreen&lt;/Author&gt;&lt;Year&gt;2014&lt;/Year&gt;&lt;RecNum&gt;42&lt;/RecNum&gt;&lt;DisplayText&gt;(Aljebreen et al., 2014)&lt;/DisplayText&gt;&lt;record&gt;&lt;rec-number&gt;42&lt;/rec-number&gt;&lt;foreign-keys&gt;&lt;key app="EN" db-id="xrd5xtv9xdvftxetprq5st9c5trzx5z2xzpp" timestamp="1633407183"&gt;42&lt;/key&gt;&lt;/foreign-keys&gt;&lt;ref-type name="Journal Article"&gt;17&lt;/ref-type&gt;&lt;contributors&gt;&lt;authors&gt;&lt;author&gt;Aljebreen, Abdulrahman&lt;/author&gt;&lt;author&gt;Alharbi, Othman&lt;/author&gt;&lt;author&gt;Azzam, Nahla&lt;/author&gt;&lt;author&gt;Almadi, Majid&lt;/author&gt;&lt;/authors&gt;&lt;/contributors&gt;&lt;titles&gt;&lt;title&gt;Efficacy of spyglass-guided electrohydraulic lithotripsy in difficult bile duct stones&lt;/title&gt;&lt;secondary-title&gt;Saudi Journal of Gastroenterology&lt;/secondary-title&gt;&lt;/titles&gt;&lt;periodical&gt;&lt;full-title&gt;Saudi Journal of Gastroenterology&lt;/full-title&gt;&lt;/periodical&gt;&lt;pages&gt;366-370&lt;/pages&gt;&lt;volume&gt;20&lt;/volume&gt;&lt;number&gt;6&lt;/number&gt;&lt;dates&gt;&lt;year&gt;2014&lt;/year&gt;&lt;pub-dates&gt;&lt;date&gt;November 1, 2014&lt;/date&gt;&lt;/pub-dates&gt;&lt;/dates&gt;&lt;isbn&gt;1319-3767&lt;/isbn&gt;&lt;work-type&gt;Original Article&lt;/work-type&gt;&lt;urls&gt;&lt;related-urls&gt;&lt;url&gt;https://www.saudijgastro.com/article.asp?issn=1319-3767;year=2014;volume=20;issue=6;spage=366;epage=370;aulast=Aljebreen&lt;/url&gt;&lt;/related-urls&gt;&lt;/urls&gt;&lt;electronic-resource-num&gt;10.4103/1319-3767.145329&lt;/electronic-resource-num&gt;&lt;/record&gt;&lt;/Cite&gt;&lt;/EndNote&gt;</w:instrText>
            </w:r>
            <w:r w:rsidR="005F1F4A">
              <w:fldChar w:fldCharType="separate"/>
            </w:r>
            <w:r w:rsidR="005F1F4A">
              <w:rPr>
                <w:noProof/>
              </w:rPr>
              <w:t>(Aljebreen et al., 2014)</w:t>
            </w:r>
            <w:r w:rsidR="005F1F4A">
              <w:fldChar w:fldCharType="end"/>
            </w:r>
          </w:p>
        </w:tc>
      </w:tr>
      <w:tr w:rsidR="007B6DDB" w:rsidRPr="00F934C8" w14:paraId="45D05497" w14:textId="77777777" w:rsidTr="00F934C8">
        <w:trPr>
          <w:cnfStyle w:val="100000000000" w:firstRow="1" w:lastRow="0" w:firstColumn="0" w:lastColumn="0" w:oddVBand="0" w:evenVBand="0" w:oddHBand="0" w:evenHBand="0" w:firstRowFirstColumn="0" w:firstRowLastColumn="0" w:lastRowFirstColumn="0" w:lastRowLastColumn="0"/>
          <w:tblHeader/>
        </w:trPr>
        <w:tc>
          <w:tcPr>
            <w:tcW w:w="905" w:type="pct"/>
            <w:shd w:val="clear" w:color="auto" w:fill="auto"/>
            <w:vAlign w:val="center"/>
          </w:tcPr>
          <w:p w14:paraId="1550896F" w14:textId="77777777" w:rsidR="007B6DDB" w:rsidRPr="00CE28E3" w:rsidRDefault="007B6DDB" w:rsidP="006D10FC">
            <w:pPr>
              <w:pStyle w:val="TableText"/>
            </w:pPr>
            <w:r w:rsidRPr="00805D2C">
              <w:t>Proportion of ERCP procedures with stones unable to be extracted (difficult biliary stones)</w:t>
            </w:r>
          </w:p>
        </w:tc>
        <w:tc>
          <w:tcPr>
            <w:tcW w:w="586" w:type="pct"/>
            <w:shd w:val="clear" w:color="auto" w:fill="auto"/>
            <w:vAlign w:val="center"/>
          </w:tcPr>
          <w:p w14:paraId="4DB52AAF" w14:textId="77777777" w:rsidR="007B6DDB" w:rsidRPr="00F526D1" w:rsidRDefault="007B6DDB" w:rsidP="006D10FC">
            <w:pPr>
              <w:pStyle w:val="TableText"/>
              <w:jc w:val="center"/>
            </w:pPr>
            <w:r w:rsidRPr="00F526D1">
              <w:t>4.55%</w:t>
            </w:r>
          </w:p>
        </w:tc>
        <w:tc>
          <w:tcPr>
            <w:tcW w:w="786" w:type="pct"/>
            <w:shd w:val="clear" w:color="auto" w:fill="auto"/>
            <w:vAlign w:val="center"/>
          </w:tcPr>
          <w:p w14:paraId="3A3360BA" w14:textId="77777777" w:rsidR="007B6DDB" w:rsidRPr="00CE28E3" w:rsidRDefault="007B6DDB" w:rsidP="006D10FC">
            <w:pPr>
              <w:pStyle w:val="TableText"/>
              <w:jc w:val="center"/>
            </w:pPr>
            <w:r>
              <w:t>Calculated</w:t>
            </w:r>
          </w:p>
        </w:tc>
        <w:tc>
          <w:tcPr>
            <w:tcW w:w="2723" w:type="pct"/>
            <w:shd w:val="clear" w:color="auto" w:fill="auto"/>
            <w:vAlign w:val="center"/>
          </w:tcPr>
          <w:p w14:paraId="6012A1A6" w14:textId="77777777" w:rsidR="007B6DDB" w:rsidRPr="00CE28E3" w:rsidRDefault="007B6DDB" w:rsidP="006D10FC">
            <w:pPr>
              <w:pStyle w:val="TableText"/>
            </w:pPr>
            <w:r>
              <w:t>Calculated based on the p</w:t>
            </w:r>
            <w:r w:rsidRPr="00805D2C">
              <w:t>roportion of ERCP procedures undertaken to remove stones</w:t>
            </w:r>
            <w:r>
              <w:t xml:space="preserve"> and the pr</w:t>
            </w:r>
            <w:r w:rsidRPr="00805D2C">
              <w:t>oportion of ERCP procedures with stones unable to be extracted</w:t>
            </w:r>
            <w:r>
              <w:t xml:space="preserve"> (</w:t>
            </w:r>
            <w:r w:rsidRPr="00F526D1">
              <w:t>45.50%</w:t>
            </w:r>
            <w:r>
              <w:t xml:space="preserve"> x </w:t>
            </w:r>
            <w:r w:rsidRPr="00F526D1">
              <w:t>10.00%</w:t>
            </w:r>
            <w:r>
              <w:t>)</w:t>
            </w:r>
          </w:p>
        </w:tc>
      </w:tr>
      <w:tr w:rsidR="007B6DDB" w:rsidRPr="00F934C8" w14:paraId="6CC0E47D" w14:textId="77777777" w:rsidTr="00F934C8">
        <w:trPr>
          <w:cnfStyle w:val="100000000000" w:firstRow="1" w:lastRow="0" w:firstColumn="0" w:lastColumn="0" w:oddVBand="0" w:evenVBand="0" w:oddHBand="0" w:evenHBand="0" w:firstRowFirstColumn="0" w:firstRowLastColumn="0" w:lastRowFirstColumn="0" w:lastRowLastColumn="0"/>
          <w:tblHeader/>
        </w:trPr>
        <w:tc>
          <w:tcPr>
            <w:tcW w:w="905" w:type="pct"/>
            <w:shd w:val="clear" w:color="auto" w:fill="auto"/>
            <w:vAlign w:val="center"/>
          </w:tcPr>
          <w:p w14:paraId="644A0549" w14:textId="77777777" w:rsidR="007B6DDB" w:rsidRDefault="007B6DDB" w:rsidP="006D10FC">
            <w:pPr>
              <w:pStyle w:val="TableText"/>
            </w:pPr>
            <w:r w:rsidRPr="00493A52">
              <w:t>ERCP market share in the world w/o POCPS</w:t>
            </w:r>
          </w:p>
        </w:tc>
        <w:tc>
          <w:tcPr>
            <w:tcW w:w="586" w:type="pct"/>
            <w:shd w:val="clear" w:color="auto" w:fill="auto"/>
            <w:vAlign w:val="center"/>
          </w:tcPr>
          <w:p w14:paraId="06B9B8F6" w14:textId="77777777" w:rsidR="007B6DDB" w:rsidRPr="00F526D1" w:rsidRDefault="007B6DDB" w:rsidP="006D10FC">
            <w:pPr>
              <w:pStyle w:val="TableText"/>
              <w:jc w:val="center"/>
            </w:pPr>
            <w:r w:rsidRPr="00F526D1">
              <w:t>66.67%</w:t>
            </w:r>
          </w:p>
        </w:tc>
        <w:tc>
          <w:tcPr>
            <w:tcW w:w="786" w:type="pct"/>
            <w:shd w:val="clear" w:color="auto" w:fill="auto"/>
            <w:vAlign w:val="center"/>
          </w:tcPr>
          <w:p w14:paraId="1DF95703" w14:textId="77777777" w:rsidR="007B6DDB" w:rsidRDefault="007B6DDB" w:rsidP="006D10FC">
            <w:pPr>
              <w:pStyle w:val="TableText"/>
              <w:jc w:val="center"/>
            </w:pPr>
            <w:r>
              <w:t>2021 Advisory Board</w:t>
            </w:r>
          </w:p>
        </w:tc>
        <w:tc>
          <w:tcPr>
            <w:tcW w:w="2723" w:type="pct"/>
            <w:shd w:val="clear" w:color="auto" w:fill="auto"/>
            <w:vAlign w:val="center"/>
          </w:tcPr>
          <w:p w14:paraId="018BD6ED" w14:textId="77777777" w:rsidR="007B6DDB" w:rsidRDefault="007B6DDB" w:rsidP="006D10FC">
            <w:pPr>
              <w:pStyle w:val="TableText"/>
            </w:pPr>
            <w:r>
              <w:t>Based on clinical practice in Australia prior to the introduction of POCPS</w:t>
            </w:r>
          </w:p>
        </w:tc>
      </w:tr>
      <w:tr w:rsidR="007B6DDB" w:rsidRPr="00F934C8" w14:paraId="7E15EAA6" w14:textId="77777777" w:rsidTr="00F934C8">
        <w:trPr>
          <w:cnfStyle w:val="100000000000" w:firstRow="1" w:lastRow="0" w:firstColumn="0" w:lastColumn="0" w:oddVBand="0" w:evenVBand="0" w:oddHBand="0" w:evenHBand="0" w:firstRowFirstColumn="0" w:firstRowLastColumn="0" w:lastRowFirstColumn="0" w:lastRowLastColumn="0"/>
          <w:tblHeader/>
        </w:trPr>
        <w:tc>
          <w:tcPr>
            <w:tcW w:w="905" w:type="pct"/>
            <w:shd w:val="clear" w:color="auto" w:fill="auto"/>
            <w:vAlign w:val="center"/>
          </w:tcPr>
          <w:p w14:paraId="3F0A7790" w14:textId="77777777" w:rsidR="007B6DDB" w:rsidRDefault="007B6DDB" w:rsidP="006D10FC">
            <w:pPr>
              <w:pStyle w:val="TableText"/>
            </w:pPr>
            <w:r w:rsidRPr="009C5D6E">
              <w:t xml:space="preserve">Laparoscopic </w:t>
            </w:r>
            <w:r>
              <w:t>c</w:t>
            </w:r>
            <w:r w:rsidRPr="009C5D6E">
              <w:t>holedochotomy</w:t>
            </w:r>
            <w:r w:rsidRPr="00493A52">
              <w:t xml:space="preserve"> market share in the world w/o POCPS</w:t>
            </w:r>
          </w:p>
        </w:tc>
        <w:tc>
          <w:tcPr>
            <w:tcW w:w="586" w:type="pct"/>
            <w:shd w:val="clear" w:color="auto" w:fill="auto"/>
            <w:vAlign w:val="center"/>
          </w:tcPr>
          <w:p w14:paraId="0F99A0C3" w14:textId="77777777" w:rsidR="007B6DDB" w:rsidRPr="00F526D1" w:rsidRDefault="007B6DDB" w:rsidP="006D10FC">
            <w:pPr>
              <w:pStyle w:val="TableText"/>
              <w:jc w:val="center"/>
            </w:pPr>
            <w:r w:rsidRPr="00F526D1">
              <w:t>33.33%</w:t>
            </w:r>
          </w:p>
        </w:tc>
        <w:tc>
          <w:tcPr>
            <w:tcW w:w="786" w:type="pct"/>
            <w:shd w:val="clear" w:color="auto" w:fill="auto"/>
            <w:vAlign w:val="center"/>
          </w:tcPr>
          <w:p w14:paraId="13B91D54" w14:textId="77777777" w:rsidR="007B6DDB" w:rsidRDefault="007B6DDB" w:rsidP="006D10FC">
            <w:pPr>
              <w:pStyle w:val="TableText"/>
              <w:jc w:val="center"/>
            </w:pPr>
            <w:r>
              <w:t>2021 Advisory Board</w:t>
            </w:r>
          </w:p>
        </w:tc>
        <w:tc>
          <w:tcPr>
            <w:tcW w:w="2723" w:type="pct"/>
            <w:shd w:val="clear" w:color="auto" w:fill="auto"/>
            <w:vAlign w:val="center"/>
          </w:tcPr>
          <w:p w14:paraId="3FA6D3BE" w14:textId="77777777" w:rsidR="007B6DDB" w:rsidRPr="00E12096" w:rsidRDefault="007B6DDB" w:rsidP="006D10FC">
            <w:pPr>
              <w:pStyle w:val="TableText"/>
              <w:rPr>
                <w:b/>
                <w:bCs/>
              </w:rPr>
            </w:pPr>
            <w:r>
              <w:t>Based on clinical practice in Australia prior to the introduction of POCPS</w:t>
            </w:r>
          </w:p>
        </w:tc>
      </w:tr>
      <w:tr w:rsidR="007B6DDB" w:rsidRPr="00F934C8" w14:paraId="48B0DF08" w14:textId="77777777" w:rsidTr="00F934C8">
        <w:trPr>
          <w:cnfStyle w:val="100000000000" w:firstRow="1" w:lastRow="0" w:firstColumn="0" w:lastColumn="0" w:oddVBand="0" w:evenVBand="0" w:oddHBand="0" w:evenHBand="0" w:firstRowFirstColumn="0" w:firstRowLastColumn="0" w:lastRowFirstColumn="0" w:lastRowLastColumn="0"/>
          <w:tblHeader/>
        </w:trPr>
        <w:tc>
          <w:tcPr>
            <w:tcW w:w="905" w:type="pct"/>
            <w:shd w:val="clear" w:color="auto" w:fill="auto"/>
            <w:vAlign w:val="center"/>
          </w:tcPr>
          <w:p w14:paraId="29D7DF36" w14:textId="77777777" w:rsidR="007B6DDB" w:rsidRPr="00805D2C" w:rsidRDefault="007B6DDB" w:rsidP="006D10FC">
            <w:pPr>
              <w:pStyle w:val="TableText"/>
            </w:pPr>
            <w:r w:rsidRPr="00805D2C">
              <w:t>POCPS uptake</w:t>
            </w:r>
            <w:r>
              <w:t xml:space="preserve"> rate</w:t>
            </w:r>
            <w:r w:rsidRPr="00805D2C">
              <w:t xml:space="preserve"> </w:t>
            </w:r>
            <w:r>
              <w:t>in ERCP</w:t>
            </w:r>
            <w:r w:rsidRPr="00805D2C">
              <w:t xml:space="preserve"> </w:t>
            </w:r>
            <w:r>
              <w:t xml:space="preserve">market </w:t>
            </w:r>
          </w:p>
        </w:tc>
        <w:tc>
          <w:tcPr>
            <w:tcW w:w="586" w:type="pct"/>
            <w:shd w:val="clear" w:color="auto" w:fill="auto"/>
            <w:vAlign w:val="center"/>
          </w:tcPr>
          <w:p w14:paraId="599AECAA" w14:textId="77777777" w:rsidR="007B6DDB" w:rsidRDefault="007B6DDB" w:rsidP="006D10FC">
            <w:pPr>
              <w:pStyle w:val="TableText"/>
              <w:jc w:val="center"/>
            </w:pPr>
            <w:r>
              <w:t>2022: 20%</w:t>
            </w:r>
          </w:p>
          <w:p w14:paraId="27760BA1" w14:textId="77777777" w:rsidR="007B6DDB" w:rsidRDefault="007B6DDB" w:rsidP="006D10FC">
            <w:pPr>
              <w:pStyle w:val="TableText"/>
              <w:jc w:val="center"/>
            </w:pPr>
            <w:r>
              <w:t>2023: 26%</w:t>
            </w:r>
          </w:p>
          <w:p w14:paraId="76A8D91B" w14:textId="77777777" w:rsidR="007B6DDB" w:rsidRDefault="007B6DDB" w:rsidP="006D10FC">
            <w:pPr>
              <w:pStyle w:val="TableText"/>
              <w:jc w:val="center"/>
            </w:pPr>
            <w:r>
              <w:t>2024: 34%</w:t>
            </w:r>
          </w:p>
          <w:p w14:paraId="469DD4CC" w14:textId="77777777" w:rsidR="007B6DDB" w:rsidRDefault="007B6DDB" w:rsidP="006D10FC">
            <w:pPr>
              <w:pStyle w:val="TableText"/>
              <w:jc w:val="center"/>
            </w:pPr>
            <w:r>
              <w:t>2025: 44%</w:t>
            </w:r>
          </w:p>
          <w:p w14:paraId="2FF976D8" w14:textId="77777777" w:rsidR="007B6DDB" w:rsidRDefault="007B6DDB" w:rsidP="006D10FC">
            <w:pPr>
              <w:pStyle w:val="TableText"/>
              <w:jc w:val="center"/>
            </w:pPr>
            <w:r>
              <w:t>2026: 58%</w:t>
            </w:r>
          </w:p>
          <w:p w14:paraId="1051030E" w14:textId="77777777" w:rsidR="007B6DDB" w:rsidRPr="00F526D1" w:rsidRDefault="007B6DDB" w:rsidP="006D10FC">
            <w:pPr>
              <w:pStyle w:val="TableText"/>
              <w:jc w:val="center"/>
            </w:pPr>
            <w:r>
              <w:t>2027: 76%</w:t>
            </w:r>
          </w:p>
        </w:tc>
        <w:tc>
          <w:tcPr>
            <w:tcW w:w="786" w:type="pct"/>
            <w:shd w:val="clear" w:color="auto" w:fill="auto"/>
            <w:vAlign w:val="center"/>
          </w:tcPr>
          <w:p w14:paraId="0EEEE79C" w14:textId="77777777" w:rsidR="007B6DDB" w:rsidRDefault="007B6DDB" w:rsidP="006D10FC">
            <w:pPr>
              <w:pStyle w:val="TableText"/>
              <w:jc w:val="center"/>
            </w:pPr>
            <w:r>
              <w:t>BSC internal estimates</w:t>
            </w:r>
          </w:p>
        </w:tc>
        <w:tc>
          <w:tcPr>
            <w:tcW w:w="2723" w:type="pct"/>
            <w:shd w:val="clear" w:color="auto" w:fill="auto"/>
            <w:vAlign w:val="center"/>
          </w:tcPr>
          <w:p w14:paraId="7E3815FF" w14:textId="77777777" w:rsidR="007B6DDB" w:rsidRDefault="007B6DDB" w:rsidP="006D10FC">
            <w:pPr>
              <w:pStyle w:val="TableText"/>
            </w:pPr>
            <w:r>
              <w:t xml:space="preserve">As POCPS is an adjunct to ERCP, POCPS </w:t>
            </w:r>
            <w:r w:rsidRPr="001D3D6A">
              <w:t>is</w:t>
            </w:r>
            <w:r>
              <w:t xml:space="preserve"> </w:t>
            </w:r>
            <w:r w:rsidRPr="001D3D6A">
              <w:t xml:space="preserve">expected to have more traction </w:t>
            </w:r>
            <w:r>
              <w:t xml:space="preserve">in the ERCP market </w:t>
            </w:r>
            <w:r w:rsidRPr="001D3D6A">
              <w:t xml:space="preserve">than </w:t>
            </w:r>
            <w:r>
              <w:t>in the l</w:t>
            </w:r>
            <w:r w:rsidRPr="009C5D6E">
              <w:t xml:space="preserve">aparoscopic </w:t>
            </w:r>
            <w:r>
              <w:t>c</w:t>
            </w:r>
            <w:r w:rsidRPr="009C5D6E">
              <w:t>holedochotomy</w:t>
            </w:r>
            <w:r>
              <w:t xml:space="preserve"> market. H</w:t>
            </w:r>
            <w:r w:rsidRPr="001D3D6A">
              <w:t>ence 202</w:t>
            </w:r>
            <w:r>
              <w:t>2</w:t>
            </w:r>
            <w:r w:rsidRPr="001D3D6A">
              <w:t xml:space="preserve"> adoption is starting at </w:t>
            </w:r>
            <w:r>
              <w:t>20</w:t>
            </w:r>
            <w:r w:rsidRPr="001D3D6A">
              <w:t xml:space="preserve">% </w:t>
            </w:r>
            <w:r>
              <w:t xml:space="preserve">for ERCP </w:t>
            </w:r>
            <w:r w:rsidRPr="001D3D6A">
              <w:t xml:space="preserve">compared to </w:t>
            </w:r>
            <w:r>
              <w:t>3</w:t>
            </w:r>
            <w:r w:rsidRPr="001D3D6A">
              <w:t xml:space="preserve">% for </w:t>
            </w:r>
            <w:r>
              <w:t>l</w:t>
            </w:r>
            <w:r w:rsidRPr="009C5D6E">
              <w:t xml:space="preserve">aparoscopic </w:t>
            </w:r>
            <w:r>
              <w:t>c</w:t>
            </w:r>
            <w:r w:rsidRPr="009C5D6E">
              <w:t>holedochotomy</w:t>
            </w:r>
            <w:r>
              <w:t>. Annual</w:t>
            </w:r>
            <w:r w:rsidRPr="00827E7B">
              <w:t xml:space="preserve"> growth based on 31% </w:t>
            </w:r>
            <w:r>
              <w:t>compound annual growth</w:t>
            </w:r>
            <w:r w:rsidRPr="00827E7B">
              <w:t xml:space="preserve"> for SpyGlass DS public adoption from 2015-</w:t>
            </w:r>
            <w:r>
              <w:t>2019</w:t>
            </w:r>
          </w:p>
        </w:tc>
      </w:tr>
      <w:tr w:rsidR="007B6DDB" w:rsidRPr="00F934C8" w14:paraId="406AB47E" w14:textId="77777777" w:rsidTr="00F934C8">
        <w:trPr>
          <w:cnfStyle w:val="100000000000" w:firstRow="1" w:lastRow="0" w:firstColumn="0" w:lastColumn="0" w:oddVBand="0" w:evenVBand="0" w:oddHBand="0" w:evenHBand="0" w:firstRowFirstColumn="0" w:firstRowLastColumn="0" w:lastRowFirstColumn="0" w:lastRowLastColumn="0"/>
          <w:tblHeader/>
        </w:trPr>
        <w:tc>
          <w:tcPr>
            <w:tcW w:w="905" w:type="pct"/>
            <w:shd w:val="clear" w:color="auto" w:fill="auto"/>
            <w:vAlign w:val="center"/>
          </w:tcPr>
          <w:p w14:paraId="44691870" w14:textId="77777777" w:rsidR="007B6DDB" w:rsidRPr="00805D2C" w:rsidRDefault="007B6DDB" w:rsidP="006D10FC">
            <w:pPr>
              <w:pStyle w:val="TableText"/>
            </w:pPr>
            <w:r w:rsidRPr="00805D2C">
              <w:lastRenderedPageBreak/>
              <w:t xml:space="preserve">POCPS uptake </w:t>
            </w:r>
            <w:r>
              <w:t>rate in l</w:t>
            </w:r>
            <w:r w:rsidRPr="009C5D6E">
              <w:t xml:space="preserve">aparoscopic </w:t>
            </w:r>
            <w:r>
              <w:t>c</w:t>
            </w:r>
            <w:r w:rsidRPr="009C5D6E">
              <w:t>holedochotomy</w:t>
            </w:r>
            <w:r w:rsidRPr="00805D2C">
              <w:t xml:space="preserve"> </w:t>
            </w:r>
            <w:r>
              <w:t xml:space="preserve">market </w:t>
            </w:r>
          </w:p>
        </w:tc>
        <w:tc>
          <w:tcPr>
            <w:tcW w:w="586" w:type="pct"/>
            <w:shd w:val="clear" w:color="auto" w:fill="auto"/>
            <w:vAlign w:val="center"/>
          </w:tcPr>
          <w:p w14:paraId="0EDB550F" w14:textId="77777777" w:rsidR="007B6DDB" w:rsidRDefault="007B6DDB" w:rsidP="006D10FC">
            <w:pPr>
              <w:pStyle w:val="TableText"/>
              <w:jc w:val="center"/>
            </w:pPr>
            <w:r>
              <w:t>2022: 10%</w:t>
            </w:r>
          </w:p>
          <w:p w14:paraId="0F5AE829" w14:textId="77777777" w:rsidR="007B6DDB" w:rsidRDefault="007B6DDB" w:rsidP="006D10FC">
            <w:pPr>
              <w:pStyle w:val="TableText"/>
              <w:jc w:val="center"/>
            </w:pPr>
            <w:r>
              <w:t>2023: 13%</w:t>
            </w:r>
          </w:p>
          <w:p w14:paraId="2D8919DA" w14:textId="77777777" w:rsidR="007B6DDB" w:rsidRDefault="007B6DDB" w:rsidP="006D10FC">
            <w:pPr>
              <w:pStyle w:val="TableText"/>
              <w:jc w:val="center"/>
            </w:pPr>
            <w:r>
              <w:t>2024: 17%</w:t>
            </w:r>
          </w:p>
          <w:p w14:paraId="7FB1996E" w14:textId="77777777" w:rsidR="007B6DDB" w:rsidRDefault="007B6DDB" w:rsidP="006D10FC">
            <w:pPr>
              <w:pStyle w:val="TableText"/>
              <w:jc w:val="center"/>
            </w:pPr>
            <w:r>
              <w:t>2025: 22%</w:t>
            </w:r>
          </w:p>
          <w:p w14:paraId="5B581DFA" w14:textId="77777777" w:rsidR="007B6DDB" w:rsidRDefault="007B6DDB" w:rsidP="006D10FC">
            <w:pPr>
              <w:pStyle w:val="TableText"/>
              <w:jc w:val="center"/>
            </w:pPr>
            <w:r>
              <w:t>2026: 29%</w:t>
            </w:r>
          </w:p>
          <w:p w14:paraId="5E82D3F7" w14:textId="77777777" w:rsidR="007B6DDB" w:rsidRPr="00F526D1" w:rsidRDefault="007B6DDB" w:rsidP="006D10FC">
            <w:pPr>
              <w:pStyle w:val="TableText"/>
              <w:jc w:val="center"/>
            </w:pPr>
            <w:r>
              <w:t>2027: 39%</w:t>
            </w:r>
          </w:p>
        </w:tc>
        <w:tc>
          <w:tcPr>
            <w:tcW w:w="786" w:type="pct"/>
            <w:shd w:val="clear" w:color="auto" w:fill="auto"/>
            <w:vAlign w:val="center"/>
          </w:tcPr>
          <w:p w14:paraId="5C0A83E5" w14:textId="77777777" w:rsidR="007B6DDB" w:rsidRDefault="007B6DDB" w:rsidP="006D10FC">
            <w:pPr>
              <w:pStyle w:val="TableText"/>
              <w:jc w:val="center"/>
            </w:pPr>
            <w:r>
              <w:t>BSC internal estimates</w:t>
            </w:r>
          </w:p>
        </w:tc>
        <w:tc>
          <w:tcPr>
            <w:tcW w:w="2723" w:type="pct"/>
            <w:shd w:val="clear" w:color="auto" w:fill="auto"/>
            <w:vAlign w:val="center"/>
          </w:tcPr>
          <w:p w14:paraId="1A72C7E1" w14:textId="77777777" w:rsidR="007B6DDB" w:rsidRDefault="007B6DDB" w:rsidP="006D10FC">
            <w:pPr>
              <w:pStyle w:val="TableText"/>
            </w:pPr>
            <w:r>
              <w:t>POCPS uptake in l</w:t>
            </w:r>
            <w:r w:rsidRPr="009C5D6E">
              <w:t xml:space="preserve">aparoscopic </w:t>
            </w:r>
            <w:r>
              <w:t>c</w:t>
            </w:r>
            <w:r w:rsidRPr="009C5D6E">
              <w:t>holedochotomy</w:t>
            </w:r>
            <w:r>
              <w:t xml:space="preserve"> market </w:t>
            </w:r>
            <w:r w:rsidRPr="001D3D6A">
              <w:t>is</w:t>
            </w:r>
            <w:r>
              <w:t xml:space="preserve"> </w:t>
            </w:r>
            <w:r w:rsidRPr="001D3D6A">
              <w:t xml:space="preserve">expected to have </w:t>
            </w:r>
            <w:r>
              <w:t>less</w:t>
            </w:r>
            <w:r w:rsidRPr="001D3D6A">
              <w:t xml:space="preserve"> traction than </w:t>
            </w:r>
            <w:r>
              <w:t>in the l</w:t>
            </w:r>
            <w:r w:rsidRPr="009C5D6E">
              <w:t xml:space="preserve">aparoscopic </w:t>
            </w:r>
            <w:r>
              <w:t>c</w:t>
            </w:r>
            <w:r w:rsidRPr="009C5D6E">
              <w:t>holedochotomy</w:t>
            </w:r>
            <w:r>
              <w:t xml:space="preserve"> market</w:t>
            </w:r>
            <w:r w:rsidRPr="001D3D6A">
              <w:t>, hence 202</w:t>
            </w:r>
            <w:r>
              <w:t>2</w:t>
            </w:r>
            <w:r w:rsidRPr="001D3D6A">
              <w:t xml:space="preserve"> adoption is starting at </w:t>
            </w:r>
            <w:r>
              <w:t>10</w:t>
            </w:r>
            <w:r w:rsidRPr="001D3D6A">
              <w:t xml:space="preserve">% compared to </w:t>
            </w:r>
            <w:r>
              <w:t>20</w:t>
            </w:r>
            <w:r w:rsidRPr="001D3D6A">
              <w:t xml:space="preserve">% for </w:t>
            </w:r>
            <w:r>
              <w:t>ERCP. Annual</w:t>
            </w:r>
            <w:r w:rsidRPr="00827E7B">
              <w:t xml:space="preserve"> growth based on 31% </w:t>
            </w:r>
            <w:r>
              <w:t>compound annual growth</w:t>
            </w:r>
            <w:r w:rsidRPr="00827E7B">
              <w:t xml:space="preserve"> for SpyGlass DS public adoption from 2015-</w:t>
            </w:r>
            <w:r>
              <w:t>2019</w:t>
            </w:r>
          </w:p>
        </w:tc>
      </w:tr>
    </w:tbl>
    <w:p w14:paraId="6E178E02" w14:textId="5880FC6E" w:rsidR="007B6DDB" w:rsidRDefault="007B6DDB" w:rsidP="00096324">
      <w:pPr>
        <w:spacing w:after="240"/>
        <w:rPr>
          <w:iCs/>
        </w:rPr>
      </w:pPr>
      <w:bookmarkStart w:id="143" w:name="_Hlk89027573"/>
      <w:r w:rsidRPr="00C86DC6">
        <w:rPr>
          <w:iCs/>
        </w:rPr>
        <w:t>Cost and resource utilisation data have been extrapolated until 2027, using assumptions about the annual growth rate and uptake of POCPS in the ERCP market. Additionally, all current costs have been inflated to 2021. Th</w:t>
      </w:r>
      <w:r w:rsidR="00C86DC6">
        <w:rPr>
          <w:iCs/>
        </w:rPr>
        <w:t xml:space="preserve">e commentary considered that </w:t>
      </w:r>
      <w:r w:rsidR="007C0597">
        <w:rPr>
          <w:iCs/>
        </w:rPr>
        <w:t>th</w:t>
      </w:r>
      <w:r w:rsidRPr="00C86DC6">
        <w:rPr>
          <w:iCs/>
        </w:rPr>
        <w:t>is method is appropriate to determine future costs and utilisation.</w:t>
      </w:r>
    </w:p>
    <w:bookmarkEnd w:id="143"/>
    <w:p w14:paraId="2D290713" w14:textId="3AAD3C92" w:rsidR="007B6DDB" w:rsidRPr="00FD20CA" w:rsidRDefault="007B6DDB" w:rsidP="00096324">
      <w:pPr>
        <w:pStyle w:val="BodyText"/>
        <w:spacing w:before="120" w:after="240" w:line="259" w:lineRule="auto"/>
        <w:rPr>
          <w:rFonts w:ascii="Franklin Gothic Book" w:eastAsiaTheme="minorHAnsi" w:hAnsi="Franklin Gothic Book" w:cstheme="minorBidi"/>
          <w:lang w:eastAsia="en-US"/>
        </w:rPr>
      </w:pPr>
      <w:r w:rsidRPr="00FD20CA">
        <w:rPr>
          <w:rFonts w:ascii="Franklin Gothic Book" w:eastAsiaTheme="minorHAnsi" w:hAnsi="Franklin Gothic Book" w:cstheme="minorBidi"/>
          <w:lang w:eastAsia="en-US"/>
        </w:rPr>
        <w:t>The variables and associated data sources used to determine the utilisation and financial implication associated with a listing for investigative POCPS on the MBS are presented in</w:t>
      </w:r>
      <w:r>
        <w:rPr>
          <w:rFonts w:ascii="Franklin Gothic Book" w:eastAsiaTheme="minorHAnsi" w:hAnsi="Franklin Gothic Book" w:cstheme="minorBidi"/>
          <w:lang w:eastAsia="en-US"/>
        </w:rPr>
        <w:t xml:space="preserve"> </w:t>
      </w:r>
      <w:r w:rsidR="00FD20CA">
        <w:rPr>
          <w:rFonts w:ascii="Franklin Gothic Book" w:eastAsiaTheme="minorHAnsi" w:hAnsi="Franklin Gothic Book" w:cstheme="minorBidi"/>
          <w:iCs/>
          <w:lang w:eastAsia="en-US"/>
        </w:rPr>
        <w:fldChar w:fldCharType="begin"/>
      </w:r>
      <w:r w:rsidR="00FD20CA">
        <w:rPr>
          <w:rFonts w:ascii="Franklin Gothic Book" w:eastAsiaTheme="minorHAnsi" w:hAnsi="Franklin Gothic Book" w:cstheme="minorBidi"/>
          <w:iCs/>
          <w:lang w:eastAsia="en-US"/>
        </w:rPr>
        <w:instrText xml:space="preserve"> REF _Ref89027896 \h </w:instrText>
      </w:r>
      <w:r w:rsidR="00FD20CA">
        <w:rPr>
          <w:rFonts w:ascii="Franklin Gothic Book" w:eastAsiaTheme="minorHAnsi" w:hAnsi="Franklin Gothic Book" w:cstheme="minorBidi"/>
          <w:iCs/>
          <w:lang w:eastAsia="en-US"/>
        </w:rPr>
      </w:r>
      <w:r w:rsidR="00FD20CA">
        <w:rPr>
          <w:rFonts w:ascii="Franklin Gothic Book" w:eastAsiaTheme="minorHAnsi" w:hAnsi="Franklin Gothic Book" w:cstheme="minorBidi"/>
          <w:iCs/>
          <w:lang w:eastAsia="en-US"/>
        </w:rPr>
        <w:fldChar w:fldCharType="separate"/>
      </w:r>
      <w:r w:rsidR="00D422BC">
        <w:t xml:space="preserve">Table </w:t>
      </w:r>
      <w:r w:rsidR="00D422BC">
        <w:rPr>
          <w:noProof/>
        </w:rPr>
        <w:t>28</w:t>
      </w:r>
      <w:r w:rsidR="00FD20CA">
        <w:rPr>
          <w:rFonts w:ascii="Franklin Gothic Book" w:eastAsiaTheme="minorHAnsi" w:hAnsi="Franklin Gothic Book" w:cstheme="minorBidi"/>
          <w:iCs/>
          <w:lang w:eastAsia="en-US"/>
        </w:rPr>
        <w:fldChar w:fldCharType="end"/>
      </w:r>
      <w:r w:rsidRPr="00FD20CA">
        <w:rPr>
          <w:rFonts w:ascii="Franklin Gothic Book" w:eastAsiaTheme="minorHAnsi" w:hAnsi="Franklin Gothic Book" w:cstheme="minorBidi"/>
          <w:lang w:eastAsia="en-US"/>
        </w:rPr>
        <w:t>.</w:t>
      </w:r>
    </w:p>
    <w:p w14:paraId="1A014011" w14:textId="644E5AD5" w:rsidR="007B6DDB" w:rsidRPr="00CE28E3" w:rsidRDefault="007B6DDB" w:rsidP="007B6DDB">
      <w:pPr>
        <w:pStyle w:val="Caption"/>
      </w:pPr>
      <w:bookmarkStart w:id="144" w:name="_Ref89027896"/>
      <w:bookmarkStart w:id="145" w:name="_Ref82505631"/>
      <w:bookmarkStart w:id="146" w:name="_Toc84313690"/>
      <w:bookmarkStart w:id="147" w:name="_Toc84324836"/>
      <w:bookmarkStart w:id="148" w:name="_Toc84348159"/>
      <w:r>
        <w:lastRenderedPageBreak/>
        <w:t xml:space="preserve">Table </w:t>
      </w:r>
      <w:r>
        <w:fldChar w:fldCharType="begin"/>
      </w:r>
      <w:r>
        <w:instrText>SEQ Table \* ARABIC</w:instrText>
      </w:r>
      <w:r>
        <w:fldChar w:fldCharType="separate"/>
      </w:r>
      <w:r w:rsidR="00D422BC">
        <w:rPr>
          <w:noProof/>
        </w:rPr>
        <w:t>28</w:t>
      </w:r>
      <w:r>
        <w:fldChar w:fldCharType="end"/>
      </w:r>
      <w:bookmarkEnd w:id="144"/>
      <w:r w:rsidR="00FD20CA">
        <w:rPr>
          <w:noProof/>
        </w:rPr>
        <w:tab/>
      </w:r>
      <w:r>
        <w:t>Summary of key assumptions</w:t>
      </w:r>
      <w:r w:rsidRPr="00CE28E3">
        <w:t xml:space="preserve"> applied</w:t>
      </w:r>
      <w:r>
        <w:t xml:space="preserve"> for </w:t>
      </w:r>
      <w:r w:rsidRPr="00CE28E3">
        <w:t xml:space="preserve">utilisation and financial estimates </w:t>
      </w:r>
      <w:r>
        <w:t>for investigative POCPS</w:t>
      </w:r>
      <w:bookmarkEnd w:id="145"/>
      <w:bookmarkEnd w:id="146"/>
      <w:bookmarkEnd w:id="147"/>
      <w:bookmarkEnd w:id="148"/>
    </w:p>
    <w:tbl>
      <w:tblPr>
        <w:tblStyle w:val="TableGrid1"/>
        <w:tblW w:w="5000" w:type="pct"/>
        <w:tblCellMar>
          <w:left w:w="57" w:type="dxa"/>
          <w:right w:w="57" w:type="dxa"/>
        </w:tblCellMar>
        <w:tblLook w:val="04A0" w:firstRow="1" w:lastRow="0" w:firstColumn="1" w:lastColumn="0" w:noHBand="0" w:noVBand="1"/>
        <w:tblDescription w:val="Summary of key assumptions applied for utilisation and financial estimates for investigative POCPS"/>
      </w:tblPr>
      <w:tblGrid>
        <w:gridCol w:w="1555"/>
        <w:gridCol w:w="1134"/>
        <w:gridCol w:w="1410"/>
        <w:gridCol w:w="4917"/>
      </w:tblGrid>
      <w:tr w:rsidR="007B6DDB" w:rsidRPr="00CE28E3" w14:paraId="535FC001" w14:textId="77777777" w:rsidTr="003B5C3E">
        <w:trPr>
          <w:cnfStyle w:val="100000000000" w:firstRow="1" w:lastRow="0" w:firstColumn="0" w:lastColumn="0" w:oddVBand="0" w:evenVBand="0" w:oddHBand="0" w:evenHBand="0" w:firstRowFirstColumn="0" w:firstRowLastColumn="0" w:lastRowFirstColumn="0" w:lastRowLastColumn="0"/>
          <w:tblHeader/>
        </w:trPr>
        <w:tc>
          <w:tcPr>
            <w:tcW w:w="862" w:type="pct"/>
            <w:shd w:val="clear" w:color="auto" w:fill="auto"/>
          </w:tcPr>
          <w:p w14:paraId="3D038FB0" w14:textId="77777777" w:rsidR="007B6DDB" w:rsidRPr="00210E8B" w:rsidRDefault="007B6DDB" w:rsidP="003B5C3E">
            <w:pPr>
              <w:pStyle w:val="TableHeading0"/>
              <w:spacing w:before="40" w:after="40"/>
            </w:pPr>
            <w:r w:rsidRPr="00EF117E">
              <w:lastRenderedPageBreak/>
              <w:t>Data</w:t>
            </w:r>
          </w:p>
        </w:tc>
        <w:tc>
          <w:tcPr>
            <w:tcW w:w="629" w:type="pct"/>
            <w:shd w:val="clear" w:color="auto" w:fill="auto"/>
          </w:tcPr>
          <w:p w14:paraId="4CAC1FAA" w14:textId="77777777" w:rsidR="007B6DDB" w:rsidRPr="008A73E2" w:rsidRDefault="007B6DDB" w:rsidP="003B5C3E">
            <w:pPr>
              <w:pStyle w:val="TableHeading0"/>
              <w:spacing w:before="40" w:after="40"/>
            </w:pPr>
            <w:r w:rsidRPr="00004568">
              <w:t>Value</w:t>
            </w:r>
          </w:p>
        </w:tc>
        <w:tc>
          <w:tcPr>
            <w:tcW w:w="782" w:type="pct"/>
            <w:shd w:val="clear" w:color="auto" w:fill="auto"/>
          </w:tcPr>
          <w:p w14:paraId="0247969A" w14:textId="77777777" w:rsidR="007B6DDB" w:rsidRPr="00C46917" w:rsidRDefault="007B6DDB" w:rsidP="003B5C3E">
            <w:pPr>
              <w:pStyle w:val="TableHeading0"/>
              <w:spacing w:before="40" w:after="40"/>
            </w:pPr>
            <w:r w:rsidRPr="00B71036">
              <w:t xml:space="preserve">Source </w:t>
            </w:r>
          </w:p>
        </w:tc>
        <w:tc>
          <w:tcPr>
            <w:tcW w:w="2726" w:type="pct"/>
            <w:shd w:val="clear" w:color="auto" w:fill="auto"/>
          </w:tcPr>
          <w:p w14:paraId="0F693D42" w14:textId="77777777" w:rsidR="007B6DDB" w:rsidRPr="002008E8" w:rsidRDefault="007B6DDB" w:rsidP="003B5C3E">
            <w:pPr>
              <w:pStyle w:val="TableHeading0"/>
              <w:spacing w:before="40" w:after="40"/>
            </w:pPr>
            <w:r w:rsidRPr="00A06A3C">
              <w:t>Justificat</w:t>
            </w:r>
            <w:r w:rsidRPr="00470286">
              <w:t>ion</w:t>
            </w:r>
          </w:p>
        </w:tc>
      </w:tr>
      <w:tr w:rsidR="007B6DDB" w:rsidRPr="00CE28E3" w14:paraId="61AB053D" w14:textId="77777777" w:rsidTr="003B5C3E">
        <w:trPr>
          <w:cnfStyle w:val="100000000000" w:firstRow="1" w:lastRow="0" w:firstColumn="0" w:lastColumn="0" w:oddVBand="0" w:evenVBand="0" w:oddHBand="0" w:evenHBand="0" w:firstRowFirstColumn="0" w:firstRowLastColumn="0" w:lastRowFirstColumn="0" w:lastRowLastColumn="0"/>
          <w:tblHeader/>
        </w:trPr>
        <w:tc>
          <w:tcPr>
            <w:tcW w:w="862" w:type="pct"/>
            <w:shd w:val="clear" w:color="auto" w:fill="auto"/>
            <w:vAlign w:val="center"/>
          </w:tcPr>
          <w:p w14:paraId="1B55CB98" w14:textId="77777777" w:rsidR="007B6DDB" w:rsidRPr="00CE28E3" w:rsidRDefault="007B6DDB" w:rsidP="006D10FC">
            <w:pPr>
              <w:pStyle w:val="TableText"/>
            </w:pPr>
            <w:r w:rsidRPr="00805D2C">
              <w:t>Procedure Annual Growth Rate</w:t>
            </w:r>
          </w:p>
        </w:tc>
        <w:tc>
          <w:tcPr>
            <w:tcW w:w="629" w:type="pct"/>
            <w:shd w:val="clear" w:color="auto" w:fill="auto"/>
            <w:vAlign w:val="center"/>
          </w:tcPr>
          <w:p w14:paraId="457048E8" w14:textId="77777777" w:rsidR="007B6DDB" w:rsidRPr="00F526D1" w:rsidRDefault="007B6DDB" w:rsidP="006D10FC">
            <w:pPr>
              <w:pStyle w:val="TableText"/>
              <w:jc w:val="center"/>
            </w:pPr>
            <w:r w:rsidRPr="00F526D1">
              <w:t>3.74%</w:t>
            </w:r>
          </w:p>
        </w:tc>
        <w:tc>
          <w:tcPr>
            <w:tcW w:w="782" w:type="pct"/>
            <w:shd w:val="clear" w:color="auto" w:fill="auto"/>
            <w:vAlign w:val="center"/>
          </w:tcPr>
          <w:p w14:paraId="7FA9B914" w14:textId="77777777" w:rsidR="007B6DDB" w:rsidRPr="00CE28E3" w:rsidRDefault="007B6DDB" w:rsidP="006D10FC">
            <w:pPr>
              <w:pStyle w:val="TableText"/>
              <w:jc w:val="center"/>
            </w:pPr>
            <w:r>
              <w:t xml:space="preserve">Medicare Statistics MBS Item Reports for </w:t>
            </w:r>
            <w:r w:rsidRPr="00D50AFB">
              <w:t>30484</w:t>
            </w:r>
          </w:p>
        </w:tc>
        <w:tc>
          <w:tcPr>
            <w:tcW w:w="2726" w:type="pct"/>
            <w:shd w:val="clear" w:color="auto" w:fill="auto"/>
            <w:vAlign w:val="center"/>
          </w:tcPr>
          <w:p w14:paraId="2D2E3B70" w14:textId="77777777" w:rsidR="007B6DDB" w:rsidRPr="00CE28E3" w:rsidRDefault="007B6DDB" w:rsidP="006D10FC">
            <w:pPr>
              <w:pStyle w:val="TableText"/>
            </w:pPr>
            <w:r>
              <w:t xml:space="preserve">Eligibility for POCPS is dependent on inconclusive results from a prior ERCP. Therefore, the rate of growth for ERCP procedures (item </w:t>
            </w:r>
            <w:r w:rsidRPr="00D50AFB">
              <w:t>30484</w:t>
            </w:r>
            <w:r>
              <w:t xml:space="preserve">) is estimated to reflect the rate of growth of POCPS </w:t>
            </w:r>
          </w:p>
        </w:tc>
      </w:tr>
      <w:tr w:rsidR="007B6DDB" w:rsidRPr="00CE28E3" w14:paraId="271FE039" w14:textId="77777777" w:rsidTr="003B5C3E">
        <w:trPr>
          <w:cnfStyle w:val="100000000000" w:firstRow="1" w:lastRow="0" w:firstColumn="0" w:lastColumn="0" w:oddVBand="0" w:evenVBand="0" w:oddHBand="0" w:evenHBand="0" w:firstRowFirstColumn="0" w:firstRowLastColumn="0" w:lastRowFirstColumn="0" w:lastRowLastColumn="0"/>
          <w:tblHeader/>
        </w:trPr>
        <w:tc>
          <w:tcPr>
            <w:tcW w:w="862" w:type="pct"/>
            <w:shd w:val="clear" w:color="auto" w:fill="auto"/>
            <w:vAlign w:val="center"/>
          </w:tcPr>
          <w:p w14:paraId="78F4CEEC" w14:textId="77777777" w:rsidR="007B6DDB" w:rsidRPr="00CE28E3" w:rsidRDefault="007B6DDB" w:rsidP="006D10FC">
            <w:pPr>
              <w:pStyle w:val="TableText"/>
            </w:pPr>
            <w:r w:rsidRPr="00A779A8">
              <w:lastRenderedPageBreak/>
              <w:t>Proportion of ERCP procedures undertaken to diagnose biliary strictures</w:t>
            </w:r>
          </w:p>
        </w:tc>
        <w:tc>
          <w:tcPr>
            <w:tcW w:w="629" w:type="pct"/>
            <w:shd w:val="clear" w:color="auto" w:fill="auto"/>
            <w:vAlign w:val="center"/>
          </w:tcPr>
          <w:p w14:paraId="62B324CD" w14:textId="77777777" w:rsidR="007B6DDB" w:rsidRPr="00F526D1" w:rsidRDefault="007B6DDB" w:rsidP="006D10FC">
            <w:pPr>
              <w:pStyle w:val="TableText"/>
              <w:jc w:val="center"/>
            </w:pPr>
            <w:r>
              <w:t>23.20</w:t>
            </w:r>
            <w:r w:rsidRPr="00F526D1">
              <w:t>%</w:t>
            </w:r>
          </w:p>
        </w:tc>
        <w:tc>
          <w:tcPr>
            <w:tcW w:w="782" w:type="pct"/>
            <w:shd w:val="clear" w:color="auto" w:fill="auto"/>
            <w:vAlign w:val="center"/>
          </w:tcPr>
          <w:p w14:paraId="0D97AA10" w14:textId="2E250ADD" w:rsidR="007B6DDB" w:rsidRPr="00CE28E3" w:rsidRDefault="005F1F4A" w:rsidP="006D10FC">
            <w:pPr>
              <w:pStyle w:val="TableText"/>
              <w:jc w:val="center"/>
            </w:pPr>
            <w:r>
              <w:fldChar w:fldCharType="begin"/>
            </w:r>
            <w:r>
              <w:instrText xml:space="preserve"> ADDIN EN.CITE &lt;EndNote&gt;&lt;Cite AuthorYear="1"&gt;&lt;Author&gt;Testoni&lt;/Author&gt;&lt;Year&gt;2010&lt;/Year&gt;&lt;RecNum&gt;142&lt;/RecNum&gt;&lt;DisplayText&gt;Testoni et al. (2010)&lt;/DisplayText&gt;&lt;record&gt;&lt;rec-number&gt;142&lt;/rec-number&gt;&lt;foreign-keys&gt;&lt;key app="EN" db-id="xrd5xtv9xdvftxetprq5st9c5trzx5z2xzpp" timestamp="1633407204"&gt;142&lt;/key&gt;&lt;/foreign-keys&gt;&lt;ref-type name="Journal Article"&gt;17&lt;/ref-type&gt;&lt;contributors&gt;&lt;authors&gt;&lt;author&gt;Testoni, Pier&lt;/author&gt;&lt;author&gt;Mariani, Alberto&lt;/author&gt;&lt;author&gt;Giussani, Antonella&lt;/author&gt;&lt;author&gt;Vailati, Cristian&lt;/author&gt;&lt;author&gt;Masci, Enzo&lt;/author&gt;&lt;author&gt;Macarri, Giampiero&lt;/author&gt;&lt;author&gt;Ghezzo, Luigi&lt;/author&gt;&lt;author&gt;Familiari, Luigi&lt;/author&gt;&lt;author&gt;Giardullo, Nicola&lt;/author&gt;&lt;author&gt;Mutignani, Massimiliano&lt;/author&gt;&lt;author&gt;Lombardi, Giuliano&lt;/author&gt;&lt;author&gt;Talamini, Giorgio&lt;/author&gt;&lt;author&gt;Spadaccini, </w:instrText>
            </w:r>
            <w:r>
              <w:lastRenderedPageBreak/>
              <w:instrText>Antonio&lt;/author&gt;&lt;author&gt;Briglia, Romolo&lt;/author&gt;&lt;author&gt;Piazzi, Lucia&lt;/author&gt;&lt;author&gt;Terruzzi, Vittorio&lt;/author&gt;&lt;/authors&gt;&lt;/contributors&gt;&lt;titles&gt;&lt;title&gt;Risk Factors for Post-ERCP Pancreatitis in High- and Low-Volume Centers and Among Expert and Non-Expert Operators: A Prospective Multicenter Study&lt;/title&gt;&lt;secondary-title&gt;The American journal of gastroenterology&lt;/secondary-title&gt;&lt;/titles&gt;&lt;periodical&gt;&lt;full-title&gt;The American journal of gastroenterology&lt;/full-title&gt;&lt;/periodical&gt;&lt;pages&gt;1753-61&lt;/pages&gt;&lt;volume&gt;105&lt;/volume&gt;&lt;dates&gt;&lt;year&gt;2010&lt;/year&gt;&lt;pub-dates&gt;&lt;date&gt;04/01&lt;/date&gt;&lt;/pub-dates&gt;&lt;/dates&gt;&lt;urls&gt;&lt;/urls&gt;&lt;electronic-resource-num&gt;10.1038/ajg.2010.136&lt;/electronic-resource-num&gt;&lt;/record&gt;&lt;/Cite&gt;&lt;/EndNote&gt;</w:instrText>
            </w:r>
            <w:r>
              <w:fldChar w:fldCharType="separate"/>
            </w:r>
            <w:r>
              <w:rPr>
                <w:noProof/>
              </w:rPr>
              <w:t>Testoni et al. (2010)</w:t>
            </w:r>
            <w:r>
              <w:fldChar w:fldCharType="end"/>
            </w:r>
            <w:r w:rsidR="007B6DDB">
              <w:t>, 2021 Advisory Board</w:t>
            </w:r>
          </w:p>
        </w:tc>
        <w:tc>
          <w:tcPr>
            <w:tcW w:w="2726" w:type="pct"/>
            <w:shd w:val="clear" w:color="auto" w:fill="auto"/>
            <w:vAlign w:val="center"/>
          </w:tcPr>
          <w:p w14:paraId="0E63D645" w14:textId="77777777" w:rsidR="007B6DDB" w:rsidRPr="00CE28E3" w:rsidRDefault="007B6DDB" w:rsidP="006D10FC">
            <w:pPr>
              <w:pStyle w:val="TableText"/>
            </w:pPr>
            <w:r>
              <w:lastRenderedPageBreak/>
              <w:t>Estimated using values from an Italian m</w:t>
            </w:r>
            <w:r w:rsidRPr="00652CA8">
              <w:t xml:space="preserve">ulticentre </w:t>
            </w:r>
            <w:r>
              <w:t>s</w:t>
            </w:r>
            <w:r w:rsidRPr="00652CA8">
              <w:t>tudy</w:t>
            </w:r>
            <w:r>
              <w:t xml:space="preserve"> on </w:t>
            </w:r>
            <w:r w:rsidRPr="00D562A4">
              <w:t>3,635 ERCP procedures</w:t>
            </w:r>
            <w:r>
              <w:t>, of which 23.20% were performed for malignant or benign biliary strictures. This value was deemed to be applicable to the Australian clinical setting by the 2021 Advisory Board</w:t>
            </w:r>
          </w:p>
        </w:tc>
      </w:tr>
      <w:tr w:rsidR="007B6DDB" w:rsidRPr="00CE28E3" w14:paraId="64C3481F" w14:textId="77777777" w:rsidTr="003B5C3E">
        <w:trPr>
          <w:cnfStyle w:val="100000000000" w:firstRow="1" w:lastRow="0" w:firstColumn="0" w:lastColumn="0" w:oddVBand="0" w:evenVBand="0" w:oddHBand="0" w:evenHBand="0" w:firstRowFirstColumn="0" w:firstRowLastColumn="0" w:lastRowFirstColumn="0" w:lastRowLastColumn="0"/>
          <w:tblHeader/>
        </w:trPr>
        <w:tc>
          <w:tcPr>
            <w:tcW w:w="862" w:type="pct"/>
            <w:shd w:val="clear" w:color="auto" w:fill="auto"/>
            <w:vAlign w:val="center"/>
          </w:tcPr>
          <w:p w14:paraId="0CE9A54E" w14:textId="77777777" w:rsidR="007B6DDB" w:rsidRPr="00CE28E3" w:rsidRDefault="007B6DDB" w:rsidP="006D10FC">
            <w:pPr>
              <w:pStyle w:val="TableText"/>
            </w:pPr>
            <w:r w:rsidRPr="002D7994">
              <w:t xml:space="preserve">Proportion of biliary strictures which have inconclusive results </w:t>
            </w:r>
          </w:p>
        </w:tc>
        <w:tc>
          <w:tcPr>
            <w:tcW w:w="629" w:type="pct"/>
            <w:shd w:val="clear" w:color="auto" w:fill="auto"/>
            <w:vAlign w:val="center"/>
          </w:tcPr>
          <w:p w14:paraId="7A775675" w14:textId="77777777" w:rsidR="007B6DDB" w:rsidRPr="00F526D1" w:rsidRDefault="007B6DDB" w:rsidP="006D10FC">
            <w:pPr>
              <w:pStyle w:val="TableText"/>
              <w:jc w:val="center"/>
            </w:pPr>
            <w:r w:rsidRPr="00F526D1">
              <w:t>10.00%</w:t>
            </w:r>
          </w:p>
        </w:tc>
        <w:tc>
          <w:tcPr>
            <w:tcW w:w="782" w:type="pct"/>
            <w:shd w:val="clear" w:color="auto" w:fill="auto"/>
            <w:vAlign w:val="center"/>
          </w:tcPr>
          <w:p w14:paraId="4F3CBE63" w14:textId="77777777" w:rsidR="007B6DDB" w:rsidRPr="00CE28E3" w:rsidRDefault="007B6DDB" w:rsidP="006D10FC">
            <w:pPr>
              <w:pStyle w:val="TableText"/>
              <w:jc w:val="center"/>
            </w:pPr>
            <w:r>
              <w:t>2021 Advisory Board</w:t>
            </w:r>
          </w:p>
        </w:tc>
        <w:tc>
          <w:tcPr>
            <w:tcW w:w="2726" w:type="pct"/>
            <w:shd w:val="clear" w:color="auto" w:fill="auto"/>
            <w:vAlign w:val="center"/>
          </w:tcPr>
          <w:p w14:paraId="6860CDC7" w14:textId="77777777" w:rsidR="007B6DDB" w:rsidRPr="00CE28E3" w:rsidRDefault="007B6DDB" w:rsidP="006D10FC">
            <w:pPr>
              <w:pStyle w:val="TableText"/>
            </w:pPr>
            <w:r>
              <w:t xml:space="preserve">As informed by the 2021 Advisory Board, </w:t>
            </w:r>
            <w:r w:rsidRPr="007C4386">
              <w:t>ERCP fluoroscopic images are limited by their poor sensitivity resulting in up to 10% of strictures remaining indeterminate (i.e. no diagnosis is made</w:t>
            </w:r>
            <w:r>
              <w:t>)</w:t>
            </w:r>
          </w:p>
        </w:tc>
      </w:tr>
      <w:tr w:rsidR="007B6DDB" w:rsidRPr="00CE28E3" w14:paraId="7A97906F" w14:textId="77777777" w:rsidTr="003B5C3E">
        <w:trPr>
          <w:cnfStyle w:val="100000000000" w:firstRow="1" w:lastRow="0" w:firstColumn="0" w:lastColumn="0" w:oddVBand="0" w:evenVBand="0" w:oddHBand="0" w:evenHBand="0" w:firstRowFirstColumn="0" w:firstRowLastColumn="0" w:lastRowFirstColumn="0" w:lastRowLastColumn="0"/>
          <w:tblHeader/>
        </w:trPr>
        <w:tc>
          <w:tcPr>
            <w:tcW w:w="862" w:type="pct"/>
            <w:shd w:val="clear" w:color="auto" w:fill="auto"/>
            <w:vAlign w:val="center"/>
          </w:tcPr>
          <w:p w14:paraId="32B2BEA1" w14:textId="77777777" w:rsidR="007B6DDB" w:rsidRPr="00A3084E" w:rsidRDefault="007B6DDB" w:rsidP="006D10FC">
            <w:pPr>
              <w:pStyle w:val="TableText"/>
            </w:pPr>
            <w:r w:rsidRPr="00C77C40">
              <w:lastRenderedPageBreak/>
              <w:t xml:space="preserve">Proportion of ERCP procedures </w:t>
            </w:r>
            <w:r>
              <w:t xml:space="preserve">resulting </w:t>
            </w:r>
          </w:p>
          <w:p w14:paraId="0E47F983" w14:textId="77777777" w:rsidR="007B6DDB" w:rsidRPr="00087956" w:rsidRDefault="007B6DDB" w:rsidP="006D10FC">
            <w:pPr>
              <w:pStyle w:val="TableText"/>
            </w:pPr>
            <w:r w:rsidRPr="00A3084E">
              <w:t>inconclusive results</w:t>
            </w:r>
            <w:r>
              <w:t xml:space="preserve"> for biliary strictures</w:t>
            </w:r>
            <w:r w:rsidRPr="00A3084E">
              <w:t xml:space="preserve"> (i.e. inability to make a diagnosis) </w:t>
            </w:r>
          </w:p>
        </w:tc>
        <w:tc>
          <w:tcPr>
            <w:tcW w:w="629" w:type="pct"/>
            <w:shd w:val="clear" w:color="auto" w:fill="auto"/>
            <w:vAlign w:val="center"/>
          </w:tcPr>
          <w:p w14:paraId="7A3BD3F4" w14:textId="77777777" w:rsidR="007B6DDB" w:rsidRDefault="007B6DDB" w:rsidP="006D10FC">
            <w:pPr>
              <w:pStyle w:val="TableText"/>
              <w:jc w:val="center"/>
            </w:pPr>
            <w:r w:rsidRPr="00C77C40">
              <w:t>2.32%</w:t>
            </w:r>
          </w:p>
        </w:tc>
        <w:tc>
          <w:tcPr>
            <w:tcW w:w="782" w:type="pct"/>
            <w:shd w:val="clear" w:color="auto" w:fill="auto"/>
            <w:vAlign w:val="center"/>
          </w:tcPr>
          <w:p w14:paraId="643F2EC6" w14:textId="092DC010" w:rsidR="007B6DDB" w:rsidRDefault="005F1F4A" w:rsidP="006D10FC">
            <w:pPr>
              <w:pStyle w:val="TableText"/>
              <w:jc w:val="center"/>
            </w:pPr>
            <w:r>
              <w:fldChar w:fldCharType="begin"/>
            </w:r>
            <w:r>
              <w:instrText xml:space="preserve"> ADDIN EN.CITE &lt;EndNote&gt;&lt;Cite AuthorYear="1"&gt;&lt;Author&gt;Testoni&lt;/Author&gt;&lt;Year&gt;2010&lt;/Year&gt;&lt;RecNum&gt;142&lt;/RecNum&gt;&lt;DisplayText&gt;Testoni et al. (2010)&lt;/DisplayText&gt;&lt;record&gt;&lt;rec-number&gt;142&lt;/rec-number&gt;&lt;foreign-keys&gt;&lt;key app="EN" db-id="xrd5xtv9xdvftxetprq5st9c5trzx5z2xzpp" timestamp="1633407204"&gt;142&lt;/key&gt;&lt;/foreign-keys&gt;&lt;ref-type name="Journal Article"&gt;17&lt;/ref-type&gt;&lt;contributors&gt;&lt;authors&gt;&lt;author&gt;Testoni, Pier&lt;/author&gt;&lt;author&gt;Mariani, Alberto&lt;/author&gt;&lt;author&gt;Giussani, Antonella&lt;/author&gt;&lt;author&gt;Vailati, Cristian&lt;/author&gt;&lt;author&gt;Masci, Enzo&lt;/author&gt;&lt;author&gt;Macarri, Giampiero&lt;/author&gt;&lt;author&gt;Ghezzo, Luigi&lt;/author&gt;&lt;author&gt;Familiari, Luigi&lt;/author&gt;&lt;author&gt;Giardullo, Nicola&lt;/author&gt;&lt;author&gt;Mutignani, Massimiliano&lt;/author&gt;&lt;author&gt;Lombardi, Giuliano&lt;/author&gt;&lt;author&gt;Talamini, Giorgio&lt;/author&gt;&lt;author&gt;Spadaccini, Antonio&lt;/author&gt;&lt;author&gt;Briglia, Romolo&lt;/author&gt;&lt;author&gt;Piazzi, Lucia&lt;/author&gt;&lt;author&gt;Terruzzi, Vittorio&lt;/author&gt;&lt;/authors&gt;&lt;/contributors&gt;&lt;titles&gt;&lt;title&gt;Risk Factors for Post-ERCP Pancreatitis in High- and Low-Volume Centers and Among Expert and Non-Expert Operators: A Prospective Multicenter Study&lt;/title&gt;&lt;secondary-title&gt;The American journal of gastroenterology&lt;/secondary-title&gt;&lt;/titles&gt;&lt;periodical&gt;&lt;full-title&gt;The American journal of gastroenterology&lt;/full-title&gt;&lt;/periodical&gt;&lt;pages&gt;1753-61&lt;/pages&gt;&lt;volume&gt;105&lt;/volume&gt;&lt;dates&gt;&lt;year&gt;2010&lt;/year&gt;&lt;pub-dates&gt;&lt;date&gt;04/01&lt;/date&gt;&lt;/pub-dates&gt;&lt;/dates&gt;&lt;urls&gt;&lt;/urls&gt;&lt;electronic-resource-num&gt;10.1038/ajg.2010.136&lt;/electronic-resource-num&gt;&lt;/record&gt;&lt;/Cite&gt;&lt;/EndNote&gt;</w:instrText>
            </w:r>
            <w:r>
              <w:fldChar w:fldCharType="separate"/>
            </w:r>
            <w:r>
              <w:rPr>
                <w:noProof/>
              </w:rPr>
              <w:t>Testoni et al. (2010)</w:t>
            </w:r>
            <w:r>
              <w:fldChar w:fldCharType="end"/>
            </w:r>
            <w:r w:rsidR="007B6DDB">
              <w:t>, 2021 Advisory Board</w:t>
            </w:r>
          </w:p>
        </w:tc>
        <w:tc>
          <w:tcPr>
            <w:tcW w:w="2726" w:type="pct"/>
            <w:shd w:val="clear" w:color="auto" w:fill="auto"/>
            <w:vAlign w:val="center"/>
          </w:tcPr>
          <w:p w14:paraId="66F25AF0" w14:textId="77777777" w:rsidR="007B6DDB" w:rsidRDefault="007B6DDB" w:rsidP="006D10FC">
            <w:pPr>
              <w:pStyle w:val="TableText"/>
            </w:pPr>
            <w:r>
              <w:t>Calculated based on the p</w:t>
            </w:r>
            <w:r w:rsidRPr="00A779A8">
              <w:t>roportion of ERCP procedures undertaken to diagnose biliary strictures</w:t>
            </w:r>
            <w:r>
              <w:t xml:space="preserve"> and the p</w:t>
            </w:r>
            <w:r w:rsidRPr="002D7994">
              <w:t xml:space="preserve">roportion of biliary strictures which have inconclusive results </w:t>
            </w:r>
            <w:r>
              <w:t>(23.20% x 10.00%)</w:t>
            </w:r>
          </w:p>
        </w:tc>
      </w:tr>
      <w:tr w:rsidR="007B6DDB" w:rsidRPr="00CE28E3" w14:paraId="18687EF2" w14:textId="77777777" w:rsidTr="003B5C3E">
        <w:trPr>
          <w:cnfStyle w:val="100000000000" w:firstRow="1" w:lastRow="0" w:firstColumn="0" w:lastColumn="0" w:oddVBand="0" w:evenVBand="0" w:oddHBand="0" w:evenHBand="0" w:firstRowFirstColumn="0" w:firstRowLastColumn="0" w:lastRowFirstColumn="0" w:lastRowLastColumn="0"/>
          <w:tblHeader/>
        </w:trPr>
        <w:tc>
          <w:tcPr>
            <w:tcW w:w="862" w:type="pct"/>
            <w:shd w:val="clear" w:color="auto" w:fill="auto"/>
            <w:vAlign w:val="center"/>
          </w:tcPr>
          <w:p w14:paraId="238CFE11" w14:textId="77777777" w:rsidR="007B6DDB" w:rsidRPr="00C77C40" w:rsidRDefault="007B6DDB" w:rsidP="006D10FC">
            <w:pPr>
              <w:pStyle w:val="TableText"/>
            </w:pPr>
            <w:r>
              <w:t xml:space="preserve">ERCP </w:t>
            </w:r>
            <w:r w:rsidRPr="00493A52">
              <w:t>market share in the world w/o POCPS</w:t>
            </w:r>
          </w:p>
        </w:tc>
        <w:tc>
          <w:tcPr>
            <w:tcW w:w="629" w:type="pct"/>
            <w:shd w:val="clear" w:color="auto" w:fill="auto"/>
            <w:vAlign w:val="center"/>
          </w:tcPr>
          <w:p w14:paraId="72FBA2DF" w14:textId="77777777" w:rsidR="007B6DDB" w:rsidRPr="00C77C40" w:rsidRDefault="007B6DDB" w:rsidP="006D10FC">
            <w:pPr>
              <w:pStyle w:val="TableText"/>
              <w:jc w:val="center"/>
            </w:pPr>
            <w:r>
              <w:t>100%</w:t>
            </w:r>
          </w:p>
        </w:tc>
        <w:tc>
          <w:tcPr>
            <w:tcW w:w="782" w:type="pct"/>
            <w:shd w:val="clear" w:color="auto" w:fill="auto"/>
            <w:vAlign w:val="center"/>
          </w:tcPr>
          <w:p w14:paraId="3AA436E7" w14:textId="77777777" w:rsidR="007B6DDB" w:rsidRPr="00C77C40" w:rsidRDefault="007B6DDB" w:rsidP="006D10FC">
            <w:pPr>
              <w:pStyle w:val="TableText"/>
              <w:jc w:val="center"/>
            </w:pPr>
            <w:r>
              <w:t>2021 Advisory Board</w:t>
            </w:r>
          </w:p>
        </w:tc>
        <w:tc>
          <w:tcPr>
            <w:tcW w:w="2726" w:type="pct"/>
            <w:shd w:val="clear" w:color="auto" w:fill="auto"/>
            <w:vAlign w:val="center"/>
          </w:tcPr>
          <w:p w14:paraId="48DB195A" w14:textId="77777777" w:rsidR="007B6DDB" w:rsidRDefault="007B6DDB" w:rsidP="006D10FC">
            <w:pPr>
              <w:pStyle w:val="TableText"/>
            </w:pPr>
            <w:r>
              <w:t>Based on clinical practice in Australia prior to the introduction of POCPS</w:t>
            </w:r>
          </w:p>
        </w:tc>
      </w:tr>
      <w:tr w:rsidR="007B6DDB" w:rsidRPr="00CE28E3" w14:paraId="5D1BE783" w14:textId="77777777" w:rsidTr="003B5C3E">
        <w:trPr>
          <w:cnfStyle w:val="100000000000" w:firstRow="1" w:lastRow="0" w:firstColumn="0" w:lastColumn="0" w:oddVBand="0" w:evenVBand="0" w:oddHBand="0" w:evenHBand="0" w:firstRowFirstColumn="0" w:firstRowLastColumn="0" w:lastRowFirstColumn="0" w:lastRowLastColumn="0"/>
          <w:tblHeader/>
        </w:trPr>
        <w:tc>
          <w:tcPr>
            <w:tcW w:w="862" w:type="pct"/>
            <w:shd w:val="clear" w:color="auto" w:fill="auto"/>
            <w:vAlign w:val="center"/>
          </w:tcPr>
          <w:p w14:paraId="7BDAB6F1" w14:textId="77777777" w:rsidR="007B6DDB" w:rsidRPr="002D7994" w:rsidRDefault="007B6DDB" w:rsidP="006D10FC">
            <w:pPr>
              <w:pStyle w:val="TableText"/>
            </w:pPr>
            <w:r w:rsidRPr="00805D2C">
              <w:t>POCPS uptake</w:t>
            </w:r>
            <w:r>
              <w:t xml:space="preserve"> rate in ERCP market</w:t>
            </w:r>
          </w:p>
        </w:tc>
        <w:tc>
          <w:tcPr>
            <w:tcW w:w="629" w:type="pct"/>
            <w:shd w:val="clear" w:color="auto" w:fill="auto"/>
            <w:vAlign w:val="center"/>
          </w:tcPr>
          <w:p w14:paraId="10A94220" w14:textId="77777777" w:rsidR="007B6DDB" w:rsidRDefault="007B6DDB" w:rsidP="006D10FC">
            <w:pPr>
              <w:pStyle w:val="TableText"/>
              <w:jc w:val="center"/>
            </w:pPr>
            <w:r>
              <w:t>2022: 13%</w:t>
            </w:r>
          </w:p>
          <w:p w14:paraId="485A81CB" w14:textId="77777777" w:rsidR="007B6DDB" w:rsidRDefault="007B6DDB" w:rsidP="006D10FC">
            <w:pPr>
              <w:pStyle w:val="TableText"/>
              <w:jc w:val="center"/>
            </w:pPr>
            <w:r>
              <w:t>2023: 17%</w:t>
            </w:r>
          </w:p>
          <w:p w14:paraId="53321D1D" w14:textId="77777777" w:rsidR="007B6DDB" w:rsidRDefault="007B6DDB" w:rsidP="006D10FC">
            <w:pPr>
              <w:pStyle w:val="TableText"/>
              <w:jc w:val="center"/>
            </w:pPr>
            <w:r>
              <w:t>2024: 22%</w:t>
            </w:r>
          </w:p>
          <w:p w14:paraId="4493CF9B" w14:textId="77777777" w:rsidR="007B6DDB" w:rsidRDefault="007B6DDB" w:rsidP="006D10FC">
            <w:pPr>
              <w:pStyle w:val="TableText"/>
              <w:jc w:val="center"/>
            </w:pPr>
            <w:r>
              <w:t>2025: 29%</w:t>
            </w:r>
          </w:p>
          <w:p w14:paraId="759040A0" w14:textId="77777777" w:rsidR="007B6DDB" w:rsidRDefault="007B6DDB" w:rsidP="006D10FC">
            <w:pPr>
              <w:pStyle w:val="TableText"/>
              <w:jc w:val="center"/>
            </w:pPr>
            <w:r>
              <w:t>2026: 39%</w:t>
            </w:r>
          </w:p>
          <w:p w14:paraId="3A0C39BB" w14:textId="77777777" w:rsidR="007B6DDB" w:rsidRPr="00F526D1" w:rsidRDefault="007B6DDB" w:rsidP="006D10FC">
            <w:pPr>
              <w:pStyle w:val="TableText"/>
              <w:jc w:val="center"/>
            </w:pPr>
            <w:r>
              <w:t>2027: 51%</w:t>
            </w:r>
          </w:p>
        </w:tc>
        <w:tc>
          <w:tcPr>
            <w:tcW w:w="782" w:type="pct"/>
            <w:shd w:val="clear" w:color="auto" w:fill="auto"/>
            <w:vAlign w:val="center"/>
          </w:tcPr>
          <w:p w14:paraId="020F7B4D" w14:textId="77777777" w:rsidR="007B6DDB" w:rsidRDefault="007B6DDB" w:rsidP="006D10FC">
            <w:pPr>
              <w:pStyle w:val="TableText"/>
              <w:jc w:val="center"/>
            </w:pPr>
            <w:r>
              <w:t>BSC internal estimates</w:t>
            </w:r>
          </w:p>
        </w:tc>
        <w:tc>
          <w:tcPr>
            <w:tcW w:w="2726" w:type="pct"/>
            <w:shd w:val="clear" w:color="auto" w:fill="auto"/>
            <w:vAlign w:val="center"/>
          </w:tcPr>
          <w:p w14:paraId="26F9ED93" w14:textId="77777777" w:rsidR="007B6DDB" w:rsidRDefault="007B6DDB" w:rsidP="006D10FC">
            <w:pPr>
              <w:pStyle w:val="TableText"/>
            </w:pPr>
            <w:r w:rsidRPr="00140B1D">
              <w:t xml:space="preserve">Indeterminate biliary strictures </w:t>
            </w:r>
            <w:r>
              <w:t xml:space="preserve">are </w:t>
            </w:r>
            <w:r w:rsidRPr="00140B1D">
              <w:t>expected to have less traction than difficult biliary stones, hence 2021 adoption is starting at 10% compared to 15% for difficult stones.</w:t>
            </w:r>
            <w:r>
              <w:t xml:space="preserve"> Annual</w:t>
            </w:r>
            <w:r w:rsidRPr="00827E7B">
              <w:t xml:space="preserve"> growth based on 31% </w:t>
            </w:r>
            <w:r>
              <w:t>compound annual growth</w:t>
            </w:r>
            <w:r w:rsidRPr="00827E7B">
              <w:t xml:space="preserve"> for SpyGlass DS public adoption from 2015-</w:t>
            </w:r>
            <w:r>
              <w:t>2019</w:t>
            </w:r>
          </w:p>
        </w:tc>
      </w:tr>
    </w:tbl>
    <w:p w14:paraId="557CDD2F" w14:textId="7C0448D1" w:rsidR="007B6DDB" w:rsidRPr="00631D17" w:rsidRDefault="007B6DDB" w:rsidP="00631D17">
      <w:pPr>
        <w:pStyle w:val="Abbreviations"/>
      </w:pPr>
      <w:r w:rsidRPr="0024164E">
        <w:t>Abbreviation</w:t>
      </w:r>
      <w:r>
        <w:t>s:</w:t>
      </w:r>
      <w:r w:rsidRPr="0024164E">
        <w:t xml:space="preserve"> </w:t>
      </w:r>
      <w:r w:rsidRPr="006F5FDA">
        <w:t xml:space="preserve">BSC = </w:t>
      </w:r>
      <w:r>
        <w:t>Boston Scientific; DS = digital system;</w:t>
      </w:r>
      <w:r w:rsidRPr="006F5FDA">
        <w:t xml:space="preserve"> </w:t>
      </w:r>
      <w:r w:rsidRPr="0024164E">
        <w:t xml:space="preserve">ERCP = endoscopic retrograde cholangiopancreatography-guided brush cytology/ intraductal biopsy, MBS = </w:t>
      </w:r>
      <w:r>
        <w:t>Medicare Benefit Schedule;</w:t>
      </w:r>
      <w:r w:rsidRPr="0024164E">
        <w:t xml:space="preserve"> POCPS = single operator, single use peroral cholangiopancreatoscopy-guided visualisation/biopsy</w:t>
      </w:r>
    </w:p>
    <w:p w14:paraId="323E388E" w14:textId="263C7B19" w:rsidR="007B6DDB" w:rsidRPr="00C86DC6" w:rsidRDefault="007B6DDB" w:rsidP="00096324">
      <w:pPr>
        <w:spacing w:after="240"/>
        <w:rPr>
          <w:iCs/>
        </w:rPr>
      </w:pPr>
      <w:r w:rsidRPr="00C86DC6">
        <w:rPr>
          <w:iCs/>
        </w:rPr>
        <w:t xml:space="preserve">Similar to the assumptions for the therapeutic procedure, the input for the proportion of procedures undertaken to diagnose biliary strictures is justified in the ADAR by an Italian multi-centre study </w:t>
      </w:r>
      <w:r w:rsidR="005F1F4A" w:rsidRPr="00C86DC6">
        <w:rPr>
          <w:iCs/>
        </w:rPr>
        <w:fldChar w:fldCharType="begin"/>
      </w:r>
      <w:r w:rsidR="005F1F4A" w:rsidRPr="00C86DC6">
        <w:rPr>
          <w:iCs/>
        </w:rPr>
        <w:instrText xml:space="preserve"> ADDIN EN.CITE &lt;EndNote&gt;&lt;Cite&gt;&lt;Author&gt;Testoni&lt;/Author&gt;&lt;Year&gt;2010&lt;/Year&gt;&lt;RecNum&gt;142&lt;/RecNum&gt;&lt;DisplayText&gt;(Testoni et al., 2010)&lt;/DisplayText&gt;&lt;record&gt;&lt;rec-number&gt;142&lt;/rec-number&gt;&lt;foreign-keys&gt;&lt;key app="EN" db-id="xrd5xtv9xdvftxetprq5st9c5trzx5z2xzpp" timestamp="1633407204"&gt;142&lt;/key&gt;&lt;/foreign-keys&gt;&lt;ref-type name="Journal Article"&gt;17&lt;/ref-type&gt;&lt;contributors&gt;&lt;authors&gt;&lt;author&gt;Testoni, Pier&lt;/author&gt;&lt;author&gt;Mariani, Alberto&lt;/author&gt;&lt;author&gt;Giussani, Antonella&lt;/author&gt;&lt;author&gt;Vailati, Cristian&lt;/author&gt;&lt;author&gt;Masci, Enzo&lt;/author&gt;&lt;author&gt;Macarri, Giampiero&lt;/author&gt;&lt;author&gt;Ghezzo, Luigi&lt;/author&gt;&lt;author&gt;Familiari, Luigi&lt;/author&gt;&lt;author&gt;Giardullo, Nicola&lt;/author&gt;&lt;author&gt;Mutignani, Massimiliano&lt;/author&gt;&lt;author&gt;Lombardi, Giuliano&lt;/author&gt;&lt;author&gt;Talamini, Giorgio&lt;/author&gt;&lt;author&gt;Spadaccini, Antonio&lt;/author&gt;&lt;author&gt;Briglia, Romolo&lt;/author&gt;&lt;author&gt;Piazzi, Lucia&lt;/author&gt;&lt;author&gt;Terruzzi, Vittorio&lt;/author&gt;&lt;/authors&gt;&lt;/contributors&gt;&lt;titles&gt;&lt;title&gt;Risk Factors for Post-ERCP Pancreatitis in High- and Low-Volume Centers and Among Expert and Non-Expert Operators: A Prospective Multicenter Study&lt;/title&gt;&lt;secondary-title&gt;The American journal of gastroenterology&lt;/secondary-title&gt;&lt;/titles&gt;&lt;periodical&gt;&lt;full-title&gt;The American journal of gastroenterology&lt;/full-title&gt;&lt;/periodical&gt;&lt;pages&gt;1753-61&lt;/pages&gt;&lt;volume&gt;105&lt;/volume&gt;&lt;dates&gt;&lt;year&gt;2010&lt;/year&gt;&lt;pub-dates&gt;&lt;date&gt;04/01&lt;/date&gt;&lt;/pub-dates&gt;&lt;/dates&gt;&lt;urls&gt;&lt;/urls&gt;&lt;electronic-resource-num&gt;10.1038/ajg.2010.136&lt;/electronic-resource-num&gt;&lt;/record&gt;&lt;/Cite&gt;&lt;/EndNote&gt;</w:instrText>
      </w:r>
      <w:r w:rsidR="005F1F4A" w:rsidRPr="00C86DC6">
        <w:rPr>
          <w:iCs/>
        </w:rPr>
        <w:fldChar w:fldCharType="separate"/>
      </w:r>
      <w:r w:rsidR="005F1F4A" w:rsidRPr="00C86DC6">
        <w:rPr>
          <w:iCs/>
          <w:noProof/>
        </w:rPr>
        <w:t>(Testoni et al., 2010)</w:t>
      </w:r>
      <w:r w:rsidR="005F1F4A" w:rsidRPr="00C86DC6">
        <w:rPr>
          <w:iCs/>
        </w:rPr>
        <w:fldChar w:fldCharType="end"/>
      </w:r>
      <w:r w:rsidRPr="00C86DC6">
        <w:rPr>
          <w:iCs/>
        </w:rPr>
        <w:t>. While the clinical setting and proportion of patients presenting with choledocholithiasis may be different in the Australian clinical setting, the Advisory Board has supported the use of these values.</w:t>
      </w:r>
    </w:p>
    <w:p w14:paraId="2F311813" w14:textId="77777777" w:rsidR="007B6DDB" w:rsidRPr="006E2AB2" w:rsidRDefault="007B6DDB" w:rsidP="00096324">
      <w:pPr>
        <w:spacing w:after="240"/>
        <w:rPr>
          <w:i/>
        </w:rPr>
      </w:pPr>
      <w:r w:rsidRPr="00C86DC6">
        <w:rPr>
          <w:iCs/>
        </w:rPr>
        <w:t>Cost and resource utilisation data have been extrapolated until 2027, using assumptions about the annual growth rate and uptake of POCPS in the ERCP market. Additionally, all current costs have been inflated to 2021. This method is appropriate to determine future costs and utilisation.</w:t>
      </w:r>
    </w:p>
    <w:p w14:paraId="5450E3F9" w14:textId="46D83C41" w:rsidR="007B6DDB" w:rsidRDefault="007B6DDB" w:rsidP="00096324">
      <w:pPr>
        <w:spacing w:after="240"/>
        <w:rPr>
          <w:iCs/>
        </w:rPr>
      </w:pPr>
      <w:r w:rsidRPr="00C86DC6">
        <w:rPr>
          <w:iCs/>
        </w:rPr>
        <w:t xml:space="preserve">The calculations in </w:t>
      </w:r>
      <w:r w:rsidRPr="00C86DC6">
        <w:rPr>
          <w:iCs/>
        </w:rPr>
        <w:fldChar w:fldCharType="begin"/>
      </w:r>
      <w:r w:rsidRPr="00C86DC6">
        <w:rPr>
          <w:iCs/>
        </w:rPr>
        <w:instrText xml:space="preserve"> REF _Ref89027895 \h  \* MERGEFORMAT </w:instrText>
      </w:r>
      <w:r w:rsidRPr="00C86DC6">
        <w:rPr>
          <w:iCs/>
        </w:rPr>
      </w:r>
      <w:r w:rsidRPr="00C86DC6">
        <w:rPr>
          <w:iCs/>
        </w:rPr>
        <w:fldChar w:fldCharType="separate"/>
      </w:r>
      <w:r w:rsidR="00D422BC" w:rsidRPr="00D422BC">
        <w:rPr>
          <w:iCs/>
        </w:rPr>
        <w:t>Table 27</w:t>
      </w:r>
      <w:r w:rsidRPr="00C86DC6">
        <w:rPr>
          <w:iCs/>
        </w:rPr>
        <w:fldChar w:fldCharType="end"/>
      </w:r>
      <w:r w:rsidRPr="00C86DC6">
        <w:rPr>
          <w:iCs/>
        </w:rPr>
        <w:t xml:space="preserve"> and </w:t>
      </w:r>
      <w:r w:rsidRPr="00C86DC6">
        <w:rPr>
          <w:iCs/>
        </w:rPr>
        <w:fldChar w:fldCharType="begin"/>
      </w:r>
      <w:r w:rsidRPr="00C86DC6">
        <w:rPr>
          <w:iCs/>
        </w:rPr>
        <w:instrText xml:space="preserve"> REF _Ref89027896 \h  \* MERGEFORMAT </w:instrText>
      </w:r>
      <w:r w:rsidRPr="00C86DC6">
        <w:rPr>
          <w:iCs/>
        </w:rPr>
      </w:r>
      <w:r w:rsidRPr="00C86DC6">
        <w:rPr>
          <w:iCs/>
        </w:rPr>
        <w:fldChar w:fldCharType="separate"/>
      </w:r>
      <w:r w:rsidR="00D422BC" w:rsidRPr="00D422BC">
        <w:rPr>
          <w:iCs/>
        </w:rPr>
        <w:t>Table 28</w:t>
      </w:r>
      <w:r w:rsidRPr="00C86DC6">
        <w:rPr>
          <w:iCs/>
        </w:rPr>
        <w:fldChar w:fldCharType="end"/>
      </w:r>
      <w:r w:rsidR="006E2AB2" w:rsidRPr="00C86DC6">
        <w:rPr>
          <w:iCs/>
        </w:rPr>
        <w:t xml:space="preserve"> </w:t>
      </w:r>
      <w:r w:rsidRPr="00C86DC6">
        <w:rPr>
          <w:iCs/>
        </w:rPr>
        <w:t>appear to be appropriate, given the 2021 Advisory Board suggested inputs are reflective of current health practice in Australia.</w:t>
      </w:r>
    </w:p>
    <w:p w14:paraId="5383E5CC" w14:textId="1F17454F" w:rsidR="00B67444" w:rsidRPr="005E49D6" w:rsidRDefault="00B67444" w:rsidP="005E49D6">
      <w:pPr>
        <w:pStyle w:val="BodyText"/>
        <w:spacing w:before="120" w:after="240" w:line="259" w:lineRule="auto"/>
        <w:rPr>
          <w:rFonts w:ascii="Franklin Gothic Book" w:eastAsiaTheme="minorHAnsi" w:hAnsi="Franklin Gothic Book" w:cstheme="minorBidi"/>
          <w:lang w:eastAsia="en-US"/>
        </w:rPr>
      </w:pPr>
      <w:r>
        <w:rPr>
          <w:rFonts w:ascii="Franklin Gothic Book" w:eastAsiaTheme="minorEastAsia" w:hAnsi="Franklin Gothic Book" w:cstheme="minorBidi"/>
          <w:lang w:eastAsia="en-US"/>
        </w:rPr>
        <w:t>The ADAR considered the a</w:t>
      </w:r>
      <w:r w:rsidRPr="54C1B43C">
        <w:rPr>
          <w:rFonts w:ascii="Franklin Gothic Book" w:eastAsiaTheme="minorEastAsia" w:hAnsi="Franklin Gothic Book" w:cstheme="minorBidi"/>
          <w:lang w:eastAsia="en-US"/>
        </w:rPr>
        <w:t>dditional costs of POCPS are borne by hospitals and health funds, including capital equipment and consumable costs through contractual arrangements.</w:t>
      </w:r>
      <w:r w:rsidRPr="008843C7">
        <w:rPr>
          <w:rFonts w:ascii="Franklin Gothic Book" w:eastAsiaTheme="minorHAnsi" w:hAnsi="Franklin Gothic Book" w:cstheme="minorBidi"/>
          <w:lang w:eastAsia="en-US"/>
        </w:rPr>
        <w:t xml:space="preserve"> </w:t>
      </w:r>
      <w:r w:rsidR="00F025A0">
        <w:rPr>
          <w:rFonts w:ascii="Franklin Gothic Book" w:eastAsiaTheme="minorHAnsi" w:hAnsi="Franklin Gothic Book" w:cstheme="minorBidi"/>
          <w:lang w:eastAsia="en-US"/>
        </w:rPr>
        <w:t xml:space="preserve">The ADAR incorrectly overestimated the cost of capital as the </w:t>
      </w:r>
      <w:r w:rsidR="00F025A0" w:rsidRPr="00F025A0">
        <w:rPr>
          <w:rFonts w:ascii="Franklin Gothic Book" w:eastAsiaTheme="minorHAnsi" w:hAnsi="Franklin Gothic Book" w:cstheme="minorBidi"/>
          <w:lang w:eastAsia="en-US"/>
        </w:rPr>
        <w:t>cost of the controller was incorrectly entered as $</w:t>
      </w:r>
      <w:r w:rsidR="001B3435" w:rsidRPr="001B3435">
        <w:rPr>
          <w:b/>
          <w:bCs/>
        </w:rPr>
        <w:t>redacted</w:t>
      </w:r>
      <w:r w:rsidR="001B3435" w:rsidRPr="00F025A0" w:rsidDel="001B3435">
        <w:rPr>
          <w:rFonts w:ascii="Franklin Gothic Book" w:eastAsiaTheme="minorHAnsi" w:hAnsi="Franklin Gothic Book" w:cstheme="minorBidi"/>
          <w:lang w:eastAsia="en-US"/>
        </w:rPr>
        <w:t xml:space="preserve"> </w:t>
      </w:r>
      <w:r w:rsidR="00F025A0" w:rsidRPr="00F025A0">
        <w:rPr>
          <w:rFonts w:ascii="Franklin Gothic Book" w:eastAsiaTheme="minorHAnsi" w:hAnsi="Franklin Gothic Book" w:cstheme="minorBidi"/>
          <w:lang w:eastAsia="en-US"/>
        </w:rPr>
        <w:t>instead of $</w:t>
      </w:r>
      <w:r w:rsidR="001B3435" w:rsidRPr="001B3435">
        <w:rPr>
          <w:b/>
          <w:bCs/>
        </w:rPr>
        <w:t>redacted</w:t>
      </w:r>
      <w:r w:rsidR="00F025A0">
        <w:rPr>
          <w:rFonts w:ascii="Franklin Gothic Book" w:eastAsiaTheme="minorHAnsi" w:hAnsi="Franklin Gothic Book" w:cstheme="minorBidi"/>
          <w:lang w:eastAsia="en-US"/>
        </w:rPr>
        <w:t xml:space="preserve">. This was corrected in the </w:t>
      </w:r>
      <w:r w:rsidR="00CC41FB">
        <w:rPr>
          <w:rFonts w:ascii="Franklin Gothic Book" w:eastAsiaTheme="minorHAnsi" w:hAnsi="Franklin Gothic Book" w:cstheme="minorBidi"/>
          <w:lang w:eastAsia="en-US"/>
        </w:rPr>
        <w:t xml:space="preserve">pre-MSAC response. </w:t>
      </w:r>
    </w:p>
    <w:p w14:paraId="2B84888F" w14:textId="7F042CDC" w:rsidR="008843C7" w:rsidRPr="00560219" w:rsidRDefault="008843C7" w:rsidP="00096324">
      <w:pPr>
        <w:pStyle w:val="BodyText"/>
        <w:spacing w:before="120" w:after="240" w:line="259" w:lineRule="auto"/>
        <w:rPr>
          <w:rFonts w:ascii="Franklin Gothic Book" w:eastAsiaTheme="minorHAnsi" w:hAnsi="Franklin Gothic Book" w:cstheme="minorBidi"/>
          <w:lang w:eastAsia="en-US"/>
        </w:rPr>
      </w:pPr>
      <w:r w:rsidRPr="00560219">
        <w:rPr>
          <w:rFonts w:ascii="Franklin Gothic Book" w:eastAsiaTheme="minorHAnsi" w:hAnsi="Franklin Gothic Book" w:cstheme="minorBidi"/>
          <w:lang w:eastAsia="en-US"/>
        </w:rPr>
        <w:t xml:space="preserve">While public hospitals receive almost all funding from state or federal governments (captured in public hospital NHCDC Reports), private hospitals typically receive funding from a number of sources including private health insurers, directly from patients in the form of out-of-pocket fees, and from state or federal government funding. A proportion of the costs of POCPS and its comparators are borne by hospitals, including the cost of capital equipment and consumables. Additional costs covered under the hospital budget were estimated using the costs extracted from the Private Hospital Data Bureau 2016-17 Annual Report, which covers costs for accommodation, coronary care unit, hospital-in-the-home, intensive care unit, ward labour, pharmacy, prostheses and theatre per separation in private hospitals. The endoscopic clearance of difficult stones (POCPS and ERCP) was associated with major biliary tract procedures of minor complexity. In comparison laparoscopic choledochotomy for the removal of difficult biliary stone was associated with the weighted cost of major biliary tract procedures ranging from intermediate to major complexity as this is </w:t>
      </w:r>
      <w:r w:rsidR="007C0597">
        <w:rPr>
          <w:rFonts w:ascii="Franklin Gothic Book" w:eastAsiaTheme="minorHAnsi" w:hAnsi="Franklin Gothic Book" w:cstheme="minorBidi"/>
          <w:lang w:eastAsia="en-US"/>
        </w:rPr>
        <w:t xml:space="preserve">a </w:t>
      </w:r>
      <w:r w:rsidRPr="00560219">
        <w:rPr>
          <w:rFonts w:ascii="Franklin Gothic Book" w:eastAsiaTheme="minorHAnsi" w:hAnsi="Franklin Gothic Book" w:cstheme="minorBidi"/>
          <w:lang w:eastAsia="en-US"/>
        </w:rPr>
        <w:t xml:space="preserve">more invasive procedure associated with significantly longer hospitals stays </w:t>
      </w:r>
      <w:r>
        <w:rPr>
          <w:rFonts w:ascii="Franklin Gothic Book" w:eastAsiaTheme="minorHAnsi" w:hAnsi="Franklin Gothic Book" w:cstheme="minorBidi"/>
          <w:iCs/>
          <w:lang w:eastAsia="en-US"/>
        </w:rPr>
        <w:fldChar w:fldCharType="begin">
          <w:fldData xml:space="preserve">PEVuZE5vdGU+PENpdGU+PEF1dGhvcj5MaTwvQXV0aG9yPjxZZWFyPjIwMjE8L1llYXI+PFJlY051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</w:fldData>
        </w:fldChar>
      </w:r>
      <w:r>
        <w:rPr>
          <w:rFonts w:ascii="Franklin Gothic Book" w:eastAsiaTheme="minorHAnsi" w:hAnsi="Franklin Gothic Book" w:cstheme="minorBidi"/>
          <w:iCs/>
          <w:lang w:eastAsia="en-US"/>
        </w:rPr>
        <w:instrText xml:space="preserve"> ADDIN EN.CITE </w:instrText>
      </w:r>
      <w:r>
        <w:rPr>
          <w:rFonts w:ascii="Franklin Gothic Book" w:eastAsiaTheme="minorHAnsi" w:hAnsi="Franklin Gothic Book" w:cstheme="minorBidi"/>
          <w:iCs/>
          <w:lang w:eastAsia="en-US"/>
        </w:rPr>
        <w:fldChar w:fldCharType="begin">
          <w:fldData xml:space="preserve">PEVuZE5vdGU+PENpdGU+PEF1dGhvcj5MaTwvQXV0aG9yPjxZZWFyPjIwMjE8L1llYXI+PFJlY051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</w:fldData>
        </w:fldChar>
      </w:r>
      <w:r>
        <w:rPr>
          <w:rFonts w:ascii="Franklin Gothic Book" w:eastAsiaTheme="minorHAnsi" w:hAnsi="Franklin Gothic Book" w:cstheme="minorBidi"/>
          <w:iCs/>
          <w:lang w:eastAsia="en-US"/>
        </w:rPr>
        <w:instrText xml:space="preserve"> ADDIN EN.CITE.DATA </w:instrText>
      </w:r>
      <w:r>
        <w:rPr>
          <w:rFonts w:ascii="Franklin Gothic Book" w:eastAsiaTheme="minorHAnsi" w:hAnsi="Franklin Gothic Book" w:cstheme="minorBidi"/>
          <w:iCs/>
          <w:lang w:eastAsia="en-US"/>
        </w:rPr>
      </w:r>
      <w:r>
        <w:rPr>
          <w:rFonts w:ascii="Franklin Gothic Book" w:eastAsiaTheme="minorHAnsi" w:hAnsi="Franklin Gothic Book" w:cstheme="minorBidi"/>
          <w:iCs/>
          <w:lang w:eastAsia="en-US"/>
        </w:rPr>
        <w:fldChar w:fldCharType="end"/>
      </w:r>
      <w:r>
        <w:rPr>
          <w:rFonts w:ascii="Franklin Gothic Book" w:eastAsiaTheme="minorHAnsi" w:hAnsi="Franklin Gothic Book" w:cstheme="minorBidi"/>
          <w:iCs/>
          <w:lang w:eastAsia="en-US"/>
        </w:rPr>
      </w:r>
      <w:r>
        <w:rPr>
          <w:rFonts w:ascii="Franklin Gothic Book" w:eastAsiaTheme="minorHAnsi" w:hAnsi="Franklin Gothic Book" w:cstheme="minorBidi"/>
          <w:iCs/>
          <w:lang w:eastAsia="en-US"/>
        </w:rPr>
        <w:fldChar w:fldCharType="separate"/>
      </w:r>
      <w:r>
        <w:rPr>
          <w:rFonts w:ascii="Franklin Gothic Book" w:eastAsiaTheme="minorHAnsi" w:hAnsi="Franklin Gothic Book" w:cstheme="minorBidi"/>
          <w:iCs/>
          <w:noProof/>
          <w:lang w:eastAsia="en-US"/>
        </w:rPr>
        <w:t>(Li et al., 2021)</w:t>
      </w:r>
      <w:r>
        <w:rPr>
          <w:rFonts w:ascii="Franklin Gothic Book" w:eastAsiaTheme="minorHAnsi" w:hAnsi="Franklin Gothic Book" w:cstheme="minorBidi"/>
          <w:iCs/>
          <w:lang w:eastAsia="en-US"/>
        </w:rPr>
        <w:fldChar w:fldCharType="end"/>
      </w:r>
      <w:r w:rsidRPr="00560219">
        <w:rPr>
          <w:rFonts w:ascii="Franklin Gothic Book" w:eastAsiaTheme="minorHAnsi" w:hAnsi="Franklin Gothic Book" w:cstheme="minorBidi"/>
          <w:iCs/>
          <w:lang w:eastAsia="en-US"/>
        </w:rPr>
        <w:t>.</w:t>
      </w:r>
      <w:r w:rsidRPr="00560219">
        <w:rPr>
          <w:rFonts w:ascii="Franklin Gothic Book" w:eastAsiaTheme="minorHAnsi" w:hAnsi="Franklin Gothic Book" w:cstheme="minorBidi"/>
          <w:lang w:eastAsia="en-US"/>
        </w:rPr>
        <w:t xml:space="preserve"> The cost of consumables and capital were sourced from Boston Scientific internal data. No detailed estimate on the cost of capital and consumables for choledochotomy were available, therefore, the cost of this comparator to the hospital budget was conservatively estimated using the AR-DRG cost alone. </w:t>
      </w:r>
    </w:p>
    <w:p w14:paraId="33263219" w14:textId="2D9EB5C5" w:rsidR="008843C7" w:rsidRPr="008843C7" w:rsidRDefault="008843C7" w:rsidP="00096324">
      <w:pPr>
        <w:pStyle w:val="BodyText"/>
        <w:spacing w:before="120" w:after="240" w:line="259" w:lineRule="auto"/>
        <w:rPr>
          <w:rFonts w:ascii="Franklin Gothic Book" w:eastAsiaTheme="minorHAnsi" w:hAnsi="Franklin Gothic Book" w:cstheme="minorBidi"/>
          <w:iCs/>
          <w:lang w:eastAsia="en-US"/>
        </w:rPr>
      </w:pPr>
      <w:r w:rsidRPr="00B52DF7">
        <w:rPr>
          <w:rFonts w:ascii="Franklin Gothic Book" w:eastAsiaTheme="minorHAnsi" w:hAnsi="Franklin Gothic Book" w:cstheme="minorBidi"/>
          <w:iCs/>
          <w:lang w:eastAsia="en-US"/>
        </w:rPr>
        <w:t>Additional costs consider major biliary tract procedures of minor complexity for ERCP/POCPS and major biliary tract interventions of major complexity and, major biliary trac</w:t>
      </w:r>
      <w:r w:rsidR="007C0597">
        <w:rPr>
          <w:rFonts w:ascii="Franklin Gothic Book" w:eastAsiaTheme="minorHAnsi" w:hAnsi="Franklin Gothic Book" w:cstheme="minorBidi"/>
          <w:iCs/>
          <w:lang w:eastAsia="en-US"/>
        </w:rPr>
        <w:t>t</w:t>
      </w:r>
      <w:r w:rsidRPr="00B52DF7">
        <w:rPr>
          <w:rFonts w:ascii="Franklin Gothic Book" w:eastAsiaTheme="minorHAnsi" w:hAnsi="Franklin Gothic Book" w:cstheme="minorBidi"/>
          <w:iCs/>
          <w:lang w:eastAsia="en-US"/>
        </w:rPr>
        <w:t xml:space="preserve"> interventions of intermediate complexity for laparoscopic choledochotomy. Pancreas and liver conditions are included in the consideration for these costs, and as such, the </w:t>
      </w:r>
      <w:r>
        <w:rPr>
          <w:rFonts w:ascii="Franklin Gothic Book" w:eastAsiaTheme="minorHAnsi" w:hAnsi="Franklin Gothic Book" w:cstheme="minorBidi"/>
          <w:iCs/>
          <w:lang w:eastAsia="en-US"/>
        </w:rPr>
        <w:t xml:space="preserve">commentary considered the </w:t>
      </w:r>
      <w:r w:rsidRPr="00B52DF7">
        <w:rPr>
          <w:rFonts w:ascii="Franklin Gothic Book" w:eastAsiaTheme="minorHAnsi" w:hAnsi="Franklin Gothic Book" w:cstheme="minorBidi"/>
          <w:iCs/>
          <w:lang w:eastAsia="en-US"/>
        </w:rPr>
        <w:t>weighted index attributed to additional costs borne by hospitals may be overestimated.</w:t>
      </w:r>
    </w:p>
    <w:p w14:paraId="2E0AF223" w14:textId="33A3379C" w:rsidR="008252D4" w:rsidRPr="008252D4" w:rsidRDefault="008252D4" w:rsidP="00096324">
      <w:pPr>
        <w:spacing w:after="240"/>
        <w:ind w:left="57" w:right="57"/>
        <w:rPr>
          <w:rFonts w:eastAsia="Franklin Gothic Book" w:cs="Franklin Gothic Book"/>
        </w:rPr>
      </w:pPr>
      <w:r w:rsidRPr="00964CEF">
        <w:rPr>
          <w:rFonts w:eastAsia="Franklin Gothic Book" w:cs="Franklin Gothic Book"/>
        </w:rPr>
        <w:t>The ADAR has considered the cost of hospitalisation for POCPS and ERCP with DRG H02C. Similarly, the hospital cost of laparoscopic choledochotomy has been considered in reference to DRGs H02A and H02B. While the mean length of stay for the above mentioned DRGs have been used in the model and is assumed to be equivalent in both the intervention and comparator arms, this could be a conservative measure as this is on the lower end of results presented in Li et al. (2021).</w:t>
      </w:r>
      <w:r w:rsidRPr="00964CEF">
        <w:t xml:space="preserve"> </w:t>
      </w:r>
      <w:r w:rsidRPr="00964CEF">
        <w:rPr>
          <w:rFonts w:eastAsia="Franklin Gothic Book" w:cs="Franklin Gothic Book"/>
        </w:rPr>
        <w:t xml:space="preserve">The average length of stay for DRG H02C is 5.39 days and the length of hospitalisation for POCPS as reported in Li et al. (2021) is 5.65 days and 8.84 days for laparoscopic choledochotomy. While Li et al. (2021) is a Chinese study, it is one of two studies which reported length of hospitalisation. The other study, Angsuwatcharakon (2019) reports length of stay (1 day for POCPS and ERCP), but statistically does not make sense possibly due to rounding (lower confidence interval is the same as the mean length of hospitalisation).  </w:t>
      </w:r>
      <w:r>
        <w:rPr>
          <w:rFonts w:eastAsia="Franklin Gothic Book" w:cs="Franklin Gothic Book"/>
        </w:rPr>
        <w:t>ESC advised that the length of stay for POCPS and ERCP is unlikely to be 5.39 days on average as many will be same-day procedures. ESC considered a length of stay of 5 days would only occur where patients experience complications</w:t>
      </w:r>
      <w:r w:rsidR="003134EF">
        <w:rPr>
          <w:rFonts w:eastAsia="Franklin Gothic Book" w:cs="Franklin Gothic Book"/>
        </w:rPr>
        <w:t>.</w:t>
      </w:r>
      <w:r>
        <w:rPr>
          <w:rFonts w:eastAsia="Franklin Gothic Book" w:cs="Franklin Gothic Book"/>
        </w:rPr>
        <w:t xml:space="preserve"> </w:t>
      </w:r>
    </w:p>
    <w:p w14:paraId="6990B96E" w14:textId="63C7167F" w:rsidR="719E7052" w:rsidRDefault="719E7052" w:rsidP="00096324">
      <w:pPr>
        <w:pStyle w:val="Heading3"/>
        <w:spacing w:before="120" w:after="240" w:line="259" w:lineRule="auto"/>
      </w:pPr>
      <w:r>
        <w:t xml:space="preserve">Net financial impact </w:t>
      </w:r>
    </w:p>
    <w:p w14:paraId="2802D7B4" w14:textId="3670DF69" w:rsidR="4079EA12" w:rsidRDefault="4079EA12" w:rsidP="00096324">
      <w:pPr>
        <w:spacing w:after="240"/>
        <w:rPr>
          <w:rFonts w:eastAsia="Calibri"/>
        </w:rPr>
      </w:pPr>
      <w:r w:rsidRPr="00964CEF">
        <w:rPr>
          <w:rFonts w:eastAsia="Calibri"/>
        </w:rPr>
        <w:t xml:space="preserve">The net financial impact of POCPS for therapeutic application </w:t>
      </w:r>
      <w:r w:rsidR="00891BEC">
        <w:rPr>
          <w:rFonts w:eastAsia="Calibri"/>
        </w:rPr>
        <w:t>is</w:t>
      </w:r>
      <w:r w:rsidRPr="00964CEF">
        <w:rPr>
          <w:rFonts w:eastAsia="Calibri"/>
        </w:rPr>
        <w:t xml:space="preserve"> summarised in the</w:t>
      </w:r>
      <w:r w:rsidR="00891BEC">
        <w:rPr>
          <w:rFonts w:eastAsia="Calibri"/>
        </w:rPr>
        <w:t xml:space="preserve"> </w:t>
      </w:r>
      <w:r w:rsidR="00891BEC">
        <w:rPr>
          <w:rFonts w:eastAsia="Calibri"/>
        </w:rPr>
        <w:fldChar w:fldCharType="begin"/>
      </w:r>
      <w:r w:rsidR="00891BEC">
        <w:rPr>
          <w:rFonts w:eastAsia="Calibri"/>
        </w:rPr>
        <w:instrText xml:space="preserve"> REF _Ref96935138 \h </w:instrText>
      </w:r>
      <w:r w:rsidR="00891BEC">
        <w:rPr>
          <w:rFonts w:eastAsia="Calibri"/>
        </w:rPr>
      </w:r>
      <w:r w:rsidR="00891BEC">
        <w:rPr>
          <w:rFonts w:eastAsia="Calibri"/>
        </w:rPr>
        <w:fldChar w:fldCharType="separate"/>
      </w:r>
      <w:r w:rsidR="00D422BC">
        <w:t xml:space="preserve">Table </w:t>
      </w:r>
      <w:r w:rsidR="00D422BC">
        <w:rPr>
          <w:noProof/>
        </w:rPr>
        <w:t>29</w:t>
      </w:r>
      <w:r w:rsidR="00891BEC">
        <w:rPr>
          <w:rFonts w:eastAsia="Calibri"/>
        </w:rPr>
        <w:fldChar w:fldCharType="end"/>
      </w:r>
      <w:r w:rsidRPr="00964CEF">
        <w:rPr>
          <w:rFonts w:eastAsia="Calibri"/>
        </w:rPr>
        <w:t xml:space="preserve">, and further </w:t>
      </w:r>
      <w:r w:rsidR="37B89818" w:rsidRPr="00964CEF">
        <w:rPr>
          <w:rFonts w:eastAsia="Calibri"/>
        </w:rPr>
        <w:t xml:space="preserve">detailed </w:t>
      </w:r>
      <w:r w:rsidRPr="00964CEF">
        <w:rPr>
          <w:rFonts w:eastAsia="Calibri"/>
        </w:rPr>
        <w:t xml:space="preserve">in the sections </w:t>
      </w:r>
      <w:r w:rsidR="771C12E6" w:rsidRPr="00964CEF">
        <w:rPr>
          <w:rFonts w:eastAsia="Calibri"/>
        </w:rPr>
        <w:t>below.</w:t>
      </w:r>
    </w:p>
    <w:p w14:paraId="4B60278B" w14:textId="1E713C2B" w:rsidR="00CC0674" w:rsidRDefault="00CC0674" w:rsidP="00CC0674">
      <w:pPr>
        <w:pStyle w:val="Caption"/>
      </w:pPr>
      <w:bookmarkStart w:id="149" w:name="_Ref96935138"/>
      <w:r>
        <w:t xml:space="preserve">Table </w:t>
      </w:r>
      <w:fldSimple w:instr=" SEQ Table \* ARABIC ">
        <w:r w:rsidR="00D422BC">
          <w:rPr>
            <w:noProof/>
          </w:rPr>
          <w:t>29</w:t>
        </w:r>
      </w:fldSimple>
      <w:bookmarkEnd w:id="149"/>
      <w:r>
        <w:t xml:space="preserve">: Net financial impact of </w:t>
      </w:r>
      <w:r w:rsidRPr="00CC0674">
        <w:t>POCPS for difficult biliary stones</w:t>
      </w:r>
    </w:p>
    <w:tbl>
      <w:tblPr>
        <w:tblStyle w:val="TableGrid1"/>
        <w:tblW w:w="0" w:type="auto"/>
        <w:tblCellMar>
          <w:left w:w="0" w:type="dxa"/>
          <w:right w:w="0" w:type="dxa"/>
        </w:tblCellMar>
        <w:tblLook w:val="04A0" w:firstRow="1" w:lastRow="0" w:firstColumn="1" w:lastColumn="0" w:noHBand="0" w:noVBand="1"/>
        <w:tblDescription w:val="Net financial impact of POCPS for difficult biliary stones"/>
      </w:tblPr>
      <w:tblGrid>
        <w:gridCol w:w="2258"/>
        <w:gridCol w:w="1001"/>
        <w:gridCol w:w="1154"/>
        <w:gridCol w:w="1111"/>
        <w:gridCol w:w="1220"/>
        <w:gridCol w:w="1131"/>
        <w:gridCol w:w="1131"/>
      </w:tblGrid>
      <w:tr w:rsidR="00CC0674" w:rsidRPr="00CC0674" w14:paraId="21D43C55" w14:textId="77777777" w:rsidTr="003A6CC7">
        <w:trPr>
          <w:cnfStyle w:val="100000000000" w:firstRow="1" w:lastRow="0" w:firstColumn="0" w:lastColumn="0" w:oddVBand="0" w:evenVBand="0" w:oddHBand="0" w:evenHBand="0" w:firstRowFirstColumn="0" w:firstRowLastColumn="0" w:lastRowFirstColumn="0" w:lastRowLastColumn="0"/>
          <w:tblHeader/>
        </w:trPr>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6F0F2B" w14:textId="77777777" w:rsidR="00CC0674" w:rsidRPr="00CC0674" w:rsidRDefault="00CC0674" w:rsidP="00CC0674">
            <w:pPr>
              <w:keepNext/>
              <w:spacing w:before="40"/>
              <w:rPr>
                <w:rFonts w:ascii="Arial Narrow" w:hAnsi="Arial Narrow"/>
                <w:b/>
                <w:bCs/>
              </w:rPr>
            </w:pPr>
            <w:r w:rsidRPr="00CC0674">
              <w:rPr>
                <w:rFonts w:ascii="Arial Narrow" w:hAnsi="Arial Narrow"/>
                <w:b/>
                <w:bCs/>
              </w:rPr>
              <w:t xml:space="preserve">Parameter </w:t>
            </w:r>
          </w:p>
        </w:tc>
        <w:tc>
          <w:tcPr>
            <w:tcW w:w="10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A5D995" w14:textId="77777777" w:rsidR="00CC0674" w:rsidRPr="00CC0674" w:rsidRDefault="00CC0674" w:rsidP="00CC0674">
            <w:pPr>
              <w:keepNext/>
              <w:spacing w:before="40"/>
              <w:jc w:val="center"/>
              <w:rPr>
                <w:rFonts w:ascii="Arial Narrow" w:hAnsi="Arial Narrow"/>
                <w:b/>
                <w:bCs/>
              </w:rPr>
            </w:pPr>
            <w:r w:rsidRPr="00CC0674">
              <w:rPr>
                <w:rFonts w:ascii="Arial Narrow" w:hAnsi="Arial Narrow"/>
                <w:b/>
                <w:bCs/>
              </w:rPr>
              <w:t>Year 1 (2022)</w:t>
            </w:r>
          </w:p>
        </w:tc>
        <w:tc>
          <w:tcPr>
            <w:tcW w:w="11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9917CD" w14:textId="77777777" w:rsidR="00CC0674" w:rsidRPr="00CC0674" w:rsidRDefault="00CC0674" w:rsidP="00CC0674">
            <w:pPr>
              <w:keepNext/>
              <w:spacing w:before="40"/>
              <w:jc w:val="center"/>
              <w:rPr>
                <w:rFonts w:ascii="Arial Narrow" w:hAnsi="Arial Narrow"/>
                <w:b/>
                <w:bCs/>
              </w:rPr>
            </w:pPr>
            <w:r w:rsidRPr="00CC0674">
              <w:rPr>
                <w:rFonts w:ascii="Arial Narrow" w:hAnsi="Arial Narrow"/>
                <w:b/>
                <w:bCs/>
              </w:rPr>
              <w:t>Year 2 (2023)</w:t>
            </w:r>
          </w:p>
        </w:tc>
        <w:tc>
          <w:tcPr>
            <w:tcW w:w="11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32D1D0" w14:textId="77777777" w:rsidR="00CC0674" w:rsidRPr="00CC0674" w:rsidRDefault="00CC0674" w:rsidP="00CC0674">
            <w:pPr>
              <w:keepNext/>
              <w:spacing w:before="40"/>
              <w:jc w:val="center"/>
              <w:rPr>
                <w:rFonts w:ascii="Arial Narrow" w:hAnsi="Arial Narrow"/>
                <w:b/>
                <w:bCs/>
              </w:rPr>
            </w:pPr>
            <w:r w:rsidRPr="00CC0674">
              <w:rPr>
                <w:rFonts w:ascii="Arial Narrow" w:hAnsi="Arial Narrow"/>
                <w:b/>
                <w:bCs/>
              </w:rPr>
              <w:t>Year 3 (2024)</w:t>
            </w:r>
          </w:p>
        </w:tc>
        <w:tc>
          <w:tcPr>
            <w:tcW w:w="12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A7F732" w14:textId="77777777" w:rsidR="00CC0674" w:rsidRPr="00CC0674" w:rsidRDefault="00CC0674" w:rsidP="00CC0674">
            <w:pPr>
              <w:keepNext/>
              <w:spacing w:before="40"/>
              <w:jc w:val="center"/>
              <w:rPr>
                <w:rFonts w:ascii="Arial Narrow" w:hAnsi="Arial Narrow"/>
                <w:b/>
                <w:bCs/>
              </w:rPr>
            </w:pPr>
            <w:r w:rsidRPr="00CC0674">
              <w:rPr>
                <w:rFonts w:ascii="Arial Narrow" w:hAnsi="Arial Narrow"/>
                <w:b/>
                <w:bCs/>
              </w:rPr>
              <w:t>Year 4 (2025)</w:t>
            </w:r>
          </w:p>
        </w:tc>
        <w:tc>
          <w:tcPr>
            <w:tcW w:w="11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C322D0" w14:textId="77777777" w:rsidR="00CC0674" w:rsidRPr="00CC0674" w:rsidRDefault="00CC0674" w:rsidP="00CC0674">
            <w:pPr>
              <w:keepNext/>
              <w:spacing w:before="40"/>
              <w:jc w:val="center"/>
              <w:rPr>
                <w:rFonts w:ascii="Arial Narrow" w:hAnsi="Arial Narrow"/>
                <w:b/>
                <w:bCs/>
              </w:rPr>
            </w:pPr>
            <w:r w:rsidRPr="00CC0674">
              <w:rPr>
                <w:rFonts w:ascii="Arial Narrow" w:hAnsi="Arial Narrow"/>
                <w:b/>
                <w:bCs/>
              </w:rPr>
              <w:t>Year 5 (2026)</w:t>
            </w:r>
          </w:p>
        </w:tc>
        <w:tc>
          <w:tcPr>
            <w:tcW w:w="11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1B63E5" w14:textId="77777777" w:rsidR="00CC0674" w:rsidRPr="00CC0674" w:rsidRDefault="00CC0674" w:rsidP="00CC0674">
            <w:pPr>
              <w:keepNext/>
              <w:spacing w:before="40"/>
              <w:jc w:val="center"/>
              <w:rPr>
                <w:rFonts w:ascii="Arial Narrow" w:hAnsi="Arial Narrow"/>
                <w:b/>
                <w:bCs/>
              </w:rPr>
            </w:pPr>
            <w:r w:rsidRPr="00CC0674">
              <w:rPr>
                <w:rFonts w:ascii="Arial Narrow" w:hAnsi="Arial Narrow"/>
                <w:b/>
                <w:bCs/>
              </w:rPr>
              <w:t>Year 6 (2027)</w:t>
            </w:r>
          </w:p>
        </w:tc>
      </w:tr>
      <w:tr w:rsidR="00CC0674" w:rsidRPr="00CC0674" w14:paraId="41065CC7" w14:textId="77777777" w:rsidTr="003A6CC7">
        <w:tc>
          <w:tcPr>
            <w:tcW w:w="0" w:type="auto"/>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1B512F" w14:textId="2F4C2592" w:rsidR="00CC0674" w:rsidRPr="00CC0674" w:rsidRDefault="00CC0674" w:rsidP="00CC0674">
            <w:pPr>
              <w:keepNext/>
              <w:spacing w:before="40"/>
              <w:rPr>
                <w:rFonts w:ascii="Arial Narrow" w:hAnsi="Arial Narrow"/>
                <w:b/>
                <w:bCs/>
              </w:rPr>
            </w:pPr>
            <w:r w:rsidRPr="00CC0674">
              <w:rPr>
                <w:rFonts w:ascii="Arial Narrow" w:hAnsi="Arial Narrow"/>
                <w:b/>
                <w:bCs/>
              </w:rPr>
              <w:t xml:space="preserve">Estimated use and cost of </w:t>
            </w:r>
            <w:r>
              <w:rPr>
                <w:rFonts w:ascii="Arial Narrow" w:hAnsi="Arial Narrow"/>
                <w:b/>
                <w:bCs/>
              </w:rPr>
              <w:t>POCPS for difficult biliary stones</w:t>
            </w:r>
          </w:p>
        </w:tc>
      </w:tr>
      <w:tr w:rsidR="00CC0674" w:rsidRPr="00CC0674" w14:paraId="4519E146" w14:textId="77777777" w:rsidTr="00891BEC">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221CEE" w14:textId="77777777" w:rsidR="00CC0674" w:rsidRPr="00CC0674" w:rsidRDefault="00CC0674" w:rsidP="00CC0674">
            <w:pPr>
              <w:keepNext/>
              <w:spacing w:before="40"/>
              <w:rPr>
                <w:rFonts w:ascii="Arial Narrow" w:hAnsi="Arial Narrow"/>
              </w:rPr>
            </w:pPr>
            <w:r w:rsidRPr="00CC0674">
              <w:rPr>
                <w:rFonts w:ascii="Arial Narrow" w:hAnsi="Arial Narrow"/>
              </w:rPr>
              <w:t xml:space="preserve">People with difficult biliary stones </w:t>
            </w:r>
            <w:r w:rsidRPr="00CC0674">
              <w:rPr>
                <w:rFonts w:ascii="Arial Narrow" w:hAnsi="Arial Narrow"/>
                <w:vertAlign w:val="superscript"/>
              </w:rPr>
              <w:t>a</w:t>
            </w:r>
          </w:p>
        </w:tc>
        <w:tc>
          <w:tcPr>
            <w:tcW w:w="1001" w:type="dxa"/>
            <w:tcBorders>
              <w:top w:val="nil"/>
              <w:left w:val="nil"/>
              <w:bottom w:val="single" w:sz="8" w:space="0" w:color="auto"/>
              <w:right w:val="single" w:sz="8" w:space="0" w:color="auto"/>
            </w:tcBorders>
            <w:tcMar>
              <w:top w:w="0" w:type="dxa"/>
              <w:left w:w="108" w:type="dxa"/>
              <w:bottom w:w="0" w:type="dxa"/>
              <w:right w:w="108" w:type="dxa"/>
            </w:tcMar>
            <w:vAlign w:val="center"/>
          </w:tcPr>
          <w:p w14:paraId="33BC99BF" w14:textId="77777777" w:rsidR="00CC0674" w:rsidRPr="00CC0674" w:rsidRDefault="00CC0674" w:rsidP="00891BEC">
            <w:pPr>
              <w:keepNext/>
              <w:spacing w:before="40"/>
              <w:jc w:val="center"/>
              <w:rPr>
                <w:rFonts w:ascii="Arial Narrow" w:hAnsi="Arial Narrow"/>
              </w:rPr>
            </w:pPr>
            <w:r w:rsidRPr="00CC0674">
              <w:rPr>
                <w:rFonts w:ascii="Arial Narrow" w:hAnsi="Arial Narrow"/>
              </w:rPr>
              <w:t>399</w:t>
            </w:r>
          </w:p>
        </w:tc>
        <w:tc>
          <w:tcPr>
            <w:tcW w:w="1154" w:type="dxa"/>
            <w:tcBorders>
              <w:top w:val="nil"/>
              <w:left w:val="nil"/>
              <w:bottom w:val="single" w:sz="8" w:space="0" w:color="auto"/>
              <w:right w:val="single" w:sz="8" w:space="0" w:color="auto"/>
            </w:tcBorders>
            <w:tcMar>
              <w:top w:w="0" w:type="dxa"/>
              <w:left w:w="108" w:type="dxa"/>
              <w:bottom w:w="0" w:type="dxa"/>
              <w:right w:w="108" w:type="dxa"/>
            </w:tcMar>
            <w:vAlign w:val="center"/>
          </w:tcPr>
          <w:p w14:paraId="65631292" w14:textId="77777777" w:rsidR="00CC0674" w:rsidRPr="00CC0674" w:rsidRDefault="00CC0674" w:rsidP="00891BEC">
            <w:pPr>
              <w:keepNext/>
              <w:spacing w:before="40"/>
              <w:jc w:val="center"/>
              <w:rPr>
                <w:rFonts w:ascii="Arial Narrow" w:hAnsi="Arial Narrow"/>
              </w:rPr>
            </w:pPr>
            <w:r w:rsidRPr="00CC0674">
              <w:rPr>
                <w:rFonts w:ascii="Arial Narrow" w:hAnsi="Arial Narrow"/>
              </w:rPr>
              <w:t>413</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4CC513E" w14:textId="77777777" w:rsidR="00CC0674" w:rsidRPr="00CC0674" w:rsidRDefault="00CC0674" w:rsidP="00891BEC">
            <w:pPr>
              <w:keepNext/>
              <w:spacing w:before="40"/>
              <w:jc w:val="center"/>
              <w:rPr>
                <w:rFonts w:ascii="Arial Narrow" w:hAnsi="Arial Narrow"/>
              </w:rPr>
            </w:pPr>
            <w:r w:rsidRPr="00CC0674">
              <w:rPr>
                <w:rFonts w:ascii="Arial Narrow" w:hAnsi="Arial Narrow"/>
              </w:rPr>
              <w:t>429</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tcPr>
          <w:p w14:paraId="4D558812" w14:textId="77777777" w:rsidR="00CC0674" w:rsidRPr="00CC0674" w:rsidRDefault="00CC0674" w:rsidP="00891BEC">
            <w:pPr>
              <w:keepNext/>
              <w:spacing w:before="40"/>
              <w:jc w:val="center"/>
              <w:rPr>
                <w:rFonts w:ascii="Arial Narrow" w:hAnsi="Arial Narrow"/>
              </w:rPr>
            </w:pPr>
            <w:r w:rsidRPr="00CC0674">
              <w:rPr>
                <w:rFonts w:ascii="Arial Narrow" w:hAnsi="Arial Narrow"/>
              </w:rPr>
              <w:t>445</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tcPr>
          <w:p w14:paraId="6551FE7E" w14:textId="77777777" w:rsidR="00CC0674" w:rsidRPr="00CC0674" w:rsidRDefault="00CC0674" w:rsidP="00891BEC">
            <w:pPr>
              <w:keepNext/>
              <w:spacing w:before="40"/>
              <w:jc w:val="center"/>
              <w:rPr>
                <w:rFonts w:ascii="Arial Narrow" w:hAnsi="Arial Narrow"/>
              </w:rPr>
            </w:pPr>
            <w:r w:rsidRPr="00CC0674">
              <w:rPr>
                <w:rFonts w:ascii="Arial Narrow" w:hAnsi="Arial Narrow"/>
              </w:rPr>
              <w:t>462</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D0D74" w14:textId="77777777" w:rsidR="00CC0674" w:rsidRPr="00CC0674" w:rsidRDefault="00CC0674" w:rsidP="00891BEC">
            <w:pPr>
              <w:keepNext/>
              <w:spacing w:before="40"/>
              <w:jc w:val="center"/>
              <w:rPr>
                <w:rFonts w:ascii="Arial Narrow" w:hAnsi="Arial Narrow"/>
              </w:rPr>
            </w:pPr>
            <w:r w:rsidRPr="00CC0674">
              <w:rPr>
                <w:rFonts w:ascii="Arial Narrow" w:hAnsi="Arial Narrow"/>
              </w:rPr>
              <w:t>479</w:t>
            </w:r>
          </w:p>
        </w:tc>
      </w:tr>
      <w:tr w:rsidR="00CC0674" w:rsidRPr="00CC0674" w14:paraId="52E48973" w14:textId="77777777" w:rsidTr="00891BEC">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E414DF" w14:textId="77777777" w:rsidR="00CC0674" w:rsidRPr="00CC0674" w:rsidRDefault="00CC0674" w:rsidP="00CC0674">
            <w:pPr>
              <w:keepNext/>
              <w:spacing w:before="40"/>
              <w:rPr>
                <w:rFonts w:ascii="Arial Narrow" w:hAnsi="Arial Narrow"/>
                <w:vertAlign w:val="superscript"/>
              </w:rPr>
            </w:pPr>
            <w:r w:rsidRPr="00CC0674">
              <w:rPr>
                <w:rFonts w:ascii="Arial Narrow" w:hAnsi="Arial Narrow"/>
              </w:rPr>
              <w:t>ERCP for difficult biliary stones (67% of patients)</w:t>
            </w:r>
          </w:p>
        </w:tc>
        <w:tc>
          <w:tcPr>
            <w:tcW w:w="1001" w:type="dxa"/>
            <w:tcBorders>
              <w:top w:val="nil"/>
              <w:left w:val="nil"/>
              <w:bottom w:val="single" w:sz="8" w:space="0" w:color="auto"/>
              <w:right w:val="single" w:sz="8" w:space="0" w:color="auto"/>
            </w:tcBorders>
            <w:tcMar>
              <w:top w:w="0" w:type="dxa"/>
              <w:left w:w="108" w:type="dxa"/>
              <w:bottom w:w="0" w:type="dxa"/>
              <w:right w:w="108" w:type="dxa"/>
            </w:tcMar>
            <w:vAlign w:val="center"/>
          </w:tcPr>
          <w:p w14:paraId="25016BB5" w14:textId="77777777" w:rsidR="00CC0674" w:rsidRPr="00CC0674" w:rsidRDefault="00CC0674" w:rsidP="00891BEC">
            <w:pPr>
              <w:keepNext/>
              <w:spacing w:before="40"/>
              <w:jc w:val="center"/>
              <w:rPr>
                <w:rFonts w:ascii="Arial Narrow" w:hAnsi="Arial Narrow"/>
              </w:rPr>
            </w:pPr>
            <w:r w:rsidRPr="00CC0674">
              <w:rPr>
                <w:rFonts w:ascii="Arial Narrow" w:hAnsi="Arial Narrow"/>
              </w:rPr>
              <w:t>266</w:t>
            </w:r>
          </w:p>
        </w:tc>
        <w:tc>
          <w:tcPr>
            <w:tcW w:w="1154" w:type="dxa"/>
            <w:tcBorders>
              <w:top w:val="nil"/>
              <w:left w:val="nil"/>
              <w:bottom w:val="single" w:sz="8" w:space="0" w:color="auto"/>
              <w:right w:val="single" w:sz="8" w:space="0" w:color="auto"/>
            </w:tcBorders>
            <w:tcMar>
              <w:top w:w="0" w:type="dxa"/>
              <w:left w:w="108" w:type="dxa"/>
              <w:bottom w:w="0" w:type="dxa"/>
              <w:right w:w="108" w:type="dxa"/>
            </w:tcMar>
            <w:vAlign w:val="center"/>
          </w:tcPr>
          <w:p w14:paraId="428DB72D" w14:textId="77777777" w:rsidR="00CC0674" w:rsidRPr="00CC0674" w:rsidRDefault="00CC0674" w:rsidP="00891BEC">
            <w:pPr>
              <w:keepNext/>
              <w:spacing w:before="40"/>
              <w:jc w:val="center"/>
              <w:rPr>
                <w:rFonts w:ascii="Arial Narrow" w:hAnsi="Arial Narrow"/>
              </w:rPr>
            </w:pPr>
            <w:r w:rsidRPr="00CC0674">
              <w:rPr>
                <w:rFonts w:ascii="Arial Narrow" w:hAnsi="Arial Narrow"/>
              </w:rPr>
              <w:t>276</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tcPr>
          <w:p w14:paraId="51B90A92" w14:textId="77777777" w:rsidR="00CC0674" w:rsidRPr="00CC0674" w:rsidRDefault="00CC0674" w:rsidP="00891BEC">
            <w:pPr>
              <w:keepNext/>
              <w:spacing w:before="40"/>
              <w:jc w:val="center"/>
              <w:rPr>
                <w:rFonts w:ascii="Arial Narrow" w:hAnsi="Arial Narrow"/>
              </w:rPr>
            </w:pPr>
            <w:r w:rsidRPr="00CC0674">
              <w:rPr>
                <w:rFonts w:ascii="Arial Narrow" w:hAnsi="Arial Narrow"/>
              </w:rPr>
              <w:t>286</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tcPr>
          <w:p w14:paraId="42D758FB" w14:textId="77777777" w:rsidR="00CC0674" w:rsidRPr="00CC0674" w:rsidRDefault="00CC0674" w:rsidP="00891BEC">
            <w:pPr>
              <w:keepNext/>
              <w:spacing w:before="40"/>
              <w:jc w:val="center"/>
              <w:rPr>
                <w:rFonts w:ascii="Arial Narrow" w:hAnsi="Arial Narrow"/>
              </w:rPr>
            </w:pPr>
            <w:r w:rsidRPr="00CC0674">
              <w:rPr>
                <w:rFonts w:ascii="Arial Narrow" w:hAnsi="Arial Narrow"/>
              </w:rPr>
              <w:t>297</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tcPr>
          <w:p w14:paraId="5A7D7C22" w14:textId="77777777" w:rsidR="00CC0674" w:rsidRPr="00CC0674" w:rsidRDefault="00CC0674" w:rsidP="00891BEC">
            <w:pPr>
              <w:keepNext/>
              <w:spacing w:before="40"/>
              <w:jc w:val="center"/>
              <w:rPr>
                <w:rFonts w:ascii="Arial Narrow" w:hAnsi="Arial Narrow"/>
              </w:rPr>
            </w:pPr>
            <w:r w:rsidRPr="00CC0674">
              <w:rPr>
                <w:rFonts w:ascii="Arial Narrow" w:hAnsi="Arial Narrow"/>
              </w:rPr>
              <w:t>308</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tcPr>
          <w:p w14:paraId="1B101439" w14:textId="77777777" w:rsidR="00CC0674" w:rsidRPr="00CC0674" w:rsidRDefault="00CC0674" w:rsidP="00891BEC">
            <w:pPr>
              <w:keepNext/>
              <w:spacing w:before="40"/>
              <w:jc w:val="center"/>
              <w:rPr>
                <w:rFonts w:ascii="Arial Narrow" w:hAnsi="Arial Narrow"/>
              </w:rPr>
            </w:pPr>
            <w:r w:rsidRPr="00CC0674">
              <w:rPr>
                <w:rFonts w:ascii="Arial Narrow" w:hAnsi="Arial Narrow"/>
              </w:rPr>
              <w:t>319</w:t>
            </w:r>
          </w:p>
        </w:tc>
      </w:tr>
      <w:tr w:rsidR="00CC0674" w:rsidRPr="00CC0674" w14:paraId="12C335BF" w14:textId="77777777" w:rsidTr="00891BEC">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79EA34" w14:textId="77777777" w:rsidR="00CC0674" w:rsidRPr="00CC0674" w:rsidRDefault="00CC0674" w:rsidP="00CC0674">
            <w:pPr>
              <w:keepNext/>
              <w:spacing w:before="40"/>
              <w:rPr>
                <w:rFonts w:ascii="Arial Narrow" w:hAnsi="Arial Narrow"/>
              </w:rPr>
            </w:pPr>
            <w:r w:rsidRPr="00CC0674">
              <w:rPr>
                <w:rFonts w:ascii="Arial Narrow" w:hAnsi="Arial Narrow"/>
              </w:rPr>
              <w:t>Surgery for difficult stones (33% of patients)</w:t>
            </w:r>
          </w:p>
        </w:tc>
        <w:tc>
          <w:tcPr>
            <w:tcW w:w="1001" w:type="dxa"/>
            <w:tcBorders>
              <w:top w:val="nil"/>
              <w:left w:val="nil"/>
              <w:bottom w:val="single" w:sz="8" w:space="0" w:color="auto"/>
              <w:right w:val="single" w:sz="8" w:space="0" w:color="auto"/>
            </w:tcBorders>
            <w:tcMar>
              <w:top w:w="0" w:type="dxa"/>
              <w:left w:w="108" w:type="dxa"/>
              <w:bottom w:w="0" w:type="dxa"/>
              <w:right w:w="108" w:type="dxa"/>
            </w:tcMar>
            <w:vAlign w:val="center"/>
          </w:tcPr>
          <w:p w14:paraId="741A962B" w14:textId="77777777" w:rsidR="00CC0674" w:rsidRPr="00CC0674" w:rsidRDefault="00CC0674" w:rsidP="00891BEC">
            <w:pPr>
              <w:keepNext/>
              <w:spacing w:before="40"/>
              <w:jc w:val="center"/>
              <w:rPr>
                <w:rFonts w:ascii="Arial Narrow" w:hAnsi="Arial Narrow"/>
              </w:rPr>
            </w:pPr>
            <w:r w:rsidRPr="00CC0674">
              <w:rPr>
                <w:rFonts w:ascii="Arial Narrow" w:hAnsi="Arial Narrow"/>
              </w:rPr>
              <w:t>133</w:t>
            </w:r>
          </w:p>
        </w:tc>
        <w:tc>
          <w:tcPr>
            <w:tcW w:w="1154" w:type="dxa"/>
            <w:tcBorders>
              <w:top w:val="nil"/>
              <w:left w:val="nil"/>
              <w:bottom w:val="single" w:sz="8" w:space="0" w:color="auto"/>
              <w:right w:val="single" w:sz="8" w:space="0" w:color="auto"/>
            </w:tcBorders>
            <w:tcMar>
              <w:top w:w="0" w:type="dxa"/>
              <w:left w:w="108" w:type="dxa"/>
              <w:bottom w:w="0" w:type="dxa"/>
              <w:right w:w="108" w:type="dxa"/>
            </w:tcMar>
            <w:vAlign w:val="center"/>
          </w:tcPr>
          <w:p w14:paraId="3AFFE230" w14:textId="77777777" w:rsidR="00CC0674" w:rsidRPr="00CC0674" w:rsidRDefault="00CC0674" w:rsidP="00891BEC">
            <w:pPr>
              <w:keepNext/>
              <w:spacing w:before="40"/>
              <w:jc w:val="center"/>
              <w:rPr>
                <w:rFonts w:ascii="Arial Narrow" w:hAnsi="Arial Narrow"/>
              </w:rPr>
            </w:pPr>
            <w:r w:rsidRPr="00CC0674">
              <w:rPr>
                <w:rFonts w:ascii="Arial Narrow" w:hAnsi="Arial Narrow"/>
              </w:rPr>
              <w:t>138</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5951AF1" w14:textId="77777777" w:rsidR="00CC0674" w:rsidRPr="00CC0674" w:rsidRDefault="00CC0674" w:rsidP="00891BEC">
            <w:pPr>
              <w:keepNext/>
              <w:spacing w:before="40"/>
              <w:jc w:val="center"/>
              <w:rPr>
                <w:rFonts w:ascii="Arial Narrow" w:hAnsi="Arial Narrow"/>
              </w:rPr>
            </w:pPr>
            <w:r w:rsidRPr="00CC0674">
              <w:rPr>
                <w:rFonts w:ascii="Arial Narrow" w:hAnsi="Arial Narrow"/>
              </w:rPr>
              <w:t>143</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tcPr>
          <w:p w14:paraId="44373850" w14:textId="77777777" w:rsidR="00CC0674" w:rsidRPr="00CC0674" w:rsidRDefault="00CC0674" w:rsidP="00891BEC">
            <w:pPr>
              <w:keepNext/>
              <w:spacing w:before="40"/>
              <w:jc w:val="center"/>
              <w:rPr>
                <w:rFonts w:ascii="Arial Narrow" w:hAnsi="Arial Narrow"/>
              </w:rPr>
            </w:pPr>
            <w:r w:rsidRPr="00CC0674">
              <w:rPr>
                <w:rFonts w:ascii="Arial Narrow" w:hAnsi="Arial Narrow"/>
              </w:rPr>
              <w:t>148</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tcPr>
          <w:p w14:paraId="157827B6" w14:textId="77777777" w:rsidR="00CC0674" w:rsidRPr="00CC0674" w:rsidRDefault="00CC0674" w:rsidP="00891BEC">
            <w:pPr>
              <w:keepNext/>
              <w:spacing w:before="40"/>
              <w:jc w:val="center"/>
              <w:rPr>
                <w:rFonts w:ascii="Arial Narrow" w:hAnsi="Arial Narrow"/>
              </w:rPr>
            </w:pPr>
            <w:r w:rsidRPr="00CC0674">
              <w:rPr>
                <w:rFonts w:ascii="Arial Narrow" w:hAnsi="Arial Narrow"/>
              </w:rPr>
              <w:t>154</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tcPr>
          <w:p w14:paraId="3D983201" w14:textId="77777777" w:rsidR="00CC0674" w:rsidRPr="00CC0674" w:rsidRDefault="00CC0674" w:rsidP="00891BEC">
            <w:pPr>
              <w:keepNext/>
              <w:spacing w:before="40"/>
              <w:jc w:val="center"/>
              <w:rPr>
                <w:rFonts w:ascii="Arial Narrow" w:hAnsi="Arial Narrow"/>
              </w:rPr>
            </w:pPr>
            <w:r w:rsidRPr="00CC0674">
              <w:rPr>
                <w:rFonts w:ascii="Arial Narrow" w:hAnsi="Arial Narrow"/>
              </w:rPr>
              <w:t>160</w:t>
            </w:r>
          </w:p>
        </w:tc>
      </w:tr>
      <w:tr w:rsidR="00CC0674" w:rsidRPr="00CC0674" w14:paraId="139EFA9B" w14:textId="77777777" w:rsidTr="00891BEC">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F18AA5" w14:textId="4DFD92DA" w:rsidR="00CC0674" w:rsidRPr="00CC0674" w:rsidRDefault="00CC0674" w:rsidP="00CC0674">
            <w:pPr>
              <w:keepNext/>
              <w:spacing w:before="40"/>
              <w:rPr>
                <w:rFonts w:ascii="Arial Narrow" w:hAnsi="Arial Narrow"/>
              </w:rPr>
            </w:pPr>
            <w:r w:rsidRPr="00CC0674">
              <w:rPr>
                <w:rFonts w:ascii="Arial Narrow" w:hAnsi="Arial Narrow"/>
              </w:rPr>
              <w:t xml:space="preserve">POCPS uptake </w:t>
            </w:r>
            <w:r w:rsidR="00891BEC">
              <w:rPr>
                <w:rFonts w:ascii="Arial Narrow" w:hAnsi="Arial Narrow"/>
              </w:rPr>
              <w:br/>
            </w:r>
            <w:r w:rsidRPr="00CC0674">
              <w:rPr>
                <w:rFonts w:ascii="Arial Narrow" w:hAnsi="Arial Narrow"/>
              </w:rPr>
              <w:t>(from ERCP)</w:t>
            </w:r>
          </w:p>
        </w:tc>
        <w:tc>
          <w:tcPr>
            <w:tcW w:w="100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60C6DC" w14:textId="77777777" w:rsidR="00CC0674" w:rsidRPr="00CC0674" w:rsidRDefault="00CC0674" w:rsidP="00891BEC">
            <w:pPr>
              <w:keepNext/>
              <w:spacing w:before="40"/>
              <w:jc w:val="center"/>
              <w:rPr>
                <w:rFonts w:ascii="Arial Narrow" w:hAnsi="Arial Narrow"/>
              </w:rPr>
            </w:pPr>
            <w:r w:rsidRPr="00CC0674">
              <w:rPr>
                <w:rFonts w:ascii="Arial Narrow" w:hAnsi="Arial Narrow"/>
              </w:rPr>
              <w:t>20%</w:t>
            </w:r>
          </w:p>
        </w:tc>
        <w:tc>
          <w:tcPr>
            <w:tcW w:w="1154" w:type="dxa"/>
            <w:tcBorders>
              <w:top w:val="nil"/>
              <w:left w:val="nil"/>
              <w:bottom w:val="single" w:sz="8" w:space="0" w:color="auto"/>
              <w:right w:val="single" w:sz="8" w:space="0" w:color="auto"/>
            </w:tcBorders>
            <w:tcMar>
              <w:top w:w="0" w:type="dxa"/>
              <w:left w:w="108" w:type="dxa"/>
              <w:bottom w:w="0" w:type="dxa"/>
              <w:right w:w="108" w:type="dxa"/>
            </w:tcMar>
            <w:vAlign w:val="center"/>
          </w:tcPr>
          <w:p w14:paraId="61B9EDD7" w14:textId="77777777" w:rsidR="00CC0674" w:rsidRPr="00CC0674" w:rsidRDefault="00CC0674" w:rsidP="00891BEC">
            <w:pPr>
              <w:keepNext/>
              <w:spacing w:before="40"/>
              <w:jc w:val="center"/>
              <w:rPr>
                <w:rFonts w:ascii="Arial Narrow" w:hAnsi="Arial Narrow"/>
              </w:rPr>
            </w:pPr>
            <w:r w:rsidRPr="00CC0674">
              <w:rPr>
                <w:rFonts w:ascii="Arial Narrow" w:hAnsi="Arial Narrow"/>
              </w:rPr>
              <w:t>26%</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tcPr>
          <w:p w14:paraId="34E63E21" w14:textId="77777777" w:rsidR="00CC0674" w:rsidRPr="00CC0674" w:rsidRDefault="00CC0674" w:rsidP="00891BEC">
            <w:pPr>
              <w:keepNext/>
              <w:spacing w:before="40"/>
              <w:jc w:val="center"/>
              <w:rPr>
                <w:rFonts w:ascii="Arial Narrow" w:hAnsi="Arial Narrow"/>
              </w:rPr>
            </w:pPr>
            <w:r w:rsidRPr="00CC0674">
              <w:rPr>
                <w:rFonts w:ascii="Arial Narrow" w:hAnsi="Arial Narrow"/>
              </w:rPr>
              <w:t>34%</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EA367A" w14:textId="77777777" w:rsidR="00CC0674" w:rsidRPr="00CC0674" w:rsidRDefault="00CC0674" w:rsidP="00891BEC">
            <w:pPr>
              <w:keepNext/>
              <w:spacing w:before="40"/>
              <w:jc w:val="center"/>
              <w:rPr>
                <w:rFonts w:ascii="Arial Narrow" w:hAnsi="Arial Narrow"/>
              </w:rPr>
            </w:pPr>
            <w:r w:rsidRPr="00CC0674">
              <w:rPr>
                <w:rFonts w:ascii="Arial Narrow" w:hAnsi="Arial Narrow"/>
              </w:rPr>
              <w:t>45%</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tcPr>
          <w:p w14:paraId="5738D2E4" w14:textId="77777777" w:rsidR="00CC0674" w:rsidRPr="00CC0674" w:rsidRDefault="00CC0674" w:rsidP="00891BEC">
            <w:pPr>
              <w:keepNext/>
              <w:spacing w:before="40"/>
              <w:jc w:val="center"/>
              <w:rPr>
                <w:rFonts w:ascii="Arial Narrow" w:hAnsi="Arial Narrow"/>
              </w:rPr>
            </w:pPr>
            <w:r w:rsidRPr="00CC0674">
              <w:rPr>
                <w:rFonts w:ascii="Arial Narrow" w:hAnsi="Arial Narrow"/>
              </w:rPr>
              <w:t>59%</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tcPr>
          <w:p w14:paraId="39FF564F" w14:textId="77777777" w:rsidR="00CC0674" w:rsidRPr="00CC0674" w:rsidRDefault="00CC0674" w:rsidP="00891BEC">
            <w:pPr>
              <w:keepNext/>
              <w:spacing w:before="40"/>
              <w:jc w:val="center"/>
              <w:rPr>
                <w:rFonts w:ascii="Arial Narrow" w:hAnsi="Arial Narrow"/>
              </w:rPr>
            </w:pPr>
            <w:r w:rsidRPr="00CC0674">
              <w:rPr>
                <w:rFonts w:ascii="Arial Narrow" w:hAnsi="Arial Narrow"/>
              </w:rPr>
              <w:t>77%</w:t>
            </w:r>
          </w:p>
        </w:tc>
      </w:tr>
      <w:tr w:rsidR="00CC0674" w:rsidRPr="00CC0674" w14:paraId="54AF7E67" w14:textId="77777777" w:rsidTr="00891BEC">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00C0FB" w14:textId="13F78419" w:rsidR="00CC0674" w:rsidRPr="00CC0674" w:rsidRDefault="00CC0674" w:rsidP="00CC0674">
            <w:pPr>
              <w:keepNext/>
              <w:spacing w:before="40"/>
              <w:rPr>
                <w:rFonts w:ascii="Arial Narrow" w:hAnsi="Arial Narrow"/>
              </w:rPr>
            </w:pPr>
            <w:r w:rsidRPr="00CC0674">
              <w:rPr>
                <w:rFonts w:ascii="Arial Narrow" w:hAnsi="Arial Narrow"/>
              </w:rPr>
              <w:t xml:space="preserve">POCPS uptake </w:t>
            </w:r>
            <w:r w:rsidR="00891BEC">
              <w:rPr>
                <w:rFonts w:ascii="Arial Narrow" w:hAnsi="Arial Narrow"/>
              </w:rPr>
              <w:br/>
            </w:r>
            <w:r w:rsidRPr="00CC0674">
              <w:rPr>
                <w:rFonts w:ascii="Arial Narrow" w:hAnsi="Arial Narrow"/>
              </w:rPr>
              <w:t>(from surgery)</w:t>
            </w:r>
          </w:p>
        </w:tc>
        <w:tc>
          <w:tcPr>
            <w:tcW w:w="1001" w:type="dxa"/>
            <w:tcBorders>
              <w:top w:val="nil"/>
              <w:left w:val="nil"/>
              <w:bottom w:val="single" w:sz="8" w:space="0" w:color="auto"/>
              <w:right w:val="single" w:sz="8" w:space="0" w:color="auto"/>
            </w:tcBorders>
            <w:tcMar>
              <w:top w:w="0" w:type="dxa"/>
              <w:left w:w="108" w:type="dxa"/>
              <w:bottom w:w="0" w:type="dxa"/>
              <w:right w:w="108" w:type="dxa"/>
            </w:tcMar>
            <w:vAlign w:val="center"/>
          </w:tcPr>
          <w:p w14:paraId="18F851A0" w14:textId="77777777" w:rsidR="00CC0674" w:rsidRPr="00CC0674" w:rsidRDefault="00CC0674" w:rsidP="00891BEC">
            <w:pPr>
              <w:keepNext/>
              <w:spacing w:before="40"/>
              <w:jc w:val="center"/>
              <w:rPr>
                <w:rFonts w:ascii="Arial Narrow" w:hAnsi="Arial Narrow"/>
              </w:rPr>
            </w:pPr>
            <w:r w:rsidRPr="00CC0674">
              <w:rPr>
                <w:rFonts w:ascii="Arial Narrow" w:hAnsi="Arial Narrow"/>
              </w:rPr>
              <w:t>10%</w:t>
            </w:r>
          </w:p>
        </w:tc>
        <w:tc>
          <w:tcPr>
            <w:tcW w:w="1154" w:type="dxa"/>
            <w:tcBorders>
              <w:top w:val="nil"/>
              <w:left w:val="nil"/>
              <w:bottom w:val="single" w:sz="8" w:space="0" w:color="auto"/>
              <w:right w:val="single" w:sz="8" w:space="0" w:color="auto"/>
            </w:tcBorders>
            <w:tcMar>
              <w:top w:w="0" w:type="dxa"/>
              <w:left w:w="108" w:type="dxa"/>
              <w:bottom w:w="0" w:type="dxa"/>
              <w:right w:w="108" w:type="dxa"/>
            </w:tcMar>
            <w:vAlign w:val="center"/>
          </w:tcPr>
          <w:p w14:paraId="096024F2" w14:textId="77777777" w:rsidR="00CC0674" w:rsidRPr="00CC0674" w:rsidRDefault="00CC0674" w:rsidP="00891BEC">
            <w:pPr>
              <w:keepNext/>
              <w:spacing w:before="40"/>
              <w:jc w:val="center"/>
              <w:rPr>
                <w:rFonts w:ascii="Arial Narrow" w:hAnsi="Arial Narrow"/>
              </w:rPr>
            </w:pPr>
            <w:r w:rsidRPr="00CC0674">
              <w:rPr>
                <w:rFonts w:ascii="Arial Narrow" w:hAnsi="Arial Narrow"/>
              </w:rPr>
              <w:t>13%</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605C5" w14:textId="77777777" w:rsidR="00CC0674" w:rsidRPr="00CC0674" w:rsidRDefault="00CC0674" w:rsidP="00891BEC">
            <w:pPr>
              <w:keepNext/>
              <w:spacing w:before="40"/>
              <w:jc w:val="center"/>
              <w:rPr>
                <w:rFonts w:ascii="Arial Narrow" w:hAnsi="Arial Narrow"/>
              </w:rPr>
            </w:pPr>
            <w:r w:rsidRPr="00CC0674">
              <w:rPr>
                <w:rFonts w:ascii="Arial Narrow" w:hAnsi="Arial Narrow"/>
              </w:rPr>
              <w:t>17%</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tcPr>
          <w:p w14:paraId="72C836B2" w14:textId="77777777" w:rsidR="00CC0674" w:rsidRPr="00CC0674" w:rsidRDefault="00CC0674" w:rsidP="00891BEC">
            <w:pPr>
              <w:keepNext/>
              <w:spacing w:before="40"/>
              <w:jc w:val="center"/>
              <w:rPr>
                <w:rFonts w:ascii="Arial Narrow" w:hAnsi="Arial Narrow"/>
              </w:rPr>
            </w:pPr>
            <w:r w:rsidRPr="00CC0674">
              <w:rPr>
                <w:rFonts w:ascii="Arial Narrow" w:hAnsi="Arial Narrow"/>
              </w:rPr>
              <w:t>22%</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tcPr>
          <w:p w14:paraId="05E74C98" w14:textId="77777777" w:rsidR="00CC0674" w:rsidRPr="00CC0674" w:rsidRDefault="00CC0674" w:rsidP="00891BEC">
            <w:pPr>
              <w:keepNext/>
              <w:spacing w:before="40"/>
              <w:jc w:val="center"/>
              <w:rPr>
                <w:rFonts w:ascii="Arial Narrow" w:hAnsi="Arial Narrow"/>
              </w:rPr>
            </w:pPr>
            <w:r w:rsidRPr="00CC0674">
              <w:rPr>
                <w:rFonts w:ascii="Arial Narrow" w:hAnsi="Arial Narrow"/>
              </w:rPr>
              <w:t>29%</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tcPr>
          <w:p w14:paraId="15721580" w14:textId="77777777" w:rsidR="00CC0674" w:rsidRPr="00CC0674" w:rsidRDefault="00CC0674" w:rsidP="00891BEC">
            <w:pPr>
              <w:keepNext/>
              <w:spacing w:before="40"/>
              <w:jc w:val="center"/>
              <w:rPr>
                <w:rFonts w:ascii="Arial Narrow" w:hAnsi="Arial Narrow"/>
              </w:rPr>
            </w:pPr>
            <w:r w:rsidRPr="00CC0674">
              <w:rPr>
                <w:rFonts w:ascii="Arial Narrow" w:hAnsi="Arial Narrow"/>
              </w:rPr>
              <w:t>39%</w:t>
            </w:r>
          </w:p>
        </w:tc>
      </w:tr>
      <w:tr w:rsidR="00CC0674" w:rsidRPr="00CC0674" w14:paraId="4E4EF277" w14:textId="77777777" w:rsidTr="003A6CC7">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912A61" w14:textId="77777777" w:rsidR="00CC0674" w:rsidRPr="00CC0674" w:rsidRDefault="00CC0674" w:rsidP="00CC0674">
            <w:pPr>
              <w:keepNext/>
              <w:spacing w:before="40"/>
              <w:rPr>
                <w:rFonts w:ascii="Arial Narrow" w:hAnsi="Arial Narrow"/>
                <w:vertAlign w:val="superscript"/>
              </w:rPr>
            </w:pPr>
            <w:r w:rsidRPr="00CC0674">
              <w:rPr>
                <w:rFonts w:ascii="Arial Narrow" w:hAnsi="Arial Narrow"/>
              </w:rPr>
              <w:t xml:space="preserve">POCPS services </w:t>
            </w:r>
            <w:r w:rsidRPr="00CC0674">
              <w:rPr>
                <w:rFonts w:ascii="Arial Narrow" w:hAnsi="Arial Narrow"/>
                <w:vertAlign w:val="superscript"/>
              </w:rPr>
              <w:t>b</w:t>
            </w:r>
          </w:p>
        </w:tc>
        <w:tc>
          <w:tcPr>
            <w:tcW w:w="1001" w:type="dxa"/>
            <w:tcBorders>
              <w:top w:val="nil"/>
              <w:left w:val="nil"/>
              <w:bottom w:val="single" w:sz="8" w:space="0" w:color="auto"/>
              <w:right w:val="single" w:sz="8" w:space="0" w:color="auto"/>
            </w:tcBorders>
            <w:tcMar>
              <w:top w:w="0" w:type="dxa"/>
              <w:left w:w="108" w:type="dxa"/>
              <w:bottom w:w="0" w:type="dxa"/>
              <w:right w:w="108" w:type="dxa"/>
            </w:tcMar>
          </w:tcPr>
          <w:p w14:paraId="3B13B9D5" w14:textId="77777777" w:rsidR="00CC0674" w:rsidRPr="00CC0674" w:rsidRDefault="00CC0674" w:rsidP="00CC0674">
            <w:pPr>
              <w:keepNext/>
              <w:spacing w:before="40"/>
              <w:jc w:val="center"/>
              <w:rPr>
                <w:rFonts w:ascii="Arial Narrow" w:hAnsi="Arial Narrow"/>
              </w:rPr>
            </w:pPr>
            <w:r w:rsidRPr="00CC0674">
              <w:rPr>
                <w:rFonts w:ascii="Arial Narrow" w:hAnsi="Arial Narrow"/>
              </w:rPr>
              <w:t>78</w:t>
            </w:r>
          </w:p>
        </w:tc>
        <w:tc>
          <w:tcPr>
            <w:tcW w:w="1154" w:type="dxa"/>
            <w:tcBorders>
              <w:top w:val="nil"/>
              <w:left w:val="nil"/>
              <w:bottom w:val="single" w:sz="8" w:space="0" w:color="auto"/>
              <w:right w:val="single" w:sz="8" w:space="0" w:color="auto"/>
            </w:tcBorders>
            <w:tcMar>
              <w:top w:w="0" w:type="dxa"/>
              <w:left w:w="108" w:type="dxa"/>
              <w:bottom w:w="0" w:type="dxa"/>
              <w:right w:w="108" w:type="dxa"/>
            </w:tcMar>
          </w:tcPr>
          <w:p w14:paraId="7ECCFE1C" w14:textId="77777777" w:rsidR="00CC0674" w:rsidRPr="00CC0674" w:rsidRDefault="00CC0674" w:rsidP="00CC0674">
            <w:pPr>
              <w:keepNext/>
              <w:spacing w:before="40"/>
              <w:jc w:val="center"/>
              <w:rPr>
                <w:rFonts w:ascii="Arial Narrow" w:hAnsi="Arial Narrow"/>
              </w:rPr>
            </w:pPr>
            <w:r w:rsidRPr="00CC0674">
              <w:rPr>
                <w:rFonts w:ascii="Arial Narrow" w:hAnsi="Arial Narrow"/>
              </w:rPr>
              <w:t>105</w:t>
            </w:r>
          </w:p>
        </w:tc>
        <w:tc>
          <w:tcPr>
            <w:tcW w:w="1111" w:type="dxa"/>
            <w:tcBorders>
              <w:top w:val="nil"/>
              <w:left w:val="nil"/>
              <w:bottom w:val="single" w:sz="8" w:space="0" w:color="auto"/>
              <w:right w:val="single" w:sz="8" w:space="0" w:color="auto"/>
            </w:tcBorders>
            <w:tcMar>
              <w:top w:w="0" w:type="dxa"/>
              <w:left w:w="108" w:type="dxa"/>
              <w:bottom w:w="0" w:type="dxa"/>
              <w:right w:w="108" w:type="dxa"/>
            </w:tcMar>
          </w:tcPr>
          <w:p w14:paraId="193D814B" w14:textId="77777777" w:rsidR="00CC0674" w:rsidRPr="00CC0674" w:rsidRDefault="00CC0674" w:rsidP="00CC0674">
            <w:pPr>
              <w:keepNext/>
              <w:spacing w:before="40"/>
              <w:jc w:val="center"/>
              <w:rPr>
                <w:rFonts w:ascii="Arial Narrow" w:hAnsi="Arial Narrow"/>
              </w:rPr>
            </w:pPr>
            <w:r w:rsidRPr="00CC0674">
              <w:rPr>
                <w:rFonts w:ascii="Arial Narrow" w:hAnsi="Arial Narrow"/>
              </w:rPr>
              <w:t>143</w:t>
            </w:r>
          </w:p>
        </w:tc>
        <w:tc>
          <w:tcPr>
            <w:tcW w:w="1220" w:type="dxa"/>
            <w:tcBorders>
              <w:top w:val="nil"/>
              <w:left w:val="nil"/>
              <w:bottom w:val="single" w:sz="8" w:space="0" w:color="auto"/>
              <w:right w:val="single" w:sz="8" w:space="0" w:color="auto"/>
            </w:tcBorders>
            <w:tcMar>
              <w:top w:w="0" w:type="dxa"/>
              <w:left w:w="108" w:type="dxa"/>
              <w:bottom w:w="0" w:type="dxa"/>
              <w:right w:w="108" w:type="dxa"/>
            </w:tcMar>
          </w:tcPr>
          <w:p w14:paraId="6795DD4E" w14:textId="77777777" w:rsidR="00CC0674" w:rsidRPr="00CC0674" w:rsidRDefault="00CC0674" w:rsidP="00CC0674">
            <w:pPr>
              <w:keepNext/>
              <w:spacing w:before="40"/>
              <w:jc w:val="center"/>
              <w:rPr>
                <w:rFonts w:ascii="Arial Narrow" w:hAnsi="Arial Narrow"/>
              </w:rPr>
            </w:pPr>
            <w:r w:rsidRPr="00CC0674">
              <w:rPr>
                <w:rFonts w:ascii="Arial Narrow" w:hAnsi="Arial Narrow"/>
              </w:rPr>
              <w:t>195</w:t>
            </w:r>
          </w:p>
        </w:tc>
        <w:tc>
          <w:tcPr>
            <w:tcW w:w="1131" w:type="dxa"/>
            <w:tcBorders>
              <w:top w:val="nil"/>
              <w:left w:val="nil"/>
              <w:bottom w:val="single" w:sz="8" w:space="0" w:color="auto"/>
              <w:right w:val="single" w:sz="8" w:space="0" w:color="auto"/>
            </w:tcBorders>
            <w:tcMar>
              <w:top w:w="0" w:type="dxa"/>
              <w:left w:w="108" w:type="dxa"/>
              <w:bottom w:w="0" w:type="dxa"/>
              <w:right w:w="108" w:type="dxa"/>
            </w:tcMar>
          </w:tcPr>
          <w:p w14:paraId="7B57E8FA" w14:textId="77777777" w:rsidR="00CC0674" w:rsidRPr="00CC0674" w:rsidRDefault="00CC0674" w:rsidP="00CC0674">
            <w:pPr>
              <w:keepNext/>
              <w:spacing w:before="40"/>
              <w:jc w:val="center"/>
              <w:rPr>
                <w:rFonts w:ascii="Arial Narrow" w:hAnsi="Arial Narrow"/>
              </w:rPr>
            </w:pPr>
            <w:r w:rsidRPr="00CC0674">
              <w:rPr>
                <w:rFonts w:ascii="Arial Narrow" w:hAnsi="Arial Narrow"/>
              </w:rPr>
              <w:t>264</w:t>
            </w:r>
          </w:p>
        </w:tc>
        <w:tc>
          <w:tcPr>
            <w:tcW w:w="1131" w:type="dxa"/>
            <w:tcBorders>
              <w:top w:val="nil"/>
              <w:left w:val="nil"/>
              <w:bottom w:val="single" w:sz="8" w:space="0" w:color="auto"/>
              <w:right w:val="single" w:sz="8" w:space="0" w:color="auto"/>
            </w:tcBorders>
            <w:tcMar>
              <w:top w:w="0" w:type="dxa"/>
              <w:left w:w="108" w:type="dxa"/>
              <w:bottom w:w="0" w:type="dxa"/>
              <w:right w:w="108" w:type="dxa"/>
            </w:tcMar>
          </w:tcPr>
          <w:p w14:paraId="7691B162" w14:textId="77777777" w:rsidR="00CC0674" w:rsidRPr="00CC0674" w:rsidRDefault="00CC0674" w:rsidP="00CC0674">
            <w:pPr>
              <w:keepNext/>
              <w:spacing w:before="40"/>
              <w:jc w:val="center"/>
              <w:rPr>
                <w:rFonts w:ascii="Arial Narrow" w:hAnsi="Arial Narrow"/>
              </w:rPr>
            </w:pPr>
            <w:r w:rsidRPr="00CC0674">
              <w:rPr>
                <w:rFonts w:ascii="Arial Narrow" w:hAnsi="Arial Narrow"/>
              </w:rPr>
              <w:t>359</w:t>
            </w:r>
          </w:p>
        </w:tc>
      </w:tr>
      <w:tr w:rsidR="00CC0674" w:rsidRPr="00CC0674" w14:paraId="519F5EE0" w14:textId="77777777" w:rsidTr="003A6CC7">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B88E6E" w14:textId="77777777" w:rsidR="00CC0674" w:rsidRPr="00CC0674" w:rsidRDefault="00CC0674" w:rsidP="00CC0674">
            <w:pPr>
              <w:keepNext/>
              <w:spacing w:before="40"/>
              <w:rPr>
                <w:rFonts w:ascii="Arial Narrow" w:hAnsi="Arial Narrow"/>
              </w:rPr>
            </w:pPr>
            <w:r w:rsidRPr="00CC0674">
              <w:rPr>
                <w:rFonts w:ascii="Arial Narrow" w:hAnsi="Arial Narrow"/>
              </w:rPr>
              <w:t>Cost to the MBS</w:t>
            </w:r>
          </w:p>
        </w:tc>
        <w:tc>
          <w:tcPr>
            <w:tcW w:w="1001" w:type="dxa"/>
            <w:tcBorders>
              <w:top w:val="nil"/>
              <w:left w:val="nil"/>
              <w:bottom w:val="single" w:sz="8" w:space="0" w:color="auto"/>
              <w:right w:val="single" w:sz="8" w:space="0" w:color="auto"/>
            </w:tcBorders>
            <w:tcMar>
              <w:top w:w="0" w:type="dxa"/>
              <w:left w:w="108" w:type="dxa"/>
              <w:bottom w:w="0" w:type="dxa"/>
              <w:right w:w="108" w:type="dxa"/>
            </w:tcMar>
          </w:tcPr>
          <w:p w14:paraId="543CEB93" w14:textId="77777777" w:rsidR="00CC0674" w:rsidRPr="00CC0674" w:rsidRDefault="00CC0674" w:rsidP="00CC0674">
            <w:pPr>
              <w:keepNext/>
              <w:spacing w:before="40"/>
              <w:jc w:val="center"/>
              <w:rPr>
                <w:rFonts w:ascii="Arial Narrow" w:hAnsi="Arial Narrow"/>
              </w:rPr>
            </w:pPr>
            <w:r w:rsidRPr="00CC0674">
              <w:rPr>
                <w:rFonts w:ascii="Arial Narrow" w:hAnsi="Arial Narrow"/>
              </w:rPr>
              <w:t>$55,309</w:t>
            </w:r>
          </w:p>
        </w:tc>
        <w:tc>
          <w:tcPr>
            <w:tcW w:w="1154" w:type="dxa"/>
            <w:tcBorders>
              <w:top w:val="nil"/>
              <w:left w:val="nil"/>
              <w:bottom w:val="single" w:sz="8" w:space="0" w:color="auto"/>
              <w:right w:val="single" w:sz="8" w:space="0" w:color="auto"/>
            </w:tcBorders>
            <w:tcMar>
              <w:top w:w="0" w:type="dxa"/>
              <w:left w:w="108" w:type="dxa"/>
              <w:bottom w:w="0" w:type="dxa"/>
              <w:right w:w="108" w:type="dxa"/>
            </w:tcMar>
          </w:tcPr>
          <w:p w14:paraId="40264988" w14:textId="77777777" w:rsidR="00CC0674" w:rsidRPr="00CC0674" w:rsidRDefault="00CC0674" w:rsidP="00CC0674">
            <w:pPr>
              <w:keepNext/>
              <w:spacing w:before="40"/>
              <w:jc w:val="center"/>
              <w:rPr>
                <w:rFonts w:ascii="Arial Narrow" w:hAnsi="Arial Narrow"/>
              </w:rPr>
            </w:pPr>
            <w:r w:rsidRPr="00CC0674">
              <w:rPr>
                <w:rFonts w:ascii="Arial Narrow" w:hAnsi="Arial Narrow"/>
              </w:rPr>
              <w:t>$75,163</w:t>
            </w:r>
          </w:p>
        </w:tc>
        <w:tc>
          <w:tcPr>
            <w:tcW w:w="1111" w:type="dxa"/>
            <w:tcBorders>
              <w:top w:val="nil"/>
              <w:left w:val="nil"/>
              <w:bottom w:val="single" w:sz="8" w:space="0" w:color="auto"/>
              <w:right w:val="single" w:sz="8" w:space="0" w:color="auto"/>
            </w:tcBorders>
            <w:tcMar>
              <w:top w:w="0" w:type="dxa"/>
              <w:left w:w="108" w:type="dxa"/>
              <w:bottom w:w="0" w:type="dxa"/>
              <w:right w:w="108" w:type="dxa"/>
            </w:tcMar>
          </w:tcPr>
          <w:p w14:paraId="17DFCC29" w14:textId="77777777" w:rsidR="00CC0674" w:rsidRPr="00CC0674" w:rsidRDefault="00CC0674" w:rsidP="00CC0674">
            <w:pPr>
              <w:keepNext/>
              <w:spacing w:before="40"/>
              <w:jc w:val="center"/>
              <w:rPr>
                <w:rFonts w:ascii="Arial Narrow" w:hAnsi="Arial Narrow"/>
              </w:rPr>
            </w:pPr>
            <w:r w:rsidRPr="00CC0674">
              <w:rPr>
                <w:rFonts w:ascii="Arial Narrow" w:hAnsi="Arial Narrow"/>
              </w:rPr>
              <w:t>$102,143</w:t>
            </w:r>
          </w:p>
        </w:tc>
        <w:tc>
          <w:tcPr>
            <w:tcW w:w="1220" w:type="dxa"/>
            <w:tcBorders>
              <w:top w:val="nil"/>
              <w:left w:val="nil"/>
              <w:bottom w:val="single" w:sz="8" w:space="0" w:color="auto"/>
              <w:right w:val="single" w:sz="8" w:space="0" w:color="auto"/>
            </w:tcBorders>
            <w:tcMar>
              <w:top w:w="0" w:type="dxa"/>
              <w:left w:w="108" w:type="dxa"/>
              <w:bottom w:w="0" w:type="dxa"/>
              <w:right w:w="108" w:type="dxa"/>
            </w:tcMar>
          </w:tcPr>
          <w:p w14:paraId="7FA80DFE" w14:textId="77777777" w:rsidR="00CC0674" w:rsidRPr="00CC0674" w:rsidRDefault="00CC0674" w:rsidP="00CC0674">
            <w:pPr>
              <w:keepNext/>
              <w:spacing w:before="40"/>
              <w:jc w:val="center"/>
              <w:rPr>
                <w:rFonts w:ascii="Arial Narrow" w:hAnsi="Arial Narrow"/>
              </w:rPr>
            </w:pPr>
            <w:r w:rsidRPr="00CC0674">
              <w:rPr>
                <w:rFonts w:ascii="Arial Narrow" w:hAnsi="Arial Narrow"/>
              </w:rPr>
              <w:t>$138,809</w:t>
            </w:r>
          </w:p>
        </w:tc>
        <w:tc>
          <w:tcPr>
            <w:tcW w:w="1131" w:type="dxa"/>
            <w:tcBorders>
              <w:top w:val="nil"/>
              <w:left w:val="nil"/>
              <w:bottom w:val="single" w:sz="8" w:space="0" w:color="auto"/>
              <w:right w:val="single" w:sz="8" w:space="0" w:color="auto"/>
            </w:tcBorders>
            <w:tcMar>
              <w:top w:w="0" w:type="dxa"/>
              <w:left w:w="108" w:type="dxa"/>
              <w:bottom w:w="0" w:type="dxa"/>
              <w:right w:w="108" w:type="dxa"/>
            </w:tcMar>
          </w:tcPr>
          <w:p w14:paraId="6D2DC5F4" w14:textId="77777777" w:rsidR="00CC0674" w:rsidRPr="00CC0674" w:rsidRDefault="00CC0674" w:rsidP="00CC0674">
            <w:pPr>
              <w:keepNext/>
              <w:spacing w:before="40"/>
              <w:jc w:val="center"/>
              <w:rPr>
                <w:rFonts w:ascii="Arial Narrow" w:hAnsi="Arial Narrow"/>
              </w:rPr>
            </w:pPr>
            <w:r w:rsidRPr="00CC0674">
              <w:rPr>
                <w:rFonts w:ascii="Arial Narrow" w:hAnsi="Arial Narrow"/>
              </w:rPr>
              <w:t>$188,637</w:t>
            </w:r>
          </w:p>
        </w:tc>
        <w:tc>
          <w:tcPr>
            <w:tcW w:w="1131" w:type="dxa"/>
            <w:tcBorders>
              <w:top w:val="nil"/>
              <w:left w:val="nil"/>
              <w:bottom w:val="single" w:sz="8" w:space="0" w:color="auto"/>
              <w:right w:val="single" w:sz="8" w:space="0" w:color="auto"/>
            </w:tcBorders>
            <w:tcMar>
              <w:top w:w="0" w:type="dxa"/>
              <w:left w:w="108" w:type="dxa"/>
              <w:bottom w:w="0" w:type="dxa"/>
              <w:right w:w="108" w:type="dxa"/>
            </w:tcMar>
          </w:tcPr>
          <w:p w14:paraId="10100513" w14:textId="77777777" w:rsidR="00CC0674" w:rsidRPr="00CC0674" w:rsidRDefault="00CC0674" w:rsidP="00CC0674">
            <w:pPr>
              <w:keepNext/>
              <w:spacing w:before="40"/>
              <w:jc w:val="center"/>
              <w:rPr>
                <w:rFonts w:ascii="Arial Narrow" w:hAnsi="Arial Narrow"/>
              </w:rPr>
            </w:pPr>
            <w:r w:rsidRPr="00CC0674">
              <w:rPr>
                <w:rFonts w:ascii="Arial Narrow" w:hAnsi="Arial Narrow"/>
              </w:rPr>
              <w:t>$256,351</w:t>
            </w:r>
          </w:p>
        </w:tc>
      </w:tr>
      <w:tr w:rsidR="00CC0674" w:rsidRPr="00CC0674" w14:paraId="41C4C0D9" w14:textId="77777777" w:rsidTr="003A6CC7">
        <w:tc>
          <w:tcPr>
            <w:tcW w:w="0" w:type="auto"/>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07A152" w14:textId="77777777" w:rsidR="00CC0674" w:rsidRPr="00CC0674" w:rsidRDefault="00CC0674" w:rsidP="00CC0674">
            <w:pPr>
              <w:keepNext/>
              <w:spacing w:before="40"/>
              <w:rPr>
                <w:rFonts w:ascii="Arial Narrow" w:hAnsi="Arial Narrow"/>
                <w:b/>
                <w:bCs/>
              </w:rPr>
            </w:pPr>
            <w:r w:rsidRPr="00CC0674">
              <w:rPr>
                <w:rFonts w:ascii="Arial Narrow" w:hAnsi="Arial Narrow"/>
                <w:b/>
                <w:bCs/>
              </w:rPr>
              <w:t>Change in use and cost of other health technologies</w:t>
            </w:r>
          </w:p>
        </w:tc>
      </w:tr>
      <w:tr w:rsidR="00CC0674" w:rsidRPr="00CC0674" w14:paraId="753E9EBE" w14:textId="77777777" w:rsidTr="003A6CC7">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71A8D" w14:textId="77777777" w:rsidR="00CC0674" w:rsidRPr="00CC0674" w:rsidRDefault="00CC0674" w:rsidP="00CC0674">
            <w:pPr>
              <w:keepNext/>
              <w:spacing w:before="40"/>
              <w:rPr>
                <w:rFonts w:ascii="Arial Narrow" w:hAnsi="Arial Narrow"/>
                <w:vertAlign w:val="superscript"/>
              </w:rPr>
            </w:pPr>
            <w:r w:rsidRPr="00CC0674">
              <w:rPr>
                <w:rFonts w:ascii="Arial Narrow" w:hAnsi="Arial Narrow"/>
              </w:rPr>
              <w:t xml:space="preserve">Change in use of ERCP </w:t>
            </w:r>
            <w:r w:rsidRPr="00CC0674">
              <w:rPr>
                <w:rFonts w:ascii="Arial Narrow" w:hAnsi="Arial Narrow"/>
                <w:vertAlign w:val="superscript"/>
              </w:rPr>
              <w:t>c</w:t>
            </w:r>
          </w:p>
        </w:tc>
        <w:tc>
          <w:tcPr>
            <w:tcW w:w="1001" w:type="dxa"/>
            <w:tcBorders>
              <w:top w:val="nil"/>
              <w:left w:val="nil"/>
              <w:bottom w:val="single" w:sz="8" w:space="0" w:color="auto"/>
              <w:right w:val="single" w:sz="8" w:space="0" w:color="auto"/>
            </w:tcBorders>
            <w:tcMar>
              <w:top w:w="0" w:type="dxa"/>
              <w:left w:w="108" w:type="dxa"/>
              <w:bottom w:w="0" w:type="dxa"/>
              <w:right w:w="108" w:type="dxa"/>
            </w:tcMar>
          </w:tcPr>
          <w:p w14:paraId="5B326545" w14:textId="77777777" w:rsidR="00CC0674" w:rsidRPr="00CC0674" w:rsidRDefault="00CC0674" w:rsidP="00CC0674">
            <w:pPr>
              <w:keepNext/>
              <w:spacing w:before="40"/>
              <w:jc w:val="center"/>
              <w:rPr>
                <w:rFonts w:ascii="Arial Narrow" w:hAnsi="Arial Narrow"/>
              </w:rPr>
            </w:pPr>
            <w:r w:rsidRPr="00CC0674">
              <w:rPr>
                <w:rFonts w:ascii="Arial Narrow" w:hAnsi="Arial Narrow"/>
              </w:rPr>
              <w:t>-71</w:t>
            </w:r>
          </w:p>
        </w:tc>
        <w:tc>
          <w:tcPr>
            <w:tcW w:w="1154" w:type="dxa"/>
            <w:tcBorders>
              <w:top w:val="nil"/>
              <w:left w:val="nil"/>
              <w:bottom w:val="single" w:sz="8" w:space="0" w:color="auto"/>
              <w:right w:val="single" w:sz="8" w:space="0" w:color="auto"/>
            </w:tcBorders>
            <w:tcMar>
              <w:top w:w="0" w:type="dxa"/>
              <w:left w:w="108" w:type="dxa"/>
              <w:bottom w:w="0" w:type="dxa"/>
              <w:right w:w="108" w:type="dxa"/>
            </w:tcMar>
          </w:tcPr>
          <w:p w14:paraId="3763DDEF" w14:textId="77777777" w:rsidR="00CC0674" w:rsidRPr="00CC0674" w:rsidRDefault="00CC0674" w:rsidP="00CC0674">
            <w:pPr>
              <w:keepNext/>
              <w:spacing w:before="40"/>
              <w:jc w:val="center"/>
              <w:rPr>
                <w:rFonts w:ascii="Arial Narrow" w:hAnsi="Arial Narrow"/>
              </w:rPr>
            </w:pPr>
            <w:r w:rsidRPr="00CC0674">
              <w:rPr>
                <w:rFonts w:ascii="Arial Narrow" w:hAnsi="Arial Narrow"/>
              </w:rPr>
              <w:t>-97</w:t>
            </w:r>
          </w:p>
        </w:tc>
        <w:tc>
          <w:tcPr>
            <w:tcW w:w="1111" w:type="dxa"/>
            <w:tcBorders>
              <w:top w:val="nil"/>
              <w:left w:val="nil"/>
              <w:bottom w:val="single" w:sz="8" w:space="0" w:color="auto"/>
              <w:right w:val="single" w:sz="8" w:space="0" w:color="auto"/>
            </w:tcBorders>
            <w:tcMar>
              <w:top w:w="0" w:type="dxa"/>
              <w:left w:w="108" w:type="dxa"/>
              <w:bottom w:w="0" w:type="dxa"/>
              <w:right w:w="108" w:type="dxa"/>
            </w:tcMar>
          </w:tcPr>
          <w:p w14:paraId="0D45F9D0" w14:textId="77777777" w:rsidR="00CC0674" w:rsidRPr="00CC0674" w:rsidRDefault="00CC0674" w:rsidP="00CC0674">
            <w:pPr>
              <w:keepNext/>
              <w:spacing w:before="40"/>
              <w:jc w:val="center"/>
              <w:rPr>
                <w:rFonts w:ascii="Arial Narrow" w:hAnsi="Arial Narrow"/>
              </w:rPr>
            </w:pPr>
            <w:r w:rsidRPr="00CC0674">
              <w:rPr>
                <w:rFonts w:ascii="Arial Narrow" w:hAnsi="Arial Narrow"/>
              </w:rPr>
              <w:t>-132</w:t>
            </w:r>
          </w:p>
        </w:tc>
        <w:tc>
          <w:tcPr>
            <w:tcW w:w="1220" w:type="dxa"/>
            <w:tcBorders>
              <w:top w:val="nil"/>
              <w:left w:val="nil"/>
              <w:bottom w:val="single" w:sz="8" w:space="0" w:color="auto"/>
              <w:right w:val="single" w:sz="8" w:space="0" w:color="auto"/>
            </w:tcBorders>
            <w:tcMar>
              <w:top w:w="0" w:type="dxa"/>
              <w:left w:w="108" w:type="dxa"/>
              <w:bottom w:w="0" w:type="dxa"/>
              <w:right w:w="108" w:type="dxa"/>
            </w:tcMar>
          </w:tcPr>
          <w:p w14:paraId="508D47D3" w14:textId="77777777" w:rsidR="00CC0674" w:rsidRPr="00CC0674" w:rsidRDefault="00CC0674" w:rsidP="00CC0674">
            <w:pPr>
              <w:keepNext/>
              <w:spacing w:before="40"/>
              <w:jc w:val="center"/>
              <w:rPr>
                <w:rFonts w:ascii="Arial Narrow" w:hAnsi="Arial Narrow"/>
              </w:rPr>
            </w:pPr>
            <w:r w:rsidRPr="00CC0674">
              <w:rPr>
                <w:rFonts w:ascii="Arial Narrow" w:hAnsi="Arial Narrow"/>
              </w:rPr>
              <w:t>-179</w:t>
            </w:r>
          </w:p>
        </w:tc>
        <w:tc>
          <w:tcPr>
            <w:tcW w:w="1131" w:type="dxa"/>
            <w:tcBorders>
              <w:top w:val="nil"/>
              <w:left w:val="nil"/>
              <w:bottom w:val="single" w:sz="8" w:space="0" w:color="auto"/>
              <w:right w:val="single" w:sz="8" w:space="0" w:color="auto"/>
            </w:tcBorders>
            <w:tcMar>
              <w:top w:w="0" w:type="dxa"/>
              <w:left w:w="108" w:type="dxa"/>
              <w:bottom w:w="0" w:type="dxa"/>
              <w:right w:w="108" w:type="dxa"/>
            </w:tcMar>
          </w:tcPr>
          <w:p w14:paraId="57094A62" w14:textId="77777777" w:rsidR="00CC0674" w:rsidRPr="00CC0674" w:rsidRDefault="00CC0674" w:rsidP="00CC0674">
            <w:pPr>
              <w:keepNext/>
              <w:spacing w:before="40"/>
              <w:jc w:val="center"/>
              <w:rPr>
                <w:rFonts w:ascii="Arial Narrow" w:hAnsi="Arial Narrow"/>
              </w:rPr>
            </w:pPr>
            <w:r w:rsidRPr="00CC0674">
              <w:rPr>
                <w:rFonts w:ascii="Arial Narrow" w:hAnsi="Arial Narrow"/>
              </w:rPr>
              <w:t>-244</w:t>
            </w:r>
          </w:p>
        </w:tc>
        <w:tc>
          <w:tcPr>
            <w:tcW w:w="1131" w:type="dxa"/>
            <w:tcBorders>
              <w:top w:val="nil"/>
              <w:left w:val="nil"/>
              <w:bottom w:val="single" w:sz="8" w:space="0" w:color="auto"/>
              <w:right w:val="single" w:sz="8" w:space="0" w:color="auto"/>
            </w:tcBorders>
            <w:tcMar>
              <w:top w:w="0" w:type="dxa"/>
              <w:left w:w="108" w:type="dxa"/>
              <w:bottom w:w="0" w:type="dxa"/>
              <w:right w:w="108" w:type="dxa"/>
            </w:tcMar>
          </w:tcPr>
          <w:p w14:paraId="1A777E8D" w14:textId="77777777" w:rsidR="00CC0674" w:rsidRPr="00CC0674" w:rsidRDefault="00CC0674" w:rsidP="00CC0674">
            <w:pPr>
              <w:keepNext/>
              <w:spacing w:before="40"/>
              <w:jc w:val="center"/>
              <w:rPr>
                <w:rFonts w:ascii="Arial Narrow" w:hAnsi="Arial Narrow"/>
              </w:rPr>
            </w:pPr>
            <w:r w:rsidRPr="00CC0674">
              <w:rPr>
                <w:rFonts w:ascii="Arial Narrow" w:hAnsi="Arial Narrow"/>
              </w:rPr>
              <w:t>-331</w:t>
            </w:r>
          </w:p>
        </w:tc>
      </w:tr>
      <w:tr w:rsidR="00CC0674" w:rsidRPr="00CC0674" w14:paraId="5E2AD310" w14:textId="77777777" w:rsidTr="003A6CC7">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5CCFB6" w14:textId="77777777" w:rsidR="00CC0674" w:rsidRPr="00CC0674" w:rsidRDefault="00CC0674" w:rsidP="00CC0674">
            <w:pPr>
              <w:keepNext/>
              <w:spacing w:before="40"/>
              <w:rPr>
                <w:rFonts w:ascii="Arial Narrow" w:hAnsi="Arial Narrow"/>
              </w:rPr>
            </w:pPr>
            <w:r w:rsidRPr="00CC0674">
              <w:rPr>
                <w:rFonts w:ascii="Arial Narrow" w:hAnsi="Arial Narrow"/>
              </w:rPr>
              <w:t xml:space="preserve">Change in surgery </w:t>
            </w:r>
          </w:p>
        </w:tc>
        <w:tc>
          <w:tcPr>
            <w:tcW w:w="1001" w:type="dxa"/>
            <w:tcBorders>
              <w:top w:val="nil"/>
              <w:left w:val="nil"/>
              <w:bottom w:val="single" w:sz="8" w:space="0" w:color="auto"/>
              <w:right w:val="single" w:sz="8" w:space="0" w:color="auto"/>
            </w:tcBorders>
            <w:tcMar>
              <w:top w:w="0" w:type="dxa"/>
              <w:left w:w="108" w:type="dxa"/>
              <w:bottom w:w="0" w:type="dxa"/>
              <w:right w:w="108" w:type="dxa"/>
            </w:tcMar>
          </w:tcPr>
          <w:p w14:paraId="49998083" w14:textId="77777777" w:rsidR="00CC0674" w:rsidRPr="00CC0674" w:rsidRDefault="00CC0674" w:rsidP="00CC0674">
            <w:pPr>
              <w:keepNext/>
              <w:spacing w:before="40"/>
              <w:jc w:val="center"/>
              <w:rPr>
                <w:rFonts w:ascii="Arial Narrow" w:hAnsi="Arial Narrow"/>
              </w:rPr>
            </w:pPr>
            <w:r w:rsidRPr="00CC0674">
              <w:rPr>
                <w:rFonts w:ascii="Arial Narrow" w:hAnsi="Arial Narrow"/>
              </w:rPr>
              <w:t>-14</w:t>
            </w:r>
          </w:p>
        </w:tc>
        <w:tc>
          <w:tcPr>
            <w:tcW w:w="1154" w:type="dxa"/>
            <w:tcBorders>
              <w:top w:val="nil"/>
              <w:left w:val="nil"/>
              <w:bottom w:val="single" w:sz="8" w:space="0" w:color="auto"/>
              <w:right w:val="single" w:sz="8" w:space="0" w:color="auto"/>
            </w:tcBorders>
            <w:tcMar>
              <w:top w:w="0" w:type="dxa"/>
              <w:left w:w="108" w:type="dxa"/>
              <w:bottom w:w="0" w:type="dxa"/>
              <w:right w:w="108" w:type="dxa"/>
            </w:tcMar>
          </w:tcPr>
          <w:p w14:paraId="20E4041F" w14:textId="77777777" w:rsidR="00CC0674" w:rsidRPr="00CC0674" w:rsidRDefault="00CC0674" w:rsidP="00CC0674">
            <w:pPr>
              <w:keepNext/>
              <w:spacing w:before="40"/>
              <w:jc w:val="center"/>
              <w:rPr>
                <w:rFonts w:ascii="Arial Narrow" w:hAnsi="Arial Narrow"/>
              </w:rPr>
            </w:pPr>
            <w:r w:rsidRPr="00CC0674">
              <w:rPr>
                <w:rFonts w:ascii="Arial Narrow" w:hAnsi="Arial Narrow"/>
              </w:rPr>
              <w:t>-19</w:t>
            </w:r>
          </w:p>
        </w:tc>
        <w:tc>
          <w:tcPr>
            <w:tcW w:w="1111" w:type="dxa"/>
            <w:tcBorders>
              <w:top w:val="nil"/>
              <w:left w:val="nil"/>
              <w:bottom w:val="single" w:sz="8" w:space="0" w:color="auto"/>
              <w:right w:val="single" w:sz="8" w:space="0" w:color="auto"/>
            </w:tcBorders>
            <w:tcMar>
              <w:top w:w="0" w:type="dxa"/>
              <w:left w:w="108" w:type="dxa"/>
              <w:bottom w:w="0" w:type="dxa"/>
              <w:right w:w="108" w:type="dxa"/>
            </w:tcMar>
          </w:tcPr>
          <w:p w14:paraId="667EEDA1" w14:textId="77777777" w:rsidR="00CC0674" w:rsidRPr="00CC0674" w:rsidRDefault="00CC0674" w:rsidP="00CC0674">
            <w:pPr>
              <w:keepNext/>
              <w:spacing w:before="40"/>
              <w:jc w:val="center"/>
              <w:rPr>
                <w:rFonts w:ascii="Arial Narrow" w:hAnsi="Arial Narrow"/>
              </w:rPr>
            </w:pPr>
            <w:r w:rsidRPr="00CC0674">
              <w:rPr>
                <w:rFonts w:ascii="Arial Narrow" w:hAnsi="Arial Narrow"/>
              </w:rPr>
              <w:t>-25</w:t>
            </w:r>
          </w:p>
        </w:tc>
        <w:tc>
          <w:tcPr>
            <w:tcW w:w="1220" w:type="dxa"/>
            <w:tcBorders>
              <w:top w:val="nil"/>
              <w:left w:val="nil"/>
              <w:bottom w:val="single" w:sz="8" w:space="0" w:color="auto"/>
              <w:right w:val="single" w:sz="8" w:space="0" w:color="auto"/>
            </w:tcBorders>
            <w:tcMar>
              <w:top w:w="0" w:type="dxa"/>
              <w:left w:w="108" w:type="dxa"/>
              <w:bottom w:w="0" w:type="dxa"/>
              <w:right w:w="108" w:type="dxa"/>
            </w:tcMar>
          </w:tcPr>
          <w:p w14:paraId="2E6F278F" w14:textId="77777777" w:rsidR="00CC0674" w:rsidRPr="00CC0674" w:rsidRDefault="00CC0674" w:rsidP="00CC0674">
            <w:pPr>
              <w:keepNext/>
              <w:spacing w:before="40"/>
              <w:jc w:val="center"/>
              <w:rPr>
                <w:rFonts w:ascii="Arial Narrow" w:hAnsi="Arial Narrow"/>
              </w:rPr>
            </w:pPr>
            <w:r w:rsidRPr="00CC0674">
              <w:rPr>
                <w:rFonts w:ascii="Arial Narrow" w:hAnsi="Arial Narrow"/>
              </w:rPr>
              <w:t>-35</w:t>
            </w:r>
          </w:p>
        </w:tc>
        <w:tc>
          <w:tcPr>
            <w:tcW w:w="1131" w:type="dxa"/>
            <w:tcBorders>
              <w:top w:val="nil"/>
              <w:left w:val="nil"/>
              <w:bottom w:val="single" w:sz="8" w:space="0" w:color="auto"/>
              <w:right w:val="single" w:sz="8" w:space="0" w:color="auto"/>
            </w:tcBorders>
            <w:tcMar>
              <w:top w:w="0" w:type="dxa"/>
              <w:left w:w="108" w:type="dxa"/>
              <w:bottom w:w="0" w:type="dxa"/>
              <w:right w:w="108" w:type="dxa"/>
            </w:tcMar>
          </w:tcPr>
          <w:p w14:paraId="794D6C44" w14:textId="77777777" w:rsidR="00CC0674" w:rsidRPr="00CC0674" w:rsidRDefault="00CC0674" w:rsidP="00CC0674">
            <w:pPr>
              <w:keepNext/>
              <w:spacing w:before="40"/>
              <w:jc w:val="center"/>
              <w:rPr>
                <w:rFonts w:ascii="Arial Narrow" w:hAnsi="Arial Narrow"/>
              </w:rPr>
            </w:pPr>
            <w:r w:rsidRPr="00CC0674">
              <w:rPr>
                <w:rFonts w:ascii="Arial Narrow" w:hAnsi="Arial Narrow"/>
              </w:rPr>
              <w:t>-47</w:t>
            </w:r>
          </w:p>
        </w:tc>
        <w:tc>
          <w:tcPr>
            <w:tcW w:w="1131" w:type="dxa"/>
            <w:tcBorders>
              <w:top w:val="nil"/>
              <w:left w:val="nil"/>
              <w:bottom w:val="single" w:sz="8" w:space="0" w:color="auto"/>
              <w:right w:val="single" w:sz="8" w:space="0" w:color="auto"/>
            </w:tcBorders>
            <w:tcMar>
              <w:top w:w="0" w:type="dxa"/>
              <w:left w:w="108" w:type="dxa"/>
              <w:bottom w:w="0" w:type="dxa"/>
              <w:right w:w="108" w:type="dxa"/>
            </w:tcMar>
          </w:tcPr>
          <w:p w14:paraId="2A3F6C4F" w14:textId="77777777" w:rsidR="00CC0674" w:rsidRPr="00CC0674" w:rsidRDefault="00CC0674" w:rsidP="00CC0674">
            <w:pPr>
              <w:keepNext/>
              <w:spacing w:before="40"/>
              <w:jc w:val="center"/>
              <w:rPr>
                <w:rFonts w:ascii="Arial Narrow" w:hAnsi="Arial Narrow"/>
              </w:rPr>
            </w:pPr>
            <w:r w:rsidRPr="00CC0674">
              <w:rPr>
                <w:rFonts w:ascii="Arial Narrow" w:hAnsi="Arial Narrow"/>
              </w:rPr>
              <w:t>-64</w:t>
            </w:r>
          </w:p>
        </w:tc>
      </w:tr>
      <w:tr w:rsidR="00CC0674" w:rsidRPr="00CC0674" w14:paraId="7536C3F3" w14:textId="77777777" w:rsidTr="00891BEC">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EFE7C7" w14:textId="77777777" w:rsidR="00CC0674" w:rsidRPr="00CC0674" w:rsidRDefault="00CC0674" w:rsidP="00CC0674">
            <w:pPr>
              <w:keepNext/>
              <w:spacing w:before="40"/>
              <w:rPr>
                <w:rFonts w:ascii="Arial Narrow" w:hAnsi="Arial Narrow"/>
              </w:rPr>
            </w:pPr>
            <w:r w:rsidRPr="00CC0674">
              <w:rPr>
                <w:rFonts w:ascii="Arial Narrow" w:hAnsi="Arial Narrow"/>
              </w:rPr>
              <w:t>Change in conversions to surgery</w:t>
            </w:r>
          </w:p>
        </w:tc>
        <w:tc>
          <w:tcPr>
            <w:tcW w:w="1001" w:type="dxa"/>
            <w:tcBorders>
              <w:top w:val="nil"/>
              <w:left w:val="nil"/>
              <w:bottom w:val="single" w:sz="8" w:space="0" w:color="auto"/>
              <w:right w:val="single" w:sz="8" w:space="0" w:color="auto"/>
            </w:tcBorders>
            <w:tcMar>
              <w:top w:w="0" w:type="dxa"/>
              <w:left w:w="108" w:type="dxa"/>
              <w:bottom w:w="0" w:type="dxa"/>
              <w:right w:w="108" w:type="dxa"/>
            </w:tcMar>
            <w:vAlign w:val="center"/>
          </w:tcPr>
          <w:p w14:paraId="2D9B8467" w14:textId="77777777" w:rsidR="00CC0674" w:rsidRPr="00CC0674" w:rsidRDefault="00CC0674" w:rsidP="00891BEC">
            <w:pPr>
              <w:keepNext/>
              <w:spacing w:before="40"/>
              <w:jc w:val="center"/>
              <w:rPr>
                <w:rFonts w:ascii="Arial Narrow" w:hAnsi="Arial Narrow"/>
              </w:rPr>
            </w:pPr>
            <w:r w:rsidRPr="00CC0674">
              <w:rPr>
                <w:rFonts w:ascii="Arial Narrow" w:hAnsi="Arial Narrow"/>
              </w:rPr>
              <w:t>-12</w:t>
            </w:r>
          </w:p>
        </w:tc>
        <w:tc>
          <w:tcPr>
            <w:tcW w:w="1154" w:type="dxa"/>
            <w:tcBorders>
              <w:top w:val="nil"/>
              <w:left w:val="nil"/>
              <w:bottom w:val="single" w:sz="8" w:space="0" w:color="auto"/>
              <w:right w:val="single" w:sz="8" w:space="0" w:color="auto"/>
            </w:tcBorders>
            <w:tcMar>
              <w:top w:w="0" w:type="dxa"/>
              <w:left w:w="108" w:type="dxa"/>
              <w:bottom w:w="0" w:type="dxa"/>
              <w:right w:w="108" w:type="dxa"/>
            </w:tcMar>
            <w:vAlign w:val="center"/>
          </w:tcPr>
          <w:p w14:paraId="4233255B" w14:textId="77777777" w:rsidR="00CC0674" w:rsidRPr="00CC0674" w:rsidRDefault="00CC0674" w:rsidP="00891BEC">
            <w:pPr>
              <w:keepNext/>
              <w:spacing w:before="40"/>
              <w:jc w:val="center"/>
              <w:rPr>
                <w:rFonts w:ascii="Arial Narrow" w:hAnsi="Arial Narrow"/>
              </w:rPr>
            </w:pPr>
            <w:r w:rsidRPr="00CC0674">
              <w:rPr>
                <w:rFonts w:ascii="Arial Narrow" w:hAnsi="Arial Narrow"/>
              </w:rPr>
              <w:t>-16</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tcPr>
          <w:p w14:paraId="3F2CE7E7" w14:textId="77777777" w:rsidR="00CC0674" w:rsidRPr="00CC0674" w:rsidRDefault="00CC0674" w:rsidP="00891BEC">
            <w:pPr>
              <w:keepNext/>
              <w:spacing w:before="40"/>
              <w:jc w:val="center"/>
              <w:rPr>
                <w:rFonts w:ascii="Arial Narrow" w:hAnsi="Arial Narrow"/>
              </w:rPr>
            </w:pPr>
            <w:r w:rsidRPr="00CC0674">
              <w:rPr>
                <w:rFonts w:ascii="Arial Narrow" w:hAnsi="Arial Narrow"/>
              </w:rPr>
              <w:t>-22</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tcPr>
          <w:p w14:paraId="38C96C93" w14:textId="77777777" w:rsidR="00CC0674" w:rsidRPr="00CC0674" w:rsidRDefault="00CC0674" w:rsidP="00891BEC">
            <w:pPr>
              <w:keepNext/>
              <w:spacing w:before="40"/>
              <w:jc w:val="center"/>
              <w:rPr>
                <w:rFonts w:ascii="Arial Narrow" w:hAnsi="Arial Narrow"/>
              </w:rPr>
            </w:pPr>
            <w:r w:rsidRPr="00CC0674">
              <w:rPr>
                <w:rFonts w:ascii="Arial Narrow" w:hAnsi="Arial Narrow"/>
              </w:rPr>
              <w:t>-30</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tcPr>
          <w:p w14:paraId="22570D35" w14:textId="77777777" w:rsidR="00CC0674" w:rsidRPr="00CC0674" w:rsidRDefault="00CC0674" w:rsidP="00891BEC">
            <w:pPr>
              <w:keepNext/>
              <w:spacing w:before="40"/>
              <w:jc w:val="center"/>
              <w:rPr>
                <w:rFonts w:ascii="Arial Narrow" w:hAnsi="Arial Narrow"/>
              </w:rPr>
            </w:pPr>
            <w:r w:rsidRPr="00CC0674">
              <w:rPr>
                <w:rFonts w:ascii="Arial Narrow" w:hAnsi="Arial Narrow"/>
              </w:rPr>
              <w:t>-41</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tcPr>
          <w:p w14:paraId="00A280E0" w14:textId="77777777" w:rsidR="00CC0674" w:rsidRPr="00CC0674" w:rsidRDefault="00CC0674" w:rsidP="00891BEC">
            <w:pPr>
              <w:keepNext/>
              <w:spacing w:before="40"/>
              <w:jc w:val="center"/>
              <w:rPr>
                <w:rFonts w:ascii="Arial Narrow" w:hAnsi="Arial Narrow"/>
              </w:rPr>
            </w:pPr>
            <w:r w:rsidRPr="00CC0674">
              <w:rPr>
                <w:rFonts w:ascii="Arial Narrow" w:hAnsi="Arial Narrow"/>
              </w:rPr>
              <w:t>-56</w:t>
            </w:r>
          </w:p>
        </w:tc>
      </w:tr>
      <w:tr w:rsidR="00CC0674" w:rsidRPr="00CC0674" w14:paraId="177F53BE" w14:textId="77777777" w:rsidTr="003A6CC7">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08326B" w14:textId="77777777" w:rsidR="00CC0674" w:rsidRPr="00CC0674" w:rsidRDefault="00CC0674" w:rsidP="00CC0674">
            <w:pPr>
              <w:keepNext/>
              <w:spacing w:before="40"/>
              <w:rPr>
                <w:rFonts w:ascii="Arial Narrow" w:hAnsi="Arial Narrow"/>
              </w:rPr>
            </w:pPr>
            <w:r w:rsidRPr="00CC0674">
              <w:rPr>
                <w:rFonts w:ascii="Arial Narrow" w:hAnsi="Arial Narrow"/>
              </w:rPr>
              <w:t>Cost savings from reduced ERCP and surgery</w:t>
            </w:r>
          </w:p>
        </w:tc>
        <w:tc>
          <w:tcPr>
            <w:tcW w:w="1001" w:type="dxa"/>
            <w:tcBorders>
              <w:top w:val="nil"/>
              <w:left w:val="nil"/>
              <w:bottom w:val="single" w:sz="8" w:space="0" w:color="auto"/>
              <w:right w:val="single" w:sz="8" w:space="0" w:color="auto"/>
            </w:tcBorders>
            <w:tcMar>
              <w:top w:w="0" w:type="dxa"/>
              <w:left w:w="108" w:type="dxa"/>
              <w:bottom w:w="0" w:type="dxa"/>
              <w:right w:w="108" w:type="dxa"/>
            </w:tcMar>
          </w:tcPr>
          <w:p w14:paraId="428322E4" w14:textId="77777777" w:rsidR="00CC0674" w:rsidRPr="00CC0674" w:rsidRDefault="00CC0674" w:rsidP="00CC0674">
            <w:pPr>
              <w:keepNext/>
              <w:spacing w:before="40"/>
              <w:jc w:val="center"/>
              <w:rPr>
                <w:rFonts w:ascii="Arial Narrow" w:hAnsi="Arial Narrow"/>
              </w:rPr>
            </w:pPr>
            <w:r w:rsidRPr="00CC0674">
              <w:rPr>
                <w:rFonts w:ascii="Arial Narrow" w:hAnsi="Arial Narrow"/>
              </w:rPr>
              <w:t>-$53,541</w:t>
            </w:r>
          </w:p>
        </w:tc>
        <w:tc>
          <w:tcPr>
            <w:tcW w:w="1154" w:type="dxa"/>
            <w:tcBorders>
              <w:top w:val="nil"/>
              <w:left w:val="nil"/>
              <w:bottom w:val="single" w:sz="8" w:space="0" w:color="auto"/>
              <w:right w:val="single" w:sz="8" w:space="0" w:color="auto"/>
            </w:tcBorders>
            <w:tcMar>
              <w:top w:w="0" w:type="dxa"/>
              <w:left w:w="108" w:type="dxa"/>
              <w:bottom w:w="0" w:type="dxa"/>
              <w:right w:w="108" w:type="dxa"/>
            </w:tcMar>
          </w:tcPr>
          <w:p w14:paraId="3BDE4D82" w14:textId="77777777" w:rsidR="00CC0674" w:rsidRPr="00CC0674" w:rsidRDefault="00CC0674" w:rsidP="00CC0674">
            <w:pPr>
              <w:keepNext/>
              <w:spacing w:before="40"/>
              <w:jc w:val="center"/>
              <w:rPr>
                <w:rFonts w:ascii="Arial Narrow" w:hAnsi="Arial Narrow"/>
              </w:rPr>
            </w:pPr>
            <w:r w:rsidRPr="00CC0674">
              <w:rPr>
                <w:rFonts w:ascii="Arial Narrow" w:hAnsi="Arial Narrow"/>
              </w:rPr>
              <w:t>-$72,760</w:t>
            </w:r>
          </w:p>
        </w:tc>
        <w:tc>
          <w:tcPr>
            <w:tcW w:w="1111" w:type="dxa"/>
            <w:tcBorders>
              <w:top w:val="nil"/>
              <w:left w:val="nil"/>
              <w:bottom w:val="single" w:sz="8" w:space="0" w:color="auto"/>
              <w:right w:val="single" w:sz="8" w:space="0" w:color="auto"/>
            </w:tcBorders>
            <w:tcMar>
              <w:top w:w="0" w:type="dxa"/>
              <w:left w:w="108" w:type="dxa"/>
              <w:bottom w:w="0" w:type="dxa"/>
              <w:right w:w="108" w:type="dxa"/>
            </w:tcMar>
          </w:tcPr>
          <w:p w14:paraId="5A505568" w14:textId="77777777" w:rsidR="00CC0674" w:rsidRPr="00CC0674" w:rsidRDefault="00CC0674" w:rsidP="00CC0674">
            <w:pPr>
              <w:keepNext/>
              <w:spacing w:before="40"/>
              <w:jc w:val="center"/>
              <w:rPr>
                <w:rFonts w:ascii="Arial Narrow" w:hAnsi="Arial Narrow"/>
              </w:rPr>
            </w:pPr>
            <w:r w:rsidRPr="00CC0674">
              <w:rPr>
                <w:rFonts w:ascii="Arial Narrow" w:hAnsi="Arial Narrow"/>
              </w:rPr>
              <w:t>-$98,878</w:t>
            </w:r>
          </w:p>
        </w:tc>
        <w:tc>
          <w:tcPr>
            <w:tcW w:w="1220" w:type="dxa"/>
            <w:tcBorders>
              <w:top w:val="nil"/>
              <w:left w:val="nil"/>
              <w:bottom w:val="single" w:sz="8" w:space="0" w:color="auto"/>
              <w:right w:val="single" w:sz="8" w:space="0" w:color="auto"/>
            </w:tcBorders>
            <w:tcMar>
              <w:top w:w="0" w:type="dxa"/>
              <w:left w:w="108" w:type="dxa"/>
              <w:bottom w:w="0" w:type="dxa"/>
              <w:right w:w="108" w:type="dxa"/>
            </w:tcMar>
          </w:tcPr>
          <w:p w14:paraId="56E9672C" w14:textId="77777777" w:rsidR="00CC0674" w:rsidRPr="00CC0674" w:rsidRDefault="00CC0674" w:rsidP="00CC0674">
            <w:pPr>
              <w:keepNext/>
              <w:spacing w:before="40"/>
              <w:jc w:val="center"/>
              <w:rPr>
                <w:rFonts w:ascii="Arial Narrow" w:hAnsi="Arial Narrow"/>
              </w:rPr>
            </w:pPr>
            <w:r w:rsidRPr="00CC0674">
              <w:rPr>
                <w:rFonts w:ascii="Arial Narrow" w:hAnsi="Arial Narrow"/>
              </w:rPr>
              <w:t>-$134,372</w:t>
            </w:r>
          </w:p>
        </w:tc>
        <w:tc>
          <w:tcPr>
            <w:tcW w:w="1131" w:type="dxa"/>
            <w:tcBorders>
              <w:top w:val="nil"/>
              <w:left w:val="nil"/>
              <w:bottom w:val="single" w:sz="8" w:space="0" w:color="auto"/>
              <w:right w:val="single" w:sz="8" w:space="0" w:color="auto"/>
            </w:tcBorders>
            <w:tcMar>
              <w:top w:w="0" w:type="dxa"/>
              <w:left w:w="108" w:type="dxa"/>
              <w:bottom w:w="0" w:type="dxa"/>
              <w:right w:w="108" w:type="dxa"/>
            </w:tcMar>
          </w:tcPr>
          <w:p w14:paraId="5327EE81" w14:textId="77777777" w:rsidR="00CC0674" w:rsidRPr="00CC0674" w:rsidRDefault="00CC0674" w:rsidP="00CC0674">
            <w:pPr>
              <w:keepNext/>
              <w:spacing w:before="40"/>
              <w:jc w:val="center"/>
              <w:rPr>
                <w:rFonts w:ascii="Arial Narrow" w:hAnsi="Arial Narrow"/>
              </w:rPr>
            </w:pPr>
            <w:r w:rsidRPr="00CC0674">
              <w:rPr>
                <w:rFonts w:ascii="Arial Narrow" w:hAnsi="Arial Narrow"/>
              </w:rPr>
              <w:t>-$182,607</w:t>
            </w:r>
          </w:p>
        </w:tc>
        <w:tc>
          <w:tcPr>
            <w:tcW w:w="1131" w:type="dxa"/>
            <w:tcBorders>
              <w:top w:val="nil"/>
              <w:left w:val="nil"/>
              <w:bottom w:val="single" w:sz="8" w:space="0" w:color="auto"/>
              <w:right w:val="single" w:sz="8" w:space="0" w:color="auto"/>
            </w:tcBorders>
            <w:tcMar>
              <w:top w:w="0" w:type="dxa"/>
              <w:left w:w="108" w:type="dxa"/>
              <w:bottom w:w="0" w:type="dxa"/>
              <w:right w:w="108" w:type="dxa"/>
            </w:tcMar>
          </w:tcPr>
          <w:p w14:paraId="3DF5BDCE" w14:textId="77777777" w:rsidR="00CC0674" w:rsidRPr="00CC0674" w:rsidRDefault="00CC0674" w:rsidP="00CC0674">
            <w:pPr>
              <w:keepNext/>
              <w:spacing w:before="40"/>
              <w:jc w:val="center"/>
              <w:rPr>
                <w:rFonts w:ascii="Arial Narrow" w:hAnsi="Arial Narrow"/>
              </w:rPr>
            </w:pPr>
            <w:r w:rsidRPr="00CC0674">
              <w:rPr>
                <w:rFonts w:ascii="Arial Narrow" w:hAnsi="Arial Narrow"/>
              </w:rPr>
              <w:t>-$248,157</w:t>
            </w:r>
          </w:p>
        </w:tc>
      </w:tr>
      <w:tr w:rsidR="00CC0674" w:rsidRPr="00CC0674" w14:paraId="74EB5ADD" w14:textId="77777777" w:rsidTr="003A6CC7">
        <w:tc>
          <w:tcPr>
            <w:tcW w:w="225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ABC5394" w14:textId="77777777" w:rsidR="00CC0674" w:rsidRPr="00CC0674" w:rsidRDefault="00CC0674" w:rsidP="00CC0674">
            <w:pPr>
              <w:keepNext/>
              <w:spacing w:before="40"/>
              <w:rPr>
                <w:rFonts w:ascii="Arial Narrow" w:hAnsi="Arial Narrow"/>
                <w:b/>
                <w:bCs/>
              </w:rPr>
            </w:pPr>
            <w:r w:rsidRPr="00CC0674">
              <w:rPr>
                <w:rFonts w:ascii="Arial Narrow" w:hAnsi="Arial Narrow"/>
                <w:b/>
                <w:bCs/>
              </w:rPr>
              <w:t>Net cost to the MBS</w:t>
            </w:r>
          </w:p>
        </w:tc>
        <w:tc>
          <w:tcPr>
            <w:tcW w:w="1001" w:type="dxa"/>
            <w:tcBorders>
              <w:top w:val="nil"/>
              <w:left w:val="nil"/>
              <w:bottom w:val="single" w:sz="4" w:space="0" w:color="auto"/>
              <w:right w:val="single" w:sz="8" w:space="0" w:color="auto"/>
            </w:tcBorders>
            <w:tcMar>
              <w:top w:w="0" w:type="dxa"/>
              <w:left w:w="108" w:type="dxa"/>
              <w:bottom w:w="0" w:type="dxa"/>
              <w:right w:w="108" w:type="dxa"/>
            </w:tcMar>
          </w:tcPr>
          <w:p w14:paraId="75DF070A" w14:textId="77777777" w:rsidR="00CC0674" w:rsidRPr="00CC0674" w:rsidRDefault="00CC0674" w:rsidP="00CC0674">
            <w:pPr>
              <w:keepNext/>
              <w:spacing w:before="40"/>
              <w:jc w:val="center"/>
              <w:rPr>
                <w:rFonts w:ascii="Arial Narrow" w:hAnsi="Arial Narrow"/>
                <w:b/>
                <w:bCs/>
              </w:rPr>
            </w:pPr>
            <w:r w:rsidRPr="00CC0674">
              <w:rPr>
                <w:rFonts w:ascii="Arial Narrow" w:hAnsi="Arial Narrow"/>
                <w:b/>
                <w:bCs/>
              </w:rPr>
              <w:t>$1,768</w:t>
            </w:r>
          </w:p>
        </w:tc>
        <w:tc>
          <w:tcPr>
            <w:tcW w:w="1154" w:type="dxa"/>
            <w:tcBorders>
              <w:top w:val="nil"/>
              <w:left w:val="nil"/>
              <w:bottom w:val="single" w:sz="4" w:space="0" w:color="auto"/>
              <w:right w:val="single" w:sz="8" w:space="0" w:color="auto"/>
            </w:tcBorders>
            <w:tcMar>
              <w:top w:w="0" w:type="dxa"/>
              <w:left w:w="108" w:type="dxa"/>
              <w:bottom w:w="0" w:type="dxa"/>
              <w:right w:w="108" w:type="dxa"/>
            </w:tcMar>
          </w:tcPr>
          <w:p w14:paraId="081E0645" w14:textId="77777777" w:rsidR="00CC0674" w:rsidRPr="00CC0674" w:rsidRDefault="00CC0674" w:rsidP="00CC0674">
            <w:pPr>
              <w:keepNext/>
              <w:spacing w:before="40"/>
              <w:jc w:val="center"/>
              <w:rPr>
                <w:rFonts w:ascii="Arial Narrow" w:hAnsi="Arial Narrow"/>
                <w:b/>
                <w:bCs/>
              </w:rPr>
            </w:pPr>
            <w:r w:rsidRPr="00CC0674">
              <w:rPr>
                <w:rFonts w:ascii="Arial Narrow" w:hAnsi="Arial Narrow"/>
                <w:b/>
                <w:bCs/>
              </w:rPr>
              <w:t>$2,402</w:t>
            </w:r>
          </w:p>
        </w:tc>
        <w:tc>
          <w:tcPr>
            <w:tcW w:w="1111" w:type="dxa"/>
            <w:tcBorders>
              <w:top w:val="nil"/>
              <w:left w:val="nil"/>
              <w:bottom w:val="single" w:sz="4" w:space="0" w:color="auto"/>
              <w:right w:val="single" w:sz="8" w:space="0" w:color="auto"/>
            </w:tcBorders>
            <w:tcMar>
              <w:top w:w="0" w:type="dxa"/>
              <w:left w:w="108" w:type="dxa"/>
              <w:bottom w:w="0" w:type="dxa"/>
              <w:right w:w="108" w:type="dxa"/>
            </w:tcMar>
          </w:tcPr>
          <w:p w14:paraId="02E32D75" w14:textId="77777777" w:rsidR="00CC0674" w:rsidRPr="00CC0674" w:rsidRDefault="00CC0674" w:rsidP="00CC0674">
            <w:pPr>
              <w:keepNext/>
              <w:spacing w:before="40"/>
              <w:jc w:val="center"/>
              <w:rPr>
                <w:rFonts w:ascii="Arial Narrow" w:hAnsi="Arial Narrow"/>
                <w:b/>
                <w:bCs/>
              </w:rPr>
            </w:pPr>
            <w:r w:rsidRPr="00CC0674">
              <w:rPr>
                <w:rFonts w:ascii="Arial Narrow" w:hAnsi="Arial Narrow"/>
                <w:b/>
                <w:bCs/>
              </w:rPr>
              <w:t>$3,265</w:t>
            </w:r>
          </w:p>
        </w:tc>
        <w:tc>
          <w:tcPr>
            <w:tcW w:w="1220" w:type="dxa"/>
            <w:tcBorders>
              <w:top w:val="nil"/>
              <w:left w:val="nil"/>
              <w:bottom w:val="single" w:sz="4" w:space="0" w:color="auto"/>
              <w:right w:val="single" w:sz="8" w:space="0" w:color="auto"/>
            </w:tcBorders>
            <w:tcMar>
              <w:top w:w="0" w:type="dxa"/>
              <w:left w:w="108" w:type="dxa"/>
              <w:bottom w:w="0" w:type="dxa"/>
              <w:right w:w="108" w:type="dxa"/>
            </w:tcMar>
          </w:tcPr>
          <w:p w14:paraId="6053914E" w14:textId="77777777" w:rsidR="00CC0674" w:rsidRPr="00CC0674" w:rsidRDefault="00CC0674" w:rsidP="00CC0674">
            <w:pPr>
              <w:keepNext/>
              <w:spacing w:before="40"/>
              <w:jc w:val="center"/>
              <w:rPr>
                <w:rFonts w:ascii="Arial Narrow" w:hAnsi="Arial Narrow"/>
                <w:b/>
                <w:bCs/>
              </w:rPr>
            </w:pPr>
            <w:r w:rsidRPr="00CC0674">
              <w:rPr>
                <w:rFonts w:ascii="Arial Narrow" w:hAnsi="Arial Narrow"/>
                <w:b/>
                <w:bCs/>
              </w:rPr>
              <w:t>$4,437</w:t>
            </w:r>
          </w:p>
        </w:tc>
        <w:tc>
          <w:tcPr>
            <w:tcW w:w="1131" w:type="dxa"/>
            <w:tcBorders>
              <w:top w:val="nil"/>
              <w:left w:val="nil"/>
              <w:bottom w:val="single" w:sz="4" w:space="0" w:color="auto"/>
              <w:right w:val="single" w:sz="8" w:space="0" w:color="auto"/>
            </w:tcBorders>
            <w:tcMar>
              <w:top w:w="0" w:type="dxa"/>
              <w:left w:w="108" w:type="dxa"/>
              <w:bottom w:w="0" w:type="dxa"/>
              <w:right w:w="108" w:type="dxa"/>
            </w:tcMar>
          </w:tcPr>
          <w:p w14:paraId="00FA5933" w14:textId="77777777" w:rsidR="00CC0674" w:rsidRPr="00CC0674" w:rsidRDefault="00CC0674" w:rsidP="00CC0674">
            <w:pPr>
              <w:keepNext/>
              <w:spacing w:before="40"/>
              <w:jc w:val="center"/>
              <w:rPr>
                <w:rFonts w:ascii="Arial Narrow" w:hAnsi="Arial Narrow"/>
                <w:b/>
                <w:bCs/>
              </w:rPr>
            </w:pPr>
            <w:r w:rsidRPr="00CC0674">
              <w:rPr>
                <w:rFonts w:ascii="Arial Narrow" w:hAnsi="Arial Narrow"/>
                <w:b/>
                <w:bCs/>
              </w:rPr>
              <w:t>$6,030</w:t>
            </w:r>
          </w:p>
        </w:tc>
        <w:tc>
          <w:tcPr>
            <w:tcW w:w="1131" w:type="dxa"/>
            <w:tcBorders>
              <w:top w:val="nil"/>
              <w:left w:val="nil"/>
              <w:bottom w:val="single" w:sz="4" w:space="0" w:color="auto"/>
              <w:right w:val="single" w:sz="8" w:space="0" w:color="auto"/>
            </w:tcBorders>
            <w:tcMar>
              <w:top w:w="0" w:type="dxa"/>
              <w:left w:w="108" w:type="dxa"/>
              <w:bottom w:w="0" w:type="dxa"/>
              <w:right w:w="108" w:type="dxa"/>
            </w:tcMar>
          </w:tcPr>
          <w:p w14:paraId="1F3CA750" w14:textId="77777777" w:rsidR="00CC0674" w:rsidRPr="00CC0674" w:rsidRDefault="00CC0674" w:rsidP="00CC0674">
            <w:pPr>
              <w:keepNext/>
              <w:spacing w:before="40"/>
              <w:jc w:val="center"/>
              <w:rPr>
                <w:rFonts w:ascii="Arial Narrow" w:hAnsi="Arial Narrow"/>
                <w:b/>
                <w:bCs/>
              </w:rPr>
            </w:pPr>
            <w:r w:rsidRPr="00CC0674">
              <w:rPr>
                <w:rFonts w:ascii="Arial Narrow" w:hAnsi="Arial Narrow"/>
                <w:b/>
                <w:bCs/>
              </w:rPr>
              <w:t>$8,194</w:t>
            </w:r>
          </w:p>
        </w:tc>
      </w:tr>
      <w:tr w:rsidR="00CC0674" w:rsidRPr="00CC0674" w14:paraId="0469D179" w14:textId="77777777" w:rsidTr="003A6CC7">
        <w:tc>
          <w:tcPr>
            <w:tcW w:w="0" w:type="auto"/>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9BB79" w14:textId="77777777" w:rsidR="00CC0674" w:rsidRPr="00CC0674" w:rsidRDefault="00CC0674" w:rsidP="00CC0674">
            <w:pPr>
              <w:keepNext/>
              <w:spacing w:before="40"/>
              <w:rPr>
                <w:rFonts w:ascii="Arial Narrow" w:hAnsi="Arial Narrow"/>
              </w:rPr>
            </w:pPr>
            <w:r w:rsidRPr="00CC0674">
              <w:rPr>
                <w:rFonts w:ascii="Arial Narrow" w:hAnsi="Arial Narrow"/>
                <w:b/>
                <w:bCs/>
              </w:rPr>
              <w:t>Change in hospital costs</w:t>
            </w:r>
          </w:p>
        </w:tc>
      </w:tr>
      <w:tr w:rsidR="00CC41FB" w:rsidRPr="00CC0674" w14:paraId="3D08270E" w14:textId="77777777" w:rsidTr="003A6CC7">
        <w:tc>
          <w:tcPr>
            <w:tcW w:w="2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5D17E" w14:textId="60247E71" w:rsidR="00CC41FB" w:rsidRPr="00CC41FB" w:rsidRDefault="00CC41FB" w:rsidP="00CC41FB">
            <w:pPr>
              <w:keepNext/>
              <w:spacing w:before="40"/>
              <w:rPr>
                <w:rFonts w:ascii="Arial Narrow" w:hAnsi="Arial Narrow"/>
                <w:vertAlign w:val="superscript"/>
              </w:rPr>
            </w:pPr>
            <w:r w:rsidRPr="00CC0674">
              <w:rPr>
                <w:rFonts w:ascii="Arial Narrow" w:hAnsi="Arial Narrow"/>
              </w:rPr>
              <w:t xml:space="preserve">POCPS </w:t>
            </w:r>
            <w:r>
              <w:rPr>
                <w:rFonts w:ascii="Arial Narrow" w:hAnsi="Arial Narrow"/>
                <w:vertAlign w:val="superscript"/>
              </w:rPr>
              <w:t>d</w:t>
            </w:r>
          </w:p>
        </w:tc>
        <w:tc>
          <w:tcPr>
            <w:tcW w:w="10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092B401" w14:textId="250ABC7C" w:rsidR="00CC41FB" w:rsidRPr="00CC41FB" w:rsidRDefault="00CC41FB" w:rsidP="00CC41FB">
            <w:pPr>
              <w:spacing w:before="40"/>
              <w:jc w:val="center"/>
              <w:rPr>
                <w:rFonts w:ascii="Arial Narrow" w:hAnsi="Arial Narrow" w:cs="Tahoma"/>
              </w:rPr>
            </w:pPr>
            <w:r w:rsidRPr="00CC41FB">
              <w:rPr>
                <w:rFonts w:ascii="Arial Narrow" w:hAnsi="Arial Narrow"/>
              </w:rPr>
              <w:t>$891,800</w:t>
            </w:r>
          </w:p>
        </w:tc>
        <w:tc>
          <w:tcPr>
            <w:tcW w:w="1154" w:type="dxa"/>
            <w:tcBorders>
              <w:top w:val="single" w:sz="4" w:space="0" w:color="auto"/>
              <w:left w:val="nil"/>
              <w:bottom w:val="single" w:sz="4" w:space="0" w:color="auto"/>
              <w:right w:val="single" w:sz="4" w:space="0" w:color="auto"/>
            </w:tcBorders>
            <w:shd w:val="clear" w:color="auto" w:fill="FFFFFF" w:themeFill="background1"/>
            <w:tcMar>
              <w:top w:w="0" w:type="dxa"/>
              <w:left w:w="108" w:type="dxa"/>
              <w:bottom w:w="0" w:type="dxa"/>
              <w:right w:w="108" w:type="dxa"/>
            </w:tcMar>
          </w:tcPr>
          <w:p w14:paraId="67104D0C" w14:textId="611CC234" w:rsidR="00CC41FB" w:rsidRPr="00CC41FB" w:rsidRDefault="00CC41FB" w:rsidP="00CC41FB">
            <w:pPr>
              <w:spacing w:before="40"/>
              <w:jc w:val="center"/>
              <w:rPr>
                <w:rFonts w:ascii="Arial Narrow" w:hAnsi="Arial Narrow" w:cs="Tahoma"/>
              </w:rPr>
            </w:pPr>
            <w:r w:rsidRPr="00CC41FB">
              <w:rPr>
                <w:rFonts w:ascii="Arial Narrow" w:hAnsi="Arial Narrow"/>
              </w:rPr>
              <w:t>$1,211,924</w:t>
            </w:r>
          </w:p>
        </w:tc>
        <w:tc>
          <w:tcPr>
            <w:tcW w:w="1111" w:type="dxa"/>
            <w:tcBorders>
              <w:top w:val="single" w:sz="4" w:space="0" w:color="auto"/>
              <w:left w:val="nil"/>
              <w:bottom w:val="single" w:sz="4" w:space="0" w:color="auto"/>
              <w:right w:val="single" w:sz="4" w:space="0" w:color="auto"/>
            </w:tcBorders>
            <w:shd w:val="clear" w:color="auto" w:fill="FFFFFF" w:themeFill="background1"/>
            <w:tcMar>
              <w:top w:w="0" w:type="dxa"/>
              <w:left w:w="108" w:type="dxa"/>
              <w:bottom w:w="0" w:type="dxa"/>
              <w:right w:w="108" w:type="dxa"/>
            </w:tcMar>
          </w:tcPr>
          <w:p w14:paraId="7768B885" w14:textId="3C138EFE" w:rsidR="00CC41FB" w:rsidRPr="00CC41FB" w:rsidRDefault="00CC41FB" w:rsidP="00CC41FB">
            <w:pPr>
              <w:spacing w:before="40"/>
              <w:jc w:val="center"/>
              <w:rPr>
                <w:rFonts w:ascii="Arial Narrow" w:hAnsi="Arial Narrow" w:cs="Tahoma"/>
              </w:rPr>
            </w:pPr>
            <w:r w:rsidRPr="00CC41FB">
              <w:rPr>
                <w:rFonts w:ascii="Arial Narrow" w:hAnsi="Arial Narrow"/>
              </w:rPr>
              <w:t>$1,646,962</w:t>
            </w:r>
          </w:p>
        </w:tc>
        <w:tc>
          <w:tcPr>
            <w:tcW w:w="1220" w:type="dxa"/>
            <w:tcBorders>
              <w:top w:val="single" w:sz="4" w:space="0" w:color="auto"/>
              <w:left w:val="nil"/>
              <w:bottom w:val="single" w:sz="4" w:space="0" w:color="auto"/>
              <w:right w:val="single" w:sz="4" w:space="0" w:color="auto"/>
            </w:tcBorders>
            <w:shd w:val="clear" w:color="auto" w:fill="FFFFFF" w:themeFill="background1"/>
            <w:tcMar>
              <w:top w:w="0" w:type="dxa"/>
              <w:left w:w="108" w:type="dxa"/>
              <w:bottom w:w="0" w:type="dxa"/>
              <w:right w:w="108" w:type="dxa"/>
            </w:tcMar>
          </w:tcPr>
          <w:p w14:paraId="077BCD7E" w14:textId="179F542B" w:rsidR="00CC41FB" w:rsidRPr="00CC41FB" w:rsidRDefault="00CC41FB" w:rsidP="00CC41FB">
            <w:pPr>
              <w:spacing w:before="40"/>
              <w:jc w:val="center"/>
              <w:rPr>
                <w:rFonts w:ascii="Arial Narrow" w:hAnsi="Arial Narrow" w:cs="Tahoma"/>
              </w:rPr>
            </w:pPr>
            <w:r w:rsidRPr="00CC41FB">
              <w:rPr>
                <w:rFonts w:ascii="Arial Narrow" w:hAnsi="Arial Narrow"/>
              </w:rPr>
              <w:t>$2,238,162</w:t>
            </w:r>
          </w:p>
        </w:tc>
        <w:tc>
          <w:tcPr>
            <w:tcW w:w="1131" w:type="dxa"/>
            <w:tcBorders>
              <w:top w:val="single" w:sz="4" w:space="0" w:color="auto"/>
              <w:left w:val="nil"/>
              <w:bottom w:val="single" w:sz="4" w:space="0" w:color="auto"/>
              <w:right w:val="single" w:sz="4" w:space="0" w:color="auto"/>
            </w:tcBorders>
            <w:shd w:val="clear" w:color="auto" w:fill="FFFFFF" w:themeFill="background1"/>
            <w:tcMar>
              <w:top w:w="0" w:type="dxa"/>
              <w:left w:w="108" w:type="dxa"/>
              <w:bottom w:w="0" w:type="dxa"/>
              <w:right w:w="108" w:type="dxa"/>
            </w:tcMar>
          </w:tcPr>
          <w:p w14:paraId="338701F6" w14:textId="231E448E" w:rsidR="00CC41FB" w:rsidRPr="00CC41FB" w:rsidRDefault="00CC41FB" w:rsidP="00CC41FB">
            <w:pPr>
              <w:spacing w:before="40"/>
              <w:jc w:val="center"/>
              <w:rPr>
                <w:rFonts w:ascii="Arial Narrow" w:hAnsi="Arial Narrow" w:cs="Tahoma"/>
              </w:rPr>
            </w:pPr>
            <w:r w:rsidRPr="00CC41FB">
              <w:rPr>
                <w:rFonts w:ascii="Arial Narrow" w:hAnsi="Arial Narrow"/>
              </w:rPr>
              <w:t>$3,041,582</w:t>
            </w:r>
          </w:p>
        </w:tc>
        <w:tc>
          <w:tcPr>
            <w:tcW w:w="1131" w:type="dxa"/>
            <w:tcBorders>
              <w:top w:val="single" w:sz="4" w:space="0" w:color="auto"/>
              <w:left w:val="nil"/>
              <w:bottom w:val="single" w:sz="4" w:space="0" w:color="auto"/>
              <w:right w:val="single" w:sz="4" w:space="0" w:color="auto"/>
            </w:tcBorders>
            <w:shd w:val="clear" w:color="auto" w:fill="FFFFFF" w:themeFill="background1"/>
            <w:tcMar>
              <w:top w:w="0" w:type="dxa"/>
              <w:left w:w="108" w:type="dxa"/>
              <w:bottom w:w="0" w:type="dxa"/>
              <w:right w:w="108" w:type="dxa"/>
            </w:tcMar>
          </w:tcPr>
          <w:p w14:paraId="5D631421" w14:textId="2CA8BC0F" w:rsidR="00CC41FB" w:rsidRPr="00CC41FB" w:rsidRDefault="00CC41FB" w:rsidP="00CC41FB">
            <w:pPr>
              <w:spacing w:before="40"/>
              <w:jc w:val="center"/>
              <w:rPr>
                <w:rFonts w:ascii="Arial Narrow" w:hAnsi="Arial Narrow" w:cs="Tahoma"/>
              </w:rPr>
            </w:pPr>
            <w:r w:rsidRPr="00CC41FB">
              <w:rPr>
                <w:rFonts w:ascii="Arial Narrow" w:hAnsi="Arial Narrow"/>
              </w:rPr>
              <w:t>$4,133,401</w:t>
            </w:r>
          </w:p>
        </w:tc>
      </w:tr>
      <w:tr w:rsidR="00CC0674" w:rsidRPr="00CC0674" w14:paraId="01596AC0" w14:textId="77777777" w:rsidTr="003A6CC7">
        <w:tc>
          <w:tcPr>
            <w:tcW w:w="2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F2198" w14:textId="77777777" w:rsidR="00CC0674" w:rsidRPr="00CC0674" w:rsidRDefault="00CC0674" w:rsidP="00CC0674">
            <w:pPr>
              <w:keepNext/>
              <w:spacing w:before="40"/>
              <w:rPr>
                <w:rFonts w:ascii="Arial Narrow" w:hAnsi="Arial Narrow"/>
              </w:rPr>
            </w:pPr>
            <w:r w:rsidRPr="00CC0674">
              <w:rPr>
                <w:rFonts w:ascii="Arial Narrow" w:hAnsi="Arial Narrow"/>
              </w:rPr>
              <w:t xml:space="preserve">ERCP and surgery </w:t>
            </w:r>
          </w:p>
        </w:tc>
        <w:tc>
          <w:tcPr>
            <w:tcW w:w="1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8B86F" w14:textId="77777777" w:rsidR="00CC0674" w:rsidRPr="00CC0674" w:rsidRDefault="00CC0674" w:rsidP="00CC0674">
            <w:pPr>
              <w:keepNext/>
              <w:spacing w:before="40"/>
              <w:jc w:val="center"/>
              <w:rPr>
                <w:rFonts w:ascii="Arial Narrow" w:hAnsi="Arial Narrow"/>
              </w:rPr>
            </w:pPr>
            <w:r w:rsidRPr="00CC0674">
              <w:rPr>
                <w:rFonts w:ascii="Arial Narrow" w:hAnsi="Arial Narrow"/>
              </w:rPr>
              <w:t>-$908,302</w:t>
            </w:r>
          </w:p>
        </w:tc>
        <w:tc>
          <w:tcPr>
            <w:tcW w:w="11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849AC" w14:textId="77777777" w:rsidR="00CC0674" w:rsidRPr="00CC0674" w:rsidRDefault="00CC0674" w:rsidP="00CC0674">
            <w:pPr>
              <w:keepNext/>
              <w:spacing w:before="40"/>
              <w:jc w:val="center"/>
              <w:rPr>
                <w:rFonts w:ascii="Arial Narrow" w:hAnsi="Arial Narrow"/>
              </w:rPr>
            </w:pPr>
            <w:r w:rsidRPr="00CC0674">
              <w:rPr>
                <w:rFonts w:ascii="Arial Narrow" w:hAnsi="Arial Narrow"/>
              </w:rPr>
              <w:t>-$1,234,350</w:t>
            </w:r>
          </w:p>
        </w:tc>
        <w:tc>
          <w:tcPr>
            <w:tcW w:w="1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8F3308" w14:textId="77777777" w:rsidR="00CC0674" w:rsidRPr="00CC0674" w:rsidRDefault="00CC0674" w:rsidP="00CC0674">
            <w:pPr>
              <w:keepNext/>
              <w:spacing w:before="40"/>
              <w:jc w:val="center"/>
              <w:rPr>
                <w:rFonts w:ascii="Arial Narrow" w:hAnsi="Arial Narrow"/>
              </w:rPr>
            </w:pPr>
            <w:r w:rsidRPr="00CC0674">
              <w:rPr>
                <w:rFonts w:ascii="Arial Narrow" w:hAnsi="Arial Narrow"/>
              </w:rPr>
              <w:t>-$1,677,438</w:t>
            </w:r>
          </w:p>
        </w:tc>
        <w:tc>
          <w:tcPr>
            <w:tcW w:w="1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5BB28" w14:textId="77777777" w:rsidR="00CC0674" w:rsidRPr="00CC0674" w:rsidRDefault="00CC0674" w:rsidP="00CC0674">
            <w:pPr>
              <w:keepNext/>
              <w:spacing w:before="40"/>
              <w:jc w:val="center"/>
              <w:rPr>
                <w:rFonts w:ascii="Arial Narrow" w:hAnsi="Arial Narrow"/>
              </w:rPr>
            </w:pPr>
            <w:r w:rsidRPr="00CC0674">
              <w:rPr>
                <w:rFonts w:ascii="Arial Narrow" w:hAnsi="Arial Narrow"/>
              </w:rPr>
              <w:t>-$2,279,578</w:t>
            </w:r>
          </w:p>
        </w:tc>
        <w:tc>
          <w:tcPr>
            <w:tcW w:w="1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9D41B" w14:textId="77777777" w:rsidR="00CC0674" w:rsidRPr="00CC0674" w:rsidRDefault="00CC0674" w:rsidP="00CC0674">
            <w:pPr>
              <w:keepNext/>
              <w:spacing w:before="40"/>
              <w:jc w:val="center"/>
              <w:rPr>
                <w:rFonts w:ascii="Arial Narrow" w:hAnsi="Arial Narrow"/>
              </w:rPr>
            </w:pPr>
            <w:r w:rsidRPr="00CC0674">
              <w:rPr>
                <w:rFonts w:ascii="Arial Narrow" w:hAnsi="Arial Narrow"/>
              </w:rPr>
              <w:t>-$3,097,865</w:t>
            </w:r>
          </w:p>
        </w:tc>
        <w:tc>
          <w:tcPr>
            <w:tcW w:w="1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1B0346" w14:textId="77777777" w:rsidR="00CC0674" w:rsidRPr="00CC0674" w:rsidRDefault="00CC0674" w:rsidP="00CC0674">
            <w:pPr>
              <w:keepNext/>
              <w:spacing w:before="40"/>
              <w:jc w:val="center"/>
              <w:rPr>
                <w:rFonts w:ascii="Arial Narrow" w:hAnsi="Arial Narrow"/>
              </w:rPr>
            </w:pPr>
            <w:r w:rsidRPr="00CC0674">
              <w:rPr>
                <w:rFonts w:ascii="Arial Narrow" w:hAnsi="Arial Narrow"/>
              </w:rPr>
              <w:t>-$4,209,887</w:t>
            </w:r>
          </w:p>
        </w:tc>
      </w:tr>
      <w:tr w:rsidR="00CC41FB" w:rsidRPr="00CC0674" w14:paraId="39602202" w14:textId="77777777" w:rsidTr="003A6CC7">
        <w:tc>
          <w:tcPr>
            <w:tcW w:w="2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104D1" w14:textId="51ED2086" w:rsidR="00CC41FB" w:rsidRPr="00CC41FB" w:rsidRDefault="00CC41FB" w:rsidP="00CC41FB">
            <w:pPr>
              <w:keepNext/>
              <w:spacing w:before="40"/>
              <w:rPr>
                <w:rFonts w:ascii="Arial Narrow" w:hAnsi="Arial Narrow"/>
                <w:b/>
                <w:bCs/>
                <w:vertAlign w:val="superscript"/>
              </w:rPr>
            </w:pPr>
            <w:r w:rsidRPr="00CC0674">
              <w:rPr>
                <w:rFonts w:ascii="Arial Narrow" w:hAnsi="Arial Narrow"/>
                <w:b/>
                <w:bCs/>
              </w:rPr>
              <w:t>Net hospital costs</w:t>
            </w:r>
            <w:r>
              <w:rPr>
                <w:rFonts w:ascii="Arial Narrow" w:hAnsi="Arial Narrow"/>
                <w:b/>
                <w:bCs/>
              </w:rPr>
              <w:t xml:space="preserve"> </w:t>
            </w:r>
            <w:r>
              <w:rPr>
                <w:rFonts w:ascii="Arial Narrow" w:hAnsi="Arial Narrow"/>
                <w:b/>
                <w:bCs/>
                <w:vertAlign w:val="superscript"/>
              </w:rPr>
              <w:t>d</w:t>
            </w:r>
          </w:p>
        </w:tc>
        <w:tc>
          <w:tcPr>
            <w:tcW w:w="1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A130" w14:textId="4599C087" w:rsidR="00CC41FB" w:rsidRPr="00CC41FB" w:rsidRDefault="00CC41FB" w:rsidP="00CC41FB">
            <w:pPr>
              <w:keepNext/>
              <w:spacing w:before="40"/>
              <w:jc w:val="center"/>
              <w:rPr>
                <w:rFonts w:ascii="Arial Narrow" w:hAnsi="Arial Narrow"/>
                <w:b/>
                <w:bCs/>
              </w:rPr>
            </w:pPr>
            <w:r w:rsidRPr="00CC41FB">
              <w:rPr>
                <w:rFonts w:ascii="Arial Narrow" w:hAnsi="Arial Narrow"/>
              </w:rPr>
              <w:t>-$16,502</w:t>
            </w:r>
          </w:p>
        </w:tc>
        <w:tc>
          <w:tcPr>
            <w:tcW w:w="11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9CE2" w14:textId="4797344A" w:rsidR="00CC41FB" w:rsidRPr="00CC41FB" w:rsidRDefault="00CC41FB" w:rsidP="00CC41FB">
            <w:pPr>
              <w:keepNext/>
              <w:spacing w:before="40"/>
              <w:jc w:val="center"/>
              <w:rPr>
                <w:rFonts w:ascii="Arial Narrow" w:hAnsi="Arial Narrow"/>
                <w:b/>
                <w:bCs/>
              </w:rPr>
            </w:pPr>
            <w:r w:rsidRPr="00CC41FB">
              <w:rPr>
                <w:rFonts w:ascii="Arial Narrow" w:hAnsi="Arial Narrow"/>
              </w:rPr>
              <w:t>-$22,426</w:t>
            </w:r>
          </w:p>
        </w:tc>
        <w:tc>
          <w:tcPr>
            <w:tcW w:w="1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559E6" w14:textId="25FDB334" w:rsidR="00CC41FB" w:rsidRPr="00CC41FB" w:rsidRDefault="00CC41FB" w:rsidP="00CC41FB">
            <w:pPr>
              <w:keepNext/>
              <w:spacing w:before="40"/>
              <w:jc w:val="center"/>
              <w:rPr>
                <w:rFonts w:ascii="Arial Narrow" w:hAnsi="Arial Narrow"/>
                <w:b/>
                <w:bCs/>
              </w:rPr>
            </w:pPr>
            <w:r w:rsidRPr="00CC41FB">
              <w:rPr>
                <w:rFonts w:ascii="Arial Narrow" w:hAnsi="Arial Narrow"/>
              </w:rPr>
              <w:t>-$30,476</w:t>
            </w:r>
          </w:p>
        </w:tc>
        <w:tc>
          <w:tcPr>
            <w:tcW w:w="1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56B78D" w14:textId="3058F69B" w:rsidR="00CC41FB" w:rsidRPr="00CC41FB" w:rsidRDefault="00CC41FB" w:rsidP="00CC41FB">
            <w:pPr>
              <w:keepNext/>
              <w:spacing w:before="40"/>
              <w:jc w:val="center"/>
              <w:rPr>
                <w:rFonts w:ascii="Arial Narrow" w:hAnsi="Arial Narrow"/>
                <w:b/>
                <w:bCs/>
              </w:rPr>
            </w:pPr>
            <w:r w:rsidRPr="00CC41FB">
              <w:rPr>
                <w:rFonts w:ascii="Arial Narrow" w:hAnsi="Arial Narrow"/>
              </w:rPr>
              <w:t>-$41,416</w:t>
            </w:r>
          </w:p>
        </w:tc>
        <w:tc>
          <w:tcPr>
            <w:tcW w:w="1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C84C0" w14:textId="7F8BAE40" w:rsidR="00CC41FB" w:rsidRPr="00CC41FB" w:rsidRDefault="00CC41FB" w:rsidP="00CC41FB">
            <w:pPr>
              <w:keepNext/>
              <w:spacing w:before="40"/>
              <w:jc w:val="center"/>
              <w:rPr>
                <w:rFonts w:ascii="Arial Narrow" w:hAnsi="Arial Narrow"/>
                <w:b/>
                <w:bCs/>
              </w:rPr>
            </w:pPr>
            <w:r w:rsidRPr="00CC41FB">
              <w:rPr>
                <w:rFonts w:ascii="Arial Narrow" w:hAnsi="Arial Narrow"/>
              </w:rPr>
              <w:t>-$56,283</w:t>
            </w:r>
          </w:p>
        </w:tc>
        <w:tc>
          <w:tcPr>
            <w:tcW w:w="1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D7C22" w14:textId="60C24533" w:rsidR="00CC41FB" w:rsidRPr="00CC41FB" w:rsidRDefault="00CC41FB" w:rsidP="00CC41FB">
            <w:pPr>
              <w:keepNext/>
              <w:spacing w:before="40"/>
              <w:jc w:val="center"/>
              <w:rPr>
                <w:rFonts w:ascii="Arial Narrow" w:hAnsi="Arial Narrow"/>
                <w:b/>
                <w:bCs/>
              </w:rPr>
            </w:pPr>
            <w:r w:rsidRPr="00CC41FB">
              <w:rPr>
                <w:rFonts w:ascii="Arial Narrow" w:hAnsi="Arial Narrow"/>
              </w:rPr>
              <w:t>-$76,486</w:t>
            </w:r>
          </w:p>
        </w:tc>
      </w:tr>
    </w:tbl>
    <w:p w14:paraId="5461B105" w14:textId="5260E26D" w:rsidR="00CC0674" w:rsidRPr="00CC0674" w:rsidRDefault="00CC0674" w:rsidP="00CC0674">
      <w:pPr>
        <w:spacing w:after="240"/>
        <w:contextualSpacing/>
        <w:jc w:val="both"/>
        <w:rPr>
          <w:rFonts w:ascii="Arial Narrow" w:hAnsi="Arial Narrow" w:cs="Arial"/>
          <w:sz w:val="18"/>
        </w:rPr>
      </w:pPr>
      <w:r w:rsidRPr="00CC0674">
        <w:rPr>
          <w:rFonts w:ascii="Arial Narrow" w:hAnsi="Arial Narrow" w:cs="Arial"/>
          <w:sz w:val="18"/>
        </w:rPr>
        <w:t>Abbreviations: ERCP = endoscopic retrograde cholangiopancreatography-guided mechanical lithotripsy; MBS = Medicare Benefit Schedule; POCPS = single operator, single use peroral cholangiopancreatoscopy-guided electrohydraulic/laser lithotripsy</w:t>
      </w:r>
    </w:p>
    <w:p w14:paraId="380571BB" w14:textId="46BCCF18" w:rsidR="00CC0674" w:rsidRPr="00CC0674" w:rsidRDefault="00CC0674" w:rsidP="00CC0674">
      <w:pPr>
        <w:spacing w:after="240"/>
        <w:contextualSpacing/>
        <w:jc w:val="both"/>
        <w:rPr>
          <w:rFonts w:ascii="Arial Narrow" w:hAnsi="Arial Narrow" w:cs="Arial"/>
          <w:sz w:val="18"/>
        </w:rPr>
      </w:pPr>
      <w:r w:rsidRPr="00CC0674">
        <w:rPr>
          <w:rFonts w:ascii="Arial Narrow" w:hAnsi="Arial Narrow" w:cs="Arial"/>
          <w:sz w:val="18"/>
          <w:vertAlign w:val="superscript"/>
        </w:rPr>
        <w:t>a</w:t>
      </w:r>
      <w:r w:rsidRPr="00CC0674">
        <w:rPr>
          <w:rFonts w:ascii="Arial Narrow" w:hAnsi="Arial Narrow" w:cs="Arial"/>
          <w:sz w:val="18"/>
        </w:rPr>
        <w:t xml:space="preserve"> Calculated as 4.55% of ERCP procedures</w:t>
      </w:r>
    </w:p>
    <w:p w14:paraId="43E8E5F4" w14:textId="77777777" w:rsidR="00CC0674" w:rsidRPr="00CC0674" w:rsidRDefault="00CC0674" w:rsidP="00CC0674">
      <w:pPr>
        <w:spacing w:after="240"/>
        <w:contextualSpacing/>
        <w:jc w:val="both"/>
        <w:rPr>
          <w:rFonts w:ascii="Arial Narrow" w:hAnsi="Arial Narrow" w:cs="Arial"/>
          <w:sz w:val="18"/>
        </w:rPr>
      </w:pPr>
      <w:r w:rsidRPr="00CC0674">
        <w:rPr>
          <w:rFonts w:ascii="Arial Narrow" w:hAnsi="Arial Narrow" w:cs="Arial"/>
          <w:sz w:val="18"/>
          <w:vertAlign w:val="superscript"/>
        </w:rPr>
        <w:t>b</w:t>
      </w:r>
      <w:r w:rsidRPr="00CC0674">
        <w:rPr>
          <w:rFonts w:ascii="Arial Narrow" w:hAnsi="Arial Narrow" w:cs="Arial"/>
          <w:sz w:val="18"/>
        </w:rPr>
        <w:t xml:space="preserve"> 17% of initial POCPS procedures are repeated</w:t>
      </w:r>
    </w:p>
    <w:p w14:paraId="7A8029EA" w14:textId="110590C5" w:rsidR="00B25D4E" w:rsidRDefault="00CC0674" w:rsidP="00CC0674">
      <w:pPr>
        <w:spacing w:after="240"/>
        <w:contextualSpacing/>
        <w:jc w:val="both"/>
        <w:rPr>
          <w:rFonts w:ascii="Arial Narrow" w:hAnsi="Arial Narrow" w:cs="Arial"/>
          <w:sz w:val="18"/>
        </w:rPr>
      </w:pPr>
      <w:r w:rsidRPr="00CC0674">
        <w:rPr>
          <w:rFonts w:ascii="Arial Narrow" w:hAnsi="Arial Narrow" w:cs="Arial"/>
          <w:sz w:val="18"/>
          <w:vertAlign w:val="superscript"/>
        </w:rPr>
        <w:t xml:space="preserve">c </w:t>
      </w:r>
      <w:r w:rsidRPr="00CC0674">
        <w:rPr>
          <w:rFonts w:ascii="Arial Narrow" w:hAnsi="Arial Narrow" w:cs="Arial"/>
          <w:sz w:val="18"/>
        </w:rPr>
        <w:t>17% of initial ERCP procedures are repeated</w:t>
      </w:r>
    </w:p>
    <w:p w14:paraId="1D8F921C" w14:textId="64B295F0" w:rsidR="00CC41FB" w:rsidRPr="00CC41FB" w:rsidRDefault="00CC41FB" w:rsidP="00CC0674">
      <w:pPr>
        <w:spacing w:after="240"/>
        <w:contextualSpacing/>
        <w:jc w:val="both"/>
        <w:rPr>
          <w:rFonts w:ascii="Arial Narrow" w:hAnsi="Arial Narrow" w:cs="Arial"/>
          <w:sz w:val="18"/>
        </w:rPr>
      </w:pPr>
      <w:r>
        <w:rPr>
          <w:rFonts w:ascii="Arial Narrow" w:hAnsi="Arial Narrow" w:cs="Arial"/>
          <w:sz w:val="18"/>
          <w:vertAlign w:val="superscript"/>
        </w:rPr>
        <w:t>d</w:t>
      </w:r>
      <w:r>
        <w:rPr>
          <w:rFonts w:ascii="Arial Narrow" w:hAnsi="Arial Narrow" w:cs="Arial"/>
          <w:sz w:val="18"/>
        </w:rPr>
        <w:t xml:space="preserve"> Revised in the pre-MSAC response. </w:t>
      </w:r>
    </w:p>
    <w:p w14:paraId="21A8BED7" w14:textId="3CB021FB" w:rsidR="00B25D4E" w:rsidRDefault="00B25D4E" w:rsidP="00096324">
      <w:pPr>
        <w:pStyle w:val="BodyText"/>
        <w:spacing w:before="120" w:after="240" w:line="259" w:lineRule="auto"/>
        <w:rPr>
          <w:rFonts w:ascii="Franklin Gothic Book" w:eastAsiaTheme="minorHAnsi" w:hAnsi="Franklin Gothic Book" w:cstheme="minorBidi"/>
          <w:lang w:eastAsia="en-US"/>
        </w:rPr>
      </w:pPr>
      <w:r w:rsidRPr="00560219">
        <w:rPr>
          <w:rFonts w:ascii="Franklin Gothic Book" w:eastAsiaTheme="minorHAnsi" w:hAnsi="Franklin Gothic Book" w:cstheme="minorBidi"/>
          <w:iCs/>
          <w:lang w:eastAsia="en-US"/>
        </w:rPr>
        <w:t xml:space="preserve">The </w:t>
      </w:r>
      <w:r>
        <w:rPr>
          <w:rFonts w:ascii="Franklin Gothic Book" w:eastAsiaTheme="minorHAnsi" w:hAnsi="Franklin Gothic Book" w:cstheme="minorBidi"/>
          <w:iCs/>
          <w:lang w:eastAsia="en-US"/>
        </w:rPr>
        <w:t xml:space="preserve">MBS </w:t>
      </w:r>
      <w:r w:rsidRPr="00560219">
        <w:rPr>
          <w:rFonts w:ascii="Franklin Gothic Book" w:eastAsiaTheme="minorHAnsi" w:hAnsi="Franklin Gothic Book" w:cstheme="minorBidi"/>
          <w:iCs/>
          <w:lang w:eastAsia="en-US"/>
        </w:rPr>
        <w:t xml:space="preserve">cost of POCPS for the removal </w:t>
      </w:r>
      <w:r w:rsidR="007C0597">
        <w:rPr>
          <w:rFonts w:ascii="Franklin Gothic Book" w:eastAsiaTheme="minorHAnsi" w:hAnsi="Franklin Gothic Book" w:cstheme="minorBidi"/>
          <w:iCs/>
          <w:lang w:eastAsia="en-US"/>
        </w:rPr>
        <w:t>of</w:t>
      </w:r>
      <w:r w:rsidRPr="00560219">
        <w:rPr>
          <w:rFonts w:ascii="Franklin Gothic Book" w:eastAsiaTheme="minorHAnsi" w:hAnsi="Franklin Gothic Book" w:cstheme="minorBidi"/>
          <w:iCs/>
          <w:lang w:eastAsia="en-US"/>
        </w:rPr>
        <w:t xml:space="preserve"> difficult biliary stone</w:t>
      </w:r>
      <w:r w:rsidR="007C0597">
        <w:rPr>
          <w:rFonts w:ascii="Franklin Gothic Book" w:eastAsiaTheme="minorHAnsi" w:hAnsi="Franklin Gothic Book" w:cstheme="minorBidi"/>
          <w:iCs/>
          <w:lang w:eastAsia="en-US"/>
        </w:rPr>
        <w:t>s</w:t>
      </w:r>
      <w:r w:rsidRPr="00560219">
        <w:rPr>
          <w:rFonts w:ascii="Franklin Gothic Book" w:eastAsiaTheme="minorHAnsi" w:hAnsi="Franklin Gothic Book" w:cstheme="minorBidi"/>
          <w:iCs/>
          <w:lang w:eastAsia="en-US"/>
        </w:rPr>
        <w:t xml:space="preserve"> was estimated to be $55,30</w:t>
      </w:r>
      <w:r>
        <w:rPr>
          <w:rFonts w:ascii="Franklin Gothic Book" w:eastAsiaTheme="minorHAnsi" w:hAnsi="Franklin Gothic Book" w:cstheme="minorBidi"/>
          <w:iCs/>
          <w:lang w:eastAsia="en-US"/>
        </w:rPr>
        <w:t>9</w:t>
      </w:r>
      <w:r w:rsidRPr="00560219">
        <w:rPr>
          <w:rFonts w:ascii="Franklin Gothic Book" w:eastAsiaTheme="minorHAnsi" w:hAnsi="Franklin Gothic Book" w:cstheme="minorBidi"/>
          <w:iCs/>
          <w:lang w:eastAsia="en-US"/>
        </w:rPr>
        <w:t xml:space="preserve"> in 2022 increasing to $256,3</w:t>
      </w:r>
      <w:r>
        <w:rPr>
          <w:rFonts w:ascii="Franklin Gothic Book" w:eastAsiaTheme="minorHAnsi" w:hAnsi="Franklin Gothic Book" w:cstheme="minorBidi"/>
          <w:iCs/>
          <w:lang w:eastAsia="en-US"/>
        </w:rPr>
        <w:t>51</w:t>
      </w:r>
      <w:r w:rsidRPr="00560219">
        <w:rPr>
          <w:rFonts w:ascii="Franklin Gothic Book" w:eastAsiaTheme="minorHAnsi" w:hAnsi="Franklin Gothic Book" w:cstheme="minorBidi"/>
          <w:iCs/>
          <w:lang w:eastAsia="en-US"/>
        </w:rPr>
        <w:t xml:space="preserve"> in 2027. The financial impact of POCPS </w:t>
      </w:r>
      <w:r>
        <w:rPr>
          <w:rFonts w:ascii="Franklin Gothic Book" w:eastAsiaTheme="minorHAnsi" w:hAnsi="Franklin Gothic Book" w:cstheme="minorBidi"/>
          <w:iCs/>
          <w:lang w:eastAsia="en-US"/>
        </w:rPr>
        <w:t xml:space="preserve">to the MBS was </w:t>
      </w:r>
      <w:r w:rsidRPr="00560219">
        <w:rPr>
          <w:rFonts w:ascii="Franklin Gothic Book" w:eastAsiaTheme="minorHAnsi" w:hAnsi="Franklin Gothic Book" w:cstheme="minorBidi"/>
          <w:iCs/>
          <w:lang w:eastAsia="en-US"/>
        </w:rPr>
        <w:t>offset by changes in the utilisation of ERCP and laparoscopic choledochotomy</w:t>
      </w:r>
      <w:r>
        <w:rPr>
          <w:rFonts w:ascii="Franklin Gothic Book" w:eastAsiaTheme="minorHAnsi" w:hAnsi="Franklin Gothic Book" w:cstheme="minorBidi"/>
          <w:iCs/>
          <w:lang w:eastAsia="en-US"/>
        </w:rPr>
        <w:t xml:space="preserve">. </w:t>
      </w:r>
      <w:r w:rsidRPr="00560219">
        <w:rPr>
          <w:rFonts w:ascii="Franklin Gothic Book" w:eastAsiaTheme="minorHAnsi" w:hAnsi="Franklin Gothic Book" w:cstheme="minorBidi"/>
          <w:iCs/>
          <w:lang w:eastAsia="en-US"/>
        </w:rPr>
        <w:t xml:space="preserve"> </w:t>
      </w:r>
      <w:r w:rsidR="004F235F">
        <w:rPr>
          <w:rFonts w:ascii="Franklin Gothic Book" w:eastAsiaTheme="minorHAnsi" w:hAnsi="Franklin Gothic Book" w:cstheme="minorBidi"/>
          <w:iCs/>
          <w:lang w:eastAsia="en-US"/>
        </w:rPr>
        <w:t xml:space="preserve">The estimated net cost to the MBS  was </w:t>
      </w:r>
      <w:r w:rsidRPr="00560219">
        <w:rPr>
          <w:rFonts w:ascii="Franklin Gothic Book" w:eastAsiaTheme="minorHAnsi" w:hAnsi="Franklin Gothic Book" w:cstheme="minorBidi"/>
          <w:iCs/>
          <w:lang w:eastAsia="en-US"/>
        </w:rPr>
        <w:t>$1,76</w:t>
      </w:r>
      <w:r w:rsidR="004F235F">
        <w:rPr>
          <w:rFonts w:ascii="Franklin Gothic Book" w:eastAsiaTheme="minorHAnsi" w:hAnsi="Franklin Gothic Book" w:cstheme="minorBidi"/>
          <w:iCs/>
          <w:lang w:eastAsia="en-US"/>
        </w:rPr>
        <w:t>8</w:t>
      </w:r>
      <w:r w:rsidRPr="00560219">
        <w:rPr>
          <w:rFonts w:ascii="Franklin Gothic Book" w:eastAsiaTheme="minorHAnsi" w:hAnsi="Franklin Gothic Book" w:cstheme="minorBidi"/>
          <w:iCs/>
          <w:lang w:eastAsia="en-US"/>
        </w:rPr>
        <w:t xml:space="preserve"> in 2022 increasing to $8,19</w:t>
      </w:r>
      <w:r w:rsidR="004F235F">
        <w:rPr>
          <w:rFonts w:ascii="Franklin Gothic Book" w:eastAsiaTheme="minorHAnsi" w:hAnsi="Franklin Gothic Book" w:cstheme="minorBidi"/>
          <w:iCs/>
          <w:lang w:eastAsia="en-US"/>
        </w:rPr>
        <w:t xml:space="preserve">4 </w:t>
      </w:r>
      <w:r w:rsidRPr="00560219">
        <w:rPr>
          <w:rFonts w:ascii="Franklin Gothic Book" w:eastAsiaTheme="minorHAnsi" w:hAnsi="Franklin Gothic Book" w:cstheme="minorBidi"/>
          <w:iCs/>
          <w:lang w:eastAsia="en-US"/>
        </w:rPr>
        <w:t>in 2027.</w:t>
      </w:r>
      <w:r w:rsidRPr="003A6CC7">
        <w:rPr>
          <w:rFonts w:ascii="Franklin Gothic Book" w:eastAsiaTheme="minorHAnsi" w:hAnsi="Franklin Gothic Book" w:cstheme="minorBidi"/>
          <w:lang w:eastAsia="en-US"/>
        </w:rPr>
        <w:t xml:space="preserve"> </w:t>
      </w:r>
    </w:p>
    <w:p w14:paraId="61AE0C8E" w14:textId="28A71D17" w:rsidR="00B25D4E" w:rsidRDefault="004F235F" w:rsidP="00096324">
      <w:pPr>
        <w:pStyle w:val="BodyText"/>
        <w:spacing w:before="120" w:after="240" w:line="259" w:lineRule="auto"/>
        <w:rPr>
          <w:rFonts w:ascii="Franklin Gothic Book" w:eastAsiaTheme="minorHAnsi" w:hAnsi="Franklin Gothic Book" w:cstheme="minorBidi"/>
          <w:lang w:eastAsia="en-US"/>
        </w:rPr>
      </w:pPr>
      <w:r>
        <w:rPr>
          <w:rFonts w:ascii="Franklin Gothic Book" w:eastAsiaTheme="minorHAnsi" w:hAnsi="Franklin Gothic Book" w:cstheme="minorBidi"/>
          <w:lang w:eastAsia="en-US"/>
        </w:rPr>
        <w:t>The</w:t>
      </w:r>
      <w:r w:rsidR="00B25D4E" w:rsidRPr="00560219">
        <w:rPr>
          <w:rFonts w:ascii="Franklin Gothic Book" w:eastAsiaTheme="minorHAnsi" w:hAnsi="Franklin Gothic Book" w:cstheme="minorBidi"/>
          <w:lang w:eastAsia="en-US"/>
        </w:rPr>
        <w:t xml:space="preserve"> net cost of POCPS to the hospital budget</w:t>
      </w:r>
      <w:r>
        <w:rPr>
          <w:rFonts w:ascii="Franklin Gothic Book" w:eastAsiaTheme="minorHAnsi" w:hAnsi="Franklin Gothic Book" w:cstheme="minorBidi"/>
          <w:lang w:eastAsia="en-US"/>
        </w:rPr>
        <w:t>s</w:t>
      </w:r>
      <w:r w:rsidR="00B25D4E" w:rsidRPr="00560219">
        <w:rPr>
          <w:rFonts w:ascii="Franklin Gothic Book" w:eastAsiaTheme="minorHAnsi" w:hAnsi="Franklin Gothic Book" w:cstheme="minorBidi"/>
          <w:lang w:eastAsia="en-US"/>
        </w:rPr>
        <w:t xml:space="preserve"> was estimated to be </w:t>
      </w:r>
      <w:r w:rsidR="00CC41FB" w:rsidRPr="00CC41FB">
        <w:rPr>
          <w:rFonts w:ascii="Franklin Gothic Book" w:eastAsiaTheme="minorHAnsi" w:hAnsi="Franklin Gothic Book" w:cstheme="minorBidi"/>
          <w:lang w:eastAsia="en-US"/>
        </w:rPr>
        <w:t>-$16,502</w:t>
      </w:r>
      <w:r w:rsidR="00CC41FB">
        <w:rPr>
          <w:rFonts w:ascii="Franklin Gothic Book" w:eastAsiaTheme="minorHAnsi" w:hAnsi="Franklin Gothic Book" w:cstheme="minorBidi"/>
          <w:lang w:eastAsia="en-US"/>
        </w:rPr>
        <w:t xml:space="preserve"> </w:t>
      </w:r>
      <w:r w:rsidR="00B25D4E" w:rsidRPr="00560219">
        <w:rPr>
          <w:rFonts w:ascii="Franklin Gothic Book" w:eastAsiaTheme="minorHAnsi" w:hAnsi="Franklin Gothic Book" w:cstheme="minorBidi"/>
          <w:lang w:eastAsia="en-US"/>
        </w:rPr>
        <w:t xml:space="preserve">in 2022 increasing to </w:t>
      </w:r>
      <w:r w:rsidR="00CC41FB" w:rsidRPr="00CC41FB">
        <w:rPr>
          <w:rFonts w:ascii="Franklin Gothic Book" w:eastAsiaTheme="minorHAnsi" w:hAnsi="Franklin Gothic Book" w:cstheme="minorBidi"/>
          <w:lang w:eastAsia="en-US"/>
        </w:rPr>
        <w:t>-$76,486</w:t>
      </w:r>
      <w:r w:rsidR="00CC41FB">
        <w:rPr>
          <w:rFonts w:ascii="Franklin Gothic Book" w:eastAsiaTheme="minorHAnsi" w:hAnsi="Franklin Gothic Book" w:cstheme="minorBidi"/>
          <w:lang w:eastAsia="en-US"/>
        </w:rPr>
        <w:t xml:space="preserve"> </w:t>
      </w:r>
      <w:r w:rsidR="00B25D4E" w:rsidRPr="00560219">
        <w:rPr>
          <w:rFonts w:ascii="Franklin Gothic Book" w:eastAsiaTheme="minorHAnsi" w:hAnsi="Franklin Gothic Book" w:cstheme="minorBidi"/>
          <w:lang w:eastAsia="en-US"/>
        </w:rPr>
        <w:t>in 2027</w:t>
      </w:r>
      <w:r>
        <w:rPr>
          <w:rFonts w:ascii="Franklin Gothic Book" w:eastAsiaTheme="minorHAnsi" w:hAnsi="Franklin Gothic Book" w:cstheme="minorBidi"/>
          <w:lang w:eastAsia="en-US"/>
        </w:rPr>
        <w:t xml:space="preserve">, including reductions in repeated procedures. </w:t>
      </w:r>
    </w:p>
    <w:p w14:paraId="7E83CEFD" w14:textId="5FA56315" w:rsidR="00B25D4E" w:rsidRPr="008843C7" w:rsidRDefault="00891BEC" w:rsidP="00096324">
      <w:pPr>
        <w:spacing w:after="240"/>
        <w:rPr>
          <w:rFonts w:eastAsia="Calibri"/>
        </w:rPr>
      </w:pPr>
      <w:r w:rsidRPr="00964CEF">
        <w:rPr>
          <w:rFonts w:eastAsia="Calibri"/>
        </w:rPr>
        <w:t xml:space="preserve">The net financial impact of POCPS for therapeutic application </w:t>
      </w:r>
      <w:r>
        <w:rPr>
          <w:rFonts w:eastAsia="Calibri"/>
        </w:rPr>
        <w:t>is</w:t>
      </w:r>
      <w:r w:rsidRPr="00964CEF">
        <w:rPr>
          <w:rFonts w:eastAsia="Calibri"/>
        </w:rPr>
        <w:t xml:space="preserve"> summarised in the</w:t>
      </w:r>
      <w:r>
        <w:rPr>
          <w:rFonts w:eastAsia="Calibri"/>
        </w:rPr>
        <w:t xml:space="preserve"> </w:t>
      </w:r>
      <w:r>
        <w:rPr>
          <w:rFonts w:eastAsia="Calibri"/>
        </w:rPr>
        <w:fldChar w:fldCharType="begin"/>
      </w:r>
      <w:r>
        <w:rPr>
          <w:rFonts w:eastAsia="Calibri"/>
        </w:rPr>
        <w:instrText xml:space="preserve"> REF _Ref96935524 \h </w:instrText>
      </w:r>
      <w:r>
        <w:rPr>
          <w:rFonts w:eastAsia="Calibri"/>
        </w:rPr>
      </w:r>
      <w:r>
        <w:rPr>
          <w:rFonts w:eastAsia="Calibri"/>
        </w:rPr>
        <w:fldChar w:fldCharType="separate"/>
      </w:r>
      <w:r w:rsidR="00D422BC">
        <w:t xml:space="preserve">Table </w:t>
      </w:r>
      <w:r w:rsidR="00D422BC">
        <w:rPr>
          <w:noProof/>
        </w:rPr>
        <w:t>30</w:t>
      </w:r>
      <w:r>
        <w:rPr>
          <w:rFonts w:eastAsia="Calibri"/>
        </w:rPr>
        <w:fldChar w:fldCharType="end"/>
      </w:r>
      <w:r w:rsidRPr="00964CEF">
        <w:rPr>
          <w:rFonts w:eastAsia="Calibri"/>
        </w:rPr>
        <w:t>, and further detailed in the sections below.</w:t>
      </w:r>
    </w:p>
    <w:p w14:paraId="6BF0EA71" w14:textId="3FF87F5C" w:rsidR="00CC0674" w:rsidRDefault="00CC0674" w:rsidP="00CC0674">
      <w:pPr>
        <w:pStyle w:val="Caption"/>
      </w:pPr>
      <w:bookmarkStart w:id="150" w:name="_Ref96935524"/>
      <w:r>
        <w:t xml:space="preserve">Table </w:t>
      </w:r>
      <w:fldSimple w:instr=" SEQ Table \* ARABIC ">
        <w:r w:rsidR="00D422BC">
          <w:rPr>
            <w:noProof/>
          </w:rPr>
          <w:t>30</w:t>
        </w:r>
      </w:fldSimple>
      <w:bookmarkEnd w:id="150"/>
      <w:r>
        <w:t xml:space="preserve">: </w:t>
      </w:r>
      <w:r w:rsidRPr="00CC0674">
        <w:t xml:space="preserve">Net financial impact of POCPS for </w:t>
      </w:r>
      <w:r>
        <w:t>indeterminate biliary strictures</w:t>
      </w:r>
    </w:p>
    <w:tbl>
      <w:tblPr>
        <w:tblStyle w:val="TableGrid1"/>
        <w:tblW w:w="0" w:type="auto"/>
        <w:tblCellMar>
          <w:left w:w="0" w:type="dxa"/>
          <w:right w:w="0" w:type="dxa"/>
        </w:tblCellMar>
        <w:tblLook w:val="04A0" w:firstRow="1" w:lastRow="0" w:firstColumn="1" w:lastColumn="0" w:noHBand="0" w:noVBand="1"/>
        <w:tblDescription w:val="Net financial impact of POCPS for indeterminate biliary strictures"/>
      </w:tblPr>
      <w:tblGrid>
        <w:gridCol w:w="2243"/>
        <w:gridCol w:w="1044"/>
        <w:gridCol w:w="1044"/>
        <w:gridCol w:w="1044"/>
        <w:gridCol w:w="1121"/>
        <w:gridCol w:w="1255"/>
        <w:gridCol w:w="1255"/>
      </w:tblGrid>
      <w:tr w:rsidR="00CC0674" w:rsidRPr="00CC0674" w14:paraId="7478A0FE" w14:textId="77777777" w:rsidTr="00D237DA">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091635" w14:textId="77777777" w:rsidR="00CC0674" w:rsidRPr="00CC0674" w:rsidRDefault="00CC0674" w:rsidP="00CC0674">
            <w:pPr>
              <w:keepNext/>
              <w:spacing w:before="40"/>
              <w:rPr>
                <w:rFonts w:ascii="Arial Narrow" w:hAnsi="Arial Narrow"/>
                <w:b/>
                <w:bCs/>
              </w:rPr>
            </w:pPr>
            <w:r w:rsidRPr="00CC0674">
              <w:rPr>
                <w:rFonts w:ascii="Arial Narrow" w:hAnsi="Arial Narrow"/>
                <w:b/>
                <w:bCs/>
              </w:rPr>
              <w:t xml:space="preserve">Parameter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A5A6C7" w14:textId="77777777" w:rsidR="00CC0674" w:rsidRPr="00CC0674" w:rsidRDefault="00CC0674" w:rsidP="00CC0674">
            <w:pPr>
              <w:keepNext/>
              <w:spacing w:before="40"/>
              <w:jc w:val="center"/>
              <w:rPr>
                <w:rFonts w:ascii="Arial Narrow" w:hAnsi="Arial Narrow"/>
                <w:b/>
                <w:bCs/>
              </w:rPr>
            </w:pPr>
            <w:r w:rsidRPr="00CC0674">
              <w:rPr>
                <w:rFonts w:ascii="Arial Narrow" w:hAnsi="Arial Narrow"/>
                <w:b/>
                <w:bCs/>
              </w:rPr>
              <w:t>Year 1 (2022)</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FBEA9F" w14:textId="77777777" w:rsidR="00CC0674" w:rsidRPr="00CC0674" w:rsidRDefault="00CC0674" w:rsidP="00CC0674">
            <w:pPr>
              <w:keepNext/>
              <w:spacing w:before="40"/>
              <w:jc w:val="center"/>
              <w:rPr>
                <w:rFonts w:ascii="Arial Narrow" w:hAnsi="Arial Narrow"/>
                <w:b/>
                <w:bCs/>
              </w:rPr>
            </w:pPr>
            <w:r w:rsidRPr="00CC0674">
              <w:rPr>
                <w:rFonts w:ascii="Arial Narrow" w:hAnsi="Arial Narrow"/>
                <w:b/>
                <w:bCs/>
              </w:rPr>
              <w:t>Year 2 (2023)</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64B6CC" w14:textId="77777777" w:rsidR="00CC0674" w:rsidRPr="00CC0674" w:rsidRDefault="00CC0674" w:rsidP="00CC0674">
            <w:pPr>
              <w:keepNext/>
              <w:spacing w:before="40"/>
              <w:jc w:val="center"/>
              <w:rPr>
                <w:rFonts w:ascii="Arial Narrow" w:hAnsi="Arial Narrow"/>
                <w:b/>
                <w:bCs/>
              </w:rPr>
            </w:pPr>
            <w:r w:rsidRPr="00CC0674">
              <w:rPr>
                <w:rFonts w:ascii="Arial Narrow" w:hAnsi="Arial Narrow"/>
                <w:b/>
                <w:bCs/>
              </w:rPr>
              <w:t>Year 3 (2024)</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C56C35" w14:textId="77777777" w:rsidR="00CC0674" w:rsidRPr="00CC0674" w:rsidRDefault="00CC0674" w:rsidP="00CC0674">
            <w:pPr>
              <w:keepNext/>
              <w:spacing w:before="40"/>
              <w:jc w:val="center"/>
              <w:rPr>
                <w:rFonts w:ascii="Arial Narrow" w:hAnsi="Arial Narrow"/>
                <w:b/>
                <w:bCs/>
              </w:rPr>
            </w:pPr>
            <w:r w:rsidRPr="00CC0674">
              <w:rPr>
                <w:rFonts w:ascii="Arial Narrow" w:hAnsi="Arial Narrow"/>
                <w:b/>
                <w:bCs/>
              </w:rPr>
              <w:t>Year 4 (2025)</w:t>
            </w:r>
          </w:p>
        </w:tc>
        <w:tc>
          <w:tcPr>
            <w:tcW w:w="12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D4D44B" w14:textId="77777777" w:rsidR="00CC0674" w:rsidRPr="00CC0674" w:rsidRDefault="00CC0674" w:rsidP="00CC0674">
            <w:pPr>
              <w:keepNext/>
              <w:spacing w:before="40"/>
              <w:jc w:val="center"/>
              <w:rPr>
                <w:rFonts w:ascii="Arial Narrow" w:hAnsi="Arial Narrow"/>
                <w:b/>
                <w:bCs/>
              </w:rPr>
            </w:pPr>
            <w:r w:rsidRPr="00CC0674">
              <w:rPr>
                <w:rFonts w:ascii="Arial Narrow" w:hAnsi="Arial Narrow"/>
                <w:b/>
                <w:bCs/>
              </w:rPr>
              <w:t>Year 5 (2026)</w:t>
            </w:r>
          </w:p>
        </w:tc>
        <w:tc>
          <w:tcPr>
            <w:tcW w:w="12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E11893" w14:textId="77777777" w:rsidR="00CC0674" w:rsidRPr="00CC0674" w:rsidRDefault="00CC0674" w:rsidP="00CC0674">
            <w:pPr>
              <w:keepNext/>
              <w:spacing w:before="40"/>
              <w:jc w:val="center"/>
              <w:rPr>
                <w:rFonts w:ascii="Arial Narrow" w:hAnsi="Arial Narrow"/>
                <w:b/>
                <w:bCs/>
              </w:rPr>
            </w:pPr>
            <w:r w:rsidRPr="00CC0674">
              <w:rPr>
                <w:rFonts w:ascii="Arial Narrow" w:hAnsi="Arial Narrow"/>
                <w:b/>
                <w:bCs/>
              </w:rPr>
              <w:t>Year 6 (2027)</w:t>
            </w:r>
          </w:p>
        </w:tc>
      </w:tr>
      <w:tr w:rsidR="00CC0674" w:rsidRPr="00CC0674" w14:paraId="7262E42B" w14:textId="77777777" w:rsidTr="003A6CC7">
        <w:tc>
          <w:tcPr>
            <w:tcW w:w="0" w:type="auto"/>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C533D9" w14:textId="3619298C" w:rsidR="00CC0674" w:rsidRPr="00CC0674" w:rsidRDefault="00CC0674" w:rsidP="00CC0674">
            <w:pPr>
              <w:keepNext/>
              <w:spacing w:before="40"/>
              <w:rPr>
                <w:rFonts w:ascii="Arial Narrow" w:hAnsi="Arial Narrow"/>
                <w:b/>
                <w:bCs/>
              </w:rPr>
            </w:pPr>
            <w:r w:rsidRPr="00CC0674">
              <w:rPr>
                <w:rFonts w:ascii="Arial Narrow" w:hAnsi="Arial Narrow"/>
                <w:b/>
                <w:bCs/>
              </w:rPr>
              <w:t xml:space="preserve">Estimated use and cost </w:t>
            </w:r>
            <w:r w:rsidR="00753A67" w:rsidRPr="00CC0674">
              <w:rPr>
                <w:rFonts w:ascii="Arial Narrow" w:hAnsi="Arial Narrow"/>
                <w:b/>
                <w:bCs/>
              </w:rPr>
              <w:t xml:space="preserve">of </w:t>
            </w:r>
            <w:r w:rsidR="00753A67">
              <w:rPr>
                <w:rFonts w:ascii="Arial Narrow" w:hAnsi="Arial Narrow"/>
                <w:b/>
                <w:bCs/>
              </w:rPr>
              <w:t xml:space="preserve">POCPS for </w:t>
            </w:r>
            <w:r w:rsidR="00753A67" w:rsidRPr="00753A67">
              <w:rPr>
                <w:rFonts w:ascii="Arial Narrow" w:hAnsi="Arial Narrow"/>
                <w:b/>
                <w:bCs/>
              </w:rPr>
              <w:t>indeterminate biliary strictures</w:t>
            </w:r>
          </w:p>
        </w:tc>
      </w:tr>
      <w:tr w:rsidR="00CC0674" w:rsidRPr="00CC0674" w14:paraId="0F063228" w14:textId="77777777" w:rsidTr="00D237D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84BBE" w14:textId="77777777" w:rsidR="00CC0674" w:rsidRPr="00CC0674" w:rsidRDefault="00CC0674" w:rsidP="00CC0674">
            <w:pPr>
              <w:keepNext/>
              <w:spacing w:before="40"/>
              <w:rPr>
                <w:rFonts w:ascii="Arial Narrow" w:hAnsi="Arial Narrow"/>
                <w:vertAlign w:val="superscript"/>
              </w:rPr>
            </w:pPr>
            <w:r w:rsidRPr="00CC0674">
              <w:rPr>
                <w:rFonts w:ascii="Arial Narrow" w:hAnsi="Arial Narrow"/>
              </w:rPr>
              <w:t xml:space="preserve">ERCP for indeterminate biliary strictures </w:t>
            </w:r>
            <w:r w:rsidRPr="00CC0674">
              <w:rPr>
                <w:rFonts w:ascii="Arial Narrow" w:hAnsi="Arial Narrow"/>
                <w:vertAlign w:val="superscript"/>
              </w:rPr>
              <w:t>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2DE9742" w14:textId="77777777" w:rsidR="00CC0674" w:rsidRPr="00CC0674" w:rsidRDefault="00CC0674" w:rsidP="00CC0674">
            <w:pPr>
              <w:keepNext/>
              <w:spacing w:before="40"/>
              <w:jc w:val="center"/>
              <w:rPr>
                <w:rFonts w:ascii="Arial Narrow" w:hAnsi="Arial Narrow"/>
              </w:rPr>
            </w:pPr>
            <w:r w:rsidRPr="00CC0674">
              <w:rPr>
                <w:rFonts w:ascii="Arial Narrow" w:hAnsi="Arial Narrow"/>
              </w:rPr>
              <w:t>203</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05D93A5" w14:textId="77777777" w:rsidR="00CC0674" w:rsidRPr="00CC0674" w:rsidRDefault="00CC0674" w:rsidP="00CC0674">
            <w:pPr>
              <w:keepNext/>
              <w:spacing w:before="40"/>
              <w:jc w:val="center"/>
              <w:rPr>
                <w:rFonts w:ascii="Arial Narrow" w:hAnsi="Arial Narrow"/>
              </w:rPr>
            </w:pPr>
            <w:r w:rsidRPr="00CC0674">
              <w:rPr>
                <w:rFonts w:ascii="Arial Narrow" w:hAnsi="Arial Narrow"/>
              </w:rPr>
              <w:t>211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0F60485" w14:textId="77777777" w:rsidR="00CC0674" w:rsidRPr="00CC0674" w:rsidRDefault="00CC0674" w:rsidP="00CC0674">
            <w:pPr>
              <w:keepNext/>
              <w:spacing w:before="40"/>
              <w:jc w:val="center"/>
              <w:rPr>
                <w:rFonts w:ascii="Arial Narrow" w:hAnsi="Arial Narrow"/>
              </w:rPr>
            </w:pPr>
            <w:r w:rsidRPr="00CC0674">
              <w:rPr>
                <w:rFonts w:ascii="Arial Narrow" w:hAnsi="Arial Narrow"/>
              </w:rPr>
              <w:t>219</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9184B98" w14:textId="77777777" w:rsidR="00CC0674" w:rsidRPr="00CC0674" w:rsidRDefault="00CC0674" w:rsidP="00CC0674">
            <w:pPr>
              <w:keepNext/>
              <w:spacing w:before="40"/>
              <w:jc w:val="center"/>
              <w:rPr>
                <w:rFonts w:ascii="Arial Narrow" w:hAnsi="Arial Narrow"/>
              </w:rPr>
            </w:pPr>
            <w:r w:rsidRPr="00CC0674">
              <w:rPr>
                <w:rFonts w:ascii="Arial Narrow" w:hAnsi="Arial Narrow"/>
              </w:rPr>
              <w:t>227</w:t>
            </w:r>
          </w:p>
        </w:tc>
        <w:tc>
          <w:tcPr>
            <w:tcW w:w="1255" w:type="dxa"/>
            <w:tcBorders>
              <w:top w:val="nil"/>
              <w:left w:val="nil"/>
              <w:bottom w:val="single" w:sz="8" w:space="0" w:color="auto"/>
              <w:right w:val="single" w:sz="8" w:space="0" w:color="auto"/>
            </w:tcBorders>
            <w:tcMar>
              <w:top w:w="0" w:type="dxa"/>
              <w:left w:w="108" w:type="dxa"/>
              <w:bottom w:w="0" w:type="dxa"/>
              <w:right w:w="108" w:type="dxa"/>
            </w:tcMar>
          </w:tcPr>
          <w:p w14:paraId="0418C191" w14:textId="77777777" w:rsidR="00CC0674" w:rsidRPr="00CC0674" w:rsidRDefault="00CC0674" w:rsidP="00CC0674">
            <w:pPr>
              <w:keepNext/>
              <w:spacing w:before="40"/>
              <w:jc w:val="center"/>
              <w:rPr>
                <w:rFonts w:ascii="Arial Narrow" w:hAnsi="Arial Narrow"/>
              </w:rPr>
            </w:pPr>
            <w:r w:rsidRPr="00CC0674">
              <w:rPr>
                <w:rFonts w:ascii="Arial Narrow" w:hAnsi="Arial Narrow"/>
              </w:rPr>
              <w:t>235</w:t>
            </w:r>
          </w:p>
        </w:tc>
        <w:tc>
          <w:tcPr>
            <w:tcW w:w="1255" w:type="dxa"/>
            <w:tcBorders>
              <w:top w:val="nil"/>
              <w:left w:val="nil"/>
              <w:bottom w:val="single" w:sz="8" w:space="0" w:color="auto"/>
              <w:right w:val="single" w:sz="8" w:space="0" w:color="auto"/>
            </w:tcBorders>
            <w:tcMar>
              <w:top w:w="0" w:type="dxa"/>
              <w:left w:w="108" w:type="dxa"/>
              <w:bottom w:w="0" w:type="dxa"/>
              <w:right w:w="108" w:type="dxa"/>
            </w:tcMar>
          </w:tcPr>
          <w:p w14:paraId="44C685C2" w14:textId="77777777" w:rsidR="00CC0674" w:rsidRPr="00CC0674" w:rsidRDefault="00CC0674" w:rsidP="00CC0674">
            <w:pPr>
              <w:keepNext/>
              <w:spacing w:before="40"/>
              <w:jc w:val="center"/>
              <w:rPr>
                <w:rFonts w:ascii="Arial Narrow" w:hAnsi="Arial Narrow"/>
              </w:rPr>
            </w:pPr>
            <w:r w:rsidRPr="00CC0674">
              <w:rPr>
                <w:rFonts w:ascii="Arial Narrow" w:hAnsi="Arial Narrow"/>
              </w:rPr>
              <w:t>244</w:t>
            </w:r>
          </w:p>
        </w:tc>
      </w:tr>
      <w:tr w:rsidR="00CC0674" w:rsidRPr="00CC0674" w14:paraId="0BACD6BC" w14:textId="77777777" w:rsidTr="00D237D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7BBED15D" w14:textId="77777777" w:rsidR="00CC0674" w:rsidRPr="00CC0674" w:rsidRDefault="00CC0674" w:rsidP="00CC0674">
            <w:pPr>
              <w:keepNext/>
              <w:spacing w:before="40"/>
              <w:rPr>
                <w:rFonts w:ascii="Arial Narrow" w:hAnsi="Arial Narrow"/>
              </w:rPr>
            </w:pPr>
            <w:r w:rsidRPr="00CC0674">
              <w:rPr>
                <w:rFonts w:ascii="Arial Narrow" w:hAnsi="Arial Narrow"/>
              </w:rPr>
              <w:t>POCPS uptake</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272DCC3" w14:textId="77777777" w:rsidR="00CC0674" w:rsidRPr="00CC0674" w:rsidRDefault="00CC0674" w:rsidP="00CC0674">
            <w:pPr>
              <w:keepNext/>
              <w:spacing w:before="40"/>
              <w:jc w:val="center"/>
              <w:rPr>
                <w:rFonts w:ascii="Arial Narrow" w:hAnsi="Arial Narrow"/>
              </w:rPr>
            </w:pPr>
            <w:r w:rsidRPr="00CC0674">
              <w:rPr>
                <w:rFonts w:ascii="Arial Narrow" w:hAnsi="Arial Narrow"/>
              </w:rPr>
              <w:t>13%</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B8C07F8" w14:textId="77777777" w:rsidR="00CC0674" w:rsidRPr="00CC0674" w:rsidRDefault="00CC0674" w:rsidP="00CC0674">
            <w:pPr>
              <w:keepNext/>
              <w:spacing w:before="40"/>
              <w:jc w:val="center"/>
              <w:rPr>
                <w:rFonts w:ascii="Arial Narrow" w:hAnsi="Arial Narrow"/>
              </w:rPr>
            </w:pPr>
            <w:r w:rsidRPr="00CC0674">
              <w:rPr>
                <w:rFonts w:ascii="Arial Narrow" w:hAnsi="Arial Narrow"/>
              </w:rPr>
              <w:t>17%</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61A9AD8" w14:textId="77777777" w:rsidR="00CC0674" w:rsidRPr="00CC0674" w:rsidRDefault="00CC0674" w:rsidP="00CC0674">
            <w:pPr>
              <w:keepNext/>
              <w:spacing w:before="40"/>
              <w:jc w:val="center"/>
              <w:rPr>
                <w:rFonts w:ascii="Arial Narrow" w:hAnsi="Arial Narrow"/>
              </w:rPr>
            </w:pPr>
            <w:r w:rsidRPr="00CC0674">
              <w:rPr>
                <w:rFonts w:ascii="Arial Narrow" w:hAnsi="Arial Narrow"/>
              </w:rPr>
              <w:t>22%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5B34415" w14:textId="77777777" w:rsidR="00CC0674" w:rsidRPr="00CC0674" w:rsidRDefault="00CC0674" w:rsidP="00CC0674">
            <w:pPr>
              <w:keepNext/>
              <w:spacing w:before="40"/>
              <w:jc w:val="center"/>
              <w:rPr>
                <w:rFonts w:ascii="Arial Narrow" w:hAnsi="Arial Narrow"/>
              </w:rPr>
            </w:pPr>
            <w:r w:rsidRPr="00CC0674">
              <w:rPr>
                <w:rFonts w:ascii="Arial Narrow" w:hAnsi="Arial Narrow"/>
              </w:rPr>
              <w:t>29%</w:t>
            </w:r>
          </w:p>
        </w:tc>
        <w:tc>
          <w:tcPr>
            <w:tcW w:w="1255" w:type="dxa"/>
            <w:tcBorders>
              <w:top w:val="nil"/>
              <w:left w:val="nil"/>
              <w:bottom w:val="single" w:sz="8" w:space="0" w:color="auto"/>
              <w:right w:val="single" w:sz="8" w:space="0" w:color="auto"/>
            </w:tcBorders>
            <w:tcMar>
              <w:top w:w="0" w:type="dxa"/>
              <w:left w:w="108" w:type="dxa"/>
              <w:bottom w:w="0" w:type="dxa"/>
              <w:right w:w="108" w:type="dxa"/>
            </w:tcMar>
          </w:tcPr>
          <w:p w14:paraId="7947BDF4" w14:textId="77777777" w:rsidR="00CC0674" w:rsidRPr="00CC0674" w:rsidRDefault="00CC0674" w:rsidP="00CC0674">
            <w:pPr>
              <w:keepNext/>
              <w:spacing w:before="40"/>
              <w:jc w:val="center"/>
              <w:rPr>
                <w:rFonts w:ascii="Arial Narrow" w:hAnsi="Arial Narrow"/>
              </w:rPr>
            </w:pPr>
            <w:r w:rsidRPr="00CC0674">
              <w:rPr>
                <w:rFonts w:ascii="Arial Narrow" w:hAnsi="Arial Narrow"/>
              </w:rPr>
              <w:t>39%</w:t>
            </w:r>
          </w:p>
        </w:tc>
        <w:tc>
          <w:tcPr>
            <w:tcW w:w="1255" w:type="dxa"/>
            <w:tcBorders>
              <w:top w:val="nil"/>
              <w:left w:val="nil"/>
              <w:bottom w:val="single" w:sz="8" w:space="0" w:color="auto"/>
              <w:right w:val="single" w:sz="8" w:space="0" w:color="auto"/>
            </w:tcBorders>
            <w:tcMar>
              <w:top w:w="0" w:type="dxa"/>
              <w:left w:w="108" w:type="dxa"/>
              <w:bottom w:w="0" w:type="dxa"/>
              <w:right w:w="108" w:type="dxa"/>
            </w:tcMar>
          </w:tcPr>
          <w:p w14:paraId="504F423C" w14:textId="77777777" w:rsidR="00CC0674" w:rsidRPr="00CC0674" w:rsidRDefault="00CC0674" w:rsidP="00CC0674">
            <w:pPr>
              <w:keepNext/>
              <w:spacing w:before="40"/>
              <w:jc w:val="center"/>
              <w:rPr>
                <w:rFonts w:ascii="Arial Narrow" w:hAnsi="Arial Narrow"/>
              </w:rPr>
            </w:pPr>
            <w:r w:rsidRPr="00CC0674">
              <w:rPr>
                <w:rFonts w:ascii="Arial Narrow" w:hAnsi="Arial Narrow"/>
              </w:rPr>
              <w:t>51%</w:t>
            </w:r>
          </w:p>
        </w:tc>
      </w:tr>
      <w:tr w:rsidR="00CC0674" w:rsidRPr="00CC0674" w14:paraId="2AB5BD04" w14:textId="77777777" w:rsidTr="00D237D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B6A319" w14:textId="77777777" w:rsidR="00CC0674" w:rsidRPr="00CC0674" w:rsidRDefault="00CC0674" w:rsidP="00CC0674">
            <w:pPr>
              <w:keepNext/>
              <w:spacing w:before="40"/>
              <w:rPr>
                <w:rFonts w:ascii="Arial Narrow" w:hAnsi="Arial Narrow"/>
                <w:vertAlign w:val="superscript"/>
              </w:rPr>
            </w:pPr>
            <w:r w:rsidRPr="00CC0674">
              <w:rPr>
                <w:rFonts w:ascii="Arial Narrow" w:hAnsi="Arial Narrow"/>
              </w:rPr>
              <w:t xml:space="preserve">POCPS services </w:t>
            </w:r>
            <w:r w:rsidRPr="00CC0674">
              <w:rPr>
                <w:rFonts w:ascii="Arial Narrow" w:hAnsi="Arial Narrow"/>
                <w:vertAlign w:val="superscript"/>
              </w:rPr>
              <w:t>b</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99B9D6B" w14:textId="77777777" w:rsidR="00CC0674" w:rsidRPr="00CC0674" w:rsidRDefault="00CC0674" w:rsidP="00CC0674">
            <w:pPr>
              <w:keepNext/>
              <w:spacing w:before="40"/>
              <w:jc w:val="center"/>
              <w:rPr>
                <w:rFonts w:ascii="Arial Narrow" w:hAnsi="Arial Narrow"/>
              </w:rPr>
            </w:pPr>
            <w:r w:rsidRPr="00CC0674">
              <w:rPr>
                <w:rFonts w:ascii="Arial Narrow" w:hAnsi="Arial Narrow"/>
              </w:rPr>
              <w:t>29</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1F2F992" w14:textId="77777777" w:rsidR="00CC0674" w:rsidRPr="00CC0674" w:rsidRDefault="00CC0674" w:rsidP="00CC0674">
            <w:pPr>
              <w:keepNext/>
              <w:spacing w:before="40"/>
              <w:jc w:val="center"/>
              <w:rPr>
                <w:rFonts w:ascii="Arial Narrow" w:hAnsi="Arial Narrow"/>
              </w:rPr>
            </w:pPr>
            <w:r w:rsidRPr="00CC0674">
              <w:rPr>
                <w:rFonts w:ascii="Arial Narrow" w:hAnsi="Arial Narrow"/>
              </w:rPr>
              <w:t>40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15D4A67" w14:textId="77777777" w:rsidR="00CC0674" w:rsidRPr="00CC0674" w:rsidRDefault="00CC0674" w:rsidP="00CC0674">
            <w:pPr>
              <w:keepNext/>
              <w:spacing w:before="40"/>
              <w:jc w:val="center"/>
              <w:rPr>
                <w:rFonts w:ascii="Arial Narrow" w:hAnsi="Arial Narrow"/>
              </w:rPr>
            </w:pPr>
            <w:r w:rsidRPr="00CC0674">
              <w:rPr>
                <w:rFonts w:ascii="Arial Narrow" w:hAnsi="Arial Narrow"/>
              </w:rPr>
              <w:t>54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2FC2EA1" w14:textId="77777777" w:rsidR="00CC0674" w:rsidRPr="00CC0674" w:rsidRDefault="00CC0674" w:rsidP="00CC0674">
            <w:pPr>
              <w:keepNext/>
              <w:spacing w:before="40"/>
              <w:jc w:val="center"/>
              <w:rPr>
                <w:rFonts w:ascii="Arial Narrow" w:hAnsi="Arial Narrow"/>
              </w:rPr>
            </w:pPr>
            <w:r w:rsidRPr="00CC0674">
              <w:rPr>
                <w:rFonts w:ascii="Arial Narrow" w:hAnsi="Arial Narrow"/>
              </w:rPr>
              <w:t>73</w:t>
            </w:r>
          </w:p>
        </w:tc>
        <w:tc>
          <w:tcPr>
            <w:tcW w:w="1255" w:type="dxa"/>
            <w:tcBorders>
              <w:top w:val="nil"/>
              <w:left w:val="nil"/>
              <w:bottom w:val="single" w:sz="8" w:space="0" w:color="auto"/>
              <w:right w:val="single" w:sz="8" w:space="0" w:color="auto"/>
            </w:tcBorders>
            <w:tcMar>
              <w:top w:w="0" w:type="dxa"/>
              <w:left w:w="108" w:type="dxa"/>
              <w:bottom w:w="0" w:type="dxa"/>
              <w:right w:w="108" w:type="dxa"/>
            </w:tcMar>
          </w:tcPr>
          <w:p w14:paraId="0F95AED5" w14:textId="77777777" w:rsidR="00CC0674" w:rsidRPr="00CC0674" w:rsidRDefault="00CC0674" w:rsidP="00CC0674">
            <w:pPr>
              <w:keepNext/>
              <w:spacing w:before="40"/>
              <w:jc w:val="center"/>
              <w:rPr>
                <w:rFonts w:ascii="Arial Narrow" w:hAnsi="Arial Narrow"/>
              </w:rPr>
            </w:pPr>
            <w:r w:rsidRPr="00CC0674">
              <w:rPr>
                <w:rFonts w:ascii="Arial Narrow" w:hAnsi="Arial Narrow"/>
              </w:rPr>
              <w:t>100</w:t>
            </w:r>
          </w:p>
        </w:tc>
        <w:tc>
          <w:tcPr>
            <w:tcW w:w="1255" w:type="dxa"/>
            <w:tcBorders>
              <w:top w:val="nil"/>
              <w:left w:val="nil"/>
              <w:bottom w:val="single" w:sz="8" w:space="0" w:color="auto"/>
              <w:right w:val="single" w:sz="8" w:space="0" w:color="auto"/>
            </w:tcBorders>
            <w:tcMar>
              <w:top w:w="0" w:type="dxa"/>
              <w:left w:w="108" w:type="dxa"/>
              <w:bottom w:w="0" w:type="dxa"/>
              <w:right w:w="108" w:type="dxa"/>
            </w:tcMar>
          </w:tcPr>
          <w:p w14:paraId="7C60DAC5" w14:textId="77777777" w:rsidR="00CC0674" w:rsidRPr="00CC0674" w:rsidRDefault="00CC0674" w:rsidP="00CC0674">
            <w:pPr>
              <w:keepNext/>
              <w:spacing w:before="40"/>
              <w:jc w:val="center"/>
              <w:rPr>
                <w:rFonts w:ascii="Arial Narrow" w:hAnsi="Arial Narrow"/>
              </w:rPr>
            </w:pPr>
            <w:r w:rsidRPr="00CC0674">
              <w:rPr>
                <w:rFonts w:ascii="Arial Narrow" w:hAnsi="Arial Narrow"/>
              </w:rPr>
              <w:t>135</w:t>
            </w:r>
          </w:p>
        </w:tc>
      </w:tr>
      <w:tr w:rsidR="00CC0674" w:rsidRPr="00CC0674" w14:paraId="50551217" w14:textId="77777777" w:rsidTr="00D237D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19210943" w14:textId="77777777" w:rsidR="00CC0674" w:rsidRPr="00CC0674" w:rsidRDefault="00CC0674" w:rsidP="00CC0674">
            <w:pPr>
              <w:keepNext/>
              <w:spacing w:before="40"/>
              <w:rPr>
                <w:rFonts w:ascii="Arial Narrow" w:hAnsi="Arial Narrow"/>
              </w:rPr>
            </w:pPr>
            <w:r w:rsidRPr="00CC0674">
              <w:rPr>
                <w:rFonts w:ascii="Arial Narrow" w:hAnsi="Arial Narrow"/>
              </w:rPr>
              <w:t>Cost to the MBS</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36D1BC5" w14:textId="77777777" w:rsidR="00CC0674" w:rsidRPr="00CC0674" w:rsidRDefault="00CC0674" w:rsidP="00CC0674">
            <w:pPr>
              <w:keepNext/>
              <w:spacing w:before="40"/>
              <w:jc w:val="center"/>
              <w:rPr>
                <w:rFonts w:ascii="Arial Narrow" w:hAnsi="Arial Narrow"/>
              </w:rPr>
            </w:pPr>
            <w:r w:rsidRPr="00CC0674">
              <w:rPr>
                <w:rFonts w:ascii="Arial Narrow" w:hAnsi="Arial Narrow"/>
              </w:rPr>
              <w:t>$26,596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BCF1289" w14:textId="77777777" w:rsidR="00CC0674" w:rsidRPr="00CC0674" w:rsidRDefault="00CC0674" w:rsidP="00CC0674">
            <w:pPr>
              <w:keepNext/>
              <w:spacing w:before="40"/>
              <w:jc w:val="center"/>
              <w:rPr>
                <w:rFonts w:ascii="Arial Narrow" w:hAnsi="Arial Narrow"/>
              </w:rPr>
            </w:pPr>
            <w:r w:rsidRPr="00CC0674">
              <w:rPr>
                <w:rFonts w:ascii="Arial Narrow" w:hAnsi="Arial Narrow"/>
              </w:rPr>
              <w:t>$36,143</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206CD90" w14:textId="77777777" w:rsidR="00CC0674" w:rsidRPr="00CC0674" w:rsidRDefault="00CC0674" w:rsidP="00CC0674">
            <w:pPr>
              <w:keepNext/>
              <w:spacing w:before="40"/>
              <w:jc w:val="center"/>
              <w:rPr>
                <w:rFonts w:ascii="Arial Narrow" w:hAnsi="Arial Narrow"/>
              </w:rPr>
            </w:pPr>
            <w:r w:rsidRPr="00CC0674">
              <w:rPr>
                <w:rFonts w:ascii="Arial Narrow" w:hAnsi="Arial Narrow"/>
              </w:rPr>
              <w:t>$49,117</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A08E535" w14:textId="77777777" w:rsidR="00CC0674" w:rsidRPr="00CC0674" w:rsidRDefault="00CC0674" w:rsidP="00CC0674">
            <w:pPr>
              <w:keepNext/>
              <w:spacing w:before="40"/>
              <w:jc w:val="center"/>
              <w:rPr>
                <w:rFonts w:ascii="Arial Narrow" w:hAnsi="Arial Narrow"/>
              </w:rPr>
            </w:pPr>
            <w:r w:rsidRPr="00CC0674">
              <w:rPr>
                <w:rFonts w:ascii="Arial Narrow" w:hAnsi="Arial Narrow"/>
              </w:rPr>
              <w:t>$66,749</w:t>
            </w:r>
          </w:p>
        </w:tc>
        <w:tc>
          <w:tcPr>
            <w:tcW w:w="1255" w:type="dxa"/>
            <w:tcBorders>
              <w:top w:val="nil"/>
              <w:left w:val="nil"/>
              <w:bottom w:val="single" w:sz="8" w:space="0" w:color="auto"/>
              <w:right w:val="single" w:sz="8" w:space="0" w:color="auto"/>
            </w:tcBorders>
            <w:tcMar>
              <w:top w:w="0" w:type="dxa"/>
              <w:left w:w="108" w:type="dxa"/>
              <w:bottom w:w="0" w:type="dxa"/>
              <w:right w:w="108" w:type="dxa"/>
            </w:tcMar>
          </w:tcPr>
          <w:p w14:paraId="624DD833" w14:textId="77777777" w:rsidR="00CC0674" w:rsidRPr="00CC0674" w:rsidRDefault="00CC0674" w:rsidP="00CC0674">
            <w:pPr>
              <w:keepNext/>
              <w:spacing w:before="40"/>
              <w:jc w:val="center"/>
              <w:rPr>
                <w:rFonts w:ascii="Arial Narrow" w:hAnsi="Arial Narrow"/>
              </w:rPr>
            </w:pPr>
            <w:r w:rsidRPr="00CC0674">
              <w:rPr>
                <w:rFonts w:ascii="Arial Narrow" w:hAnsi="Arial Narrow"/>
              </w:rPr>
              <w:t>$90,709</w:t>
            </w:r>
          </w:p>
        </w:tc>
        <w:tc>
          <w:tcPr>
            <w:tcW w:w="1255" w:type="dxa"/>
            <w:tcBorders>
              <w:top w:val="nil"/>
              <w:left w:val="nil"/>
              <w:bottom w:val="single" w:sz="8" w:space="0" w:color="auto"/>
              <w:right w:val="single" w:sz="8" w:space="0" w:color="auto"/>
            </w:tcBorders>
            <w:tcMar>
              <w:top w:w="0" w:type="dxa"/>
              <w:left w:w="108" w:type="dxa"/>
              <w:bottom w:w="0" w:type="dxa"/>
              <w:right w:w="108" w:type="dxa"/>
            </w:tcMar>
          </w:tcPr>
          <w:p w14:paraId="5F6C1456" w14:textId="77777777" w:rsidR="00CC0674" w:rsidRPr="00CC0674" w:rsidRDefault="00CC0674" w:rsidP="00CC0674">
            <w:pPr>
              <w:keepNext/>
              <w:spacing w:before="40"/>
              <w:jc w:val="center"/>
              <w:rPr>
                <w:rFonts w:ascii="Arial Narrow" w:hAnsi="Arial Narrow"/>
              </w:rPr>
            </w:pPr>
            <w:r w:rsidRPr="00CC0674">
              <w:rPr>
                <w:rFonts w:ascii="Arial Narrow" w:hAnsi="Arial Narrow"/>
              </w:rPr>
              <w:t>$123,270</w:t>
            </w:r>
          </w:p>
        </w:tc>
      </w:tr>
      <w:tr w:rsidR="00CC0674" w:rsidRPr="00CC0674" w14:paraId="2A79CC8B" w14:textId="77777777" w:rsidTr="003A6CC7">
        <w:tc>
          <w:tcPr>
            <w:tcW w:w="0" w:type="auto"/>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3D6F1" w14:textId="77777777" w:rsidR="00CC0674" w:rsidRPr="00CC0674" w:rsidRDefault="00CC0674" w:rsidP="00CC0674">
            <w:pPr>
              <w:keepNext/>
              <w:spacing w:before="40"/>
              <w:rPr>
                <w:rFonts w:ascii="Arial Narrow" w:hAnsi="Arial Narrow"/>
                <w:b/>
                <w:bCs/>
              </w:rPr>
            </w:pPr>
            <w:r w:rsidRPr="00CC0674">
              <w:rPr>
                <w:rFonts w:ascii="Arial Narrow" w:hAnsi="Arial Narrow"/>
                <w:b/>
                <w:bCs/>
              </w:rPr>
              <w:t>Change in use and cost of other health technologies</w:t>
            </w:r>
          </w:p>
        </w:tc>
      </w:tr>
      <w:tr w:rsidR="00CC0674" w:rsidRPr="00CC0674" w14:paraId="7374BF6A" w14:textId="77777777" w:rsidTr="00D237D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A8C70A" w14:textId="77777777" w:rsidR="00CC0674" w:rsidRPr="00CC0674" w:rsidRDefault="00CC0674" w:rsidP="00CC0674">
            <w:pPr>
              <w:keepNext/>
              <w:spacing w:before="40"/>
              <w:rPr>
                <w:rFonts w:ascii="Arial Narrow" w:hAnsi="Arial Narrow"/>
                <w:vertAlign w:val="superscript"/>
              </w:rPr>
            </w:pPr>
            <w:r w:rsidRPr="00CC0674">
              <w:rPr>
                <w:rFonts w:ascii="Arial Narrow" w:hAnsi="Arial Narrow"/>
              </w:rPr>
              <w:t xml:space="preserve">Change in use of ERCP </w:t>
            </w:r>
            <w:r w:rsidRPr="00CC0674">
              <w:rPr>
                <w:rFonts w:ascii="Arial Narrow" w:hAnsi="Arial Narrow"/>
                <w:vertAlign w:val="superscript"/>
              </w:rPr>
              <w:t>c</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EE89C9A" w14:textId="77777777" w:rsidR="00CC0674" w:rsidRPr="00CC0674" w:rsidRDefault="00CC0674" w:rsidP="00CC0674">
            <w:pPr>
              <w:keepNext/>
              <w:spacing w:before="40"/>
              <w:jc w:val="center"/>
              <w:rPr>
                <w:rFonts w:ascii="Arial Narrow" w:hAnsi="Arial Narrow"/>
              </w:rPr>
            </w:pPr>
            <w:r w:rsidRPr="00CC0674">
              <w:rPr>
                <w:rFonts w:ascii="Arial Narrow" w:hAnsi="Arial Narrow"/>
              </w:rPr>
              <w:t>-32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CCCB535" w14:textId="77777777" w:rsidR="00CC0674" w:rsidRPr="00CC0674" w:rsidRDefault="00CC0674" w:rsidP="00CC0674">
            <w:pPr>
              <w:keepNext/>
              <w:spacing w:before="40"/>
              <w:jc w:val="center"/>
              <w:rPr>
                <w:rFonts w:ascii="Arial Narrow" w:hAnsi="Arial Narrow"/>
              </w:rPr>
            </w:pPr>
            <w:r w:rsidRPr="00CC0674">
              <w:rPr>
                <w:rFonts w:ascii="Arial Narrow" w:hAnsi="Arial Narrow"/>
              </w:rPr>
              <w:t>-43</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4509670" w14:textId="77777777" w:rsidR="00CC0674" w:rsidRPr="00CC0674" w:rsidRDefault="00CC0674" w:rsidP="00CC0674">
            <w:pPr>
              <w:keepNext/>
              <w:spacing w:before="40"/>
              <w:jc w:val="center"/>
              <w:rPr>
                <w:rFonts w:ascii="Arial Narrow" w:hAnsi="Arial Narrow"/>
              </w:rPr>
            </w:pPr>
            <w:r w:rsidRPr="00CC0674">
              <w:rPr>
                <w:rFonts w:ascii="Arial Narrow" w:hAnsi="Arial Narrow"/>
              </w:rPr>
              <w:t>-59</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2A7F49F" w14:textId="77777777" w:rsidR="00CC0674" w:rsidRPr="00CC0674" w:rsidRDefault="00CC0674" w:rsidP="00CC0674">
            <w:pPr>
              <w:keepNext/>
              <w:spacing w:before="40"/>
              <w:jc w:val="center"/>
              <w:rPr>
                <w:rFonts w:ascii="Arial Narrow" w:hAnsi="Arial Narrow"/>
              </w:rPr>
            </w:pPr>
            <w:r w:rsidRPr="00CC0674">
              <w:rPr>
                <w:rFonts w:ascii="Arial Narrow" w:hAnsi="Arial Narrow"/>
              </w:rPr>
              <w:t>-80</w:t>
            </w:r>
          </w:p>
        </w:tc>
        <w:tc>
          <w:tcPr>
            <w:tcW w:w="1255" w:type="dxa"/>
            <w:tcBorders>
              <w:top w:val="nil"/>
              <w:left w:val="nil"/>
              <w:bottom w:val="single" w:sz="8" w:space="0" w:color="auto"/>
              <w:right w:val="single" w:sz="8" w:space="0" w:color="auto"/>
            </w:tcBorders>
            <w:tcMar>
              <w:top w:w="0" w:type="dxa"/>
              <w:left w:w="108" w:type="dxa"/>
              <w:bottom w:w="0" w:type="dxa"/>
              <w:right w:w="108" w:type="dxa"/>
            </w:tcMar>
          </w:tcPr>
          <w:p w14:paraId="20603881" w14:textId="77777777" w:rsidR="00CC0674" w:rsidRPr="00CC0674" w:rsidRDefault="00CC0674" w:rsidP="00CC0674">
            <w:pPr>
              <w:keepNext/>
              <w:spacing w:before="40"/>
              <w:jc w:val="center"/>
              <w:rPr>
                <w:rFonts w:ascii="Arial Narrow" w:hAnsi="Arial Narrow"/>
              </w:rPr>
            </w:pPr>
            <w:r w:rsidRPr="00CC0674">
              <w:rPr>
                <w:rFonts w:ascii="Arial Narrow" w:hAnsi="Arial Narrow"/>
              </w:rPr>
              <w:t>-109</w:t>
            </w:r>
          </w:p>
        </w:tc>
        <w:tc>
          <w:tcPr>
            <w:tcW w:w="1255" w:type="dxa"/>
            <w:tcBorders>
              <w:top w:val="nil"/>
              <w:left w:val="nil"/>
              <w:bottom w:val="single" w:sz="8" w:space="0" w:color="auto"/>
              <w:right w:val="single" w:sz="8" w:space="0" w:color="auto"/>
            </w:tcBorders>
            <w:tcMar>
              <w:top w:w="0" w:type="dxa"/>
              <w:left w:w="108" w:type="dxa"/>
              <w:bottom w:w="0" w:type="dxa"/>
              <w:right w:w="108" w:type="dxa"/>
            </w:tcMar>
          </w:tcPr>
          <w:p w14:paraId="26645DF1" w14:textId="77777777" w:rsidR="00CC0674" w:rsidRPr="00CC0674" w:rsidRDefault="00CC0674" w:rsidP="00CC0674">
            <w:pPr>
              <w:keepNext/>
              <w:spacing w:before="40"/>
              <w:jc w:val="center"/>
              <w:rPr>
                <w:rFonts w:ascii="Arial Narrow" w:hAnsi="Arial Narrow"/>
              </w:rPr>
            </w:pPr>
            <w:r w:rsidRPr="00CC0674">
              <w:rPr>
                <w:rFonts w:ascii="Arial Narrow" w:hAnsi="Arial Narrow"/>
              </w:rPr>
              <w:t>-147</w:t>
            </w:r>
          </w:p>
        </w:tc>
      </w:tr>
      <w:tr w:rsidR="00CC0674" w:rsidRPr="00CC0674" w14:paraId="49F017F8" w14:textId="77777777" w:rsidTr="00D237D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E02FAE" w14:textId="77777777" w:rsidR="00CC0674" w:rsidRPr="00CC0674" w:rsidRDefault="00CC0674" w:rsidP="00CC0674">
            <w:pPr>
              <w:keepNext/>
              <w:spacing w:before="40"/>
              <w:rPr>
                <w:rFonts w:ascii="Arial Narrow" w:hAnsi="Arial Narrow"/>
              </w:rPr>
            </w:pPr>
            <w:r w:rsidRPr="00CC0674">
              <w:rPr>
                <w:rFonts w:ascii="Arial Narrow" w:hAnsi="Arial Narrow"/>
              </w:rPr>
              <w:t xml:space="preserve">Change in surgery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3920EE4" w14:textId="77777777" w:rsidR="00CC0674" w:rsidRPr="00CC0674" w:rsidRDefault="00CC0674" w:rsidP="00CC0674">
            <w:pPr>
              <w:keepNext/>
              <w:spacing w:before="40"/>
              <w:jc w:val="center"/>
              <w:rPr>
                <w:rFonts w:ascii="Arial Narrow" w:hAnsi="Arial Narrow"/>
              </w:rPr>
            </w:pPr>
            <w:r w:rsidRPr="00CC0674">
              <w:rPr>
                <w:rFonts w:ascii="Arial Narrow" w:hAnsi="Arial Narrow"/>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551EAC9" w14:textId="77777777" w:rsidR="00CC0674" w:rsidRPr="00CC0674" w:rsidRDefault="00CC0674" w:rsidP="00CC0674">
            <w:pPr>
              <w:keepNext/>
              <w:spacing w:before="40"/>
              <w:jc w:val="center"/>
              <w:rPr>
                <w:rFonts w:ascii="Arial Narrow" w:hAnsi="Arial Narrow"/>
              </w:rPr>
            </w:pPr>
            <w:r w:rsidRPr="00CC0674">
              <w:rPr>
                <w:rFonts w:ascii="Arial Narrow" w:hAnsi="Arial Narrow"/>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2A9166F" w14:textId="77777777" w:rsidR="00CC0674" w:rsidRPr="00CC0674" w:rsidRDefault="00CC0674" w:rsidP="00CC0674">
            <w:pPr>
              <w:keepNext/>
              <w:spacing w:before="40"/>
              <w:jc w:val="center"/>
              <w:rPr>
                <w:rFonts w:ascii="Arial Narrow" w:hAnsi="Arial Narrow"/>
              </w:rPr>
            </w:pPr>
            <w:r w:rsidRPr="00CC0674">
              <w:rPr>
                <w:rFonts w:ascii="Arial Narrow" w:hAnsi="Arial Narrow"/>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BCE6C00" w14:textId="77777777" w:rsidR="00CC0674" w:rsidRPr="00CC0674" w:rsidRDefault="00CC0674" w:rsidP="00CC0674">
            <w:pPr>
              <w:keepNext/>
              <w:spacing w:before="40"/>
              <w:jc w:val="center"/>
              <w:rPr>
                <w:rFonts w:ascii="Arial Narrow" w:hAnsi="Arial Narrow"/>
              </w:rPr>
            </w:pPr>
            <w:r w:rsidRPr="00CC0674">
              <w:rPr>
                <w:rFonts w:ascii="Arial Narrow" w:hAnsi="Arial Narrow"/>
              </w:rPr>
              <w:t>-3</w:t>
            </w:r>
          </w:p>
        </w:tc>
        <w:tc>
          <w:tcPr>
            <w:tcW w:w="1255" w:type="dxa"/>
            <w:tcBorders>
              <w:top w:val="nil"/>
              <w:left w:val="nil"/>
              <w:bottom w:val="single" w:sz="8" w:space="0" w:color="auto"/>
              <w:right w:val="single" w:sz="8" w:space="0" w:color="auto"/>
            </w:tcBorders>
            <w:tcMar>
              <w:top w:w="0" w:type="dxa"/>
              <w:left w:w="108" w:type="dxa"/>
              <w:bottom w:w="0" w:type="dxa"/>
              <w:right w:w="108" w:type="dxa"/>
            </w:tcMar>
          </w:tcPr>
          <w:p w14:paraId="3912275F" w14:textId="77777777" w:rsidR="00CC0674" w:rsidRPr="00CC0674" w:rsidRDefault="00CC0674" w:rsidP="00CC0674">
            <w:pPr>
              <w:keepNext/>
              <w:spacing w:before="40"/>
              <w:jc w:val="center"/>
              <w:rPr>
                <w:rFonts w:ascii="Arial Narrow" w:hAnsi="Arial Narrow"/>
              </w:rPr>
            </w:pPr>
            <w:r w:rsidRPr="00CC0674">
              <w:rPr>
                <w:rFonts w:ascii="Arial Narrow" w:hAnsi="Arial Narrow"/>
              </w:rPr>
              <w:t>-4</w:t>
            </w:r>
          </w:p>
        </w:tc>
        <w:tc>
          <w:tcPr>
            <w:tcW w:w="1255" w:type="dxa"/>
            <w:tcBorders>
              <w:top w:val="nil"/>
              <w:left w:val="nil"/>
              <w:bottom w:val="single" w:sz="8" w:space="0" w:color="auto"/>
              <w:right w:val="single" w:sz="8" w:space="0" w:color="auto"/>
            </w:tcBorders>
            <w:tcMar>
              <w:top w:w="0" w:type="dxa"/>
              <w:left w:w="108" w:type="dxa"/>
              <w:bottom w:w="0" w:type="dxa"/>
              <w:right w:w="108" w:type="dxa"/>
            </w:tcMar>
          </w:tcPr>
          <w:p w14:paraId="087D4C98" w14:textId="77777777" w:rsidR="00CC0674" w:rsidRPr="00CC0674" w:rsidRDefault="00CC0674" w:rsidP="00CC0674">
            <w:pPr>
              <w:keepNext/>
              <w:spacing w:before="40"/>
              <w:jc w:val="center"/>
              <w:rPr>
                <w:rFonts w:ascii="Arial Narrow" w:hAnsi="Arial Narrow"/>
              </w:rPr>
            </w:pPr>
            <w:r w:rsidRPr="00CC0674">
              <w:rPr>
                <w:rFonts w:ascii="Arial Narrow" w:hAnsi="Arial Narrow"/>
              </w:rPr>
              <w:t>-5</w:t>
            </w:r>
          </w:p>
        </w:tc>
      </w:tr>
      <w:tr w:rsidR="00CC0674" w:rsidRPr="00CC0674" w14:paraId="113C7CF0" w14:textId="77777777" w:rsidTr="00D237D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45A24" w14:textId="77777777" w:rsidR="00CC0674" w:rsidRPr="00CC0674" w:rsidRDefault="00CC0674" w:rsidP="00CC0674">
            <w:pPr>
              <w:keepNext/>
              <w:spacing w:before="40"/>
              <w:rPr>
                <w:rFonts w:ascii="Arial Narrow" w:hAnsi="Arial Narrow"/>
              </w:rPr>
            </w:pPr>
            <w:r w:rsidRPr="00CC0674">
              <w:rPr>
                <w:rFonts w:ascii="Arial Narrow" w:hAnsi="Arial Narrow"/>
              </w:rPr>
              <w:t>Cost savings from reduced ERCP and surgery</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F92D0C5" w14:textId="77777777" w:rsidR="00CC0674" w:rsidRPr="00CC0674" w:rsidRDefault="00CC0674" w:rsidP="00CC0674">
            <w:pPr>
              <w:keepNext/>
              <w:spacing w:before="40"/>
              <w:jc w:val="center"/>
              <w:rPr>
                <w:rFonts w:ascii="Arial Narrow" w:hAnsi="Arial Narrow"/>
              </w:rPr>
            </w:pPr>
            <w:r w:rsidRPr="00CC0674">
              <w:rPr>
                <w:rFonts w:ascii="Arial Narrow" w:hAnsi="Arial Narrow"/>
              </w:rPr>
              <w:t>-$26,036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E601087" w14:textId="77777777" w:rsidR="00CC0674" w:rsidRPr="00CC0674" w:rsidRDefault="00CC0674" w:rsidP="00CC0674">
            <w:pPr>
              <w:keepNext/>
              <w:spacing w:before="40"/>
              <w:jc w:val="center"/>
              <w:rPr>
                <w:rFonts w:ascii="Arial Narrow" w:hAnsi="Arial Narrow"/>
              </w:rPr>
            </w:pPr>
            <w:r w:rsidRPr="00CC0674">
              <w:rPr>
                <w:rFonts w:ascii="Arial Narrow" w:hAnsi="Arial Narrow"/>
              </w:rPr>
              <w:t>-$35,382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666C14A" w14:textId="77777777" w:rsidR="00CC0674" w:rsidRPr="00CC0674" w:rsidRDefault="00CC0674" w:rsidP="00CC0674">
            <w:pPr>
              <w:keepNext/>
              <w:spacing w:before="40"/>
              <w:jc w:val="center"/>
              <w:rPr>
                <w:rFonts w:ascii="Arial Narrow" w:hAnsi="Arial Narrow"/>
              </w:rPr>
            </w:pPr>
            <w:r w:rsidRPr="00CC0674">
              <w:rPr>
                <w:rFonts w:ascii="Arial Narrow" w:hAnsi="Arial Narrow"/>
              </w:rPr>
              <w:t>-$48,083</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F122135" w14:textId="77777777" w:rsidR="00CC0674" w:rsidRPr="00CC0674" w:rsidRDefault="00CC0674" w:rsidP="00CC0674">
            <w:pPr>
              <w:keepNext/>
              <w:spacing w:before="40"/>
              <w:jc w:val="center"/>
              <w:rPr>
                <w:rFonts w:ascii="Arial Narrow" w:hAnsi="Arial Narrow"/>
              </w:rPr>
            </w:pPr>
            <w:r w:rsidRPr="00CC0674">
              <w:rPr>
                <w:rFonts w:ascii="Arial Narrow" w:hAnsi="Arial Narrow"/>
              </w:rPr>
              <w:t>-$65,343</w:t>
            </w:r>
          </w:p>
        </w:tc>
        <w:tc>
          <w:tcPr>
            <w:tcW w:w="1255" w:type="dxa"/>
            <w:tcBorders>
              <w:top w:val="nil"/>
              <w:left w:val="nil"/>
              <w:bottom w:val="single" w:sz="8" w:space="0" w:color="auto"/>
              <w:right w:val="single" w:sz="8" w:space="0" w:color="auto"/>
            </w:tcBorders>
            <w:tcMar>
              <w:top w:w="0" w:type="dxa"/>
              <w:left w:w="108" w:type="dxa"/>
              <w:bottom w:w="0" w:type="dxa"/>
              <w:right w:w="108" w:type="dxa"/>
            </w:tcMar>
          </w:tcPr>
          <w:p w14:paraId="4590A241" w14:textId="77777777" w:rsidR="00CC0674" w:rsidRPr="00CC0674" w:rsidRDefault="00CC0674" w:rsidP="00CC0674">
            <w:pPr>
              <w:keepNext/>
              <w:spacing w:before="40"/>
              <w:jc w:val="center"/>
              <w:rPr>
                <w:rFonts w:ascii="Arial Narrow" w:hAnsi="Arial Narrow"/>
              </w:rPr>
            </w:pPr>
            <w:r w:rsidRPr="00CC0674">
              <w:rPr>
                <w:rFonts w:ascii="Arial Narrow" w:hAnsi="Arial Narrow"/>
              </w:rPr>
              <w:t>-$88,799</w:t>
            </w:r>
          </w:p>
        </w:tc>
        <w:tc>
          <w:tcPr>
            <w:tcW w:w="1255" w:type="dxa"/>
            <w:tcBorders>
              <w:top w:val="nil"/>
              <w:left w:val="nil"/>
              <w:bottom w:val="single" w:sz="8" w:space="0" w:color="auto"/>
              <w:right w:val="single" w:sz="8" w:space="0" w:color="auto"/>
            </w:tcBorders>
            <w:tcMar>
              <w:top w:w="0" w:type="dxa"/>
              <w:left w:w="108" w:type="dxa"/>
              <w:bottom w:w="0" w:type="dxa"/>
              <w:right w:w="108" w:type="dxa"/>
            </w:tcMar>
          </w:tcPr>
          <w:p w14:paraId="58AD73B3" w14:textId="77777777" w:rsidR="00CC0674" w:rsidRPr="00CC0674" w:rsidRDefault="00CC0674" w:rsidP="00CC0674">
            <w:pPr>
              <w:keepNext/>
              <w:spacing w:before="40"/>
              <w:jc w:val="center"/>
              <w:rPr>
                <w:rFonts w:ascii="Arial Narrow" w:hAnsi="Arial Narrow"/>
              </w:rPr>
            </w:pPr>
            <w:r w:rsidRPr="00CC0674">
              <w:rPr>
                <w:rFonts w:ascii="Arial Narrow" w:hAnsi="Arial Narrow"/>
              </w:rPr>
              <w:t>-$120,674</w:t>
            </w:r>
          </w:p>
        </w:tc>
      </w:tr>
      <w:tr w:rsidR="003A6CC7" w:rsidRPr="00CC0674" w14:paraId="74E99093" w14:textId="77777777" w:rsidTr="00D237DA">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5891ADAC" w14:textId="77777777" w:rsidR="00CC0674" w:rsidRPr="00CC0674" w:rsidRDefault="00CC0674" w:rsidP="00CC0674">
            <w:pPr>
              <w:keepNext/>
              <w:spacing w:before="40"/>
              <w:rPr>
                <w:rFonts w:ascii="Arial Narrow" w:hAnsi="Arial Narrow"/>
                <w:b/>
                <w:bCs/>
              </w:rPr>
            </w:pPr>
            <w:r w:rsidRPr="00CC0674">
              <w:rPr>
                <w:rFonts w:ascii="Arial Narrow" w:hAnsi="Arial Narrow"/>
                <w:b/>
                <w:bCs/>
              </w:rPr>
              <w:t>Net cost to the MBS</w:t>
            </w:r>
          </w:p>
        </w:tc>
        <w:tc>
          <w:tcPr>
            <w:tcW w:w="0" w:type="auto"/>
            <w:tcBorders>
              <w:top w:val="nil"/>
              <w:left w:val="nil"/>
              <w:bottom w:val="single" w:sz="4" w:space="0" w:color="auto"/>
              <w:right w:val="single" w:sz="8" w:space="0" w:color="auto"/>
            </w:tcBorders>
            <w:tcMar>
              <w:top w:w="0" w:type="dxa"/>
              <w:left w:w="108" w:type="dxa"/>
              <w:bottom w:w="0" w:type="dxa"/>
              <w:right w:w="108" w:type="dxa"/>
            </w:tcMar>
          </w:tcPr>
          <w:p w14:paraId="67C078F2" w14:textId="77777777" w:rsidR="00CC0674" w:rsidRPr="00CC0674" w:rsidRDefault="00CC0674" w:rsidP="00CC0674">
            <w:pPr>
              <w:keepNext/>
              <w:spacing w:before="40"/>
              <w:jc w:val="center"/>
              <w:rPr>
                <w:rFonts w:ascii="Arial Narrow" w:hAnsi="Arial Narrow"/>
                <w:b/>
                <w:bCs/>
              </w:rPr>
            </w:pPr>
            <w:r w:rsidRPr="00CC0674">
              <w:rPr>
                <w:rFonts w:ascii="Arial Narrow" w:hAnsi="Arial Narrow"/>
                <w:b/>
                <w:bCs/>
              </w:rPr>
              <w:t>$560</w:t>
            </w:r>
          </w:p>
        </w:tc>
        <w:tc>
          <w:tcPr>
            <w:tcW w:w="0" w:type="auto"/>
            <w:tcBorders>
              <w:top w:val="nil"/>
              <w:left w:val="nil"/>
              <w:bottom w:val="single" w:sz="4" w:space="0" w:color="auto"/>
              <w:right w:val="single" w:sz="8" w:space="0" w:color="auto"/>
            </w:tcBorders>
            <w:tcMar>
              <w:top w:w="0" w:type="dxa"/>
              <w:left w:w="108" w:type="dxa"/>
              <w:bottom w:w="0" w:type="dxa"/>
              <w:right w:w="108" w:type="dxa"/>
            </w:tcMar>
          </w:tcPr>
          <w:p w14:paraId="5DECD778" w14:textId="77777777" w:rsidR="00CC0674" w:rsidRPr="00CC0674" w:rsidRDefault="00CC0674" w:rsidP="00CC0674">
            <w:pPr>
              <w:keepNext/>
              <w:spacing w:before="40"/>
              <w:jc w:val="center"/>
              <w:rPr>
                <w:rFonts w:ascii="Arial Narrow" w:hAnsi="Arial Narrow"/>
                <w:b/>
                <w:bCs/>
              </w:rPr>
            </w:pPr>
            <w:r w:rsidRPr="00CC0674">
              <w:rPr>
                <w:rFonts w:ascii="Arial Narrow" w:hAnsi="Arial Narrow"/>
                <w:b/>
                <w:bCs/>
              </w:rPr>
              <w:t>$761</w:t>
            </w:r>
          </w:p>
        </w:tc>
        <w:tc>
          <w:tcPr>
            <w:tcW w:w="0" w:type="auto"/>
            <w:tcBorders>
              <w:top w:val="nil"/>
              <w:left w:val="nil"/>
              <w:bottom w:val="single" w:sz="4" w:space="0" w:color="auto"/>
              <w:right w:val="single" w:sz="8" w:space="0" w:color="auto"/>
            </w:tcBorders>
            <w:tcMar>
              <w:top w:w="0" w:type="dxa"/>
              <w:left w:w="108" w:type="dxa"/>
              <w:bottom w:w="0" w:type="dxa"/>
              <w:right w:w="108" w:type="dxa"/>
            </w:tcMar>
          </w:tcPr>
          <w:p w14:paraId="62130496" w14:textId="77777777" w:rsidR="00CC0674" w:rsidRPr="00CC0674" w:rsidRDefault="00CC0674" w:rsidP="00CC0674">
            <w:pPr>
              <w:keepNext/>
              <w:spacing w:before="40"/>
              <w:jc w:val="center"/>
              <w:rPr>
                <w:rFonts w:ascii="Arial Narrow" w:hAnsi="Arial Narrow"/>
                <w:b/>
                <w:bCs/>
              </w:rPr>
            </w:pPr>
            <w:r w:rsidRPr="00CC0674">
              <w:rPr>
                <w:rFonts w:ascii="Arial Narrow" w:hAnsi="Arial Narrow"/>
                <w:b/>
                <w:bCs/>
              </w:rPr>
              <w:t>$1,034</w:t>
            </w:r>
          </w:p>
        </w:tc>
        <w:tc>
          <w:tcPr>
            <w:tcW w:w="0" w:type="auto"/>
            <w:tcBorders>
              <w:top w:val="nil"/>
              <w:left w:val="nil"/>
              <w:bottom w:val="single" w:sz="4" w:space="0" w:color="auto"/>
              <w:right w:val="single" w:sz="8" w:space="0" w:color="auto"/>
            </w:tcBorders>
            <w:tcMar>
              <w:top w:w="0" w:type="dxa"/>
              <w:left w:w="108" w:type="dxa"/>
              <w:bottom w:w="0" w:type="dxa"/>
              <w:right w:w="108" w:type="dxa"/>
            </w:tcMar>
          </w:tcPr>
          <w:p w14:paraId="0EA3E136" w14:textId="77777777" w:rsidR="00CC0674" w:rsidRPr="00CC0674" w:rsidRDefault="00CC0674" w:rsidP="00CC0674">
            <w:pPr>
              <w:keepNext/>
              <w:spacing w:before="40"/>
              <w:jc w:val="center"/>
              <w:rPr>
                <w:rFonts w:ascii="Arial Narrow" w:hAnsi="Arial Narrow"/>
                <w:b/>
                <w:bCs/>
              </w:rPr>
            </w:pPr>
            <w:r w:rsidRPr="00CC0674">
              <w:rPr>
                <w:rFonts w:ascii="Arial Narrow" w:hAnsi="Arial Narrow"/>
                <w:b/>
                <w:bCs/>
              </w:rPr>
              <w:t>$1,406</w:t>
            </w:r>
          </w:p>
        </w:tc>
        <w:tc>
          <w:tcPr>
            <w:tcW w:w="1255" w:type="dxa"/>
            <w:tcBorders>
              <w:top w:val="nil"/>
              <w:left w:val="nil"/>
              <w:bottom w:val="single" w:sz="4" w:space="0" w:color="auto"/>
              <w:right w:val="single" w:sz="8" w:space="0" w:color="auto"/>
            </w:tcBorders>
            <w:tcMar>
              <w:top w:w="0" w:type="dxa"/>
              <w:left w:w="108" w:type="dxa"/>
              <w:bottom w:w="0" w:type="dxa"/>
              <w:right w:w="108" w:type="dxa"/>
            </w:tcMar>
          </w:tcPr>
          <w:p w14:paraId="40038B9D" w14:textId="77777777" w:rsidR="00CC0674" w:rsidRPr="00CC0674" w:rsidRDefault="00CC0674" w:rsidP="00CC0674">
            <w:pPr>
              <w:keepNext/>
              <w:spacing w:before="40"/>
              <w:jc w:val="center"/>
              <w:rPr>
                <w:rFonts w:ascii="Arial Narrow" w:hAnsi="Arial Narrow"/>
                <w:b/>
                <w:bCs/>
              </w:rPr>
            </w:pPr>
            <w:r w:rsidRPr="00CC0674">
              <w:rPr>
                <w:rFonts w:ascii="Arial Narrow" w:hAnsi="Arial Narrow"/>
                <w:b/>
                <w:bCs/>
              </w:rPr>
              <w:t>$1,910</w:t>
            </w:r>
          </w:p>
        </w:tc>
        <w:tc>
          <w:tcPr>
            <w:tcW w:w="1255" w:type="dxa"/>
            <w:tcBorders>
              <w:top w:val="nil"/>
              <w:left w:val="nil"/>
              <w:bottom w:val="single" w:sz="4" w:space="0" w:color="auto"/>
              <w:right w:val="single" w:sz="8" w:space="0" w:color="auto"/>
            </w:tcBorders>
            <w:tcMar>
              <w:top w:w="0" w:type="dxa"/>
              <w:left w:w="108" w:type="dxa"/>
              <w:bottom w:w="0" w:type="dxa"/>
              <w:right w:w="108" w:type="dxa"/>
            </w:tcMar>
          </w:tcPr>
          <w:p w14:paraId="630FEC4F" w14:textId="77777777" w:rsidR="00CC0674" w:rsidRPr="00CC0674" w:rsidRDefault="00CC0674" w:rsidP="00CC0674">
            <w:pPr>
              <w:keepNext/>
              <w:spacing w:before="40"/>
              <w:jc w:val="center"/>
              <w:rPr>
                <w:rFonts w:ascii="Arial Narrow" w:hAnsi="Arial Narrow"/>
                <w:b/>
                <w:bCs/>
              </w:rPr>
            </w:pPr>
            <w:r w:rsidRPr="00CC0674">
              <w:rPr>
                <w:rFonts w:ascii="Arial Narrow" w:hAnsi="Arial Narrow"/>
                <w:b/>
                <w:bCs/>
              </w:rPr>
              <w:t>$2,596</w:t>
            </w:r>
          </w:p>
        </w:tc>
      </w:tr>
      <w:tr w:rsidR="00CC0674" w:rsidRPr="00CC0674" w14:paraId="557F9CB5" w14:textId="77777777" w:rsidTr="003A6CC7">
        <w:tc>
          <w:tcPr>
            <w:tcW w:w="0" w:type="auto"/>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C5D99" w14:textId="77777777" w:rsidR="00CC0674" w:rsidRPr="00CC0674" w:rsidRDefault="00CC0674" w:rsidP="00CC0674">
            <w:pPr>
              <w:keepNext/>
              <w:spacing w:before="40"/>
              <w:rPr>
                <w:rFonts w:ascii="Arial Narrow" w:hAnsi="Arial Narrow"/>
              </w:rPr>
            </w:pPr>
            <w:r w:rsidRPr="00CC0674">
              <w:rPr>
                <w:rFonts w:ascii="Arial Narrow" w:hAnsi="Arial Narrow"/>
                <w:b/>
                <w:bCs/>
              </w:rPr>
              <w:t>Change in hospital costs</w:t>
            </w:r>
          </w:p>
        </w:tc>
      </w:tr>
      <w:tr w:rsidR="00CC41FB" w:rsidRPr="00CC0674" w14:paraId="3A2EEF31" w14:textId="77777777" w:rsidTr="00D237DA">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BBBB3" w14:textId="40637130" w:rsidR="00CC41FB" w:rsidRPr="00D237DA" w:rsidRDefault="00CC41FB" w:rsidP="00CC41FB">
            <w:pPr>
              <w:keepNext/>
              <w:spacing w:before="40"/>
              <w:rPr>
                <w:rFonts w:ascii="Arial Narrow" w:hAnsi="Arial Narrow"/>
                <w:vertAlign w:val="superscript"/>
              </w:rPr>
            </w:pPr>
            <w:r w:rsidRPr="00CC0674">
              <w:rPr>
                <w:rFonts w:ascii="Arial Narrow" w:hAnsi="Arial Narrow"/>
              </w:rPr>
              <w:t xml:space="preserve">POCPS </w:t>
            </w:r>
            <w:r w:rsidR="00D237DA">
              <w:rPr>
                <w:rFonts w:ascii="Arial Narrow" w:hAnsi="Arial Narrow"/>
              </w:rPr>
              <w:br/>
            </w:r>
            <w:r w:rsidRPr="00CC0674">
              <w:rPr>
                <w:rFonts w:ascii="Arial Narrow" w:hAnsi="Arial Narrow"/>
              </w:rPr>
              <w:t>($</w:t>
            </w:r>
            <w:r w:rsidR="00D237DA" w:rsidRPr="00D237DA">
              <w:rPr>
                <w:rFonts w:ascii="Arial Narrow" w:hAnsi="Arial Narrow"/>
              </w:rPr>
              <w:t>14,049</w:t>
            </w:r>
            <w:r w:rsidR="00D237DA">
              <w:rPr>
                <w:rFonts w:ascii="Arial Narrow" w:hAnsi="Arial Narrow"/>
              </w:rPr>
              <w:t xml:space="preserve"> </w:t>
            </w:r>
            <w:r w:rsidRPr="00CC0674">
              <w:rPr>
                <w:rFonts w:ascii="Arial Narrow" w:hAnsi="Arial Narrow"/>
              </w:rPr>
              <w:t>per service)</w:t>
            </w:r>
            <w:r w:rsidR="00D237DA">
              <w:rPr>
                <w:rFonts w:ascii="Arial Narrow" w:hAnsi="Arial Narrow"/>
              </w:rPr>
              <w:t xml:space="preserve"> </w:t>
            </w:r>
            <w:r w:rsidR="00D237DA">
              <w:rPr>
                <w:rFonts w:ascii="Arial Narrow" w:hAnsi="Arial Narrow"/>
                <w:vertAlign w:val="superscript"/>
              </w:rPr>
              <w:t>d</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64C83BE" w14:textId="4A9A73EA" w:rsidR="00CC41FB" w:rsidRPr="00D237DA" w:rsidRDefault="00CC41FB" w:rsidP="00CC41FB">
            <w:pPr>
              <w:spacing w:before="40"/>
              <w:jc w:val="center"/>
              <w:rPr>
                <w:rFonts w:ascii="Arial Narrow" w:hAnsi="Arial Narrow" w:cs="Tahoma"/>
              </w:rPr>
            </w:pPr>
            <w:r w:rsidRPr="00D237DA">
              <w:rPr>
                <w:rFonts w:ascii="Arial Narrow" w:hAnsi="Arial Narrow"/>
              </w:rPr>
              <w:t>$410,513</w:t>
            </w:r>
          </w:p>
        </w:tc>
        <w:tc>
          <w:tcPr>
            <w:tcW w:w="0" w:type="auto"/>
            <w:tcBorders>
              <w:top w:val="single" w:sz="4" w:space="0" w:color="auto"/>
              <w:left w:val="nil"/>
              <w:bottom w:val="single" w:sz="4" w:space="0" w:color="auto"/>
              <w:right w:val="single" w:sz="4" w:space="0" w:color="auto"/>
            </w:tcBorders>
            <w:shd w:val="clear" w:color="auto" w:fill="FFFFFF" w:themeFill="background1"/>
            <w:tcMar>
              <w:top w:w="0" w:type="dxa"/>
              <w:left w:w="108" w:type="dxa"/>
              <w:bottom w:w="0" w:type="dxa"/>
              <w:right w:w="108" w:type="dxa"/>
            </w:tcMar>
          </w:tcPr>
          <w:p w14:paraId="6066CEF6" w14:textId="7F9C4214" w:rsidR="00CC41FB" w:rsidRPr="00D237DA" w:rsidRDefault="00CC41FB" w:rsidP="00CC41FB">
            <w:pPr>
              <w:spacing w:before="40"/>
              <w:jc w:val="center"/>
              <w:rPr>
                <w:rFonts w:ascii="Arial Narrow" w:hAnsi="Arial Narrow" w:cs="Tahoma"/>
              </w:rPr>
            </w:pPr>
            <w:r w:rsidRPr="00D237DA">
              <w:rPr>
                <w:rFonts w:ascii="Arial Narrow" w:hAnsi="Arial Narrow"/>
              </w:rPr>
              <w:t>$557,873</w:t>
            </w:r>
          </w:p>
        </w:tc>
        <w:tc>
          <w:tcPr>
            <w:tcW w:w="0" w:type="auto"/>
            <w:tcBorders>
              <w:top w:val="single" w:sz="4" w:space="0" w:color="auto"/>
              <w:left w:val="nil"/>
              <w:bottom w:val="single" w:sz="4" w:space="0" w:color="auto"/>
              <w:right w:val="single" w:sz="4" w:space="0" w:color="auto"/>
            </w:tcBorders>
            <w:shd w:val="clear" w:color="auto" w:fill="FFFFFF" w:themeFill="background1"/>
            <w:tcMar>
              <w:top w:w="0" w:type="dxa"/>
              <w:left w:w="108" w:type="dxa"/>
              <w:bottom w:w="0" w:type="dxa"/>
              <w:right w:w="108" w:type="dxa"/>
            </w:tcMar>
          </w:tcPr>
          <w:p w14:paraId="631EA362" w14:textId="1B15AF12" w:rsidR="00CC41FB" w:rsidRPr="00D237DA" w:rsidRDefault="00CC41FB" w:rsidP="00CC41FB">
            <w:pPr>
              <w:spacing w:before="40"/>
              <w:jc w:val="center"/>
              <w:rPr>
                <w:rFonts w:ascii="Arial Narrow" w:hAnsi="Arial Narrow" w:cs="Tahoma"/>
              </w:rPr>
            </w:pPr>
            <w:r w:rsidRPr="00D237DA">
              <w:rPr>
                <w:rFonts w:ascii="Arial Narrow" w:hAnsi="Arial Narrow"/>
              </w:rPr>
              <w:t>$758,129</w:t>
            </w:r>
          </w:p>
        </w:tc>
        <w:tc>
          <w:tcPr>
            <w:tcW w:w="0" w:type="auto"/>
            <w:tcBorders>
              <w:top w:val="single" w:sz="4" w:space="0" w:color="auto"/>
              <w:left w:val="nil"/>
              <w:bottom w:val="single" w:sz="4" w:space="0" w:color="auto"/>
              <w:right w:val="single" w:sz="4" w:space="0" w:color="auto"/>
            </w:tcBorders>
            <w:shd w:val="clear" w:color="auto" w:fill="FFFFFF" w:themeFill="background1"/>
            <w:tcMar>
              <w:top w:w="0" w:type="dxa"/>
              <w:left w:w="108" w:type="dxa"/>
              <w:bottom w:w="0" w:type="dxa"/>
              <w:right w:w="108" w:type="dxa"/>
            </w:tcMar>
          </w:tcPr>
          <w:p w14:paraId="296ED5A6" w14:textId="1397D6E0" w:rsidR="00CC41FB" w:rsidRPr="00D237DA" w:rsidRDefault="00CC41FB" w:rsidP="00CC41FB">
            <w:pPr>
              <w:spacing w:before="40"/>
              <w:jc w:val="center"/>
              <w:rPr>
                <w:rFonts w:ascii="Arial Narrow" w:hAnsi="Arial Narrow" w:cs="Tahoma"/>
              </w:rPr>
            </w:pPr>
            <w:r w:rsidRPr="00D237DA">
              <w:rPr>
                <w:rFonts w:ascii="Arial Narrow" w:hAnsi="Arial Narrow"/>
              </w:rPr>
              <w:t>$1,030,270</w:t>
            </w:r>
          </w:p>
        </w:tc>
        <w:tc>
          <w:tcPr>
            <w:tcW w:w="1255" w:type="dxa"/>
            <w:tcBorders>
              <w:top w:val="single" w:sz="4" w:space="0" w:color="auto"/>
              <w:left w:val="nil"/>
              <w:bottom w:val="single" w:sz="4" w:space="0" w:color="auto"/>
              <w:right w:val="single" w:sz="4" w:space="0" w:color="auto"/>
            </w:tcBorders>
            <w:shd w:val="clear" w:color="auto" w:fill="FFFFFF" w:themeFill="background1"/>
            <w:tcMar>
              <w:top w:w="0" w:type="dxa"/>
              <w:left w:w="108" w:type="dxa"/>
              <w:bottom w:w="0" w:type="dxa"/>
              <w:right w:w="108" w:type="dxa"/>
            </w:tcMar>
          </w:tcPr>
          <w:p w14:paraId="1C06FC20" w14:textId="7CAE295B" w:rsidR="00CC41FB" w:rsidRPr="00D237DA" w:rsidRDefault="00CC41FB" w:rsidP="00CC41FB">
            <w:pPr>
              <w:spacing w:before="40"/>
              <w:jc w:val="center"/>
              <w:rPr>
                <w:rFonts w:ascii="Arial Narrow" w:hAnsi="Arial Narrow" w:cs="Tahoma"/>
              </w:rPr>
            </w:pPr>
            <w:r w:rsidRPr="00D237DA">
              <w:rPr>
                <w:rFonts w:ascii="Arial Narrow" w:hAnsi="Arial Narrow"/>
              </w:rPr>
              <w:t>$1,400,100</w:t>
            </w:r>
          </w:p>
        </w:tc>
        <w:tc>
          <w:tcPr>
            <w:tcW w:w="1255" w:type="dxa"/>
            <w:tcBorders>
              <w:top w:val="single" w:sz="4" w:space="0" w:color="auto"/>
              <w:left w:val="nil"/>
              <w:bottom w:val="single" w:sz="4" w:space="0" w:color="auto"/>
              <w:right w:val="single" w:sz="4" w:space="0" w:color="auto"/>
            </w:tcBorders>
            <w:shd w:val="clear" w:color="auto" w:fill="FFFFFF" w:themeFill="background1"/>
            <w:tcMar>
              <w:top w:w="0" w:type="dxa"/>
              <w:left w:w="108" w:type="dxa"/>
              <w:bottom w:w="0" w:type="dxa"/>
              <w:right w:w="108" w:type="dxa"/>
            </w:tcMar>
          </w:tcPr>
          <w:p w14:paraId="530321A7" w14:textId="79FBCD02" w:rsidR="00CC41FB" w:rsidRPr="00D237DA" w:rsidRDefault="00CC41FB" w:rsidP="00CC41FB">
            <w:pPr>
              <w:spacing w:before="40"/>
              <w:jc w:val="center"/>
              <w:rPr>
                <w:rFonts w:ascii="Arial Narrow" w:hAnsi="Arial Narrow" w:cs="Tahoma"/>
              </w:rPr>
            </w:pPr>
            <w:r w:rsidRPr="00D237DA">
              <w:rPr>
                <w:rFonts w:ascii="Arial Narrow" w:hAnsi="Arial Narrow"/>
              </w:rPr>
              <w:t>$1,902,686</w:t>
            </w:r>
          </w:p>
        </w:tc>
      </w:tr>
      <w:tr w:rsidR="00CC0674" w:rsidRPr="00CC0674" w14:paraId="46427B57" w14:textId="77777777" w:rsidTr="00D237DA">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AF761" w14:textId="2C37A4D6" w:rsidR="00CC0674" w:rsidRPr="00CC0674" w:rsidRDefault="00CC0674" w:rsidP="00CC0674">
            <w:pPr>
              <w:keepNext/>
              <w:spacing w:before="40"/>
              <w:rPr>
                <w:rFonts w:ascii="Arial Narrow" w:hAnsi="Arial Narrow"/>
              </w:rPr>
            </w:pPr>
            <w:r w:rsidRPr="00CC0674">
              <w:rPr>
                <w:rFonts w:ascii="Arial Narrow" w:hAnsi="Arial Narrow"/>
              </w:rPr>
              <w:t xml:space="preserve">ERCP </w:t>
            </w:r>
            <w:r w:rsidR="00D237DA">
              <w:rPr>
                <w:rFonts w:ascii="Arial Narrow" w:hAnsi="Arial Narrow"/>
              </w:rPr>
              <w:br/>
            </w:r>
            <w:r w:rsidRPr="00CC0674">
              <w:rPr>
                <w:rFonts w:ascii="Arial Narrow" w:hAnsi="Arial Narrow"/>
              </w:rPr>
              <w:t>($11,079 per service)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11025" w14:textId="77777777" w:rsidR="00CC0674" w:rsidRPr="00CC0674" w:rsidRDefault="00CC0674" w:rsidP="00CC0674">
            <w:pPr>
              <w:keepNext/>
              <w:spacing w:before="40"/>
              <w:jc w:val="center"/>
              <w:rPr>
                <w:rFonts w:ascii="Arial Narrow" w:hAnsi="Arial Narrow"/>
              </w:rPr>
            </w:pPr>
            <w:r w:rsidRPr="00CC0674">
              <w:rPr>
                <w:rFonts w:ascii="Arial Narrow" w:hAnsi="Arial Narrow"/>
              </w:rPr>
              <w:t>-$352,482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50EFE" w14:textId="77777777" w:rsidR="00CC0674" w:rsidRPr="00CC0674" w:rsidRDefault="00CC0674" w:rsidP="00CC0674">
            <w:pPr>
              <w:keepNext/>
              <w:spacing w:before="40"/>
              <w:jc w:val="center"/>
              <w:rPr>
                <w:rFonts w:ascii="Arial Narrow" w:hAnsi="Arial Narrow"/>
              </w:rPr>
            </w:pPr>
            <w:r w:rsidRPr="00CC0674">
              <w:rPr>
                <w:rFonts w:ascii="Arial Narrow" w:hAnsi="Arial Narrow"/>
              </w:rPr>
              <w:t>-$479,011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CFEEA" w14:textId="77777777" w:rsidR="00CC0674" w:rsidRPr="00CC0674" w:rsidRDefault="00CC0674" w:rsidP="00CC0674">
            <w:pPr>
              <w:keepNext/>
              <w:spacing w:before="40"/>
              <w:jc w:val="center"/>
              <w:rPr>
                <w:rFonts w:ascii="Arial Narrow" w:hAnsi="Arial Narrow"/>
              </w:rPr>
            </w:pPr>
            <w:r w:rsidRPr="00CC0674">
              <w:rPr>
                <w:rFonts w:ascii="Arial Narrow" w:hAnsi="Arial Narrow"/>
              </w:rPr>
              <w:t>-$650,958</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C2C46" w14:textId="77777777" w:rsidR="00CC0674" w:rsidRPr="00CC0674" w:rsidRDefault="00CC0674" w:rsidP="00CC0674">
            <w:pPr>
              <w:keepNext/>
              <w:spacing w:before="40"/>
              <w:jc w:val="center"/>
              <w:rPr>
                <w:rFonts w:ascii="Arial Narrow" w:hAnsi="Arial Narrow"/>
              </w:rPr>
            </w:pPr>
            <w:r w:rsidRPr="00CC0674">
              <w:rPr>
                <w:rFonts w:ascii="Arial Narrow" w:hAnsi="Arial Narrow"/>
              </w:rPr>
              <w:t>-$884,629</w:t>
            </w:r>
          </w:p>
        </w:tc>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B6E65" w14:textId="77777777" w:rsidR="00CC0674" w:rsidRPr="00CC0674" w:rsidRDefault="00CC0674" w:rsidP="00CC0674">
            <w:pPr>
              <w:keepNext/>
              <w:spacing w:before="40"/>
              <w:jc w:val="center"/>
              <w:rPr>
                <w:rFonts w:ascii="Arial Narrow" w:hAnsi="Arial Narrow"/>
              </w:rPr>
            </w:pPr>
            <w:r w:rsidRPr="00CC0674">
              <w:rPr>
                <w:rFonts w:ascii="Arial Narrow" w:hAnsi="Arial Narrow"/>
              </w:rPr>
              <w:t>-$1,202,179</w:t>
            </w:r>
          </w:p>
        </w:tc>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6E0FF" w14:textId="77777777" w:rsidR="00CC0674" w:rsidRPr="00CC0674" w:rsidRDefault="00CC0674" w:rsidP="00CC0674">
            <w:pPr>
              <w:keepNext/>
              <w:spacing w:before="40"/>
              <w:jc w:val="center"/>
              <w:rPr>
                <w:rFonts w:ascii="Arial Narrow" w:hAnsi="Arial Narrow"/>
              </w:rPr>
            </w:pPr>
            <w:r w:rsidRPr="00CC0674">
              <w:rPr>
                <w:rFonts w:ascii="Arial Narrow" w:hAnsi="Arial Narrow"/>
              </w:rPr>
              <w:t>-$1,633,718</w:t>
            </w:r>
          </w:p>
        </w:tc>
      </w:tr>
      <w:tr w:rsidR="00D237DA" w:rsidRPr="00CC0674" w14:paraId="6A8F1FA6" w14:textId="77777777" w:rsidTr="00D237DA">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2973D" w14:textId="31CDE399" w:rsidR="00D237DA" w:rsidRPr="00CC0674" w:rsidRDefault="00D237DA" w:rsidP="00D237DA">
            <w:pPr>
              <w:keepNext/>
              <w:spacing w:before="40"/>
              <w:rPr>
                <w:rFonts w:ascii="Arial Narrow" w:hAnsi="Arial Narrow"/>
                <w:b/>
                <w:bCs/>
              </w:rPr>
            </w:pPr>
            <w:r w:rsidRPr="00CC0674">
              <w:rPr>
                <w:rFonts w:ascii="Arial Narrow" w:hAnsi="Arial Narrow"/>
                <w:b/>
                <w:bCs/>
              </w:rPr>
              <w:t>Net hospital costs</w:t>
            </w:r>
            <w:r>
              <w:rPr>
                <w:rFonts w:ascii="Arial Narrow" w:hAnsi="Arial Narrow"/>
                <w:vertAlign w:val="superscript"/>
              </w:rPr>
              <w:t xml:space="preserve"> d</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0E8CF" w14:textId="668E9AE3" w:rsidR="00D237DA" w:rsidRPr="00D237DA" w:rsidRDefault="00D237DA" w:rsidP="00D237DA">
            <w:pPr>
              <w:keepNext/>
              <w:spacing w:before="40"/>
              <w:jc w:val="center"/>
              <w:rPr>
                <w:rFonts w:ascii="Arial Narrow" w:hAnsi="Arial Narrow"/>
                <w:b/>
                <w:bCs/>
              </w:rPr>
            </w:pPr>
            <w:r w:rsidRPr="00D237DA">
              <w:rPr>
                <w:rFonts w:ascii="Arial Narrow" w:hAnsi="Arial Narrow"/>
              </w:rPr>
              <w:t>$58,031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02B88" w14:textId="241AEDBE" w:rsidR="00D237DA" w:rsidRPr="00D237DA" w:rsidRDefault="00D237DA" w:rsidP="00D237DA">
            <w:pPr>
              <w:keepNext/>
              <w:spacing w:before="40"/>
              <w:jc w:val="center"/>
              <w:rPr>
                <w:rFonts w:ascii="Arial Narrow" w:hAnsi="Arial Narrow"/>
                <w:b/>
                <w:bCs/>
              </w:rPr>
            </w:pPr>
            <w:r w:rsidRPr="00D237DA">
              <w:rPr>
                <w:rFonts w:ascii="Arial Narrow" w:hAnsi="Arial Narrow"/>
              </w:rPr>
              <w:t>$78,862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32F48C" w14:textId="254693D1" w:rsidR="00D237DA" w:rsidRPr="00D237DA" w:rsidRDefault="00D237DA" w:rsidP="00D237DA">
            <w:pPr>
              <w:keepNext/>
              <w:spacing w:before="40"/>
              <w:jc w:val="center"/>
              <w:rPr>
                <w:rFonts w:ascii="Arial Narrow" w:hAnsi="Arial Narrow"/>
                <w:b/>
                <w:bCs/>
              </w:rPr>
            </w:pPr>
            <w:r w:rsidRPr="00D237DA">
              <w:rPr>
                <w:rFonts w:ascii="Arial Narrow" w:hAnsi="Arial Narrow"/>
              </w:rPr>
              <w:t>$107,171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C6729" w14:textId="1240B522" w:rsidR="00D237DA" w:rsidRPr="00D237DA" w:rsidRDefault="00D237DA" w:rsidP="00D237DA">
            <w:pPr>
              <w:keepNext/>
              <w:spacing w:before="40"/>
              <w:jc w:val="center"/>
              <w:rPr>
                <w:rFonts w:ascii="Arial Narrow" w:hAnsi="Arial Narrow"/>
                <w:b/>
                <w:bCs/>
              </w:rPr>
            </w:pPr>
            <w:r w:rsidRPr="00D237DA">
              <w:rPr>
                <w:rFonts w:ascii="Arial Narrow" w:hAnsi="Arial Narrow"/>
              </w:rPr>
              <w:t>$145,642</w:t>
            </w:r>
          </w:p>
        </w:tc>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6E9AF6" w14:textId="3906A044" w:rsidR="00D237DA" w:rsidRPr="00D237DA" w:rsidRDefault="00D237DA" w:rsidP="00D237DA">
            <w:pPr>
              <w:keepNext/>
              <w:spacing w:before="40"/>
              <w:jc w:val="center"/>
              <w:rPr>
                <w:rFonts w:ascii="Arial Narrow" w:hAnsi="Arial Narrow"/>
                <w:b/>
                <w:bCs/>
              </w:rPr>
            </w:pPr>
            <w:r w:rsidRPr="00D237DA">
              <w:rPr>
                <w:rFonts w:ascii="Arial Narrow" w:hAnsi="Arial Narrow"/>
              </w:rPr>
              <w:t>$197,922</w:t>
            </w:r>
          </w:p>
        </w:tc>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BAE00" w14:textId="69D9B673" w:rsidR="00D237DA" w:rsidRPr="00D237DA" w:rsidRDefault="00D237DA" w:rsidP="00D237DA">
            <w:pPr>
              <w:keepNext/>
              <w:spacing w:before="40"/>
              <w:jc w:val="center"/>
              <w:rPr>
                <w:rFonts w:ascii="Arial Narrow" w:hAnsi="Arial Narrow"/>
                <w:b/>
                <w:bCs/>
              </w:rPr>
            </w:pPr>
            <w:r w:rsidRPr="00D237DA">
              <w:rPr>
                <w:rFonts w:ascii="Arial Narrow" w:hAnsi="Arial Narrow"/>
              </w:rPr>
              <w:t>$268,968</w:t>
            </w:r>
          </w:p>
        </w:tc>
      </w:tr>
    </w:tbl>
    <w:p w14:paraId="19DB1A62" w14:textId="2E13B786" w:rsidR="00CC0674" w:rsidRPr="00CC0674" w:rsidRDefault="00CC0674" w:rsidP="00787F3B">
      <w:pPr>
        <w:spacing w:after="240"/>
        <w:contextualSpacing/>
        <w:rPr>
          <w:rFonts w:ascii="Arial Narrow" w:hAnsi="Arial Narrow" w:cs="Arial"/>
          <w:sz w:val="18"/>
        </w:rPr>
      </w:pPr>
      <w:r w:rsidRPr="00CC0674">
        <w:rPr>
          <w:rFonts w:ascii="Arial Narrow" w:hAnsi="Arial Narrow" w:cs="Arial"/>
          <w:sz w:val="18"/>
        </w:rPr>
        <w:t>Abbreviations: ERCP = endoscopic retrograde cholangiopancreatography-guided mechanical lithotripsy; MBS = Medicare Benefit Schedule; POCPS = single operator, single use peroral cholangiopancreatoscopy-guided electrohydraulic/laser lithotripsy</w:t>
      </w:r>
    </w:p>
    <w:p w14:paraId="0FBE01A5" w14:textId="0D0BD445" w:rsidR="00CC0674" w:rsidRPr="00CC0674" w:rsidRDefault="00CC0674" w:rsidP="00CC0674">
      <w:pPr>
        <w:spacing w:after="240"/>
        <w:contextualSpacing/>
        <w:jc w:val="both"/>
        <w:rPr>
          <w:rFonts w:ascii="Arial Narrow" w:hAnsi="Arial Narrow" w:cs="Arial"/>
          <w:sz w:val="18"/>
        </w:rPr>
      </w:pPr>
      <w:r w:rsidRPr="00CC0674">
        <w:rPr>
          <w:rFonts w:ascii="Arial Narrow" w:hAnsi="Arial Narrow" w:cs="Arial"/>
          <w:sz w:val="18"/>
          <w:vertAlign w:val="superscript"/>
        </w:rPr>
        <w:t>a</w:t>
      </w:r>
      <w:r w:rsidRPr="00CC0674">
        <w:rPr>
          <w:rFonts w:ascii="Arial Narrow" w:hAnsi="Arial Narrow" w:cs="Arial"/>
          <w:sz w:val="18"/>
        </w:rPr>
        <w:t xml:space="preserve"> 2.32% of forecast ERCP procedures. </w:t>
      </w:r>
    </w:p>
    <w:p w14:paraId="0751BE5C" w14:textId="77777777" w:rsidR="00CC0674" w:rsidRPr="00CC0674" w:rsidRDefault="00CC0674" w:rsidP="00CC0674">
      <w:pPr>
        <w:spacing w:after="240"/>
        <w:contextualSpacing/>
        <w:jc w:val="both"/>
        <w:rPr>
          <w:rFonts w:ascii="Arial Narrow" w:hAnsi="Arial Narrow" w:cs="Arial"/>
          <w:sz w:val="18"/>
        </w:rPr>
      </w:pPr>
      <w:r w:rsidRPr="00CC0674">
        <w:rPr>
          <w:rFonts w:ascii="Arial Narrow" w:hAnsi="Arial Narrow" w:cs="Arial"/>
          <w:sz w:val="18"/>
          <w:vertAlign w:val="superscript"/>
        </w:rPr>
        <w:t>b</w:t>
      </w:r>
      <w:r w:rsidRPr="00CC0674">
        <w:rPr>
          <w:rFonts w:ascii="Arial Narrow" w:hAnsi="Arial Narrow" w:cs="Arial"/>
          <w:sz w:val="18"/>
        </w:rPr>
        <w:t xml:space="preserve"> 10% of patients require repeat POCPS</w:t>
      </w:r>
    </w:p>
    <w:p w14:paraId="769FF460" w14:textId="4BA7797C" w:rsidR="00CC0674" w:rsidRDefault="00CC0674" w:rsidP="00B25D4E">
      <w:pPr>
        <w:spacing w:after="240"/>
        <w:contextualSpacing/>
        <w:jc w:val="both"/>
        <w:rPr>
          <w:rFonts w:ascii="Arial Narrow" w:hAnsi="Arial Narrow" w:cs="Arial"/>
          <w:sz w:val="18"/>
        </w:rPr>
      </w:pPr>
      <w:r w:rsidRPr="00CC0674">
        <w:rPr>
          <w:rFonts w:ascii="Arial Narrow" w:hAnsi="Arial Narrow" w:cs="Arial"/>
          <w:sz w:val="18"/>
          <w:vertAlign w:val="superscript"/>
        </w:rPr>
        <w:t>c</w:t>
      </w:r>
      <w:r w:rsidRPr="00CC0674">
        <w:rPr>
          <w:rFonts w:ascii="Arial Narrow" w:hAnsi="Arial Narrow" w:cs="Arial"/>
          <w:sz w:val="18"/>
        </w:rPr>
        <w:t xml:space="preserve"> 19.5% of patients require repeat ERCP</w:t>
      </w:r>
    </w:p>
    <w:p w14:paraId="72EC5E0A" w14:textId="73164DA1" w:rsidR="00D237DA" w:rsidRPr="00B25D4E" w:rsidRDefault="00D237DA" w:rsidP="00B25D4E">
      <w:pPr>
        <w:spacing w:after="240"/>
        <w:contextualSpacing/>
        <w:jc w:val="both"/>
        <w:rPr>
          <w:rFonts w:ascii="Arial Narrow" w:hAnsi="Arial Narrow" w:cs="Arial"/>
          <w:sz w:val="18"/>
        </w:rPr>
      </w:pPr>
      <w:r>
        <w:rPr>
          <w:rFonts w:ascii="Arial Narrow" w:hAnsi="Arial Narrow" w:cs="Arial"/>
          <w:sz w:val="18"/>
          <w:vertAlign w:val="superscript"/>
        </w:rPr>
        <w:t>d</w:t>
      </w:r>
      <w:r>
        <w:rPr>
          <w:rFonts w:ascii="Arial Narrow" w:hAnsi="Arial Narrow" w:cs="Arial"/>
          <w:sz w:val="18"/>
        </w:rPr>
        <w:t xml:space="preserve"> Revised in the pre-MSAC response. </w:t>
      </w:r>
    </w:p>
    <w:p w14:paraId="0223765D" w14:textId="4C1464BD" w:rsidR="008843C7" w:rsidRDefault="003A6CC7" w:rsidP="00096324">
      <w:pPr>
        <w:pStyle w:val="BodyText"/>
        <w:spacing w:before="120" w:after="240" w:line="259" w:lineRule="auto"/>
        <w:rPr>
          <w:rFonts w:ascii="Franklin Gothic Book" w:eastAsiaTheme="minorHAnsi" w:hAnsi="Franklin Gothic Book" w:cstheme="minorBidi"/>
          <w:lang w:eastAsia="en-US"/>
        </w:rPr>
      </w:pPr>
      <w:r>
        <w:rPr>
          <w:rFonts w:ascii="Franklin Gothic Book" w:eastAsiaTheme="minorHAnsi" w:hAnsi="Franklin Gothic Book" w:cstheme="minorBidi"/>
          <w:lang w:eastAsia="en-US"/>
        </w:rPr>
        <w:t>The</w:t>
      </w:r>
      <w:r w:rsidR="007B6DDB" w:rsidRPr="00560219">
        <w:rPr>
          <w:rFonts w:ascii="Franklin Gothic Book" w:eastAsiaTheme="minorHAnsi" w:hAnsi="Franklin Gothic Book" w:cstheme="minorBidi"/>
          <w:lang w:eastAsia="en-US"/>
        </w:rPr>
        <w:t xml:space="preserve"> cost of POCPS for the diagnosis of indeterminate biliary strictures to the MBS was estimated to be $26,596 in 2022 increasing to $123,270</w:t>
      </w:r>
      <w:r w:rsidR="00891BEC">
        <w:rPr>
          <w:rFonts w:ascii="Franklin Gothic Book" w:eastAsiaTheme="minorHAnsi" w:hAnsi="Franklin Gothic Book" w:cstheme="minorBidi"/>
          <w:lang w:eastAsia="en-US"/>
        </w:rPr>
        <w:t xml:space="preserve"> </w:t>
      </w:r>
      <w:r w:rsidR="007B6DDB" w:rsidRPr="00560219">
        <w:rPr>
          <w:rFonts w:ascii="Franklin Gothic Book" w:eastAsiaTheme="minorHAnsi" w:hAnsi="Franklin Gothic Book" w:cstheme="minorBidi"/>
          <w:lang w:eastAsia="en-US"/>
        </w:rPr>
        <w:t xml:space="preserve">in 2027. The net financial impact of POCPS offset by changes in the utilisation of </w:t>
      </w:r>
      <w:r w:rsidR="00891BEC">
        <w:rPr>
          <w:rFonts w:ascii="Franklin Gothic Book" w:eastAsiaTheme="minorHAnsi" w:hAnsi="Franklin Gothic Book" w:cstheme="minorBidi"/>
          <w:lang w:eastAsia="en-US"/>
        </w:rPr>
        <w:t xml:space="preserve">ERCP and </w:t>
      </w:r>
      <w:r w:rsidR="00891BEC" w:rsidRPr="00891BEC">
        <w:rPr>
          <w:rFonts w:ascii="Franklin Gothic Book" w:eastAsiaTheme="minorHAnsi" w:hAnsi="Franklin Gothic Book" w:cstheme="minorBidi"/>
          <w:lang w:eastAsia="en-US"/>
        </w:rPr>
        <w:t>surgica</w:t>
      </w:r>
      <w:r w:rsidR="00891BEC">
        <w:rPr>
          <w:rFonts w:ascii="Franklin Gothic Book" w:eastAsiaTheme="minorHAnsi" w:hAnsi="Franklin Gothic Book" w:cstheme="minorBidi"/>
          <w:lang w:eastAsia="en-US"/>
        </w:rPr>
        <w:t xml:space="preserve">l resection, resulting in an estimated net cost to the MBS of </w:t>
      </w:r>
      <w:r w:rsidR="007B6DDB" w:rsidRPr="00560219">
        <w:rPr>
          <w:rFonts w:ascii="Franklin Gothic Book" w:eastAsiaTheme="minorHAnsi" w:hAnsi="Franklin Gothic Book" w:cstheme="minorBidi"/>
          <w:lang w:eastAsia="en-US"/>
        </w:rPr>
        <w:t>$560</w:t>
      </w:r>
      <w:r w:rsidR="007C0597">
        <w:rPr>
          <w:rFonts w:ascii="Franklin Gothic Book" w:eastAsiaTheme="minorHAnsi" w:hAnsi="Franklin Gothic Book" w:cstheme="minorBidi"/>
          <w:lang w:eastAsia="en-US"/>
        </w:rPr>
        <w:t xml:space="preserve"> </w:t>
      </w:r>
      <w:r w:rsidR="007B6DDB" w:rsidRPr="00560219">
        <w:rPr>
          <w:rFonts w:ascii="Franklin Gothic Book" w:eastAsiaTheme="minorHAnsi" w:hAnsi="Franklin Gothic Book" w:cstheme="minorBidi"/>
          <w:lang w:eastAsia="en-US"/>
        </w:rPr>
        <w:t>in 2022 increasing to $2,596</w:t>
      </w:r>
      <w:r w:rsidR="00891BEC">
        <w:rPr>
          <w:rFonts w:ascii="Franklin Gothic Book" w:eastAsiaTheme="minorHAnsi" w:hAnsi="Franklin Gothic Book" w:cstheme="minorBidi"/>
          <w:lang w:eastAsia="en-US"/>
        </w:rPr>
        <w:t xml:space="preserve"> </w:t>
      </w:r>
      <w:r w:rsidR="007B6DDB" w:rsidRPr="00560219">
        <w:rPr>
          <w:rFonts w:ascii="Franklin Gothic Book" w:eastAsiaTheme="minorHAnsi" w:hAnsi="Franklin Gothic Book" w:cstheme="minorBidi"/>
          <w:lang w:eastAsia="en-US"/>
        </w:rPr>
        <w:t xml:space="preserve">in 2027. </w:t>
      </w:r>
      <w:r w:rsidR="00891BEC">
        <w:rPr>
          <w:rFonts w:ascii="Franklin Gothic Book" w:eastAsiaTheme="minorHAnsi" w:hAnsi="Franklin Gothic Book" w:cstheme="minorBidi"/>
          <w:lang w:eastAsia="en-US"/>
        </w:rPr>
        <w:t>The commentary considered t</w:t>
      </w:r>
      <w:r w:rsidR="007B6DDB" w:rsidRPr="00560219">
        <w:rPr>
          <w:rFonts w:ascii="Franklin Gothic Book" w:eastAsiaTheme="minorHAnsi" w:hAnsi="Franklin Gothic Book" w:cstheme="minorBidi"/>
          <w:lang w:eastAsia="en-US"/>
        </w:rPr>
        <w:t>hese results show how the introduction of POCPS has a negligible impact on the overall MBS budget.</w:t>
      </w:r>
      <w:r w:rsidR="008843C7" w:rsidRPr="008843C7">
        <w:rPr>
          <w:rFonts w:ascii="Franklin Gothic Book" w:eastAsiaTheme="minorHAnsi" w:hAnsi="Franklin Gothic Book" w:cstheme="minorBidi"/>
          <w:lang w:eastAsia="en-US"/>
        </w:rPr>
        <w:t xml:space="preserve"> </w:t>
      </w:r>
    </w:p>
    <w:p w14:paraId="111D0857" w14:textId="59D197BC" w:rsidR="007B6DDB" w:rsidRPr="00560219" w:rsidDel="00763635" w:rsidRDefault="008843C7" w:rsidP="00096324">
      <w:pPr>
        <w:pStyle w:val="BodyText"/>
        <w:spacing w:before="120" w:after="240" w:line="259" w:lineRule="auto"/>
        <w:rPr>
          <w:rFonts w:ascii="Franklin Gothic Book" w:eastAsiaTheme="minorHAnsi" w:hAnsi="Franklin Gothic Book" w:cstheme="minorBidi"/>
          <w:lang w:eastAsia="en-US"/>
        </w:rPr>
      </w:pPr>
      <w:r w:rsidRPr="00560219">
        <w:rPr>
          <w:rFonts w:ascii="Franklin Gothic Book" w:eastAsiaTheme="minorHAnsi" w:hAnsi="Franklin Gothic Book" w:cstheme="minorBidi"/>
          <w:lang w:eastAsia="en-US"/>
        </w:rPr>
        <w:t xml:space="preserve">The total cost of POCPS for the diagnosis of indeterminate biliary strictures to the hospital budget was estimated to be </w:t>
      </w:r>
      <w:r w:rsidR="00D237DA" w:rsidRPr="00D237DA">
        <w:rPr>
          <w:rFonts w:ascii="Franklin Gothic Book" w:eastAsiaTheme="minorHAnsi" w:hAnsi="Franklin Gothic Book" w:cstheme="minorBidi"/>
          <w:lang w:eastAsia="en-US"/>
        </w:rPr>
        <w:t>$410,513</w:t>
      </w:r>
      <w:r w:rsidR="00D237DA">
        <w:rPr>
          <w:rFonts w:ascii="Franklin Gothic Book" w:eastAsiaTheme="minorHAnsi" w:hAnsi="Franklin Gothic Book" w:cstheme="minorBidi"/>
          <w:lang w:eastAsia="en-US"/>
        </w:rPr>
        <w:t xml:space="preserve"> </w:t>
      </w:r>
      <w:r w:rsidRPr="00560219">
        <w:rPr>
          <w:rFonts w:ascii="Franklin Gothic Book" w:eastAsiaTheme="minorHAnsi" w:hAnsi="Franklin Gothic Book" w:cstheme="minorBidi"/>
          <w:lang w:eastAsia="en-US"/>
        </w:rPr>
        <w:t xml:space="preserve">in 2022 increasing to </w:t>
      </w:r>
      <w:r w:rsidR="00D237DA" w:rsidRPr="00D237DA">
        <w:rPr>
          <w:rFonts w:ascii="Franklin Gothic Book" w:eastAsiaTheme="minorHAnsi" w:hAnsi="Franklin Gothic Book" w:cstheme="minorBidi"/>
          <w:lang w:eastAsia="en-US"/>
        </w:rPr>
        <w:t>$1,902,686</w:t>
      </w:r>
      <w:r w:rsidR="00D237DA">
        <w:rPr>
          <w:rFonts w:ascii="Franklin Gothic Book" w:eastAsiaTheme="minorHAnsi" w:hAnsi="Franklin Gothic Book" w:cstheme="minorBidi"/>
          <w:lang w:eastAsia="en-US"/>
        </w:rPr>
        <w:t xml:space="preserve"> </w:t>
      </w:r>
      <w:r w:rsidRPr="00560219">
        <w:rPr>
          <w:rFonts w:ascii="Franklin Gothic Book" w:eastAsiaTheme="minorHAnsi" w:hAnsi="Franklin Gothic Book" w:cstheme="minorBidi"/>
          <w:lang w:eastAsia="en-US"/>
        </w:rPr>
        <w:t xml:space="preserve">in 2027. When considering the offset in costs of the comparator technology, the net cost of POCPS to the hospital budget was estimated to be </w:t>
      </w:r>
      <w:r w:rsidR="00D237DA" w:rsidRPr="00D237DA">
        <w:rPr>
          <w:rFonts w:ascii="Franklin Gothic Book" w:eastAsiaTheme="minorHAnsi" w:hAnsi="Franklin Gothic Book" w:cstheme="minorBidi"/>
          <w:lang w:eastAsia="en-US"/>
        </w:rPr>
        <w:t>$58,031</w:t>
      </w:r>
      <w:r w:rsidR="00D237DA">
        <w:rPr>
          <w:rFonts w:ascii="Franklin Gothic Book" w:eastAsiaTheme="minorHAnsi" w:hAnsi="Franklin Gothic Book" w:cstheme="minorBidi"/>
          <w:lang w:eastAsia="en-US"/>
        </w:rPr>
        <w:t xml:space="preserve"> </w:t>
      </w:r>
      <w:r w:rsidRPr="00560219">
        <w:rPr>
          <w:rFonts w:ascii="Franklin Gothic Book" w:eastAsiaTheme="minorHAnsi" w:hAnsi="Franklin Gothic Book" w:cstheme="minorBidi"/>
          <w:lang w:eastAsia="en-US"/>
        </w:rPr>
        <w:t xml:space="preserve">in 2022 increasing to </w:t>
      </w:r>
      <w:r w:rsidR="00D237DA" w:rsidRPr="00D237DA">
        <w:rPr>
          <w:rFonts w:ascii="Franklin Gothic Book" w:eastAsiaTheme="minorHAnsi" w:hAnsi="Franklin Gothic Book" w:cstheme="minorBidi"/>
          <w:lang w:eastAsia="en-US"/>
        </w:rPr>
        <w:t>$268,968</w:t>
      </w:r>
      <w:r w:rsidR="007C0597">
        <w:rPr>
          <w:rFonts w:ascii="Franklin Gothic Book" w:eastAsiaTheme="minorHAnsi" w:hAnsi="Franklin Gothic Book" w:cstheme="minorBidi"/>
          <w:lang w:eastAsia="en-US"/>
        </w:rPr>
        <w:t xml:space="preserve"> </w:t>
      </w:r>
      <w:r w:rsidRPr="00560219">
        <w:rPr>
          <w:rFonts w:ascii="Franklin Gothic Book" w:eastAsiaTheme="minorHAnsi" w:hAnsi="Franklin Gothic Book" w:cstheme="minorBidi"/>
          <w:lang w:eastAsia="en-US"/>
        </w:rPr>
        <w:t>in 2027</w:t>
      </w:r>
      <w:r w:rsidR="007C0597">
        <w:rPr>
          <w:rFonts w:ascii="Franklin Gothic Book" w:eastAsiaTheme="minorHAnsi" w:hAnsi="Franklin Gothic Book" w:cstheme="minorBidi"/>
          <w:lang w:eastAsia="en-US"/>
        </w:rPr>
        <w:t>.</w:t>
      </w:r>
      <w:r w:rsidRPr="00560219">
        <w:rPr>
          <w:rFonts w:ascii="Franklin Gothic Book" w:eastAsiaTheme="minorHAnsi" w:hAnsi="Franklin Gothic Book" w:cstheme="minorBidi"/>
          <w:lang w:eastAsia="en-US"/>
        </w:rPr>
        <w:t xml:space="preserve"> </w:t>
      </w:r>
    </w:p>
    <w:p w14:paraId="3FBBDE56" w14:textId="490B9C5D" w:rsidR="007B6DDB" w:rsidRDefault="0045142F">
      <w:pPr>
        <w:pStyle w:val="Heading3"/>
      </w:pPr>
      <w:r>
        <w:t>Sensitivity</w:t>
      </w:r>
      <w:r w:rsidR="007B6DDB">
        <w:t xml:space="preserve"> analysis</w:t>
      </w:r>
    </w:p>
    <w:p w14:paraId="254D61F6" w14:textId="77777777" w:rsidR="007B6DDB" w:rsidRPr="00BE05FE" w:rsidRDefault="007B6DDB" w:rsidP="00096324">
      <w:pPr>
        <w:pStyle w:val="Heading4"/>
        <w:spacing w:before="120" w:after="240" w:line="259" w:lineRule="auto"/>
      </w:pPr>
      <w:r>
        <w:t>Therapeutic application</w:t>
      </w:r>
    </w:p>
    <w:p w14:paraId="7AEEDFF7" w14:textId="19251EA0" w:rsidR="007B6DDB" w:rsidRDefault="00500979" w:rsidP="00096324">
      <w:pPr>
        <w:pStyle w:val="BodyText"/>
        <w:spacing w:before="120" w:after="240" w:line="259" w:lineRule="auto"/>
        <w:rPr>
          <w:rFonts w:ascii="Franklin Gothic Book" w:eastAsiaTheme="minorHAnsi" w:hAnsi="Franklin Gothic Book" w:cstheme="minorBidi"/>
          <w:iCs/>
          <w:lang w:eastAsia="en-US"/>
        </w:rPr>
      </w:pPr>
      <w:r w:rsidRPr="00500979">
        <w:rPr>
          <w:rFonts w:ascii="Franklin Gothic Book" w:eastAsiaTheme="minorHAnsi" w:hAnsi="Franklin Gothic Book" w:cstheme="minorBidi"/>
          <w:lang w:eastAsia="en-US"/>
        </w:rPr>
        <w:fldChar w:fldCharType="begin"/>
      </w:r>
      <w:r w:rsidRPr="00500979">
        <w:rPr>
          <w:rFonts w:ascii="Franklin Gothic Book" w:eastAsiaTheme="minorHAnsi" w:hAnsi="Franklin Gothic Book" w:cstheme="minorBidi"/>
          <w:lang w:eastAsia="en-US"/>
        </w:rPr>
        <w:instrText xml:space="preserve"> REF _Ref96940029 \h </w:instrText>
      </w:r>
      <w:r>
        <w:rPr>
          <w:rFonts w:ascii="Franklin Gothic Book" w:eastAsiaTheme="minorHAnsi" w:hAnsi="Franklin Gothic Book" w:cstheme="minorBidi"/>
          <w:lang w:eastAsia="en-US"/>
        </w:rPr>
        <w:instrText xml:space="preserve"> \* MERGEFORMAT </w:instrText>
      </w:r>
      <w:r w:rsidRPr="00500979">
        <w:rPr>
          <w:rFonts w:ascii="Franklin Gothic Book" w:eastAsiaTheme="minorHAnsi" w:hAnsi="Franklin Gothic Book" w:cstheme="minorBidi"/>
          <w:lang w:eastAsia="en-US"/>
        </w:rPr>
      </w:r>
      <w:r w:rsidRPr="00500979">
        <w:rPr>
          <w:rFonts w:ascii="Franklin Gothic Book" w:eastAsiaTheme="minorHAnsi" w:hAnsi="Franklin Gothic Book" w:cstheme="minorBidi"/>
          <w:lang w:eastAsia="en-US"/>
        </w:rPr>
        <w:fldChar w:fldCharType="separate"/>
      </w:r>
      <w:r w:rsidR="00D422BC" w:rsidRPr="00D422BC">
        <w:rPr>
          <w:rFonts w:ascii="Franklin Gothic Book" w:hAnsi="Franklin Gothic Book"/>
        </w:rPr>
        <w:t>Table 31</w:t>
      </w:r>
      <w:r w:rsidRPr="00500979">
        <w:rPr>
          <w:rFonts w:ascii="Franklin Gothic Book" w:eastAsiaTheme="minorHAnsi" w:hAnsi="Franklin Gothic Book" w:cstheme="minorBidi"/>
          <w:lang w:eastAsia="en-US"/>
        </w:rPr>
        <w:fldChar w:fldCharType="end"/>
      </w:r>
      <w:r>
        <w:rPr>
          <w:rFonts w:ascii="Franklin Gothic Book" w:eastAsiaTheme="minorHAnsi" w:hAnsi="Franklin Gothic Book" w:cstheme="minorBidi"/>
          <w:lang w:eastAsia="en-US"/>
        </w:rPr>
        <w:t xml:space="preserve"> presents the results of the sensitivity analyses for the therapeutic application. </w:t>
      </w:r>
      <w:r w:rsidR="007B6DDB" w:rsidRPr="00560219">
        <w:rPr>
          <w:rFonts w:ascii="Franklin Gothic Book" w:eastAsiaTheme="minorHAnsi" w:hAnsi="Franklin Gothic Book" w:cstheme="minorBidi"/>
          <w:lang w:eastAsia="en-US"/>
        </w:rPr>
        <w:t>The main source of uncertainty for the utilisation of POCPS is its uptake rate in the ERCP market. There is no definitive epidemiology on patients with difficult biliary stones, therefore, three approaches were presented in the Ratified PICO (page 17). The chosen assumed that 45.5% of all ERCP procedures (MBS item 30484) were conducted to remove biliary stones, of which 10% of these stones were unable to be extracted during a prior ERPC (i.e. 4.55% of all current ERCP procedures would be eligible for POCPS). This method relied on estimates given by physicians at the 2021 Advisory Board.</w:t>
      </w:r>
      <w:r w:rsidR="00077187">
        <w:rPr>
          <w:rFonts w:ascii="Franklin Gothic Book" w:eastAsiaTheme="minorHAnsi" w:hAnsi="Franklin Gothic Book" w:cstheme="minorBidi"/>
          <w:lang w:eastAsia="en-US"/>
        </w:rPr>
        <w:t xml:space="preserve"> </w:t>
      </w:r>
      <w:r w:rsidR="007B6DDB" w:rsidRPr="00500979">
        <w:rPr>
          <w:rFonts w:ascii="Franklin Gothic Book" w:eastAsiaTheme="minorHAnsi" w:hAnsi="Franklin Gothic Book" w:cstheme="minorBidi"/>
          <w:iCs/>
          <w:lang w:eastAsia="en-US"/>
        </w:rPr>
        <w:t>Using these assumptions, the application estimated a likely population of 357 patients that will use POCPS for the removal of difficult biliary stones (Ratified PICO 1673).</w:t>
      </w:r>
      <w:r w:rsidR="007B6DDB" w:rsidRPr="00913E31">
        <w:rPr>
          <w:rFonts w:ascii="Franklin Gothic Book" w:eastAsiaTheme="minorHAnsi" w:hAnsi="Franklin Gothic Book" w:cstheme="minorBidi"/>
          <w:i/>
          <w:lang w:eastAsia="en-US"/>
        </w:rPr>
        <w:t xml:space="preserve"> </w:t>
      </w:r>
      <w:r>
        <w:rPr>
          <w:rFonts w:ascii="Franklin Gothic Book" w:eastAsiaTheme="minorHAnsi" w:hAnsi="Franklin Gothic Book" w:cstheme="minorBidi"/>
          <w:iCs/>
          <w:lang w:eastAsia="en-US"/>
        </w:rPr>
        <w:t xml:space="preserve">The commentary considered that this </w:t>
      </w:r>
      <w:r w:rsidR="007B6DDB" w:rsidRPr="00500979">
        <w:rPr>
          <w:rFonts w:ascii="Franklin Gothic Book" w:eastAsiaTheme="minorHAnsi" w:hAnsi="Franklin Gothic Book" w:cstheme="minorBidi"/>
          <w:iCs/>
          <w:lang w:eastAsia="en-US"/>
        </w:rPr>
        <w:t>approach is appropriate given it is the more conservative method to identify costs to MBS.</w:t>
      </w:r>
    </w:p>
    <w:p w14:paraId="36128D12" w14:textId="5E4D57AC" w:rsidR="002C6B5A" w:rsidRPr="005E49D6" w:rsidRDefault="002C6B5A" w:rsidP="005E49D6">
      <w:pPr>
        <w:pStyle w:val="BodyText"/>
        <w:spacing w:before="120" w:after="240" w:line="259" w:lineRule="auto"/>
        <w:rPr>
          <w:rFonts w:ascii="Franklin Gothic Book" w:eastAsiaTheme="minorHAnsi" w:hAnsi="Franklin Gothic Book" w:cstheme="minorBidi"/>
          <w:lang w:eastAsia="en-US"/>
        </w:rPr>
      </w:pPr>
      <w:r>
        <w:rPr>
          <w:rFonts w:ascii="Franklin Gothic Book" w:eastAsiaTheme="minorHAnsi" w:hAnsi="Franklin Gothic Book" w:cstheme="minorBidi"/>
          <w:iCs/>
          <w:lang w:eastAsia="en-US"/>
        </w:rPr>
        <w:t xml:space="preserve">ESC requested further sensitivity analyses examining different growth rates for ERCP and </w:t>
      </w:r>
      <w:r w:rsidRPr="0054643C">
        <w:rPr>
          <w:rFonts w:ascii="Franklin Gothic Book" w:eastAsiaTheme="minorHAnsi" w:hAnsi="Franklin Gothic Book" w:cstheme="minorBidi"/>
          <w:iCs/>
          <w:lang w:eastAsia="en-US"/>
        </w:rPr>
        <w:t>laparoscopic choledochotomy</w:t>
      </w:r>
      <w:r>
        <w:rPr>
          <w:rFonts w:ascii="Franklin Gothic Book" w:eastAsiaTheme="minorHAnsi" w:hAnsi="Franklin Gothic Book" w:cstheme="minorBidi"/>
          <w:iCs/>
          <w:lang w:eastAsia="en-US"/>
        </w:rPr>
        <w:t xml:space="preserve"> as POCPS is claimed to have superior effectiveness compared with ERCP but non-inferior effectiveness compared with </w:t>
      </w:r>
      <w:r w:rsidRPr="0054643C">
        <w:rPr>
          <w:rFonts w:ascii="Franklin Gothic Book" w:eastAsiaTheme="minorHAnsi" w:hAnsi="Franklin Gothic Book" w:cstheme="minorBidi"/>
          <w:iCs/>
          <w:lang w:eastAsia="en-US"/>
        </w:rPr>
        <w:t>laparoscopic choledochotomy</w:t>
      </w:r>
      <w:r>
        <w:rPr>
          <w:rFonts w:ascii="Franklin Gothic Book" w:eastAsiaTheme="minorHAnsi" w:hAnsi="Franklin Gothic Book" w:cstheme="minorBidi"/>
          <w:iCs/>
          <w:lang w:eastAsia="en-US"/>
        </w:rPr>
        <w:t xml:space="preserve">. Assuming lower market growth from </w:t>
      </w:r>
      <w:r w:rsidRPr="002C6B5A">
        <w:rPr>
          <w:rFonts w:ascii="Franklin Gothic Book" w:eastAsiaTheme="minorHAnsi" w:hAnsi="Franklin Gothic Book" w:cstheme="minorBidi"/>
          <w:iCs/>
          <w:lang w:eastAsia="en-US"/>
        </w:rPr>
        <w:t>laparoscopic choledochotomy</w:t>
      </w:r>
      <w:r>
        <w:rPr>
          <w:rFonts w:ascii="Franklin Gothic Book" w:eastAsiaTheme="minorHAnsi" w:hAnsi="Franklin Gothic Book" w:cstheme="minorBidi"/>
          <w:iCs/>
          <w:lang w:eastAsia="en-US"/>
        </w:rPr>
        <w:t xml:space="preserve"> and higher market growth ERCP, separately, increased costs to the MBS. Reducing the MBS fee for POCPS to be the same as the fee for ERCP resulted in net savings to the MBS. </w:t>
      </w:r>
    </w:p>
    <w:p w14:paraId="06B572BB" w14:textId="1AB09B6E" w:rsidR="007B6DDB" w:rsidRDefault="007B6DDB" w:rsidP="007B6DDB">
      <w:pPr>
        <w:pStyle w:val="Caption"/>
        <w:keepLines/>
      </w:pPr>
      <w:bookmarkStart w:id="151" w:name="_Ref83824713"/>
      <w:bookmarkStart w:id="152" w:name="_Ref96940029"/>
      <w:bookmarkStart w:id="153" w:name="_Toc84313727"/>
      <w:bookmarkStart w:id="154" w:name="_Toc84324873"/>
      <w:bookmarkStart w:id="155" w:name="_Toc84344304"/>
      <w:bookmarkStart w:id="156" w:name="_Toc84348196"/>
      <w:r>
        <w:t>Table</w:t>
      </w:r>
      <w:bookmarkEnd w:id="151"/>
      <w:r>
        <w:t> </w:t>
      </w:r>
      <w:r>
        <w:fldChar w:fldCharType="begin"/>
      </w:r>
      <w:r>
        <w:instrText>SEQ Table \* ARABIC</w:instrText>
      </w:r>
      <w:r>
        <w:fldChar w:fldCharType="separate"/>
      </w:r>
      <w:r w:rsidR="00D422BC">
        <w:rPr>
          <w:noProof/>
        </w:rPr>
        <w:t>31</w:t>
      </w:r>
      <w:r>
        <w:fldChar w:fldCharType="end"/>
      </w:r>
      <w:bookmarkEnd w:id="152"/>
      <w:r>
        <w:rPr>
          <w:noProof/>
        </w:rPr>
        <w:tab/>
      </w:r>
      <w:r>
        <w:t>Sensitivity analysis: Net financial implications of POCPS to the MBS for patients with difficult biliary stones (POCPS minus ERCP and choledochotomy offsets)</w:t>
      </w:r>
      <w:bookmarkEnd w:id="153"/>
      <w:bookmarkEnd w:id="154"/>
      <w:bookmarkEnd w:id="155"/>
      <w:bookmarkEnd w:id="156"/>
    </w:p>
    <w:tbl>
      <w:tblPr>
        <w:tblStyle w:val="TableGrid"/>
        <w:tblW w:w="4348" w:type="pct"/>
        <w:tblCellMar>
          <w:left w:w="57" w:type="dxa"/>
          <w:right w:w="57" w:type="dxa"/>
        </w:tblCellMar>
        <w:tblLook w:val="04A0" w:firstRow="1" w:lastRow="0" w:firstColumn="1" w:lastColumn="0" w:noHBand="0" w:noVBand="1"/>
      </w:tblPr>
      <w:tblGrid>
        <w:gridCol w:w="1536"/>
        <w:gridCol w:w="1181"/>
        <w:gridCol w:w="1243"/>
        <w:gridCol w:w="1247"/>
        <w:gridCol w:w="1247"/>
        <w:gridCol w:w="1386"/>
      </w:tblGrid>
      <w:tr w:rsidR="00500979" w14:paraId="0114E5B0" w14:textId="77777777" w:rsidTr="002A3A13">
        <w:trPr>
          <w:cantSplit/>
          <w:trHeight w:val="283"/>
          <w:tblHeader/>
        </w:trPr>
        <w:tc>
          <w:tcPr>
            <w:tcW w:w="980" w:type="pct"/>
            <w:tcBorders>
              <w:top w:val="single" w:sz="4" w:space="0" w:color="auto"/>
              <w:left w:val="single" w:sz="4" w:space="0" w:color="auto"/>
              <w:bottom w:val="single" w:sz="4" w:space="0" w:color="auto"/>
              <w:right w:val="single" w:sz="4" w:space="0" w:color="auto"/>
            </w:tcBorders>
            <w:hideMark/>
          </w:tcPr>
          <w:p w14:paraId="4A8B7580" w14:textId="77777777" w:rsidR="00500979" w:rsidRPr="0014226E" w:rsidRDefault="00500979" w:rsidP="0014226E">
            <w:pPr>
              <w:pStyle w:val="TableHeading0"/>
              <w:jc w:val="center"/>
            </w:pPr>
            <w:r w:rsidRPr="0014226E">
              <w:t>2022</w:t>
            </w:r>
          </w:p>
        </w:tc>
        <w:tc>
          <w:tcPr>
            <w:tcW w:w="753" w:type="pct"/>
            <w:tcBorders>
              <w:top w:val="single" w:sz="4" w:space="0" w:color="auto"/>
              <w:left w:val="single" w:sz="4" w:space="0" w:color="auto"/>
              <w:bottom w:val="single" w:sz="4" w:space="0" w:color="auto"/>
              <w:right w:val="single" w:sz="4" w:space="0" w:color="auto"/>
            </w:tcBorders>
            <w:hideMark/>
          </w:tcPr>
          <w:p w14:paraId="6327837E" w14:textId="77777777" w:rsidR="00500979" w:rsidRPr="0014226E" w:rsidRDefault="00500979" w:rsidP="0014226E">
            <w:pPr>
              <w:pStyle w:val="TableHeading0"/>
              <w:jc w:val="center"/>
            </w:pPr>
            <w:r w:rsidRPr="0014226E">
              <w:t>2023</w:t>
            </w:r>
          </w:p>
        </w:tc>
        <w:tc>
          <w:tcPr>
            <w:tcW w:w="793" w:type="pct"/>
            <w:tcBorders>
              <w:top w:val="single" w:sz="4" w:space="0" w:color="auto"/>
              <w:left w:val="single" w:sz="4" w:space="0" w:color="auto"/>
              <w:bottom w:val="single" w:sz="4" w:space="0" w:color="auto"/>
              <w:right w:val="single" w:sz="4" w:space="0" w:color="auto"/>
            </w:tcBorders>
            <w:hideMark/>
          </w:tcPr>
          <w:p w14:paraId="7DEC6A5C" w14:textId="77777777" w:rsidR="00500979" w:rsidRPr="0014226E" w:rsidRDefault="00500979" w:rsidP="0014226E">
            <w:pPr>
              <w:pStyle w:val="TableHeading0"/>
              <w:jc w:val="center"/>
            </w:pPr>
            <w:r w:rsidRPr="0014226E">
              <w:t>2024</w:t>
            </w:r>
          </w:p>
        </w:tc>
        <w:tc>
          <w:tcPr>
            <w:tcW w:w="795" w:type="pct"/>
            <w:tcBorders>
              <w:top w:val="single" w:sz="4" w:space="0" w:color="auto"/>
              <w:left w:val="single" w:sz="4" w:space="0" w:color="auto"/>
              <w:bottom w:val="single" w:sz="4" w:space="0" w:color="auto"/>
              <w:right w:val="single" w:sz="4" w:space="0" w:color="auto"/>
            </w:tcBorders>
            <w:hideMark/>
          </w:tcPr>
          <w:p w14:paraId="71B959B5" w14:textId="77777777" w:rsidR="00500979" w:rsidRPr="0014226E" w:rsidRDefault="00500979" w:rsidP="0014226E">
            <w:pPr>
              <w:pStyle w:val="TableHeading0"/>
              <w:jc w:val="center"/>
            </w:pPr>
            <w:r w:rsidRPr="0014226E">
              <w:t>2025</w:t>
            </w:r>
          </w:p>
        </w:tc>
        <w:tc>
          <w:tcPr>
            <w:tcW w:w="795" w:type="pct"/>
            <w:tcBorders>
              <w:top w:val="single" w:sz="4" w:space="0" w:color="auto"/>
              <w:left w:val="single" w:sz="4" w:space="0" w:color="auto"/>
              <w:bottom w:val="single" w:sz="4" w:space="0" w:color="auto"/>
              <w:right w:val="single" w:sz="4" w:space="0" w:color="auto"/>
            </w:tcBorders>
            <w:hideMark/>
          </w:tcPr>
          <w:p w14:paraId="6EB3728E" w14:textId="77777777" w:rsidR="00500979" w:rsidRPr="0014226E" w:rsidRDefault="00500979" w:rsidP="0014226E">
            <w:pPr>
              <w:pStyle w:val="TableHeading0"/>
              <w:jc w:val="center"/>
            </w:pPr>
            <w:r w:rsidRPr="0014226E">
              <w:t>2026</w:t>
            </w:r>
          </w:p>
        </w:tc>
        <w:tc>
          <w:tcPr>
            <w:tcW w:w="884" w:type="pct"/>
            <w:tcBorders>
              <w:top w:val="single" w:sz="4" w:space="0" w:color="auto"/>
              <w:left w:val="single" w:sz="4" w:space="0" w:color="auto"/>
              <w:bottom w:val="single" w:sz="4" w:space="0" w:color="auto"/>
              <w:right w:val="single" w:sz="4" w:space="0" w:color="auto"/>
            </w:tcBorders>
            <w:hideMark/>
          </w:tcPr>
          <w:p w14:paraId="753EB0E3" w14:textId="77777777" w:rsidR="00500979" w:rsidRPr="0014226E" w:rsidRDefault="00500979" w:rsidP="0014226E">
            <w:pPr>
              <w:pStyle w:val="TableHeading0"/>
              <w:jc w:val="center"/>
            </w:pPr>
            <w:r w:rsidRPr="0014226E">
              <w:t>2027</w:t>
            </w:r>
          </w:p>
        </w:tc>
      </w:tr>
      <w:tr w:rsidR="00500979" w14:paraId="773E4531" w14:textId="77777777" w:rsidTr="00500979">
        <w:trPr>
          <w:cantSplit/>
          <w:trHeight w:val="283"/>
        </w:trPr>
        <w:tc>
          <w:tcPr>
            <w:tcW w:w="5000" w:type="pct"/>
            <w:gridSpan w:val="6"/>
            <w:tcBorders>
              <w:top w:val="single" w:sz="4" w:space="0" w:color="auto"/>
              <w:left w:val="single" w:sz="4" w:space="0" w:color="auto"/>
              <w:bottom w:val="single" w:sz="4" w:space="0" w:color="auto"/>
              <w:right w:val="single" w:sz="4" w:space="0" w:color="auto"/>
            </w:tcBorders>
            <w:vAlign w:val="center"/>
          </w:tcPr>
          <w:p w14:paraId="4EC85A55" w14:textId="127149DD" w:rsidR="00500979" w:rsidRPr="0014226E" w:rsidRDefault="00500979" w:rsidP="0014226E">
            <w:pPr>
              <w:pStyle w:val="TableText"/>
              <w:keepNext/>
              <w:keepLines/>
              <w:spacing w:before="20" w:after="20"/>
              <w:rPr>
                <w:b/>
                <w:bCs/>
                <w:szCs w:val="20"/>
              </w:rPr>
            </w:pPr>
            <w:r w:rsidRPr="0014226E">
              <w:rPr>
                <w:b/>
                <w:bCs/>
                <w:szCs w:val="20"/>
              </w:rPr>
              <w:t>Base case</w:t>
            </w:r>
          </w:p>
        </w:tc>
      </w:tr>
      <w:tr w:rsidR="00500979" w14:paraId="3E399B26" w14:textId="77777777" w:rsidTr="002A3A13">
        <w:trPr>
          <w:cantSplit/>
          <w:trHeight w:val="283"/>
        </w:trPr>
        <w:tc>
          <w:tcPr>
            <w:tcW w:w="980" w:type="pct"/>
            <w:tcBorders>
              <w:top w:val="single" w:sz="4" w:space="0" w:color="auto"/>
              <w:left w:val="single" w:sz="4" w:space="0" w:color="auto"/>
              <w:bottom w:val="single" w:sz="4" w:space="0" w:color="auto"/>
              <w:right w:val="single" w:sz="4" w:space="0" w:color="auto"/>
            </w:tcBorders>
            <w:hideMark/>
          </w:tcPr>
          <w:p w14:paraId="63800BDF" w14:textId="77777777" w:rsidR="00500979" w:rsidRPr="0014226E" w:rsidRDefault="00500979" w:rsidP="00AF0C6C">
            <w:pPr>
              <w:pStyle w:val="TableText"/>
              <w:keepNext/>
              <w:keepLines/>
              <w:spacing w:before="20" w:after="20"/>
              <w:rPr>
                <w:b/>
                <w:bCs/>
                <w:szCs w:val="20"/>
              </w:rPr>
            </w:pPr>
            <w:r w:rsidRPr="0014226E">
              <w:rPr>
                <w:b/>
                <w:bCs/>
                <w:szCs w:val="20"/>
              </w:rPr>
              <w:t>$7,616.62</w:t>
            </w:r>
          </w:p>
        </w:tc>
        <w:tc>
          <w:tcPr>
            <w:tcW w:w="753" w:type="pct"/>
            <w:tcBorders>
              <w:top w:val="single" w:sz="4" w:space="0" w:color="auto"/>
              <w:left w:val="single" w:sz="4" w:space="0" w:color="auto"/>
              <w:bottom w:val="single" w:sz="4" w:space="0" w:color="auto"/>
              <w:right w:val="single" w:sz="4" w:space="0" w:color="auto"/>
            </w:tcBorders>
            <w:hideMark/>
          </w:tcPr>
          <w:p w14:paraId="425467C7" w14:textId="77777777" w:rsidR="00500979" w:rsidRPr="0014226E" w:rsidRDefault="00500979" w:rsidP="00AF0C6C">
            <w:pPr>
              <w:pStyle w:val="TableText"/>
              <w:keepNext/>
              <w:keepLines/>
              <w:spacing w:before="20" w:after="20"/>
              <w:rPr>
                <w:b/>
                <w:bCs/>
                <w:szCs w:val="20"/>
              </w:rPr>
            </w:pPr>
            <w:r w:rsidRPr="0014226E">
              <w:rPr>
                <w:b/>
                <w:bCs/>
                <w:szCs w:val="20"/>
              </w:rPr>
              <w:t>$10,350.72</w:t>
            </w:r>
          </w:p>
        </w:tc>
        <w:tc>
          <w:tcPr>
            <w:tcW w:w="793" w:type="pct"/>
            <w:tcBorders>
              <w:top w:val="single" w:sz="4" w:space="0" w:color="auto"/>
              <w:left w:val="single" w:sz="4" w:space="0" w:color="auto"/>
              <w:bottom w:val="single" w:sz="4" w:space="0" w:color="auto"/>
              <w:right w:val="single" w:sz="4" w:space="0" w:color="auto"/>
            </w:tcBorders>
            <w:hideMark/>
          </w:tcPr>
          <w:p w14:paraId="3B1E25E5" w14:textId="77777777" w:rsidR="00500979" w:rsidRPr="0014226E" w:rsidRDefault="00500979" w:rsidP="00AF0C6C">
            <w:pPr>
              <w:pStyle w:val="TableText"/>
              <w:keepNext/>
              <w:keepLines/>
              <w:spacing w:before="20" w:after="20"/>
              <w:rPr>
                <w:b/>
                <w:bCs/>
                <w:szCs w:val="20"/>
              </w:rPr>
            </w:pPr>
            <w:r w:rsidRPr="0014226E">
              <w:rPr>
                <w:b/>
                <w:bCs/>
                <w:szCs w:val="20"/>
              </w:rPr>
              <w:t>$14,066.25</w:t>
            </w:r>
          </w:p>
        </w:tc>
        <w:tc>
          <w:tcPr>
            <w:tcW w:w="795" w:type="pct"/>
            <w:tcBorders>
              <w:top w:val="single" w:sz="4" w:space="0" w:color="auto"/>
              <w:left w:val="single" w:sz="4" w:space="0" w:color="auto"/>
              <w:bottom w:val="single" w:sz="4" w:space="0" w:color="auto"/>
              <w:right w:val="single" w:sz="4" w:space="0" w:color="auto"/>
            </w:tcBorders>
            <w:hideMark/>
          </w:tcPr>
          <w:p w14:paraId="0EA08B8D" w14:textId="77777777" w:rsidR="00500979" w:rsidRPr="0014226E" w:rsidRDefault="00500979" w:rsidP="00AF0C6C">
            <w:pPr>
              <w:pStyle w:val="TableText"/>
              <w:keepNext/>
              <w:keepLines/>
              <w:spacing w:before="20" w:after="20"/>
              <w:rPr>
                <w:b/>
                <w:bCs/>
                <w:szCs w:val="20"/>
              </w:rPr>
            </w:pPr>
            <w:r w:rsidRPr="0014226E">
              <w:rPr>
                <w:b/>
                <w:bCs/>
                <w:szCs w:val="20"/>
              </w:rPr>
              <w:t>$19,115.53</w:t>
            </w:r>
          </w:p>
        </w:tc>
        <w:tc>
          <w:tcPr>
            <w:tcW w:w="795" w:type="pct"/>
            <w:tcBorders>
              <w:top w:val="single" w:sz="4" w:space="0" w:color="auto"/>
              <w:left w:val="single" w:sz="4" w:space="0" w:color="auto"/>
              <w:bottom w:val="single" w:sz="4" w:space="0" w:color="auto"/>
              <w:right w:val="single" w:sz="4" w:space="0" w:color="auto"/>
            </w:tcBorders>
            <w:hideMark/>
          </w:tcPr>
          <w:p w14:paraId="40164D08" w14:textId="77777777" w:rsidR="00500979" w:rsidRPr="0014226E" w:rsidRDefault="00500979" w:rsidP="00AF0C6C">
            <w:pPr>
              <w:pStyle w:val="TableText"/>
              <w:keepNext/>
              <w:keepLines/>
              <w:spacing w:before="20" w:after="20"/>
              <w:rPr>
                <w:b/>
                <w:bCs/>
                <w:szCs w:val="20"/>
              </w:rPr>
            </w:pPr>
            <w:r w:rsidRPr="0014226E">
              <w:rPr>
                <w:b/>
                <w:bCs/>
                <w:szCs w:val="20"/>
              </w:rPr>
              <w:t>$25,977.32</w:t>
            </w:r>
          </w:p>
        </w:tc>
        <w:tc>
          <w:tcPr>
            <w:tcW w:w="884" w:type="pct"/>
            <w:tcBorders>
              <w:top w:val="single" w:sz="4" w:space="0" w:color="auto"/>
              <w:left w:val="single" w:sz="4" w:space="0" w:color="auto"/>
              <w:bottom w:val="single" w:sz="4" w:space="0" w:color="auto"/>
              <w:right w:val="single" w:sz="4" w:space="0" w:color="auto"/>
            </w:tcBorders>
            <w:hideMark/>
          </w:tcPr>
          <w:p w14:paraId="3295F736" w14:textId="77777777" w:rsidR="00500979" w:rsidRPr="0014226E" w:rsidRDefault="00500979" w:rsidP="00AF0C6C">
            <w:pPr>
              <w:pStyle w:val="TableText"/>
              <w:keepNext/>
              <w:keepLines/>
              <w:spacing w:before="20" w:after="20"/>
              <w:rPr>
                <w:b/>
                <w:bCs/>
                <w:szCs w:val="20"/>
              </w:rPr>
            </w:pPr>
            <w:r w:rsidRPr="0014226E">
              <w:rPr>
                <w:b/>
                <w:bCs/>
                <w:szCs w:val="20"/>
              </w:rPr>
              <w:t>$35,302.25</w:t>
            </w:r>
          </w:p>
        </w:tc>
      </w:tr>
      <w:tr w:rsidR="00500979" w14:paraId="2E6D25EE" w14:textId="77777777" w:rsidTr="00500979">
        <w:trPr>
          <w:cantSplit/>
          <w:trHeight w:val="283"/>
        </w:trPr>
        <w:tc>
          <w:tcPr>
            <w:tcW w:w="5000" w:type="pct"/>
            <w:gridSpan w:val="6"/>
            <w:tcBorders>
              <w:top w:val="single" w:sz="4" w:space="0" w:color="auto"/>
              <w:left w:val="single" w:sz="4" w:space="0" w:color="auto"/>
              <w:bottom w:val="single" w:sz="4" w:space="0" w:color="auto"/>
              <w:right w:val="single" w:sz="4" w:space="0" w:color="auto"/>
            </w:tcBorders>
            <w:vAlign w:val="center"/>
          </w:tcPr>
          <w:p w14:paraId="7F4252BD" w14:textId="48C5EC06" w:rsidR="00500979" w:rsidRPr="0014226E" w:rsidRDefault="00500979" w:rsidP="0014226E">
            <w:pPr>
              <w:pStyle w:val="TableText"/>
              <w:keepNext/>
              <w:keepLines/>
              <w:spacing w:before="20" w:after="20"/>
              <w:rPr>
                <w:b/>
                <w:bCs/>
                <w:szCs w:val="20"/>
              </w:rPr>
            </w:pPr>
            <w:r>
              <w:rPr>
                <w:b/>
                <w:bCs/>
                <w:szCs w:val="20"/>
              </w:rPr>
              <w:t>Change in s</w:t>
            </w:r>
            <w:r w:rsidRPr="0014226E">
              <w:rPr>
                <w:b/>
                <w:bCs/>
                <w:szCs w:val="20"/>
              </w:rPr>
              <w:t>ingle session stone clearance</w:t>
            </w:r>
            <w:r>
              <w:rPr>
                <w:b/>
                <w:bCs/>
                <w:szCs w:val="20"/>
              </w:rPr>
              <w:t xml:space="preserve"> (</w:t>
            </w:r>
            <w:r w:rsidR="009119C4">
              <w:rPr>
                <w:b/>
                <w:bCs/>
                <w:szCs w:val="20"/>
              </w:rPr>
              <w:t>b</w:t>
            </w:r>
            <w:r>
              <w:rPr>
                <w:b/>
                <w:bCs/>
                <w:szCs w:val="20"/>
              </w:rPr>
              <w:t xml:space="preserve">ase case </w:t>
            </w:r>
            <w:r w:rsidRPr="0014226E">
              <w:rPr>
                <w:b/>
                <w:bCs/>
                <w:szCs w:val="20"/>
              </w:rPr>
              <w:t>POCPS : 83.3%</w:t>
            </w:r>
            <w:r>
              <w:rPr>
                <w:b/>
                <w:bCs/>
                <w:szCs w:val="20"/>
              </w:rPr>
              <w:t xml:space="preserve"> </w:t>
            </w:r>
            <w:r w:rsidRPr="0014226E">
              <w:rPr>
                <w:b/>
                <w:bCs/>
                <w:szCs w:val="20"/>
              </w:rPr>
              <w:t>ERCP: 62.5%</w:t>
            </w:r>
            <w:r>
              <w:rPr>
                <w:b/>
                <w:bCs/>
                <w:szCs w:val="20"/>
              </w:rPr>
              <w:t>)</w:t>
            </w:r>
          </w:p>
        </w:tc>
      </w:tr>
      <w:tr w:rsidR="00500979" w14:paraId="35220A3B" w14:textId="77777777" w:rsidTr="00500979">
        <w:trPr>
          <w:cantSplit/>
          <w:trHeight w:val="283"/>
        </w:trPr>
        <w:tc>
          <w:tcPr>
            <w:tcW w:w="5000" w:type="pct"/>
            <w:gridSpan w:val="6"/>
            <w:tcBorders>
              <w:top w:val="single" w:sz="4" w:space="0" w:color="auto"/>
              <w:left w:val="single" w:sz="4" w:space="0" w:color="auto"/>
              <w:bottom w:val="single" w:sz="4" w:space="0" w:color="auto"/>
              <w:right w:val="single" w:sz="4" w:space="0" w:color="auto"/>
            </w:tcBorders>
            <w:vAlign w:val="center"/>
          </w:tcPr>
          <w:p w14:paraId="45AA6644" w14:textId="262AEC22" w:rsidR="00500979" w:rsidRPr="0014226E" w:rsidRDefault="00500979" w:rsidP="00141534">
            <w:pPr>
              <w:pStyle w:val="TableText"/>
              <w:keepNext/>
              <w:keepLines/>
              <w:spacing w:before="20" w:after="20"/>
              <w:rPr>
                <w:b/>
                <w:bCs/>
                <w:szCs w:val="20"/>
              </w:rPr>
            </w:pPr>
            <w:r w:rsidRPr="0014226E">
              <w:rPr>
                <w:szCs w:val="20"/>
              </w:rPr>
              <w:t>POCPS : 100%</w:t>
            </w:r>
            <w:r>
              <w:rPr>
                <w:szCs w:val="20"/>
              </w:rPr>
              <w:t xml:space="preserve"> , </w:t>
            </w:r>
            <w:r w:rsidRPr="0014226E">
              <w:rPr>
                <w:szCs w:val="20"/>
              </w:rPr>
              <w:t>ERCP: 62.5%</w:t>
            </w:r>
            <w:r>
              <w:rPr>
                <w:szCs w:val="20"/>
              </w:rPr>
              <w:t xml:space="preserve"> (</w:t>
            </w:r>
            <w:r w:rsidRPr="0014226E">
              <w:rPr>
                <w:szCs w:val="20"/>
              </w:rPr>
              <w:t>Angsuwatcharakon et al. (2019)</w:t>
            </w:r>
          </w:p>
        </w:tc>
      </w:tr>
      <w:tr w:rsidR="00500979" w14:paraId="5DB25673" w14:textId="77777777" w:rsidTr="002A3A13">
        <w:trPr>
          <w:cantSplit/>
          <w:trHeight w:val="283"/>
        </w:trPr>
        <w:tc>
          <w:tcPr>
            <w:tcW w:w="980" w:type="pct"/>
            <w:tcBorders>
              <w:top w:val="single" w:sz="4" w:space="0" w:color="auto"/>
              <w:left w:val="single" w:sz="4" w:space="0" w:color="auto"/>
              <w:bottom w:val="single" w:sz="4" w:space="0" w:color="auto"/>
              <w:right w:val="single" w:sz="4" w:space="0" w:color="auto"/>
            </w:tcBorders>
            <w:hideMark/>
          </w:tcPr>
          <w:p w14:paraId="3830C8FF" w14:textId="77777777" w:rsidR="00500979" w:rsidRDefault="00500979" w:rsidP="006D10FC">
            <w:pPr>
              <w:pStyle w:val="TableText"/>
              <w:keepNext/>
              <w:keepLines/>
              <w:spacing w:before="20" w:after="20"/>
              <w:rPr>
                <w:szCs w:val="20"/>
              </w:rPr>
            </w:pPr>
            <w:r>
              <w:rPr>
                <w:szCs w:val="20"/>
              </w:rPr>
              <w:t>-$5,809.64</w:t>
            </w:r>
          </w:p>
        </w:tc>
        <w:tc>
          <w:tcPr>
            <w:tcW w:w="753" w:type="pct"/>
            <w:tcBorders>
              <w:top w:val="single" w:sz="4" w:space="0" w:color="auto"/>
              <w:left w:val="single" w:sz="4" w:space="0" w:color="auto"/>
              <w:bottom w:val="single" w:sz="4" w:space="0" w:color="auto"/>
              <w:right w:val="single" w:sz="4" w:space="0" w:color="auto"/>
            </w:tcBorders>
            <w:hideMark/>
          </w:tcPr>
          <w:p w14:paraId="429BA30C" w14:textId="77777777" w:rsidR="00500979" w:rsidRDefault="00500979" w:rsidP="006D10FC">
            <w:pPr>
              <w:pStyle w:val="TableText"/>
              <w:keepNext/>
              <w:keepLines/>
              <w:spacing w:before="20" w:after="20"/>
              <w:rPr>
                <w:szCs w:val="20"/>
              </w:rPr>
            </w:pPr>
            <w:r>
              <w:rPr>
                <w:szCs w:val="20"/>
              </w:rPr>
              <w:t>-$7,895.10</w:t>
            </w:r>
          </w:p>
        </w:tc>
        <w:tc>
          <w:tcPr>
            <w:tcW w:w="793" w:type="pct"/>
            <w:tcBorders>
              <w:top w:val="single" w:sz="4" w:space="0" w:color="auto"/>
              <w:left w:val="single" w:sz="4" w:space="0" w:color="auto"/>
              <w:bottom w:val="single" w:sz="4" w:space="0" w:color="auto"/>
              <w:right w:val="single" w:sz="4" w:space="0" w:color="auto"/>
            </w:tcBorders>
            <w:hideMark/>
          </w:tcPr>
          <w:p w14:paraId="67CAD6FA" w14:textId="77777777" w:rsidR="00500979" w:rsidRDefault="00500979" w:rsidP="006D10FC">
            <w:pPr>
              <w:pStyle w:val="TableText"/>
              <w:keepNext/>
              <w:keepLines/>
              <w:spacing w:before="20" w:after="20"/>
              <w:rPr>
                <w:szCs w:val="20"/>
              </w:rPr>
            </w:pPr>
            <w:r>
              <w:rPr>
                <w:szCs w:val="20"/>
              </w:rPr>
              <w:t>-$10,729.16</w:t>
            </w:r>
          </w:p>
        </w:tc>
        <w:tc>
          <w:tcPr>
            <w:tcW w:w="795" w:type="pct"/>
            <w:tcBorders>
              <w:top w:val="single" w:sz="4" w:space="0" w:color="auto"/>
              <w:left w:val="single" w:sz="4" w:space="0" w:color="auto"/>
              <w:bottom w:val="single" w:sz="4" w:space="0" w:color="auto"/>
              <w:right w:val="single" w:sz="4" w:space="0" w:color="auto"/>
            </w:tcBorders>
            <w:hideMark/>
          </w:tcPr>
          <w:p w14:paraId="6BA629EE" w14:textId="77777777" w:rsidR="00500979" w:rsidRDefault="00500979" w:rsidP="006D10FC">
            <w:pPr>
              <w:pStyle w:val="TableText"/>
              <w:keepNext/>
              <w:keepLines/>
              <w:spacing w:before="20" w:after="20"/>
              <w:rPr>
                <w:szCs w:val="20"/>
              </w:rPr>
            </w:pPr>
            <w:r>
              <w:rPr>
                <w:szCs w:val="20"/>
              </w:rPr>
              <w:t>-$14,580.54</w:t>
            </w:r>
          </w:p>
        </w:tc>
        <w:tc>
          <w:tcPr>
            <w:tcW w:w="795" w:type="pct"/>
            <w:tcBorders>
              <w:top w:val="single" w:sz="4" w:space="0" w:color="auto"/>
              <w:left w:val="single" w:sz="4" w:space="0" w:color="auto"/>
              <w:bottom w:val="single" w:sz="4" w:space="0" w:color="auto"/>
              <w:right w:val="single" w:sz="4" w:space="0" w:color="auto"/>
            </w:tcBorders>
            <w:hideMark/>
          </w:tcPr>
          <w:p w14:paraId="60A38BFD" w14:textId="77777777" w:rsidR="00500979" w:rsidRDefault="00500979" w:rsidP="006D10FC">
            <w:pPr>
              <w:pStyle w:val="TableText"/>
              <w:keepNext/>
              <w:keepLines/>
              <w:spacing w:before="20" w:after="20"/>
              <w:rPr>
                <w:szCs w:val="20"/>
              </w:rPr>
            </w:pPr>
            <w:r>
              <w:rPr>
                <w:szCs w:val="20"/>
              </w:rPr>
              <w:t>-$19,814.43</w:t>
            </w:r>
          </w:p>
        </w:tc>
        <w:tc>
          <w:tcPr>
            <w:tcW w:w="884" w:type="pct"/>
            <w:tcBorders>
              <w:top w:val="single" w:sz="4" w:space="0" w:color="auto"/>
              <w:left w:val="single" w:sz="4" w:space="0" w:color="auto"/>
              <w:bottom w:val="single" w:sz="4" w:space="0" w:color="auto"/>
              <w:right w:val="single" w:sz="4" w:space="0" w:color="auto"/>
            </w:tcBorders>
            <w:hideMark/>
          </w:tcPr>
          <w:p w14:paraId="7D3E64EA" w14:textId="77777777" w:rsidR="00500979" w:rsidRDefault="00500979" w:rsidP="006D10FC">
            <w:pPr>
              <w:pStyle w:val="TableText"/>
              <w:keepNext/>
              <w:keepLines/>
              <w:spacing w:before="20" w:after="20"/>
              <w:rPr>
                <w:szCs w:val="20"/>
              </w:rPr>
            </w:pPr>
            <w:r>
              <w:rPr>
                <w:szCs w:val="20"/>
              </w:rPr>
              <w:t>-$26,927.10</w:t>
            </w:r>
          </w:p>
        </w:tc>
      </w:tr>
      <w:tr w:rsidR="00500979" w14:paraId="77F6B4B0" w14:textId="77777777" w:rsidTr="00500979">
        <w:trPr>
          <w:cantSplit/>
          <w:trHeight w:val="283"/>
        </w:trPr>
        <w:tc>
          <w:tcPr>
            <w:tcW w:w="5000" w:type="pct"/>
            <w:gridSpan w:val="6"/>
            <w:tcBorders>
              <w:top w:val="single" w:sz="4" w:space="0" w:color="auto"/>
              <w:left w:val="single" w:sz="4" w:space="0" w:color="auto"/>
              <w:bottom w:val="single" w:sz="4" w:space="0" w:color="auto"/>
              <w:right w:val="single" w:sz="4" w:space="0" w:color="auto"/>
            </w:tcBorders>
          </w:tcPr>
          <w:p w14:paraId="79ACDF12" w14:textId="57B1AA4B" w:rsidR="00500979" w:rsidRDefault="00500979" w:rsidP="0014226E">
            <w:pPr>
              <w:pStyle w:val="TableText"/>
              <w:keepNext/>
              <w:keepLines/>
              <w:spacing w:before="20" w:after="20"/>
              <w:rPr>
                <w:szCs w:val="20"/>
              </w:rPr>
            </w:pPr>
            <w:r w:rsidRPr="0014226E">
              <w:rPr>
                <w:szCs w:val="20"/>
              </w:rPr>
              <w:t>POCPS: 82.3%</w:t>
            </w:r>
            <w:r>
              <w:rPr>
                <w:szCs w:val="20"/>
              </w:rPr>
              <w:t xml:space="preserve">, </w:t>
            </w:r>
            <w:r w:rsidRPr="0014226E">
              <w:rPr>
                <w:szCs w:val="20"/>
              </w:rPr>
              <w:t>ERCP: 62.3%</w:t>
            </w:r>
            <w:r>
              <w:rPr>
                <w:szCs w:val="20"/>
              </w:rPr>
              <w:t xml:space="preserve"> (</w:t>
            </w:r>
            <w:r w:rsidRPr="0014226E">
              <w:rPr>
                <w:szCs w:val="20"/>
              </w:rPr>
              <w:t xml:space="preserve">Upper values </w:t>
            </w:r>
            <w:r>
              <w:rPr>
                <w:szCs w:val="20"/>
              </w:rPr>
              <w:t>from</w:t>
            </w:r>
            <w:r w:rsidRPr="0014226E">
              <w:rPr>
                <w:szCs w:val="20"/>
              </w:rPr>
              <w:t xml:space="preserve"> indirect </w:t>
            </w:r>
            <w:r>
              <w:rPr>
                <w:szCs w:val="20"/>
              </w:rPr>
              <w:t xml:space="preserve">digital POCPs </w:t>
            </w:r>
            <w:r w:rsidRPr="0014226E">
              <w:rPr>
                <w:szCs w:val="20"/>
              </w:rPr>
              <w:t>comparative evidence</w:t>
            </w:r>
            <w:r>
              <w:rPr>
                <w:szCs w:val="20"/>
              </w:rPr>
              <w:t xml:space="preserve"> and Chang 2005) </w:t>
            </w:r>
          </w:p>
        </w:tc>
      </w:tr>
      <w:tr w:rsidR="00500979" w14:paraId="71103ECC" w14:textId="77777777" w:rsidTr="002A3A13">
        <w:trPr>
          <w:cantSplit/>
          <w:trHeight w:val="283"/>
        </w:trPr>
        <w:tc>
          <w:tcPr>
            <w:tcW w:w="980" w:type="pct"/>
            <w:tcBorders>
              <w:top w:val="single" w:sz="4" w:space="0" w:color="auto"/>
              <w:left w:val="single" w:sz="4" w:space="0" w:color="auto"/>
              <w:bottom w:val="single" w:sz="4" w:space="0" w:color="auto"/>
              <w:right w:val="single" w:sz="4" w:space="0" w:color="auto"/>
            </w:tcBorders>
            <w:hideMark/>
          </w:tcPr>
          <w:p w14:paraId="50BF258D" w14:textId="77777777" w:rsidR="00500979" w:rsidRDefault="00500979" w:rsidP="006D10FC">
            <w:pPr>
              <w:pStyle w:val="TableText"/>
              <w:keepNext/>
              <w:keepLines/>
              <w:spacing w:before="20" w:after="20"/>
              <w:rPr>
                <w:szCs w:val="20"/>
              </w:rPr>
            </w:pPr>
            <w:r>
              <w:rPr>
                <w:szCs w:val="20"/>
              </w:rPr>
              <w:t>$7,014.25</w:t>
            </w:r>
          </w:p>
        </w:tc>
        <w:tc>
          <w:tcPr>
            <w:tcW w:w="753" w:type="pct"/>
            <w:tcBorders>
              <w:top w:val="single" w:sz="4" w:space="0" w:color="auto"/>
              <w:left w:val="single" w:sz="4" w:space="0" w:color="auto"/>
              <w:bottom w:val="single" w:sz="4" w:space="0" w:color="auto"/>
              <w:right w:val="single" w:sz="4" w:space="0" w:color="auto"/>
            </w:tcBorders>
            <w:hideMark/>
          </w:tcPr>
          <w:p w14:paraId="5010817E" w14:textId="77777777" w:rsidR="00500979" w:rsidRDefault="00500979" w:rsidP="006D10FC">
            <w:pPr>
              <w:pStyle w:val="TableText"/>
              <w:keepNext/>
              <w:keepLines/>
              <w:spacing w:before="20" w:after="20"/>
              <w:rPr>
                <w:szCs w:val="20"/>
              </w:rPr>
            </w:pPr>
            <w:r>
              <w:rPr>
                <w:szCs w:val="20"/>
              </w:rPr>
              <w:t>$9,532.11</w:t>
            </w:r>
          </w:p>
        </w:tc>
        <w:tc>
          <w:tcPr>
            <w:tcW w:w="793" w:type="pct"/>
            <w:tcBorders>
              <w:top w:val="single" w:sz="4" w:space="0" w:color="auto"/>
              <w:left w:val="single" w:sz="4" w:space="0" w:color="auto"/>
              <w:bottom w:val="single" w:sz="4" w:space="0" w:color="auto"/>
              <w:right w:val="single" w:sz="4" w:space="0" w:color="auto"/>
            </w:tcBorders>
            <w:hideMark/>
          </w:tcPr>
          <w:p w14:paraId="24448E80" w14:textId="77777777" w:rsidR="00500979" w:rsidRDefault="00500979" w:rsidP="006D10FC">
            <w:pPr>
              <w:pStyle w:val="TableText"/>
              <w:keepNext/>
              <w:keepLines/>
              <w:spacing w:before="20" w:after="20"/>
              <w:rPr>
                <w:szCs w:val="20"/>
              </w:rPr>
            </w:pPr>
            <w:r>
              <w:rPr>
                <w:szCs w:val="20"/>
              </w:rPr>
              <w:t>$12,953.79</w:t>
            </w:r>
          </w:p>
        </w:tc>
        <w:tc>
          <w:tcPr>
            <w:tcW w:w="795" w:type="pct"/>
            <w:tcBorders>
              <w:top w:val="single" w:sz="4" w:space="0" w:color="auto"/>
              <w:left w:val="single" w:sz="4" w:space="0" w:color="auto"/>
              <w:bottom w:val="single" w:sz="4" w:space="0" w:color="auto"/>
              <w:right w:val="single" w:sz="4" w:space="0" w:color="auto"/>
            </w:tcBorders>
            <w:hideMark/>
          </w:tcPr>
          <w:p w14:paraId="751B822A" w14:textId="77777777" w:rsidR="00500979" w:rsidRDefault="00500979" w:rsidP="006D10FC">
            <w:pPr>
              <w:pStyle w:val="TableText"/>
              <w:keepNext/>
              <w:keepLines/>
              <w:spacing w:before="20" w:after="20"/>
              <w:rPr>
                <w:szCs w:val="20"/>
              </w:rPr>
            </w:pPr>
            <w:r>
              <w:rPr>
                <w:szCs w:val="20"/>
              </w:rPr>
              <w:t>$17,603.74</w:t>
            </w:r>
          </w:p>
        </w:tc>
        <w:tc>
          <w:tcPr>
            <w:tcW w:w="795" w:type="pct"/>
            <w:tcBorders>
              <w:top w:val="single" w:sz="4" w:space="0" w:color="auto"/>
              <w:left w:val="single" w:sz="4" w:space="0" w:color="auto"/>
              <w:bottom w:val="single" w:sz="4" w:space="0" w:color="auto"/>
              <w:right w:val="single" w:sz="4" w:space="0" w:color="auto"/>
            </w:tcBorders>
            <w:hideMark/>
          </w:tcPr>
          <w:p w14:paraId="3B5D71E8" w14:textId="77777777" w:rsidR="00500979" w:rsidRDefault="00500979" w:rsidP="006D10FC">
            <w:pPr>
              <w:pStyle w:val="TableText"/>
              <w:keepNext/>
              <w:keepLines/>
              <w:spacing w:before="20" w:after="20"/>
              <w:rPr>
                <w:szCs w:val="20"/>
              </w:rPr>
            </w:pPr>
            <w:r>
              <w:rPr>
                <w:szCs w:val="20"/>
              </w:rPr>
              <w:t>$23,922.85</w:t>
            </w:r>
          </w:p>
        </w:tc>
        <w:tc>
          <w:tcPr>
            <w:tcW w:w="884" w:type="pct"/>
            <w:tcBorders>
              <w:top w:val="single" w:sz="4" w:space="0" w:color="auto"/>
              <w:left w:val="single" w:sz="4" w:space="0" w:color="auto"/>
              <w:bottom w:val="single" w:sz="4" w:space="0" w:color="auto"/>
              <w:right w:val="single" w:sz="4" w:space="0" w:color="auto"/>
            </w:tcBorders>
            <w:hideMark/>
          </w:tcPr>
          <w:p w14:paraId="0AE79372" w14:textId="77777777" w:rsidR="00500979" w:rsidRDefault="00500979" w:rsidP="006D10FC">
            <w:pPr>
              <w:pStyle w:val="TableText"/>
              <w:keepNext/>
              <w:keepLines/>
              <w:spacing w:before="20" w:after="20"/>
              <w:rPr>
                <w:szCs w:val="20"/>
              </w:rPr>
            </w:pPr>
            <w:r>
              <w:rPr>
                <w:szCs w:val="20"/>
              </w:rPr>
              <w:t>$32,510.30</w:t>
            </w:r>
          </w:p>
        </w:tc>
      </w:tr>
      <w:tr w:rsidR="00500979" w14:paraId="55DE4885" w14:textId="77777777" w:rsidTr="00500979">
        <w:trPr>
          <w:cantSplit/>
          <w:trHeight w:val="283"/>
        </w:trPr>
        <w:tc>
          <w:tcPr>
            <w:tcW w:w="5000" w:type="pct"/>
            <w:gridSpan w:val="6"/>
            <w:tcBorders>
              <w:top w:val="single" w:sz="4" w:space="0" w:color="auto"/>
              <w:left w:val="single" w:sz="4" w:space="0" w:color="auto"/>
              <w:bottom w:val="single" w:sz="4" w:space="0" w:color="auto"/>
              <w:right w:val="single" w:sz="4" w:space="0" w:color="auto"/>
            </w:tcBorders>
          </w:tcPr>
          <w:p w14:paraId="2BB4E5BD" w14:textId="55DEE632" w:rsidR="00500979" w:rsidRDefault="00500979" w:rsidP="0014226E">
            <w:pPr>
              <w:pStyle w:val="TableText"/>
              <w:keepNext/>
              <w:keepLines/>
              <w:spacing w:before="20" w:after="20"/>
              <w:rPr>
                <w:szCs w:val="20"/>
              </w:rPr>
            </w:pPr>
            <w:r w:rsidRPr="0014226E">
              <w:rPr>
                <w:szCs w:val="20"/>
              </w:rPr>
              <w:t>POCPS: 73.1%</w:t>
            </w:r>
            <w:r>
              <w:rPr>
                <w:szCs w:val="20"/>
              </w:rPr>
              <w:t xml:space="preserve">, </w:t>
            </w:r>
            <w:r w:rsidRPr="0014226E">
              <w:rPr>
                <w:szCs w:val="20"/>
              </w:rPr>
              <w:t>ERCP: 25.6%</w:t>
            </w:r>
            <w:r>
              <w:rPr>
                <w:szCs w:val="20"/>
              </w:rPr>
              <w:t>(Lower</w:t>
            </w:r>
            <w:r w:rsidRPr="0014226E">
              <w:rPr>
                <w:szCs w:val="20"/>
              </w:rPr>
              <w:t xml:space="preserve"> values </w:t>
            </w:r>
            <w:r>
              <w:rPr>
                <w:szCs w:val="20"/>
              </w:rPr>
              <w:t>from</w:t>
            </w:r>
            <w:r w:rsidRPr="0014226E">
              <w:rPr>
                <w:szCs w:val="20"/>
              </w:rPr>
              <w:t xml:space="preserve"> indirect </w:t>
            </w:r>
            <w:r>
              <w:rPr>
                <w:szCs w:val="20"/>
              </w:rPr>
              <w:t xml:space="preserve">legacy POCPs </w:t>
            </w:r>
            <w:r w:rsidRPr="0014226E">
              <w:rPr>
                <w:szCs w:val="20"/>
              </w:rPr>
              <w:t>comparative evidence</w:t>
            </w:r>
            <w:r>
              <w:rPr>
                <w:szCs w:val="20"/>
              </w:rPr>
              <w:t xml:space="preserve"> and </w:t>
            </w:r>
            <w:r w:rsidRPr="0014226E">
              <w:rPr>
                <w:szCs w:val="20"/>
              </w:rPr>
              <w:t>Cipolletta</w:t>
            </w:r>
            <w:r>
              <w:rPr>
                <w:szCs w:val="20"/>
              </w:rPr>
              <w:t xml:space="preserve"> </w:t>
            </w:r>
            <w:r w:rsidRPr="0014226E">
              <w:rPr>
                <w:szCs w:val="20"/>
              </w:rPr>
              <w:t>1997</w:t>
            </w:r>
            <w:r>
              <w:rPr>
                <w:szCs w:val="20"/>
              </w:rPr>
              <w:t>)</w:t>
            </w:r>
          </w:p>
        </w:tc>
      </w:tr>
      <w:tr w:rsidR="00500979" w14:paraId="5F30A4BC" w14:textId="77777777" w:rsidTr="002A3A13">
        <w:trPr>
          <w:cantSplit/>
          <w:trHeight w:val="283"/>
        </w:trPr>
        <w:tc>
          <w:tcPr>
            <w:tcW w:w="980" w:type="pct"/>
            <w:tcBorders>
              <w:top w:val="single" w:sz="4" w:space="0" w:color="auto"/>
              <w:left w:val="single" w:sz="4" w:space="0" w:color="auto"/>
              <w:bottom w:val="single" w:sz="4" w:space="0" w:color="auto"/>
              <w:right w:val="single" w:sz="4" w:space="0" w:color="auto"/>
            </w:tcBorders>
            <w:hideMark/>
          </w:tcPr>
          <w:p w14:paraId="76BDCB34" w14:textId="77777777" w:rsidR="00500979" w:rsidRDefault="00500979" w:rsidP="006D10FC">
            <w:pPr>
              <w:pStyle w:val="TableText"/>
              <w:keepNext/>
              <w:keepLines/>
              <w:spacing w:before="20" w:after="20"/>
              <w:rPr>
                <w:szCs w:val="20"/>
              </w:rPr>
            </w:pPr>
            <w:r>
              <w:rPr>
                <w:szCs w:val="20"/>
              </w:rPr>
              <w:t>-$1,085.60</w:t>
            </w:r>
          </w:p>
        </w:tc>
        <w:tc>
          <w:tcPr>
            <w:tcW w:w="753" w:type="pct"/>
            <w:tcBorders>
              <w:top w:val="single" w:sz="4" w:space="0" w:color="auto"/>
              <w:left w:val="single" w:sz="4" w:space="0" w:color="auto"/>
              <w:bottom w:val="single" w:sz="4" w:space="0" w:color="auto"/>
              <w:right w:val="single" w:sz="4" w:space="0" w:color="auto"/>
            </w:tcBorders>
            <w:hideMark/>
          </w:tcPr>
          <w:p w14:paraId="6A298346" w14:textId="77777777" w:rsidR="00500979" w:rsidRDefault="00500979" w:rsidP="006D10FC">
            <w:pPr>
              <w:pStyle w:val="TableText"/>
              <w:keepNext/>
              <w:keepLines/>
              <w:spacing w:before="20" w:after="20"/>
              <w:rPr>
                <w:szCs w:val="20"/>
              </w:rPr>
            </w:pPr>
            <w:r>
              <w:rPr>
                <w:szCs w:val="20"/>
              </w:rPr>
              <w:t>-$1,475.29</w:t>
            </w:r>
          </w:p>
        </w:tc>
        <w:tc>
          <w:tcPr>
            <w:tcW w:w="793" w:type="pct"/>
            <w:tcBorders>
              <w:top w:val="single" w:sz="4" w:space="0" w:color="auto"/>
              <w:left w:val="single" w:sz="4" w:space="0" w:color="auto"/>
              <w:bottom w:val="single" w:sz="4" w:space="0" w:color="auto"/>
              <w:right w:val="single" w:sz="4" w:space="0" w:color="auto"/>
            </w:tcBorders>
            <w:hideMark/>
          </w:tcPr>
          <w:p w14:paraId="559DF829" w14:textId="77777777" w:rsidR="00500979" w:rsidRDefault="00500979" w:rsidP="006D10FC">
            <w:pPr>
              <w:pStyle w:val="TableText"/>
              <w:keepNext/>
              <w:keepLines/>
              <w:spacing w:before="20" w:after="20"/>
              <w:rPr>
                <w:szCs w:val="20"/>
              </w:rPr>
            </w:pPr>
            <w:r>
              <w:rPr>
                <w:szCs w:val="20"/>
              </w:rPr>
              <w:t>-$2,004.87</w:t>
            </w:r>
          </w:p>
        </w:tc>
        <w:tc>
          <w:tcPr>
            <w:tcW w:w="795" w:type="pct"/>
            <w:tcBorders>
              <w:top w:val="single" w:sz="4" w:space="0" w:color="auto"/>
              <w:left w:val="single" w:sz="4" w:space="0" w:color="auto"/>
              <w:bottom w:val="single" w:sz="4" w:space="0" w:color="auto"/>
              <w:right w:val="single" w:sz="4" w:space="0" w:color="auto"/>
            </w:tcBorders>
            <w:hideMark/>
          </w:tcPr>
          <w:p w14:paraId="28460DAB" w14:textId="77777777" w:rsidR="00500979" w:rsidRDefault="00500979" w:rsidP="006D10FC">
            <w:pPr>
              <w:pStyle w:val="TableText"/>
              <w:keepNext/>
              <w:keepLines/>
              <w:spacing w:before="20" w:after="20"/>
              <w:rPr>
                <w:szCs w:val="20"/>
              </w:rPr>
            </w:pPr>
            <w:r>
              <w:rPr>
                <w:szCs w:val="20"/>
              </w:rPr>
              <w:t>-$2,724.55</w:t>
            </w:r>
          </w:p>
        </w:tc>
        <w:tc>
          <w:tcPr>
            <w:tcW w:w="795" w:type="pct"/>
            <w:tcBorders>
              <w:top w:val="single" w:sz="4" w:space="0" w:color="auto"/>
              <w:left w:val="single" w:sz="4" w:space="0" w:color="auto"/>
              <w:bottom w:val="single" w:sz="4" w:space="0" w:color="auto"/>
              <w:right w:val="single" w:sz="4" w:space="0" w:color="auto"/>
            </w:tcBorders>
            <w:hideMark/>
          </w:tcPr>
          <w:p w14:paraId="22872B9F" w14:textId="77777777" w:rsidR="00500979" w:rsidRDefault="00500979" w:rsidP="006D10FC">
            <w:pPr>
              <w:pStyle w:val="TableText"/>
              <w:keepNext/>
              <w:keepLines/>
              <w:spacing w:before="20" w:after="20"/>
              <w:rPr>
                <w:szCs w:val="20"/>
              </w:rPr>
            </w:pPr>
            <w:r>
              <w:rPr>
                <w:szCs w:val="20"/>
              </w:rPr>
              <w:t>-$3,702.56</w:t>
            </w:r>
          </w:p>
        </w:tc>
        <w:tc>
          <w:tcPr>
            <w:tcW w:w="884" w:type="pct"/>
            <w:tcBorders>
              <w:top w:val="single" w:sz="4" w:space="0" w:color="auto"/>
              <w:left w:val="single" w:sz="4" w:space="0" w:color="auto"/>
              <w:bottom w:val="single" w:sz="4" w:space="0" w:color="auto"/>
              <w:right w:val="single" w:sz="4" w:space="0" w:color="auto"/>
            </w:tcBorders>
            <w:hideMark/>
          </w:tcPr>
          <w:p w14:paraId="36A125B7" w14:textId="77777777" w:rsidR="00500979" w:rsidRDefault="00500979" w:rsidP="006D10FC">
            <w:pPr>
              <w:pStyle w:val="TableText"/>
              <w:keepNext/>
              <w:keepLines/>
              <w:spacing w:before="20" w:after="20"/>
              <w:rPr>
                <w:szCs w:val="20"/>
              </w:rPr>
            </w:pPr>
            <w:r>
              <w:rPr>
                <w:szCs w:val="20"/>
              </w:rPr>
              <w:t>-$5,031.65</w:t>
            </w:r>
          </w:p>
        </w:tc>
      </w:tr>
      <w:tr w:rsidR="00500979" w14:paraId="55F0B8B8" w14:textId="77777777" w:rsidTr="00500979">
        <w:trPr>
          <w:cantSplit/>
          <w:trHeight w:val="283"/>
        </w:trPr>
        <w:tc>
          <w:tcPr>
            <w:tcW w:w="5000" w:type="pct"/>
            <w:gridSpan w:val="6"/>
            <w:tcBorders>
              <w:top w:val="single" w:sz="4" w:space="0" w:color="auto"/>
              <w:left w:val="single" w:sz="4" w:space="0" w:color="auto"/>
              <w:bottom w:val="single" w:sz="4" w:space="0" w:color="auto"/>
              <w:right w:val="single" w:sz="4" w:space="0" w:color="auto"/>
            </w:tcBorders>
          </w:tcPr>
          <w:p w14:paraId="68B3D49F" w14:textId="6156C8D3" w:rsidR="00500979" w:rsidRPr="0014226E" w:rsidRDefault="00500979" w:rsidP="006D10FC">
            <w:pPr>
              <w:pStyle w:val="TableText"/>
              <w:keepNext/>
              <w:keepLines/>
              <w:spacing w:before="20" w:after="20"/>
              <w:rPr>
                <w:b/>
                <w:bCs/>
                <w:szCs w:val="20"/>
              </w:rPr>
            </w:pPr>
            <w:r>
              <w:rPr>
                <w:b/>
                <w:bCs/>
                <w:szCs w:val="20"/>
              </w:rPr>
              <w:t>M</w:t>
            </w:r>
            <w:r w:rsidRPr="0014226E">
              <w:rPr>
                <w:b/>
                <w:bCs/>
                <w:szCs w:val="20"/>
              </w:rPr>
              <w:t xml:space="preserve">arket uptake </w:t>
            </w:r>
            <w:r>
              <w:rPr>
                <w:b/>
                <w:bCs/>
                <w:szCs w:val="20"/>
              </w:rPr>
              <w:t>and growth</w:t>
            </w:r>
          </w:p>
        </w:tc>
      </w:tr>
      <w:tr w:rsidR="00500979" w14:paraId="59BDDCE0" w14:textId="77777777" w:rsidTr="00500979">
        <w:trPr>
          <w:cantSplit/>
          <w:trHeight w:val="283"/>
        </w:trPr>
        <w:tc>
          <w:tcPr>
            <w:tcW w:w="5000" w:type="pct"/>
            <w:gridSpan w:val="6"/>
            <w:tcBorders>
              <w:top w:val="single" w:sz="4" w:space="0" w:color="auto"/>
              <w:left w:val="single" w:sz="4" w:space="0" w:color="auto"/>
              <w:bottom w:val="single" w:sz="4" w:space="0" w:color="auto"/>
              <w:right w:val="single" w:sz="4" w:space="0" w:color="auto"/>
            </w:tcBorders>
          </w:tcPr>
          <w:p w14:paraId="7CCCD96B" w14:textId="6331FC08" w:rsidR="00500979" w:rsidRDefault="00500979" w:rsidP="006D10FC">
            <w:pPr>
              <w:pStyle w:val="TableText"/>
              <w:keepNext/>
              <w:keepLines/>
              <w:spacing w:before="20" w:after="20"/>
              <w:rPr>
                <w:szCs w:val="20"/>
              </w:rPr>
            </w:pPr>
            <w:r>
              <w:rPr>
                <w:szCs w:val="20"/>
              </w:rPr>
              <w:t xml:space="preserve">Higher ERCP market uptake (30%, </w:t>
            </w:r>
            <w:r w:rsidRPr="003639C2">
              <w:rPr>
                <w:szCs w:val="20"/>
              </w:rPr>
              <w:t>base case 20%)</w:t>
            </w:r>
          </w:p>
        </w:tc>
      </w:tr>
      <w:tr w:rsidR="00500979" w14:paraId="26C126E8" w14:textId="77777777" w:rsidTr="002A3A13">
        <w:trPr>
          <w:cantSplit/>
          <w:trHeight w:val="283"/>
        </w:trPr>
        <w:tc>
          <w:tcPr>
            <w:tcW w:w="980" w:type="pct"/>
            <w:tcBorders>
              <w:top w:val="single" w:sz="4" w:space="0" w:color="auto"/>
              <w:left w:val="single" w:sz="4" w:space="0" w:color="auto"/>
              <w:bottom w:val="single" w:sz="4" w:space="0" w:color="auto"/>
              <w:right w:val="single" w:sz="4" w:space="0" w:color="auto"/>
            </w:tcBorders>
            <w:hideMark/>
          </w:tcPr>
          <w:p w14:paraId="16637160" w14:textId="77777777" w:rsidR="00500979" w:rsidRDefault="00500979" w:rsidP="006D10FC">
            <w:pPr>
              <w:pStyle w:val="TableText"/>
              <w:keepNext/>
              <w:keepLines/>
              <w:spacing w:before="20" w:after="20"/>
              <w:rPr>
                <w:szCs w:val="20"/>
              </w:rPr>
            </w:pPr>
            <w:r>
              <w:rPr>
                <w:szCs w:val="20"/>
              </w:rPr>
              <w:t>$15,233.27</w:t>
            </w:r>
          </w:p>
        </w:tc>
        <w:tc>
          <w:tcPr>
            <w:tcW w:w="753" w:type="pct"/>
            <w:tcBorders>
              <w:top w:val="single" w:sz="4" w:space="0" w:color="auto"/>
              <w:left w:val="single" w:sz="4" w:space="0" w:color="auto"/>
              <w:bottom w:val="single" w:sz="4" w:space="0" w:color="auto"/>
              <w:right w:val="single" w:sz="4" w:space="0" w:color="auto"/>
            </w:tcBorders>
            <w:hideMark/>
          </w:tcPr>
          <w:p w14:paraId="00012DEB" w14:textId="77777777" w:rsidR="00500979" w:rsidRDefault="00500979" w:rsidP="006D10FC">
            <w:pPr>
              <w:pStyle w:val="TableText"/>
              <w:keepNext/>
              <w:keepLines/>
              <w:spacing w:before="20" w:after="20"/>
              <w:rPr>
                <w:szCs w:val="20"/>
              </w:rPr>
            </w:pPr>
            <w:r>
              <w:rPr>
                <w:szCs w:val="20"/>
              </w:rPr>
              <w:t>$20,701.46</w:t>
            </w:r>
          </w:p>
        </w:tc>
        <w:tc>
          <w:tcPr>
            <w:tcW w:w="793" w:type="pct"/>
            <w:tcBorders>
              <w:top w:val="single" w:sz="4" w:space="0" w:color="auto"/>
              <w:left w:val="single" w:sz="4" w:space="0" w:color="auto"/>
              <w:bottom w:val="single" w:sz="4" w:space="0" w:color="auto"/>
              <w:right w:val="single" w:sz="4" w:space="0" w:color="auto"/>
            </w:tcBorders>
            <w:hideMark/>
          </w:tcPr>
          <w:p w14:paraId="484B5322" w14:textId="77777777" w:rsidR="00500979" w:rsidRDefault="00500979" w:rsidP="006D10FC">
            <w:pPr>
              <w:pStyle w:val="TableText"/>
              <w:keepNext/>
              <w:keepLines/>
              <w:spacing w:before="20" w:after="20"/>
              <w:rPr>
                <w:szCs w:val="20"/>
              </w:rPr>
            </w:pPr>
            <w:r>
              <w:rPr>
                <w:szCs w:val="20"/>
              </w:rPr>
              <w:t>$28,132.55</w:t>
            </w:r>
          </w:p>
        </w:tc>
        <w:tc>
          <w:tcPr>
            <w:tcW w:w="795" w:type="pct"/>
            <w:tcBorders>
              <w:top w:val="single" w:sz="4" w:space="0" w:color="auto"/>
              <w:left w:val="single" w:sz="4" w:space="0" w:color="auto"/>
              <w:bottom w:val="single" w:sz="4" w:space="0" w:color="auto"/>
              <w:right w:val="single" w:sz="4" w:space="0" w:color="auto"/>
            </w:tcBorders>
            <w:hideMark/>
          </w:tcPr>
          <w:p w14:paraId="0CC11320" w14:textId="77777777" w:rsidR="00500979" w:rsidRDefault="00500979" w:rsidP="006D10FC">
            <w:pPr>
              <w:pStyle w:val="TableText"/>
              <w:keepNext/>
              <w:keepLines/>
              <w:spacing w:before="20" w:after="20"/>
              <w:rPr>
                <w:szCs w:val="20"/>
              </w:rPr>
            </w:pPr>
            <w:r>
              <w:rPr>
                <w:szCs w:val="20"/>
              </w:rPr>
              <w:t>$38,231.12</w:t>
            </w:r>
          </w:p>
        </w:tc>
        <w:tc>
          <w:tcPr>
            <w:tcW w:w="795" w:type="pct"/>
            <w:tcBorders>
              <w:top w:val="single" w:sz="4" w:space="0" w:color="auto"/>
              <w:left w:val="single" w:sz="4" w:space="0" w:color="auto"/>
              <w:bottom w:val="single" w:sz="4" w:space="0" w:color="auto"/>
              <w:right w:val="single" w:sz="4" w:space="0" w:color="auto"/>
            </w:tcBorders>
            <w:hideMark/>
          </w:tcPr>
          <w:p w14:paraId="660776CF" w14:textId="77777777" w:rsidR="00500979" w:rsidRDefault="00500979" w:rsidP="006D10FC">
            <w:pPr>
              <w:pStyle w:val="TableText"/>
              <w:keepNext/>
              <w:keepLines/>
              <w:spacing w:before="20" w:after="20"/>
              <w:rPr>
                <w:szCs w:val="20"/>
              </w:rPr>
            </w:pPr>
            <w:r>
              <w:rPr>
                <w:szCs w:val="20"/>
              </w:rPr>
              <w:t>$51,954.72</w:t>
            </w:r>
          </w:p>
        </w:tc>
        <w:tc>
          <w:tcPr>
            <w:tcW w:w="884" w:type="pct"/>
            <w:tcBorders>
              <w:top w:val="single" w:sz="4" w:space="0" w:color="auto"/>
              <w:left w:val="single" w:sz="4" w:space="0" w:color="auto"/>
              <w:bottom w:val="single" w:sz="4" w:space="0" w:color="auto"/>
              <w:right w:val="single" w:sz="4" w:space="0" w:color="auto"/>
            </w:tcBorders>
            <w:hideMark/>
          </w:tcPr>
          <w:p w14:paraId="4765C847" w14:textId="77777777" w:rsidR="00500979" w:rsidRDefault="00500979" w:rsidP="006D10FC">
            <w:pPr>
              <w:pStyle w:val="TableText"/>
              <w:keepNext/>
              <w:keepLines/>
              <w:spacing w:before="20" w:after="20"/>
              <w:rPr>
                <w:szCs w:val="20"/>
              </w:rPr>
            </w:pPr>
            <w:r>
              <w:rPr>
                <w:szCs w:val="20"/>
              </w:rPr>
              <w:t>$70,604.60</w:t>
            </w:r>
          </w:p>
        </w:tc>
      </w:tr>
      <w:tr w:rsidR="00500979" w14:paraId="000AEB30" w14:textId="77777777" w:rsidTr="00500979">
        <w:trPr>
          <w:cantSplit/>
          <w:trHeight w:val="283"/>
        </w:trPr>
        <w:tc>
          <w:tcPr>
            <w:tcW w:w="5000" w:type="pct"/>
            <w:gridSpan w:val="6"/>
            <w:tcBorders>
              <w:top w:val="single" w:sz="4" w:space="0" w:color="auto"/>
              <w:left w:val="single" w:sz="4" w:space="0" w:color="auto"/>
              <w:bottom w:val="single" w:sz="4" w:space="0" w:color="auto"/>
              <w:right w:val="single" w:sz="4" w:space="0" w:color="auto"/>
            </w:tcBorders>
          </w:tcPr>
          <w:p w14:paraId="4C51FAAF" w14:textId="0F9EA004" w:rsidR="00500979" w:rsidRDefault="00500979" w:rsidP="006D10FC">
            <w:pPr>
              <w:pStyle w:val="TableText"/>
              <w:keepNext/>
              <w:keepLines/>
              <w:spacing w:before="20" w:after="20"/>
              <w:rPr>
                <w:szCs w:val="20"/>
              </w:rPr>
            </w:pPr>
            <w:r>
              <w:rPr>
                <w:szCs w:val="20"/>
              </w:rPr>
              <w:t xml:space="preserve">Lower ERCP market uptake (10%, </w:t>
            </w:r>
            <w:r w:rsidRPr="003639C2">
              <w:rPr>
                <w:szCs w:val="20"/>
              </w:rPr>
              <w:t>base case 20%)</w:t>
            </w:r>
          </w:p>
        </w:tc>
      </w:tr>
      <w:tr w:rsidR="00500979" w14:paraId="1D62393E" w14:textId="77777777" w:rsidTr="002A3A13">
        <w:trPr>
          <w:cantSplit/>
          <w:trHeight w:val="283"/>
        </w:trPr>
        <w:tc>
          <w:tcPr>
            <w:tcW w:w="980" w:type="pct"/>
            <w:tcBorders>
              <w:top w:val="single" w:sz="4" w:space="0" w:color="auto"/>
              <w:left w:val="single" w:sz="4" w:space="0" w:color="auto"/>
              <w:bottom w:val="single" w:sz="4" w:space="0" w:color="auto"/>
              <w:right w:val="single" w:sz="4" w:space="0" w:color="auto"/>
            </w:tcBorders>
            <w:hideMark/>
          </w:tcPr>
          <w:p w14:paraId="6CCEBB35" w14:textId="77777777" w:rsidR="00500979" w:rsidRDefault="00500979" w:rsidP="006D10FC">
            <w:pPr>
              <w:pStyle w:val="TableText"/>
              <w:keepNext/>
              <w:keepLines/>
              <w:spacing w:before="20" w:after="20"/>
              <w:rPr>
                <w:szCs w:val="20"/>
              </w:rPr>
            </w:pPr>
            <w:r>
              <w:rPr>
                <w:szCs w:val="20"/>
              </w:rPr>
              <w:t>-$0.02</w:t>
            </w:r>
          </w:p>
        </w:tc>
        <w:tc>
          <w:tcPr>
            <w:tcW w:w="753" w:type="pct"/>
            <w:tcBorders>
              <w:top w:val="single" w:sz="4" w:space="0" w:color="auto"/>
              <w:left w:val="single" w:sz="4" w:space="0" w:color="auto"/>
              <w:bottom w:val="single" w:sz="4" w:space="0" w:color="auto"/>
              <w:right w:val="single" w:sz="4" w:space="0" w:color="auto"/>
            </w:tcBorders>
            <w:hideMark/>
          </w:tcPr>
          <w:p w14:paraId="51F0DB36" w14:textId="77777777" w:rsidR="00500979" w:rsidRDefault="00500979" w:rsidP="006D10FC">
            <w:pPr>
              <w:pStyle w:val="TableText"/>
              <w:keepNext/>
              <w:keepLines/>
              <w:spacing w:before="20" w:after="20"/>
              <w:rPr>
                <w:szCs w:val="20"/>
              </w:rPr>
            </w:pPr>
            <w:r>
              <w:rPr>
                <w:szCs w:val="20"/>
              </w:rPr>
              <w:t>-$0.03</w:t>
            </w:r>
          </w:p>
        </w:tc>
        <w:tc>
          <w:tcPr>
            <w:tcW w:w="793" w:type="pct"/>
            <w:tcBorders>
              <w:top w:val="single" w:sz="4" w:space="0" w:color="auto"/>
              <w:left w:val="single" w:sz="4" w:space="0" w:color="auto"/>
              <w:bottom w:val="single" w:sz="4" w:space="0" w:color="auto"/>
              <w:right w:val="single" w:sz="4" w:space="0" w:color="auto"/>
            </w:tcBorders>
            <w:hideMark/>
          </w:tcPr>
          <w:p w14:paraId="2016834E" w14:textId="77777777" w:rsidR="00500979" w:rsidRDefault="00500979" w:rsidP="006D10FC">
            <w:pPr>
              <w:pStyle w:val="TableText"/>
              <w:keepNext/>
              <w:keepLines/>
              <w:spacing w:before="20" w:after="20"/>
              <w:rPr>
                <w:szCs w:val="20"/>
              </w:rPr>
            </w:pPr>
            <w:r>
              <w:rPr>
                <w:szCs w:val="20"/>
              </w:rPr>
              <w:t>-$0.04</w:t>
            </w:r>
          </w:p>
        </w:tc>
        <w:tc>
          <w:tcPr>
            <w:tcW w:w="795" w:type="pct"/>
            <w:tcBorders>
              <w:top w:val="single" w:sz="4" w:space="0" w:color="auto"/>
              <w:left w:val="single" w:sz="4" w:space="0" w:color="auto"/>
              <w:bottom w:val="single" w:sz="4" w:space="0" w:color="auto"/>
              <w:right w:val="single" w:sz="4" w:space="0" w:color="auto"/>
            </w:tcBorders>
            <w:hideMark/>
          </w:tcPr>
          <w:p w14:paraId="1AB81544" w14:textId="77777777" w:rsidR="00500979" w:rsidRDefault="00500979" w:rsidP="006D10FC">
            <w:pPr>
              <w:pStyle w:val="TableText"/>
              <w:keepNext/>
              <w:keepLines/>
              <w:spacing w:before="20" w:after="20"/>
              <w:rPr>
                <w:szCs w:val="20"/>
              </w:rPr>
            </w:pPr>
            <w:r>
              <w:rPr>
                <w:szCs w:val="20"/>
              </w:rPr>
              <w:t>-$0.06</w:t>
            </w:r>
          </w:p>
        </w:tc>
        <w:tc>
          <w:tcPr>
            <w:tcW w:w="795" w:type="pct"/>
            <w:tcBorders>
              <w:top w:val="single" w:sz="4" w:space="0" w:color="auto"/>
              <w:left w:val="single" w:sz="4" w:space="0" w:color="auto"/>
              <w:bottom w:val="single" w:sz="4" w:space="0" w:color="auto"/>
              <w:right w:val="single" w:sz="4" w:space="0" w:color="auto"/>
            </w:tcBorders>
            <w:hideMark/>
          </w:tcPr>
          <w:p w14:paraId="23148196" w14:textId="77777777" w:rsidR="00500979" w:rsidRDefault="00500979" w:rsidP="006D10FC">
            <w:pPr>
              <w:pStyle w:val="TableText"/>
              <w:keepNext/>
              <w:keepLines/>
              <w:spacing w:before="20" w:after="20"/>
              <w:rPr>
                <w:szCs w:val="20"/>
              </w:rPr>
            </w:pPr>
            <w:r>
              <w:rPr>
                <w:szCs w:val="20"/>
              </w:rPr>
              <w:t>-$0.08</w:t>
            </w:r>
          </w:p>
        </w:tc>
        <w:tc>
          <w:tcPr>
            <w:tcW w:w="884" w:type="pct"/>
            <w:tcBorders>
              <w:top w:val="single" w:sz="4" w:space="0" w:color="auto"/>
              <w:left w:val="single" w:sz="4" w:space="0" w:color="auto"/>
              <w:bottom w:val="single" w:sz="4" w:space="0" w:color="auto"/>
              <w:right w:val="single" w:sz="4" w:space="0" w:color="auto"/>
            </w:tcBorders>
            <w:hideMark/>
          </w:tcPr>
          <w:p w14:paraId="64BC0D97" w14:textId="77777777" w:rsidR="00500979" w:rsidRDefault="00500979" w:rsidP="006D10FC">
            <w:pPr>
              <w:pStyle w:val="TableText"/>
              <w:keepNext/>
              <w:keepLines/>
              <w:spacing w:before="20" w:after="20"/>
              <w:rPr>
                <w:szCs w:val="20"/>
              </w:rPr>
            </w:pPr>
            <w:r>
              <w:rPr>
                <w:szCs w:val="20"/>
              </w:rPr>
              <w:t>-$0.11</w:t>
            </w:r>
          </w:p>
        </w:tc>
      </w:tr>
      <w:tr w:rsidR="00500979" w14:paraId="4EC9BF0E" w14:textId="77777777" w:rsidTr="00500979">
        <w:trPr>
          <w:cantSplit/>
          <w:trHeight w:val="283"/>
        </w:trPr>
        <w:tc>
          <w:tcPr>
            <w:tcW w:w="5000" w:type="pct"/>
            <w:gridSpan w:val="6"/>
            <w:tcBorders>
              <w:top w:val="single" w:sz="4" w:space="0" w:color="auto"/>
              <w:left w:val="single" w:sz="4" w:space="0" w:color="auto"/>
              <w:bottom w:val="single" w:sz="4" w:space="0" w:color="auto"/>
              <w:right w:val="single" w:sz="4" w:space="0" w:color="auto"/>
            </w:tcBorders>
          </w:tcPr>
          <w:p w14:paraId="6F73F6A3" w14:textId="536D7C83" w:rsidR="00500979" w:rsidRPr="003639C2" w:rsidRDefault="00500979" w:rsidP="006D10FC">
            <w:pPr>
              <w:pStyle w:val="TableText"/>
              <w:keepNext/>
              <w:keepLines/>
              <w:spacing w:before="20" w:after="20"/>
              <w:rPr>
                <w:szCs w:val="20"/>
              </w:rPr>
            </w:pPr>
            <w:r w:rsidRPr="003639C2">
              <w:rPr>
                <w:szCs w:val="20"/>
              </w:rPr>
              <w:t xml:space="preserve">Higher uptake (20%) from </w:t>
            </w:r>
            <w:bookmarkStart w:id="157" w:name="_Hlk96950122"/>
            <w:r w:rsidRPr="003639C2">
              <w:rPr>
                <w:szCs w:val="20"/>
              </w:rPr>
              <w:t xml:space="preserve">laparoscopic choledochotomy </w:t>
            </w:r>
            <w:bookmarkEnd w:id="157"/>
            <w:r w:rsidRPr="003639C2">
              <w:rPr>
                <w:szCs w:val="20"/>
              </w:rPr>
              <w:t>market uptake (base case 10%)</w:t>
            </w:r>
          </w:p>
        </w:tc>
      </w:tr>
      <w:tr w:rsidR="00500979" w14:paraId="562AC447" w14:textId="77777777" w:rsidTr="002A3A13">
        <w:trPr>
          <w:cantSplit/>
          <w:trHeight w:val="283"/>
        </w:trPr>
        <w:tc>
          <w:tcPr>
            <w:tcW w:w="980" w:type="pct"/>
            <w:tcBorders>
              <w:top w:val="single" w:sz="4" w:space="0" w:color="auto"/>
              <w:left w:val="single" w:sz="4" w:space="0" w:color="auto"/>
              <w:bottom w:val="single" w:sz="4" w:space="0" w:color="auto"/>
              <w:right w:val="single" w:sz="4" w:space="0" w:color="auto"/>
            </w:tcBorders>
            <w:hideMark/>
          </w:tcPr>
          <w:p w14:paraId="5442298A" w14:textId="77777777" w:rsidR="00500979" w:rsidRDefault="00500979" w:rsidP="006D10FC">
            <w:pPr>
              <w:pStyle w:val="TableText"/>
              <w:keepNext/>
              <w:keepLines/>
              <w:spacing w:before="20" w:after="20"/>
              <w:rPr>
                <w:noProof/>
                <w:szCs w:val="20"/>
              </w:rPr>
            </w:pPr>
            <w:r>
              <w:rPr>
                <w:szCs w:val="20"/>
              </w:rPr>
              <w:t>-$0.05</w:t>
            </w:r>
          </w:p>
        </w:tc>
        <w:tc>
          <w:tcPr>
            <w:tcW w:w="753" w:type="pct"/>
            <w:tcBorders>
              <w:top w:val="single" w:sz="4" w:space="0" w:color="auto"/>
              <w:left w:val="single" w:sz="4" w:space="0" w:color="auto"/>
              <w:bottom w:val="single" w:sz="4" w:space="0" w:color="auto"/>
              <w:right w:val="single" w:sz="4" w:space="0" w:color="auto"/>
            </w:tcBorders>
            <w:hideMark/>
          </w:tcPr>
          <w:p w14:paraId="09407D16" w14:textId="77777777" w:rsidR="00500979" w:rsidRDefault="00500979" w:rsidP="006D10FC">
            <w:pPr>
              <w:pStyle w:val="TableText"/>
              <w:keepNext/>
              <w:keepLines/>
              <w:spacing w:before="20" w:after="20"/>
              <w:rPr>
                <w:noProof/>
                <w:szCs w:val="20"/>
              </w:rPr>
            </w:pPr>
            <w:r>
              <w:rPr>
                <w:szCs w:val="20"/>
              </w:rPr>
              <w:t>-$0.06</w:t>
            </w:r>
          </w:p>
        </w:tc>
        <w:tc>
          <w:tcPr>
            <w:tcW w:w="793" w:type="pct"/>
            <w:tcBorders>
              <w:top w:val="single" w:sz="4" w:space="0" w:color="auto"/>
              <w:left w:val="single" w:sz="4" w:space="0" w:color="auto"/>
              <w:bottom w:val="single" w:sz="4" w:space="0" w:color="auto"/>
              <w:right w:val="single" w:sz="4" w:space="0" w:color="auto"/>
            </w:tcBorders>
            <w:hideMark/>
          </w:tcPr>
          <w:p w14:paraId="0A0B6254" w14:textId="77777777" w:rsidR="00500979" w:rsidRDefault="00500979" w:rsidP="006D10FC">
            <w:pPr>
              <w:pStyle w:val="TableText"/>
              <w:keepNext/>
              <w:keepLines/>
              <w:spacing w:before="20" w:after="20"/>
              <w:rPr>
                <w:noProof/>
                <w:szCs w:val="20"/>
              </w:rPr>
            </w:pPr>
            <w:r>
              <w:rPr>
                <w:szCs w:val="20"/>
              </w:rPr>
              <w:t>-$0.08</w:t>
            </w:r>
          </w:p>
        </w:tc>
        <w:tc>
          <w:tcPr>
            <w:tcW w:w="795" w:type="pct"/>
            <w:tcBorders>
              <w:top w:val="single" w:sz="4" w:space="0" w:color="auto"/>
              <w:left w:val="single" w:sz="4" w:space="0" w:color="auto"/>
              <w:bottom w:val="single" w:sz="4" w:space="0" w:color="auto"/>
              <w:right w:val="single" w:sz="4" w:space="0" w:color="auto"/>
            </w:tcBorders>
            <w:hideMark/>
          </w:tcPr>
          <w:p w14:paraId="71C7DFDE" w14:textId="77777777" w:rsidR="00500979" w:rsidRDefault="00500979" w:rsidP="006D10FC">
            <w:pPr>
              <w:pStyle w:val="TableText"/>
              <w:keepNext/>
              <w:keepLines/>
              <w:spacing w:before="20" w:after="20"/>
              <w:rPr>
                <w:noProof/>
                <w:szCs w:val="20"/>
              </w:rPr>
            </w:pPr>
            <w:r>
              <w:rPr>
                <w:szCs w:val="20"/>
              </w:rPr>
              <w:t>-$0.12</w:t>
            </w:r>
          </w:p>
        </w:tc>
        <w:tc>
          <w:tcPr>
            <w:tcW w:w="795" w:type="pct"/>
            <w:tcBorders>
              <w:top w:val="single" w:sz="4" w:space="0" w:color="auto"/>
              <w:left w:val="single" w:sz="4" w:space="0" w:color="auto"/>
              <w:bottom w:val="single" w:sz="4" w:space="0" w:color="auto"/>
              <w:right w:val="single" w:sz="4" w:space="0" w:color="auto"/>
            </w:tcBorders>
            <w:hideMark/>
          </w:tcPr>
          <w:p w14:paraId="1BE44010" w14:textId="77777777" w:rsidR="00500979" w:rsidRDefault="00500979" w:rsidP="006D10FC">
            <w:pPr>
              <w:pStyle w:val="TableText"/>
              <w:keepNext/>
              <w:keepLines/>
              <w:spacing w:before="20" w:after="20"/>
              <w:rPr>
                <w:noProof/>
                <w:szCs w:val="20"/>
              </w:rPr>
            </w:pPr>
            <w:r>
              <w:rPr>
                <w:szCs w:val="20"/>
              </w:rPr>
              <w:t>-$0.16</w:t>
            </w:r>
          </w:p>
        </w:tc>
        <w:tc>
          <w:tcPr>
            <w:tcW w:w="884" w:type="pct"/>
            <w:tcBorders>
              <w:top w:val="single" w:sz="4" w:space="0" w:color="auto"/>
              <w:left w:val="single" w:sz="4" w:space="0" w:color="auto"/>
              <w:bottom w:val="single" w:sz="4" w:space="0" w:color="auto"/>
              <w:right w:val="single" w:sz="4" w:space="0" w:color="auto"/>
            </w:tcBorders>
            <w:hideMark/>
          </w:tcPr>
          <w:p w14:paraId="1E7A5565" w14:textId="77777777" w:rsidR="00500979" w:rsidRDefault="00500979" w:rsidP="006D10FC">
            <w:pPr>
              <w:pStyle w:val="TableText"/>
              <w:keepNext/>
              <w:keepLines/>
              <w:spacing w:before="20" w:after="20"/>
              <w:rPr>
                <w:noProof/>
                <w:szCs w:val="20"/>
              </w:rPr>
            </w:pPr>
            <w:r>
              <w:rPr>
                <w:szCs w:val="20"/>
              </w:rPr>
              <w:t>-$0.21</w:t>
            </w:r>
          </w:p>
        </w:tc>
      </w:tr>
      <w:tr w:rsidR="00500979" w14:paraId="15564375" w14:textId="77777777" w:rsidTr="00500979">
        <w:trPr>
          <w:cantSplit/>
          <w:trHeight w:val="283"/>
        </w:trPr>
        <w:tc>
          <w:tcPr>
            <w:tcW w:w="5000" w:type="pct"/>
            <w:gridSpan w:val="6"/>
            <w:tcBorders>
              <w:top w:val="single" w:sz="4" w:space="0" w:color="auto"/>
              <w:left w:val="single" w:sz="4" w:space="0" w:color="auto"/>
              <w:bottom w:val="single" w:sz="4" w:space="0" w:color="auto"/>
              <w:right w:val="single" w:sz="4" w:space="0" w:color="auto"/>
            </w:tcBorders>
          </w:tcPr>
          <w:p w14:paraId="7509D5A6" w14:textId="2A4E9D3C" w:rsidR="00500979" w:rsidRDefault="00500979" w:rsidP="006D10FC">
            <w:pPr>
              <w:pStyle w:val="TableText"/>
              <w:keepNext/>
              <w:keepLines/>
              <w:spacing w:before="20" w:after="20"/>
              <w:rPr>
                <w:szCs w:val="20"/>
              </w:rPr>
            </w:pPr>
            <w:r>
              <w:rPr>
                <w:szCs w:val="20"/>
              </w:rPr>
              <w:t>Lower market growth rate (3.69%, base case 3.74%)</w:t>
            </w:r>
          </w:p>
        </w:tc>
      </w:tr>
      <w:tr w:rsidR="00500979" w14:paraId="33E85517" w14:textId="77777777" w:rsidTr="002A3A13">
        <w:trPr>
          <w:cantSplit/>
          <w:trHeight w:val="283"/>
        </w:trPr>
        <w:tc>
          <w:tcPr>
            <w:tcW w:w="980" w:type="pct"/>
            <w:tcBorders>
              <w:top w:val="single" w:sz="4" w:space="0" w:color="auto"/>
              <w:left w:val="single" w:sz="4" w:space="0" w:color="auto"/>
              <w:bottom w:val="single" w:sz="4" w:space="0" w:color="auto"/>
              <w:right w:val="single" w:sz="4" w:space="0" w:color="auto"/>
            </w:tcBorders>
            <w:hideMark/>
          </w:tcPr>
          <w:p w14:paraId="68D07F80" w14:textId="77777777" w:rsidR="00500979" w:rsidRDefault="00500979" w:rsidP="006D10FC">
            <w:pPr>
              <w:pStyle w:val="TableText"/>
              <w:keepNext/>
              <w:keepLines/>
              <w:spacing w:before="20" w:after="20"/>
              <w:rPr>
                <w:szCs w:val="20"/>
              </w:rPr>
            </w:pPr>
            <w:r>
              <w:rPr>
                <w:szCs w:val="20"/>
              </w:rPr>
              <w:t>$7,606.12</w:t>
            </w:r>
          </w:p>
        </w:tc>
        <w:tc>
          <w:tcPr>
            <w:tcW w:w="753" w:type="pct"/>
            <w:tcBorders>
              <w:top w:val="single" w:sz="4" w:space="0" w:color="auto"/>
              <w:left w:val="single" w:sz="4" w:space="0" w:color="auto"/>
              <w:bottom w:val="single" w:sz="4" w:space="0" w:color="auto"/>
              <w:right w:val="single" w:sz="4" w:space="0" w:color="auto"/>
            </w:tcBorders>
            <w:hideMark/>
          </w:tcPr>
          <w:p w14:paraId="21B83AED" w14:textId="77777777" w:rsidR="00500979" w:rsidRDefault="00500979" w:rsidP="006D10FC">
            <w:pPr>
              <w:pStyle w:val="TableText"/>
              <w:keepNext/>
              <w:keepLines/>
              <w:spacing w:before="20" w:after="20"/>
              <w:rPr>
                <w:szCs w:val="20"/>
              </w:rPr>
            </w:pPr>
            <w:r>
              <w:rPr>
                <w:szCs w:val="20"/>
              </w:rPr>
              <w:t>$10,331.68</w:t>
            </w:r>
          </w:p>
        </w:tc>
        <w:tc>
          <w:tcPr>
            <w:tcW w:w="793" w:type="pct"/>
            <w:tcBorders>
              <w:top w:val="single" w:sz="4" w:space="0" w:color="auto"/>
              <w:left w:val="single" w:sz="4" w:space="0" w:color="auto"/>
              <w:bottom w:val="single" w:sz="4" w:space="0" w:color="auto"/>
              <w:right w:val="single" w:sz="4" w:space="0" w:color="auto"/>
            </w:tcBorders>
            <w:hideMark/>
          </w:tcPr>
          <w:p w14:paraId="33B95F61" w14:textId="77777777" w:rsidR="00500979" w:rsidRDefault="00500979" w:rsidP="006D10FC">
            <w:pPr>
              <w:pStyle w:val="TableText"/>
              <w:keepNext/>
              <w:keepLines/>
              <w:spacing w:before="20" w:after="20"/>
              <w:rPr>
                <w:szCs w:val="20"/>
              </w:rPr>
            </w:pPr>
            <w:r>
              <w:rPr>
                <w:szCs w:val="20"/>
              </w:rPr>
              <w:t>$14,033.93</w:t>
            </w:r>
          </w:p>
        </w:tc>
        <w:tc>
          <w:tcPr>
            <w:tcW w:w="795" w:type="pct"/>
            <w:tcBorders>
              <w:top w:val="single" w:sz="4" w:space="0" w:color="auto"/>
              <w:left w:val="single" w:sz="4" w:space="0" w:color="auto"/>
              <w:bottom w:val="single" w:sz="4" w:space="0" w:color="auto"/>
              <w:right w:val="single" w:sz="4" w:space="0" w:color="auto"/>
            </w:tcBorders>
            <w:hideMark/>
          </w:tcPr>
          <w:p w14:paraId="698CD870" w14:textId="77777777" w:rsidR="00500979" w:rsidRDefault="00500979" w:rsidP="006D10FC">
            <w:pPr>
              <w:pStyle w:val="TableText"/>
              <w:keepNext/>
              <w:keepLines/>
              <w:spacing w:before="20" w:after="20"/>
              <w:rPr>
                <w:szCs w:val="20"/>
              </w:rPr>
            </w:pPr>
            <w:r>
              <w:rPr>
                <w:szCs w:val="20"/>
              </w:rPr>
              <w:t>$19,062.83</w:t>
            </w:r>
          </w:p>
        </w:tc>
        <w:tc>
          <w:tcPr>
            <w:tcW w:w="795" w:type="pct"/>
            <w:tcBorders>
              <w:top w:val="single" w:sz="4" w:space="0" w:color="auto"/>
              <w:left w:val="single" w:sz="4" w:space="0" w:color="auto"/>
              <w:bottom w:val="single" w:sz="4" w:space="0" w:color="auto"/>
              <w:right w:val="single" w:sz="4" w:space="0" w:color="auto"/>
            </w:tcBorders>
            <w:hideMark/>
          </w:tcPr>
          <w:p w14:paraId="5B583679" w14:textId="77777777" w:rsidR="00500979" w:rsidRDefault="00500979" w:rsidP="006D10FC">
            <w:pPr>
              <w:pStyle w:val="TableText"/>
              <w:keepNext/>
              <w:keepLines/>
              <w:spacing w:before="20" w:after="20"/>
              <w:rPr>
                <w:szCs w:val="20"/>
              </w:rPr>
            </w:pPr>
            <w:r>
              <w:rPr>
                <w:szCs w:val="20"/>
              </w:rPr>
              <w:t>$25,893.79</w:t>
            </w:r>
          </w:p>
        </w:tc>
        <w:tc>
          <w:tcPr>
            <w:tcW w:w="884" w:type="pct"/>
            <w:tcBorders>
              <w:top w:val="single" w:sz="4" w:space="0" w:color="auto"/>
              <w:left w:val="single" w:sz="4" w:space="0" w:color="auto"/>
              <w:bottom w:val="single" w:sz="4" w:space="0" w:color="auto"/>
              <w:right w:val="single" w:sz="4" w:space="0" w:color="auto"/>
            </w:tcBorders>
            <w:hideMark/>
          </w:tcPr>
          <w:p w14:paraId="622EAE79" w14:textId="77777777" w:rsidR="00500979" w:rsidRDefault="00500979" w:rsidP="006D10FC">
            <w:pPr>
              <w:pStyle w:val="TableText"/>
              <w:keepNext/>
              <w:keepLines/>
              <w:spacing w:before="20" w:after="20"/>
              <w:rPr>
                <w:szCs w:val="20"/>
              </w:rPr>
            </w:pPr>
            <w:r>
              <w:rPr>
                <w:szCs w:val="20"/>
              </w:rPr>
              <w:t>$35,172.54</w:t>
            </w:r>
          </w:p>
        </w:tc>
      </w:tr>
      <w:tr w:rsidR="00C528EF" w14:paraId="3BA159B9" w14:textId="77777777" w:rsidTr="00C528EF">
        <w:trPr>
          <w:cantSplit/>
          <w:trHeight w:val="283"/>
        </w:trPr>
        <w:tc>
          <w:tcPr>
            <w:tcW w:w="5000" w:type="pct"/>
            <w:gridSpan w:val="6"/>
            <w:tcBorders>
              <w:top w:val="single" w:sz="4" w:space="0" w:color="auto"/>
              <w:left w:val="single" w:sz="4" w:space="0" w:color="auto"/>
              <w:bottom w:val="single" w:sz="4" w:space="0" w:color="auto"/>
              <w:right w:val="single" w:sz="4" w:space="0" w:color="auto"/>
            </w:tcBorders>
          </w:tcPr>
          <w:p w14:paraId="4207ADBF" w14:textId="326E288A" w:rsidR="00C528EF" w:rsidRDefault="00C528EF" w:rsidP="006D10FC">
            <w:pPr>
              <w:pStyle w:val="TableText"/>
              <w:keepNext/>
              <w:keepLines/>
              <w:spacing w:before="20" w:after="20"/>
              <w:rPr>
                <w:szCs w:val="20"/>
              </w:rPr>
            </w:pPr>
            <w:r>
              <w:rPr>
                <w:szCs w:val="20"/>
              </w:rPr>
              <w:t xml:space="preserve">Lower growth in </w:t>
            </w:r>
            <w:r w:rsidRPr="00C528EF">
              <w:rPr>
                <w:szCs w:val="20"/>
              </w:rPr>
              <w:t>laparoscopic choledochotomy market share</w:t>
            </w:r>
            <w:r>
              <w:rPr>
                <w:szCs w:val="20"/>
              </w:rPr>
              <w:t xml:space="preserve"> (16%, base case, 31%)</w:t>
            </w:r>
          </w:p>
        </w:tc>
      </w:tr>
      <w:tr w:rsidR="00C528EF" w14:paraId="0C6F1CD4" w14:textId="77777777" w:rsidTr="002A3A13">
        <w:trPr>
          <w:cantSplit/>
          <w:trHeight w:val="283"/>
        </w:trPr>
        <w:tc>
          <w:tcPr>
            <w:tcW w:w="980" w:type="pct"/>
            <w:tcBorders>
              <w:top w:val="single" w:sz="4" w:space="0" w:color="auto"/>
              <w:left w:val="single" w:sz="4" w:space="0" w:color="auto"/>
              <w:bottom w:val="single" w:sz="4" w:space="0" w:color="auto"/>
              <w:right w:val="single" w:sz="4" w:space="0" w:color="auto"/>
            </w:tcBorders>
          </w:tcPr>
          <w:p w14:paraId="598DCDE4" w14:textId="686E54B1" w:rsidR="00C528EF" w:rsidRDefault="00C528EF" w:rsidP="00C528EF">
            <w:pPr>
              <w:pStyle w:val="TableText"/>
              <w:keepNext/>
              <w:keepLines/>
              <w:spacing w:before="20" w:after="20"/>
              <w:rPr>
                <w:szCs w:val="20"/>
              </w:rPr>
            </w:pPr>
            <w:r w:rsidRPr="00296CA0">
              <w:t>$7,616.62</w:t>
            </w:r>
          </w:p>
        </w:tc>
        <w:tc>
          <w:tcPr>
            <w:tcW w:w="753" w:type="pct"/>
            <w:tcBorders>
              <w:top w:val="single" w:sz="4" w:space="0" w:color="auto"/>
              <w:left w:val="single" w:sz="4" w:space="0" w:color="auto"/>
              <w:bottom w:val="single" w:sz="4" w:space="0" w:color="auto"/>
              <w:right w:val="single" w:sz="4" w:space="0" w:color="auto"/>
            </w:tcBorders>
          </w:tcPr>
          <w:p w14:paraId="30208E14" w14:textId="6BB3EB41" w:rsidR="00C528EF" w:rsidRDefault="00C528EF" w:rsidP="00C528EF">
            <w:pPr>
              <w:pStyle w:val="TableText"/>
              <w:keepNext/>
              <w:keepLines/>
              <w:spacing w:before="20" w:after="20"/>
              <w:rPr>
                <w:szCs w:val="20"/>
              </w:rPr>
            </w:pPr>
            <w:r w:rsidRPr="00296CA0">
              <w:t>$11,575.43</w:t>
            </w:r>
          </w:p>
        </w:tc>
        <w:tc>
          <w:tcPr>
            <w:tcW w:w="793" w:type="pct"/>
            <w:tcBorders>
              <w:top w:val="single" w:sz="4" w:space="0" w:color="auto"/>
              <w:left w:val="single" w:sz="4" w:space="0" w:color="auto"/>
              <w:bottom w:val="single" w:sz="4" w:space="0" w:color="auto"/>
              <w:right w:val="single" w:sz="4" w:space="0" w:color="auto"/>
            </w:tcBorders>
          </w:tcPr>
          <w:p w14:paraId="6BF75E78" w14:textId="70551E76" w:rsidR="00C528EF" w:rsidRDefault="00C528EF" w:rsidP="00C528EF">
            <w:pPr>
              <w:pStyle w:val="TableText"/>
              <w:keepNext/>
              <w:keepLines/>
              <w:spacing w:before="20" w:after="20"/>
              <w:rPr>
                <w:szCs w:val="20"/>
              </w:rPr>
            </w:pPr>
            <w:r w:rsidRPr="00296CA0">
              <w:t>$17,198.00</w:t>
            </w:r>
          </w:p>
        </w:tc>
        <w:tc>
          <w:tcPr>
            <w:tcW w:w="795" w:type="pct"/>
            <w:tcBorders>
              <w:top w:val="single" w:sz="4" w:space="0" w:color="auto"/>
              <w:left w:val="single" w:sz="4" w:space="0" w:color="auto"/>
              <w:bottom w:val="single" w:sz="4" w:space="0" w:color="auto"/>
              <w:right w:val="single" w:sz="4" w:space="0" w:color="auto"/>
            </w:tcBorders>
          </w:tcPr>
          <w:p w14:paraId="0BF00D32" w14:textId="0C7E8CD5" w:rsidR="00C528EF" w:rsidRDefault="00C528EF" w:rsidP="00C528EF">
            <w:pPr>
              <w:pStyle w:val="TableText"/>
              <w:keepNext/>
              <w:keepLines/>
              <w:spacing w:before="20" w:after="20"/>
              <w:rPr>
                <w:szCs w:val="20"/>
              </w:rPr>
            </w:pPr>
            <w:r w:rsidRPr="00296CA0">
              <w:t>$25,129.68</w:t>
            </w:r>
          </w:p>
        </w:tc>
        <w:tc>
          <w:tcPr>
            <w:tcW w:w="795" w:type="pct"/>
            <w:tcBorders>
              <w:top w:val="single" w:sz="4" w:space="0" w:color="auto"/>
              <w:left w:val="single" w:sz="4" w:space="0" w:color="auto"/>
              <w:bottom w:val="single" w:sz="4" w:space="0" w:color="auto"/>
              <w:right w:val="single" w:sz="4" w:space="0" w:color="auto"/>
            </w:tcBorders>
          </w:tcPr>
          <w:p w14:paraId="1336E459" w14:textId="6DED7382" w:rsidR="00C528EF" w:rsidRDefault="00C528EF" w:rsidP="00C528EF">
            <w:pPr>
              <w:pStyle w:val="TableText"/>
              <w:keepNext/>
              <w:keepLines/>
              <w:spacing w:before="20" w:after="20"/>
              <w:rPr>
                <w:szCs w:val="20"/>
              </w:rPr>
            </w:pPr>
            <w:r w:rsidRPr="00296CA0">
              <w:t>$36,256.97</w:t>
            </w:r>
          </w:p>
        </w:tc>
        <w:tc>
          <w:tcPr>
            <w:tcW w:w="884" w:type="pct"/>
            <w:tcBorders>
              <w:top w:val="single" w:sz="4" w:space="0" w:color="auto"/>
              <w:left w:val="single" w:sz="4" w:space="0" w:color="auto"/>
              <w:bottom w:val="single" w:sz="4" w:space="0" w:color="auto"/>
              <w:right w:val="single" w:sz="4" w:space="0" w:color="auto"/>
            </w:tcBorders>
          </w:tcPr>
          <w:p w14:paraId="3BE2F21D" w14:textId="497541E7" w:rsidR="00C528EF" w:rsidRDefault="00C528EF" w:rsidP="00C528EF">
            <w:pPr>
              <w:pStyle w:val="TableText"/>
              <w:keepNext/>
              <w:keepLines/>
              <w:spacing w:before="20" w:after="20"/>
              <w:rPr>
                <w:szCs w:val="20"/>
              </w:rPr>
            </w:pPr>
            <w:r w:rsidRPr="00296CA0">
              <w:t>$51,796.03</w:t>
            </w:r>
          </w:p>
        </w:tc>
      </w:tr>
      <w:tr w:rsidR="00C528EF" w14:paraId="3102C397" w14:textId="77777777" w:rsidTr="00C528EF">
        <w:trPr>
          <w:cantSplit/>
          <w:trHeight w:val="283"/>
        </w:trPr>
        <w:tc>
          <w:tcPr>
            <w:tcW w:w="5000" w:type="pct"/>
            <w:gridSpan w:val="6"/>
            <w:tcBorders>
              <w:top w:val="single" w:sz="4" w:space="0" w:color="auto"/>
              <w:left w:val="single" w:sz="4" w:space="0" w:color="auto"/>
              <w:bottom w:val="single" w:sz="4" w:space="0" w:color="auto"/>
              <w:right w:val="single" w:sz="4" w:space="0" w:color="auto"/>
            </w:tcBorders>
          </w:tcPr>
          <w:p w14:paraId="1B76A0C7" w14:textId="738C5B35" w:rsidR="00C528EF" w:rsidRDefault="00C528EF" w:rsidP="006D10FC">
            <w:pPr>
              <w:pStyle w:val="TableText"/>
              <w:keepNext/>
              <w:keepLines/>
              <w:spacing w:before="20" w:after="20"/>
              <w:rPr>
                <w:szCs w:val="20"/>
              </w:rPr>
            </w:pPr>
            <w:r>
              <w:rPr>
                <w:szCs w:val="20"/>
              </w:rPr>
              <w:t xml:space="preserve">Higher </w:t>
            </w:r>
            <w:r w:rsidR="00F525AC">
              <w:rPr>
                <w:szCs w:val="20"/>
              </w:rPr>
              <w:t>growth in ERCP market share (37.2%, base case 31%)</w:t>
            </w:r>
          </w:p>
        </w:tc>
      </w:tr>
      <w:tr w:rsidR="00F525AC" w14:paraId="7EDA252A" w14:textId="77777777" w:rsidTr="002A3A13">
        <w:trPr>
          <w:cantSplit/>
          <w:trHeight w:val="283"/>
        </w:trPr>
        <w:tc>
          <w:tcPr>
            <w:tcW w:w="980" w:type="pct"/>
            <w:tcBorders>
              <w:top w:val="single" w:sz="4" w:space="0" w:color="auto"/>
              <w:left w:val="single" w:sz="4" w:space="0" w:color="auto"/>
              <w:bottom w:val="single" w:sz="4" w:space="0" w:color="auto"/>
              <w:right w:val="single" w:sz="4" w:space="0" w:color="auto"/>
            </w:tcBorders>
          </w:tcPr>
          <w:p w14:paraId="522E6909" w14:textId="5053D114" w:rsidR="00F525AC" w:rsidRDefault="00F525AC" w:rsidP="00F525AC">
            <w:pPr>
              <w:pStyle w:val="TableText"/>
              <w:keepNext/>
              <w:keepLines/>
              <w:spacing w:before="20" w:after="20"/>
              <w:rPr>
                <w:szCs w:val="20"/>
              </w:rPr>
            </w:pPr>
            <w:r w:rsidRPr="003B2B46">
              <w:t>$7,616.62</w:t>
            </w:r>
          </w:p>
        </w:tc>
        <w:tc>
          <w:tcPr>
            <w:tcW w:w="753" w:type="pct"/>
            <w:tcBorders>
              <w:top w:val="single" w:sz="4" w:space="0" w:color="auto"/>
              <w:left w:val="single" w:sz="4" w:space="0" w:color="auto"/>
              <w:bottom w:val="single" w:sz="4" w:space="0" w:color="auto"/>
              <w:right w:val="single" w:sz="4" w:space="0" w:color="auto"/>
            </w:tcBorders>
          </w:tcPr>
          <w:p w14:paraId="598060B9" w14:textId="3A88DD68" w:rsidR="00F525AC" w:rsidRDefault="00F525AC" w:rsidP="00F525AC">
            <w:pPr>
              <w:pStyle w:val="TableText"/>
              <w:keepNext/>
              <w:keepLines/>
              <w:spacing w:before="20" w:after="20"/>
              <w:rPr>
                <w:szCs w:val="20"/>
              </w:rPr>
            </w:pPr>
            <w:r w:rsidRPr="003B2B46">
              <w:t>$11,330.48</w:t>
            </w:r>
          </w:p>
        </w:tc>
        <w:tc>
          <w:tcPr>
            <w:tcW w:w="793" w:type="pct"/>
            <w:tcBorders>
              <w:top w:val="single" w:sz="4" w:space="0" w:color="auto"/>
              <w:left w:val="single" w:sz="4" w:space="0" w:color="auto"/>
              <w:bottom w:val="single" w:sz="4" w:space="0" w:color="auto"/>
              <w:right w:val="single" w:sz="4" w:space="0" w:color="auto"/>
            </w:tcBorders>
          </w:tcPr>
          <w:p w14:paraId="2D0B8CF9" w14:textId="2FA2C343" w:rsidR="00F525AC" w:rsidRDefault="00F525AC" w:rsidP="00F525AC">
            <w:pPr>
              <w:pStyle w:val="TableText"/>
              <w:keepNext/>
              <w:keepLines/>
              <w:spacing w:before="20" w:after="20"/>
              <w:rPr>
                <w:szCs w:val="20"/>
              </w:rPr>
            </w:pPr>
            <w:r w:rsidRPr="003B2B46">
              <w:t>$16,792.20</w:t>
            </w:r>
          </w:p>
        </w:tc>
        <w:tc>
          <w:tcPr>
            <w:tcW w:w="795" w:type="pct"/>
            <w:tcBorders>
              <w:top w:val="single" w:sz="4" w:space="0" w:color="auto"/>
              <w:left w:val="single" w:sz="4" w:space="0" w:color="auto"/>
              <w:bottom w:val="single" w:sz="4" w:space="0" w:color="auto"/>
              <w:right w:val="single" w:sz="4" w:space="0" w:color="auto"/>
            </w:tcBorders>
          </w:tcPr>
          <w:p w14:paraId="2F2BF849" w14:textId="1229AB13" w:rsidR="00F525AC" w:rsidRDefault="00F525AC" w:rsidP="00F525AC">
            <w:pPr>
              <w:pStyle w:val="TableText"/>
              <w:keepNext/>
              <w:keepLines/>
              <w:spacing w:before="20" w:after="20"/>
              <w:rPr>
                <w:szCs w:val="20"/>
              </w:rPr>
            </w:pPr>
            <w:r w:rsidRPr="003B2B46">
              <w:t>$24,804.74</w:t>
            </w:r>
          </w:p>
        </w:tc>
        <w:tc>
          <w:tcPr>
            <w:tcW w:w="795" w:type="pct"/>
            <w:tcBorders>
              <w:top w:val="single" w:sz="4" w:space="0" w:color="auto"/>
              <w:left w:val="single" w:sz="4" w:space="0" w:color="auto"/>
              <w:bottom w:val="single" w:sz="4" w:space="0" w:color="auto"/>
              <w:right w:val="single" w:sz="4" w:space="0" w:color="auto"/>
            </w:tcBorders>
          </w:tcPr>
          <w:p w14:paraId="44E0DB77" w14:textId="6394A130" w:rsidR="00F525AC" w:rsidRDefault="00F525AC" w:rsidP="00F525AC">
            <w:pPr>
              <w:pStyle w:val="TableText"/>
              <w:keepNext/>
              <w:keepLines/>
              <w:spacing w:before="20" w:after="20"/>
              <w:rPr>
                <w:szCs w:val="20"/>
              </w:rPr>
            </w:pPr>
            <w:r w:rsidRPr="003B2B46">
              <w:t>$36,533.59</w:t>
            </w:r>
          </w:p>
        </w:tc>
        <w:tc>
          <w:tcPr>
            <w:tcW w:w="884" w:type="pct"/>
            <w:tcBorders>
              <w:top w:val="single" w:sz="4" w:space="0" w:color="auto"/>
              <w:left w:val="single" w:sz="4" w:space="0" w:color="auto"/>
              <w:bottom w:val="single" w:sz="4" w:space="0" w:color="auto"/>
              <w:right w:val="single" w:sz="4" w:space="0" w:color="auto"/>
            </w:tcBorders>
          </w:tcPr>
          <w:p w14:paraId="015040FF" w14:textId="57F88B7F" w:rsidR="00F525AC" w:rsidRDefault="00F525AC" w:rsidP="00F525AC">
            <w:pPr>
              <w:pStyle w:val="TableText"/>
              <w:keepNext/>
              <w:keepLines/>
              <w:spacing w:before="20" w:after="20"/>
              <w:rPr>
                <w:szCs w:val="20"/>
              </w:rPr>
            </w:pPr>
            <w:r w:rsidRPr="003B2B46">
              <w:t>$53,668.39</w:t>
            </w:r>
          </w:p>
        </w:tc>
      </w:tr>
      <w:tr w:rsidR="00500979" w14:paraId="1001AB17" w14:textId="77777777" w:rsidTr="00500979">
        <w:trPr>
          <w:cantSplit/>
          <w:trHeight w:val="283"/>
        </w:trPr>
        <w:tc>
          <w:tcPr>
            <w:tcW w:w="5000" w:type="pct"/>
            <w:gridSpan w:val="6"/>
            <w:tcBorders>
              <w:top w:val="single" w:sz="4" w:space="0" w:color="auto"/>
              <w:left w:val="single" w:sz="4" w:space="0" w:color="auto"/>
              <w:bottom w:val="single" w:sz="4" w:space="0" w:color="auto"/>
              <w:right w:val="single" w:sz="4" w:space="0" w:color="auto"/>
            </w:tcBorders>
          </w:tcPr>
          <w:p w14:paraId="6529CF46" w14:textId="141E17E4" w:rsidR="00500979" w:rsidRPr="003639C2" w:rsidRDefault="00500979" w:rsidP="006D10FC">
            <w:pPr>
              <w:pStyle w:val="TableText"/>
              <w:keepNext/>
              <w:keepLines/>
              <w:spacing w:before="20" w:after="20"/>
              <w:rPr>
                <w:b/>
                <w:bCs/>
                <w:szCs w:val="20"/>
              </w:rPr>
            </w:pPr>
            <w:r w:rsidRPr="003639C2">
              <w:rPr>
                <w:b/>
                <w:bCs/>
                <w:szCs w:val="20"/>
              </w:rPr>
              <w:t>Eligible population (base case: MBS data + advisory board)</w:t>
            </w:r>
          </w:p>
        </w:tc>
      </w:tr>
      <w:tr w:rsidR="00500979" w14:paraId="5891B9FA" w14:textId="77777777" w:rsidTr="00500979">
        <w:trPr>
          <w:cantSplit/>
          <w:trHeight w:val="283"/>
        </w:trPr>
        <w:tc>
          <w:tcPr>
            <w:tcW w:w="5000" w:type="pct"/>
            <w:gridSpan w:val="6"/>
            <w:tcBorders>
              <w:top w:val="single" w:sz="4" w:space="0" w:color="auto"/>
              <w:left w:val="single" w:sz="4" w:space="0" w:color="auto"/>
              <w:bottom w:val="single" w:sz="4" w:space="0" w:color="auto"/>
              <w:right w:val="single" w:sz="4" w:space="0" w:color="auto"/>
            </w:tcBorders>
          </w:tcPr>
          <w:p w14:paraId="61D8E338" w14:textId="247B74EF" w:rsidR="00500979" w:rsidRDefault="00500979" w:rsidP="006D10FC">
            <w:pPr>
              <w:pStyle w:val="TableText"/>
              <w:keepNext/>
              <w:keepLines/>
              <w:spacing w:before="20" w:after="20"/>
              <w:rPr>
                <w:szCs w:val="20"/>
              </w:rPr>
            </w:pPr>
            <w:r>
              <w:rPr>
                <w:szCs w:val="20"/>
              </w:rPr>
              <w:t>SA8: AIHW procedure codes (larger population)</w:t>
            </w:r>
          </w:p>
        </w:tc>
      </w:tr>
      <w:tr w:rsidR="00500979" w14:paraId="5A85A0E7" w14:textId="77777777" w:rsidTr="002A3A13">
        <w:trPr>
          <w:cantSplit/>
          <w:trHeight w:val="283"/>
        </w:trPr>
        <w:tc>
          <w:tcPr>
            <w:tcW w:w="980" w:type="pct"/>
            <w:tcBorders>
              <w:top w:val="single" w:sz="4" w:space="0" w:color="auto"/>
              <w:left w:val="single" w:sz="4" w:space="0" w:color="auto"/>
              <w:bottom w:val="single" w:sz="4" w:space="0" w:color="auto"/>
              <w:right w:val="single" w:sz="4" w:space="0" w:color="auto"/>
            </w:tcBorders>
            <w:hideMark/>
          </w:tcPr>
          <w:p w14:paraId="0AA8148D" w14:textId="77777777" w:rsidR="00500979" w:rsidRDefault="00500979" w:rsidP="006D10FC">
            <w:pPr>
              <w:pStyle w:val="TableText"/>
              <w:keepNext/>
              <w:keepLines/>
              <w:spacing w:before="20" w:after="20"/>
              <w:rPr>
                <w:szCs w:val="20"/>
              </w:rPr>
            </w:pPr>
            <w:r>
              <w:rPr>
                <w:szCs w:val="20"/>
              </w:rPr>
              <w:t>$4,578.45</w:t>
            </w:r>
          </w:p>
        </w:tc>
        <w:tc>
          <w:tcPr>
            <w:tcW w:w="753" w:type="pct"/>
            <w:tcBorders>
              <w:top w:val="single" w:sz="4" w:space="0" w:color="auto"/>
              <w:left w:val="single" w:sz="4" w:space="0" w:color="auto"/>
              <w:bottom w:val="single" w:sz="4" w:space="0" w:color="auto"/>
              <w:right w:val="single" w:sz="4" w:space="0" w:color="auto"/>
            </w:tcBorders>
            <w:hideMark/>
          </w:tcPr>
          <w:p w14:paraId="6D292416" w14:textId="77777777" w:rsidR="00500979" w:rsidRDefault="00500979" w:rsidP="006D10FC">
            <w:pPr>
              <w:pStyle w:val="TableText"/>
              <w:keepNext/>
              <w:keepLines/>
              <w:spacing w:before="20" w:after="20"/>
              <w:rPr>
                <w:szCs w:val="20"/>
              </w:rPr>
            </w:pPr>
            <w:r>
              <w:rPr>
                <w:szCs w:val="20"/>
              </w:rPr>
              <w:t>$6,174.25</w:t>
            </w:r>
          </w:p>
        </w:tc>
        <w:tc>
          <w:tcPr>
            <w:tcW w:w="793" w:type="pct"/>
            <w:tcBorders>
              <w:top w:val="single" w:sz="4" w:space="0" w:color="auto"/>
              <w:left w:val="single" w:sz="4" w:space="0" w:color="auto"/>
              <w:bottom w:val="single" w:sz="4" w:space="0" w:color="auto"/>
              <w:right w:val="single" w:sz="4" w:space="0" w:color="auto"/>
            </w:tcBorders>
            <w:hideMark/>
          </w:tcPr>
          <w:p w14:paraId="5E5A490A" w14:textId="77777777" w:rsidR="00500979" w:rsidRDefault="00500979" w:rsidP="006D10FC">
            <w:pPr>
              <w:pStyle w:val="TableText"/>
              <w:keepNext/>
              <w:keepLines/>
              <w:spacing w:before="20" w:after="20"/>
              <w:rPr>
                <w:szCs w:val="20"/>
              </w:rPr>
            </w:pPr>
            <w:r>
              <w:rPr>
                <w:szCs w:val="20"/>
              </w:rPr>
              <w:t>$8,326.26</w:t>
            </w:r>
          </w:p>
        </w:tc>
        <w:tc>
          <w:tcPr>
            <w:tcW w:w="795" w:type="pct"/>
            <w:tcBorders>
              <w:top w:val="single" w:sz="4" w:space="0" w:color="auto"/>
              <w:left w:val="single" w:sz="4" w:space="0" w:color="auto"/>
              <w:bottom w:val="single" w:sz="4" w:space="0" w:color="auto"/>
              <w:right w:val="single" w:sz="4" w:space="0" w:color="auto"/>
            </w:tcBorders>
            <w:hideMark/>
          </w:tcPr>
          <w:p w14:paraId="48B0F7F2" w14:textId="77777777" w:rsidR="00500979" w:rsidRDefault="00500979" w:rsidP="006D10FC">
            <w:pPr>
              <w:pStyle w:val="TableText"/>
              <w:keepNext/>
              <w:keepLines/>
              <w:spacing w:before="20" w:after="20"/>
              <w:rPr>
                <w:szCs w:val="20"/>
              </w:rPr>
            </w:pPr>
            <w:r>
              <w:rPr>
                <w:szCs w:val="20"/>
              </w:rPr>
              <w:t>$11,228.35</w:t>
            </w:r>
          </w:p>
        </w:tc>
        <w:tc>
          <w:tcPr>
            <w:tcW w:w="795" w:type="pct"/>
            <w:tcBorders>
              <w:top w:val="single" w:sz="4" w:space="0" w:color="auto"/>
              <w:left w:val="single" w:sz="4" w:space="0" w:color="auto"/>
              <w:bottom w:val="single" w:sz="4" w:space="0" w:color="auto"/>
              <w:right w:val="single" w:sz="4" w:space="0" w:color="auto"/>
            </w:tcBorders>
            <w:hideMark/>
          </w:tcPr>
          <w:p w14:paraId="4824EDA8" w14:textId="77777777" w:rsidR="00500979" w:rsidRDefault="00500979" w:rsidP="006D10FC">
            <w:pPr>
              <w:pStyle w:val="TableText"/>
              <w:keepNext/>
              <w:keepLines/>
              <w:spacing w:before="20" w:after="20"/>
              <w:rPr>
                <w:szCs w:val="20"/>
              </w:rPr>
            </w:pPr>
            <w:r>
              <w:rPr>
                <w:szCs w:val="20"/>
              </w:rPr>
              <w:t>$15,141.95</w:t>
            </w:r>
          </w:p>
        </w:tc>
        <w:tc>
          <w:tcPr>
            <w:tcW w:w="884" w:type="pct"/>
            <w:tcBorders>
              <w:top w:val="single" w:sz="4" w:space="0" w:color="auto"/>
              <w:left w:val="single" w:sz="4" w:space="0" w:color="auto"/>
              <w:bottom w:val="single" w:sz="4" w:space="0" w:color="auto"/>
              <w:right w:val="single" w:sz="4" w:space="0" w:color="auto"/>
            </w:tcBorders>
            <w:hideMark/>
          </w:tcPr>
          <w:p w14:paraId="4BBE31B4" w14:textId="77777777" w:rsidR="00500979" w:rsidRDefault="00500979" w:rsidP="006D10FC">
            <w:pPr>
              <w:pStyle w:val="TableText"/>
              <w:keepNext/>
              <w:keepLines/>
              <w:spacing w:before="20" w:after="20"/>
              <w:rPr>
                <w:szCs w:val="20"/>
              </w:rPr>
            </w:pPr>
            <w:r>
              <w:rPr>
                <w:szCs w:val="20"/>
              </w:rPr>
              <w:t>$20,419.62</w:t>
            </w:r>
          </w:p>
        </w:tc>
      </w:tr>
      <w:tr w:rsidR="00500979" w14:paraId="70A43A95" w14:textId="77777777" w:rsidTr="00500979">
        <w:trPr>
          <w:cantSplit/>
          <w:trHeight w:val="283"/>
        </w:trPr>
        <w:tc>
          <w:tcPr>
            <w:tcW w:w="5000" w:type="pct"/>
            <w:gridSpan w:val="6"/>
            <w:tcBorders>
              <w:top w:val="single" w:sz="4" w:space="0" w:color="auto"/>
              <w:left w:val="single" w:sz="4" w:space="0" w:color="auto"/>
              <w:bottom w:val="single" w:sz="4" w:space="0" w:color="auto"/>
              <w:right w:val="single" w:sz="4" w:space="0" w:color="auto"/>
            </w:tcBorders>
          </w:tcPr>
          <w:p w14:paraId="2C5C6BE7" w14:textId="589E9F9F" w:rsidR="00500979" w:rsidRDefault="00500979" w:rsidP="006D10FC">
            <w:pPr>
              <w:pStyle w:val="TableText"/>
              <w:keepNext/>
              <w:keepLines/>
              <w:spacing w:before="20" w:after="20"/>
              <w:rPr>
                <w:szCs w:val="20"/>
              </w:rPr>
            </w:pPr>
            <w:r>
              <w:rPr>
                <w:szCs w:val="20"/>
              </w:rPr>
              <w:t>SA9: MBS co-claiming for ERCP and extraction of biliary calculus (smaller population)</w:t>
            </w:r>
          </w:p>
        </w:tc>
      </w:tr>
      <w:tr w:rsidR="00500979" w14:paraId="500D65B6" w14:textId="77777777" w:rsidTr="002A3A13">
        <w:trPr>
          <w:cantSplit/>
          <w:trHeight w:val="283"/>
        </w:trPr>
        <w:tc>
          <w:tcPr>
            <w:tcW w:w="980" w:type="pct"/>
            <w:tcBorders>
              <w:top w:val="single" w:sz="4" w:space="0" w:color="auto"/>
              <w:left w:val="single" w:sz="4" w:space="0" w:color="auto"/>
              <w:bottom w:val="single" w:sz="4" w:space="0" w:color="auto"/>
              <w:right w:val="single" w:sz="4" w:space="0" w:color="auto"/>
            </w:tcBorders>
            <w:hideMark/>
          </w:tcPr>
          <w:p w14:paraId="2389A337" w14:textId="77777777" w:rsidR="00500979" w:rsidRDefault="00500979" w:rsidP="006D10FC">
            <w:pPr>
              <w:pStyle w:val="TableText"/>
              <w:keepNext/>
              <w:keepLines/>
              <w:spacing w:before="20" w:after="20"/>
              <w:rPr>
                <w:szCs w:val="20"/>
              </w:rPr>
            </w:pPr>
            <w:r>
              <w:rPr>
                <w:szCs w:val="20"/>
              </w:rPr>
              <w:t>$554.16</w:t>
            </w:r>
          </w:p>
        </w:tc>
        <w:tc>
          <w:tcPr>
            <w:tcW w:w="753" w:type="pct"/>
            <w:tcBorders>
              <w:top w:val="single" w:sz="4" w:space="0" w:color="auto"/>
              <w:left w:val="single" w:sz="4" w:space="0" w:color="auto"/>
              <w:bottom w:val="single" w:sz="4" w:space="0" w:color="auto"/>
              <w:right w:val="single" w:sz="4" w:space="0" w:color="auto"/>
            </w:tcBorders>
            <w:hideMark/>
          </w:tcPr>
          <w:p w14:paraId="72474693" w14:textId="77777777" w:rsidR="00500979" w:rsidRDefault="00500979" w:rsidP="006D10FC">
            <w:pPr>
              <w:pStyle w:val="TableText"/>
              <w:keepNext/>
              <w:keepLines/>
              <w:spacing w:before="20" w:after="20"/>
              <w:rPr>
                <w:szCs w:val="20"/>
              </w:rPr>
            </w:pPr>
            <w:r>
              <w:rPr>
                <w:szCs w:val="20"/>
              </w:rPr>
              <w:t>$750.98</w:t>
            </w:r>
          </w:p>
        </w:tc>
        <w:tc>
          <w:tcPr>
            <w:tcW w:w="793" w:type="pct"/>
            <w:tcBorders>
              <w:top w:val="single" w:sz="4" w:space="0" w:color="auto"/>
              <w:left w:val="single" w:sz="4" w:space="0" w:color="auto"/>
              <w:bottom w:val="single" w:sz="4" w:space="0" w:color="auto"/>
              <w:right w:val="single" w:sz="4" w:space="0" w:color="auto"/>
            </w:tcBorders>
            <w:hideMark/>
          </w:tcPr>
          <w:p w14:paraId="336B6E30" w14:textId="77777777" w:rsidR="00500979" w:rsidRDefault="00500979" w:rsidP="006D10FC">
            <w:pPr>
              <w:pStyle w:val="TableText"/>
              <w:keepNext/>
              <w:keepLines/>
              <w:spacing w:before="20" w:after="20"/>
              <w:rPr>
                <w:szCs w:val="20"/>
              </w:rPr>
            </w:pPr>
            <w:r>
              <w:rPr>
                <w:szCs w:val="20"/>
              </w:rPr>
              <w:t>$1,016.58</w:t>
            </w:r>
          </w:p>
        </w:tc>
        <w:tc>
          <w:tcPr>
            <w:tcW w:w="795" w:type="pct"/>
            <w:tcBorders>
              <w:top w:val="single" w:sz="4" w:space="0" w:color="auto"/>
              <w:left w:val="single" w:sz="4" w:space="0" w:color="auto"/>
              <w:bottom w:val="single" w:sz="4" w:space="0" w:color="auto"/>
              <w:right w:val="single" w:sz="4" w:space="0" w:color="auto"/>
            </w:tcBorders>
            <w:hideMark/>
          </w:tcPr>
          <w:p w14:paraId="3B6EF9C9" w14:textId="77777777" w:rsidR="00500979" w:rsidRDefault="00500979" w:rsidP="006D10FC">
            <w:pPr>
              <w:pStyle w:val="TableText"/>
              <w:keepNext/>
              <w:keepLines/>
              <w:spacing w:before="20" w:after="20"/>
              <w:rPr>
                <w:szCs w:val="20"/>
              </w:rPr>
            </w:pPr>
            <w:r>
              <w:rPr>
                <w:szCs w:val="20"/>
              </w:rPr>
              <w:t>$1,374.68</w:t>
            </w:r>
          </w:p>
        </w:tc>
        <w:tc>
          <w:tcPr>
            <w:tcW w:w="795" w:type="pct"/>
            <w:tcBorders>
              <w:top w:val="single" w:sz="4" w:space="0" w:color="auto"/>
              <w:left w:val="single" w:sz="4" w:space="0" w:color="auto"/>
              <w:bottom w:val="single" w:sz="4" w:space="0" w:color="auto"/>
              <w:right w:val="single" w:sz="4" w:space="0" w:color="auto"/>
            </w:tcBorders>
            <w:hideMark/>
          </w:tcPr>
          <w:p w14:paraId="2B715F66" w14:textId="77777777" w:rsidR="00500979" w:rsidRDefault="00500979" w:rsidP="006D10FC">
            <w:pPr>
              <w:pStyle w:val="TableText"/>
              <w:keepNext/>
              <w:keepLines/>
              <w:spacing w:before="20" w:after="20"/>
              <w:rPr>
                <w:szCs w:val="20"/>
              </w:rPr>
            </w:pPr>
            <w:r>
              <w:rPr>
                <w:szCs w:val="20"/>
              </w:rPr>
              <w:t>$1,857.10</w:t>
            </w:r>
          </w:p>
        </w:tc>
        <w:tc>
          <w:tcPr>
            <w:tcW w:w="884" w:type="pct"/>
            <w:tcBorders>
              <w:top w:val="single" w:sz="4" w:space="0" w:color="auto"/>
              <w:left w:val="single" w:sz="4" w:space="0" w:color="auto"/>
              <w:bottom w:val="single" w:sz="4" w:space="0" w:color="auto"/>
              <w:right w:val="single" w:sz="4" w:space="0" w:color="auto"/>
            </w:tcBorders>
            <w:hideMark/>
          </w:tcPr>
          <w:p w14:paraId="37659B8E" w14:textId="77777777" w:rsidR="00500979" w:rsidRDefault="00500979" w:rsidP="006D10FC">
            <w:pPr>
              <w:pStyle w:val="TableText"/>
              <w:keepNext/>
              <w:keepLines/>
              <w:spacing w:before="20" w:after="20"/>
              <w:rPr>
                <w:szCs w:val="20"/>
              </w:rPr>
            </w:pPr>
            <w:r>
              <w:rPr>
                <w:szCs w:val="20"/>
              </w:rPr>
              <w:t>$2,506.53</w:t>
            </w:r>
          </w:p>
        </w:tc>
      </w:tr>
      <w:tr w:rsidR="002A3A13" w14:paraId="294C3D6B" w14:textId="77777777" w:rsidTr="00500979">
        <w:trPr>
          <w:cantSplit/>
          <w:trHeight w:val="283"/>
        </w:trPr>
        <w:tc>
          <w:tcPr>
            <w:tcW w:w="5000" w:type="pct"/>
            <w:gridSpan w:val="6"/>
            <w:tcBorders>
              <w:top w:val="single" w:sz="4" w:space="0" w:color="auto"/>
              <w:left w:val="single" w:sz="4" w:space="0" w:color="auto"/>
              <w:bottom w:val="single" w:sz="4" w:space="0" w:color="auto"/>
              <w:right w:val="single" w:sz="4" w:space="0" w:color="auto"/>
            </w:tcBorders>
          </w:tcPr>
          <w:p w14:paraId="2337A89C" w14:textId="023E1E92" w:rsidR="002A3A13" w:rsidRPr="00500979" w:rsidRDefault="002A3A13" w:rsidP="006D10FC">
            <w:pPr>
              <w:pStyle w:val="TableText"/>
              <w:keepNext/>
              <w:keepLines/>
              <w:spacing w:before="20" w:after="20"/>
              <w:rPr>
                <w:b/>
                <w:bCs/>
                <w:szCs w:val="20"/>
              </w:rPr>
            </w:pPr>
            <w:r>
              <w:rPr>
                <w:b/>
                <w:bCs/>
                <w:szCs w:val="20"/>
              </w:rPr>
              <w:t>MBS costs</w:t>
            </w:r>
          </w:p>
        </w:tc>
      </w:tr>
      <w:tr w:rsidR="00500979" w14:paraId="08E2F3B6" w14:textId="77777777" w:rsidTr="00500979">
        <w:trPr>
          <w:cantSplit/>
          <w:trHeight w:val="283"/>
        </w:trPr>
        <w:tc>
          <w:tcPr>
            <w:tcW w:w="5000" w:type="pct"/>
            <w:gridSpan w:val="6"/>
            <w:tcBorders>
              <w:top w:val="single" w:sz="4" w:space="0" w:color="auto"/>
              <w:left w:val="single" w:sz="4" w:space="0" w:color="auto"/>
              <w:bottom w:val="single" w:sz="4" w:space="0" w:color="auto"/>
              <w:right w:val="single" w:sz="4" w:space="0" w:color="auto"/>
            </w:tcBorders>
          </w:tcPr>
          <w:p w14:paraId="1E5047E6" w14:textId="2427890E" w:rsidR="00500979" w:rsidRPr="00500979" w:rsidRDefault="00500979" w:rsidP="006D10FC">
            <w:pPr>
              <w:pStyle w:val="TableText"/>
              <w:keepNext/>
              <w:keepLines/>
              <w:spacing w:before="20" w:after="20"/>
              <w:rPr>
                <w:b/>
                <w:bCs/>
                <w:szCs w:val="20"/>
              </w:rPr>
            </w:pPr>
            <w:r w:rsidRPr="00500979">
              <w:rPr>
                <w:b/>
                <w:bCs/>
                <w:szCs w:val="20"/>
              </w:rPr>
              <w:t>Higher MBS cost of choledochotomy ($1,380.75, base case $1,371.65)</w:t>
            </w:r>
          </w:p>
        </w:tc>
      </w:tr>
      <w:tr w:rsidR="00500979" w14:paraId="4A60D3B4" w14:textId="77777777" w:rsidTr="002A3A13">
        <w:trPr>
          <w:cantSplit/>
          <w:trHeight w:val="283"/>
        </w:trPr>
        <w:tc>
          <w:tcPr>
            <w:tcW w:w="980" w:type="pct"/>
            <w:tcBorders>
              <w:top w:val="single" w:sz="4" w:space="0" w:color="auto"/>
              <w:left w:val="single" w:sz="4" w:space="0" w:color="auto"/>
              <w:bottom w:val="single" w:sz="4" w:space="0" w:color="auto"/>
              <w:right w:val="single" w:sz="4" w:space="0" w:color="auto"/>
            </w:tcBorders>
            <w:hideMark/>
          </w:tcPr>
          <w:p w14:paraId="05602518" w14:textId="77777777" w:rsidR="00500979" w:rsidRDefault="00500979" w:rsidP="006D10FC">
            <w:pPr>
              <w:pStyle w:val="TableText"/>
              <w:keepNext/>
              <w:keepLines/>
              <w:spacing w:before="20" w:after="20"/>
              <w:rPr>
                <w:szCs w:val="20"/>
              </w:rPr>
            </w:pPr>
            <w:r>
              <w:rPr>
                <w:szCs w:val="20"/>
              </w:rPr>
              <w:t>$7,522.50</w:t>
            </w:r>
          </w:p>
        </w:tc>
        <w:tc>
          <w:tcPr>
            <w:tcW w:w="753" w:type="pct"/>
            <w:tcBorders>
              <w:top w:val="single" w:sz="4" w:space="0" w:color="auto"/>
              <w:left w:val="single" w:sz="4" w:space="0" w:color="auto"/>
              <w:bottom w:val="single" w:sz="4" w:space="0" w:color="auto"/>
              <w:right w:val="single" w:sz="4" w:space="0" w:color="auto"/>
            </w:tcBorders>
            <w:hideMark/>
          </w:tcPr>
          <w:p w14:paraId="547BC8BC" w14:textId="77777777" w:rsidR="00500979" w:rsidRDefault="00500979" w:rsidP="006D10FC">
            <w:pPr>
              <w:pStyle w:val="TableText"/>
              <w:keepNext/>
              <w:keepLines/>
              <w:spacing w:before="20" w:after="20"/>
              <w:rPr>
                <w:szCs w:val="20"/>
              </w:rPr>
            </w:pPr>
            <w:r>
              <w:rPr>
                <w:szCs w:val="20"/>
              </w:rPr>
              <w:t>$10,222.80</w:t>
            </w:r>
          </w:p>
        </w:tc>
        <w:tc>
          <w:tcPr>
            <w:tcW w:w="793" w:type="pct"/>
            <w:tcBorders>
              <w:top w:val="single" w:sz="4" w:space="0" w:color="auto"/>
              <w:left w:val="single" w:sz="4" w:space="0" w:color="auto"/>
              <w:bottom w:val="single" w:sz="4" w:space="0" w:color="auto"/>
              <w:right w:val="single" w:sz="4" w:space="0" w:color="auto"/>
            </w:tcBorders>
            <w:hideMark/>
          </w:tcPr>
          <w:p w14:paraId="2BD0A4EC" w14:textId="77777777" w:rsidR="00500979" w:rsidRDefault="00500979" w:rsidP="006D10FC">
            <w:pPr>
              <w:pStyle w:val="TableText"/>
              <w:keepNext/>
              <w:keepLines/>
              <w:spacing w:before="20" w:after="20"/>
              <w:rPr>
                <w:szCs w:val="20"/>
              </w:rPr>
            </w:pPr>
            <w:r>
              <w:rPr>
                <w:szCs w:val="20"/>
              </w:rPr>
              <w:t>$13,892.42</w:t>
            </w:r>
          </w:p>
        </w:tc>
        <w:tc>
          <w:tcPr>
            <w:tcW w:w="795" w:type="pct"/>
            <w:tcBorders>
              <w:top w:val="single" w:sz="4" w:space="0" w:color="auto"/>
              <w:left w:val="single" w:sz="4" w:space="0" w:color="auto"/>
              <w:bottom w:val="single" w:sz="4" w:space="0" w:color="auto"/>
              <w:right w:val="single" w:sz="4" w:space="0" w:color="auto"/>
            </w:tcBorders>
            <w:hideMark/>
          </w:tcPr>
          <w:p w14:paraId="7E53B64A" w14:textId="77777777" w:rsidR="00500979" w:rsidRDefault="00500979" w:rsidP="006D10FC">
            <w:pPr>
              <w:pStyle w:val="TableText"/>
              <w:keepNext/>
              <w:keepLines/>
              <w:spacing w:before="20" w:after="20"/>
              <w:rPr>
                <w:szCs w:val="20"/>
              </w:rPr>
            </w:pPr>
            <w:r>
              <w:rPr>
                <w:szCs w:val="20"/>
              </w:rPr>
              <w:t>$18,879.31</w:t>
            </w:r>
          </w:p>
        </w:tc>
        <w:tc>
          <w:tcPr>
            <w:tcW w:w="795" w:type="pct"/>
            <w:tcBorders>
              <w:top w:val="single" w:sz="4" w:space="0" w:color="auto"/>
              <w:left w:val="single" w:sz="4" w:space="0" w:color="auto"/>
              <w:bottom w:val="single" w:sz="4" w:space="0" w:color="auto"/>
              <w:right w:val="single" w:sz="4" w:space="0" w:color="auto"/>
            </w:tcBorders>
            <w:hideMark/>
          </w:tcPr>
          <w:p w14:paraId="6C853CCD" w14:textId="77777777" w:rsidR="00500979" w:rsidRDefault="00500979" w:rsidP="006D10FC">
            <w:pPr>
              <w:pStyle w:val="TableText"/>
              <w:keepNext/>
              <w:keepLines/>
              <w:spacing w:before="20" w:after="20"/>
              <w:rPr>
                <w:szCs w:val="20"/>
              </w:rPr>
            </w:pPr>
            <w:r>
              <w:rPr>
                <w:szCs w:val="20"/>
              </w:rPr>
              <w:t>$25,656.30</w:t>
            </w:r>
          </w:p>
        </w:tc>
        <w:tc>
          <w:tcPr>
            <w:tcW w:w="884" w:type="pct"/>
            <w:tcBorders>
              <w:top w:val="single" w:sz="4" w:space="0" w:color="auto"/>
              <w:left w:val="single" w:sz="4" w:space="0" w:color="auto"/>
              <w:bottom w:val="single" w:sz="4" w:space="0" w:color="auto"/>
              <w:right w:val="single" w:sz="4" w:space="0" w:color="auto"/>
            </w:tcBorders>
            <w:hideMark/>
          </w:tcPr>
          <w:p w14:paraId="4E7A717E" w14:textId="77777777" w:rsidR="00500979" w:rsidRDefault="00500979" w:rsidP="006D10FC">
            <w:pPr>
              <w:pStyle w:val="TableText"/>
              <w:keepNext/>
              <w:keepLines/>
              <w:spacing w:before="20" w:after="20"/>
              <w:rPr>
                <w:szCs w:val="20"/>
              </w:rPr>
            </w:pPr>
            <w:r>
              <w:rPr>
                <w:szCs w:val="20"/>
              </w:rPr>
              <w:t>$34,865.99</w:t>
            </w:r>
          </w:p>
        </w:tc>
      </w:tr>
      <w:tr w:rsidR="002A3A13" w14:paraId="072D2A0C" w14:textId="77777777" w:rsidTr="002A3A13">
        <w:trPr>
          <w:cantSplit/>
          <w:trHeight w:val="283"/>
        </w:trPr>
        <w:tc>
          <w:tcPr>
            <w:tcW w:w="5000" w:type="pct"/>
            <w:gridSpan w:val="6"/>
            <w:tcBorders>
              <w:top w:val="single" w:sz="4" w:space="0" w:color="auto"/>
              <w:left w:val="single" w:sz="4" w:space="0" w:color="auto"/>
              <w:bottom w:val="single" w:sz="4" w:space="0" w:color="auto"/>
              <w:right w:val="single" w:sz="4" w:space="0" w:color="auto"/>
            </w:tcBorders>
          </w:tcPr>
          <w:p w14:paraId="77E0D3E0" w14:textId="09E23BCF" w:rsidR="002A3A13" w:rsidRPr="002C699F" w:rsidRDefault="002A3A13" w:rsidP="006D10FC">
            <w:pPr>
              <w:pStyle w:val="TableText"/>
              <w:keepNext/>
              <w:keepLines/>
              <w:spacing w:before="20" w:after="20"/>
              <w:rPr>
                <w:b/>
                <w:bCs/>
                <w:szCs w:val="20"/>
              </w:rPr>
            </w:pPr>
            <w:r w:rsidRPr="002C699F">
              <w:rPr>
                <w:b/>
                <w:bCs/>
                <w:szCs w:val="20"/>
              </w:rPr>
              <w:t xml:space="preserve">POCPS MBS </w:t>
            </w:r>
            <w:r w:rsidR="002C699F">
              <w:rPr>
                <w:b/>
                <w:bCs/>
                <w:szCs w:val="20"/>
              </w:rPr>
              <w:t>fee</w:t>
            </w:r>
            <w:r w:rsidRPr="002C699F">
              <w:rPr>
                <w:b/>
                <w:bCs/>
                <w:szCs w:val="20"/>
              </w:rPr>
              <w:t xml:space="preserve"> same as ERCP</w:t>
            </w:r>
            <w:r w:rsidR="002C699F">
              <w:rPr>
                <w:b/>
                <w:bCs/>
                <w:szCs w:val="20"/>
              </w:rPr>
              <w:t xml:space="preserve"> (</w:t>
            </w:r>
            <w:r w:rsidR="002C699F" w:rsidRPr="002C699F">
              <w:rPr>
                <w:b/>
                <w:bCs/>
                <w:szCs w:val="20"/>
              </w:rPr>
              <w:t>$379.70</w:t>
            </w:r>
            <w:r w:rsidR="002C699F">
              <w:rPr>
                <w:b/>
                <w:bCs/>
                <w:szCs w:val="20"/>
              </w:rPr>
              <w:t xml:space="preserve">, base case </w:t>
            </w:r>
            <w:r w:rsidR="002C699F" w:rsidRPr="002C699F">
              <w:rPr>
                <w:b/>
                <w:bCs/>
                <w:szCs w:val="20"/>
              </w:rPr>
              <w:t>$865.72</w:t>
            </w:r>
            <w:r w:rsidR="002C699F">
              <w:rPr>
                <w:b/>
                <w:bCs/>
                <w:szCs w:val="20"/>
              </w:rPr>
              <w:t>)</w:t>
            </w:r>
          </w:p>
        </w:tc>
      </w:tr>
      <w:tr w:rsidR="002C699F" w14:paraId="6ED50D22" w14:textId="77777777" w:rsidTr="002A3A13">
        <w:trPr>
          <w:cantSplit/>
          <w:trHeight w:val="283"/>
        </w:trPr>
        <w:tc>
          <w:tcPr>
            <w:tcW w:w="980" w:type="pct"/>
            <w:tcBorders>
              <w:top w:val="single" w:sz="4" w:space="0" w:color="auto"/>
              <w:left w:val="single" w:sz="4" w:space="0" w:color="auto"/>
              <w:bottom w:val="single" w:sz="4" w:space="0" w:color="auto"/>
              <w:right w:val="single" w:sz="4" w:space="0" w:color="auto"/>
            </w:tcBorders>
          </w:tcPr>
          <w:p w14:paraId="7C4F329E" w14:textId="57D9397E" w:rsidR="002C699F" w:rsidRDefault="002C699F" w:rsidP="002C699F">
            <w:pPr>
              <w:pStyle w:val="TableText"/>
              <w:keepNext/>
              <w:keepLines/>
              <w:spacing w:before="20" w:after="20"/>
              <w:rPr>
                <w:szCs w:val="20"/>
              </w:rPr>
            </w:pPr>
            <w:r w:rsidRPr="000413A2">
              <w:t>-$20,642.60</w:t>
            </w:r>
          </w:p>
        </w:tc>
        <w:tc>
          <w:tcPr>
            <w:tcW w:w="753" w:type="pct"/>
            <w:tcBorders>
              <w:top w:val="single" w:sz="4" w:space="0" w:color="auto"/>
              <w:left w:val="single" w:sz="4" w:space="0" w:color="auto"/>
              <w:bottom w:val="single" w:sz="4" w:space="0" w:color="auto"/>
              <w:right w:val="single" w:sz="4" w:space="0" w:color="auto"/>
            </w:tcBorders>
          </w:tcPr>
          <w:p w14:paraId="0555C1BA" w14:textId="437F7688" w:rsidR="002C699F" w:rsidRDefault="002C699F" w:rsidP="002C699F">
            <w:pPr>
              <w:pStyle w:val="TableText"/>
              <w:keepNext/>
              <w:keepLines/>
              <w:spacing w:before="20" w:after="20"/>
              <w:rPr>
                <w:szCs w:val="20"/>
              </w:rPr>
            </w:pPr>
            <w:r w:rsidRPr="000413A2">
              <w:t>-$28,052.55</w:t>
            </w:r>
          </w:p>
        </w:tc>
        <w:tc>
          <w:tcPr>
            <w:tcW w:w="793" w:type="pct"/>
            <w:tcBorders>
              <w:top w:val="single" w:sz="4" w:space="0" w:color="auto"/>
              <w:left w:val="single" w:sz="4" w:space="0" w:color="auto"/>
              <w:bottom w:val="single" w:sz="4" w:space="0" w:color="auto"/>
              <w:right w:val="single" w:sz="4" w:space="0" w:color="auto"/>
            </w:tcBorders>
          </w:tcPr>
          <w:p w14:paraId="45F5A675" w14:textId="0BF31E7E" w:rsidR="002C699F" w:rsidRDefault="002C699F" w:rsidP="002C699F">
            <w:pPr>
              <w:pStyle w:val="TableText"/>
              <w:keepNext/>
              <w:keepLines/>
              <w:spacing w:before="20" w:after="20"/>
              <w:rPr>
                <w:szCs w:val="20"/>
              </w:rPr>
            </w:pPr>
            <w:r w:rsidRPr="000413A2">
              <w:t>-$38,122.41</w:t>
            </w:r>
          </w:p>
        </w:tc>
        <w:tc>
          <w:tcPr>
            <w:tcW w:w="795" w:type="pct"/>
            <w:tcBorders>
              <w:top w:val="single" w:sz="4" w:space="0" w:color="auto"/>
              <w:left w:val="single" w:sz="4" w:space="0" w:color="auto"/>
              <w:bottom w:val="single" w:sz="4" w:space="0" w:color="auto"/>
              <w:right w:val="single" w:sz="4" w:space="0" w:color="auto"/>
            </w:tcBorders>
          </w:tcPr>
          <w:p w14:paraId="7BFF9E95" w14:textId="08E58E82" w:rsidR="002C699F" w:rsidRDefault="002C699F" w:rsidP="002C699F">
            <w:pPr>
              <w:pStyle w:val="TableText"/>
              <w:keepNext/>
              <w:keepLines/>
              <w:spacing w:before="20" w:after="20"/>
              <w:rPr>
                <w:szCs w:val="20"/>
              </w:rPr>
            </w:pPr>
            <w:r w:rsidRPr="000413A2">
              <w:t>-$51,806.99</w:t>
            </w:r>
          </w:p>
        </w:tc>
        <w:tc>
          <w:tcPr>
            <w:tcW w:w="795" w:type="pct"/>
            <w:tcBorders>
              <w:top w:val="single" w:sz="4" w:space="0" w:color="auto"/>
              <w:left w:val="single" w:sz="4" w:space="0" w:color="auto"/>
              <w:bottom w:val="single" w:sz="4" w:space="0" w:color="auto"/>
              <w:right w:val="single" w:sz="4" w:space="0" w:color="auto"/>
            </w:tcBorders>
          </w:tcPr>
          <w:p w14:paraId="1873B04B" w14:textId="6998D6AF" w:rsidR="002C699F" w:rsidRDefault="002C699F" w:rsidP="002C699F">
            <w:pPr>
              <w:pStyle w:val="TableText"/>
              <w:keepNext/>
              <w:keepLines/>
              <w:spacing w:before="20" w:after="20"/>
              <w:rPr>
                <w:szCs w:val="20"/>
              </w:rPr>
            </w:pPr>
            <w:r w:rsidRPr="000413A2">
              <w:t>-$70,403.84</w:t>
            </w:r>
          </w:p>
        </w:tc>
        <w:tc>
          <w:tcPr>
            <w:tcW w:w="884" w:type="pct"/>
            <w:tcBorders>
              <w:top w:val="single" w:sz="4" w:space="0" w:color="auto"/>
              <w:left w:val="single" w:sz="4" w:space="0" w:color="auto"/>
              <w:bottom w:val="single" w:sz="4" w:space="0" w:color="auto"/>
              <w:right w:val="single" w:sz="4" w:space="0" w:color="auto"/>
            </w:tcBorders>
          </w:tcPr>
          <w:p w14:paraId="293EF1F5" w14:textId="2770E007" w:rsidR="002C699F" w:rsidRDefault="002C699F" w:rsidP="002C699F">
            <w:pPr>
              <w:pStyle w:val="TableText"/>
              <w:keepNext/>
              <w:keepLines/>
              <w:spacing w:before="20" w:after="20"/>
              <w:rPr>
                <w:szCs w:val="20"/>
              </w:rPr>
            </w:pPr>
            <w:r w:rsidRPr="000413A2">
              <w:t>-$95,676.30</w:t>
            </w:r>
          </w:p>
        </w:tc>
      </w:tr>
      <w:tr w:rsidR="002C699F" w14:paraId="53823648" w14:textId="77777777" w:rsidTr="002C699F">
        <w:trPr>
          <w:cantSplit/>
          <w:trHeight w:val="283"/>
        </w:trPr>
        <w:tc>
          <w:tcPr>
            <w:tcW w:w="5000" w:type="pct"/>
            <w:gridSpan w:val="6"/>
            <w:tcBorders>
              <w:top w:val="single" w:sz="4" w:space="0" w:color="auto"/>
              <w:left w:val="single" w:sz="4" w:space="0" w:color="auto"/>
              <w:bottom w:val="single" w:sz="4" w:space="0" w:color="auto"/>
              <w:right w:val="single" w:sz="4" w:space="0" w:color="auto"/>
            </w:tcBorders>
          </w:tcPr>
          <w:p w14:paraId="35BDF58F" w14:textId="3594D0BC" w:rsidR="002C699F" w:rsidRPr="0045142F" w:rsidRDefault="002C699F" w:rsidP="002C699F">
            <w:pPr>
              <w:pStyle w:val="TableText"/>
              <w:keepNext/>
              <w:keepLines/>
              <w:spacing w:before="20" w:after="20"/>
              <w:rPr>
                <w:b/>
                <w:bCs/>
              </w:rPr>
            </w:pPr>
            <w:r w:rsidRPr="0045142F">
              <w:rPr>
                <w:b/>
                <w:bCs/>
              </w:rPr>
              <w:t>Multivariate analysis: POCPS MBS fee same as ERCP</w:t>
            </w:r>
            <w:r w:rsidR="002C6B5A" w:rsidRPr="0045142F">
              <w:rPr>
                <w:b/>
                <w:bCs/>
              </w:rPr>
              <w:t xml:space="preserve"> + higher growth </w:t>
            </w:r>
            <w:r w:rsidR="0045142F" w:rsidRPr="0045142F">
              <w:rPr>
                <w:b/>
                <w:bCs/>
              </w:rPr>
              <w:t>in ERCP market share + lower growth from laparoscopic choledochotomy market share</w:t>
            </w:r>
          </w:p>
        </w:tc>
      </w:tr>
      <w:tr w:rsidR="0045142F" w14:paraId="7535B005" w14:textId="77777777" w:rsidTr="002A3A13">
        <w:trPr>
          <w:cantSplit/>
          <w:trHeight w:val="283"/>
        </w:trPr>
        <w:tc>
          <w:tcPr>
            <w:tcW w:w="980" w:type="pct"/>
            <w:tcBorders>
              <w:top w:val="single" w:sz="4" w:space="0" w:color="auto"/>
              <w:left w:val="single" w:sz="4" w:space="0" w:color="auto"/>
              <w:bottom w:val="single" w:sz="4" w:space="0" w:color="auto"/>
              <w:right w:val="single" w:sz="4" w:space="0" w:color="auto"/>
            </w:tcBorders>
          </w:tcPr>
          <w:p w14:paraId="3F3C85E6" w14:textId="79E45D4C" w:rsidR="0045142F" w:rsidRPr="000413A2" w:rsidRDefault="0045142F" w:rsidP="0045142F">
            <w:pPr>
              <w:pStyle w:val="TableText"/>
              <w:keepNext/>
              <w:keepLines/>
              <w:spacing w:before="20" w:after="20"/>
            </w:pPr>
            <w:r w:rsidRPr="000B52C8">
              <w:t>-$20,642.60</w:t>
            </w:r>
          </w:p>
        </w:tc>
        <w:tc>
          <w:tcPr>
            <w:tcW w:w="753" w:type="pct"/>
            <w:tcBorders>
              <w:top w:val="single" w:sz="4" w:space="0" w:color="auto"/>
              <w:left w:val="single" w:sz="4" w:space="0" w:color="auto"/>
              <w:bottom w:val="single" w:sz="4" w:space="0" w:color="auto"/>
              <w:right w:val="single" w:sz="4" w:space="0" w:color="auto"/>
            </w:tcBorders>
          </w:tcPr>
          <w:p w14:paraId="0FE99B94" w14:textId="48DC162F" w:rsidR="0045142F" w:rsidRPr="000413A2" w:rsidRDefault="0045142F" w:rsidP="0045142F">
            <w:pPr>
              <w:pStyle w:val="TableText"/>
              <w:keepNext/>
              <w:keepLines/>
              <w:spacing w:before="20" w:after="20"/>
            </w:pPr>
            <w:r w:rsidRPr="000B52C8">
              <w:t>-$26,393.34</w:t>
            </w:r>
          </w:p>
        </w:tc>
        <w:tc>
          <w:tcPr>
            <w:tcW w:w="793" w:type="pct"/>
            <w:tcBorders>
              <w:top w:val="single" w:sz="4" w:space="0" w:color="auto"/>
              <w:left w:val="single" w:sz="4" w:space="0" w:color="auto"/>
              <w:bottom w:val="single" w:sz="4" w:space="0" w:color="auto"/>
              <w:right w:val="single" w:sz="4" w:space="0" w:color="auto"/>
            </w:tcBorders>
          </w:tcPr>
          <w:p w14:paraId="10023A23" w14:textId="3E4BE05E" w:rsidR="0045142F" w:rsidRPr="000413A2" w:rsidRDefault="0045142F" w:rsidP="0045142F">
            <w:pPr>
              <w:pStyle w:val="TableText"/>
              <w:keepNext/>
              <w:keepLines/>
              <w:spacing w:before="20" w:after="20"/>
            </w:pPr>
            <w:r w:rsidRPr="000B52C8">
              <w:t>-$33,986.36</w:t>
            </w:r>
          </w:p>
        </w:tc>
        <w:tc>
          <w:tcPr>
            <w:tcW w:w="795" w:type="pct"/>
            <w:tcBorders>
              <w:top w:val="single" w:sz="4" w:space="0" w:color="auto"/>
              <w:left w:val="single" w:sz="4" w:space="0" w:color="auto"/>
              <w:bottom w:val="single" w:sz="4" w:space="0" w:color="auto"/>
              <w:right w:val="single" w:sz="4" w:space="0" w:color="auto"/>
            </w:tcBorders>
          </w:tcPr>
          <w:p w14:paraId="407CFB20" w14:textId="7FEB4113" w:rsidR="0045142F" w:rsidRPr="000413A2" w:rsidRDefault="0045142F" w:rsidP="0045142F">
            <w:pPr>
              <w:pStyle w:val="TableText"/>
              <w:keepNext/>
              <w:keepLines/>
              <w:spacing w:before="20" w:after="20"/>
            </w:pPr>
            <w:r w:rsidRPr="000B52C8">
              <w:t>-$44,084.14</w:t>
            </w:r>
          </w:p>
        </w:tc>
        <w:tc>
          <w:tcPr>
            <w:tcW w:w="795" w:type="pct"/>
            <w:tcBorders>
              <w:top w:val="single" w:sz="4" w:space="0" w:color="auto"/>
              <w:left w:val="single" w:sz="4" w:space="0" w:color="auto"/>
              <w:bottom w:val="single" w:sz="4" w:space="0" w:color="auto"/>
              <w:right w:val="single" w:sz="4" w:space="0" w:color="auto"/>
            </w:tcBorders>
          </w:tcPr>
          <w:p w14:paraId="15BACD20" w14:textId="7F2C6850" w:rsidR="0045142F" w:rsidRPr="000413A2" w:rsidRDefault="0045142F" w:rsidP="0045142F">
            <w:pPr>
              <w:pStyle w:val="TableText"/>
              <w:keepNext/>
              <w:keepLines/>
              <w:spacing w:before="20" w:after="20"/>
            </w:pPr>
            <w:r w:rsidRPr="000B52C8">
              <w:t>-$57,606.38</w:t>
            </w:r>
          </w:p>
        </w:tc>
        <w:tc>
          <w:tcPr>
            <w:tcW w:w="884" w:type="pct"/>
            <w:tcBorders>
              <w:top w:val="single" w:sz="4" w:space="0" w:color="auto"/>
              <w:left w:val="single" w:sz="4" w:space="0" w:color="auto"/>
              <w:bottom w:val="single" w:sz="4" w:space="0" w:color="auto"/>
              <w:right w:val="single" w:sz="4" w:space="0" w:color="auto"/>
            </w:tcBorders>
          </w:tcPr>
          <w:p w14:paraId="3A5BF794" w14:textId="65AAD359" w:rsidR="0045142F" w:rsidRPr="000413A2" w:rsidRDefault="0045142F" w:rsidP="0045142F">
            <w:pPr>
              <w:pStyle w:val="TableText"/>
              <w:keepNext/>
              <w:keepLines/>
              <w:spacing w:before="20" w:after="20"/>
            </w:pPr>
            <w:r w:rsidRPr="000B52C8">
              <w:t>-$75,834.17</w:t>
            </w:r>
          </w:p>
        </w:tc>
      </w:tr>
    </w:tbl>
    <w:p w14:paraId="7FA66D90" w14:textId="66D033F6" w:rsidR="007B6DDB" w:rsidRPr="00BE05FE" w:rsidRDefault="00787F3B" w:rsidP="00787F3B">
      <w:pPr>
        <w:pStyle w:val="TableFigureFooter"/>
        <w:keepNext/>
        <w:keepLines/>
        <w:spacing w:after="120"/>
      </w:pPr>
      <w:r>
        <w:t>Source:Table151 of the ADAR and calculated following ESC.</w:t>
      </w:r>
      <w:r>
        <w:rPr>
          <w:rFonts w:eastAsiaTheme="minorHAnsi"/>
          <w:lang w:eastAsia="en-US"/>
        </w:rPr>
        <w:br/>
      </w:r>
      <w:r w:rsidR="007B6DDB">
        <w:rPr>
          <w:rFonts w:eastAsiaTheme="minorHAnsi"/>
          <w:lang w:eastAsia="en-US"/>
        </w:rPr>
        <w:t xml:space="preserve">Abbreviations: </w:t>
      </w:r>
      <w:r w:rsidR="007B6DDB">
        <w:t xml:space="preserve">MBS = Medicare Benefit Schedule; </w:t>
      </w:r>
      <w:r w:rsidR="007B6DDB">
        <w:rPr>
          <w:rFonts w:eastAsiaTheme="minorHAnsi"/>
          <w:lang w:eastAsia="en-US"/>
        </w:rPr>
        <w:t>POCPS = single operator, single use peroral cholangiopancreatoscopy</w:t>
      </w:r>
      <w:r w:rsidR="00141534">
        <w:rPr>
          <w:rFonts w:eastAsiaTheme="minorHAnsi"/>
          <w:lang w:eastAsia="en-US"/>
        </w:rPr>
        <w:t>; SA = sensitivity analysis</w:t>
      </w:r>
    </w:p>
    <w:p w14:paraId="2EC630F6" w14:textId="77777777" w:rsidR="007B6DDB" w:rsidRPr="00A561F2" w:rsidRDefault="007B6DDB" w:rsidP="00FF36FD">
      <w:pPr>
        <w:pStyle w:val="Heading4"/>
        <w:spacing w:before="40" w:after="180" w:line="312" w:lineRule="auto"/>
        <w:rPr>
          <w:rFonts w:ascii="Franklin Gothic Book" w:hAnsi="Franklin Gothic Book"/>
        </w:rPr>
      </w:pPr>
      <w:r>
        <w:t>Investigative application</w:t>
      </w:r>
    </w:p>
    <w:p w14:paraId="04512CC1" w14:textId="2BF50907" w:rsidR="007B6DDB" w:rsidRPr="00560219" w:rsidRDefault="007B6DDB" w:rsidP="00096324">
      <w:pPr>
        <w:pStyle w:val="BodyText"/>
        <w:spacing w:before="120" w:after="240" w:line="259" w:lineRule="auto"/>
        <w:rPr>
          <w:rFonts w:ascii="Franklin Gothic Book" w:eastAsiaTheme="minorHAnsi" w:hAnsi="Franklin Gothic Book" w:cstheme="minorBidi"/>
          <w:lang w:eastAsia="en-US"/>
        </w:rPr>
      </w:pPr>
      <w:r w:rsidRPr="00A561F2">
        <w:rPr>
          <w:rFonts w:ascii="Franklin Gothic Book" w:eastAsiaTheme="minorHAnsi" w:hAnsi="Franklin Gothic Book" w:cstheme="minorBidi"/>
          <w:lang w:eastAsia="en-US"/>
        </w:rPr>
        <w:t xml:space="preserve">Values tested in the sensitivity analysis are presented in </w:t>
      </w:r>
      <w:r w:rsidR="00A561F2" w:rsidRPr="00A561F2">
        <w:rPr>
          <w:rFonts w:ascii="Franklin Gothic Book" w:eastAsiaTheme="minorHAnsi" w:hAnsi="Franklin Gothic Book" w:cstheme="minorBidi"/>
          <w:lang w:eastAsia="en-US"/>
        </w:rPr>
        <w:fldChar w:fldCharType="begin"/>
      </w:r>
      <w:r w:rsidR="00A561F2" w:rsidRPr="00A561F2">
        <w:rPr>
          <w:rFonts w:ascii="Franklin Gothic Book" w:eastAsiaTheme="minorHAnsi" w:hAnsi="Franklin Gothic Book" w:cstheme="minorBidi"/>
          <w:lang w:eastAsia="en-US"/>
        </w:rPr>
        <w:instrText xml:space="preserve"> REF _Ref83815481 \h </w:instrText>
      </w:r>
      <w:r w:rsidR="00A561F2">
        <w:rPr>
          <w:rFonts w:ascii="Franklin Gothic Book" w:eastAsiaTheme="minorHAnsi" w:hAnsi="Franklin Gothic Book" w:cstheme="minorBidi"/>
          <w:lang w:eastAsia="en-US"/>
        </w:rPr>
        <w:instrText xml:space="preserve"> \* MERGEFORMAT </w:instrText>
      </w:r>
      <w:r w:rsidR="00A561F2" w:rsidRPr="00A561F2">
        <w:rPr>
          <w:rFonts w:ascii="Franklin Gothic Book" w:eastAsiaTheme="minorHAnsi" w:hAnsi="Franklin Gothic Book" w:cstheme="minorBidi"/>
          <w:lang w:eastAsia="en-US"/>
        </w:rPr>
      </w:r>
      <w:r w:rsidR="00A561F2" w:rsidRPr="00A561F2">
        <w:rPr>
          <w:rFonts w:ascii="Franklin Gothic Book" w:eastAsiaTheme="minorHAnsi" w:hAnsi="Franklin Gothic Book" w:cstheme="minorBidi"/>
          <w:lang w:eastAsia="en-US"/>
        </w:rPr>
        <w:fldChar w:fldCharType="separate"/>
      </w:r>
      <w:r w:rsidR="00A561F2" w:rsidRPr="00A561F2">
        <w:rPr>
          <w:rFonts w:ascii="Franklin Gothic Book" w:hAnsi="Franklin Gothic Book"/>
        </w:rPr>
        <w:t>Table </w:t>
      </w:r>
      <w:r w:rsidR="00A561F2" w:rsidRPr="00A561F2">
        <w:rPr>
          <w:rFonts w:ascii="Franklin Gothic Book" w:hAnsi="Franklin Gothic Book"/>
          <w:noProof/>
        </w:rPr>
        <w:t>32</w:t>
      </w:r>
      <w:r w:rsidR="00A561F2" w:rsidRPr="00A561F2">
        <w:rPr>
          <w:rFonts w:ascii="Franklin Gothic Book" w:eastAsiaTheme="minorHAnsi" w:hAnsi="Franklin Gothic Book" w:cstheme="minorBidi"/>
          <w:lang w:eastAsia="en-US"/>
        </w:rPr>
        <w:fldChar w:fldCharType="end"/>
      </w:r>
      <w:r w:rsidRPr="00A561F2">
        <w:rPr>
          <w:rFonts w:ascii="Franklin Gothic Book" w:eastAsiaTheme="minorHAnsi" w:hAnsi="Franklin Gothic Book" w:cstheme="minorBidi"/>
          <w:lang w:eastAsia="en-US"/>
        </w:rPr>
        <w:t>. The main</w:t>
      </w:r>
      <w:r w:rsidRPr="00560219">
        <w:rPr>
          <w:rFonts w:ascii="Franklin Gothic Book" w:eastAsiaTheme="minorHAnsi" w:hAnsi="Franklin Gothic Book" w:cstheme="minorBidi"/>
          <w:lang w:eastAsia="en-US"/>
        </w:rPr>
        <w:t xml:space="preserve"> source of uncertainty for the utilisation of POCPS is the number of patients with indeterminate biliary strictures. There is no definitive epidemiology on patients with indeterminate biliary strictures, therefore, two approaches were presented in the Ratified PICO (Ratified PICO 1673, page 7). The chosen approach assumed that 23.2% of all ERCP procedures (MBS item 30484) were conducted to diagnose biliary strictures, of which 10% of these produced inconclusive results (i.e. 2.32% of all current ERCP procedures would be eligible for POCPS). This method relied on clinician estimates at the 2021 Advisory Board.</w:t>
      </w:r>
    </w:p>
    <w:p w14:paraId="4D641265" w14:textId="6C76BA93" w:rsidR="007B6DDB" w:rsidRPr="0016650D" w:rsidRDefault="007B6DDB" w:rsidP="00096324">
      <w:pPr>
        <w:pStyle w:val="BodyText"/>
        <w:spacing w:before="120" w:after="240" w:line="259" w:lineRule="auto"/>
        <w:rPr>
          <w:rFonts w:ascii="Franklin Gothic Book" w:eastAsiaTheme="minorHAnsi" w:hAnsi="Franklin Gothic Book" w:cstheme="minorBidi"/>
          <w:iCs/>
          <w:lang w:eastAsia="en-US"/>
        </w:rPr>
      </w:pPr>
      <w:r w:rsidRPr="0016650D">
        <w:rPr>
          <w:rFonts w:ascii="Franklin Gothic Book" w:eastAsiaTheme="minorHAnsi" w:hAnsi="Franklin Gothic Book" w:cstheme="minorBidi"/>
          <w:iCs/>
          <w:lang w:eastAsia="en-US"/>
        </w:rPr>
        <w:t xml:space="preserve">Although there is uncertainty around POCPS utilisation using clinician estimates, </w:t>
      </w:r>
      <w:r w:rsidR="0016650D" w:rsidRPr="0016650D">
        <w:rPr>
          <w:rFonts w:ascii="Franklin Gothic Book" w:eastAsiaTheme="minorHAnsi" w:hAnsi="Franklin Gothic Book" w:cstheme="minorBidi"/>
          <w:iCs/>
          <w:lang w:eastAsia="en-US"/>
        </w:rPr>
        <w:t>the commentary considered that this</w:t>
      </w:r>
      <w:r w:rsidRPr="0016650D">
        <w:rPr>
          <w:rFonts w:ascii="Franklin Gothic Book" w:eastAsiaTheme="minorHAnsi" w:hAnsi="Franklin Gothic Book" w:cstheme="minorBidi"/>
          <w:iCs/>
          <w:lang w:eastAsia="en-US"/>
        </w:rPr>
        <w:t xml:space="preserve"> method is appropriate given that the proportion of ERCP procedures conducted to diagnose biliary strictures is underpinned by evidence from</w:t>
      </w:r>
      <w:r w:rsidR="00D422BC" w:rsidRPr="00D422BC">
        <w:rPr>
          <w:rFonts w:ascii="Franklin Gothic Book" w:eastAsiaTheme="minorHAnsi" w:hAnsi="Franklin Gothic Book" w:cstheme="minorBidi"/>
          <w:iCs/>
          <w:lang w:eastAsia="en-US"/>
        </w:rPr>
        <w:t xml:space="preserve"> Testoni </w:t>
      </w:r>
      <w:r w:rsidR="00D422BC">
        <w:rPr>
          <w:rFonts w:ascii="Franklin Gothic Book" w:eastAsiaTheme="minorHAnsi" w:hAnsi="Franklin Gothic Book" w:cstheme="minorBidi"/>
          <w:iCs/>
          <w:lang w:eastAsia="en-US"/>
        </w:rPr>
        <w:t>(</w:t>
      </w:r>
      <w:r w:rsidR="00D422BC" w:rsidRPr="00D422BC">
        <w:rPr>
          <w:rFonts w:ascii="Franklin Gothic Book" w:eastAsiaTheme="minorHAnsi" w:hAnsi="Franklin Gothic Book" w:cstheme="minorBidi"/>
          <w:iCs/>
          <w:lang w:eastAsia="en-US"/>
        </w:rPr>
        <w:t>2010</w:t>
      </w:r>
      <w:r w:rsidR="00D422BC">
        <w:rPr>
          <w:rFonts w:ascii="Franklin Gothic Book" w:eastAsiaTheme="minorHAnsi" w:hAnsi="Franklin Gothic Book" w:cstheme="minorBidi"/>
          <w:iCs/>
          <w:lang w:eastAsia="en-US"/>
        </w:rPr>
        <w:t>)</w:t>
      </w:r>
      <w:r w:rsidRPr="0016650D">
        <w:rPr>
          <w:rFonts w:ascii="Franklin Gothic Book" w:eastAsiaTheme="minorHAnsi" w:hAnsi="Franklin Gothic Book" w:cstheme="minorBidi"/>
          <w:iCs/>
          <w:lang w:eastAsia="en-US"/>
        </w:rPr>
        <w:t>, and due to the potential to underestimate the population for POCPS using the alternative method. All other scenarios had a minor impact on the financial estimates (</w:t>
      </w:r>
      <w:r w:rsidRPr="0016650D">
        <w:rPr>
          <w:rFonts w:ascii="Franklin Gothic Book" w:eastAsiaTheme="minorHAnsi" w:hAnsi="Franklin Gothic Book" w:cstheme="minorBidi"/>
          <w:iCs/>
          <w:lang w:eastAsia="en-US"/>
        </w:rPr>
        <w:fldChar w:fldCharType="begin"/>
      </w:r>
      <w:r w:rsidRPr="0016650D">
        <w:rPr>
          <w:rFonts w:ascii="Franklin Gothic Book" w:eastAsiaTheme="minorHAnsi" w:hAnsi="Franklin Gothic Book" w:cstheme="minorBidi"/>
          <w:iCs/>
          <w:lang w:eastAsia="en-US"/>
        </w:rPr>
        <w:instrText xml:space="preserve"> REF _Ref83815481 \h  \* MERGEFORMAT </w:instrText>
      </w:r>
      <w:r w:rsidRPr="0016650D">
        <w:rPr>
          <w:rFonts w:ascii="Franklin Gothic Book" w:eastAsiaTheme="minorHAnsi" w:hAnsi="Franklin Gothic Book" w:cstheme="minorBidi"/>
          <w:iCs/>
          <w:lang w:eastAsia="en-US"/>
        </w:rPr>
      </w:r>
      <w:r w:rsidRPr="0016650D">
        <w:rPr>
          <w:rFonts w:ascii="Franklin Gothic Book" w:eastAsiaTheme="minorHAnsi" w:hAnsi="Franklin Gothic Book" w:cstheme="minorBidi"/>
          <w:iCs/>
          <w:lang w:eastAsia="en-US"/>
        </w:rPr>
        <w:fldChar w:fldCharType="separate"/>
      </w:r>
      <w:r w:rsidR="00D422BC" w:rsidRPr="00D422BC">
        <w:rPr>
          <w:rFonts w:ascii="Franklin Gothic Book" w:eastAsiaTheme="minorHAnsi" w:hAnsi="Franklin Gothic Book" w:cstheme="minorBidi"/>
          <w:iCs/>
          <w:lang w:eastAsia="en-US"/>
        </w:rPr>
        <w:t>Table 32</w:t>
      </w:r>
      <w:r w:rsidRPr="0016650D">
        <w:rPr>
          <w:rFonts w:ascii="Franklin Gothic Book" w:eastAsiaTheme="minorHAnsi" w:hAnsi="Franklin Gothic Book" w:cstheme="minorBidi"/>
          <w:iCs/>
          <w:lang w:eastAsia="en-US"/>
        </w:rPr>
        <w:fldChar w:fldCharType="end"/>
      </w:r>
      <w:r w:rsidRPr="0016650D">
        <w:rPr>
          <w:rFonts w:ascii="Franklin Gothic Book" w:eastAsiaTheme="minorHAnsi" w:hAnsi="Franklin Gothic Book" w:cstheme="minorBidi"/>
          <w:iCs/>
          <w:lang w:eastAsia="en-US"/>
        </w:rPr>
        <w:t>).</w:t>
      </w:r>
    </w:p>
    <w:p w14:paraId="0A9E2E8E" w14:textId="193D392D" w:rsidR="007B6DDB" w:rsidRDefault="007B6DDB" w:rsidP="00872C92">
      <w:pPr>
        <w:pStyle w:val="Caption"/>
        <w:keepLines/>
      </w:pPr>
      <w:bookmarkStart w:id="158" w:name="_Ref83815481"/>
      <w:bookmarkStart w:id="159" w:name="_Toc84313729"/>
      <w:bookmarkStart w:id="160" w:name="_Toc84324875"/>
      <w:bookmarkStart w:id="161" w:name="_Toc84344306"/>
      <w:bookmarkStart w:id="162" w:name="_Toc84348198"/>
      <w:r>
        <w:t>Table </w:t>
      </w:r>
      <w:r>
        <w:fldChar w:fldCharType="begin"/>
      </w:r>
      <w:r>
        <w:instrText>SEQ Table \* ARABIC</w:instrText>
      </w:r>
      <w:r>
        <w:fldChar w:fldCharType="separate"/>
      </w:r>
      <w:r w:rsidR="00D422BC">
        <w:rPr>
          <w:noProof/>
        </w:rPr>
        <w:t>32</w:t>
      </w:r>
      <w:r>
        <w:fldChar w:fldCharType="end"/>
      </w:r>
      <w:bookmarkEnd w:id="158"/>
      <w:r>
        <w:tab/>
        <w:t>Sensitivity analysis: Net financial implications of POCPS to the MBS patients with indeterminate biliary strictures (POCPS minus ERCP offsets)</w:t>
      </w:r>
      <w:bookmarkEnd w:id="159"/>
      <w:bookmarkEnd w:id="160"/>
      <w:bookmarkEnd w:id="161"/>
      <w:bookmarkEnd w:id="162"/>
      <w:r>
        <w:t xml:space="preserve"> </w:t>
      </w:r>
    </w:p>
    <w:tbl>
      <w:tblPr>
        <w:tblStyle w:val="TableGrid"/>
        <w:tblW w:w="5000" w:type="pct"/>
        <w:tblCellMar>
          <w:left w:w="57" w:type="dxa"/>
          <w:right w:w="57" w:type="dxa"/>
        </w:tblCellMar>
        <w:tblLook w:val="04A0" w:firstRow="1" w:lastRow="0" w:firstColumn="1" w:lastColumn="0" w:noHBand="0" w:noVBand="1"/>
      </w:tblPr>
      <w:tblGrid>
        <w:gridCol w:w="1434"/>
        <w:gridCol w:w="1435"/>
        <w:gridCol w:w="1435"/>
        <w:gridCol w:w="1569"/>
        <w:gridCol w:w="1569"/>
        <w:gridCol w:w="1574"/>
      </w:tblGrid>
      <w:tr w:rsidR="00227F6E" w14:paraId="33B20E8D" w14:textId="77777777" w:rsidTr="00227F6E">
        <w:trPr>
          <w:cantSplit/>
          <w:trHeight w:val="283"/>
          <w:tblHeader/>
        </w:trPr>
        <w:tc>
          <w:tcPr>
            <w:tcW w:w="795" w:type="pct"/>
            <w:tcBorders>
              <w:top w:val="single" w:sz="4" w:space="0" w:color="auto"/>
              <w:left w:val="single" w:sz="4" w:space="0" w:color="auto"/>
              <w:bottom w:val="single" w:sz="4" w:space="0" w:color="auto"/>
              <w:right w:val="single" w:sz="4" w:space="0" w:color="auto"/>
            </w:tcBorders>
            <w:hideMark/>
          </w:tcPr>
          <w:p w14:paraId="6FD4BB5F" w14:textId="77777777" w:rsidR="00227F6E" w:rsidRDefault="00227F6E" w:rsidP="00E942A4">
            <w:pPr>
              <w:pStyle w:val="TableHeading0"/>
            </w:pPr>
            <w:r w:rsidRPr="00E942A4">
              <w:t>2022</w:t>
            </w:r>
          </w:p>
        </w:tc>
        <w:tc>
          <w:tcPr>
            <w:tcW w:w="796" w:type="pct"/>
            <w:tcBorders>
              <w:top w:val="single" w:sz="4" w:space="0" w:color="auto"/>
              <w:left w:val="single" w:sz="4" w:space="0" w:color="auto"/>
              <w:bottom w:val="single" w:sz="4" w:space="0" w:color="auto"/>
              <w:right w:val="single" w:sz="4" w:space="0" w:color="auto"/>
            </w:tcBorders>
            <w:hideMark/>
          </w:tcPr>
          <w:p w14:paraId="4F252BDD" w14:textId="77777777" w:rsidR="00227F6E" w:rsidRDefault="00227F6E" w:rsidP="00E942A4">
            <w:pPr>
              <w:pStyle w:val="TableHeading0"/>
            </w:pPr>
            <w:r w:rsidRPr="00E942A4">
              <w:t>2023</w:t>
            </w:r>
          </w:p>
        </w:tc>
        <w:tc>
          <w:tcPr>
            <w:tcW w:w="796" w:type="pct"/>
            <w:tcBorders>
              <w:top w:val="single" w:sz="4" w:space="0" w:color="auto"/>
              <w:left w:val="single" w:sz="4" w:space="0" w:color="auto"/>
              <w:bottom w:val="single" w:sz="4" w:space="0" w:color="auto"/>
              <w:right w:val="single" w:sz="4" w:space="0" w:color="auto"/>
            </w:tcBorders>
            <w:hideMark/>
          </w:tcPr>
          <w:p w14:paraId="60109CF8" w14:textId="77777777" w:rsidR="00227F6E" w:rsidRDefault="00227F6E" w:rsidP="00E942A4">
            <w:pPr>
              <w:pStyle w:val="TableHeading0"/>
            </w:pPr>
            <w:r w:rsidRPr="00E942A4">
              <w:t>2024</w:t>
            </w:r>
          </w:p>
        </w:tc>
        <w:tc>
          <w:tcPr>
            <w:tcW w:w="870" w:type="pct"/>
            <w:tcBorders>
              <w:top w:val="single" w:sz="4" w:space="0" w:color="auto"/>
              <w:left w:val="single" w:sz="4" w:space="0" w:color="auto"/>
              <w:bottom w:val="single" w:sz="4" w:space="0" w:color="auto"/>
              <w:right w:val="single" w:sz="4" w:space="0" w:color="auto"/>
            </w:tcBorders>
            <w:hideMark/>
          </w:tcPr>
          <w:p w14:paraId="7862AE35" w14:textId="77777777" w:rsidR="00227F6E" w:rsidRDefault="00227F6E" w:rsidP="00E942A4">
            <w:pPr>
              <w:pStyle w:val="TableHeading0"/>
            </w:pPr>
            <w:r w:rsidRPr="00E942A4">
              <w:t>2025</w:t>
            </w:r>
          </w:p>
        </w:tc>
        <w:tc>
          <w:tcPr>
            <w:tcW w:w="870" w:type="pct"/>
            <w:tcBorders>
              <w:top w:val="single" w:sz="4" w:space="0" w:color="auto"/>
              <w:left w:val="single" w:sz="4" w:space="0" w:color="auto"/>
              <w:bottom w:val="single" w:sz="4" w:space="0" w:color="auto"/>
              <w:right w:val="single" w:sz="4" w:space="0" w:color="auto"/>
            </w:tcBorders>
            <w:hideMark/>
          </w:tcPr>
          <w:p w14:paraId="7CC21878" w14:textId="77777777" w:rsidR="00227F6E" w:rsidRDefault="00227F6E" w:rsidP="00E942A4">
            <w:pPr>
              <w:pStyle w:val="TableHeading0"/>
            </w:pPr>
            <w:r w:rsidRPr="00E942A4">
              <w:t>2026</w:t>
            </w:r>
          </w:p>
        </w:tc>
        <w:tc>
          <w:tcPr>
            <w:tcW w:w="872" w:type="pct"/>
            <w:tcBorders>
              <w:top w:val="single" w:sz="4" w:space="0" w:color="auto"/>
              <w:left w:val="single" w:sz="4" w:space="0" w:color="auto"/>
              <w:bottom w:val="single" w:sz="4" w:space="0" w:color="auto"/>
              <w:right w:val="single" w:sz="4" w:space="0" w:color="auto"/>
            </w:tcBorders>
            <w:hideMark/>
          </w:tcPr>
          <w:p w14:paraId="3D319F1E" w14:textId="77777777" w:rsidR="00227F6E" w:rsidRDefault="00227F6E" w:rsidP="00E942A4">
            <w:pPr>
              <w:pStyle w:val="TableHeading0"/>
            </w:pPr>
            <w:r w:rsidRPr="00E942A4">
              <w:t>2027</w:t>
            </w:r>
          </w:p>
        </w:tc>
      </w:tr>
      <w:tr w:rsidR="00227F6E" w14:paraId="71DF6BF6" w14:textId="77777777" w:rsidTr="00227F6E">
        <w:trPr>
          <w:cantSplit/>
          <w:trHeight w:val="283"/>
        </w:trPr>
        <w:tc>
          <w:tcPr>
            <w:tcW w:w="795" w:type="pct"/>
            <w:tcBorders>
              <w:top w:val="single" w:sz="4" w:space="0" w:color="auto"/>
              <w:left w:val="single" w:sz="4" w:space="0" w:color="auto"/>
              <w:bottom w:val="single" w:sz="4" w:space="0" w:color="auto"/>
              <w:right w:val="single" w:sz="4" w:space="0" w:color="auto"/>
            </w:tcBorders>
            <w:hideMark/>
          </w:tcPr>
          <w:p w14:paraId="7DC11082" w14:textId="77777777" w:rsidR="00227F6E" w:rsidRPr="0035377F" w:rsidRDefault="00227F6E" w:rsidP="000335B6">
            <w:pPr>
              <w:pStyle w:val="Tabletext0"/>
              <w:rPr>
                <w:b/>
                <w:bCs/>
              </w:rPr>
            </w:pPr>
            <w:r w:rsidRPr="0035377F">
              <w:rPr>
                <w:b/>
                <w:bCs/>
              </w:rPr>
              <w:t>$2,186.58</w:t>
            </w:r>
          </w:p>
        </w:tc>
        <w:tc>
          <w:tcPr>
            <w:tcW w:w="796" w:type="pct"/>
            <w:tcBorders>
              <w:top w:val="single" w:sz="4" w:space="0" w:color="auto"/>
              <w:left w:val="single" w:sz="4" w:space="0" w:color="auto"/>
              <w:bottom w:val="single" w:sz="4" w:space="0" w:color="auto"/>
              <w:right w:val="single" w:sz="4" w:space="0" w:color="auto"/>
            </w:tcBorders>
            <w:hideMark/>
          </w:tcPr>
          <w:p w14:paraId="72A34A9A" w14:textId="77777777" w:rsidR="00227F6E" w:rsidRPr="0035377F" w:rsidRDefault="00227F6E" w:rsidP="000335B6">
            <w:pPr>
              <w:pStyle w:val="Tabletext0"/>
              <w:rPr>
                <w:b/>
                <w:bCs/>
              </w:rPr>
            </w:pPr>
            <w:r w:rsidRPr="0035377F">
              <w:rPr>
                <w:b/>
                <w:bCs/>
              </w:rPr>
              <w:t>$2,971.49</w:t>
            </w:r>
          </w:p>
        </w:tc>
        <w:tc>
          <w:tcPr>
            <w:tcW w:w="796" w:type="pct"/>
            <w:tcBorders>
              <w:top w:val="single" w:sz="4" w:space="0" w:color="auto"/>
              <w:left w:val="single" w:sz="4" w:space="0" w:color="auto"/>
              <w:bottom w:val="single" w:sz="4" w:space="0" w:color="auto"/>
              <w:right w:val="single" w:sz="4" w:space="0" w:color="auto"/>
            </w:tcBorders>
            <w:hideMark/>
          </w:tcPr>
          <w:p w14:paraId="7D71EE0D" w14:textId="77777777" w:rsidR="00227F6E" w:rsidRPr="0035377F" w:rsidRDefault="00227F6E" w:rsidP="000335B6">
            <w:pPr>
              <w:pStyle w:val="Tabletext0"/>
              <w:rPr>
                <w:b/>
                <w:bCs/>
              </w:rPr>
            </w:pPr>
            <w:r w:rsidRPr="0035377F">
              <w:rPr>
                <w:b/>
                <w:bCs/>
              </w:rPr>
              <w:t>$4,038.14</w:t>
            </w:r>
          </w:p>
        </w:tc>
        <w:tc>
          <w:tcPr>
            <w:tcW w:w="870" w:type="pct"/>
            <w:tcBorders>
              <w:top w:val="single" w:sz="4" w:space="0" w:color="auto"/>
              <w:left w:val="single" w:sz="4" w:space="0" w:color="auto"/>
              <w:bottom w:val="single" w:sz="4" w:space="0" w:color="auto"/>
              <w:right w:val="single" w:sz="4" w:space="0" w:color="auto"/>
            </w:tcBorders>
            <w:hideMark/>
          </w:tcPr>
          <w:p w14:paraId="16C66F86" w14:textId="77777777" w:rsidR="00227F6E" w:rsidRPr="0035377F" w:rsidRDefault="00227F6E" w:rsidP="000335B6">
            <w:pPr>
              <w:pStyle w:val="Tabletext0"/>
              <w:rPr>
                <w:b/>
                <w:bCs/>
              </w:rPr>
            </w:pPr>
            <w:r w:rsidRPr="0035377F">
              <w:rPr>
                <w:b/>
                <w:bCs/>
              </w:rPr>
              <w:t>$5,487.69</w:t>
            </w:r>
          </w:p>
        </w:tc>
        <w:tc>
          <w:tcPr>
            <w:tcW w:w="870" w:type="pct"/>
            <w:tcBorders>
              <w:top w:val="single" w:sz="4" w:space="0" w:color="auto"/>
              <w:left w:val="single" w:sz="4" w:space="0" w:color="auto"/>
              <w:bottom w:val="single" w:sz="4" w:space="0" w:color="auto"/>
              <w:right w:val="single" w:sz="4" w:space="0" w:color="auto"/>
            </w:tcBorders>
            <w:hideMark/>
          </w:tcPr>
          <w:p w14:paraId="55B11276" w14:textId="77777777" w:rsidR="00227F6E" w:rsidRPr="0035377F" w:rsidRDefault="00227F6E" w:rsidP="000335B6">
            <w:pPr>
              <w:pStyle w:val="Tabletext0"/>
              <w:rPr>
                <w:b/>
                <w:bCs/>
              </w:rPr>
            </w:pPr>
            <w:r w:rsidRPr="0035377F">
              <w:rPr>
                <w:b/>
                <w:bCs/>
              </w:rPr>
              <w:t>$7,457.57</w:t>
            </w:r>
          </w:p>
        </w:tc>
        <w:tc>
          <w:tcPr>
            <w:tcW w:w="872" w:type="pct"/>
            <w:tcBorders>
              <w:top w:val="single" w:sz="4" w:space="0" w:color="auto"/>
              <w:left w:val="single" w:sz="4" w:space="0" w:color="auto"/>
              <w:bottom w:val="single" w:sz="4" w:space="0" w:color="auto"/>
              <w:right w:val="single" w:sz="4" w:space="0" w:color="auto"/>
            </w:tcBorders>
            <w:hideMark/>
          </w:tcPr>
          <w:p w14:paraId="051E2E35" w14:textId="77777777" w:rsidR="00227F6E" w:rsidRPr="0035377F" w:rsidRDefault="00227F6E" w:rsidP="000335B6">
            <w:pPr>
              <w:pStyle w:val="Tabletext0"/>
              <w:rPr>
                <w:b/>
                <w:bCs/>
              </w:rPr>
            </w:pPr>
            <w:r w:rsidRPr="0035377F">
              <w:rPr>
                <w:b/>
                <w:bCs/>
              </w:rPr>
              <w:t>$10,134.58</w:t>
            </w:r>
          </w:p>
        </w:tc>
      </w:tr>
      <w:tr w:rsidR="00227F6E" w14:paraId="2F6E065B" w14:textId="77777777" w:rsidTr="00227F6E">
        <w:trPr>
          <w:cantSplit/>
          <w:trHeight w:val="283"/>
        </w:trPr>
        <w:tc>
          <w:tcPr>
            <w:tcW w:w="5000" w:type="pct"/>
            <w:gridSpan w:val="6"/>
            <w:tcBorders>
              <w:top w:val="single" w:sz="4" w:space="0" w:color="auto"/>
              <w:left w:val="single" w:sz="4" w:space="0" w:color="auto"/>
              <w:bottom w:val="single" w:sz="4" w:space="0" w:color="auto"/>
              <w:right w:val="single" w:sz="4" w:space="0" w:color="auto"/>
            </w:tcBorders>
          </w:tcPr>
          <w:p w14:paraId="50A0446E" w14:textId="0F5BB69E" w:rsidR="00227F6E" w:rsidRPr="0035377F" w:rsidRDefault="00227F6E" w:rsidP="000335B6">
            <w:pPr>
              <w:pStyle w:val="Tabletext0"/>
              <w:rPr>
                <w:b/>
                <w:bCs/>
              </w:rPr>
            </w:pPr>
            <w:r w:rsidRPr="00A44642">
              <w:rPr>
                <w:b/>
                <w:bCs/>
              </w:rPr>
              <w:t>Proportion receiving a diagnosis</w:t>
            </w:r>
            <w:r>
              <w:rPr>
                <w:b/>
                <w:bCs/>
              </w:rPr>
              <w:t xml:space="preserve"> (base case </w:t>
            </w:r>
            <w:r w:rsidRPr="00A44642">
              <w:rPr>
                <w:b/>
                <w:bCs/>
              </w:rPr>
              <w:t>POCPS: 87%</w:t>
            </w:r>
            <w:r>
              <w:rPr>
                <w:b/>
                <w:bCs/>
              </w:rPr>
              <w:t xml:space="preserve">, </w:t>
            </w:r>
            <w:r w:rsidRPr="00A44642">
              <w:rPr>
                <w:b/>
                <w:bCs/>
              </w:rPr>
              <w:t>ERCP: 74%</w:t>
            </w:r>
            <w:r>
              <w:rPr>
                <w:b/>
                <w:bCs/>
              </w:rPr>
              <w:t xml:space="preserve"> - </w:t>
            </w:r>
            <w:r w:rsidRPr="00A44642">
              <w:rPr>
                <w:b/>
                <w:bCs/>
              </w:rPr>
              <w:t>Gerges (2020)</w:t>
            </w:r>
            <w:r>
              <w:rPr>
                <w:b/>
                <w:bCs/>
              </w:rPr>
              <w:t>)</w:t>
            </w:r>
          </w:p>
        </w:tc>
      </w:tr>
      <w:tr w:rsidR="00227F6E" w14:paraId="4C0600AC" w14:textId="77777777" w:rsidTr="00227F6E">
        <w:trPr>
          <w:cantSplit/>
          <w:trHeight w:val="283"/>
        </w:trPr>
        <w:tc>
          <w:tcPr>
            <w:tcW w:w="5000" w:type="pct"/>
            <w:gridSpan w:val="6"/>
            <w:tcBorders>
              <w:top w:val="single" w:sz="4" w:space="0" w:color="auto"/>
              <w:left w:val="single" w:sz="4" w:space="0" w:color="auto"/>
              <w:bottom w:val="single" w:sz="4" w:space="0" w:color="auto"/>
              <w:right w:val="single" w:sz="4" w:space="0" w:color="auto"/>
            </w:tcBorders>
          </w:tcPr>
          <w:p w14:paraId="12EA9294" w14:textId="649C15C4" w:rsidR="00227F6E" w:rsidRDefault="00227F6E" w:rsidP="00D0585C">
            <w:pPr>
              <w:pStyle w:val="Tabletext0"/>
            </w:pPr>
            <w:r>
              <w:t xml:space="preserve">POCPS: 91.7% ERCP: 83.3% (Draganov (2012) </w:t>
            </w:r>
            <w:r w:rsidRPr="00A44642">
              <w:t>POCPS vs ERCP-BC</w:t>
            </w:r>
            <w:r>
              <w:t xml:space="preserve">) </w:t>
            </w:r>
          </w:p>
        </w:tc>
      </w:tr>
      <w:tr w:rsidR="00227F6E" w14:paraId="138A2888" w14:textId="77777777" w:rsidTr="00227F6E">
        <w:trPr>
          <w:cantSplit/>
          <w:trHeight w:val="283"/>
        </w:trPr>
        <w:tc>
          <w:tcPr>
            <w:tcW w:w="795" w:type="pct"/>
            <w:tcBorders>
              <w:top w:val="single" w:sz="4" w:space="0" w:color="auto"/>
              <w:left w:val="single" w:sz="4" w:space="0" w:color="auto"/>
              <w:bottom w:val="single" w:sz="4" w:space="0" w:color="auto"/>
              <w:right w:val="single" w:sz="4" w:space="0" w:color="auto"/>
            </w:tcBorders>
            <w:hideMark/>
          </w:tcPr>
          <w:p w14:paraId="0FF6FB8E" w14:textId="77777777" w:rsidR="00227F6E" w:rsidRDefault="00227F6E" w:rsidP="00D0585C">
            <w:pPr>
              <w:pStyle w:val="Tabletext0"/>
            </w:pPr>
            <w:r>
              <w:t>$2,757.09</w:t>
            </w:r>
          </w:p>
        </w:tc>
        <w:tc>
          <w:tcPr>
            <w:tcW w:w="796" w:type="pct"/>
            <w:tcBorders>
              <w:top w:val="single" w:sz="4" w:space="0" w:color="auto"/>
              <w:left w:val="single" w:sz="4" w:space="0" w:color="auto"/>
              <w:bottom w:val="single" w:sz="4" w:space="0" w:color="auto"/>
              <w:right w:val="single" w:sz="4" w:space="0" w:color="auto"/>
            </w:tcBorders>
            <w:hideMark/>
          </w:tcPr>
          <w:p w14:paraId="111D27E4" w14:textId="77777777" w:rsidR="00227F6E" w:rsidRDefault="00227F6E" w:rsidP="00D0585C">
            <w:pPr>
              <w:pStyle w:val="Tabletext0"/>
            </w:pPr>
            <w:r>
              <w:t>$3,746.79</w:t>
            </w:r>
          </w:p>
        </w:tc>
        <w:tc>
          <w:tcPr>
            <w:tcW w:w="796" w:type="pct"/>
            <w:tcBorders>
              <w:top w:val="single" w:sz="4" w:space="0" w:color="auto"/>
              <w:left w:val="single" w:sz="4" w:space="0" w:color="auto"/>
              <w:bottom w:val="single" w:sz="4" w:space="0" w:color="auto"/>
              <w:right w:val="single" w:sz="4" w:space="0" w:color="auto"/>
            </w:tcBorders>
            <w:hideMark/>
          </w:tcPr>
          <w:p w14:paraId="26901D3D" w14:textId="77777777" w:rsidR="00227F6E" w:rsidRDefault="00227F6E" w:rsidP="00D0585C">
            <w:pPr>
              <w:pStyle w:val="Tabletext0"/>
            </w:pPr>
            <w:r>
              <w:t>$5,091.76</w:t>
            </w:r>
          </w:p>
        </w:tc>
        <w:tc>
          <w:tcPr>
            <w:tcW w:w="870" w:type="pct"/>
            <w:tcBorders>
              <w:top w:val="single" w:sz="4" w:space="0" w:color="auto"/>
              <w:left w:val="single" w:sz="4" w:space="0" w:color="auto"/>
              <w:bottom w:val="single" w:sz="4" w:space="0" w:color="auto"/>
              <w:right w:val="single" w:sz="4" w:space="0" w:color="auto"/>
            </w:tcBorders>
            <w:hideMark/>
          </w:tcPr>
          <w:p w14:paraId="01BE649C" w14:textId="77777777" w:rsidR="00227F6E" w:rsidRDefault="00227F6E" w:rsidP="00D0585C">
            <w:pPr>
              <w:pStyle w:val="Tabletext0"/>
            </w:pPr>
            <w:r>
              <w:t>$6,919.52</w:t>
            </w:r>
          </w:p>
        </w:tc>
        <w:tc>
          <w:tcPr>
            <w:tcW w:w="870" w:type="pct"/>
            <w:tcBorders>
              <w:top w:val="single" w:sz="4" w:space="0" w:color="auto"/>
              <w:left w:val="single" w:sz="4" w:space="0" w:color="auto"/>
              <w:bottom w:val="single" w:sz="4" w:space="0" w:color="auto"/>
              <w:right w:val="single" w:sz="4" w:space="0" w:color="auto"/>
            </w:tcBorders>
            <w:hideMark/>
          </w:tcPr>
          <w:p w14:paraId="00267809" w14:textId="77777777" w:rsidR="00227F6E" w:rsidRDefault="00227F6E" w:rsidP="00D0585C">
            <w:pPr>
              <w:pStyle w:val="Tabletext0"/>
            </w:pPr>
            <w:r>
              <w:t>$9,403.37</w:t>
            </w:r>
          </w:p>
        </w:tc>
        <w:tc>
          <w:tcPr>
            <w:tcW w:w="872" w:type="pct"/>
            <w:tcBorders>
              <w:top w:val="single" w:sz="4" w:space="0" w:color="auto"/>
              <w:left w:val="single" w:sz="4" w:space="0" w:color="auto"/>
              <w:bottom w:val="single" w:sz="4" w:space="0" w:color="auto"/>
              <w:right w:val="single" w:sz="4" w:space="0" w:color="auto"/>
            </w:tcBorders>
            <w:hideMark/>
          </w:tcPr>
          <w:p w14:paraId="5ED7B00F" w14:textId="77777777" w:rsidR="00227F6E" w:rsidRDefault="00227F6E" w:rsidP="00D0585C">
            <w:pPr>
              <w:pStyle w:val="Tabletext0"/>
            </w:pPr>
            <w:r>
              <w:t>$12,778.85</w:t>
            </w:r>
          </w:p>
        </w:tc>
      </w:tr>
      <w:tr w:rsidR="00227F6E" w14:paraId="4E6CD2D2" w14:textId="77777777" w:rsidTr="00227F6E">
        <w:trPr>
          <w:cantSplit/>
          <w:trHeight w:val="283"/>
        </w:trPr>
        <w:tc>
          <w:tcPr>
            <w:tcW w:w="5000" w:type="pct"/>
            <w:gridSpan w:val="6"/>
            <w:tcBorders>
              <w:top w:val="single" w:sz="4" w:space="0" w:color="auto"/>
              <w:left w:val="single" w:sz="4" w:space="0" w:color="auto"/>
              <w:bottom w:val="single" w:sz="4" w:space="0" w:color="auto"/>
              <w:right w:val="single" w:sz="4" w:space="0" w:color="auto"/>
            </w:tcBorders>
          </w:tcPr>
          <w:p w14:paraId="6B4B9A56" w14:textId="727EF693" w:rsidR="00227F6E" w:rsidRDefault="00227F6E" w:rsidP="00D0585C">
            <w:pPr>
              <w:pStyle w:val="Tabletext0"/>
            </w:pPr>
            <w:r>
              <w:t xml:space="preserve">POCPS: 91.7% ERCP: 73.1% (Draganov (2012) </w:t>
            </w:r>
            <w:r w:rsidRPr="00A44642">
              <w:t>POCPS vs ERCP-</w:t>
            </w:r>
            <w:r>
              <w:t>IB)</w:t>
            </w:r>
          </w:p>
        </w:tc>
      </w:tr>
      <w:tr w:rsidR="00227F6E" w14:paraId="501CD096" w14:textId="77777777" w:rsidTr="00227F6E">
        <w:trPr>
          <w:cantSplit/>
          <w:trHeight w:val="283"/>
        </w:trPr>
        <w:tc>
          <w:tcPr>
            <w:tcW w:w="795" w:type="pct"/>
            <w:tcBorders>
              <w:top w:val="single" w:sz="4" w:space="0" w:color="auto"/>
              <w:left w:val="single" w:sz="4" w:space="0" w:color="auto"/>
              <w:bottom w:val="single" w:sz="4" w:space="0" w:color="auto"/>
              <w:right w:val="single" w:sz="4" w:space="0" w:color="auto"/>
            </w:tcBorders>
            <w:hideMark/>
          </w:tcPr>
          <w:p w14:paraId="0ECA74AA" w14:textId="77777777" w:rsidR="00227F6E" w:rsidRDefault="00227F6E" w:rsidP="00D0585C">
            <w:pPr>
              <w:pStyle w:val="Tabletext0"/>
            </w:pPr>
            <w:r>
              <w:t>$1,194.48</w:t>
            </w:r>
          </w:p>
        </w:tc>
        <w:tc>
          <w:tcPr>
            <w:tcW w:w="796" w:type="pct"/>
            <w:tcBorders>
              <w:top w:val="single" w:sz="4" w:space="0" w:color="auto"/>
              <w:left w:val="single" w:sz="4" w:space="0" w:color="auto"/>
              <w:bottom w:val="single" w:sz="4" w:space="0" w:color="auto"/>
              <w:right w:val="single" w:sz="4" w:space="0" w:color="auto"/>
            </w:tcBorders>
            <w:hideMark/>
          </w:tcPr>
          <w:p w14:paraId="07EA544F" w14:textId="77777777" w:rsidR="00227F6E" w:rsidRDefault="00227F6E" w:rsidP="00D0585C">
            <w:pPr>
              <w:pStyle w:val="Tabletext0"/>
            </w:pPr>
            <w:r>
              <w:t>$1,623.25</w:t>
            </w:r>
          </w:p>
        </w:tc>
        <w:tc>
          <w:tcPr>
            <w:tcW w:w="796" w:type="pct"/>
            <w:tcBorders>
              <w:top w:val="single" w:sz="4" w:space="0" w:color="auto"/>
              <w:left w:val="single" w:sz="4" w:space="0" w:color="auto"/>
              <w:bottom w:val="single" w:sz="4" w:space="0" w:color="auto"/>
              <w:right w:val="single" w:sz="4" w:space="0" w:color="auto"/>
            </w:tcBorders>
            <w:hideMark/>
          </w:tcPr>
          <w:p w14:paraId="43B1172B" w14:textId="77777777" w:rsidR="00227F6E" w:rsidRDefault="00227F6E" w:rsidP="00D0585C">
            <w:pPr>
              <w:pStyle w:val="Tabletext0"/>
            </w:pPr>
            <w:r>
              <w:t>$2,205.94</w:t>
            </w:r>
          </w:p>
        </w:tc>
        <w:tc>
          <w:tcPr>
            <w:tcW w:w="870" w:type="pct"/>
            <w:tcBorders>
              <w:top w:val="single" w:sz="4" w:space="0" w:color="auto"/>
              <w:left w:val="single" w:sz="4" w:space="0" w:color="auto"/>
              <w:bottom w:val="single" w:sz="4" w:space="0" w:color="auto"/>
              <w:right w:val="single" w:sz="4" w:space="0" w:color="auto"/>
            </w:tcBorders>
            <w:hideMark/>
          </w:tcPr>
          <w:p w14:paraId="7BD2967F" w14:textId="77777777" w:rsidR="00227F6E" w:rsidRDefault="00227F6E" w:rsidP="00D0585C">
            <w:pPr>
              <w:pStyle w:val="Tabletext0"/>
            </w:pPr>
            <w:r>
              <w:t>$2,997.80</w:t>
            </w:r>
          </w:p>
        </w:tc>
        <w:tc>
          <w:tcPr>
            <w:tcW w:w="870" w:type="pct"/>
            <w:tcBorders>
              <w:top w:val="single" w:sz="4" w:space="0" w:color="auto"/>
              <w:left w:val="single" w:sz="4" w:space="0" w:color="auto"/>
              <w:bottom w:val="single" w:sz="4" w:space="0" w:color="auto"/>
              <w:right w:val="single" w:sz="4" w:space="0" w:color="auto"/>
            </w:tcBorders>
            <w:hideMark/>
          </w:tcPr>
          <w:p w14:paraId="58E48A16" w14:textId="77777777" w:rsidR="00227F6E" w:rsidRDefault="00227F6E" w:rsidP="00D0585C">
            <w:pPr>
              <w:pStyle w:val="Tabletext0"/>
            </w:pPr>
            <w:r>
              <w:t>$4,073.90</w:t>
            </w:r>
          </w:p>
        </w:tc>
        <w:tc>
          <w:tcPr>
            <w:tcW w:w="872" w:type="pct"/>
            <w:tcBorders>
              <w:top w:val="single" w:sz="4" w:space="0" w:color="auto"/>
              <w:left w:val="single" w:sz="4" w:space="0" w:color="auto"/>
              <w:bottom w:val="single" w:sz="4" w:space="0" w:color="auto"/>
              <w:right w:val="single" w:sz="4" w:space="0" w:color="auto"/>
            </w:tcBorders>
            <w:hideMark/>
          </w:tcPr>
          <w:p w14:paraId="529242E3" w14:textId="77777777" w:rsidR="00227F6E" w:rsidRDefault="00227F6E" w:rsidP="00D0585C">
            <w:pPr>
              <w:pStyle w:val="Tabletext0"/>
            </w:pPr>
            <w:r>
              <w:t>$5,536.28</w:t>
            </w:r>
          </w:p>
        </w:tc>
      </w:tr>
      <w:tr w:rsidR="00227F6E" w14:paraId="765888F7" w14:textId="77777777" w:rsidTr="00227F6E">
        <w:trPr>
          <w:cantSplit/>
          <w:trHeight w:val="283"/>
        </w:trPr>
        <w:tc>
          <w:tcPr>
            <w:tcW w:w="5000" w:type="pct"/>
            <w:gridSpan w:val="6"/>
            <w:tcBorders>
              <w:top w:val="single" w:sz="4" w:space="0" w:color="auto"/>
              <w:left w:val="single" w:sz="4" w:space="0" w:color="auto"/>
              <w:bottom w:val="single" w:sz="4" w:space="0" w:color="auto"/>
              <w:right w:val="single" w:sz="4" w:space="0" w:color="auto"/>
            </w:tcBorders>
          </w:tcPr>
          <w:p w14:paraId="0FBD9061" w14:textId="37504462" w:rsidR="00227F6E" w:rsidRPr="00D0585C" w:rsidRDefault="00227F6E" w:rsidP="00D0585C">
            <w:pPr>
              <w:pStyle w:val="Tabletext0"/>
              <w:rPr>
                <w:b/>
                <w:bCs/>
              </w:rPr>
            </w:pPr>
            <w:r w:rsidRPr="00D0585C">
              <w:rPr>
                <w:b/>
                <w:bCs/>
              </w:rPr>
              <w:t>POCPS annual growth in uptake rate in ERCP market (</w:t>
            </w:r>
            <w:r>
              <w:rPr>
                <w:b/>
                <w:bCs/>
              </w:rPr>
              <w:t>b</w:t>
            </w:r>
            <w:r w:rsidRPr="00D0585C">
              <w:rPr>
                <w:b/>
                <w:bCs/>
              </w:rPr>
              <w:t>ase case 31%)</w:t>
            </w:r>
          </w:p>
        </w:tc>
      </w:tr>
      <w:tr w:rsidR="00227F6E" w14:paraId="04857869" w14:textId="77777777" w:rsidTr="00227F6E">
        <w:trPr>
          <w:cantSplit/>
          <w:trHeight w:val="283"/>
        </w:trPr>
        <w:tc>
          <w:tcPr>
            <w:tcW w:w="5000" w:type="pct"/>
            <w:gridSpan w:val="6"/>
            <w:tcBorders>
              <w:top w:val="single" w:sz="4" w:space="0" w:color="auto"/>
              <w:left w:val="single" w:sz="4" w:space="0" w:color="auto"/>
              <w:bottom w:val="single" w:sz="4" w:space="0" w:color="auto"/>
              <w:right w:val="single" w:sz="4" w:space="0" w:color="auto"/>
            </w:tcBorders>
          </w:tcPr>
          <w:p w14:paraId="12208470" w14:textId="0978CDCD" w:rsidR="00227F6E" w:rsidRDefault="00227F6E" w:rsidP="00D0585C">
            <w:pPr>
              <w:pStyle w:val="Tabletext0"/>
            </w:pPr>
            <w:r w:rsidRPr="00D0585C">
              <w:t>Increase POCPS uptake in ERCP</w:t>
            </w:r>
            <w:r>
              <w:t xml:space="preserve"> (40%)</w:t>
            </w:r>
          </w:p>
        </w:tc>
      </w:tr>
      <w:tr w:rsidR="00227F6E" w14:paraId="7D811801" w14:textId="77777777" w:rsidTr="00227F6E">
        <w:trPr>
          <w:cantSplit/>
          <w:trHeight w:val="283"/>
        </w:trPr>
        <w:tc>
          <w:tcPr>
            <w:tcW w:w="795" w:type="pct"/>
            <w:tcBorders>
              <w:top w:val="single" w:sz="4" w:space="0" w:color="auto"/>
              <w:left w:val="single" w:sz="4" w:space="0" w:color="auto"/>
              <w:bottom w:val="single" w:sz="4" w:space="0" w:color="auto"/>
              <w:right w:val="single" w:sz="4" w:space="0" w:color="auto"/>
            </w:tcBorders>
            <w:hideMark/>
          </w:tcPr>
          <w:p w14:paraId="12095D61" w14:textId="77777777" w:rsidR="00227F6E" w:rsidRDefault="00227F6E" w:rsidP="00D0585C">
            <w:pPr>
              <w:pStyle w:val="Tabletext0"/>
            </w:pPr>
            <w:r>
              <w:t>$2,336.80</w:t>
            </w:r>
          </w:p>
        </w:tc>
        <w:tc>
          <w:tcPr>
            <w:tcW w:w="796" w:type="pct"/>
            <w:tcBorders>
              <w:top w:val="single" w:sz="4" w:space="0" w:color="auto"/>
              <w:left w:val="single" w:sz="4" w:space="0" w:color="auto"/>
              <w:bottom w:val="single" w:sz="4" w:space="0" w:color="auto"/>
              <w:right w:val="single" w:sz="4" w:space="0" w:color="auto"/>
            </w:tcBorders>
            <w:hideMark/>
          </w:tcPr>
          <w:p w14:paraId="0C502064" w14:textId="77777777" w:rsidR="00227F6E" w:rsidRDefault="00227F6E" w:rsidP="00D0585C">
            <w:pPr>
              <w:pStyle w:val="Tabletext0"/>
            </w:pPr>
            <w:r>
              <w:t>$3,393.81</w:t>
            </w:r>
          </w:p>
        </w:tc>
        <w:tc>
          <w:tcPr>
            <w:tcW w:w="796" w:type="pct"/>
            <w:tcBorders>
              <w:top w:val="single" w:sz="4" w:space="0" w:color="auto"/>
              <w:left w:val="single" w:sz="4" w:space="0" w:color="auto"/>
              <w:bottom w:val="single" w:sz="4" w:space="0" w:color="auto"/>
              <w:right w:val="single" w:sz="4" w:space="0" w:color="auto"/>
            </w:tcBorders>
            <w:hideMark/>
          </w:tcPr>
          <w:p w14:paraId="78F7611C" w14:textId="77777777" w:rsidR="00227F6E" w:rsidRDefault="00227F6E" w:rsidP="00D0585C">
            <w:pPr>
              <w:pStyle w:val="Tabletext0"/>
            </w:pPr>
            <w:r>
              <w:t>$4,928.92</w:t>
            </w:r>
          </w:p>
        </w:tc>
        <w:tc>
          <w:tcPr>
            <w:tcW w:w="870" w:type="pct"/>
            <w:tcBorders>
              <w:top w:val="single" w:sz="4" w:space="0" w:color="auto"/>
              <w:left w:val="single" w:sz="4" w:space="0" w:color="auto"/>
              <w:bottom w:val="single" w:sz="4" w:space="0" w:color="auto"/>
              <w:right w:val="single" w:sz="4" w:space="0" w:color="auto"/>
            </w:tcBorders>
            <w:hideMark/>
          </w:tcPr>
          <w:p w14:paraId="455565A2" w14:textId="77777777" w:rsidR="00227F6E" w:rsidRDefault="00227F6E" w:rsidP="00D0585C">
            <w:pPr>
              <w:pStyle w:val="Tabletext0"/>
            </w:pPr>
            <w:r>
              <w:t>$7,158.41</w:t>
            </w:r>
          </w:p>
        </w:tc>
        <w:tc>
          <w:tcPr>
            <w:tcW w:w="870" w:type="pct"/>
            <w:tcBorders>
              <w:top w:val="single" w:sz="4" w:space="0" w:color="auto"/>
              <w:left w:val="single" w:sz="4" w:space="0" w:color="auto"/>
              <w:bottom w:val="single" w:sz="4" w:space="0" w:color="auto"/>
              <w:right w:val="single" w:sz="4" w:space="0" w:color="auto"/>
            </w:tcBorders>
            <w:hideMark/>
          </w:tcPr>
          <w:p w14:paraId="7828D86E" w14:textId="77777777" w:rsidR="00227F6E" w:rsidRDefault="00227F6E" w:rsidP="00D0585C">
            <w:pPr>
              <w:pStyle w:val="Tabletext0"/>
            </w:pPr>
            <w:r>
              <w:t>$10,396.36</w:t>
            </w:r>
          </w:p>
        </w:tc>
        <w:tc>
          <w:tcPr>
            <w:tcW w:w="872" w:type="pct"/>
            <w:tcBorders>
              <w:top w:val="single" w:sz="4" w:space="0" w:color="auto"/>
              <w:left w:val="single" w:sz="4" w:space="0" w:color="auto"/>
              <w:bottom w:val="single" w:sz="4" w:space="0" w:color="auto"/>
              <w:right w:val="single" w:sz="4" w:space="0" w:color="auto"/>
            </w:tcBorders>
            <w:hideMark/>
          </w:tcPr>
          <w:p w14:paraId="5203F955" w14:textId="77777777" w:rsidR="00227F6E" w:rsidRDefault="00227F6E" w:rsidP="00D0585C">
            <w:pPr>
              <w:pStyle w:val="Tabletext0"/>
            </w:pPr>
            <w:r>
              <w:t>$15,098.93</w:t>
            </w:r>
          </w:p>
        </w:tc>
      </w:tr>
      <w:tr w:rsidR="00227F6E" w14:paraId="6B66476B" w14:textId="77777777" w:rsidTr="00227F6E">
        <w:trPr>
          <w:cantSplit/>
          <w:trHeight w:val="283"/>
        </w:trPr>
        <w:tc>
          <w:tcPr>
            <w:tcW w:w="5000" w:type="pct"/>
            <w:gridSpan w:val="6"/>
            <w:tcBorders>
              <w:top w:val="single" w:sz="4" w:space="0" w:color="auto"/>
              <w:left w:val="single" w:sz="4" w:space="0" w:color="auto"/>
              <w:bottom w:val="single" w:sz="4" w:space="0" w:color="auto"/>
              <w:right w:val="single" w:sz="4" w:space="0" w:color="auto"/>
            </w:tcBorders>
          </w:tcPr>
          <w:p w14:paraId="2F8DBBB1" w14:textId="68E84C50" w:rsidR="00227F6E" w:rsidRDefault="00227F6E" w:rsidP="00D0585C">
            <w:pPr>
              <w:pStyle w:val="Tabletext0"/>
            </w:pPr>
            <w:r w:rsidRPr="00D0585C">
              <w:t>Decrease POCPS uptake in ERCP</w:t>
            </w:r>
            <w:r>
              <w:t xml:space="preserve"> (10%)</w:t>
            </w:r>
          </w:p>
        </w:tc>
      </w:tr>
      <w:tr w:rsidR="00227F6E" w14:paraId="49F50873" w14:textId="77777777" w:rsidTr="00227F6E">
        <w:trPr>
          <w:cantSplit/>
          <w:trHeight w:val="283"/>
        </w:trPr>
        <w:tc>
          <w:tcPr>
            <w:tcW w:w="795" w:type="pct"/>
            <w:tcBorders>
              <w:top w:val="single" w:sz="4" w:space="0" w:color="auto"/>
              <w:left w:val="single" w:sz="4" w:space="0" w:color="auto"/>
              <w:bottom w:val="single" w:sz="4" w:space="0" w:color="auto"/>
              <w:right w:val="single" w:sz="4" w:space="0" w:color="auto"/>
            </w:tcBorders>
            <w:hideMark/>
          </w:tcPr>
          <w:p w14:paraId="21316E90" w14:textId="77777777" w:rsidR="00227F6E" w:rsidRDefault="00227F6E" w:rsidP="00D0585C">
            <w:pPr>
              <w:pStyle w:val="Tabletext0"/>
            </w:pPr>
            <w:r>
              <w:t>$1,836.06</w:t>
            </w:r>
          </w:p>
        </w:tc>
        <w:tc>
          <w:tcPr>
            <w:tcW w:w="796" w:type="pct"/>
            <w:tcBorders>
              <w:top w:val="single" w:sz="4" w:space="0" w:color="auto"/>
              <w:left w:val="single" w:sz="4" w:space="0" w:color="auto"/>
              <w:bottom w:val="single" w:sz="4" w:space="0" w:color="auto"/>
              <w:right w:val="single" w:sz="4" w:space="0" w:color="auto"/>
            </w:tcBorders>
            <w:hideMark/>
          </w:tcPr>
          <w:p w14:paraId="006B5731" w14:textId="77777777" w:rsidR="00227F6E" w:rsidRDefault="00227F6E" w:rsidP="00D0585C">
            <w:pPr>
              <w:pStyle w:val="Tabletext0"/>
            </w:pPr>
            <w:r>
              <w:t>$2,095.16</w:t>
            </w:r>
          </w:p>
        </w:tc>
        <w:tc>
          <w:tcPr>
            <w:tcW w:w="796" w:type="pct"/>
            <w:tcBorders>
              <w:top w:val="single" w:sz="4" w:space="0" w:color="auto"/>
              <w:left w:val="single" w:sz="4" w:space="0" w:color="auto"/>
              <w:bottom w:val="single" w:sz="4" w:space="0" w:color="auto"/>
              <w:right w:val="single" w:sz="4" w:space="0" w:color="auto"/>
            </w:tcBorders>
            <w:hideMark/>
          </w:tcPr>
          <w:p w14:paraId="30FCB437" w14:textId="77777777" w:rsidR="00227F6E" w:rsidRDefault="00227F6E" w:rsidP="00D0585C">
            <w:pPr>
              <w:pStyle w:val="Tabletext0"/>
            </w:pPr>
            <w:r>
              <w:t>$2,390.81</w:t>
            </w:r>
          </w:p>
        </w:tc>
        <w:tc>
          <w:tcPr>
            <w:tcW w:w="870" w:type="pct"/>
            <w:tcBorders>
              <w:top w:val="single" w:sz="4" w:space="0" w:color="auto"/>
              <w:left w:val="single" w:sz="4" w:space="0" w:color="auto"/>
              <w:bottom w:val="single" w:sz="4" w:space="0" w:color="auto"/>
              <w:right w:val="single" w:sz="4" w:space="0" w:color="auto"/>
            </w:tcBorders>
            <w:hideMark/>
          </w:tcPr>
          <w:p w14:paraId="699A6B69" w14:textId="77777777" w:rsidR="00227F6E" w:rsidRDefault="00227F6E" w:rsidP="00D0585C">
            <w:pPr>
              <w:pStyle w:val="Tabletext0"/>
            </w:pPr>
            <w:r>
              <w:t>$2,728.19</w:t>
            </w:r>
          </w:p>
        </w:tc>
        <w:tc>
          <w:tcPr>
            <w:tcW w:w="870" w:type="pct"/>
            <w:tcBorders>
              <w:top w:val="single" w:sz="4" w:space="0" w:color="auto"/>
              <w:left w:val="single" w:sz="4" w:space="0" w:color="auto"/>
              <w:bottom w:val="single" w:sz="4" w:space="0" w:color="auto"/>
              <w:right w:val="single" w:sz="4" w:space="0" w:color="auto"/>
            </w:tcBorders>
            <w:hideMark/>
          </w:tcPr>
          <w:p w14:paraId="641780C8" w14:textId="77777777" w:rsidR="00227F6E" w:rsidRDefault="00227F6E" w:rsidP="00D0585C">
            <w:pPr>
              <w:pStyle w:val="Tabletext0"/>
            </w:pPr>
            <w:r>
              <w:t>$3,113.18</w:t>
            </w:r>
          </w:p>
        </w:tc>
        <w:tc>
          <w:tcPr>
            <w:tcW w:w="872" w:type="pct"/>
            <w:tcBorders>
              <w:top w:val="single" w:sz="4" w:space="0" w:color="auto"/>
              <w:left w:val="single" w:sz="4" w:space="0" w:color="auto"/>
              <w:bottom w:val="single" w:sz="4" w:space="0" w:color="auto"/>
              <w:right w:val="single" w:sz="4" w:space="0" w:color="auto"/>
            </w:tcBorders>
            <w:hideMark/>
          </w:tcPr>
          <w:p w14:paraId="74B474E2" w14:textId="77777777" w:rsidR="00227F6E" w:rsidRDefault="00227F6E" w:rsidP="00D0585C">
            <w:pPr>
              <w:pStyle w:val="Tabletext0"/>
            </w:pPr>
            <w:r>
              <w:t>$3,552.50</w:t>
            </w:r>
          </w:p>
        </w:tc>
      </w:tr>
      <w:tr w:rsidR="00227F6E" w14:paraId="1EC126CA" w14:textId="77777777" w:rsidTr="00227F6E">
        <w:trPr>
          <w:cantSplit/>
          <w:trHeight w:val="283"/>
        </w:trPr>
        <w:tc>
          <w:tcPr>
            <w:tcW w:w="5000" w:type="pct"/>
            <w:gridSpan w:val="6"/>
            <w:tcBorders>
              <w:top w:val="single" w:sz="4" w:space="0" w:color="auto"/>
              <w:left w:val="single" w:sz="4" w:space="0" w:color="auto"/>
              <w:bottom w:val="single" w:sz="4" w:space="0" w:color="auto"/>
              <w:right w:val="single" w:sz="4" w:space="0" w:color="auto"/>
            </w:tcBorders>
          </w:tcPr>
          <w:p w14:paraId="3BD613C4" w14:textId="3162449A" w:rsidR="00227F6E" w:rsidRPr="00D0585C" w:rsidRDefault="00227F6E" w:rsidP="00D0585C">
            <w:pPr>
              <w:pStyle w:val="Tabletext0"/>
              <w:rPr>
                <w:b/>
                <w:bCs/>
              </w:rPr>
            </w:pPr>
            <w:r w:rsidRPr="00D0585C">
              <w:rPr>
                <w:b/>
                <w:bCs/>
              </w:rPr>
              <w:t>Lower growth of ERCP on the MBS (3.69%, base case 3.74%)</w:t>
            </w:r>
          </w:p>
        </w:tc>
      </w:tr>
      <w:tr w:rsidR="00227F6E" w14:paraId="7148B9B6" w14:textId="77777777" w:rsidTr="00227F6E">
        <w:trPr>
          <w:cantSplit/>
          <w:trHeight w:val="283"/>
        </w:trPr>
        <w:tc>
          <w:tcPr>
            <w:tcW w:w="795" w:type="pct"/>
            <w:tcBorders>
              <w:top w:val="single" w:sz="4" w:space="0" w:color="auto"/>
              <w:left w:val="single" w:sz="4" w:space="0" w:color="auto"/>
              <w:bottom w:val="single" w:sz="4" w:space="0" w:color="auto"/>
              <w:right w:val="single" w:sz="4" w:space="0" w:color="auto"/>
            </w:tcBorders>
            <w:hideMark/>
          </w:tcPr>
          <w:p w14:paraId="5AA9BD05" w14:textId="77777777" w:rsidR="00227F6E" w:rsidRDefault="00227F6E" w:rsidP="00D0585C">
            <w:pPr>
              <w:pStyle w:val="Tabletext0"/>
            </w:pPr>
            <w:r>
              <w:t>$2,183.50</w:t>
            </w:r>
          </w:p>
        </w:tc>
        <w:tc>
          <w:tcPr>
            <w:tcW w:w="796" w:type="pct"/>
            <w:tcBorders>
              <w:top w:val="single" w:sz="4" w:space="0" w:color="auto"/>
              <w:left w:val="single" w:sz="4" w:space="0" w:color="auto"/>
              <w:bottom w:val="single" w:sz="4" w:space="0" w:color="auto"/>
              <w:right w:val="single" w:sz="4" w:space="0" w:color="auto"/>
            </w:tcBorders>
            <w:hideMark/>
          </w:tcPr>
          <w:p w14:paraId="3CC551A4" w14:textId="77777777" w:rsidR="00227F6E" w:rsidRDefault="00227F6E" w:rsidP="00D0585C">
            <w:pPr>
              <w:pStyle w:val="Tabletext0"/>
            </w:pPr>
            <w:r>
              <w:t>$2,965.90</w:t>
            </w:r>
          </w:p>
        </w:tc>
        <w:tc>
          <w:tcPr>
            <w:tcW w:w="796" w:type="pct"/>
            <w:tcBorders>
              <w:top w:val="single" w:sz="4" w:space="0" w:color="auto"/>
              <w:left w:val="single" w:sz="4" w:space="0" w:color="auto"/>
              <w:bottom w:val="single" w:sz="4" w:space="0" w:color="auto"/>
              <w:right w:val="single" w:sz="4" w:space="0" w:color="auto"/>
            </w:tcBorders>
            <w:hideMark/>
          </w:tcPr>
          <w:p w14:paraId="78D9DED6" w14:textId="77777777" w:rsidR="00227F6E" w:rsidRDefault="00227F6E" w:rsidP="00D0585C">
            <w:pPr>
              <w:pStyle w:val="Tabletext0"/>
            </w:pPr>
            <w:r>
              <w:t>$4,028.66</w:t>
            </w:r>
          </w:p>
        </w:tc>
        <w:tc>
          <w:tcPr>
            <w:tcW w:w="870" w:type="pct"/>
            <w:tcBorders>
              <w:top w:val="single" w:sz="4" w:space="0" w:color="auto"/>
              <w:left w:val="single" w:sz="4" w:space="0" w:color="auto"/>
              <w:bottom w:val="single" w:sz="4" w:space="0" w:color="auto"/>
              <w:right w:val="single" w:sz="4" w:space="0" w:color="auto"/>
            </w:tcBorders>
            <w:hideMark/>
          </w:tcPr>
          <w:p w14:paraId="5946A4E9" w14:textId="77777777" w:rsidR="00227F6E" w:rsidRDefault="00227F6E" w:rsidP="00D0585C">
            <w:pPr>
              <w:pStyle w:val="Tabletext0"/>
            </w:pPr>
            <w:r>
              <w:t>$5,472.23</w:t>
            </w:r>
          </w:p>
        </w:tc>
        <w:tc>
          <w:tcPr>
            <w:tcW w:w="870" w:type="pct"/>
            <w:tcBorders>
              <w:top w:val="single" w:sz="4" w:space="0" w:color="auto"/>
              <w:left w:val="single" w:sz="4" w:space="0" w:color="auto"/>
              <w:bottom w:val="single" w:sz="4" w:space="0" w:color="auto"/>
              <w:right w:val="single" w:sz="4" w:space="0" w:color="auto"/>
            </w:tcBorders>
            <w:hideMark/>
          </w:tcPr>
          <w:p w14:paraId="06317183" w14:textId="77777777" w:rsidR="00227F6E" w:rsidRDefault="00227F6E" w:rsidP="00D0585C">
            <w:pPr>
              <w:pStyle w:val="Tabletext0"/>
            </w:pPr>
            <w:r>
              <w:t>$7,433.06</w:t>
            </w:r>
          </w:p>
        </w:tc>
        <w:tc>
          <w:tcPr>
            <w:tcW w:w="872" w:type="pct"/>
            <w:tcBorders>
              <w:top w:val="single" w:sz="4" w:space="0" w:color="auto"/>
              <w:left w:val="single" w:sz="4" w:space="0" w:color="auto"/>
              <w:bottom w:val="single" w:sz="4" w:space="0" w:color="auto"/>
              <w:right w:val="single" w:sz="4" w:space="0" w:color="auto"/>
            </w:tcBorders>
            <w:hideMark/>
          </w:tcPr>
          <w:p w14:paraId="31DC7386" w14:textId="77777777" w:rsidR="00227F6E" w:rsidRDefault="00227F6E" w:rsidP="00D0585C">
            <w:pPr>
              <w:pStyle w:val="Tabletext0"/>
            </w:pPr>
            <w:r>
              <w:t>$10,096.52</w:t>
            </w:r>
          </w:p>
        </w:tc>
      </w:tr>
      <w:tr w:rsidR="00227F6E" w14:paraId="01EEBD24" w14:textId="77777777" w:rsidTr="00227F6E">
        <w:trPr>
          <w:cantSplit/>
          <w:trHeight w:val="283"/>
        </w:trPr>
        <w:tc>
          <w:tcPr>
            <w:tcW w:w="5000" w:type="pct"/>
            <w:gridSpan w:val="6"/>
            <w:tcBorders>
              <w:top w:val="single" w:sz="4" w:space="0" w:color="auto"/>
              <w:left w:val="single" w:sz="4" w:space="0" w:color="auto"/>
              <w:bottom w:val="single" w:sz="4" w:space="0" w:color="auto"/>
              <w:right w:val="single" w:sz="4" w:space="0" w:color="auto"/>
            </w:tcBorders>
          </w:tcPr>
          <w:p w14:paraId="70A841BC" w14:textId="734A24BD" w:rsidR="00227F6E" w:rsidRPr="00D0585C" w:rsidRDefault="00227F6E" w:rsidP="00D0585C">
            <w:pPr>
              <w:pStyle w:val="Tabletext0"/>
              <w:rPr>
                <w:b/>
                <w:bCs/>
              </w:rPr>
            </w:pPr>
            <w:r w:rsidRPr="00D0585C">
              <w:rPr>
                <w:b/>
                <w:bCs/>
              </w:rPr>
              <w:t xml:space="preserve">Indeterminant biliary strictures population (base case </w:t>
            </w:r>
            <w:r>
              <w:rPr>
                <w:b/>
                <w:bCs/>
              </w:rPr>
              <w:t xml:space="preserve">: 2.23% of </w:t>
            </w:r>
            <w:r w:rsidRPr="00D0585C">
              <w:rPr>
                <w:b/>
                <w:bCs/>
              </w:rPr>
              <w:t>ERCP procedures on MBS</w:t>
            </w:r>
            <w:r>
              <w:rPr>
                <w:b/>
                <w:bCs/>
              </w:rPr>
              <w:t xml:space="preserve"> - </w:t>
            </w:r>
            <w:r w:rsidRPr="0016650D">
              <w:rPr>
                <w:b/>
                <w:bCs/>
              </w:rPr>
              <w:t>203 patients in 2022</w:t>
            </w:r>
            <w:r w:rsidRPr="00D0585C">
              <w:rPr>
                <w:b/>
                <w:bCs/>
              </w:rPr>
              <w:t>)</w:t>
            </w:r>
          </w:p>
        </w:tc>
      </w:tr>
      <w:tr w:rsidR="00227F6E" w14:paraId="4DC4F704" w14:textId="77777777" w:rsidTr="00227F6E">
        <w:trPr>
          <w:cantSplit/>
          <w:trHeight w:val="283"/>
        </w:trPr>
        <w:tc>
          <w:tcPr>
            <w:tcW w:w="5000" w:type="pct"/>
            <w:gridSpan w:val="6"/>
            <w:tcBorders>
              <w:top w:val="single" w:sz="4" w:space="0" w:color="auto"/>
              <w:left w:val="single" w:sz="4" w:space="0" w:color="auto"/>
              <w:bottom w:val="single" w:sz="4" w:space="0" w:color="auto"/>
              <w:right w:val="single" w:sz="4" w:space="0" w:color="auto"/>
            </w:tcBorders>
          </w:tcPr>
          <w:p w14:paraId="60E1B40B" w14:textId="534EDB8A" w:rsidR="00227F6E" w:rsidRDefault="00227F6E" w:rsidP="00D0585C">
            <w:pPr>
              <w:pStyle w:val="Tabletext0"/>
            </w:pPr>
            <w:r>
              <w:t>Smaller population (only where ERCP is co-claimed with biopsy, 50 patients in 2022)</w:t>
            </w:r>
          </w:p>
        </w:tc>
      </w:tr>
      <w:tr w:rsidR="00227F6E" w14:paraId="09F23A43" w14:textId="77777777" w:rsidTr="00227F6E">
        <w:trPr>
          <w:cantSplit/>
          <w:trHeight w:val="283"/>
        </w:trPr>
        <w:tc>
          <w:tcPr>
            <w:tcW w:w="795" w:type="pct"/>
            <w:tcBorders>
              <w:top w:val="single" w:sz="4" w:space="0" w:color="auto"/>
              <w:left w:val="single" w:sz="4" w:space="0" w:color="auto"/>
              <w:bottom w:val="single" w:sz="4" w:space="0" w:color="auto"/>
              <w:right w:val="single" w:sz="4" w:space="0" w:color="auto"/>
            </w:tcBorders>
            <w:hideMark/>
          </w:tcPr>
          <w:p w14:paraId="1C906D54" w14:textId="77777777" w:rsidR="00227F6E" w:rsidRDefault="00227F6E" w:rsidP="00D0585C">
            <w:pPr>
              <w:pStyle w:val="Tabletext0"/>
              <w:rPr>
                <w:noProof/>
              </w:rPr>
            </w:pPr>
            <w:r>
              <w:t>$534.91</w:t>
            </w:r>
          </w:p>
        </w:tc>
        <w:tc>
          <w:tcPr>
            <w:tcW w:w="796" w:type="pct"/>
            <w:tcBorders>
              <w:top w:val="single" w:sz="4" w:space="0" w:color="auto"/>
              <w:left w:val="single" w:sz="4" w:space="0" w:color="auto"/>
              <w:bottom w:val="single" w:sz="4" w:space="0" w:color="auto"/>
              <w:right w:val="single" w:sz="4" w:space="0" w:color="auto"/>
            </w:tcBorders>
            <w:hideMark/>
          </w:tcPr>
          <w:p w14:paraId="6BBEFA4B" w14:textId="77777777" w:rsidR="00227F6E" w:rsidRDefault="00227F6E" w:rsidP="00D0585C">
            <w:pPr>
              <w:pStyle w:val="Tabletext0"/>
              <w:rPr>
                <w:noProof/>
              </w:rPr>
            </w:pPr>
            <w:r>
              <w:t>$726.92</w:t>
            </w:r>
          </w:p>
        </w:tc>
        <w:tc>
          <w:tcPr>
            <w:tcW w:w="796" w:type="pct"/>
            <w:tcBorders>
              <w:top w:val="single" w:sz="4" w:space="0" w:color="auto"/>
              <w:left w:val="single" w:sz="4" w:space="0" w:color="auto"/>
              <w:bottom w:val="single" w:sz="4" w:space="0" w:color="auto"/>
              <w:right w:val="single" w:sz="4" w:space="0" w:color="auto"/>
            </w:tcBorders>
            <w:hideMark/>
          </w:tcPr>
          <w:p w14:paraId="1894F3BA" w14:textId="77777777" w:rsidR="00227F6E" w:rsidRDefault="00227F6E" w:rsidP="00D0585C">
            <w:pPr>
              <w:pStyle w:val="Tabletext0"/>
              <w:rPr>
                <w:noProof/>
              </w:rPr>
            </w:pPr>
            <w:r>
              <w:t>$987.86</w:t>
            </w:r>
          </w:p>
        </w:tc>
        <w:tc>
          <w:tcPr>
            <w:tcW w:w="870" w:type="pct"/>
            <w:tcBorders>
              <w:top w:val="single" w:sz="4" w:space="0" w:color="auto"/>
              <w:left w:val="single" w:sz="4" w:space="0" w:color="auto"/>
              <w:bottom w:val="single" w:sz="4" w:space="0" w:color="auto"/>
              <w:right w:val="single" w:sz="4" w:space="0" w:color="auto"/>
            </w:tcBorders>
            <w:hideMark/>
          </w:tcPr>
          <w:p w14:paraId="2556F060" w14:textId="77777777" w:rsidR="00227F6E" w:rsidRDefault="00227F6E" w:rsidP="00D0585C">
            <w:pPr>
              <w:pStyle w:val="Tabletext0"/>
              <w:rPr>
                <w:noProof/>
              </w:rPr>
            </w:pPr>
            <w:r>
              <w:t>$1,342.47</w:t>
            </w:r>
          </w:p>
        </w:tc>
        <w:tc>
          <w:tcPr>
            <w:tcW w:w="870" w:type="pct"/>
            <w:tcBorders>
              <w:top w:val="single" w:sz="4" w:space="0" w:color="auto"/>
              <w:left w:val="single" w:sz="4" w:space="0" w:color="auto"/>
              <w:bottom w:val="single" w:sz="4" w:space="0" w:color="auto"/>
              <w:right w:val="single" w:sz="4" w:space="0" w:color="auto"/>
            </w:tcBorders>
            <w:hideMark/>
          </w:tcPr>
          <w:p w14:paraId="1350697F" w14:textId="77777777" w:rsidR="00227F6E" w:rsidRDefault="00227F6E" w:rsidP="00D0585C">
            <w:pPr>
              <w:pStyle w:val="Tabletext0"/>
              <w:rPr>
                <w:noProof/>
              </w:rPr>
            </w:pPr>
            <w:r>
              <w:t>$1,824.36</w:t>
            </w:r>
          </w:p>
        </w:tc>
        <w:tc>
          <w:tcPr>
            <w:tcW w:w="872" w:type="pct"/>
            <w:tcBorders>
              <w:top w:val="single" w:sz="4" w:space="0" w:color="auto"/>
              <w:left w:val="single" w:sz="4" w:space="0" w:color="auto"/>
              <w:bottom w:val="single" w:sz="4" w:space="0" w:color="auto"/>
              <w:right w:val="single" w:sz="4" w:space="0" w:color="auto"/>
            </w:tcBorders>
            <w:hideMark/>
          </w:tcPr>
          <w:p w14:paraId="0EEBDFB7" w14:textId="77777777" w:rsidR="00227F6E" w:rsidRDefault="00227F6E" w:rsidP="00D0585C">
            <w:pPr>
              <w:pStyle w:val="Tabletext0"/>
              <w:rPr>
                <w:noProof/>
              </w:rPr>
            </w:pPr>
            <w:r>
              <w:t>$2,479.24</w:t>
            </w:r>
          </w:p>
        </w:tc>
      </w:tr>
      <w:tr w:rsidR="00227F6E" w14:paraId="3DDC81BB" w14:textId="77777777" w:rsidTr="00227F6E">
        <w:trPr>
          <w:cantSplit/>
          <w:trHeight w:val="283"/>
        </w:trPr>
        <w:tc>
          <w:tcPr>
            <w:tcW w:w="5000" w:type="pct"/>
            <w:gridSpan w:val="6"/>
            <w:tcBorders>
              <w:top w:val="single" w:sz="4" w:space="0" w:color="auto"/>
              <w:left w:val="single" w:sz="4" w:space="0" w:color="auto"/>
              <w:bottom w:val="single" w:sz="4" w:space="0" w:color="auto"/>
              <w:right w:val="single" w:sz="4" w:space="0" w:color="auto"/>
            </w:tcBorders>
          </w:tcPr>
          <w:p w14:paraId="1B16342E" w14:textId="0251E7E6" w:rsidR="00227F6E" w:rsidRDefault="00227F6E" w:rsidP="00D0585C">
            <w:pPr>
              <w:pStyle w:val="Tabletext0"/>
            </w:pPr>
            <w:r w:rsidRPr="0016650D">
              <w:rPr>
                <w:b/>
                <w:bCs/>
              </w:rPr>
              <w:t>Larger population (4.20% of</w:t>
            </w:r>
            <w:r>
              <w:rPr>
                <w:b/>
                <w:bCs/>
              </w:rPr>
              <w:t xml:space="preserve"> </w:t>
            </w:r>
            <w:r w:rsidRPr="00D0585C">
              <w:rPr>
                <w:b/>
                <w:bCs/>
              </w:rPr>
              <w:t>ERCP procedures on MBS</w:t>
            </w:r>
            <w:r>
              <w:rPr>
                <w:b/>
                <w:bCs/>
              </w:rPr>
              <w:t xml:space="preserve"> - 406</w:t>
            </w:r>
            <w:r w:rsidRPr="0016650D">
              <w:rPr>
                <w:b/>
                <w:bCs/>
              </w:rPr>
              <w:t xml:space="preserve"> patients in 2022</w:t>
            </w:r>
            <w:r w:rsidRPr="00D0585C">
              <w:rPr>
                <w:b/>
                <w:bCs/>
              </w:rPr>
              <w:t>)</w:t>
            </w:r>
          </w:p>
        </w:tc>
      </w:tr>
      <w:tr w:rsidR="00227F6E" w14:paraId="0710B1EB" w14:textId="77777777" w:rsidTr="00227F6E">
        <w:trPr>
          <w:cantSplit/>
          <w:trHeight w:val="283"/>
        </w:trPr>
        <w:tc>
          <w:tcPr>
            <w:tcW w:w="795" w:type="pct"/>
            <w:tcBorders>
              <w:top w:val="single" w:sz="4" w:space="0" w:color="auto"/>
              <w:left w:val="single" w:sz="4" w:space="0" w:color="auto"/>
              <w:bottom w:val="single" w:sz="4" w:space="0" w:color="auto"/>
              <w:right w:val="single" w:sz="4" w:space="0" w:color="auto"/>
            </w:tcBorders>
            <w:hideMark/>
          </w:tcPr>
          <w:p w14:paraId="3E16843C" w14:textId="77777777" w:rsidR="00227F6E" w:rsidRDefault="00227F6E" w:rsidP="00D0585C">
            <w:pPr>
              <w:pStyle w:val="Tabletext0"/>
            </w:pPr>
            <w:r>
              <w:t>$4,373.16</w:t>
            </w:r>
          </w:p>
        </w:tc>
        <w:tc>
          <w:tcPr>
            <w:tcW w:w="796" w:type="pct"/>
            <w:tcBorders>
              <w:top w:val="single" w:sz="4" w:space="0" w:color="auto"/>
              <w:left w:val="single" w:sz="4" w:space="0" w:color="auto"/>
              <w:bottom w:val="single" w:sz="4" w:space="0" w:color="auto"/>
              <w:right w:val="single" w:sz="4" w:space="0" w:color="auto"/>
            </w:tcBorders>
            <w:hideMark/>
          </w:tcPr>
          <w:p w14:paraId="00DBC173" w14:textId="77777777" w:rsidR="00227F6E" w:rsidRDefault="00227F6E" w:rsidP="00D0585C">
            <w:pPr>
              <w:pStyle w:val="Tabletext0"/>
            </w:pPr>
            <w:r>
              <w:t>$5,942.97</w:t>
            </w:r>
          </w:p>
        </w:tc>
        <w:tc>
          <w:tcPr>
            <w:tcW w:w="796" w:type="pct"/>
            <w:tcBorders>
              <w:top w:val="single" w:sz="4" w:space="0" w:color="auto"/>
              <w:left w:val="single" w:sz="4" w:space="0" w:color="auto"/>
              <w:bottom w:val="single" w:sz="4" w:space="0" w:color="auto"/>
              <w:right w:val="single" w:sz="4" w:space="0" w:color="auto"/>
            </w:tcBorders>
            <w:hideMark/>
          </w:tcPr>
          <w:p w14:paraId="09990F7B" w14:textId="77777777" w:rsidR="00227F6E" w:rsidRDefault="00227F6E" w:rsidP="00D0585C">
            <w:pPr>
              <w:pStyle w:val="Tabletext0"/>
            </w:pPr>
            <w:r>
              <w:t>$8,076.28</w:t>
            </w:r>
          </w:p>
        </w:tc>
        <w:tc>
          <w:tcPr>
            <w:tcW w:w="870" w:type="pct"/>
            <w:tcBorders>
              <w:top w:val="single" w:sz="4" w:space="0" w:color="auto"/>
              <w:left w:val="single" w:sz="4" w:space="0" w:color="auto"/>
              <w:bottom w:val="single" w:sz="4" w:space="0" w:color="auto"/>
              <w:right w:val="single" w:sz="4" w:space="0" w:color="auto"/>
            </w:tcBorders>
            <w:hideMark/>
          </w:tcPr>
          <w:p w14:paraId="4FF385BA" w14:textId="77777777" w:rsidR="00227F6E" w:rsidRDefault="00227F6E" w:rsidP="00D0585C">
            <w:pPr>
              <w:pStyle w:val="Tabletext0"/>
            </w:pPr>
            <w:r>
              <w:t>$10,975.38</w:t>
            </w:r>
          </w:p>
        </w:tc>
        <w:tc>
          <w:tcPr>
            <w:tcW w:w="870" w:type="pct"/>
            <w:tcBorders>
              <w:top w:val="single" w:sz="4" w:space="0" w:color="auto"/>
              <w:left w:val="single" w:sz="4" w:space="0" w:color="auto"/>
              <w:bottom w:val="single" w:sz="4" w:space="0" w:color="auto"/>
              <w:right w:val="single" w:sz="4" w:space="0" w:color="auto"/>
            </w:tcBorders>
            <w:hideMark/>
          </w:tcPr>
          <w:p w14:paraId="4C5DFDB5" w14:textId="77777777" w:rsidR="00227F6E" w:rsidRDefault="00227F6E" w:rsidP="00D0585C">
            <w:pPr>
              <w:pStyle w:val="Tabletext0"/>
            </w:pPr>
            <w:r>
              <w:t>$14,915.15</w:t>
            </w:r>
          </w:p>
        </w:tc>
        <w:tc>
          <w:tcPr>
            <w:tcW w:w="872" w:type="pct"/>
            <w:tcBorders>
              <w:top w:val="single" w:sz="4" w:space="0" w:color="auto"/>
              <w:left w:val="single" w:sz="4" w:space="0" w:color="auto"/>
              <w:bottom w:val="single" w:sz="4" w:space="0" w:color="auto"/>
              <w:right w:val="single" w:sz="4" w:space="0" w:color="auto"/>
            </w:tcBorders>
            <w:hideMark/>
          </w:tcPr>
          <w:p w14:paraId="4CDAF5B3" w14:textId="77777777" w:rsidR="00227F6E" w:rsidRDefault="00227F6E" w:rsidP="00D0585C">
            <w:pPr>
              <w:pStyle w:val="Tabletext0"/>
            </w:pPr>
            <w:r>
              <w:t>$20,269.15</w:t>
            </w:r>
          </w:p>
        </w:tc>
      </w:tr>
      <w:tr w:rsidR="00227F6E" w14:paraId="4042C04C" w14:textId="77777777" w:rsidTr="00227F6E">
        <w:trPr>
          <w:cantSplit/>
          <w:trHeight w:val="283"/>
        </w:trPr>
        <w:tc>
          <w:tcPr>
            <w:tcW w:w="5000" w:type="pct"/>
            <w:gridSpan w:val="6"/>
            <w:tcBorders>
              <w:top w:val="single" w:sz="4" w:space="0" w:color="auto"/>
              <w:left w:val="single" w:sz="4" w:space="0" w:color="auto"/>
              <w:bottom w:val="single" w:sz="4" w:space="0" w:color="auto"/>
              <w:right w:val="single" w:sz="4" w:space="0" w:color="auto"/>
            </w:tcBorders>
          </w:tcPr>
          <w:p w14:paraId="02FD08AE" w14:textId="27453EBB" w:rsidR="00227F6E" w:rsidRPr="00095C85" w:rsidRDefault="00227F6E" w:rsidP="00D0585C">
            <w:pPr>
              <w:pStyle w:val="Tabletext0"/>
              <w:rPr>
                <w:b/>
                <w:bCs/>
              </w:rPr>
            </w:pPr>
            <w:r w:rsidRPr="00095C85">
              <w:rPr>
                <w:b/>
                <w:bCs/>
              </w:rPr>
              <w:t>POCPS MBS fee = ERCP MBS fee</w:t>
            </w:r>
          </w:p>
        </w:tc>
      </w:tr>
      <w:tr w:rsidR="00227F6E" w14:paraId="7339348A" w14:textId="77777777" w:rsidTr="00227F6E">
        <w:trPr>
          <w:cantSplit/>
          <w:trHeight w:val="283"/>
        </w:trPr>
        <w:tc>
          <w:tcPr>
            <w:tcW w:w="795" w:type="pct"/>
            <w:tcBorders>
              <w:top w:val="single" w:sz="4" w:space="0" w:color="auto"/>
              <w:left w:val="single" w:sz="4" w:space="0" w:color="auto"/>
              <w:bottom w:val="single" w:sz="4" w:space="0" w:color="auto"/>
              <w:right w:val="single" w:sz="4" w:space="0" w:color="auto"/>
            </w:tcBorders>
          </w:tcPr>
          <w:p w14:paraId="54745B4C" w14:textId="0826A1D6" w:rsidR="00227F6E" w:rsidRDefault="00227F6E" w:rsidP="00227F6E">
            <w:pPr>
              <w:pStyle w:val="Tabletext0"/>
            </w:pPr>
            <w:r w:rsidRPr="005A2290">
              <w:t>-$3,055.70</w:t>
            </w:r>
          </w:p>
        </w:tc>
        <w:tc>
          <w:tcPr>
            <w:tcW w:w="796" w:type="pct"/>
            <w:tcBorders>
              <w:top w:val="single" w:sz="4" w:space="0" w:color="auto"/>
              <w:left w:val="single" w:sz="4" w:space="0" w:color="auto"/>
              <w:bottom w:val="single" w:sz="4" w:space="0" w:color="auto"/>
              <w:right w:val="single" w:sz="4" w:space="0" w:color="auto"/>
            </w:tcBorders>
          </w:tcPr>
          <w:p w14:paraId="0EDF63AE" w14:textId="4D1B42BE" w:rsidR="00227F6E" w:rsidRDefault="00227F6E" w:rsidP="00227F6E">
            <w:pPr>
              <w:pStyle w:val="Tabletext0"/>
            </w:pPr>
            <w:r w:rsidRPr="005A2290">
              <w:t>-$4,152.58</w:t>
            </w:r>
          </w:p>
        </w:tc>
        <w:tc>
          <w:tcPr>
            <w:tcW w:w="796" w:type="pct"/>
            <w:tcBorders>
              <w:top w:val="single" w:sz="4" w:space="0" w:color="auto"/>
              <w:left w:val="single" w:sz="4" w:space="0" w:color="auto"/>
              <w:bottom w:val="single" w:sz="4" w:space="0" w:color="auto"/>
              <w:right w:val="single" w:sz="4" w:space="0" w:color="auto"/>
            </w:tcBorders>
          </w:tcPr>
          <w:p w14:paraId="2AFFC15C" w14:textId="29DC4F1D" w:rsidR="00227F6E" w:rsidRDefault="00227F6E" w:rsidP="00227F6E">
            <w:pPr>
              <w:pStyle w:val="Tabletext0"/>
            </w:pPr>
            <w:r w:rsidRPr="005A2290">
              <w:t>-$5,643.21</w:t>
            </w:r>
          </w:p>
        </w:tc>
        <w:tc>
          <w:tcPr>
            <w:tcW w:w="870" w:type="pct"/>
            <w:tcBorders>
              <w:top w:val="single" w:sz="4" w:space="0" w:color="auto"/>
              <w:left w:val="single" w:sz="4" w:space="0" w:color="auto"/>
              <w:bottom w:val="single" w:sz="4" w:space="0" w:color="auto"/>
              <w:right w:val="single" w:sz="4" w:space="0" w:color="auto"/>
            </w:tcBorders>
          </w:tcPr>
          <w:p w14:paraId="30A9B446" w14:textId="03D3C815" w:rsidR="00227F6E" w:rsidRDefault="00227F6E" w:rsidP="00227F6E">
            <w:pPr>
              <w:pStyle w:val="Tabletext0"/>
            </w:pPr>
            <w:r w:rsidRPr="005A2290">
              <w:t>-$7,668.92</w:t>
            </w:r>
          </w:p>
        </w:tc>
        <w:tc>
          <w:tcPr>
            <w:tcW w:w="870" w:type="pct"/>
            <w:tcBorders>
              <w:top w:val="single" w:sz="4" w:space="0" w:color="auto"/>
              <w:left w:val="single" w:sz="4" w:space="0" w:color="auto"/>
              <w:bottom w:val="single" w:sz="4" w:space="0" w:color="auto"/>
              <w:right w:val="single" w:sz="4" w:space="0" w:color="auto"/>
            </w:tcBorders>
          </w:tcPr>
          <w:p w14:paraId="7975B0B3" w14:textId="6EAF781C" w:rsidR="00227F6E" w:rsidRDefault="00227F6E" w:rsidP="00227F6E">
            <w:pPr>
              <w:pStyle w:val="Tabletext0"/>
            </w:pPr>
            <w:r w:rsidRPr="005A2290">
              <w:t>-$10,421.79</w:t>
            </w:r>
          </w:p>
        </w:tc>
        <w:tc>
          <w:tcPr>
            <w:tcW w:w="872" w:type="pct"/>
            <w:tcBorders>
              <w:top w:val="single" w:sz="4" w:space="0" w:color="auto"/>
              <w:left w:val="single" w:sz="4" w:space="0" w:color="auto"/>
              <w:bottom w:val="single" w:sz="4" w:space="0" w:color="auto"/>
              <w:right w:val="single" w:sz="4" w:space="0" w:color="auto"/>
            </w:tcBorders>
          </w:tcPr>
          <w:p w14:paraId="3308C9F9" w14:textId="5C9FCA00" w:rsidR="00227F6E" w:rsidRDefault="00227F6E" w:rsidP="00227F6E">
            <w:pPr>
              <w:pStyle w:val="Tabletext0"/>
            </w:pPr>
            <w:r w:rsidRPr="005A2290">
              <w:t>-$14,162.83</w:t>
            </w:r>
          </w:p>
        </w:tc>
      </w:tr>
    </w:tbl>
    <w:p w14:paraId="6968FBE2" w14:textId="466DF16C" w:rsidR="007B6DDB" w:rsidRPr="005A1E2A" w:rsidRDefault="007B6DDB" w:rsidP="000261C1">
      <w:pPr>
        <w:pStyle w:val="Tablenotes"/>
      </w:pPr>
      <w:r>
        <w:rPr>
          <w:rFonts w:eastAsiaTheme="minorHAnsi"/>
        </w:rPr>
        <w:t>Abbreviations: ERCP = endoscopic retrograde cholangiopancreatography-guided brush cytology/ intraductal biopsy; MBS = Medicare Benefits Schedule; POCPS = single operator, single use peroral cholangiopancreatoscopy-guided visualisation/biopsy</w:t>
      </w:r>
    </w:p>
    <w:p w14:paraId="7B9400DD" w14:textId="0BBCBAC2" w:rsidR="007B6DDB" w:rsidRPr="00CE28E3" w:rsidRDefault="007B6DDB" w:rsidP="00026D93">
      <w:pPr>
        <w:pStyle w:val="Heading2"/>
      </w:pPr>
      <w:r>
        <w:t>1</w:t>
      </w:r>
      <w:r w:rsidR="0015035D">
        <w:t>5</w:t>
      </w:r>
      <w:r>
        <w:t>.</w:t>
      </w:r>
      <w:r>
        <w:tab/>
      </w:r>
      <w:r w:rsidRPr="001A514D">
        <w:t>Other</w:t>
      </w:r>
      <w:r w:rsidRPr="00CE28E3">
        <w:t xml:space="preserve"> relevant </w:t>
      </w:r>
      <w:bookmarkEnd w:id="139"/>
      <w:r>
        <w:t>information</w:t>
      </w:r>
    </w:p>
    <w:p w14:paraId="499D9036" w14:textId="77777777" w:rsidR="00031FC0" w:rsidRPr="00031FC0" w:rsidRDefault="00031FC0" w:rsidP="00031FC0">
      <w:pPr>
        <w:pStyle w:val="Instructionaltext"/>
        <w:rPr>
          <w:color w:val="auto"/>
        </w:rPr>
      </w:pPr>
      <w:bookmarkStart w:id="163" w:name="_Toc69491428"/>
      <w:r w:rsidRPr="00031FC0">
        <w:rPr>
          <w:color w:val="auto"/>
        </w:rPr>
        <w:t>Nil</w:t>
      </w:r>
    </w:p>
    <w:p w14:paraId="4D756B6D" w14:textId="11E61AC6" w:rsidR="007B6DDB" w:rsidRDefault="007B6DDB" w:rsidP="0022618F">
      <w:pPr>
        <w:pStyle w:val="Heading2"/>
      </w:pPr>
      <w:r>
        <w:t>1</w:t>
      </w:r>
      <w:r w:rsidR="0015035D">
        <w:t>6</w:t>
      </w:r>
      <w:r>
        <w:t>.</w:t>
      </w:r>
      <w:r>
        <w:tab/>
      </w:r>
      <w:bookmarkEnd w:id="163"/>
      <w:r w:rsidR="0015035D" w:rsidRPr="0015035D">
        <w:t>Key Issues from ESC to MSAC</w:t>
      </w:r>
    </w:p>
    <w:tbl>
      <w:tblPr>
        <w:tblStyle w:val="TableGrid4"/>
        <w:tblW w:w="0" w:type="auto"/>
        <w:tblLook w:val="04A0" w:firstRow="1" w:lastRow="0" w:firstColumn="1" w:lastColumn="0" w:noHBand="0" w:noVBand="1"/>
      </w:tblPr>
      <w:tblGrid>
        <w:gridCol w:w="2093"/>
        <w:gridCol w:w="6923"/>
      </w:tblGrid>
      <w:tr w:rsidR="0015035D" w:rsidRPr="003B6853" w14:paraId="1102E92D" w14:textId="77777777" w:rsidTr="0015035D">
        <w:trPr>
          <w:cantSplit/>
          <w:tblHeader/>
        </w:trPr>
        <w:tc>
          <w:tcPr>
            <w:tcW w:w="2093" w:type="dxa"/>
          </w:tcPr>
          <w:p w14:paraId="510BFCA6" w14:textId="77777777" w:rsidR="0015035D" w:rsidRPr="003B6853" w:rsidRDefault="0015035D" w:rsidP="0015035D">
            <w:pPr>
              <w:spacing w:before="60" w:after="60"/>
              <w:rPr>
                <w:b/>
                <w:bCs/>
                <w:color w:val="000000"/>
                <w:sz w:val="21"/>
                <w:szCs w:val="21"/>
              </w:rPr>
            </w:pPr>
            <w:r w:rsidRPr="003B6853">
              <w:rPr>
                <w:b/>
                <w:bCs/>
                <w:color w:val="000000"/>
                <w:sz w:val="21"/>
                <w:szCs w:val="21"/>
              </w:rPr>
              <w:t>ESC key issue</w:t>
            </w:r>
          </w:p>
        </w:tc>
        <w:tc>
          <w:tcPr>
            <w:tcW w:w="6923" w:type="dxa"/>
          </w:tcPr>
          <w:p w14:paraId="53E84744" w14:textId="77777777" w:rsidR="0015035D" w:rsidRPr="003B6853" w:rsidRDefault="0015035D" w:rsidP="0015035D">
            <w:pPr>
              <w:spacing w:before="60" w:after="60"/>
              <w:rPr>
                <w:b/>
                <w:bCs/>
                <w:color w:val="000000"/>
                <w:sz w:val="21"/>
                <w:szCs w:val="21"/>
              </w:rPr>
            </w:pPr>
            <w:r w:rsidRPr="003B6853">
              <w:rPr>
                <w:b/>
                <w:bCs/>
                <w:color w:val="000000"/>
                <w:sz w:val="21"/>
                <w:szCs w:val="21"/>
              </w:rPr>
              <w:t>ESC advice to MSAC</w:t>
            </w:r>
          </w:p>
        </w:tc>
      </w:tr>
      <w:tr w:rsidR="0015035D" w:rsidRPr="003B6853" w14:paraId="47BB1471" w14:textId="77777777" w:rsidTr="0015035D">
        <w:trPr>
          <w:cantSplit/>
        </w:trPr>
        <w:tc>
          <w:tcPr>
            <w:tcW w:w="2093" w:type="dxa"/>
          </w:tcPr>
          <w:p w14:paraId="37B82549" w14:textId="77777777" w:rsidR="0015035D" w:rsidRPr="003B6853" w:rsidRDefault="0015035D" w:rsidP="0015035D">
            <w:pPr>
              <w:spacing w:before="60" w:after="60"/>
              <w:rPr>
                <w:color w:val="000000"/>
                <w:sz w:val="21"/>
                <w:szCs w:val="21"/>
              </w:rPr>
            </w:pPr>
            <w:r w:rsidRPr="003B6853">
              <w:rPr>
                <w:color w:val="000000"/>
                <w:sz w:val="21"/>
                <w:szCs w:val="21"/>
              </w:rPr>
              <w:t>Item descriptor</w:t>
            </w:r>
            <w:r>
              <w:rPr>
                <w:color w:val="000000"/>
                <w:sz w:val="21"/>
                <w:szCs w:val="21"/>
              </w:rPr>
              <w:t xml:space="preserve"> and MBS fee. </w:t>
            </w:r>
          </w:p>
        </w:tc>
        <w:tc>
          <w:tcPr>
            <w:tcW w:w="6923" w:type="dxa"/>
          </w:tcPr>
          <w:p w14:paraId="2E7B355E" w14:textId="77777777" w:rsidR="0015035D" w:rsidRPr="003B6853" w:rsidRDefault="0015035D" w:rsidP="0015035D">
            <w:pPr>
              <w:spacing w:before="60" w:after="60"/>
              <w:rPr>
                <w:color w:val="000000"/>
                <w:sz w:val="21"/>
                <w:szCs w:val="21"/>
              </w:rPr>
            </w:pPr>
            <w:r w:rsidRPr="003B6853">
              <w:rPr>
                <w:color w:val="000000"/>
                <w:sz w:val="21"/>
                <w:szCs w:val="21"/>
              </w:rPr>
              <w:t xml:space="preserve">The descriptor should include the frequency rule </w:t>
            </w:r>
            <w:r>
              <w:rPr>
                <w:color w:val="000000"/>
                <w:sz w:val="21"/>
                <w:szCs w:val="21"/>
              </w:rPr>
              <w:t xml:space="preserve">(as per the Ratified PICO) </w:t>
            </w:r>
            <w:r w:rsidRPr="003B6853">
              <w:rPr>
                <w:color w:val="000000"/>
                <w:sz w:val="21"/>
                <w:szCs w:val="21"/>
              </w:rPr>
              <w:t>and multiple operation rule</w:t>
            </w:r>
            <w:r>
              <w:rPr>
                <w:color w:val="000000"/>
                <w:sz w:val="21"/>
                <w:szCs w:val="21"/>
              </w:rPr>
              <w:t xml:space="preserve">. ESC considered that insufficient rationale had been provided to support the higher MBS fees for POCPS. ESC noted that POCPS involves the </w:t>
            </w:r>
            <w:r w:rsidRPr="00F37538">
              <w:rPr>
                <w:color w:val="000000"/>
                <w:sz w:val="21"/>
                <w:szCs w:val="21"/>
              </w:rPr>
              <w:t xml:space="preserve">use of an additional catheter during an </w:t>
            </w:r>
            <w:r w:rsidRPr="006C7514">
              <w:rPr>
                <w:color w:val="000000"/>
                <w:sz w:val="21"/>
                <w:szCs w:val="21"/>
              </w:rPr>
              <w:t>endoscopic retrograde cholangiopancreatography (ERCP)</w:t>
            </w:r>
            <w:r>
              <w:rPr>
                <w:color w:val="000000"/>
                <w:sz w:val="21"/>
                <w:szCs w:val="21"/>
              </w:rPr>
              <w:t xml:space="preserve">. Currently, ERCP has a flat MBS fee irrespective of complexity. ESC considered the diagnostic item </w:t>
            </w:r>
            <w:r w:rsidRPr="001A20B5">
              <w:rPr>
                <w:color w:val="000000"/>
                <w:sz w:val="21"/>
                <w:szCs w:val="21"/>
              </w:rPr>
              <w:t xml:space="preserve">should be under </w:t>
            </w:r>
            <w:r>
              <w:rPr>
                <w:color w:val="000000"/>
                <w:sz w:val="21"/>
                <w:szCs w:val="21"/>
              </w:rPr>
              <w:t xml:space="preserve">MBS </w:t>
            </w:r>
            <w:r w:rsidRPr="001A20B5">
              <w:rPr>
                <w:color w:val="000000"/>
                <w:sz w:val="21"/>
                <w:szCs w:val="21"/>
              </w:rPr>
              <w:t xml:space="preserve">category 3 </w:t>
            </w:r>
            <w:r>
              <w:rPr>
                <w:color w:val="000000"/>
                <w:sz w:val="21"/>
                <w:szCs w:val="21"/>
              </w:rPr>
              <w:t>(</w:t>
            </w:r>
            <w:r w:rsidRPr="001A20B5">
              <w:rPr>
                <w:color w:val="000000"/>
                <w:sz w:val="21"/>
                <w:szCs w:val="21"/>
              </w:rPr>
              <w:t>therapeutic procedures</w:t>
            </w:r>
            <w:r>
              <w:rPr>
                <w:color w:val="000000"/>
                <w:sz w:val="21"/>
                <w:szCs w:val="21"/>
              </w:rPr>
              <w:t xml:space="preserve">) and </w:t>
            </w:r>
            <w:r w:rsidRPr="001A20B5">
              <w:rPr>
                <w:color w:val="000000"/>
                <w:sz w:val="21"/>
                <w:szCs w:val="21"/>
              </w:rPr>
              <w:t>subject to the multiple operation rule</w:t>
            </w:r>
            <w:r>
              <w:rPr>
                <w:color w:val="000000"/>
                <w:sz w:val="21"/>
                <w:szCs w:val="21"/>
              </w:rPr>
              <w:t>.</w:t>
            </w:r>
          </w:p>
        </w:tc>
      </w:tr>
      <w:tr w:rsidR="0015035D" w:rsidRPr="003B6853" w14:paraId="4F0E7B49" w14:textId="77777777" w:rsidTr="0015035D">
        <w:trPr>
          <w:cantSplit/>
        </w:trPr>
        <w:tc>
          <w:tcPr>
            <w:tcW w:w="2093" w:type="dxa"/>
          </w:tcPr>
          <w:p w14:paraId="6F0BFCDA" w14:textId="77777777" w:rsidR="0015035D" w:rsidRDefault="0015035D" w:rsidP="0015035D">
            <w:pPr>
              <w:spacing w:before="60" w:after="60"/>
              <w:rPr>
                <w:color w:val="000000"/>
                <w:sz w:val="21"/>
                <w:szCs w:val="21"/>
              </w:rPr>
            </w:pPr>
            <w:r>
              <w:rPr>
                <w:color w:val="000000"/>
                <w:sz w:val="21"/>
                <w:szCs w:val="21"/>
              </w:rPr>
              <w:t>Comparative safety</w:t>
            </w:r>
          </w:p>
        </w:tc>
        <w:tc>
          <w:tcPr>
            <w:tcW w:w="6923" w:type="dxa"/>
          </w:tcPr>
          <w:p w14:paraId="39F0342D" w14:textId="77777777" w:rsidR="0015035D" w:rsidRPr="003B6853" w:rsidRDefault="0015035D" w:rsidP="0015035D">
            <w:pPr>
              <w:spacing w:before="60" w:after="60"/>
              <w:rPr>
                <w:color w:val="000000"/>
                <w:sz w:val="21"/>
                <w:szCs w:val="21"/>
              </w:rPr>
            </w:pPr>
            <w:r>
              <w:rPr>
                <w:color w:val="000000"/>
                <w:sz w:val="21"/>
                <w:szCs w:val="21"/>
              </w:rPr>
              <w:t xml:space="preserve">The direct comparative evidence consisted of small studies that lacked systematically collected information on harms and therefore data on harms is lacking. ESC considered more detailed adverse event data from the indirect non-comparative studies could support the claim of non-inferior safety. </w:t>
            </w:r>
            <w:r w:rsidRPr="003B6853">
              <w:rPr>
                <w:color w:val="000000"/>
                <w:sz w:val="21"/>
                <w:szCs w:val="21"/>
              </w:rPr>
              <w:t>These data are important as there are known safety issues with this procedure (e.g. pancreatitis and cholangitis).</w:t>
            </w:r>
          </w:p>
        </w:tc>
      </w:tr>
      <w:tr w:rsidR="0015035D" w:rsidRPr="003B6853" w14:paraId="2677662E" w14:textId="77777777" w:rsidTr="0015035D">
        <w:trPr>
          <w:cantSplit/>
        </w:trPr>
        <w:tc>
          <w:tcPr>
            <w:tcW w:w="2093" w:type="dxa"/>
          </w:tcPr>
          <w:p w14:paraId="799C90A8" w14:textId="77777777" w:rsidR="0015035D" w:rsidRPr="003B6853" w:rsidRDefault="0015035D" w:rsidP="0015035D">
            <w:pPr>
              <w:spacing w:before="60" w:after="60"/>
              <w:rPr>
                <w:color w:val="000000"/>
                <w:sz w:val="21"/>
                <w:szCs w:val="21"/>
              </w:rPr>
            </w:pPr>
            <w:r>
              <w:rPr>
                <w:color w:val="000000"/>
                <w:sz w:val="21"/>
                <w:szCs w:val="21"/>
              </w:rPr>
              <w:t>Quality of evidence</w:t>
            </w:r>
          </w:p>
        </w:tc>
        <w:tc>
          <w:tcPr>
            <w:tcW w:w="6923" w:type="dxa"/>
          </w:tcPr>
          <w:p w14:paraId="066687E1" w14:textId="77777777" w:rsidR="0015035D" w:rsidRPr="003B6853" w:rsidRDefault="0015035D" w:rsidP="0015035D">
            <w:pPr>
              <w:spacing w:before="60" w:after="60"/>
              <w:rPr>
                <w:color w:val="000000"/>
                <w:sz w:val="21"/>
                <w:szCs w:val="21"/>
              </w:rPr>
            </w:pPr>
            <w:r w:rsidRPr="00471AEF">
              <w:rPr>
                <w:color w:val="000000"/>
                <w:sz w:val="21"/>
                <w:szCs w:val="21"/>
              </w:rPr>
              <w:t xml:space="preserve">The direct comparative evidence </w:t>
            </w:r>
            <w:r>
              <w:rPr>
                <w:color w:val="000000"/>
                <w:sz w:val="21"/>
                <w:szCs w:val="21"/>
              </w:rPr>
              <w:t xml:space="preserve">mostly </w:t>
            </w:r>
            <w:r w:rsidRPr="00471AEF">
              <w:rPr>
                <w:color w:val="000000"/>
                <w:sz w:val="21"/>
                <w:szCs w:val="21"/>
              </w:rPr>
              <w:t>consisted of small studies</w:t>
            </w:r>
            <w:r>
              <w:rPr>
                <w:color w:val="000000"/>
                <w:sz w:val="21"/>
                <w:szCs w:val="21"/>
              </w:rPr>
              <w:t xml:space="preserve"> derived from different populations as some participants had not failed prior ERCP as per the PICO. </w:t>
            </w:r>
          </w:p>
        </w:tc>
      </w:tr>
      <w:tr w:rsidR="0015035D" w:rsidRPr="003B6853" w14:paraId="1857E9A3" w14:textId="77777777" w:rsidTr="0015035D">
        <w:trPr>
          <w:cantSplit/>
        </w:trPr>
        <w:tc>
          <w:tcPr>
            <w:tcW w:w="2093" w:type="dxa"/>
          </w:tcPr>
          <w:p w14:paraId="4D97C954" w14:textId="77777777" w:rsidR="0015035D" w:rsidRDefault="0015035D" w:rsidP="0015035D">
            <w:pPr>
              <w:spacing w:before="60" w:after="60"/>
              <w:rPr>
                <w:color w:val="000000"/>
                <w:sz w:val="21"/>
                <w:szCs w:val="21"/>
              </w:rPr>
            </w:pPr>
            <w:r>
              <w:rPr>
                <w:color w:val="000000"/>
                <w:sz w:val="21"/>
                <w:szCs w:val="21"/>
              </w:rPr>
              <w:t>Evidence for biliary stones</w:t>
            </w:r>
          </w:p>
        </w:tc>
        <w:tc>
          <w:tcPr>
            <w:tcW w:w="6923" w:type="dxa"/>
          </w:tcPr>
          <w:p w14:paraId="53137474" w14:textId="77777777" w:rsidR="0015035D" w:rsidRDefault="0015035D" w:rsidP="0015035D">
            <w:pPr>
              <w:spacing w:before="60" w:after="60"/>
              <w:rPr>
                <w:color w:val="000000"/>
                <w:sz w:val="21"/>
                <w:szCs w:val="21"/>
              </w:rPr>
            </w:pPr>
            <w:r>
              <w:rPr>
                <w:color w:val="000000"/>
                <w:sz w:val="21"/>
                <w:szCs w:val="21"/>
              </w:rPr>
              <w:t>ESC had low confidence in the estimated benefit as the key study comparing POCPS with ERCP was small and had a high risk of bias for several reasons including practitioners’ potential preference for POCPS with laser lithotripsy. The results may not be fully applicable because patients had stones in the common bile duct whereas POCPS may be used for more difficult stones.</w:t>
            </w:r>
          </w:p>
          <w:p w14:paraId="2C677749" w14:textId="77777777" w:rsidR="0015035D" w:rsidRPr="00471AEF" w:rsidRDefault="0015035D" w:rsidP="0015035D">
            <w:pPr>
              <w:spacing w:before="60" w:after="60"/>
              <w:rPr>
                <w:color w:val="000000"/>
                <w:sz w:val="21"/>
                <w:szCs w:val="21"/>
              </w:rPr>
            </w:pPr>
            <w:r>
              <w:rPr>
                <w:color w:val="000000"/>
                <w:sz w:val="21"/>
                <w:szCs w:val="21"/>
              </w:rPr>
              <w:t xml:space="preserve">ESC and the pre-ESC response accepted the revised clinical claim that POCPS was non-inferior to </w:t>
            </w:r>
            <w:r w:rsidRPr="00951A2B">
              <w:rPr>
                <w:color w:val="000000"/>
                <w:sz w:val="21"/>
                <w:szCs w:val="21"/>
              </w:rPr>
              <w:t>laparoscopic choledochotomy</w:t>
            </w:r>
            <w:r>
              <w:rPr>
                <w:color w:val="000000"/>
                <w:sz w:val="21"/>
                <w:szCs w:val="21"/>
              </w:rPr>
              <w:t xml:space="preserve"> for difficult biliary stones. </w:t>
            </w:r>
          </w:p>
        </w:tc>
      </w:tr>
      <w:tr w:rsidR="0015035D" w:rsidRPr="003B6853" w14:paraId="0A9D4B74" w14:textId="77777777" w:rsidTr="0015035D">
        <w:trPr>
          <w:cantSplit/>
        </w:trPr>
        <w:tc>
          <w:tcPr>
            <w:tcW w:w="2093" w:type="dxa"/>
          </w:tcPr>
          <w:p w14:paraId="7FAADBF1" w14:textId="77777777" w:rsidR="0015035D" w:rsidRPr="003B6853" w:rsidRDefault="0015035D" w:rsidP="0015035D">
            <w:pPr>
              <w:spacing w:before="60" w:after="60"/>
              <w:rPr>
                <w:color w:val="000000"/>
                <w:sz w:val="21"/>
                <w:szCs w:val="21"/>
              </w:rPr>
            </w:pPr>
            <w:r>
              <w:rPr>
                <w:color w:val="000000"/>
                <w:sz w:val="21"/>
                <w:szCs w:val="21"/>
              </w:rPr>
              <w:t>Evidence for biliary strictures</w:t>
            </w:r>
          </w:p>
        </w:tc>
        <w:tc>
          <w:tcPr>
            <w:tcW w:w="6923" w:type="dxa"/>
          </w:tcPr>
          <w:p w14:paraId="58C4A290" w14:textId="77777777" w:rsidR="0015035D" w:rsidRPr="003B6853" w:rsidRDefault="0015035D" w:rsidP="0015035D">
            <w:pPr>
              <w:spacing w:before="60" w:after="60"/>
              <w:rPr>
                <w:color w:val="000000"/>
                <w:sz w:val="21"/>
                <w:szCs w:val="21"/>
              </w:rPr>
            </w:pPr>
            <w:r>
              <w:rPr>
                <w:color w:val="000000"/>
                <w:sz w:val="21"/>
                <w:szCs w:val="21"/>
              </w:rPr>
              <w:t>ESC had low confidence in the estimated benefit of POCPS for biliary strictures (reported as superior sensitivity, fewer indeterminate results). This was due to the small direct studies where the reference standard for diagnosis of cancer (including surgical specimens, additional ERCPs) was variably applied to patients in the studies. The evidence to support a reduction in future procedures was lacking, as Gerges (2020) suggested patients undergo the same number of procedures to obtain a diagnosis.</w:t>
            </w:r>
          </w:p>
        </w:tc>
      </w:tr>
      <w:tr w:rsidR="0015035D" w:rsidRPr="003B6853" w14:paraId="48E0E549" w14:textId="77777777" w:rsidTr="0015035D">
        <w:trPr>
          <w:cantSplit/>
        </w:trPr>
        <w:tc>
          <w:tcPr>
            <w:tcW w:w="2093" w:type="dxa"/>
          </w:tcPr>
          <w:p w14:paraId="4F644C26" w14:textId="77777777" w:rsidR="0015035D" w:rsidRDefault="0015035D" w:rsidP="0015035D">
            <w:pPr>
              <w:spacing w:before="60" w:after="60"/>
              <w:rPr>
                <w:color w:val="000000"/>
                <w:sz w:val="21"/>
                <w:szCs w:val="21"/>
              </w:rPr>
            </w:pPr>
            <w:r>
              <w:rPr>
                <w:color w:val="000000"/>
                <w:sz w:val="21"/>
                <w:szCs w:val="21"/>
              </w:rPr>
              <w:t>Economic evaluation</w:t>
            </w:r>
            <w:r w:rsidRPr="007D172B">
              <w:rPr>
                <w:color w:val="000000"/>
                <w:sz w:val="21"/>
                <w:szCs w:val="21"/>
              </w:rPr>
              <w:t xml:space="preserve"> for biliary stones</w:t>
            </w:r>
          </w:p>
        </w:tc>
        <w:tc>
          <w:tcPr>
            <w:tcW w:w="6923" w:type="dxa"/>
          </w:tcPr>
          <w:p w14:paraId="55CA31AF" w14:textId="77777777" w:rsidR="0015035D" w:rsidRDefault="0015035D" w:rsidP="0015035D">
            <w:pPr>
              <w:spacing w:before="60" w:after="60"/>
              <w:rPr>
                <w:color w:val="000000"/>
                <w:sz w:val="21"/>
                <w:szCs w:val="21"/>
              </w:rPr>
            </w:pPr>
            <w:r>
              <w:rPr>
                <w:color w:val="000000"/>
                <w:sz w:val="21"/>
                <w:szCs w:val="21"/>
              </w:rPr>
              <w:t xml:space="preserve">ESC considered that it may be reasonable to model superior effectiveness for POCPS compared to ERCP and non-inferior effectiveness compared with </w:t>
            </w:r>
            <w:r w:rsidRPr="007D172B">
              <w:rPr>
                <w:color w:val="000000"/>
                <w:sz w:val="21"/>
                <w:szCs w:val="21"/>
              </w:rPr>
              <w:t>laparoscopic choledochotomy</w:t>
            </w:r>
            <w:r>
              <w:rPr>
                <w:color w:val="000000"/>
                <w:sz w:val="21"/>
                <w:szCs w:val="21"/>
              </w:rPr>
              <w:t>. Further sensitivity analyses using ERCP as the only comparator (</w:t>
            </w:r>
            <w:r w:rsidRPr="003F4119">
              <w:rPr>
                <w:color w:val="000000"/>
                <w:sz w:val="21"/>
                <w:szCs w:val="21"/>
              </w:rPr>
              <w:t>laparoscopic choledochotomy</w:t>
            </w:r>
            <w:r>
              <w:rPr>
                <w:color w:val="000000"/>
                <w:sz w:val="21"/>
                <w:szCs w:val="21"/>
              </w:rPr>
              <w:t xml:space="preserve"> third line) and reducing the POCPS MBS fee to the ERCP MBS fee resulted in dominant</w:t>
            </w:r>
            <w:r w:rsidRPr="003F4119">
              <w:rPr>
                <w:color w:val="000000"/>
                <w:sz w:val="21"/>
                <w:szCs w:val="21"/>
              </w:rPr>
              <w:t xml:space="preserve"> incremental cost-effectiveness ratios (ICERs)</w:t>
            </w:r>
            <w:r>
              <w:rPr>
                <w:color w:val="000000"/>
                <w:sz w:val="21"/>
                <w:szCs w:val="21"/>
              </w:rPr>
              <w:t xml:space="preserve">. </w:t>
            </w:r>
          </w:p>
        </w:tc>
      </w:tr>
      <w:tr w:rsidR="0015035D" w:rsidRPr="003B6853" w14:paraId="37A2CB00" w14:textId="77777777" w:rsidTr="0015035D">
        <w:trPr>
          <w:cantSplit/>
        </w:trPr>
        <w:tc>
          <w:tcPr>
            <w:tcW w:w="2093" w:type="dxa"/>
          </w:tcPr>
          <w:p w14:paraId="76C8EBC5" w14:textId="77777777" w:rsidR="0015035D" w:rsidRDefault="0015035D" w:rsidP="0015035D">
            <w:pPr>
              <w:spacing w:before="60" w:after="60"/>
              <w:rPr>
                <w:color w:val="000000"/>
                <w:sz w:val="21"/>
                <w:szCs w:val="21"/>
              </w:rPr>
            </w:pPr>
            <w:r>
              <w:rPr>
                <w:color w:val="000000"/>
                <w:sz w:val="21"/>
                <w:szCs w:val="21"/>
              </w:rPr>
              <w:t>Economic evaluation</w:t>
            </w:r>
            <w:r w:rsidRPr="007D172B">
              <w:rPr>
                <w:color w:val="000000"/>
                <w:sz w:val="21"/>
                <w:szCs w:val="21"/>
              </w:rPr>
              <w:t xml:space="preserve"> for biliary </w:t>
            </w:r>
            <w:r>
              <w:rPr>
                <w:color w:val="000000"/>
                <w:sz w:val="21"/>
                <w:szCs w:val="21"/>
              </w:rPr>
              <w:t>strictures</w:t>
            </w:r>
          </w:p>
        </w:tc>
        <w:tc>
          <w:tcPr>
            <w:tcW w:w="6923" w:type="dxa"/>
          </w:tcPr>
          <w:p w14:paraId="1509E4FF" w14:textId="77777777" w:rsidR="0015035D" w:rsidRDefault="0015035D" w:rsidP="0015035D">
            <w:pPr>
              <w:spacing w:before="60" w:after="60"/>
              <w:rPr>
                <w:color w:val="000000"/>
                <w:sz w:val="21"/>
                <w:szCs w:val="21"/>
              </w:rPr>
            </w:pPr>
            <w:r>
              <w:rPr>
                <w:color w:val="000000"/>
                <w:sz w:val="21"/>
                <w:szCs w:val="21"/>
              </w:rPr>
              <w:t xml:space="preserve">There is uncertainty in the clinical inputs to the model arising from uncertainties in the clinical evidence. The ICERs become dominant in the stepped economic analysis when including </w:t>
            </w:r>
            <w:r w:rsidRPr="007D172B">
              <w:rPr>
                <w:color w:val="000000"/>
                <w:sz w:val="21"/>
                <w:szCs w:val="21"/>
              </w:rPr>
              <w:t>the cost</w:t>
            </w:r>
            <w:r>
              <w:rPr>
                <w:color w:val="000000"/>
                <w:sz w:val="21"/>
                <w:szCs w:val="21"/>
              </w:rPr>
              <w:t>s</w:t>
            </w:r>
            <w:r w:rsidRPr="007D172B">
              <w:rPr>
                <w:color w:val="000000"/>
                <w:sz w:val="21"/>
                <w:szCs w:val="21"/>
              </w:rPr>
              <w:t xml:space="preserve"> of unnecessary surgery for patients with benign conditions (not cancer) and the cost of unnecessary treatment for patients with incorrect diagnoses.</w:t>
            </w:r>
            <w:r>
              <w:t xml:space="preserve"> </w:t>
            </w:r>
            <w:r>
              <w:rPr>
                <w:color w:val="000000"/>
                <w:sz w:val="21"/>
                <w:szCs w:val="21"/>
              </w:rPr>
              <w:t>F</w:t>
            </w:r>
            <w:r w:rsidRPr="007D172B">
              <w:rPr>
                <w:color w:val="000000"/>
                <w:sz w:val="21"/>
                <w:szCs w:val="21"/>
              </w:rPr>
              <w:t>urther sensitivity analysis using the same MBS cost for POCPS and ERCP also resulted in dominant ICERs.</w:t>
            </w:r>
          </w:p>
        </w:tc>
      </w:tr>
      <w:tr w:rsidR="0015035D" w:rsidRPr="003B6853" w14:paraId="560E7D1E" w14:textId="77777777" w:rsidTr="0015035D">
        <w:trPr>
          <w:cantSplit/>
        </w:trPr>
        <w:tc>
          <w:tcPr>
            <w:tcW w:w="2093" w:type="dxa"/>
          </w:tcPr>
          <w:p w14:paraId="7B5299F6" w14:textId="77777777" w:rsidR="0015035D" w:rsidRPr="003B6853" w:rsidRDefault="0015035D" w:rsidP="0015035D">
            <w:pPr>
              <w:spacing w:before="60" w:after="60"/>
              <w:rPr>
                <w:color w:val="000000"/>
                <w:sz w:val="21"/>
                <w:szCs w:val="21"/>
              </w:rPr>
            </w:pPr>
            <w:r>
              <w:rPr>
                <w:color w:val="000000"/>
                <w:sz w:val="21"/>
                <w:szCs w:val="21"/>
              </w:rPr>
              <w:t>Net costs to the MBS</w:t>
            </w:r>
          </w:p>
        </w:tc>
        <w:tc>
          <w:tcPr>
            <w:tcW w:w="6923" w:type="dxa"/>
          </w:tcPr>
          <w:p w14:paraId="2AE95FD7" w14:textId="77777777" w:rsidR="0015035D" w:rsidRDefault="0015035D" w:rsidP="0015035D">
            <w:pPr>
              <w:spacing w:before="60" w:after="60"/>
              <w:rPr>
                <w:color w:val="000000"/>
                <w:sz w:val="21"/>
                <w:szCs w:val="21"/>
              </w:rPr>
            </w:pPr>
            <w:r>
              <w:rPr>
                <w:color w:val="000000"/>
                <w:sz w:val="21"/>
                <w:szCs w:val="21"/>
              </w:rPr>
              <w:t>The estimated net costs to the MBS were small</w:t>
            </w:r>
            <w:r w:rsidRPr="007D172B">
              <w:rPr>
                <w:color w:val="000000"/>
                <w:sz w:val="21"/>
                <w:szCs w:val="21"/>
              </w:rPr>
              <w:t xml:space="preserve">– less than $50,000 per year for the therapeutic application and less than $5,000 per year for the investigative application. </w:t>
            </w:r>
            <w:r>
              <w:rPr>
                <w:color w:val="000000"/>
                <w:sz w:val="21"/>
                <w:szCs w:val="21"/>
              </w:rPr>
              <w:t>Reducing the MBS fees for POCPS to the same as ERCP resulted in net savings (as currently it is 2-3 times the cost of ERCP).</w:t>
            </w:r>
          </w:p>
        </w:tc>
      </w:tr>
      <w:tr w:rsidR="0015035D" w:rsidRPr="003B6853" w14:paraId="6B7D93D8" w14:textId="77777777" w:rsidTr="0015035D">
        <w:trPr>
          <w:cantSplit/>
        </w:trPr>
        <w:tc>
          <w:tcPr>
            <w:tcW w:w="2093" w:type="dxa"/>
          </w:tcPr>
          <w:p w14:paraId="04E2C2B7" w14:textId="77777777" w:rsidR="0015035D" w:rsidRPr="003B6853" w:rsidRDefault="0015035D" w:rsidP="0015035D">
            <w:pPr>
              <w:spacing w:before="60" w:after="60"/>
              <w:rPr>
                <w:color w:val="000000"/>
                <w:sz w:val="21"/>
                <w:szCs w:val="21"/>
              </w:rPr>
            </w:pPr>
            <w:r w:rsidRPr="003B6853">
              <w:rPr>
                <w:color w:val="000000"/>
                <w:sz w:val="21"/>
                <w:szCs w:val="21"/>
              </w:rPr>
              <w:t>Substantial capital and consumable costs</w:t>
            </w:r>
          </w:p>
        </w:tc>
        <w:tc>
          <w:tcPr>
            <w:tcW w:w="6923" w:type="dxa"/>
          </w:tcPr>
          <w:p w14:paraId="0A549FA8" w14:textId="21E0836E" w:rsidR="0015035D" w:rsidRPr="003B6853" w:rsidRDefault="0015035D" w:rsidP="0015035D">
            <w:pPr>
              <w:spacing w:before="60" w:after="60"/>
              <w:rPr>
                <w:color w:val="000000"/>
                <w:sz w:val="21"/>
                <w:szCs w:val="21"/>
              </w:rPr>
            </w:pPr>
            <w:r>
              <w:rPr>
                <w:color w:val="000000"/>
                <w:sz w:val="21"/>
                <w:szCs w:val="21"/>
              </w:rPr>
              <w:t xml:space="preserve">There are very high capital and equipment/consumables costs for POCPS. The ADAR considered these costs would be reimbursed in the private sector by health insurance and </w:t>
            </w:r>
            <w:r w:rsidRPr="001A20B5">
              <w:rPr>
                <w:color w:val="000000"/>
                <w:sz w:val="21"/>
                <w:szCs w:val="21"/>
              </w:rPr>
              <w:t>absorbed by hospital budget</w:t>
            </w:r>
            <w:r>
              <w:rPr>
                <w:color w:val="000000"/>
                <w:sz w:val="21"/>
                <w:szCs w:val="21"/>
              </w:rPr>
              <w:t xml:space="preserve">s. It was unclear whether this would be the case as this procedure would most commonly be performed in the public sector. It is uncertain what the likely out-of-pocket costs may be for consumers. </w:t>
            </w:r>
          </w:p>
        </w:tc>
      </w:tr>
    </w:tbl>
    <w:p w14:paraId="7DB274DE" w14:textId="77777777" w:rsidR="0015035D" w:rsidRPr="003B6853" w:rsidRDefault="0015035D" w:rsidP="0015035D">
      <w:pPr>
        <w:keepNext/>
        <w:spacing w:before="240" w:after="240" w:line="240" w:lineRule="auto"/>
        <w:outlineLvl w:val="1"/>
        <w:rPr>
          <w:rFonts w:eastAsia="Times New Roman" w:cs="Arial"/>
          <w:b/>
          <w:bCs/>
          <w:iCs/>
          <w:color w:val="000000"/>
          <w:sz w:val="24"/>
          <w:szCs w:val="28"/>
          <w:lang w:eastAsia="en-AU"/>
        </w:rPr>
      </w:pPr>
      <w:r w:rsidRPr="003B6853">
        <w:rPr>
          <w:rFonts w:eastAsia="Times New Roman" w:cs="Arial"/>
          <w:b/>
          <w:bCs/>
          <w:iCs/>
          <w:color w:val="000000"/>
          <w:sz w:val="24"/>
          <w:szCs w:val="28"/>
          <w:lang w:eastAsia="en-AU"/>
        </w:rPr>
        <w:t>ESC discussion</w:t>
      </w:r>
    </w:p>
    <w:p w14:paraId="423A62A2" w14:textId="77777777" w:rsidR="0015035D" w:rsidRPr="00840DDC" w:rsidRDefault="0015035D" w:rsidP="0015035D">
      <w:pPr>
        <w:spacing w:before="0" w:after="240" w:line="240" w:lineRule="auto"/>
        <w:rPr>
          <w:rFonts w:eastAsia="Times New Roman" w:cs="Times New Roman"/>
          <w:color w:val="FF0000"/>
          <w:lang w:eastAsia="en-AU"/>
        </w:rPr>
      </w:pPr>
      <w:r w:rsidRPr="00840DDC">
        <w:rPr>
          <w:rFonts w:eastAsia="Times New Roman" w:cs="Times New Roman"/>
          <w:lang w:eastAsia="en-AU"/>
        </w:rPr>
        <w:t xml:space="preserve">ESC noted that this </w:t>
      </w:r>
      <w:r w:rsidRPr="00840DDC">
        <w:rPr>
          <w:rFonts w:eastAsia="Times New Roman" w:cs="Times New Roman"/>
          <w:color w:val="000000"/>
          <w:lang w:eastAsia="en-AU"/>
        </w:rPr>
        <w:t xml:space="preserve">applicant-developed assessment report (ADAR) </w:t>
      </w:r>
      <w:r w:rsidRPr="00840DDC">
        <w:rPr>
          <w:rFonts w:eastAsia="Times New Roman" w:cs="Times New Roman"/>
          <w:lang w:eastAsia="en-AU"/>
        </w:rPr>
        <w:t>was for Medicare Benefits Schedule (MBS) listing of single operator, single use, peroral cholangiopancreatoscopy (POCPS) for diagnosis of indeterminate biliary strictures and removal of difficult biliary stones. ESC noted that there is a single POCPS device on the market, and that the service is only available at limited public hospitals in Australia.</w:t>
      </w:r>
    </w:p>
    <w:p w14:paraId="54E6AF9A" w14:textId="77777777" w:rsidR="0015035D" w:rsidRPr="00840DDC" w:rsidRDefault="0015035D" w:rsidP="0015035D">
      <w:pPr>
        <w:keepNext/>
        <w:spacing w:before="0" w:after="240" w:line="240" w:lineRule="auto"/>
        <w:rPr>
          <w:rFonts w:eastAsia="Times New Roman" w:cs="Times New Roman"/>
          <w:color w:val="000000"/>
          <w:lang w:eastAsia="en-AU"/>
        </w:rPr>
      </w:pPr>
      <w:r w:rsidRPr="00840DDC">
        <w:rPr>
          <w:rFonts w:eastAsia="Times New Roman" w:cs="Times New Roman"/>
          <w:color w:val="000000"/>
          <w:lang w:eastAsia="en-AU"/>
        </w:rPr>
        <w:t>ESC noted that this application proposes two new MBS listings of single operator, single use POCPS for:</w:t>
      </w:r>
    </w:p>
    <w:p w14:paraId="30EB7D1D" w14:textId="77777777" w:rsidR="0015035D" w:rsidRPr="00840DDC" w:rsidRDefault="0015035D" w:rsidP="0015035D">
      <w:pPr>
        <w:pStyle w:val="ListParagraph"/>
        <w:numPr>
          <w:ilvl w:val="0"/>
          <w:numId w:val="23"/>
        </w:numPr>
        <w:tabs>
          <w:tab w:val="num" w:pos="360"/>
        </w:tabs>
        <w:spacing w:before="0" w:after="240" w:line="240" w:lineRule="auto"/>
        <w:rPr>
          <w:rFonts w:eastAsia="Times New Roman" w:cs="Times New Roman"/>
          <w:color w:val="000000"/>
          <w:lang w:eastAsia="en-AU"/>
        </w:rPr>
      </w:pPr>
      <w:r w:rsidRPr="00840DDC">
        <w:rPr>
          <w:rFonts w:eastAsia="Times New Roman" w:cs="Times New Roman"/>
          <w:color w:val="000000"/>
          <w:lang w:eastAsia="en-AU"/>
        </w:rPr>
        <w:t>diagnosis of indeterminate biliary strictures (diagnostic) following unsuccessful endoscopic retrograde cholangiopancreatography (ERCP)</w:t>
      </w:r>
    </w:p>
    <w:p w14:paraId="552B9707" w14:textId="77777777" w:rsidR="0015035D" w:rsidRPr="00840DDC" w:rsidRDefault="0015035D" w:rsidP="0015035D">
      <w:pPr>
        <w:pStyle w:val="ListParagraph"/>
        <w:numPr>
          <w:ilvl w:val="0"/>
          <w:numId w:val="23"/>
        </w:numPr>
        <w:tabs>
          <w:tab w:val="num" w:pos="360"/>
        </w:tabs>
        <w:spacing w:before="0" w:after="240" w:line="240" w:lineRule="auto"/>
        <w:rPr>
          <w:rFonts w:eastAsia="Times New Roman" w:cs="Times New Roman"/>
          <w:color w:val="000000"/>
          <w:lang w:eastAsia="en-AU"/>
        </w:rPr>
      </w:pPr>
      <w:r w:rsidRPr="00840DDC">
        <w:rPr>
          <w:rFonts w:eastAsia="Times New Roman" w:cs="Times New Roman"/>
          <w:color w:val="000000"/>
          <w:lang w:eastAsia="en-AU"/>
        </w:rPr>
        <w:t>POCPS-guided electrohydraulic/laser lithotripsy for removal of difficult biliary stones (therapeutic) following unsuccessful ERCP-guided balloon/basket and/or lithotripsy with sphincterotomy.</w:t>
      </w:r>
    </w:p>
    <w:p w14:paraId="044DCB0D" w14:textId="5BB74C86" w:rsidR="0015035D" w:rsidRDefault="0015035D" w:rsidP="0015035D">
      <w:pPr>
        <w:keepNext/>
        <w:spacing w:before="0" w:after="240" w:line="240" w:lineRule="auto"/>
        <w:rPr>
          <w:rFonts w:eastAsia="Times New Roman" w:cs="Times New Roman"/>
          <w:color w:val="000000"/>
          <w:lang w:eastAsia="en-AU"/>
        </w:rPr>
      </w:pPr>
      <w:r>
        <w:rPr>
          <w:rFonts w:eastAsia="Times New Roman" w:cs="Times New Roman"/>
          <w:color w:val="000000"/>
          <w:lang w:eastAsia="en-AU"/>
        </w:rPr>
        <w:t>ESC advised that POCPS for diagnosis should be considered a second line procedure after an initial ERCP and histopathology are inconclusive, and where clinically indicated.</w:t>
      </w:r>
      <w:r w:rsidR="00D422BC">
        <w:rPr>
          <w:rFonts w:eastAsia="Times New Roman" w:cs="Times New Roman"/>
          <w:color w:val="000000"/>
          <w:lang w:eastAsia="en-AU"/>
        </w:rPr>
        <w:t xml:space="preserve"> </w:t>
      </w:r>
      <w:r w:rsidR="00CA5C11">
        <w:rPr>
          <w:rFonts w:eastAsia="Times New Roman" w:cs="Times New Roman"/>
          <w:color w:val="000000"/>
          <w:lang w:eastAsia="en-AU"/>
        </w:rPr>
        <w:t>T</w:t>
      </w:r>
      <w:r>
        <w:rPr>
          <w:rFonts w:eastAsia="Times New Roman" w:cs="Times New Roman"/>
          <w:color w:val="000000"/>
          <w:lang w:eastAsia="en-AU"/>
        </w:rPr>
        <w:t xml:space="preserve">he </w:t>
      </w:r>
      <w:r w:rsidR="00D422BC">
        <w:rPr>
          <w:rFonts w:eastAsia="Times New Roman" w:cs="Times New Roman"/>
          <w:color w:val="000000"/>
          <w:lang w:eastAsia="en-AU"/>
        </w:rPr>
        <w:t xml:space="preserve">procedural outcome from the </w:t>
      </w:r>
      <w:r>
        <w:rPr>
          <w:rFonts w:eastAsia="Times New Roman" w:cs="Times New Roman"/>
          <w:color w:val="000000"/>
          <w:lang w:eastAsia="en-AU"/>
        </w:rPr>
        <w:t xml:space="preserve">initial ERCP </w:t>
      </w:r>
      <w:r w:rsidR="00D422BC">
        <w:rPr>
          <w:rFonts w:eastAsia="Times New Roman" w:cs="Times New Roman"/>
          <w:color w:val="000000"/>
          <w:lang w:eastAsia="en-AU"/>
        </w:rPr>
        <w:t>procedure determines eligibility for POCPS</w:t>
      </w:r>
      <w:r>
        <w:rPr>
          <w:rFonts w:eastAsia="Times New Roman" w:cs="Times New Roman"/>
          <w:color w:val="000000"/>
          <w:lang w:eastAsia="en-AU"/>
        </w:rPr>
        <w:t xml:space="preserve">. </w:t>
      </w:r>
    </w:p>
    <w:p w14:paraId="37736D97" w14:textId="77777777" w:rsidR="0015035D" w:rsidRPr="00840DDC" w:rsidRDefault="0015035D" w:rsidP="0015035D">
      <w:pPr>
        <w:keepNext/>
        <w:spacing w:before="0" w:after="240" w:line="240" w:lineRule="auto"/>
        <w:rPr>
          <w:rFonts w:eastAsia="Times New Roman" w:cs="Times New Roman"/>
          <w:color w:val="000000"/>
          <w:lang w:eastAsia="en-AU"/>
        </w:rPr>
      </w:pPr>
      <w:r w:rsidRPr="00840DDC">
        <w:rPr>
          <w:rFonts w:eastAsia="Times New Roman" w:cs="Times New Roman"/>
          <w:color w:val="000000"/>
          <w:lang w:eastAsia="en-AU"/>
        </w:rPr>
        <w:t xml:space="preserve">ESC noted that the pre-ESC response clarified that the item descriptors should be subject to the multiple operation rule and the claiming limits proposed in the Ratified PICO and the commentary. ESC advised that the item descriptor should note that MBS item 30450 </w:t>
      </w:r>
      <w:r>
        <w:rPr>
          <w:rFonts w:eastAsia="Times New Roman" w:cs="Times New Roman"/>
          <w:color w:val="000000"/>
          <w:lang w:eastAsia="en-AU"/>
        </w:rPr>
        <w:t xml:space="preserve">(extraction of biliary calculus) </w:t>
      </w:r>
      <w:r w:rsidRPr="00840DDC">
        <w:rPr>
          <w:rFonts w:eastAsia="Times New Roman" w:cs="Times New Roman"/>
          <w:color w:val="000000"/>
          <w:lang w:eastAsia="en-AU"/>
        </w:rPr>
        <w:t>should not be co-claimed with the POCPS procedure.</w:t>
      </w:r>
      <w:r w:rsidRPr="00840DDC">
        <w:t xml:space="preserve"> </w:t>
      </w:r>
      <w:r w:rsidRPr="00840DDC">
        <w:rPr>
          <w:rFonts w:eastAsia="Times New Roman" w:cs="Times New Roman"/>
          <w:color w:val="000000"/>
          <w:lang w:eastAsia="en-AU"/>
        </w:rPr>
        <w:t>The diagnostic application was placed under category 5 – diagnostic imaging services, but it should be under category 3 – therapeutic procedures (subject to the multiple operation rule)</w:t>
      </w:r>
      <w:r>
        <w:rPr>
          <w:rFonts w:eastAsia="Times New Roman" w:cs="Times New Roman"/>
          <w:color w:val="000000"/>
          <w:lang w:eastAsia="en-AU"/>
        </w:rPr>
        <w:t>.</w:t>
      </w:r>
    </w:p>
    <w:p w14:paraId="624018B7" w14:textId="77777777" w:rsidR="0015035D" w:rsidRPr="00840DDC" w:rsidRDefault="0015035D" w:rsidP="0015035D">
      <w:pPr>
        <w:keepNext/>
        <w:spacing w:before="0" w:after="240" w:line="240" w:lineRule="auto"/>
        <w:rPr>
          <w:rFonts w:eastAsia="Times New Roman" w:cs="Times New Roman"/>
          <w:color w:val="000000"/>
          <w:lang w:eastAsia="en-AU"/>
        </w:rPr>
      </w:pPr>
      <w:r w:rsidRPr="00840DDC">
        <w:rPr>
          <w:rFonts w:eastAsia="Times New Roman" w:cs="Times New Roman"/>
          <w:color w:val="000000"/>
          <w:lang w:eastAsia="en-AU"/>
        </w:rPr>
        <w:t xml:space="preserve">ESC noted the proposed MBS fees were 2.3 times that of ERCP alone for the therapeutic application and 1.6 times that of ERCP alone for the investigative application. ESC noted concerns raised in the policy paper that there </w:t>
      </w:r>
      <w:r>
        <w:rPr>
          <w:rFonts w:eastAsia="Times New Roman" w:cs="Times New Roman"/>
          <w:color w:val="000000"/>
          <w:lang w:eastAsia="en-AU"/>
        </w:rPr>
        <w:t>was</w:t>
      </w:r>
      <w:r w:rsidRPr="00840DDC">
        <w:rPr>
          <w:rFonts w:eastAsia="Times New Roman" w:cs="Times New Roman"/>
          <w:color w:val="000000"/>
          <w:lang w:eastAsia="en-AU"/>
        </w:rPr>
        <w:t xml:space="preserve"> not sufficient justification of the proposed fees for the services, including duration and detailed information about the complexity of the procedure to inform an implementation process for the services. ESC noted that two references were included </w:t>
      </w:r>
      <w:r>
        <w:rPr>
          <w:rFonts w:eastAsia="Times New Roman" w:cs="Times New Roman"/>
          <w:color w:val="000000"/>
          <w:lang w:eastAsia="en-AU"/>
        </w:rPr>
        <w:t>(</w:t>
      </w:r>
      <w:r w:rsidRPr="00840DDC">
        <w:rPr>
          <w:rFonts w:eastAsia="Times New Roman" w:cs="Times New Roman"/>
          <w:color w:val="000000"/>
          <w:lang w:eastAsia="en-AU"/>
        </w:rPr>
        <w:t>Alberta Health Service</w:t>
      </w:r>
      <w:r>
        <w:rPr>
          <w:rFonts w:eastAsia="Times New Roman" w:cs="Times New Roman"/>
          <w:color w:val="000000"/>
          <w:lang w:eastAsia="en-AU"/>
        </w:rPr>
        <w:t xml:space="preserve"> reimbursement and </w:t>
      </w:r>
      <w:r w:rsidRPr="00840DDC">
        <w:rPr>
          <w:rFonts w:eastAsia="Times New Roman" w:cs="Times New Roman"/>
          <w:color w:val="000000"/>
          <w:lang w:eastAsia="en-AU"/>
        </w:rPr>
        <w:t>Sandha et al. 2018</w:t>
      </w:r>
      <w:r>
        <w:rPr>
          <w:rFonts w:eastAsia="Times New Roman" w:cs="Times New Roman"/>
          <w:color w:val="000000"/>
          <w:lang w:eastAsia="en-AU"/>
        </w:rPr>
        <w:t> </w:t>
      </w:r>
      <w:r w:rsidRPr="00840DDC">
        <w:rPr>
          <w:rFonts w:eastAsia="Times New Roman" w:cs="Times New Roman"/>
          <w:color w:val="000000"/>
          <w:vertAlign w:val="superscript"/>
          <w:lang w:eastAsia="en-AU"/>
        </w:rPr>
        <w:footnoteReference w:id="3"/>
      </w:r>
      <w:r>
        <w:rPr>
          <w:rFonts w:eastAsia="Times New Roman" w:cs="Times New Roman"/>
          <w:color w:val="000000"/>
          <w:lang w:eastAsia="en-AU"/>
        </w:rPr>
        <w:t xml:space="preserve">) </w:t>
      </w:r>
      <w:r w:rsidRPr="00840DDC">
        <w:rPr>
          <w:rFonts w:eastAsia="Times New Roman" w:cs="Times New Roman"/>
          <w:color w:val="000000"/>
          <w:lang w:eastAsia="en-AU"/>
        </w:rPr>
        <w:t xml:space="preserve">that do not provide sufficient </w:t>
      </w:r>
      <w:r>
        <w:rPr>
          <w:rFonts w:eastAsia="Times New Roman" w:cs="Times New Roman"/>
          <w:color w:val="000000"/>
          <w:lang w:eastAsia="en-AU"/>
        </w:rPr>
        <w:t>rationale or were unavailable for corroboration</w:t>
      </w:r>
      <w:r w:rsidRPr="00840DDC">
        <w:rPr>
          <w:rFonts w:eastAsia="Times New Roman" w:cs="Times New Roman"/>
          <w:color w:val="000000"/>
          <w:lang w:eastAsia="en-AU"/>
        </w:rPr>
        <w:t>.</w:t>
      </w:r>
      <w:r>
        <w:rPr>
          <w:rFonts w:eastAsia="Times New Roman" w:cs="Times New Roman"/>
          <w:color w:val="000000"/>
          <w:lang w:eastAsia="en-AU"/>
        </w:rPr>
        <w:t xml:space="preserve"> ESC considered reimbursement in Canada may not be applicable to the MBS.  The</w:t>
      </w:r>
      <w:r w:rsidRPr="00840DDC">
        <w:rPr>
          <w:rFonts w:eastAsia="Times New Roman" w:cs="Times New Roman"/>
          <w:color w:val="000000"/>
          <w:lang w:eastAsia="en-AU"/>
        </w:rPr>
        <w:t xml:space="preserve"> pre-ESC response included the </w:t>
      </w:r>
      <w:r w:rsidRPr="00840DDC">
        <w:rPr>
          <w:rFonts w:eastAsia="Times New Roman" w:cs="Times New Roman"/>
          <w:lang w:eastAsia="en-AU"/>
        </w:rPr>
        <w:t>American Society for Gastrointestinal Endoscopy</w:t>
      </w:r>
      <w:r w:rsidRPr="00840DDC">
        <w:rPr>
          <w:rFonts w:eastAsia="Times New Roman" w:cs="Times New Roman"/>
          <w:color w:val="000000"/>
          <w:lang w:eastAsia="en-AU"/>
        </w:rPr>
        <w:t xml:space="preserve"> (ASGE) ERCP complexity table</w:t>
      </w:r>
      <w:r>
        <w:rPr>
          <w:rFonts w:eastAsia="Times New Roman" w:cs="Times New Roman"/>
          <w:color w:val="000000"/>
          <w:lang w:eastAsia="en-AU"/>
        </w:rPr>
        <w:t xml:space="preserve">. The </w:t>
      </w:r>
      <w:r w:rsidRPr="00840DDC">
        <w:rPr>
          <w:rFonts w:eastAsia="Times New Roman" w:cs="Times New Roman"/>
          <w:color w:val="000000"/>
          <w:lang w:eastAsia="en-AU"/>
        </w:rPr>
        <w:t>applicant suggest</w:t>
      </w:r>
      <w:r>
        <w:rPr>
          <w:rFonts w:eastAsia="Times New Roman" w:cs="Times New Roman"/>
          <w:color w:val="000000"/>
          <w:lang w:eastAsia="en-AU"/>
        </w:rPr>
        <w:t>ed</w:t>
      </w:r>
      <w:r w:rsidRPr="00840DDC">
        <w:rPr>
          <w:rFonts w:eastAsia="Times New Roman" w:cs="Times New Roman"/>
          <w:color w:val="000000"/>
          <w:lang w:eastAsia="en-AU"/>
        </w:rPr>
        <w:t xml:space="preserve"> that the complexity for the service is in line with grade 4</w:t>
      </w:r>
      <w:r>
        <w:rPr>
          <w:rFonts w:eastAsia="Times New Roman" w:cs="Times New Roman"/>
          <w:color w:val="000000"/>
          <w:lang w:eastAsia="en-AU"/>
        </w:rPr>
        <w:t xml:space="preserve"> (intraductal image guided therapy). However, ESC noted that Grade 3 included biliary stone extraction and biliary stricture procedures. In addition, </w:t>
      </w:r>
      <w:r w:rsidRPr="00840DDC">
        <w:rPr>
          <w:rFonts w:eastAsia="Times New Roman" w:cs="Times New Roman"/>
          <w:color w:val="000000"/>
          <w:lang w:eastAsia="en-AU"/>
        </w:rPr>
        <w:t>ESC noted that ERCP procedures have a single fee although individual procedures vary in complexity.</w:t>
      </w:r>
      <w:r>
        <w:rPr>
          <w:rFonts w:eastAsia="Times New Roman" w:cs="Times New Roman"/>
          <w:color w:val="000000"/>
          <w:lang w:eastAsia="en-AU"/>
        </w:rPr>
        <w:t xml:space="preserve"> </w:t>
      </w:r>
      <w:r w:rsidRPr="00840DDC">
        <w:rPr>
          <w:rFonts w:eastAsia="Times New Roman" w:cs="Times New Roman"/>
          <w:color w:val="000000"/>
          <w:lang w:eastAsia="en-AU"/>
        </w:rPr>
        <w:t xml:space="preserve">ESC considered this evidence was not sufficient to suggest that POCPS was more complex, or took longer time, than ERCP. </w:t>
      </w:r>
    </w:p>
    <w:p w14:paraId="5000FCAC" w14:textId="77777777" w:rsidR="0015035D" w:rsidRDefault="0015035D" w:rsidP="0015035D">
      <w:pPr>
        <w:keepNext/>
        <w:spacing w:before="0" w:after="240" w:line="240" w:lineRule="auto"/>
        <w:rPr>
          <w:rFonts w:eastAsia="Times New Roman" w:cs="Times New Roman"/>
          <w:color w:val="000000"/>
          <w:lang w:eastAsia="en-AU"/>
        </w:rPr>
      </w:pPr>
      <w:r>
        <w:rPr>
          <w:rFonts w:eastAsia="Times New Roman" w:cs="Times New Roman"/>
          <w:color w:val="000000"/>
          <w:lang w:eastAsia="en-AU"/>
        </w:rPr>
        <w:t xml:space="preserve">The item descriptors only included a 75% rebate, consistent with an in-hospital procedure. </w:t>
      </w:r>
      <w:r w:rsidRPr="00840DDC">
        <w:rPr>
          <w:rFonts w:eastAsia="Times New Roman" w:cs="Times New Roman"/>
          <w:color w:val="000000"/>
          <w:lang w:eastAsia="en-AU"/>
        </w:rPr>
        <w:t xml:space="preserve">ESC advised that the proposed service </w:t>
      </w:r>
      <w:r>
        <w:rPr>
          <w:rFonts w:eastAsia="Times New Roman" w:cs="Times New Roman"/>
          <w:color w:val="000000"/>
          <w:lang w:eastAsia="en-AU"/>
        </w:rPr>
        <w:t>would be used as an</w:t>
      </w:r>
      <w:r w:rsidRPr="00840DDC">
        <w:rPr>
          <w:rFonts w:eastAsia="Times New Roman" w:cs="Times New Roman"/>
          <w:color w:val="000000"/>
          <w:lang w:eastAsia="en-AU"/>
        </w:rPr>
        <w:t xml:space="preserve"> in-hospital procedure</w:t>
      </w:r>
      <w:r>
        <w:rPr>
          <w:rFonts w:eastAsia="Times New Roman" w:cs="Times New Roman"/>
          <w:color w:val="000000"/>
          <w:lang w:eastAsia="en-AU"/>
        </w:rPr>
        <w:t xml:space="preserve"> and outpatient procedure. ESC noted that </w:t>
      </w:r>
      <w:r w:rsidRPr="00840DDC">
        <w:rPr>
          <w:rFonts w:eastAsia="Times New Roman" w:cs="Times New Roman"/>
          <w:color w:val="000000"/>
          <w:lang w:eastAsia="en-AU"/>
        </w:rPr>
        <w:t>currently around 15% of the billed ERCP procedures are outpatient procedures</w:t>
      </w:r>
      <w:r>
        <w:rPr>
          <w:rFonts w:eastAsia="Times New Roman" w:cs="Times New Roman"/>
          <w:color w:val="000000"/>
          <w:lang w:eastAsia="en-AU"/>
        </w:rPr>
        <w:t>.</w:t>
      </w:r>
      <w:r w:rsidRPr="00840DDC">
        <w:rPr>
          <w:rFonts w:eastAsia="Times New Roman" w:cs="Times New Roman"/>
          <w:color w:val="000000"/>
          <w:lang w:eastAsia="en-AU"/>
        </w:rPr>
        <w:t xml:space="preserve"> </w:t>
      </w:r>
    </w:p>
    <w:p w14:paraId="50EA244E" w14:textId="52F83CE8" w:rsidR="0015035D" w:rsidRDefault="0015035D" w:rsidP="0015035D">
      <w:pPr>
        <w:spacing w:after="240"/>
      </w:pPr>
      <w:r w:rsidRPr="00840DDC">
        <w:rPr>
          <w:rFonts w:eastAsia="Times New Roman" w:cs="Times New Roman"/>
          <w:lang w:eastAsia="en-AU"/>
        </w:rPr>
        <w:t xml:space="preserve">ESC noted that the </w:t>
      </w:r>
      <w:r>
        <w:rPr>
          <w:rFonts w:eastAsia="Times New Roman" w:cs="Times New Roman"/>
          <w:lang w:eastAsia="en-AU"/>
        </w:rPr>
        <w:t>initial</w:t>
      </w:r>
      <w:r w:rsidRPr="00840DDC">
        <w:rPr>
          <w:rFonts w:eastAsia="Times New Roman" w:cs="Times New Roman"/>
          <w:lang w:eastAsia="en-AU"/>
        </w:rPr>
        <w:t xml:space="preserve"> capital </w:t>
      </w:r>
      <w:r>
        <w:rPr>
          <w:rFonts w:eastAsia="Times New Roman" w:cs="Times New Roman"/>
          <w:lang w:eastAsia="en-AU"/>
        </w:rPr>
        <w:t>costs were over $</w:t>
      </w:r>
      <w:r w:rsidR="001B3435" w:rsidRPr="001B3435">
        <w:rPr>
          <w:b/>
          <w:bCs/>
        </w:rPr>
        <w:t>redacted</w:t>
      </w:r>
      <w:r w:rsidR="00E37D32">
        <w:rPr>
          <w:rStyle w:val="FootnoteReference"/>
          <w:rFonts w:eastAsia="Times New Roman" w:cs="Times New Roman"/>
          <w:lang w:eastAsia="en-AU"/>
        </w:rPr>
        <w:footnoteReference w:id="4"/>
      </w:r>
      <w:r>
        <w:rPr>
          <w:rFonts w:eastAsia="Times New Roman" w:cs="Times New Roman"/>
          <w:lang w:eastAsia="en-AU"/>
        </w:rPr>
        <w:t xml:space="preserve"> for the Spyglass Digital Controller with further costs for the Autholith Generator used for the therapeutic indication</w:t>
      </w:r>
      <w:r w:rsidRPr="00840DDC">
        <w:rPr>
          <w:rFonts w:eastAsia="Times New Roman" w:cs="Times New Roman"/>
          <w:lang w:eastAsia="en-AU"/>
        </w:rPr>
        <w:t>. ESC noted that the cost of consumables was $</w:t>
      </w:r>
      <w:r w:rsidR="001B3435" w:rsidRPr="001B3435">
        <w:rPr>
          <w:b/>
          <w:bCs/>
        </w:rPr>
        <w:t>redacted</w:t>
      </w:r>
      <w:r w:rsidR="001B3435" w:rsidRPr="00840DDC" w:rsidDel="001B3435">
        <w:rPr>
          <w:rFonts w:eastAsia="Times New Roman" w:cs="Times New Roman"/>
          <w:lang w:eastAsia="en-AU"/>
        </w:rPr>
        <w:t xml:space="preserve"> </w:t>
      </w:r>
      <w:r w:rsidRPr="00840DDC">
        <w:rPr>
          <w:rFonts w:eastAsia="Times New Roman" w:cs="Times New Roman"/>
          <w:lang w:eastAsia="en-AU"/>
        </w:rPr>
        <w:t>for the therapeutic indication and $</w:t>
      </w:r>
      <w:r w:rsidR="001B3435" w:rsidRPr="001B3435">
        <w:rPr>
          <w:b/>
          <w:bCs/>
        </w:rPr>
        <w:t>redacted</w:t>
      </w:r>
      <w:r w:rsidR="001B3435" w:rsidRPr="00840DDC" w:rsidDel="001B3435">
        <w:rPr>
          <w:rFonts w:eastAsia="Times New Roman" w:cs="Times New Roman"/>
          <w:lang w:eastAsia="en-AU"/>
        </w:rPr>
        <w:t xml:space="preserve"> </w:t>
      </w:r>
      <w:r w:rsidRPr="00840DDC">
        <w:rPr>
          <w:rFonts w:eastAsia="Times New Roman" w:cs="Times New Roman"/>
          <w:lang w:eastAsia="en-AU"/>
        </w:rPr>
        <w:t>for the diagnostic indication. ESC also noted that a large amount of these costs was due to a disposable catheter</w:t>
      </w:r>
      <w:r>
        <w:rPr>
          <w:rFonts w:eastAsia="Times New Roman" w:cs="Times New Roman"/>
          <w:lang w:eastAsia="en-AU"/>
        </w:rPr>
        <w:t xml:space="preserve"> estimated to cost $</w:t>
      </w:r>
      <w:r w:rsidR="001B3435" w:rsidRPr="001B3435">
        <w:rPr>
          <w:b/>
          <w:bCs/>
        </w:rPr>
        <w:t>redacted</w:t>
      </w:r>
      <w:r w:rsidRPr="00840DDC">
        <w:rPr>
          <w:rFonts w:eastAsia="Times New Roman" w:cs="Times New Roman"/>
          <w:lang w:eastAsia="en-AU"/>
        </w:rPr>
        <w:t xml:space="preserve">. </w:t>
      </w:r>
      <w:r>
        <w:t>ESC noted that there were differences in the capital and consumable equipment outlined in the ADAR, the SpyGlass Brochure, and the American Society for Gastrointestinal Endoscopy (ASGE) Technology Committee’s 2016 Status Evaluation Report on c</w:t>
      </w:r>
      <w:r w:rsidRPr="002837E4">
        <w:t>holangiopancreatoscopy</w:t>
      </w:r>
      <w:r>
        <w:t xml:space="preserve"> (</w:t>
      </w:r>
      <w:r>
        <w:fldChar w:fldCharType="begin"/>
      </w:r>
      <w:r>
        <w:instrText xml:space="preserve"> REF _Ref97295695 \h </w:instrText>
      </w:r>
      <w:r>
        <w:fldChar w:fldCharType="separate"/>
      </w:r>
      <w:r w:rsidR="00D422BC">
        <w:t xml:space="preserve">Table </w:t>
      </w:r>
      <w:r w:rsidR="00D422BC">
        <w:rPr>
          <w:noProof/>
        </w:rPr>
        <w:t>4</w:t>
      </w:r>
      <w:r>
        <w:fldChar w:fldCharType="end"/>
      </w:r>
      <w:r>
        <w:t>)</w:t>
      </w:r>
      <w:r w:rsidRPr="002837E4">
        <w:t>.</w:t>
      </w:r>
      <w:r>
        <w:t xml:space="preserve"> ESC noted the ASGE reported costs of approximately $80,000 equipment ($56,402 United States dollars) which did not include the Digital Controller or Autolith Generator. ESC noted that there were updates to the technology in 2018 which could account for the differences. ESC requested the applicant address the differences in its pre-MSAC response. </w:t>
      </w:r>
    </w:p>
    <w:p w14:paraId="417FABAA" w14:textId="30C94E47" w:rsidR="0015035D" w:rsidRPr="00D342AE" w:rsidRDefault="0015035D" w:rsidP="0015035D">
      <w:pPr>
        <w:spacing w:before="0" w:after="240" w:line="240" w:lineRule="auto"/>
        <w:rPr>
          <w:rFonts w:eastAsia="Times New Roman" w:cs="Times New Roman"/>
          <w:color w:val="000000"/>
          <w:lang w:eastAsia="en-AU"/>
        </w:rPr>
      </w:pPr>
      <w:r w:rsidRPr="00840DDC">
        <w:rPr>
          <w:rFonts w:eastAsia="Times New Roman" w:cs="Times New Roman"/>
          <w:color w:val="000000"/>
          <w:lang w:eastAsia="en-AU"/>
        </w:rPr>
        <w:t xml:space="preserve">The ADAR </w:t>
      </w:r>
      <w:r>
        <w:rPr>
          <w:rFonts w:eastAsia="Times New Roman" w:cs="Times New Roman"/>
          <w:color w:val="000000"/>
          <w:lang w:eastAsia="en-AU"/>
        </w:rPr>
        <w:t>proposed</w:t>
      </w:r>
      <w:r w:rsidRPr="00840DDC">
        <w:rPr>
          <w:rFonts w:eastAsia="Times New Roman" w:cs="Times New Roman"/>
          <w:color w:val="000000"/>
          <w:lang w:eastAsia="en-AU"/>
        </w:rPr>
        <w:t xml:space="preserve"> the costs of POCPS consumables will be reimbursed by private health insurance as a part of the POCPS hospitalisation</w:t>
      </w:r>
      <w:r>
        <w:rPr>
          <w:rFonts w:eastAsia="Times New Roman" w:cs="Times New Roman"/>
          <w:color w:val="000000"/>
          <w:lang w:eastAsia="en-AU"/>
        </w:rPr>
        <w:t xml:space="preserve">, however </w:t>
      </w:r>
      <w:r>
        <w:rPr>
          <w:rFonts w:eastAsia="Times New Roman" w:cs="Times New Roman"/>
          <w:lang w:eastAsia="en-AU"/>
        </w:rPr>
        <w:t>ESC was unaware of private hospitals currently</w:t>
      </w:r>
      <w:r w:rsidRPr="00840DDC">
        <w:rPr>
          <w:rFonts w:eastAsia="Times New Roman" w:cs="Times New Roman"/>
          <w:lang w:eastAsia="en-AU"/>
        </w:rPr>
        <w:t xml:space="preserve"> perform</w:t>
      </w:r>
      <w:r>
        <w:rPr>
          <w:rFonts w:eastAsia="Times New Roman" w:cs="Times New Roman"/>
          <w:lang w:eastAsia="en-AU"/>
        </w:rPr>
        <w:t>ing POCPS</w:t>
      </w:r>
      <w:r w:rsidRPr="00840DDC">
        <w:rPr>
          <w:rFonts w:eastAsia="Times New Roman" w:cs="Times New Roman"/>
          <w:lang w:eastAsia="en-AU"/>
        </w:rPr>
        <w:t>.</w:t>
      </w:r>
      <w:r>
        <w:rPr>
          <w:rFonts w:eastAsia="Times New Roman" w:cs="Times New Roman"/>
          <w:lang w:eastAsia="en-AU"/>
        </w:rPr>
        <w:t xml:space="preserve"> Currently in Australia POCPS is performed at a small number of public hospitals and it is unclear whether private hospitals would consider offering POCPS given costs and small numbers of estimated procedures.</w:t>
      </w:r>
      <w:r w:rsidRPr="00840DDC">
        <w:rPr>
          <w:rFonts w:eastAsia="Times New Roman" w:cs="Times New Roman"/>
          <w:lang w:eastAsia="en-AU"/>
        </w:rPr>
        <w:t xml:space="preserve"> ESC noted that there was no clear funding mechanism for these costs, </w:t>
      </w:r>
      <w:r>
        <w:rPr>
          <w:rFonts w:eastAsia="Times New Roman" w:cs="Times New Roman"/>
          <w:lang w:eastAsia="en-AU"/>
        </w:rPr>
        <w:t>and</w:t>
      </w:r>
      <w:r w:rsidRPr="00840DDC">
        <w:rPr>
          <w:rFonts w:eastAsia="Times New Roman" w:cs="Times New Roman"/>
          <w:lang w:eastAsia="en-AU"/>
        </w:rPr>
        <w:t xml:space="preserve"> there </w:t>
      </w:r>
      <w:r>
        <w:rPr>
          <w:rFonts w:eastAsia="Times New Roman" w:cs="Times New Roman"/>
          <w:lang w:eastAsia="en-AU"/>
        </w:rPr>
        <w:t xml:space="preserve">may </w:t>
      </w:r>
      <w:r w:rsidRPr="00840DDC">
        <w:rPr>
          <w:rFonts w:eastAsia="Times New Roman" w:cs="Times New Roman"/>
          <w:lang w:eastAsia="en-AU"/>
        </w:rPr>
        <w:t xml:space="preserve">be potentially high out-of-pocket costs for patients as the bulk billing rate </w:t>
      </w:r>
      <w:r>
        <w:rPr>
          <w:rFonts w:eastAsia="Times New Roman" w:cs="Times New Roman"/>
          <w:lang w:eastAsia="en-AU"/>
        </w:rPr>
        <w:t xml:space="preserve">for ERCP </w:t>
      </w:r>
      <w:r w:rsidRPr="00840DDC">
        <w:rPr>
          <w:rFonts w:eastAsia="Times New Roman" w:cs="Times New Roman"/>
          <w:lang w:eastAsia="en-AU"/>
        </w:rPr>
        <w:t xml:space="preserve">is </w:t>
      </w:r>
      <w:r>
        <w:rPr>
          <w:rFonts w:eastAsia="Times New Roman" w:cs="Times New Roman"/>
          <w:lang w:eastAsia="en-AU"/>
        </w:rPr>
        <w:t>low (</w:t>
      </w:r>
      <w:r w:rsidRPr="00840DDC">
        <w:rPr>
          <w:rFonts w:eastAsia="Times New Roman" w:cs="Times New Roman"/>
          <w:lang w:eastAsia="en-AU"/>
        </w:rPr>
        <w:t>16.8%</w:t>
      </w:r>
      <w:r>
        <w:rPr>
          <w:rFonts w:eastAsia="Times New Roman" w:cs="Times New Roman"/>
          <w:lang w:eastAsia="en-AU"/>
        </w:rPr>
        <w:t>)</w:t>
      </w:r>
      <w:r w:rsidRPr="00840DDC">
        <w:rPr>
          <w:rFonts w:eastAsia="Times New Roman" w:cs="Times New Roman"/>
          <w:lang w:eastAsia="en-AU"/>
        </w:rPr>
        <w:t>.</w:t>
      </w:r>
      <w:r w:rsidRPr="00D342AE">
        <w:rPr>
          <w:rFonts w:eastAsia="Times New Roman" w:cs="Times New Roman"/>
          <w:color w:val="000000"/>
          <w:lang w:eastAsia="en-AU"/>
        </w:rPr>
        <w:t xml:space="preserve"> </w:t>
      </w:r>
    </w:p>
    <w:p w14:paraId="59E95EBD" w14:textId="53214714" w:rsidR="0015035D" w:rsidRPr="00471AEF" w:rsidRDefault="0015035D" w:rsidP="0015035D">
      <w:pPr>
        <w:spacing w:before="0" w:after="240" w:line="240" w:lineRule="auto"/>
        <w:rPr>
          <w:rFonts w:eastAsia="Times New Roman" w:cs="Times New Roman"/>
          <w:lang w:eastAsia="en-AU"/>
        </w:rPr>
      </w:pPr>
      <w:r w:rsidRPr="00840DDC">
        <w:rPr>
          <w:rFonts w:eastAsia="Times New Roman" w:cs="Times New Roman"/>
          <w:color w:val="000000"/>
          <w:lang w:eastAsia="en-AU"/>
        </w:rPr>
        <w:t>ESC noted that public consultation feedback from the Gastroenterological Society of Australia (GESA) was positive, supporting POCPS as superior for the removal of difficult biliary stones. GESA claimed POCPS offers better visualisation and accurate targeting of biliary stones, as well as earlier diagnosis. However, ESC noted that there was no data to support the claim that time to diagnosis was faster. ESC noted that the Pancare Foundation also supported this application, claiming that POCPS was better for patients than repeat procedures of ERCP, and may allow earlier detection of biliary cancers. The Pancare Foundation and Cancer Council Australia also claimed that POCPS reduced the risk of cancer progressing to a late stage.</w:t>
      </w:r>
      <w:r w:rsidRPr="00471AEF">
        <w:rPr>
          <w:rFonts w:eastAsia="Times New Roman" w:cs="Times New Roman"/>
          <w:color w:val="000000"/>
          <w:lang w:eastAsia="en-AU"/>
        </w:rPr>
        <w:t xml:space="preserve"> </w:t>
      </w:r>
      <w:r w:rsidRPr="00840DDC">
        <w:rPr>
          <w:rFonts w:eastAsia="Times New Roman" w:cs="Times New Roman"/>
          <w:color w:val="000000"/>
          <w:lang w:eastAsia="en-AU"/>
        </w:rPr>
        <w:t xml:space="preserve">ESC noted that a consumer </w:t>
      </w:r>
      <w:r w:rsidR="00CA5C11">
        <w:rPr>
          <w:rFonts w:eastAsia="Times New Roman" w:cs="Times New Roman"/>
          <w:color w:val="000000"/>
          <w:lang w:eastAsia="en-AU"/>
        </w:rPr>
        <w:t xml:space="preserve">was </w:t>
      </w:r>
      <w:r w:rsidRPr="00840DDC">
        <w:rPr>
          <w:rFonts w:eastAsia="Times New Roman" w:cs="Times New Roman"/>
          <w:color w:val="000000"/>
          <w:lang w:eastAsia="en-AU"/>
        </w:rPr>
        <w:t>concern</w:t>
      </w:r>
      <w:r w:rsidR="00CA5C11">
        <w:rPr>
          <w:rFonts w:eastAsia="Times New Roman" w:cs="Times New Roman"/>
          <w:color w:val="000000"/>
          <w:lang w:eastAsia="en-AU"/>
        </w:rPr>
        <w:t>ed about</w:t>
      </w:r>
      <w:r w:rsidRPr="00840DDC">
        <w:rPr>
          <w:rFonts w:eastAsia="Times New Roman" w:cs="Times New Roman"/>
          <w:color w:val="000000"/>
          <w:lang w:eastAsia="en-AU"/>
        </w:rPr>
        <w:t xml:space="preserve"> the lack of good evidence on safety, effectiveness and adverse events. </w:t>
      </w:r>
    </w:p>
    <w:p w14:paraId="68E46B86" w14:textId="3EB0A0BC" w:rsidR="0015035D" w:rsidRPr="00840DDC" w:rsidRDefault="0015035D" w:rsidP="0015035D">
      <w:pPr>
        <w:spacing w:before="0" w:after="240" w:line="240" w:lineRule="auto"/>
        <w:rPr>
          <w:rFonts w:eastAsia="Times New Roman" w:cs="Times New Roman"/>
          <w:color w:val="000000"/>
          <w:lang w:eastAsia="en-AU"/>
        </w:rPr>
      </w:pPr>
      <w:r w:rsidRPr="00840DDC">
        <w:rPr>
          <w:rFonts w:eastAsia="Times New Roman" w:cs="Times New Roman"/>
          <w:color w:val="000000"/>
          <w:lang w:eastAsia="en-AU"/>
        </w:rPr>
        <w:t>ESC noted that there is no estimate of the likely out of pocket costs consumers would incur. ESC considered that POCPS would be provided in major hospitals and consumers in regional areas would have to travel to have the procedure. ESC considered that there would be benefits to patients  having POCPS performed by experienced practitioners as practitioner skill could affect procedural success.</w:t>
      </w:r>
    </w:p>
    <w:p w14:paraId="1DFDDEFB" w14:textId="77777777" w:rsidR="0015035D" w:rsidRDefault="0015035D" w:rsidP="0015035D">
      <w:pPr>
        <w:keepNext/>
        <w:spacing w:before="0" w:after="240" w:line="240" w:lineRule="auto"/>
        <w:rPr>
          <w:rFonts w:eastAsia="Times New Roman" w:cs="Times New Roman"/>
          <w:color w:val="000000"/>
          <w:lang w:eastAsia="en-AU"/>
        </w:rPr>
      </w:pPr>
      <w:r w:rsidRPr="00840DDC">
        <w:rPr>
          <w:rFonts w:eastAsia="Times New Roman" w:cs="Times New Roman"/>
          <w:color w:val="000000"/>
          <w:lang w:eastAsia="en-AU"/>
        </w:rPr>
        <w:t>ESC noted that the therapeutic indication included direct evidence from two clinical trials: an RCT of POCPS versus ERCP (Angsuwatcharakon et al. 2019)</w:t>
      </w:r>
      <w:r w:rsidRPr="00840DDC">
        <w:rPr>
          <w:rFonts w:eastAsia="Times New Roman" w:cs="Times New Roman"/>
          <w:color w:val="000000"/>
          <w:vertAlign w:val="superscript"/>
          <w:lang w:eastAsia="en-AU"/>
        </w:rPr>
        <w:footnoteReference w:id="5"/>
      </w:r>
      <w:r w:rsidRPr="00840DDC">
        <w:rPr>
          <w:rFonts w:eastAsia="Times New Roman" w:cs="Times New Roman"/>
          <w:color w:val="000000"/>
          <w:lang w:eastAsia="en-AU"/>
        </w:rPr>
        <w:t>, and an RCT of POCPS vs laparoscopic choledochotomy (Li et al. 2021).</w:t>
      </w:r>
      <w:r w:rsidRPr="00840DDC">
        <w:rPr>
          <w:rFonts w:eastAsia="Times New Roman" w:cs="Times New Roman"/>
          <w:color w:val="000000"/>
          <w:vertAlign w:val="superscript"/>
          <w:lang w:eastAsia="en-AU"/>
        </w:rPr>
        <w:footnoteReference w:id="6"/>
      </w:r>
      <w:r>
        <w:rPr>
          <w:rFonts w:eastAsia="Times New Roman" w:cs="Times New Roman"/>
          <w:color w:val="000000"/>
          <w:lang w:eastAsia="en-AU"/>
        </w:rPr>
        <w:t xml:space="preserve"> </w:t>
      </w:r>
      <w:r w:rsidRPr="00840DDC">
        <w:rPr>
          <w:rFonts w:eastAsia="Times New Roman" w:cs="Times New Roman"/>
          <w:color w:val="000000"/>
          <w:lang w:eastAsia="en-AU"/>
        </w:rPr>
        <w:t>ESC noted that only two sources of evidence presented for the diagnostic indication were relevant: a randomised controlled trial (RCT) (Gerges et al. 2020)</w:t>
      </w:r>
      <w:r w:rsidRPr="00840DDC">
        <w:rPr>
          <w:rFonts w:eastAsia="Times New Roman" w:cs="Times New Roman"/>
          <w:color w:val="000000"/>
          <w:vertAlign w:val="superscript"/>
          <w:lang w:eastAsia="en-AU"/>
        </w:rPr>
        <w:footnoteReference w:id="7"/>
      </w:r>
      <w:r w:rsidRPr="00840DDC">
        <w:rPr>
          <w:rFonts w:eastAsia="Times New Roman" w:cs="Times New Roman"/>
          <w:color w:val="000000"/>
          <w:lang w:eastAsia="en-AU"/>
        </w:rPr>
        <w:t>, which informed most of the evidence for diagnostic efficacy, and a cohort study (Draganov et al. 2012).</w:t>
      </w:r>
      <w:r w:rsidRPr="00840DDC">
        <w:rPr>
          <w:rFonts w:eastAsia="Times New Roman" w:cs="Times New Roman"/>
          <w:color w:val="000000"/>
          <w:vertAlign w:val="superscript"/>
          <w:lang w:eastAsia="en-AU"/>
        </w:rPr>
        <w:footnoteReference w:id="8"/>
      </w:r>
      <w:r w:rsidRPr="00840DDC">
        <w:rPr>
          <w:rFonts w:eastAsia="Times New Roman" w:cs="Times New Roman"/>
          <w:color w:val="000000"/>
          <w:lang w:eastAsia="en-AU"/>
        </w:rPr>
        <w:t xml:space="preserve"> </w:t>
      </w:r>
    </w:p>
    <w:p w14:paraId="2F5FFADB" w14:textId="77777777" w:rsidR="0015035D" w:rsidRPr="00840DDC" w:rsidRDefault="0015035D" w:rsidP="0015035D">
      <w:pPr>
        <w:keepNext/>
        <w:spacing w:before="0" w:after="240" w:line="240" w:lineRule="auto"/>
        <w:rPr>
          <w:rFonts w:eastAsia="Times New Roman" w:cs="Times New Roman"/>
          <w:color w:val="000000"/>
          <w:lang w:eastAsia="en-AU"/>
        </w:rPr>
      </w:pPr>
      <w:r w:rsidRPr="00840DDC">
        <w:rPr>
          <w:rFonts w:eastAsia="Times New Roman" w:cs="Times New Roman"/>
          <w:color w:val="000000"/>
          <w:lang w:eastAsia="en-AU"/>
        </w:rPr>
        <w:t>ESC noted that the evidence did not always include patients who had first-line ERCP</w:t>
      </w:r>
      <w:r>
        <w:rPr>
          <w:rFonts w:eastAsia="Times New Roman" w:cs="Times New Roman"/>
          <w:color w:val="000000"/>
          <w:lang w:eastAsia="en-AU"/>
        </w:rPr>
        <w:t xml:space="preserve"> which is the proposed population for the PICO</w:t>
      </w:r>
      <w:r w:rsidRPr="00840DDC">
        <w:rPr>
          <w:rFonts w:eastAsia="Times New Roman" w:cs="Times New Roman"/>
          <w:color w:val="000000"/>
          <w:lang w:eastAsia="en-AU"/>
        </w:rPr>
        <w:t>. ESC noted from the commentary that for both indications, further supportive evidence in the form of naïve indirect comparisons</w:t>
      </w:r>
      <w:r>
        <w:rPr>
          <w:rFonts w:eastAsia="Times New Roman" w:cs="Times New Roman"/>
          <w:color w:val="000000"/>
          <w:lang w:eastAsia="en-AU"/>
        </w:rPr>
        <w:t xml:space="preserve"> was referenced in the ADAR but not evaluated</w:t>
      </w:r>
      <w:r w:rsidRPr="00840DDC">
        <w:rPr>
          <w:rFonts w:eastAsia="Times New Roman" w:cs="Times New Roman"/>
          <w:color w:val="000000"/>
          <w:lang w:eastAsia="en-AU"/>
        </w:rPr>
        <w:t xml:space="preserve">. ESC agreed with the commentary that there were methodological deficiencies with the indirect comparison approach in the ADAR. ESC acknowledged the pre-ESC response that the inclusion of a comparator within the search strategy would not overly restrict the results and considered this may be reasonable. ESC noted that the </w:t>
      </w:r>
      <w:r>
        <w:rPr>
          <w:rFonts w:eastAsia="Times New Roman" w:cs="Times New Roman"/>
          <w:color w:val="000000"/>
          <w:lang w:eastAsia="en-AU"/>
        </w:rPr>
        <w:t>applicant</w:t>
      </w:r>
      <w:r w:rsidRPr="00840DDC">
        <w:rPr>
          <w:rFonts w:eastAsia="Times New Roman" w:cs="Times New Roman"/>
          <w:color w:val="000000"/>
          <w:lang w:eastAsia="en-AU"/>
        </w:rPr>
        <w:t xml:space="preserve"> stated that the risk of bias assessment </w:t>
      </w:r>
      <w:r>
        <w:rPr>
          <w:rFonts w:eastAsia="Times New Roman" w:cs="Times New Roman"/>
          <w:color w:val="000000"/>
          <w:lang w:eastAsia="en-AU"/>
        </w:rPr>
        <w:t xml:space="preserve">may not be as relevant as it </w:t>
      </w:r>
      <w:r w:rsidRPr="00840DDC">
        <w:rPr>
          <w:rFonts w:eastAsia="Times New Roman" w:cs="Times New Roman"/>
          <w:color w:val="000000"/>
          <w:lang w:eastAsia="en-AU"/>
        </w:rPr>
        <w:t xml:space="preserve">should </w:t>
      </w:r>
      <w:r>
        <w:rPr>
          <w:rFonts w:eastAsia="Times New Roman" w:cs="Times New Roman"/>
          <w:color w:val="000000"/>
          <w:lang w:eastAsia="en-AU"/>
        </w:rPr>
        <w:t xml:space="preserve">have already </w:t>
      </w:r>
      <w:r w:rsidRPr="00840DDC">
        <w:rPr>
          <w:rFonts w:eastAsia="Times New Roman" w:cs="Times New Roman"/>
          <w:color w:val="000000"/>
          <w:lang w:eastAsia="en-AU"/>
        </w:rPr>
        <w:t>be</w:t>
      </w:r>
      <w:r>
        <w:rPr>
          <w:rFonts w:eastAsia="Times New Roman" w:cs="Times New Roman"/>
          <w:color w:val="000000"/>
          <w:lang w:eastAsia="en-AU"/>
        </w:rPr>
        <w:t>en</w:t>
      </w:r>
      <w:r w:rsidRPr="00840DDC">
        <w:rPr>
          <w:rFonts w:eastAsia="Times New Roman" w:cs="Times New Roman"/>
          <w:color w:val="000000"/>
          <w:lang w:eastAsia="en-AU"/>
        </w:rPr>
        <w:t xml:space="preserve"> done during the peer review process, but ESC did not agree</w:t>
      </w:r>
      <w:r>
        <w:rPr>
          <w:rFonts w:eastAsia="Times New Roman" w:cs="Times New Roman"/>
          <w:color w:val="000000"/>
          <w:lang w:eastAsia="en-AU"/>
        </w:rPr>
        <w:t xml:space="preserve"> that this was either common practice or a reason to not provide an in</w:t>
      </w:r>
      <w:r>
        <w:rPr>
          <w:rFonts w:eastAsia="Times New Roman" w:cs="Times New Roman"/>
          <w:color w:val="000000"/>
          <w:lang w:eastAsia="en-AU"/>
        </w:rPr>
        <w:noBreakHyphen/>
        <w:t xml:space="preserve">depth risk of bias assessment. </w:t>
      </w:r>
    </w:p>
    <w:p w14:paraId="10277BD4" w14:textId="01AC6F02" w:rsidR="0015035D" w:rsidRPr="00840DDC" w:rsidRDefault="0015035D" w:rsidP="0015035D">
      <w:pPr>
        <w:spacing w:before="0" w:after="240" w:line="240" w:lineRule="auto"/>
        <w:rPr>
          <w:rFonts w:eastAsia="Times New Roman" w:cs="Times New Roman"/>
          <w:color w:val="000000"/>
          <w:lang w:eastAsia="en-AU"/>
        </w:rPr>
      </w:pPr>
      <w:r w:rsidRPr="00840DDC">
        <w:rPr>
          <w:rFonts w:eastAsia="Times New Roman" w:cs="Times New Roman"/>
          <w:color w:val="000000"/>
          <w:lang w:eastAsia="en-AU"/>
        </w:rPr>
        <w:t xml:space="preserve">ESC considered it appropriate to focus </w:t>
      </w:r>
      <w:r>
        <w:rPr>
          <w:rFonts w:eastAsia="Times New Roman" w:cs="Times New Roman"/>
          <w:color w:val="000000"/>
          <w:lang w:eastAsia="en-AU"/>
        </w:rPr>
        <w:t xml:space="preserve">solely </w:t>
      </w:r>
      <w:r w:rsidRPr="00840DDC">
        <w:rPr>
          <w:rFonts w:eastAsia="Times New Roman" w:cs="Times New Roman"/>
          <w:color w:val="000000"/>
          <w:lang w:eastAsia="en-AU"/>
        </w:rPr>
        <w:t>on the comparative evidence. However, regarding comparative safety</w:t>
      </w:r>
      <w:r w:rsidR="00CA5C11">
        <w:rPr>
          <w:rFonts w:eastAsia="Times New Roman" w:cs="Times New Roman"/>
          <w:color w:val="000000"/>
          <w:lang w:eastAsia="en-AU"/>
        </w:rPr>
        <w:t>,</w:t>
      </w:r>
      <w:r w:rsidR="00A561F2">
        <w:rPr>
          <w:rFonts w:eastAsia="Times New Roman" w:cs="Times New Roman"/>
          <w:color w:val="000000"/>
          <w:lang w:eastAsia="en-AU"/>
        </w:rPr>
        <w:t xml:space="preserve"> </w:t>
      </w:r>
      <w:r w:rsidRPr="00840DDC">
        <w:rPr>
          <w:rFonts w:eastAsia="Times New Roman" w:cs="Times New Roman"/>
          <w:color w:val="000000"/>
          <w:lang w:eastAsia="en-AU"/>
        </w:rPr>
        <w:t>ESC noted that the studies had small samples</w:t>
      </w:r>
      <w:r>
        <w:rPr>
          <w:rFonts w:eastAsia="Times New Roman" w:cs="Times New Roman"/>
          <w:color w:val="000000"/>
          <w:lang w:eastAsia="en-AU"/>
        </w:rPr>
        <w:t xml:space="preserve"> and no systematic capture of adverse events</w:t>
      </w:r>
      <w:r w:rsidRPr="00840DDC">
        <w:rPr>
          <w:rFonts w:eastAsia="Times New Roman" w:cs="Times New Roman"/>
          <w:color w:val="000000"/>
          <w:lang w:eastAsia="en-AU"/>
        </w:rPr>
        <w:t xml:space="preserve">, so considered it likely that they were inadequate to capture accurate adverse event rates. ESC considered safety data from larger non-comparative studies </w:t>
      </w:r>
      <w:r>
        <w:rPr>
          <w:rFonts w:eastAsia="Times New Roman" w:cs="Times New Roman"/>
          <w:color w:val="000000"/>
          <w:lang w:eastAsia="en-AU"/>
        </w:rPr>
        <w:t xml:space="preserve">should </w:t>
      </w:r>
      <w:r w:rsidRPr="00840DDC">
        <w:rPr>
          <w:rFonts w:eastAsia="Times New Roman" w:cs="Times New Roman"/>
          <w:color w:val="000000"/>
          <w:lang w:eastAsia="en-AU"/>
        </w:rPr>
        <w:t>supplement the direct comparative evidence</w:t>
      </w:r>
      <w:r>
        <w:rPr>
          <w:rFonts w:eastAsia="Times New Roman" w:cs="Times New Roman"/>
          <w:color w:val="000000"/>
          <w:lang w:eastAsia="en-AU"/>
        </w:rPr>
        <w:t xml:space="preserve"> but this was not available from the ADAR</w:t>
      </w:r>
      <w:r w:rsidR="00CA5C11">
        <w:rPr>
          <w:rFonts w:eastAsia="Times New Roman" w:cs="Times New Roman"/>
          <w:color w:val="000000"/>
          <w:lang w:eastAsia="en-AU"/>
        </w:rPr>
        <w:t>.</w:t>
      </w:r>
    </w:p>
    <w:p w14:paraId="55C62671" w14:textId="37460DA1" w:rsidR="0015035D" w:rsidRPr="00840DDC" w:rsidRDefault="0015035D" w:rsidP="0015035D">
      <w:pPr>
        <w:spacing w:before="0" w:after="240" w:line="240" w:lineRule="auto"/>
        <w:rPr>
          <w:rFonts w:eastAsia="Times New Roman" w:cs="Times New Roman"/>
          <w:color w:val="000000"/>
          <w:lang w:eastAsia="en-AU"/>
        </w:rPr>
      </w:pPr>
      <w:r w:rsidRPr="00840DDC">
        <w:rPr>
          <w:rFonts w:eastAsia="Times New Roman" w:cs="Times New Roman"/>
          <w:color w:val="000000"/>
          <w:lang w:eastAsia="en-AU"/>
        </w:rPr>
        <w:t xml:space="preserve">For the investigative indication, ESC noted that the RCT by Gerges et al. (2020) reported no significant difference in the rate of pancreatitis between the two treatment arms. For the therapeutic indication, ESC noted that adverse events were not explicitly recorded. The study by Angsuwatcharakon et al. (2019) reported one patient in each treatment arm with pancreatitis (6% of patients in each arm), but the sample size was very small (n=16 per arm). The study by Li et al. (2021) reported patients with pancreatitis and bleeding. The absolute difference in adverse events for both studies was small. ESC considered there </w:t>
      </w:r>
      <w:r>
        <w:rPr>
          <w:rFonts w:eastAsia="Times New Roman" w:cs="Times New Roman"/>
          <w:color w:val="000000"/>
          <w:lang w:eastAsia="en-AU"/>
        </w:rPr>
        <w:t xml:space="preserve">are well characterised adverse events associated with POCPS </w:t>
      </w:r>
      <w:r w:rsidRPr="00C77372">
        <w:rPr>
          <w:rFonts w:eastAsia="Times New Roman" w:cs="Times New Roman"/>
          <w:color w:val="000000"/>
          <w:lang w:eastAsia="en-AU"/>
        </w:rPr>
        <w:t xml:space="preserve">(e.g. pancreatitis and cholangitis). </w:t>
      </w:r>
      <w:r>
        <w:rPr>
          <w:rFonts w:eastAsia="Times New Roman" w:cs="Times New Roman"/>
          <w:color w:val="000000"/>
          <w:lang w:eastAsia="en-AU"/>
        </w:rPr>
        <w:t>ESC considered</w:t>
      </w:r>
      <w:r w:rsidRPr="00840DDC">
        <w:rPr>
          <w:rFonts w:eastAsia="Times New Roman" w:cs="Times New Roman"/>
          <w:color w:val="000000"/>
          <w:lang w:eastAsia="en-AU"/>
        </w:rPr>
        <w:t xml:space="preserve"> that further evidence (possibly in the form of indirect studies using absolute rates) was needed</w:t>
      </w:r>
      <w:r w:rsidR="00CA5C11">
        <w:rPr>
          <w:rFonts w:eastAsia="Times New Roman" w:cs="Times New Roman"/>
          <w:color w:val="000000"/>
          <w:lang w:eastAsia="en-AU"/>
        </w:rPr>
        <w:t>. There was</w:t>
      </w:r>
      <w:r w:rsidRPr="00C77372">
        <w:rPr>
          <w:rFonts w:eastAsia="Times New Roman" w:cs="Times New Roman"/>
          <w:color w:val="000000"/>
          <w:lang w:eastAsia="en-AU"/>
        </w:rPr>
        <w:t xml:space="preserve"> </w:t>
      </w:r>
      <w:r w:rsidRPr="00840DDC">
        <w:rPr>
          <w:rFonts w:eastAsia="Times New Roman" w:cs="Times New Roman"/>
          <w:color w:val="000000"/>
          <w:lang w:eastAsia="en-AU"/>
        </w:rPr>
        <w:t xml:space="preserve">uncertainty in how adverse events differ for POCPS </w:t>
      </w:r>
      <w:r>
        <w:rPr>
          <w:rFonts w:eastAsia="Times New Roman" w:cs="Times New Roman"/>
          <w:color w:val="000000"/>
          <w:lang w:eastAsia="en-AU"/>
        </w:rPr>
        <w:t>and</w:t>
      </w:r>
      <w:r w:rsidRPr="00840DDC">
        <w:rPr>
          <w:rFonts w:eastAsia="Times New Roman" w:cs="Times New Roman"/>
          <w:color w:val="000000"/>
          <w:lang w:eastAsia="en-AU"/>
        </w:rPr>
        <w:t xml:space="preserve"> ERCP.</w:t>
      </w:r>
      <w:r w:rsidRPr="00C77372">
        <w:rPr>
          <w:rFonts w:eastAsia="Times New Roman" w:cs="Times New Roman"/>
          <w:color w:val="000000"/>
          <w:lang w:eastAsia="en-AU"/>
        </w:rPr>
        <w:t xml:space="preserve"> </w:t>
      </w:r>
      <w:r w:rsidRPr="00840DDC">
        <w:rPr>
          <w:rFonts w:eastAsia="Times New Roman" w:cs="Times New Roman"/>
          <w:color w:val="000000"/>
          <w:lang w:eastAsia="en-AU"/>
        </w:rPr>
        <w:t>ESC also considered that rarer side effects may not be captured in the provided studies.</w:t>
      </w:r>
    </w:p>
    <w:p w14:paraId="2DBDA042" w14:textId="2F82E8EC" w:rsidR="0015035D" w:rsidRPr="00840DDC" w:rsidRDefault="0015035D" w:rsidP="0015035D">
      <w:pPr>
        <w:spacing w:before="0" w:after="240" w:line="240" w:lineRule="auto"/>
        <w:rPr>
          <w:rFonts w:eastAsia="Times New Roman" w:cs="Times New Roman"/>
          <w:color w:val="000000"/>
          <w:lang w:eastAsia="en-AU"/>
        </w:rPr>
      </w:pPr>
      <w:r w:rsidRPr="00102E55">
        <w:rPr>
          <w:rFonts w:eastAsia="Times New Roman" w:cs="Times New Roman"/>
          <w:color w:val="000000"/>
          <w:lang w:eastAsia="en-AU"/>
        </w:rPr>
        <w:t xml:space="preserve">Regarding comparative effectiveness for the diagnostic application, ESC considered there to be several issues with the RCT (Gerges et al. 2020). The study population did not have prior ERCP and was not applicable to the </w:t>
      </w:r>
      <w:r>
        <w:rPr>
          <w:rFonts w:eastAsia="Times New Roman" w:cs="Times New Roman"/>
          <w:color w:val="000000"/>
          <w:lang w:eastAsia="en-AU"/>
        </w:rPr>
        <w:t xml:space="preserve">proposed </w:t>
      </w:r>
      <w:r w:rsidRPr="00102E55">
        <w:rPr>
          <w:rFonts w:eastAsia="Times New Roman" w:cs="Times New Roman"/>
          <w:color w:val="000000"/>
          <w:lang w:eastAsia="en-AU"/>
        </w:rPr>
        <w:t>MBS populations. The proportion of patients diagnosed with malignancy was not equal in the arms</w:t>
      </w:r>
      <w:r>
        <w:rPr>
          <w:rFonts w:eastAsia="Times New Roman" w:cs="Times New Roman"/>
          <w:color w:val="000000"/>
          <w:lang w:eastAsia="en-AU"/>
        </w:rPr>
        <w:t xml:space="preserve">, and </w:t>
      </w:r>
      <w:r w:rsidRPr="00102E55">
        <w:rPr>
          <w:rFonts w:eastAsia="Times New Roman" w:cs="Times New Roman"/>
          <w:color w:val="000000"/>
          <w:lang w:eastAsia="en-AU"/>
        </w:rPr>
        <w:t>ESC considered this could be due to unequal randomisation</w:t>
      </w:r>
      <w:r>
        <w:rPr>
          <w:rFonts w:eastAsia="Times New Roman" w:cs="Times New Roman"/>
          <w:color w:val="000000"/>
          <w:lang w:eastAsia="en-AU"/>
        </w:rPr>
        <w:t>.</w:t>
      </w:r>
      <w:r w:rsidRPr="00102E55">
        <w:rPr>
          <w:rFonts w:eastAsia="Times New Roman" w:cs="Times New Roman"/>
          <w:color w:val="000000"/>
          <w:lang w:eastAsia="en-AU"/>
        </w:rPr>
        <w:t xml:space="preserve"> </w:t>
      </w:r>
      <w:r>
        <w:rPr>
          <w:rFonts w:eastAsia="Times New Roman" w:cs="Times New Roman"/>
          <w:color w:val="000000"/>
          <w:lang w:eastAsia="en-AU"/>
        </w:rPr>
        <w:t>V</w:t>
      </w:r>
      <w:r w:rsidRPr="00102E55">
        <w:rPr>
          <w:rFonts w:eastAsia="Times New Roman" w:cs="Times New Roman"/>
          <w:color w:val="000000"/>
          <w:lang w:eastAsia="en-AU"/>
        </w:rPr>
        <w:t xml:space="preserve">erification bias </w:t>
      </w:r>
      <w:r>
        <w:rPr>
          <w:rFonts w:eastAsia="Times New Roman" w:cs="Times New Roman"/>
          <w:color w:val="000000"/>
          <w:lang w:eastAsia="en-AU"/>
        </w:rPr>
        <w:t xml:space="preserve">may be present </w:t>
      </w:r>
      <w:r w:rsidRPr="00102E55">
        <w:rPr>
          <w:rFonts w:eastAsia="Times New Roman" w:cs="Times New Roman"/>
          <w:color w:val="000000"/>
          <w:lang w:eastAsia="en-AU"/>
        </w:rPr>
        <w:t>due to patients undergoing different interventions to confirm malignancy. The results reported a significant difference in sensitivity, but the estimate is at risk of bias. Additionally, the study had a small number of participants (n=60</w:t>
      </w:r>
      <w:r>
        <w:rPr>
          <w:rFonts w:eastAsia="Times New Roman" w:cs="Times New Roman"/>
          <w:color w:val="000000"/>
          <w:lang w:eastAsia="en-AU"/>
        </w:rPr>
        <w:t xml:space="preserve">) and </w:t>
      </w:r>
      <w:r w:rsidRPr="00840DDC">
        <w:rPr>
          <w:rFonts w:eastAsia="Times New Roman" w:cs="Times New Roman"/>
          <w:color w:val="000000"/>
          <w:lang w:eastAsia="en-AU"/>
        </w:rPr>
        <w:t>there was no difference in the number of procedures needed to reach diagnosis</w:t>
      </w:r>
      <w:r w:rsidR="00CA5C11">
        <w:rPr>
          <w:rFonts w:eastAsia="Times New Roman" w:cs="Times New Roman"/>
          <w:color w:val="000000"/>
          <w:lang w:eastAsia="en-AU"/>
        </w:rPr>
        <w:t>.</w:t>
      </w:r>
    </w:p>
    <w:p w14:paraId="5EB9CA55" w14:textId="77777777" w:rsidR="0015035D" w:rsidRPr="00840DDC" w:rsidRDefault="0015035D" w:rsidP="0015035D">
      <w:pPr>
        <w:keepNext/>
        <w:spacing w:before="0" w:after="240" w:line="240" w:lineRule="auto"/>
        <w:rPr>
          <w:rFonts w:eastAsia="Times New Roman" w:cs="Times New Roman"/>
          <w:color w:val="000000"/>
          <w:lang w:eastAsia="en-AU"/>
        </w:rPr>
      </w:pPr>
      <w:r w:rsidRPr="00840DDC">
        <w:rPr>
          <w:rFonts w:eastAsia="Times New Roman" w:cs="Times New Roman"/>
          <w:color w:val="000000"/>
          <w:lang w:eastAsia="en-AU"/>
        </w:rPr>
        <w:t xml:space="preserve">ESC noted that the study by Draganov et al. (2012) included 26 patients (17 with cancer, 9 without) who had prior ERCP. </w:t>
      </w:r>
      <w:r>
        <w:rPr>
          <w:rFonts w:eastAsia="Times New Roman" w:cs="Times New Roman"/>
          <w:color w:val="000000"/>
          <w:lang w:eastAsia="en-AU"/>
        </w:rPr>
        <w:t>The tests used included</w:t>
      </w:r>
      <w:r w:rsidRPr="00840DDC">
        <w:rPr>
          <w:rFonts w:eastAsia="Times New Roman" w:cs="Times New Roman"/>
          <w:color w:val="000000"/>
          <w:lang w:eastAsia="en-AU"/>
        </w:rPr>
        <w:t xml:space="preserve"> ERCP-guided brushings, ERCP-guided biopsies and POCPS-guided biopsies. ESC considered there to be several issues with this cohort study</w:t>
      </w:r>
      <w:r>
        <w:rPr>
          <w:rFonts w:eastAsia="Times New Roman" w:cs="Times New Roman"/>
          <w:color w:val="000000"/>
          <w:lang w:eastAsia="en-AU"/>
        </w:rPr>
        <w:t xml:space="preserve">. ESC noted that </w:t>
      </w:r>
      <w:r w:rsidRPr="00102E55">
        <w:rPr>
          <w:rFonts w:eastAsia="Times New Roman" w:cs="Times New Roman"/>
          <w:color w:val="000000"/>
          <w:lang w:eastAsia="en-AU"/>
        </w:rPr>
        <w:t>it was unclear if the pathologists knew the results of the ERCP-guided brushings and biopsies before reading the results of the POCPS-guided biopsies, which would have improved the sensitivity of the test</w:t>
      </w:r>
      <w:r>
        <w:rPr>
          <w:rFonts w:eastAsia="Times New Roman" w:cs="Times New Roman"/>
          <w:color w:val="000000"/>
          <w:lang w:eastAsia="en-AU"/>
        </w:rPr>
        <w:t>. ESC noted t</w:t>
      </w:r>
      <w:r w:rsidRPr="00840DDC">
        <w:rPr>
          <w:rFonts w:eastAsia="Times New Roman" w:cs="Times New Roman"/>
          <w:color w:val="000000"/>
          <w:lang w:eastAsia="en-AU"/>
        </w:rPr>
        <w:t>he reference standard (surgery), which was applied variably, follow-up and other testing, but the type of ‘other testing’ was not disclosed.</w:t>
      </w:r>
    </w:p>
    <w:p w14:paraId="18940E3A" w14:textId="77777777" w:rsidR="0015035D" w:rsidRPr="00840DDC" w:rsidRDefault="0015035D" w:rsidP="0015035D">
      <w:pPr>
        <w:spacing w:before="0" w:after="240" w:line="240" w:lineRule="auto"/>
        <w:rPr>
          <w:rFonts w:eastAsia="Times New Roman" w:cs="Times New Roman"/>
          <w:color w:val="000000"/>
          <w:lang w:eastAsia="en-AU"/>
        </w:rPr>
      </w:pPr>
      <w:r w:rsidRPr="00840DDC">
        <w:rPr>
          <w:rFonts w:eastAsia="Times New Roman" w:cs="Times New Roman"/>
          <w:color w:val="000000"/>
          <w:lang w:eastAsia="en-AU"/>
        </w:rPr>
        <w:t>Overall, ESC considered there to be issues with applicability, a lack of randomisation and a differing reference standard. ESC considered the estimate of effect, which had high sensitivity, to be uncertain. ESC noted th</w:t>
      </w:r>
      <w:r>
        <w:rPr>
          <w:rFonts w:eastAsia="Times New Roman" w:cs="Times New Roman"/>
          <w:color w:val="000000"/>
          <w:lang w:eastAsia="en-AU"/>
        </w:rPr>
        <w:t>at the ADAR reported the</w:t>
      </w:r>
      <w:r w:rsidRPr="00840DDC">
        <w:rPr>
          <w:rFonts w:eastAsia="Times New Roman" w:cs="Times New Roman"/>
          <w:color w:val="000000"/>
          <w:lang w:eastAsia="en-AU"/>
        </w:rPr>
        <w:t xml:space="preserve"> risk of bias </w:t>
      </w:r>
      <w:r>
        <w:rPr>
          <w:rFonts w:eastAsia="Times New Roman" w:cs="Times New Roman"/>
          <w:color w:val="000000"/>
          <w:lang w:eastAsia="en-AU"/>
        </w:rPr>
        <w:t>as</w:t>
      </w:r>
      <w:r w:rsidRPr="00840DDC">
        <w:rPr>
          <w:rFonts w:eastAsia="Times New Roman" w:cs="Times New Roman"/>
          <w:color w:val="000000"/>
          <w:lang w:eastAsia="en-AU"/>
        </w:rPr>
        <w:t xml:space="preserve"> low however, ESC considered </w:t>
      </w:r>
      <w:r>
        <w:rPr>
          <w:rFonts w:eastAsia="Times New Roman" w:cs="Times New Roman"/>
          <w:color w:val="000000"/>
          <w:lang w:eastAsia="en-AU"/>
        </w:rPr>
        <w:t>the risk of bias is more likely to be</w:t>
      </w:r>
      <w:r w:rsidRPr="00840DDC">
        <w:rPr>
          <w:rFonts w:eastAsia="Times New Roman" w:cs="Times New Roman"/>
          <w:color w:val="000000"/>
          <w:lang w:eastAsia="en-AU"/>
        </w:rPr>
        <w:t xml:space="preserve"> high, particularly concerning selection bias, </w:t>
      </w:r>
      <w:r>
        <w:rPr>
          <w:rFonts w:eastAsia="Times New Roman" w:cs="Times New Roman"/>
          <w:color w:val="000000"/>
          <w:lang w:eastAsia="en-AU"/>
        </w:rPr>
        <w:t>variable</w:t>
      </w:r>
      <w:r w:rsidRPr="00840DDC">
        <w:rPr>
          <w:rFonts w:eastAsia="Times New Roman" w:cs="Times New Roman"/>
          <w:color w:val="000000"/>
          <w:lang w:eastAsia="en-AU"/>
        </w:rPr>
        <w:t xml:space="preserve"> reference standard and </w:t>
      </w:r>
      <w:r>
        <w:rPr>
          <w:rFonts w:eastAsia="Times New Roman" w:cs="Times New Roman"/>
          <w:color w:val="000000"/>
          <w:lang w:eastAsia="en-AU"/>
        </w:rPr>
        <w:t xml:space="preserve">lack of </w:t>
      </w:r>
      <w:r w:rsidRPr="00840DDC">
        <w:rPr>
          <w:rFonts w:eastAsia="Times New Roman" w:cs="Times New Roman"/>
          <w:color w:val="000000"/>
          <w:lang w:eastAsia="en-AU"/>
        </w:rPr>
        <w:t>blinding.</w:t>
      </w:r>
    </w:p>
    <w:p w14:paraId="02F27767" w14:textId="179F094A" w:rsidR="0015035D" w:rsidRDefault="0015035D" w:rsidP="0015035D">
      <w:pPr>
        <w:keepNext/>
        <w:spacing w:before="0" w:after="240" w:line="240" w:lineRule="auto"/>
        <w:rPr>
          <w:rFonts w:eastAsia="Times New Roman" w:cs="Times New Roman"/>
          <w:color w:val="000000"/>
          <w:lang w:eastAsia="en-AU"/>
        </w:rPr>
      </w:pPr>
      <w:r w:rsidRPr="00840DDC">
        <w:rPr>
          <w:rFonts w:eastAsia="Times New Roman" w:cs="Times New Roman"/>
          <w:lang w:eastAsia="en-AU"/>
        </w:rPr>
        <w:t xml:space="preserve">For the diagnostic indication, a linked evidence approach to the clinical claim was used. </w:t>
      </w:r>
      <w:r w:rsidRPr="00840DDC">
        <w:rPr>
          <w:rFonts w:eastAsia="Times New Roman" w:cs="Times New Roman"/>
          <w:color w:val="000000"/>
          <w:lang w:eastAsia="en-AU"/>
        </w:rPr>
        <w:t>The pre-ESC response provided further rationale that POCPS produces fewer inconclusive results, resulting in a reduction in repeated diagnostic procedures and unnecessary surgical resection of benign strictures</w:t>
      </w:r>
      <w:r w:rsidR="00A52D63">
        <w:rPr>
          <w:rFonts w:eastAsia="Times New Roman" w:cs="Times New Roman"/>
          <w:color w:val="000000"/>
          <w:lang w:eastAsia="en-AU"/>
        </w:rPr>
        <w:t>.</w:t>
      </w:r>
    </w:p>
    <w:p w14:paraId="2ADB63F7" w14:textId="77777777" w:rsidR="0015035D" w:rsidRPr="00840DDC" w:rsidRDefault="0015035D" w:rsidP="0015035D">
      <w:pPr>
        <w:keepNext/>
        <w:spacing w:before="0" w:after="240" w:line="240" w:lineRule="auto"/>
        <w:rPr>
          <w:rFonts w:eastAsia="Times New Roman" w:cs="Times New Roman"/>
          <w:color w:val="000000"/>
          <w:lang w:eastAsia="en-AU"/>
        </w:rPr>
      </w:pPr>
      <w:r w:rsidRPr="00840DDC">
        <w:rPr>
          <w:rFonts w:eastAsia="Times New Roman" w:cs="Times New Roman"/>
          <w:color w:val="000000"/>
          <w:lang w:eastAsia="en-AU"/>
        </w:rPr>
        <w:t>ESC noted that the change in clinical management data was presented, but had concerns with:</w:t>
      </w:r>
    </w:p>
    <w:p w14:paraId="3D96C164" w14:textId="77777777" w:rsidR="0015035D" w:rsidRPr="00840DDC" w:rsidRDefault="0015035D" w:rsidP="0015035D">
      <w:pPr>
        <w:pStyle w:val="ListParagraph"/>
        <w:numPr>
          <w:ilvl w:val="0"/>
          <w:numId w:val="26"/>
        </w:numPr>
        <w:tabs>
          <w:tab w:val="num" w:pos="360"/>
        </w:tabs>
        <w:spacing w:before="0" w:after="240" w:line="240" w:lineRule="auto"/>
        <w:rPr>
          <w:rFonts w:eastAsia="Times New Roman" w:cs="Times New Roman"/>
          <w:color w:val="000000"/>
          <w:lang w:eastAsia="en-AU"/>
        </w:rPr>
      </w:pPr>
      <w:r w:rsidRPr="00840DDC">
        <w:rPr>
          <w:rFonts w:eastAsia="Times New Roman" w:cs="Times New Roman"/>
          <w:color w:val="000000"/>
          <w:lang w:eastAsia="en-AU"/>
        </w:rPr>
        <w:t>applicability (as they were overseas data and the populations had different malignancy rates)</w:t>
      </w:r>
    </w:p>
    <w:p w14:paraId="5B85EED2" w14:textId="77777777" w:rsidR="0015035D" w:rsidRPr="00840DDC" w:rsidRDefault="0015035D" w:rsidP="0015035D">
      <w:pPr>
        <w:pStyle w:val="ListParagraph"/>
        <w:numPr>
          <w:ilvl w:val="0"/>
          <w:numId w:val="26"/>
        </w:numPr>
        <w:tabs>
          <w:tab w:val="num" w:pos="360"/>
        </w:tabs>
        <w:spacing w:before="0" w:after="240" w:line="240" w:lineRule="auto"/>
        <w:rPr>
          <w:rFonts w:eastAsia="Times New Roman" w:cs="Times New Roman"/>
          <w:color w:val="000000"/>
          <w:lang w:eastAsia="en-AU"/>
        </w:rPr>
      </w:pPr>
      <w:r w:rsidRPr="00840DDC">
        <w:rPr>
          <w:rFonts w:eastAsia="Times New Roman" w:cs="Times New Roman"/>
          <w:color w:val="000000"/>
          <w:lang w:eastAsia="en-AU"/>
        </w:rPr>
        <w:t>applicability in the Australian context of clinical decision-making</w:t>
      </w:r>
    </w:p>
    <w:p w14:paraId="3C27D1CB" w14:textId="77777777" w:rsidR="0015035D" w:rsidRPr="00840DDC" w:rsidRDefault="0015035D" w:rsidP="0015035D">
      <w:pPr>
        <w:pStyle w:val="ListParagraph"/>
        <w:numPr>
          <w:ilvl w:val="0"/>
          <w:numId w:val="26"/>
        </w:numPr>
        <w:tabs>
          <w:tab w:val="num" w:pos="360"/>
        </w:tabs>
        <w:spacing w:before="0" w:after="240" w:line="240" w:lineRule="auto"/>
        <w:rPr>
          <w:rFonts w:eastAsia="Times New Roman" w:cs="Times New Roman"/>
          <w:color w:val="000000"/>
          <w:lang w:eastAsia="en-AU"/>
        </w:rPr>
      </w:pPr>
      <w:r w:rsidRPr="00840DDC">
        <w:rPr>
          <w:rFonts w:eastAsia="Times New Roman" w:cs="Times New Roman"/>
          <w:color w:val="000000"/>
          <w:lang w:eastAsia="en-AU"/>
        </w:rPr>
        <w:t>bias, which was not adequately assessed</w:t>
      </w:r>
    </w:p>
    <w:p w14:paraId="5EA83AFA" w14:textId="77777777" w:rsidR="0015035D" w:rsidRPr="00102E55" w:rsidRDefault="0015035D" w:rsidP="0015035D">
      <w:pPr>
        <w:pStyle w:val="ListParagraph"/>
        <w:numPr>
          <w:ilvl w:val="0"/>
          <w:numId w:val="26"/>
        </w:numPr>
        <w:tabs>
          <w:tab w:val="num" w:pos="360"/>
        </w:tabs>
        <w:spacing w:before="0" w:after="240" w:line="240" w:lineRule="auto"/>
        <w:rPr>
          <w:rFonts w:eastAsia="Times New Roman" w:cs="Times New Roman"/>
          <w:color w:val="000000"/>
          <w:lang w:eastAsia="en-AU"/>
        </w:rPr>
      </w:pPr>
      <w:r w:rsidRPr="00840DDC">
        <w:rPr>
          <w:rFonts w:eastAsia="Times New Roman" w:cs="Times New Roman"/>
          <w:color w:val="000000"/>
          <w:lang w:eastAsia="en-AU"/>
        </w:rPr>
        <w:t xml:space="preserve">the reduction in further procedures not being </w:t>
      </w:r>
      <w:r>
        <w:rPr>
          <w:rFonts w:eastAsia="Times New Roman" w:cs="Times New Roman"/>
          <w:color w:val="000000"/>
          <w:lang w:eastAsia="en-AU"/>
        </w:rPr>
        <w:t>supported</w:t>
      </w:r>
      <w:r w:rsidRPr="00840DDC">
        <w:rPr>
          <w:rFonts w:eastAsia="Times New Roman" w:cs="Times New Roman"/>
          <w:color w:val="000000"/>
          <w:lang w:eastAsia="en-AU"/>
        </w:rPr>
        <w:t xml:space="preserve"> (the study by Gerges et al. (2020) reported no difference but did not provide numbers).</w:t>
      </w:r>
    </w:p>
    <w:p w14:paraId="76EB67AD" w14:textId="77777777" w:rsidR="0015035D" w:rsidRPr="00840DDC" w:rsidRDefault="0015035D" w:rsidP="0015035D">
      <w:pPr>
        <w:spacing w:before="0" w:after="240" w:line="240" w:lineRule="auto"/>
        <w:rPr>
          <w:rFonts w:eastAsia="Times New Roman" w:cs="Times New Roman"/>
          <w:color w:val="000000"/>
          <w:lang w:eastAsia="en-AU"/>
        </w:rPr>
      </w:pPr>
      <w:r w:rsidRPr="00840DDC">
        <w:rPr>
          <w:rFonts w:eastAsia="Times New Roman" w:cs="Times New Roman"/>
          <w:color w:val="000000"/>
          <w:lang w:eastAsia="en-AU"/>
        </w:rPr>
        <w:t xml:space="preserve">For the therapeutic application, ESC considered the risk of bias for the Angsuwatcharakon et al. (2019) to be high </w:t>
      </w:r>
      <w:r>
        <w:rPr>
          <w:rFonts w:eastAsia="Times New Roman" w:cs="Times New Roman"/>
          <w:color w:val="000000"/>
          <w:lang w:eastAsia="en-AU"/>
        </w:rPr>
        <w:t xml:space="preserve">(not low) due to </w:t>
      </w:r>
      <w:r w:rsidRPr="00840DDC">
        <w:rPr>
          <w:rFonts w:eastAsia="Times New Roman" w:cs="Times New Roman"/>
          <w:color w:val="000000"/>
          <w:lang w:eastAsia="en-AU"/>
        </w:rPr>
        <w:t xml:space="preserve">incomplete results and selective reporting domains. ESC considered the </w:t>
      </w:r>
      <w:r>
        <w:rPr>
          <w:rFonts w:eastAsia="Times New Roman" w:cs="Times New Roman"/>
          <w:color w:val="000000"/>
          <w:lang w:eastAsia="en-AU"/>
        </w:rPr>
        <w:t xml:space="preserve">study </w:t>
      </w:r>
      <w:r w:rsidRPr="00840DDC">
        <w:rPr>
          <w:rFonts w:eastAsia="Times New Roman" w:cs="Times New Roman"/>
          <w:color w:val="000000"/>
          <w:lang w:eastAsia="en-AU"/>
        </w:rPr>
        <w:t>may not be fully generalisable to the Australian context as it included patients with common bile duct stones only while POCPS is promoted for more difficult biliary stones. ESC considered that there is potential for bias where practitioners may prefer laser lithotripsy</w:t>
      </w:r>
      <w:r>
        <w:rPr>
          <w:rFonts w:eastAsia="Times New Roman" w:cs="Times New Roman"/>
          <w:color w:val="000000"/>
          <w:lang w:eastAsia="en-AU"/>
        </w:rPr>
        <w:t xml:space="preserve"> and chosen this in the study if allocation concealment was not adequate</w:t>
      </w:r>
      <w:r w:rsidRPr="00840DDC">
        <w:rPr>
          <w:rFonts w:eastAsia="Times New Roman" w:cs="Times New Roman"/>
          <w:color w:val="000000"/>
          <w:lang w:eastAsia="en-AU"/>
        </w:rPr>
        <w:t xml:space="preserve">. </w:t>
      </w:r>
      <w:r>
        <w:rPr>
          <w:rFonts w:eastAsia="Times New Roman" w:cs="Times New Roman"/>
          <w:color w:val="000000"/>
          <w:lang w:eastAsia="en-AU"/>
        </w:rPr>
        <w:t>In</w:t>
      </w:r>
      <w:r w:rsidRPr="00840DDC">
        <w:rPr>
          <w:rFonts w:eastAsia="Times New Roman" w:cs="Times New Roman"/>
          <w:color w:val="000000"/>
          <w:lang w:eastAsia="en-AU"/>
        </w:rPr>
        <w:t xml:space="preserve"> Angsuwatcharakon et al. (2019), three of six patients who did not have complete stone clearance with ERCP-ML had stone clearance after switching to laser lithotripsy in the same session. Other issues ESC identified included </w:t>
      </w:r>
      <w:r>
        <w:rPr>
          <w:rFonts w:eastAsia="Times New Roman" w:cs="Times New Roman"/>
          <w:color w:val="000000"/>
          <w:lang w:eastAsia="en-AU"/>
        </w:rPr>
        <w:t xml:space="preserve">were </w:t>
      </w:r>
      <w:r w:rsidRPr="00840DDC">
        <w:rPr>
          <w:rFonts w:eastAsia="Times New Roman" w:cs="Times New Roman"/>
          <w:color w:val="000000"/>
          <w:lang w:eastAsia="en-AU"/>
        </w:rPr>
        <w:t xml:space="preserve">the small sample size(n=32) for the primary effectiveness outcome of complete stone clearance and the confidence interval for the relative effectiveness being wide. </w:t>
      </w:r>
    </w:p>
    <w:p w14:paraId="3FF55667" w14:textId="77777777" w:rsidR="0015035D" w:rsidRPr="00840DDC" w:rsidRDefault="0015035D" w:rsidP="0015035D">
      <w:pPr>
        <w:spacing w:before="0" w:after="240" w:line="240" w:lineRule="auto"/>
        <w:rPr>
          <w:rFonts w:eastAsia="Times New Roman" w:cs="Times New Roman"/>
          <w:color w:val="000000"/>
          <w:lang w:eastAsia="en-AU"/>
        </w:rPr>
      </w:pPr>
      <w:r w:rsidRPr="00840DDC">
        <w:rPr>
          <w:rFonts w:eastAsia="Times New Roman" w:cs="Times New Roman"/>
          <w:color w:val="000000"/>
          <w:lang w:eastAsia="en-AU"/>
        </w:rPr>
        <w:t xml:space="preserve">In comparison, ESC noted that the Li et al. (2021) study was methodologically stronger, but the </w:t>
      </w:r>
      <w:r>
        <w:rPr>
          <w:rFonts w:eastAsia="Times New Roman" w:cs="Times New Roman"/>
          <w:color w:val="000000"/>
          <w:lang w:eastAsia="en-AU"/>
        </w:rPr>
        <w:t xml:space="preserve">estimate for </w:t>
      </w:r>
      <w:r w:rsidRPr="00840DDC">
        <w:rPr>
          <w:rFonts w:eastAsia="Times New Roman" w:cs="Times New Roman"/>
          <w:color w:val="000000"/>
          <w:lang w:eastAsia="en-AU"/>
        </w:rPr>
        <w:t xml:space="preserve">relative effectiveness </w:t>
      </w:r>
      <w:r>
        <w:rPr>
          <w:rFonts w:eastAsia="Times New Roman" w:cs="Times New Roman"/>
          <w:color w:val="000000"/>
          <w:lang w:eastAsia="en-AU"/>
        </w:rPr>
        <w:t>was</w:t>
      </w:r>
      <w:r w:rsidRPr="00840DDC">
        <w:rPr>
          <w:rFonts w:eastAsia="Times New Roman" w:cs="Times New Roman"/>
          <w:color w:val="000000"/>
          <w:lang w:eastAsia="en-AU"/>
        </w:rPr>
        <w:t xml:space="preserve"> not statistically significant.</w:t>
      </w:r>
    </w:p>
    <w:p w14:paraId="42007F51" w14:textId="77777777" w:rsidR="0015035D" w:rsidRPr="00840DDC" w:rsidRDefault="0015035D" w:rsidP="0015035D">
      <w:pPr>
        <w:spacing w:before="0" w:after="240" w:line="240" w:lineRule="auto"/>
        <w:rPr>
          <w:rFonts w:eastAsia="Times New Roman" w:cs="Times New Roman"/>
          <w:lang w:eastAsia="en-AU"/>
        </w:rPr>
      </w:pPr>
      <w:r w:rsidRPr="00840DDC">
        <w:rPr>
          <w:rFonts w:eastAsia="Times New Roman" w:cs="Times New Roman"/>
          <w:lang w:eastAsia="en-AU"/>
        </w:rPr>
        <w:t xml:space="preserve">ESC noted that the clinical claim of superior effectiveness was assumed for both the therapeutic and </w:t>
      </w:r>
      <w:r>
        <w:rPr>
          <w:rFonts w:eastAsia="Times New Roman" w:cs="Times New Roman"/>
          <w:lang w:eastAsia="en-AU"/>
        </w:rPr>
        <w:t>investigative</w:t>
      </w:r>
      <w:r w:rsidRPr="00840DDC">
        <w:rPr>
          <w:rFonts w:eastAsia="Times New Roman" w:cs="Times New Roman"/>
          <w:lang w:eastAsia="en-AU"/>
        </w:rPr>
        <w:t xml:space="preserve"> indications. ESC noted that the commentary suggested revising the clinical claim of superior effectiveness over ERCP-guided lithotripsy to non-inferior effectiveness. ESC considered this to be very conservative, and that there was likely enough evidence to support the claim of superior effectiveness.</w:t>
      </w:r>
      <w:r>
        <w:rPr>
          <w:rFonts w:eastAsia="Times New Roman" w:cs="Times New Roman"/>
          <w:lang w:eastAsia="en-AU"/>
        </w:rPr>
        <w:t xml:space="preserve"> </w:t>
      </w:r>
      <w:r w:rsidRPr="00840DDC">
        <w:rPr>
          <w:rFonts w:eastAsia="Times New Roman" w:cs="Times New Roman"/>
          <w:lang w:eastAsia="en-AU"/>
        </w:rPr>
        <w:t xml:space="preserve">ESC agreed with the commentary that the claim of superior effectiveness compared to </w:t>
      </w:r>
      <w:r>
        <w:rPr>
          <w:rFonts w:eastAsia="Times New Roman" w:cs="Times New Roman"/>
          <w:lang w:eastAsia="en-AU"/>
        </w:rPr>
        <w:t xml:space="preserve">laparoscopic </w:t>
      </w:r>
      <w:r w:rsidRPr="00840DDC">
        <w:rPr>
          <w:rFonts w:eastAsia="Times New Roman" w:cs="Times New Roman"/>
          <w:lang w:eastAsia="en-AU"/>
        </w:rPr>
        <w:t xml:space="preserve">choledochotomy for the therapeutic indication was not supported, and that this should be revised to non-inferior effectiveness. This was accepted by the pre-ESC response. </w:t>
      </w:r>
    </w:p>
    <w:p w14:paraId="28210E5C" w14:textId="77777777" w:rsidR="0015035D" w:rsidRDefault="0015035D" w:rsidP="0015035D">
      <w:pPr>
        <w:spacing w:before="0" w:after="240" w:line="240" w:lineRule="auto"/>
        <w:rPr>
          <w:rFonts w:eastAsia="Times New Roman" w:cs="Times New Roman"/>
          <w:lang w:eastAsia="en-AU"/>
        </w:rPr>
      </w:pPr>
      <w:r w:rsidRPr="00840DDC">
        <w:rPr>
          <w:rFonts w:eastAsia="Times New Roman" w:cs="Times New Roman"/>
          <w:lang w:eastAsia="en-AU"/>
        </w:rPr>
        <w:t xml:space="preserve">For the economic evaluation, ESC noted that a cost-effectiveness analysis was performed for both the diagnostic and therapeutic indications. ESC considered this appropriate. </w:t>
      </w:r>
      <w:r>
        <w:rPr>
          <w:rFonts w:eastAsia="Times New Roman" w:cs="Times New Roman"/>
          <w:lang w:eastAsia="en-AU"/>
        </w:rPr>
        <w:t xml:space="preserve">ESC considered a cost-utility analysis would not have changed the conclusion. </w:t>
      </w:r>
    </w:p>
    <w:p w14:paraId="1730A149" w14:textId="0C9AEE24" w:rsidR="0015035D" w:rsidRDefault="0015035D" w:rsidP="0015035D">
      <w:pPr>
        <w:spacing w:before="0" w:after="240" w:line="240" w:lineRule="auto"/>
        <w:rPr>
          <w:rFonts w:eastAsia="Times New Roman" w:cs="Times New Roman"/>
          <w:lang w:eastAsia="en-AU"/>
        </w:rPr>
      </w:pPr>
      <w:r>
        <w:rPr>
          <w:rFonts w:eastAsia="Times New Roman" w:cs="Times New Roman"/>
          <w:lang w:eastAsia="en-AU"/>
        </w:rPr>
        <w:t>ESC noted t</w:t>
      </w:r>
      <w:r w:rsidRPr="003622CC">
        <w:rPr>
          <w:rFonts w:eastAsia="Times New Roman" w:cs="Times New Roman"/>
          <w:lang w:eastAsia="en-AU"/>
        </w:rPr>
        <w:t xml:space="preserve">he economic evaluation did not include adverse events. This implicitly assumed POCPS has non-inferior safety compared with ERCP and laparoscopic choledochotomy however, </w:t>
      </w:r>
      <w:r>
        <w:rPr>
          <w:rFonts w:eastAsia="Times New Roman" w:cs="Times New Roman"/>
          <w:lang w:eastAsia="en-AU"/>
        </w:rPr>
        <w:t xml:space="preserve">ESC considered </w:t>
      </w:r>
      <w:r w:rsidRPr="003622CC">
        <w:rPr>
          <w:rFonts w:eastAsia="Times New Roman" w:cs="Times New Roman"/>
          <w:lang w:eastAsia="en-AU"/>
        </w:rPr>
        <w:t xml:space="preserve">non-inferior safety compared to ERCP was not established. Similarly, the economic model did not capture adverse events </w:t>
      </w:r>
      <w:r>
        <w:rPr>
          <w:rFonts w:eastAsia="Times New Roman" w:cs="Times New Roman"/>
          <w:lang w:eastAsia="en-AU"/>
        </w:rPr>
        <w:t>from</w:t>
      </w:r>
      <w:r w:rsidRPr="003622CC">
        <w:rPr>
          <w:rFonts w:eastAsia="Times New Roman" w:cs="Times New Roman"/>
          <w:lang w:eastAsia="en-AU"/>
        </w:rPr>
        <w:t xml:space="preserve"> pancreaticoduodenectomy for suspected malignancy</w:t>
      </w:r>
      <w:r>
        <w:rPr>
          <w:rFonts w:eastAsia="Times New Roman" w:cs="Times New Roman"/>
          <w:lang w:eastAsia="en-AU"/>
        </w:rPr>
        <w:t xml:space="preserve"> in the investigative indication</w:t>
      </w:r>
      <w:r w:rsidRPr="003622CC">
        <w:rPr>
          <w:rFonts w:eastAsia="Times New Roman" w:cs="Times New Roman"/>
          <w:lang w:eastAsia="en-AU"/>
        </w:rPr>
        <w:t>.</w:t>
      </w:r>
    </w:p>
    <w:p w14:paraId="3FA83A65" w14:textId="0EA3F756" w:rsidR="0015035D" w:rsidRDefault="0015035D" w:rsidP="0015035D">
      <w:pPr>
        <w:spacing w:before="0" w:after="240" w:line="240" w:lineRule="auto"/>
        <w:rPr>
          <w:rFonts w:eastAsia="Times New Roman" w:cs="Times New Roman"/>
          <w:lang w:eastAsia="en-AU"/>
        </w:rPr>
      </w:pPr>
      <w:r>
        <w:rPr>
          <w:rFonts w:eastAsia="Times New Roman" w:cs="Times New Roman"/>
          <w:lang w:eastAsia="en-AU"/>
        </w:rPr>
        <w:t xml:space="preserve">For the diagnostic indication, </w:t>
      </w:r>
      <w:r w:rsidRPr="00840DDC">
        <w:rPr>
          <w:rFonts w:eastAsia="Times New Roman" w:cs="Times New Roman"/>
          <w:lang w:eastAsia="en-AU"/>
        </w:rPr>
        <w:t xml:space="preserve">ESC </w:t>
      </w:r>
      <w:r>
        <w:rPr>
          <w:rFonts w:eastAsia="Times New Roman" w:cs="Times New Roman"/>
          <w:lang w:eastAsia="en-AU"/>
        </w:rPr>
        <w:t xml:space="preserve">considered there was uncertainty in the modelled inputs for </w:t>
      </w:r>
      <w:r w:rsidRPr="00840DDC">
        <w:rPr>
          <w:rFonts w:eastAsia="Times New Roman" w:cs="Times New Roman"/>
          <w:lang w:eastAsia="en-AU"/>
        </w:rPr>
        <w:t xml:space="preserve">sensitivity and specificity of the intervention and comparator </w:t>
      </w:r>
      <w:r>
        <w:rPr>
          <w:rFonts w:eastAsia="Times New Roman" w:cs="Times New Roman"/>
          <w:lang w:eastAsia="en-AU"/>
        </w:rPr>
        <w:t xml:space="preserve">due to uncertainties in the clinical evidence. ESC considered sensitivity analysis of these inputs would be useful for MSAC. ESC noted that the base case resulted in a </w:t>
      </w:r>
      <w:r w:rsidR="00E37D32" w:rsidRPr="00E37D32">
        <w:rPr>
          <w:rFonts w:eastAsia="Times New Roman" w:cs="Times New Roman"/>
          <w:lang w:eastAsia="en-AU"/>
        </w:rPr>
        <w:t>$6,80</w:t>
      </w:r>
      <w:r w:rsidR="00E37D32">
        <w:rPr>
          <w:rFonts w:eastAsia="Times New Roman" w:cs="Times New Roman"/>
          <w:lang w:eastAsia="en-AU"/>
        </w:rPr>
        <w:t xml:space="preserve">8 </w:t>
      </w:r>
      <w:r>
        <w:rPr>
          <w:rFonts w:eastAsia="Times New Roman" w:cs="Times New Roman"/>
          <w:lang w:eastAsia="en-AU"/>
        </w:rPr>
        <w:t xml:space="preserve">cost per correctly diagnosed patients. The incremental cost-effectiveness ratio (ICER) was dominant when including the cost of unnecessary surgery for patients with benign conditions (not cancer) and the cost of unnecessary treatment for patients with incorrect diagnoses were included. ESC considered a further sensitivity analysis using the same MBS cost for POCPS and ERCP also resulted in dominant ICERs. This had a small impact on the ICER. </w:t>
      </w:r>
      <w:r w:rsidRPr="00840DDC">
        <w:rPr>
          <w:rFonts w:eastAsia="Times New Roman" w:cs="Times New Roman"/>
          <w:lang w:eastAsia="en-AU"/>
        </w:rPr>
        <w:t>ESC considered that POCPS appears to be a cost-effective alternative to ERCP and ERCP with laparoscopic choledochotomy, under all different clinical claim scenarios.</w:t>
      </w:r>
    </w:p>
    <w:p w14:paraId="33D51C78" w14:textId="77777777" w:rsidR="0015035D" w:rsidRDefault="0015035D" w:rsidP="0015035D">
      <w:pPr>
        <w:spacing w:before="0" w:after="240" w:line="240" w:lineRule="auto"/>
        <w:rPr>
          <w:rFonts w:eastAsia="Times New Roman" w:cs="Times New Roman"/>
          <w:lang w:eastAsia="en-AU"/>
        </w:rPr>
      </w:pPr>
      <w:r w:rsidRPr="00840DDC">
        <w:rPr>
          <w:rFonts w:eastAsia="Times New Roman" w:cs="Times New Roman"/>
          <w:lang w:eastAsia="en-AU"/>
        </w:rPr>
        <w:t xml:space="preserve">For the therapeutic indication, ESC noted that a weighted comparator of </w:t>
      </w:r>
      <w:r>
        <w:rPr>
          <w:rFonts w:eastAsia="Times New Roman" w:cs="Times New Roman"/>
          <w:lang w:eastAsia="en-AU"/>
        </w:rPr>
        <w:t xml:space="preserve">repeat </w:t>
      </w:r>
      <w:r w:rsidRPr="00840DDC">
        <w:rPr>
          <w:rFonts w:eastAsia="Times New Roman" w:cs="Times New Roman"/>
          <w:lang w:eastAsia="en-AU"/>
        </w:rPr>
        <w:t xml:space="preserve">ERCP-guided lithotripsy </w:t>
      </w:r>
      <w:r>
        <w:rPr>
          <w:rFonts w:eastAsia="Times New Roman" w:cs="Times New Roman"/>
          <w:lang w:eastAsia="en-AU"/>
        </w:rPr>
        <w:t xml:space="preserve">(63%) </w:t>
      </w:r>
      <w:r w:rsidRPr="00840DDC">
        <w:rPr>
          <w:rFonts w:eastAsia="Times New Roman" w:cs="Times New Roman"/>
          <w:lang w:eastAsia="en-AU"/>
        </w:rPr>
        <w:t xml:space="preserve">and laparoscopic choledochotomy </w:t>
      </w:r>
      <w:r>
        <w:rPr>
          <w:rFonts w:eastAsia="Times New Roman" w:cs="Times New Roman"/>
          <w:lang w:eastAsia="en-AU"/>
        </w:rPr>
        <w:t xml:space="preserve">(27%) </w:t>
      </w:r>
      <w:r w:rsidRPr="00840DDC">
        <w:rPr>
          <w:rFonts w:eastAsia="Times New Roman" w:cs="Times New Roman"/>
          <w:lang w:eastAsia="en-AU"/>
        </w:rPr>
        <w:t xml:space="preserve">was used. </w:t>
      </w:r>
      <w:r>
        <w:rPr>
          <w:rFonts w:eastAsia="Times New Roman" w:cs="Times New Roman"/>
          <w:lang w:eastAsia="en-AU"/>
        </w:rPr>
        <w:t>ESC considered an analysis where the comparator was ERCP only (</w:t>
      </w:r>
      <w:r w:rsidRPr="00840DDC">
        <w:rPr>
          <w:rFonts w:eastAsia="Times New Roman" w:cs="Times New Roman"/>
          <w:lang w:eastAsia="en-AU"/>
        </w:rPr>
        <w:t xml:space="preserve">laparoscopic choledochotomy </w:t>
      </w:r>
      <w:r>
        <w:rPr>
          <w:rFonts w:eastAsia="Times New Roman" w:cs="Times New Roman"/>
          <w:lang w:eastAsia="en-AU"/>
        </w:rPr>
        <w:t xml:space="preserve">used third line) would be informative as POCPS may replace </w:t>
      </w:r>
      <w:r w:rsidRPr="00840DDC">
        <w:rPr>
          <w:rFonts w:eastAsia="Times New Roman" w:cs="Times New Roman"/>
          <w:lang w:eastAsia="en-AU"/>
        </w:rPr>
        <w:t>laparoscopic choledochotomy</w:t>
      </w:r>
      <w:r>
        <w:rPr>
          <w:rFonts w:eastAsia="Times New Roman" w:cs="Times New Roman"/>
          <w:lang w:eastAsia="en-AU"/>
        </w:rPr>
        <w:t xml:space="preserve"> in the second line setting. This resulted in a dominant ICER. ESC considered the assumption that POCPS has 83% stone clearance compared with 96% for </w:t>
      </w:r>
      <w:r w:rsidRPr="00840DDC">
        <w:rPr>
          <w:rFonts w:eastAsia="Times New Roman" w:cs="Times New Roman"/>
          <w:lang w:eastAsia="en-AU"/>
        </w:rPr>
        <w:t>laparoscopic choledochotomy</w:t>
      </w:r>
      <w:r>
        <w:rPr>
          <w:rFonts w:eastAsia="Times New Roman" w:cs="Times New Roman"/>
          <w:lang w:eastAsia="en-AU"/>
        </w:rPr>
        <w:t xml:space="preserve"> was not consistent with the assumption of non</w:t>
      </w:r>
      <w:r>
        <w:rPr>
          <w:rFonts w:eastAsia="Times New Roman" w:cs="Times New Roman"/>
          <w:lang w:eastAsia="en-AU"/>
        </w:rPr>
        <w:noBreakHyphen/>
        <w:t xml:space="preserve">inferiority. ESC noted assuming non-inferiority (83% stone clearance) with </w:t>
      </w:r>
      <w:r w:rsidRPr="00B53378">
        <w:rPr>
          <w:rFonts w:eastAsia="Times New Roman" w:cs="Times New Roman"/>
          <w:lang w:eastAsia="en-AU"/>
        </w:rPr>
        <w:t xml:space="preserve">for laparoscopic choledochotomy </w:t>
      </w:r>
      <w:r>
        <w:rPr>
          <w:rFonts w:eastAsia="Times New Roman" w:cs="Times New Roman"/>
          <w:lang w:eastAsia="en-AU"/>
        </w:rPr>
        <w:t xml:space="preserve">resulted in a dominant ICER. Further sensitivity analyses using the same MBS fee for POCPS and ERCP also resulted in dominant ICERs. </w:t>
      </w:r>
    </w:p>
    <w:p w14:paraId="11B1F107" w14:textId="77777777" w:rsidR="0015035D" w:rsidRDefault="0015035D" w:rsidP="0015035D">
      <w:pPr>
        <w:spacing w:before="0" w:after="240" w:line="240" w:lineRule="auto"/>
        <w:rPr>
          <w:rFonts w:eastAsia="Times New Roman" w:cs="Times New Roman"/>
          <w:color w:val="000000"/>
          <w:lang w:eastAsia="en-AU"/>
        </w:rPr>
      </w:pPr>
      <w:r>
        <w:rPr>
          <w:rFonts w:eastAsia="Times New Roman" w:cs="Times New Roman"/>
          <w:color w:val="000000"/>
          <w:lang w:eastAsia="en-AU"/>
        </w:rPr>
        <w:t xml:space="preserve">ESC noted the net cost to the MBS of POCPS was small – less than $50,000 per year for the therapeutic application and less than $5,000 per year for the investigative application. This was due to POCPS replacing ERCP and </w:t>
      </w:r>
      <w:r w:rsidRPr="00095C85">
        <w:rPr>
          <w:rFonts w:eastAsia="Times New Roman" w:cs="Times New Roman"/>
          <w:color w:val="000000"/>
          <w:lang w:eastAsia="en-AU"/>
        </w:rPr>
        <w:t>laparoscopic choledochotomy</w:t>
      </w:r>
      <w:r>
        <w:rPr>
          <w:rFonts w:eastAsia="Times New Roman" w:cs="Times New Roman"/>
          <w:color w:val="000000"/>
          <w:lang w:eastAsia="en-AU"/>
        </w:rPr>
        <w:t xml:space="preserve"> (therapeutic only)</w:t>
      </w:r>
      <w:r w:rsidRPr="00095C85">
        <w:rPr>
          <w:rFonts w:eastAsia="Times New Roman" w:cs="Times New Roman"/>
          <w:color w:val="000000"/>
          <w:lang w:eastAsia="en-AU"/>
        </w:rPr>
        <w:t>.</w:t>
      </w:r>
      <w:r>
        <w:rPr>
          <w:rFonts w:eastAsia="Times New Roman" w:cs="Times New Roman"/>
          <w:color w:val="000000"/>
          <w:lang w:eastAsia="en-AU"/>
        </w:rPr>
        <w:t xml:space="preserve"> </w:t>
      </w:r>
    </w:p>
    <w:p w14:paraId="72784D51" w14:textId="50ACFA92" w:rsidR="0015035D" w:rsidRPr="00B53378" w:rsidRDefault="0015035D" w:rsidP="0015035D">
      <w:pPr>
        <w:spacing w:before="0" w:after="240" w:line="240" w:lineRule="auto"/>
        <w:rPr>
          <w:rFonts w:eastAsia="Times New Roman" w:cs="Times New Roman"/>
          <w:color w:val="000000"/>
          <w:lang w:eastAsia="en-AU"/>
        </w:rPr>
      </w:pPr>
      <w:r w:rsidRPr="00840DDC">
        <w:rPr>
          <w:rFonts w:eastAsia="Times New Roman" w:cs="Times New Roman"/>
          <w:lang w:eastAsia="en-AU"/>
        </w:rPr>
        <w:t>ESC noted that for the therapeutic indication, the utilisation estimates and financial impacts were based on a mixed-market share and epidemiological approach. This was done using Medicare statistics for ERCP procedures</w:t>
      </w:r>
      <w:r>
        <w:rPr>
          <w:rFonts w:eastAsia="Times New Roman" w:cs="Times New Roman"/>
          <w:lang w:eastAsia="en-AU"/>
        </w:rPr>
        <w:t xml:space="preserve">, </w:t>
      </w:r>
      <w:r w:rsidRPr="00840DDC">
        <w:rPr>
          <w:rFonts w:eastAsia="Times New Roman" w:cs="Times New Roman"/>
          <w:lang w:eastAsia="en-AU"/>
        </w:rPr>
        <w:t xml:space="preserve">expert opinion (2021 Advisory Board) and internal data from the applicants. </w:t>
      </w:r>
      <w:r>
        <w:rPr>
          <w:rFonts w:eastAsia="Times New Roman" w:cs="Times New Roman"/>
          <w:lang w:eastAsia="en-AU"/>
        </w:rPr>
        <w:t xml:space="preserve">ESC considered the market share assumptions to be uncertain. ESC noted that the ADAR assumed POCPS would account for 20-77% of ERCP procedures for difficult biliary stones, and 10-39% of </w:t>
      </w:r>
      <w:r w:rsidRPr="00872858">
        <w:rPr>
          <w:rFonts w:eastAsia="Times New Roman" w:cs="Times New Roman"/>
          <w:lang w:eastAsia="en-AU"/>
        </w:rPr>
        <w:t>laparoscopic choledochotomy</w:t>
      </w:r>
      <w:r>
        <w:rPr>
          <w:rFonts w:eastAsia="Times New Roman" w:cs="Times New Roman"/>
          <w:lang w:eastAsia="en-AU"/>
        </w:rPr>
        <w:t xml:space="preserve">. </w:t>
      </w:r>
      <w:r w:rsidRPr="00840DDC">
        <w:rPr>
          <w:rFonts w:eastAsia="Times New Roman" w:cs="Times New Roman"/>
          <w:lang w:eastAsia="en-AU"/>
        </w:rPr>
        <w:t xml:space="preserve">ESC considered it would be useful to test different growth rates in ERCP and </w:t>
      </w:r>
      <w:r w:rsidRPr="00B53378">
        <w:rPr>
          <w:rFonts w:eastAsia="Times New Roman" w:cs="Times New Roman"/>
          <w:lang w:eastAsia="en-AU"/>
        </w:rPr>
        <w:t xml:space="preserve">laparoscopic </w:t>
      </w:r>
      <w:r w:rsidRPr="00840DDC">
        <w:rPr>
          <w:rFonts w:eastAsia="Times New Roman" w:cs="Times New Roman"/>
          <w:color w:val="000000"/>
          <w:lang w:eastAsia="en-AU"/>
        </w:rPr>
        <w:t>choledochotomy separately (POCPS is superior to one and non-inferior/inferior to the other).</w:t>
      </w:r>
      <w:r w:rsidRPr="00095C85">
        <w:rPr>
          <w:rFonts w:eastAsia="Times New Roman" w:cs="Times New Roman"/>
          <w:color w:val="000000"/>
          <w:lang w:eastAsia="en-AU"/>
        </w:rPr>
        <w:t xml:space="preserve"> </w:t>
      </w:r>
      <w:r>
        <w:rPr>
          <w:rFonts w:eastAsia="Times New Roman" w:cs="Times New Roman"/>
          <w:color w:val="000000"/>
          <w:lang w:eastAsia="en-AU"/>
        </w:rPr>
        <w:t xml:space="preserve">This resulted in modest changes in net cost to the MBS. ESC considered that uptake from ERCP and </w:t>
      </w:r>
      <w:r w:rsidRPr="00B53378">
        <w:rPr>
          <w:rFonts w:eastAsia="Times New Roman" w:cs="Times New Roman"/>
          <w:color w:val="000000"/>
          <w:lang w:eastAsia="en-AU"/>
        </w:rPr>
        <w:t>laparoscopic</w:t>
      </w:r>
      <w:r>
        <w:rPr>
          <w:rFonts w:eastAsia="Times New Roman" w:cs="Times New Roman"/>
          <w:color w:val="000000"/>
          <w:lang w:eastAsia="en-AU"/>
        </w:rPr>
        <w:t xml:space="preserve"> </w:t>
      </w:r>
      <w:r w:rsidRPr="00840DDC">
        <w:rPr>
          <w:rFonts w:eastAsia="Times New Roman" w:cs="Times New Roman"/>
          <w:color w:val="000000"/>
          <w:lang w:eastAsia="en-AU"/>
        </w:rPr>
        <w:t>choledochotomy</w:t>
      </w:r>
      <w:r>
        <w:rPr>
          <w:rFonts w:eastAsia="Times New Roman" w:cs="Times New Roman"/>
          <w:color w:val="000000"/>
          <w:lang w:eastAsia="en-AU"/>
        </w:rPr>
        <w:t xml:space="preserve"> may differ</w:t>
      </w:r>
      <w:r w:rsidR="00CE76AF">
        <w:rPr>
          <w:rFonts w:eastAsia="Times New Roman" w:cs="Times New Roman"/>
          <w:color w:val="000000"/>
          <w:lang w:eastAsia="en-AU"/>
        </w:rPr>
        <w:t xml:space="preserve">. </w:t>
      </w:r>
      <w:r>
        <w:rPr>
          <w:rFonts w:eastAsia="Times New Roman" w:cs="Times New Roman"/>
          <w:color w:val="000000"/>
          <w:lang w:eastAsia="en-AU"/>
        </w:rPr>
        <w:t xml:space="preserve">Reducing the MBS fee for POCPS to be the same as ERCP resulted in net savings to the MBS. </w:t>
      </w:r>
    </w:p>
    <w:p w14:paraId="0C3B09F9" w14:textId="77777777" w:rsidR="0015035D" w:rsidRDefault="0015035D" w:rsidP="0015035D">
      <w:pPr>
        <w:spacing w:before="0" w:after="240" w:line="240" w:lineRule="auto"/>
        <w:rPr>
          <w:rFonts w:eastAsia="Times New Roman" w:cs="Times New Roman"/>
          <w:color w:val="000000"/>
          <w:lang w:eastAsia="en-AU"/>
        </w:rPr>
      </w:pPr>
      <w:r>
        <w:rPr>
          <w:rFonts w:eastAsia="Times New Roman" w:cs="Times New Roman"/>
          <w:color w:val="000000"/>
          <w:lang w:eastAsia="en-AU"/>
        </w:rPr>
        <w:t>For the diagnostic indication, the ADAR estimated that POCPS would substitute for 13-51% of ERCP procedures for indeterminate biliary strictures. ESC considered there to be uncertainty in the market share assumptions. ESC requested further sensitivity analysis r</w:t>
      </w:r>
      <w:r w:rsidRPr="007D172B">
        <w:rPr>
          <w:rFonts w:eastAsia="Times New Roman" w:cs="Times New Roman"/>
          <w:color w:val="000000"/>
          <w:lang w:eastAsia="en-AU"/>
        </w:rPr>
        <w:t>educing the MBS fee for POCPS to be the same as ERCP</w:t>
      </w:r>
      <w:r>
        <w:rPr>
          <w:rFonts w:eastAsia="Times New Roman" w:cs="Times New Roman"/>
          <w:color w:val="000000"/>
          <w:lang w:eastAsia="en-AU"/>
        </w:rPr>
        <w:t>. This</w:t>
      </w:r>
      <w:r w:rsidRPr="007D172B">
        <w:rPr>
          <w:rFonts w:eastAsia="Times New Roman" w:cs="Times New Roman"/>
          <w:color w:val="000000"/>
          <w:lang w:eastAsia="en-AU"/>
        </w:rPr>
        <w:t xml:space="preserve"> resulted in net savings to the MBS.</w:t>
      </w:r>
    </w:p>
    <w:p w14:paraId="0284F263" w14:textId="7FDD7EE5" w:rsidR="00CE76AF" w:rsidRPr="00CE76AF" w:rsidRDefault="00CE76AF" w:rsidP="00CE76AF">
      <w:pPr>
        <w:pStyle w:val="Heading2"/>
      </w:pPr>
      <w:r w:rsidRPr="00CE76AF">
        <w:t>1</w:t>
      </w:r>
      <w:r>
        <w:t>7</w:t>
      </w:r>
      <w:r w:rsidRPr="00CE76AF">
        <w:t>.</w:t>
      </w:r>
      <w:r w:rsidRPr="00CE76AF">
        <w:tab/>
        <w:t>Applicant comments on MSAC’s Public Summary Document</w:t>
      </w:r>
    </w:p>
    <w:p w14:paraId="0155104E" w14:textId="77777777" w:rsidR="0080090F" w:rsidRPr="00FF001F" w:rsidRDefault="0080090F" w:rsidP="0080090F">
      <w:pPr>
        <w:spacing w:before="0" w:after="240" w:line="240" w:lineRule="auto"/>
        <w:rPr>
          <w:rFonts w:eastAsia="Times New Roman" w:cs="Times New Roman"/>
          <w:color w:val="000000"/>
          <w:lang w:eastAsia="en-AU"/>
        </w:rPr>
      </w:pPr>
      <w:r w:rsidRPr="00FF001F">
        <w:rPr>
          <w:rFonts w:eastAsia="Times New Roman" w:cs="Times New Roman"/>
          <w:color w:val="000000"/>
          <w:lang w:eastAsia="en-AU"/>
        </w:rPr>
        <w:t>The Applicant is pleased with the decision by the MSAC to recommend listing of POCPS for patients with indeterminate biliary strictures and difficult biliary stones to facilitate equitable access to the gold standard of care. The Applicant also welcomes the recognition of the primary sclerosing cholangitis (PSC) as a high clinical need population to be served by this technology.</w:t>
      </w:r>
    </w:p>
    <w:p w14:paraId="375F4353" w14:textId="77777777" w:rsidR="0080090F" w:rsidRPr="00FF001F" w:rsidRDefault="0080090F" w:rsidP="0080090F">
      <w:pPr>
        <w:spacing w:before="0" w:after="240" w:line="240" w:lineRule="auto"/>
        <w:rPr>
          <w:rFonts w:eastAsia="Times New Roman" w:cs="Times New Roman"/>
          <w:color w:val="000000"/>
          <w:lang w:eastAsia="en-AU"/>
        </w:rPr>
      </w:pPr>
      <w:r w:rsidRPr="00FF001F">
        <w:rPr>
          <w:rFonts w:eastAsia="Times New Roman" w:cs="Times New Roman"/>
          <w:color w:val="000000"/>
          <w:lang w:eastAsia="en-AU"/>
        </w:rPr>
        <w:t xml:space="preserve">The Applicant notes that the MSAC-proposed fee for therapeutic POCPS may not reflect the time required and technical complexity of the procedure. The Applicant encourages further engagement with Australian clinicians </w:t>
      </w:r>
      <w:r>
        <w:rPr>
          <w:rFonts w:eastAsia="Times New Roman" w:cs="Times New Roman"/>
          <w:color w:val="000000"/>
          <w:lang w:eastAsia="en-AU"/>
        </w:rPr>
        <w:t xml:space="preserve">(including the nominated clinicians) </w:t>
      </w:r>
      <w:r w:rsidRPr="00FF001F">
        <w:rPr>
          <w:rFonts w:eastAsia="Times New Roman" w:cs="Times New Roman"/>
          <w:color w:val="000000"/>
          <w:lang w:eastAsia="en-AU"/>
        </w:rPr>
        <w:t>and/or representative bodies (GESA) to identify the appropriate fee for therapeutic POCPS relative to other comparable services listed on the MBS.</w:t>
      </w:r>
    </w:p>
    <w:p w14:paraId="39864778" w14:textId="572EECC9" w:rsidR="00CE76AF" w:rsidRPr="00CE76AF" w:rsidRDefault="00CE76AF" w:rsidP="00CE76AF">
      <w:pPr>
        <w:pStyle w:val="Heading2"/>
      </w:pPr>
      <w:r w:rsidRPr="00CE76AF">
        <w:t>1</w:t>
      </w:r>
      <w:r>
        <w:t>8</w:t>
      </w:r>
      <w:r w:rsidRPr="00CE76AF">
        <w:t>.</w:t>
      </w:r>
      <w:r w:rsidRPr="00CE76AF">
        <w:tab/>
        <w:t>Further information on MSAC</w:t>
      </w:r>
    </w:p>
    <w:p w14:paraId="693BA2F3" w14:textId="56344F9D" w:rsidR="00B22214" w:rsidRPr="00FA4432" w:rsidRDefault="00CE76AF" w:rsidP="00CE76AF">
      <w:pPr>
        <w:pStyle w:val="Instructionaltext"/>
        <w:rPr>
          <w:color w:val="auto"/>
        </w:rPr>
      </w:pPr>
      <w:r w:rsidRPr="00CE76AF">
        <w:rPr>
          <w:color w:val="auto"/>
        </w:rPr>
        <w:t xml:space="preserve">MSAC Terms of Reference and other information are available on the MSAC Website: </w:t>
      </w:r>
      <w:hyperlink r:id="rId16" w:tooltip="Link to the MSAC website" w:history="1">
        <w:r w:rsidRPr="00CE76AF">
          <w:rPr>
            <w:rStyle w:val="Hyperlink"/>
          </w:rPr>
          <w:t>visit the MSAC website</w:t>
        </w:r>
      </w:hyperlink>
    </w:p>
    <w:sectPr w:rsidR="00B22214" w:rsidRPr="00FA4432" w:rsidSect="005E44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4C469" w14:textId="77777777" w:rsidR="001B3435" w:rsidRDefault="001B3435" w:rsidP="00B62DF2">
      <w:pPr>
        <w:spacing w:after="0" w:line="240" w:lineRule="auto"/>
      </w:pPr>
      <w:r>
        <w:separator/>
      </w:r>
    </w:p>
  </w:endnote>
  <w:endnote w:type="continuationSeparator" w:id="0">
    <w:p w14:paraId="616272CA" w14:textId="77777777" w:rsidR="001B3435" w:rsidRDefault="001B3435" w:rsidP="00B62DF2">
      <w:pPr>
        <w:spacing w:after="0" w:line="240" w:lineRule="auto"/>
      </w:pPr>
      <w:r>
        <w:continuationSeparator/>
      </w:r>
    </w:p>
  </w:endnote>
  <w:endnote w:type="continuationNotice" w:id="1">
    <w:p w14:paraId="15198700" w14:textId="77777777" w:rsidR="001B3435" w:rsidRDefault="001B343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7206004"/>
      <w:docPartObj>
        <w:docPartGallery w:val="Page Numbers (Bottom of Page)"/>
        <w:docPartUnique/>
      </w:docPartObj>
    </w:sdtPr>
    <w:sdtEndPr>
      <w:rPr>
        <w:noProof/>
      </w:rPr>
    </w:sdtEndPr>
    <w:sdtContent>
      <w:p w14:paraId="59A331CA" w14:textId="0140A1A8" w:rsidR="001B3435" w:rsidRDefault="001B3435">
        <w:pPr>
          <w:pStyle w:val="Footer"/>
          <w:jc w:val="right"/>
        </w:pPr>
        <w:r>
          <w:fldChar w:fldCharType="begin"/>
        </w:r>
        <w:r>
          <w:instrText xml:space="preserve"> PAGE   \* MERGEFORMAT </w:instrText>
        </w:r>
        <w:r>
          <w:fldChar w:fldCharType="separate"/>
        </w:r>
        <w:r>
          <w:rPr>
            <w:noProof/>
          </w:rPr>
          <w:t>18</w:t>
        </w:r>
        <w:r>
          <w:rPr>
            <w:noProof/>
          </w:rPr>
          <w:fldChar w:fldCharType="end"/>
        </w:r>
      </w:p>
    </w:sdtContent>
  </w:sdt>
  <w:p w14:paraId="6E76D499" w14:textId="787E0622" w:rsidR="001B3435" w:rsidRDefault="001B34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44847"/>
      <w:docPartObj>
        <w:docPartGallery w:val="Page Numbers (Bottom of Page)"/>
        <w:docPartUnique/>
      </w:docPartObj>
    </w:sdtPr>
    <w:sdtEndPr>
      <w:rPr>
        <w:noProof/>
      </w:rPr>
    </w:sdtEndPr>
    <w:sdtContent>
      <w:p w14:paraId="6BE9385A" w14:textId="65909A7F" w:rsidR="001B3435" w:rsidRDefault="001B3435" w:rsidP="00052DD3">
        <w:pPr>
          <w:pStyle w:val="Footer"/>
          <w:jc w:val="right"/>
        </w:pPr>
        <w:r>
          <w:tab/>
        </w:r>
        <w:r>
          <w:tab/>
        </w:r>
        <w:r>
          <w:fldChar w:fldCharType="begin"/>
        </w:r>
        <w:r>
          <w:instrText xml:space="preserve"> PAGE   \* MERGEFORMAT </w:instrText>
        </w:r>
        <w:r>
          <w:fldChar w:fldCharType="separate"/>
        </w:r>
        <w:r>
          <w:rPr>
            <w:noProof/>
          </w:rPr>
          <w:t>19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9BA7E" w14:textId="77777777" w:rsidR="001B3435" w:rsidRDefault="001B3435" w:rsidP="00B62DF2">
      <w:pPr>
        <w:spacing w:after="0" w:line="240" w:lineRule="auto"/>
      </w:pPr>
      <w:r>
        <w:separator/>
      </w:r>
    </w:p>
  </w:footnote>
  <w:footnote w:type="continuationSeparator" w:id="0">
    <w:p w14:paraId="61A10814" w14:textId="77777777" w:rsidR="001B3435" w:rsidRDefault="001B3435" w:rsidP="00B62DF2">
      <w:pPr>
        <w:spacing w:after="0" w:line="240" w:lineRule="auto"/>
      </w:pPr>
      <w:r>
        <w:continuationSeparator/>
      </w:r>
    </w:p>
  </w:footnote>
  <w:footnote w:type="continuationNotice" w:id="1">
    <w:p w14:paraId="4FAA3496" w14:textId="77777777" w:rsidR="001B3435" w:rsidRDefault="001B3435">
      <w:pPr>
        <w:spacing w:before="0" w:after="0" w:line="240" w:lineRule="auto"/>
      </w:pPr>
    </w:p>
  </w:footnote>
  <w:footnote w:id="2">
    <w:p w14:paraId="34A55107" w14:textId="77777777" w:rsidR="001B3435" w:rsidRDefault="001B3435" w:rsidP="00A15555">
      <w:pPr>
        <w:pStyle w:val="FootnoteText"/>
      </w:pPr>
      <w:r>
        <w:rPr>
          <w:rStyle w:val="FootnoteReference"/>
        </w:rPr>
        <w:footnoteRef/>
      </w:r>
      <w:r>
        <w:t xml:space="preserve"> National Institute for Health and Care Excellence (2015).The SpyGlass direct visualisation system for diagnostic and therapeutic procedures during endoscopy of the biliary system. </w:t>
      </w:r>
      <w:hyperlink r:id="rId1" w:history="1">
        <w:r w:rsidRPr="009D6524">
          <w:rPr>
            <w:rStyle w:val="Hyperlink"/>
          </w:rPr>
          <w:t>https://www.nice.org.uk/advice/mib21/resources/the-spyglass-direct-visualisation-system-for-diagnostic-and-therapeutic-procedures-during-endoscopy-of-the-biliary-system-pdf-63499040090053</w:t>
        </w:r>
      </w:hyperlink>
      <w:r w:rsidRPr="009D6524">
        <w:t>.</w:t>
      </w:r>
    </w:p>
  </w:footnote>
  <w:footnote w:id="3">
    <w:p w14:paraId="4FFA5E83" w14:textId="77777777" w:rsidR="001B3435" w:rsidRPr="00692DA4" w:rsidRDefault="001B3435" w:rsidP="0015035D">
      <w:pPr>
        <w:pStyle w:val="FootnoteText"/>
      </w:pPr>
      <w:r>
        <w:rPr>
          <w:rStyle w:val="FootnoteReference"/>
        </w:rPr>
        <w:footnoteRef/>
      </w:r>
      <w:r>
        <w:t xml:space="preserve"> Sandha J, van Zanten, SV, Sandha G (2018). The safety and efficacy of single-operator cholangioscopy in the treatment of difficult common bile duct stones after failed conventional ERCP. </w:t>
      </w:r>
      <w:r>
        <w:rPr>
          <w:i/>
          <w:iCs/>
        </w:rPr>
        <w:t>J Can Assoc Gastroenterol</w:t>
      </w:r>
      <w:r>
        <w:t xml:space="preserve">, </w:t>
      </w:r>
      <w:r>
        <w:rPr>
          <w:b/>
          <w:bCs/>
        </w:rPr>
        <w:t>1</w:t>
      </w:r>
      <w:r>
        <w:t>(4):181-190.</w:t>
      </w:r>
    </w:p>
  </w:footnote>
  <w:footnote w:id="4">
    <w:p w14:paraId="1B9940A9" w14:textId="74B15AE0" w:rsidR="001B3435" w:rsidRDefault="001B3435">
      <w:pPr>
        <w:pStyle w:val="FootnoteText"/>
      </w:pPr>
      <w:r>
        <w:rPr>
          <w:rStyle w:val="FootnoteReference"/>
        </w:rPr>
        <w:footnoteRef/>
      </w:r>
      <w:r>
        <w:t xml:space="preserve"> The cost was corrected to $</w:t>
      </w:r>
      <w:r w:rsidR="00FD0220">
        <w:t>redacted</w:t>
      </w:r>
      <w:r>
        <w:t xml:space="preserve"> in the applicant’s pre-MSAC response.</w:t>
      </w:r>
    </w:p>
  </w:footnote>
  <w:footnote w:id="5">
    <w:p w14:paraId="5308A540" w14:textId="77777777" w:rsidR="001B3435" w:rsidRPr="00B068EC" w:rsidRDefault="001B3435" w:rsidP="0015035D">
      <w:pPr>
        <w:pStyle w:val="FootnoteText"/>
      </w:pPr>
      <w:r>
        <w:rPr>
          <w:rStyle w:val="FootnoteReference"/>
        </w:rPr>
        <w:footnoteRef/>
      </w:r>
      <w:r>
        <w:t xml:space="preserve"> Angsuwatcharakon P, Kulpatcharapong S, Ridtitid W, Boonmee C, Piyachaturawat P, Kongkam P et al. (2019). Digital cholangioscopy-guided laser versus mechanical lithotripsy for large bile duct stone removal after failed papillary large-balloon dilation: a randomized study. </w:t>
      </w:r>
      <w:r>
        <w:rPr>
          <w:i/>
          <w:iCs/>
        </w:rPr>
        <w:t>Endoscopy</w:t>
      </w:r>
      <w:r>
        <w:t xml:space="preserve">, </w:t>
      </w:r>
      <w:r>
        <w:rPr>
          <w:b/>
          <w:bCs/>
        </w:rPr>
        <w:t>51</w:t>
      </w:r>
      <w:r>
        <w:t>(11):1066-1073.</w:t>
      </w:r>
    </w:p>
  </w:footnote>
  <w:footnote w:id="6">
    <w:p w14:paraId="0DB8640A" w14:textId="77777777" w:rsidR="001B3435" w:rsidRPr="00831279" w:rsidRDefault="001B3435" w:rsidP="0015035D">
      <w:pPr>
        <w:pStyle w:val="FootnoteText"/>
      </w:pPr>
      <w:r>
        <w:rPr>
          <w:rStyle w:val="FootnoteReference"/>
        </w:rPr>
        <w:footnoteRef/>
      </w:r>
      <w:r>
        <w:t xml:space="preserve"> Li G, Pang Q, Zhai H, Zhang X, Dong Y, Li J et al. (2021). SpyGlass-guided laser lithotripsy versus laparoscopic common bile duct exploration for large common bile duct stones: a non-inferiority trial. </w:t>
      </w:r>
      <w:r>
        <w:rPr>
          <w:i/>
          <w:iCs/>
        </w:rPr>
        <w:t>Surg Endosc</w:t>
      </w:r>
      <w:r>
        <w:t xml:space="preserve">, </w:t>
      </w:r>
      <w:r>
        <w:rPr>
          <w:b/>
          <w:bCs/>
        </w:rPr>
        <w:t>35</w:t>
      </w:r>
      <w:r>
        <w:t>(7):3723-3731.</w:t>
      </w:r>
    </w:p>
  </w:footnote>
  <w:footnote w:id="7">
    <w:p w14:paraId="75E29AA9" w14:textId="77777777" w:rsidR="001B3435" w:rsidRPr="002C2959" w:rsidRDefault="001B3435" w:rsidP="0015035D">
      <w:pPr>
        <w:pStyle w:val="FootnoteText"/>
      </w:pPr>
      <w:r>
        <w:rPr>
          <w:rStyle w:val="FootnoteReference"/>
        </w:rPr>
        <w:footnoteRef/>
      </w:r>
      <w:r>
        <w:t xml:space="preserve"> Gerges C, Beyna T, Tang RSY, Bahin F, Lau JYW, van Geenen E et al. (2020). Digital single-operator peroral cholangioscopy-guided biopsy sampling versus ERCP-guided brushing for indeterminate biliary strictures: a prospective, randomized, multicenter trial (with video). </w:t>
      </w:r>
      <w:r>
        <w:rPr>
          <w:i/>
          <w:iCs/>
        </w:rPr>
        <w:t>Gastrointest Endosc</w:t>
      </w:r>
      <w:r>
        <w:t xml:space="preserve">, </w:t>
      </w:r>
      <w:r>
        <w:rPr>
          <w:b/>
          <w:bCs/>
        </w:rPr>
        <w:t>91</w:t>
      </w:r>
      <w:r>
        <w:t>(5):1105-1113.</w:t>
      </w:r>
    </w:p>
  </w:footnote>
  <w:footnote w:id="8">
    <w:p w14:paraId="11544D18" w14:textId="77777777" w:rsidR="001B3435" w:rsidRPr="002C2959" w:rsidRDefault="001B3435" w:rsidP="0015035D">
      <w:pPr>
        <w:pStyle w:val="FootnoteText"/>
      </w:pPr>
      <w:r>
        <w:rPr>
          <w:rStyle w:val="FootnoteReference"/>
        </w:rPr>
        <w:footnoteRef/>
      </w:r>
      <w:r>
        <w:t xml:space="preserve"> Draganov PV, Lin T, Chauhan S, Wagh MS, Hou W, Forsmark CE (2011). Prospective evaluation of the clinical utility of ERCP-guided cholangiopancreatoscopy with a new direct visualization system. </w:t>
      </w:r>
      <w:r>
        <w:rPr>
          <w:i/>
          <w:iCs/>
        </w:rPr>
        <w:t>Gastrointest Endosc</w:t>
      </w:r>
      <w:r>
        <w:t xml:space="preserve">, </w:t>
      </w:r>
      <w:r>
        <w:rPr>
          <w:b/>
          <w:bCs/>
        </w:rPr>
        <w:t>73</w:t>
      </w:r>
      <w:r>
        <w:t>(5):971-979.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70A0F"/>
    <w:multiLevelType w:val="hybridMultilevel"/>
    <w:tmpl w:val="092C3C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E810B49"/>
    <w:multiLevelType w:val="hybridMultilevel"/>
    <w:tmpl w:val="36D887CE"/>
    <w:styleLink w:val="Style1"/>
    <w:lvl w:ilvl="0" w:tplc="B62ADE18">
      <w:numFmt w:val="bullet"/>
      <w:lvlText w:val="•"/>
      <w:lvlJc w:val="left"/>
      <w:pPr>
        <w:ind w:left="1080" w:hanging="720"/>
      </w:pPr>
      <w:rPr>
        <w:rFonts w:ascii="Franklin Gothic Book" w:eastAsiaTheme="minorHAnsi" w:hAnsi="Franklin Gothic Book"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FB5FA1"/>
    <w:multiLevelType w:val="hybridMultilevel"/>
    <w:tmpl w:val="C4547F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F7F317B"/>
    <w:multiLevelType w:val="hybridMultilevel"/>
    <w:tmpl w:val="D0502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8B6A68"/>
    <w:multiLevelType w:val="hybridMultilevel"/>
    <w:tmpl w:val="A5A2A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CF48BA"/>
    <w:multiLevelType w:val="hybridMultilevel"/>
    <w:tmpl w:val="7DF6D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C4707D"/>
    <w:multiLevelType w:val="hybridMultilevel"/>
    <w:tmpl w:val="8E7C97BE"/>
    <w:styleLink w:val="Styl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523E95"/>
    <w:multiLevelType w:val="hybridMultilevel"/>
    <w:tmpl w:val="1FCAF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A650C91"/>
    <w:multiLevelType w:val="multilevel"/>
    <w:tmpl w:val="8E7C97BE"/>
    <w:numStyleLink w:val="Style2"/>
  </w:abstractNum>
  <w:abstractNum w:abstractNumId="12" w15:restartNumberingAfterBreak="0">
    <w:nsid w:val="312D5244"/>
    <w:multiLevelType w:val="hybridMultilevel"/>
    <w:tmpl w:val="00E250B2"/>
    <w:lvl w:ilvl="0" w:tplc="FFFFFFFF">
      <w:start w:val="1"/>
      <w:numFmt w:val="bullet"/>
      <w:pStyle w:val="Dash"/>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24371DC"/>
    <w:multiLevelType w:val="multilevel"/>
    <w:tmpl w:val="1A102362"/>
    <w:lvl w:ilvl="0">
      <w:start w:val="1"/>
      <w:numFmt w:val="decimal"/>
      <w:lvlText w:val="Section %1"/>
      <w:lvlJc w:val="left"/>
      <w:pPr>
        <w:ind w:left="786" w:hanging="360"/>
      </w:pPr>
      <w:rPr>
        <w:rFonts w:hint="default"/>
      </w:rPr>
    </w:lvl>
    <w:lvl w:ilvl="1">
      <w:start w:val="1"/>
      <w:numFmt w:val="decimal"/>
      <w:lvlText w:val="%1.%2"/>
      <w:lvlJc w:val="left"/>
      <w:pPr>
        <w:ind w:left="720" w:hanging="360"/>
      </w:pPr>
      <w:rPr>
        <w:specVanish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24652A9"/>
    <w:multiLevelType w:val="singleLevel"/>
    <w:tmpl w:val="0C090001"/>
    <w:lvl w:ilvl="0">
      <w:start w:val="1"/>
      <w:numFmt w:val="bullet"/>
      <w:lvlText w:val=""/>
      <w:lvlJc w:val="left"/>
      <w:pPr>
        <w:ind w:left="567" w:hanging="567"/>
      </w:pPr>
      <w:rPr>
        <w:rFonts w:ascii="Symbol" w:hAnsi="Symbol" w:hint="default"/>
      </w:rPr>
    </w:lvl>
  </w:abstractNum>
  <w:abstractNum w:abstractNumId="15" w15:restartNumberingAfterBreak="0">
    <w:nsid w:val="344212FE"/>
    <w:multiLevelType w:val="hybridMultilevel"/>
    <w:tmpl w:val="830E11B6"/>
    <w:styleLink w:val="ESSectionheading-numbered"/>
    <w:lvl w:ilvl="0" w:tplc="FFFFFFFF">
      <w:start w:val="1"/>
      <w:numFmt w:val="bullet"/>
      <w:pStyle w:val="BulletLas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4B842CC"/>
    <w:multiLevelType w:val="hybridMultilevel"/>
    <w:tmpl w:val="903855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951179B"/>
    <w:multiLevelType w:val="hybridMultilevel"/>
    <w:tmpl w:val="83D04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8D26BF"/>
    <w:multiLevelType w:val="hybridMultilevel"/>
    <w:tmpl w:val="3960A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F473A9"/>
    <w:multiLevelType w:val="hybridMultilevel"/>
    <w:tmpl w:val="BB80D428"/>
    <w:lvl w:ilvl="0" w:tplc="6A500F28">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7095746"/>
    <w:multiLevelType w:val="hybridMultilevel"/>
    <w:tmpl w:val="28BC0FCE"/>
    <w:lvl w:ilvl="0" w:tplc="0C090001">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0B205B5"/>
    <w:multiLevelType w:val="hybridMultilevel"/>
    <w:tmpl w:val="25269E4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5615303B"/>
    <w:multiLevelType w:val="hybridMultilevel"/>
    <w:tmpl w:val="096CB978"/>
    <w:lvl w:ilvl="0" w:tplc="A26EFB6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8C37AC"/>
    <w:multiLevelType w:val="hybridMultilevel"/>
    <w:tmpl w:val="01CEA9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DFE3422"/>
    <w:multiLevelType w:val="hybridMultilevel"/>
    <w:tmpl w:val="C7DAAE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E262D4"/>
    <w:multiLevelType w:val="hybridMultilevel"/>
    <w:tmpl w:val="3566F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444A0E"/>
    <w:multiLevelType w:val="hybridMultilevel"/>
    <w:tmpl w:val="35E8597E"/>
    <w:lvl w:ilvl="0" w:tplc="0C090001">
      <w:start w:val="1"/>
      <w:numFmt w:val="decimal"/>
      <w:lvlText w:val="%1."/>
      <w:lvlJc w:val="left"/>
      <w:pPr>
        <w:ind w:left="720" w:hanging="360"/>
      </w:p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7"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181516"/>
    <w:multiLevelType w:val="hybridMultilevel"/>
    <w:tmpl w:val="FF9EE7EA"/>
    <w:lvl w:ilvl="0" w:tplc="FFFFFFFF">
      <w:start w:val="1"/>
      <w:numFmt w:val="decimal"/>
      <w:pStyle w:val="Nnumberedlist"/>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0" w15:restartNumberingAfterBreak="0">
    <w:nsid w:val="7FED0E41"/>
    <w:multiLevelType w:val="hybridMultilevel"/>
    <w:tmpl w:val="1C1821E0"/>
    <w:lvl w:ilvl="0" w:tplc="99525AAE">
      <w:start w:val="1"/>
      <w:numFmt w:val="bullet"/>
      <w:lvlText w:val=""/>
      <w:lvlJc w:val="left"/>
      <w:pPr>
        <w:ind w:left="720" w:hanging="360"/>
      </w:pPr>
      <w:rPr>
        <w:rFonts w:ascii="Symbol" w:hAnsi="Symbol" w:hint="default"/>
      </w:rPr>
    </w:lvl>
    <w:lvl w:ilvl="1" w:tplc="389C2200" w:tentative="1">
      <w:start w:val="1"/>
      <w:numFmt w:val="bullet"/>
      <w:lvlText w:val="o"/>
      <w:lvlJc w:val="left"/>
      <w:pPr>
        <w:ind w:left="1440" w:hanging="360"/>
      </w:pPr>
      <w:rPr>
        <w:rFonts w:ascii="Courier New" w:hAnsi="Courier New" w:cs="Courier New" w:hint="default"/>
      </w:rPr>
    </w:lvl>
    <w:lvl w:ilvl="2" w:tplc="C3F8B188" w:tentative="1">
      <w:start w:val="1"/>
      <w:numFmt w:val="bullet"/>
      <w:lvlText w:val=""/>
      <w:lvlJc w:val="left"/>
      <w:pPr>
        <w:ind w:left="2160" w:hanging="360"/>
      </w:pPr>
      <w:rPr>
        <w:rFonts w:ascii="Wingdings" w:hAnsi="Wingdings" w:hint="default"/>
      </w:rPr>
    </w:lvl>
    <w:lvl w:ilvl="3" w:tplc="391E97F0" w:tentative="1">
      <w:start w:val="1"/>
      <w:numFmt w:val="bullet"/>
      <w:lvlText w:val=""/>
      <w:lvlJc w:val="left"/>
      <w:pPr>
        <w:ind w:left="2880" w:hanging="360"/>
      </w:pPr>
      <w:rPr>
        <w:rFonts w:ascii="Symbol" w:hAnsi="Symbol" w:hint="default"/>
      </w:rPr>
    </w:lvl>
    <w:lvl w:ilvl="4" w:tplc="4F42265E" w:tentative="1">
      <w:start w:val="1"/>
      <w:numFmt w:val="bullet"/>
      <w:lvlText w:val="o"/>
      <w:lvlJc w:val="left"/>
      <w:pPr>
        <w:ind w:left="3600" w:hanging="360"/>
      </w:pPr>
      <w:rPr>
        <w:rFonts w:ascii="Courier New" w:hAnsi="Courier New" w:cs="Courier New" w:hint="default"/>
      </w:rPr>
    </w:lvl>
    <w:lvl w:ilvl="5" w:tplc="30546058" w:tentative="1">
      <w:start w:val="1"/>
      <w:numFmt w:val="bullet"/>
      <w:lvlText w:val=""/>
      <w:lvlJc w:val="left"/>
      <w:pPr>
        <w:ind w:left="4320" w:hanging="360"/>
      </w:pPr>
      <w:rPr>
        <w:rFonts w:ascii="Wingdings" w:hAnsi="Wingdings" w:hint="default"/>
      </w:rPr>
    </w:lvl>
    <w:lvl w:ilvl="6" w:tplc="6E10F0C6" w:tentative="1">
      <w:start w:val="1"/>
      <w:numFmt w:val="bullet"/>
      <w:lvlText w:val=""/>
      <w:lvlJc w:val="left"/>
      <w:pPr>
        <w:ind w:left="5040" w:hanging="360"/>
      </w:pPr>
      <w:rPr>
        <w:rFonts w:ascii="Symbol" w:hAnsi="Symbol" w:hint="default"/>
      </w:rPr>
    </w:lvl>
    <w:lvl w:ilvl="7" w:tplc="70B07B9C" w:tentative="1">
      <w:start w:val="1"/>
      <w:numFmt w:val="bullet"/>
      <w:lvlText w:val="o"/>
      <w:lvlJc w:val="left"/>
      <w:pPr>
        <w:ind w:left="5760" w:hanging="360"/>
      </w:pPr>
      <w:rPr>
        <w:rFonts w:ascii="Courier New" w:hAnsi="Courier New" w:cs="Courier New" w:hint="default"/>
      </w:rPr>
    </w:lvl>
    <w:lvl w:ilvl="8" w:tplc="9BF48AAC" w:tentative="1">
      <w:start w:val="1"/>
      <w:numFmt w:val="bullet"/>
      <w:lvlText w:val=""/>
      <w:lvlJc w:val="left"/>
      <w:pPr>
        <w:ind w:left="6480" w:hanging="360"/>
      </w:pPr>
      <w:rPr>
        <w:rFonts w:ascii="Wingdings" w:hAnsi="Wingdings" w:hint="default"/>
      </w:rPr>
    </w:lvl>
  </w:abstractNum>
  <w:num w:numId="1">
    <w:abstractNumId w:val="13"/>
  </w:num>
  <w:num w:numId="2">
    <w:abstractNumId w:val="29"/>
  </w:num>
  <w:num w:numId="3">
    <w:abstractNumId w:val="15"/>
  </w:num>
  <w:num w:numId="4">
    <w:abstractNumId w:val="5"/>
  </w:num>
  <w:num w:numId="5">
    <w:abstractNumId w:val="27"/>
  </w:num>
  <w:num w:numId="6">
    <w:abstractNumId w:val="9"/>
  </w:num>
  <w:num w:numId="7">
    <w:abstractNumId w:val="1"/>
  </w:num>
  <w:num w:numId="8">
    <w:abstractNumId w:val="7"/>
  </w:num>
  <w:num w:numId="9">
    <w:abstractNumId w:val="10"/>
  </w:num>
  <w:num w:numId="10">
    <w:abstractNumId w:val="12"/>
  </w:num>
  <w:num w:numId="11">
    <w:abstractNumId w:val="20"/>
  </w:num>
  <w:num w:numId="12">
    <w:abstractNumId w:val="6"/>
  </w:num>
  <w:num w:numId="13">
    <w:abstractNumId w:val="14"/>
  </w:num>
  <w:num w:numId="14">
    <w:abstractNumId w:val="24"/>
  </w:num>
  <w:num w:numId="15">
    <w:abstractNumId w:val="26"/>
  </w:num>
  <w:num w:numId="16">
    <w:abstractNumId w:val="22"/>
  </w:num>
  <w:num w:numId="17">
    <w:abstractNumId w:val="25"/>
  </w:num>
  <w:num w:numId="18">
    <w:abstractNumId w:val="18"/>
  </w:num>
  <w:num w:numId="19">
    <w:abstractNumId w:val="4"/>
  </w:num>
  <w:num w:numId="20">
    <w:abstractNumId w:val="30"/>
  </w:num>
  <w:num w:numId="21">
    <w:abstractNumId w:val="11"/>
  </w:num>
  <w:num w:numId="22">
    <w:abstractNumId w:val="21"/>
  </w:num>
  <w:num w:numId="23">
    <w:abstractNumId w:val="0"/>
  </w:num>
  <w:num w:numId="24">
    <w:abstractNumId w:val="16"/>
  </w:num>
  <w:num w:numId="25">
    <w:abstractNumId w:val="23"/>
  </w:num>
  <w:num w:numId="26">
    <w:abstractNumId w:val="2"/>
  </w:num>
  <w:num w:numId="27">
    <w:abstractNumId w:val="19"/>
  </w:num>
  <w:num w:numId="28">
    <w:abstractNumId w:val="28"/>
  </w:num>
  <w:num w:numId="29">
    <w:abstractNumId w:val="17"/>
  </w:num>
  <w:num w:numId="30">
    <w:abstractNumId w:val="8"/>
  </w:num>
  <w:num w:numId="31">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en-AU" w:vendorID="64" w:dllVersion="0" w:nlCheck="1" w:checkStyle="0"/>
  <w:activeWritingStyle w:appName="MSWord" w:lang="en-US" w:vendorID="64" w:dllVersion="0"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 Copy&lt;/Style&gt;&lt;LeftDelim&gt;{&lt;/LeftDelim&gt;&lt;RightDelim&gt;}&lt;/RightDelim&gt;&lt;FontName&gt;Franklin Gothic Book&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rd5xtv9xdvftxetprq5st9c5trzx5z2xzpp&quot;&gt;Attachment_EndNote&lt;record-ids&gt;&lt;item&gt;4&lt;/item&gt;&lt;item&gt;5&lt;/item&gt;&lt;item&gt;11&lt;/item&gt;&lt;item&gt;13&lt;/item&gt;&lt;item&gt;14&lt;/item&gt;&lt;item&gt;16&lt;/item&gt;&lt;item&gt;17&lt;/item&gt;&lt;item&gt;18&lt;/item&gt;&lt;item&gt;19&lt;/item&gt;&lt;item&gt;20&lt;/item&gt;&lt;item&gt;21&lt;/item&gt;&lt;item&gt;22&lt;/item&gt;&lt;item&gt;23&lt;/item&gt;&lt;item&gt;24&lt;/item&gt;&lt;item&gt;25&lt;/item&gt;&lt;item&gt;26&lt;/item&gt;&lt;item&gt;27&lt;/item&gt;&lt;item&gt;41&lt;/item&gt;&lt;item&gt;42&lt;/item&gt;&lt;item&gt;63&lt;/item&gt;&lt;item&gt;65&lt;/item&gt;&lt;item&gt;66&lt;/item&gt;&lt;item&gt;67&lt;/item&gt;&lt;item&gt;94&lt;/item&gt;&lt;item&gt;103&lt;/item&gt;&lt;item&gt;131&lt;/item&gt;&lt;item&gt;142&lt;/item&gt;&lt;/record-ids&gt;&lt;/item&gt;&lt;/Libraries&gt;"/>
  </w:docVars>
  <w:rsids>
    <w:rsidRoot w:val="008157F1"/>
    <w:rsid w:val="000006A4"/>
    <w:rsid w:val="0000109A"/>
    <w:rsid w:val="00001AE6"/>
    <w:rsid w:val="00001D55"/>
    <w:rsid w:val="0000491D"/>
    <w:rsid w:val="00004962"/>
    <w:rsid w:val="00004D69"/>
    <w:rsid w:val="00004F7F"/>
    <w:rsid w:val="00005404"/>
    <w:rsid w:val="000054C9"/>
    <w:rsid w:val="000062DE"/>
    <w:rsid w:val="0000705E"/>
    <w:rsid w:val="00011426"/>
    <w:rsid w:val="00011568"/>
    <w:rsid w:val="00011B31"/>
    <w:rsid w:val="00011C85"/>
    <w:rsid w:val="000140E1"/>
    <w:rsid w:val="00014974"/>
    <w:rsid w:val="0001550A"/>
    <w:rsid w:val="00021AFC"/>
    <w:rsid w:val="000228B8"/>
    <w:rsid w:val="0002381B"/>
    <w:rsid w:val="00024EA5"/>
    <w:rsid w:val="000261C1"/>
    <w:rsid w:val="0002661E"/>
    <w:rsid w:val="00026D93"/>
    <w:rsid w:val="0002755F"/>
    <w:rsid w:val="00031FC0"/>
    <w:rsid w:val="000335B6"/>
    <w:rsid w:val="0003423A"/>
    <w:rsid w:val="0003477F"/>
    <w:rsid w:val="00035398"/>
    <w:rsid w:val="00036AD8"/>
    <w:rsid w:val="00037037"/>
    <w:rsid w:val="00037302"/>
    <w:rsid w:val="0004005D"/>
    <w:rsid w:val="00040ADF"/>
    <w:rsid w:val="00040FB4"/>
    <w:rsid w:val="00041257"/>
    <w:rsid w:val="00041566"/>
    <w:rsid w:val="0004178C"/>
    <w:rsid w:val="00041F5D"/>
    <w:rsid w:val="00042747"/>
    <w:rsid w:val="000443A6"/>
    <w:rsid w:val="000449D1"/>
    <w:rsid w:val="00045B8D"/>
    <w:rsid w:val="00045CC5"/>
    <w:rsid w:val="00046B6A"/>
    <w:rsid w:val="000472D4"/>
    <w:rsid w:val="00047A9E"/>
    <w:rsid w:val="00047CBD"/>
    <w:rsid w:val="000513DE"/>
    <w:rsid w:val="000523BA"/>
    <w:rsid w:val="00052DD3"/>
    <w:rsid w:val="0005326D"/>
    <w:rsid w:val="00053F6C"/>
    <w:rsid w:val="0005501C"/>
    <w:rsid w:val="00056C7D"/>
    <w:rsid w:val="0005709A"/>
    <w:rsid w:val="00057B7B"/>
    <w:rsid w:val="00061477"/>
    <w:rsid w:val="000614E8"/>
    <w:rsid w:val="000629F6"/>
    <w:rsid w:val="00062E01"/>
    <w:rsid w:val="0006339C"/>
    <w:rsid w:val="00064783"/>
    <w:rsid w:val="000647C2"/>
    <w:rsid w:val="0007021F"/>
    <w:rsid w:val="000709A0"/>
    <w:rsid w:val="00074199"/>
    <w:rsid w:val="00077187"/>
    <w:rsid w:val="00080241"/>
    <w:rsid w:val="00081778"/>
    <w:rsid w:val="000820D7"/>
    <w:rsid w:val="00082D4A"/>
    <w:rsid w:val="00083709"/>
    <w:rsid w:val="000870B6"/>
    <w:rsid w:val="00090613"/>
    <w:rsid w:val="00090BD1"/>
    <w:rsid w:val="00091857"/>
    <w:rsid w:val="00091C59"/>
    <w:rsid w:val="00092A21"/>
    <w:rsid w:val="00093B22"/>
    <w:rsid w:val="00093D9A"/>
    <w:rsid w:val="00094656"/>
    <w:rsid w:val="00095C85"/>
    <w:rsid w:val="00096324"/>
    <w:rsid w:val="0009673D"/>
    <w:rsid w:val="00096B08"/>
    <w:rsid w:val="00096B52"/>
    <w:rsid w:val="00096CD5"/>
    <w:rsid w:val="00097A0B"/>
    <w:rsid w:val="000A10BF"/>
    <w:rsid w:val="000A2ACD"/>
    <w:rsid w:val="000A2B65"/>
    <w:rsid w:val="000A2DA8"/>
    <w:rsid w:val="000A354B"/>
    <w:rsid w:val="000A5C47"/>
    <w:rsid w:val="000A629E"/>
    <w:rsid w:val="000A6B30"/>
    <w:rsid w:val="000B2B82"/>
    <w:rsid w:val="000B3330"/>
    <w:rsid w:val="000B4915"/>
    <w:rsid w:val="000B6CF0"/>
    <w:rsid w:val="000B720C"/>
    <w:rsid w:val="000B7498"/>
    <w:rsid w:val="000B7665"/>
    <w:rsid w:val="000C2843"/>
    <w:rsid w:val="000C3CF0"/>
    <w:rsid w:val="000C7C46"/>
    <w:rsid w:val="000D1B52"/>
    <w:rsid w:val="000D25A3"/>
    <w:rsid w:val="000D2B8D"/>
    <w:rsid w:val="000D3380"/>
    <w:rsid w:val="000D341C"/>
    <w:rsid w:val="000D3529"/>
    <w:rsid w:val="000D4C1B"/>
    <w:rsid w:val="000D5336"/>
    <w:rsid w:val="000D5523"/>
    <w:rsid w:val="000D77DE"/>
    <w:rsid w:val="000E03AA"/>
    <w:rsid w:val="000E03DC"/>
    <w:rsid w:val="000E1124"/>
    <w:rsid w:val="000E1597"/>
    <w:rsid w:val="000E409B"/>
    <w:rsid w:val="000E5531"/>
    <w:rsid w:val="000E6410"/>
    <w:rsid w:val="000E678B"/>
    <w:rsid w:val="000F2490"/>
    <w:rsid w:val="000F2B2A"/>
    <w:rsid w:val="000F2E01"/>
    <w:rsid w:val="000F3B74"/>
    <w:rsid w:val="000F47A7"/>
    <w:rsid w:val="000F5A54"/>
    <w:rsid w:val="000F7987"/>
    <w:rsid w:val="0010051C"/>
    <w:rsid w:val="00101BE2"/>
    <w:rsid w:val="00102A99"/>
    <w:rsid w:val="00102E55"/>
    <w:rsid w:val="0010448B"/>
    <w:rsid w:val="001045C4"/>
    <w:rsid w:val="0010521F"/>
    <w:rsid w:val="0010625A"/>
    <w:rsid w:val="001067C4"/>
    <w:rsid w:val="00107524"/>
    <w:rsid w:val="00107DCD"/>
    <w:rsid w:val="00107EF0"/>
    <w:rsid w:val="0011032F"/>
    <w:rsid w:val="00111417"/>
    <w:rsid w:val="00112FA6"/>
    <w:rsid w:val="00113C60"/>
    <w:rsid w:val="00114C3B"/>
    <w:rsid w:val="00115691"/>
    <w:rsid w:val="00117039"/>
    <w:rsid w:val="00117C11"/>
    <w:rsid w:val="00117F04"/>
    <w:rsid w:val="00120BD3"/>
    <w:rsid w:val="00120E04"/>
    <w:rsid w:val="00122AE3"/>
    <w:rsid w:val="00122EE1"/>
    <w:rsid w:val="00123658"/>
    <w:rsid w:val="001237AF"/>
    <w:rsid w:val="001247EB"/>
    <w:rsid w:val="00124F3C"/>
    <w:rsid w:val="001257B6"/>
    <w:rsid w:val="00125B61"/>
    <w:rsid w:val="00126122"/>
    <w:rsid w:val="001261A0"/>
    <w:rsid w:val="00126628"/>
    <w:rsid w:val="00131D45"/>
    <w:rsid w:val="001320F0"/>
    <w:rsid w:val="001336E0"/>
    <w:rsid w:val="00133F34"/>
    <w:rsid w:val="001344B1"/>
    <w:rsid w:val="00135273"/>
    <w:rsid w:val="00135767"/>
    <w:rsid w:val="00135FC9"/>
    <w:rsid w:val="00137E39"/>
    <w:rsid w:val="00140931"/>
    <w:rsid w:val="00141534"/>
    <w:rsid w:val="0014165A"/>
    <w:rsid w:val="001416D9"/>
    <w:rsid w:val="0014226E"/>
    <w:rsid w:val="00143478"/>
    <w:rsid w:val="00143F2F"/>
    <w:rsid w:val="00144C8B"/>
    <w:rsid w:val="001463A4"/>
    <w:rsid w:val="00146624"/>
    <w:rsid w:val="001472B5"/>
    <w:rsid w:val="0015035D"/>
    <w:rsid w:val="00150376"/>
    <w:rsid w:val="00150BBF"/>
    <w:rsid w:val="0015100D"/>
    <w:rsid w:val="00151DBD"/>
    <w:rsid w:val="001521DF"/>
    <w:rsid w:val="001531D6"/>
    <w:rsid w:val="00155434"/>
    <w:rsid w:val="00155BDA"/>
    <w:rsid w:val="001562A4"/>
    <w:rsid w:val="00156FA7"/>
    <w:rsid w:val="0016023A"/>
    <w:rsid w:val="0016222A"/>
    <w:rsid w:val="00162DBF"/>
    <w:rsid w:val="001630A6"/>
    <w:rsid w:val="00164CF8"/>
    <w:rsid w:val="001653AE"/>
    <w:rsid w:val="00165745"/>
    <w:rsid w:val="0016650D"/>
    <w:rsid w:val="00167B9C"/>
    <w:rsid w:val="00170D5B"/>
    <w:rsid w:val="00170DBF"/>
    <w:rsid w:val="00171255"/>
    <w:rsid w:val="00172250"/>
    <w:rsid w:val="00172B33"/>
    <w:rsid w:val="00172B8F"/>
    <w:rsid w:val="00173619"/>
    <w:rsid w:val="001736F8"/>
    <w:rsid w:val="00173D85"/>
    <w:rsid w:val="00173F3D"/>
    <w:rsid w:val="00174FD4"/>
    <w:rsid w:val="001761BA"/>
    <w:rsid w:val="0017720B"/>
    <w:rsid w:val="001779D7"/>
    <w:rsid w:val="001803BF"/>
    <w:rsid w:val="00180F79"/>
    <w:rsid w:val="001814EF"/>
    <w:rsid w:val="00184687"/>
    <w:rsid w:val="00184BAE"/>
    <w:rsid w:val="00186357"/>
    <w:rsid w:val="00187948"/>
    <w:rsid w:val="00190D33"/>
    <w:rsid w:val="00192DD2"/>
    <w:rsid w:val="0019362A"/>
    <w:rsid w:val="0019474E"/>
    <w:rsid w:val="001949DB"/>
    <w:rsid w:val="00195728"/>
    <w:rsid w:val="00196F9A"/>
    <w:rsid w:val="001970C0"/>
    <w:rsid w:val="001A1CB7"/>
    <w:rsid w:val="001A20B5"/>
    <w:rsid w:val="001A24E7"/>
    <w:rsid w:val="001A322F"/>
    <w:rsid w:val="001A3706"/>
    <w:rsid w:val="001A420B"/>
    <w:rsid w:val="001A48FD"/>
    <w:rsid w:val="001A49E7"/>
    <w:rsid w:val="001A4B97"/>
    <w:rsid w:val="001A4F7D"/>
    <w:rsid w:val="001A7B42"/>
    <w:rsid w:val="001A7D8F"/>
    <w:rsid w:val="001B1634"/>
    <w:rsid w:val="001B2A97"/>
    <w:rsid w:val="001B2CD4"/>
    <w:rsid w:val="001B3435"/>
    <w:rsid w:val="001B3A5D"/>
    <w:rsid w:val="001B3F69"/>
    <w:rsid w:val="001B5D1A"/>
    <w:rsid w:val="001B6510"/>
    <w:rsid w:val="001B7329"/>
    <w:rsid w:val="001C10AB"/>
    <w:rsid w:val="001C174A"/>
    <w:rsid w:val="001C18E9"/>
    <w:rsid w:val="001C1A88"/>
    <w:rsid w:val="001C1D05"/>
    <w:rsid w:val="001C2344"/>
    <w:rsid w:val="001C2A48"/>
    <w:rsid w:val="001C38EC"/>
    <w:rsid w:val="001C69E3"/>
    <w:rsid w:val="001C6DFD"/>
    <w:rsid w:val="001D0F98"/>
    <w:rsid w:val="001D0F9C"/>
    <w:rsid w:val="001D32C0"/>
    <w:rsid w:val="001D3784"/>
    <w:rsid w:val="001D3A64"/>
    <w:rsid w:val="001D4B3D"/>
    <w:rsid w:val="001D5793"/>
    <w:rsid w:val="001D74A7"/>
    <w:rsid w:val="001E1264"/>
    <w:rsid w:val="001E15F2"/>
    <w:rsid w:val="001E22F7"/>
    <w:rsid w:val="001E45EA"/>
    <w:rsid w:val="001E465F"/>
    <w:rsid w:val="001E7AA2"/>
    <w:rsid w:val="001F0A37"/>
    <w:rsid w:val="001F2902"/>
    <w:rsid w:val="001F2D6A"/>
    <w:rsid w:val="001F3F36"/>
    <w:rsid w:val="001F621F"/>
    <w:rsid w:val="001F658C"/>
    <w:rsid w:val="001F675C"/>
    <w:rsid w:val="001F6F44"/>
    <w:rsid w:val="001F7563"/>
    <w:rsid w:val="002007C2"/>
    <w:rsid w:val="00200812"/>
    <w:rsid w:val="00202A43"/>
    <w:rsid w:val="00204C14"/>
    <w:rsid w:val="002060CC"/>
    <w:rsid w:val="00207A5E"/>
    <w:rsid w:val="00207F59"/>
    <w:rsid w:val="00211DC3"/>
    <w:rsid w:val="002135AF"/>
    <w:rsid w:val="0021380A"/>
    <w:rsid w:val="002155B6"/>
    <w:rsid w:val="002157E4"/>
    <w:rsid w:val="00215AFB"/>
    <w:rsid w:val="00215DEA"/>
    <w:rsid w:val="002200D8"/>
    <w:rsid w:val="00220648"/>
    <w:rsid w:val="0022219D"/>
    <w:rsid w:val="00223153"/>
    <w:rsid w:val="00223664"/>
    <w:rsid w:val="00223781"/>
    <w:rsid w:val="00223A45"/>
    <w:rsid w:val="00223A56"/>
    <w:rsid w:val="00225833"/>
    <w:rsid w:val="002259CC"/>
    <w:rsid w:val="00226095"/>
    <w:rsid w:val="0022618F"/>
    <w:rsid w:val="002265CA"/>
    <w:rsid w:val="00227B89"/>
    <w:rsid w:val="00227F43"/>
    <w:rsid w:val="00227F6E"/>
    <w:rsid w:val="00234640"/>
    <w:rsid w:val="00235DD9"/>
    <w:rsid w:val="00236E82"/>
    <w:rsid w:val="002372AC"/>
    <w:rsid w:val="00240106"/>
    <w:rsid w:val="00240F75"/>
    <w:rsid w:val="002411C7"/>
    <w:rsid w:val="00242F4E"/>
    <w:rsid w:val="002441DE"/>
    <w:rsid w:val="00244B15"/>
    <w:rsid w:val="002452A0"/>
    <w:rsid w:val="0024568F"/>
    <w:rsid w:val="002463A6"/>
    <w:rsid w:val="00246ADB"/>
    <w:rsid w:val="002517A5"/>
    <w:rsid w:val="00251F6C"/>
    <w:rsid w:val="0025249C"/>
    <w:rsid w:val="00252917"/>
    <w:rsid w:val="002539ED"/>
    <w:rsid w:val="00253A06"/>
    <w:rsid w:val="0025440D"/>
    <w:rsid w:val="0025450E"/>
    <w:rsid w:val="00254720"/>
    <w:rsid w:val="00255152"/>
    <w:rsid w:val="0025554E"/>
    <w:rsid w:val="00260FF4"/>
    <w:rsid w:val="0026192C"/>
    <w:rsid w:val="002638F4"/>
    <w:rsid w:val="00266522"/>
    <w:rsid w:val="00270461"/>
    <w:rsid w:val="0027160C"/>
    <w:rsid w:val="00271880"/>
    <w:rsid w:val="0027344B"/>
    <w:rsid w:val="0027492A"/>
    <w:rsid w:val="002751D1"/>
    <w:rsid w:val="00275209"/>
    <w:rsid w:val="00281B31"/>
    <w:rsid w:val="002837E4"/>
    <w:rsid w:val="00284340"/>
    <w:rsid w:val="00285705"/>
    <w:rsid w:val="00285751"/>
    <w:rsid w:val="00285BAB"/>
    <w:rsid w:val="00286269"/>
    <w:rsid w:val="00287E78"/>
    <w:rsid w:val="00290676"/>
    <w:rsid w:val="0029086F"/>
    <w:rsid w:val="00291462"/>
    <w:rsid w:val="00291572"/>
    <w:rsid w:val="0029712B"/>
    <w:rsid w:val="002A01E5"/>
    <w:rsid w:val="002A04A7"/>
    <w:rsid w:val="002A04B4"/>
    <w:rsid w:val="002A080A"/>
    <w:rsid w:val="002A145B"/>
    <w:rsid w:val="002A18BE"/>
    <w:rsid w:val="002A2F30"/>
    <w:rsid w:val="002A36F6"/>
    <w:rsid w:val="002A3A13"/>
    <w:rsid w:val="002A4084"/>
    <w:rsid w:val="002A4AD6"/>
    <w:rsid w:val="002A624F"/>
    <w:rsid w:val="002A7196"/>
    <w:rsid w:val="002A76AE"/>
    <w:rsid w:val="002B1384"/>
    <w:rsid w:val="002B3681"/>
    <w:rsid w:val="002B39A1"/>
    <w:rsid w:val="002B4377"/>
    <w:rsid w:val="002B667C"/>
    <w:rsid w:val="002B704A"/>
    <w:rsid w:val="002C084C"/>
    <w:rsid w:val="002C11CA"/>
    <w:rsid w:val="002C28A0"/>
    <w:rsid w:val="002C3F52"/>
    <w:rsid w:val="002C45E8"/>
    <w:rsid w:val="002C4B14"/>
    <w:rsid w:val="002C4DAD"/>
    <w:rsid w:val="002C58F6"/>
    <w:rsid w:val="002C6568"/>
    <w:rsid w:val="002C699F"/>
    <w:rsid w:val="002C6B5A"/>
    <w:rsid w:val="002C70CE"/>
    <w:rsid w:val="002C7B54"/>
    <w:rsid w:val="002D147E"/>
    <w:rsid w:val="002D1487"/>
    <w:rsid w:val="002D1611"/>
    <w:rsid w:val="002D1ED5"/>
    <w:rsid w:val="002D382F"/>
    <w:rsid w:val="002D4579"/>
    <w:rsid w:val="002D5097"/>
    <w:rsid w:val="002D55E4"/>
    <w:rsid w:val="002D690D"/>
    <w:rsid w:val="002E3DA5"/>
    <w:rsid w:val="002E52BF"/>
    <w:rsid w:val="002E63BE"/>
    <w:rsid w:val="002E7775"/>
    <w:rsid w:val="002E7AD2"/>
    <w:rsid w:val="002F1399"/>
    <w:rsid w:val="002F32FB"/>
    <w:rsid w:val="002F4793"/>
    <w:rsid w:val="002F49A7"/>
    <w:rsid w:val="002F4F49"/>
    <w:rsid w:val="002F5611"/>
    <w:rsid w:val="002F5F5E"/>
    <w:rsid w:val="002F5F85"/>
    <w:rsid w:val="002F6776"/>
    <w:rsid w:val="002F693F"/>
    <w:rsid w:val="003008CC"/>
    <w:rsid w:val="00300DBC"/>
    <w:rsid w:val="00301763"/>
    <w:rsid w:val="00302252"/>
    <w:rsid w:val="00303C60"/>
    <w:rsid w:val="00304FB8"/>
    <w:rsid w:val="00305133"/>
    <w:rsid w:val="003059C3"/>
    <w:rsid w:val="00307299"/>
    <w:rsid w:val="00310B9B"/>
    <w:rsid w:val="00310C3F"/>
    <w:rsid w:val="003134EF"/>
    <w:rsid w:val="003140D2"/>
    <w:rsid w:val="00317714"/>
    <w:rsid w:val="00320A17"/>
    <w:rsid w:val="00322DA9"/>
    <w:rsid w:val="00323AF6"/>
    <w:rsid w:val="003251C2"/>
    <w:rsid w:val="00325FA0"/>
    <w:rsid w:val="00326A8C"/>
    <w:rsid w:val="00326F1C"/>
    <w:rsid w:val="00327162"/>
    <w:rsid w:val="00330A0A"/>
    <w:rsid w:val="003328A9"/>
    <w:rsid w:val="003330EA"/>
    <w:rsid w:val="003371B5"/>
    <w:rsid w:val="00337AB4"/>
    <w:rsid w:val="00337BAF"/>
    <w:rsid w:val="00340341"/>
    <w:rsid w:val="003417CB"/>
    <w:rsid w:val="003435A9"/>
    <w:rsid w:val="00344613"/>
    <w:rsid w:val="00344649"/>
    <w:rsid w:val="00345085"/>
    <w:rsid w:val="00345496"/>
    <w:rsid w:val="00345BCF"/>
    <w:rsid w:val="003466F9"/>
    <w:rsid w:val="00350092"/>
    <w:rsid w:val="003519AD"/>
    <w:rsid w:val="00351E0E"/>
    <w:rsid w:val="0035377F"/>
    <w:rsid w:val="00353F77"/>
    <w:rsid w:val="00354EB4"/>
    <w:rsid w:val="00356D29"/>
    <w:rsid w:val="003571C2"/>
    <w:rsid w:val="003579CF"/>
    <w:rsid w:val="00357B7C"/>
    <w:rsid w:val="003601E1"/>
    <w:rsid w:val="003622CC"/>
    <w:rsid w:val="00362C9C"/>
    <w:rsid w:val="003639C2"/>
    <w:rsid w:val="003640A7"/>
    <w:rsid w:val="00365447"/>
    <w:rsid w:val="00366F9E"/>
    <w:rsid w:val="0036794E"/>
    <w:rsid w:val="00371152"/>
    <w:rsid w:val="003715A4"/>
    <w:rsid w:val="00371607"/>
    <w:rsid w:val="00372B1E"/>
    <w:rsid w:val="00372BC7"/>
    <w:rsid w:val="003763BD"/>
    <w:rsid w:val="0038146C"/>
    <w:rsid w:val="003816B6"/>
    <w:rsid w:val="00381DF9"/>
    <w:rsid w:val="003821CA"/>
    <w:rsid w:val="00382609"/>
    <w:rsid w:val="003827EE"/>
    <w:rsid w:val="00384F82"/>
    <w:rsid w:val="00386124"/>
    <w:rsid w:val="003864D5"/>
    <w:rsid w:val="003873CA"/>
    <w:rsid w:val="00390567"/>
    <w:rsid w:val="003910EC"/>
    <w:rsid w:val="003964C5"/>
    <w:rsid w:val="003966F6"/>
    <w:rsid w:val="0039677D"/>
    <w:rsid w:val="00396DAB"/>
    <w:rsid w:val="00397DBD"/>
    <w:rsid w:val="003A01DA"/>
    <w:rsid w:val="003A0660"/>
    <w:rsid w:val="003A0D52"/>
    <w:rsid w:val="003A19DC"/>
    <w:rsid w:val="003A2ED1"/>
    <w:rsid w:val="003A331B"/>
    <w:rsid w:val="003A3D1A"/>
    <w:rsid w:val="003A4C47"/>
    <w:rsid w:val="003A54A9"/>
    <w:rsid w:val="003A6724"/>
    <w:rsid w:val="003A676E"/>
    <w:rsid w:val="003A6CC7"/>
    <w:rsid w:val="003A6E1A"/>
    <w:rsid w:val="003A7DA2"/>
    <w:rsid w:val="003B0BA1"/>
    <w:rsid w:val="003B4599"/>
    <w:rsid w:val="003B5C3E"/>
    <w:rsid w:val="003B61B7"/>
    <w:rsid w:val="003C1AE2"/>
    <w:rsid w:val="003C3AE3"/>
    <w:rsid w:val="003C4F8F"/>
    <w:rsid w:val="003C6B59"/>
    <w:rsid w:val="003C7237"/>
    <w:rsid w:val="003D25EF"/>
    <w:rsid w:val="003D299E"/>
    <w:rsid w:val="003D36F7"/>
    <w:rsid w:val="003D4013"/>
    <w:rsid w:val="003D4B01"/>
    <w:rsid w:val="003D4C42"/>
    <w:rsid w:val="003D55E1"/>
    <w:rsid w:val="003D5C94"/>
    <w:rsid w:val="003D641A"/>
    <w:rsid w:val="003D6B6A"/>
    <w:rsid w:val="003D71EB"/>
    <w:rsid w:val="003D79D5"/>
    <w:rsid w:val="003D7F22"/>
    <w:rsid w:val="003E017E"/>
    <w:rsid w:val="003E22CB"/>
    <w:rsid w:val="003E2343"/>
    <w:rsid w:val="003E3AE4"/>
    <w:rsid w:val="003E406B"/>
    <w:rsid w:val="003E4F96"/>
    <w:rsid w:val="003E5CCA"/>
    <w:rsid w:val="003E7773"/>
    <w:rsid w:val="003F115E"/>
    <w:rsid w:val="003F11FC"/>
    <w:rsid w:val="003F14C2"/>
    <w:rsid w:val="003F2210"/>
    <w:rsid w:val="003F35D6"/>
    <w:rsid w:val="003F36FF"/>
    <w:rsid w:val="003F3CD7"/>
    <w:rsid w:val="003F4119"/>
    <w:rsid w:val="003F44E5"/>
    <w:rsid w:val="003F535C"/>
    <w:rsid w:val="003F7196"/>
    <w:rsid w:val="003F7951"/>
    <w:rsid w:val="004008AF"/>
    <w:rsid w:val="00400B5F"/>
    <w:rsid w:val="00401DBF"/>
    <w:rsid w:val="00402B01"/>
    <w:rsid w:val="00402D25"/>
    <w:rsid w:val="004033D9"/>
    <w:rsid w:val="0040345D"/>
    <w:rsid w:val="00403B34"/>
    <w:rsid w:val="00404A94"/>
    <w:rsid w:val="00405103"/>
    <w:rsid w:val="0040551F"/>
    <w:rsid w:val="00406197"/>
    <w:rsid w:val="0040771F"/>
    <w:rsid w:val="004111F7"/>
    <w:rsid w:val="0041217D"/>
    <w:rsid w:val="004125C6"/>
    <w:rsid w:val="0041275F"/>
    <w:rsid w:val="00414F66"/>
    <w:rsid w:val="004155A6"/>
    <w:rsid w:val="00416668"/>
    <w:rsid w:val="00420AC2"/>
    <w:rsid w:val="00421A89"/>
    <w:rsid w:val="00421EBC"/>
    <w:rsid w:val="0042304B"/>
    <w:rsid w:val="00423696"/>
    <w:rsid w:val="00424084"/>
    <w:rsid w:val="00424DBC"/>
    <w:rsid w:val="004257BB"/>
    <w:rsid w:val="00425A42"/>
    <w:rsid w:val="0042666C"/>
    <w:rsid w:val="004273AD"/>
    <w:rsid w:val="004305AE"/>
    <w:rsid w:val="00431800"/>
    <w:rsid w:val="00433541"/>
    <w:rsid w:val="004353D9"/>
    <w:rsid w:val="00436514"/>
    <w:rsid w:val="004372C1"/>
    <w:rsid w:val="004423F7"/>
    <w:rsid w:val="00442A49"/>
    <w:rsid w:val="00443CCD"/>
    <w:rsid w:val="004447EC"/>
    <w:rsid w:val="00444BE3"/>
    <w:rsid w:val="0044690B"/>
    <w:rsid w:val="00446BBE"/>
    <w:rsid w:val="0044782C"/>
    <w:rsid w:val="00450503"/>
    <w:rsid w:val="0045093D"/>
    <w:rsid w:val="0045142F"/>
    <w:rsid w:val="00451645"/>
    <w:rsid w:val="00451DEA"/>
    <w:rsid w:val="00452012"/>
    <w:rsid w:val="0045298B"/>
    <w:rsid w:val="00454F8E"/>
    <w:rsid w:val="0046120C"/>
    <w:rsid w:val="00462778"/>
    <w:rsid w:val="00462FED"/>
    <w:rsid w:val="00463903"/>
    <w:rsid w:val="00464F6C"/>
    <w:rsid w:val="00465613"/>
    <w:rsid w:val="00467E03"/>
    <w:rsid w:val="0047032B"/>
    <w:rsid w:val="00470B46"/>
    <w:rsid w:val="004714BB"/>
    <w:rsid w:val="00471AEF"/>
    <w:rsid w:val="00471D0D"/>
    <w:rsid w:val="00474E01"/>
    <w:rsid w:val="00477034"/>
    <w:rsid w:val="0048021C"/>
    <w:rsid w:val="00482804"/>
    <w:rsid w:val="00482B47"/>
    <w:rsid w:val="0048323E"/>
    <w:rsid w:val="00484DC5"/>
    <w:rsid w:val="00485675"/>
    <w:rsid w:val="00487C85"/>
    <w:rsid w:val="0049076D"/>
    <w:rsid w:val="00490DC4"/>
    <w:rsid w:val="00492279"/>
    <w:rsid w:val="00494F64"/>
    <w:rsid w:val="004961E4"/>
    <w:rsid w:val="00497B9F"/>
    <w:rsid w:val="004A10B0"/>
    <w:rsid w:val="004A2084"/>
    <w:rsid w:val="004A2958"/>
    <w:rsid w:val="004A35CB"/>
    <w:rsid w:val="004A4430"/>
    <w:rsid w:val="004A4FDF"/>
    <w:rsid w:val="004A5489"/>
    <w:rsid w:val="004A5AEE"/>
    <w:rsid w:val="004A5E73"/>
    <w:rsid w:val="004A7A52"/>
    <w:rsid w:val="004B084D"/>
    <w:rsid w:val="004B09AA"/>
    <w:rsid w:val="004B19FE"/>
    <w:rsid w:val="004B2A4D"/>
    <w:rsid w:val="004B2F45"/>
    <w:rsid w:val="004B33C2"/>
    <w:rsid w:val="004B3678"/>
    <w:rsid w:val="004B3D04"/>
    <w:rsid w:val="004B4214"/>
    <w:rsid w:val="004B4DB1"/>
    <w:rsid w:val="004B52B4"/>
    <w:rsid w:val="004B689D"/>
    <w:rsid w:val="004B6A93"/>
    <w:rsid w:val="004C0916"/>
    <w:rsid w:val="004C0E97"/>
    <w:rsid w:val="004C48C8"/>
    <w:rsid w:val="004C598D"/>
    <w:rsid w:val="004C5E25"/>
    <w:rsid w:val="004D02A7"/>
    <w:rsid w:val="004D133A"/>
    <w:rsid w:val="004D1C73"/>
    <w:rsid w:val="004D3897"/>
    <w:rsid w:val="004D4425"/>
    <w:rsid w:val="004D7256"/>
    <w:rsid w:val="004E0CB7"/>
    <w:rsid w:val="004E1D58"/>
    <w:rsid w:val="004E2BD6"/>
    <w:rsid w:val="004E52D8"/>
    <w:rsid w:val="004E586A"/>
    <w:rsid w:val="004F235F"/>
    <w:rsid w:val="004F4943"/>
    <w:rsid w:val="004F6AD3"/>
    <w:rsid w:val="00500979"/>
    <w:rsid w:val="00501386"/>
    <w:rsid w:val="0050141E"/>
    <w:rsid w:val="00501BD9"/>
    <w:rsid w:val="00501C25"/>
    <w:rsid w:val="005027A6"/>
    <w:rsid w:val="00502DAE"/>
    <w:rsid w:val="00502FFB"/>
    <w:rsid w:val="005038A0"/>
    <w:rsid w:val="0050428C"/>
    <w:rsid w:val="00504A82"/>
    <w:rsid w:val="00505E19"/>
    <w:rsid w:val="00506BB3"/>
    <w:rsid w:val="005075B2"/>
    <w:rsid w:val="005103C5"/>
    <w:rsid w:val="005131BB"/>
    <w:rsid w:val="005131D3"/>
    <w:rsid w:val="0051352C"/>
    <w:rsid w:val="00513959"/>
    <w:rsid w:val="005147E7"/>
    <w:rsid w:val="00514F2D"/>
    <w:rsid w:val="00514FC2"/>
    <w:rsid w:val="0051513B"/>
    <w:rsid w:val="00515BFA"/>
    <w:rsid w:val="00517A86"/>
    <w:rsid w:val="005206A4"/>
    <w:rsid w:val="00522826"/>
    <w:rsid w:val="0052349D"/>
    <w:rsid w:val="00524BE8"/>
    <w:rsid w:val="0052575D"/>
    <w:rsid w:val="00526C92"/>
    <w:rsid w:val="005275FC"/>
    <w:rsid w:val="0052768C"/>
    <w:rsid w:val="00530896"/>
    <w:rsid w:val="00530E61"/>
    <w:rsid w:val="005310AF"/>
    <w:rsid w:val="005332D8"/>
    <w:rsid w:val="005342C3"/>
    <w:rsid w:val="00534C02"/>
    <w:rsid w:val="005362F5"/>
    <w:rsid w:val="00536DC1"/>
    <w:rsid w:val="0053725B"/>
    <w:rsid w:val="00537849"/>
    <w:rsid w:val="00537DC6"/>
    <w:rsid w:val="00540C57"/>
    <w:rsid w:val="00541956"/>
    <w:rsid w:val="00541DC9"/>
    <w:rsid w:val="005421E6"/>
    <w:rsid w:val="00542620"/>
    <w:rsid w:val="00543DCE"/>
    <w:rsid w:val="00543E68"/>
    <w:rsid w:val="00544B2B"/>
    <w:rsid w:val="0054643C"/>
    <w:rsid w:val="005468C2"/>
    <w:rsid w:val="00552221"/>
    <w:rsid w:val="005522CD"/>
    <w:rsid w:val="005531BD"/>
    <w:rsid w:val="00553C10"/>
    <w:rsid w:val="00554BBE"/>
    <w:rsid w:val="005567B2"/>
    <w:rsid w:val="00556FDD"/>
    <w:rsid w:val="00557870"/>
    <w:rsid w:val="00560219"/>
    <w:rsid w:val="00560277"/>
    <w:rsid w:val="00560938"/>
    <w:rsid w:val="00560AF1"/>
    <w:rsid w:val="00561562"/>
    <w:rsid w:val="00563D6C"/>
    <w:rsid w:val="00563DE6"/>
    <w:rsid w:val="0056528D"/>
    <w:rsid w:val="005652B8"/>
    <w:rsid w:val="0056628B"/>
    <w:rsid w:val="00566298"/>
    <w:rsid w:val="00566FCB"/>
    <w:rsid w:val="00567529"/>
    <w:rsid w:val="00570795"/>
    <w:rsid w:val="0057091E"/>
    <w:rsid w:val="005723D6"/>
    <w:rsid w:val="00574A6E"/>
    <w:rsid w:val="00576AAC"/>
    <w:rsid w:val="00577145"/>
    <w:rsid w:val="005773BE"/>
    <w:rsid w:val="00580FF5"/>
    <w:rsid w:val="00582365"/>
    <w:rsid w:val="005825D4"/>
    <w:rsid w:val="00583011"/>
    <w:rsid w:val="00585C1B"/>
    <w:rsid w:val="00586AC7"/>
    <w:rsid w:val="00587639"/>
    <w:rsid w:val="005914B1"/>
    <w:rsid w:val="00592638"/>
    <w:rsid w:val="00593138"/>
    <w:rsid w:val="00593A33"/>
    <w:rsid w:val="005947B5"/>
    <w:rsid w:val="00594F9B"/>
    <w:rsid w:val="00595CBC"/>
    <w:rsid w:val="0059603B"/>
    <w:rsid w:val="005960BB"/>
    <w:rsid w:val="005972CE"/>
    <w:rsid w:val="00597342"/>
    <w:rsid w:val="00597407"/>
    <w:rsid w:val="005A0496"/>
    <w:rsid w:val="005A3B1A"/>
    <w:rsid w:val="005A4047"/>
    <w:rsid w:val="005A4384"/>
    <w:rsid w:val="005A5F6E"/>
    <w:rsid w:val="005A7012"/>
    <w:rsid w:val="005A7A5E"/>
    <w:rsid w:val="005A7FBC"/>
    <w:rsid w:val="005B1C07"/>
    <w:rsid w:val="005B3432"/>
    <w:rsid w:val="005B3BD6"/>
    <w:rsid w:val="005B487C"/>
    <w:rsid w:val="005B7B0E"/>
    <w:rsid w:val="005B7D6C"/>
    <w:rsid w:val="005C0A83"/>
    <w:rsid w:val="005C1404"/>
    <w:rsid w:val="005C1D60"/>
    <w:rsid w:val="005C3B68"/>
    <w:rsid w:val="005C5E49"/>
    <w:rsid w:val="005C7215"/>
    <w:rsid w:val="005C73C4"/>
    <w:rsid w:val="005C7A0D"/>
    <w:rsid w:val="005D00EA"/>
    <w:rsid w:val="005D023B"/>
    <w:rsid w:val="005D02C4"/>
    <w:rsid w:val="005D2304"/>
    <w:rsid w:val="005D336C"/>
    <w:rsid w:val="005D355D"/>
    <w:rsid w:val="005D3A04"/>
    <w:rsid w:val="005D4577"/>
    <w:rsid w:val="005D48FE"/>
    <w:rsid w:val="005D5F2F"/>
    <w:rsid w:val="005D7471"/>
    <w:rsid w:val="005D749D"/>
    <w:rsid w:val="005D7DF4"/>
    <w:rsid w:val="005E2702"/>
    <w:rsid w:val="005E4433"/>
    <w:rsid w:val="005E49D6"/>
    <w:rsid w:val="005E5874"/>
    <w:rsid w:val="005E6713"/>
    <w:rsid w:val="005E75D5"/>
    <w:rsid w:val="005F1555"/>
    <w:rsid w:val="005F1717"/>
    <w:rsid w:val="005F1F4A"/>
    <w:rsid w:val="005F2978"/>
    <w:rsid w:val="005F32D2"/>
    <w:rsid w:val="005F4721"/>
    <w:rsid w:val="005F6CC6"/>
    <w:rsid w:val="005F720A"/>
    <w:rsid w:val="0060269D"/>
    <w:rsid w:val="00602F43"/>
    <w:rsid w:val="00603B08"/>
    <w:rsid w:val="00605776"/>
    <w:rsid w:val="00605BE1"/>
    <w:rsid w:val="00607DBA"/>
    <w:rsid w:val="00607E6D"/>
    <w:rsid w:val="00610162"/>
    <w:rsid w:val="00610ABA"/>
    <w:rsid w:val="00613037"/>
    <w:rsid w:val="006135AB"/>
    <w:rsid w:val="006138E4"/>
    <w:rsid w:val="00614289"/>
    <w:rsid w:val="006144F6"/>
    <w:rsid w:val="00616407"/>
    <w:rsid w:val="00620E5A"/>
    <w:rsid w:val="00623732"/>
    <w:rsid w:val="006250E9"/>
    <w:rsid w:val="0062683F"/>
    <w:rsid w:val="00627FC8"/>
    <w:rsid w:val="00631D17"/>
    <w:rsid w:val="00633B2F"/>
    <w:rsid w:val="00637035"/>
    <w:rsid w:val="00640559"/>
    <w:rsid w:val="00640C31"/>
    <w:rsid w:val="00641A20"/>
    <w:rsid w:val="00643226"/>
    <w:rsid w:val="00644165"/>
    <w:rsid w:val="0064438D"/>
    <w:rsid w:val="006459EF"/>
    <w:rsid w:val="00646110"/>
    <w:rsid w:val="006465F3"/>
    <w:rsid w:val="00647D1F"/>
    <w:rsid w:val="00651868"/>
    <w:rsid w:val="006534BF"/>
    <w:rsid w:val="006537D7"/>
    <w:rsid w:val="0065428B"/>
    <w:rsid w:val="0065444A"/>
    <w:rsid w:val="00654F68"/>
    <w:rsid w:val="00655540"/>
    <w:rsid w:val="00655CF9"/>
    <w:rsid w:val="00655D45"/>
    <w:rsid w:val="0065714C"/>
    <w:rsid w:val="00657377"/>
    <w:rsid w:val="006601D3"/>
    <w:rsid w:val="00660A74"/>
    <w:rsid w:val="00662E5F"/>
    <w:rsid w:val="00664434"/>
    <w:rsid w:val="00664578"/>
    <w:rsid w:val="00664987"/>
    <w:rsid w:val="0066561F"/>
    <w:rsid w:val="00666217"/>
    <w:rsid w:val="00666A58"/>
    <w:rsid w:val="00670650"/>
    <w:rsid w:val="006712C0"/>
    <w:rsid w:val="006721BF"/>
    <w:rsid w:val="006744AC"/>
    <w:rsid w:val="00674C7D"/>
    <w:rsid w:val="0067A392"/>
    <w:rsid w:val="00680B40"/>
    <w:rsid w:val="00681EC9"/>
    <w:rsid w:val="006822FA"/>
    <w:rsid w:val="0068288C"/>
    <w:rsid w:val="00682C3D"/>
    <w:rsid w:val="00683F36"/>
    <w:rsid w:val="00685589"/>
    <w:rsid w:val="00686481"/>
    <w:rsid w:val="0068682C"/>
    <w:rsid w:val="0069174A"/>
    <w:rsid w:val="006927EE"/>
    <w:rsid w:val="006938AA"/>
    <w:rsid w:val="0069474B"/>
    <w:rsid w:val="0069475D"/>
    <w:rsid w:val="00695570"/>
    <w:rsid w:val="00695AEB"/>
    <w:rsid w:val="00696253"/>
    <w:rsid w:val="0069725D"/>
    <w:rsid w:val="0069743B"/>
    <w:rsid w:val="00697966"/>
    <w:rsid w:val="006A12E1"/>
    <w:rsid w:val="006A3A29"/>
    <w:rsid w:val="006A3A2B"/>
    <w:rsid w:val="006A421A"/>
    <w:rsid w:val="006A47CB"/>
    <w:rsid w:val="006A5E22"/>
    <w:rsid w:val="006A6BF1"/>
    <w:rsid w:val="006A7B65"/>
    <w:rsid w:val="006B1AC5"/>
    <w:rsid w:val="006B28F7"/>
    <w:rsid w:val="006B3032"/>
    <w:rsid w:val="006B33AD"/>
    <w:rsid w:val="006B356B"/>
    <w:rsid w:val="006B42C0"/>
    <w:rsid w:val="006B4B4A"/>
    <w:rsid w:val="006B75C6"/>
    <w:rsid w:val="006C084E"/>
    <w:rsid w:val="006C0B37"/>
    <w:rsid w:val="006C354C"/>
    <w:rsid w:val="006C35C1"/>
    <w:rsid w:val="006C3B76"/>
    <w:rsid w:val="006C4572"/>
    <w:rsid w:val="006C7514"/>
    <w:rsid w:val="006C7B03"/>
    <w:rsid w:val="006D0EC2"/>
    <w:rsid w:val="006D10FC"/>
    <w:rsid w:val="006D216A"/>
    <w:rsid w:val="006D2DB5"/>
    <w:rsid w:val="006D4C72"/>
    <w:rsid w:val="006D4E4C"/>
    <w:rsid w:val="006D53BB"/>
    <w:rsid w:val="006D5471"/>
    <w:rsid w:val="006D5585"/>
    <w:rsid w:val="006D5F76"/>
    <w:rsid w:val="006D6236"/>
    <w:rsid w:val="006D6D96"/>
    <w:rsid w:val="006D7211"/>
    <w:rsid w:val="006D75C8"/>
    <w:rsid w:val="006E04A6"/>
    <w:rsid w:val="006E13C9"/>
    <w:rsid w:val="006E155D"/>
    <w:rsid w:val="006E2AB2"/>
    <w:rsid w:val="006F0D46"/>
    <w:rsid w:val="006F23DD"/>
    <w:rsid w:val="006F43BB"/>
    <w:rsid w:val="006F50D0"/>
    <w:rsid w:val="006F5158"/>
    <w:rsid w:val="00700950"/>
    <w:rsid w:val="007010A8"/>
    <w:rsid w:val="00701136"/>
    <w:rsid w:val="00702714"/>
    <w:rsid w:val="0070319A"/>
    <w:rsid w:val="00703CB4"/>
    <w:rsid w:val="007050CC"/>
    <w:rsid w:val="00707C18"/>
    <w:rsid w:val="007103A9"/>
    <w:rsid w:val="00710AA3"/>
    <w:rsid w:val="00712B2B"/>
    <w:rsid w:val="00714B3E"/>
    <w:rsid w:val="00716AD2"/>
    <w:rsid w:val="007203CA"/>
    <w:rsid w:val="00721E5F"/>
    <w:rsid w:val="007226F5"/>
    <w:rsid w:val="00722BC6"/>
    <w:rsid w:val="00723B2C"/>
    <w:rsid w:val="00724ED0"/>
    <w:rsid w:val="00724F92"/>
    <w:rsid w:val="007253D6"/>
    <w:rsid w:val="0072578A"/>
    <w:rsid w:val="0072597A"/>
    <w:rsid w:val="00726CCD"/>
    <w:rsid w:val="00731F05"/>
    <w:rsid w:val="0073373F"/>
    <w:rsid w:val="0073792C"/>
    <w:rsid w:val="007416C2"/>
    <w:rsid w:val="0074257A"/>
    <w:rsid w:val="00746F39"/>
    <w:rsid w:val="00747194"/>
    <w:rsid w:val="00747434"/>
    <w:rsid w:val="0074788B"/>
    <w:rsid w:val="0075137C"/>
    <w:rsid w:val="00753A67"/>
    <w:rsid w:val="00753EB0"/>
    <w:rsid w:val="0075418A"/>
    <w:rsid w:val="00755325"/>
    <w:rsid w:val="00756B25"/>
    <w:rsid w:val="00756C5A"/>
    <w:rsid w:val="00757F32"/>
    <w:rsid w:val="00762363"/>
    <w:rsid w:val="0076260D"/>
    <w:rsid w:val="007628A4"/>
    <w:rsid w:val="00763B77"/>
    <w:rsid w:val="0076582B"/>
    <w:rsid w:val="0076702C"/>
    <w:rsid w:val="00767F6C"/>
    <w:rsid w:val="0077158C"/>
    <w:rsid w:val="00772829"/>
    <w:rsid w:val="007752C7"/>
    <w:rsid w:val="00777848"/>
    <w:rsid w:val="00777893"/>
    <w:rsid w:val="00780FEA"/>
    <w:rsid w:val="00781D3B"/>
    <w:rsid w:val="00783944"/>
    <w:rsid w:val="00783DAA"/>
    <w:rsid w:val="00784341"/>
    <w:rsid w:val="007852E9"/>
    <w:rsid w:val="00787F3B"/>
    <w:rsid w:val="00790B15"/>
    <w:rsid w:val="00790F49"/>
    <w:rsid w:val="007931CB"/>
    <w:rsid w:val="00793BD2"/>
    <w:rsid w:val="007951D4"/>
    <w:rsid w:val="007973F6"/>
    <w:rsid w:val="00797C46"/>
    <w:rsid w:val="00797C5A"/>
    <w:rsid w:val="007A18DD"/>
    <w:rsid w:val="007A19F6"/>
    <w:rsid w:val="007A2B65"/>
    <w:rsid w:val="007A317D"/>
    <w:rsid w:val="007A5617"/>
    <w:rsid w:val="007A5820"/>
    <w:rsid w:val="007A5848"/>
    <w:rsid w:val="007B0245"/>
    <w:rsid w:val="007B083F"/>
    <w:rsid w:val="007B0880"/>
    <w:rsid w:val="007B0D01"/>
    <w:rsid w:val="007B0D8C"/>
    <w:rsid w:val="007B2085"/>
    <w:rsid w:val="007B2FDC"/>
    <w:rsid w:val="007B38A0"/>
    <w:rsid w:val="007B38B7"/>
    <w:rsid w:val="007B3B86"/>
    <w:rsid w:val="007B4F7B"/>
    <w:rsid w:val="007B583D"/>
    <w:rsid w:val="007B5C13"/>
    <w:rsid w:val="007B6684"/>
    <w:rsid w:val="007B6B21"/>
    <w:rsid w:val="007B6DDB"/>
    <w:rsid w:val="007B7024"/>
    <w:rsid w:val="007C0390"/>
    <w:rsid w:val="007C0597"/>
    <w:rsid w:val="007C14A2"/>
    <w:rsid w:val="007C300E"/>
    <w:rsid w:val="007C328D"/>
    <w:rsid w:val="007C336F"/>
    <w:rsid w:val="007C41B1"/>
    <w:rsid w:val="007C4A94"/>
    <w:rsid w:val="007C699F"/>
    <w:rsid w:val="007C7530"/>
    <w:rsid w:val="007D172B"/>
    <w:rsid w:val="007D174A"/>
    <w:rsid w:val="007D1B7D"/>
    <w:rsid w:val="007D2334"/>
    <w:rsid w:val="007D30B7"/>
    <w:rsid w:val="007D52E2"/>
    <w:rsid w:val="007D626D"/>
    <w:rsid w:val="007E0314"/>
    <w:rsid w:val="007E15AD"/>
    <w:rsid w:val="007E20C1"/>
    <w:rsid w:val="007E25ED"/>
    <w:rsid w:val="007E2BC0"/>
    <w:rsid w:val="007E367C"/>
    <w:rsid w:val="007E40C0"/>
    <w:rsid w:val="007E6634"/>
    <w:rsid w:val="007E6F9C"/>
    <w:rsid w:val="007F5A8A"/>
    <w:rsid w:val="007F67E9"/>
    <w:rsid w:val="007F7C7B"/>
    <w:rsid w:val="0080023D"/>
    <w:rsid w:val="0080090F"/>
    <w:rsid w:val="00802F03"/>
    <w:rsid w:val="008034E9"/>
    <w:rsid w:val="008040A2"/>
    <w:rsid w:val="00804632"/>
    <w:rsid w:val="00804D1B"/>
    <w:rsid w:val="008054D9"/>
    <w:rsid w:val="00806688"/>
    <w:rsid w:val="008076CA"/>
    <w:rsid w:val="00807A3E"/>
    <w:rsid w:val="00810338"/>
    <w:rsid w:val="008115DB"/>
    <w:rsid w:val="00812282"/>
    <w:rsid w:val="00814003"/>
    <w:rsid w:val="008148E4"/>
    <w:rsid w:val="008157F1"/>
    <w:rsid w:val="00816EC2"/>
    <w:rsid w:val="008207F7"/>
    <w:rsid w:val="00820D4D"/>
    <w:rsid w:val="008236E1"/>
    <w:rsid w:val="00823A9F"/>
    <w:rsid w:val="00824458"/>
    <w:rsid w:val="008249F7"/>
    <w:rsid w:val="00824B74"/>
    <w:rsid w:val="008252D4"/>
    <w:rsid w:val="0082572A"/>
    <w:rsid w:val="00827027"/>
    <w:rsid w:val="00832551"/>
    <w:rsid w:val="00835EC9"/>
    <w:rsid w:val="00840DDC"/>
    <w:rsid w:val="00840FD7"/>
    <w:rsid w:val="00841388"/>
    <w:rsid w:val="00841406"/>
    <w:rsid w:val="00841EFB"/>
    <w:rsid w:val="00841F44"/>
    <w:rsid w:val="00842C5D"/>
    <w:rsid w:val="00842C82"/>
    <w:rsid w:val="008436D7"/>
    <w:rsid w:val="008440FE"/>
    <w:rsid w:val="0084500B"/>
    <w:rsid w:val="00845DA7"/>
    <w:rsid w:val="00845DD5"/>
    <w:rsid w:val="00846119"/>
    <w:rsid w:val="008470DD"/>
    <w:rsid w:val="00847245"/>
    <w:rsid w:val="008474E3"/>
    <w:rsid w:val="008506AB"/>
    <w:rsid w:val="00850852"/>
    <w:rsid w:val="008527ED"/>
    <w:rsid w:val="00852F2B"/>
    <w:rsid w:val="008537F7"/>
    <w:rsid w:val="008546BE"/>
    <w:rsid w:val="00856074"/>
    <w:rsid w:val="00857949"/>
    <w:rsid w:val="00857D7D"/>
    <w:rsid w:val="008610DE"/>
    <w:rsid w:val="008617ED"/>
    <w:rsid w:val="00861916"/>
    <w:rsid w:val="0086483B"/>
    <w:rsid w:val="008664A5"/>
    <w:rsid w:val="008678B2"/>
    <w:rsid w:val="00870876"/>
    <w:rsid w:val="008719C2"/>
    <w:rsid w:val="00871DD1"/>
    <w:rsid w:val="0087277A"/>
    <w:rsid w:val="00872858"/>
    <w:rsid w:val="00872A47"/>
    <w:rsid w:val="00872C92"/>
    <w:rsid w:val="008736E2"/>
    <w:rsid w:val="00874565"/>
    <w:rsid w:val="00874BD3"/>
    <w:rsid w:val="0087547A"/>
    <w:rsid w:val="0087619B"/>
    <w:rsid w:val="00877247"/>
    <w:rsid w:val="00877CF4"/>
    <w:rsid w:val="008801AE"/>
    <w:rsid w:val="00880AA3"/>
    <w:rsid w:val="00883567"/>
    <w:rsid w:val="0088421C"/>
    <w:rsid w:val="008843C7"/>
    <w:rsid w:val="0088445B"/>
    <w:rsid w:val="00887178"/>
    <w:rsid w:val="00890299"/>
    <w:rsid w:val="008903D3"/>
    <w:rsid w:val="00891AF6"/>
    <w:rsid w:val="00891BC3"/>
    <w:rsid w:val="00891BEC"/>
    <w:rsid w:val="00891F14"/>
    <w:rsid w:val="008937C8"/>
    <w:rsid w:val="00893999"/>
    <w:rsid w:val="008940B1"/>
    <w:rsid w:val="00895B80"/>
    <w:rsid w:val="008967C4"/>
    <w:rsid w:val="008A0D2A"/>
    <w:rsid w:val="008A1693"/>
    <w:rsid w:val="008A254F"/>
    <w:rsid w:val="008A2630"/>
    <w:rsid w:val="008A5833"/>
    <w:rsid w:val="008A78B2"/>
    <w:rsid w:val="008B2B3B"/>
    <w:rsid w:val="008B3A88"/>
    <w:rsid w:val="008B4BFC"/>
    <w:rsid w:val="008B4F28"/>
    <w:rsid w:val="008B51B4"/>
    <w:rsid w:val="008B5B67"/>
    <w:rsid w:val="008B5D7A"/>
    <w:rsid w:val="008B66E3"/>
    <w:rsid w:val="008B6AB2"/>
    <w:rsid w:val="008B6DB3"/>
    <w:rsid w:val="008B7848"/>
    <w:rsid w:val="008C05B3"/>
    <w:rsid w:val="008C1ABF"/>
    <w:rsid w:val="008C1E05"/>
    <w:rsid w:val="008C2B7D"/>
    <w:rsid w:val="008C2CEA"/>
    <w:rsid w:val="008C34BB"/>
    <w:rsid w:val="008C45E2"/>
    <w:rsid w:val="008C4E0C"/>
    <w:rsid w:val="008C5AC1"/>
    <w:rsid w:val="008C702A"/>
    <w:rsid w:val="008D3726"/>
    <w:rsid w:val="008D4CB0"/>
    <w:rsid w:val="008D4CFA"/>
    <w:rsid w:val="008D6397"/>
    <w:rsid w:val="008D73C9"/>
    <w:rsid w:val="008E168B"/>
    <w:rsid w:val="008E16BF"/>
    <w:rsid w:val="008E204D"/>
    <w:rsid w:val="008E3049"/>
    <w:rsid w:val="008E35A3"/>
    <w:rsid w:val="008E507B"/>
    <w:rsid w:val="008E7274"/>
    <w:rsid w:val="008F0562"/>
    <w:rsid w:val="008F0A27"/>
    <w:rsid w:val="008F260B"/>
    <w:rsid w:val="008F4869"/>
    <w:rsid w:val="008F53C8"/>
    <w:rsid w:val="008F6524"/>
    <w:rsid w:val="008F6927"/>
    <w:rsid w:val="00901760"/>
    <w:rsid w:val="00903727"/>
    <w:rsid w:val="009053AD"/>
    <w:rsid w:val="009064CD"/>
    <w:rsid w:val="00906821"/>
    <w:rsid w:val="00906E65"/>
    <w:rsid w:val="009119C4"/>
    <w:rsid w:val="00913E31"/>
    <w:rsid w:val="009144D5"/>
    <w:rsid w:val="00915103"/>
    <w:rsid w:val="00915F98"/>
    <w:rsid w:val="00915FA3"/>
    <w:rsid w:val="009163C2"/>
    <w:rsid w:val="0091646A"/>
    <w:rsid w:val="00916F36"/>
    <w:rsid w:val="00917A40"/>
    <w:rsid w:val="009213DC"/>
    <w:rsid w:val="009217F8"/>
    <w:rsid w:val="00921D14"/>
    <w:rsid w:val="0092215C"/>
    <w:rsid w:val="0092470E"/>
    <w:rsid w:val="00925187"/>
    <w:rsid w:val="0092709C"/>
    <w:rsid w:val="0092717F"/>
    <w:rsid w:val="00927744"/>
    <w:rsid w:val="00927773"/>
    <w:rsid w:val="00927B05"/>
    <w:rsid w:val="00930C39"/>
    <w:rsid w:val="00930F4E"/>
    <w:rsid w:val="009347D4"/>
    <w:rsid w:val="0093516F"/>
    <w:rsid w:val="00936062"/>
    <w:rsid w:val="00937CBE"/>
    <w:rsid w:val="00944087"/>
    <w:rsid w:val="00944E74"/>
    <w:rsid w:val="009462E6"/>
    <w:rsid w:val="0095012E"/>
    <w:rsid w:val="0095087A"/>
    <w:rsid w:val="00951934"/>
    <w:rsid w:val="00951A2B"/>
    <w:rsid w:val="0095207B"/>
    <w:rsid w:val="00952913"/>
    <w:rsid w:val="0095449C"/>
    <w:rsid w:val="009544C8"/>
    <w:rsid w:val="00954C8C"/>
    <w:rsid w:val="0095653D"/>
    <w:rsid w:val="00956ACE"/>
    <w:rsid w:val="009572A0"/>
    <w:rsid w:val="00957494"/>
    <w:rsid w:val="009575FD"/>
    <w:rsid w:val="00957D24"/>
    <w:rsid w:val="00960DCF"/>
    <w:rsid w:val="00961B53"/>
    <w:rsid w:val="009620DA"/>
    <w:rsid w:val="009629D4"/>
    <w:rsid w:val="00962B82"/>
    <w:rsid w:val="00963264"/>
    <w:rsid w:val="0096389D"/>
    <w:rsid w:val="009639CF"/>
    <w:rsid w:val="00964CEF"/>
    <w:rsid w:val="009676C0"/>
    <w:rsid w:val="009757E1"/>
    <w:rsid w:val="00977BC0"/>
    <w:rsid w:val="00977F87"/>
    <w:rsid w:val="009803A9"/>
    <w:rsid w:val="009803CB"/>
    <w:rsid w:val="009803D4"/>
    <w:rsid w:val="009807A2"/>
    <w:rsid w:val="009808BF"/>
    <w:rsid w:val="0098199C"/>
    <w:rsid w:val="0098433D"/>
    <w:rsid w:val="0098594A"/>
    <w:rsid w:val="009873F3"/>
    <w:rsid w:val="00992FC1"/>
    <w:rsid w:val="00994522"/>
    <w:rsid w:val="00994FDC"/>
    <w:rsid w:val="00995E98"/>
    <w:rsid w:val="00996C6A"/>
    <w:rsid w:val="00996F15"/>
    <w:rsid w:val="00997BA8"/>
    <w:rsid w:val="009A02E3"/>
    <w:rsid w:val="009A05F5"/>
    <w:rsid w:val="009A06F4"/>
    <w:rsid w:val="009A3778"/>
    <w:rsid w:val="009A3E2E"/>
    <w:rsid w:val="009A544D"/>
    <w:rsid w:val="009A56B5"/>
    <w:rsid w:val="009A5C18"/>
    <w:rsid w:val="009A5F56"/>
    <w:rsid w:val="009A6114"/>
    <w:rsid w:val="009A6317"/>
    <w:rsid w:val="009A787A"/>
    <w:rsid w:val="009A7F34"/>
    <w:rsid w:val="009B2245"/>
    <w:rsid w:val="009B258E"/>
    <w:rsid w:val="009B4241"/>
    <w:rsid w:val="009B5997"/>
    <w:rsid w:val="009B6B23"/>
    <w:rsid w:val="009B6E95"/>
    <w:rsid w:val="009B75F1"/>
    <w:rsid w:val="009B7677"/>
    <w:rsid w:val="009B769D"/>
    <w:rsid w:val="009B7ABD"/>
    <w:rsid w:val="009C1427"/>
    <w:rsid w:val="009C1D27"/>
    <w:rsid w:val="009C2781"/>
    <w:rsid w:val="009C3BD9"/>
    <w:rsid w:val="009C5B82"/>
    <w:rsid w:val="009C756E"/>
    <w:rsid w:val="009D21BE"/>
    <w:rsid w:val="009D3C3D"/>
    <w:rsid w:val="009D3CE6"/>
    <w:rsid w:val="009D5288"/>
    <w:rsid w:val="009E2AD3"/>
    <w:rsid w:val="009E47E5"/>
    <w:rsid w:val="009E59ED"/>
    <w:rsid w:val="009E7838"/>
    <w:rsid w:val="009F0026"/>
    <w:rsid w:val="009F0C4E"/>
    <w:rsid w:val="009F146F"/>
    <w:rsid w:val="009F2374"/>
    <w:rsid w:val="009F3C75"/>
    <w:rsid w:val="009F4FD3"/>
    <w:rsid w:val="009F6421"/>
    <w:rsid w:val="009F6AFA"/>
    <w:rsid w:val="00A0037E"/>
    <w:rsid w:val="00A01303"/>
    <w:rsid w:val="00A02C4F"/>
    <w:rsid w:val="00A03C94"/>
    <w:rsid w:val="00A04A09"/>
    <w:rsid w:val="00A05821"/>
    <w:rsid w:val="00A05D1D"/>
    <w:rsid w:val="00A05D89"/>
    <w:rsid w:val="00A05EA2"/>
    <w:rsid w:val="00A076CC"/>
    <w:rsid w:val="00A10260"/>
    <w:rsid w:val="00A10BBD"/>
    <w:rsid w:val="00A1165C"/>
    <w:rsid w:val="00A11E9B"/>
    <w:rsid w:val="00A125D6"/>
    <w:rsid w:val="00A14E53"/>
    <w:rsid w:val="00A15555"/>
    <w:rsid w:val="00A15580"/>
    <w:rsid w:val="00A160D0"/>
    <w:rsid w:val="00A16449"/>
    <w:rsid w:val="00A22EFC"/>
    <w:rsid w:val="00A235E1"/>
    <w:rsid w:val="00A239B1"/>
    <w:rsid w:val="00A23C69"/>
    <w:rsid w:val="00A240F8"/>
    <w:rsid w:val="00A25F0A"/>
    <w:rsid w:val="00A26389"/>
    <w:rsid w:val="00A303B8"/>
    <w:rsid w:val="00A3206A"/>
    <w:rsid w:val="00A323CF"/>
    <w:rsid w:val="00A334ED"/>
    <w:rsid w:val="00A33665"/>
    <w:rsid w:val="00A34735"/>
    <w:rsid w:val="00A361C3"/>
    <w:rsid w:val="00A37673"/>
    <w:rsid w:val="00A37F01"/>
    <w:rsid w:val="00A40CEC"/>
    <w:rsid w:val="00A411FA"/>
    <w:rsid w:val="00A41375"/>
    <w:rsid w:val="00A42DD2"/>
    <w:rsid w:val="00A44642"/>
    <w:rsid w:val="00A44EC1"/>
    <w:rsid w:val="00A454B3"/>
    <w:rsid w:val="00A45E52"/>
    <w:rsid w:val="00A46652"/>
    <w:rsid w:val="00A46D15"/>
    <w:rsid w:val="00A4713D"/>
    <w:rsid w:val="00A51247"/>
    <w:rsid w:val="00A51E98"/>
    <w:rsid w:val="00A52791"/>
    <w:rsid w:val="00A52901"/>
    <w:rsid w:val="00A52D63"/>
    <w:rsid w:val="00A5323B"/>
    <w:rsid w:val="00A54289"/>
    <w:rsid w:val="00A54FB4"/>
    <w:rsid w:val="00A561F2"/>
    <w:rsid w:val="00A56DE0"/>
    <w:rsid w:val="00A60070"/>
    <w:rsid w:val="00A60D0A"/>
    <w:rsid w:val="00A63C18"/>
    <w:rsid w:val="00A655BD"/>
    <w:rsid w:val="00A662DC"/>
    <w:rsid w:val="00A6741B"/>
    <w:rsid w:val="00A72DA3"/>
    <w:rsid w:val="00A73D35"/>
    <w:rsid w:val="00A73EAD"/>
    <w:rsid w:val="00A74226"/>
    <w:rsid w:val="00A747EF"/>
    <w:rsid w:val="00A757B0"/>
    <w:rsid w:val="00A76812"/>
    <w:rsid w:val="00A776A4"/>
    <w:rsid w:val="00A8049D"/>
    <w:rsid w:val="00A80CB2"/>
    <w:rsid w:val="00A81175"/>
    <w:rsid w:val="00A81756"/>
    <w:rsid w:val="00A822C2"/>
    <w:rsid w:val="00A82990"/>
    <w:rsid w:val="00A8381F"/>
    <w:rsid w:val="00A87421"/>
    <w:rsid w:val="00A901B3"/>
    <w:rsid w:val="00A90255"/>
    <w:rsid w:val="00A902AE"/>
    <w:rsid w:val="00A90401"/>
    <w:rsid w:val="00A91573"/>
    <w:rsid w:val="00A91EE0"/>
    <w:rsid w:val="00A921E3"/>
    <w:rsid w:val="00A94D20"/>
    <w:rsid w:val="00A96B57"/>
    <w:rsid w:val="00A9752B"/>
    <w:rsid w:val="00AA2461"/>
    <w:rsid w:val="00AA2865"/>
    <w:rsid w:val="00AA29B9"/>
    <w:rsid w:val="00AA3A9B"/>
    <w:rsid w:val="00AA3BF1"/>
    <w:rsid w:val="00AA3F89"/>
    <w:rsid w:val="00AA5410"/>
    <w:rsid w:val="00AA5F5C"/>
    <w:rsid w:val="00AB09A2"/>
    <w:rsid w:val="00AB0EC0"/>
    <w:rsid w:val="00AB1005"/>
    <w:rsid w:val="00AB219C"/>
    <w:rsid w:val="00AB21C6"/>
    <w:rsid w:val="00AB2841"/>
    <w:rsid w:val="00AB2BA3"/>
    <w:rsid w:val="00AB3C84"/>
    <w:rsid w:val="00AB494C"/>
    <w:rsid w:val="00AB6434"/>
    <w:rsid w:val="00AC1D3E"/>
    <w:rsid w:val="00AC458B"/>
    <w:rsid w:val="00AC6F7D"/>
    <w:rsid w:val="00AC704C"/>
    <w:rsid w:val="00AC720A"/>
    <w:rsid w:val="00AD0DAE"/>
    <w:rsid w:val="00AD149C"/>
    <w:rsid w:val="00AD1A66"/>
    <w:rsid w:val="00AD2995"/>
    <w:rsid w:val="00AD2BAD"/>
    <w:rsid w:val="00AD5B25"/>
    <w:rsid w:val="00AD60EA"/>
    <w:rsid w:val="00AD67D4"/>
    <w:rsid w:val="00AE1CD9"/>
    <w:rsid w:val="00AE247E"/>
    <w:rsid w:val="00AE2A1A"/>
    <w:rsid w:val="00AE4331"/>
    <w:rsid w:val="00AE550B"/>
    <w:rsid w:val="00AE614D"/>
    <w:rsid w:val="00AE65B8"/>
    <w:rsid w:val="00AE6F3E"/>
    <w:rsid w:val="00AE70C5"/>
    <w:rsid w:val="00AE7849"/>
    <w:rsid w:val="00AE7977"/>
    <w:rsid w:val="00AF0C6C"/>
    <w:rsid w:val="00AF1BE6"/>
    <w:rsid w:val="00AF1F10"/>
    <w:rsid w:val="00AF275A"/>
    <w:rsid w:val="00AF3D39"/>
    <w:rsid w:val="00AF497B"/>
    <w:rsid w:val="00AF6A4C"/>
    <w:rsid w:val="00AF6F97"/>
    <w:rsid w:val="00B0018C"/>
    <w:rsid w:val="00B013B7"/>
    <w:rsid w:val="00B01585"/>
    <w:rsid w:val="00B01880"/>
    <w:rsid w:val="00B02183"/>
    <w:rsid w:val="00B023B0"/>
    <w:rsid w:val="00B03846"/>
    <w:rsid w:val="00B047C2"/>
    <w:rsid w:val="00B04CB1"/>
    <w:rsid w:val="00B05635"/>
    <w:rsid w:val="00B05EA6"/>
    <w:rsid w:val="00B07318"/>
    <w:rsid w:val="00B07620"/>
    <w:rsid w:val="00B11537"/>
    <w:rsid w:val="00B1314F"/>
    <w:rsid w:val="00B151CF"/>
    <w:rsid w:val="00B20445"/>
    <w:rsid w:val="00B21C7C"/>
    <w:rsid w:val="00B22214"/>
    <w:rsid w:val="00B247AD"/>
    <w:rsid w:val="00B25ABE"/>
    <w:rsid w:val="00B25D05"/>
    <w:rsid w:val="00B25D4E"/>
    <w:rsid w:val="00B26622"/>
    <w:rsid w:val="00B26669"/>
    <w:rsid w:val="00B27201"/>
    <w:rsid w:val="00B276B4"/>
    <w:rsid w:val="00B303F6"/>
    <w:rsid w:val="00B307B7"/>
    <w:rsid w:val="00B34577"/>
    <w:rsid w:val="00B36028"/>
    <w:rsid w:val="00B40064"/>
    <w:rsid w:val="00B4007E"/>
    <w:rsid w:val="00B40B89"/>
    <w:rsid w:val="00B43381"/>
    <w:rsid w:val="00B4469A"/>
    <w:rsid w:val="00B44A37"/>
    <w:rsid w:val="00B44C7F"/>
    <w:rsid w:val="00B47019"/>
    <w:rsid w:val="00B47AB2"/>
    <w:rsid w:val="00B5065A"/>
    <w:rsid w:val="00B50A44"/>
    <w:rsid w:val="00B52DF7"/>
    <w:rsid w:val="00B53378"/>
    <w:rsid w:val="00B55113"/>
    <w:rsid w:val="00B55524"/>
    <w:rsid w:val="00B575BF"/>
    <w:rsid w:val="00B5779E"/>
    <w:rsid w:val="00B607DA"/>
    <w:rsid w:val="00B612EA"/>
    <w:rsid w:val="00B61C66"/>
    <w:rsid w:val="00B62604"/>
    <w:rsid w:val="00B62DF2"/>
    <w:rsid w:val="00B64728"/>
    <w:rsid w:val="00B66750"/>
    <w:rsid w:val="00B66A87"/>
    <w:rsid w:val="00B67444"/>
    <w:rsid w:val="00B677EF"/>
    <w:rsid w:val="00B710DA"/>
    <w:rsid w:val="00B712D0"/>
    <w:rsid w:val="00B716A2"/>
    <w:rsid w:val="00B74681"/>
    <w:rsid w:val="00B757E5"/>
    <w:rsid w:val="00B75BA3"/>
    <w:rsid w:val="00B77A77"/>
    <w:rsid w:val="00B80CFF"/>
    <w:rsid w:val="00B81F38"/>
    <w:rsid w:val="00B83B62"/>
    <w:rsid w:val="00B83C05"/>
    <w:rsid w:val="00B8535F"/>
    <w:rsid w:val="00B878CD"/>
    <w:rsid w:val="00B908F0"/>
    <w:rsid w:val="00B90CFF"/>
    <w:rsid w:val="00B90F1A"/>
    <w:rsid w:val="00B91CB1"/>
    <w:rsid w:val="00B9249B"/>
    <w:rsid w:val="00B92BBA"/>
    <w:rsid w:val="00B94C98"/>
    <w:rsid w:val="00B9536C"/>
    <w:rsid w:val="00B97F37"/>
    <w:rsid w:val="00BA1768"/>
    <w:rsid w:val="00BA1FFB"/>
    <w:rsid w:val="00BA2B3F"/>
    <w:rsid w:val="00BA4E45"/>
    <w:rsid w:val="00BA59FB"/>
    <w:rsid w:val="00BB14A3"/>
    <w:rsid w:val="00BB3BA9"/>
    <w:rsid w:val="00BB4E55"/>
    <w:rsid w:val="00BC15DE"/>
    <w:rsid w:val="00BC17C8"/>
    <w:rsid w:val="00BC369C"/>
    <w:rsid w:val="00BC4972"/>
    <w:rsid w:val="00BC6228"/>
    <w:rsid w:val="00BC6897"/>
    <w:rsid w:val="00BC6BD3"/>
    <w:rsid w:val="00BC7355"/>
    <w:rsid w:val="00BC787A"/>
    <w:rsid w:val="00BD1B8D"/>
    <w:rsid w:val="00BD21B0"/>
    <w:rsid w:val="00BD238B"/>
    <w:rsid w:val="00BD33D4"/>
    <w:rsid w:val="00BD40B1"/>
    <w:rsid w:val="00BE47BF"/>
    <w:rsid w:val="00BE5374"/>
    <w:rsid w:val="00BE627A"/>
    <w:rsid w:val="00BE6947"/>
    <w:rsid w:val="00BE6CE8"/>
    <w:rsid w:val="00BF3219"/>
    <w:rsid w:val="00BF3815"/>
    <w:rsid w:val="00BF6F92"/>
    <w:rsid w:val="00BF7C54"/>
    <w:rsid w:val="00BFF9A6"/>
    <w:rsid w:val="00C0100E"/>
    <w:rsid w:val="00C011A9"/>
    <w:rsid w:val="00C01D5F"/>
    <w:rsid w:val="00C02913"/>
    <w:rsid w:val="00C0345A"/>
    <w:rsid w:val="00C03511"/>
    <w:rsid w:val="00C035C4"/>
    <w:rsid w:val="00C03D3F"/>
    <w:rsid w:val="00C03ED2"/>
    <w:rsid w:val="00C044D5"/>
    <w:rsid w:val="00C04C3A"/>
    <w:rsid w:val="00C05700"/>
    <w:rsid w:val="00C074CD"/>
    <w:rsid w:val="00C07C2E"/>
    <w:rsid w:val="00C1006F"/>
    <w:rsid w:val="00C107C3"/>
    <w:rsid w:val="00C1163E"/>
    <w:rsid w:val="00C13520"/>
    <w:rsid w:val="00C143B9"/>
    <w:rsid w:val="00C14E26"/>
    <w:rsid w:val="00C14F9B"/>
    <w:rsid w:val="00C14FAB"/>
    <w:rsid w:val="00C15F42"/>
    <w:rsid w:val="00C15F72"/>
    <w:rsid w:val="00C1610B"/>
    <w:rsid w:val="00C1611D"/>
    <w:rsid w:val="00C16B89"/>
    <w:rsid w:val="00C16C9A"/>
    <w:rsid w:val="00C175E4"/>
    <w:rsid w:val="00C21A83"/>
    <w:rsid w:val="00C232E0"/>
    <w:rsid w:val="00C24B5E"/>
    <w:rsid w:val="00C2534F"/>
    <w:rsid w:val="00C259FD"/>
    <w:rsid w:val="00C26309"/>
    <w:rsid w:val="00C276A2"/>
    <w:rsid w:val="00C30058"/>
    <w:rsid w:val="00C317A2"/>
    <w:rsid w:val="00C32193"/>
    <w:rsid w:val="00C3300D"/>
    <w:rsid w:val="00C343FC"/>
    <w:rsid w:val="00C3508B"/>
    <w:rsid w:val="00C3517E"/>
    <w:rsid w:val="00C35CBC"/>
    <w:rsid w:val="00C3651F"/>
    <w:rsid w:val="00C36633"/>
    <w:rsid w:val="00C36E9D"/>
    <w:rsid w:val="00C37C86"/>
    <w:rsid w:val="00C4011B"/>
    <w:rsid w:val="00C412B1"/>
    <w:rsid w:val="00C4436C"/>
    <w:rsid w:val="00C4458B"/>
    <w:rsid w:val="00C4616D"/>
    <w:rsid w:val="00C461B2"/>
    <w:rsid w:val="00C47C8E"/>
    <w:rsid w:val="00C528EF"/>
    <w:rsid w:val="00C52FD1"/>
    <w:rsid w:val="00C5359B"/>
    <w:rsid w:val="00C53825"/>
    <w:rsid w:val="00C53AF7"/>
    <w:rsid w:val="00C5511F"/>
    <w:rsid w:val="00C554B5"/>
    <w:rsid w:val="00C5596B"/>
    <w:rsid w:val="00C55CA9"/>
    <w:rsid w:val="00C56EF2"/>
    <w:rsid w:val="00C570A6"/>
    <w:rsid w:val="00C579F3"/>
    <w:rsid w:val="00C600B3"/>
    <w:rsid w:val="00C606C0"/>
    <w:rsid w:val="00C60DE1"/>
    <w:rsid w:val="00C61464"/>
    <w:rsid w:val="00C61CB6"/>
    <w:rsid w:val="00C641FB"/>
    <w:rsid w:val="00C67E8E"/>
    <w:rsid w:val="00C72177"/>
    <w:rsid w:val="00C72207"/>
    <w:rsid w:val="00C74B8C"/>
    <w:rsid w:val="00C77372"/>
    <w:rsid w:val="00C81B61"/>
    <w:rsid w:val="00C8268F"/>
    <w:rsid w:val="00C82CF6"/>
    <w:rsid w:val="00C83535"/>
    <w:rsid w:val="00C83D84"/>
    <w:rsid w:val="00C83F59"/>
    <w:rsid w:val="00C85D53"/>
    <w:rsid w:val="00C86DC6"/>
    <w:rsid w:val="00C87436"/>
    <w:rsid w:val="00C91651"/>
    <w:rsid w:val="00C917A4"/>
    <w:rsid w:val="00C922A2"/>
    <w:rsid w:val="00C94A19"/>
    <w:rsid w:val="00C94C2F"/>
    <w:rsid w:val="00C956A9"/>
    <w:rsid w:val="00C95763"/>
    <w:rsid w:val="00C95B77"/>
    <w:rsid w:val="00C962AA"/>
    <w:rsid w:val="00C97CEE"/>
    <w:rsid w:val="00CA2696"/>
    <w:rsid w:val="00CA26EA"/>
    <w:rsid w:val="00CA2FB2"/>
    <w:rsid w:val="00CA3D3A"/>
    <w:rsid w:val="00CA42D6"/>
    <w:rsid w:val="00CA528A"/>
    <w:rsid w:val="00CA5C11"/>
    <w:rsid w:val="00CA6709"/>
    <w:rsid w:val="00CB0AA4"/>
    <w:rsid w:val="00CB15E9"/>
    <w:rsid w:val="00CB2BD5"/>
    <w:rsid w:val="00CB42CA"/>
    <w:rsid w:val="00CB5C55"/>
    <w:rsid w:val="00CB7FAD"/>
    <w:rsid w:val="00CC0674"/>
    <w:rsid w:val="00CC0D57"/>
    <w:rsid w:val="00CC1465"/>
    <w:rsid w:val="00CC1550"/>
    <w:rsid w:val="00CC1D1A"/>
    <w:rsid w:val="00CC39AB"/>
    <w:rsid w:val="00CC41FB"/>
    <w:rsid w:val="00CC444E"/>
    <w:rsid w:val="00CC5956"/>
    <w:rsid w:val="00CC6260"/>
    <w:rsid w:val="00CD06DD"/>
    <w:rsid w:val="00CD0DBB"/>
    <w:rsid w:val="00CD1404"/>
    <w:rsid w:val="00CD4323"/>
    <w:rsid w:val="00CD486E"/>
    <w:rsid w:val="00CD4E76"/>
    <w:rsid w:val="00CD5F89"/>
    <w:rsid w:val="00CD68DC"/>
    <w:rsid w:val="00CD6BA2"/>
    <w:rsid w:val="00CE26EA"/>
    <w:rsid w:val="00CE28E3"/>
    <w:rsid w:val="00CE3D56"/>
    <w:rsid w:val="00CE76AF"/>
    <w:rsid w:val="00CF0768"/>
    <w:rsid w:val="00CF1A2D"/>
    <w:rsid w:val="00CF277C"/>
    <w:rsid w:val="00CF2913"/>
    <w:rsid w:val="00CF439F"/>
    <w:rsid w:val="00CF7120"/>
    <w:rsid w:val="00CF724C"/>
    <w:rsid w:val="00CF78F1"/>
    <w:rsid w:val="00D001B4"/>
    <w:rsid w:val="00D003B7"/>
    <w:rsid w:val="00D00E36"/>
    <w:rsid w:val="00D01DCD"/>
    <w:rsid w:val="00D028F8"/>
    <w:rsid w:val="00D02F4F"/>
    <w:rsid w:val="00D04729"/>
    <w:rsid w:val="00D04CB3"/>
    <w:rsid w:val="00D0585C"/>
    <w:rsid w:val="00D104DE"/>
    <w:rsid w:val="00D14E59"/>
    <w:rsid w:val="00D15905"/>
    <w:rsid w:val="00D16D01"/>
    <w:rsid w:val="00D20031"/>
    <w:rsid w:val="00D20457"/>
    <w:rsid w:val="00D20F48"/>
    <w:rsid w:val="00D22E9B"/>
    <w:rsid w:val="00D237DA"/>
    <w:rsid w:val="00D23898"/>
    <w:rsid w:val="00D239C8"/>
    <w:rsid w:val="00D2408B"/>
    <w:rsid w:val="00D2449D"/>
    <w:rsid w:val="00D30DA1"/>
    <w:rsid w:val="00D313B3"/>
    <w:rsid w:val="00D3292B"/>
    <w:rsid w:val="00D33F02"/>
    <w:rsid w:val="00D342AE"/>
    <w:rsid w:val="00D34475"/>
    <w:rsid w:val="00D346CA"/>
    <w:rsid w:val="00D358F7"/>
    <w:rsid w:val="00D36376"/>
    <w:rsid w:val="00D368C8"/>
    <w:rsid w:val="00D36E67"/>
    <w:rsid w:val="00D37EF5"/>
    <w:rsid w:val="00D419C9"/>
    <w:rsid w:val="00D422BC"/>
    <w:rsid w:val="00D428B9"/>
    <w:rsid w:val="00D43246"/>
    <w:rsid w:val="00D442D6"/>
    <w:rsid w:val="00D45750"/>
    <w:rsid w:val="00D457EA"/>
    <w:rsid w:val="00D45C42"/>
    <w:rsid w:val="00D47710"/>
    <w:rsid w:val="00D5042D"/>
    <w:rsid w:val="00D522D3"/>
    <w:rsid w:val="00D52E54"/>
    <w:rsid w:val="00D52FF5"/>
    <w:rsid w:val="00D533EB"/>
    <w:rsid w:val="00D5643E"/>
    <w:rsid w:val="00D56DFA"/>
    <w:rsid w:val="00D60222"/>
    <w:rsid w:val="00D60E22"/>
    <w:rsid w:val="00D61302"/>
    <w:rsid w:val="00D62F4D"/>
    <w:rsid w:val="00D64906"/>
    <w:rsid w:val="00D652D9"/>
    <w:rsid w:val="00D65F07"/>
    <w:rsid w:val="00D70DDA"/>
    <w:rsid w:val="00D717CD"/>
    <w:rsid w:val="00D72D0E"/>
    <w:rsid w:val="00D73AD9"/>
    <w:rsid w:val="00D73F2E"/>
    <w:rsid w:val="00D74F8A"/>
    <w:rsid w:val="00D76E00"/>
    <w:rsid w:val="00D80C29"/>
    <w:rsid w:val="00D8213A"/>
    <w:rsid w:val="00D827E5"/>
    <w:rsid w:val="00D82A74"/>
    <w:rsid w:val="00D82CDF"/>
    <w:rsid w:val="00D8316D"/>
    <w:rsid w:val="00D8357A"/>
    <w:rsid w:val="00D83B51"/>
    <w:rsid w:val="00D84ECA"/>
    <w:rsid w:val="00D8525E"/>
    <w:rsid w:val="00D86C77"/>
    <w:rsid w:val="00D9041B"/>
    <w:rsid w:val="00D90DBB"/>
    <w:rsid w:val="00D9141D"/>
    <w:rsid w:val="00D94256"/>
    <w:rsid w:val="00D946C9"/>
    <w:rsid w:val="00D94CF3"/>
    <w:rsid w:val="00D956C6"/>
    <w:rsid w:val="00D967A8"/>
    <w:rsid w:val="00D9740C"/>
    <w:rsid w:val="00D978FA"/>
    <w:rsid w:val="00DA058E"/>
    <w:rsid w:val="00DA1CAD"/>
    <w:rsid w:val="00DA512C"/>
    <w:rsid w:val="00DA6765"/>
    <w:rsid w:val="00DA74D1"/>
    <w:rsid w:val="00DB003C"/>
    <w:rsid w:val="00DB02B5"/>
    <w:rsid w:val="00DB1E91"/>
    <w:rsid w:val="00DB4410"/>
    <w:rsid w:val="00DB5117"/>
    <w:rsid w:val="00DB6031"/>
    <w:rsid w:val="00DB664A"/>
    <w:rsid w:val="00DB7463"/>
    <w:rsid w:val="00DC14AF"/>
    <w:rsid w:val="00DC1720"/>
    <w:rsid w:val="00DC2D15"/>
    <w:rsid w:val="00DC30B9"/>
    <w:rsid w:val="00DC3633"/>
    <w:rsid w:val="00DC4108"/>
    <w:rsid w:val="00DC4EC7"/>
    <w:rsid w:val="00DC4F64"/>
    <w:rsid w:val="00DC50C5"/>
    <w:rsid w:val="00DC6115"/>
    <w:rsid w:val="00DC64A7"/>
    <w:rsid w:val="00DD0953"/>
    <w:rsid w:val="00DD122D"/>
    <w:rsid w:val="00DD1A95"/>
    <w:rsid w:val="00DD2C81"/>
    <w:rsid w:val="00DD41C2"/>
    <w:rsid w:val="00DD4EA1"/>
    <w:rsid w:val="00DD5A22"/>
    <w:rsid w:val="00DD5FD4"/>
    <w:rsid w:val="00DD7E9D"/>
    <w:rsid w:val="00DE1CCE"/>
    <w:rsid w:val="00DE2496"/>
    <w:rsid w:val="00DE5DAB"/>
    <w:rsid w:val="00DE65F6"/>
    <w:rsid w:val="00DE7099"/>
    <w:rsid w:val="00DE788D"/>
    <w:rsid w:val="00DF0FAA"/>
    <w:rsid w:val="00DF1899"/>
    <w:rsid w:val="00DF2332"/>
    <w:rsid w:val="00DF341B"/>
    <w:rsid w:val="00DF39E9"/>
    <w:rsid w:val="00DF42A5"/>
    <w:rsid w:val="00DF431B"/>
    <w:rsid w:val="00DF4CC6"/>
    <w:rsid w:val="00DF6129"/>
    <w:rsid w:val="00DF6CEC"/>
    <w:rsid w:val="00DF74D9"/>
    <w:rsid w:val="00E0360B"/>
    <w:rsid w:val="00E03A96"/>
    <w:rsid w:val="00E05D56"/>
    <w:rsid w:val="00E079B8"/>
    <w:rsid w:val="00E105A9"/>
    <w:rsid w:val="00E11EE2"/>
    <w:rsid w:val="00E121CA"/>
    <w:rsid w:val="00E12E7B"/>
    <w:rsid w:val="00E13C10"/>
    <w:rsid w:val="00E14667"/>
    <w:rsid w:val="00E15056"/>
    <w:rsid w:val="00E159C6"/>
    <w:rsid w:val="00E15DB1"/>
    <w:rsid w:val="00E15F19"/>
    <w:rsid w:val="00E16462"/>
    <w:rsid w:val="00E17552"/>
    <w:rsid w:val="00E206C3"/>
    <w:rsid w:val="00E21B03"/>
    <w:rsid w:val="00E22323"/>
    <w:rsid w:val="00E22445"/>
    <w:rsid w:val="00E22D0A"/>
    <w:rsid w:val="00E23608"/>
    <w:rsid w:val="00E260A3"/>
    <w:rsid w:val="00E268E3"/>
    <w:rsid w:val="00E26D15"/>
    <w:rsid w:val="00E27DDB"/>
    <w:rsid w:val="00E31702"/>
    <w:rsid w:val="00E31928"/>
    <w:rsid w:val="00E31B75"/>
    <w:rsid w:val="00E3242E"/>
    <w:rsid w:val="00E330C9"/>
    <w:rsid w:val="00E3330E"/>
    <w:rsid w:val="00E3351F"/>
    <w:rsid w:val="00E33992"/>
    <w:rsid w:val="00E34766"/>
    <w:rsid w:val="00E37D32"/>
    <w:rsid w:val="00E40DAE"/>
    <w:rsid w:val="00E40F62"/>
    <w:rsid w:val="00E43249"/>
    <w:rsid w:val="00E436A2"/>
    <w:rsid w:val="00E43FE3"/>
    <w:rsid w:val="00E45340"/>
    <w:rsid w:val="00E458D8"/>
    <w:rsid w:val="00E518A7"/>
    <w:rsid w:val="00E529F5"/>
    <w:rsid w:val="00E5356B"/>
    <w:rsid w:val="00E53E00"/>
    <w:rsid w:val="00E54221"/>
    <w:rsid w:val="00E5499B"/>
    <w:rsid w:val="00E553E1"/>
    <w:rsid w:val="00E55CCE"/>
    <w:rsid w:val="00E5650A"/>
    <w:rsid w:val="00E574EC"/>
    <w:rsid w:val="00E57F9C"/>
    <w:rsid w:val="00E615F9"/>
    <w:rsid w:val="00E617F6"/>
    <w:rsid w:val="00E6193C"/>
    <w:rsid w:val="00E62B94"/>
    <w:rsid w:val="00E62BC2"/>
    <w:rsid w:val="00E62E31"/>
    <w:rsid w:val="00E63DAA"/>
    <w:rsid w:val="00E6553A"/>
    <w:rsid w:val="00E7221D"/>
    <w:rsid w:val="00E72A79"/>
    <w:rsid w:val="00E7615F"/>
    <w:rsid w:val="00E76AE0"/>
    <w:rsid w:val="00E804BB"/>
    <w:rsid w:val="00E814EC"/>
    <w:rsid w:val="00E81A87"/>
    <w:rsid w:val="00E83948"/>
    <w:rsid w:val="00E83BC9"/>
    <w:rsid w:val="00E83CF9"/>
    <w:rsid w:val="00E84624"/>
    <w:rsid w:val="00E8519A"/>
    <w:rsid w:val="00E85A65"/>
    <w:rsid w:val="00E87F6F"/>
    <w:rsid w:val="00E9034D"/>
    <w:rsid w:val="00E9206F"/>
    <w:rsid w:val="00E92974"/>
    <w:rsid w:val="00E92F98"/>
    <w:rsid w:val="00E9331D"/>
    <w:rsid w:val="00E942A4"/>
    <w:rsid w:val="00E94519"/>
    <w:rsid w:val="00E95322"/>
    <w:rsid w:val="00E95490"/>
    <w:rsid w:val="00E968C1"/>
    <w:rsid w:val="00E971F6"/>
    <w:rsid w:val="00E9722D"/>
    <w:rsid w:val="00EA012D"/>
    <w:rsid w:val="00EA0E54"/>
    <w:rsid w:val="00EA0F5F"/>
    <w:rsid w:val="00EA1769"/>
    <w:rsid w:val="00EA2843"/>
    <w:rsid w:val="00EA2BA5"/>
    <w:rsid w:val="00EA3671"/>
    <w:rsid w:val="00EA4BF1"/>
    <w:rsid w:val="00EB0DEA"/>
    <w:rsid w:val="00EB1F63"/>
    <w:rsid w:val="00EB27BC"/>
    <w:rsid w:val="00EB50E8"/>
    <w:rsid w:val="00EB6A32"/>
    <w:rsid w:val="00EB6E2D"/>
    <w:rsid w:val="00EC08E6"/>
    <w:rsid w:val="00EC1DA5"/>
    <w:rsid w:val="00EC33A0"/>
    <w:rsid w:val="00EC3ECF"/>
    <w:rsid w:val="00EC4836"/>
    <w:rsid w:val="00EC502E"/>
    <w:rsid w:val="00EC5088"/>
    <w:rsid w:val="00ED0660"/>
    <w:rsid w:val="00ED0F96"/>
    <w:rsid w:val="00ED0FDC"/>
    <w:rsid w:val="00ED3550"/>
    <w:rsid w:val="00ED5E38"/>
    <w:rsid w:val="00EE250E"/>
    <w:rsid w:val="00EE28F7"/>
    <w:rsid w:val="00EE2D61"/>
    <w:rsid w:val="00EE3236"/>
    <w:rsid w:val="00EE343D"/>
    <w:rsid w:val="00EE4490"/>
    <w:rsid w:val="00EE4EEF"/>
    <w:rsid w:val="00EE5B7A"/>
    <w:rsid w:val="00EE6832"/>
    <w:rsid w:val="00EF1680"/>
    <w:rsid w:val="00EF1755"/>
    <w:rsid w:val="00EF3D58"/>
    <w:rsid w:val="00EF4D53"/>
    <w:rsid w:val="00EF7063"/>
    <w:rsid w:val="00EF7084"/>
    <w:rsid w:val="00F00039"/>
    <w:rsid w:val="00F01CCA"/>
    <w:rsid w:val="00F025A0"/>
    <w:rsid w:val="00F03B39"/>
    <w:rsid w:val="00F03D46"/>
    <w:rsid w:val="00F04052"/>
    <w:rsid w:val="00F04FED"/>
    <w:rsid w:val="00F06673"/>
    <w:rsid w:val="00F06860"/>
    <w:rsid w:val="00F06961"/>
    <w:rsid w:val="00F1066F"/>
    <w:rsid w:val="00F1264D"/>
    <w:rsid w:val="00F12D8E"/>
    <w:rsid w:val="00F13FCC"/>
    <w:rsid w:val="00F1415F"/>
    <w:rsid w:val="00F14201"/>
    <w:rsid w:val="00F1508C"/>
    <w:rsid w:val="00F156D2"/>
    <w:rsid w:val="00F1578E"/>
    <w:rsid w:val="00F172EB"/>
    <w:rsid w:val="00F20763"/>
    <w:rsid w:val="00F227C8"/>
    <w:rsid w:val="00F23CB7"/>
    <w:rsid w:val="00F257B5"/>
    <w:rsid w:val="00F2720E"/>
    <w:rsid w:val="00F2776D"/>
    <w:rsid w:val="00F300CA"/>
    <w:rsid w:val="00F3082B"/>
    <w:rsid w:val="00F346E6"/>
    <w:rsid w:val="00F37538"/>
    <w:rsid w:val="00F3754F"/>
    <w:rsid w:val="00F40864"/>
    <w:rsid w:val="00F419B8"/>
    <w:rsid w:val="00F44895"/>
    <w:rsid w:val="00F50585"/>
    <w:rsid w:val="00F50940"/>
    <w:rsid w:val="00F516E3"/>
    <w:rsid w:val="00F51A7A"/>
    <w:rsid w:val="00F525AC"/>
    <w:rsid w:val="00F54832"/>
    <w:rsid w:val="00F5708C"/>
    <w:rsid w:val="00F57885"/>
    <w:rsid w:val="00F60C56"/>
    <w:rsid w:val="00F62FA8"/>
    <w:rsid w:val="00F66144"/>
    <w:rsid w:val="00F66922"/>
    <w:rsid w:val="00F6713F"/>
    <w:rsid w:val="00F718CF"/>
    <w:rsid w:val="00F74B51"/>
    <w:rsid w:val="00F767BB"/>
    <w:rsid w:val="00F76EC4"/>
    <w:rsid w:val="00F77E9F"/>
    <w:rsid w:val="00F81362"/>
    <w:rsid w:val="00F82DAD"/>
    <w:rsid w:val="00F85398"/>
    <w:rsid w:val="00F854EE"/>
    <w:rsid w:val="00F85754"/>
    <w:rsid w:val="00F8782A"/>
    <w:rsid w:val="00F91353"/>
    <w:rsid w:val="00F92F58"/>
    <w:rsid w:val="00F93138"/>
    <w:rsid w:val="00F934C8"/>
    <w:rsid w:val="00F95AD5"/>
    <w:rsid w:val="00F9684A"/>
    <w:rsid w:val="00F97019"/>
    <w:rsid w:val="00FA02E6"/>
    <w:rsid w:val="00FA0825"/>
    <w:rsid w:val="00FA08AD"/>
    <w:rsid w:val="00FA0A2A"/>
    <w:rsid w:val="00FA165F"/>
    <w:rsid w:val="00FA1FA6"/>
    <w:rsid w:val="00FA1FE9"/>
    <w:rsid w:val="00FA23D8"/>
    <w:rsid w:val="00FA2C72"/>
    <w:rsid w:val="00FA2F27"/>
    <w:rsid w:val="00FA4150"/>
    <w:rsid w:val="00FA4432"/>
    <w:rsid w:val="00FA4579"/>
    <w:rsid w:val="00FA55A8"/>
    <w:rsid w:val="00FA5766"/>
    <w:rsid w:val="00FA7AEE"/>
    <w:rsid w:val="00FA7D7D"/>
    <w:rsid w:val="00FB029D"/>
    <w:rsid w:val="00FB1401"/>
    <w:rsid w:val="00FB242E"/>
    <w:rsid w:val="00FB4DA5"/>
    <w:rsid w:val="00FB5B23"/>
    <w:rsid w:val="00FB620D"/>
    <w:rsid w:val="00FB6983"/>
    <w:rsid w:val="00FB6F67"/>
    <w:rsid w:val="00FC0AD7"/>
    <w:rsid w:val="00FC1054"/>
    <w:rsid w:val="00FC10DE"/>
    <w:rsid w:val="00FC1160"/>
    <w:rsid w:val="00FC2D5F"/>
    <w:rsid w:val="00FC5603"/>
    <w:rsid w:val="00FD0220"/>
    <w:rsid w:val="00FD0B28"/>
    <w:rsid w:val="00FD1771"/>
    <w:rsid w:val="00FD17BA"/>
    <w:rsid w:val="00FD20CA"/>
    <w:rsid w:val="00FD2C9D"/>
    <w:rsid w:val="00FD2F74"/>
    <w:rsid w:val="00FD3ADE"/>
    <w:rsid w:val="00FD3B94"/>
    <w:rsid w:val="00FD40DD"/>
    <w:rsid w:val="00FD43B3"/>
    <w:rsid w:val="00FD4CFE"/>
    <w:rsid w:val="00FD5D75"/>
    <w:rsid w:val="00FD6295"/>
    <w:rsid w:val="00FD75F1"/>
    <w:rsid w:val="00FD78D4"/>
    <w:rsid w:val="00FE0279"/>
    <w:rsid w:val="00FE02DE"/>
    <w:rsid w:val="00FE1118"/>
    <w:rsid w:val="00FE2E93"/>
    <w:rsid w:val="00FE40E5"/>
    <w:rsid w:val="00FE4739"/>
    <w:rsid w:val="00FE4DB2"/>
    <w:rsid w:val="00FE5F39"/>
    <w:rsid w:val="00FE681D"/>
    <w:rsid w:val="00FE74DF"/>
    <w:rsid w:val="00FF0959"/>
    <w:rsid w:val="00FF0DBD"/>
    <w:rsid w:val="00FF1E7B"/>
    <w:rsid w:val="00FF2100"/>
    <w:rsid w:val="00FF36FD"/>
    <w:rsid w:val="00FF3A07"/>
    <w:rsid w:val="00FF3FEA"/>
    <w:rsid w:val="00FF4255"/>
    <w:rsid w:val="00FF4C68"/>
    <w:rsid w:val="00FF6EEF"/>
    <w:rsid w:val="00FF716B"/>
    <w:rsid w:val="013864F7"/>
    <w:rsid w:val="013B6EDC"/>
    <w:rsid w:val="014A0201"/>
    <w:rsid w:val="01B0B719"/>
    <w:rsid w:val="01E1D2AE"/>
    <w:rsid w:val="01F41197"/>
    <w:rsid w:val="0208CEF5"/>
    <w:rsid w:val="0246060B"/>
    <w:rsid w:val="02560CBC"/>
    <w:rsid w:val="02A61C9A"/>
    <w:rsid w:val="02D43558"/>
    <w:rsid w:val="02FFE3D7"/>
    <w:rsid w:val="0312B6DE"/>
    <w:rsid w:val="031E609C"/>
    <w:rsid w:val="033E358D"/>
    <w:rsid w:val="03454214"/>
    <w:rsid w:val="03503871"/>
    <w:rsid w:val="035D5FE7"/>
    <w:rsid w:val="036D1E6B"/>
    <w:rsid w:val="0379A57B"/>
    <w:rsid w:val="03843EAC"/>
    <w:rsid w:val="03ACD0C6"/>
    <w:rsid w:val="03CD0C6C"/>
    <w:rsid w:val="03EFD447"/>
    <w:rsid w:val="0403E034"/>
    <w:rsid w:val="04247FC3"/>
    <w:rsid w:val="047005B9"/>
    <w:rsid w:val="04712916"/>
    <w:rsid w:val="048F2B81"/>
    <w:rsid w:val="049AC4A2"/>
    <w:rsid w:val="04B75043"/>
    <w:rsid w:val="0561E094"/>
    <w:rsid w:val="0586AC05"/>
    <w:rsid w:val="05E2BC40"/>
    <w:rsid w:val="060009A4"/>
    <w:rsid w:val="0603B114"/>
    <w:rsid w:val="06377150"/>
    <w:rsid w:val="06C6AF09"/>
    <w:rsid w:val="0717C450"/>
    <w:rsid w:val="071A8D52"/>
    <w:rsid w:val="071F4830"/>
    <w:rsid w:val="074ECB67"/>
    <w:rsid w:val="0768904F"/>
    <w:rsid w:val="07F82EBA"/>
    <w:rsid w:val="080BA5DA"/>
    <w:rsid w:val="0822CD57"/>
    <w:rsid w:val="083C07A8"/>
    <w:rsid w:val="08AD2833"/>
    <w:rsid w:val="08C1F977"/>
    <w:rsid w:val="08EC9A14"/>
    <w:rsid w:val="08F5731E"/>
    <w:rsid w:val="090E6D2C"/>
    <w:rsid w:val="0919BDB0"/>
    <w:rsid w:val="093987F0"/>
    <w:rsid w:val="0949643F"/>
    <w:rsid w:val="0956892E"/>
    <w:rsid w:val="09C429D6"/>
    <w:rsid w:val="0A2488A4"/>
    <w:rsid w:val="0A2CA909"/>
    <w:rsid w:val="0A6CC910"/>
    <w:rsid w:val="0AA7544E"/>
    <w:rsid w:val="0AB25CE9"/>
    <w:rsid w:val="0AC0625C"/>
    <w:rsid w:val="0AC61EE0"/>
    <w:rsid w:val="0AEA2F9B"/>
    <w:rsid w:val="0B264B78"/>
    <w:rsid w:val="0B2C2750"/>
    <w:rsid w:val="0B5A3881"/>
    <w:rsid w:val="0B69024A"/>
    <w:rsid w:val="0BB8EE4A"/>
    <w:rsid w:val="0BC6298A"/>
    <w:rsid w:val="0BF6A3F7"/>
    <w:rsid w:val="0BFBAAAA"/>
    <w:rsid w:val="0C4DF39F"/>
    <w:rsid w:val="0C5A639A"/>
    <w:rsid w:val="0C6533B1"/>
    <w:rsid w:val="0CA2E00D"/>
    <w:rsid w:val="0D444590"/>
    <w:rsid w:val="0D7E1103"/>
    <w:rsid w:val="0DCF5E01"/>
    <w:rsid w:val="0DD84F47"/>
    <w:rsid w:val="0E144AB4"/>
    <w:rsid w:val="0E2BE344"/>
    <w:rsid w:val="0E6009FC"/>
    <w:rsid w:val="0EAF315F"/>
    <w:rsid w:val="0F0658A2"/>
    <w:rsid w:val="0F0F0149"/>
    <w:rsid w:val="0F34D984"/>
    <w:rsid w:val="0F798442"/>
    <w:rsid w:val="0F8F7869"/>
    <w:rsid w:val="1044FA57"/>
    <w:rsid w:val="1071B789"/>
    <w:rsid w:val="10D9505F"/>
    <w:rsid w:val="11076501"/>
    <w:rsid w:val="11139BBE"/>
    <w:rsid w:val="111A5F10"/>
    <w:rsid w:val="111B45FF"/>
    <w:rsid w:val="11356064"/>
    <w:rsid w:val="11A6A3AD"/>
    <w:rsid w:val="11BCC84F"/>
    <w:rsid w:val="11C97A05"/>
    <w:rsid w:val="120D73DA"/>
    <w:rsid w:val="121F49C3"/>
    <w:rsid w:val="12246BE1"/>
    <w:rsid w:val="12426A00"/>
    <w:rsid w:val="12711565"/>
    <w:rsid w:val="12C7192B"/>
    <w:rsid w:val="12D4E2E5"/>
    <w:rsid w:val="138A325F"/>
    <w:rsid w:val="1390AD4F"/>
    <w:rsid w:val="13C55EDA"/>
    <w:rsid w:val="13C8D1A5"/>
    <w:rsid w:val="13D58556"/>
    <w:rsid w:val="1401ABD7"/>
    <w:rsid w:val="1406E3FE"/>
    <w:rsid w:val="1428FC03"/>
    <w:rsid w:val="1463C743"/>
    <w:rsid w:val="147958F5"/>
    <w:rsid w:val="1490E35C"/>
    <w:rsid w:val="14AAEBF4"/>
    <w:rsid w:val="14B6B783"/>
    <w:rsid w:val="14BB7C14"/>
    <w:rsid w:val="14E8ED6D"/>
    <w:rsid w:val="14FB8B21"/>
    <w:rsid w:val="15317109"/>
    <w:rsid w:val="15401AAC"/>
    <w:rsid w:val="154C8B3D"/>
    <w:rsid w:val="155D9253"/>
    <w:rsid w:val="15C33370"/>
    <w:rsid w:val="162E6E63"/>
    <w:rsid w:val="164F3C8C"/>
    <w:rsid w:val="169A0390"/>
    <w:rsid w:val="16C8564F"/>
    <w:rsid w:val="16FCFF9C"/>
    <w:rsid w:val="170B9AC6"/>
    <w:rsid w:val="170BEA41"/>
    <w:rsid w:val="170DEA15"/>
    <w:rsid w:val="173FE448"/>
    <w:rsid w:val="176D1EE5"/>
    <w:rsid w:val="1790DFF1"/>
    <w:rsid w:val="1795B95E"/>
    <w:rsid w:val="17F1F9C9"/>
    <w:rsid w:val="17F7A1DE"/>
    <w:rsid w:val="1822A11D"/>
    <w:rsid w:val="18332BE3"/>
    <w:rsid w:val="1882A529"/>
    <w:rsid w:val="18C19335"/>
    <w:rsid w:val="18D8FB14"/>
    <w:rsid w:val="18E84428"/>
    <w:rsid w:val="19112700"/>
    <w:rsid w:val="19135885"/>
    <w:rsid w:val="19832FCB"/>
    <w:rsid w:val="19DB1AA1"/>
    <w:rsid w:val="19DF2033"/>
    <w:rsid w:val="1A2FF3CD"/>
    <w:rsid w:val="1A8B4CF0"/>
    <w:rsid w:val="1AA6E274"/>
    <w:rsid w:val="1B108AAB"/>
    <w:rsid w:val="1B1EB567"/>
    <w:rsid w:val="1B56594F"/>
    <w:rsid w:val="1B628F18"/>
    <w:rsid w:val="1B814831"/>
    <w:rsid w:val="1B9E6AE2"/>
    <w:rsid w:val="1BD1C7B0"/>
    <w:rsid w:val="1BD9A506"/>
    <w:rsid w:val="1C58B8DF"/>
    <w:rsid w:val="1CB11765"/>
    <w:rsid w:val="1CC1C968"/>
    <w:rsid w:val="1CCE0C11"/>
    <w:rsid w:val="1D286C44"/>
    <w:rsid w:val="1D2E903A"/>
    <w:rsid w:val="1D307CA3"/>
    <w:rsid w:val="1D6FD835"/>
    <w:rsid w:val="1D7310AD"/>
    <w:rsid w:val="1DBDA0BC"/>
    <w:rsid w:val="1EB2C27F"/>
    <w:rsid w:val="1ECC96F9"/>
    <w:rsid w:val="1EE4D5E0"/>
    <w:rsid w:val="1EE90325"/>
    <w:rsid w:val="1F218B29"/>
    <w:rsid w:val="1F30EE7F"/>
    <w:rsid w:val="1F755961"/>
    <w:rsid w:val="1F94BB6B"/>
    <w:rsid w:val="205CAD8B"/>
    <w:rsid w:val="20B360C4"/>
    <w:rsid w:val="20BF8174"/>
    <w:rsid w:val="20DEF408"/>
    <w:rsid w:val="21073A7D"/>
    <w:rsid w:val="21347659"/>
    <w:rsid w:val="21353A87"/>
    <w:rsid w:val="21747B09"/>
    <w:rsid w:val="218ABEAF"/>
    <w:rsid w:val="21B0F13D"/>
    <w:rsid w:val="21B1A118"/>
    <w:rsid w:val="21B470F0"/>
    <w:rsid w:val="21D34A56"/>
    <w:rsid w:val="21D68D72"/>
    <w:rsid w:val="21DA0E29"/>
    <w:rsid w:val="22189C34"/>
    <w:rsid w:val="22F24E05"/>
    <w:rsid w:val="2314704F"/>
    <w:rsid w:val="2319D01A"/>
    <w:rsid w:val="2336F49D"/>
    <w:rsid w:val="233ABC5D"/>
    <w:rsid w:val="233E7A7D"/>
    <w:rsid w:val="233EC658"/>
    <w:rsid w:val="238DBB76"/>
    <w:rsid w:val="2398DE00"/>
    <w:rsid w:val="239DF984"/>
    <w:rsid w:val="24236148"/>
    <w:rsid w:val="24AF07AB"/>
    <w:rsid w:val="24B05C1B"/>
    <w:rsid w:val="24BC294A"/>
    <w:rsid w:val="2520674B"/>
    <w:rsid w:val="25308299"/>
    <w:rsid w:val="253C7CE6"/>
    <w:rsid w:val="255A158F"/>
    <w:rsid w:val="25A88ACB"/>
    <w:rsid w:val="25B9D30A"/>
    <w:rsid w:val="25CFF9F6"/>
    <w:rsid w:val="261F4EB3"/>
    <w:rsid w:val="2671EFBE"/>
    <w:rsid w:val="267259DD"/>
    <w:rsid w:val="268D4554"/>
    <w:rsid w:val="26CF9595"/>
    <w:rsid w:val="271FF734"/>
    <w:rsid w:val="2733F022"/>
    <w:rsid w:val="276FD06D"/>
    <w:rsid w:val="278DA988"/>
    <w:rsid w:val="27A5E702"/>
    <w:rsid w:val="27CEC373"/>
    <w:rsid w:val="28CBC1B9"/>
    <w:rsid w:val="2908146A"/>
    <w:rsid w:val="2908D5C1"/>
    <w:rsid w:val="292C9D8B"/>
    <w:rsid w:val="298DA9BE"/>
    <w:rsid w:val="29EDF631"/>
    <w:rsid w:val="29F2F09D"/>
    <w:rsid w:val="2A0FA1EA"/>
    <w:rsid w:val="2A281B86"/>
    <w:rsid w:val="2A2D55AE"/>
    <w:rsid w:val="2A48CFBE"/>
    <w:rsid w:val="2A5E9E73"/>
    <w:rsid w:val="2A706F1F"/>
    <w:rsid w:val="2AF8EF35"/>
    <w:rsid w:val="2B0882FF"/>
    <w:rsid w:val="2B1F209E"/>
    <w:rsid w:val="2BBDB1F6"/>
    <w:rsid w:val="2BF4E7B6"/>
    <w:rsid w:val="2C0D088A"/>
    <w:rsid w:val="2C19D3D0"/>
    <w:rsid w:val="2C4CD331"/>
    <w:rsid w:val="2C4F8FEA"/>
    <w:rsid w:val="2C5BCAAC"/>
    <w:rsid w:val="2C9392CC"/>
    <w:rsid w:val="2CA68929"/>
    <w:rsid w:val="2CBCCA16"/>
    <w:rsid w:val="2CC69786"/>
    <w:rsid w:val="2CF5AF19"/>
    <w:rsid w:val="2CFAC441"/>
    <w:rsid w:val="2D082650"/>
    <w:rsid w:val="2D32FE6D"/>
    <w:rsid w:val="2D54DD9E"/>
    <w:rsid w:val="2D81B837"/>
    <w:rsid w:val="2DBA1F7B"/>
    <w:rsid w:val="2DC722E0"/>
    <w:rsid w:val="2E19B3B1"/>
    <w:rsid w:val="2E60C3AE"/>
    <w:rsid w:val="2E685F52"/>
    <w:rsid w:val="2EE12567"/>
    <w:rsid w:val="2EF0DFD5"/>
    <w:rsid w:val="2F06973F"/>
    <w:rsid w:val="2F74431A"/>
    <w:rsid w:val="2F910CC5"/>
    <w:rsid w:val="2F932BC7"/>
    <w:rsid w:val="2FAEA192"/>
    <w:rsid w:val="2FB69902"/>
    <w:rsid w:val="2FBB1703"/>
    <w:rsid w:val="2FE54C5E"/>
    <w:rsid w:val="30B46648"/>
    <w:rsid w:val="30CA77BA"/>
    <w:rsid w:val="312B30CF"/>
    <w:rsid w:val="314565A3"/>
    <w:rsid w:val="3166DBB3"/>
    <w:rsid w:val="317C2F5C"/>
    <w:rsid w:val="3189EFC2"/>
    <w:rsid w:val="318F44F7"/>
    <w:rsid w:val="31F1C4EC"/>
    <w:rsid w:val="31FFDDA7"/>
    <w:rsid w:val="321989D0"/>
    <w:rsid w:val="3238FCA0"/>
    <w:rsid w:val="32680A18"/>
    <w:rsid w:val="32C38581"/>
    <w:rsid w:val="32CACC89"/>
    <w:rsid w:val="330C8A8E"/>
    <w:rsid w:val="331384B2"/>
    <w:rsid w:val="3313AB5E"/>
    <w:rsid w:val="331C438A"/>
    <w:rsid w:val="333129BA"/>
    <w:rsid w:val="33A9EFCE"/>
    <w:rsid w:val="33EFA20B"/>
    <w:rsid w:val="34046908"/>
    <w:rsid w:val="341E1B62"/>
    <w:rsid w:val="34A69990"/>
    <w:rsid w:val="3517F385"/>
    <w:rsid w:val="354DB818"/>
    <w:rsid w:val="355A32B8"/>
    <w:rsid w:val="356F7DA1"/>
    <w:rsid w:val="357BD0D6"/>
    <w:rsid w:val="3592D482"/>
    <w:rsid w:val="3593E88F"/>
    <w:rsid w:val="35B50292"/>
    <w:rsid w:val="35B7C629"/>
    <w:rsid w:val="35BF84A8"/>
    <w:rsid w:val="36172D7C"/>
    <w:rsid w:val="36183833"/>
    <w:rsid w:val="36848715"/>
    <w:rsid w:val="36A8A5E4"/>
    <w:rsid w:val="36C7E7AC"/>
    <w:rsid w:val="36EF065F"/>
    <w:rsid w:val="3785154F"/>
    <w:rsid w:val="378A6DE0"/>
    <w:rsid w:val="379F5C50"/>
    <w:rsid w:val="37B89818"/>
    <w:rsid w:val="37E71C81"/>
    <w:rsid w:val="38096502"/>
    <w:rsid w:val="38585B50"/>
    <w:rsid w:val="3883068D"/>
    <w:rsid w:val="3915A4F6"/>
    <w:rsid w:val="3924D895"/>
    <w:rsid w:val="3930D3A4"/>
    <w:rsid w:val="3955A44C"/>
    <w:rsid w:val="398C0D06"/>
    <w:rsid w:val="39A53563"/>
    <w:rsid w:val="39C989CB"/>
    <w:rsid w:val="39D159D1"/>
    <w:rsid w:val="3A2A1396"/>
    <w:rsid w:val="3A39EE88"/>
    <w:rsid w:val="3A42E9CC"/>
    <w:rsid w:val="3A7198FF"/>
    <w:rsid w:val="3A995265"/>
    <w:rsid w:val="3AA48586"/>
    <w:rsid w:val="3B1376E5"/>
    <w:rsid w:val="3B1F8999"/>
    <w:rsid w:val="3B5515B3"/>
    <w:rsid w:val="3B58F5D2"/>
    <w:rsid w:val="3BAB2CDF"/>
    <w:rsid w:val="3BB228BB"/>
    <w:rsid w:val="3BB608AA"/>
    <w:rsid w:val="3BE51068"/>
    <w:rsid w:val="3BE96DC0"/>
    <w:rsid w:val="3BFF931D"/>
    <w:rsid w:val="3C1C6CEE"/>
    <w:rsid w:val="3C318C59"/>
    <w:rsid w:val="3CA3A505"/>
    <w:rsid w:val="3CE0AE73"/>
    <w:rsid w:val="3D2F56FA"/>
    <w:rsid w:val="3D39C681"/>
    <w:rsid w:val="3DA939C1"/>
    <w:rsid w:val="3DD692F6"/>
    <w:rsid w:val="3E0205D5"/>
    <w:rsid w:val="3EB3220B"/>
    <w:rsid w:val="3EED26DF"/>
    <w:rsid w:val="3F0AEF1A"/>
    <w:rsid w:val="3F1E1BC0"/>
    <w:rsid w:val="3F7E556B"/>
    <w:rsid w:val="3F902734"/>
    <w:rsid w:val="3FA0FF22"/>
    <w:rsid w:val="3FAE82CE"/>
    <w:rsid w:val="3FC5C5E3"/>
    <w:rsid w:val="3FD92853"/>
    <w:rsid w:val="3FFADAA2"/>
    <w:rsid w:val="400C83F9"/>
    <w:rsid w:val="40486F3E"/>
    <w:rsid w:val="4079EA12"/>
    <w:rsid w:val="408DCF94"/>
    <w:rsid w:val="408F7A33"/>
    <w:rsid w:val="40A4CAC2"/>
    <w:rsid w:val="40A8A7D3"/>
    <w:rsid w:val="40D43C57"/>
    <w:rsid w:val="415AE3D3"/>
    <w:rsid w:val="4163E582"/>
    <w:rsid w:val="416D641A"/>
    <w:rsid w:val="41771628"/>
    <w:rsid w:val="4188B9EF"/>
    <w:rsid w:val="41A6AE2B"/>
    <w:rsid w:val="41AA48F4"/>
    <w:rsid w:val="41C0672C"/>
    <w:rsid w:val="41D30D73"/>
    <w:rsid w:val="41E54513"/>
    <w:rsid w:val="4213EE94"/>
    <w:rsid w:val="4291B9F4"/>
    <w:rsid w:val="42D04C40"/>
    <w:rsid w:val="42E168F3"/>
    <w:rsid w:val="437B2718"/>
    <w:rsid w:val="439985FB"/>
    <w:rsid w:val="43E73BB5"/>
    <w:rsid w:val="43E7F8AA"/>
    <w:rsid w:val="4423FC2A"/>
    <w:rsid w:val="442D64FD"/>
    <w:rsid w:val="446B85DD"/>
    <w:rsid w:val="44772030"/>
    <w:rsid w:val="4492FE51"/>
    <w:rsid w:val="449C9081"/>
    <w:rsid w:val="44B0003A"/>
    <w:rsid w:val="44E9E732"/>
    <w:rsid w:val="45B145C1"/>
    <w:rsid w:val="45B62FBF"/>
    <w:rsid w:val="45B6C144"/>
    <w:rsid w:val="45B946EE"/>
    <w:rsid w:val="45CB1D5C"/>
    <w:rsid w:val="46221E05"/>
    <w:rsid w:val="46D94BED"/>
    <w:rsid w:val="46DF6B33"/>
    <w:rsid w:val="46F53385"/>
    <w:rsid w:val="46FF65C4"/>
    <w:rsid w:val="471AF233"/>
    <w:rsid w:val="478F3EFB"/>
    <w:rsid w:val="47A3269F"/>
    <w:rsid w:val="47CCE85E"/>
    <w:rsid w:val="488FFEB6"/>
    <w:rsid w:val="489CAB0E"/>
    <w:rsid w:val="48A36A2A"/>
    <w:rsid w:val="48B39B04"/>
    <w:rsid w:val="48BE4059"/>
    <w:rsid w:val="48FB4FDC"/>
    <w:rsid w:val="4954DEE5"/>
    <w:rsid w:val="49A0FE32"/>
    <w:rsid w:val="49B501C1"/>
    <w:rsid w:val="4A018B76"/>
    <w:rsid w:val="4A30345A"/>
    <w:rsid w:val="4A3D156B"/>
    <w:rsid w:val="4A46E7B4"/>
    <w:rsid w:val="4A47E432"/>
    <w:rsid w:val="4AB750DD"/>
    <w:rsid w:val="4ADFB51C"/>
    <w:rsid w:val="4AF39BDD"/>
    <w:rsid w:val="4AFF7FC6"/>
    <w:rsid w:val="4B33C740"/>
    <w:rsid w:val="4B6E72CA"/>
    <w:rsid w:val="4BB058F4"/>
    <w:rsid w:val="4BB7E4FA"/>
    <w:rsid w:val="4BCE3B63"/>
    <w:rsid w:val="4C6CF5AD"/>
    <w:rsid w:val="4C6FBD0C"/>
    <w:rsid w:val="4C8BEBCD"/>
    <w:rsid w:val="4D3532B1"/>
    <w:rsid w:val="4DA0BC39"/>
    <w:rsid w:val="4DD1210A"/>
    <w:rsid w:val="4DD60ADF"/>
    <w:rsid w:val="4E1651E5"/>
    <w:rsid w:val="4E5E0232"/>
    <w:rsid w:val="4E607618"/>
    <w:rsid w:val="4EE6A83D"/>
    <w:rsid w:val="4EEB0769"/>
    <w:rsid w:val="4F6964E6"/>
    <w:rsid w:val="4FCD570C"/>
    <w:rsid w:val="4FD621B8"/>
    <w:rsid w:val="4FF0A26E"/>
    <w:rsid w:val="503FAE07"/>
    <w:rsid w:val="50684B02"/>
    <w:rsid w:val="509BF06D"/>
    <w:rsid w:val="50B8E19F"/>
    <w:rsid w:val="51318419"/>
    <w:rsid w:val="5138FC48"/>
    <w:rsid w:val="51B44E2E"/>
    <w:rsid w:val="51F291AB"/>
    <w:rsid w:val="51F3E88F"/>
    <w:rsid w:val="51F5D2DE"/>
    <w:rsid w:val="5274FE66"/>
    <w:rsid w:val="5303FE7B"/>
    <w:rsid w:val="5316088E"/>
    <w:rsid w:val="534A02CE"/>
    <w:rsid w:val="534CB996"/>
    <w:rsid w:val="535A3907"/>
    <w:rsid w:val="53745E17"/>
    <w:rsid w:val="53B1CB84"/>
    <w:rsid w:val="53B760BC"/>
    <w:rsid w:val="53BBC435"/>
    <w:rsid w:val="53F19CBB"/>
    <w:rsid w:val="53F91F49"/>
    <w:rsid w:val="5405DB8B"/>
    <w:rsid w:val="540FACA0"/>
    <w:rsid w:val="5453B93C"/>
    <w:rsid w:val="546217D2"/>
    <w:rsid w:val="54B9A5B2"/>
    <w:rsid w:val="54C1B43C"/>
    <w:rsid w:val="54D75AA6"/>
    <w:rsid w:val="54FD4C89"/>
    <w:rsid w:val="5524A09C"/>
    <w:rsid w:val="552A6036"/>
    <w:rsid w:val="5530F30B"/>
    <w:rsid w:val="55341073"/>
    <w:rsid w:val="55D0AC44"/>
    <w:rsid w:val="56253DDF"/>
    <w:rsid w:val="5648A88C"/>
    <w:rsid w:val="564CB8BC"/>
    <w:rsid w:val="564E8F7D"/>
    <w:rsid w:val="56528A33"/>
    <w:rsid w:val="565C608A"/>
    <w:rsid w:val="565D76AE"/>
    <w:rsid w:val="56A62628"/>
    <w:rsid w:val="56DD6CBA"/>
    <w:rsid w:val="56FAFD7A"/>
    <w:rsid w:val="57049536"/>
    <w:rsid w:val="5729FD23"/>
    <w:rsid w:val="577476CB"/>
    <w:rsid w:val="57C2149B"/>
    <w:rsid w:val="57CFF73B"/>
    <w:rsid w:val="57E979B1"/>
    <w:rsid w:val="581AD8C3"/>
    <w:rsid w:val="58735819"/>
    <w:rsid w:val="5884C903"/>
    <w:rsid w:val="58989A8B"/>
    <w:rsid w:val="5923356F"/>
    <w:rsid w:val="5932D365"/>
    <w:rsid w:val="5949B37D"/>
    <w:rsid w:val="59543EE1"/>
    <w:rsid w:val="59746B3B"/>
    <w:rsid w:val="597EE46B"/>
    <w:rsid w:val="5980494E"/>
    <w:rsid w:val="599A7445"/>
    <w:rsid w:val="59FB4212"/>
    <w:rsid w:val="5A242BBC"/>
    <w:rsid w:val="5A3CB33F"/>
    <w:rsid w:val="5A3D07B4"/>
    <w:rsid w:val="5A5DC0B8"/>
    <w:rsid w:val="5A8EB4AB"/>
    <w:rsid w:val="5AC1B5E7"/>
    <w:rsid w:val="5B7FD1BD"/>
    <w:rsid w:val="5B89C3BA"/>
    <w:rsid w:val="5BFE4130"/>
    <w:rsid w:val="5C23528D"/>
    <w:rsid w:val="5C27C25E"/>
    <w:rsid w:val="5C327DD8"/>
    <w:rsid w:val="5C72F0C1"/>
    <w:rsid w:val="5C888A6A"/>
    <w:rsid w:val="5CBC2186"/>
    <w:rsid w:val="5D3893FE"/>
    <w:rsid w:val="5D5FE29D"/>
    <w:rsid w:val="5D69D3A4"/>
    <w:rsid w:val="5DD47487"/>
    <w:rsid w:val="5DD9DB83"/>
    <w:rsid w:val="5E2992A4"/>
    <w:rsid w:val="5E9DE0BD"/>
    <w:rsid w:val="5EC27279"/>
    <w:rsid w:val="5EC38E2E"/>
    <w:rsid w:val="5EC47BD5"/>
    <w:rsid w:val="5EECE518"/>
    <w:rsid w:val="5F08AC3B"/>
    <w:rsid w:val="5F1667E8"/>
    <w:rsid w:val="5F917DDA"/>
    <w:rsid w:val="5F970D3E"/>
    <w:rsid w:val="60836804"/>
    <w:rsid w:val="609B5781"/>
    <w:rsid w:val="61424F70"/>
    <w:rsid w:val="61B2E48F"/>
    <w:rsid w:val="61D7A91A"/>
    <w:rsid w:val="61DCA8F4"/>
    <w:rsid w:val="61E57E70"/>
    <w:rsid w:val="61FE6A01"/>
    <w:rsid w:val="6236FB0F"/>
    <w:rsid w:val="6298ADC0"/>
    <w:rsid w:val="62DE8494"/>
    <w:rsid w:val="62EBA66D"/>
    <w:rsid w:val="63215613"/>
    <w:rsid w:val="632B630A"/>
    <w:rsid w:val="636C24B5"/>
    <w:rsid w:val="63739E3A"/>
    <w:rsid w:val="63ED90CB"/>
    <w:rsid w:val="63F10459"/>
    <w:rsid w:val="641EF679"/>
    <w:rsid w:val="642AAC92"/>
    <w:rsid w:val="64B01F2A"/>
    <w:rsid w:val="64C31348"/>
    <w:rsid w:val="64C6BE28"/>
    <w:rsid w:val="64E43C75"/>
    <w:rsid w:val="6548832E"/>
    <w:rsid w:val="65B6BEE8"/>
    <w:rsid w:val="65E5737C"/>
    <w:rsid w:val="66125144"/>
    <w:rsid w:val="661D3048"/>
    <w:rsid w:val="666BEC76"/>
    <w:rsid w:val="66BD4B10"/>
    <w:rsid w:val="66D3A295"/>
    <w:rsid w:val="671C1AD3"/>
    <w:rsid w:val="67719FCB"/>
    <w:rsid w:val="67B645D6"/>
    <w:rsid w:val="683F49EE"/>
    <w:rsid w:val="686DAB85"/>
    <w:rsid w:val="6872A3C2"/>
    <w:rsid w:val="68A2B513"/>
    <w:rsid w:val="68EE5FAA"/>
    <w:rsid w:val="68FD1FCA"/>
    <w:rsid w:val="6915301F"/>
    <w:rsid w:val="69553664"/>
    <w:rsid w:val="6A093940"/>
    <w:rsid w:val="6A9C7B52"/>
    <w:rsid w:val="6AC06F8E"/>
    <w:rsid w:val="6B2CF458"/>
    <w:rsid w:val="6B3493F1"/>
    <w:rsid w:val="6B62BD07"/>
    <w:rsid w:val="6B82D2A7"/>
    <w:rsid w:val="6BEEFE20"/>
    <w:rsid w:val="6C2CC81E"/>
    <w:rsid w:val="6C5F12E0"/>
    <w:rsid w:val="6C8B3F08"/>
    <w:rsid w:val="6C9D1C73"/>
    <w:rsid w:val="6CDE4517"/>
    <w:rsid w:val="6CDF0351"/>
    <w:rsid w:val="6D077AE7"/>
    <w:rsid w:val="6D0F8EDD"/>
    <w:rsid w:val="6D411CA8"/>
    <w:rsid w:val="6D5A1D8F"/>
    <w:rsid w:val="6D9F06B4"/>
    <w:rsid w:val="6DA36C14"/>
    <w:rsid w:val="6E01C99F"/>
    <w:rsid w:val="6E3C4524"/>
    <w:rsid w:val="6E55601C"/>
    <w:rsid w:val="6E55A9A9"/>
    <w:rsid w:val="6E81D2B2"/>
    <w:rsid w:val="6EC5F3C7"/>
    <w:rsid w:val="6EE17909"/>
    <w:rsid w:val="6EEFF546"/>
    <w:rsid w:val="6F194A4D"/>
    <w:rsid w:val="6F2DB86B"/>
    <w:rsid w:val="6F3CDC0E"/>
    <w:rsid w:val="6F58C71A"/>
    <w:rsid w:val="6F65163A"/>
    <w:rsid w:val="6F8B4185"/>
    <w:rsid w:val="700A5306"/>
    <w:rsid w:val="7015085D"/>
    <w:rsid w:val="70280FE8"/>
    <w:rsid w:val="7030312F"/>
    <w:rsid w:val="706C733A"/>
    <w:rsid w:val="70736F1B"/>
    <w:rsid w:val="7096AA1D"/>
    <w:rsid w:val="71042495"/>
    <w:rsid w:val="710B3DA1"/>
    <w:rsid w:val="71103C0C"/>
    <w:rsid w:val="717697C0"/>
    <w:rsid w:val="719C35DC"/>
    <w:rsid w:val="719E7052"/>
    <w:rsid w:val="71A2BC9E"/>
    <w:rsid w:val="71A8DDA1"/>
    <w:rsid w:val="72128BFE"/>
    <w:rsid w:val="72417722"/>
    <w:rsid w:val="728EB189"/>
    <w:rsid w:val="72B0973A"/>
    <w:rsid w:val="72B384C7"/>
    <w:rsid w:val="72BE957B"/>
    <w:rsid w:val="72DE4585"/>
    <w:rsid w:val="72EF5C52"/>
    <w:rsid w:val="72F6A1A7"/>
    <w:rsid w:val="7359B526"/>
    <w:rsid w:val="737AAADF"/>
    <w:rsid w:val="7391EE70"/>
    <w:rsid w:val="73FAD53B"/>
    <w:rsid w:val="741CE248"/>
    <w:rsid w:val="74568294"/>
    <w:rsid w:val="7473756D"/>
    <w:rsid w:val="74894BD6"/>
    <w:rsid w:val="74BCABFD"/>
    <w:rsid w:val="74DB3C68"/>
    <w:rsid w:val="74EE2D65"/>
    <w:rsid w:val="750E8A78"/>
    <w:rsid w:val="75174228"/>
    <w:rsid w:val="753B187F"/>
    <w:rsid w:val="7548E3D8"/>
    <w:rsid w:val="7560ABA0"/>
    <w:rsid w:val="7582AE35"/>
    <w:rsid w:val="76780F4A"/>
    <w:rsid w:val="76A82B95"/>
    <w:rsid w:val="76B76964"/>
    <w:rsid w:val="76E7D029"/>
    <w:rsid w:val="76F0EA7E"/>
    <w:rsid w:val="771C12E6"/>
    <w:rsid w:val="773B13BE"/>
    <w:rsid w:val="776A9746"/>
    <w:rsid w:val="7813953A"/>
    <w:rsid w:val="7825CE27"/>
    <w:rsid w:val="7854E998"/>
    <w:rsid w:val="788C6E7D"/>
    <w:rsid w:val="789CDE1E"/>
    <w:rsid w:val="78BB8FEE"/>
    <w:rsid w:val="78C58619"/>
    <w:rsid w:val="790C18E2"/>
    <w:rsid w:val="790D4F8E"/>
    <w:rsid w:val="7937948A"/>
    <w:rsid w:val="794295D5"/>
    <w:rsid w:val="79A34015"/>
    <w:rsid w:val="79B650D1"/>
    <w:rsid w:val="79D483A7"/>
    <w:rsid w:val="7A296F26"/>
    <w:rsid w:val="7AB91E63"/>
    <w:rsid w:val="7B0AEC49"/>
    <w:rsid w:val="7B4458F9"/>
    <w:rsid w:val="7B734BA2"/>
    <w:rsid w:val="7B7D9D68"/>
    <w:rsid w:val="7BCA1C3B"/>
    <w:rsid w:val="7C08CB93"/>
    <w:rsid w:val="7C29EC49"/>
    <w:rsid w:val="7C7F9F80"/>
    <w:rsid w:val="7C84005F"/>
    <w:rsid w:val="7C87CE60"/>
    <w:rsid w:val="7CD873D2"/>
    <w:rsid w:val="7CDB8BF6"/>
    <w:rsid w:val="7D75887D"/>
    <w:rsid w:val="7DC303B0"/>
    <w:rsid w:val="7DEF8BC3"/>
    <w:rsid w:val="7E31DB08"/>
    <w:rsid w:val="7E481268"/>
    <w:rsid w:val="7EA0D02D"/>
    <w:rsid w:val="7ED4D5BA"/>
    <w:rsid w:val="7EF3BB61"/>
    <w:rsid w:val="7F25024F"/>
    <w:rsid w:val="7F2816E9"/>
    <w:rsid w:val="7F37C2FB"/>
    <w:rsid w:val="7F6021ED"/>
    <w:rsid w:val="7F95DA60"/>
    <w:rsid w:val="7FABEA5C"/>
    <w:rsid w:val="7FBBAA55"/>
    <w:rsid w:val="7FBC264E"/>
    <w:rsid w:val="7FEC4D6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3A9"/>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pBdr>
        <w:bottom w:val="single" w:sz="4" w:space="1" w:color="auto"/>
      </w:pBdr>
      <w:spacing w:before="600" w:after="480" w:line="240" w:lineRule="auto"/>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paragraph" w:styleId="Heading5">
    <w:name w:val="heading 5"/>
    <w:basedOn w:val="Normal"/>
    <w:next w:val="Normal"/>
    <w:link w:val="Heading5Char"/>
    <w:uiPriority w:val="9"/>
    <w:unhideWhenUsed/>
    <w:qFormat/>
    <w:rsid w:val="007B6DD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iPriority w:val="99"/>
    <w:qFormat/>
    <w:rsid w:val="009A06F4"/>
    <w:pPr>
      <w:keepNext/>
      <w:spacing w:before="360" w:after="120" w:line="240" w:lineRule="auto"/>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mbria" w:hAnsi="Cambria"/>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uiPriority w:val="99"/>
    <w:rsid w:val="009A06F4"/>
    <w:rPr>
      <w:rFonts w:ascii="Arial Narrow" w:eastAsia="Times New Roman" w:hAnsi="Arial Narrow" w:cs="Times New Roman"/>
      <w:b/>
      <w:bCs/>
      <w:sz w:val="20"/>
      <w:szCs w:val="20"/>
    </w:rPr>
  </w:style>
  <w:style w:type="table" w:styleId="TableGrid">
    <w:name w:val="Table Grid"/>
    <w:aliases w:val="Summary box,Table Gridbeth,RTI AMCP Table,new style,ASD Table,HealthConsult,HTAtableplain,PBAC table"/>
    <w:basedOn w:val="TableNormal"/>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2"/>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basedOn w:val="DefaultParagraphFont"/>
    <w:link w:val="ListParagraph"/>
    <w:uiPriority w:val="34"/>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4"/>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3"/>
      </w:numPr>
    </w:pPr>
  </w:style>
  <w:style w:type="paragraph" w:customStyle="1" w:styleId="2-SectionHeading">
    <w:name w:val="2-Section Heading"/>
    <w:qFormat/>
    <w:rsid w:val="005131D3"/>
    <w:pPr>
      <w:keepNext/>
      <w:numPr>
        <w:numId w:val="5"/>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5"/>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6"/>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Franklin Gothic Medium" w:hAnsi="Franklin Gothic Medium"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Franklin Gothic Medium" w:hAnsi="Franklin Gothic Medium"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Franklin Gothic Medium" w:hAnsi="Franklin Gothic Medium"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numId w:val="9"/>
      </w:numPr>
      <w:spacing w:before="240"/>
      <w:ind w:left="2154" w:hanging="357"/>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10"/>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11"/>
      </w:numPr>
      <w:spacing w:before="0" w:after="0"/>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paragraph" w:customStyle="1" w:styleId="Abbreviations">
    <w:name w:val="Abbreviations"/>
    <w:basedOn w:val="Normal"/>
    <w:link w:val="AbbreviationsChar"/>
    <w:qFormat/>
    <w:rsid w:val="007A317D"/>
    <w:pPr>
      <w:spacing w:before="40" w:after="360" w:line="240" w:lineRule="auto"/>
      <w:ind w:left="57" w:right="57"/>
      <w:contextualSpacing/>
    </w:pPr>
    <w:rPr>
      <w:rFonts w:ascii="Arial Narrow" w:hAnsi="Arial Narrow" w:cs="Arial"/>
      <w:sz w:val="16"/>
    </w:rPr>
  </w:style>
  <w:style w:type="character" w:customStyle="1" w:styleId="AbbreviationsChar">
    <w:name w:val="Abbreviations Char"/>
    <w:basedOn w:val="DefaultParagraphFont"/>
    <w:link w:val="Abbreviations"/>
    <w:rsid w:val="007A317D"/>
    <w:rPr>
      <w:rFonts w:ascii="Arial Narrow" w:hAnsi="Arial Narrow" w:cs="Arial"/>
      <w:sz w:val="16"/>
    </w:rPr>
  </w:style>
  <w:style w:type="paragraph" w:styleId="BodyText">
    <w:name w:val="Body Text"/>
    <w:basedOn w:val="Normal"/>
    <w:link w:val="BodyTextChar"/>
    <w:qFormat/>
    <w:rsid w:val="00F51A7A"/>
    <w:pPr>
      <w:spacing w:before="40" w:after="180" w:line="312" w:lineRule="auto"/>
      <w:ind w:right="57"/>
    </w:pPr>
    <w:rPr>
      <w:rFonts w:ascii="Calibri" w:eastAsia="Times New Roman" w:hAnsi="Calibri" w:cs="Tahoma"/>
      <w:lang w:eastAsia="en-AU"/>
    </w:rPr>
  </w:style>
  <w:style w:type="character" w:customStyle="1" w:styleId="BodyTextChar">
    <w:name w:val="Body Text Char"/>
    <w:basedOn w:val="DefaultParagraphFont"/>
    <w:link w:val="BodyText"/>
    <w:rsid w:val="00F51A7A"/>
    <w:rPr>
      <w:rFonts w:ascii="Calibri" w:eastAsia="Times New Roman" w:hAnsi="Calibri" w:cs="Tahoma"/>
      <w:lang w:eastAsia="en-AU"/>
    </w:rPr>
  </w:style>
  <w:style w:type="table" w:styleId="PlainTable1">
    <w:name w:val="Plain Table 1"/>
    <w:basedOn w:val="TableNormal"/>
    <w:uiPriority w:val="41"/>
    <w:rsid w:val="003F7951"/>
    <w:pPr>
      <w:spacing w:before="40" w:after="40" w:line="240" w:lineRule="auto"/>
      <w:ind w:left="57" w:right="57"/>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Style1">
    <w:name w:val="Style1"/>
    <w:uiPriority w:val="99"/>
    <w:rsid w:val="00B4007E"/>
    <w:pPr>
      <w:numPr>
        <w:numId w:val="7"/>
      </w:numPr>
    </w:pPr>
  </w:style>
  <w:style w:type="numbering" w:customStyle="1" w:styleId="Style2">
    <w:name w:val="Style2"/>
    <w:uiPriority w:val="99"/>
    <w:rsid w:val="00E11EE2"/>
    <w:pPr>
      <w:numPr>
        <w:numId w:val="8"/>
      </w:numPr>
    </w:pPr>
  </w:style>
  <w:style w:type="character" w:customStyle="1" w:styleId="Heading5Char">
    <w:name w:val="Heading 5 Char"/>
    <w:basedOn w:val="DefaultParagraphFont"/>
    <w:link w:val="Heading5"/>
    <w:uiPriority w:val="9"/>
    <w:rsid w:val="007B6DDB"/>
    <w:rPr>
      <w:rFonts w:asciiTheme="majorHAnsi" w:eastAsiaTheme="majorEastAsia" w:hAnsiTheme="majorHAnsi" w:cstheme="majorBidi"/>
      <w:color w:val="2E74B5" w:themeColor="accent1" w:themeShade="BF"/>
    </w:rPr>
  </w:style>
  <w:style w:type="paragraph" w:customStyle="1" w:styleId="Comment">
    <w:name w:val="Comment"/>
    <w:basedOn w:val="Normal"/>
    <w:link w:val="CommentChar"/>
    <w:qFormat/>
    <w:rsid w:val="007B6DDB"/>
    <w:pPr>
      <w:tabs>
        <w:tab w:val="num" w:pos="720"/>
      </w:tabs>
      <w:spacing w:before="240" w:after="240" w:line="312" w:lineRule="auto"/>
      <w:jc w:val="both"/>
    </w:pPr>
    <w:rPr>
      <w:rFonts w:ascii="Calibri" w:eastAsia="Times New Roman" w:hAnsi="Calibri" w:cs="Tahoma"/>
      <w:i/>
      <w:lang w:eastAsia="en-AU"/>
    </w:rPr>
  </w:style>
  <w:style w:type="character" w:customStyle="1" w:styleId="CommentChar">
    <w:name w:val="Comment Char"/>
    <w:basedOn w:val="DefaultParagraphFont"/>
    <w:link w:val="Comment"/>
    <w:rsid w:val="007B6DDB"/>
    <w:rPr>
      <w:rFonts w:ascii="Calibri" w:eastAsia="Times New Roman" w:hAnsi="Calibri" w:cs="Tahoma"/>
      <w:i/>
      <w:lang w:eastAsia="en-AU"/>
    </w:rPr>
  </w:style>
  <w:style w:type="paragraph" w:customStyle="1" w:styleId="TableNote">
    <w:name w:val="Table Note"/>
    <w:basedOn w:val="Normal"/>
    <w:qFormat/>
    <w:rsid w:val="007B6DDB"/>
    <w:pPr>
      <w:keepLines/>
      <w:spacing w:before="40" w:after="360" w:line="240" w:lineRule="auto"/>
      <w:contextualSpacing/>
    </w:pPr>
    <w:rPr>
      <w:rFonts w:ascii="Arial" w:hAnsi="Arial" w:cs="Times New Roman"/>
      <w:noProof/>
      <w:sz w:val="18"/>
      <w:szCs w:val="18"/>
    </w:rPr>
  </w:style>
  <w:style w:type="paragraph" w:styleId="NormalWeb">
    <w:name w:val="Normal (Web)"/>
    <w:basedOn w:val="Normal"/>
    <w:uiPriority w:val="99"/>
    <w:unhideWhenUsed/>
    <w:rsid w:val="007B6DDB"/>
    <w:pPr>
      <w:spacing w:before="100" w:beforeAutospacing="1" w:after="100" w:afterAutospacing="1" w:line="240" w:lineRule="auto"/>
      <w:ind w:left="57" w:right="57"/>
    </w:pPr>
    <w:rPr>
      <w:rFonts w:ascii="Times New Roman" w:eastAsia="Times New Roman" w:hAnsi="Times New Roman" w:cs="Times New Roman"/>
      <w:sz w:val="24"/>
      <w:szCs w:val="24"/>
      <w:lang w:eastAsia="en-AU"/>
    </w:rPr>
  </w:style>
  <w:style w:type="character" w:customStyle="1" w:styleId="cf01">
    <w:name w:val="cf01"/>
    <w:basedOn w:val="DefaultParagraphFont"/>
    <w:rsid w:val="007B6DDB"/>
    <w:rPr>
      <w:rFonts w:ascii="Segoe UI" w:hAnsi="Segoe UI" w:cs="Segoe UI" w:hint="default"/>
      <w:sz w:val="18"/>
      <w:szCs w:val="18"/>
    </w:rPr>
  </w:style>
  <w:style w:type="paragraph" w:customStyle="1" w:styleId="pf0">
    <w:name w:val="pf0"/>
    <w:basedOn w:val="Normal"/>
    <w:rsid w:val="007B6D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Bibliography">
    <w:name w:val="EndNote Bibliography"/>
    <w:basedOn w:val="Normal"/>
    <w:link w:val="EndNoteBibliographyChar"/>
    <w:rsid w:val="007B6DDB"/>
    <w:pPr>
      <w:spacing w:before="40" w:after="40" w:line="240" w:lineRule="auto"/>
      <w:ind w:left="57" w:right="57"/>
    </w:pPr>
    <w:rPr>
      <w:noProof/>
      <w:lang w:val="en-US"/>
    </w:rPr>
  </w:style>
  <w:style w:type="character" w:customStyle="1" w:styleId="EndNoteBibliographyChar">
    <w:name w:val="EndNote Bibliography Char"/>
    <w:basedOn w:val="TableHeadingChar"/>
    <w:link w:val="EndNoteBibliography"/>
    <w:rsid w:val="007B6DDB"/>
    <w:rPr>
      <w:rFonts w:ascii="Franklin Gothic Book" w:hAnsi="Franklin Gothic Book"/>
      <w:b w:val="0"/>
      <w:noProof/>
      <w:sz w:val="20"/>
      <w:lang w:val="en-US"/>
    </w:rPr>
  </w:style>
  <w:style w:type="paragraph" w:customStyle="1" w:styleId="Default">
    <w:name w:val="Default"/>
    <w:rsid w:val="007B6DDB"/>
    <w:pPr>
      <w:autoSpaceDE w:val="0"/>
      <w:autoSpaceDN w:val="0"/>
      <w:adjustRightInd w:val="0"/>
      <w:spacing w:before="40" w:after="40" w:line="240" w:lineRule="auto"/>
      <w:ind w:left="57" w:right="57"/>
    </w:pPr>
    <w:rPr>
      <w:rFonts w:ascii="Calibri" w:hAnsi="Calibri" w:cs="Calibri"/>
      <w:color w:val="000000"/>
      <w:sz w:val="24"/>
      <w:szCs w:val="24"/>
      <w:lang w:val="en-US"/>
    </w:rPr>
  </w:style>
  <w:style w:type="table" w:styleId="GridTable1Light-Accent2">
    <w:name w:val="Grid Table 1 Light Accent 2"/>
    <w:basedOn w:val="TableNormal"/>
    <w:uiPriority w:val="46"/>
    <w:rsid w:val="007B6DDB"/>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ADAR">
    <w:name w:val="ADAR"/>
    <w:basedOn w:val="TableNormal"/>
    <w:uiPriority w:val="99"/>
    <w:rsid w:val="007B6DDB"/>
    <w:pPr>
      <w:spacing w:before="40" w:after="40" w:line="240" w:lineRule="auto"/>
    </w:pPr>
    <w:rPr>
      <w:rFonts w:ascii="Arial Narrow" w:hAnsi="Arial Narrow"/>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style>
  <w:style w:type="paragraph" w:customStyle="1" w:styleId="EndNoteBibliographyTitle">
    <w:name w:val="EndNote Bibliography Title"/>
    <w:basedOn w:val="Normal"/>
    <w:link w:val="EndNoteBibliographyTitleChar"/>
    <w:rsid w:val="0042666C"/>
    <w:pPr>
      <w:spacing w:after="0"/>
      <w:jc w:val="center"/>
    </w:pPr>
    <w:rPr>
      <w:noProof/>
      <w:lang w:val="en-US"/>
    </w:rPr>
  </w:style>
  <w:style w:type="character" w:customStyle="1" w:styleId="EndNoteBibliographyTitleChar">
    <w:name w:val="EndNote Bibliography Title Char"/>
    <w:basedOn w:val="TableTextChar"/>
    <w:link w:val="EndNoteBibliographyTitle"/>
    <w:rsid w:val="0042666C"/>
    <w:rPr>
      <w:rFonts w:ascii="Franklin Gothic Book" w:hAnsi="Franklin Gothic Book"/>
      <w:noProof/>
      <w:sz w:val="20"/>
      <w:lang w:val="en-US"/>
    </w:rPr>
  </w:style>
  <w:style w:type="character" w:customStyle="1" w:styleId="UnresolvedMention3">
    <w:name w:val="Unresolved Mention3"/>
    <w:basedOn w:val="DefaultParagraphFont"/>
    <w:uiPriority w:val="99"/>
    <w:semiHidden/>
    <w:unhideWhenUsed/>
    <w:rsid w:val="0042666C"/>
    <w:rPr>
      <w:color w:val="605E5C"/>
      <w:shd w:val="clear" w:color="auto" w:fill="E1DFDD"/>
    </w:rPr>
  </w:style>
  <w:style w:type="character" w:customStyle="1" w:styleId="Mention1">
    <w:name w:val="Mention1"/>
    <w:basedOn w:val="DefaultParagraphFont"/>
    <w:uiPriority w:val="99"/>
    <w:unhideWhenUsed/>
    <w:rsid w:val="00FF0959"/>
    <w:rPr>
      <w:color w:val="2B579A"/>
      <w:shd w:val="clear" w:color="auto" w:fill="E1DFDD"/>
    </w:rPr>
  </w:style>
  <w:style w:type="table" w:customStyle="1" w:styleId="TableGrid3">
    <w:name w:val="Table Grid3"/>
    <w:basedOn w:val="TableNormal"/>
    <w:next w:val="TableGrid"/>
    <w:uiPriority w:val="59"/>
    <w:rsid w:val="00ED3550"/>
    <w:pPr>
      <w:spacing w:after="0" w:line="240" w:lineRule="auto"/>
    </w:pPr>
    <w:rPr>
      <w:rFonts w:ascii="Times New Roman" w:eastAsia="Times New Roman" w:hAnsi="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B6DB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BeforeDash">
    <w:name w:val="BulletBeforeDash"/>
    <w:basedOn w:val="Normal"/>
    <w:rsid w:val="00A15555"/>
    <w:pPr>
      <w:numPr>
        <w:numId w:val="28"/>
      </w:numPr>
      <w:spacing w:before="0" w:after="0" w:line="240" w:lineRule="auto"/>
      <w:ind w:left="720"/>
    </w:pPr>
    <w:rPr>
      <w:rFonts w:ascii="Times New Roman" w:eastAsia="Times New Roman" w:hAnsi="Times New Roman" w:cs="Times New Roman"/>
      <w:color w:val="000000"/>
      <w:sz w:val="24"/>
      <w:szCs w:val="20"/>
      <w:lang w:eastAsia="en-AU"/>
    </w:rPr>
  </w:style>
  <w:style w:type="paragraph" w:customStyle="1" w:styleId="BulletLast">
    <w:name w:val="BulletLast"/>
    <w:basedOn w:val="Bullet"/>
    <w:qFormat/>
    <w:rsid w:val="00A15555"/>
    <w:pPr>
      <w:numPr>
        <w:numId w:val="3"/>
      </w:numPr>
      <w:spacing w:before="0" w:after="240"/>
    </w:pPr>
    <w:rPr>
      <w:rFonts w:ascii="Times New Roman" w:eastAsia="Times New Roman" w:hAnsi="Times New Roman" w:cs="Times New Roman"/>
      <w:color w:val="000000"/>
      <w:sz w:val="24"/>
      <w:szCs w:val="20"/>
      <w:lang w:eastAsia="en-AU"/>
    </w:rPr>
  </w:style>
  <w:style w:type="paragraph" w:customStyle="1" w:styleId="NormalBeforeBullet0">
    <w:name w:val="NormalBeforeBullet"/>
    <w:basedOn w:val="Normal"/>
    <w:qFormat/>
    <w:rsid w:val="00A15555"/>
    <w:pPr>
      <w:keepNext/>
      <w:spacing w:before="0" w:after="120" w:line="240" w:lineRule="auto"/>
    </w:pPr>
    <w:rPr>
      <w:rFonts w:ascii="Times New Roman" w:eastAsia="Times New Roman" w:hAnsi="Times New Roman" w:cs="Times New Roman"/>
      <w:color w:val="000000"/>
      <w:sz w:val="24"/>
      <w:szCs w:val="20"/>
      <w:lang w:eastAsia="en-AU"/>
    </w:rPr>
  </w:style>
  <w:style w:type="table" w:customStyle="1" w:styleId="HTAtableplain1">
    <w:name w:val="HTAtableplain1"/>
    <w:basedOn w:val="TableNormal"/>
    <w:next w:val="TableGrid"/>
    <w:uiPriority w:val="59"/>
    <w:rsid w:val="0016222A"/>
    <w:pPr>
      <w:spacing w:before="20" w:after="20" w:line="240" w:lineRule="auto"/>
      <w:ind w:left="113" w:right="113"/>
      <w:jc w:val="center"/>
    </w:pPr>
    <w:rPr>
      <w:rFonts w:ascii="Calibri" w:eastAsia="Calibri" w:hAnsi="Calibri" w:cs="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rPr>
      <w:cantSplit/>
    </w:trPr>
    <w:tcPr>
      <w:tcMar>
        <w:top w:w="0" w:type="dxa"/>
        <w:bottom w:w="0" w:type="dxa"/>
      </w:tcMar>
      <w:vAlign w:val="center"/>
    </w:tcPr>
    <w:tblStylePr w:type="firstRow">
      <w:pPr>
        <w:jc w:val="center"/>
      </w:pPr>
      <w:rPr>
        <w:b/>
      </w:rPr>
      <w:tblPr/>
      <w:tcPr>
        <w:shd w:val="clear" w:color="auto" w:fill="D9D9D9"/>
        <w:vAlign w:val="top"/>
      </w:tcPr>
    </w:tblStylePr>
    <w:tblStylePr w:type="firstCol">
      <w:pPr>
        <w:jc w:val="left"/>
      </w:pPr>
    </w:tblStylePr>
    <w:tblStylePr w:type="nwCell">
      <w:pPr>
        <w:jc w:val="left"/>
      </w:pPr>
      <w:tblPr/>
      <w:tcPr>
        <w:vAlign w:val="top"/>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799880783">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985278210">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743480894">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sac.gov.au/internet/msac/publishing.nsf/Content/Home-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ge.org/docs/default-source/education/Technology_Reviews/cholangiopancreatoscopy.pdf"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www.bostonscientific.com/content/dam/bostonscientific/endo/portfolio-group/SpyGlass%20DS/SpyGlass-DS-System-ebrochure.pdf" TargetMode="External"/><Relationship Id="rId4" Type="http://schemas.openxmlformats.org/officeDocument/2006/relationships/settings" Target="settings.xml"/><Relationship Id="rId9" Type="http://schemas.openxmlformats.org/officeDocument/2006/relationships/hyperlink" Target="http://www.msac.gov.au/internet/msac/publishing.nsf/Content/AB14A8C28DB2A2B0CA2586BF0003119F/$File/1673%20Ratified%20PICO.pdf" TargetMode="Externa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nice.org.uk/advice/mib21/resources/the-spyglass-direct-visualisation-system-for-diagnostic-and-therapeutic-procedures-during-endoscopy-of-the-biliary-system-pdf-634990400900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15E0A-C13F-4783-AD1F-1121379AC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26449</Words>
  <Characters>152350</Characters>
  <Application>Microsoft Office Word</Application>
  <DocSecurity>0</DocSecurity>
  <Lines>3906</Lines>
  <Paragraphs>1568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177231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2022-06-17T06:02:00Z</dcterms:created>
  <dcterms:modified xsi:type="dcterms:W3CDTF">2022-06-21T04:09:00Z</dcterms:modified>
  <cp:category/>
</cp:coreProperties>
</file>