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300AA5" w14:textId="77777777" w:rsidR="00E44B80" w:rsidRPr="00F637B3" w:rsidRDefault="00E44B80" w:rsidP="00E44B80">
      <w:pPr>
        <w:jc w:val="center"/>
        <w:rPr>
          <w:b/>
          <w:szCs w:val="20"/>
        </w:rPr>
      </w:pPr>
      <w:r w:rsidRPr="00F637B3">
        <w:rPr>
          <w:b/>
          <w:noProof/>
          <w:szCs w:val="20"/>
          <w:lang w:eastAsia="en-AU"/>
        </w:rPr>
        <w:drawing>
          <wp:inline distT="0" distB="0" distL="0" distR="0" wp14:anchorId="3B1D8F20" wp14:editId="7808874D">
            <wp:extent cx="1897077" cy="1257300"/>
            <wp:effectExtent l="0" t="0" r="8255" b="0"/>
            <wp:docPr id="1" name="Picture 1" descr="Departmental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18\dunjan\Desktop\DH_stacked_black.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97077" cy="1257300"/>
                    </a:xfrm>
                    <a:prstGeom prst="rect">
                      <a:avLst/>
                    </a:prstGeom>
                    <a:noFill/>
                    <a:ln>
                      <a:noFill/>
                    </a:ln>
                  </pic:spPr>
                </pic:pic>
              </a:graphicData>
            </a:graphic>
          </wp:inline>
        </w:drawing>
      </w:r>
    </w:p>
    <w:p w14:paraId="7F29C3E1" w14:textId="73AD9151" w:rsidR="0056015F" w:rsidRDefault="008B2610" w:rsidP="00C074B1">
      <w:pPr>
        <w:pStyle w:val="Title"/>
        <w:spacing w:before="2600"/>
      </w:pPr>
      <w:r w:rsidRPr="001906CD">
        <w:t xml:space="preserve">Application </w:t>
      </w:r>
      <w:r w:rsidR="00C074B1">
        <w:t>1680</w:t>
      </w:r>
    </w:p>
    <w:p w14:paraId="004C9790" w14:textId="31C42A67" w:rsidR="0056015F" w:rsidRPr="0056015F" w:rsidRDefault="00ED7768" w:rsidP="00C074B1">
      <w:pPr>
        <w:pStyle w:val="TitleBlue"/>
        <w:spacing w:before="840" w:after="840"/>
      </w:pPr>
      <w:r>
        <w:t>Genetic testing for childhood hearing impairment</w:t>
      </w:r>
    </w:p>
    <w:p w14:paraId="1DF88784" w14:textId="77777777" w:rsidR="00E44B80" w:rsidRPr="00154B00" w:rsidRDefault="00300EEB" w:rsidP="003F7CB9">
      <w:r>
        <w:t>T</w:t>
      </w:r>
      <w:r w:rsidR="008B2610" w:rsidRPr="00154B00">
        <w:t xml:space="preserve">his application form is to be completed for new and amended </w:t>
      </w:r>
      <w:r w:rsidR="003433D1">
        <w:t xml:space="preserve">requests for public funding (including but not limited to the </w:t>
      </w:r>
      <w:r w:rsidR="008B2610" w:rsidRPr="00154B00">
        <w:t>Medicare Benefits Schedule (MBS)</w:t>
      </w:r>
      <w:r w:rsidR="003433D1">
        <w:t>)</w:t>
      </w:r>
      <w:r w:rsidR="008B2610" w:rsidRPr="00154B00">
        <w:t>.  It describes the detailed information that the</w:t>
      </w:r>
      <w:r w:rsidR="009F5758" w:rsidRPr="00154B00">
        <w:t xml:space="preserve"> Australian Government</w:t>
      </w:r>
      <w:r w:rsidR="008B2610" w:rsidRPr="00154B00">
        <w:t xml:space="preserve"> Department of Health requires to determine whether </w:t>
      </w:r>
      <w:r w:rsidR="003433D1">
        <w:t>a</w:t>
      </w:r>
      <w:r w:rsidR="008B2610" w:rsidRPr="00154B00">
        <w:t xml:space="preserve"> proposed </w:t>
      </w:r>
      <w:r w:rsidR="003433D1">
        <w:t xml:space="preserve">medical </w:t>
      </w:r>
      <w:r w:rsidR="008B2610" w:rsidRPr="00154B00">
        <w:t>service is suitable.</w:t>
      </w:r>
    </w:p>
    <w:p w14:paraId="62738B99" w14:textId="77777777" w:rsidR="008B2610" w:rsidRPr="00154B00" w:rsidRDefault="008B2610" w:rsidP="003F7CB9">
      <w:r w:rsidRPr="00154B00">
        <w:t>Please use this template, along with the associated Application Form Guidelines to prepare your application.  Please complete all questions that are applicable to the proposed service, providing relevant information only.</w:t>
      </w:r>
      <w:r w:rsidR="009F5758" w:rsidRPr="00154B00">
        <w:t xml:space="preserve">  Applications not completed in full will not be accepted.</w:t>
      </w:r>
    </w:p>
    <w:p w14:paraId="05BF52B7" w14:textId="77777777" w:rsidR="008B2610" w:rsidRPr="00154B00" w:rsidRDefault="009F5758" w:rsidP="003F7CB9">
      <w:r w:rsidRPr="00154B00">
        <w:t>Should you require any further assistance, d</w:t>
      </w:r>
      <w:r w:rsidR="008B2610" w:rsidRPr="00154B00">
        <w:t xml:space="preserve">epartmental staff are available through the Health Technology Assessment </w:t>
      </w:r>
      <w:r w:rsidR="00A93F58">
        <w:t xml:space="preserve">Team </w:t>
      </w:r>
      <w:r w:rsidR="008B2610" w:rsidRPr="00154B00">
        <w:t>(HTA Team) on the contact numbers and email below to discuss</w:t>
      </w:r>
      <w:r w:rsidRPr="00154B00">
        <w:t xml:space="preserve"> the application form, or any other component of the Medical Services Advisory Committee process.</w:t>
      </w:r>
    </w:p>
    <w:p w14:paraId="17D4D9B3" w14:textId="77777777" w:rsidR="009F5758" w:rsidRPr="00154B00" w:rsidRDefault="009F5758" w:rsidP="003F7CB9">
      <w:pPr>
        <w:spacing w:before="0" w:after="0"/>
      </w:pPr>
    </w:p>
    <w:p w14:paraId="5BB069BD" w14:textId="77777777" w:rsidR="009F5758" w:rsidRPr="00154B00" w:rsidRDefault="009F5758" w:rsidP="003F7CB9">
      <w:pPr>
        <w:spacing w:before="0" w:after="0"/>
      </w:pPr>
      <w:r w:rsidRPr="00154B00">
        <w:t xml:space="preserve">Email:  </w:t>
      </w:r>
      <w:hyperlink r:id="rId12" w:tooltip="click here to email the Department of Health HTA Team" w:history="1">
        <w:r w:rsidRPr="00154B00">
          <w:rPr>
            <w:rStyle w:val="Hyperlink"/>
            <w:szCs w:val="20"/>
          </w:rPr>
          <w:t>hta@health.gov.au</w:t>
        </w:r>
      </w:hyperlink>
    </w:p>
    <w:p w14:paraId="19D55CF7" w14:textId="77777777" w:rsidR="009F5758" w:rsidRPr="00154B00" w:rsidRDefault="009F5758" w:rsidP="003F7CB9">
      <w:pPr>
        <w:spacing w:before="0" w:after="0"/>
      </w:pPr>
      <w:r w:rsidRPr="00154B00">
        <w:t xml:space="preserve">Website:  </w:t>
      </w:r>
      <w:hyperlink r:id="rId13" w:tooltip="click here to visit the Medical Services Advisory Committee website" w:history="1">
        <w:r w:rsidR="008E6227" w:rsidRPr="00202C1D">
          <w:rPr>
            <w:rStyle w:val="Hyperlink"/>
          </w:rPr>
          <w:t>www.msac.gov.au</w:t>
        </w:r>
      </w:hyperlink>
      <w:r w:rsidR="008E6227">
        <w:t xml:space="preserve"> </w:t>
      </w:r>
      <w:r w:rsidR="001A02E3">
        <w:t xml:space="preserve"> </w:t>
      </w:r>
    </w:p>
    <w:p w14:paraId="295C3963" w14:textId="77777777" w:rsidR="00E04FB3" w:rsidRPr="00C776B1" w:rsidRDefault="00D73646" w:rsidP="0056015F">
      <w:pPr>
        <w:pStyle w:val="Heading1"/>
      </w:pPr>
      <w:bookmarkStart w:id="0" w:name="_Toc443555803"/>
      <w:r>
        <w:rPr>
          <w:rStyle w:val="IntenseReference"/>
        </w:rPr>
        <w:br w:type="page"/>
      </w:r>
      <w:bookmarkEnd w:id="0"/>
      <w:r w:rsidR="00494011">
        <w:lastRenderedPageBreak/>
        <w:t>PART 1</w:t>
      </w:r>
      <w:r w:rsidR="00F93784">
        <w:t xml:space="preserve"> – </w:t>
      </w:r>
      <w:r w:rsidR="00E04FB3" w:rsidRPr="00C776B1">
        <w:t>APPLICANT DETAILS</w:t>
      </w:r>
    </w:p>
    <w:p w14:paraId="54D23415" w14:textId="43FB1FB9" w:rsidR="000F307E" w:rsidRDefault="00D57F88" w:rsidP="000F307E">
      <w:pPr>
        <w:pStyle w:val="Heading2"/>
      </w:pPr>
      <w:r w:rsidRPr="00A8732C">
        <w:t>Applicant d</w:t>
      </w:r>
      <w:r w:rsidR="00392F00" w:rsidRPr="00A8732C">
        <w:t>etails</w:t>
      </w:r>
      <w:r w:rsidR="000D066E" w:rsidRPr="00A8732C">
        <w:t xml:space="preserve"> (primary and alternative contacts)</w:t>
      </w:r>
    </w:p>
    <w:p w14:paraId="71670FA7" w14:textId="79132954" w:rsidR="00C171FB" w:rsidRDefault="00C171FB" w:rsidP="00C171FB">
      <w:pPr>
        <w:pBdr>
          <w:top w:val="single" w:sz="4" w:space="1" w:color="auto"/>
          <w:left w:val="single" w:sz="4" w:space="4" w:color="auto"/>
          <w:bottom w:val="single" w:sz="4" w:space="1" w:color="auto"/>
          <w:right w:val="single" w:sz="4" w:space="4" w:color="auto"/>
        </w:pBdr>
      </w:pPr>
      <w:r>
        <w:t>Corporation name:</w:t>
      </w:r>
      <w:r w:rsidR="00E531DB" w:rsidRPr="00E531DB">
        <w:rPr>
          <w:rFonts w:cstheme="minorHAnsi"/>
          <w:szCs w:val="20"/>
        </w:rPr>
        <w:t xml:space="preserve"> </w:t>
      </w:r>
      <w:r w:rsidR="00E531DB" w:rsidRPr="000A51AE">
        <w:rPr>
          <w:rFonts w:cstheme="minorHAnsi"/>
          <w:szCs w:val="20"/>
        </w:rPr>
        <w:t xml:space="preserve">Murdoch </w:t>
      </w:r>
      <w:proofErr w:type="spellStart"/>
      <w:r w:rsidR="00E531DB" w:rsidRPr="000A51AE">
        <w:rPr>
          <w:rFonts w:cstheme="minorHAnsi"/>
          <w:szCs w:val="20"/>
        </w:rPr>
        <w:t>Childrens</w:t>
      </w:r>
      <w:proofErr w:type="spellEnd"/>
      <w:r w:rsidR="00E531DB" w:rsidRPr="000A51AE">
        <w:rPr>
          <w:rFonts w:cstheme="minorHAnsi"/>
          <w:szCs w:val="20"/>
        </w:rPr>
        <w:t xml:space="preserve"> Research Institute</w:t>
      </w:r>
    </w:p>
    <w:p w14:paraId="19D06531" w14:textId="09380BF2" w:rsidR="00C171FB" w:rsidRDefault="00C171FB" w:rsidP="00C171FB">
      <w:pPr>
        <w:pBdr>
          <w:top w:val="single" w:sz="4" w:space="1" w:color="auto"/>
          <w:left w:val="single" w:sz="4" w:space="4" w:color="auto"/>
          <w:bottom w:val="single" w:sz="4" w:space="1" w:color="auto"/>
          <w:right w:val="single" w:sz="4" w:space="4" w:color="auto"/>
        </w:pBdr>
      </w:pPr>
      <w:r>
        <w:t xml:space="preserve">ABN: </w:t>
      </w:r>
      <w:r w:rsidR="000F307E" w:rsidRPr="000F307E">
        <w:rPr>
          <w:rFonts w:ascii="Calibri" w:eastAsia="Times New Roman" w:hAnsi="Calibri" w:cs="Calibri"/>
          <w:b/>
          <w:bCs/>
          <w:color w:val="201F1E"/>
          <w:sz w:val="22"/>
          <w:bdr w:val="none" w:sz="0" w:space="0" w:color="auto" w:frame="1"/>
          <w:shd w:val="clear" w:color="auto" w:fill="C0C0C0"/>
          <w:lang w:eastAsia="en-GB"/>
        </w:rPr>
        <w:t>REDACTED</w:t>
      </w:r>
    </w:p>
    <w:p w14:paraId="68F79602" w14:textId="77777777" w:rsidR="00C171FB" w:rsidRPr="00C171FB" w:rsidRDefault="00C171FB" w:rsidP="00C171FB"/>
    <w:p w14:paraId="7D42C707" w14:textId="28FB7E35" w:rsidR="00C171FB" w:rsidRPr="00C171FB" w:rsidRDefault="00C171FB" w:rsidP="00C171FB">
      <w:pPr>
        <w:rPr>
          <w:b/>
        </w:rPr>
      </w:pPr>
      <w:r>
        <w:rPr>
          <w:b/>
        </w:rPr>
        <w:t xml:space="preserve">Primary contact name: </w:t>
      </w:r>
      <w:r w:rsidR="000F307E" w:rsidRPr="000F307E">
        <w:rPr>
          <w:rFonts w:ascii="Calibri" w:eastAsia="Times New Roman" w:hAnsi="Calibri" w:cs="Calibri"/>
          <w:b/>
          <w:bCs/>
          <w:color w:val="201F1E"/>
          <w:sz w:val="22"/>
          <w:bdr w:val="none" w:sz="0" w:space="0" w:color="auto" w:frame="1"/>
          <w:shd w:val="clear" w:color="auto" w:fill="C0C0C0"/>
          <w:lang w:eastAsia="en-GB"/>
        </w:rPr>
        <w:t>REDACTED</w:t>
      </w:r>
    </w:p>
    <w:p w14:paraId="05DA64DD" w14:textId="77777777" w:rsidR="00C171FB" w:rsidRDefault="00C171FB" w:rsidP="00C171FB">
      <w:pPr>
        <w:pBdr>
          <w:top w:val="single" w:sz="4" w:space="1" w:color="auto"/>
          <w:left w:val="single" w:sz="4" w:space="4" w:color="auto"/>
          <w:bottom w:val="single" w:sz="4" w:space="1" w:color="auto"/>
          <w:right w:val="single" w:sz="4" w:space="4" w:color="auto"/>
        </w:pBdr>
      </w:pPr>
      <w:r>
        <w:t>Primary contact numbers</w:t>
      </w:r>
    </w:p>
    <w:p w14:paraId="265C1594" w14:textId="0E1019F5" w:rsidR="00C171FB" w:rsidRDefault="00C171FB" w:rsidP="00C171FB">
      <w:pPr>
        <w:pBdr>
          <w:top w:val="single" w:sz="4" w:space="1" w:color="auto"/>
          <w:left w:val="single" w:sz="4" w:space="4" w:color="auto"/>
          <w:bottom w:val="single" w:sz="4" w:space="1" w:color="auto"/>
          <w:right w:val="single" w:sz="4" w:space="4" w:color="auto"/>
        </w:pBdr>
      </w:pPr>
      <w:r>
        <w:t xml:space="preserve">Business: </w:t>
      </w:r>
      <w:r w:rsidR="000F307E" w:rsidRPr="000F307E">
        <w:rPr>
          <w:rFonts w:ascii="Calibri" w:eastAsia="Times New Roman" w:hAnsi="Calibri" w:cs="Calibri"/>
          <w:b/>
          <w:bCs/>
          <w:color w:val="201F1E"/>
          <w:sz w:val="22"/>
          <w:bdr w:val="none" w:sz="0" w:space="0" w:color="auto" w:frame="1"/>
          <w:shd w:val="clear" w:color="auto" w:fill="C0C0C0"/>
          <w:lang w:eastAsia="en-GB"/>
        </w:rPr>
        <w:t>REDACTED</w:t>
      </w:r>
    </w:p>
    <w:p w14:paraId="35B49772" w14:textId="41691B8C" w:rsidR="00C171FB" w:rsidRDefault="00C171FB" w:rsidP="00C171FB">
      <w:pPr>
        <w:pBdr>
          <w:top w:val="single" w:sz="4" w:space="1" w:color="auto"/>
          <w:left w:val="single" w:sz="4" w:space="4" w:color="auto"/>
          <w:bottom w:val="single" w:sz="4" w:space="1" w:color="auto"/>
          <w:right w:val="single" w:sz="4" w:space="4" w:color="auto"/>
        </w:pBdr>
      </w:pPr>
      <w:r>
        <w:t>Mobile:</w:t>
      </w:r>
      <w:r>
        <w:tab/>
      </w:r>
      <w:r w:rsidR="000F307E" w:rsidRPr="000F307E">
        <w:rPr>
          <w:rFonts w:ascii="Calibri" w:eastAsia="Times New Roman" w:hAnsi="Calibri" w:cs="Calibri"/>
          <w:b/>
          <w:bCs/>
          <w:color w:val="201F1E"/>
          <w:sz w:val="22"/>
          <w:bdr w:val="none" w:sz="0" w:space="0" w:color="auto" w:frame="1"/>
          <w:shd w:val="clear" w:color="auto" w:fill="C0C0C0"/>
          <w:lang w:eastAsia="en-GB"/>
        </w:rPr>
        <w:t>REDACTED</w:t>
      </w:r>
    </w:p>
    <w:p w14:paraId="6C22D198" w14:textId="58660BF5" w:rsidR="00C171FB" w:rsidRDefault="00C171FB" w:rsidP="00C171FB">
      <w:pPr>
        <w:pBdr>
          <w:top w:val="single" w:sz="4" w:space="1" w:color="auto"/>
          <w:left w:val="single" w:sz="4" w:space="4" w:color="auto"/>
          <w:bottom w:val="single" w:sz="4" w:space="1" w:color="auto"/>
          <w:right w:val="single" w:sz="4" w:space="4" w:color="auto"/>
        </w:pBdr>
      </w:pPr>
      <w:r>
        <w:t>Email:</w:t>
      </w:r>
      <w:r w:rsidR="00182306" w:rsidRPr="00182306">
        <w:t xml:space="preserve"> </w:t>
      </w:r>
      <w:r w:rsidR="006320FF" w:rsidRPr="000F307E">
        <w:rPr>
          <w:rFonts w:ascii="Calibri" w:eastAsia="Times New Roman" w:hAnsi="Calibri" w:cs="Calibri"/>
          <w:b/>
          <w:bCs/>
          <w:color w:val="201F1E"/>
          <w:sz w:val="22"/>
          <w:bdr w:val="none" w:sz="0" w:space="0" w:color="auto" w:frame="1"/>
          <w:shd w:val="clear" w:color="auto" w:fill="C0C0C0"/>
          <w:lang w:eastAsia="en-GB"/>
        </w:rPr>
        <w:t>REDACTED</w:t>
      </w:r>
    </w:p>
    <w:p w14:paraId="0ECFA49D" w14:textId="77777777" w:rsidR="00C171FB" w:rsidRDefault="00C171FB" w:rsidP="00C171FB">
      <w:pPr>
        <w:rPr>
          <w:b/>
        </w:rPr>
      </w:pPr>
    </w:p>
    <w:p w14:paraId="4EEAE032" w14:textId="0CBE7834" w:rsidR="00C171FB" w:rsidRPr="00C171FB" w:rsidRDefault="00C171FB" w:rsidP="00C171FB">
      <w:pPr>
        <w:rPr>
          <w:b/>
        </w:rPr>
      </w:pPr>
      <w:r>
        <w:rPr>
          <w:b/>
        </w:rPr>
        <w:t xml:space="preserve">Alternative contact name: </w:t>
      </w:r>
      <w:r w:rsidR="006320FF" w:rsidRPr="000F307E">
        <w:rPr>
          <w:rFonts w:ascii="Calibri" w:eastAsia="Times New Roman" w:hAnsi="Calibri" w:cs="Calibri"/>
          <w:b/>
          <w:bCs/>
          <w:color w:val="201F1E"/>
          <w:sz w:val="22"/>
          <w:bdr w:val="none" w:sz="0" w:space="0" w:color="auto" w:frame="1"/>
          <w:shd w:val="clear" w:color="auto" w:fill="C0C0C0"/>
          <w:lang w:eastAsia="en-GB"/>
        </w:rPr>
        <w:t>REDACTED</w:t>
      </w:r>
    </w:p>
    <w:p w14:paraId="23A7AABE" w14:textId="77777777" w:rsidR="00C171FB" w:rsidRDefault="00C171FB" w:rsidP="00C171FB">
      <w:pPr>
        <w:pBdr>
          <w:top w:val="single" w:sz="4" w:space="1" w:color="auto"/>
          <w:left w:val="single" w:sz="4" w:space="4" w:color="auto"/>
          <w:bottom w:val="single" w:sz="4" w:space="1" w:color="auto"/>
          <w:right w:val="single" w:sz="4" w:space="4" w:color="auto"/>
        </w:pBdr>
      </w:pPr>
      <w:r>
        <w:t>Alternative contact numbers</w:t>
      </w:r>
      <w:r>
        <w:tab/>
      </w:r>
    </w:p>
    <w:p w14:paraId="27C5C7E8" w14:textId="73DB7D42" w:rsidR="005A313D" w:rsidRDefault="00C171FB" w:rsidP="005A313D">
      <w:pPr>
        <w:pBdr>
          <w:top w:val="single" w:sz="4" w:space="1" w:color="auto"/>
          <w:left w:val="single" w:sz="4" w:space="4" w:color="auto"/>
          <w:bottom w:val="single" w:sz="4" w:space="1" w:color="auto"/>
          <w:right w:val="single" w:sz="4" w:space="4" w:color="auto"/>
        </w:pBdr>
      </w:pPr>
      <w:r>
        <w:t>Business:</w:t>
      </w:r>
      <w:r w:rsidR="005A313D">
        <w:t xml:space="preserve"> </w:t>
      </w:r>
      <w:r w:rsidR="006320FF" w:rsidRPr="000F307E">
        <w:rPr>
          <w:rFonts w:ascii="Calibri" w:eastAsia="Times New Roman" w:hAnsi="Calibri" w:cs="Calibri"/>
          <w:b/>
          <w:bCs/>
          <w:color w:val="201F1E"/>
          <w:sz w:val="22"/>
          <w:bdr w:val="none" w:sz="0" w:space="0" w:color="auto" w:frame="1"/>
          <w:shd w:val="clear" w:color="auto" w:fill="C0C0C0"/>
          <w:lang w:eastAsia="en-GB"/>
        </w:rPr>
        <w:t>REDACTED</w:t>
      </w:r>
    </w:p>
    <w:p w14:paraId="1FB85719" w14:textId="57708F34" w:rsidR="005A313D" w:rsidRDefault="00C171FB" w:rsidP="005A313D">
      <w:pPr>
        <w:pBdr>
          <w:top w:val="single" w:sz="4" w:space="1" w:color="auto"/>
          <w:left w:val="single" w:sz="4" w:space="4" w:color="auto"/>
          <w:bottom w:val="single" w:sz="4" w:space="1" w:color="auto"/>
          <w:right w:val="single" w:sz="4" w:space="4" w:color="auto"/>
        </w:pBdr>
      </w:pPr>
      <w:r>
        <w:t>Mobile:</w:t>
      </w:r>
      <w:r w:rsidR="005A313D" w:rsidRPr="005A313D">
        <w:rPr>
          <w:color w:val="000000"/>
          <w:szCs w:val="20"/>
          <w:lang w:eastAsia="en-GB"/>
        </w:rPr>
        <w:t xml:space="preserve"> </w:t>
      </w:r>
      <w:r w:rsidR="006320FF" w:rsidRPr="000F307E">
        <w:rPr>
          <w:rFonts w:ascii="Calibri" w:eastAsia="Times New Roman" w:hAnsi="Calibri" w:cs="Calibri"/>
          <w:b/>
          <w:bCs/>
          <w:color w:val="201F1E"/>
          <w:sz w:val="22"/>
          <w:bdr w:val="none" w:sz="0" w:space="0" w:color="auto" w:frame="1"/>
          <w:shd w:val="clear" w:color="auto" w:fill="C0C0C0"/>
          <w:lang w:eastAsia="en-GB"/>
        </w:rPr>
        <w:t>REDACTED</w:t>
      </w:r>
    </w:p>
    <w:p w14:paraId="3192FE42" w14:textId="3504FBDC" w:rsidR="005A313D" w:rsidRPr="005A313D" w:rsidRDefault="005A313D" w:rsidP="005A313D">
      <w:pPr>
        <w:pBdr>
          <w:top w:val="single" w:sz="4" w:space="1" w:color="auto"/>
          <w:left w:val="single" w:sz="4" w:space="4" w:color="auto"/>
          <w:bottom w:val="single" w:sz="4" w:space="1" w:color="auto"/>
          <w:right w:val="single" w:sz="4" w:space="4" w:color="auto"/>
        </w:pBdr>
      </w:pPr>
      <w:r>
        <w:rPr>
          <w:szCs w:val="20"/>
        </w:rPr>
        <w:t xml:space="preserve">Email: </w:t>
      </w:r>
      <w:r w:rsidR="006320FF" w:rsidRPr="000F307E">
        <w:rPr>
          <w:rFonts w:ascii="Calibri" w:eastAsia="Times New Roman" w:hAnsi="Calibri" w:cs="Calibri"/>
          <w:b/>
          <w:bCs/>
          <w:color w:val="201F1E"/>
          <w:sz w:val="22"/>
          <w:bdr w:val="none" w:sz="0" w:space="0" w:color="auto" w:frame="1"/>
          <w:shd w:val="clear" w:color="auto" w:fill="C0C0C0"/>
          <w:lang w:eastAsia="en-GB"/>
        </w:rPr>
        <w:t>REDACTED</w:t>
      </w:r>
    </w:p>
    <w:p w14:paraId="3AB50634" w14:textId="77777777" w:rsidR="00C171FB" w:rsidRPr="00C171FB" w:rsidRDefault="00C171FB" w:rsidP="00C171FB"/>
    <w:p w14:paraId="4DBBC7A4" w14:textId="77777777" w:rsidR="00534C5F" w:rsidRPr="00154B00" w:rsidRDefault="00494011" w:rsidP="004A0BF4">
      <w:pPr>
        <w:pStyle w:val="Heading2"/>
      </w:pPr>
      <w:r>
        <w:t xml:space="preserve">(a) </w:t>
      </w:r>
      <w:r w:rsidR="00534C5F">
        <w:t>Are you a lobbyist acting on behalf of an Applicant?</w:t>
      </w:r>
    </w:p>
    <w:p w14:paraId="37E6B4BF" w14:textId="77777777" w:rsidR="00A6491A" w:rsidRDefault="00A6491A" w:rsidP="00A6491A">
      <w:pPr>
        <w:spacing w:before="0" w:after="0"/>
        <w:ind w:left="426"/>
        <w:rPr>
          <w:szCs w:val="20"/>
        </w:rPr>
      </w:pPr>
      <w:r w:rsidRPr="00753C44">
        <w:rPr>
          <w:szCs w:val="20"/>
        </w:rPr>
        <w:fldChar w:fldCharType="begin">
          <w:ffData>
            <w:name w:val="Check1"/>
            <w:enabled/>
            <w:calcOnExit w:val="0"/>
            <w:checkBox>
              <w:sizeAuto/>
              <w:default w:val="0"/>
            </w:checkBox>
          </w:ffData>
        </w:fldChar>
      </w:r>
      <w:r w:rsidRPr="00753C44">
        <w:rPr>
          <w:szCs w:val="20"/>
        </w:rPr>
        <w:instrText xml:space="preserve"> FORMCHECKBOX </w:instrText>
      </w:r>
      <w:r w:rsidR="004D1F43">
        <w:rPr>
          <w:szCs w:val="20"/>
        </w:rPr>
      </w:r>
      <w:r w:rsidR="004D1F43">
        <w:rPr>
          <w:szCs w:val="20"/>
        </w:rPr>
        <w:fldChar w:fldCharType="separate"/>
      </w:r>
      <w:r w:rsidRPr="00753C44">
        <w:rPr>
          <w:szCs w:val="20"/>
        </w:rPr>
        <w:fldChar w:fldCharType="end"/>
      </w:r>
      <w:r>
        <w:rPr>
          <w:szCs w:val="20"/>
        </w:rPr>
        <w:t xml:space="preserve"> Yes</w:t>
      </w:r>
    </w:p>
    <w:p w14:paraId="28B0D8E2" w14:textId="77777777" w:rsidR="00A6491A" w:rsidRPr="00753C44" w:rsidRDefault="00ED7768" w:rsidP="00A6491A">
      <w:pPr>
        <w:spacing w:before="0" w:after="0"/>
        <w:ind w:left="426"/>
        <w:rPr>
          <w:szCs w:val="20"/>
        </w:rPr>
      </w:pPr>
      <w:r>
        <w:rPr>
          <w:szCs w:val="20"/>
        </w:rPr>
        <w:fldChar w:fldCharType="begin">
          <w:ffData>
            <w:name w:val="Check2"/>
            <w:enabled/>
            <w:calcOnExit w:val="0"/>
            <w:checkBox>
              <w:sizeAuto/>
              <w:default w:val="1"/>
            </w:checkBox>
          </w:ffData>
        </w:fldChar>
      </w:r>
      <w:bookmarkStart w:id="1" w:name="Check2"/>
      <w:r>
        <w:rPr>
          <w:szCs w:val="20"/>
        </w:rPr>
        <w:instrText xml:space="preserve"> FORMCHECKBOX </w:instrText>
      </w:r>
      <w:r w:rsidR="004D1F43">
        <w:rPr>
          <w:szCs w:val="20"/>
        </w:rPr>
      </w:r>
      <w:r w:rsidR="004D1F43">
        <w:rPr>
          <w:szCs w:val="20"/>
        </w:rPr>
        <w:fldChar w:fldCharType="separate"/>
      </w:r>
      <w:r>
        <w:rPr>
          <w:szCs w:val="20"/>
        </w:rPr>
        <w:fldChar w:fldCharType="end"/>
      </w:r>
      <w:bookmarkEnd w:id="1"/>
      <w:r w:rsidR="00A6491A">
        <w:rPr>
          <w:szCs w:val="20"/>
        </w:rPr>
        <w:t xml:space="preserve"> No</w:t>
      </w:r>
      <w:r w:rsidR="00A6491A" w:rsidRPr="00753C44">
        <w:rPr>
          <w:szCs w:val="20"/>
        </w:rPr>
        <w:t xml:space="preserve">  </w:t>
      </w:r>
    </w:p>
    <w:p w14:paraId="237D133F" w14:textId="77777777" w:rsidR="00534C5F" w:rsidRPr="00154B00" w:rsidRDefault="00534C5F" w:rsidP="00494011">
      <w:pPr>
        <w:pStyle w:val="Heading2"/>
        <w:numPr>
          <w:ilvl w:val="0"/>
          <w:numId w:val="23"/>
        </w:numPr>
      </w:pPr>
      <w:r w:rsidRPr="00154B00">
        <w:t xml:space="preserve">If yes, </w:t>
      </w:r>
      <w:r>
        <w:t xml:space="preserve">are </w:t>
      </w:r>
      <w:r w:rsidRPr="00FE33A6">
        <w:t>you</w:t>
      </w:r>
      <w:r>
        <w:t xml:space="preserve"> listed on the Register of Lobbyists?</w:t>
      </w:r>
    </w:p>
    <w:p w14:paraId="1DFAB1FA" w14:textId="3DE2025C" w:rsidR="00A6491A" w:rsidRPr="00753C44" w:rsidRDefault="00E531DB" w:rsidP="00A6491A">
      <w:pPr>
        <w:spacing w:before="0" w:after="0"/>
        <w:ind w:left="426"/>
        <w:rPr>
          <w:szCs w:val="20"/>
        </w:rPr>
      </w:pPr>
      <w:r>
        <w:rPr>
          <w:szCs w:val="20"/>
        </w:rPr>
        <w:t>N/A</w:t>
      </w:r>
    </w:p>
    <w:p w14:paraId="358A75A6" w14:textId="77777777" w:rsidR="00E04FB3" w:rsidRDefault="00E04FB3" w:rsidP="005C333E">
      <w:pPr>
        <w:spacing w:before="0" w:after="0"/>
        <w:ind w:left="426"/>
        <w:rPr>
          <w:b/>
          <w:szCs w:val="20"/>
        </w:rPr>
      </w:pPr>
      <w:r w:rsidRPr="00154B00">
        <w:rPr>
          <w:b/>
          <w:szCs w:val="20"/>
        </w:rPr>
        <w:br w:type="page"/>
      </w:r>
    </w:p>
    <w:p w14:paraId="1BD03321" w14:textId="77777777" w:rsidR="00D57F88" w:rsidRPr="00C776B1" w:rsidRDefault="00730C04" w:rsidP="0056015F">
      <w:pPr>
        <w:pStyle w:val="Heading1"/>
      </w:pPr>
      <w:r>
        <w:lastRenderedPageBreak/>
        <w:t>PART 2</w:t>
      </w:r>
      <w:r w:rsidR="00F93784">
        <w:t xml:space="preserve"> – </w:t>
      </w:r>
      <w:r w:rsidR="00E04FB3" w:rsidRPr="00C776B1">
        <w:t xml:space="preserve">INFORMATION ABOUT THE PROPOSED MEDICAL </w:t>
      </w:r>
      <w:r w:rsidR="00E04FB3" w:rsidRPr="0056015F">
        <w:t>SERVICE</w:t>
      </w:r>
    </w:p>
    <w:p w14:paraId="1D4639F4" w14:textId="77777777" w:rsidR="000B3CD0" w:rsidRDefault="000B3CD0" w:rsidP="00730C04">
      <w:pPr>
        <w:pStyle w:val="Heading2"/>
      </w:pPr>
      <w:r w:rsidRPr="00154B00">
        <w:t>Application title</w:t>
      </w:r>
      <w:r w:rsidR="00A8732C">
        <w:t xml:space="preserve"> </w:t>
      </w:r>
    </w:p>
    <w:p w14:paraId="2A2A0BA0" w14:textId="77777777" w:rsidR="009056C5" w:rsidRPr="009056C5" w:rsidRDefault="00ED7768" w:rsidP="00E531DB">
      <w:pPr>
        <w:ind w:left="284" w:firstLine="76"/>
      </w:pPr>
      <w:r>
        <w:t>Genetic testing for childhood hearing impairment.</w:t>
      </w:r>
    </w:p>
    <w:p w14:paraId="2A0CC5A1" w14:textId="77777777" w:rsidR="009B4E1E" w:rsidRDefault="009B4E1E" w:rsidP="004A0BF4">
      <w:pPr>
        <w:pStyle w:val="Heading2"/>
      </w:pPr>
      <w:r w:rsidRPr="00154B00">
        <w:t>Provide a succinct description of the medical condition relevant to the proposed service</w:t>
      </w:r>
      <w:r w:rsidR="000955E7" w:rsidRPr="00154B00">
        <w:t xml:space="preserve"> (no more than 150 words</w:t>
      </w:r>
      <w:r w:rsidR="00F93784">
        <w:t xml:space="preserve"> – </w:t>
      </w:r>
      <w:r w:rsidR="00C847AE">
        <w:t>further</w:t>
      </w:r>
      <w:r w:rsidR="00F93784">
        <w:t xml:space="preserve"> information will be </w:t>
      </w:r>
      <w:r w:rsidR="00C847AE">
        <w:t xml:space="preserve">requested </w:t>
      </w:r>
      <w:r w:rsidR="003F2711">
        <w:t>at Part F</w:t>
      </w:r>
      <w:r w:rsidR="00C847AE">
        <w:t xml:space="preserve"> of the Application Form</w:t>
      </w:r>
      <w:r w:rsidR="000955E7" w:rsidRPr="00154B00">
        <w:t>)</w:t>
      </w:r>
    </w:p>
    <w:p w14:paraId="4706766C" w14:textId="6910F59D" w:rsidR="002C3345" w:rsidRPr="00ED7768" w:rsidRDefault="00F93D59" w:rsidP="00E531DB">
      <w:pPr>
        <w:ind w:left="360"/>
      </w:pPr>
      <w:r>
        <w:t xml:space="preserve">Childhood hearing </w:t>
      </w:r>
      <w:r w:rsidR="00182306">
        <w:t xml:space="preserve">impairment is the most common condition of all those included in newborn screening. It </w:t>
      </w:r>
      <w:r w:rsidR="004C23DE">
        <w:t>has a genetic bases in more than 50% of cases</w:t>
      </w:r>
      <w:r>
        <w:t xml:space="preserve">. The genetic </w:t>
      </w:r>
      <w:r w:rsidR="004C23DE">
        <w:t>causes</w:t>
      </w:r>
      <w:r>
        <w:t xml:space="preserve"> </w:t>
      </w:r>
      <w:r w:rsidR="004C23DE">
        <w:t>are</w:t>
      </w:r>
      <w:r>
        <w:t xml:space="preserve"> highly heterogenous with &gt;100 genes currently implicated in childhood onset hearing impairment</w:t>
      </w:r>
      <w:r w:rsidR="004C23DE">
        <w:t xml:space="preserve">. </w:t>
      </w:r>
      <w:r>
        <w:t xml:space="preserve"> </w:t>
      </w:r>
      <w:r w:rsidR="004C23DE">
        <w:t xml:space="preserve">Congenital or childhood onset deafness, although most frequently isolated, can be the first sign of more complex medical problems and syndromes </w:t>
      </w:r>
      <w:r>
        <w:t>making molecular diagnosis of these conditions well suited to next generation sequencing.</w:t>
      </w:r>
      <w:r w:rsidR="004C23DE">
        <w:t xml:space="preserve"> Early understanding of the aetiology of a child’s hearing impairment guides intervention and service use, streamlining care and maximising a child’s communication and developmental potential.</w:t>
      </w:r>
      <w:r>
        <w:t xml:space="preserve"> </w:t>
      </w:r>
    </w:p>
    <w:p w14:paraId="5DF9EB45" w14:textId="77777777" w:rsidR="000955E7" w:rsidRDefault="000955E7" w:rsidP="004A0BF4">
      <w:pPr>
        <w:pStyle w:val="Heading2"/>
      </w:pPr>
      <w:r w:rsidRPr="00154B00">
        <w:t>Prov</w:t>
      </w:r>
      <w:r w:rsidR="00D11EB1" w:rsidRPr="00154B00">
        <w:t>i</w:t>
      </w:r>
      <w:r w:rsidRPr="00154B00">
        <w:t>de a succinct description of the proposed medical service (no more than 150 words</w:t>
      </w:r>
      <w:r w:rsidR="00C847AE">
        <w:t xml:space="preserve"> </w:t>
      </w:r>
      <w:r w:rsidR="00F93784">
        <w:t xml:space="preserve">– </w:t>
      </w:r>
      <w:r w:rsidR="00C847AE">
        <w:t>further</w:t>
      </w:r>
      <w:r w:rsidR="00F93784">
        <w:t xml:space="preserve"> information will be </w:t>
      </w:r>
      <w:r w:rsidR="00C847AE">
        <w:t>requested</w:t>
      </w:r>
      <w:r w:rsidR="00F93784">
        <w:t xml:space="preserve"> </w:t>
      </w:r>
      <w:r w:rsidR="00883641">
        <w:t>at</w:t>
      </w:r>
      <w:r w:rsidR="00C847AE">
        <w:t xml:space="preserve"> </w:t>
      </w:r>
      <w:r w:rsidR="00026412">
        <w:t>Part 6</w:t>
      </w:r>
      <w:r w:rsidR="00C847AE">
        <w:t xml:space="preserve"> of the Application Form</w:t>
      </w:r>
      <w:r w:rsidRPr="00154B00">
        <w:t>)</w:t>
      </w:r>
    </w:p>
    <w:p w14:paraId="57C38E55" w14:textId="58396C8C" w:rsidR="001D2D48" w:rsidRPr="00C6096E" w:rsidRDefault="001D2D48" w:rsidP="001D2D48">
      <w:pPr>
        <w:pStyle w:val="Heading2"/>
        <w:numPr>
          <w:ilvl w:val="0"/>
          <w:numId w:val="0"/>
        </w:numPr>
        <w:ind w:left="360"/>
        <w:rPr>
          <w:b w:val="0"/>
          <w:color w:val="000000" w:themeColor="text1"/>
        </w:rPr>
      </w:pPr>
      <w:r w:rsidRPr="001D2D48">
        <w:rPr>
          <w:b w:val="0"/>
        </w:rPr>
        <w:t>Singleton next generation sequencing of coding regions in clinically affected individuals, delivered by NATA accredited di</w:t>
      </w:r>
      <w:r w:rsidRPr="00C6096E">
        <w:rPr>
          <w:b w:val="0"/>
          <w:color w:val="000000" w:themeColor="text1"/>
        </w:rPr>
        <w:t>agnostic laboratories with appropriate accreditation (Massively parallel sequencing – full exome sequencing studies or genome sequencing studies)</w:t>
      </w:r>
      <w:r w:rsidR="009F5E4E" w:rsidRPr="00C6096E">
        <w:rPr>
          <w:b w:val="0"/>
          <w:color w:val="000000" w:themeColor="text1"/>
        </w:rPr>
        <w:t>, including copy number variant analysis of relevant genes.</w:t>
      </w:r>
    </w:p>
    <w:p w14:paraId="777C0EB9" w14:textId="1ACCB4D1" w:rsidR="002C5709" w:rsidRPr="00C6096E" w:rsidRDefault="001D2D48" w:rsidP="002C5709">
      <w:pPr>
        <w:spacing w:before="0" w:after="0"/>
        <w:ind w:left="360"/>
        <w:rPr>
          <w:color w:val="000000" w:themeColor="text1"/>
        </w:rPr>
      </w:pPr>
      <w:r w:rsidRPr="00C6096E">
        <w:rPr>
          <w:color w:val="000000" w:themeColor="text1"/>
        </w:rPr>
        <w:t xml:space="preserve">While next generation sequencing </w:t>
      </w:r>
      <w:proofErr w:type="gramStart"/>
      <w:r w:rsidRPr="00C6096E">
        <w:rPr>
          <w:color w:val="000000" w:themeColor="text1"/>
        </w:rPr>
        <w:t>has the ability to</w:t>
      </w:r>
      <w:proofErr w:type="gramEnd"/>
      <w:r w:rsidRPr="00C6096E">
        <w:rPr>
          <w:color w:val="000000" w:themeColor="text1"/>
        </w:rPr>
        <w:t xml:space="preserve"> investigate all genes in the one test, only genes known to cause hearing impairment </w:t>
      </w:r>
      <w:r w:rsidR="001E008A" w:rsidRPr="00C6096E">
        <w:rPr>
          <w:color w:val="000000" w:themeColor="text1"/>
        </w:rPr>
        <w:t xml:space="preserve">should </w:t>
      </w:r>
      <w:r w:rsidRPr="00C6096E">
        <w:rPr>
          <w:color w:val="000000" w:themeColor="text1"/>
        </w:rPr>
        <w:t xml:space="preserve">be analysed. Genes currently not known to be associated with hearing impairment </w:t>
      </w:r>
      <w:r w:rsidR="001E008A" w:rsidRPr="00C6096E">
        <w:rPr>
          <w:color w:val="000000" w:themeColor="text1"/>
        </w:rPr>
        <w:t xml:space="preserve">should </w:t>
      </w:r>
      <w:r w:rsidRPr="00C6096E">
        <w:rPr>
          <w:color w:val="000000" w:themeColor="text1"/>
        </w:rPr>
        <w:t xml:space="preserve">be excluded from the analysis. </w:t>
      </w:r>
      <w:r w:rsidR="002C5709" w:rsidRPr="00C6096E">
        <w:rPr>
          <w:bCs/>
          <w:color w:val="000000" w:themeColor="text1"/>
        </w:rPr>
        <w:t xml:space="preserve">The gene list used for analysis should be regularly reviewed to ensure clinical validity, this may be through an open source platform such as </w:t>
      </w:r>
      <w:proofErr w:type="spellStart"/>
      <w:r w:rsidR="002C5709" w:rsidRPr="00C6096E">
        <w:rPr>
          <w:bCs/>
          <w:color w:val="000000" w:themeColor="text1"/>
        </w:rPr>
        <w:t>PanelApp</w:t>
      </w:r>
      <w:proofErr w:type="spellEnd"/>
      <w:r w:rsidR="002C5709" w:rsidRPr="00C6096E">
        <w:rPr>
          <w:bCs/>
          <w:color w:val="000000" w:themeColor="text1"/>
        </w:rPr>
        <w:t xml:space="preserve"> Australia </w:t>
      </w:r>
      <w:r w:rsidR="002C5709" w:rsidRPr="00C6096E">
        <w:rPr>
          <w:b/>
          <w:color w:val="000000" w:themeColor="text1"/>
        </w:rPr>
        <w:t xml:space="preserve"> (</w:t>
      </w:r>
      <w:hyperlink r:id="rId14" w:history="1">
        <w:r w:rsidR="002C5709" w:rsidRPr="00C6096E">
          <w:rPr>
            <w:rStyle w:val="Hyperlink"/>
            <w:color w:val="000000" w:themeColor="text1"/>
          </w:rPr>
          <w:t>https://panelapp.agha.umccr.org/</w:t>
        </w:r>
      </w:hyperlink>
      <w:r w:rsidR="002C5709" w:rsidRPr="00C6096E">
        <w:rPr>
          <w:color w:val="000000" w:themeColor="text1"/>
        </w:rPr>
        <w:t>), or similar.</w:t>
      </w:r>
    </w:p>
    <w:p w14:paraId="79F02253" w14:textId="49017093" w:rsidR="001D2D48" w:rsidRPr="00C6096E" w:rsidRDefault="002C5709" w:rsidP="001D2D48">
      <w:pPr>
        <w:pStyle w:val="Heading2"/>
        <w:numPr>
          <w:ilvl w:val="0"/>
          <w:numId w:val="0"/>
        </w:numPr>
        <w:ind w:left="360"/>
        <w:rPr>
          <w:b w:val="0"/>
          <w:color w:val="000000" w:themeColor="text1"/>
        </w:rPr>
      </w:pPr>
      <w:r w:rsidRPr="00C6096E">
        <w:rPr>
          <w:b w:val="0"/>
          <w:color w:val="000000" w:themeColor="text1"/>
        </w:rPr>
        <w:t xml:space="preserve"> </w:t>
      </w:r>
      <w:r w:rsidR="001D2D48" w:rsidRPr="00C6096E">
        <w:rPr>
          <w:b w:val="0"/>
          <w:color w:val="000000" w:themeColor="text1"/>
        </w:rPr>
        <w:t xml:space="preserve">The suggested diagnostic test is agnostic of technology, and hence it is not prescriptive to the methodologies/equipment and reagents involved. For the purposes of this application the proposed test will be referred to as whole exome analysis (WEA) as investigation will be limited to the coding regions of the genome. </w:t>
      </w:r>
      <w:r w:rsidR="009F5E4E" w:rsidRPr="00C6096E">
        <w:rPr>
          <w:b w:val="0"/>
          <w:color w:val="000000" w:themeColor="text1"/>
        </w:rPr>
        <w:t xml:space="preserve">For this indication, copy number variant analysis should </w:t>
      </w:r>
      <w:r w:rsidRPr="00C6096E">
        <w:rPr>
          <w:b w:val="0"/>
          <w:color w:val="000000" w:themeColor="text1"/>
        </w:rPr>
        <w:t xml:space="preserve">also </w:t>
      </w:r>
      <w:r w:rsidR="009F5E4E" w:rsidRPr="00C6096E">
        <w:rPr>
          <w:b w:val="0"/>
          <w:color w:val="000000" w:themeColor="text1"/>
        </w:rPr>
        <w:t xml:space="preserve">be included as </w:t>
      </w:r>
      <w:proofErr w:type="gramStart"/>
      <w:r w:rsidR="009F5E4E" w:rsidRPr="00C6096E">
        <w:rPr>
          <w:b w:val="0"/>
          <w:color w:val="000000" w:themeColor="text1"/>
        </w:rPr>
        <w:t>these account</w:t>
      </w:r>
      <w:proofErr w:type="gramEnd"/>
      <w:r w:rsidR="009F5E4E" w:rsidRPr="00C6096E">
        <w:rPr>
          <w:b w:val="0"/>
          <w:color w:val="000000" w:themeColor="text1"/>
        </w:rPr>
        <w:t xml:space="preserve"> for around 15% of pathogenic variants responsible for congenital or childhood hearing impairment. </w:t>
      </w:r>
      <w:r w:rsidR="001D2D48" w:rsidRPr="00C6096E">
        <w:rPr>
          <w:b w:val="0"/>
          <w:color w:val="000000" w:themeColor="text1"/>
        </w:rPr>
        <w:t>Cascade testing would also be required for relatives of affected individuals for whom a diagnosis was made via WEA. This would involve investigation of only the causative gene variant(s) found in the affected individual.</w:t>
      </w:r>
    </w:p>
    <w:p w14:paraId="0C61B6E0" w14:textId="77777777" w:rsidR="001D2D48" w:rsidRPr="001D2D48" w:rsidRDefault="001D2D48" w:rsidP="001D2D48"/>
    <w:p w14:paraId="1BB1786F" w14:textId="77777777" w:rsidR="00D11EB1" w:rsidRPr="0011036E" w:rsidRDefault="001D2D48" w:rsidP="004A0BF4">
      <w:pPr>
        <w:pStyle w:val="Heading2"/>
        <w:rPr>
          <w:rStyle w:val="Strong"/>
          <w:rFonts w:asciiTheme="minorHAnsi" w:eastAsiaTheme="minorHAnsi" w:hAnsiTheme="minorHAnsi" w:cstheme="minorBidi"/>
          <w:b/>
        </w:rPr>
      </w:pPr>
      <w:r>
        <w:rPr>
          <w:rStyle w:val="Strong"/>
          <w:rFonts w:asciiTheme="minorHAnsi" w:eastAsiaTheme="minorHAnsi" w:hAnsiTheme="minorHAnsi" w:cstheme="minorBidi"/>
          <w:b/>
        </w:rPr>
        <w:t xml:space="preserve"> </w:t>
      </w:r>
      <w:r w:rsidR="00730C04">
        <w:rPr>
          <w:rStyle w:val="Strong"/>
          <w:rFonts w:asciiTheme="minorHAnsi" w:eastAsiaTheme="minorHAnsi" w:hAnsiTheme="minorHAnsi" w:cstheme="minorBidi"/>
          <w:b/>
        </w:rPr>
        <w:t xml:space="preserve">(a) </w:t>
      </w:r>
      <w:r w:rsidR="00D11EB1" w:rsidRPr="0011036E">
        <w:rPr>
          <w:rStyle w:val="Strong"/>
          <w:rFonts w:asciiTheme="minorHAnsi" w:eastAsiaTheme="minorHAnsi" w:hAnsiTheme="minorHAnsi" w:cstheme="minorBidi"/>
          <w:b/>
        </w:rPr>
        <w:t>Is this a request for MBS funding?</w:t>
      </w:r>
    </w:p>
    <w:p w14:paraId="0265F1A0" w14:textId="77777777" w:rsidR="00753C44" w:rsidRDefault="00ED7768" w:rsidP="00E531DB">
      <w:pPr>
        <w:spacing w:before="0" w:after="0"/>
        <w:ind w:left="360"/>
        <w:rPr>
          <w:szCs w:val="20"/>
        </w:rPr>
      </w:pPr>
      <w:r>
        <w:rPr>
          <w:szCs w:val="20"/>
        </w:rPr>
        <w:fldChar w:fldCharType="begin">
          <w:ffData>
            <w:name w:val="Check1"/>
            <w:enabled/>
            <w:calcOnExit w:val="0"/>
            <w:checkBox>
              <w:sizeAuto/>
              <w:default w:val="1"/>
            </w:checkBox>
          </w:ffData>
        </w:fldChar>
      </w:r>
      <w:bookmarkStart w:id="2" w:name="Check1"/>
      <w:r>
        <w:rPr>
          <w:szCs w:val="20"/>
        </w:rPr>
        <w:instrText xml:space="preserve"> FORMCHECKBOX </w:instrText>
      </w:r>
      <w:r w:rsidR="004D1F43">
        <w:rPr>
          <w:szCs w:val="20"/>
        </w:rPr>
      </w:r>
      <w:r w:rsidR="004D1F43">
        <w:rPr>
          <w:szCs w:val="20"/>
        </w:rPr>
        <w:fldChar w:fldCharType="separate"/>
      </w:r>
      <w:r>
        <w:rPr>
          <w:szCs w:val="20"/>
        </w:rPr>
        <w:fldChar w:fldCharType="end"/>
      </w:r>
      <w:bookmarkEnd w:id="2"/>
      <w:r w:rsidR="006B6390">
        <w:rPr>
          <w:szCs w:val="20"/>
        </w:rPr>
        <w:t xml:space="preserve"> Yes</w:t>
      </w:r>
    </w:p>
    <w:p w14:paraId="1BF33C8D" w14:textId="77777777" w:rsidR="00753C44" w:rsidRPr="00753C44" w:rsidRDefault="006B6390" w:rsidP="00E531DB">
      <w:pPr>
        <w:spacing w:before="0" w:after="0"/>
        <w:ind w:left="360"/>
        <w:rPr>
          <w:szCs w:val="20"/>
        </w:rPr>
      </w:pPr>
      <w:r w:rsidRPr="00753C44">
        <w:rPr>
          <w:szCs w:val="20"/>
        </w:rPr>
        <w:fldChar w:fldCharType="begin">
          <w:ffData>
            <w:name w:val="Check2"/>
            <w:enabled/>
            <w:calcOnExit w:val="0"/>
            <w:checkBox>
              <w:sizeAuto/>
              <w:default w:val="0"/>
            </w:checkBox>
          </w:ffData>
        </w:fldChar>
      </w:r>
      <w:r w:rsidRPr="00753C44">
        <w:rPr>
          <w:szCs w:val="20"/>
        </w:rPr>
        <w:instrText xml:space="preserve"> FORMCHECKBOX </w:instrText>
      </w:r>
      <w:r w:rsidR="004D1F43">
        <w:rPr>
          <w:szCs w:val="20"/>
        </w:rPr>
      </w:r>
      <w:r w:rsidR="004D1F43">
        <w:rPr>
          <w:szCs w:val="20"/>
        </w:rPr>
        <w:fldChar w:fldCharType="separate"/>
      </w:r>
      <w:r w:rsidRPr="00753C44">
        <w:rPr>
          <w:szCs w:val="20"/>
        </w:rPr>
        <w:fldChar w:fldCharType="end"/>
      </w:r>
      <w:r>
        <w:rPr>
          <w:szCs w:val="20"/>
        </w:rPr>
        <w:t xml:space="preserve"> No</w:t>
      </w:r>
      <w:r w:rsidR="00753C44" w:rsidRPr="00753C44">
        <w:rPr>
          <w:szCs w:val="20"/>
        </w:rPr>
        <w:t xml:space="preserve">  </w:t>
      </w:r>
    </w:p>
    <w:p w14:paraId="5D66B441" w14:textId="77777777" w:rsidR="000B3CD0" w:rsidRPr="0011036E" w:rsidRDefault="000B3CD0" w:rsidP="00730C04">
      <w:pPr>
        <w:pStyle w:val="Heading2"/>
        <w:numPr>
          <w:ilvl w:val="0"/>
          <w:numId w:val="24"/>
        </w:numPr>
        <w:rPr>
          <w:rStyle w:val="Strong"/>
          <w:rFonts w:asciiTheme="minorHAnsi" w:eastAsiaTheme="minorHAnsi" w:hAnsiTheme="minorHAnsi" w:cstheme="minorBidi"/>
          <w:b/>
        </w:rPr>
      </w:pPr>
      <w:r w:rsidRPr="0011036E">
        <w:rPr>
          <w:rStyle w:val="Strong"/>
          <w:rFonts w:asciiTheme="minorHAnsi" w:eastAsiaTheme="minorHAnsi" w:hAnsiTheme="minorHAnsi" w:cstheme="minorBidi"/>
          <w:b/>
        </w:rPr>
        <w:t>I</w:t>
      </w:r>
      <w:r w:rsidR="003020B5" w:rsidRPr="0011036E">
        <w:rPr>
          <w:rStyle w:val="Strong"/>
          <w:rFonts w:asciiTheme="minorHAnsi" w:eastAsiaTheme="minorHAnsi" w:hAnsiTheme="minorHAnsi" w:cstheme="minorBidi"/>
          <w:b/>
        </w:rPr>
        <w:t xml:space="preserve">f </w:t>
      </w:r>
      <w:r w:rsidR="00D11EB1" w:rsidRPr="0011036E">
        <w:rPr>
          <w:rStyle w:val="Strong"/>
          <w:rFonts w:asciiTheme="minorHAnsi" w:eastAsiaTheme="minorHAnsi" w:hAnsiTheme="minorHAnsi" w:cstheme="minorBidi"/>
          <w:b/>
        </w:rPr>
        <w:t xml:space="preserve">yes, is </w:t>
      </w:r>
      <w:r w:rsidRPr="0011036E">
        <w:rPr>
          <w:rStyle w:val="Strong"/>
          <w:rFonts w:asciiTheme="minorHAnsi" w:eastAsiaTheme="minorHAnsi" w:hAnsiTheme="minorHAnsi" w:cstheme="minorBidi"/>
          <w:b/>
        </w:rPr>
        <w:t>the medical service</w:t>
      </w:r>
      <w:r w:rsidR="005D0677" w:rsidRPr="0011036E">
        <w:rPr>
          <w:rStyle w:val="Strong"/>
          <w:rFonts w:asciiTheme="minorHAnsi" w:eastAsiaTheme="minorHAnsi" w:hAnsiTheme="minorHAnsi" w:cstheme="minorBidi"/>
          <w:b/>
        </w:rPr>
        <w:t>(s)</w:t>
      </w:r>
      <w:r w:rsidRPr="0011036E">
        <w:rPr>
          <w:rStyle w:val="Strong"/>
          <w:rFonts w:asciiTheme="minorHAnsi" w:eastAsiaTheme="minorHAnsi" w:hAnsiTheme="minorHAnsi" w:cstheme="minorBidi"/>
          <w:b/>
        </w:rPr>
        <w:t xml:space="preserve"> </w:t>
      </w:r>
      <w:r w:rsidR="00F83566" w:rsidRPr="0011036E">
        <w:rPr>
          <w:rStyle w:val="Strong"/>
          <w:rFonts w:asciiTheme="minorHAnsi" w:eastAsiaTheme="minorHAnsi" w:hAnsiTheme="minorHAnsi" w:cstheme="minorBidi"/>
          <w:b/>
        </w:rPr>
        <w:t xml:space="preserve">proposed to be </w:t>
      </w:r>
      <w:r w:rsidRPr="0011036E">
        <w:rPr>
          <w:rStyle w:val="Strong"/>
          <w:rFonts w:asciiTheme="minorHAnsi" w:eastAsiaTheme="minorHAnsi" w:hAnsiTheme="minorHAnsi" w:cstheme="minorBidi"/>
          <w:b/>
        </w:rPr>
        <w:t xml:space="preserve">covered under an existing </w:t>
      </w:r>
      <w:r w:rsidR="00F83566" w:rsidRPr="0011036E">
        <w:rPr>
          <w:rStyle w:val="Strong"/>
          <w:rFonts w:asciiTheme="minorHAnsi" w:eastAsiaTheme="minorHAnsi" w:hAnsiTheme="minorHAnsi" w:cstheme="minorBidi"/>
          <w:b/>
        </w:rPr>
        <w:t>MBS item number</w:t>
      </w:r>
      <w:r w:rsidR="005D0677" w:rsidRPr="0011036E">
        <w:rPr>
          <w:rStyle w:val="Strong"/>
          <w:rFonts w:asciiTheme="minorHAnsi" w:eastAsiaTheme="minorHAnsi" w:hAnsiTheme="minorHAnsi" w:cstheme="minorBidi"/>
          <w:b/>
        </w:rPr>
        <w:t>(s)</w:t>
      </w:r>
      <w:r w:rsidR="003020B5" w:rsidRPr="0011036E">
        <w:rPr>
          <w:rStyle w:val="Strong"/>
          <w:rFonts w:asciiTheme="minorHAnsi" w:eastAsiaTheme="minorHAnsi" w:hAnsiTheme="minorHAnsi" w:cstheme="minorBidi"/>
          <w:b/>
        </w:rPr>
        <w:t xml:space="preserve"> or is a new MBS item</w:t>
      </w:r>
      <w:r w:rsidR="005D0677" w:rsidRPr="0011036E">
        <w:rPr>
          <w:rStyle w:val="Strong"/>
          <w:rFonts w:asciiTheme="minorHAnsi" w:eastAsiaTheme="minorHAnsi" w:hAnsiTheme="minorHAnsi" w:cstheme="minorBidi"/>
          <w:b/>
        </w:rPr>
        <w:t>(s)</w:t>
      </w:r>
      <w:r w:rsidR="003020B5" w:rsidRPr="0011036E">
        <w:rPr>
          <w:rStyle w:val="Strong"/>
          <w:rFonts w:asciiTheme="minorHAnsi" w:eastAsiaTheme="minorHAnsi" w:hAnsiTheme="minorHAnsi" w:cstheme="minorBidi"/>
          <w:b/>
        </w:rPr>
        <w:t xml:space="preserve"> being sought altogether</w:t>
      </w:r>
      <w:r w:rsidRPr="0011036E">
        <w:rPr>
          <w:rStyle w:val="Strong"/>
          <w:rFonts w:asciiTheme="minorHAnsi" w:eastAsiaTheme="minorHAnsi" w:hAnsiTheme="minorHAnsi" w:cstheme="minorBidi"/>
          <w:b/>
        </w:rPr>
        <w:t>?</w:t>
      </w:r>
    </w:p>
    <w:p w14:paraId="481E19F3" w14:textId="77777777" w:rsidR="00753C44" w:rsidRDefault="006B6390" w:rsidP="00E531DB">
      <w:pPr>
        <w:spacing w:before="0" w:after="0"/>
        <w:ind w:left="360"/>
        <w:rPr>
          <w:szCs w:val="20"/>
        </w:rPr>
      </w:pPr>
      <w:r w:rsidRPr="00753C44">
        <w:rPr>
          <w:szCs w:val="20"/>
        </w:rPr>
        <w:fldChar w:fldCharType="begin">
          <w:ffData>
            <w:name w:val="Check2"/>
            <w:enabled/>
            <w:calcOnExit w:val="0"/>
            <w:checkBox>
              <w:sizeAuto/>
              <w:default w:val="0"/>
            </w:checkBox>
          </w:ffData>
        </w:fldChar>
      </w:r>
      <w:r w:rsidRPr="00753C44">
        <w:rPr>
          <w:szCs w:val="20"/>
        </w:rPr>
        <w:instrText xml:space="preserve"> FORMCHECKBOX </w:instrText>
      </w:r>
      <w:r w:rsidR="004D1F43">
        <w:rPr>
          <w:szCs w:val="20"/>
        </w:rPr>
      </w:r>
      <w:r w:rsidR="004D1F43">
        <w:rPr>
          <w:szCs w:val="20"/>
        </w:rPr>
        <w:fldChar w:fldCharType="separate"/>
      </w:r>
      <w:r w:rsidRPr="00753C44">
        <w:rPr>
          <w:szCs w:val="20"/>
        </w:rPr>
        <w:fldChar w:fldCharType="end"/>
      </w:r>
      <w:r>
        <w:rPr>
          <w:szCs w:val="20"/>
        </w:rPr>
        <w:t xml:space="preserve"> </w:t>
      </w:r>
      <w:r w:rsidR="00753C44" w:rsidRPr="00154B00">
        <w:rPr>
          <w:szCs w:val="20"/>
        </w:rPr>
        <w:t>Amendment to existing MBS item</w:t>
      </w:r>
      <w:r w:rsidR="00753C44">
        <w:rPr>
          <w:szCs w:val="20"/>
        </w:rPr>
        <w:t>(s)</w:t>
      </w:r>
    </w:p>
    <w:p w14:paraId="45D64E2D" w14:textId="77777777" w:rsidR="00753C44" w:rsidRPr="00753C44" w:rsidRDefault="00ED7768" w:rsidP="00E531DB">
      <w:pPr>
        <w:spacing w:before="0" w:after="0"/>
        <w:ind w:left="360"/>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4D1F43">
        <w:rPr>
          <w:szCs w:val="20"/>
        </w:rPr>
      </w:r>
      <w:r w:rsidR="004D1F43">
        <w:rPr>
          <w:szCs w:val="20"/>
        </w:rPr>
        <w:fldChar w:fldCharType="separate"/>
      </w:r>
      <w:r>
        <w:rPr>
          <w:szCs w:val="20"/>
        </w:rPr>
        <w:fldChar w:fldCharType="end"/>
      </w:r>
      <w:r w:rsidR="006B6390">
        <w:rPr>
          <w:szCs w:val="20"/>
        </w:rPr>
        <w:t xml:space="preserve"> </w:t>
      </w:r>
      <w:r w:rsidR="00753C44" w:rsidRPr="00154B00">
        <w:rPr>
          <w:szCs w:val="20"/>
        </w:rPr>
        <w:t>New MBS item</w:t>
      </w:r>
      <w:r w:rsidR="00753C44">
        <w:rPr>
          <w:szCs w:val="20"/>
        </w:rPr>
        <w:t>(s)</w:t>
      </w:r>
    </w:p>
    <w:p w14:paraId="4981F874" w14:textId="00743079" w:rsidR="000B3CD0" w:rsidRDefault="000B3CD0" w:rsidP="00730C04">
      <w:pPr>
        <w:pStyle w:val="Heading2"/>
        <w:numPr>
          <w:ilvl w:val="0"/>
          <w:numId w:val="24"/>
        </w:numPr>
        <w:rPr>
          <w:rStyle w:val="Strong"/>
          <w:rFonts w:asciiTheme="minorHAnsi" w:eastAsiaTheme="minorHAnsi" w:hAnsiTheme="minorHAnsi" w:cstheme="minorBidi"/>
          <w:b/>
        </w:rPr>
      </w:pPr>
      <w:r w:rsidRPr="0011036E">
        <w:rPr>
          <w:rStyle w:val="Strong"/>
          <w:rFonts w:asciiTheme="minorHAnsi" w:eastAsiaTheme="minorHAnsi" w:hAnsiTheme="minorHAnsi" w:cstheme="minorBidi"/>
          <w:b/>
        </w:rPr>
        <w:t xml:space="preserve">If </w:t>
      </w:r>
      <w:r w:rsidR="00126B33" w:rsidRPr="0011036E">
        <w:rPr>
          <w:rStyle w:val="Strong"/>
          <w:rFonts w:asciiTheme="minorHAnsi" w:eastAsiaTheme="minorHAnsi" w:hAnsiTheme="minorHAnsi" w:cstheme="minorBidi"/>
          <w:b/>
        </w:rPr>
        <w:t xml:space="preserve">an amendment </w:t>
      </w:r>
      <w:r w:rsidR="003020B5" w:rsidRPr="0011036E">
        <w:rPr>
          <w:rStyle w:val="Strong"/>
          <w:rFonts w:asciiTheme="minorHAnsi" w:eastAsiaTheme="minorHAnsi" w:hAnsiTheme="minorHAnsi" w:cstheme="minorBidi"/>
          <w:b/>
        </w:rPr>
        <w:t xml:space="preserve">to </w:t>
      </w:r>
      <w:r w:rsidR="00126B33" w:rsidRPr="0011036E">
        <w:rPr>
          <w:rStyle w:val="Strong"/>
          <w:rFonts w:asciiTheme="minorHAnsi" w:eastAsiaTheme="minorHAnsi" w:hAnsiTheme="minorHAnsi" w:cstheme="minorBidi"/>
          <w:b/>
        </w:rPr>
        <w:t xml:space="preserve">an </w:t>
      </w:r>
      <w:r w:rsidR="003020B5" w:rsidRPr="0011036E">
        <w:rPr>
          <w:rStyle w:val="Strong"/>
          <w:rFonts w:asciiTheme="minorHAnsi" w:eastAsiaTheme="minorHAnsi" w:hAnsiTheme="minorHAnsi" w:cstheme="minorBidi"/>
          <w:b/>
        </w:rPr>
        <w:t>existing item</w:t>
      </w:r>
      <w:r w:rsidR="005D0677" w:rsidRPr="0011036E">
        <w:rPr>
          <w:rStyle w:val="Strong"/>
          <w:rFonts w:asciiTheme="minorHAnsi" w:eastAsiaTheme="minorHAnsi" w:hAnsiTheme="minorHAnsi" w:cstheme="minorBidi"/>
          <w:b/>
        </w:rPr>
        <w:t>(s)</w:t>
      </w:r>
      <w:r w:rsidR="00126B33" w:rsidRPr="0011036E">
        <w:rPr>
          <w:rStyle w:val="Strong"/>
          <w:rFonts w:asciiTheme="minorHAnsi" w:eastAsiaTheme="minorHAnsi" w:hAnsiTheme="minorHAnsi" w:cstheme="minorBidi"/>
          <w:b/>
        </w:rPr>
        <w:t xml:space="preserve"> is being sought</w:t>
      </w:r>
      <w:r w:rsidR="003020B5" w:rsidRPr="0011036E">
        <w:rPr>
          <w:rStyle w:val="Strong"/>
          <w:rFonts w:asciiTheme="minorHAnsi" w:eastAsiaTheme="minorHAnsi" w:hAnsiTheme="minorHAnsi" w:cstheme="minorBidi"/>
          <w:b/>
        </w:rPr>
        <w:t>,</w:t>
      </w:r>
      <w:r w:rsidRPr="0011036E">
        <w:rPr>
          <w:rStyle w:val="Strong"/>
          <w:rFonts w:asciiTheme="minorHAnsi" w:eastAsiaTheme="minorHAnsi" w:hAnsiTheme="minorHAnsi" w:cstheme="minorBidi"/>
          <w:b/>
        </w:rPr>
        <w:t xml:space="preserve"> please </w:t>
      </w:r>
      <w:r w:rsidR="00126B33" w:rsidRPr="0011036E">
        <w:rPr>
          <w:rStyle w:val="Strong"/>
          <w:rFonts w:asciiTheme="minorHAnsi" w:eastAsiaTheme="minorHAnsi" w:hAnsiTheme="minorHAnsi" w:cstheme="minorBidi"/>
          <w:b/>
        </w:rPr>
        <w:t xml:space="preserve">list </w:t>
      </w:r>
      <w:r w:rsidRPr="0011036E">
        <w:rPr>
          <w:rStyle w:val="Strong"/>
          <w:rFonts w:asciiTheme="minorHAnsi" w:eastAsiaTheme="minorHAnsi" w:hAnsiTheme="minorHAnsi" w:cstheme="minorBidi"/>
          <w:b/>
        </w:rPr>
        <w:t xml:space="preserve">the relevant MBS item number(s) </w:t>
      </w:r>
      <w:r w:rsidR="009C03FB" w:rsidRPr="0011036E">
        <w:rPr>
          <w:rStyle w:val="Strong"/>
          <w:rFonts w:asciiTheme="minorHAnsi" w:eastAsiaTheme="minorHAnsi" w:hAnsiTheme="minorHAnsi" w:cstheme="minorBidi"/>
          <w:b/>
        </w:rPr>
        <w:t xml:space="preserve">that </w:t>
      </w:r>
      <w:r w:rsidR="00126B33" w:rsidRPr="0011036E">
        <w:rPr>
          <w:rStyle w:val="Strong"/>
          <w:rFonts w:asciiTheme="minorHAnsi" w:eastAsiaTheme="minorHAnsi" w:hAnsiTheme="minorHAnsi" w:cstheme="minorBidi"/>
          <w:b/>
        </w:rPr>
        <w:t xml:space="preserve">are </w:t>
      </w:r>
      <w:r w:rsidR="005A6AB9" w:rsidRPr="0011036E">
        <w:rPr>
          <w:rStyle w:val="Strong"/>
          <w:rFonts w:asciiTheme="minorHAnsi" w:eastAsiaTheme="minorHAnsi" w:hAnsiTheme="minorHAnsi" w:cstheme="minorBidi"/>
          <w:b/>
        </w:rPr>
        <w:t xml:space="preserve">to be </w:t>
      </w:r>
      <w:r w:rsidR="00126B33" w:rsidRPr="0011036E">
        <w:rPr>
          <w:rStyle w:val="Strong"/>
          <w:rFonts w:asciiTheme="minorHAnsi" w:eastAsiaTheme="minorHAnsi" w:hAnsiTheme="minorHAnsi" w:cstheme="minorBidi"/>
          <w:b/>
        </w:rPr>
        <w:t xml:space="preserve">amended </w:t>
      </w:r>
      <w:r w:rsidR="005A6AB9" w:rsidRPr="0011036E">
        <w:rPr>
          <w:rStyle w:val="Strong"/>
          <w:rFonts w:asciiTheme="minorHAnsi" w:eastAsiaTheme="minorHAnsi" w:hAnsiTheme="minorHAnsi" w:cstheme="minorBidi"/>
          <w:b/>
        </w:rPr>
        <w:t xml:space="preserve">to </w:t>
      </w:r>
      <w:r w:rsidR="00A93F58" w:rsidRPr="0011036E">
        <w:rPr>
          <w:rStyle w:val="Strong"/>
          <w:rFonts w:asciiTheme="minorHAnsi" w:eastAsiaTheme="minorHAnsi" w:hAnsiTheme="minorHAnsi" w:cstheme="minorBidi"/>
          <w:b/>
        </w:rPr>
        <w:t xml:space="preserve">include </w:t>
      </w:r>
      <w:r w:rsidR="005A6AB9" w:rsidRPr="0011036E">
        <w:rPr>
          <w:rStyle w:val="Strong"/>
          <w:rFonts w:asciiTheme="minorHAnsi" w:eastAsiaTheme="minorHAnsi" w:hAnsiTheme="minorHAnsi" w:cstheme="minorBidi"/>
          <w:b/>
        </w:rPr>
        <w:t>the proposed medical service</w:t>
      </w:r>
      <w:r w:rsidR="00802553" w:rsidRPr="0011036E">
        <w:rPr>
          <w:rStyle w:val="Strong"/>
          <w:rFonts w:asciiTheme="minorHAnsi" w:eastAsiaTheme="minorHAnsi" w:hAnsiTheme="minorHAnsi" w:cstheme="minorBidi"/>
          <w:b/>
        </w:rPr>
        <w:t>:</w:t>
      </w:r>
      <w:r w:rsidR="00E06102" w:rsidRPr="0011036E">
        <w:rPr>
          <w:rStyle w:val="Strong"/>
          <w:rFonts w:asciiTheme="minorHAnsi" w:eastAsiaTheme="minorHAnsi" w:hAnsiTheme="minorHAnsi" w:cstheme="minorBidi"/>
          <w:b/>
        </w:rPr>
        <w:t xml:space="preserve"> </w:t>
      </w:r>
    </w:p>
    <w:p w14:paraId="04744A75" w14:textId="0FE05A89" w:rsidR="00E531DB" w:rsidRPr="00E531DB" w:rsidRDefault="00E531DB" w:rsidP="00E531DB">
      <w:pPr>
        <w:ind w:left="360"/>
      </w:pPr>
      <w:r>
        <w:t>N/A</w:t>
      </w:r>
    </w:p>
    <w:p w14:paraId="27B6A234" w14:textId="77777777" w:rsidR="00E531DB" w:rsidRDefault="00E531DB">
      <w:pPr>
        <w:spacing w:before="0" w:after="200" w:line="276" w:lineRule="auto"/>
        <w:rPr>
          <w:rStyle w:val="Strong"/>
          <w:rFonts w:asciiTheme="minorHAnsi" w:eastAsiaTheme="minorHAnsi" w:hAnsiTheme="minorHAnsi" w:cstheme="minorBidi"/>
          <w:szCs w:val="20"/>
        </w:rPr>
      </w:pPr>
      <w:r>
        <w:rPr>
          <w:rStyle w:val="Strong"/>
          <w:rFonts w:asciiTheme="minorHAnsi" w:eastAsiaTheme="minorHAnsi" w:hAnsiTheme="minorHAnsi" w:cstheme="minorBidi"/>
          <w:b w:val="0"/>
        </w:rPr>
        <w:br w:type="page"/>
      </w:r>
    </w:p>
    <w:p w14:paraId="2330AB96" w14:textId="2CFE029A" w:rsidR="006C0843" w:rsidRPr="0011036E" w:rsidRDefault="006C0843" w:rsidP="00730C04">
      <w:pPr>
        <w:pStyle w:val="Heading2"/>
        <w:numPr>
          <w:ilvl w:val="0"/>
          <w:numId w:val="24"/>
        </w:numPr>
        <w:rPr>
          <w:rStyle w:val="Strong"/>
          <w:rFonts w:asciiTheme="minorHAnsi" w:eastAsiaTheme="minorHAnsi" w:hAnsiTheme="minorHAnsi" w:cstheme="minorBidi"/>
          <w:b/>
        </w:rPr>
      </w:pPr>
      <w:r w:rsidRPr="0011036E">
        <w:rPr>
          <w:rStyle w:val="Strong"/>
          <w:rFonts w:asciiTheme="minorHAnsi" w:eastAsiaTheme="minorHAnsi" w:hAnsiTheme="minorHAnsi" w:cstheme="minorBidi"/>
          <w:b/>
        </w:rPr>
        <w:lastRenderedPageBreak/>
        <w:t>If an amendment to an existing item</w:t>
      </w:r>
      <w:r w:rsidR="003E30FB" w:rsidRPr="0011036E">
        <w:rPr>
          <w:rStyle w:val="Strong"/>
          <w:rFonts w:asciiTheme="minorHAnsi" w:eastAsiaTheme="minorHAnsi" w:hAnsiTheme="minorHAnsi" w:cstheme="minorBidi"/>
          <w:b/>
        </w:rPr>
        <w:t>(s)</w:t>
      </w:r>
      <w:r w:rsidRPr="0011036E">
        <w:rPr>
          <w:rStyle w:val="Strong"/>
          <w:rFonts w:asciiTheme="minorHAnsi" w:eastAsiaTheme="minorHAnsi" w:hAnsiTheme="minorHAnsi" w:cstheme="minorBidi"/>
          <w:b/>
        </w:rPr>
        <w:t xml:space="preserve"> is being sought, what is the nature of the amendment</w:t>
      </w:r>
      <w:r w:rsidR="00C01121" w:rsidRPr="0011036E">
        <w:rPr>
          <w:rStyle w:val="Strong"/>
          <w:rFonts w:asciiTheme="minorHAnsi" w:eastAsiaTheme="minorHAnsi" w:hAnsiTheme="minorHAnsi" w:cstheme="minorBidi"/>
          <w:b/>
        </w:rPr>
        <w:t>(s)</w:t>
      </w:r>
      <w:r w:rsidR="00E06102" w:rsidRPr="0011036E">
        <w:rPr>
          <w:rStyle w:val="Strong"/>
          <w:rFonts w:asciiTheme="minorHAnsi" w:eastAsiaTheme="minorHAnsi" w:hAnsiTheme="minorHAnsi" w:cstheme="minorBidi"/>
          <w:b/>
        </w:rPr>
        <w:t>?</w:t>
      </w:r>
    </w:p>
    <w:p w14:paraId="1D334E52" w14:textId="77777777" w:rsidR="002A270B" w:rsidRPr="004A263B" w:rsidRDefault="002A270B" w:rsidP="004A263B">
      <w:pPr>
        <w:pStyle w:val="ListParagraph"/>
        <w:numPr>
          <w:ilvl w:val="0"/>
          <w:numId w:val="34"/>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4D1F43">
        <w:rPr>
          <w:b/>
          <w:szCs w:val="20"/>
        </w:rPr>
      </w:r>
      <w:r w:rsidR="004D1F43">
        <w:rPr>
          <w:b/>
          <w:szCs w:val="20"/>
        </w:rPr>
        <w:fldChar w:fldCharType="separate"/>
      </w:r>
      <w:r w:rsidRPr="004A263B">
        <w:rPr>
          <w:b/>
          <w:szCs w:val="20"/>
        </w:rPr>
        <w:fldChar w:fldCharType="end"/>
      </w:r>
      <w:r w:rsidRPr="004A263B">
        <w:rPr>
          <w:b/>
          <w:szCs w:val="20"/>
        </w:rPr>
        <w:t xml:space="preserve"> </w:t>
      </w:r>
      <w:r w:rsidRPr="004A263B">
        <w:rPr>
          <w:rStyle w:val="Strong"/>
          <w:b w:val="0"/>
        </w:rPr>
        <w:t>An amendment to the way the service is clinically delivered under the existing item(s)</w:t>
      </w:r>
    </w:p>
    <w:p w14:paraId="54505570" w14:textId="77777777" w:rsidR="002A270B" w:rsidRPr="004A263B" w:rsidRDefault="002A270B" w:rsidP="004A263B">
      <w:pPr>
        <w:pStyle w:val="ListParagraph"/>
        <w:numPr>
          <w:ilvl w:val="0"/>
          <w:numId w:val="34"/>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4D1F43">
        <w:rPr>
          <w:b/>
          <w:szCs w:val="20"/>
        </w:rPr>
      </w:r>
      <w:r w:rsidR="004D1F43">
        <w:rPr>
          <w:b/>
          <w:szCs w:val="20"/>
        </w:rPr>
        <w:fldChar w:fldCharType="separate"/>
      </w:r>
      <w:r w:rsidRPr="004A263B">
        <w:rPr>
          <w:b/>
          <w:szCs w:val="20"/>
        </w:rPr>
        <w:fldChar w:fldCharType="end"/>
      </w:r>
      <w:r w:rsidRPr="004A263B">
        <w:rPr>
          <w:b/>
          <w:szCs w:val="20"/>
        </w:rPr>
        <w:t xml:space="preserve"> </w:t>
      </w:r>
      <w:r w:rsidRPr="004A263B">
        <w:rPr>
          <w:rStyle w:val="Strong"/>
          <w:b w:val="0"/>
        </w:rPr>
        <w:t>An amendment to the patient population under the existing item(s)</w:t>
      </w:r>
    </w:p>
    <w:p w14:paraId="28EA85A0" w14:textId="77777777" w:rsidR="002A270B" w:rsidRPr="004A263B" w:rsidRDefault="002A270B" w:rsidP="004A263B">
      <w:pPr>
        <w:pStyle w:val="ListParagraph"/>
        <w:numPr>
          <w:ilvl w:val="0"/>
          <w:numId w:val="34"/>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4D1F43">
        <w:rPr>
          <w:b/>
          <w:szCs w:val="20"/>
        </w:rPr>
      </w:r>
      <w:r w:rsidR="004D1F43">
        <w:rPr>
          <w:b/>
          <w:szCs w:val="20"/>
        </w:rPr>
        <w:fldChar w:fldCharType="separate"/>
      </w:r>
      <w:r w:rsidRPr="004A263B">
        <w:rPr>
          <w:b/>
          <w:szCs w:val="20"/>
        </w:rPr>
        <w:fldChar w:fldCharType="end"/>
      </w:r>
      <w:r w:rsidRPr="004A263B">
        <w:rPr>
          <w:b/>
          <w:szCs w:val="20"/>
        </w:rPr>
        <w:t xml:space="preserve"> </w:t>
      </w:r>
      <w:r w:rsidRPr="004A263B">
        <w:rPr>
          <w:rStyle w:val="Strong"/>
          <w:b w:val="0"/>
        </w:rPr>
        <w:t>An amendment to the schedule fee of the existing item(s)</w:t>
      </w:r>
    </w:p>
    <w:p w14:paraId="48152018" w14:textId="77777777" w:rsidR="002A270B" w:rsidRPr="004A263B" w:rsidRDefault="002A270B" w:rsidP="004A263B">
      <w:pPr>
        <w:pStyle w:val="ListParagraph"/>
        <w:numPr>
          <w:ilvl w:val="0"/>
          <w:numId w:val="34"/>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4D1F43">
        <w:rPr>
          <w:b/>
          <w:szCs w:val="20"/>
        </w:rPr>
      </w:r>
      <w:r w:rsidR="004D1F43">
        <w:rPr>
          <w:b/>
          <w:szCs w:val="20"/>
        </w:rPr>
        <w:fldChar w:fldCharType="separate"/>
      </w:r>
      <w:r w:rsidRPr="004A263B">
        <w:rPr>
          <w:b/>
          <w:szCs w:val="20"/>
        </w:rPr>
        <w:fldChar w:fldCharType="end"/>
      </w:r>
      <w:r w:rsidRPr="004A263B">
        <w:rPr>
          <w:b/>
          <w:szCs w:val="20"/>
        </w:rPr>
        <w:t xml:space="preserve"> </w:t>
      </w:r>
      <w:r w:rsidRPr="004A263B">
        <w:rPr>
          <w:rStyle w:val="Strong"/>
          <w:b w:val="0"/>
        </w:rPr>
        <w:t>An amendment to the time and complexity of an existing item(s)</w:t>
      </w:r>
    </w:p>
    <w:p w14:paraId="6D7D11CE" w14:textId="77777777" w:rsidR="002A270B" w:rsidRPr="004A263B" w:rsidRDefault="002A270B" w:rsidP="004A263B">
      <w:pPr>
        <w:pStyle w:val="ListParagraph"/>
        <w:numPr>
          <w:ilvl w:val="0"/>
          <w:numId w:val="34"/>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4D1F43">
        <w:rPr>
          <w:b/>
          <w:szCs w:val="20"/>
        </w:rPr>
      </w:r>
      <w:r w:rsidR="004D1F43">
        <w:rPr>
          <w:b/>
          <w:szCs w:val="20"/>
        </w:rPr>
        <w:fldChar w:fldCharType="separate"/>
      </w:r>
      <w:r w:rsidRPr="004A263B">
        <w:rPr>
          <w:b/>
          <w:szCs w:val="20"/>
        </w:rPr>
        <w:fldChar w:fldCharType="end"/>
      </w:r>
      <w:r w:rsidRPr="004A263B">
        <w:rPr>
          <w:b/>
          <w:szCs w:val="20"/>
        </w:rPr>
        <w:t xml:space="preserve"> </w:t>
      </w:r>
      <w:r w:rsidRPr="004A263B">
        <w:rPr>
          <w:rStyle w:val="Strong"/>
          <w:b w:val="0"/>
        </w:rPr>
        <w:t>Access to an existing item(s) by a different health practitioner group</w:t>
      </w:r>
    </w:p>
    <w:p w14:paraId="72210AE9" w14:textId="77777777" w:rsidR="002A270B" w:rsidRPr="004A263B" w:rsidRDefault="002A270B" w:rsidP="004A263B">
      <w:pPr>
        <w:pStyle w:val="ListParagraph"/>
        <w:numPr>
          <w:ilvl w:val="0"/>
          <w:numId w:val="34"/>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4D1F43">
        <w:rPr>
          <w:b/>
          <w:szCs w:val="20"/>
        </w:rPr>
      </w:r>
      <w:r w:rsidR="004D1F43">
        <w:rPr>
          <w:b/>
          <w:szCs w:val="20"/>
        </w:rPr>
        <w:fldChar w:fldCharType="separate"/>
      </w:r>
      <w:r w:rsidRPr="004A263B">
        <w:rPr>
          <w:b/>
          <w:szCs w:val="20"/>
        </w:rPr>
        <w:fldChar w:fldCharType="end"/>
      </w:r>
      <w:r w:rsidRPr="004A263B">
        <w:rPr>
          <w:b/>
          <w:szCs w:val="20"/>
        </w:rPr>
        <w:t xml:space="preserve"> </w:t>
      </w:r>
      <w:r w:rsidRPr="004A263B">
        <w:rPr>
          <w:rStyle w:val="Strong"/>
          <w:b w:val="0"/>
        </w:rPr>
        <w:t>Minor amendments to the item descriptor that does not affect how the service is delivered</w:t>
      </w:r>
    </w:p>
    <w:p w14:paraId="78AC8F3E" w14:textId="77777777" w:rsidR="002A270B" w:rsidRPr="004A263B" w:rsidRDefault="002A270B" w:rsidP="004A263B">
      <w:pPr>
        <w:pStyle w:val="ListParagraph"/>
        <w:numPr>
          <w:ilvl w:val="0"/>
          <w:numId w:val="34"/>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4D1F43">
        <w:rPr>
          <w:b/>
          <w:szCs w:val="20"/>
        </w:rPr>
      </w:r>
      <w:r w:rsidR="004D1F43">
        <w:rPr>
          <w:b/>
          <w:szCs w:val="20"/>
        </w:rPr>
        <w:fldChar w:fldCharType="separate"/>
      </w:r>
      <w:r w:rsidRPr="004A263B">
        <w:rPr>
          <w:b/>
          <w:szCs w:val="20"/>
        </w:rPr>
        <w:fldChar w:fldCharType="end"/>
      </w:r>
      <w:r w:rsidRPr="004A263B">
        <w:rPr>
          <w:b/>
          <w:szCs w:val="20"/>
        </w:rPr>
        <w:t xml:space="preserve"> </w:t>
      </w:r>
      <w:r w:rsidRPr="004A263B">
        <w:rPr>
          <w:rStyle w:val="Strong"/>
          <w:b w:val="0"/>
        </w:rPr>
        <w:t>An amendment to an existing specific single consultation item</w:t>
      </w:r>
    </w:p>
    <w:p w14:paraId="0F002E72" w14:textId="77777777" w:rsidR="002A270B" w:rsidRPr="004A263B" w:rsidRDefault="002A270B" w:rsidP="004A263B">
      <w:pPr>
        <w:pStyle w:val="ListParagraph"/>
        <w:numPr>
          <w:ilvl w:val="0"/>
          <w:numId w:val="34"/>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4D1F43">
        <w:rPr>
          <w:b/>
          <w:szCs w:val="20"/>
        </w:rPr>
      </w:r>
      <w:r w:rsidR="004D1F43">
        <w:rPr>
          <w:b/>
          <w:szCs w:val="20"/>
        </w:rPr>
        <w:fldChar w:fldCharType="separate"/>
      </w:r>
      <w:r w:rsidRPr="004A263B">
        <w:rPr>
          <w:b/>
          <w:szCs w:val="20"/>
        </w:rPr>
        <w:fldChar w:fldCharType="end"/>
      </w:r>
      <w:r w:rsidRPr="004A263B">
        <w:rPr>
          <w:b/>
          <w:szCs w:val="20"/>
        </w:rPr>
        <w:t xml:space="preserve"> </w:t>
      </w:r>
      <w:r w:rsidRPr="004A263B">
        <w:rPr>
          <w:rStyle w:val="Strong"/>
          <w:b w:val="0"/>
        </w:rPr>
        <w:t>An amendment to an existing global consultation item(s)</w:t>
      </w:r>
    </w:p>
    <w:p w14:paraId="150274B4" w14:textId="77777777" w:rsidR="002A270B" w:rsidRDefault="004A263B" w:rsidP="004A263B">
      <w:pPr>
        <w:pStyle w:val="ListParagraph"/>
        <w:numPr>
          <w:ilvl w:val="0"/>
          <w:numId w:val="34"/>
        </w:numPr>
        <w:ind w:left="851" w:hanging="425"/>
        <w:rPr>
          <w:rStyle w:val="Strong"/>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4D1F43">
        <w:rPr>
          <w:b/>
          <w:szCs w:val="20"/>
        </w:rPr>
      </w:r>
      <w:r w:rsidR="004D1F43">
        <w:rPr>
          <w:b/>
          <w:szCs w:val="20"/>
        </w:rPr>
        <w:fldChar w:fldCharType="separate"/>
      </w:r>
      <w:r w:rsidRPr="004A263B">
        <w:rPr>
          <w:b/>
          <w:szCs w:val="20"/>
        </w:rPr>
        <w:fldChar w:fldCharType="end"/>
      </w:r>
      <w:r w:rsidRPr="004A263B">
        <w:rPr>
          <w:b/>
          <w:szCs w:val="20"/>
        </w:rPr>
        <w:t xml:space="preserve"> </w:t>
      </w:r>
      <w:r w:rsidR="002A270B" w:rsidRPr="004A263B">
        <w:rPr>
          <w:rStyle w:val="Strong"/>
          <w:b w:val="0"/>
        </w:rPr>
        <w:t>Other (please describe below)</w:t>
      </w:r>
      <w:r w:rsidR="00A6491A" w:rsidRPr="004A263B">
        <w:rPr>
          <w:rStyle w:val="Strong"/>
          <w:b w:val="0"/>
        </w:rPr>
        <w:t>:</w:t>
      </w:r>
    </w:p>
    <w:p w14:paraId="372C40C3" w14:textId="77777777" w:rsidR="00534C5F" w:rsidRPr="007E39E4" w:rsidRDefault="000770BA" w:rsidP="00730C04">
      <w:pPr>
        <w:pStyle w:val="Heading2"/>
        <w:numPr>
          <w:ilvl w:val="0"/>
          <w:numId w:val="24"/>
        </w:numPr>
        <w:rPr>
          <w:rStyle w:val="Strong"/>
          <w:rFonts w:asciiTheme="minorHAnsi" w:eastAsiaTheme="minorHAnsi" w:hAnsiTheme="minorHAnsi" w:cstheme="minorBidi"/>
          <w:b/>
        </w:rPr>
      </w:pPr>
      <w:r w:rsidRPr="007E39E4">
        <w:rPr>
          <w:rStyle w:val="Strong"/>
          <w:rFonts w:asciiTheme="minorHAnsi" w:eastAsiaTheme="minorHAnsi" w:hAnsiTheme="minorHAnsi" w:cstheme="minorBidi"/>
          <w:b/>
        </w:rPr>
        <w:t>If a new item</w:t>
      </w:r>
      <w:r w:rsidR="005D0677" w:rsidRPr="007E39E4">
        <w:rPr>
          <w:rStyle w:val="Strong"/>
          <w:rFonts w:asciiTheme="minorHAnsi" w:eastAsiaTheme="minorHAnsi" w:hAnsiTheme="minorHAnsi" w:cstheme="minorBidi"/>
          <w:b/>
        </w:rPr>
        <w:t>(s)</w:t>
      </w:r>
      <w:r w:rsidR="003433D1" w:rsidRPr="007E39E4">
        <w:rPr>
          <w:rStyle w:val="Strong"/>
          <w:rFonts w:asciiTheme="minorHAnsi" w:eastAsiaTheme="minorHAnsi" w:hAnsiTheme="minorHAnsi" w:cstheme="minorBidi"/>
          <w:b/>
        </w:rPr>
        <w:t xml:space="preserve"> is being requested</w:t>
      </w:r>
      <w:r w:rsidRPr="007E39E4">
        <w:rPr>
          <w:rStyle w:val="Strong"/>
          <w:rFonts w:asciiTheme="minorHAnsi" w:eastAsiaTheme="minorHAnsi" w:hAnsiTheme="minorHAnsi" w:cstheme="minorBidi"/>
          <w:b/>
        </w:rPr>
        <w:t>, what is the nature of the change to the MBS being sought?</w:t>
      </w:r>
    </w:p>
    <w:p w14:paraId="37BD3A7A" w14:textId="77777777" w:rsidR="006B6390" w:rsidRPr="00AA2CFE" w:rsidRDefault="001D2D48" w:rsidP="00AA2CFE">
      <w:pPr>
        <w:pStyle w:val="ListParagraph"/>
        <w:numPr>
          <w:ilvl w:val="0"/>
          <w:numId w:val="35"/>
        </w:numPr>
        <w:spacing w:before="0" w:after="0"/>
        <w:ind w:left="851" w:hanging="425"/>
        <w:rPr>
          <w:rStyle w:val="Strong"/>
          <w:b w:val="0"/>
        </w:rPr>
      </w:pPr>
      <w:r>
        <w:rPr>
          <w:b/>
          <w:szCs w:val="20"/>
        </w:rPr>
        <w:fldChar w:fldCharType="begin">
          <w:ffData>
            <w:name w:val=""/>
            <w:enabled/>
            <w:calcOnExit w:val="0"/>
            <w:checkBox>
              <w:sizeAuto/>
              <w:default w:val="1"/>
            </w:checkBox>
          </w:ffData>
        </w:fldChar>
      </w:r>
      <w:r>
        <w:rPr>
          <w:b/>
          <w:szCs w:val="20"/>
        </w:rPr>
        <w:instrText xml:space="preserve"> FORMCHECKBOX </w:instrText>
      </w:r>
      <w:r w:rsidR="004D1F43">
        <w:rPr>
          <w:b/>
          <w:szCs w:val="20"/>
        </w:rPr>
      </w:r>
      <w:r w:rsidR="004D1F43">
        <w:rPr>
          <w:b/>
          <w:szCs w:val="20"/>
        </w:rPr>
        <w:fldChar w:fldCharType="separate"/>
      </w:r>
      <w:r>
        <w:rPr>
          <w:b/>
          <w:szCs w:val="20"/>
        </w:rPr>
        <w:fldChar w:fldCharType="end"/>
      </w:r>
      <w:r w:rsidR="006B6390" w:rsidRPr="00AA2CFE">
        <w:rPr>
          <w:b/>
          <w:szCs w:val="20"/>
        </w:rPr>
        <w:t xml:space="preserve"> </w:t>
      </w:r>
      <w:r w:rsidR="006B6390" w:rsidRPr="00AA2CFE">
        <w:rPr>
          <w:rStyle w:val="Strong"/>
          <w:b w:val="0"/>
        </w:rPr>
        <w:t>A new item which also seeks to allow access to the MBS for a specific health practitioner group</w:t>
      </w:r>
    </w:p>
    <w:p w14:paraId="717938A7" w14:textId="77777777" w:rsidR="006B6390" w:rsidRPr="00AA2CFE" w:rsidRDefault="006B6390" w:rsidP="00AA2CFE">
      <w:pPr>
        <w:pStyle w:val="ListParagraph"/>
        <w:numPr>
          <w:ilvl w:val="0"/>
          <w:numId w:val="35"/>
        </w:numPr>
        <w:spacing w:before="0" w:after="0"/>
        <w:ind w:left="851" w:hanging="425"/>
        <w:rPr>
          <w:rStyle w:val="Strong"/>
          <w:b w:val="0"/>
        </w:rPr>
      </w:pPr>
      <w:r w:rsidRPr="00AA2CFE">
        <w:rPr>
          <w:b/>
          <w:szCs w:val="20"/>
        </w:rPr>
        <w:fldChar w:fldCharType="begin">
          <w:ffData>
            <w:name w:val="Check2"/>
            <w:enabled/>
            <w:calcOnExit w:val="0"/>
            <w:checkBox>
              <w:sizeAuto/>
              <w:default w:val="0"/>
            </w:checkBox>
          </w:ffData>
        </w:fldChar>
      </w:r>
      <w:r w:rsidRPr="00AA2CFE">
        <w:rPr>
          <w:b/>
          <w:szCs w:val="20"/>
        </w:rPr>
        <w:instrText xml:space="preserve"> FORMCHECKBOX </w:instrText>
      </w:r>
      <w:r w:rsidR="004D1F43">
        <w:rPr>
          <w:b/>
          <w:szCs w:val="20"/>
        </w:rPr>
      </w:r>
      <w:r w:rsidR="004D1F43">
        <w:rPr>
          <w:b/>
          <w:szCs w:val="20"/>
        </w:rPr>
        <w:fldChar w:fldCharType="separate"/>
      </w:r>
      <w:r w:rsidRPr="00AA2CFE">
        <w:rPr>
          <w:b/>
          <w:szCs w:val="20"/>
        </w:rPr>
        <w:fldChar w:fldCharType="end"/>
      </w:r>
      <w:r w:rsidRPr="00AA2CFE">
        <w:rPr>
          <w:b/>
          <w:szCs w:val="20"/>
        </w:rPr>
        <w:t xml:space="preserve"> </w:t>
      </w:r>
      <w:r w:rsidRPr="00AA2CFE">
        <w:rPr>
          <w:rStyle w:val="Strong"/>
          <w:b w:val="0"/>
        </w:rPr>
        <w:t>A new item that is proposing a way of clinically delivering a service that is new to the MBS (in terms of new technology and / or population)</w:t>
      </w:r>
    </w:p>
    <w:p w14:paraId="527F52CE" w14:textId="77777777" w:rsidR="006B6390" w:rsidRPr="00AA2CFE" w:rsidRDefault="006B6390" w:rsidP="00AA2CFE">
      <w:pPr>
        <w:pStyle w:val="ListParagraph"/>
        <w:numPr>
          <w:ilvl w:val="0"/>
          <w:numId w:val="35"/>
        </w:numPr>
        <w:spacing w:before="0" w:after="0"/>
        <w:ind w:left="851" w:hanging="425"/>
        <w:rPr>
          <w:rStyle w:val="Strong"/>
          <w:b w:val="0"/>
        </w:rPr>
      </w:pPr>
      <w:r w:rsidRPr="00AA2CFE">
        <w:rPr>
          <w:b/>
          <w:szCs w:val="20"/>
        </w:rPr>
        <w:fldChar w:fldCharType="begin">
          <w:ffData>
            <w:name w:val="Check2"/>
            <w:enabled/>
            <w:calcOnExit w:val="0"/>
            <w:checkBox>
              <w:sizeAuto/>
              <w:default w:val="0"/>
            </w:checkBox>
          </w:ffData>
        </w:fldChar>
      </w:r>
      <w:r w:rsidRPr="00AA2CFE">
        <w:rPr>
          <w:b/>
          <w:szCs w:val="20"/>
        </w:rPr>
        <w:instrText xml:space="preserve"> FORMCHECKBOX </w:instrText>
      </w:r>
      <w:r w:rsidR="004D1F43">
        <w:rPr>
          <w:b/>
          <w:szCs w:val="20"/>
        </w:rPr>
      </w:r>
      <w:r w:rsidR="004D1F43">
        <w:rPr>
          <w:b/>
          <w:szCs w:val="20"/>
        </w:rPr>
        <w:fldChar w:fldCharType="separate"/>
      </w:r>
      <w:r w:rsidRPr="00AA2CFE">
        <w:rPr>
          <w:b/>
          <w:szCs w:val="20"/>
        </w:rPr>
        <w:fldChar w:fldCharType="end"/>
      </w:r>
      <w:r w:rsidRPr="00AA2CFE">
        <w:rPr>
          <w:b/>
          <w:szCs w:val="20"/>
        </w:rPr>
        <w:t xml:space="preserve"> </w:t>
      </w:r>
      <w:r w:rsidRPr="00AA2CFE">
        <w:rPr>
          <w:rStyle w:val="Strong"/>
          <w:b w:val="0"/>
        </w:rPr>
        <w:t>A new item for a specific single consultation item</w:t>
      </w:r>
    </w:p>
    <w:p w14:paraId="799897A7" w14:textId="77777777" w:rsidR="006B6390" w:rsidRPr="00AA2CFE" w:rsidRDefault="001D2D48" w:rsidP="00AA2CFE">
      <w:pPr>
        <w:pStyle w:val="ListParagraph"/>
        <w:numPr>
          <w:ilvl w:val="0"/>
          <w:numId w:val="35"/>
        </w:numPr>
        <w:spacing w:before="0" w:after="0"/>
        <w:ind w:left="851" w:hanging="425"/>
        <w:rPr>
          <w:rStyle w:val="Strong"/>
          <w:b w:val="0"/>
        </w:rPr>
      </w:pPr>
      <w:r>
        <w:rPr>
          <w:b/>
          <w:szCs w:val="20"/>
        </w:rPr>
        <w:fldChar w:fldCharType="begin">
          <w:ffData>
            <w:name w:val=""/>
            <w:enabled/>
            <w:calcOnExit w:val="0"/>
            <w:checkBox>
              <w:sizeAuto/>
              <w:default w:val="0"/>
            </w:checkBox>
          </w:ffData>
        </w:fldChar>
      </w:r>
      <w:r>
        <w:rPr>
          <w:b/>
          <w:szCs w:val="20"/>
        </w:rPr>
        <w:instrText xml:space="preserve"> FORMCHECKBOX </w:instrText>
      </w:r>
      <w:r w:rsidR="004D1F43">
        <w:rPr>
          <w:b/>
          <w:szCs w:val="20"/>
        </w:rPr>
      </w:r>
      <w:r w:rsidR="004D1F43">
        <w:rPr>
          <w:b/>
          <w:szCs w:val="20"/>
        </w:rPr>
        <w:fldChar w:fldCharType="separate"/>
      </w:r>
      <w:r>
        <w:rPr>
          <w:b/>
          <w:szCs w:val="20"/>
        </w:rPr>
        <w:fldChar w:fldCharType="end"/>
      </w:r>
      <w:r w:rsidR="006B6390" w:rsidRPr="00AA2CFE">
        <w:rPr>
          <w:b/>
          <w:szCs w:val="20"/>
        </w:rPr>
        <w:t xml:space="preserve"> </w:t>
      </w:r>
      <w:r w:rsidR="006B6390" w:rsidRPr="00AA2CFE">
        <w:rPr>
          <w:rStyle w:val="Strong"/>
          <w:b w:val="0"/>
        </w:rPr>
        <w:t>A new item for a global consultation item(s)</w:t>
      </w:r>
    </w:p>
    <w:p w14:paraId="6DFED44E" w14:textId="77777777" w:rsidR="003027BB" w:rsidRPr="007E39E4" w:rsidRDefault="00F30C22" w:rsidP="00730C04">
      <w:pPr>
        <w:pStyle w:val="Heading2"/>
        <w:numPr>
          <w:ilvl w:val="0"/>
          <w:numId w:val="24"/>
        </w:numPr>
        <w:rPr>
          <w:rStyle w:val="Strong"/>
          <w:rFonts w:asciiTheme="minorHAnsi" w:eastAsiaTheme="minorHAnsi" w:hAnsiTheme="minorHAnsi" w:cstheme="minorBidi"/>
          <w:b/>
        </w:rPr>
      </w:pPr>
      <w:r w:rsidRPr="007E39E4">
        <w:rPr>
          <w:rStyle w:val="Strong"/>
          <w:rFonts w:asciiTheme="minorHAnsi" w:eastAsiaTheme="minorHAnsi" w:hAnsiTheme="minorHAnsi" w:cstheme="minorBidi"/>
          <w:b/>
        </w:rPr>
        <w:t>Is the proposed service seeking public funding other than the MBS?</w:t>
      </w:r>
    </w:p>
    <w:p w14:paraId="6423B13D" w14:textId="77777777" w:rsidR="000A5B32" w:rsidRDefault="000A5B32" w:rsidP="00E531DB">
      <w:pPr>
        <w:spacing w:before="0" w:after="0"/>
        <w:ind w:left="360"/>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4D1F43">
        <w:rPr>
          <w:szCs w:val="20"/>
        </w:rPr>
      </w:r>
      <w:r w:rsidR="004D1F43">
        <w:rPr>
          <w:szCs w:val="20"/>
        </w:rPr>
        <w:fldChar w:fldCharType="separate"/>
      </w:r>
      <w:r w:rsidRPr="000A5B32">
        <w:rPr>
          <w:szCs w:val="20"/>
        </w:rPr>
        <w:fldChar w:fldCharType="end"/>
      </w:r>
      <w:r w:rsidRPr="000A5B32">
        <w:rPr>
          <w:szCs w:val="20"/>
        </w:rPr>
        <w:t xml:space="preserve"> Yes</w:t>
      </w:r>
    </w:p>
    <w:p w14:paraId="52D23343" w14:textId="6296DDD6" w:rsidR="00626365" w:rsidRPr="00626365" w:rsidRDefault="00ED7768" w:rsidP="00E531DB">
      <w:pPr>
        <w:spacing w:before="0" w:after="0"/>
        <w:ind w:left="360"/>
        <w:rPr>
          <w:rStyle w:val="Strong"/>
          <w:rFonts w:asciiTheme="minorHAnsi" w:eastAsiaTheme="minorHAnsi" w:hAnsiTheme="minorHAnsi" w:cstheme="minorBidi"/>
          <w:b w:val="0"/>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4D1F43">
        <w:rPr>
          <w:szCs w:val="20"/>
        </w:rPr>
      </w:r>
      <w:r w:rsidR="004D1F43">
        <w:rPr>
          <w:szCs w:val="20"/>
        </w:rPr>
        <w:fldChar w:fldCharType="separate"/>
      </w:r>
      <w:r>
        <w:rPr>
          <w:szCs w:val="20"/>
        </w:rPr>
        <w:fldChar w:fldCharType="end"/>
      </w:r>
      <w:r w:rsidR="000A5B32" w:rsidRPr="000A5B32">
        <w:rPr>
          <w:szCs w:val="20"/>
        </w:rPr>
        <w:t xml:space="preserve"> No</w:t>
      </w:r>
    </w:p>
    <w:p w14:paraId="65058554" w14:textId="77777777" w:rsidR="003027BB" w:rsidRPr="007E39E4" w:rsidRDefault="003027BB" w:rsidP="00730C04">
      <w:pPr>
        <w:pStyle w:val="Heading2"/>
        <w:numPr>
          <w:ilvl w:val="0"/>
          <w:numId w:val="24"/>
        </w:numPr>
        <w:rPr>
          <w:rStyle w:val="Strong"/>
          <w:rFonts w:asciiTheme="minorHAnsi" w:eastAsiaTheme="minorHAnsi" w:hAnsiTheme="minorHAnsi" w:cstheme="minorBidi"/>
          <w:b/>
        </w:rPr>
      </w:pPr>
      <w:r w:rsidRPr="007E39E4">
        <w:rPr>
          <w:rStyle w:val="Strong"/>
          <w:rFonts w:asciiTheme="minorHAnsi" w:eastAsiaTheme="minorHAnsi" w:hAnsiTheme="minorHAnsi" w:cstheme="minorBidi"/>
          <w:b/>
        </w:rPr>
        <w:t>If yes, please advise:</w:t>
      </w:r>
    </w:p>
    <w:p w14:paraId="1FD8C840" w14:textId="43BC9A6C" w:rsidR="000A5B32" w:rsidRPr="00855944" w:rsidRDefault="00E531DB" w:rsidP="00E531DB">
      <w:pPr>
        <w:ind w:left="284" w:firstLine="76"/>
        <w:rPr>
          <w:rStyle w:val="Strong"/>
        </w:rPr>
      </w:pPr>
      <w:r>
        <w:t>N/A</w:t>
      </w:r>
    </w:p>
    <w:p w14:paraId="5A8705D5" w14:textId="77777777" w:rsidR="000B3CD0" w:rsidRDefault="000B3CD0" w:rsidP="00730C04">
      <w:pPr>
        <w:pStyle w:val="Heading2"/>
      </w:pPr>
      <w:r w:rsidRPr="00154B00">
        <w:t xml:space="preserve">What is the type of </w:t>
      </w:r>
      <w:proofErr w:type="gramStart"/>
      <w:r w:rsidRPr="00154B00">
        <w:t>service:</w:t>
      </w:r>
      <w:proofErr w:type="gramEnd"/>
    </w:p>
    <w:p w14:paraId="08F79A45" w14:textId="77777777" w:rsidR="00A6594E" w:rsidRDefault="00A6594E" w:rsidP="00E531DB">
      <w:pPr>
        <w:spacing w:before="0" w:after="0"/>
        <w:ind w:left="360"/>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4D1F43">
        <w:rPr>
          <w:b/>
          <w:szCs w:val="20"/>
        </w:rPr>
      </w:r>
      <w:r w:rsidR="004D1F43">
        <w:rPr>
          <w:b/>
          <w:szCs w:val="20"/>
        </w:rPr>
        <w:fldChar w:fldCharType="separate"/>
      </w:r>
      <w:r w:rsidRPr="0027105F">
        <w:rPr>
          <w:b/>
          <w:szCs w:val="20"/>
        </w:rPr>
        <w:fldChar w:fldCharType="end"/>
      </w:r>
      <w:r w:rsidRPr="0027105F">
        <w:rPr>
          <w:b/>
          <w:szCs w:val="20"/>
        </w:rPr>
        <w:t xml:space="preserve"> </w:t>
      </w:r>
      <w:r>
        <w:t>Therapeutic medical service</w:t>
      </w:r>
    </w:p>
    <w:p w14:paraId="1DE5ED09" w14:textId="77777777" w:rsidR="00A6594E" w:rsidRDefault="00ED7768" w:rsidP="00E531DB">
      <w:pPr>
        <w:spacing w:before="0" w:after="0"/>
        <w:ind w:left="360"/>
      </w:pPr>
      <w:r>
        <w:rPr>
          <w:b/>
          <w:szCs w:val="20"/>
        </w:rPr>
        <w:fldChar w:fldCharType="begin">
          <w:ffData>
            <w:name w:val=""/>
            <w:enabled/>
            <w:calcOnExit w:val="0"/>
            <w:checkBox>
              <w:sizeAuto/>
              <w:default w:val="1"/>
            </w:checkBox>
          </w:ffData>
        </w:fldChar>
      </w:r>
      <w:r>
        <w:rPr>
          <w:b/>
          <w:szCs w:val="20"/>
        </w:rPr>
        <w:instrText xml:space="preserve"> FORMCHECKBOX </w:instrText>
      </w:r>
      <w:r w:rsidR="004D1F43">
        <w:rPr>
          <w:b/>
          <w:szCs w:val="20"/>
        </w:rPr>
      </w:r>
      <w:r w:rsidR="004D1F43">
        <w:rPr>
          <w:b/>
          <w:szCs w:val="20"/>
        </w:rPr>
        <w:fldChar w:fldCharType="separate"/>
      </w:r>
      <w:r>
        <w:rPr>
          <w:b/>
          <w:szCs w:val="20"/>
        </w:rPr>
        <w:fldChar w:fldCharType="end"/>
      </w:r>
      <w:r w:rsidR="00A6594E" w:rsidRPr="0027105F">
        <w:rPr>
          <w:b/>
          <w:szCs w:val="20"/>
        </w:rPr>
        <w:t xml:space="preserve"> </w:t>
      </w:r>
      <w:r w:rsidR="00A6594E">
        <w:t>Investigative medical service</w:t>
      </w:r>
    </w:p>
    <w:p w14:paraId="18C32CF1" w14:textId="77777777" w:rsidR="00A6594E" w:rsidRDefault="00A6594E" w:rsidP="00E531DB">
      <w:pPr>
        <w:spacing w:before="0" w:after="0"/>
        <w:ind w:left="360"/>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4D1F43">
        <w:rPr>
          <w:b/>
          <w:szCs w:val="20"/>
        </w:rPr>
      </w:r>
      <w:r w:rsidR="004D1F43">
        <w:rPr>
          <w:b/>
          <w:szCs w:val="20"/>
        </w:rPr>
        <w:fldChar w:fldCharType="separate"/>
      </w:r>
      <w:r w:rsidRPr="0027105F">
        <w:rPr>
          <w:b/>
          <w:szCs w:val="20"/>
        </w:rPr>
        <w:fldChar w:fldCharType="end"/>
      </w:r>
      <w:r w:rsidRPr="0027105F">
        <w:rPr>
          <w:b/>
          <w:szCs w:val="20"/>
        </w:rPr>
        <w:t xml:space="preserve"> </w:t>
      </w:r>
      <w:r>
        <w:t>Single consultation medical service</w:t>
      </w:r>
    </w:p>
    <w:p w14:paraId="129FD5A5" w14:textId="77777777" w:rsidR="00A6594E" w:rsidRDefault="00A6594E" w:rsidP="00E531DB">
      <w:pPr>
        <w:spacing w:before="0" w:after="0"/>
        <w:ind w:left="360"/>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4D1F43">
        <w:rPr>
          <w:b/>
          <w:szCs w:val="20"/>
        </w:rPr>
      </w:r>
      <w:r w:rsidR="004D1F43">
        <w:rPr>
          <w:b/>
          <w:szCs w:val="20"/>
        </w:rPr>
        <w:fldChar w:fldCharType="separate"/>
      </w:r>
      <w:r w:rsidRPr="0027105F">
        <w:rPr>
          <w:b/>
          <w:szCs w:val="20"/>
        </w:rPr>
        <w:fldChar w:fldCharType="end"/>
      </w:r>
      <w:r w:rsidRPr="0027105F">
        <w:rPr>
          <w:b/>
          <w:szCs w:val="20"/>
        </w:rPr>
        <w:t xml:space="preserve"> </w:t>
      </w:r>
      <w:r>
        <w:t>Global consultation medical service</w:t>
      </w:r>
    </w:p>
    <w:p w14:paraId="18D3E858" w14:textId="77777777" w:rsidR="00A6594E" w:rsidRDefault="00A6594E" w:rsidP="00E531DB">
      <w:pPr>
        <w:spacing w:before="0" w:after="0"/>
        <w:ind w:left="360"/>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4D1F43">
        <w:rPr>
          <w:b/>
          <w:szCs w:val="20"/>
        </w:rPr>
      </w:r>
      <w:r w:rsidR="004D1F43">
        <w:rPr>
          <w:b/>
          <w:szCs w:val="20"/>
        </w:rPr>
        <w:fldChar w:fldCharType="separate"/>
      </w:r>
      <w:r w:rsidRPr="0027105F">
        <w:rPr>
          <w:b/>
          <w:szCs w:val="20"/>
        </w:rPr>
        <w:fldChar w:fldCharType="end"/>
      </w:r>
      <w:r w:rsidRPr="0027105F">
        <w:rPr>
          <w:b/>
          <w:szCs w:val="20"/>
        </w:rPr>
        <w:t xml:space="preserve"> </w:t>
      </w:r>
      <w:r>
        <w:t>Allied health service</w:t>
      </w:r>
    </w:p>
    <w:p w14:paraId="148543CD" w14:textId="77777777" w:rsidR="00A6594E" w:rsidRDefault="00A6594E" w:rsidP="00E531DB">
      <w:pPr>
        <w:spacing w:before="0" w:after="0"/>
        <w:ind w:left="360"/>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4D1F43">
        <w:rPr>
          <w:b/>
          <w:szCs w:val="20"/>
        </w:rPr>
      </w:r>
      <w:r w:rsidR="004D1F43">
        <w:rPr>
          <w:b/>
          <w:szCs w:val="20"/>
        </w:rPr>
        <w:fldChar w:fldCharType="separate"/>
      </w:r>
      <w:r w:rsidRPr="0027105F">
        <w:rPr>
          <w:b/>
          <w:szCs w:val="20"/>
        </w:rPr>
        <w:fldChar w:fldCharType="end"/>
      </w:r>
      <w:r w:rsidRPr="0027105F">
        <w:rPr>
          <w:b/>
          <w:szCs w:val="20"/>
        </w:rPr>
        <w:t xml:space="preserve"> </w:t>
      </w:r>
      <w:r>
        <w:t>Co-dependent technology</w:t>
      </w:r>
    </w:p>
    <w:p w14:paraId="5786BC0E" w14:textId="77777777" w:rsidR="00A6594E" w:rsidRPr="00A6594E" w:rsidRDefault="00A6594E" w:rsidP="00E531DB">
      <w:pPr>
        <w:spacing w:before="0" w:after="0"/>
        <w:ind w:left="360"/>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4D1F43">
        <w:rPr>
          <w:b/>
          <w:szCs w:val="20"/>
        </w:rPr>
      </w:r>
      <w:r w:rsidR="004D1F43">
        <w:rPr>
          <w:b/>
          <w:szCs w:val="20"/>
        </w:rPr>
        <w:fldChar w:fldCharType="separate"/>
      </w:r>
      <w:r w:rsidRPr="0027105F">
        <w:rPr>
          <w:b/>
          <w:szCs w:val="20"/>
        </w:rPr>
        <w:fldChar w:fldCharType="end"/>
      </w:r>
      <w:r w:rsidRPr="0027105F">
        <w:rPr>
          <w:b/>
          <w:szCs w:val="20"/>
        </w:rPr>
        <w:t xml:space="preserve"> </w:t>
      </w:r>
      <w:r>
        <w:t>Hybrid health technology</w:t>
      </w:r>
    </w:p>
    <w:p w14:paraId="66E941D8" w14:textId="77777777" w:rsidR="0054594B" w:rsidRDefault="0054594B" w:rsidP="00730C04">
      <w:pPr>
        <w:pStyle w:val="Heading2"/>
      </w:pPr>
      <w:r w:rsidRPr="00154B00">
        <w:t xml:space="preserve">For investigative services, </w:t>
      </w:r>
      <w:r w:rsidR="00154B00" w:rsidRPr="00154B00">
        <w:t>advise</w:t>
      </w:r>
      <w:r w:rsidRPr="00154B00">
        <w:t xml:space="preserve"> the specific purpose of performing the service </w:t>
      </w:r>
      <w:r w:rsidRPr="00154B00">
        <w:rPr>
          <w:i/>
        </w:rPr>
        <w:t>(which could be one or more of the following</w:t>
      </w:r>
      <w:r w:rsidR="00154B00" w:rsidRPr="00154B00">
        <w:rPr>
          <w:i/>
        </w:rPr>
        <w:t>)</w:t>
      </w:r>
      <w:r w:rsidRPr="00154B00">
        <w:t>:</w:t>
      </w:r>
    </w:p>
    <w:p w14:paraId="1D8FF6BA" w14:textId="77777777" w:rsidR="00A6594E" w:rsidRDefault="00A6594E" w:rsidP="00AF4466">
      <w:pPr>
        <w:pStyle w:val="ListParagraph"/>
        <w:numPr>
          <w:ilvl w:val="0"/>
          <w:numId w:val="36"/>
        </w:numPr>
        <w:spacing w:before="0" w:after="0"/>
        <w:ind w:left="851" w:hanging="425"/>
      </w:pPr>
      <w:r w:rsidRPr="00AF4466">
        <w:rPr>
          <w:b/>
          <w:szCs w:val="20"/>
        </w:rPr>
        <w:fldChar w:fldCharType="begin">
          <w:ffData>
            <w:name w:val="Check2"/>
            <w:enabled/>
            <w:calcOnExit w:val="0"/>
            <w:checkBox>
              <w:sizeAuto/>
              <w:default w:val="0"/>
            </w:checkBox>
          </w:ffData>
        </w:fldChar>
      </w:r>
      <w:r w:rsidRPr="00AF4466">
        <w:rPr>
          <w:b/>
          <w:szCs w:val="20"/>
        </w:rPr>
        <w:instrText xml:space="preserve"> FORMCHECKBOX </w:instrText>
      </w:r>
      <w:r w:rsidR="004D1F43">
        <w:rPr>
          <w:b/>
          <w:szCs w:val="20"/>
        </w:rPr>
      </w:r>
      <w:r w:rsidR="004D1F43">
        <w:rPr>
          <w:b/>
          <w:szCs w:val="20"/>
        </w:rPr>
        <w:fldChar w:fldCharType="separate"/>
      </w:r>
      <w:r w:rsidRPr="00AF4466">
        <w:rPr>
          <w:b/>
          <w:szCs w:val="20"/>
        </w:rPr>
        <w:fldChar w:fldCharType="end"/>
      </w:r>
      <w:r w:rsidRPr="00AF4466">
        <w:rPr>
          <w:b/>
          <w:szCs w:val="20"/>
        </w:rPr>
        <w:t xml:space="preserve"> </w:t>
      </w:r>
      <w:r>
        <w:t xml:space="preserve">To be used as a screening tool in asymptomatic populations </w:t>
      </w:r>
    </w:p>
    <w:p w14:paraId="36F90FB1" w14:textId="77777777" w:rsidR="00A6594E" w:rsidRDefault="00ED7768" w:rsidP="00AF4466">
      <w:pPr>
        <w:pStyle w:val="ListParagraph"/>
        <w:numPr>
          <w:ilvl w:val="0"/>
          <w:numId w:val="36"/>
        </w:numPr>
        <w:spacing w:before="0" w:after="0"/>
        <w:ind w:left="851" w:hanging="425"/>
      </w:pPr>
      <w:r>
        <w:rPr>
          <w:b/>
          <w:szCs w:val="20"/>
        </w:rPr>
        <w:fldChar w:fldCharType="begin">
          <w:ffData>
            <w:name w:val=""/>
            <w:enabled/>
            <w:calcOnExit w:val="0"/>
            <w:checkBox>
              <w:sizeAuto/>
              <w:default w:val="1"/>
            </w:checkBox>
          </w:ffData>
        </w:fldChar>
      </w:r>
      <w:r>
        <w:rPr>
          <w:b/>
          <w:szCs w:val="20"/>
        </w:rPr>
        <w:instrText xml:space="preserve"> FORMCHECKBOX </w:instrText>
      </w:r>
      <w:r w:rsidR="004D1F43">
        <w:rPr>
          <w:b/>
          <w:szCs w:val="20"/>
        </w:rPr>
      </w:r>
      <w:r w:rsidR="004D1F43">
        <w:rPr>
          <w:b/>
          <w:szCs w:val="20"/>
        </w:rPr>
        <w:fldChar w:fldCharType="separate"/>
      </w:r>
      <w:r>
        <w:rPr>
          <w:b/>
          <w:szCs w:val="20"/>
        </w:rPr>
        <w:fldChar w:fldCharType="end"/>
      </w:r>
      <w:r w:rsidR="00A6594E" w:rsidRPr="00AF4466">
        <w:rPr>
          <w:b/>
          <w:szCs w:val="20"/>
        </w:rPr>
        <w:t xml:space="preserve"> </w:t>
      </w:r>
      <w:r w:rsidR="00A6594E">
        <w:t>Assists in establishing a diagnosis in symptomatic patients</w:t>
      </w:r>
    </w:p>
    <w:p w14:paraId="0BDBD624" w14:textId="77777777" w:rsidR="00A6594E" w:rsidRDefault="00ED7768" w:rsidP="00AF4466">
      <w:pPr>
        <w:pStyle w:val="ListParagraph"/>
        <w:numPr>
          <w:ilvl w:val="0"/>
          <w:numId w:val="36"/>
        </w:numPr>
        <w:spacing w:before="0" w:after="0"/>
        <w:ind w:left="851" w:hanging="425"/>
      </w:pPr>
      <w:r>
        <w:rPr>
          <w:b/>
          <w:szCs w:val="20"/>
        </w:rPr>
        <w:fldChar w:fldCharType="begin">
          <w:ffData>
            <w:name w:val=""/>
            <w:enabled/>
            <w:calcOnExit w:val="0"/>
            <w:checkBox>
              <w:sizeAuto/>
              <w:default w:val="1"/>
            </w:checkBox>
          </w:ffData>
        </w:fldChar>
      </w:r>
      <w:r>
        <w:rPr>
          <w:b/>
          <w:szCs w:val="20"/>
        </w:rPr>
        <w:instrText xml:space="preserve"> FORMCHECKBOX </w:instrText>
      </w:r>
      <w:r w:rsidR="004D1F43">
        <w:rPr>
          <w:b/>
          <w:szCs w:val="20"/>
        </w:rPr>
      </w:r>
      <w:r w:rsidR="004D1F43">
        <w:rPr>
          <w:b/>
          <w:szCs w:val="20"/>
        </w:rPr>
        <w:fldChar w:fldCharType="separate"/>
      </w:r>
      <w:r>
        <w:rPr>
          <w:b/>
          <w:szCs w:val="20"/>
        </w:rPr>
        <w:fldChar w:fldCharType="end"/>
      </w:r>
      <w:r w:rsidR="00A6594E" w:rsidRPr="00AF4466">
        <w:rPr>
          <w:b/>
          <w:szCs w:val="20"/>
        </w:rPr>
        <w:t xml:space="preserve"> </w:t>
      </w:r>
      <w:r w:rsidR="00A6594E">
        <w:t>Provides information about prognosis</w:t>
      </w:r>
    </w:p>
    <w:p w14:paraId="0BB2D895" w14:textId="4CC890F9" w:rsidR="00A6594E" w:rsidRDefault="00C439AE" w:rsidP="00AF4466">
      <w:pPr>
        <w:pStyle w:val="ListParagraph"/>
        <w:numPr>
          <w:ilvl w:val="0"/>
          <w:numId w:val="36"/>
        </w:numPr>
        <w:spacing w:before="0" w:after="0"/>
        <w:ind w:left="851" w:hanging="425"/>
      </w:pPr>
      <w:r w:rsidRPr="00C439AE">
        <w:rPr>
          <w:b/>
          <w:color w:val="000000" w:themeColor="text1"/>
          <w:szCs w:val="20"/>
        </w:rPr>
        <w:fldChar w:fldCharType="begin">
          <w:ffData>
            <w:name w:val=""/>
            <w:enabled/>
            <w:calcOnExit w:val="0"/>
            <w:checkBox>
              <w:sizeAuto/>
              <w:default w:val="1"/>
            </w:checkBox>
          </w:ffData>
        </w:fldChar>
      </w:r>
      <w:r w:rsidRPr="00C439AE">
        <w:rPr>
          <w:b/>
          <w:color w:val="000000" w:themeColor="text1"/>
          <w:szCs w:val="20"/>
        </w:rPr>
        <w:instrText xml:space="preserve"> FORMCHECKBOX </w:instrText>
      </w:r>
      <w:r w:rsidR="004D1F43">
        <w:rPr>
          <w:b/>
          <w:color w:val="000000" w:themeColor="text1"/>
          <w:szCs w:val="20"/>
        </w:rPr>
      </w:r>
      <w:r w:rsidR="004D1F43">
        <w:rPr>
          <w:b/>
          <w:color w:val="000000" w:themeColor="text1"/>
          <w:szCs w:val="20"/>
        </w:rPr>
        <w:fldChar w:fldCharType="separate"/>
      </w:r>
      <w:r w:rsidRPr="00C439AE">
        <w:rPr>
          <w:b/>
          <w:color w:val="000000" w:themeColor="text1"/>
          <w:szCs w:val="20"/>
        </w:rPr>
        <w:fldChar w:fldCharType="end"/>
      </w:r>
      <w:r w:rsidR="00A6594E" w:rsidRPr="00AF4466">
        <w:rPr>
          <w:b/>
          <w:szCs w:val="20"/>
        </w:rPr>
        <w:t xml:space="preserve"> </w:t>
      </w:r>
      <w:r w:rsidR="00A6594E">
        <w:t>Identifies a patient as suitable for therapy by predicting a variation in the effect of the therapy</w:t>
      </w:r>
    </w:p>
    <w:p w14:paraId="672B73C4" w14:textId="77777777" w:rsidR="00A6594E" w:rsidRDefault="00A6594E" w:rsidP="00AF4466">
      <w:pPr>
        <w:pStyle w:val="ListParagraph"/>
        <w:numPr>
          <w:ilvl w:val="0"/>
          <w:numId w:val="36"/>
        </w:numPr>
        <w:spacing w:before="0" w:after="0"/>
        <w:ind w:left="851" w:hanging="425"/>
      </w:pPr>
      <w:r w:rsidRPr="00AF4466">
        <w:rPr>
          <w:b/>
          <w:szCs w:val="20"/>
        </w:rPr>
        <w:fldChar w:fldCharType="begin">
          <w:ffData>
            <w:name w:val="Check2"/>
            <w:enabled/>
            <w:calcOnExit w:val="0"/>
            <w:checkBox>
              <w:sizeAuto/>
              <w:default w:val="0"/>
            </w:checkBox>
          </w:ffData>
        </w:fldChar>
      </w:r>
      <w:r w:rsidRPr="00AF4466">
        <w:rPr>
          <w:b/>
          <w:szCs w:val="20"/>
        </w:rPr>
        <w:instrText xml:space="preserve"> FORMCHECKBOX </w:instrText>
      </w:r>
      <w:r w:rsidR="004D1F43">
        <w:rPr>
          <w:b/>
          <w:szCs w:val="20"/>
        </w:rPr>
      </w:r>
      <w:r w:rsidR="004D1F43">
        <w:rPr>
          <w:b/>
          <w:szCs w:val="20"/>
        </w:rPr>
        <w:fldChar w:fldCharType="separate"/>
      </w:r>
      <w:r w:rsidRPr="00AF4466">
        <w:rPr>
          <w:b/>
          <w:szCs w:val="20"/>
        </w:rPr>
        <w:fldChar w:fldCharType="end"/>
      </w:r>
      <w:r w:rsidRPr="00AF4466">
        <w:rPr>
          <w:b/>
          <w:szCs w:val="20"/>
        </w:rPr>
        <w:t xml:space="preserve"> </w:t>
      </w:r>
      <w:r>
        <w:t>Monitors a patient over time to assess treatment response and guide subsequent treatment decisions</w:t>
      </w:r>
    </w:p>
    <w:p w14:paraId="0905036B" w14:textId="77777777" w:rsidR="001D2D48" w:rsidRPr="00A6594E" w:rsidRDefault="001E008A" w:rsidP="00AF4466">
      <w:pPr>
        <w:pStyle w:val="ListParagraph"/>
        <w:numPr>
          <w:ilvl w:val="0"/>
          <w:numId w:val="36"/>
        </w:numPr>
        <w:spacing w:before="0" w:after="0"/>
        <w:ind w:left="851" w:hanging="425"/>
      </w:pPr>
      <w:r>
        <w:rPr>
          <w:b/>
          <w:szCs w:val="20"/>
        </w:rPr>
        <w:fldChar w:fldCharType="begin">
          <w:ffData>
            <w:name w:val=""/>
            <w:enabled/>
            <w:calcOnExit w:val="0"/>
            <w:checkBox>
              <w:sizeAuto/>
              <w:default w:val="1"/>
            </w:checkBox>
          </w:ffData>
        </w:fldChar>
      </w:r>
      <w:r>
        <w:rPr>
          <w:b/>
          <w:szCs w:val="20"/>
        </w:rPr>
        <w:instrText xml:space="preserve"> FORMCHECKBOX </w:instrText>
      </w:r>
      <w:r w:rsidR="004D1F43">
        <w:rPr>
          <w:b/>
          <w:szCs w:val="20"/>
        </w:rPr>
      </w:r>
      <w:r w:rsidR="004D1F43">
        <w:rPr>
          <w:b/>
          <w:szCs w:val="20"/>
        </w:rPr>
        <w:fldChar w:fldCharType="separate"/>
      </w:r>
      <w:r>
        <w:rPr>
          <w:b/>
          <w:szCs w:val="20"/>
        </w:rPr>
        <w:fldChar w:fldCharType="end"/>
      </w:r>
      <w:r w:rsidR="001D2D48">
        <w:t xml:space="preserve"> Is for genetic testing for heritable mutations in clinically affected individuals and, when also appropriate, in family members of those individuals who test positive for one or more relevant mutations (and thus for which the Clinical Utility Card proforma might apply)</w:t>
      </w:r>
    </w:p>
    <w:p w14:paraId="2060D1DA" w14:textId="77777777" w:rsidR="000B3CD0" w:rsidRDefault="000B3CD0" w:rsidP="00730C04">
      <w:pPr>
        <w:pStyle w:val="Heading2"/>
      </w:pPr>
      <w:r w:rsidRPr="00154B00">
        <w:t xml:space="preserve">Does </w:t>
      </w:r>
      <w:r w:rsidR="00C209C2">
        <w:t>your</w:t>
      </w:r>
      <w:r w:rsidRPr="00154B00">
        <w:t xml:space="preserve"> service rely on another medical </w:t>
      </w:r>
      <w:r w:rsidR="001E1180">
        <w:t>product</w:t>
      </w:r>
      <w:r w:rsidRPr="00154B00">
        <w:t xml:space="preserve"> to achieve or to enhance its intended effect?</w:t>
      </w:r>
    </w:p>
    <w:p w14:paraId="3D5F5197" w14:textId="77777777" w:rsidR="00FE16C1" w:rsidRDefault="00FE16C1" w:rsidP="00E531DB">
      <w:pPr>
        <w:spacing w:before="0" w:after="0"/>
        <w:ind w:left="360"/>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4D1F43">
        <w:rPr>
          <w:b/>
          <w:szCs w:val="20"/>
        </w:rPr>
      </w:r>
      <w:r w:rsidR="004D1F43">
        <w:rPr>
          <w:b/>
          <w:szCs w:val="20"/>
        </w:rPr>
        <w:fldChar w:fldCharType="separate"/>
      </w:r>
      <w:r w:rsidRPr="0027105F">
        <w:rPr>
          <w:b/>
          <w:szCs w:val="20"/>
        </w:rPr>
        <w:fldChar w:fldCharType="end"/>
      </w:r>
      <w:r w:rsidRPr="0027105F">
        <w:rPr>
          <w:b/>
          <w:szCs w:val="20"/>
        </w:rPr>
        <w:t xml:space="preserve"> </w:t>
      </w:r>
      <w:r>
        <w:t>Pharmaceutical / Biological</w:t>
      </w:r>
    </w:p>
    <w:p w14:paraId="0CC9ECF1" w14:textId="77777777" w:rsidR="00FE16C1" w:rsidRDefault="00FE16C1" w:rsidP="00E531DB">
      <w:pPr>
        <w:spacing w:before="0" w:after="0"/>
        <w:ind w:left="360"/>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4D1F43">
        <w:rPr>
          <w:b/>
          <w:szCs w:val="20"/>
        </w:rPr>
      </w:r>
      <w:r w:rsidR="004D1F43">
        <w:rPr>
          <w:b/>
          <w:szCs w:val="20"/>
        </w:rPr>
        <w:fldChar w:fldCharType="separate"/>
      </w:r>
      <w:r w:rsidRPr="0027105F">
        <w:rPr>
          <w:b/>
          <w:szCs w:val="20"/>
        </w:rPr>
        <w:fldChar w:fldCharType="end"/>
      </w:r>
      <w:r w:rsidRPr="0027105F">
        <w:rPr>
          <w:b/>
          <w:szCs w:val="20"/>
        </w:rPr>
        <w:t xml:space="preserve"> </w:t>
      </w:r>
      <w:r>
        <w:t>Prosthesis or device</w:t>
      </w:r>
    </w:p>
    <w:p w14:paraId="3993A049" w14:textId="77777777" w:rsidR="00FE16C1" w:rsidRPr="00FE16C1" w:rsidRDefault="00ED7768" w:rsidP="00E531DB">
      <w:pPr>
        <w:spacing w:before="0" w:after="0"/>
        <w:ind w:left="360"/>
      </w:pPr>
      <w:r>
        <w:rPr>
          <w:b/>
          <w:szCs w:val="20"/>
        </w:rPr>
        <w:fldChar w:fldCharType="begin">
          <w:ffData>
            <w:name w:val=""/>
            <w:enabled/>
            <w:calcOnExit w:val="0"/>
            <w:checkBox>
              <w:sizeAuto/>
              <w:default w:val="1"/>
            </w:checkBox>
          </w:ffData>
        </w:fldChar>
      </w:r>
      <w:r>
        <w:rPr>
          <w:b/>
          <w:szCs w:val="20"/>
        </w:rPr>
        <w:instrText xml:space="preserve"> FORMCHECKBOX </w:instrText>
      </w:r>
      <w:r w:rsidR="004D1F43">
        <w:rPr>
          <w:b/>
          <w:szCs w:val="20"/>
        </w:rPr>
      </w:r>
      <w:r w:rsidR="004D1F43">
        <w:rPr>
          <w:b/>
          <w:szCs w:val="20"/>
        </w:rPr>
        <w:fldChar w:fldCharType="separate"/>
      </w:r>
      <w:r>
        <w:rPr>
          <w:b/>
          <w:szCs w:val="20"/>
        </w:rPr>
        <w:fldChar w:fldCharType="end"/>
      </w:r>
      <w:r w:rsidR="00FE16C1" w:rsidRPr="0027105F">
        <w:rPr>
          <w:b/>
          <w:szCs w:val="20"/>
        </w:rPr>
        <w:t xml:space="preserve"> </w:t>
      </w:r>
      <w:r w:rsidR="00FE16C1">
        <w:t>No</w:t>
      </w:r>
    </w:p>
    <w:p w14:paraId="6F78D5FA" w14:textId="77777777" w:rsidR="000E5439" w:rsidRPr="001E6958" w:rsidRDefault="00530204" w:rsidP="00730C04">
      <w:pPr>
        <w:pStyle w:val="Heading2"/>
      </w:pPr>
      <w:r>
        <w:t xml:space="preserve">(a)  </w:t>
      </w:r>
      <w:r w:rsidR="000E5439" w:rsidRPr="001E6958">
        <w:t>If the proposed service has a pharmaceutical component to it, is it already covered under an existing Pharmaceutical Benefits Scheme (PBS) listing?</w:t>
      </w:r>
    </w:p>
    <w:p w14:paraId="09B5C046" w14:textId="77777777" w:rsidR="00FE16C1" w:rsidRDefault="00FE16C1" w:rsidP="00E531DB">
      <w:pPr>
        <w:spacing w:before="0" w:after="0"/>
        <w:ind w:left="360"/>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4D1F43">
        <w:rPr>
          <w:szCs w:val="20"/>
        </w:rPr>
      </w:r>
      <w:r w:rsidR="004D1F43">
        <w:rPr>
          <w:szCs w:val="20"/>
        </w:rPr>
        <w:fldChar w:fldCharType="separate"/>
      </w:r>
      <w:r w:rsidRPr="000A5B32">
        <w:rPr>
          <w:szCs w:val="20"/>
        </w:rPr>
        <w:fldChar w:fldCharType="end"/>
      </w:r>
      <w:r w:rsidRPr="000A5B32">
        <w:rPr>
          <w:szCs w:val="20"/>
        </w:rPr>
        <w:t xml:space="preserve"> Yes</w:t>
      </w:r>
    </w:p>
    <w:p w14:paraId="1C9DF900" w14:textId="77777777" w:rsidR="00FE16C1" w:rsidRPr="00FE16C1" w:rsidRDefault="00ED7768" w:rsidP="00E531DB">
      <w:pPr>
        <w:spacing w:before="0" w:after="0"/>
        <w:ind w:left="360"/>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4D1F43">
        <w:rPr>
          <w:szCs w:val="20"/>
        </w:rPr>
      </w:r>
      <w:r w:rsidR="004D1F43">
        <w:rPr>
          <w:szCs w:val="20"/>
        </w:rPr>
        <w:fldChar w:fldCharType="separate"/>
      </w:r>
      <w:r>
        <w:rPr>
          <w:szCs w:val="20"/>
        </w:rPr>
        <w:fldChar w:fldCharType="end"/>
      </w:r>
      <w:r w:rsidR="00FE16C1">
        <w:rPr>
          <w:szCs w:val="20"/>
        </w:rPr>
        <w:t xml:space="preserve"> No  </w:t>
      </w:r>
    </w:p>
    <w:p w14:paraId="17039637" w14:textId="77777777" w:rsidR="00E531DB" w:rsidRDefault="00E531DB">
      <w:pPr>
        <w:spacing w:before="0" w:after="200" w:line="276" w:lineRule="auto"/>
        <w:rPr>
          <w:b/>
          <w:szCs w:val="20"/>
        </w:rPr>
      </w:pPr>
      <w:r>
        <w:br w:type="page"/>
      </w:r>
    </w:p>
    <w:p w14:paraId="736637FC" w14:textId="357CFD06" w:rsidR="00EC127A" w:rsidRPr="001E6958" w:rsidRDefault="000E5439" w:rsidP="00530204">
      <w:pPr>
        <w:pStyle w:val="Heading2"/>
        <w:numPr>
          <w:ilvl w:val="0"/>
          <w:numId w:val="25"/>
        </w:numPr>
      </w:pPr>
      <w:r w:rsidRPr="001E6958">
        <w:lastRenderedPageBreak/>
        <w:t xml:space="preserve">If yes, </w:t>
      </w:r>
      <w:r w:rsidR="00BB003A" w:rsidRPr="001E6958">
        <w:t>please list</w:t>
      </w:r>
      <w:r w:rsidRPr="001E6958">
        <w:t xml:space="preserve"> the</w:t>
      </w:r>
      <w:r w:rsidR="00BB003A" w:rsidRPr="001E6958">
        <w:t xml:space="preserve"> relevant</w:t>
      </w:r>
      <w:r w:rsidRPr="001E6958">
        <w:t xml:space="preserve"> PBS </w:t>
      </w:r>
      <w:r w:rsidR="001E23EA" w:rsidRPr="001E6958">
        <w:t>item code</w:t>
      </w:r>
      <w:r w:rsidRPr="001E6958">
        <w:t>(s)</w:t>
      </w:r>
      <w:r w:rsidR="007E39E4" w:rsidRPr="001E6958">
        <w:t>:</w:t>
      </w:r>
    </w:p>
    <w:p w14:paraId="337EA739" w14:textId="7EC4E4E6" w:rsidR="007E39E4" w:rsidRPr="007E39E4" w:rsidRDefault="00E531DB" w:rsidP="00E531DB">
      <w:pPr>
        <w:ind w:left="284" w:firstLine="76"/>
        <w:rPr>
          <w:b/>
          <w:szCs w:val="20"/>
        </w:rPr>
      </w:pPr>
      <w:r>
        <w:t>N/A</w:t>
      </w:r>
    </w:p>
    <w:p w14:paraId="1CE2061C" w14:textId="77777777" w:rsidR="00411735" w:rsidRPr="001E6958" w:rsidRDefault="00411735" w:rsidP="00530204">
      <w:pPr>
        <w:pStyle w:val="Heading2"/>
        <w:numPr>
          <w:ilvl w:val="0"/>
          <w:numId w:val="25"/>
        </w:numPr>
      </w:pPr>
      <w:r w:rsidRPr="001E6958">
        <w:t xml:space="preserve">If no, is an application </w:t>
      </w:r>
      <w:r w:rsidR="001E23EA" w:rsidRPr="001E6958">
        <w:t xml:space="preserve">(submission) </w:t>
      </w:r>
      <w:r w:rsidRPr="001E6958">
        <w:t xml:space="preserve">in the process of being considered by the </w:t>
      </w:r>
      <w:r w:rsidR="00802553" w:rsidRPr="001E6958">
        <w:t>Pharmaceutical Benefits Advisory Committee (</w:t>
      </w:r>
      <w:r w:rsidRPr="001E6958">
        <w:t>PBAC</w:t>
      </w:r>
      <w:r w:rsidR="00802553" w:rsidRPr="001E6958">
        <w:t>)</w:t>
      </w:r>
      <w:r w:rsidRPr="001E6958">
        <w:t>?</w:t>
      </w:r>
    </w:p>
    <w:p w14:paraId="26110FD4" w14:textId="77777777" w:rsidR="007E39E4" w:rsidRDefault="007E39E4" w:rsidP="00E531DB">
      <w:pPr>
        <w:spacing w:before="0" w:after="0"/>
        <w:ind w:left="360"/>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4D1F43">
        <w:rPr>
          <w:szCs w:val="20"/>
        </w:rPr>
      </w:r>
      <w:r w:rsidR="004D1F43">
        <w:rPr>
          <w:szCs w:val="20"/>
        </w:rPr>
        <w:fldChar w:fldCharType="separate"/>
      </w:r>
      <w:r w:rsidRPr="000A5B32">
        <w:rPr>
          <w:szCs w:val="20"/>
        </w:rPr>
        <w:fldChar w:fldCharType="end"/>
      </w:r>
      <w:r w:rsidRPr="000A5B32">
        <w:rPr>
          <w:szCs w:val="20"/>
        </w:rPr>
        <w:t xml:space="preserve"> Yes</w:t>
      </w:r>
      <w:r w:rsidR="001E6919">
        <w:rPr>
          <w:szCs w:val="20"/>
        </w:rPr>
        <w:t xml:space="preserve"> (please provide PBAC submission item number below)</w:t>
      </w:r>
    </w:p>
    <w:p w14:paraId="7798FF92" w14:textId="77777777" w:rsidR="001E6919" w:rsidRDefault="00ED7768" w:rsidP="00E531DB">
      <w:pPr>
        <w:spacing w:before="0"/>
        <w:ind w:left="360"/>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4D1F43">
        <w:rPr>
          <w:szCs w:val="20"/>
        </w:rPr>
      </w:r>
      <w:r w:rsidR="004D1F43">
        <w:rPr>
          <w:szCs w:val="20"/>
        </w:rPr>
        <w:fldChar w:fldCharType="separate"/>
      </w:r>
      <w:r>
        <w:rPr>
          <w:szCs w:val="20"/>
        </w:rPr>
        <w:fldChar w:fldCharType="end"/>
      </w:r>
      <w:r w:rsidR="001E6919">
        <w:rPr>
          <w:szCs w:val="20"/>
        </w:rPr>
        <w:t xml:space="preserve"> No</w:t>
      </w:r>
    </w:p>
    <w:p w14:paraId="3D7A53A7" w14:textId="77777777" w:rsidR="000E5439" w:rsidRDefault="000E5439" w:rsidP="00530204">
      <w:pPr>
        <w:pStyle w:val="Heading2"/>
        <w:numPr>
          <w:ilvl w:val="0"/>
          <w:numId w:val="25"/>
        </w:numPr>
      </w:pPr>
      <w:r w:rsidRPr="007E39E4">
        <w:t>If you are seeking both MBS and PBS listing</w:t>
      </w:r>
      <w:r w:rsidR="00B75965" w:rsidRPr="007E39E4">
        <w:t>, what is the trade name and generic name of the pharmaceutical?</w:t>
      </w:r>
    </w:p>
    <w:p w14:paraId="7F586C81" w14:textId="77777777" w:rsidR="00E531DB" w:rsidRPr="00E531DB" w:rsidRDefault="00E531DB" w:rsidP="00E531DB">
      <w:pPr>
        <w:ind w:left="360"/>
        <w:rPr>
          <w:b/>
          <w:szCs w:val="20"/>
        </w:rPr>
      </w:pPr>
      <w:r>
        <w:t>N/A</w:t>
      </w:r>
    </w:p>
    <w:p w14:paraId="42292BFC" w14:textId="77777777" w:rsidR="00B75965" w:rsidRDefault="00530204" w:rsidP="00530204">
      <w:pPr>
        <w:pStyle w:val="Heading2"/>
      </w:pPr>
      <w:r>
        <w:t xml:space="preserve">(a) </w:t>
      </w:r>
      <w:r w:rsidR="00B75965" w:rsidRPr="00154B00">
        <w:t xml:space="preserve">If the proposed service </w:t>
      </w:r>
      <w:r w:rsidR="00A9062D">
        <w:t xml:space="preserve">is </w:t>
      </w:r>
      <w:r w:rsidR="00C73B62">
        <w:t>dependent on</w:t>
      </w:r>
      <w:r w:rsidR="00A9062D">
        <w:t xml:space="preserve"> </w:t>
      </w:r>
      <w:r w:rsidR="00BB003A">
        <w:t xml:space="preserve">the use of </w:t>
      </w:r>
      <w:r w:rsidR="00C05A45">
        <w:t>a prosthesis</w:t>
      </w:r>
      <w:r w:rsidR="00CD4E44">
        <w:t>,</w:t>
      </w:r>
      <w:r w:rsidR="00C05A45">
        <w:t xml:space="preserve"> </w:t>
      </w:r>
      <w:r w:rsidR="00B75965" w:rsidRPr="00154B00">
        <w:t>is it already included on the Prosthes</w:t>
      </w:r>
      <w:r w:rsidR="00BB003A">
        <w:t>e</w:t>
      </w:r>
      <w:r w:rsidR="00B75965" w:rsidRPr="00154B00">
        <w:t>s List?</w:t>
      </w:r>
    </w:p>
    <w:p w14:paraId="40893FAF" w14:textId="77777777" w:rsidR="001E6958" w:rsidRDefault="001E6958" w:rsidP="00E531DB">
      <w:pPr>
        <w:spacing w:before="0" w:after="0"/>
        <w:ind w:left="360"/>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4D1F43">
        <w:rPr>
          <w:szCs w:val="20"/>
        </w:rPr>
      </w:r>
      <w:r w:rsidR="004D1F43">
        <w:rPr>
          <w:szCs w:val="20"/>
        </w:rPr>
        <w:fldChar w:fldCharType="separate"/>
      </w:r>
      <w:r w:rsidRPr="000A5B32">
        <w:rPr>
          <w:szCs w:val="20"/>
        </w:rPr>
        <w:fldChar w:fldCharType="end"/>
      </w:r>
      <w:r w:rsidRPr="000A5B32">
        <w:rPr>
          <w:szCs w:val="20"/>
        </w:rPr>
        <w:t xml:space="preserve"> Yes</w:t>
      </w:r>
    </w:p>
    <w:p w14:paraId="6C5CEDF2" w14:textId="77777777" w:rsidR="001E6958" w:rsidRDefault="00ED7768" w:rsidP="00E531DB">
      <w:pPr>
        <w:spacing w:before="0" w:after="0"/>
        <w:ind w:left="360"/>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4D1F43">
        <w:rPr>
          <w:szCs w:val="20"/>
        </w:rPr>
      </w:r>
      <w:r w:rsidR="004D1F43">
        <w:rPr>
          <w:szCs w:val="20"/>
        </w:rPr>
        <w:fldChar w:fldCharType="separate"/>
      </w:r>
      <w:r>
        <w:rPr>
          <w:szCs w:val="20"/>
        </w:rPr>
        <w:fldChar w:fldCharType="end"/>
      </w:r>
      <w:r w:rsidR="001E6958">
        <w:rPr>
          <w:szCs w:val="20"/>
        </w:rPr>
        <w:t xml:space="preserve"> No  </w:t>
      </w:r>
    </w:p>
    <w:p w14:paraId="4ABF8A88" w14:textId="77777777" w:rsidR="001E6919" w:rsidRPr="001E6958" w:rsidRDefault="001E6919" w:rsidP="00A6491A">
      <w:pPr>
        <w:spacing w:before="0" w:after="0"/>
        <w:ind w:left="284"/>
        <w:rPr>
          <w:szCs w:val="20"/>
        </w:rPr>
      </w:pPr>
    </w:p>
    <w:p w14:paraId="313254A1" w14:textId="77777777" w:rsidR="00B75965" w:rsidRDefault="00B75965" w:rsidP="00530204">
      <w:pPr>
        <w:pStyle w:val="Heading2"/>
        <w:numPr>
          <w:ilvl w:val="0"/>
          <w:numId w:val="26"/>
        </w:numPr>
      </w:pPr>
      <w:r w:rsidRPr="001E6958">
        <w:t xml:space="preserve">If yes, </w:t>
      </w:r>
      <w:r w:rsidR="00C73B62" w:rsidRPr="001E6958">
        <w:t xml:space="preserve">please provide the following information (where relevant): </w:t>
      </w:r>
    </w:p>
    <w:p w14:paraId="1BE55206" w14:textId="0B434A85" w:rsidR="009939DC" w:rsidRPr="00E531DB" w:rsidRDefault="00E531DB" w:rsidP="00E531DB">
      <w:pPr>
        <w:ind w:left="360"/>
        <w:rPr>
          <w:b/>
          <w:szCs w:val="20"/>
        </w:rPr>
      </w:pPr>
      <w:r>
        <w:t>N/A</w:t>
      </w:r>
    </w:p>
    <w:p w14:paraId="478861C8" w14:textId="77777777" w:rsidR="00411735" w:rsidRDefault="00411735" w:rsidP="00530204">
      <w:pPr>
        <w:pStyle w:val="Heading2"/>
        <w:numPr>
          <w:ilvl w:val="0"/>
          <w:numId w:val="26"/>
        </w:numPr>
      </w:pPr>
      <w:r w:rsidRPr="001E6958">
        <w:t xml:space="preserve">If no, is an application in the process of being considered by </w:t>
      </w:r>
      <w:r w:rsidR="003433D1" w:rsidRPr="001E6958">
        <w:t xml:space="preserve">a Clinical Advisory Group or </w:t>
      </w:r>
      <w:r w:rsidRPr="001E6958">
        <w:t>the</w:t>
      </w:r>
      <w:r w:rsidR="00BB003A" w:rsidRPr="001E6958">
        <w:t xml:space="preserve"> Prostheses List Advisory Committee</w:t>
      </w:r>
      <w:r w:rsidRPr="001E6958">
        <w:t xml:space="preserve"> </w:t>
      </w:r>
      <w:r w:rsidR="00BB003A" w:rsidRPr="001E6958">
        <w:t>(</w:t>
      </w:r>
      <w:r w:rsidRPr="001E6958">
        <w:t>PLAC</w:t>
      </w:r>
      <w:r w:rsidR="00BB003A" w:rsidRPr="001E6958">
        <w:t>)</w:t>
      </w:r>
      <w:r w:rsidRPr="001E6958">
        <w:t>?</w:t>
      </w:r>
    </w:p>
    <w:p w14:paraId="561C18EF" w14:textId="77777777" w:rsidR="009939DC" w:rsidRDefault="009939DC" w:rsidP="00E531DB">
      <w:pPr>
        <w:spacing w:before="0" w:after="0"/>
        <w:ind w:left="360"/>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4D1F43">
        <w:rPr>
          <w:szCs w:val="20"/>
        </w:rPr>
      </w:r>
      <w:r w:rsidR="004D1F43">
        <w:rPr>
          <w:szCs w:val="20"/>
        </w:rPr>
        <w:fldChar w:fldCharType="separate"/>
      </w:r>
      <w:r w:rsidRPr="000A5B32">
        <w:rPr>
          <w:szCs w:val="20"/>
        </w:rPr>
        <w:fldChar w:fldCharType="end"/>
      </w:r>
      <w:r w:rsidRPr="000A5B32">
        <w:rPr>
          <w:szCs w:val="20"/>
        </w:rPr>
        <w:t xml:space="preserve"> Yes</w:t>
      </w:r>
    </w:p>
    <w:p w14:paraId="0EF57C84" w14:textId="77777777" w:rsidR="001E6958" w:rsidRPr="009939DC" w:rsidRDefault="00ED7768" w:rsidP="00E531DB">
      <w:pPr>
        <w:spacing w:before="0" w:after="0"/>
        <w:ind w:left="360"/>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4D1F43">
        <w:rPr>
          <w:szCs w:val="20"/>
        </w:rPr>
      </w:r>
      <w:r w:rsidR="004D1F43">
        <w:rPr>
          <w:szCs w:val="20"/>
        </w:rPr>
        <w:fldChar w:fldCharType="separate"/>
      </w:r>
      <w:r>
        <w:rPr>
          <w:szCs w:val="20"/>
        </w:rPr>
        <w:fldChar w:fldCharType="end"/>
      </w:r>
      <w:r w:rsidR="009939DC">
        <w:rPr>
          <w:szCs w:val="20"/>
        </w:rPr>
        <w:t xml:space="preserve"> No  </w:t>
      </w:r>
    </w:p>
    <w:p w14:paraId="7AB698CF" w14:textId="77777777" w:rsidR="00016B6E" w:rsidRPr="009939DC" w:rsidRDefault="00016B6E" w:rsidP="00530204">
      <w:pPr>
        <w:pStyle w:val="Heading2"/>
        <w:numPr>
          <w:ilvl w:val="0"/>
          <w:numId w:val="26"/>
        </w:numPr>
      </w:pPr>
      <w:r w:rsidRPr="009939DC">
        <w:t>Are there any other sponsor(s) and / or manufacturer(</w:t>
      </w:r>
      <w:r w:rsidR="008B729C" w:rsidRPr="009939DC">
        <w:t>s) that have a similar prosthesi</w:t>
      </w:r>
      <w:r w:rsidRPr="009939DC">
        <w:t xml:space="preserve">s or device component in the Australian </w:t>
      </w:r>
      <w:proofErr w:type="gramStart"/>
      <w:r w:rsidRPr="009939DC">
        <w:t>market place</w:t>
      </w:r>
      <w:proofErr w:type="gramEnd"/>
      <w:r w:rsidRPr="009939DC">
        <w:t xml:space="preserve"> which this application is relevant to?</w:t>
      </w:r>
    </w:p>
    <w:p w14:paraId="4A113AA1" w14:textId="77777777" w:rsidR="009939DC" w:rsidRDefault="009939DC" w:rsidP="00E531DB">
      <w:pPr>
        <w:spacing w:before="0" w:after="0"/>
        <w:ind w:left="360"/>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4D1F43">
        <w:rPr>
          <w:szCs w:val="20"/>
        </w:rPr>
      </w:r>
      <w:r w:rsidR="004D1F43">
        <w:rPr>
          <w:szCs w:val="20"/>
        </w:rPr>
        <w:fldChar w:fldCharType="separate"/>
      </w:r>
      <w:r w:rsidRPr="000A5B32">
        <w:rPr>
          <w:szCs w:val="20"/>
        </w:rPr>
        <w:fldChar w:fldCharType="end"/>
      </w:r>
      <w:r w:rsidRPr="000A5B32">
        <w:rPr>
          <w:szCs w:val="20"/>
        </w:rPr>
        <w:t xml:space="preserve"> Yes</w:t>
      </w:r>
    </w:p>
    <w:p w14:paraId="12030F07" w14:textId="77777777" w:rsidR="009939DC" w:rsidRPr="001E6958" w:rsidRDefault="009939DC" w:rsidP="00E531DB">
      <w:pPr>
        <w:spacing w:before="0" w:after="0"/>
        <w:ind w:left="360"/>
        <w:rPr>
          <w:szCs w:val="20"/>
        </w:rPr>
      </w:pPr>
      <w:r w:rsidRPr="000A5B32">
        <w:rPr>
          <w:szCs w:val="20"/>
        </w:rPr>
        <w:fldChar w:fldCharType="begin">
          <w:ffData>
            <w:name w:val=""/>
            <w:enabled/>
            <w:calcOnExit w:val="0"/>
            <w:checkBox>
              <w:sizeAuto/>
              <w:default w:val="0"/>
            </w:checkBox>
          </w:ffData>
        </w:fldChar>
      </w:r>
      <w:r w:rsidRPr="000A5B32">
        <w:rPr>
          <w:szCs w:val="20"/>
        </w:rPr>
        <w:instrText xml:space="preserve"> FORMCHECKBOX </w:instrText>
      </w:r>
      <w:r w:rsidR="004D1F43">
        <w:rPr>
          <w:szCs w:val="20"/>
        </w:rPr>
      </w:r>
      <w:r w:rsidR="004D1F43">
        <w:rPr>
          <w:szCs w:val="20"/>
        </w:rPr>
        <w:fldChar w:fldCharType="separate"/>
      </w:r>
      <w:r w:rsidRPr="000A5B32">
        <w:rPr>
          <w:szCs w:val="20"/>
        </w:rPr>
        <w:fldChar w:fldCharType="end"/>
      </w:r>
      <w:r>
        <w:rPr>
          <w:szCs w:val="20"/>
        </w:rPr>
        <w:t xml:space="preserve"> No  </w:t>
      </w:r>
    </w:p>
    <w:p w14:paraId="1A643F89" w14:textId="77777777" w:rsidR="009939DC" w:rsidRDefault="00016B6E" w:rsidP="00530204">
      <w:pPr>
        <w:pStyle w:val="Heading2"/>
        <w:numPr>
          <w:ilvl w:val="0"/>
          <w:numId w:val="26"/>
        </w:numPr>
      </w:pPr>
      <w:r w:rsidRPr="009939DC">
        <w:t>If yes, please provide the name(s) of the spon</w:t>
      </w:r>
      <w:r w:rsidR="009939DC">
        <w:t>sor(s) and / or manufacturer(s):</w:t>
      </w:r>
    </w:p>
    <w:p w14:paraId="2F8E9135" w14:textId="77777777" w:rsidR="00E531DB" w:rsidRPr="00E531DB" w:rsidRDefault="00E531DB" w:rsidP="00E531DB">
      <w:pPr>
        <w:ind w:left="360"/>
        <w:rPr>
          <w:b/>
          <w:szCs w:val="20"/>
        </w:rPr>
      </w:pPr>
      <w:r>
        <w:t>N/A</w:t>
      </w:r>
    </w:p>
    <w:p w14:paraId="21D5608B" w14:textId="77777777" w:rsidR="0084657B" w:rsidRPr="009939DC" w:rsidRDefault="00A9062D" w:rsidP="00530204">
      <w:pPr>
        <w:pStyle w:val="Heading2"/>
      </w:pPr>
      <w:r w:rsidRPr="009939DC">
        <w:t>P</w:t>
      </w:r>
      <w:r w:rsidR="0084657B" w:rsidRPr="009939DC">
        <w:t xml:space="preserve">lease identify </w:t>
      </w:r>
      <w:r w:rsidR="00E8649B" w:rsidRPr="009939DC">
        <w:t xml:space="preserve">any single </w:t>
      </w:r>
      <w:r w:rsidR="00016B6E" w:rsidRPr="009939DC">
        <w:t>and / or multi-</w:t>
      </w:r>
      <w:r w:rsidR="00E8649B" w:rsidRPr="009939DC">
        <w:t>use consumables</w:t>
      </w:r>
      <w:r w:rsidR="0084657B" w:rsidRPr="009939DC">
        <w:t xml:space="preserve"> </w:t>
      </w:r>
      <w:r w:rsidR="00E8649B" w:rsidRPr="009939DC">
        <w:t>delivered as part of the service?</w:t>
      </w:r>
    </w:p>
    <w:p w14:paraId="08643F51" w14:textId="77777777" w:rsidR="00E531DB" w:rsidRPr="007E39E4" w:rsidRDefault="00E531DB" w:rsidP="00E531DB">
      <w:pPr>
        <w:ind w:left="284" w:firstLine="76"/>
        <w:rPr>
          <w:b/>
          <w:szCs w:val="20"/>
        </w:rPr>
      </w:pPr>
      <w:r>
        <w:t>N/A</w:t>
      </w:r>
    </w:p>
    <w:p w14:paraId="2AB57767" w14:textId="7EB1DC7A" w:rsidR="00F301F1" w:rsidRPr="00855944" w:rsidRDefault="00F301F1" w:rsidP="00A6491A">
      <w:pPr>
        <w:spacing w:before="0" w:after="0"/>
        <w:ind w:left="284"/>
      </w:pPr>
      <w:r w:rsidRPr="00855944">
        <w:br w:type="page"/>
      </w:r>
    </w:p>
    <w:p w14:paraId="0EB28203" w14:textId="77777777" w:rsidR="00226777" w:rsidRPr="00C776B1" w:rsidRDefault="00530204" w:rsidP="0056015F">
      <w:pPr>
        <w:pStyle w:val="Heading1"/>
      </w:pPr>
      <w:r>
        <w:lastRenderedPageBreak/>
        <w:t>PART 3</w:t>
      </w:r>
      <w:r w:rsidR="00F93784">
        <w:t xml:space="preserve"> – </w:t>
      </w:r>
      <w:r w:rsidR="00226777" w:rsidRPr="00C776B1">
        <w:t>INFORMATION ABOUT REGULATORY REQUIREMENTS</w:t>
      </w:r>
    </w:p>
    <w:p w14:paraId="71326D87" w14:textId="77777777" w:rsidR="001A1ADF" w:rsidRPr="00A6491A" w:rsidRDefault="0011369B" w:rsidP="0011369B">
      <w:pPr>
        <w:pStyle w:val="Heading2"/>
      </w:pPr>
      <w:r>
        <w:t xml:space="preserve">(a) </w:t>
      </w:r>
      <w:r w:rsidR="0054594B" w:rsidRPr="00A6491A">
        <w:t>If</w:t>
      </w:r>
      <w:r w:rsidR="00226777" w:rsidRPr="00A6491A">
        <w:t xml:space="preserve"> the </w:t>
      </w:r>
      <w:r w:rsidR="001A1ADF" w:rsidRPr="00A6491A">
        <w:t>p</w:t>
      </w:r>
      <w:r w:rsidR="00226777" w:rsidRPr="00A6491A">
        <w:t>roposed medical service involve</w:t>
      </w:r>
      <w:r w:rsidR="009C03FB" w:rsidRPr="00A6491A">
        <w:t>s</w:t>
      </w:r>
      <w:r w:rsidR="001A1ADF" w:rsidRPr="00A6491A">
        <w:t xml:space="preserve"> the use of a medical device, in-vitro diagnostic test, </w:t>
      </w:r>
      <w:r w:rsidR="00226777" w:rsidRPr="0043654D">
        <w:t>pharmaceutical</w:t>
      </w:r>
      <w:r w:rsidR="00226777" w:rsidRPr="00A6491A">
        <w:t xml:space="preserve"> product, </w:t>
      </w:r>
      <w:r w:rsidR="001A1ADF" w:rsidRPr="00A6491A">
        <w:t xml:space="preserve">radioactive </w:t>
      </w:r>
      <w:proofErr w:type="gramStart"/>
      <w:r w:rsidR="001A1ADF" w:rsidRPr="00A6491A">
        <w:t>tracer</w:t>
      </w:r>
      <w:proofErr w:type="gramEnd"/>
      <w:r w:rsidR="001A1ADF" w:rsidRPr="00A6491A">
        <w:t xml:space="preserve"> or any other type of therape</w:t>
      </w:r>
      <w:r w:rsidR="008127C0" w:rsidRPr="00A6491A">
        <w:t xml:space="preserve">utic good, please </w:t>
      </w:r>
      <w:r w:rsidR="001A1ADF" w:rsidRPr="00A6491A">
        <w:t xml:space="preserve">provide </w:t>
      </w:r>
      <w:r w:rsidR="008127C0" w:rsidRPr="00A6491A">
        <w:t>the following details</w:t>
      </w:r>
      <w:r w:rsidR="001A1ADF" w:rsidRPr="00A6491A">
        <w:t>:</w:t>
      </w:r>
    </w:p>
    <w:p w14:paraId="08DDB7CF" w14:textId="77777777" w:rsidR="00E531DB" w:rsidRPr="007E39E4" w:rsidRDefault="00E531DB" w:rsidP="00E531DB">
      <w:pPr>
        <w:ind w:left="284" w:firstLine="76"/>
        <w:rPr>
          <w:b/>
          <w:szCs w:val="20"/>
        </w:rPr>
      </w:pPr>
      <w:r>
        <w:t>N/A</w:t>
      </w:r>
    </w:p>
    <w:p w14:paraId="2AE770CE" w14:textId="77777777" w:rsidR="005E2CE3" w:rsidRPr="00154B00" w:rsidRDefault="005E2CE3" w:rsidP="0011369B">
      <w:pPr>
        <w:pStyle w:val="Heading2"/>
        <w:numPr>
          <w:ilvl w:val="0"/>
          <w:numId w:val="27"/>
        </w:numPr>
      </w:pPr>
      <w:r>
        <w:t xml:space="preserve">Is the </w:t>
      </w:r>
      <w:r w:rsidRPr="0043654D">
        <w:t>medical</w:t>
      </w:r>
      <w:r>
        <w:t xml:space="preserve"> device classified by the TGA as either a Class III or Active Implantable Medical Device (AIMD) against the TGA regulatory scheme for devices?</w:t>
      </w:r>
    </w:p>
    <w:p w14:paraId="3CE12836" w14:textId="77777777" w:rsidR="00E531DB" w:rsidRPr="00E531DB" w:rsidRDefault="00E531DB" w:rsidP="00E531DB">
      <w:pPr>
        <w:ind w:left="360"/>
        <w:rPr>
          <w:b/>
          <w:szCs w:val="20"/>
        </w:rPr>
      </w:pPr>
      <w:r>
        <w:t>N/A</w:t>
      </w:r>
    </w:p>
    <w:p w14:paraId="3378E2CC" w14:textId="77777777" w:rsidR="003421AE" w:rsidRPr="00A6491A" w:rsidRDefault="0011369B" w:rsidP="00530204">
      <w:pPr>
        <w:pStyle w:val="Heading2"/>
      </w:pPr>
      <w:r>
        <w:t xml:space="preserve">(a) </w:t>
      </w:r>
      <w:r w:rsidR="003421AE" w:rsidRPr="00A6491A">
        <w:t xml:space="preserve">Is the </w:t>
      </w:r>
      <w:r w:rsidR="003421AE" w:rsidRPr="0043654D">
        <w:t>therapeutic</w:t>
      </w:r>
      <w:r w:rsidR="003421AE" w:rsidRPr="00A6491A">
        <w:t xml:space="preserve"> good to be used in the service exempt from the regulatory requirements of the </w:t>
      </w:r>
      <w:r w:rsidR="003421AE" w:rsidRPr="00A6491A">
        <w:rPr>
          <w:i/>
        </w:rPr>
        <w:t>Therapeutic Goods Act 1989</w:t>
      </w:r>
      <w:r w:rsidR="003421AE" w:rsidRPr="00A6491A">
        <w:t>?</w:t>
      </w:r>
    </w:p>
    <w:p w14:paraId="275CABA0" w14:textId="77777777" w:rsidR="00E531DB" w:rsidRPr="007E39E4" w:rsidRDefault="00E531DB" w:rsidP="00E531DB">
      <w:pPr>
        <w:ind w:left="284" w:firstLine="76"/>
        <w:rPr>
          <w:b/>
          <w:szCs w:val="20"/>
        </w:rPr>
      </w:pPr>
      <w:r>
        <w:t>N/A</w:t>
      </w:r>
    </w:p>
    <w:p w14:paraId="434D7BAC" w14:textId="77777777" w:rsidR="00D85676" w:rsidRDefault="00D85676" w:rsidP="0011369B">
      <w:pPr>
        <w:pStyle w:val="Heading2"/>
        <w:numPr>
          <w:ilvl w:val="0"/>
          <w:numId w:val="28"/>
        </w:numPr>
      </w:pPr>
      <w:r w:rsidRPr="00154B00">
        <w:t xml:space="preserve">If no, has it been listed or registered or included in the Australian Register of Therapeutic Goods (ARTG) by the Therapeutic </w:t>
      </w:r>
      <w:r w:rsidRPr="0043654D">
        <w:t>Goods</w:t>
      </w:r>
      <w:r w:rsidRPr="00154B00">
        <w:t xml:space="preserve"> Administration (TGA)</w:t>
      </w:r>
      <w:r w:rsidR="00403333">
        <w:t>?</w:t>
      </w:r>
    </w:p>
    <w:p w14:paraId="014EF54A" w14:textId="77777777" w:rsidR="00E531DB" w:rsidRPr="00E531DB" w:rsidRDefault="00E531DB" w:rsidP="00E531DB">
      <w:pPr>
        <w:ind w:left="360"/>
        <w:rPr>
          <w:b/>
          <w:szCs w:val="20"/>
        </w:rPr>
      </w:pPr>
      <w:r>
        <w:t>N/A</w:t>
      </w:r>
    </w:p>
    <w:p w14:paraId="28A198E9" w14:textId="77777777" w:rsidR="00C0796F" w:rsidRPr="0043654D" w:rsidRDefault="00C0796F" w:rsidP="00530204">
      <w:pPr>
        <w:pStyle w:val="Heading2"/>
      </w:pPr>
      <w:r w:rsidRPr="0043654D">
        <w:t xml:space="preserve">If the therapeutic good has not been listed, </w:t>
      </w:r>
      <w:proofErr w:type="gramStart"/>
      <w:r w:rsidRPr="0043654D">
        <w:t>registered</w:t>
      </w:r>
      <w:proofErr w:type="gramEnd"/>
      <w:r w:rsidRPr="0043654D">
        <w:t xml:space="preserve"> or included in the ARTG, is the therapeutic good in the process of being considered for inclusion by the TGA?</w:t>
      </w:r>
    </w:p>
    <w:p w14:paraId="40C0510F" w14:textId="77777777" w:rsidR="00E531DB" w:rsidRPr="007E39E4" w:rsidRDefault="00E531DB" w:rsidP="00E531DB">
      <w:pPr>
        <w:ind w:left="284" w:firstLine="76"/>
        <w:rPr>
          <w:b/>
          <w:szCs w:val="20"/>
        </w:rPr>
      </w:pPr>
      <w:r>
        <w:t>N/A</w:t>
      </w:r>
    </w:p>
    <w:p w14:paraId="7599B744" w14:textId="77777777" w:rsidR="00C0796F" w:rsidRPr="000A110D" w:rsidRDefault="000A110D" w:rsidP="00530204">
      <w:pPr>
        <w:pStyle w:val="Heading2"/>
      </w:pPr>
      <w:r>
        <w:t>I</w:t>
      </w:r>
      <w:r w:rsidR="00C0796F" w:rsidRPr="000A110D">
        <w:t xml:space="preserve">f the therapeutic good </w:t>
      </w:r>
      <w:r w:rsidR="00F83A9D" w:rsidRPr="000A110D">
        <w:t>is not in the process of being considered for listing</w:t>
      </w:r>
      <w:r w:rsidR="00C0796F" w:rsidRPr="000A110D">
        <w:t xml:space="preserve">, </w:t>
      </w:r>
      <w:proofErr w:type="gramStart"/>
      <w:r w:rsidR="00F83A9D" w:rsidRPr="000A110D">
        <w:t>registration</w:t>
      </w:r>
      <w:proofErr w:type="gramEnd"/>
      <w:r w:rsidR="00F83A9D" w:rsidRPr="000A110D">
        <w:t xml:space="preserve"> </w:t>
      </w:r>
      <w:r w:rsidR="00C0796F" w:rsidRPr="000A110D">
        <w:t xml:space="preserve">or </w:t>
      </w:r>
      <w:r w:rsidR="00F83A9D" w:rsidRPr="000A110D">
        <w:t>inclusion by the TGA, is an application to the TGA being prepared?</w:t>
      </w:r>
    </w:p>
    <w:p w14:paraId="2CF28FBB" w14:textId="77777777" w:rsidR="00E531DB" w:rsidRPr="007E39E4" w:rsidRDefault="00E531DB" w:rsidP="00E531DB">
      <w:pPr>
        <w:ind w:left="284" w:firstLine="76"/>
        <w:rPr>
          <w:b/>
          <w:szCs w:val="20"/>
        </w:rPr>
      </w:pPr>
      <w:r>
        <w:t>N/A</w:t>
      </w:r>
    </w:p>
    <w:p w14:paraId="5F9FE131" w14:textId="77777777" w:rsidR="00F83A9D" w:rsidRPr="00154B00" w:rsidRDefault="00F83A9D" w:rsidP="00F83A9D">
      <w:pPr>
        <w:rPr>
          <w:szCs w:val="20"/>
        </w:rPr>
      </w:pPr>
    </w:p>
    <w:p w14:paraId="138EEDE5" w14:textId="77777777" w:rsidR="00DD308E" w:rsidRDefault="00DD308E">
      <w:pPr>
        <w:rPr>
          <w:b/>
          <w:sz w:val="32"/>
          <w:szCs w:val="32"/>
        </w:rPr>
        <w:sectPr w:rsidR="00DD308E" w:rsidSect="00991EE4">
          <w:footerReference w:type="default" r:id="rId15"/>
          <w:pgSz w:w="11906" w:h="16838"/>
          <w:pgMar w:top="1440" w:right="1440" w:bottom="1440" w:left="1440" w:header="708" w:footer="708" w:gutter="0"/>
          <w:pgNumType w:start="0"/>
          <w:cols w:space="708"/>
          <w:titlePg/>
          <w:docGrid w:linePitch="360"/>
        </w:sectPr>
      </w:pPr>
    </w:p>
    <w:p w14:paraId="6D491C8A" w14:textId="77777777" w:rsidR="00DD308E" w:rsidRPr="00C776B1" w:rsidRDefault="00B17CBE" w:rsidP="0056015F">
      <w:pPr>
        <w:pStyle w:val="Heading1"/>
      </w:pPr>
      <w:r>
        <w:lastRenderedPageBreak/>
        <w:t>PART 4</w:t>
      </w:r>
      <w:r w:rsidR="00DD308E">
        <w:t xml:space="preserve"> – SUMMARY</w:t>
      </w:r>
      <w:r w:rsidR="00DD308E" w:rsidRPr="00C776B1">
        <w:t xml:space="preserve"> OF EVIDENCE</w:t>
      </w:r>
    </w:p>
    <w:p w14:paraId="28D8DCBC" w14:textId="77777777" w:rsidR="00DD308E" w:rsidRPr="00832B31" w:rsidRDefault="00DD308E" w:rsidP="005C3AE7">
      <w:pPr>
        <w:pStyle w:val="Heading2"/>
        <w:rPr>
          <w:i/>
        </w:rPr>
      </w:pPr>
      <w:r w:rsidRPr="00F222BE">
        <w:t xml:space="preserve">Provide an overview of all key journal articles or research published in the public domain related to the proposed service that is for your application (limiting these to the English language only).  </w:t>
      </w:r>
      <w:r w:rsidRPr="00832B31">
        <w:rPr>
          <w:i/>
        </w:rPr>
        <w:t>Please do not attach full text articles, this is just intended to be a summary.</w:t>
      </w:r>
    </w:p>
    <w:tbl>
      <w:tblPr>
        <w:tblStyle w:val="TableGrid"/>
        <w:tblW w:w="5000" w:type="pct"/>
        <w:tblLook w:val="04A0" w:firstRow="1" w:lastRow="0" w:firstColumn="1" w:lastColumn="0" w:noHBand="0" w:noVBand="1"/>
        <w:tblCaption w:val="Summary of Evidence - Published"/>
      </w:tblPr>
      <w:tblGrid>
        <w:gridCol w:w="539"/>
        <w:gridCol w:w="1867"/>
        <w:gridCol w:w="2238"/>
        <w:gridCol w:w="3078"/>
        <w:gridCol w:w="4360"/>
        <w:gridCol w:w="1866"/>
      </w:tblGrid>
      <w:tr w:rsidR="002B48F4" w14:paraId="6D24FE27" w14:textId="77777777" w:rsidTr="00182306">
        <w:trPr>
          <w:cantSplit/>
          <w:tblHeader/>
        </w:trPr>
        <w:tc>
          <w:tcPr>
            <w:tcW w:w="193" w:type="pct"/>
          </w:tcPr>
          <w:p w14:paraId="2298E2DA" w14:textId="77777777" w:rsidR="00DD308E" w:rsidRDefault="00DD308E" w:rsidP="00855944">
            <w:pPr>
              <w:pStyle w:val="TableHEADER"/>
            </w:pPr>
          </w:p>
        </w:tc>
        <w:tc>
          <w:tcPr>
            <w:tcW w:w="669" w:type="pct"/>
          </w:tcPr>
          <w:p w14:paraId="5E4394C5" w14:textId="7080C642" w:rsidR="00DD308E" w:rsidRDefault="00DD308E" w:rsidP="00855944">
            <w:pPr>
              <w:pStyle w:val="TableHEADER"/>
            </w:pPr>
            <w:r>
              <w:t>Type of study design</w:t>
            </w:r>
          </w:p>
        </w:tc>
        <w:tc>
          <w:tcPr>
            <w:tcW w:w="802" w:type="pct"/>
          </w:tcPr>
          <w:p w14:paraId="61AF1FA8" w14:textId="1742BD34" w:rsidR="00DD308E" w:rsidRDefault="00DD308E" w:rsidP="00855944">
            <w:pPr>
              <w:pStyle w:val="TableHEADER"/>
            </w:pPr>
            <w:r>
              <w:t xml:space="preserve">Title of journal </w:t>
            </w:r>
            <w:proofErr w:type="gramStart"/>
            <w:r>
              <w:t>article  or</w:t>
            </w:r>
            <w:proofErr w:type="gramEnd"/>
            <w:r>
              <w:t xml:space="preserve"> research project)</w:t>
            </w:r>
          </w:p>
        </w:tc>
        <w:tc>
          <w:tcPr>
            <w:tcW w:w="1103" w:type="pct"/>
          </w:tcPr>
          <w:p w14:paraId="165E64EC" w14:textId="766124AA" w:rsidR="00DD308E" w:rsidRDefault="00DD308E" w:rsidP="00855944">
            <w:pPr>
              <w:pStyle w:val="TableHEADER"/>
            </w:pPr>
            <w:r>
              <w:t xml:space="preserve">Short description of research  </w:t>
            </w:r>
          </w:p>
        </w:tc>
        <w:tc>
          <w:tcPr>
            <w:tcW w:w="1563" w:type="pct"/>
          </w:tcPr>
          <w:p w14:paraId="3E5272FF" w14:textId="77777777" w:rsidR="00DD308E" w:rsidRDefault="00DD308E" w:rsidP="00855944">
            <w:pPr>
              <w:pStyle w:val="TableHEADER"/>
            </w:pPr>
            <w:r w:rsidRPr="00E82F54">
              <w:t xml:space="preserve">Website link to </w:t>
            </w:r>
            <w:r>
              <w:t>journal article or research (if available)</w:t>
            </w:r>
          </w:p>
        </w:tc>
        <w:tc>
          <w:tcPr>
            <w:tcW w:w="669" w:type="pct"/>
          </w:tcPr>
          <w:p w14:paraId="7C12827D" w14:textId="07C8977B" w:rsidR="00DD308E" w:rsidRDefault="00DD308E" w:rsidP="00855944">
            <w:pPr>
              <w:pStyle w:val="TableHEADER"/>
            </w:pPr>
            <w:r w:rsidRPr="00E82F54">
              <w:t>Date</w:t>
            </w:r>
            <w:r>
              <w:t xml:space="preserve"> of publication</w:t>
            </w:r>
          </w:p>
        </w:tc>
      </w:tr>
      <w:tr w:rsidR="002B48F4" w14:paraId="59B9CA94" w14:textId="77777777" w:rsidTr="00182306">
        <w:trPr>
          <w:cantSplit/>
        </w:trPr>
        <w:tc>
          <w:tcPr>
            <w:tcW w:w="193" w:type="pct"/>
          </w:tcPr>
          <w:p w14:paraId="3F370B0A" w14:textId="77777777" w:rsidR="00DD308E" w:rsidRPr="00965B6B" w:rsidRDefault="00DD308E" w:rsidP="00DD308E">
            <w:pPr>
              <w:rPr>
                <w:szCs w:val="20"/>
              </w:rPr>
            </w:pPr>
            <w:r w:rsidRPr="00965B6B">
              <w:rPr>
                <w:szCs w:val="20"/>
              </w:rPr>
              <w:t>1</w:t>
            </w:r>
            <w:r>
              <w:rPr>
                <w:szCs w:val="20"/>
              </w:rPr>
              <w:t>.</w:t>
            </w:r>
          </w:p>
        </w:tc>
        <w:tc>
          <w:tcPr>
            <w:tcW w:w="669" w:type="pct"/>
          </w:tcPr>
          <w:p w14:paraId="3DAF55A0" w14:textId="77777777" w:rsidR="00DD308E" w:rsidRDefault="001D2D48" w:rsidP="00DD308E">
            <w:pPr>
              <w:rPr>
                <w:b/>
                <w:szCs w:val="20"/>
              </w:rPr>
            </w:pPr>
            <w:r>
              <w:t xml:space="preserve">Intervention (WEA) in a population cohort, in parallel to standard care. </w:t>
            </w:r>
          </w:p>
        </w:tc>
        <w:tc>
          <w:tcPr>
            <w:tcW w:w="802" w:type="pct"/>
          </w:tcPr>
          <w:p w14:paraId="0A74B08C" w14:textId="23612561" w:rsidR="00DD308E" w:rsidRDefault="00C67EBD" w:rsidP="00DD308E">
            <w:pPr>
              <w:rPr>
                <w:b/>
                <w:szCs w:val="20"/>
              </w:rPr>
            </w:pPr>
            <w:r>
              <w:t>Exome sequencing in infants with congenital hearing impairment: a population</w:t>
            </w:r>
            <w:r w:rsidR="00182306">
              <w:t>-</w:t>
            </w:r>
            <w:r>
              <w:t>based cohort study.</w:t>
            </w:r>
          </w:p>
        </w:tc>
        <w:tc>
          <w:tcPr>
            <w:tcW w:w="1103" w:type="pct"/>
          </w:tcPr>
          <w:p w14:paraId="39A5A109" w14:textId="118DACDA" w:rsidR="00DD308E" w:rsidRPr="00C67EBD" w:rsidRDefault="00C67EBD" w:rsidP="00C67EBD">
            <w:pPr>
              <w:rPr>
                <w:b/>
                <w:szCs w:val="20"/>
              </w:rPr>
            </w:pPr>
            <w:r>
              <w:t xml:space="preserve">Infants diagnosed with congenital hearing impairment over a </w:t>
            </w:r>
            <w:proofErr w:type="gramStart"/>
            <w:r>
              <w:t>2 year</w:t>
            </w:r>
            <w:proofErr w:type="gramEnd"/>
            <w:r>
              <w:t xml:space="preserve"> period were offered WE</w:t>
            </w:r>
            <w:r w:rsidR="006720DC">
              <w:t>A</w:t>
            </w:r>
            <w:r>
              <w:t>. Of 106 enrolled infants, 59 received a diagnosis (56%) compared with 22 (21%) who would have been identified on standard testing</w:t>
            </w:r>
            <w:r w:rsidR="00C544CC">
              <w:t xml:space="preserve">. </w:t>
            </w:r>
            <w:r>
              <w:t xml:space="preserve">Clinical management changed following exome diagnosis in 92% of the diagnosed cohort. Six relatives received a diagnosis following cascade testing and 51 couples were identified as being at high risk of recurrence in future pregnancies. </w:t>
            </w:r>
          </w:p>
        </w:tc>
        <w:tc>
          <w:tcPr>
            <w:tcW w:w="1563" w:type="pct"/>
          </w:tcPr>
          <w:p w14:paraId="221F9643" w14:textId="77777777" w:rsidR="00DD308E" w:rsidRPr="00E82F54" w:rsidRDefault="004D1F43" w:rsidP="00DD308E">
            <w:pPr>
              <w:rPr>
                <w:b/>
                <w:szCs w:val="20"/>
              </w:rPr>
            </w:pPr>
            <w:hyperlink r:id="rId16" w:history="1">
              <w:r w:rsidR="00C544CC">
                <w:rPr>
                  <w:rStyle w:val="Hyperlink"/>
                </w:rPr>
                <w:t>https://www.nature.com/articles/s41431-019-0553-8</w:t>
              </w:r>
            </w:hyperlink>
          </w:p>
        </w:tc>
        <w:tc>
          <w:tcPr>
            <w:tcW w:w="669" w:type="pct"/>
          </w:tcPr>
          <w:p w14:paraId="30D44076" w14:textId="77777777" w:rsidR="00DD308E" w:rsidRPr="00E82F54" w:rsidRDefault="00C544CC" w:rsidP="00DD308E">
            <w:pPr>
              <w:rPr>
                <w:b/>
                <w:szCs w:val="20"/>
              </w:rPr>
            </w:pPr>
            <w:r>
              <w:t>November 2019</w:t>
            </w:r>
          </w:p>
        </w:tc>
      </w:tr>
      <w:tr w:rsidR="002B48F4" w14:paraId="28B81C6D" w14:textId="77777777" w:rsidTr="00182306">
        <w:trPr>
          <w:cantSplit/>
        </w:trPr>
        <w:tc>
          <w:tcPr>
            <w:tcW w:w="193" w:type="pct"/>
          </w:tcPr>
          <w:p w14:paraId="479D7631" w14:textId="77777777" w:rsidR="004456FC" w:rsidRPr="00965B6B" w:rsidRDefault="004456FC" w:rsidP="004456FC">
            <w:pPr>
              <w:rPr>
                <w:szCs w:val="20"/>
              </w:rPr>
            </w:pPr>
            <w:r>
              <w:rPr>
                <w:szCs w:val="20"/>
              </w:rPr>
              <w:t>2.</w:t>
            </w:r>
          </w:p>
        </w:tc>
        <w:tc>
          <w:tcPr>
            <w:tcW w:w="669" w:type="pct"/>
          </w:tcPr>
          <w:p w14:paraId="7ECC1B40" w14:textId="6C015C51" w:rsidR="004456FC" w:rsidRDefault="004456FC" w:rsidP="004456FC">
            <w:pPr>
              <w:rPr>
                <w:b/>
                <w:szCs w:val="20"/>
              </w:rPr>
            </w:pPr>
            <w:r>
              <w:t>Health economic analysis (cost-effectiveness)</w:t>
            </w:r>
          </w:p>
        </w:tc>
        <w:tc>
          <w:tcPr>
            <w:tcW w:w="802" w:type="pct"/>
          </w:tcPr>
          <w:p w14:paraId="773E6434" w14:textId="0B3F7C3A" w:rsidR="004456FC" w:rsidRDefault="004456FC" w:rsidP="004456FC">
            <w:pPr>
              <w:rPr>
                <w:b/>
                <w:szCs w:val="20"/>
              </w:rPr>
            </w:pPr>
            <w:r>
              <w:rPr>
                <w:szCs w:val="20"/>
              </w:rPr>
              <w:t>Exome sequencing for isolated congenital hearing loss: a cost-effectiveness analysis</w:t>
            </w:r>
          </w:p>
        </w:tc>
        <w:tc>
          <w:tcPr>
            <w:tcW w:w="1103" w:type="pct"/>
          </w:tcPr>
          <w:p w14:paraId="2F9705C5" w14:textId="1D8D7DBC" w:rsidR="004456FC" w:rsidRDefault="004456FC" w:rsidP="004456FC">
            <w:pPr>
              <w:rPr>
                <w:b/>
                <w:szCs w:val="20"/>
              </w:rPr>
            </w:pPr>
            <w:r>
              <w:t>The costs and outcomes associated with WE</w:t>
            </w:r>
            <w:r w:rsidR="004B2737">
              <w:t>A</w:t>
            </w:r>
            <w:r>
              <w:t xml:space="preserve"> and standard care for infants presenting with isolated deafness were analysed. The incremental cost of WES was $1000 per child and added 30 diagnoses per 100 children tested. The ICER was $3333; compared to a mean societal willingness to pay this demonstrated cost-effectiveness.</w:t>
            </w:r>
          </w:p>
        </w:tc>
        <w:tc>
          <w:tcPr>
            <w:tcW w:w="1563" w:type="pct"/>
          </w:tcPr>
          <w:p w14:paraId="4FC5192D" w14:textId="581D65C5" w:rsidR="004456FC" w:rsidRPr="00E82F54" w:rsidRDefault="004456FC" w:rsidP="004456FC">
            <w:pPr>
              <w:rPr>
                <w:b/>
                <w:szCs w:val="20"/>
              </w:rPr>
            </w:pPr>
            <w:r w:rsidRPr="004456FC">
              <w:t>https://pubmed.ncbi.nlm.nih.gov/33382469/</w:t>
            </w:r>
            <w:r w:rsidRPr="004456FC" w:rsidDel="0007085F">
              <w:t xml:space="preserve"> </w:t>
            </w:r>
          </w:p>
        </w:tc>
        <w:tc>
          <w:tcPr>
            <w:tcW w:w="669" w:type="pct"/>
          </w:tcPr>
          <w:p w14:paraId="5763BF8B" w14:textId="7AD6138D" w:rsidR="004456FC" w:rsidRPr="00E82F54" w:rsidRDefault="004456FC" w:rsidP="004456FC">
            <w:pPr>
              <w:rPr>
                <w:b/>
                <w:szCs w:val="20"/>
              </w:rPr>
            </w:pPr>
            <w:r>
              <w:t xml:space="preserve"> December 2020</w:t>
            </w:r>
          </w:p>
        </w:tc>
      </w:tr>
      <w:tr w:rsidR="002B48F4" w14:paraId="54731C14" w14:textId="77777777" w:rsidTr="00182306">
        <w:trPr>
          <w:cantSplit/>
        </w:trPr>
        <w:tc>
          <w:tcPr>
            <w:tcW w:w="193" w:type="pct"/>
          </w:tcPr>
          <w:p w14:paraId="3A274EC6" w14:textId="77777777" w:rsidR="00DD308E" w:rsidRPr="00965B6B" w:rsidRDefault="00DD308E" w:rsidP="00DD308E">
            <w:pPr>
              <w:rPr>
                <w:szCs w:val="20"/>
              </w:rPr>
            </w:pPr>
            <w:r>
              <w:rPr>
                <w:szCs w:val="20"/>
              </w:rPr>
              <w:lastRenderedPageBreak/>
              <w:t>3.</w:t>
            </w:r>
          </w:p>
        </w:tc>
        <w:tc>
          <w:tcPr>
            <w:tcW w:w="669" w:type="pct"/>
          </w:tcPr>
          <w:p w14:paraId="1105DF38" w14:textId="01B8F207" w:rsidR="00DD308E" w:rsidRDefault="004B2737" w:rsidP="00DD308E">
            <w:pPr>
              <w:rPr>
                <w:b/>
                <w:szCs w:val="20"/>
              </w:rPr>
            </w:pPr>
            <w:r>
              <w:t xml:space="preserve">Retrospective cohort study </w:t>
            </w:r>
          </w:p>
        </w:tc>
        <w:tc>
          <w:tcPr>
            <w:tcW w:w="802" w:type="pct"/>
          </w:tcPr>
          <w:p w14:paraId="2951204A" w14:textId="2F2995F0" w:rsidR="00DD308E" w:rsidRDefault="002B48F4" w:rsidP="00DD308E">
            <w:pPr>
              <w:rPr>
                <w:b/>
                <w:szCs w:val="20"/>
              </w:rPr>
            </w:pPr>
            <w:r>
              <w:t>Clinical application of whole-exome sequencing across clinical indications</w:t>
            </w:r>
          </w:p>
        </w:tc>
        <w:tc>
          <w:tcPr>
            <w:tcW w:w="1103" w:type="pct"/>
          </w:tcPr>
          <w:p w14:paraId="28509286" w14:textId="29474159" w:rsidR="00DD308E" w:rsidRDefault="002B48F4" w:rsidP="00DD308E">
            <w:pPr>
              <w:rPr>
                <w:b/>
                <w:szCs w:val="20"/>
              </w:rPr>
            </w:pPr>
            <w:r>
              <w:t>A single diagnostic laboratory audited 3040 consecutive cases of WEA for clinical indication and diagnostic yield. The overall diagnostic yield for WEA across all in</w:t>
            </w:r>
            <w:r w:rsidR="00724A2B">
              <w:t>di</w:t>
            </w:r>
            <w:r>
              <w:t xml:space="preserve">cations was 28.8% with the highest being for hearing </w:t>
            </w:r>
            <w:r w:rsidR="00C439AE">
              <w:t xml:space="preserve">impairment </w:t>
            </w:r>
            <w:r>
              <w:t xml:space="preserve">(55%). </w:t>
            </w:r>
          </w:p>
        </w:tc>
        <w:tc>
          <w:tcPr>
            <w:tcW w:w="1563" w:type="pct"/>
          </w:tcPr>
          <w:p w14:paraId="3611D7C7" w14:textId="2114F81B" w:rsidR="00DD308E" w:rsidRPr="00E82F54" w:rsidRDefault="002B48F4" w:rsidP="00DD308E">
            <w:pPr>
              <w:rPr>
                <w:b/>
                <w:szCs w:val="20"/>
              </w:rPr>
            </w:pPr>
            <w:r w:rsidRPr="002B48F4">
              <w:t>https://pubmed.ncbi.nlm.nih.gov/26633542/</w:t>
            </w:r>
          </w:p>
        </w:tc>
        <w:tc>
          <w:tcPr>
            <w:tcW w:w="669" w:type="pct"/>
          </w:tcPr>
          <w:p w14:paraId="658FB080" w14:textId="3C7EF7A7" w:rsidR="00DD308E" w:rsidRPr="00E82F54" w:rsidRDefault="002B48F4" w:rsidP="00DD308E">
            <w:pPr>
              <w:rPr>
                <w:b/>
                <w:szCs w:val="20"/>
              </w:rPr>
            </w:pPr>
            <w:r>
              <w:t xml:space="preserve">July 2016 </w:t>
            </w:r>
          </w:p>
        </w:tc>
      </w:tr>
      <w:tr w:rsidR="002B48F4" w14:paraId="3C02EA11" w14:textId="77777777" w:rsidTr="00182306">
        <w:trPr>
          <w:cantSplit/>
        </w:trPr>
        <w:tc>
          <w:tcPr>
            <w:tcW w:w="193" w:type="pct"/>
          </w:tcPr>
          <w:p w14:paraId="5F091596" w14:textId="77777777" w:rsidR="00DD308E" w:rsidRPr="00965B6B" w:rsidRDefault="00DD308E" w:rsidP="00DD308E">
            <w:pPr>
              <w:rPr>
                <w:szCs w:val="20"/>
              </w:rPr>
            </w:pPr>
            <w:r>
              <w:rPr>
                <w:szCs w:val="20"/>
              </w:rPr>
              <w:t>4.</w:t>
            </w:r>
          </w:p>
        </w:tc>
        <w:tc>
          <w:tcPr>
            <w:tcW w:w="669" w:type="pct"/>
          </w:tcPr>
          <w:p w14:paraId="7A8E1207" w14:textId="6DEFA552" w:rsidR="00DD308E" w:rsidRDefault="002B48F4" w:rsidP="00DD308E">
            <w:pPr>
              <w:rPr>
                <w:b/>
                <w:szCs w:val="20"/>
              </w:rPr>
            </w:pPr>
            <w:r>
              <w:t xml:space="preserve">Prospective cohort study </w:t>
            </w:r>
          </w:p>
        </w:tc>
        <w:tc>
          <w:tcPr>
            <w:tcW w:w="802" w:type="pct"/>
          </w:tcPr>
          <w:p w14:paraId="37567E05" w14:textId="1DA62AF6" w:rsidR="00DD308E" w:rsidRDefault="002B48F4" w:rsidP="00DD308E">
            <w:pPr>
              <w:rPr>
                <w:b/>
                <w:szCs w:val="20"/>
              </w:rPr>
            </w:pPr>
            <w:r>
              <w:t>Utility and limitations of exome sequencing as a genetic diagnostic tool for children with hearing loss</w:t>
            </w:r>
          </w:p>
        </w:tc>
        <w:tc>
          <w:tcPr>
            <w:tcW w:w="1103" w:type="pct"/>
          </w:tcPr>
          <w:p w14:paraId="0C2D59D1" w14:textId="0ACACFB3" w:rsidR="00DD308E" w:rsidRDefault="002B48F4" w:rsidP="00DD308E">
            <w:pPr>
              <w:rPr>
                <w:b/>
                <w:szCs w:val="20"/>
              </w:rPr>
            </w:pPr>
            <w:r>
              <w:t xml:space="preserve">WEA was performed on 43 probands with hearing loss, the diagnostic rate was 37.2% compared to a hearing loss panel test demonstrating improved diagnostic yield. </w:t>
            </w:r>
          </w:p>
        </w:tc>
        <w:tc>
          <w:tcPr>
            <w:tcW w:w="1563" w:type="pct"/>
          </w:tcPr>
          <w:p w14:paraId="42DB4BCA" w14:textId="218EBF93" w:rsidR="00DD308E" w:rsidRPr="00E82F54" w:rsidRDefault="002B48F4" w:rsidP="00DD308E">
            <w:pPr>
              <w:rPr>
                <w:b/>
                <w:szCs w:val="20"/>
              </w:rPr>
            </w:pPr>
            <w:r w:rsidRPr="002B48F4">
              <w:t>https://pubmed.ncbi.nlm.nih.gov/29907799/</w:t>
            </w:r>
          </w:p>
        </w:tc>
        <w:tc>
          <w:tcPr>
            <w:tcW w:w="669" w:type="pct"/>
          </w:tcPr>
          <w:p w14:paraId="71F76C4E" w14:textId="7C58310E" w:rsidR="00DD308E" w:rsidRPr="00E82F54" w:rsidRDefault="002B48F4" w:rsidP="00DD308E">
            <w:pPr>
              <w:rPr>
                <w:b/>
                <w:szCs w:val="20"/>
              </w:rPr>
            </w:pPr>
            <w:r>
              <w:t>December 2018</w:t>
            </w:r>
          </w:p>
        </w:tc>
      </w:tr>
      <w:tr w:rsidR="002B48F4" w14:paraId="55506092" w14:textId="77777777" w:rsidTr="00182306">
        <w:trPr>
          <w:cantSplit/>
        </w:trPr>
        <w:tc>
          <w:tcPr>
            <w:tcW w:w="193" w:type="pct"/>
          </w:tcPr>
          <w:p w14:paraId="56DA6039" w14:textId="77777777" w:rsidR="00DD308E" w:rsidRPr="00965B6B" w:rsidRDefault="00DD308E" w:rsidP="00DD308E">
            <w:pPr>
              <w:rPr>
                <w:szCs w:val="20"/>
              </w:rPr>
            </w:pPr>
            <w:r>
              <w:rPr>
                <w:szCs w:val="20"/>
              </w:rPr>
              <w:t>5.</w:t>
            </w:r>
          </w:p>
        </w:tc>
        <w:tc>
          <w:tcPr>
            <w:tcW w:w="669" w:type="pct"/>
          </w:tcPr>
          <w:p w14:paraId="12AA4094" w14:textId="1E6BDD02" w:rsidR="00DD308E" w:rsidRPr="00182306" w:rsidRDefault="00A4413D" w:rsidP="00DD308E">
            <w:pPr>
              <w:rPr>
                <w:bCs/>
                <w:szCs w:val="20"/>
              </w:rPr>
            </w:pPr>
            <w:r w:rsidRPr="00182306">
              <w:rPr>
                <w:bCs/>
                <w:szCs w:val="20"/>
              </w:rPr>
              <w:t xml:space="preserve">Prospective cohort study </w:t>
            </w:r>
          </w:p>
        </w:tc>
        <w:tc>
          <w:tcPr>
            <w:tcW w:w="802" w:type="pct"/>
          </w:tcPr>
          <w:p w14:paraId="287C2763" w14:textId="0B712F9D" w:rsidR="00DD308E" w:rsidRPr="000F297F" w:rsidRDefault="000F2D14" w:rsidP="000F297F">
            <w:pPr>
              <w:rPr>
                <w:szCs w:val="20"/>
              </w:rPr>
            </w:pPr>
            <w:r>
              <w:rPr>
                <w:szCs w:val="20"/>
              </w:rPr>
              <w:t>The diagnostic yield of whole-exome sequencing targeting a gene panel for hearing impairment in The Netherlands</w:t>
            </w:r>
          </w:p>
        </w:tc>
        <w:tc>
          <w:tcPr>
            <w:tcW w:w="1103" w:type="pct"/>
          </w:tcPr>
          <w:p w14:paraId="3DFFCE97" w14:textId="5E5EF14D" w:rsidR="00DD308E" w:rsidRDefault="000F2D14" w:rsidP="00DD308E">
            <w:pPr>
              <w:rPr>
                <w:b/>
                <w:szCs w:val="20"/>
              </w:rPr>
            </w:pPr>
            <w:r>
              <w:t xml:space="preserve">This study investigated the diagnostic utility of WEA targeting a panel of hearing loss genes. Testing of 200 patients resulted in a diagnostic yield of 33.5%. </w:t>
            </w:r>
          </w:p>
        </w:tc>
        <w:tc>
          <w:tcPr>
            <w:tcW w:w="1563" w:type="pct"/>
          </w:tcPr>
          <w:p w14:paraId="19A55797" w14:textId="7B5C03B1" w:rsidR="00DD308E" w:rsidRPr="00E82F54" w:rsidRDefault="000F2D14" w:rsidP="00DD308E">
            <w:pPr>
              <w:rPr>
                <w:b/>
                <w:szCs w:val="20"/>
              </w:rPr>
            </w:pPr>
            <w:r w:rsidRPr="000F2D14">
              <w:t>https://pubmed.ncbi.nlm.nih.gov/28000701/</w:t>
            </w:r>
          </w:p>
        </w:tc>
        <w:tc>
          <w:tcPr>
            <w:tcW w:w="669" w:type="pct"/>
          </w:tcPr>
          <w:p w14:paraId="771E026F" w14:textId="14068CA6" w:rsidR="00DD308E" w:rsidRPr="00E82F54" w:rsidRDefault="000F2D14" w:rsidP="00DD308E">
            <w:pPr>
              <w:rPr>
                <w:b/>
                <w:szCs w:val="20"/>
              </w:rPr>
            </w:pPr>
            <w:r>
              <w:t>February 2017</w:t>
            </w:r>
          </w:p>
        </w:tc>
      </w:tr>
      <w:tr w:rsidR="00600815" w14:paraId="5A436128" w14:textId="77777777" w:rsidTr="00182306">
        <w:trPr>
          <w:cantSplit/>
        </w:trPr>
        <w:tc>
          <w:tcPr>
            <w:tcW w:w="193" w:type="pct"/>
          </w:tcPr>
          <w:p w14:paraId="7D008A0F" w14:textId="70342FBE" w:rsidR="00600815" w:rsidRDefault="00600815" w:rsidP="00DD308E">
            <w:pPr>
              <w:rPr>
                <w:szCs w:val="20"/>
              </w:rPr>
            </w:pPr>
            <w:r>
              <w:rPr>
                <w:szCs w:val="20"/>
              </w:rPr>
              <w:t xml:space="preserve">6. </w:t>
            </w:r>
          </w:p>
        </w:tc>
        <w:tc>
          <w:tcPr>
            <w:tcW w:w="669" w:type="pct"/>
          </w:tcPr>
          <w:p w14:paraId="18BD53CB" w14:textId="702FE684" w:rsidR="00600815" w:rsidRPr="00A4413D" w:rsidRDefault="000448D8" w:rsidP="00DD308E">
            <w:pPr>
              <w:rPr>
                <w:bCs/>
                <w:szCs w:val="20"/>
              </w:rPr>
            </w:pPr>
            <w:r>
              <w:rPr>
                <w:bCs/>
                <w:szCs w:val="20"/>
              </w:rPr>
              <w:t xml:space="preserve">Prospective cohort study </w:t>
            </w:r>
          </w:p>
        </w:tc>
        <w:tc>
          <w:tcPr>
            <w:tcW w:w="802" w:type="pct"/>
          </w:tcPr>
          <w:p w14:paraId="32444D6B" w14:textId="6CF870CE" w:rsidR="00600815" w:rsidRDefault="000448D8" w:rsidP="000F297F">
            <w:pPr>
              <w:rPr>
                <w:szCs w:val="20"/>
              </w:rPr>
            </w:pPr>
            <w:r>
              <w:rPr>
                <w:szCs w:val="20"/>
              </w:rPr>
              <w:t xml:space="preserve">Comprehensive genetic testing in the clinical evaluation of 1119 patient with hearing loss </w:t>
            </w:r>
          </w:p>
        </w:tc>
        <w:tc>
          <w:tcPr>
            <w:tcW w:w="1103" w:type="pct"/>
          </w:tcPr>
          <w:p w14:paraId="015ABDF8" w14:textId="54728FF5" w:rsidR="00600815" w:rsidDel="000F2D14" w:rsidRDefault="000448D8" w:rsidP="00DD308E">
            <w:r>
              <w:t>Comprehensive testing of 1119 patients with hearing loss identified a genetic cause in 440 (39%).</w:t>
            </w:r>
          </w:p>
        </w:tc>
        <w:tc>
          <w:tcPr>
            <w:tcW w:w="1563" w:type="pct"/>
          </w:tcPr>
          <w:p w14:paraId="11367A22" w14:textId="63F61C02" w:rsidR="00600815" w:rsidRPr="000F2D14" w:rsidRDefault="000448D8" w:rsidP="00DD308E">
            <w:r w:rsidRPr="000448D8">
              <w:t>https://pubmed.ncbi.nlm.nih.gov/26969326/</w:t>
            </w:r>
          </w:p>
        </w:tc>
        <w:tc>
          <w:tcPr>
            <w:tcW w:w="669" w:type="pct"/>
          </w:tcPr>
          <w:p w14:paraId="71F8362D" w14:textId="33A67D5C" w:rsidR="00600815" w:rsidDel="000F2D14" w:rsidRDefault="000448D8" w:rsidP="00DD308E">
            <w:r>
              <w:t xml:space="preserve">April 2016 </w:t>
            </w:r>
          </w:p>
        </w:tc>
      </w:tr>
      <w:tr w:rsidR="000448D8" w14:paraId="76333600" w14:textId="77777777" w:rsidTr="00182306">
        <w:trPr>
          <w:cantSplit/>
        </w:trPr>
        <w:tc>
          <w:tcPr>
            <w:tcW w:w="193" w:type="pct"/>
          </w:tcPr>
          <w:p w14:paraId="42DBEB11" w14:textId="440660E2" w:rsidR="000448D8" w:rsidRDefault="000448D8" w:rsidP="00DD308E">
            <w:pPr>
              <w:rPr>
                <w:szCs w:val="20"/>
              </w:rPr>
            </w:pPr>
            <w:r>
              <w:rPr>
                <w:szCs w:val="20"/>
              </w:rPr>
              <w:lastRenderedPageBreak/>
              <w:t>7.</w:t>
            </w:r>
          </w:p>
        </w:tc>
        <w:tc>
          <w:tcPr>
            <w:tcW w:w="669" w:type="pct"/>
          </w:tcPr>
          <w:p w14:paraId="09D5B25C" w14:textId="2DFDC71B" w:rsidR="000448D8" w:rsidRDefault="000448D8" w:rsidP="00DD308E">
            <w:pPr>
              <w:rPr>
                <w:bCs/>
                <w:szCs w:val="20"/>
              </w:rPr>
            </w:pPr>
            <w:r>
              <w:rPr>
                <w:bCs/>
                <w:szCs w:val="20"/>
              </w:rPr>
              <w:t xml:space="preserve">Literature Review </w:t>
            </w:r>
          </w:p>
        </w:tc>
        <w:tc>
          <w:tcPr>
            <w:tcW w:w="802" w:type="pct"/>
          </w:tcPr>
          <w:p w14:paraId="66283C53" w14:textId="70FF3962" w:rsidR="000448D8" w:rsidRDefault="000448D8" w:rsidP="000F297F">
            <w:pPr>
              <w:rPr>
                <w:szCs w:val="20"/>
              </w:rPr>
            </w:pPr>
            <w:r>
              <w:rPr>
                <w:szCs w:val="20"/>
              </w:rPr>
              <w:t>Massively Parallel Sequencing for Genetic Diagnosis of Hearing Loss: The New Standard of Care</w:t>
            </w:r>
          </w:p>
        </w:tc>
        <w:tc>
          <w:tcPr>
            <w:tcW w:w="1103" w:type="pct"/>
          </w:tcPr>
          <w:p w14:paraId="309F323E" w14:textId="38C1BAD7" w:rsidR="000448D8" w:rsidRDefault="000448D8" w:rsidP="00DD308E">
            <w:r>
              <w:t xml:space="preserve">30 studies were identified which evaluate new genetic sequencing techniques for comprehensive genetic testing for hearing loss. The overall diagnostic rate was 41% (range. 10-83%). Based on these results, comprehensive genetic testing should form the cornerstone of a tiered approach to clinical evaluation of patients with hearing loss. </w:t>
            </w:r>
          </w:p>
        </w:tc>
        <w:tc>
          <w:tcPr>
            <w:tcW w:w="1563" w:type="pct"/>
          </w:tcPr>
          <w:p w14:paraId="66573230" w14:textId="1A236581" w:rsidR="000448D8" w:rsidRPr="000448D8" w:rsidRDefault="000448D8" w:rsidP="00DD308E">
            <w:r w:rsidRPr="000448D8">
              <w:t>https://pubmed.ncbi.nlm.nih.gov/26084827/</w:t>
            </w:r>
          </w:p>
        </w:tc>
        <w:tc>
          <w:tcPr>
            <w:tcW w:w="669" w:type="pct"/>
          </w:tcPr>
          <w:p w14:paraId="7C80D59B" w14:textId="77777777" w:rsidR="000448D8" w:rsidRDefault="000448D8" w:rsidP="00DD308E">
            <w:r>
              <w:t xml:space="preserve">August 2015 </w:t>
            </w:r>
          </w:p>
          <w:p w14:paraId="23560ADB" w14:textId="77777777" w:rsidR="009B243D" w:rsidRPr="009B243D" w:rsidRDefault="009B243D" w:rsidP="009B243D"/>
          <w:p w14:paraId="796A31BA" w14:textId="77777777" w:rsidR="009B243D" w:rsidRDefault="009B243D" w:rsidP="009B243D"/>
          <w:p w14:paraId="3A2D4816" w14:textId="36EB3C04" w:rsidR="009B243D" w:rsidRPr="009B243D" w:rsidRDefault="009B243D" w:rsidP="00182306">
            <w:pPr>
              <w:jc w:val="center"/>
            </w:pPr>
          </w:p>
        </w:tc>
      </w:tr>
      <w:tr w:rsidR="009B243D" w14:paraId="7AC2A9A4" w14:textId="77777777" w:rsidTr="00182306">
        <w:trPr>
          <w:cantSplit/>
        </w:trPr>
        <w:tc>
          <w:tcPr>
            <w:tcW w:w="193" w:type="pct"/>
          </w:tcPr>
          <w:p w14:paraId="5BC99F53" w14:textId="3D55B5C9" w:rsidR="009B243D" w:rsidRDefault="009B243D" w:rsidP="00DD308E">
            <w:pPr>
              <w:rPr>
                <w:szCs w:val="20"/>
              </w:rPr>
            </w:pPr>
            <w:r>
              <w:rPr>
                <w:szCs w:val="20"/>
              </w:rPr>
              <w:t>8.</w:t>
            </w:r>
          </w:p>
        </w:tc>
        <w:tc>
          <w:tcPr>
            <w:tcW w:w="669" w:type="pct"/>
          </w:tcPr>
          <w:p w14:paraId="60F21635" w14:textId="320304B0" w:rsidR="009B243D" w:rsidRDefault="00DA1AC8" w:rsidP="00DD308E">
            <w:pPr>
              <w:rPr>
                <w:bCs/>
                <w:szCs w:val="20"/>
              </w:rPr>
            </w:pPr>
            <w:r>
              <w:rPr>
                <w:bCs/>
                <w:szCs w:val="20"/>
              </w:rPr>
              <w:t xml:space="preserve">Prospective cohort study </w:t>
            </w:r>
          </w:p>
        </w:tc>
        <w:tc>
          <w:tcPr>
            <w:tcW w:w="802" w:type="pct"/>
          </w:tcPr>
          <w:p w14:paraId="424ACE0A" w14:textId="1ED31A5F" w:rsidR="009B243D" w:rsidRDefault="00DA1AC8" w:rsidP="000F297F">
            <w:pPr>
              <w:rPr>
                <w:szCs w:val="20"/>
              </w:rPr>
            </w:pPr>
            <w:r>
              <w:rPr>
                <w:szCs w:val="20"/>
              </w:rPr>
              <w:t xml:space="preserve">Comprehensive analysis via exome sequencing uncovers genetic </w:t>
            </w:r>
            <w:r w:rsidR="00182306">
              <w:rPr>
                <w:szCs w:val="20"/>
              </w:rPr>
              <w:t>a</w:t>
            </w:r>
            <w:r>
              <w:rPr>
                <w:szCs w:val="20"/>
              </w:rPr>
              <w:t>etiology in autosomal recessive non</w:t>
            </w:r>
            <w:r w:rsidR="00182306">
              <w:rPr>
                <w:szCs w:val="20"/>
              </w:rPr>
              <w:t>-</w:t>
            </w:r>
            <w:r>
              <w:rPr>
                <w:szCs w:val="20"/>
              </w:rPr>
              <w:t>syndromic deafness in a large multiethnic cohort</w:t>
            </w:r>
          </w:p>
        </w:tc>
        <w:tc>
          <w:tcPr>
            <w:tcW w:w="1103" w:type="pct"/>
          </w:tcPr>
          <w:p w14:paraId="4ACF26DB" w14:textId="31E23B8F" w:rsidR="009B243D" w:rsidRDefault="00DA1AC8" w:rsidP="00DD308E">
            <w:r>
              <w:t xml:space="preserve">160 families received WEA after excluding mutations in the most common gene, GJB2. Variants in known hearing loss genes were detected in 56% of families. </w:t>
            </w:r>
          </w:p>
        </w:tc>
        <w:tc>
          <w:tcPr>
            <w:tcW w:w="1563" w:type="pct"/>
          </w:tcPr>
          <w:p w14:paraId="08127581" w14:textId="35E7487F" w:rsidR="009B243D" w:rsidRPr="000448D8" w:rsidRDefault="00DA1AC8" w:rsidP="00DD308E">
            <w:r w:rsidRPr="00DA1AC8">
              <w:t>https://pubmed.ncbi.nlm.nih.gov/26084827/</w:t>
            </w:r>
          </w:p>
        </w:tc>
        <w:tc>
          <w:tcPr>
            <w:tcW w:w="669" w:type="pct"/>
          </w:tcPr>
          <w:p w14:paraId="591AF67F" w14:textId="77777777" w:rsidR="009B243D" w:rsidRDefault="00DA1AC8" w:rsidP="00DD308E">
            <w:r>
              <w:t>April 2016</w:t>
            </w:r>
          </w:p>
          <w:p w14:paraId="18E7E325" w14:textId="77777777" w:rsidR="0046591D" w:rsidRDefault="0046591D" w:rsidP="0046591D"/>
          <w:p w14:paraId="47329674" w14:textId="7A6F3F9A" w:rsidR="0046591D" w:rsidRPr="0046591D" w:rsidRDefault="0046591D" w:rsidP="00182306">
            <w:pPr>
              <w:jc w:val="center"/>
            </w:pPr>
          </w:p>
        </w:tc>
      </w:tr>
      <w:tr w:rsidR="0046591D" w14:paraId="52D804E0" w14:textId="77777777" w:rsidTr="00182306">
        <w:trPr>
          <w:cantSplit/>
        </w:trPr>
        <w:tc>
          <w:tcPr>
            <w:tcW w:w="193" w:type="pct"/>
          </w:tcPr>
          <w:p w14:paraId="1D044F4C" w14:textId="60E77836" w:rsidR="0046591D" w:rsidRDefault="0046591D" w:rsidP="00DD308E">
            <w:pPr>
              <w:rPr>
                <w:szCs w:val="20"/>
              </w:rPr>
            </w:pPr>
            <w:r>
              <w:rPr>
                <w:szCs w:val="20"/>
              </w:rPr>
              <w:t>9.</w:t>
            </w:r>
          </w:p>
        </w:tc>
        <w:tc>
          <w:tcPr>
            <w:tcW w:w="669" w:type="pct"/>
          </w:tcPr>
          <w:p w14:paraId="4962E6DB" w14:textId="2383D4EF" w:rsidR="0046591D" w:rsidRDefault="00931267" w:rsidP="00DD308E">
            <w:pPr>
              <w:rPr>
                <w:bCs/>
                <w:szCs w:val="20"/>
              </w:rPr>
            </w:pPr>
            <w:r>
              <w:rPr>
                <w:bCs/>
                <w:szCs w:val="20"/>
              </w:rPr>
              <w:t xml:space="preserve">Prospective cohort study </w:t>
            </w:r>
          </w:p>
        </w:tc>
        <w:tc>
          <w:tcPr>
            <w:tcW w:w="802" w:type="pct"/>
          </w:tcPr>
          <w:p w14:paraId="723F4E00" w14:textId="40104D0D" w:rsidR="0046591D" w:rsidRDefault="0046591D" w:rsidP="000F297F">
            <w:pPr>
              <w:rPr>
                <w:szCs w:val="20"/>
              </w:rPr>
            </w:pPr>
            <w:r>
              <w:rPr>
                <w:szCs w:val="20"/>
              </w:rPr>
              <w:t xml:space="preserve">Diagnostic outcomes of exome sequencing in patients with syndromic or non-syndromic hearing loss </w:t>
            </w:r>
          </w:p>
        </w:tc>
        <w:tc>
          <w:tcPr>
            <w:tcW w:w="1103" w:type="pct"/>
          </w:tcPr>
          <w:p w14:paraId="01A04C2B" w14:textId="0B1C97E9" w:rsidR="0046591D" w:rsidRDefault="00806D05" w:rsidP="00DD308E">
            <w:r>
              <w:t xml:space="preserve">49 probands underwent exome sequencing to investigate hearing loss. 30% had a genetic diagnosis made. WEA proved to be effective in detecting unrecognised hearing loss syndromes and deciphering complex phenotypes in which hearing loss is a separate feature and not part of a syndrome. </w:t>
            </w:r>
          </w:p>
        </w:tc>
        <w:tc>
          <w:tcPr>
            <w:tcW w:w="1563" w:type="pct"/>
          </w:tcPr>
          <w:p w14:paraId="7D96ABF7" w14:textId="770AF46E" w:rsidR="0046591D" w:rsidRPr="00DA1AC8" w:rsidRDefault="00D21F1D" w:rsidP="00DD308E">
            <w:r w:rsidRPr="00D21F1D">
              <w:t>https://pubmed.ncbi.nlm.nih.gov/29293505/</w:t>
            </w:r>
          </w:p>
        </w:tc>
        <w:tc>
          <w:tcPr>
            <w:tcW w:w="669" w:type="pct"/>
          </w:tcPr>
          <w:p w14:paraId="1850123A" w14:textId="3BA740BD" w:rsidR="0046591D" w:rsidRDefault="00CF54DF" w:rsidP="00DD308E">
            <w:r>
              <w:t>January 2018</w:t>
            </w:r>
          </w:p>
        </w:tc>
      </w:tr>
    </w:tbl>
    <w:p w14:paraId="01C3E80C" w14:textId="77777777" w:rsidR="00DD308E" w:rsidRDefault="00DD308E" w:rsidP="00DD308E">
      <w:pPr>
        <w:rPr>
          <w:i/>
          <w:szCs w:val="20"/>
        </w:rPr>
      </w:pPr>
      <w:r>
        <w:rPr>
          <w:i/>
          <w:szCs w:val="20"/>
        </w:rPr>
        <w:br w:type="page"/>
      </w:r>
    </w:p>
    <w:p w14:paraId="53A9B64D" w14:textId="77777777" w:rsidR="00DD308E" w:rsidRDefault="00DD308E">
      <w:pPr>
        <w:rPr>
          <w:b/>
          <w:sz w:val="32"/>
          <w:szCs w:val="32"/>
        </w:rPr>
        <w:sectPr w:rsidR="00DD308E" w:rsidSect="00DD308E">
          <w:pgSz w:w="16838" w:h="11906" w:orient="landscape"/>
          <w:pgMar w:top="1440" w:right="1440" w:bottom="1440" w:left="1440" w:header="708" w:footer="708" w:gutter="0"/>
          <w:cols w:space="708"/>
          <w:docGrid w:linePitch="360"/>
        </w:sectPr>
      </w:pPr>
    </w:p>
    <w:p w14:paraId="30C3982D" w14:textId="77777777" w:rsidR="004C49EF" w:rsidRDefault="004C49EF" w:rsidP="00530204">
      <w:pPr>
        <w:pStyle w:val="Heading2"/>
      </w:pPr>
      <w:r w:rsidRPr="00E82F54">
        <w:lastRenderedPageBreak/>
        <w:t xml:space="preserve">Identify yet to be published research that may have results available </w:t>
      </w:r>
      <w:proofErr w:type="gramStart"/>
      <w:r w:rsidRPr="00E82F54">
        <w:t>in the near future</w:t>
      </w:r>
      <w:proofErr w:type="gramEnd"/>
      <w:r w:rsidRPr="00E82F54">
        <w:t xml:space="preserve"> that could be relevant in the consideration of your application by MSAC</w:t>
      </w:r>
      <w:r>
        <w:t xml:space="preserve"> (limiting these to the English language only).</w:t>
      </w:r>
      <w:r w:rsidRPr="001130B0">
        <w:rPr>
          <w:i/>
        </w:rPr>
        <w:t xml:space="preserve"> </w:t>
      </w:r>
      <w:r>
        <w:rPr>
          <w:i/>
        </w:rPr>
        <w:t>Please do not attach</w:t>
      </w:r>
      <w:r w:rsidRPr="001130B0">
        <w:rPr>
          <w:i/>
        </w:rPr>
        <w:t xml:space="preserve"> full text articles, this is just intended to be a summary.</w:t>
      </w:r>
    </w:p>
    <w:tbl>
      <w:tblPr>
        <w:tblStyle w:val="TableGrid"/>
        <w:tblW w:w="5000" w:type="pct"/>
        <w:tblLook w:val="04A0" w:firstRow="1" w:lastRow="0" w:firstColumn="1" w:lastColumn="0" w:noHBand="0" w:noVBand="1"/>
        <w:tblCaption w:val="Summary of Evidence - Yet to be Published"/>
      </w:tblPr>
      <w:tblGrid>
        <w:gridCol w:w="909"/>
        <w:gridCol w:w="2497"/>
        <w:gridCol w:w="3138"/>
        <w:gridCol w:w="2466"/>
        <w:gridCol w:w="3476"/>
        <w:gridCol w:w="1462"/>
      </w:tblGrid>
      <w:tr w:rsidR="004C49EF" w14:paraId="5710B614" w14:textId="77777777" w:rsidTr="004C49EF">
        <w:trPr>
          <w:cantSplit/>
          <w:tblHeader/>
        </w:trPr>
        <w:tc>
          <w:tcPr>
            <w:tcW w:w="326" w:type="pct"/>
          </w:tcPr>
          <w:p w14:paraId="5AB1CCAA" w14:textId="77777777" w:rsidR="004C49EF" w:rsidRDefault="004C49EF" w:rsidP="00855944">
            <w:pPr>
              <w:pStyle w:val="TableHEADER"/>
            </w:pPr>
          </w:p>
        </w:tc>
        <w:tc>
          <w:tcPr>
            <w:tcW w:w="895" w:type="pct"/>
          </w:tcPr>
          <w:p w14:paraId="7205792F" w14:textId="3567F7C4" w:rsidR="004C49EF" w:rsidRDefault="004C49EF" w:rsidP="00855944">
            <w:pPr>
              <w:pStyle w:val="TableHEADER"/>
            </w:pPr>
            <w:r>
              <w:t>Type of study design</w:t>
            </w:r>
          </w:p>
        </w:tc>
        <w:tc>
          <w:tcPr>
            <w:tcW w:w="1125" w:type="pct"/>
          </w:tcPr>
          <w:p w14:paraId="570701B3" w14:textId="7098E8E0" w:rsidR="004C49EF" w:rsidRDefault="004C49EF" w:rsidP="00855944">
            <w:pPr>
              <w:pStyle w:val="TableHEADER"/>
            </w:pPr>
            <w:r>
              <w:t xml:space="preserve">Title of research </w:t>
            </w:r>
          </w:p>
        </w:tc>
        <w:tc>
          <w:tcPr>
            <w:tcW w:w="884" w:type="pct"/>
          </w:tcPr>
          <w:p w14:paraId="42D91328" w14:textId="352ACEF0" w:rsidR="004C49EF" w:rsidRDefault="00367C1B" w:rsidP="00855944">
            <w:pPr>
              <w:pStyle w:val="TableHEADER"/>
            </w:pPr>
            <w:r>
              <w:t xml:space="preserve">Short description of research </w:t>
            </w:r>
          </w:p>
        </w:tc>
        <w:tc>
          <w:tcPr>
            <w:tcW w:w="1246" w:type="pct"/>
          </w:tcPr>
          <w:p w14:paraId="1CC0CB49" w14:textId="77777777" w:rsidR="004C49EF" w:rsidRDefault="004C49EF" w:rsidP="00855944">
            <w:pPr>
              <w:pStyle w:val="TableHEADER"/>
            </w:pPr>
            <w:r w:rsidRPr="00E82F54">
              <w:t xml:space="preserve">Website link to </w:t>
            </w:r>
            <w:r>
              <w:t>research (if available)</w:t>
            </w:r>
          </w:p>
        </w:tc>
        <w:tc>
          <w:tcPr>
            <w:tcW w:w="524" w:type="pct"/>
          </w:tcPr>
          <w:p w14:paraId="2B437C9F" w14:textId="38ED0897" w:rsidR="004C49EF" w:rsidRDefault="004C49EF" w:rsidP="00855944">
            <w:pPr>
              <w:pStyle w:val="TableHEADER"/>
            </w:pPr>
            <w:r w:rsidRPr="00E82F54">
              <w:t>Date</w:t>
            </w:r>
          </w:p>
        </w:tc>
      </w:tr>
      <w:tr w:rsidR="004C49EF" w14:paraId="56B52DA7" w14:textId="77777777" w:rsidTr="004C49EF">
        <w:trPr>
          <w:cantSplit/>
        </w:trPr>
        <w:tc>
          <w:tcPr>
            <w:tcW w:w="326" w:type="pct"/>
          </w:tcPr>
          <w:p w14:paraId="372600B2" w14:textId="77777777" w:rsidR="004C49EF" w:rsidRPr="00965B6B" w:rsidRDefault="004C49EF" w:rsidP="00526478">
            <w:pPr>
              <w:rPr>
                <w:szCs w:val="20"/>
              </w:rPr>
            </w:pPr>
            <w:r w:rsidRPr="00965B6B">
              <w:rPr>
                <w:szCs w:val="20"/>
              </w:rPr>
              <w:t>1</w:t>
            </w:r>
            <w:r>
              <w:rPr>
                <w:szCs w:val="20"/>
              </w:rPr>
              <w:t>.</w:t>
            </w:r>
          </w:p>
        </w:tc>
        <w:tc>
          <w:tcPr>
            <w:tcW w:w="895" w:type="pct"/>
          </w:tcPr>
          <w:p w14:paraId="47F587ED" w14:textId="7D18B93C" w:rsidR="004C49EF" w:rsidRPr="00C16C8F" w:rsidRDefault="00C16C8F" w:rsidP="00526478">
            <w:pPr>
              <w:rPr>
                <w:bCs/>
                <w:szCs w:val="20"/>
              </w:rPr>
            </w:pPr>
            <w:r w:rsidRPr="00C16C8F">
              <w:rPr>
                <w:bCs/>
                <w:szCs w:val="20"/>
              </w:rPr>
              <w:t>Qualitative analysis</w:t>
            </w:r>
          </w:p>
        </w:tc>
        <w:tc>
          <w:tcPr>
            <w:tcW w:w="1125" w:type="pct"/>
          </w:tcPr>
          <w:p w14:paraId="203A7D6B" w14:textId="77777777" w:rsidR="00C16C8F" w:rsidRPr="00C16C8F" w:rsidRDefault="00C16C8F" w:rsidP="00C16C8F">
            <w:pPr>
              <w:pStyle w:val="Normalessay"/>
              <w:spacing w:line="240" w:lineRule="auto"/>
              <w:ind w:firstLine="0"/>
              <w:rPr>
                <w:rFonts w:asciiTheme="minorHAnsi" w:hAnsiTheme="minorHAnsi" w:cstheme="minorHAnsi"/>
                <w:sz w:val="20"/>
                <w:szCs w:val="20"/>
              </w:rPr>
            </w:pPr>
            <w:r w:rsidRPr="00C16C8F">
              <w:rPr>
                <w:rFonts w:asciiTheme="minorHAnsi" w:hAnsiTheme="minorHAnsi" w:cstheme="minorHAnsi"/>
                <w:sz w:val="20"/>
                <w:szCs w:val="20"/>
              </w:rPr>
              <w:t>Personal utility of genomic sequencing for infants with congenital deafness</w:t>
            </w:r>
          </w:p>
          <w:p w14:paraId="316C7214" w14:textId="0DB02281" w:rsidR="004C49EF" w:rsidRDefault="004C49EF" w:rsidP="00526478">
            <w:pPr>
              <w:rPr>
                <w:b/>
                <w:szCs w:val="20"/>
              </w:rPr>
            </w:pPr>
          </w:p>
        </w:tc>
        <w:tc>
          <w:tcPr>
            <w:tcW w:w="884" w:type="pct"/>
          </w:tcPr>
          <w:p w14:paraId="28614115" w14:textId="171773D8" w:rsidR="004C49EF" w:rsidRDefault="00C16C8F" w:rsidP="00607F8C">
            <w:pPr>
              <w:rPr>
                <w:b/>
                <w:szCs w:val="20"/>
              </w:rPr>
            </w:pPr>
            <w:r>
              <w:rPr>
                <w:bCs/>
                <w:szCs w:val="20"/>
              </w:rPr>
              <w:t>Analysis of s</w:t>
            </w:r>
            <w:r w:rsidRPr="00C16C8F">
              <w:rPr>
                <w:bCs/>
                <w:szCs w:val="20"/>
              </w:rPr>
              <w:t xml:space="preserve">urveys </w:t>
            </w:r>
            <w:r>
              <w:rPr>
                <w:bCs/>
                <w:szCs w:val="20"/>
              </w:rPr>
              <w:t xml:space="preserve">(N=67) </w:t>
            </w:r>
            <w:r w:rsidRPr="00C16C8F">
              <w:rPr>
                <w:bCs/>
                <w:szCs w:val="20"/>
              </w:rPr>
              <w:t>completed by parents who had WEA for their child diagnosed with congenital deafness.</w:t>
            </w:r>
            <w:r>
              <w:rPr>
                <w:b/>
                <w:szCs w:val="20"/>
              </w:rPr>
              <w:t xml:space="preserve"> </w:t>
            </w:r>
            <w:r>
              <w:rPr>
                <w:rFonts w:cs="Times New Roman"/>
                <w:szCs w:val="24"/>
              </w:rPr>
              <w:t>Parents placed high value on diagnostic WES for hearing loss. Diagnostic results provided certainty. WES also represented an opportunity to promote their child’s best interests.</w:t>
            </w:r>
          </w:p>
        </w:tc>
        <w:tc>
          <w:tcPr>
            <w:tcW w:w="1246" w:type="pct"/>
          </w:tcPr>
          <w:p w14:paraId="360A97F9" w14:textId="4E464EA7" w:rsidR="004C49EF" w:rsidRPr="00C16C8F" w:rsidRDefault="00C16C8F" w:rsidP="00526478">
            <w:pPr>
              <w:rPr>
                <w:bCs/>
                <w:szCs w:val="20"/>
              </w:rPr>
            </w:pPr>
            <w:r w:rsidRPr="00C16C8F">
              <w:rPr>
                <w:bCs/>
                <w:szCs w:val="20"/>
              </w:rPr>
              <w:t>Under review at America</w:t>
            </w:r>
            <w:r>
              <w:rPr>
                <w:bCs/>
                <w:szCs w:val="20"/>
              </w:rPr>
              <w:t>n</w:t>
            </w:r>
            <w:r w:rsidRPr="00C16C8F">
              <w:rPr>
                <w:bCs/>
                <w:szCs w:val="20"/>
              </w:rPr>
              <w:t xml:space="preserve"> Journal of Medical Genetics </w:t>
            </w:r>
          </w:p>
        </w:tc>
        <w:tc>
          <w:tcPr>
            <w:tcW w:w="524" w:type="pct"/>
          </w:tcPr>
          <w:p w14:paraId="4F750106" w14:textId="46AB43B4" w:rsidR="004C49EF" w:rsidRPr="00C16C8F" w:rsidRDefault="00C16C8F" w:rsidP="00526478">
            <w:pPr>
              <w:rPr>
                <w:bCs/>
                <w:szCs w:val="20"/>
              </w:rPr>
            </w:pPr>
            <w:r w:rsidRPr="00C16C8F">
              <w:rPr>
                <w:bCs/>
                <w:szCs w:val="20"/>
              </w:rPr>
              <w:t>July 2021</w:t>
            </w:r>
          </w:p>
        </w:tc>
      </w:tr>
    </w:tbl>
    <w:p w14:paraId="10C130E7" w14:textId="77777777" w:rsidR="00DD308E" w:rsidRDefault="00F301F1">
      <w:pPr>
        <w:rPr>
          <w:b/>
          <w:sz w:val="32"/>
          <w:szCs w:val="32"/>
        </w:rPr>
        <w:sectPr w:rsidR="00DD308E" w:rsidSect="00DD308E">
          <w:pgSz w:w="16838" w:h="11906" w:orient="landscape"/>
          <w:pgMar w:top="1440" w:right="1440" w:bottom="1440" w:left="1440" w:header="708" w:footer="708" w:gutter="0"/>
          <w:cols w:space="708"/>
          <w:docGrid w:linePitch="360"/>
        </w:sectPr>
      </w:pPr>
      <w:r>
        <w:rPr>
          <w:b/>
          <w:sz w:val="32"/>
          <w:szCs w:val="32"/>
        </w:rPr>
        <w:br w:type="page"/>
      </w:r>
    </w:p>
    <w:p w14:paraId="5E7DC6DD" w14:textId="77777777" w:rsidR="00E82F54" w:rsidRPr="00C776B1" w:rsidRDefault="005C3AE7" w:rsidP="0056015F">
      <w:pPr>
        <w:pStyle w:val="Heading1"/>
      </w:pPr>
      <w:r>
        <w:lastRenderedPageBreak/>
        <w:t>PART 5</w:t>
      </w:r>
      <w:r w:rsidR="00F93784">
        <w:t xml:space="preserve"> – </w:t>
      </w:r>
      <w:r w:rsidR="00E82F54" w:rsidRPr="00C776B1">
        <w:t>CLINICAL ENDORSEMENT AND CONSUMER INFORMATION</w:t>
      </w:r>
    </w:p>
    <w:p w14:paraId="1A42E7ED" w14:textId="77777777" w:rsidR="00E82F54" w:rsidRDefault="00E82F54" w:rsidP="005C3AE7">
      <w:pPr>
        <w:pStyle w:val="Heading2"/>
      </w:pPr>
      <w:r w:rsidRPr="00CA26DD">
        <w:t xml:space="preserve">List </w:t>
      </w:r>
      <w:r w:rsidR="00EA173C" w:rsidRPr="00CA26DD">
        <w:t>all appropriate professional bodies / organisations</w:t>
      </w:r>
      <w:r w:rsidRPr="00CA26DD">
        <w:t xml:space="preserve"> representing the group(s) of health profess</w:t>
      </w:r>
      <w:r w:rsidR="00EA173C" w:rsidRPr="00CA26DD">
        <w:t xml:space="preserve">ionals who provide the service </w:t>
      </w:r>
      <w:r w:rsidR="00F93784" w:rsidRPr="00CA26DD">
        <w:t xml:space="preserve">(please </w:t>
      </w:r>
      <w:r w:rsidR="00EA173C" w:rsidRPr="00CA26DD">
        <w:t>attach</w:t>
      </w:r>
      <w:r w:rsidR="00F93784" w:rsidRPr="00CA26DD">
        <w:t xml:space="preserve"> a </w:t>
      </w:r>
      <w:r w:rsidR="00254813">
        <w:t>statement of clinical relevance from</w:t>
      </w:r>
      <w:r w:rsidR="00EA173C" w:rsidRPr="00CA26DD">
        <w:t xml:space="preserve"> each </w:t>
      </w:r>
      <w:r w:rsidR="00F93784" w:rsidRPr="00CA26DD">
        <w:t>group</w:t>
      </w:r>
      <w:r w:rsidR="00EA173C" w:rsidRPr="00CA26DD">
        <w:t xml:space="preserve"> nominated</w:t>
      </w:r>
      <w:r w:rsidR="00F93784" w:rsidRPr="00CA26DD">
        <w:t>)</w:t>
      </w:r>
      <w:r w:rsidR="00A727B6">
        <w:t>:</w:t>
      </w:r>
    </w:p>
    <w:p w14:paraId="13C82832" w14:textId="77777777" w:rsidR="00A36EBA" w:rsidRDefault="00A36EBA" w:rsidP="00A727B6">
      <w:pPr>
        <w:ind w:left="426"/>
      </w:pPr>
      <w:bookmarkStart w:id="3" w:name="_Hlk74053500"/>
      <w:r>
        <w:t>Royal College of Pathologists of Australasia (RCPA)</w:t>
      </w:r>
    </w:p>
    <w:p w14:paraId="00BAC961" w14:textId="77777777" w:rsidR="00A36EBA" w:rsidRDefault="00A36EBA" w:rsidP="00A727B6">
      <w:pPr>
        <w:ind w:left="426"/>
      </w:pPr>
      <w:r>
        <w:t xml:space="preserve">Royal Australasian College of Physicians (RACP) </w:t>
      </w:r>
    </w:p>
    <w:p w14:paraId="18CC3F18" w14:textId="77777777" w:rsidR="00A36EBA" w:rsidRDefault="00A36EBA" w:rsidP="00A727B6">
      <w:pPr>
        <w:ind w:left="426"/>
      </w:pPr>
      <w:r>
        <w:t xml:space="preserve">The Australian Society of Otolaryngology Head and Neck Surgery (ASOHNS) </w:t>
      </w:r>
    </w:p>
    <w:p w14:paraId="6E9D3FAD" w14:textId="77777777" w:rsidR="00A727B6" w:rsidRDefault="00A36EBA" w:rsidP="00A727B6">
      <w:pPr>
        <w:ind w:left="426"/>
      </w:pPr>
      <w:r>
        <w:t>Human Genetics Society of Australasia (HGSA)</w:t>
      </w:r>
    </w:p>
    <w:p w14:paraId="21A0D1E3" w14:textId="2DA2B44C" w:rsidR="00A36EBA" w:rsidRDefault="00A36EBA" w:rsidP="00A727B6">
      <w:pPr>
        <w:ind w:left="426"/>
      </w:pPr>
      <w:r>
        <w:t>Childhood Hearing Australasian Medical Professionals (CHAMP)</w:t>
      </w:r>
      <w:r w:rsidR="000C2974">
        <w:t xml:space="preserve"> Network</w:t>
      </w:r>
    </w:p>
    <w:p w14:paraId="74403E01" w14:textId="55EB8D97" w:rsidR="00682A98" w:rsidRDefault="00025313" w:rsidP="00682A98">
      <w:pPr>
        <w:ind w:left="426"/>
      </w:pPr>
      <w:r>
        <w:t>Austral</w:t>
      </w:r>
      <w:r w:rsidR="00FF267A">
        <w:t>asian</w:t>
      </w:r>
      <w:r>
        <w:t xml:space="preserve"> Newborn Hearing Screening (ANHS)</w:t>
      </w:r>
      <w:r w:rsidR="00FF267A">
        <w:t xml:space="preserve"> Committee</w:t>
      </w:r>
      <w:r w:rsidR="00682A98" w:rsidRPr="00682A98">
        <w:t xml:space="preserve"> </w:t>
      </w:r>
    </w:p>
    <w:p w14:paraId="31A0C144" w14:textId="786F5654" w:rsidR="00025313" w:rsidRPr="00A727B6" w:rsidRDefault="00A85E9F" w:rsidP="00E531DB">
      <w:pPr>
        <w:ind w:left="426"/>
      </w:pPr>
      <w:proofErr w:type="spellStart"/>
      <w:r>
        <w:t>Acadamy</w:t>
      </w:r>
      <w:proofErr w:type="spellEnd"/>
      <w:r>
        <w:t xml:space="preserve"> of Child and Adolescent Health (ACAH)</w:t>
      </w:r>
    </w:p>
    <w:bookmarkEnd w:id="3"/>
    <w:p w14:paraId="7F231255" w14:textId="77777777" w:rsidR="00EA173C" w:rsidRPr="00154B00" w:rsidRDefault="00EA173C" w:rsidP="00530204">
      <w:pPr>
        <w:pStyle w:val="Heading2"/>
      </w:pPr>
      <w:r w:rsidRPr="00154B00">
        <w:t xml:space="preserve">List </w:t>
      </w:r>
      <w:r>
        <w:t xml:space="preserve">any </w:t>
      </w:r>
      <w:r w:rsidRPr="00A727B6">
        <w:t>professional</w:t>
      </w:r>
      <w:r>
        <w:t xml:space="preserve"> bodies / organisations that may be impacted by this medical service</w:t>
      </w:r>
      <w:r w:rsidR="00F93784">
        <w:t xml:space="preserve"> (i.e. those who provide the comparator service)</w:t>
      </w:r>
      <w:r w:rsidR="00197D29">
        <w:t>:</w:t>
      </w:r>
    </w:p>
    <w:p w14:paraId="7F8355C3" w14:textId="77777777" w:rsidR="00EA173C" w:rsidRDefault="00A36EBA" w:rsidP="00A727B6">
      <w:pPr>
        <w:ind w:left="426"/>
      </w:pPr>
      <w:r>
        <w:t>As above</w:t>
      </w:r>
    </w:p>
    <w:p w14:paraId="6C7E2907" w14:textId="77777777" w:rsidR="00E82F54" w:rsidRPr="00154B00" w:rsidRDefault="00E82F54" w:rsidP="00530204">
      <w:pPr>
        <w:pStyle w:val="Heading2"/>
      </w:pPr>
      <w:r w:rsidRPr="00154B00">
        <w:t>List the consumer organisations relevant to the proposed medical service</w:t>
      </w:r>
      <w:r w:rsidR="00C12C5C">
        <w:t xml:space="preserve"> (please attach a letter of </w:t>
      </w:r>
      <w:r w:rsidR="00C12C5C" w:rsidRPr="00EE6450">
        <w:t>support</w:t>
      </w:r>
      <w:r w:rsidR="00C12C5C">
        <w:t xml:space="preserve"> for each consumer organisation nominated)</w:t>
      </w:r>
      <w:r w:rsidR="00197D29">
        <w:t>:</w:t>
      </w:r>
    </w:p>
    <w:p w14:paraId="2C287129" w14:textId="5165EDA2" w:rsidR="00682A98" w:rsidRDefault="00682A98" w:rsidP="00A727B6">
      <w:pPr>
        <w:ind w:left="426"/>
      </w:pPr>
      <w:bookmarkStart w:id="4" w:name="_Hlk74053515"/>
      <w:r>
        <w:t>Deafness Foundation</w:t>
      </w:r>
    </w:p>
    <w:p w14:paraId="44DC09F4" w14:textId="44A940D1" w:rsidR="00682A98" w:rsidRDefault="00682A98" w:rsidP="00A727B6">
      <w:pPr>
        <w:ind w:left="426"/>
      </w:pPr>
      <w:r>
        <w:t>Deaf Children Australia</w:t>
      </w:r>
    </w:p>
    <w:p w14:paraId="6A4BB896" w14:textId="77777777" w:rsidR="00025313" w:rsidRDefault="00025313" w:rsidP="00A727B6">
      <w:pPr>
        <w:ind w:left="426"/>
      </w:pPr>
      <w:r>
        <w:t xml:space="preserve">Aussie Deaf Kids </w:t>
      </w:r>
    </w:p>
    <w:p w14:paraId="75F54820" w14:textId="0D139D0D" w:rsidR="00025313" w:rsidRDefault="00025313" w:rsidP="00A727B6">
      <w:pPr>
        <w:ind w:left="426"/>
      </w:pPr>
      <w:proofErr w:type="spellStart"/>
      <w:r>
        <w:t>UsherKids</w:t>
      </w:r>
      <w:proofErr w:type="spellEnd"/>
    </w:p>
    <w:p w14:paraId="447CAD07" w14:textId="582CEDD0" w:rsidR="00A85E9F" w:rsidRDefault="00A85E9F" w:rsidP="00A727B6">
      <w:pPr>
        <w:ind w:left="426"/>
      </w:pPr>
      <w:proofErr w:type="spellStart"/>
      <w:r>
        <w:t>NextSense</w:t>
      </w:r>
      <w:proofErr w:type="spellEnd"/>
    </w:p>
    <w:p w14:paraId="7C439C5B" w14:textId="45FE677E" w:rsidR="00025313" w:rsidRPr="00E531DB" w:rsidRDefault="00A85E9F" w:rsidP="00E531DB">
      <w:pPr>
        <w:ind w:left="426"/>
        <w:rPr>
          <w:i/>
          <w:iCs/>
        </w:rPr>
      </w:pPr>
      <w:r>
        <w:t xml:space="preserve">Aurora </w:t>
      </w:r>
      <w:r w:rsidR="00025313">
        <w:t>Early intervention services</w:t>
      </w:r>
      <w:bookmarkEnd w:id="4"/>
    </w:p>
    <w:p w14:paraId="48D23AE2" w14:textId="77777777" w:rsidR="003433D1" w:rsidRDefault="003433D1" w:rsidP="00530204">
      <w:pPr>
        <w:pStyle w:val="Heading2"/>
      </w:pPr>
      <w:r>
        <w:t xml:space="preserve">List the relevant </w:t>
      </w:r>
      <w:r w:rsidRPr="00EE6450">
        <w:t>sponsor</w:t>
      </w:r>
      <w:r>
        <w:t xml:space="preserve">(s) and / or manufacturer(s) who produce similar products relevant </w:t>
      </w:r>
      <w:r w:rsidR="00197D29">
        <w:t>to the proposed medical service:</w:t>
      </w:r>
    </w:p>
    <w:p w14:paraId="4429BDCD" w14:textId="77777777" w:rsidR="00EE6450" w:rsidRDefault="00A36EBA" w:rsidP="00EE6450">
      <w:pPr>
        <w:ind w:left="426"/>
        <w:rPr>
          <w:szCs w:val="20"/>
        </w:rPr>
      </w:pPr>
      <w:r>
        <w:t>N/A</w:t>
      </w:r>
    </w:p>
    <w:p w14:paraId="4BFB05CF" w14:textId="6A4AB720" w:rsidR="00A96329" w:rsidRPr="00A96329" w:rsidRDefault="00E82F54" w:rsidP="00A96329">
      <w:pPr>
        <w:pStyle w:val="Heading2"/>
      </w:pPr>
      <w:r w:rsidRPr="00154B00">
        <w:t>Nominate two experts who could be approached about the proposed medical service and the current clinical management of the service(s):</w:t>
      </w:r>
    </w:p>
    <w:p w14:paraId="781AB475" w14:textId="3DBDD010" w:rsidR="00987ABE" w:rsidRPr="00987ABE" w:rsidRDefault="006320FF" w:rsidP="00E531DB">
      <w:pPr>
        <w:ind w:firstLine="360"/>
        <w:rPr>
          <w:szCs w:val="20"/>
        </w:rPr>
      </w:pPr>
      <w:r w:rsidRPr="000F307E">
        <w:rPr>
          <w:rFonts w:ascii="Calibri" w:eastAsia="Times New Roman" w:hAnsi="Calibri" w:cs="Calibri"/>
          <w:b/>
          <w:bCs/>
          <w:color w:val="201F1E"/>
          <w:sz w:val="22"/>
          <w:bdr w:val="none" w:sz="0" w:space="0" w:color="auto" w:frame="1"/>
          <w:shd w:val="clear" w:color="auto" w:fill="C0C0C0"/>
          <w:lang w:eastAsia="en-GB"/>
        </w:rPr>
        <w:t>REDACTED</w:t>
      </w:r>
    </w:p>
    <w:p w14:paraId="568A1986" w14:textId="77777777" w:rsidR="00987ABE" w:rsidRPr="00987ABE" w:rsidRDefault="00987ABE" w:rsidP="00987ABE">
      <w:pPr>
        <w:ind w:left="426"/>
        <w:rPr>
          <w:szCs w:val="20"/>
        </w:rPr>
      </w:pPr>
    </w:p>
    <w:p w14:paraId="4C0FA969" w14:textId="77777777" w:rsidR="00777E41" w:rsidRDefault="00777E41" w:rsidP="00987ABE">
      <w:pPr>
        <w:ind w:left="426"/>
        <w:rPr>
          <w:szCs w:val="20"/>
        </w:rPr>
      </w:pPr>
    </w:p>
    <w:p w14:paraId="0FEBFC6E" w14:textId="77777777" w:rsidR="00777E41" w:rsidRDefault="00777E41" w:rsidP="00987ABE">
      <w:pPr>
        <w:ind w:left="426"/>
        <w:rPr>
          <w:szCs w:val="20"/>
        </w:rPr>
      </w:pPr>
    </w:p>
    <w:p w14:paraId="0A81A146" w14:textId="77777777" w:rsidR="00777E41" w:rsidRDefault="00777E41" w:rsidP="00987ABE">
      <w:pPr>
        <w:ind w:left="426"/>
        <w:rPr>
          <w:szCs w:val="20"/>
        </w:rPr>
      </w:pPr>
    </w:p>
    <w:p w14:paraId="749483A4" w14:textId="77777777" w:rsidR="00777E41" w:rsidRDefault="00777E41" w:rsidP="00987ABE">
      <w:pPr>
        <w:ind w:left="426"/>
        <w:rPr>
          <w:szCs w:val="20"/>
        </w:rPr>
      </w:pPr>
    </w:p>
    <w:p w14:paraId="76F7C0C3" w14:textId="77777777" w:rsidR="00777E41" w:rsidRDefault="00777E41" w:rsidP="00987ABE">
      <w:pPr>
        <w:ind w:left="426"/>
        <w:rPr>
          <w:szCs w:val="20"/>
        </w:rPr>
      </w:pPr>
    </w:p>
    <w:p w14:paraId="4C43F92F" w14:textId="77777777" w:rsidR="00777E41" w:rsidRDefault="00777E41" w:rsidP="00987ABE">
      <w:pPr>
        <w:ind w:left="426"/>
        <w:rPr>
          <w:szCs w:val="20"/>
        </w:rPr>
      </w:pPr>
    </w:p>
    <w:p w14:paraId="23F426B7" w14:textId="77777777" w:rsidR="00E82F54" w:rsidRPr="00EA173C" w:rsidRDefault="00F93784" w:rsidP="0056015F">
      <w:pPr>
        <w:pStyle w:val="Heading1"/>
      </w:pPr>
      <w:r>
        <w:lastRenderedPageBreak/>
        <w:t>PAR</w:t>
      </w:r>
      <w:r w:rsidR="005C3AE7">
        <w:t>T 6</w:t>
      </w:r>
      <w:r>
        <w:t xml:space="preserve"> – POPULATION</w:t>
      </w:r>
      <w:r w:rsidR="000525BC">
        <w:t xml:space="preserve"> (AND PRIOR TESTS)</w:t>
      </w:r>
      <w:r>
        <w:t xml:space="preserve">, </w:t>
      </w:r>
      <w:r w:rsidR="00CC5AB1">
        <w:t>INTERVENTION</w:t>
      </w:r>
      <w:r>
        <w:t>, COMPARATOR, OUTCOME (PICO)</w:t>
      </w:r>
    </w:p>
    <w:p w14:paraId="687DF9B8" w14:textId="77777777" w:rsidR="0021185D" w:rsidRPr="005C3AE7" w:rsidRDefault="005C3AE7" w:rsidP="00E531DB">
      <w:pPr>
        <w:pStyle w:val="Subtitle"/>
        <w:ind w:left="0"/>
      </w:pPr>
      <w:r w:rsidRPr="005C3AE7">
        <w:t xml:space="preserve">PART 6a – </w:t>
      </w:r>
      <w:r w:rsidR="0021185D" w:rsidRPr="005C3AE7">
        <w:t>INFORMATION ABOUT THE PROPOSED POPULATION</w:t>
      </w:r>
    </w:p>
    <w:p w14:paraId="43E1ED5F" w14:textId="77777777" w:rsidR="0021185D" w:rsidRPr="00A96329" w:rsidRDefault="0021185D" w:rsidP="005C3AE7">
      <w:pPr>
        <w:pStyle w:val="Heading2"/>
      </w:pPr>
      <w:r w:rsidRPr="00A96329">
        <w:t>Define the medical condition, including providing information</w:t>
      </w:r>
      <w:r w:rsidR="00DF0C51" w:rsidRPr="00A96329">
        <w:t xml:space="preserve"> on the natural history of the </w:t>
      </w:r>
      <w:r w:rsidRPr="00A96329">
        <w:t>condition</w:t>
      </w:r>
      <w:r w:rsidR="0018630F" w:rsidRPr="00A96329">
        <w:t xml:space="preserve"> and a </w:t>
      </w:r>
      <w:proofErr w:type="gramStart"/>
      <w:r w:rsidR="0018630F" w:rsidRPr="00A96329">
        <w:t>high level</w:t>
      </w:r>
      <w:proofErr w:type="gramEnd"/>
      <w:r w:rsidR="009C03FB" w:rsidRPr="00A96329">
        <w:t xml:space="preserve"> summary of associated </w:t>
      </w:r>
      <w:r w:rsidR="0018630F" w:rsidRPr="00A96329">
        <w:t>burden of disea</w:t>
      </w:r>
      <w:r w:rsidR="009C03FB" w:rsidRPr="00A96329">
        <w:t>se</w:t>
      </w:r>
      <w:r w:rsidR="0054594B" w:rsidRPr="00A96329">
        <w:t xml:space="preserve"> in terms of both morbidity and mortality</w:t>
      </w:r>
      <w:r w:rsidR="00197D29">
        <w:t>:</w:t>
      </w:r>
    </w:p>
    <w:p w14:paraId="4D5C3412" w14:textId="316E8D21" w:rsidR="002A6753" w:rsidRPr="00154B00" w:rsidRDefault="00CF7A93" w:rsidP="00E357B9">
      <w:pPr>
        <w:ind w:left="426"/>
        <w:rPr>
          <w:szCs w:val="20"/>
        </w:rPr>
      </w:pPr>
      <w:r>
        <w:t xml:space="preserve">Childhood hearing loss affects 1-3/1000 children. In </w:t>
      </w:r>
      <w:proofErr w:type="gramStart"/>
      <w:r>
        <w:t>the majority of</w:t>
      </w:r>
      <w:proofErr w:type="gramEnd"/>
      <w:r>
        <w:t xml:space="preserve"> cases this is isolated, affecting only a child’s hearing, however, it is essential this is detected early in order for the child to develop communication and subsequently achieve normal neurodevelopment. </w:t>
      </w:r>
      <w:r w:rsidR="00777E41">
        <w:t>A more complex genetic syndrome is identifiable in 20% of children detected through newborn hearing screening. This may</w:t>
      </w:r>
      <w:r>
        <w:t xml:space="preserve"> </w:t>
      </w:r>
      <w:r w:rsidR="00777E41">
        <w:t>present</w:t>
      </w:r>
      <w:r>
        <w:t xml:space="preserve"> with isolated hearing </w:t>
      </w:r>
      <w:proofErr w:type="gramStart"/>
      <w:r>
        <w:t>impairment</w:t>
      </w:r>
      <w:proofErr w:type="gramEnd"/>
      <w:r>
        <w:t xml:space="preserve"> but other health problems emerge over time. Currently, the only effective way to detect these conditions is through regular screening for these complications in all children which is costly and burdensome for families. 60% of childhood hearing loss has a genetic aetiology with around 1</w:t>
      </w:r>
      <w:r w:rsidR="00777E41">
        <w:t>60</w:t>
      </w:r>
      <w:r>
        <w:t xml:space="preserve"> genes currently identified</w:t>
      </w:r>
      <w:r w:rsidR="00CC0184">
        <w:t xml:space="preserve">. While treatment with hearing aids and cochlear implants is not currently determined by an aetiological diagnosis, precision therapies are in development that will be guided by genetic diagnosis. In addition, establishing a diagnosis </w:t>
      </w:r>
      <w:r w:rsidR="001E7A8E">
        <w:t xml:space="preserve">allows avoidance of expensive and </w:t>
      </w:r>
      <w:proofErr w:type="gramStart"/>
      <w:r w:rsidR="001E7A8E">
        <w:t>time consuming</w:t>
      </w:r>
      <w:proofErr w:type="gramEnd"/>
      <w:r w:rsidR="001E7A8E">
        <w:t xml:space="preserve"> investigation as well as the potential of restoring reproductive confidence for families</w:t>
      </w:r>
      <w:r w:rsidR="004A7041">
        <w:t>.</w:t>
      </w:r>
      <w:r w:rsidR="00CC0184">
        <w:t xml:space="preserve"> </w:t>
      </w:r>
    </w:p>
    <w:p w14:paraId="65467938" w14:textId="77777777" w:rsidR="00AA5FDA" w:rsidRPr="00154B00" w:rsidRDefault="00AA5FDA" w:rsidP="00530204">
      <w:pPr>
        <w:pStyle w:val="Heading2"/>
      </w:pPr>
      <w:r w:rsidRPr="00154B00">
        <w:t>Specify any characteristics of patients with the medical condition</w:t>
      </w:r>
      <w:r w:rsidR="00707D4D">
        <w:t>, or suspected of,</w:t>
      </w:r>
      <w:r w:rsidRPr="00154B00">
        <w:t xml:space="preserve"> who are proposed to be eligible for the </w:t>
      </w:r>
      <w:r w:rsidRPr="00DA7D0C">
        <w:t>proposed</w:t>
      </w:r>
      <w:r w:rsidRPr="00154B00">
        <w:t xml:space="preserve"> medical service</w:t>
      </w:r>
      <w:r w:rsidR="00102686" w:rsidRPr="00154B00">
        <w:t>, including any details of how a patient w</w:t>
      </w:r>
      <w:r w:rsidR="0054594B" w:rsidRPr="00154B00">
        <w:t>ould be</w:t>
      </w:r>
      <w:r w:rsidR="00102686" w:rsidRPr="00154B00">
        <w:t xml:space="preserve"> </w:t>
      </w:r>
      <w:r w:rsidR="0018630F" w:rsidRPr="00154B00">
        <w:t>investigated</w:t>
      </w:r>
      <w:r w:rsidR="0054594B" w:rsidRPr="00154B00">
        <w:t>,</w:t>
      </w:r>
      <w:r w:rsidR="0018630F" w:rsidRPr="00154B00">
        <w:t xml:space="preserve"> managed </w:t>
      </w:r>
      <w:r w:rsidR="0054594B" w:rsidRPr="00154B00">
        <w:t xml:space="preserve">and referred </w:t>
      </w:r>
      <w:r w:rsidR="007D2358" w:rsidRPr="00154B00">
        <w:t xml:space="preserve">within the Australian health care system </w:t>
      </w:r>
      <w:r w:rsidR="0018630F" w:rsidRPr="00154B00">
        <w:t xml:space="preserve">in the lead up to being considered </w:t>
      </w:r>
      <w:r w:rsidR="00DF6D37" w:rsidRPr="00154B00">
        <w:t xml:space="preserve">eligible </w:t>
      </w:r>
      <w:r w:rsidR="0018630F" w:rsidRPr="00154B00">
        <w:t>for the service</w:t>
      </w:r>
      <w:r w:rsidR="00197D29">
        <w:t>:</w:t>
      </w:r>
    </w:p>
    <w:p w14:paraId="5BA53BA6" w14:textId="01D17029" w:rsidR="00AA5FDA" w:rsidRDefault="005D5611" w:rsidP="00E357B9">
      <w:pPr>
        <w:ind w:left="426"/>
      </w:pPr>
      <w:r>
        <w:t xml:space="preserve">Infant hearing screening covers 98% of all births in Australia and diagnoses </w:t>
      </w:r>
      <w:r w:rsidR="00220699">
        <w:t>between 250-</w:t>
      </w:r>
      <w:proofErr w:type="gramStart"/>
      <w:r w:rsidR="00220699">
        <w:t xml:space="preserve">300 </w:t>
      </w:r>
      <w:r>
        <w:t xml:space="preserve"> infants</w:t>
      </w:r>
      <w:proofErr w:type="gramEnd"/>
      <w:r>
        <w:t xml:space="preserve"> per year</w:t>
      </w:r>
      <w:r w:rsidR="00C439AE">
        <w:t xml:space="preserve"> with hearing loss</w:t>
      </w:r>
      <w:r>
        <w:t>. In addition</w:t>
      </w:r>
      <w:r w:rsidR="00182306">
        <w:t>,</w:t>
      </w:r>
      <w:r w:rsidR="00220699">
        <w:t xml:space="preserve"> </w:t>
      </w:r>
      <w:r>
        <w:t xml:space="preserve">children </w:t>
      </w:r>
      <w:r w:rsidR="00205CB4">
        <w:t>can be</w:t>
      </w:r>
      <w:r>
        <w:t xml:space="preserve"> diagnosed at some stage in childhood due to delayed acquisition of</w:t>
      </w:r>
      <w:r w:rsidR="004F1331">
        <w:t xml:space="preserve"> developmental</w:t>
      </w:r>
      <w:r>
        <w:t xml:space="preserve"> milestones</w:t>
      </w:r>
      <w:r w:rsidR="00795AC8">
        <w:t xml:space="preserve"> or a change in behaviour that indicates a reduction in hearing. </w:t>
      </w:r>
    </w:p>
    <w:p w14:paraId="75CCB5C4" w14:textId="6311CE99" w:rsidR="002842DB" w:rsidRDefault="002842DB" w:rsidP="00D8622E">
      <w:pPr>
        <w:ind w:left="426"/>
      </w:pPr>
      <w:r>
        <w:t>If detected on newborn hearing screening, children are referred directly to audiology. For older children, they are referred from a general practitioner or paediatrician to an audiology service</w:t>
      </w:r>
      <w:r w:rsidR="00795AC8">
        <w:t xml:space="preserve"> </w:t>
      </w:r>
      <w:r>
        <w:t>for investigation</w:t>
      </w:r>
      <w:r w:rsidR="00795AC8">
        <w:t xml:space="preserve"> of type and severity of hearing loss. </w:t>
      </w:r>
      <w:r>
        <w:t xml:space="preserve">If the child is confirmed to have a hearing </w:t>
      </w:r>
      <w:proofErr w:type="gramStart"/>
      <w:r>
        <w:t>loss</w:t>
      </w:r>
      <w:proofErr w:type="gramEnd"/>
      <w:r>
        <w:t xml:space="preserve"> t</w:t>
      </w:r>
      <w:r w:rsidR="00795AC8">
        <w:t>hey will then see a paediatrician</w:t>
      </w:r>
      <w:r w:rsidR="009408AA">
        <w:t xml:space="preserve"> or otolaryngologist</w:t>
      </w:r>
      <w:r w:rsidR="00795AC8">
        <w:t xml:space="preserve"> in </w:t>
      </w:r>
      <w:r w:rsidR="009408AA">
        <w:t xml:space="preserve">the </w:t>
      </w:r>
      <w:r w:rsidR="00795AC8">
        <w:t xml:space="preserve">outpatient setting where investigation </w:t>
      </w:r>
      <w:r w:rsidR="00083700">
        <w:t>to determine the underlying aetiology is performed</w:t>
      </w:r>
      <w:r w:rsidR="00777E41">
        <w:t xml:space="preserve">. </w:t>
      </w:r>
    </w:p>
    <w:p w14:paraId="08D05A96" w14:textId="77777777" w:rsidR="0018630F" w:rsidRDefault="0018630F" w:rsidP="00530204">
      <w:pPr>
        <w:pStyle w:val="Heading2"/>
      </w:pPr>
      <w:r w:rsidRPr="00154B00">
        <w:t xml:space="preserve">Define and summarise the current clinical management pathway </w:t>
      </w:r>
      <w:r w:rsidRPr="00154B00">
        <w:rPr>
          <w:i/>
        </w:rPr>
        <w:t>before</w:t>
      </w:r>
      <w:r w:rsidRPr="00154B00">
        <w:t xml:space="preserve"> patients would be eligible for the proposed </w:t>
      </w:r>
      <w:r w:rsidRPr="00DA7D0C">
        <w:t>medical</w:t>
      </w:r>
      <w:r w:rsidRPr="00154B00">
        <w:t xml:space="preserve"> service (supplement this summary with </w:t>
      </w:r>
      <w:r w:rsidR="00F33F1A" w:rsidRPr="00154B00">
        <w:t xml:space="preserve">an easy to follow flowchart </w:t>
      </w:r>
      <w:r w:rsidR="00DF0C51">
        <w:t xml:space="preserve">[as an attachment to the Application Form] </w:t>
      </w:r>
      <w:r w:rsidR="00F33F1A" w:rsidRPr="00154B00">
        <w:t>dep</w:t>
      </w:r>
      <w:r w:rsidRPr="00154B00">
        <w:t>icting the current clinical manag</w:t>
      </w:r>
      <w:r w:rsidR="00197D29">
        <w:t>ement pathway up to this point):</w:t>
      </w:r>
    </w:p>
    <w:p w14:paraId="6139F3E8" w14:textId="761D7C48" w:rsidR="00D8622E" w:rsidRDefault="00D8622E" w:rsidP="00D8622E">
      <w:pPr>
        <w:ind w:left="426"/>
      </w:pPr>
      <w:r>
        <w:t>There are recently published Australian guidelines on what investigations are recommended</w:t>
      </w:r>
      <w:r w:rsidR="00182306">
        <w:t xml:space="preserve"> (Appendix 1)</w:t>
      </w:r>
      <w:r>
        <w:t xml:space="preserve">. This includes comprehensive genetic </w:t>
      </w:r>
      <w:proofErr w:type="gramStart"/>
      <w:r>
        <w:t>testing</w:t>
      </w:r>
      <w:r w:rsidR="00182306">
        <w:t xml:space="preserve">, </w:t>
      </w:r>
      <w:r>
        <w:t>but</w:t>
      </w:r>
      <w:proofErr w:type="gramEnd"/>
      <w:r>
        <w:t xml:space="preserve"> recognises the funding limitations to healthcare services and families. </w:t>
      </w:r>
    </w:p>
    <w:p w14:paraId="074EE81F" w14:textId="77777777" w:rsidR="00D8622E" w:rsidRDefault="00D8622E" w:rsidP="00D8622E">
      <w:pPr>
        <w:ind w:left="426"/>
      </w:pPr>
      <w:r>
        <w:t xml:space="preserve">These guidelines detail what investigations should be performed for the different subtypes of hearing impairment, these may include blood tests for biochemical studies, imaging of the brain and ear and referrals to other specialists such as ophthalmologist or cardiologist to assess for associated health problems that can accompany hearing impairment. While some of these tests would continue to be required for management decisions (such as brain imaging in preparation for cochlear implant), many would no longer be required if WEA was available. If the criteria for the test is met (see MBS item descriptor) a non-diagnostic GJB2/6 test would remain a requirement before proceeding to WEA. </w:t>
      </w:r>
    </w:p>
    <w:p w14:paraId="792BA2C2" w14:textId="3A73840C" w:rsidR="00D8622E" w:rsidRDefault="00D8622E" w:rsidP="00D8622E">
      <w:pPr>
        <w:ind w:left="426"/>
      </w:pPr>
      <w:r>
        <w:t xml:space="preserve">For any child with bilateral hearing loss, single gene sequencing is recommended of GJB2/6. If this is negative WEA would be offered to the family as a diagnostic test. </w:t>
      </w:r>
      <w:r w:rsidR="00D85F21">
        <w:t xml:space="preserve">The flowchart (attached) shows the standard of care pathway versus the exome sequencing pathway. Further investigation is characterised in the guidelines (Appendix 1). </w:t>
      </w:r>
    </w:p>
    <w:p w14:paraId="118537BB" w14:textId="77777777" w:rsidR="002A50FD" w:rsidRPr="00881F93" w:rsidRDefault="005C3AE7" w:rsidP="00E531DB">
      <w:pPr>
        <w:pStyle w:val="Subtitle"/>
        <w:ind w:left="0"/>
      </w:pPr>
      <w:r>
        <w:lastRenderedPageBreak/>
        <w:t xml:space="preserve">PART 6b – </w:t>
      </w:r>
      <w:r w:rsidR="002A50FD" w:rsidRPr="00881F93">
        <w:t>INFORMATION ABOUT THE INTERVENTION</w:t>
      </w:r>
    </w:p>
    <w:p w14:paraId="3EB7A9B2" w14:textId="77777777" w:rsidR="002A50FD" w:rsidRPr="00154B00" w:rsidRDefault="002A6753" w:rsidP="00530204">
      <w:pPr>
        <w:pStyle w:val="Heading2"/>
      </w:pPr>
      <w:r w:rsidRPr="00154B00">
        <w:t xml:space="preserve">Describe </w:t>
      </w:r>
      <w:r w:rsidRPr="00DA7D0C">
        <w:t>the</w:t>
      </w:r>
      <w:r w:rsidRPr="00154B00">
        <w:t xml:space="preserve"> </w:t>
      </w:r>
      <w:r w:rsidR="00DF6D37" w:rsidRPr="00154B00">
        <w:t>key components and</w:t>
      </w:r>
      <w:r w:rsidR="00B771AD" w:rsidRPr="00154B00">
        <w:t xml:space="preserve"> clinical</w:t>
      </w:r>
      <w:r w:rsidR="00DF6D37" w:rsidRPr="00154B00">
        <w:t xml:space="preserve"> steps involved in delivering </w:t>
      </w:r>
      <w:r w:rsidR="00C05A45">
        <w:t xml:space="preserve">the </w:t>
      </w:r>
      <w:r w:rsidR="00197D29">
        <w:t>proposed medical service:</w:t>
      </w:r>
    </w:p>
    <w:p w14:paraId="28D88B79" w14:textId="7BAAFAE3" w:rsidR="004C23DE" w:rsidRDefault="004C23DE" w:rsidP="00EC3C10">
      <w:pPr>
        <w:ind w:left="360"/>
      </w:pPr>
      <w:r>
        <w:t xml:space="preserve">Children (&lt;18years) with onset of hearing impairment of any degree that is classified as permanent and sensorineural, auditory neuropathy or mixed. Children do not qualify for item </w:t>
      </w:r>
      <w:r w:rsidR="00F10A22">
        <w:t>73358 or 73359</w:t>
      </w:r>
      <w:r>
        <w:t xml:space="preserve"> and have had non diagnostic sequencing of genes </w:t>
      </w:r>
      <w:r>
        <w:rPr>
          <w:i/>
        </w:rPr>
        <w:t>GJB2/6</w:t>
      </w:r>
      <w:r>
        <w:t xml:space="preserve">. </w:t>
      </w:r>
    </w:p>
    <w:p w14:paraId="26F5E450" w14:textId="6569EA5F" w:rsidR="00EC3C10" w:rsidRDefault="00083700" w:rsidP="00EC3C10">
      <w:pPr>
        <w:ind w:left="360"/>
      </w:pPr>
      <w:r>
        <w:t xml:space="preserve">A paediatrician </w:t>
      </w:r>
      <w:r w:rsidR="00C439AE">
        <w:t xml:space="preserve">with expertise in managing children with hearing loss, </w:t>
      </w:r>
      <w:r w:rsidR="00777E41">
        <w:t xml:space="preserve">or clinical geneticist </w:t>
      </w:r>
      <w:r>
        <w:t>will request WE</w:t>
      </w:r>
      <w:r w:rsidR="001E7A8E">
        <w:t>A</w:t>
      </w:r>
      <w:r>
        <w:t xml:space="preserve">. The patient </w:t>
      </w:r>
      <w:r w:rsidR="00EC3C10">
        <w:t xml:space="preserve">would be required to provide a sample or consent to access of a stored sample to use for the test. </w:t>
      </w:r>
    </w:p>
    <w:p w14:paraId="424491F3" w14:textId="62E5587A" w:rsidR="00EC3C10" w:rsidRDefault="00777E41" w:rsidP="00EC3C10">
      <w:pPr>
        <w:ind w:left="360"/>
      </w:pPr>
      <w:r>
        <w:t>Multiple</w:t>
      </w:r>
      <w:r w:rsidR="00EC3C10">
        <w:t xml:space="preserve"> diagnostic laboratories are accredited to deliver equivalent services of whole exome analysis for diagnostic purposes</w:t>
      </w:r>
      <w:r>
        <w:t xml:space="preserve"> in Australia.</w:t>
      </w:r>
      <w:r w:rsidR="00EC3C10">
        <w:t xml:space="preserve"> It is expected that other diagnostic laboratories will become accredited to deliver equivalent services in the future. </w:t>
      </w:r>
    </w:p>
    <w:p w14:paraId="5B9FFCA7" w14:textId="77777777" w:rsidR="00EC3C10" w:rsidRPr="00EC3C10" w:rsidRDefault="00EC3C10" w:rsidP="00EC3C10">
      <w:pPr>
        <w:ind w:left="360"/>
      </w:pPr>
      <w:r>
        <w:t xml:space="preserve">The whole exome data would undergo bioinformatics analysis, filtered based on a list of genes for which there is evidence of association with childhood hearing impairment. As new disease genes are identified this list is expanded, allowing subsequent re-analysis of the initial whole exome data. Ideally, provision should be available to permit re-analysis of the initial data at a future date. </w:t>
      </w:r>
    </w:p>
    <w:p w14:paraId="23AC89A8" w14:textId="77777777" w:rsidR="002A6753" w:rsidRPr="00154B00" w:rsidRDefault="002A6753" w:rsidP="00530204">
      <w:pPr>
        <w:pStyle w:val="Heading2"/>
      </w:pPr>
      <w:r w:rsidRPr="00154B00">
        <w:t>Does the proposed medical service include a registered trademark</w:t>
      </w:r>
      <w:r w:rsidR="00707D4D">
        <w:t xml:space="preserve"> component</w:t>
      </w:r>
      <w:r w:rsidRPr="00154B00">
        <w:t xml:space="preserve"> with characteristics that distinguishes it </w:t>
      </w:r>
      <w:r w:rsidRPr="0073597B">
        <w:t>from</w:t>
      </w:r>
      <w:r w:rsidRPr="00154B00">
        <w:t xml:space="preserve"> other similar health </w:t>
      </w:r>
      <w:r w:rsidR="00707D4D">
        <w:t>components</w:t>
      </w:r>
      <w:r w:rsidRPr="00154B00">
        <w:t>?</w:t>
      </w:r>
    </w:p>
    <w:p w14:paraId="2D29B698" w14:textId="77777777" w:rsidR="002A6753" w:rsidRPr="00154B00" w:rsidRDefault="004B127A" w:rsidP="00E357B9">
      <w:pPr>
        <w:ind w:left="426"/>
        <w:rPr>
          <w:szCs w:val="20"/>
        </w:rPr>
      </w:pPr>
      <w:r>
        <w:t>No.</w:t>
      </w:r>
    </w:p>
    <w:p w14:paraId="344EA06A" w14:textId="77777777" w:rsidR="00C22AD8" w:rsidRPr="00154B00" w:rsidRDefault="00C22AD8" w:rsidP="00530204">
      <w:pPr>
        <w:pStyle w:val="Heading2"/>
      </w:pPr>
      <w:r w:rsidRPr="00154B00">
        <w:t xml:space="preserve">If the proposed </w:t>
      </w:r>
      <w:r w:rsidRPr="0073597B">
        <w:t>medical</w:t>
      </w:r>
      <w:r w:rsidRPr="00154B00">
        <w:t xml:space="preserve"> service has a prosthesis or device component to it, does it involve a new approach towards managing a particular sub-group of the population with the specific medical condition?</w:t>
      </w:r>
    </w:p>
    <w:p w14:paraId="476CC904" w14:textId="77777777" w:rsidR="00DF0C51" w:rsidRDefault="004B127A" w:rsidP="00E357B9">
      <w:pPr>
        <w:ind w:left="426"/>
        <w:rPr>
          <w:b/>
          <w:szCs w:val="20"/>
        </w:rPr>
      </w:pPr>
      <w:r>
        <w:t>N/A</w:t>
      </w:r>
    </w:p>
    <w:p w14:paraId="3368755F" w14:textId="77777777" w:rsidR="006B1B49" w:rsidRPr="00E357B9" w:rsidRDefault="006B1B49" w:rsidP="00530204">
      <w:pPr>
        <w:pStyle w:val="Heading2"/>
      </w:pPr>
      <w:r w:rsidRPr="00154B00">
        <w:t xml:space="preserve">If applicable, are there any limitations on the </w:t>
      </w:r>
      <w:r w:rsidR="00DF0C51">
        <w:t xml:space="preserve">provision </w:t>
      </w:r>
      <w:r w:rsidRPr="00154B00">
        <w:t>of the proposed medical se</w:t>
      </w:r>
      <w:r w:rsidR="00DF0C51">
        <w:t xml:space="preserve">rvice delivered to the patient </w:t>
      </w:r>
      <w:r w:rsidR="00D30BDC">
        <w:t>(</w:t>
      </w:r>
      <w:r w:rsidR="00DF0C51">
        <w:t>i</w:t>
      </w:r>
      <w:r w:rsidR="00812EDD">
        <w:t>.</w:t>
      </w:r>
      <w:r w:rsidR="00DF0C51">
        <w:t xml:space="preserve">e. </w:t>
      </w:r>
      <w:r w:rsidR="00707D4D">
        <w:t xml:space="preserve">accessibility, </w:t>
      </w:r>
      <w:r w:rsidR="00DF0C51" w:rsidRPr="0073597B">
        <w:t>dosage</w:t>
      </w:r>
      <w:r w:rsidR="00DF0C51">
        <w:t xml:space="preserve">, quantity, </w:t>
      </w:r>
      <w:proofErr w:type="gramStart"/>
      <w:r w:rsidR="00DF0C51">
        <w:t>duration</w:t>
      </w:r>
      <w:proofErr w:type="gramEnd"/>
      <w:r w:rsidR="00DF0C51">
        <w:t xml:space="preserve"> or frequency</w:t>
      </w:r>
      <w:r w:rsidR="00D30BDC">
        <w:t>)</w:t>
      </w:r>
      <w:r w:rsidR="00AE1188">
        <w:t>:</w:t>
      </w:r>
    </w:p>
    <w:p w14:paraId="496B8BF6" w14:textId="3912F38B" w:rsidR="00CC09D7" w:rsidRPr="00154B00" w:rsidRDefault="00B84E23" w:rsidP="00E357B9">
      <w:pPr>
        <w:ind w:left="426"/>
        <w:rPr>
          <w:szCs w:val="20"/>
        </w:rPr>
      </w:pPr>
      <w:r>
        <w:t xml:space="preserve">Whole exome analysis for childhood deafness would be delivered as a </w:t>
      </w:r>
      <w:proofErr w:type="gramStart"/>
      <w:r>
        <w:t>one off</w:t>
      </w:r>
      <w:proofErr w:type="gramEnd"/>
      <w:r>
        <w:t xml:space="preserve"> diagnostic test accessed through paediatricians </w:t>
      </w:r>
      <w:r w:rsidR="00777E41">
        <w:t>or</w:t>
      </w:r>
      <w:r>
        <w:t xml:space="preserve"> a clinical genetics service. Provision should be made for future re-analysis of the initial whole exome data in patients, for whom a genetic diagnosis is not established with initial testing, as new disease genes are identified. The frequency is suggested at a minimum of 2 yearly intervals and only as clinically indicated if new genes</w:t>
      </w:r>
      <w:r w:rsidR="001A0A0C">
        <w:t xml:space="preserve"> linked to the phenotype</w:t>
      </w:r>
      <w:r>
        <w:t xml:space="preserve"> are known to have been identified or new symptoms arise in the child that are suspicious for a genetic condition not analysed in the initial round of testing. </w:t>
      </w:r>
      <w:r w:rsidR="00777E41">
        <w:t xml:space="preserve">It is possible that the child develops symptoms and signs that would then make other testing more appropriate than re-analysis. </w:t>
      </w:r>
    </w:p>
    <w:p w14:paraId="3DE53D06" w14:textId="77777777" w:rsidR="00791C8D" w:rsidRPr="00154B00" w:rsidRDefault="00791C8D" w:rsidP="00530204">
      <w:pPr>
        <w:pStyle w:val="Heading2"/>
      </w:pPr>
      <w:r w:rsidRPr="00154B00">
        <w:t xml:space="preserve">If </w:t>
      </w:r>
      <w:r w:rsidRPr="0073597B">
        <w:t>applicable</w:t>
      </w:r>
      <w:r w:rsidRPr="00154B00">
        <w:t xml:space="preserve">, identify any healthcare resources </w:t>
      </w:r>
      <w:r w:rsidR="007522E3">
        <w:t xml:space="preserve">or other medical services </w:t>
      </w:r>
      <w:r w:rsidRPr="00154B00">
        <w:t xml:space="preserve">that would need to be delivered </w:t>
      </w:r>
      <w:r w:rsidRPr="007C2260">
        <w:rPr>
          <w:u w:val="single"/>
        </w:rPr>
        <w:t>at the same time</w:t>
      </w:r>
      <w:r w:rsidRPr="00154B00">
        <w:t xml:space="preserve"> </w:t>
      </w:r>
      <w:r w:rsidR="00197D29">
        <w:t>as the proposed medical service:</w:t>
      </w:r>
    </w:p>
    <w:p w14:paraId="1E62F529" w14:textId="5AC8946F" w:rsidR="00791C8D" w:rsidRPr="00154B00" w:rsidRDefault="00B84E23" w:rsidP="00884E69">
      <w:pPr>
        <w:ind w:left="426"/>
        <w:rPr>
          <w:szCs w:val="20"/>
        </w:rPr>
      </w:pPr>
      <w:r>
        <w:t>Consultation with a paediatrician</w:t>
      </w:r>
      <w:r w:rsidR="00C439AE">
        <w:t>, with expertise in managing children with hearing loss,</w:t>
      </w:r>
      <w:r>
        <w:t xml:space="preserve"> </w:t>
      </w:r>
      <w:r w:rsidR="00777E41">
        <w:t>or clinical geneticist</w:t>
      </w:r>
      <w:r>
        <w:t xml:space="preserve"> would be required at the time WEA is initially offered to eligible patients. For the delivery of results, a formal consultation with a </w:t>
      </w:r>
      <w:r w:rsidR="00777E41">
        <w:t>specialist in genetics would be appropriate (Clinical geneticist or Genetic counsellor)</w:t>
      </w:r>
      <w:r w:rsidR="00C439AE">
        <w:t>.</w:t>
      </w:r>
    </w:p>
    <w:p w14:paraId="5563E189" w14:textId="77777777" w:rsidR="00B17E26" w:rsidRPr="00154B00" w:rsidRDefault="00B17E26" w:rsidP="00530204">
      <w:pPr>
        <w:pStyle w:val="Heading2"/>
      </w:pPr>
      <w:r w:rsidRPr="00154B00">
        <w:t>If applicable, advise which health profession</w:t>
      </w:r>
      <w:r w:rsidR="00E4321E" w:rsidRPr="00154B00">
        <w:t xml:space="preserve">als </w:t>
      </w:r>
      <w:r w:rsidRPr="00154B00">
        <w:t>will</w:t>
      </w:r>
      <w:r w:rsidR="00E4321E" w:rsidRPr="00154B00">
        <w:t xml:space="preserve"> </w:t>
      </w:r>
      <w:r w:rsidR="007D2358" w:rsidRPr="00154B00">
        <w:t xml:space="preserve">primarily deliver the </w:t>
      </w:r>
      <w:r w:rsidR="00E4321E" w:rsidRPr="00154B00">
        <w:t xml:space="preserve">proposed </w:t>
      </w:r>
      <w:r w:rsidR="00AE1188">
        <w:t>service:</w:t>
      </w:r>
    </w:p>
    <w:p w14:paraId="73D03516" w14:textId="17D47D36" w:rsidR="00B17E26" w:rsidRPr="00154B00" w:rsidRDefault="00B84E23" w:rsidP="00884E69">
      <w:pPr>
        <w:ind w:left="426"/>
        <w:rPr>
          <w:szCs w:val="20"/>
        </w:rPr>
      </w:pPr>
      <w:r>
        <w:t>An appropriately qualified laboratory geneticist would be responsible for overseeing the WEA in the laboratory and providing the clinical report that would include interpretation of the results. Genetic counselling should be provided by qualified genetic counsellors to all patients</w:t>
      </w:r>
      <w:r w:rsidR="00C22412">
        <w:t xml:space="preserve"> </w:t>
      </w:r>
      <w:r w:rsidR="00182306">
        <w:t xml:space="preserve">at the time of results delivery. A clinical geneticist would be required for some cases dependant on the complexity of results. </w:t>
      </w:r>
    </w:p>
    <w:p w14:paraId="1591718D" w14:textId="77777777" w:rsidR="00B17E26" w:rsidRPr="00154B00" w:rsidRDefault="00B17E26" w:rsidP="00530204">
      <w:pPr>
        <w:pStyle w:val="Heading2"/>
      </w:pPr>
      <w:r w:rsidRPr="00154B00">
        <w:t xml:space="preserve">If applicable, advise whether the proposed medical service could be delegated or referred to another professional </w:t>
      </w:r>
      <w:r w:rsidRPr="0073597B">
        <w:t>for</w:t>
      </w:r>
      <w:r w:rsidRPr="00154B00">
        <w:t xml:space="preserve"> delive</w:t>
      </w:r>
      <w:r w:rsidR="00AE1188">
        <w:t>ry:</w:t>
      </w:r>
    </w:p>
    <w:p w14:paraId="07BDD8B6" w14:textId="77777777" w:rsidR="00B17E26" w:rsidRPr="00154B00" w:rsidRDefault="00B84E23" w:rsidP="00884E69">
      <w:pPr>
        <w:ind w:left="426"/>
        <w:rPr>
          <w:szCs w:val="20"/>
        </w:rPr>
      </w:pPr>
      <w:r>
        <w:t>N/A</w:t>
      </w:r>
    </w:p>
    <w:p w14:paraId="7CB6ACF6" w14:textId="77777777" w:rsidR="00E531DB" w:rsidRDefault="00E531DB">
      <w:pPr>
        <w:spacing w:before="0" w:after="200" w:line="276" w:lineRule="auto"/>
        <w:rPr>
          <w:b/>
          <w:szCs w:val="20"/>
        </w:rPr>
      </w:pPr>
      <w:r>
        <w:br w:type="page"/>
      </w:r>
    </w:p>
    <w:p w14:paraId="192F7139" w14:textId="35E3BC2C" w:rsidR="00EA0E25" w:rsidRPr="00154B00" w:rsidRDefault="00EA0E25" w:rsidP="00530204">
      <w:pPr>
        <w:pStyle w:val="Heading2"/>
      </w:pPr>
      <w:r w:rsidRPr="00154B00">
        <w:lastRenderedPageBreak/>
        <w:t xml:space="preserve">If applicable, </w:t>
      </w:r>
      <w:r w:rsidRPr="0073597B">
        <w:t>specify</w:t>
      </w:r>
      <w:r w:rsidRPr="00154B00">
        <w:t xml:space="preserve"> any proposed limitations on who might deliver the proposed medical service, or who </w:t>
      </w:r>
      <w:r w:rsidR="00AE1188">
        <w:t>might provide a referral for it:</w:t>
      </w:r>
    </w:p>
    <w:p w14:paraId="4C174689" w14:textId="519E9BB7" w:rsidR="00EA0E25" w:rsidRPr="00154B00" w:rsidRDefault="00B84E23" w:rsidP="00B84E23">
      <w:pPr>
        <w:ind w:left="360"/>
        <w:rPr>
          <w:szCs w:val="20"/>
        </w:rPr>
      </w:pPr>
      <w:r>
        <w:t xml:space="preserve">Clinical </w:t>
      </w:r>
      <w:r w:rsidR="00C22412">
        <w:t xml:space="preserve">geneticists or </w:t>
      </w:r>
      <w:r>
        <w:t>paediatricians</w:t>
      </w:r>
      <w:r w:rsidR="00C439AE">
        <w:t xml:space="preserve"> with expertise in managing children with hearing loss</w:t>
      </w:r>
      <w:r>
        <w:t xml:space="preserve"> </w:t>
      </w:r>
      <w:r w:rsidR="00C22412">
        <w:t>can</w:t>
      </w:r>
      <w:r>
        <w:t xml:space="preserve"> confirm eligibility and suitability. </w:t>
      </w:r>
    </w:p>
    <w:p w14:paraId="33F9E3C4" w14:textId="77777777" w:rsidR="00EA0E25" w:rsidRPr="00154B00" w:rsidRDefault="00EA0E25" w:rsidP="00530204">
      <w:pPr>
        <w:pStyle w:val="Heading2"/>
      </w:pPr>
      <w:r w:rsidRPr="00154B00">
        <w:t xml:space="preserve">If applicable, advise what type of training </w:t>
      </w:r>
      <w:r w:rsidR="009C03FB" w:rsidRPr="00154B00">
        <w:t xml:space="preserve">or qualifications </w:t>
      </w:r>
      <w:r w:rsidRPr="00154B00">
        <w:t xml:space="preserve">would be required to perform the </w:t>
      </w:r>
      <w:r w:rsidR="007522E3">
        <w:t xml:space="preserve">proposed </w:t>
      </w:r>
      <w:r w:rsidRPr="00154B00">
        <w:t>service</w:t>
      </w:r>
      <w:r w:rsidR="003904AC">
        <w:t>,</w:t>
      </w:r>
      <w:r w:rsidR="00257FF2" w:rsidRPr="00154B00">
        <w:t xml:space="preserve"> as well as any accreditation requirements to suppor</w:t>
      </w:r>
      <w:r w:rsidR="009C03FB" w:rsidRPr="00154B00">
        <w:t xml:space="preserve">t </w:t>
      </w:r>
      <w:r w:rsidR="00257FF2" w:rsidRPr="00154B00">
        <w:t>service</w:t>
      </w:r>
      <w:r w:rsidR="009C03FB" w:rsidRPr="00154B00">
        <w:t xml:space="preserve"> delivery</w:t>
      </w:r>
      <w:r w:rsidR="00AE1188">
        <w:t>:</w:t>
      </w:r>
    </w:p>
    <w:p w14:paraId="14A3A28F" w14:textId="7FAB0565" w:rsidR="00EA0E25" w:rsidRPr="00154B00" w:rsidRDefault="0094464A" w:rsidP="0073597B">
      <w:pPr>
        <w:ind w:left="426"/>
        <w:rPr>
          <w:szCs w:val="20"/>
        </w:rPr>
      </w:pPr>
      <w:r>
        <w:t xml:space="preserve">Paediatricians </w:t>
      </w:r>
      <w:r w:rsidR="00C22412">
        <w:t xml:space="preserve">would be required to complete basic training in genetic counselling, testing and consent. </w:t>
      </w:r>
      <w:r>
        <w:t xml:space="preserve"> Clinical geneticists will have the appropriate formal qualifications as genetic specialists to provide consultation to paediatricians</w:t>
      </w:r>
      <w:r w:rsidR="00C22412">
        <w:t xml:space="preserve"> and patients.  </w:t>
      </w:r>
    </w:p>
    <w:p w14:paraId="649FFEF2" w14:textId="77777777" w:rsidR="005F3F07" w:rsidRDefault="005C3AE7" w:rsidP="00530204">
      <w:pPr>
        <w:pStyle w:val="Heading2"/>
      </w:pPr>
      <w:r>
        <w:t xml:space="preserve">(a) </w:t>
      </w:r>
      <w:r w:rsidR="005F3F07" w:rsidRPr="00154B00">
        <w:t>Indicate the proposed setting</w:t>
      </w:r>
      <w:r w:rsidR="00D30BDC">
        <w:t>(</w:t>
      </w:r>
      <w:r w:rsidR="005F3F07" w:rsidRPr="00154B00">
        <w:t>s</w:t>
      </w:r>
      <w:r w:rsidR="00D30BDC">
        <w:t>)</w:t>
      </w:r>
      <w:r w:rsidR="005F3F07" w:rsidRPr="00154B00">
        <w:t xml:space="preserve"> in which the proposed medical service will be delivered</w:t>
      </w:r>
      <w:r w:rsidR="00D30BDC">
        <w:t xml:space="preserve"> (select </w:t>
      </w:r>
      <w:r w:rsidR="0079354C" w:rsidRPr="0079354C">
        <w:rPr>
          <w:u w:val="single"/>
        </w:rPr>
        <w:t>ALL</w:t>
      </w:r>
      <w:r w:rsidR="0079354C">
        <w:t xml:space="preserve"> </w:t>
      </w:r>
      <w:r w:rsidR="00D30BDC">
        <w:t>relevant settings)</w:t>
      </w:r>
      <w:r w:rsidR="00AE1188">
        <w:t>:</w:t>
      </w:r>
    </w:p>
    <w:p w14:paraId="69047030" w14:textId="77777777" w:rsidR="000A478F" w:rsidRDefault="0094464A" w:rsidP="000A478F">
      <w:pPr>
        <w:spacing w:before="0" w:after="0"/>
        <w:ind w:left="426"/>
      </w:pPr>
      <w:r>
        <w:rPr>
          <w:szCs w:val="20"/>
        </w:rPr>
        <w:fldChar w:fldCharType="begin">
          <w:ffData>
            <w:name w:val=""/>
            <w:enabled/>
            <w:calcOnExit w:val="0"/>
            <w:checkBox>
              <w:sizeAuto/>
              <w:default w:val="1"/>
            </w:checkBox>
          </w:ffData>
        </w:fldChar>
      </w:r>
      <w:r>
        <w:rPr>
          <w:szCs w:val="20"/>
        </w:rPr>
        <w:instrText xml:space="preserve"> FORMCHECKBOX </w:instrText>
      </w:r>
      <w:r w:rsidR="004D1F43">
        <w:rPr>
          <w:szCs w:val="20"/>
        </w:rPr>
      </w:r>
      <w:r w:rsidR="004D1F43">
        <w:rPr>
          <w:szCs w:val="20"/>
        </w:rPr>
        <w:fldChar w:fldCharType="separate"/>
      </w:r>
      <w:r>
        <w:rPr>
          <w:szCs w:val="20"/>
        </w:rPr>
        <w:fldChar w:fldCharType="end"/>
      </w:r>
      <w:r w:rsidR="000A478F">
        <w:rPr>
          <w:szCs w:val="20"/>
        </w:rPr>
        <w:t xml:space="preserve"> </w:t>
      </w:r>
      <w:r w:rsidR="000A478F">
        <w:t>Inpatient private hospital</w:t>
      </w:r>
      <w:r w:rsidR="0079354C">
        <w:t xml:space="preserve"> (admitted patient)</w:t>
      </w:r>
    </w:p>
    <w:p w14:paraId="6A50DF51" w14:textId="77777777" w:rsidR="000A478F" w:rsidRDefault="0094464A" w:rsidP="000A478F">
      <w:pPr>
        <w:spacing w:before="0" w:after="0"/>
        <w:ind w:left="426"/>
      </w:pPr>
      <w:r>
        <w:rPr>
          <w:szCs w:val="20"/>
        </w:rPr>
        <w:fldChar w:fldCharType="begin">
          <w:ffData>
            <w:name w:val=""/>
            <w:enabled/>
            <w:calcOnExit w:val="0"/>
            <w:checkBox>
              <w:sizeAuto/>
              <w:default w:val="1"/>
            </w:checkBox>
          </w:ffData>
        </w:fldChar>
      </w:r>
      <w:r>
        <w:rPr>
          <w:szCs w:val="20"/>
        </w:rPr>
        <w:instrText xml:space="preserve"> FORMCHECKBOX </w:instrText>
      </w:r>
      <w:r w:rsidR="004D1F43">
        <w:rPr>
          <w:szCs w:val="20"/>
        </w:rPr>
      </w:r>
      <w:r w:rsidR="004D1F43">
        <w:rPr>
          <w:szCs w:val="20"/>
        </w:rPr>
        <w:fldChar w:fldCharType="separate"/>
      </w:r>
      <w:r>
        <w:rPr>
          <w:szCs w:val="20"/>
        </w:rPr>
        <w:fldChar w:fldCharType="end"/>
      </w:r>
      <w:r w:rsidR="000A478F">
        <w:rPr>
          <w:szCs w:val="20"/>
        </w:rPr>
        <w:t xml:space="preserve"> </w:t>
      </w:r>
      <w:r w:rsidR="000A478F">
        <w:t>Inpatient public hospital</w:t>
      </w:r>
      <w:r w:rsidR="0079354C">
        <w:t xml:space="preserve"> (admitted patient)</w:t>
      </w:r>
    </w:p>
    <w:p w14:paraId="3B940642" w14:textId="77777777" w:rsidR="000A478F" w:rsidRDefault="0094464A" w:rsidP="000A478F">
      <w:pPr>
        <w:spacing w:before="0" w:after="0"/>
        <w:ind w:left="426"/>
      </w:pPr>
      <w:r>
        <w:rPr>
          <w:szCs w:val="20"/>
        </w:rPr>
        <w:fldChar w:fldCharType="begin">
          <w:ffData>
            <w:name w:val=""/>
            <w:enabled/>
            <w:calcOnExit w:val="0"/>
            <w:checkBox>
              <w:sizeAuto/>
              <w:default w:val="1"/>
            </w:checkBox>
          </w:ffData>
        </w:fldChar>
      </w:r>
      <w:r>
        <w:rPr>
          <w:szCs w:val="20"/>
        </w:rPr>
        <w:instrText xml:space="preserve"> FORMCHECKBOX </w:instrText>
      </w:r>
      <w:r w:rsidR="004D1F43">
        <w:rPr>
          <w:szCs w:val="20"/>
        </w:rPr>
      </w:r>
      <w:r w:rsidR="004D1F43">
        <w:rPr>
          <w:szCs w:val="20"/>
        </w:rPr>
        <w:fldChar w:fldCharType="separate"/>
      </w:r>
      <w:r>
        <w:rPr>
          <w:szCs w:val="20"/>
        </w:rPr>
        <w:fldChar w:fldCharType="end"/>
      </w:r>
      <w:r w:rsidR="000A478F">
        <w:rPr>
          <w:szCs w:val="20"/>
        </w:rPr>
        <w:t xml:space="preserve"> </w:t>
      </w:r>
      <w:r w:rsidR="003904AC">
        <w:rPr>
          <w:szCs w:val="20"/>
        </w:rPr>
        <w:t>Private o</w:t>
      </w:r>
      <w:r w:rsidR="000A478F">
        <w:t>utpatient clinic</w:t>
      </w:r>
    </w:p>
    <w:p w14:paraId="38C0F808" w14:textId="77777777" w:rsidR="0079354C" w:rsidRDefault="0094464A" w:rsidP="000A478F">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4D1F43">
        <w:rPr>
          <w:szCs w:val="20"/>
        </w:rPr>
      </w:r>
      <w:r w:rsidR="004D1F43">
        <w:rPr>
          <w:szCs w:val="20"/>
        </w:rPr>
        <w:fldChar w:fldCharType="separate"/>
      </w:r>
      <w:r>
        <w:rPr>
          <w:szCs w:val="20"/>
        </w:rPr>
        <w:fldChar w:fldCharType="end"/>
      </w:r>
      <w:r w:rsidR="0079354C">
        <w:rPr>
          <w:szCs w:val="20"/>
        </w:rPr>
        <w:t xml:space="preserve"> Public outpatient clinic</w:t>
      </w:r>
    </w:p>
    <w:p w14:paraId="5DF80D84"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4D1F43">
        <w:rPr>
          <w:szCs w:val="20"/>
        </w:rPr>
      </w:r>
      <w:r w:rsidR="004D1F43">
        <w:rPr>
          <w:szCs w:val="20"/>
        </w:rPr>
        <w:fldChar w:fldCharType="separate"/>
      </w:r>
      <w:r w:rsidRPr="000A5B32">
        <w:rPr>
          <w:szCs w:val="20"/>
        </w:rPr>
        <w:fldChar w:fldCharType="end"/>
      </w:r>
      <w:r>
        <w:rPr>
          <w:szCs w:val="20"/>
        </w:rPr>
        <w:t xml:space="preserve"> </w:t>
      </w:r>
      <w:r>
        <w:t>Emergency Department</w:t>
      </w:r>
    </w:p>
    <w:p w14:paraId="102B6D27"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4D1F43">
        <w:rPr>
          <w:szCs w:val="20"/>
        </w:rPr>
      </w:r>
      <w:r w:rsidR="004D1F43">
        <w:rPr>
          <w:szCs w:val="20"/>
        </w:rPr>
        <w:fldChar w:fldCharType="separate"/>
      </w:r>
      <w:r w:rsidRPr="000A5B32">
        <w:rPr>
          <w:szCs w:val="20"/>
        </w:rPr>
        <w:fldChar w:fldCharType="end"/>
      </w:r>
      <w:r>
        <w:rPr>
          <w:szCs w:val="20"/>
        </w:rPr>
        <w:t xml:space="preserve"> </w:t>
      </w:r>
      <w:r w:rsidR="003904AC">
        <w:rPr>
          <w:szCs w:val="20"/>
        </w:rPr>
        <w:t xml:space="preserve">Private </w:t>
      </w:r>
      <w:r w:rsidR="0079354C">
        <w:t>c</w:t>
      </w:r>
      <w:r>
        <w:t>onsulting rooms</w:t>
      </w:r>
      <w:r w:rsidR="0079354C">
        <w:t xml:space="preserve"> - GP</w:t>
      </w:r>
    </w:p>
    <w:p w14:paraId="6D072FBB" w14:textId="77777777" w:rsidR="0079354C" w:rsidRDefault="0094464A" w:rsidP="000A478F">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4D1F43">
        <w:rPr>
          <w:szCs w:val="20"/>
        </w:rPr>
      </w:r>
      <w:r w:rsidR="004D1F43">
        <w:rPr>
          <w:szCs w:val="20"/>
        </w:rPr>
        <w:fldChar w:fldCharType="separate"/>
      </w:r>
      <w:r>
        <w:rPr>
          <w:szCs w:val="20"/>
        </w:rPr>
        <w:fldChar w:fldCharType="end"/>
      </w:r>
      <w:r w:rsidR="0079354C">
        <w:rPr>
          <w:szCs w:val="20"/>
        </w:rPr>
        <w:t xml:space="preserve"> Private consulting rooms – specialist</w:t>
      </w:r>
    </w:p>
    <w:p w14:paraId="47BF0C79" w14:textId="77777777" w:rsidR="0079354C" w:rsidRDefault="0079354C"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4D1F43">
        <w:rPr>
          <w:szCs w:val="20"/>
        </w:rPr>
      </w:r>
      <w:r w:rsidR="004D1F43">
        <w:rPr>
          <w:szCs w:val="20"/>
        </w:rPr>
        <w:fldChar w:fldCharType="separate"/>
      </w:r>
      <w:r w:rsidRPr="000A5B32">
        <w:rPr>
          <w:szCs w:val="20"/>
        </w:rPr>
        <w:fldChar w:fldCharType="end"/>
      </w:r>
      <w:r>
        <w:rPr>
          <w:szCs w:val="20"/>
        </w:rPr>
        <w:t xml:space="preserve"> Private consulting rooms – other health practitioner (nurse or allied health)</w:t>
      </w:r>
    </w:p>
    <w:p w14:paraId="074E5B65"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4D1F43">
        <w:rPr>
          <w:szCs w:val="20"/>
        </w:rPr>
      </w:r>
      <w:r w:rsidR="004D1F43">
        <w:rPr>
          <w:szCs w:val="20"/>
        </w:rPr>
        <w:fldChar w:fldCharType="separate"/>
      </w:r>
      <w:r w:rsidRPr="000A5B32">
        <w:rPr>
          <w:szCs w:val="20"/>
        </w:rPr>
        <w:fldChar w:fldCharType="end"/>
      </w:r>
      <w:r>
        <w:rPr>
          <w:szCs w:val="20"/>
        </w:rPr>
        <w:t xml:space="preserve"> </w:t>
      </w:r>
      <w:r w:rsidR="0079354C">
        <w:rPr>
          <w:szCs w:val="20"/>
        </w:rPr>
        <w:t>Private d</w:t>
      </w:r>
      <w:r>
        <w:t>ay surgery c</w:t>
      </w:r>
      <w:r w:rsidR="0079354C">
        <w:t>linic (admitted patient)</w:t>
      </w:r>
    </w:p>
    <w:p w14:paraId="6414F892" w14:textId="77777777" w:rsidR="0079354C" w:rsidRDefault="0079354C"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4D1F43">
        <w:rPr>
          <w:szCs w:val="20"/>
        </w:rPr>
      </w:r>
      <w:r w:rsidR="004D1F43">
        <w:rPr>
          <w:szCs w:val="20"/>
        </w:rPr>
        <w:fldChar w:fldCharType="separate"/>
      </w:r>
      <w:r w:rsidRPr="000A5B32">
        <w:rPr>
          <w:szCs w:val="20"/>
        </w:rPr>
        <w:fldChar w:fldCharType="end"/>
      </w:r>
      <w:r>
        <w:rPr>
          <w:szCs w:val="20"/>
        </w:rPr>
        <w:t xml:space="preserve"> Private day surgery clinic (non-admitted patient)</w:t>
      </w:r>
    </w:p>
    <w:p w14:paraId="1390F2CD" w14:textId="77777777" w:rsidR="0079354C" w:rsidRDefault="0079354C" w:rsidP="000A478F">
      <w:pPr>
        <w:spacing w:before="0" w:after="0"/>
        <w:ind w:left="426"/>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4D1F43">
        <w:rPr>
          <w:szCs w:val="20"/>
        </w:rPr>
      </w:r>
      <w:r w:rsidR="004D1F43">
        <w:rPr>
          <w:szCs w:val="20"/>
        </w:rPr>
        <w:fldChar w:fldCharType="separate"/>
      </w:r>
      <w:r w:rsidRPr="000A5B32">
        <w:rPr>
          <w:szCs w:val="20"/>
        </w:rPr>
        <w:fldChar w:fldCharType="end"/>
      </w:r>
      <w:r>
        <w:rPr>
          <w:szCs w:val="20"/>
        </w:rPr>
        <w:t xml:space="preserve"> Public day surgery clinic (admitted patient)</w:t>
      </w:r>
    </w:p>
    <w:p w14:paraId="3ABF5C51" w14:textId="77777777" w:rsidR="0079354C" w:rsidRDefault="0079354C"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4D1F43">
        <w:rPr>
          <w:szCs w:val="20"/>
        </w:rPr>
      </w:r>
      <w:r w:rsidR="004D1F43">
        <w:rPr>
          <w:szCs w:val="20"/>
        </w:rPr>
        <w:fldChar w:fldCharType="separate"/>
      </w:r>
      <w:r w:rsidRPr="000A5B32">
        <w:rPr>
          <w:szCs w:val="20"/>
        </w:rPr>
        <w:fldChar w:fldCharType="end"/>
      </w:r>
      <w:r>
        <w:rPr>
          <w:szCs w:val="20"/>
        </w:rPr>
        <w:t xml:space="preserve"> Public day surgery clinic (non-admitted patient)</w:t>
      </w:r>
    </w:p>
    <w:p w14:paraId="5A4571F5"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4D1F43">
        <w:rPr>
          <w:szCs w:val="20"/>
        </w:rPr>
      </w:r>
      <w:r w:rsidR="004D1F43">
        <w:rPr>
          <w:szCs w:val="20"/>
        </w:rPr>
        <w:fldChar w:fldCharType="separate"/>
      </w:r>
      <w:r w:rsidRPr="000A5B32">
        <w:rPr>
          <w:szCs w:val="20"/>
        </w:rPr>
        <w:fldChar w:fldCharType="end"/>
      </w:r>
      <w:r>
        <w:rPr>
          <w:szCs w:val="20"/>
        </w:rPr>
        <w:t xml:space="preserve"> </w:t>
      </w:r>
      <w:r>
        <w:t>Residential aged care facility</w:t>
      </w:r>
    </w:p>
    <w:p w14:paraId="35319860"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4D1F43">
        <w:rPr>
          <w:szCs w:val="20"/>
        </w:rPr>
      </w:r>
      <w:r w:rsidR="004D1F43">
        <w:rPr>
          <w:szCs w:val="20"/>
        </w:rPr>
        <w:fldChar w:fldCharType="separate"/>
      </w:r>
      <w:r w:rsidRPr="000A5B32">
        <w:rPr>
          <w:szCs w:val="20"/>
        </w:rPr>
        <w:fldChar w:fldCharType="end"/>
      </w:r>
      <w:r>
        <w:rPr>
          <w:szCs w:val="20"/>
        </w:rPr>
        <w:t xml:space="preserve"> </w:t>
      </w:r>
      <w:r>
        <w:t>Patient’s home</w:t>
      </w:r>
    </w:p>
    <w:p w14:paraId="4AAF6295"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4D1F43">
        <w:rPr>
          <w:szCs w:val="20"/>
        </w:rPr>
      </w:r>
      <w:r w:rsidR="004D1F43">
        <w:rPr>
          <w:szCs w:val="20"/>
        </w:rPr>
        <w:fldChar w:fldCharType="separate"/>
      </w:r>
      <w:r w:rsidRPr="000A5B32">
        <w:rPr>
          <w:szCs w:val="20"/>
        </w:rPr>
        <w:fldChar w:fldCharType="end"/>
      </w:r>
      <w:r>
        <w:rPr>
          <w:szCs w:val="20"/>
        </w:rPr>
        <w:t xml:space="preserve"> </w:t>
      </w:r>
      <w:r>
        <w:t>Laboratory</w:t>
      </w:r>
    </w:p>
    <w:p w14:paraId="4565C173" w14:textId="77777777" w:rsidR="000A478F" w:rsidRP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4D1F43">
        <w:rPr>
          <w:szCs w:val="20"/>
        </w:rPr>
      </w:r>
      <w:r w:rsidR="004D1F43">
        <w:rPr>
          <w:szCs w:val="20"/>
        </w:rPr>
        <w:fldChar w:fldCharType="separate"/>
      </w:r>
      <w:r w:rsidRPr="000A5B32">
        <w:rPr>
          <w:szCs w:val="20"/>
        </w:rPr>
        <w:fldChar w:fldCharType="end"/>
      </w:r>
      <w:r>
        <w:rPr>
          <w:szCs w:val="20"/>
        </w:rPr>
        <w:t xml:space="preserve"> </w:t>
      </w:r>
      <w:r>
        <w:t>Other – please specify below</w:t>
      </w:r>
    </w:p>
    <w:p w14:paraId="077AAA1C" w14:textId="77777777" w:rsidR="003433D1" w:rsidRPr="005C3AE7" w:rsidRDefault="00E048ED" w:rsidP="005C3AE7">
      <w:pPr>
        <w:pStyle w:val="ListParagraph"/>
        <w:numPr>
          <w:ilvl w:val="0"/>
          <w:numId w:val="29"/>
        </w:numPr>
        <w:rPr>
          <w:b/>
          <w:szCs w:val="20"/>
        </w:rPr>
      </w:pPr>
      <w:r w:rsidRPr="005C3AE7">
        <w:rPr>
          <w:b/>
          <w:szCs w:val="20"/>
        </w:rPr>
        <w:t>Where the proposed medical service is provided in more than one setting, please describ</w:t>
      </w:r>
      <w:r w:rsidR="00AE1188" w:rsidRPr="005C3AE7">
        <w:rPr>
          <w:b/>
          <w:szCs w:val="20"/>
        </w:rPr>
        <w:t>e the rationale related to each:</w:t>
      </w:r>
    </w:p>
    <w:p w14:paraId="0716566D" w14:textId="77777777" w:rsidR="00E531DB" w:rsidRPr="00E531DB" w:rsidRDefault="00E531DB" w:rsidP="00E531DB">
      <w:pPr>
        <w:ind w:left="360"/>
        <w:rPr>
          <w:b/>
          <w:szCs w:val="20"/>
        </w:rPr>
      </w:pPr>
      <w:r>
        <w:t>N/A</w:t>
      </w:r>
    </w:p>
    <w:p w14:paraId="363DE6CE" w14:textId="77777777" w:rsidR="003E30FB" w:rsidRDefault="003E30FB" w:rsidP="00530204">
      <w:pPr>
        <w:pStyle w:val="Heading2"/>
      </w:pPr>
      <w:r>
        <w:t xml:space="preserve">Is the </w:t>
      </w:r>
      <w:r w:rsidRPr="001B29A1">
        <w:t>proposed</w:t>
      </w:r>
      <w:r>
        <w:t xml:space="preserve"> medical service intended to be entirely rendered in Australia?</w:t>
      </w:r>
    </w:p>
    <w:p w14:paraId="7FCC4C84" w14:textId="77777777" w:rsidR="000A478F" w:rsidRDefault="0094464A" w:rsidP="000A478F">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4D1F43">
        <w:rPr>
          <w:szCs w:val="20"/>
        </w:rPr>
      </w:r>
      <w:r w:rsidR="004D1F43">
        <w:rPr>
          <w:szCs w:val="20"/>
        </w:rPr>
        <w:fldChar w:fldCharType="separate"/>
      </w:r>
      <w:r>
        <w:rPr>
          <w:szCs w:val="20"/>
        </w:rPr>
        <w:fldChar w:fldCharType="end"/>
      </w:r>
      <w:r w:rsidR="000A478F">
        <w:rPr>
          <w:szCs w:val="20"/>
        </w:rPr>
        <w:t xml:space="preserve"> Yes</w:t>
      </w:r>
    </w:p>
    <w:p w14:paraId="4A3934CB" w14:textId="3F97D4B0" w:rsidR="000A478F" w:rsidRPr="00E531DB" w:rsidRDefault="000A478F" w:rsidP="00E531DB">
      <w:pPr>
        <w:spacing w:before="0" w:after="0"/>
        <w:ind w:left="426"/>
        <w:rPr>
          <w:szCs w:val="20"/>
        </w:rPr>
      </w:pPr>
      <w:r w:rsidRPr="00753C44">
        <w:rPr>
          <w:szCs w:val="20"/>
        </w:rPr>
        <w:fldChar w:fldCharType="begin">
          <w:ffData>
            <w:name w:val="Check2"/>
            <w:enabled/>
            <w:calcOnExit w:val="0"/>
            <w:checkBox>
              <w:sizeAuto/>
              <w:default w:val="0"/>
            </w:checkBox>
          </w:ffData>
        </w:fldChar>
      </w:r>
      <w:r w:rsidRPr="00753C44">
        <w:rPr>
          <w:szCs w:val="20"/>
        </w:rPr>
        <w:instrText xml:space="preserve"> FORMCHECKBOX </w:instrText>
      </w:r>
      <w:r w:rsidR="004D1F43">
        <w:rPr>
          <w:szCs w:val="20"/>
        </w:rPr>
      </w:r>
      <w:r w:rsidR="004D1F43">
        <w:rPr>
          <w:szCs w:val="20"/>
        </w:rPr>
        <w:fldChar w:fldCharType="separate"/>
      </w:r>
      <w:r w:rsidRPr="00753C44">
        <w:rPr>
          <w:szCs w:val="20"/>
        </w:rPr>
        <w:fldChar w:fldCharType="end"/>
      </w:r>
      <w:r>
        <w:rPr>
          <w:szCs w:val="20"/>
        </w:rPr>
        <w:t xml:space="preserve"> No</w:t>
      </w:r>
      <w:r w:rsidR="00C4696B">
        <w:rPr>
          <w:szCs w:val="20"/>
        </w:rPr>
        <w:t xml:space="preserve"> – please specify below</w:t>
      </w:r>
      <w:r>
        <w:rPr>
          <w:b/>
          <w:i/>
          <w:szCs w:val="20"/>
          <w:u w:val="single"/>
        </w:rPr>
        <w:br w:type="page"/>
      </w:r>
    </w:p>
    <w:p w14:paraId="0FAB3BB9" w14:textId="77777777" w:rsidR="00E60529" w:rsidRPr="00881F93" w:rsidRDefault="005C3AE7" w:rsidP="00E531DB">
      <w:pPr>
        <w:pStyle w:val="Subtitle"/>
        <w:ind w:left="0"/>
      </w:pPr>
      <w:r>
        <w:lastRenderedPageBreak/>
        <w:t xml:space="preserve">PART 6c – </w:t>
      </w:r>
      <w:r w:rsidR="00E60529" w:rsidRPr="00881F93">
        <w:t>INFORMATION ABOUT THE COMPARATOR</w:t>
      </w:r>
      <w:r w:rsidR="00A83EC6" w:rsidRPr="00881F93">
        <w:t>(S)</w:t>
      </w:r>
    </w:p>
    <w:p w14:paraId="371ED1DE" w14:textId="77777777" w:rsidR="00E60529" w:rsidRPr="00154B00" w:rsidRDefault="00A83EC6" w:rsidP="00530204">
      <w:pPr>
        <w:pStyle w:val="Heading2"/>
      </w:pPr>
      <w:r w:rsidRPr="00154B00">
        <w:t>Nominate the appropriate comparator(s) for the proposed medical service</w:t>
      </w:r>
      <w:r w:rsidR="00757232">
        <w:t>, i</w:t>
      </w:r>
      <w:r w:rsidR="00D30BDC">
        <w:t>.</w:t>
      </w:r>
      <w:r w:rsidR="000159B9" w:rsidRPr="00154B00">
        <w:t xml:space="preserve">e. how is the proposed </w:t>
      </w:r>
      <w:r w:rsidR="000159B9" w:rsidRPr="001B29A1">
        <w:t>population</w:t>
      </w:r>
      <w:r w:rsidR="000159B9" w:rsidRPr="00154B00">
        <w:t xml:space="preserve"> currently managed in </w:t>
      </w:r>
      <w:r w:rsidR="00707D4D">
        <w:t>the</w:t>
      </w:r>
      <w:r w:rsidR="000159B9" w:rsidRPr="00154B00">
        <w:t xml:space="preserve"> absence of the proposed medical service </w:t>
      </w:r>
      <w:r w:rsidR="00257FF2" w:rsidRPr="00154B00">
        <w:t>being available in the Australian health care system (</w:t>
      </w:r>
      <w:r w:rsidR="00757232">
        <w:t xml:space="preserve">including </w:t>
      </w:r>
      <w:r w:rsidR="00257FF2" w:rsidRPr="00154B00">
        <w:t>identify</w:t>
      </w:r>
      <w:r w:rsidR="00757232">
        <w:t>ing</w:t>
      </w:r>
      <w:r w:rsidR="00E4321E" w:rsidRPr="00154B00">
        <w:t xml:space="preserve"> health care resources that </w:t>
      </w:r>
      <w:r w:rsidR="00257FF2" w:rsidRPr="00154B00">
        <w:t xml:space="preserve">are </w:t>
      </w:r>
      <w:r w:rsidR="00E4321E" w:rsidRPr="00154B00">
        <w:t>need</w:t>
      </w:r>
      <w:r w:rsidR="00757232">
        <w:t>ed</w:t>
      </w:r>
      <w:r w:rsidR="00E4321E" w:rsidRPr="00154B00">
        <w:t xml:space="preserve"> to be delivered at </w:t>
      </w:r>
      <w:r w:rsidR="00257FF2" w:rsidRPr="00154B00">
        <w:t xml:space="preserve">the </w:t>
      </w:r>
      <w:r w:rsidR="00E4321E" w:rsidRPr="00154B00">
        <w:t xml:space="preserve">same time </w:t>
      </w:r>
      <w:r w:rsidR="00257FF2" w:rsidRPr="00154B00">
        <w:t>as the</w:t>
      </w:r>
      <w:r w:rsidR="00E4321E" w:rsidRPr="00154B00">
        <w:t xml:space="preserve"> </w:t>
      </w:r>
      <w:r w:rsidR="00257FF2" w:rsidRPr="00154B00">
        <w:t xml:space="preserve">comparator </w:t>
      </w:r>
      <w:r w:rsidR="00E4321E" w:rsidRPr="00154B00">
        <w:t>service</w:t>
      </w:r>
      <w:r w:rsidR="00257FF2" w:rsidRPr="00154B00">
        <w:t>)</w:t>
      </w:r>
      <w:r w:rsidR="00AE1188">
        <w:t>:</w:t>
      </w:r>
    </w:p>
    <w:p w14:paraId="34660B30" w14:textId="5EFAE967" w:rsidR="00E60529" w:rsidRDefault="0094464A" w:rsidP="001B29A1">
      <w:pPr>
        <w:ind w:left="426"/>
      </w:pPr>
      <w:r>
        <w:t xml:space="preserve">The comparator is the current standard of care which is single gene sequencing for </w:t>
      </w:r>
      <w:r>
        <w:rPr>
          <w:i/>
        </w:rPr>
        <w:t>GJB2/6</w:t>
      </w:r>
      <w:r>
        <w:t xml:space="preserve"> variants. This has a much lower diagnostic rate of 20% versus </w:t>
      </w:r>
      <w:r w:rsidR="00D8622E">
        <w:t>60</w:t>
      </w:r>
      <w:r>
        <w:t xml:space="preserve">% with WEA therefore the use of health services in the undiagnosed population should also be considered as an element of the comparator. </w:t>
      </w:r>
    </w:p>
    <w:p w14:paraId="49C80C99" w14:textId="0E0105AB" w:rsidR="0094464A" w:rsidRDefault="0094464A" w:rsidP="001B29A1">
      <w:pPr>
        <w:ind w:left="426"/>
      </w:pPr>
      <w:r>
        <w:t>In the absence of an aetiological diagnosis, children with deafness undergoing regular investigation and review</w:t>
      </w:r>
      <w:r w:rsidR="00D8622E">
        <w:t xml:space="preserve"> by a specialist. In the absence of a known cause of the child</w:t>
      </w:r>
      <w:r w:rsidR="000B0229">
        <w:t>’</w:t>
      </w:r>
      <w:r w:rsidR="00D8622E">
        <w:t xml:space="preserve">s hearing loss investigations are performed to look for associated medical conditions that can arise, for example a child may see an ophthalmologist intermittently to assess vision and look for one of the syndromes that can affect vision and hearing such as Usher or Stickler syndrome. Parents are unable to have accurate information or options regarding recurrence risk and there are missed opportunities with regards to specific therapies or disease surveillance. </w:t>
      </w:r>
    </w:p>
    <w:p w14:paraId="5843275E" w14:textId="218F69AC" w:rsidR="002C5709" w:rsidRPr="00C6096E" w:rsidRDefault="00E86A4C" w:rsidP="001B29A1">
      <w:pPr>
        <w:ind w:left="426"/>
        <w:rPr>
          <w:color w:val="000000" w:themeColor="text1"/>
          <w:szCs w:val="20"/>
        </w:rPr>
      </w:pPr>
      <w:r w:rsidRPr="00C6096E">
        <w:rPr>
          <w:color w:val="000000" w:themeColor="text1"/>
        </w:rPr>
        <w:t>A minority of p</w:t>
      </w:r>
      <w:r w:rsidR="002C5709" w:rsidRPr="00C6096E">
        <w:rPr>
          <w:color w:val="000000" w:themeColor="text1"/>
        </w:rPr>
        <w:t xml:space="preserve">arents or individual health services may choose to fund genetic panel testing for this </w:t>
      </w:r>
      <w:proofErr w:type="gramStart"/>
      <w:r w:rsidR="002C5709" w:rsidRPr="00C6096E">
        <w:rPr>
          <w:color w:val="000000" w:themeColor="text1"/>
        </w:rPr>
        <w:t>indication</w:t>
      </w:r>
      <w:r w:rsidRPr="00C6096E">
        <w:rPr>
          <w:color w:val="000000" w:themeColor="text1"/>
        </w:rPr>
        <w:t>,</w:t>
      </w:r>
      <w:proofErr w:type="gramEnd"/>
      <w:r w:rsidRPr="00C6096E">
        <w:rPr>
          <w:color w:val="000000" w:themeColor="text1"/>
        </w:rPr>
        <w:t xml:space="preserve"> therefore, this may be considered a comparator. The diagnostic rate of panel testing is similar or slightly higher than for WEA depending on the technology utilised. </w:t>
      </w:r>
      <w:r w:rsidR="002C5709" w:rsidRPr="00C6096E">
        <w:rPr>
          <w:color w:val="000000" w:themeColor="text1"/>
        </w:rPr>
        <w:t xml:space="preserve">This is currently not offered </w:t>
      </w:r>
      <w:r w:rsidRPr="00C6096E">
        <w:rPr>
          <w:color w:val="000000" w:themeColor="text1"/>
        </w:rPr>
        <w:t xml:space="preserve">by any laboratory in </w:t>
      </w:r>
      <w:r w:rsidR="002C5709" w:rsidRPr="00C6096E">
        <w:rPr>
          <w:color w:val="000000" w:themeColor="text1"/>
        </w:rPr>
        <w:t xml:space="preserve">Australia. The </w:t>
      </w:r>
      <w:r w:rsidRPr="00C6096E">
        <w:rPr>
          <w:color w:val="000000" w:themeColor="text1"/>
        </w:rPr>
        <w:t xml:space="preserve">mostly common utilised deafness panel tests are </w:t>
      </w:r>
      <w:proofErr w:type="spellStart"/>
      <w:r w:rsidRPr="00C6096E">
        <w:rPr>
          <w:color w:val="000000" w:themeColor="text1"/>
        </w:rPr>
        <w:t>OtoSCOPE</w:t>
      </w:r>
      <w:proofErr w:type="spellEnd"/>
      <w:r w:rsidRPr="00C6096E">
        <w:rPr>
          <w:color w:val="000000" w:themeColor="text1"/>
        </w:rPr>
        <w:t xml:space="preserve"> which is currently priced at $1950 USD ($2665 AUD)</w:t>
      </w:r>
      <w:r w:rsidR="00B15232" w:rsidRPr="00C6096E">
        <w:rPr>
          <w:color w:val="000000" w:themeColor="text1"/>
        </w:rPr>
        <w:t xml:space="preserve"> and</w:t>
      </w:r>
      <w:r w:rsidRPr="00C6096E">
        <w:rPr>
          <w:color w:val="000000" w:themeColor="text1"/>
        </w:rPr>
        <w:t xml:space="preserve"> </w:t>
      </w:r>
      <w:proofErr w:type="spellStart"/>
      <w:r w:rsidRPr="00C6096E">
        <w:rPr>
          <w:color w:val="000000" w:themeColor="text1"/>
        </w:rPr>
        <w:t>OtoGenome</w:t>
      </w:r>
      <w:proofErr w:type="spellEnd"/>
      <w:r w:rsidRPr="00C6096E">
        <w:rPr>
          <w:color w:val="000000" w:themeColor="text1"/>
        </w:rPr>
        <w:t xml:space="preserve"> $3950 USD ($5397.72 AUD)</w:t>
      </w:r>
      <w:r w:rsidR="00B15232" w:rsidRPr="00C6096E">
        <w:rPr>
          <w:color w:val="000000" w:themeColor="text1"/>
        </w:rPr>
        <w:t xml:space="preserve">. </w:t>
      </w:r>
    </w:p>
    <w:p w14:paraId="1A983375" w14:textId="77777777" w:rsidR="00757232" w:rsidRDefault="00AF5D1E" w:rsidP="00530204">
      <w:pPr>
        <w:pStyle w:val="Heading2"/>
      </w:pPr>
      <w:r w:rsidRPr="00154B00">
        <w:t xml:space="preserve">Does the </w:t>
      </w:r>
      <w:r w:rsidRPr="001B29A1">
        <w:t>medical</w:t>
      </w:r>
      <w:r w:rsidRPr="00154B00">
        <w:t xml:space="preserve"> service </w:t>
      </w:r>
      <w:r w:rsidR="003904AC">
        <w:t>(</w:t>
      </w:r>
      <w:r w:rsidRPr="00154B00">
        <w:t>that has been nominated as the comparator</w:t>
      </w:r>
      <w:r w:rsidR="003904AC">
        <w:t>)</w:t>
      </w:r>
      <w:r w:rsidR="000159B9" w:rsidRPr="00154B00">
        <w:t xml:space="preserve"> </w:t>
      </w:r>
      <w:r w:rsidRPr="00154B00">
        <w:t>have an existing MBS item number</w:t>
      </w:r>
      <w:r w:rsidR="00D30BDC">
        <w:t>(s)</w:t>
      </w:r>
      <w:r w:rsidR="00757232">
        <w:t>?</w:t>
      </w:r>
    </w:p>
    <w:p w14:paraId="5BFADC3B" w14:textId="77777777" w:rsidR="006A1038" w:rsidRDefault="006A1038" w:rsidP="006A1038">
      <w:pPr>
        <w:spacing w:before="0" w:after="0"/>
        <w:ind w:left="426"/>
        <w:rPr>
          <w:szCs w:val="20"/>
        </w:rPr>
      </w:pPr>
      <w:r w:rsidRPr="00753C44">
        <w:rPr>
          <w:szCs w:val="20"/>
        </w:rPr>
        <w:fldChar w:fldCharType="begin">
          <w:ffData>
            <w:name w:val="Check1"/>
            <w:enabled/>
            <w:calcOnExit w:val="0"/>
            <w:checkBox>
              <w:sizeAuto/>
              <w:default w:val="0"/>
            </w:checkBox>
          </w:ffData>
        </w:fldChar>
      </w:r>
      <w:r w:rsidRPr="00753C44">
        <w:rPr>
          <w:szCs w:val="20"/>
        </w:rPr>
        <w:instrText xml:space="preserve"> FORMCHECKBOX </w:instrText>
      </w:r>
      <w:r w:rsidR="004D1F43">
        <w:rPr>
          <w:szCs w:val="20"/>
        </w:rPr>
      </w:r>
      <w:r w:rsidR="004D1F43">
        <w:rPr>
          <w:szCs w:val="20"/>
        </w:rPr>
        <w:fldChar w:fldCharType="separate"/>
      </w:r>
      <w:r w:rsidRPr="00753C44">
        <w:rPr>
          <w:szCs w:val="20"/>
        </w:rPr>
        <w:fldChar w:fldCharType="end"/>
      </w:r>
      <w:r>
        <w:rPr>
          <w:szCs w:val="20"/>
        </w:rPr>
        <w:t xml:space="preserve"> Yes (please </w:t>
      </w:r>
      <w:r w:rsidR="003904AC">
        <w:rPr>
          <w:szCs w:val="20"/>
        </w:rPr>
        <w:t xml:space="preserve">list </w:t>
      </w:r>
      <w:r>
        <w:rPr>
          <w:szCs w:val="20"/>
        </w:rPr>
        <w:t>all relevant MBS item numbers below)</w:t>
      </w:r>
    </w:p>
    <w:p w14:paraId="41DF9D46" w14:textId="77777777" w:rsidR="000159B9" w:rsidRDefault="0094464A" w:rsidP="006A1038">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4D1F43">
        <w:rPr>
          <w:szCs w:val="20"/>
        </w:rPr>
      </w:r>
      <w:r w:rsidR="004D1F43">
        <w:rPr>
          <w:szCs w:val="20"/>
        </w:rPr>
        <w:fldChar w:fldCharType="separate"/>
      </w:r>
      <w:r>
        <w:rPr>
          <w:szCs w:val="20"/>
        </w:rPr>
        <w:fldChar w:fldCharType="end"/>
      </w:r>
      <w:r w:rsidR="006A1038">
        <w:rPr>
          <w:szCs w:val="20"/>
        </w:rPr>
        <w:t xml:space="preserve"> No  </w:t>
      </w:r>
    </w:p>
    <w:p w14:paraId="7538E67E" w14:textId="77777777" w:rsidR="00C22412" w:rsidRPr="006720DC" w:rsidRDefault="00C22412" w:rsidP="00182306"/>
    <w:p w14:paraId="5ABDB6D5" w14:textId="77777777" w:rsidR="00AF5D1E" w:rsidRPr="00154B00" w:rsidRDefault="00AF5D1E" w:rsidP="00530204">
      <w:pPr>
        <w:pStyle w:val="Heading2"/>
      </w:pPr>
      <w:r w:rsidRPr="00154B00">
        <w:t xml:space="preserve">Define and </w:t>
      </w:r>
      <w:r w:rsidRPr="001B29A1">
        <w:t>summarise</w:t>
      </w:r>
      <w:r w:rsidRPr="00154B00">
        <w:t xml:space="preserve"> the current cl</w:t>
      </w:r>
      <w:r w:rsidR="00F33F1A" w:rsidRPr="00154B00">
        <w:t>inical management pathway</w:t>
      </w:r>
      <w:r w:rsidR="003904AC">
        <w:t>/</w:t>
      </w:r>
      <w:r w:rsidR="00F33F1A" w:rsidRPr="00154B00">
        <w:t xml:space="preserve">s that patients may follow </w:t>
      </w:r>
      <w:r w:rsidR="00F33F1A" w:rsidRPr="00154B00">
        <w:rPr>
          <w:i/>
        </w:rPr>
        <w:t>after</w:t>
      </w:r>
      <w:r w:rsidR="00757232">
        <w:t xml:space="preserve"> they receive</w:t>
      </w:r>
      <w:r w:rsidRPr="00154B00">
        <w:t xml:space="preserve"> </w:t>
      </w:r>
      <w:r w:rsidR="00F33F1A" w:rsidRPr="00154B00">
        <w:t xml:space="preserve">the medical service that has been nominated as the comparator </w:t>
      </w:r>
      <w:r w:rsidRPr="00154B00">
        <w:t xml:space="preserve">(supplement this summary with </w:t>
      </w:r>
      <w:r w:rsidR="00F33F1A" w:rsidRPr="00154B00">
        <w:t xml:space="preserve">an easy to follow flowchart </w:t>
      </w:r>
      <w:r w:rsidR="00757232">
        <w:t xml:space="preserve">[as an attachment to the Application Form] </w:t>
      </w:r>
      <w:r w:rsidR="00F33F1A" w:rsidRPr="00154B00">
        <w:t>dep</w:t>
      </w:r>
      <w:r w:rsidRPr="00154B00">
        <w:t>icting the current c</w:t>
      </w:r>
      <w:r w:rsidR="0054594B" w:rsidRPr="00154B00">
        <w:t>linical management pathway</w:t>
      </w:r>
      <w:r w:rsidR="00757232">
        <w:t xml:space="preserve"> </w:t>
      </w:r>
      <w:r w:rsidR="0054594B" w:rsidRPr="00154B00">
        <w:t>that patients may follow from the point of receiving the comparator onwards</w:t>
      </w:r>
      <w:r w:rsidR="003904AC">
        <w:t>,</w:t>
      </w:r>
      <w:r w:rsidR="00E4321E" w:rsidRPr="00154B00">
        <w:t xml:space="preserve"> including health care resources</w:t>
      </w:r>
      <w:r w:rsidR="00AE1188">
        <w:t>):</w:t>
      </w:r>
    </w:p>
    <w:p w14:paraId="076DFE1F" w14:textId="357587B8" w:rsidR="005012FE" w:rsidRPr="000B0229" w:rsidRDefault="005012FE" w:rsidP="000B0229">
      <w:pPr>
        <w:ind w:left="360"/>
        <w:rPr>
          <w:rFonts w:ascii="Times New Roman" w:hAnsi="Times New Roman" w:cs="Times New Roman"/>
          <w:bCs/>
          <w:szCs w:val="20"/>
          <w:lang w:val="en-US"/>
        </w:rPr>
      </w:pPr>
      <w:r w:rsidRPr="000B0229">
        <w:rPr>
          <w:rFonts w:ascii="Times New Roman" w:hAnsi="Times New Roman" w:cs="Times New Roman"/>
          <w:bCs/>
          <w:szCs w:val="20"/>
          <w:lang w:val="en-US"/>
        </w:rPr>
        <w:t xml:space="preserve">The comparator is single gene sequencing with </w:t>
      </w:r>
      <w:r w:rsidRPr="000B0229">
        <w:rPr>
          <w:rFonts w:ascii="Times New Roman" w:hAnsi="Times New Roman" w:cs="Times New Roman"/>
          <w:bCs/>
          <w:i/>
          <w:iCs/>
          <w:szCs w:val="20"/>
          <w:lang w:val="en-US"/>
        </w:rPr>
        <w:t>GJB2/6.</w:t>
      </w:r>
      <w:r w:rsidRPr="000B0229">
        <w:rPr>
          <w:rFonts w:ascii="Times New Roman" w:hAnsi="Times New Roman" w:cs="Times New Roman"/>
          <w:bCs/>
          <w:szCs w:val="20"/>
          <w:lang w:val="en-US"/>
        </w:rPr>
        <w:t xml:space="preserve"> If this test is diagnostic, children do not require further investigation </w:t>
      </w:r>
      <w:r w:rsidR="000B0229">
        <w:rPr>
          <w:rFonts w:ascii="Times New Roman" w:hAnsi="Times New Roman" w:cs="Times New Roman"/>
          <w:bCs/>
          <w:szCs w:val="20"/>
          <w:lang w:val="en-US"/>
        </w:rPr>
        <w:t>looking for the cause</w:t>
      </w:r>
      <w:r w:rsidRPr="000B0229">
        <w:rPr>
          <w:rFonts w:ascii="Times New Roman" w:hAnsi="Times New Roman" w:cs="Times New Roman"/>
          <w:bCs/>
          <w:szCs w:val="20"/>
          <w:lang w:val="en-US"/>
        </w:rPr>
        <w:t xml:space="preserve">. If it is negative the following investigations are recommended according to the severity of hearing loss and other clinical features. </w:t>
      </w:r>
    </w:p>
    <w:p w14:paraId="09B5A2BC" w14:textId="472C3EB2" w:rsidR="00F613F1" w:rsidRPr="006B603E" w:rsidRDefault="00F613F1" w:rsidP="00F613F1">
      <w:pPr>
        <w:rPr>
          <w:rFonts w:ascii="Times New Roman" w:hAnsi="Times New Roman" w:cs="Times New Roman"/>
          <w:b/>
          <w:szCs w:val="20"/>
          <w:lang w:val="en-US"/>
        </w:rPr>
      </w:pPr>
      <w:r w:rsidRPr="006B603E">
        <w:rPr>
          <w:rFonts w:ascii="Times New Roman" w:hAnsi="Times New Roman" w:cs="Times New Roman"/>
          <w:b/>
          <w:szCs w:val="20"/>
          <w:lang w:val="en-US"/>
        </w:rPr>
        <w:t>Diagnostic pathway of further investigation</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5250"/>
        <w:gridCol w:w="1840"/>
        <w:gridCol w:w="1936"/>
      </w:tblGrid>
      <w:tr w:rsidR="00F613F1" w:rsidRPr="006B603E" w14:paraId="7D8334EC" w14:textId="77777777" w:rsidTr="00220699">
        <w:tc>
          <w:tcPr>
            <w:tcW w:w="5250" w:type="dxa"/>
            <w:tcBorders>
              <w:bottom w:val="single" w:sz="4" w:space="0" w:color="auto"/>
            </w:tcBorders>
          </w:tcPr>
          <w:p w14:paraId="1830AC4A" w14:textId="77777777" w:rsidR="00F613F1" w:rsidRPr="006B603E" w:rsidRDefault="00F613F1" w:rsidP="00E531DB">
            <w:pPr>
              <w:spacing w:before="0" w:after="0"/>
              <w:rPr>
                <w:rFonts w:ascii="Times New Roman" w:hAnsi="Times New Roman" w:cs="Times New Roman"/>
                <w:b/>
                <w:szCs w:val="20"/>
                <w:lang w:val="en-US"/>
              </w:rPr>
            </w:pPr>
            <w:r w:rsidRPr="006B603E">
              <w:rPr>
                <w:rFonts w:ascii="Times New Roman" w:hAnsi="Times New Roman" w:cs="Times New Roman"/>
                <w:b/>
                <w:szCs w:val="20"/>
                <w:lang w:val="en-US"/>
              </w:rPr>
              <w:t>Further investigation</w:t>
            </w:r>
          </w:p>
        </w:tc>
        <w:tc>
          <w:tcPr>
            <w:tcW w:w="1840" w:type="dxa"/>
            <w:tcBorders>
              <w:bottom w:val="single" w:sz="4" w:space="0" w:color="auto"/>
            </w:tcBorders>
          </w:tcPr>
          <w:p w14:paraId="1E4E49E2" w14:textId="2BC1BC9F" w:rsidR="00F613F1" w:rsidRPr="006B603E" w:rsidRDefault="00F613F1" w:rsidP="00E531DB">
            <w:pPr>
              <w:spacing w:before="0" w:after="0"/>
              <w:rPr>
                <w:rFonts w:ascii="Times New Roman" w:hAnsi="Times New Roman" w:cs="Times New Roman"/>
                <w:b/>
                <w:szCs w:val="20"/>
                <w:lang w:val="en-US"/>
              </w:rPr>
            </w:pPr>
            <w:r w:rsidRPr="006B603E">
              <w:rPr>
                <w:rFonts w:ascii="Times New Roman" w:hAnsi="Times New Roman" w:cs="Times New Roman"/>
                <w:b/>
                <w:szCs w:val="20"/>
                <w:lang w:val="en-US"/>
              </w:rPr>
              <w:t>Mild/Moderate (</w:t>
            </w:r>
            <w:r>
              <w:rPr>
                <w:rFonts w:ascii="Times New Roman" w:hAnsi="Times New Roman" w:cs="Times New Roman"/>
                <w:b/>
                <w:szCs w:val="20"/>
                <w:lang w:val="en-US"/>
              </w:rPr>
              <w:t>60</w:t>
            </w:r>
            <w:r w:rsidRPr="006B603E">
              <w:rPr>
                <w:rFonts w:ascii="Times New Roman" w:hAnsi="Times New Roman" w:cs="Times New Roman"/>
                <w:b/>
                <w:szCs w:val="20"/>
                <w:lang w:val="en-US"/>
              </w:rPr>
              <w:t>%)</w:t>
            </w:r>
          </w:p>
        </w:tc>
        <w:tc>
          <w:tcPr>
            <w:tcW w:w="1936" w:type="dxa"/>
            <w:tcBorders>
              <w:bottom w:val="single" w:sz="4" w:space="0" w:color="auto"/>
            </w:tcBorders>
          </w:tcPr>
          <w:p w14:paraId="74CD27F7" w14:textId="7E9F35AF" w:rsidR="00F613F1" w:rsidRPr="006B603E" w:rsidRDefault="00F613F1" w:rsidP="00E531DB">
            <w:pPr>
              <w:spacing w:before="0" w:after="0"/>
              <w:rPr>
                <w:rFonts w:ascii="Times New Roman" w:hAnsi="Times New Roman" w:cs="Times New Roman"/>
                <w:b/>
                <w:szCs w:val="20"/>
                <w:lang w:val="en-US"/>
              </w:rPr>
            </w:pPr>
            <w:r w:rsidRPr="006B603E">
              <w:rPr>
                <w:rFonts w:ascii="Times New Roman" w:hAnsi="Times New Roman" w:cs="Times New Roman"/>
                <w:b/>
                <w:szCs w:val="20"/>
                <w:lang w:val="en-US"/>
              </w:rPr>
              <w:t>Severe/Profound</w:t>
            </w:r>
            <w:r w:rsidR="00E531DB">
              <w:rPr>
                <w:rFonts w:ascii="Times New Roman" w:hAnsi="Times New Roman" w:cs="Times New Roman"/>
                <w:b/>
                <w:szCs w:val="20"/>
                <w:lang w:val="en-US"/>
              </w:rPr>
              <w:br/>
            </w:r>
            <w:r w:rsidRPr="006B603E">
              <w:rPr>
                <w:rFonts w:ascii="Times New Roman" w:hAnsi="Times New Roman" w:cs="Times New Roman"/>
                <w:b/>
                <w:szCs w:val="20"/>
                <w:lang w:val="en-US"/>
              </w:rPr>
              <w:t>(4</w:t>
            </w:r>
            <w:r>
              <w:rPr>
                <w:rFonts w:ascii="Times New Roman" w:hAnsi="Times New Roman" w:cs="Times New Roman"/>
                <w:b/>
                <w:szCs w:val="20"/>
                <w:lang w:val="en-US"/>
              </w:rPr>
              <w:t>0</w:t>
            </w:r>
            <w:r w:rsidRPr="006B603E">
              <w:rPr>
                <w:rFonts w:ascii="Times New Roman" w:hAnsi="Times New Roman" w:cs="Times New Roman"/>
                <w:b/>
                <w:szCs w:val="20"/>
                <w:lang w:val="en-US"/>
              </w:rPr>
              <w:t xml:space="preserve">%) </w:t>
            </w:r>
          </w:p>
        </w:tc>
      </w:tr>
      <w:tr w:rsidR="00F613F1" w:rsidRPr="006B603E" w14:paraId="2185D06F" w14:textId="77777777" w:rsidTr="00220699">
        <w:tc>
          <w:tcPr>
            <w:tcW w:w="5250" w:type="dxa"/>
            <w:tcBorders>
              <w:bottom w:val="nil"/>
            </w:tcBorders>
          </w:tcPr>
          <w:p w14:paraId="2D924E3A" w14:textId="77777777" w:rsidR="00F613F1" w:rsidRPr="006B603E" w:rsidRDefault="00F613F1" w:rsidP="00E531DB">
            <w:pPr>
              <w:spacing w:before="60" w:after="60"/>
              <w:rPr>
                <w:rFonts w:ascii="Times New Roman" w:hAnsi="Times New Roman" w:cs="Times New Roman"/>
                <w:szCs w:val="20"/>
                <w:lang w:val="en-US"/>
              </w:rPr>
            </w:pPr>
            <w:r w:rsidRPr="006B603E">
              <w:rPr>
                <w:rFonts w:ascii="Times New Roman" w:hAnsi="Times New Roman" w:cs="Times New Roman"/>
                <w:szCs w:val="20"/>
                <w:lang w:val="en-US"/>
              </w:rPr>
              <w:t>MRI brain</w:t>
            </w:r>
          </w:p>
        </w:tc>
        <w:tc>
          <w:tcPr>
            <w:tcW w:w="1840" w:type="dxa"/>
            <w:tcBorders>
              <w:bottom w:val="nil"/>
            </w:tcBorders>
          </w:tcPr>
          <w:p w14:paraId="60CFD0B9" w14:textId="77777777" w:rsidR="00F613F1" w:rsidRPr="006B603E" w:rsidRDefault="00F613F1" w:rsidP="00E531DB">
            <w:pPr>
              <w:spacing w:before="60" w:after="60"/>
              <w:jc w:val="center"/>
              <w:rPr>
                <w:rFonts w:ascii="Times New Roman" w:hAnsi="Times New Roman" w:cs="Times New Roman"/>
                <w:szCs w:val="20"/>
                <w:lang w:val="en-US"/>
              </w:rPr>
            </w:pPr>
            <w:r w:rsidRPr="006B603E">
              <w:rPr>
                <w:rFonts w:ascii="Wingdings" w:eastAsia="Wingdings" w:hAnsi="Wingdings" w:cs="Wingdings"/>
                <w:szCs w:val="20"/>
                <w:lang w:val="en-US"/>
              </w:rPr>
              <w:t>ü</w:t>
            </w:r>
          </w:p>
        </w:tc>
        <w:tc>
          <w:tcPr>
            <w:tcW w:w="1936" w:type="dxa"/>
            <w:tcBorders>
              <w:bottom w:val="nil"/>
            </w:tcBorders>
          </w:tcPr>
          <w:p w14:paraId="1F873841" w14:textId="77777777" w:rsidR="00F613F1" w:rsidRPr="006B603E" w:rsidRDefault="00F613F1" w:rsidP="00E531DB">
            <w:pPr>
              <w:spacing w:before="60" w:after="60"/>
              <w:jc w:val="center"/>
              <w:rPr>
                <w:rFonts w:ascii="Times New Roman" w:hAnsi="Times New Roman" w:cs="Times New Roman"/>
                <w:szCs w:val="20"/>
                <w:lang w:val="en-US"/>
              </w:rPr>
            </w:pPr>
          </w:p>
        </w:tc>
      </w:tr>
      <w:tr w:rsidR="00F613F1" w:rsidRPr="006B603E" w14:paraId="32682DA3" w14:textId="77777777" w:rsidTr="00220699">
        <w:tc>
          <w:tcPr>
            <w:tcW w:w="5250" w:type="dxa"/>
            <w:tcBorders>
              <w:top w:val="nil"/>
              <w:bottom w:val="nil"/>
            </w:tcBorders>
          </w:tcPr>
          <w:p w14:paraId="2599FC5B" w14:textId="77777777" w:rsidR="00F613F1" w:rsidRPr="006B603E" w:rsidRDefault="00F613F1" w:rsidP="00E531DB">
            <w:pPr>
              <w:spacing w:before="60" w:after="60"/>
              <w:rPr>
                <w:rFonts w:ascii="Times New Roman" w:hAnsi="Times New Roman" w:cs="Times New Roman"/>
                <w:szCs w:val="20"/>
                <w:lang w:val="en-US"/>
              </w:rPr>
            </w:pPr>
            <w:r w:rsidRPr="006B603E">
              <w:rPr>
                <w:rFonts w:ascii="Times New Roman" w:hAnsi="Times New Roman" w:cs="Times New Roman"/>
                <w:szCs w:val="20"/>
                <w:lang w:val="en-US"/>
              </w:rPr>
              <w:t xml:space="preserve">MRI brain with general anesthetic </w:t>
            </w:r>
          </w:p>
        </w:tc>
        <w:tc>
          <w:tcPr>
            <w:tcW w:w="1840" w:type="dxa"/>
            <w:tcBorders>
              <w:top w:val="nil"/>
              <w:bottom w:val="nil"/>
            </w:tcBorders>
          </w:tcPr>
          <w:p w14:paraId="1F72F438" w14:textId="77777777" w:rsidR="00F613F1" w:rsidRPr="006B603E" w:rsidRDefault="00F613F1" w:rsidP="00E531DB">
            <w:pPr>
              <w:spacing w:before="60" w:after="60"/>
              <w:jc w:val="center"/>
              <w:rPr>
                <w:rFonts w:ascii="Times New Roman" w:hAnsi="Times New Roman" w:cs="Times New Roman"/>
                <w:szCs w:val="20"/>
                <w:lang w:val="en-US"/>
              </w:rPr>
            </w:pPr>
          </w:p>
        </w:tc>
        <w:tc>
          <w:tcPr>
            <w:tcW w:w="1936" w:type="dxa"/>
            <w:tcBorders>
              <w:top w:val="nil"/>
              <w:bottom w:val="nil"/>
            </w:tcBorders>
          </w:tcPr>
          <w:p w14:paraId="180FD4EC" w14:textId="77777777" w:rsidR="00F613F1" w:rsidRPr="006B603E" w:rsidRDefault="00F613F1" w:rsidP="00E531DB">
            <w:pPr>
              <w:spacing w:before="60" w:after="60"/>
              <w:jc w:val="center"/>
              <w:rPr>
                <w:rFonts w:ascii="Times New Roman" w:hAnsi="Times New Roman" w:cs="Times New Roman"/>
                <w:szCs w:val="20"/>
                <w:lang w:val="en-US"/>
              </w:rPr>
            </w:pPr>
            <w:r w:rsidRPr="006B603E">
              <w:rPr>
                <w:rFonts w:ascii="Wingdings" w:eastAsia="Wingdings" w:hAnsi="Wingdings" w:cs="Wingdings"/>
                <w:szCs w:val="20"/>
                <w:lang w:val="en-US"/>
              </w:rPr>
              <w:t>ü</w:t>
            </w:r>
          </w:p>
        </w:tc>
      </w:tr>
      <w:tr w:rsidR="00346A3B" w:rsidRPr="006B603E" w14:paraId="5A321F3B" w14:textId="77777777" w:rsidTr="00220699">
        <w:tc>
          <w:tcPr>
            <w:tcW w:w="5250" w:type="dxa"/>
            <w:tcBorders>
              <w:top w:val="nil"/>
              <w:bottom w:val="nil"/>
            </w:tcBorders>
          </w:tcPr>
          <w:p w14:paraId="35B284BE" w14:textId="46112E65" w:rsidR="00346A3B" w:rsidRPr="006B603E" w:rsidRDefault="00346A3B" w:rsidP="00E531DB">
            <w:pPr>
              <w:spacing w:before="60" w:after="60"/>
              <w:rPr>
                <w:rFonts w:ascii="Times New Roman" w:hAnsi="Times New Roman" w:cs="Times New Roman"/>
                <w:szCs w:val="20"/>
                <w:lang w:val="en-US"/>
              </w:rPr>
            </w:pPr>
            <w:r>
              <w:rPr>
                <w:rFonts w:ascii="Times New Roman" w:hAnsi="Times New Roman" w:cs="Times New Roman"/>
                <w:szCs w:val="20"/>
                <w:lang w:val="en-US"/>
              </w:rPr>
              <w:t>CMV PCR testing on saliva/urine of newborns less than 21 days old</w:t>
            </w:r>
          </w:p>
        </w:tc>
        <w:tc>
          <w:tcPr>
            <w:tcW w:w="1840" w:type="dxa"/>
            <w:tcBorders>
              <w:top w:val="nil"/>
              <w:bottom w:val="nil"/>
            </w:tcBorders>
          </w:tcPr>
          <w:p w14:paraId="1C9B401F" w14:textId="413A7293" w:rsidR="00346A3B" w:rsidRPr="006B603E" w:rsidRDefault="00346A3B" w:rsidP="00E531DB">
            <w:pPr>
              <w:spacing w:before="60" w:after="60"/>
              <w:jc w:val="center"/>
              <w:rPr>
                <w:rFonts w:ascii="Wingdings" w:eastAsia="Wingdings" w:hAnsi="Wingdings" w:cs="Wingdings"/>
                <w:szCs w:val="20"/>
                <w:lang w:val="en-US"/>
              </w:rPr>
            </w:pPr>
            <w:r w:rsidRPr="006B603E">
              <w:rPr>
                <w:rFonts w:ascii="Wingdings" w:eastAsia="Wingdings" w:hAnsi="Wingdings" w:cs="Wingdings"/>
                <w:szCs w:val="20"/>
                <w:lang w:val="en-US"/>
              </w:rPr>
              <w:t>ü</w:t>
            </w:r>
          </w:p>
        </w:tc>
        <w:tc>
          <w:tcPr>
            <w:tcW w:w="1936" w:type="dxa"/>
            <w:tcBorders>
              <w:top w:val="nil"/>
              <w:bottom w:val="nil"/>
            </w:tcBorders>
          </w:tcPr>
          <w:p w14:paraId="0AF7A99A" w14:textId="7A4A489E" w:rsidR="00346A3B" w:rsidRPr="006B603E" w:rsidRDefault="00346A3B" w:rsidP="00E531DB">
            <w:pPr>
              <w:spacing w:before="60" w:after="60"/>
              <w:jc w:val="center"/>
              <w:rPr>
                <w:rFonts w:ascii="Wingdings" w:eastAsia="Wingdings" w:hAnsi="Wingdings" w:cs="Wingdings"/>
                <w:szCs w:val="20"/>
                <w:lang w:val="en-US"/>
              </w:rPr>
            </w:pPr>
            <w:r w:rsidRPr="006B603E">
              <w:rPr>
                <w:rFonts w:ascii="Wingdings" w:eastAsia="Wingdings" w:hAnsi="Wingdings" w:cs="Wingdings"/>
                <w:szCs w:val="20"/>
                <w:lang w:val="en-US"/>
              </w:rPr>
              <w:t>ü</w:t>
            </w:r>
          </w:p>
        </w:tc>
      </w:tr>
      <w:tr w:rsidR="00346A3B" w:rsidRPr="006B603E" w14:paraId="56F2F0AB" w14:textId="77777777" w:rsidTr="00220699">
        <w:tc>
          <w:tcPr>
            <w:tcW w:w="5250" w:type="dxa"/>
            <w:tcBorders>
              <w:top w:val="nil"/>
              <w:bottom w:val="nil"/>
            </w:tcBorders>
          </w:tcPr>
          <w:p w14:paraId="7B991471" w14:textId="51CA4F03" w:rsidR="00346A3B" w:rsidRPr="006B603E" w:rsidRDefault="00346A3B" w:rsidP="00E531DB">
            <w:pPr>
              <w:spacing w:before="60" w:after="60"/>
              <w:rPr>
                <w:rFonts w:ascii="Times New Roman" w:hAnsi="Times New Roman" w:cs="Times New Roman"/>
                <w:szCs w:val="20"/>
                <w:lang w:val="en-US"/>
              </w:rPr>
            </w:pPr>
            <w:r>
              <w:rPr>
                <w:rFonts w:ascii="Times New Roman" w:hAnsi="Times New Roman" w:cs="Times New Roman"/>
                <w:szCs w:val="20"/>
                <w:lang w:val="en-US"/>
              </w:rPr>
              <w:t>CMV PCR Guthrie card testing</w:t>
            </w:r>
          </w:p>
        </w:tc>
        <w:tc>
          <w:tcPr>
            <w:tcW w:w="1840" w:type="dxa"/>
            <w:tcBorders>
              <w:top w:val="nil"/>
              <w:bottom w:val="nil"/>
            </w:tcBorders>
          </w:tcPr>
          <w:p w14:paraId="3AB22923" w14:textId="5B540C68" w:rsidR="00346A3B" w:rsidRPr="006B603E" w:rsidRDefault="00346A3B" w:rsidP="00E531DB">
            <w:pPr>
              <w:spacing w:before="60" w:after="60"/>
              <w:jc w:val="center"/>
              <w:rPr>
                <w:rFonts w:ascii="Wingdings" w:eastAsia="Wingdings" w:hAnsi="Wingdings" w:cs="Wingdings"/>
                <w:szCs w:val="20"/>
                <w:lang w:val="en-US"/>
              </w:rPr>
            </w:pPr>
            <w:r w:rsidRPr="006B603E">
              <w:rPr>
                <w:rFonts w:ascii="Wingdings" w:eastAsia="Wingdings" w:hAnsi="Wingdings" w:cs="Wingdings"/>
                <w:szCs w:val="20"/>
                <w:lang w:val="en-US"/>
              </w:rPr>
              <w:t>ü</w:t>
            </w:r>
          </w:p>
        </w:tc>
        <w:tc>
          <w:tcPr>
            <w:tcW w:w="1936" w:type="dxa"/>
            <w:tcBorders>
              <w:top w:val="nil"/>
              <w:bottom w:val="nil"/>
            </w:tcBorders>
          </w:tcPr>
          <w:p w14:paraId="5FE107BE" w14:textId="426CD2D0" w:rsidR="00346A3B" w:rsidRPr="006B603E" w:rsidRDefault="00346A3B" w:rsidP="00E531DB">
            <w:pPr>
              <w:spacing w:before="60" w:after="60"/>
              <w:jc w:val="center"/>
              <w:rPr>
                <w:rFonts w:ascii="Wingdings" w:eastAsia="Wingdings" w:hAnsi="Wingdings" w:cs="Wingdings"/>
                <w:szCs w:val="20"/>
                <w:lang w:val="en-US"/>
              </w:rPr>
            </w:pPr>
            <w:r w:rsidRPr="006B603E">
              <w:rPr>
                <w:rFonts w:ascii="Wingdings" w:eastAsia="Wingdings" w:hAnsi="Wingdings" w:cs="Wingdings"/>
                <w:szCs w:val="20"/>
                <w:lang w:val="en-US"/>
              </w:rPr>
              <w:t>ü</w:t>
            </w:r>
          </w:p>
        </w:tc>
      </w:tr>
      <w:tr w:rsidR="00346A3B" w:rsidRPr="006B603E" w14:paraId="6A689C13" w14:textId="77777777" w:rsidTr="00220699">
        <w:tc>
          <w:tcPr>
            <w:tcW w:w="5250" w:type="dxa"/>
            <w:tcBorders>
              <w:top w:val="nil"/>
              <w:bottom w:val="nil"/>
            </w:tcBorders>
          </w:tcPr>
          <w:p w14:paraId="61ABA021" w14:textId="77777777" w:rsidR="00346A3B" w:rsidRPr="006B603E" w:rsidRDefault="00346A3B" w:rsidP="00E531DB">
            <w:pPr>
              <w:spacing w:before="60" w:after="60"/>
              <w:rPr>
                <w:rFonts w:ascii="Times New Roman" w:hAnsi="Times New Roman" w:cs="Times New Roman"/>
                <w:szCs w:val="20"/>
                <w:lang w:val="en-US"/>
              </w:rPr>
            </w:pPr>
            <w:r w:rsidRPr="006B603E">
              <w:rPr>
                <w:rFonts w:ascii="Times New Roman" w:hAnsi="Times New Roman" w:cs="Times New Roman"/>
                <w:szCs w:val="20"/>
                <w:lang w:val="en-US"/>
              </w:rPr>
              <w:t xml:space="preserve">Family audiograms </w:t>
            </w:r>
          </w:p>
        </w:tc>
        <w:tc>
          <w:tcPr>
            <w:tcW w:w="1840" w:type="dxa"/>
            <w:tcBorders>
              <w:top w:val="nil"/>
              <w:bottom w:val="nil"/>
            </w:tcBorders>
          </w:tcPr>
          <w:p w14:paraId="102AEAA2" w14:textId="77777777" w:rsidR="00346A3B" w:rsidRPr="006B603E" w:rsidRDefault="00346A3B" w:rsidP="00E531DB">
            <w:pPr>
              <w:spacing w:before="60" w:after="60"/>
              <w:jc w:val="center"/>
              <w:rPr>
                <w:rFonts w:ascii="Times New Roman" w:hAnsi="Times New Roman" w:cs="Times New Roman"/>
                <w:szCs w:val="20"/>
                <w:lang w:val="en-US"/>
              </w:rPr>
            </w:pPr>
            <w:r w:rsidRPr="006B603E">
              <w:rPr>
                <w:rFonts w:ascii="Wingdings" w:eastAsia="Wingdings" w:hAnsi="Wingdings" w:cs="Wingdings"/>
                <w:szCs w:val="20"/>
                <w:lang w:val="en-US"/>
              </w:rPr>
              <w:t>ü</w:t>
            </w:r>
          </w:p>
        </w:tc>
        <w:tc>
          <w:tcPr>
            <w:tcW w:w="1936" w:type="dxa"/>
            <w:tcBorders>
              <w:top w:val="nil"/>
              <w:bottom w:val="nil"/>
            </w:tcBorders>
          </w:tcPr>
          <w:p w14:paraId="5977F7C1" w14:textId="77777777" w:rsidR="00346A3B" w:rsidRPr="006B603E" w:rsidRDefault="00346A3B" w:rsidP="00E531DB">
            <w:pPr>
              <w:spacing w:before="60" w:after="60"/>
              <w:jc w:val="center"/>
              <w:rPr>
                <w:rFonts w:ascii="Times New Roman" w:hAnsi="Times New Roman" w:cs="Times New Roman"/>
                <w:szCs w:val="20"/>
                <w:lang w:val="en-US"/>
              </w:rPr>
            </w:pPr>
            <w:r w:rsidRPr="006B603E">
              <w:rPr>
                <w:rFonts w:ascii="Wingdings" w:eastAsia="Wingdings" w:hAnsi="Wingdings" w:cs="Wingdings"/>
                <w:szCs w:val="20"/>
                <w:lang w:val="en-US"/>
              </w:rPr>
              <w:t>ü</w:t>
            </w:r>
          </w:p>
        </w:tc>
      </w:tr>
      <w:tr w:rsidR="00346A3B" w:rsidRPr="006B603E" w14:paraId="63784DA0" w14:textId="77777777" w:rsidTr="00220699">
        <w:tc>
          <w:tcPr>
            <w:tcW w:w="5250" w:type="dxa"/>
            <w:tcBorders>
              <w:top w:val="nil"/>
              <w:bottom w:val="nil"/>
            </w:tcBorders>
          </w:tcPr>
          <w:p w14:paraId="4A38737F" w14:textId="77777777" w:rsidR="00346A3B" w:rsidRPr="006B603E" w:rsidRDefault="00346A3B" w:rsidP="00E531DB">
            <w:pPr>
              <w:spacing w:before="60" w:after="60"/>
              <w:rPr>
                <w:rFonts w:ascii="Times New Roman" w:hAnsi="Times New Roman" w:cs="Times New Roman"/>
                <w:szCs w:val="20"/>
                <w:lang w:val="en-US"/>
              </w:rPr>
            </w:pPr>
            <w:r w:rsidRPr="006B603E">
              <w:rPr>
                <w:rFonts w:ascii="Times New Roman" w:hAnsi="Times New Roman" w:cs="Times New Roman"/>
                <w:szCs w:val="20"/>
                <w:lang w:val="en-US"/>
              </w:rPr>
              <w:t xml:space="preserve">Ophthalmology assessment </w:t>
            </w:r>
          </w:p>
        </w:tc>
        <w:tc>
          <w:tcPr>
            <w:tcW w:w="1840" w:type="dxa"/>
            <w:tcBorders>
              <w:top w:val="nil"/>
              <w:bottom w:val="nil"/>
            </w:tcBorders>
          </w:tcPr>
          <w:p w14:paraId="72B3ACDF" w14:textId="77777777" w:rsidR="00346A3B" w:rsidRPr="006B603E" w:rsidRDefault="00346A3B" w:rsidP="00E531DB">
            <w:pPr>
              <w:spacing w:before="60" w:after="60"/>
              <w:jc w:val="center"/>
              <w:rPr>
                <w:rFonts w:ascii="Times New Roman" w:hAnsi="Times New Roman" w:cs="Times New Roman"/>
                <w:szCs w:val="20"/>
                <w:lang w:val="en-US"/>
              </w:rPr>
            </w:pPr>
            <w:r w:rsidRPr="006B603E">
              <w:rPr>
                <w:rFonts w:ascii="Wingdings" w:eastAsia="Wingdings" w:hAnsi="Wingdings" w:cs="Wingdings"/>
                <w:szCs w:val="20"/>
                <w:lang w:val="en-US"/>
              </w:rPr>
              <w:t>ü</w:t>
            </w:r>
          </w:p>
        </w:tc>
        <w:tc>
          <w:tcPr>
            <w:tcW w:w="1936" w:type="dxa"/>
            <w:tcBorders>
              <w:top w:val="nil"/>
              <w:bottom w:val="nil"/>
            </w:tcBorders>
          </w:tcPr>
          <w:p w14:paraId="71FBC9C4" w14:textId="77777777" w:rsidR="00346A3B" w:rsidRPr="006B603E" w:rsidRDefault="00346A3B" w:rsidP="00E531DB">
            <w:pPr>
              <w:spacing w:before="60" w:after="60"/>
              <w:jc w:val="center"/>
              <w:rPr>
                <w:rFonts w:ascii="Times New Roman" w:hAnsi="Times New Roman" w:cs="Times New Roman"/>
                <w:szCs w:val="20"/>
                <w:lang w:val="en-US"/>
              </w:rPr>
            </w:pPr>
            <w:r w:rsidRPr="006B603E">
              <w:rPr>
                <w:rFonts w:ascii="Wingdings" w:eastAsia="Wingdings" w:hAnsi="Wingdings" w:cs="Wingdings"/>
                <w:szCs w:val="20"/>
                <w:lang w:val="en-US"/>
              </w:rPr>
              <w:t>ü</w:t>
            </w:r>
          </w:p>
        </w:tc>
      </w:tr>
      <w:tr w:rsidR="00346A3B" w:rsidRPr="006B603E" w14:paraId="6B50AFA1" w14:textId="77777777" w:rsidTr="00220699">
        <w:tc>
          <w:tcPr>
            <w:tcW w:w="5250" w:type="dxa"/>
            <w:tcBorders>
              <w:top w:val="nil"/>
              <w:bottom w:val="nil"/>
            </w:tcBorders>
          </w:tcPr>
          <w:p w14:paraId="1946E2D9" w14:textId="77777777" w:rsidR="00346A3B" w:rsidRPr="006B603E" w:rsidRDefault="00346A3B" w:rsidP="00E531DB">
            <w:pPr>
              <w:spacing w:before="60" w:after="60"/>
              <w:rPr>
                <w:rFonts w:ascii="Times New Roman" w:hAnsi="Times New Roman" w:cs="Times New Roman"/>
                <w:szCs w:val="20"/>
                <w:lang w:val="en-US"/>
              </w:rPr>
            </w:pPr>
            <w:r w:rsidRPr="006B603E">
              <w:rPr>
                <w:rFonts w:ascii="Times New Roman" w:hAnsi="Times New Roman" w:cs="Times New Roman"/>
                <w:szCs w:val="20"/>
                <w:lang w:val="en-US"/>
              </w:rPr>
              <w:t>ECG with cardiologist interpretation</w:t>
            </w:r>
          </w:p>
        </w:tc>
        <w:tc>
          <w:tcPr>
            <w:tcW w:w="1840" w:type="dxa"/>
            <w:tcBorders>
              <w:top w:val="nil"/>
              <w:bottom w:val="nil"/>
            </w:tcBorders>
          </w:tcPr>
          <w:p w14:paraId="4F794BA3" w14:textId="77777777" w:rsidR="00346A3B" w:rsidRPr="006B603E" w:rsidRDefault="00346A3B" w:rsidP="00E531DB">
            <w:pPr>
              <w:spacing w:before="60" w:after="60"/>
              <w:jc w:val="center"/>
              <w:rPr>
                <w:rFonts w:ascii="Times New Roman" w:hAnsi="Times New Roman" w:cs="Times New Roman"/>
                <w:szCs w:val="20"/>
                <w:lang w:val="en-US"/>
              </w:rPr>
            </w:pPr>
          </w:p>
        </w:tc>
        <w:tc>
          <w:tcPr>
            <w:tcW w:w="1936" w:type="dxa"/>
            <w:tcBorders>
              <w:top w:val="nil"/>
              <w:bottom w:val="nil"/>
            </w:tcBorders>
          </w:tcPr>
          <w:p w14:paraId="7B579DE1" w14:textId="77777777" w:rsidR="00346A3B" w:rsidRPr="006B603E" w:rsidRDefault="00346A3B" w:rsidP="00E531DB">
            <w:pPr>
              <w:spacing w:before="60" w:after="60"/>
              <w:jc w:val="center"/>
              <w:rPr>
                <w:rFonts w:ascii="Times New Roman" w:hAnsi="Times New Roman" w:cs="Times New Roman"/>
                <w:szCs w:val="20"/>
                <w:lang w:val="en-US"/>
              </w:rPr>
            </w:pPr>
            <w:r w:rsidRPr="006B603E">
              <w:rPr>
                <w:rFonts w:ascii="Wingdings" w:eastAsia="Wingdings" w:hAnsi="Wingdings" w:cs="Wingdings"/>
                <w:szCs w:val="20"/>
                <w:lang w:val="en-US"/>
              </w:rPr>
              <w:t>ü</w:t>
            </w:r>
          </w:p>
        </w:tc>
      </w:tr>
      <w:tr w:rsidR="00346A3B" w:rsidRPr="006B603E" w14:paraId="5E46C956" w14:textId="77777777" w:rsidTr="00220699">
        <w:tc>
          <w:tcPr>
            <w:tcW w:w="5250" w:type="dxa"/>
            <w:tcBorders>
              <w:top w:val="nil"/>
              <w:bottom w:val="nil"/>
            </w:tcBorders>
          </w:tcPr>
          <w:p w14:paraId="116EAD1A" w14:textId="77777777" w:rsidR="00346A3B" w:rsidRPr="006B603E" w:rsidRDefault="00346A3B" w:rsidP="00E531DB">
            <w:pPr>
              <w:spacing w:before="60" w:after="60"/>
              <w:rPr>
                <w:rFonts w:ascii="Times New Roman" w:hAnsi="Times New Roman" w:cs="Times New Roman"/>
                <w:szCs w:val="20"/>
                <w:lang w:val="en-US"/>
              </w:rPr>
            </w:pPr>
            <w:r w:rsidRPr="006B603E">
              <w:rPr>
                <w:rFonts w:ascii="Times New Roman" w:hAnsi="Times New Roman" w:cs="Times New Roman"/>
                <w:szCs w:val="20"/>
                <w:lang w:val="en-US"/>
              </w:rPr>
              <w:t xml:space="preserve">Renal ultrasound </w:t>
            </w:r>
          </w:p>
        </w:tc>
        <w:tc>
          <w:tcPr>
            <w:tcW w:w="3776" w:type="dxa"/>
            <w:gridSpan w:val="2"/>
            <w:tcBorders>
              <w:top w:val="nil"/>
              <w:bottom w:val="nil"/>
            </w:tcBorders>
          </w:tcPr>
          <w:p w14:paraId="5DF36A6D" w14:textId="77777777" w:rsidR="00346A3B" w:rsidRPr="006B603E" w:rsidRDefault="00346A3B" w:rsidP="00E531DB">
            <w:pPr>
              <w:spacing w:before="60" w:after="60"/>
              <w:rPr>
                <w:rFonts w:ascii="Times New Roman" w:hAnsi="Times New Roman" w:cs="Times New Roman"/>
                <w:i/>
                <w:szCs w:val="20"/>
                <w:lang w:val="en-US"/>
              </w:rPr>
            </w:pPr>
            <w:r w:rsidRPr="006B603E">
              <w:rPr>
                <w:rFonts w:ascii="Times New Roman" w:hAnsi="Times New Roman" w:cs="Times New Roman"/>
                <w:i/>
                <w:szCs w:val="20"/>
                <w:lang w:val="en-US"/>
              </w:rPr>
              <w:t xml:space="preserve">If indicated </w:t>
            </w:r>
          </w:p>
        </w:tc>
      </w:tr>
      <w:tr w:rsidR="00346A3B" w:rsidRPr="006B603E" w14:paraId="03962379" w14:textId="77777777" w:rsidTr="00220699">
        <w:tc>
          <w:tcPr>
            <w:tcW w:w="5250" w:type="dxa"/>
            <w:tcBorders>
              <w:top w:val="nil"/>
            </w:tcBorders>
          </w:tcPr>
          <w:p w14:paraId="5CA6DE1A" w14:textId="77777777" w:rsidR="00346A3B" w:rsidRPr="006B603E" w:rsidRDefault="00346A3B" w:rsidP="00E531DB">
            <w:pPr>
              <w:spacing w:before="60" w:after="60"/>
              <w:rPr>
                <w:rFonts w:ascii="Times New Roman" w:hAnsi="Times New Roman" w:cs="Times New Roman"/>
                <w:szCs w:val="20"/>
                <w:lang w:val="en-US"/>
              </w:rPr>
            </w:pPr>
            <w:r w:rsidRPr="006B603E">
              <w:rPr>
                <w:rFonts w:ascii="Times New Roman" w:hAnsi="Times New Roman" w:cs="Times New Roman"/>
                <w:szCs w:val="20"/>
                <w:lang w:val="en-US"/>
              </w:rPr>
              <w:t xml:space="preserve">Vestibular testing </w:t>
            </w:r>
          </w:p>
        </w:tc>
        <w:tc>
          <w:tcPr>
            <w:tcW w:w="3776" w:type="dxa"/>
            <w:gridSpan w:val="2"/>
            <w:tcBorders>
              <w:top w:val="nil"/>
            </w:tcBorders>
          </w:tcPr>
          <w:p w14:paraId="08A380F0" w14:textId="77777777" w:rsidR="00346A3B" w:rsidRPr="006B603E" w:rsidRDefault="00346A3B" w:rsidP="00E531DB">
            <w:pPr>
              <w:spacing w:before="60" w:after="60"/>
              <w:rPr>
                <w:rFonts w:ascii="Times New Roman" w:hAnsi="Times New Roman" w:cs="Times New Roman"/>
                <w:szCs w:val="20"/>
                <w:lang w:val="en-US"/>
              </w:rPr>
            </w:pPr>
            <w:r w:rsidRPr="006B603E">
              <w:rPr>
                <w:rFonts w:ascii="Times New Roman" w:hAnsi="Times New Roman" w:cs="Times New Roman"/>
                <w:i/>
                <w:szCs w:val="20"/>
                <w:lang w:val="en-US"/>
              </w:rPr>
              <w:t xml:space="preserve">If indicated </w:t>
            </w:r>
          </w:p>
        </w:tc>
      </w:tr>
    </w:tbl>
    <w:p w14:paraId="50A9D8D9" w14:textId="77777777" w:rsidR="00F613F1" w:rsidRPr="006B603E" w:rsidRDefault="00F613F1" w:rsidP="00F613F1">
      <w:pPr>
        <w:rPr>
          <w:rFonts w:ascii="Times New Roman" w:hAnsi="Times New Roman" w:cs="Times New Roman"/>
          <w:b/>
          <w:szCs w:val="20"/>
          <w:lang w:val="en-US"/>
        </w:rPr>
      </w:pPr>
      <w:r w:rsidRPr="006B603E">
        <w:rPr>
          <w:rFonts w:ascii="Times New Roman" w:hAnsi="Times New Roman" w:cs="Times New Roman"/>
          <w:i/>
          <w:szCs w:val="20"/>
          <w:lang w:val="en-US"/>
        </w:rPr>
        <w:t>MRI magnetic resonance imaging, ECG electrocardiogram</w:t>
      </w:r>
    </w:p>
    <w:p w14:paraId="3BEADED9" w14:textId="77777777" w:rsidR="00A83EC6" w:rsidRPr="00154B00" w:rsidRDefault="005C3AE7" w:rsidP="00530204">
      <w:pPr>
        <w:pStyle w:val="Heading2"/>
      </w:pPr>
      <w:r>
        <w:lastRenderedPageBreak/>
        <w:t xml:space="preserve">(a) </w:t>
      </w:r>
      <w:r w:rsidR="00CD7A7D" w:rsidRPr="00154B00">
        <w:t xml:space="preserve">Will </w:t>
      </w:r>
      <w:r w:rsidR="00A83EC6" w:rsidRPr="00154B00">
        <w:t xml:space="preserve">the proposed medical service be used in addition to, or instead of, the nominated </w:t>
      </w:r>
      <w:r w:rsidR="00A83EC6" w:rsidRPr="001B29A1">
        <w:t>comparator</w:t>
      </w:r>
      <w:r w:rsidR="00A83EC6" w:rsidRPr="00154B00">
        <w:t>(s)</w:t>
      </w:r>
      <w:r w:rsidR="00D30BDC">
        <w:t>?</w:t>
      </w:r>
    </w:p>
    <w:p w14:paraId="3C73F6CF" w14:textId="77777777" w:rsidR="001B29A1" w:rsidRDefault="0094464A" w:rsidP="001B29A1">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4D1F43">
        <w:rPr>
          <w:szCs w:val="20"/>
        </w:rPr>
      </w:r>
      <w:r w:rsidR="004D1F43">
        <w:rPr>
          <w:szCs w:val="20"/>
        </w:rPr>
        <w:fldChar w:fldCharType="separate"/>
      </w:r>
      <w:r>
        <w:rPr>
          <w:szCs w:val="20"/>
        </w:rPr>
        <w:fldChar w:fldCharType="end"/>
      </w:r>
      <w:r w:rsidR="001B29A1">
        <w:rPr>
          <w:szCs w:val="20"/>
        </w:rPr>
        <w:t xml:space="preserve"> </w:t>
      </w:r>
      <w:r w:rsidR="00282BE8">
        <w:rPr>
          <w:szCs w:val="20"/>
        </w:rPr>
        <w:t>In addition to (i.e. it is an add-on service)</w:t>
      </w:r>
      <w:r w:rsidR="001B29A1">
        <w:rPr>
          <w:szCs w:val="20"/>
        </w:rPr>
        <w:t xml:space="preserve"> </w:t>
      </w:r>
    </w:p>
    <w:p w14:paraId="47D04415" w14:textId="2C27A2A1" w:rsidR="001B29A1" w:rsidRDefault="000B0229" w:rsidP="001B29A1">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4D1F43">
        <w:rPr>
          <w:szCs w:val="20"/>
        </w:rPr>
      </w:r>
      <w:r w:rsidR="004D1F43">
        <w:rPr>
          <w:szCs w:val="20"/>
        </w:rPr>
        <w:fldChar w:fldCharType="separate"/>
      </w:r>
      <w:r>
        <w:rPr>
          <w:szCs w:val="20"/>
        </w:rPr>
        <w:fldChar w:fldCharType="end"/>
      </w:r>
      <w:r w:rsidR="001B29A1">
        <w:rPr>
          <w:szCs w:val="20"/>
        </w:rPr>
        <w:t xml:space="preserve"> </w:t>
      </w:r>
      <w:r w:rsidR="00282BE8">
        <w:rPr>
          <w:szCs w:val="20"/>
        </w:rPr>
        <w:t>Instead of (i.e. it is a replacement or alternative)</w:t>
      </w:r>
    </w:p>
    <w:p w14:paraId="1BD0AE27" w14:textId="77777777" w:rsidR="00E70D86" w:rsidRPr="00154B00" w:rsidRDefault="00E70D86" w:rsidP="005C3AE7">
      <w:pPr>
        <w:pStyle w:val="Heading2"/>
        <w:numPr>
          <w:ilvl w:val="0"/>
          <w:numId w:val="30"/>
        </w:numPr>
      </w:pPr>
      <w:r w:rsidRPr="00154B00">
        <w:t xml:space="preserve">If </w:t>
      </w:r>
      <w:r w:rsidR="00723446">
        <w:t>instead of (i.e. alternative service)</w:t>
      </w:r>
      <w:r w:rsidR="00D00122">
        <w:t xml:space="preserve">, </w:t>
      </w:r>
      <w:r w:rsidRPr="00154B00">
        <w:t xml:space="preserve">please </w:t>
      </w:r>
      <w:r w:rsidR="00F33F1A" w:rsidRPr="00154B00">
        <w:t xml:space="preserve">outline </w:t>
      </w:r>
      <w:r w:rsidR="00723446">
        <w:t xml:space="preserve">the extent to </w:t>
      </w:r>
      <w:r w:rsidR="00F33F1A" w:rsidRPr="00154B00">
        <w:t xml:space="preserve">which </w:t>
      </w:r>
      <w:r w:rsidR="00D00122">
        <w:t xml:space="preserve">the </w:t>
      </w:r>
      <w:r w:rsidR="00F33F1A" w:rsidRPr="00154B00">
        <w:t xml:space="preserve">current service/comparator is expected to be </w:t>
      </w:r>
      <w:r w:rsidR="00AE1188">
        <w:t>substituted:</w:t>
      </w:r>
    </w:p>
    <w:p w14:paraId="31A7878A" w14:textId="5FF0431E" w:rsidR="00827303" w:rsidRPr="00E531DB" w:rsidRDefault="00F613F1" w:rsidP="00E531DB">
      <w:pPr>
        <w:ind w:left="426"/>
      </w:pPr>
      <w:r>
        <w:t xml:space="preserve">If a child receives a genetic diagnosis through </w:t>
      </w:r>
      <w:proofErr w:type="gramStart"/>
      <w:r>
        <w:t>WEA</w:t>
      </w:r>
      <w:proofErr w:type="gramEnd"/>
      <w:r>
        <w:t xml:space="preserve"> they will either avoid the investigations listed above completely, or have a tailored investigation pathway suitable to the</w:t>
      </w:r>
      <w:r w:rsidR="00827303">
        <w:t>ir</w:t>
      </w:r>
      <w:r>
        <w:t xml:space="preserve"> specific diagnosis. </w:t>
      </w:r>
    </w:p>
    <w:p w14:paraId="6A31AFDA" w14:textId="77777777" w:rsidR="0054594B" w:rsidRPr="00154B00" w:rsidRDefault="009C03FB" w:rsidP="00530204">
      <w:pPr>
        <w:pStyle w:val="Heading2"/>
      </w:pPr>
      <w:r w:rsidRPr="00154B00">
        <w:t xml:space="preserve">Define and </w:t>
      </w:r>
      <w:r w:rsidRPr="004A0BF4">
        <w:t>summarise</w:t>
      </w:r>
      <w:r w:rsidRPr="00154B00">
        <w:t xml:space="preserve"> how</w:t>
      </w:r>
      <w:r w:rsidR="00F33F1A" w:rsidRPr="00154B00">
        <w:t xml:space="preserve"> curr</w:t>
      </w:r>
      <w:r w:rsidRPr="00154B00">
        <w:t>ent clinical management pathways (from the point of service delivery onwards) are</w:t>
      </w:r>
      <w:r w:rsidR="00F33F1A" w:rsidRPr="00154B00">
        <w:t xml:space="preserve"> expected to </w:t>
      </w:r>
      <w:r w:rsidR="00F33F1A" w:rsidRPr="003A2860">
        <w:t>change</w:t>
      </w:r>
      <w:r w:rsidR="00F33F1A" w:rsidRPr="00154B00">
        <w:t xml:space="preserve"> </w:t>
      </w:r>
      <w:proofErr w:type="gramStart"/>
      <w:r w:rsidR="00F33F1A" w:rsidRPr="00154B00">
        <w:t>as a consequence of</w:t>
      </w:r>
      <w:proofErr w:type="gramEnd"/>
      <w:r w:rsidR="00F33F1A" w:rsidRPr="00154B00">
        <w:t xml:space="preserve"> introducing the proposed medical service</w:t>
      </w:r>
      <w:r w:rsidR="003904AC">
        <w:t>,</w:t>
      </w:r>
      <w:r w:rsidR="00F33F1A" w:rsidRPr="00154B00">
        <w:t xml:space="preserve"> </w:t>
      </w:r>
      <w:r w:rsidR="007D2358" w:rsidRPr="00154B00">
        <w:t xml:space="preserve">including variation in health care resources </w:t>
      </w:r>
      <w:r w:rsidRPr="00154B00">
        <w:t>(</w:t>
      </w:r>
      <w:r w:rsidR="002053F2">
        <w:t xml:space="preserve">Refer to </w:t>
      </w:r>
      <w:r w:rsidR="00F33F1A" w:rsidRPr="00154B00">
        <w:t xml:space="preserve">Question </w:t>
      </w:r>
      <w:r w:rsidR="00197D29">
        <w:t>39</w:t>
      </w:r>
      <w:r w:rsidR="00F33F1A" w:rsidRPr="00154B00">
        <w:t xml:space="preserve"> as baseline)</w:t>
      </w:r>
      <w:r w:rsidR="00AE1188">
        <w:t>:</w:t>
      </w:r>
    </w:p>
    <w:p w14:paraId="4091ACBE" w14:textId="774EA55E" w:rsidR="001B29A1" w:rsidRPr="00E531DB" w:rsidRDefault="00184505" w:rsidP="00E531DB">
      <w:pPr>
        <w:pStyle w:val="ListParagraph"/>
        <w:ind w:left="360"/>
      </w:pPr>
      <w:r>
        <w:t>The number of children receiving an aetiological diagnosis will increase from approximately 20% to 60%, reducing the number of children receiving investigation looking for a cause</w:t>
      </w:r>
      <w:r w:rsidR="005012FE">
        <w:t>.</w:t>
      </w:r>
      <w:r w:rsidR="00F03B96">
        <w:t xml:space="preserve"> </w:t>
      </w:r>
      <w:r w:rsidR="005012FE">
        <w:t xml:space="preserve">In our study of infants with congenital hearing impairment, 36% received a non-syndromic diagnosis and were discharged from further screening or surveillance and 9% received a syndromic diagnosis that required a tailored management and screening approach.  Importantly, recurrence risk was determined in all who families who received a diagnosis. The use of WEA in this cohort reduced the burden of the diagnostic odyssey for the 56% of families who received a diagnosis and decreased the utilisation of health care resources overall that would have been used for ongoing investigation in these families.  </w:t>
      </w:r>
    </w:p>
    <w:p w14:paraId="2F9CC400" w14:textId="77777777" w:rsidR="00DF0D47" w:rsidRPr="00881F93" w:rsidRDefault="005C3AE7" w:rsidP="00E531DB">
      <w:pPr>
        <w:pStyle w:val="Subtitle"/>
        <w:ind w:left="0"/>
      </w:pPr>
      <w:r>
        <w:t xml:space="preserve">PART 6d – </w:t>
      </w:r>
      <w:r w:rsidR="00DF0D47" w:rsidRPr="00881F93">
        <w:t xml:space="preserve">INFORMATION ABOUT THE </w:t>
      </w:r>
      <w:r w:rsidR="00CF5AD8" w:rsidRPr="00881F93">
        <w:t xml:space="preserve">CLINICAL </w:t>
      </w:r>
      <w:r w:rsidR="00DF0D47" w:rsidRPr="00881F93">
        <w:t>OUTCOME</w:t>
      </w:r>
    </w:p>
    <w:p w14:paraId="2C17F8B6" w14:textId="77777777" w:rsidR="004E3CC7" w:rsidRPr="001B29A1" w:rsidRDefault="004E3CC7" w:rsidP="00530204">
      <w:pPr>
        <w:pStyle w:val="Heading2"/>
      </w:pPr>
      <w:r w:rsidRPr="001B29A1">
        <w:t>Summarise the clinical claims for the proposed medical service against the appropriate comparator(s), in terms of consequences for health outcomes</w:t>
      </w:r>
      <w:r w:rsidR="00CF5AD8" w:rsidRPr="001B29A1">
        <w:t xml:space="preserve"> (</w:t>
      </w:r>
      <w:r w:rsidR="009F0C02" w:rsidRPr="001B29A1">
        <w:t>comparative benefits and harms)</w:t>
      </w:r>
      <w:r w:rsidR="00AE1188">
        <w:t>:</w:t>
      </w:r>
    </w:p>
    <w:p w14:paraId="4BAC1FB5" w14:textId="2AE4BD50" w:rsidR="008F081C" w:rsidRDefault="008F081C" w:rsidP="008F081C">
      <w:pPr>
        <w:ind w:left="426"/>
      </w:pPr>
      <w:r>
        <w:t xml:space="preserve">The clinical claims of provision of WEA for this patient population include provision of a molecular diagnosis, decreased time to diagnosis avoiding ongoing review and testing, potential for targeted surveillance when required; in only those individuals who remain undiagnosed or who receive a syndromic diagnosis and restoration of reproductive confidence and accurate recurrence risk advice. </w:t>
      </w:r>
    </w:p>
    <w:p w14:paraId="6CD4F59C" w14:textId="7D623FAE" w:rsidR="008F081C" w:rsidRPr="008F081C" w:rsidRDefault="008F081C" w:rsidP="008F081C">
      <w:pPr>
        <w:ind w:left="426"/>
      </w:pPr>
      <w:r>
        <w:t xml:space="preserve">Compared to standard of care, provision of WEA, regardless of it resulting in a diagnosis or not, is unlikely to cause harm. Targeted analysis for hearing loss genes would minimise the risk of unintended findings in WEA data. </w:t>
      </w:r>
    </w:p>
    <w:p w14:paraId="43C78084" w14:textId="77777777" w:rsidR="004E3CC7" w:rsidRPr="00154B00" w:rsidRDefault="004E3CC7" w:rsidP="00530204">
      <w:pPr>
        <w:pStyle w:val="Heading2"/>
      </w:pPr>
      <w:r w:rsidRPr="00154B00">
        <w:t xml:space="preserve">Please advise if the </w:t>
      </w:r>
      <w:r w:rsidR="00CF5AD8" w:rsidRPr="00092580">
        <w:t>overall</w:t>
      </w:r>
      <w:r w:rsidR="00CF5AD8">
        <w:t xml:space="preserve"> </w:t>
      </w:r>
      <w:r w:rsidRPr="00154B00">
        <w:t>clinical claim is for:</w:t>
      </w:r>
    </w:p>
    <w:p w14:paraId="579A1F9E" w14:textId="243F7E54" w:rsidR="001B29A1" w:rsidRPr="001B29A1" w:rsidRDefault="00F03B96" w:rsidP="001B29A1">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4D1F43">
        <w:rPr>
          <w:szCs w:val="20"/>
        </w:rPr>
      </w:r>
      <w:r w:rsidR="004D1F43">
        <w:rPr>
          <w:szCs w:val="20"/>
        </w:rPr>
        <w:fldChar w:fldCharType="separate"/>
      </w:r>
      <w:r>
        <w:rPr>
          <w:szCs w:val="20"/>
        </w:rPr>
        <w:fldChar w:fldCharType="end"/>
      </w:r>
      <w:r w:rsidR="001B29A1" w:rsidRPr="001B29A1">
        <w:rPr>
          <w:szCs w:val="20"/>
        </w:rPr>
        <w:t xml:space="preserve"> Superiority</w:t>
      </w:r>
      <w:r w:rsidR="001B29A1" w:rsidRPr="001B29A1">
        <w:rPr>
          <w:szCs w:val="20"/>
        </w:rPr>
        <w:tab/>
      </w:r>
    </w:p>
    <w:p w14:paraId="4EBBDE2B" w14:textId="77777777" w:rsidR="004E3CC7" w:rsidRPr="001B29A1" w:rsidRDefault="001B29A1" w:rsidP="001B29A1">
      <w:pPr>
        <w:spacing w:before="0" w:after="0"/>
        <w:ind w:left="426"/>
        <w:rPr>
          <w:szCs w:val="20"/>
        </w:rPr>
      </w:pPr>
      <w:r w:rsidRPr="001B29A1">
        <w:rPr>
          <w:szCs w:val="20"/>
        </w:rPr>
        <w:fldChar w:fldCharType="begin">
          <w:ffData>
            <w:name w:val="Check1"/>
            <w:enabled/>
            <w:calcOnExit w:val="0"/>
            <w:checkBox>
              <w:sizeAuto/>
              <w:default w:val="0"/>
            </w:checkBox>
          </w:ffData>
        </w:fldChar>
      </w:r>
      <w:r w:rsidRPr="001B29A1">
        <w:rPr>
          <w:szCs w:val="20"/>
        </w:rPr>
        <w:instrText xml:space="preserve"> FORMCHECKBOX </w:instrText>
      </w:r>
      <w:r w:rsidR="004D1F43">
        <w:rPr>
          <w:szCs w:val="20"/>
        </w:rPr>
      </w:r>
      <w:r w:rsidR="004D1F43">
        <w:rPr>
          <w:szCs w:val="20"/>
        </w:rPr>
        <w:fldChar w:fldCharType="separate"/>
      </w:r>
      <w:r w:rsidRPr="001B29A1">
        <w:rPr>
          <w:szCs w:val="20"/>
        </w:rPr>
        <w:fldChar w:fldCharType="end"/>
      </w:r>
      <w:r w:rsidRPr="001B29A1">
        <w:rPr>
          <w:szCs w:val="20"/>
        </w:rPr>
        <w:t xml:space="preserve"> Non-inferiority</w:t>
      </w:r>
      <w:r w:rsidRPr="001B29A1">
        <w:rPr>
          <w:szCs w:val="20"/>
        </w:rPr>
        <w:tab/>
      </w:r>
    </w:p>
    <w:p w14:paraId="1846F56F" w14:textId="77777777" w:rsidR="00B25D20" w:rsidRPr="00154B00" w:rsidRDefault="001B29A1" w:rsidP="00530204">
      <w:pPr>
        <w:pStyle w:val="Heading2"/>
      </w:pPr>
      <w:r>
        <w:t>Below, l</w:t>
      </w:r>
      <w:r w:rsidR="00B25D20">
        <w:t xml:space="preserve">ist </w:t>
      </w:r>
      <w:r w:rsidR="00B25D20" w:rsidRPr="00B25CFD">
        <w:t xml:space="preserve">the </w:t>
      </w:r>
      <w:r w:rsidR="00B25D20" w:rsidRPr="00092580">
        <w:t>key</w:t>
      </w:r>
      <w:r w:rsidR="00B25D20" w:rsidRPr="00B25CFD">
        <w:t xml:space="preserve"> health outcomes </w:t>
      </w:r>
      <w:r w:rsidR="00707D4D">
        <w:t xml:space="preserve">(major and minor – prioritising major key health outcomes first) </w:t>
      </w:r>
      <w:r w:rsidR="00B25D20" w:rsidRPr="00B25CFD">
        <w:t>that will ne</w:t>
      </w:r>
      <w:r w:rsidR="00AD37D4">
        <w:t xml:space="preserve">ed to be specifically measured </w:t>
      </w:r>
      <w:r w:rsidR="00B25D20" w:rsidRPr="00B25CFD">
        <w:t>in assessing the clinical claim of the proposed medica</w:t>
      </w:r>
      <w:r>
        <w:t>l service versus the comparator</w:t>
      </w:r>
      <w:r w:rsidR="00AD37D4">
        <w:t>:</w:t>
      </w:r>
    </w:p>
    <w:p w14:paraId="754266AF" w14:textId="32DE354F" w:rsidR="001B29A1" w:rsidRDefault="001B29A1" w:rsidP="001B29A1">
      <w:pPr>
        <w:pBdr>
          <w:top w:val="single" w:sz="4" w:space="1" w:color="auto"/>
          <w:left w:val="single" w:sz="4" w:space="4" w:color="auto"/>
          <w:bottom w:val="single" w:sz="4" w:space="1" w:color="auto"/>
          <w:right w:val="single" w:sz="4" w:space="4" w:color="auto"/>
        </w:pBdr>
        <w:rPr>
          <w:b/>
          <w:szCs w:val="20"/>
        </w:rPr>
      </w:pPr>
      <w:r w:rsidRPr="001B29A1">
        <w:rPr>
          <w:b/>
          <w:szCs w:val="20"/>
        </w:rPr>
        <w:t>Safety Outcomes</w:t>
      </w:r>
      <w:r>
        <w:rPr>
          <w:b/>
          <w:szCs w:val="20"/>
        </w:rPr>
        <w:t xml:space="preserve">: </w:t>
      </w:r>
      <w:r w:rsidR="008F081C">
        <w:t xml:space="preserve">Avoidance of adverse events related to investigation such as general anaesthetic for brain imaging in young infants. </w:t>
      </w:r>
    </w:p>
    <w:p w14:paraId="0F6A2CBB" w14:textId="77777777" w:rsidR="001B29A1" w:rsidRPr="001B29A1" w:rsidRDefault="001B29A1" w:rsidP="001B29A1">
      <w:pPr>
        <w:pBdr>
          <w:top w:val="single" w:sz="4" w:space="1" w:color="auto"/>
          <w:left w:val="single" w:sz="4" w:space="4" w:color="auto"/>
          <w:bottom w:val="single" w:sz="4" w:space="1" w:color="auto"/>
          <w:right w:val="single" w:sz="4" w:space="4" w:color="auto"/>
        </w:pBdr>
        <w:rPr>
          <w:b/>
          <w:szCs w:val="20"/>
        </w:rPr>
      </w:pPr>
    </w:p>
    <w:p w14:paraId="33D8A43F" w14:textId="77777777" w:rsidR="0096138A" w:rsidRDefault="001B29A1" w:rsidP="001B29A1">
      <w:pPr>
        <w:pBdr>
          <w:top w:val="single" w:sz="4" w:space="1" w:color="auto"/>
          <w:left w:val="single" w:sz="4" w:space="4" w:color="auto"/>
          <w:bottom w:val="single" w:sz="4" w:space="1" w:color="auto"/>
          <w:right w:val="single" w:sz="4" w:space="4" w:color="auto"/>
        </w:pBdr>
        <w:rPr>
          <w:b/>
          <w:szCs w:val="20"/>
        </w:rPr>
      </w:pPr>
      <w:r w:rsidRPr="001B29A1">
        <w:rPr>
          <w:b/>
          <w:szCs w:val="20"/>
        </w:rPr>
        <w:t>Clinical Effectiveness Outcomes</w:t>
      </w:r>
      <w:r>
        <w:rPr>
          <w:b/>
          <w:szCs w:val="20"/>
        </w:rPr>
        <w:t xml:space="preserve">: </w:t>
      </w:r>
    </w:p>
    <w:p w14:paraId="7742BDCC" w14:textId="11AFD48B" w:rsidR="00B25D20" w:rsidRDefault="0096138A" w:rsidP="001B29A1">
      <w:pPr>
        <w:pBdr>
          <w:top w:val="single" w:sz="4" w:space="1" w:color="auto"/>
          <w:left w:val="single" w:sz="4" w:space="4" w:color="auto"/>
          <w:bottom w:val="single" w:sz="4" w:space="1" w:color="auto"/>
          <w:right w:val="single" w:sz="4" w:space="4" w:color="auto"/>
        </w:pBdr>
      </w:pPr>
      <w:r>
        <w:rPr>
          <w:b/>
          <w:szCs w:val="20"/>
        </w:rPr>
        <w:t xml:space="preserve">Improved surveillance of known complications of a disorder or discharge from surveillance and investigation when appropriate. </w:t>
      </w:r>
    </w:p>
    <w:p w14:paraId="415C3FCD" w14:textId="0FB4F3FF" w:rsidR="0096138A" w:rsidRDefault="0096138A" w:rsidP="001B29A1">
      <w:pPr>
        <w:pBdr>
          <w:top w:val="single" w:sz="4" w:space="1" w:color="auto"/>
          <w:left w:val="single" w:sz="4" w:space="4" w:color="auto"/>
          <w:bottom w:val="single" w:sz="4" w:space="1" w:color="auto"/>
          <w:right w:val="single" w:sz="4" w:space="4" w:color="auto"/>
        </w:pBdr>
      </w:pPr>
      <w:r>
        <w:t xml:space="preserve">Restoration of reproductive confidence </w:t>
      </w:r>
    </w:p>
    <w:p w14:paraId="61445DE9" w14:textId="4359FD69" w:rsidR="0096138A" w:rsidRPr="001B29A1" w:rsidRDefault="0096138A" w:rsidP="001B29A1">
      <w:pPr>
        <w:pBdr>
          <w:top w:val="single" w:sz="4" w:space="1" w:color="auto"/>
          <w:left w:val="single" w:sz="4" w:space="4" w:color="auto"/>
          <w:bottom w:val="single" w:sz="4" w:space="1" w:color="auto"/>
          <w:right w:val="single" w:sz="4" w:space="4" w:color="auto"/>
        </w:pBdr>
        <w:rPr>
          <w:szCs w:val="20"/>
        </w:rPr>
      </w:pPr>
      <w:r>
        <w:t>Personal utility for families</w:t>
      </w:r>
    </w:p>
    <w:p w14:paraId="56784055" w14:textId="77777777" w:rsidR="001B29A1" w:rsidRPr="00154B00" w:rsidRDefault="001B29A1" w:rsidP="001B29A1">
      <w:pPr>
        <w:pBdr>
          <w:top w:val="single" w:sz="4" w:space="1" w:color="auto"/>
          <w:left w:val="single" w:sz="4" w:space="4" w:color="auto"/>
          <w:bottom w:val="single" w:sz="4" w:space="1" w:color="auto"/>
          <w:right w:val="single" w:sz="4" w:space="4" w:color="auto"/>
        </w:pBdr>
        <w:rPr>
          <w:b/>
          <w:szCs w:val="20"/>
        </w:rPr>
      </w:pPr>
    </w:p>
    <w:p w14:paraId="5E48D538" w14:textId="77777777" w:rsidR="00C776B1" w:rsidRPr="00C776B1" w:rsidRDefault="003433D1" w:rsidP="0056015F">
      <w:pPr>
        <w:pStyle w:val="Heading1"/>
      </w:pPr>
      <w:r>
        <w:rPr>
          <w:b/>
          <w:sz w:val="32"/>
        </w:rPr>
        <w:br w:type="page"/>
      </w:r>
      <w:r w:rsidR="005C3AE7">
        <w:lastRenderedPageBreak/>
        <w:t>PART 7</w:t>
      </w:r>
      <w:r w:rsidR="00F93784">
        <w:t xml:space="preserve"> – </w:t>
      </w:r>
      <w:r w:rsidR="006C74B1" w:rsidRPr="00C776B1">
        <w:t xml:space="preserve">INFORMATION ABOUT </w:t>
      </w:r>
      <w:r w:rsidR="0018630F" w:rsidRPr="00C776B1">
        <w:t xml:space="preserve">ESTIMATED </w:t>
      </w:r>
      <w:r w:rsidR="00974D50" w:rsidRPr="00C776B1">
        <w:t>UTILISATION</w:t>
      </w:r>
    </w:p>
    <w:p w14:paraId="2B28A51B" w14:textId="77777777" w:rsidR="006C74B1" w:rsidRPr="00092580" w:rsidRDefault="00BE0FDE" w:rsidP="001B5169">
      <w:pPr>
        <w:pStyle w:val="Heading2"/>
      </w:pPr>
      <w:r w:rsidRPr="00092580">
        <w:t>Estimate</w:t>
      </w:r>
      <w:r w:rsidR="00974D50" w:rsidRPr="00092580">
        <w:t xml:space="preserve"> the prevalence</w:t>
      </w:r>
      <w:r w:rsidR="00B771AD" w:rsidRPr="00092580">
        <w:t xml:space="preserve"> and/or incidence</w:t>
      </w:r>
      <w:r w:rsidR="00974D50" w:rsidRPr="00092580">
        <w:t xml:space="preserve"> of </w:t>
      </w:r>
      <w:r w:rsidR="00AE1188">
        <w:t>the proposed population:</w:t>
      </w:r>
    </w:p>
    <w:p w14:paraId="569ECF89" w14:textId="48BE826F" w:rsidR="0094464A" w:rsidRDefault="0096138A" w:rsidP="00AE1188">
      <w:pPr>
        <w:ind w:left="426"/>
      </w:pPr>
      <w:r>
        <w:t>Based on numbers provided by each newborn hearing screening service we would expect approximately 250 infants to be eligible</w:t>
      </w:r>
      <w:r w:rsidR="000B0229">
        <w:t xml:space="preserve"> </w:t>
      </w:r>
      <w:r>
        <w:t xml:space="preserve">for testing Australia wide each year. </w:t>
      </w:r>
      <w:r w:rsidR="000B0229">
        <w:t xml:space="preserve">An additional 50 children who develop childhood onset hearing impairment outside of the newborn period would also be eligible for testing. </w:t>
      </w:r>
      <w:r w:rsidR="00D455FD">
        <w:t xml:space="preserve">Based on our cohort study in which approximately 60% of families sought genetic investigation we estimate an overall number of 180-200 patients per year. </w:t>
      </w:r>
    </w:p>
    <w:p w14:paraId="1F799E2A" w14:textId="1FEF199A" w:rsidR="0096138A" w:rsidRDefault="000B0229" w:rsidP="00AE1188">
      <w:pPr>
        <w:ind w:left="426"/>
      </w:pPr>
      <w:r>
        <w:t xml:space="preserve">In addition, a backlog of patients will be eligible for testing. </w:t>
      </w:r>
      <w:r w:rsidR="00D455FD">
        <w:t>The maximum proposed population is approximately 3000</w:t>
      </w:r>
      <w:r w:rsidR="00A252CC">
        <w:t xml:space="preserve">. </w:t>
      </w:r>
    </w:p>
    <w:p w14:paraId="19F4D55B" w14:textId="1F2B0AF3" w:rsidR="0096138A" w:rsidRPr="00E531DB" w:rsidRDefault="00D85F21" w:rsidP="00E531DB">
      <w:pPr>
        <w:ind w:left="426"/>
      </w:pPr>
      <w:r>
        <w:t xml:space="preserve">On a population basis the incidence of congenital and childhood deafness that would meet criteria for eligibility for testing is 1 in 1000 live births. </w:t>
      </w:r>
    </w:p>
    <w:p w14:paraId="258CA34C" w14:textId="77777777" w:rsidR="00382407" w:rsidRPr="00154B00" w:rsidRDefault="00382407" w:rsidP="00530204">
      <w:pPr>
        <w:pStyle w:val="Heading2"/>
      </w:pPr>
      <w:r w:rsidRPr="00154B00">
        <w:t xml:space="preserve">Estimate the </w:t>
      </w:r>
      <w:r w:rsidRPr="00AE1188">
        <w:t>number</w:t>
      </w:r>
      <w:r w:rsidRPr="00154B00">
        <w:t xml:space="preserve"> of times the proposed medical service</w:t>
      </w:r>
      <w:r w:rsidR="005A58BA">
        <w:t>(s)</w:t>
      </w:r>
      <w:r w:rsidRPr="00154B00">
        <w:t xml:space="preserve"> would be </w:t>
      </w:r>
      <w:r w:rsidR="00AE1188">
        <w:t>delivered to a patient per year:</w:t>
      </w:r>
    </w:p>
    <w:p w14:paraId="1F615D00" w14:textId="3C417290" w:rsidR="00382407" w:rsidRDefault="0096138A" w:rsidP="00AE1188">
      <w:pPr>
        <w:ind w:left="426"/>
      </w:pPr>
      <w:r>
        <w:t xml:space="preserve">WEA would be a </w:t>
      </w:r>
      <w:proofErr w:type="gramStart"/>
      <w:r>
        <w:t>one off</w:t>
      </w:r>
      <w:proofErr w:type="gramEnd"/>
      <w:r>
        <w:t xml:space="preserve"> test delivered per patient. </w:t>
      </w:r>
    </w:p>
    <w:p w14:paraId="0C5BFB78" w14:textId="7E677F28" w:rsidR="00B63184" w:rsidRDefault="0096138A" w:rsidP="00E531DB">
      <w:pPr>
        <w:pStyle w:val="Default"/>
        <w:ind w:left="426"/>
        <w:rPr>
          <w:sz w:val="20"/>
          <w:szCs w:val="20"/>
        </w:rPr>
      </w:pPr>
      <w:r>
        <w:rPr>
          <w:sz w:val="20"/>
          <w:szCs w:val="20"/>
        </w:rPr>
        <w:t xml:space="preserve">The applicants suggest a second service related to this diagnostic test, which would include the periodic reanalysis of the patients sequencing data, where clinically indicated. The advantage of this use of technology able to cover the whole exome in comparison to panel based testing for genes is the ability to reanalyse the data, without having to repeat the sequencing, when further clinical information about either the patient or new disease genes becomes available. </w:t>
      </w:r>
    </w:p>
    <w:p w14:paraId="23D1B67E" w14:textId="514FD33C" w:rsidR="00B63184" w:rsidRDefault="0096138A" w:rsidP="00E531DB">
      <w:pPr>
        <w:pStyle w:val="Default"/>
        <w:spacing w:before="120"/>
        <w:ind w:left="425"/>
        <w:rPr>
          <w:sz w:val="20"/>
          <w:szCs w:val="20"/>
        </w:rPr>
      </w:pPr>
      <w:r>
        <w:rPr>
          <w:sz w:val="20"/>
          <w:szCs w:val="20"/>
        </w:rPr>
        <w:t xml:space="preserve">The re-analysis of the sequencing data would only be considered if clinicians become aware of new genes, or if changes in the child’s condition suggest other possible candidate genes. Re-analysis would be considered in conjunction with clinical review, which would be every 1-2years, however it would not be an automatically triggered time-based re-analysis. </w:t>
      </w:r>
    </w:p>
    <w:p w14:paraId="2ED91BCF" w14:textId="5365D1C0" w:rsidR="0096138A" w:rsidRPr="00154B00" w:rsidRDefault="0096138A" w:rsidP="0096138A">
      <w:pPr>
        <w:ind w:left="426"/>
        <w:rPr>
          <w:szCs w:val="20"/>
        </w:rPr>
      </w:pPr>
      <w:r>
        <w:rPr>
          <w:szCs w:val="20"/>
        </w:rPr>
        <w:t>Cascade testing would also be a one-off single gene investigation for first degree relatives of the affected patient and where clinically indicated.</w:t>
      </w:r>
    </w:p>
    <w:p w14:paraId="753979ED" w14:textId="77777777" w:rsidR="00382407" w:rsidRPr="00154B00" w:rsidRDefault="00382407" w:rsidP="00530204">
      <w:pPr>
        <w:pStyle w:val="Heading2"/>
      </w:pPr>
      <w:r w:rsidRPr="00154B00">
        <w:t>How many years would the proposed medical service</w:t>
      </w:r>
      <w:r w:rsidR="005A58BA">
        <w:t>(s)</w:t>
      </w:r>
      <w:r w:rsidRPr="00154B00">
        <w:t xml:space="preserve"> be required for the patient?</w:t>
      </w:r>
    </w:p>
    <w:p w14:paraId="39076A64" w14:textId="35D4C4F9" w:rsidR="00382407" w:rsidRPr="00154B00" w:rsidRDefault="00B63184" w:rsidP="00AE1188">
      <w:pPr>
        <w:ind w:left="426"/>
        <w:rPr>
          <w:b/>
          <w:szCs w:val="20"/>
        </w:rPr>
      </w:pPr>
      <w:r>
        <w:t>N/A</w:t>
      </w:r>
    </w:p>
    <w:p w14:paraId="6C894A61" w14:textId="77777777" w:rsidR="002A6753" w:rsidRPr="00154B00" w:rsidRDefault="000E47E7" w:rsidP="00530204">
      <w:pPr>
        <w:pStyle w:val="Heading2"/>
        <w:rPr>
          <w:b w:val="0"/>
        </w:rPr>
      </w:pPr>
      <w:r w:rsidRPr="00154B00">
        <w:t xml:space="preserve">Estimate </w:t>
      </w:r>
      <w:r w:rsidR="002A6753" w:rsidRPr="00154B00">
        <w:t xml:space="preserve">the projected number of patients who will utilise the proposed </w:t>
      </w:r>
      <w:r w:rsidRPr="00154B00">
        <w:t xml:space="preserve">medical </w:t>
      </w:r>
      <w:r w:rsidR="002A6753" w:rsidRPr="00154B00">
        <w:t>ser</w:t>
      </w:r>
      <w:r w:rsidR="00AE1188">
        <w:t>vice(s) for the first full year:</w:t>
      </w:r>
    </w:p>
    <w:p w14:paraId="69F75316" w14:textId="549D2933" w:rsidR="00AE1188" w:rsidRPr="00154B00" w:rsidRDefault="00A252CC" w:rsidP="00AE1188">
      <w:pPr>
        <w:ind w:left="426"/>
        <w:rPr>
          <w:szCs w:val="20"/>
        </w:rPr>
      </w:pPr>
      <w:r>
        <w:t>It is suggested that 1/4 of the backlog of currently eligible patients using clinical genetic services could be seen and offered WEA in the first year, along with the newly presenting population for that year. Hence the projected number of patients utilising the service in the first year would be approximately 930</w:t>
      </w:r>
      <w:r w:rsidR="00D85F21">
        <w:t>.</w:t>
      </w:r>
    </w:p>
    <w:p w14:paraId="503B69E7" w14:textId="77777777" w:rsidR="00974D50" w:rsidRPr="00154B00" w:rsidRDefault="005A58BA" w:rsidP="00530204">
      <w:pPr>
        <w:pStyle w:val="Heading2"/>
        <w:rPr>
          <w:b w:val="0"/>
        </w:rPr>
      </w:pPr>
      <w:r>
        <w:t>Estimate the anticipated upt</w:t>
      </w:r>
      <w:r w:rsidR="000E47E7" w:rsidRPr="00154B00">
        <w:t>a</w:t>
      </w:r>
      <w:r w:rsidR="001B171D" w:rsidRPr="00154B00">
        <w:t>k</w:t>
      </w:r>
      <w:r w:rsidR="000E47E7" w:rsidRPr="00154B00">
        <w:t>e of the proposed medical service over the next three years</w:t>
      </w:r>
      <w:r w:rsidR="001B171D" w:rsidRPr="00154B00">
        <w:t xml:space="preserve"> factoring in any constraints in the health system in meeting the needs of the proposed population (suc</w:t>
      </w:r>
      <w:r>
        <w:t>h as supply and demand factors)</w:t>
      </w:r>
      <w:r w:rsidR="001B171D" w:rsidRPr="00154B00">
        <w:t xml:space="preserve"> as well as </w:t>
      </w:r>
      <w:r w:rsidR="009C03FB" w:rsidRPr="00154B00">
        <w:t>provide commentary on</w:t>
      </w:r>
      <w:r w:rsidR="001B171D" w:rsidRPr="00154B00">
        <w:t xml:space="preserve"> risk of ‘leakage’ to populations not targeted by the service</w:t>
      </w:r>
      <w:r w:rsidR="00AE1188">
        <w:t>:</w:t>
      </w:r>
    </w:p>
    <w:p w14:paraId="125AA6E0" w14:textId="36621938" w:rsidR="001B171D" w:rsidRDefault="00B63184" w:rsidP="00AE1188">
      <w:pPr>
        <w:ind w:left="426"/>
      </w:pPr>
      <w:r>
        <w:t xml:space="preserve">In the first three years of WEA being available for this population all new patients and the majority of those eligible as backlog would be seen by a clinician eligible to order testing. </w:t>
      </w:r>
      <w:r w:rsidR="00A252CC">
        <w:t xml:space="preserve">This would a total proposed number of approximately 3500 patients nationally. </w:t>
      </w:r>
    </w:p>
    <w:p w14:paraId="3AC09EB1" w14:textId="0B6EED5D" w:rsidR="0094464A" w:rsidRPr="00154B00" w:rsidRDefault="00B63184" w:rsidP="00AE1188">
      <w:pPr>
        <w:ind w:left="426"/>
        <w:rPr>
          <w:szCs w:val="20"/>
        </w:rPr>
      </w:pPr>
      <w:r>
        <w:t>Risk of leakage would be considered nil due to targeted testing of a well</w:t>
      </w:r>
      <w:r w:rsidR="00D85F21">
        <w:t>-</w:t>
      </w:r>
      <w:r>
        <w:t xml:space="preserve">defined population, restricted ordering to paediatricians with appropriate training or clinical geneticists. </w:t>
      </w:r>
    </w:p>
    <w:p w14:paraId="0A94B270" w14:textId="77777777" w:rsidR="003433D1" w:rsidRDefault="003433D1">
      <w:pPr>
        <w:rPr>
          <w:b/>
          <w:sz w:val="32"/>
          <w:szCs w:val="32"/>
        </w:rPr>
      </w:pPr>
      <w:r>
        <w:rPr>
          <w:b/>
          <w:sz w:val="32"/>
          <w:szCs w:val="32"/>
        </w:rPr>
        <w:br w:type="page"/>
      </w:r>
    </w:p>
    <w:p w14:paraId="058E26C4" w14:textId="77777777" w:rsidR="00951933" w:rsidRPr="00C776B1" w:rsidRDefault="001B5169" w:rsidP="0056015F">
      <w:pPr>
        <w:pStyle w:val="Heading1"/>
      </w:pPr>
      <w:r>
        <w:lastRenderedPageBreak/>
        <w:t>PART 8</w:t>
      </w:r>
      <w:r w:rsidR="00F93784">
        <w:t xml:space="preserve"> – </w:t>
      </w:r>
      <w:r w:rsidR="005A58BA">
        <w:t>COST</w:t>
      </w:r>
      <w:r w:rsidR="00951933" w:rsidRPr="00C776B1">
        <w:t xml:space="preserve"> INFORMATION</w:t>
      </w:r>
    </w:p>
    <w:p w14:paraId="3971E9E5" w14:textId="77777777" w:rsidR="006A649A" w:rsidRPr="00AE1188" w:rsidRDefault="006A649A" w:rsidP="001B5169">
      <w:pPr>
        <w:pStyle w:val="Heading2"/>
      </w:pPr>
      <w:r w:rsidRPr="00AE1188">
        <w:t>Indicate the likely</w:t>
      </w:r>
      <w:r w:rsidR="005A58BA" w:rsidRPr="00AE1188">
        <w:t xml:space="preserve"> </w:t>
      </w:r>
      <w:r w:rsidRPr="00AE1188">
        <w:t xml:space="preserve">cost of </w:t>
      </w:r>
      <w:r w:rsidR="005A58BA" w:rsidRPr="00AE1188">
        <w:t xml:space="preserve">providing the </w:t>
      </w:r>
      <w:r w:rsidRPr="00AE1188">
        <w:t>proposed medical service.</w:t>
      </w:r>
      <w:r w:rsidR="005A5D30" w:rsidRPr="00AE1188">
        <w:t xml:space="preserve"> Where possible</w:t>
      </w:r>
      <w:r w:rsidR="00802553" w:rsidRPr="00AE1188">
        <w:t>,</w:t>
      </w:r>
      <w:r w:rsidR="005A5D30" w:rsidRPr="00AE1188">
        <w:t xml:space="preserve"> please pro</w:t>
      </w:r>
      <w:r w:rsidR="00AE1188">
        <w:t>vide overall cost and breakdown:</w:t>
      </w:r>
    </w:p>
    <w:p w14:paraId="6226D4F9" w14:textId="53E76557" w:rsidR="00951933" w:rsidRPr="00224FCC" w:rsidRDefault="00B63184" w:rsidP="00AE1188">
      <w:pPr>
        <w:ind w:left="426"/>
        <w:rPr>
          <w:b/>
          <w:bCs/>
        </w:rPr>
      </w:pPr>
      <w:r w:rsidRPr="00224FCC">
        <w:rPr>
          <w:b/>
          <w:bCs/>
        </w:rPr>
        <w:t>Victorian Clinical Genetics Services</w:t>
      </w:r>
    </w:p>
    <w:p w14:paraId="6C416C56" w14:textId="57FB7DC1" w:rsidR="00B63184" w:rsidRDefault="00224FCC" w:rsidP="00AE1188">
      <w:pPr>
        <w:ind w:left="426"/>
      </w:pPr>
      <w:r>
        <w:t>Overall cost of WEA from receipt of patient sample to clinical report produced is $2</w:t>
      </w:r>
      <w:r w:rsidR="00D85F21">
        <w:t>195</w:t>
      </w:r>
      <w:r>
        <w:t xml:space="preserve"> (+cascade sequencing if required for variant interpretation) </w:t>
      </w:r>
      <w:r w:rsidR="00B63184">
        <w:t>for primary WEA analysis for deafness including common copy number variants</w:t>
      </w:r>
      <w:r w:rsidR="00D85F21">
        <w:t>.</w:t>
      </w:r>
    </w:p>
    <w:p w14:paraId="114E34F8" w14:textId="26643BCF" w:rsidR="00B63184" w:rsidRDefault="00B63184" w:rsidP="00AE1188">
      <w:pPr>
        <w:ind w:left="426"/>
      </w:pPr>
      <w:r>
        <w:t xml:space="preserve">Cascade testing of single variant: </w:t>
      </w:r>
      <w:r w:rsidR="00D85F21">
        <w:t>$</w:t>
      </w:r>
      <w:r w:rsidR="00574263">
        <w:t>400</w:t>
      </w:r>
      <w:r w:rsidR="00D85F21">
        <w:t xml:space="preserve"> per variant</w:t>
      </w:r>
    </w:p>
    <w:p w14:paraId="79C7EB8E" w14:textId="580E0A74" w:rsidR="00556675" w:rsidRDefault="00B63184" w:rsidP="00E531DB">
      <w:pPr>
        <w:ind w:left="426"/>
      </w:pPr>
      <w:r>
        <w:t>Reanalysis</w:t>
      </w:r>
      <w:r w:rsidR="00224FCC">
        <w:t xml:space="preserve"> of whole exome data: </w:t>
      </w:r>
      <w:r w:rsidR="00D85F21">
        <w:t>$425</w:t>
      </w:r>
    </w:p>
    <w:p w14:paraId="5931EF81" w14:textId="2DB3EE9E" w:rsidR="00B63184" w:rsidRDefault="00556675" w:rsidP="00E531DB">
      <w:pPr>
        <w:ind w:left="426"/>
      </w:pPr>
      <w:r>
        <w:t xml:space="preserve">Currently no other Australian laboratories offer </w:t>
      </w:r>
      <w:r w:rsidR="5138F268" w:rsidRPr="009163D4">
        <w:rPr>
          <w:b/>
          <w:bCs/>
        </w:rPr>
        <w:t xml:space="preserve">specific </w:t>
      </w:r>
      <w:r w:rsidR="5138F268">
        <w:t>analysis for</w:t>
      </w:r>
      <w:r>
        <w:t xml:space="preserve"> this indication. </w:t>
      </w:r>
      <w:r w:rsidR="6C70B40C">
        <w:t>Several laboratories (Q</w:t>
      </w:r>
      <w:r w:rsidR="00B67EDB">
        <w:t>ueensland Health</w:t>
      </w:r>
      <w:r w:rsidR="6C70B40C">
        <w:t>, Canberra</w:t>
      </w:r>
      <w:r w:rsidR="00B67EDB">
        <w:t xml:space="preserve"> Clinical Genomics</w:t>
      </w:r>
      <w:r w:rsidR="6C70B40C">
        <w:t xml:space="preserve">, </w:t>
      </w:r>
      <w:r w:rsidR="00B67EDB">
        <w:t xml:space="preserve">SEALS </w:t>
      </w:r>
      <w:r w:rsidR="6C70B40C">
        <w:t xml:space="preserve">NSW) offer </w:t>
      </w:r>
      <w:r w:rsidR="0F2A30FA">
        <w:t>assessment of clinician provided gene list with or without copy number analysis.</w:t>
      </w:r>
      <w:r w:rsidR="6C70B40C">
        <w:t xml:space="preserve"> </w:t>
      </w:r>
      <w:r>
        <w:t>It is likely other laboratories will set up this service</w:t>
      </w:r>
      <w:r w:rsidR="00B67EDB">
        <w:t xml:space="preserve"> and/or improve capability for accredited copy number variant detection,</w:t>
      </w:r>
      <w:r>
        <w:t xml:space="preserve"> if there is demand for it. </w:t>
      </w:r>
    </w:p>
    <w:p w14:paraId="06C54C0C" w14:textId="77777777" w:rsidR="00951933" w:rsidRPr="00154B00" w:rsidRDefault="00951933" w:rsidP="00530204">
      <w:pPr>
        <w:pStyle w:val="Heading2"/>
      </w:pPr>
      <w:r w:rsidRPr="00154B00">
        <w:t xml:space="preserve">Specify how </w:t>
      </w:r>
      <w:r w:rsidRPr="00AE1188">
        <w:t>long</w:t>
      </w:r>
      <w:r w:rsidRPr="00154B00">
        <w:t xml:space="preserve"> the proposed medical ser</w:t>
      </w:r>
      <w:r w:rsidR="00AE1188">
        <w:t>vice typically takes to perform:</w:t>
      </w:r>
    </w:p>
    <w:p w14:paraId="5A0317F0" w14:textId="6AD5E69B" w:rsidR="00951933" w:rsidRDefault="00B63184" w:rsidP="00AE1188">
      <w:pPr>
        <w:ind w:left="426"/>
        <w:rPr>
          <w:b/>
          <w:szCs w:val="20"/>
        </w:rPr>
      </w:pPr>
      <w:r>
        <w:t xml:space="preserve">The turnaround times for WEA are approximately 8 weeks. Delivery of the results is recommended to be by a genetic counsellor or clinical geneticist and appointments could require 30 minutes to 1 hour. </w:t>
      </w:r>
    </w:p>
    <w:p w14:paraId="43BA3924" w14:textId="77777777" w:rsidR="00707D4D" w:rsidRDefault="0054192F" w:rsidP="00530204">
      <w:pPr>
        <w:pStyle w:val="Heading2"/>
      </w:pPr>
      <w:r>
        <w:t xml:space="preserve">If public funding is sought through the MBS, please draft a proposed MBS item descriptor to define the population and medical </w:t>
      </w:r>
      <w:r w:rsidRPr="00AE1188">
        <w:t>service</w:t>
      </w:r>
      <w:r>
        <w:t xml:space="preserve"> usage characteristics that would define eligibility for MBS funding.</w:t>
      </w:r>
    </w:p>
    <w:p w14:paraId="5A2EE395" w14:textId="1B77744D" w:rsidR="00AE1188" w:rsidRPr="00AE1188" w:rsidRDefault="00AE1188" w:rsidP="00AE1188">
      <w:pPr>
        <w:pBdr>
          <w:top w:val="single" w:sz="4" w:space="1" w:color="auto"/>
          <w:left w:val="single" w:sz="4" w:space="4" w:color="auto"/>
          <w:bottom w:val="single" w:sz="4" w:space="1" w:color="auto"/>
          <w:right w:val="single" w:sz="4" w:space="4" w:color="auto"/>
          <w:between w:val="single" w:sz="4" w:space="1" w:color="auto"/>
          <w:bar w:val="single" w:sz="4" w:color="auto"/>
        </w:pBdr>
        <w:rPr>
          <w:szCs w:val="20"/>
        </w:rPr>
      </w:pPr>
      <w:r>
        <w:rPr>
          <w:szCs w:val="20"/>
        </w:rPr>
        <w:t xml:space="preserve">Category </w:t>
      </w:r>
      <w:r w:rsidR="00B63184">
        <w:t>2 _ Diagnostic Procedures and Investigations</w:t>
      </w:r>
      <w:r w:rsidRPr="00AE1188">
        <w:rPr>
          <w:szCs w:val="20"/>
        </w:rPr>
        <w:t xml:space="preserve"> </w:t>
      </w:r>
    </w:p>
    <w:p w14:paraId="7A256338" w14:textId="50B55D8D" w:rsidR="00AE1188" w:rsidRDefault="00AE1188" w:rsidP="00AE1188">
      <w:pPr>
        <w:pBdr>
          <w:top w:val="single" w:sz="4" w:space="1" w:color="auto"/>
          <w:left w:val="single" w:sz="4" w:space="4" w:color="auto"/>
          <w:bottom w:val="single" w:sz="4" w:space="1" w:color="auto"/>
          <w:right w:val="single" w:sz="4" w:space="4" w:color="auto"/>
        </w:pBdr>
        <w:rPr>
          <w:i/>
          <w:iCs/>
        </w:rPr>
      </w:pPr>
      <w:r w:rsidRPr="00AE1188">
        <w:rPr>
          <w:szCs w:val="20"/>
        </w:rPr>
        <w:t>Proposed item descriptor</w:t>
      </w:r>
      <w:r>
        <w:rPr>
          <w:szCs w:val="20"/>
        </w:rPr>
        <w:t xml:space="preserve">: </w:t>
      </w:r>
    </w:p>
    <w:p w14:paraId="199B9805" w14:textId="5C20D6FE" w:rsidR="00422CB9" w:rsidRDefault="00422CB9" w:rsidP="00AE1188">
      <w:pPr>
        <w:pBdr>
          <w:top w:val="single" w:sz="4" w:space="1" w:color="auto"/>
          <w:left w:val="single" w:sz="4" w:space="4" w:color="auto"/>
          <w:bottom w:val="single" w:sz="4" w:space="1" w:color="auto"/>
          <w:right w:val="single" w:sz="4" w:space="4" w:color="auto"/>
        </w:pBdr>
        <w:rPr>
          <w:i/>
          <w:iCs/>
        </w:rPr>
      </w:pPr>
      <w:r>
        <w:rPr>
          <w:i/>
          <w:iCs/>
        </w:rPr>
        <w:t xml:space="preserve">Affected individuals: </w:t>
      </w:r>
    </w:p>
    <w:p w14:paraId="755A5469" w14:textId="77777777" w:rsidR="00A44081" w:rsidRDefault="00A44081" w:rsidP="00A44081">
      <w:pPr>
        <w:pBdr>
          <w:top w:val="single" w:sz="4" w:space="1" w:color="auto"/>
          <w:left w:val="single" w:sz="4" w:space="4" w:color="auto"/>
          <w:bottom w:val="single" w:sz="4" w:space="1" w:color="auto"/>
          <w:right w:val="single" w:sz="4" w:space="4" w:color="auto"/>
        </w:pBdr>
      </w:pPr>
      <w:r>
        <w:t xml:space="preserve">Characterisation, via whole exome or genome sequencing and analysis, of germline variants known to cause childhood deafness, if: </w:t>
      </w:r>
    </w:p>
    <w:p w14:paraId="53FE6A3E" w14:textId="77777777" w:rsidR="00A44081" w:rsidRDefault="00A44081" w:rsidP="00A44081">
      <w:pPr>
        <w:pBdr>
          <w:top w:val="single" w:sz="4" w:space="1" w:color="auto"/>
          <w:left w:val="single" w:sz="4" w:space="4" w:color="auto"/>
          <w:bottom w:val="single" w:sz="4" w:space="1" w:color="auto"/>
          <w:right w:val="single" w:sz="4" w:space="4" w:color="auto"/>
        </w:pBdr>
      </w:pPr>
      <w:r>
        <w:t xml:space="preserve">The characterisation is: </w:t>
      </w:r>
    </w:p>
    <w:p w14:paraId="72A57185" w14:textId="77777777" w:rsidR="00A44081" w:rsidRDefault="00A44081" w:rsidP="00A44081">
      <w:pPr>
        <w:pBdr>
          <w:top w:val="single" w:sz="4" w:space="1" w:color="auto"/>
          <w:left w:val="single" w:sz="4" w:space="4" w:color="auto"/>
          <w:bottom w:val="single" w:sz="4" w:space="1" w:color="auto"/>
          <w:right w:val="single" w:sz="4" w:space="4" w:color="auto"/>
        </w:pBdr>
      </w:pPr>
      <w:r>
        <w:t xml:space="preserve">Requested by a consultant physician and </w:t>
      </w:r>
    </w:p>
    <w:p w14:paraId="13F4730A" w14:textId="26D4B4BE" w:rsidR="00A44081" w:rsidRDefault="00A44081" w:rsidP="00A44081">
      <w:pPr>
        <w:pBdr>
          <w:top w:val="single" w:sz="4" w:space="1" w:color="auto"/>
          <w:left w:val="single" w:sz="4" w:space="4" w:color="auto"/>
          <w:bottom w:val="single" w:sz="4" w:space="1" w:color="auto"/>
          <w:right w:val="single" w:sz="4" w:space="4" w:color="auto"/>
        </w:pBdr>
        <w:rPr>
          <w:rFonts w:cstheme="minorHAnsi"/>
          <w:color w:val="222222"/>
          <w:szCs w:val="20"/>
          <w:shd w:val="clear" w:color="auto" w:fill="FFFFFF"/>
        </w:rPr>
      </w:pPr>
      <w:r>
        <w:t>The patient is aged &lt;18years</w:t>
      </w:r>
      <w:r w:rsidR="00891027" w:rsidRPr="00A44081">
        <w:rPr>
          <w:rFonts w:cstheme="minorHAnsi"/>
          <w:color w:val="222222"/>
          <w:szCs w:val="20"/>
          <w:shd w:val="clear" w:color="auto" w:fill="FFFFFF"/>
        </w:rPr>
        <w:t xml:space="preserve"> </w:t>
      </w:r>
      <w:r>
        <w:rPr>
          <w:rFonts w:cstheme="minorHAnsi"/>
          <w:color w:val="222222"/>
          <w:szCs w:val="20"/>
          <w:shd w:val="clear" w:color="auto" w:fill="FFFFFF"/>
        </w:rPr>
        <w:t>and</w:t>
      </w:r>
    </w:p>
    <w:p w14:paraId="411321AF" w14:textId="77777777" w:rsidR="00A44081" w:rsidRDefault="00A44081" w:rsidP="00A44081">
      <w:pPr>
        <w:pBdr>
          <w:top w:val="single" w:sz="4" w:space="1" w:color="auto"/>
          <w:left w:val="single" w:sz="4" w:space="4" w:color="auto"/>
          <w:bottom w:val="single" w:sz="4" w:space="1" w:color="auto"/>
          <w:right w:val="single" w:sz="4" w:space="4" w:color="auto"/>
        </w:pBdr>
        <w:rPr>
          <w:rFonts w:cstheme="minorHAnsi"/>
          <w:color w:val="222222"/>
          <w:szCs w:val="20"/>
          <w:shd w:val="clear" w:color="auto" w:fill="FFFFFF"/>
        </w:rPr>
      </w:pPr>
      <w:r>
        <w:rPr>
          <w:rFonts w:cstheme="minorHAnsi"/>
          <w:color w:val="222222"/>
          <w:szCs w:val="20"/>
          <w:shd w:val="clear" w:color="auto" w:fill="FFFFFF"/>
        </w:rPr>
        <w:t xml:space="preserve">Has </w:t>
      </w:r>
      <w:r w:rsidR="00891027" w:rsidRPr="00A44081">
        <w:rPr>
          <w:rFonts w:cstheme="minorHAnsi"/>
          <w:color w:val="222222"/>
          <w:szCs w:val="20"/>
          <w:shd w:val="clear" w:color="auto" w:fill="FFFFFF"/>
        </w:rPr>
        <w:t>congenital or childhood onset hearing loss that is bilateral with &gt;40dB in the worst ear over three frequencies, classified as permanent and sensorineural, auditory neuropathy or mixed</w:t>
      </w:r>
      <w:r>
        <w:rPr>
          <w:rFonts w:cstheme="minorHAnsi"/>
          <w:color w:val="222222"/>
          <w:szCs w:val="20"/>
          <w:shd w:val="clear" w:color="auto" w:fill="FFFFFF"/>
        </w:rPr>
        <w:t xml:space="preserve"> and </w:t>
      </w:r>
    </w:p>
    <w:p w14:paraId="4F8FD53C" w14:textId="77777777" w:rsidR="00A44081" w:rsidRDefault="00A44081" w:rsidP="00A44081">
      <w:pPr>
        <w:pBdr>
          <w:top w:val="single" w:sz="4" w:space="1" w:color="auto"/>
          <w:left w:val="single" w:sz="4" w:space="4" w:color="auto"/>
          <w:bottom w:val="single" w:sz="4" w:space="1" w:color="auto"/>
          <w:right w:val="single" w:sz="4" w:space="4" w:color="auto"/>
        </w:pBdr>
        <w:rPr>
          <w:rFonts w:cstheme="minorHAnsi"/>
          <w:color w:val="222222"/>
          <w:szCs w:val="20"/>
          <w:shd w:val="clear" w:color="auto" w:fill="FFFFFF"/>
        </w:rPr>
      </w:pPr>
      <w:r>
        <w:rPr>
          <w:rFonts w:cstheme="minorHAnsi"/>
          <w:color w:val="222222"/>
          <w:szCs w:val="20"/>
          <w:shd w:val="clear" w:color="auto" w:fill="FFFFFF"/>
        </w:rPr>
        <w:t>Has</w:t>
      </w:r>
      <w:r w:rsidR="00891027" w:rsidRPr="00A44081">
        <w:rPr>
          <w:rFonts w:cstheme="minorHAnsi"/>
          <w:color w:val="222222"/>
          <w:szCs w:val="20"/>
          <w:shd w:val="clear" w:color="auto" w:fill="FFFFFF"/>
        </w:rPr>
        <w:t xml:space="preserve"> non</w:t>
      </w:r>
      <w:r>
        <w:rPr>
          <w:rFonts w:cstheme="minorHAnsi"/>
          <w:color w:val="222222"/>
          <w:szCs w:val="20"/>
          <w:shd w:val="clear" w:color="auto" w:fill="FFFFFF"/>
        </w:rPr>
        <w:t>-</w:t>
      </w:r>
      <w:r w:rsidR="00891027" w:rsidRPr="00A44081">
        <w:rPr>
          <w:rFonts w:cstheme="minorHAnsi"/>
          <w:color w:val="222222"/>
          <w:szCs w:val="20"/>
          <w:shd w:val="clear" w:color="auto" w:fill="FFFFFF"/>
        </w:rPr>
        <w:t xml:space="preserve">diagnostic GJB2/6 sequencing and </w:t>
      </w:r>
    </w:p>
    <w:p w14:paraId="28F54E89" w14:textId="335C7798" w:rsidR="00891027" w:rsidRPr="00A44081" w:rsidRDefault="00A44081" w:rsidP="00A44081">
      <w:pPr>
        <w:pBdr>
          <w:top w:val="single" w:sz="4" w:space="1" w:color="auto"/>
          <w:left w:val="single" w:sz="4" w:space="4" w:color="auto"/>
          <w:bottom w:val="single" w:sz="4" w:space="1" w:color="auto"/>
          <w:right w:val="single" w:sz="4" w:space="4" w:color="auto"/>
        </w:pBdr>
      </w:pPr>
      <w:r>
        <w:rPr>
          <w:rFonts w:cstheme="minorHAnsi"/>
          <w:color w:val="222222"/>
          <w:szCs w:val="20"/>
          <w:shd w:val="clear" w:color="auto" w:fill="FFFFFF"/>
        </w:rPr>
        <w:t>T</w:t>
      </w:r>
      <w:r w:rsidR="00891027" w:rsidRPr="00A44081">
        <w:rPr>
          <w:rFonts w:cstheme="minorHAnsi"/>
          <w:color w:val="222222"/>
          <w:szCs w:val="20"/>
          <w:shd w:val="clear" w:color="auto" w:fill="FFFFFF"/>
        </w:rPr>
        <w:t xml:space="preserve">he patient does </w:t>
      </w:r>
      <w:r w:rsidR="001E2CBB">
        <w:rPr>
          <w:rFonts w:cstheme="minorHAnsi"/>
          <w:color w:val="222222"/>
          <w:szCs w:val="20"/>
          <w:shd w:val="clear" w:color="auto" w:fill="FFFFFF"/>
        </w:rPr>
        <w:t xml:space="preserve">not </w:t>
      </w:r>
      <w:r w:rsidR="00891027" w:rsidRPr="00A44081">
        <w:rPr>
          <w:rFonts w:cstheme="minorHAnsi"/>
          <w:color w:val="222222"/>
          <w:szCs w:val="20"/>
          <w:shd w:val="clear" w:color="auto" w:fill="FFFFFF"/>
        </w:rPr>
        <w:t xml:space="preserve">meet criteria for item </w:t>
      </w:r>
      <w:r w:rsidR="006B7B4C">
        <w:t>73358 or 73359.</w:t>
      </w:r>
    </w:p>
    <w:p w14:paraId="6B1AF4A5" w14:textId="77777777" w:rsidR="00A44081" w:rsidRDefault="000156F8" w:rsidP="00DC6D2A">
      <w:pPr>
        <w:pBdr>
          <w:top w:val="single" w:sz="4" w:space="1" w:color="auto"/>
          <w:left w:val="single" w:sz="4" w:space="4" w:color="auto"/>
          <w:bottom w:val="single" w:sz="4" w:space="1" w:color="auto"/>
          <w:right w:val="single" w:sz="4" w:space="4" w:color="auto"/>
        </w:pBdr>
        <w:rPr>
          <w:szCs w:val="20"/>
        </w:rPr>
      </w:pPr>
      <w:r w:rsidRPr="00A44081">
        <w:rPr>
          <w:i/>
          <w:iCs/>
          <w:szCs w:val="20"/>
        </w:rPr>
        <w:t>Re-analysis</w:t>
      </w:r>
      <w:r w:rsidRPr="00DC6D2A">
        <w:rPr>
          <w:szCs w:val="20"/>
        </w:rPr>
        <w:t xml:space="preserve"> </w:t>
      </w:r>
    </w:p>
    <w:p w14:paraId="56D1AD38" w14:textId="58F78A8A" w:rsidR="00DC6D2A" w:rsidRDefault="00A44081" w:rsidP="00DC6D2A">
      <w:pPr>
        <w:pBdr>
          <w:top w:val="single" w:sz="4" w:space="1" w:color="auto"/>
          <w:left w:val="single" w:sz="4" w:space="4" w:color="auto"/>
          <w:bottom w:val="single" w:sz="4" w:space="1" w:color="auto"/>
          <w:right w:val="single" w:sz="4" w:space="4" w:color="auto"/>
        </w:pBdr>
        <w:rPr>
          <w:szCs w:val="20"/>
        </w:rPr>
      </w:pPr>
      <w:r>
        <w:rPr>
          <w:szCs w:val="20"/>
        </w:rPr>
        <w:t xml:space="preserve">Re-analysis </w:t>
      </w:r>
      <w:r w:rsidR="000156F8" w:rsidRPr="00DC6D2A">
        <w:rPr>
          <w:szCs w:val="20"/>
        </w:rPr>
        <w:t xml:space="preserve">of the data for </w:t>
      </w:r>
      <w:r w:rsidR="00DC6D2A" w:rsidRPr="00DC6D2A">
        <w:rPr>
          <w:szCs w:val="20"/>
        </w:rPr>
        <w:t>characterisation</w:t>
      </w:r>
      <w:r w:rsidR="000156F8" w:rsidRPr="00DC6D2A">
        <w:rPr>
          <w:szCs w:val="20"/>
        </w:rPr>
        <w:t xml:space="preserve"> of new germline gene variants in a patient with onset of hearing loss &lt;18years. </w:t>
      </w:r>
    </w:p>
    <w:p w14:paraId="7383AB1C" w14:textId="3152F6C5" w:rsidR="000156F8" w:rsidRPr="00DC6D2A" w:rsidRDefault="000156F8" w:rsidP="00DC6D2A">
      <w:pPr>
        <w:pBdr>
          <w:top w:val="single" w:sz="4" w:space="1" w:color="auto"/>
          <w:left w:val="single" w:sz="4" w:space="4" w:color="auto"/>
          <w:bottom w:val="single" w:sz="4" w:space="1" w:color="auto"/>
          <w:right w:val="single" w:sz="4" w:space="4" w:color="auto"/>
        </w:pBdr>
        <w:rPr>
          <w:szCs w:val="20"/>
        </w:rPr>
      </w:pPr>
      <w:r>
        <w:rPr>
          <w:i/>
          <w:iCs/>
          <w:szCs w:val="20"/>
        </w:rPr>
        <w:t xml:space="preserve">Family members: </w:t>
      </w:r>
    </w:p>
    <w:p w14:paraId="114E2403" w14:textId="50584A8A" w:rsidR="000156F8" w:rsidRPr="00DC6D2A" w:rsidRDefault="000156F8" w:rsidP="00DC6D2A">
      <w:pPr>
        <w:pBdr>
          <w:top w:val="single" w:sz="4" w:space="1" w:color="auto"/>
          <w:left w:val="single" w:sz="4" w:space="4" w:color="auto"/>
          <w:bottom w:val="single" w:sz="4" w:space="1" w:color="auto"/>
          <w:right w:val="single" w:sz="4" w:space="4" w:color="auto"/>
        </w:pBdr>
        <w:rPr>
          <w:szCs w:val="20"/>
        </w:rPr>
      </w:pPr>
      <w:r w:rsidRPr="00DC6D2A">
        <w:rPr>
          <w:szCs w:val="20"/>
        </w:rPr>
        <w:t>Request by a clinical geneticist for the detection of previously identified single gene variant, in a first degree relative of a patient with hearing impairment where previous genetic testing has detected the causative variant</w:t>
      </w:r>
      <w:r w:rsidR="002E0553">
        <w:rPr>
          <w:szCs w:val="20"/>
        </w:rPr>
        <w:t>.</w:t>
      </w:r>
    </w:p>
    <w:p w14:paraId="44E23D37" w14:textId="77777777" w:rsidR="00851CD6" w:rsidRDefault="00AE1188" w:rsidP="00AE1188">
      <w:pPr>
        <w:pBdr>
          <w:top w:val="single" w:sz="4" w:space="1" w:color="auto"/>
          <w:left w:val="single" w:sz="4" w:space="4" w:color="auto"/>
          <w:bottom w:val="single" w:sz="4" w:space="1" w:color="auto"/>
          <w:right w:val="single" w:sz="4" w:space="4" w:color="auto"/>
        </w:pBdr>
        <w:rPr>
          <w:szCs w:val="20"/>
        </w:rPr>
      </w:pPr>
      <w:r w:rsidRPr="00AE1188">
        <w:rPr>
          <w:szCs w:val="20"/>
        </w:rPr>
        <w:t xml:space="preserve">Fee:  </w:t>
      </w:r>
    </w:p>
    <w:p w14:paraId="075C4AFE" w14:textId="688D5DED" w:rsidR="00AE1188" w:rsidRDefault="00DC6D2A" w:rsidP="00AE1188">
      <w:pPr>
        <w:pBdr>
          <w:top w:val="single" w:sz="4" w:space="1" w:color="auto"/>
          <w:left w:val="single" w:sz="4" w:space="4" w:color="auto"/>
          <w:bottom w:val="single" w:sz="4" w:space="1" w:color="auto"/>
          <w:right w:val="single" w:sz="4" w:space="4" w:color="auto"/>
        </w:pBdr>
        <w:rPr>
          <w:szCs w:val="20"/>
        </w:rPr>
      </w:pPr>
      <w:r>
        <w:rPr>
          <w:szCs w:val="20"/>
        </w:rPr>
        <w:t>Affected individual</w:t>
      </w:r>
      <w:r w:rsidR="004704B5">
        <w:rPr>
          <w:szCs w:val="20"/>
        </w:rPr>
        <w:t xml:space="preserve">: </w:t>
      </w:r>
      <w:r>
        <w:rPr>
          <w:szCs w:val="20"/>
        </w:rPr>
        <w:t>$2195</w:t>
      </w:r>
    </w:p>
    <w:p w14:paraId="12593E2B" w14:textId="7411BA71" w:rsidR="004704B5" w:rsidRDefault="004704B5" w:rsidP="00AE1188">
      <w:pPr>
        <w:pBdr>
          <w:top w:val="single" w:sz="4" w:space="1" w:color="auto"/>
          <w:left w:val="single" w:sz="4" w:space="4" w:color="auto"/>
          <w:bottom w:val="single" w:sz="4" w:space="1" w:color="auto"/>
          <w:right w:val="single" w:sz="4" w:space="4" w:color="auto"/>
        </w:pBdr>
        <w:rPr>
          <w:szCs w:val="20"/>
        </w:rPr>
      </w:pPr>
      <w:r>
        <w:rPr>
          <w:szCs w:val="20"/>
        </w:rPr>
        <w:t>Re-analysis:</w:t>
      </w:r>
      <w:r w:rsidR="00ED6013">
        <w:rPr>
          <w:szCs w:val="20"/>
        </w:rPr>
        <w:t xml:space="preserve"> </w:t>
      </w:r>
      <w:r>
        <w:rPr>
          <w:szCs w:val="20"/>
        </w:rPr>
        <w:t>$425</w:t>
      </w:r>
    </w:p>
    <w:p w14:paraId="76BA3CB6" w14:textId="45892465" w:rsidR="00851CD6" w:rsidRDefault="00851CD6" w:rsidP="00AE1188">
      <w:pPr>
        <w:pBdr>
          <w:top w:val="single" w:sz="4" w:space="1" w:color="auto"/>
          <w:left w:val="single" w:sz="4" w:space="4" w:color="auto"/>
          <w:bottom w:val="single" w:sz="4" w:space="1" w:color="auto"/>
          <w:right w:val="single" w:sz="4" w:space="4" w:color="auto"/>
        </w:pBdr>
        <w:rPr>
          <w:szCs w:val="20"/>
        </w:rPr>
      </w:pPr>
      <w:r>
        <w:rPr>
          <w:szCs w:val="20"/>
        </w:rPr>
        <w:t>Cascade testing of family members (single gene variant): $</w:t>
      </w:r>
      <w:r w:rsidR="004704B5">
        <w:rPr>
          <w:szCs w:val="20"/>
        </w:rPr>
        <w:t>400</w:t>
      </w:r>
    </w:p>
    <w:sectPr w:rsidR="00851CD6" w:rsidSect="00DD308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F7DDBC" w14:textId="77777777" w:rsidR="00395054" w:rsidRDefault="00395054" w:rsidP="00CF2DFA">
      <w:pPr>
        <w:spacing w:after="0"/>
      </w:pPr>
      <w:r>
        <w:separator/>
      </w:r>
    </w:p>
  </w:endnote>
  <w:endnote w:type="continuationSeparator" w:id="0">
    <w:p w14:paraId="6F1ACFFD" w14:textId="77777777" w:rsidR="00395054" w:rsidRDefault="00395054" w:rsidP="00CF2DF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18"/>
        <w:szCs w:val="18"/>
      </w:rPr>
      <w:id w:val="-1675955243"/>
      <w:docPartObj>
        <w:docPartGallery w:val="Page Numbers (Bottom of Page)"/>
        <w:docPartUnique/>
      </w:docPartObj>
    </w:sdtPr>
    <w:sdtEndPr>
      <w:rPr>
        <w:color w:val="808080" w:themeColor="background1" w:themeShade="80"/>
        <w:spacing w:val="60"/>
      </w:rPr>
    </w:sdtEndPr>
    <w:sdtContent>
      <w:p w14:paraId="6E00F767" w14:textId="2468B8D5" w:rsidR="006B7B4C" w:rsidRDefault="006B7B4C">
        <w:pPr>
          <w:pStyle w:val="Footer"/>
          <w:pBdr>
            <w:top w:val="single" w:sz="4" w:space="1" w:color="D9D9D9" w:themeColor="background1" w:themeShade="D9"/>
          </w:pBdr>
          <w:rPr>
            <w:color w:val="808080" w:themeColor="background1" w:themeShade="80"/>
            <w:spacing w:val="60"/>
            <w:sz w:val="18"/>
            <w:szCs w:val="18"/>
          </w:rPr>
        </w:pPr>
        <w:r w:rsidRPr="00CF2DFA">
          <w:rPr>
            <w:sz w:val="18"/>
            <w:szCs w:val="18"/>
          </w:rPr>
          <w:fldChar w:fldCharType="begin"/>
        </w:r>
        <w:r w:rsidRPr="00CF2DFA">
          <w:rPr>
            <w:sz w:val="18"/>
            <w:szCs w:val="18"/>
          </w:rPr>
          <w:instrText xml:space="preserve"> PAGE   \* MERGEFORMAT </w:instrText>
        </w:r>
        <w:r w:rsidRPr="00CF2DFA">
          <w:rPr>
            <w:sz w:val="18"/>
            <w:szCs w:val="18"/>
          </w:rPr>
          <w:fldChar w:fldCharType="separate"/>
        </w:r>
        <w:r w:rsidRPr="0094464A">
          <w:rPr>
            <w:b/>
            <w:bCs/>
            <w:noProof/>
            <w:sz w:val="18"/>
            <w:szCs w:val="18"/>
          </w:rPr>
          <w:t>16</w:t>
        </w:r>
        <w:r w:rsidRPr="00CF2DFA">
          <w:rPr>
            <w:b/>
            <w:bCs/>
            <w:noProof/>
            <w:sz w:val="18"/>
            <w:szCs w:val="18"/>
          </w:rPr>
          <w:fldChar w:fldCharType="end"/>
        </w:r>
        <w:r w:rsidRPr="00CF2DFA">
          <w:rPr>
            <w:b/>
            <w:bCs/>
            <w:sz w:val="18"/>
            <w:szCs w:val="18"/>
          </w:rPr>
          <w:t xml:space="preserve"> |</w:t>
        </w:r>
        <w:r>
          <w:rPr>
            <w:color w:val="808080" w:themeColor="background1" w:themeShade="80"/>
            <w:spacing w:val="60"/>
            <w:sz w:val="18"/>
            <w:szCs w:val="18"/>
          </w:rPr>
          <w:tab/>
          <w:t>Application Form</w:t>
        </w:r>
      </w:p>
      <w:p w14:paraId="36201006" w14:textId="77777777" w:rsidR="006B7B4C" w:rsidRPr="003F7CB9" w:rsidRDefault="006B7B4C" w:rsidP="003F7CB9">
        <w:pPr>
          <w:pStyle w:val="Footer"/>
          <w:pBdr>
            <w:top w:val="single" w:sz="4" w:space="1" w:color="D9D9D9" w:themeColor="background1" w:themeShade="D9"/>
          </w:pBdr>
          <w:rPr>
            <w:b/>
            <w:bCs/>
            <w:sz w:val="18"/>
            <w:szCs w:val="18"/>
          </w:rPr>
        </w:pPr>
        <w:r>
          <w:rPr>
            <w:color w:val="808080" w:themeColor="background1" w:themeShade="80"/>
            <w:spacing w:val="60"/>
            <w:sz w:val="18"/>
            <w:szCs w:val="18"/>
          </w:rPr>
          <w:tab/>
          <w:t>New and Amended Requests for Public Funding</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5280AC" w14:textId="77777777" w:rsidR="00395054" w:rsidRDefault="00395054" w:rsidP="00CF2DFA">
      <w:pPr>
        <w:spacing w:after="0"/>
      </w:pPr>
      <w:r>
        <w:separator/>
      </w:r>
    </w:p>
  </w:footnote>
  <w:footnote w:type="continuationSeparator" w:id="0">
    <w:p w14:paraId="62A09C64" w14:textId="77777777" w:rsidR="00395054" w:rsidRDefault="00395054" w:rsidP="00CF2DF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27236"/>
    <w:multiLevelType w:val="hybridMultilevel"/>
    <w:tmpl w:val="C3AE958E"/>
    <w:lvl w:ilvl="0" w:tplc="120CD9A2">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 w15:restartNumberingAfterBreak="0">
    <w:nsid w:val="04847575"/>
    <w:multiLevelType w:val="hybridMultilevel"/>
    <w:tmpl w:val="4DC25DD0"/>
    <w:lvl w:ilvl="0" w:tplc="44CA8CDC">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ED77D0C"/>
    <w:multiLevelType w:val="hybridMultilevel"/>
    <w:tmpl w:val="85DA8C48"/>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320583A"/>
    <w:multiLevelType w:val="hybridMultilevel"/>
    <w:tmpl w:val="A11ACA98"/>
    <w:lvl w:ilvl="0" w:tplc="7956530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49306E5"/>
    <w:multiLevelType w:val="hybridMultilevel"/>
    <w:tmpl w:val="02EC7278"/>
    <w:lvl w:ilvl="0" w:tplc="01C66D6A">
      <w:start w:val="2"/>
      <w:numFmt w:val="bullet"/>
      <w:lvlText w:val="-"/>
      <w:lvlJc w:val="left"/>
      <w:pPr>
        <w:ind w:left="360" w:hanging="360"/>
      </w:pPr>
      <w:rPr>
        <w:rFonts w:ascii="Calibri" w:eastAsia="Calibri" w:hAnsi="Calibri" w:cs="Times New Roman" w:hint="default"/>
      </w:rPr>
    </w:lvl>
    <w:lvl w:ilvl="1" w:tplc="0C090017">
      <w:start w:val="1"/>
      <w:numFmt w:val="lowerLetter"/>
      <w:lvlText w:val="%2)"/>
      <w:lvlJc w:val="left"/>
      <w:pPr>
        <w:ind w:left="1080" w:hanging="360"/>
      </w:p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5" w15:restartNumberingAfterBreak="0">
    <w:nsid w:val="164224FF"/>
    <w:multiLevelType w:val="hybridMultilevel"/>
    <w:tmpl w:val="9A2AE03A"/>
    <w:lvl w:ilvl="0" w:tplc="A6662B34">
      <w:start w:val="1"/>
      <w:numFmt w:val="lowerRoman"/>
      <w:lvlText w:val="%1."/>
      <w:lvlJc w:val="left"/>
      <w:pPr>
        <w:ind w:left="1004" w:hanging="720"/>
      </w:pPr>
      <w:rPr>
        <w:rFonts w:asciiTheme="minorHAnsi" w:eastAsiaTheme="minorHAnsi" w:hAnsiTheme="minorHAnsi" w:cstheme="minorBidi"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6" w15:restartNumberingAfterBreak="0">
    <w:nsid w:val="1A68406E"/>
    <w:multiLevelType w:val="hybridMultilevel"/>
    <w:tmpl w:val="04046FB2"/>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33434B0"/>
    <w:multiLevelType w:val="hybridMultilevel"/>
    <w:tmpl w:val="712E621A"/>
    <w:lvl w:ilvl="0" w:tplc="1A2A3408">
      <w:start w:val="1"/>
      <w:numFmt w:val="lowerLetter"/>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8" w15:restartNumberingAfterBreak="0">
    <w:nsid w:val="23C61068"/>
    <w:multiLevelType w:val="hybridMultilevel"/>
    <w:tmpl w:val="1C86AA02"/>
    <w:lvl w:ilvl="0" w:tplc="C632E6F6">
      <w:start w:val="1"/>
      <w:numFmt w:val="lowerLetter"/>
      <w:lvlText w:val="%1."/>
      <w:lvlJc w:val="left"/>
      <w:pPr>
        <w:ind w:left="720" w:hanging="360"/>
      </w:pPr>
      <w:rPr>
        <w:rFonts w:hint="default"/>
        <w: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71B35F4"/>
    <w:multiLevelType w:val="hybridMultilevel"/>
    <w:tmpl w:val="6C7AFEB8"/>
    <w:lvl w:ilvl="0" w:tplc="76D0A74A">
      <w:start w:val="10"/>
      <w:numFmt w:val="bullet"/>
      <w:lvlText w:val=""/>
      <w:lvlJc w:val="left"/>
      <w:pPr>
        <w:ind w:left="786" w:hanging="360"/>
      </w:pPr>
      <w:rPr>
        <w:rFonts w:ascii="Symbol" w:eastAsiaTheme="minorHAnsi" w:hAnsi="Symbol" w:cstheme="minorBidi"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10" w15:restartNumberingAfterBreak="0">
    <w:nsid w:val="3A883476"/>
    <w:multiLevelType w:val="hybridMultilevel"/>
    <w:tmpl w:val="3ED49954"/>
    <w:lvl w:ilvl="0" w:tplc="4956E582">
      <w:start w:val="1"/>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ED07F66"/>
    <w:multiLevelType w:val="hybridMultilevel"/>
    <w:tmpl w:val="F0348860"/>
    <w:lvl w:ilvl="0" w:tplc="FE26C5E2">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7717E2F"/>
    <w:multiLevelType w:val="hybridMultilevel"/>
    <w:tmpl w:val="23BEA672"/>
    <w:lvl w:ilvl="0" w:tplc="0696FE68">
      <w:start w:val="1"/>
      <w:numFmt w:val="lowerRoman"/>
      <w:lvlText w:val="%1."/>
      <w:lvlJc w:val="left"/>
      <w:pPr>
        <w:ind w:left="1004" w:hanging="720"/>
      </w:pPr>
      <w:rPr>
        <w:rFonts w:asciiTheme="minorHAnsi" w:eastAsiaTheme="minorHAnsi" w:hAnsiTheme="minorHAnsi" w:cstheme="minorBidi"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3" w15:restartNumberingAfterBreak="0">
    <w:nsid w:val="4FA002E3"/>
    <w:multiLevelType w:val="hybridMultilevel"/>
    <w:tmpl w:val="3DE4B034"/>
    <w:lvl w:ilvl="0" w:tplc="68F86BFC">
      <w:start w:val="1"/>
      <w:numFmt w:val="decimal"/>
      <w:lvlText w:val="%1."/>
      <w:lvlJc w:val="left"/>
      <w:pPr>
        <w:ind w:left="720" w:hanging="360"/>
      </w:pPr>
      <w:rPr>
        <w:rFonts w:hint="default"/>
        <w:i w:val="0"/>
        <w:color w:val="2222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10F6FAE"/>
    <w:multiLevelType w:val="multilevel"/>
    <w:tmpl w:val="D5FA7F4A"/>
    <w:lvl w:ilvl="0">
      <w:start w:val="1"/>
      <w:numFmt w:val="decimal"/>
      <w:pStyle w:val="Heading2"/>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5" w15:restartNumberingAfterBreak="0">
    <w:nsid w:val="53937A84"/>
    <w:multiLevelType w:val="hybridMultilevel"/>
    <w:tmpl w:val="DDC0922C"/>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6A1215D"/>
    <w:multiLevelType w:val="hybridMultilevel"/>
    <w:tmpl w:val="E8D4C35C"/>
    <w:lvl w:ilvl="0" w:tplc="A1F24582">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96E138B"/>
    <w:multiLevelType w:val="hybridMultilevel"/>
    <w:tmpl w:val="A48063F6"/>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AFD6EBB"/>
    <w:multiLevelType w:val="hybridMultilevel"/>
    <w:tmpl w:val="4A342E7C"/>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20D5BCD"/>
    <w:multiLevelType w:val="hybridMultilevel"/>
    <w:tmpl w:val="7598A702"/>
    <w:lvl w:ilvl="0" w:tplc="B606A7DE">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8AD01C0"/>
    <w:multiLevelType w:val="hybridMultilevel"/>
    <w:tmpl w:val="CC821F8A"/>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BE16712"/>
    <w:multiLevelType w:val="hybridMultilevel"/>
    <w:tmpl w:val="CC821F8A"/>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4"/>
  </w:num>
  <w:num w:numId="2">
    <w:abstractNumId w:val="4"/>
    <w:lvlOverride w:ilvl="0"/>
    <w:lvlOverride w:ilvl="1">
      <w:startOverride w:val="1"/>
    </w:lvlOverride>
    <w:lvlOverride w:ilvl="2"/>
    <w:lvlOverride w:ilvl="3"/>
    <w:lvlOverride w:ilvl="4"/>
    <w:lvlOverride w:ilvl="5"/>
    <w:lvlOverride w:ilvl="6"/>
    <w:lvlOverride w:ilvl="7"/>
    <w:lvlOverride w:ilvl="8"/>
  </w:num>
  <w:num w:numId="3">
    <w:abstractNumId w:val="9"/>
  </w:num>
  <w:num w:numId="4">
    <w:abstractNumId w:val="4"/>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5"/>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num>
  <w:num w:numId="24">
    <w:abstractNumId w:val="1"/>
  </w:num>
  <w:num w:numId="25">
    <w:abstractNumId w:val="19"/>
  </w:num>
  <w:num w:numId="26">
    <w:abstractNumId w:val="3"/>
  </w:num>
  <w:num w:numId="27">
    <w:abstractNumId w:val="16"/>
  </w:num>
  <w:num w:numId="28">
    <w:abstractNumId w:val="11"/>
  </w:num>
  <w:num w:numId="29">
    <w:abstractNumId w:val="20"/>
  </w:num>
  <w:num w:numId="30">
    <w:abstractNumId w:val="2"/>
  </w:num>
  <w:num w:numId="31">
    <w:abstractNumId w:val="18"/>
  </w:num>
  <w:num w:numId="32">
    <w:abstractNumId w:val="6"/>
  </w:num>
  <w:num w:numId="33">
    <w:abstractNumId w:val="17"/>
  </w:num>
  <w:num w:numId="34">
    <w:abstractNumId w:val="5"/>
  </w:num>
  <w:num w:numId="35">
    <w:abstractNumId w:val="12"/>
  </w:num>
  <w:num w:numId="36">
    <w:abstractNumId w:val="0"/>
  </w:num>
  <w:num w:numId="37">
    <w:abstractNumId w:val="8"/>
  </w:num>
  <w:num w:numId="38">
    <w:abstractNumId w:val="13"/>
  </w:num>
  <w:num w:numId="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JAMA&lt;/Style&gt;&lt;LeftDelim&gt;{&lt;/LeftDelim&gt;&lt;RightDelim&gt;}&lt;/RightDelim&gt;&lt;FontName&gt;Calibri&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vtw2p2vpt5psp6etfz0v9pwt5frwfzwwa0x5&quot;&gt;PhD-Converted_2&lt;record-ids&gt;&lt;item&gt;894&lt;/item&gt;&lt;/record-ids&gt;&lt;/item&gt;&lt;/Libraries&gt;"/>
  </w:docVars>
  <w:rsids>
    <w:rsidRoot w:val="00BF6AC5"/>
    <w:rsid w:val="000110DC"/>
    <w:rsid w:val="000156F8"/>
    <w:rsid w:val="000158AA"/>
    <w:rsid w:val="000159B9"/>
    <w:rsid w:val="00016B6E"/>
    <w:rsid w:val="0002288E"/>
    <w:rsid w:val="00023E21"/>
    <w:rsid w:val="00025313"/>
    <w:rsid w:val="00025ABC"/>
    <w:rsid w:val="00026412"/>
    <w:rsid w:val="00031F6F"/>
    <w:rsid w:val="00034D6E"/>
    <w:rsid w:val="000448D8"/>
    <w:rsid w:val="0005089D"/>
    <w:rsid w:val="00051928"/>
    <w:rsid w:val="000525BC"/>
    <w:rsid w:val="00054E92"/>
    <w:rsid w:val="00073222"/>
    <w:rsid w:val="000770BA"/>
    <w:rsid w:val="00083700"/>
    <w:rsid w:val="00092580"/>
    <w:rsid w:val="000955E7"/>
    <w:rsid w:val="000A110D"/>
    <w:rsid w:val="000A25B9"/>
    <w:rsid w:val="000A478F"/>
    <w:rsid w:val="000A5B32"/>
    <w:rsid w:val="000B0229"/>
    <w:rsid w:val="000B3CD0"/>
    <w:rsid w:val="000C2974"/>
    <w:rsid w:val="000D066E"/>
    <w:rsid w:val="000D0831"/>
    <w:rsid w:val="000D3DF5"/>
    <w:rsid w:val="000E47E7"/>
    <w:rsid w:val="000E5439"/>
    <w:rsid w:val="000F297F"/>
    <w:rsid w:val="000F2D14"/>
    <w:rsid w:val="000F307E"/>
    <w:rsid w:val="00102686"/>
    <w:rsid w:val="0011036E"/>
    <w:rsid w:val="001130B0"/>
    <w:rsid w:val="0011369B"/>
    <w:rsid w:val="0011742E"/>
    <w:rsid w:val="00123D10"/>
    <w:rsid w:val="00126B33"/>
    <w:rsid w:val="001331B0"/>
    <w:rsid w:val="00154B00"/>
    <w:rsid w:val="001644E9"/>
    <w:rsid w:val="00182306"/>
    <w:rsid w:val="00184505"/>
    <w:rsid w:val="001845D9"/>
    <w:rsid w:val="0018630F"/>
    <w:rsid w:val="001906CD"/>
    <w:rsid w:val="00191B99"/>
    <w:rsid w:val="0019694B"/>
    <w:rsid w:val="00197D29"/>
    <w:rsid w:val="001A02E3"/>
    <w:rsid w:val="001A0A0C"/>
    <w:rsid w:val="001A1ADF"/>
    <w:rsid w:val="001A365C"/>
    <w:rsid w:val="001B171D"/>
    <w:rsid w:val="001B29A1"/>
    <w:rsid w:val="001B5169"/>
    <w:rsid w:val="001B6164"/>
    <w:rsid w:val="001D2D48"/>
    <w:rsid w:val="001D77ED"/>
    <w:rsid w:val="001E008A"/>
    <w:rsid w:val="001E1180"/>
    <w:rsid w:val="001E23EA"/>
    <w:rsid w:val="001E2CBB"/>
    <w:rsid w:val="001E6919"/>
    <w:rsid w:val="001E6958"/>
    <w:rsid w:val="001E7A8E"/>
    <w:rsid w:val="00201924"/>
    <w:rsid w:val="00202473"/>
    <w:rsid w:val="002053F2"/>
    <w:rsid w:val="00205CB4"/>
    <w:rsid w:val="00206D63"/>
    <w:rsid w:val="0021185D"/>
    <w:rsid w:val="00220699"/>
    <w:rsid w:val="002225DE"/>
    <w:rsid w:val="00224FCC"/>
    <w:rsid w:val="00226777"/>
    <w:rsid w:val="00235BD1"/>
    <w:rsid w:val="00242B0E"/>
    <w:rsid w:val="00247DF0"/>
    <w:rsid w:val="00254813"/>
    <w:rsid w:val="00257FF2"/>
    <w:rsid w:val="00265822"/>
    <w:rsid w:val="00266CC2"/>
    <w:rsid w:val="0027105F"/>
    <w:rsid w:val="002711FB"/>
    <w:rsid w:val="00282BE8"/>
    <w:rsid w:val="00283318"/>
    <w:rsid w:val="002842DB"/>
    <w:rsid w:val="00285525"/>
    <w:rsid w:val="00294CD8"/>
    <w:rsid w:val="002A270B"/>
    <w:rsid w:val="002A50FD"/>
    <w:rsid w:val="002A6753"/>
    <w:rsid w:val="002B28D7"/>
    <w:rsid w:val="002B48F4"/>
    <w:rsid w:val="002B7EB6"/>
    <w:rsid w:val="002C0B61"/>
    <w:rsid w:val="002C15E6"/>
    <w:rsid w:val="002C247D"/>
    <w:rsid w:val="002C3345"/>
    <w:rsid w:val="002C5709"/>
    <w:rsid w:val="002D409A"/>
    <w:rsid w:val="002E0553"/>
    <w:rsid w:val="002E5303"/>
    <w:rsid w:val="002F30E7"/>
    <w:rsid w:val="00300EEB"/>
    <w:rsid w:val="003013A9"/>
    <w:rsid w:val="00301958"/>
    <w:rsid w:val="003020B5"/>
    <w:rsid w:val="003027BB"/>
    <w:rsid w:val="00310A10"/>
    <w:rsid w:val="00321FC7"/>
    <w:rsid w:val="00327D25"/>
    <w:rsid w:val="003319A7"/>
    <w:rsid w:val="00334FE3"/>
    <w:rsid w:val="003421AE"/>
    <w:rsid w:val="003433D1"/>
    <w:rsid w:val="00344B24"/>
    <w:rsid w:val="003456B9"/>
    <w:rsid w:val="00346A3B"/>
    <w:rsid w:val="0035067D"/>
    <w:rsid w:val="00353A16"/>
    <w:rsid w:val="0035776D"/>
    <w:rsid w:val="00364FD9"/>
    <w:rsid w:val="00367C1B"/>
    <w:rsid w:val="00376B61"/>
    <w:rsid w:val="00382407"/>
    <w:rsid w:val="00386A64"/>
    <w:rsid w:val="00386FA1"/>
    <w:rsid w:val="00390142"/>
    <w:rsid w:val="003904AC"/>
    <w:rsid w:val="00392F00"/>
    <w:rsid w:val="00395054"/>
    <w:rsid w:val="00397377"/>
    <w:rsid w:val="00397694"/>
    <w:rsid w:val="003A22DE"/>
    <w:rsid w:val="003A2860"/>
    <w:rsid w:val="003A3C35"/>
    <w:rsid w:val="003A7D30"/>
    <w:rsid w:val="003B3C5C"/>
    <w:rsid w:val="003B7E54"/>
    <w:rsid w:val="003C47CA"/>
    <w:rsid w:val="003D63EF"/>
    <w:rsid w:val="003D6DE1"/>
    <w:rsid w:val="003D795C"/>
    <w:rsid w:val="003E30FB"/>
    <w:rsid w:val="003F2711"/>
    <w:rsid w:val="003F6C70"/>
    <w:rsid w:val="003F7CB9"/>
    <w:rsid w:val="00403333"/>
    <w:rsid w:val="004056D5"/>
    <w:rsid w:val="00411735"/>
    <w:rsid w:val="00412E6B"/>
    <w:rsid w:val="00413300"/>
    <w:rsid w:val="00415C74"/>
    <w:rsid w:val="00422CB9"/>
    <w:rsid w:val="0043654D"/>
    <w:rsid w:val="00437F60"/>
    <w:rsid w:val="004456FC"/>
    <w:rsid w:val="00451840"/>
    <w:rsid w:val="00460C9A"/>
    <w:rsid w:val="00464924"/>
    <w:rsid w:val="0046591D"/>
    <w:rsid w:val="004704B5"/>
    <w:rsid w:val="0047581D"/>
    <w:rsid w:val="00480289"/>
    <w:rsid w:val="00481279"/>
    <w:rsid w:val="00483368"/>
    <w:rsid w:val="00494011"/>
    <w:rsid w:val="004A0BF4"/>
    <w:rsid w:val="004A263B"/>
    <w:rsid w:val="004A7041"/>
    <w:rsid w:val="004B127A"/>
    <w:rsid w:val="004B2737"/>
    <w:rsid w:val="004B68AE"/>
    <w:rsid w:val="004C23DE"/>
    <w:rsid w:val="004C35B0"/>
    <w:rsid w:val="004C49EF"/>
    <w:rsid w:val="004C4A19"/>
    <w:rsid w:val="004C5570"/>
    <w:rsid w:val="004D00C9"/>
    <w:rsid w:val="004D1F43"/>
    <w:rsid w:val="004E16F5"/>
    <w:rsid w:val="004E3CC7"/>
    <w:rsid w:val="004E5B69"/>
    <w:rsid w:val="004F1331"/>
    <w:rsid w:val="004F2A87"/>
    <w:rsid w:val="005012FE"/>
    <w:rsid w:val="00507C56"/>
    <w:rsid w:val="0052344E"/>
    <w:rsid w:val="00526478"/>
    <w:rsid w:val="00530204"/>
    <w:rsid w:val="00534C5F"/>
    <w:rsid w:val="00540257"/>
    <w:rsid w:val="0054192F"/>
    <w:rsid w:val="00544EB3"/>
    <w:rsid w:val="0054594B"/>
    <w:rsid w:val="00546CD6"/>
    <w:rsid w:val="0054749B"/>
    <w:rsid w:val="00551CC6"/>
    <w:rsid w:val="00554E7A"/>
    <w:rsid w:val="00556675"/>
    <w:rsid w:val="0056015F"/>
    <w:rsid w:val="00560541"/>
    <w:rsid w:val="005672D0"/>
    <w:rsid w:val="00572CEB"/>
    <w:rsid w:val="00574263"/>
    <w:rsid w:val="005834C9"/>
    <w:rsid w:val="005A313D"/>
    <w:rsid w:val="005A324F"/>
    <w:rsid w:val="005A58BA"/>
    <w:rsid w:val="005A5D30"/>
    <w:rsid w:val="005A6AB9"/>
    <w:rsid w:val="005C333E"/>
    <w:rsid w:val="005C3AE7"/>
    <w:rsid w:val="005C7187"/>
    <w:rsid w:val="005D0677"/>
    <w:rsid w:val="005D5611"/>
    <w:rsid w:val="005E294C"/>
    <w:rsid w:val="005E2CE3"/>
    <w:rsid w:val="005F3F07"/>
    <w:rsid w:val="00600815"/>
    <w:rsid w:val="0060232C"/>
    <w:rsid w:val="00603D04"/>
    <w:rsid w:val="00605175"/>
    <w:rsid w:val="00606857"/>
    <w:rsid w:val="00607D3A"/>
    <w:rsid w:val="00607F8C"/>
    <w:rsid w:val="00615F42"/>
    <w:rsid w:val="006258C2"/>
    <w:rsid w:val="00625D99"/>
    <w:rsid w:val="00626365"/>
    <w:rsid w:val="00630E22"/>
    <w:rsid w:val="006320FF"/>
    <w:rsid w:val="0064168C"/>
    <w:rsid w:val="00657B46"/>
    <w:rsid w:val="006720DC"/>
    <w:rsid w:val="006764EC"/>
    <w:rsid w:val="00682A98"/>
    <w:rsid w:val="006835FE"/>
    <w:rsid w:val="0069337C"/>
    <w:rsid w:val="00693BFD"/>
    <w:rsid w:val="00695065"/>
    <w:rsid w:val="006A1038"/>
    <w:rsid w:val="006A649A"/>
    <w:rsid w:val="006B1B49"/>
    <w:rsid w:val="006B6390"/>
    <w:rsid w:val="006B7B4C"/>
    <w:rsid w:val="006C0356"/>
    <w:rsid w:val="006C0843"/>
    <w:rsid w:val="006C74B1"/>
    <w:rsid w:val="006E57AA"/>
    <w:rsid w:val="006F20CF"/>
    <w:rsid w:val="006F38ED"/>
    <w:rsid w:val="00707D4D"/>
    <w:rsid w:val="00723446"/>
    <w:rsid w:val="00723503"/>
    <w:rsid w:val="00724A2B"/>
    <w:rsid w:val="00730C04"/>
    <w:rsid w:val="0073597B"/>
    <w:rsid w:val="007378F6"/>
    <w:rsid w:val="0074545D"/>
    <w:rsid w:val="007522E3"/>
    <w:rsid w:val="0075335B"/>
    <w:rsid w:val="00753C44"/>
    <w:rsid w:val="00754383"/>
    <w:rsid w:val="007564D1"/>
    <w:rsid w:val="00757232"/>
    <w:rsid w:val="00760679"/>
    <w:rsid w:val="00763628"/>
    <w:rsid w:val="00767E99"/>
    <w:rsid w:val="00772E62"/>
    <w:rsid w:val="00775A6A"/>
    <w:rsid w:val="0077789B"/>
    <w:rsid w:val="00777E41"/>
    <w:rsid w:val="00780D29"/>
    <w:rsid w:val="00791C8D"/>
    <w:rsid w:val="0079354C"/>
    <w:rsid w:val="00794181"/>
    <w:rsid w:val="00795AC8"/>
    <w:rsid w:val="007A59F7"/>
    <w:rsid w:val="007A7F6F"/>
    <w:rsid w:val="007B4C76"/>
    <w:rsid w:val="007C2260"/>
    <w:rsid w:val="007C2C82"/>
    <w:rsid w:val="007C3EDB"/>
    <w:rsid w:val="007D1E52"/>
    <w:rsid w:val="007D2358"/>
    <w:rsid w:val="007D3EA8"/>
    <w:rsid w:val="007D4661"/>
    <w:rsid w:val="007E39E4"/>
    <w:rsid w:val="007E5FEB"/>
    <w:rsid w:val="007E6FB3"/>
    <w:rsid w:val="007F21B4"/>
    <w:rsid w:val="00802553"/>
    <w:rsid w:val="00803EAB"/>
    <w:rsid w:val="008046B5"/>
    <w:rsid w:val="00806D05"/>
    <w:rsid w:val="00810224"/>
    <w:rsid w:val="008127C0"/>
    <w:rsid w:val="00812EDD"/>
    <w:rsid w:val="008139C5"/>
    <w:rsid w:val="0081650F"/>
    <w:rsid w:val="008244C1"/>
    <w:rsid w:val="00827303"/>
    <w:rsid w:val="00832B31"/>
    <w:rsid w:val="00834946"/>
    <w:rsid w:val="008403E0"/>
    <w:rsid w:val="0084611C"/>
    <w:rsid w:val="0084657B"/>
    <w:rsid w:val="00851CD6"/>
    <w:rsid w:val="00855944"/>
    <w:rsid w:val="00864A18"/>
    <w:rsid w:val="00865A55"/>
    <w:rsid w:val="00870833"/>
    <w:rsid w:val="00874571"/>
    <w:rsid w:val="00876B8E"/>
    <w:rsid w:val="00881F93"/>
    <w:rsid w:val="008822F5"/>
    <w:rsid w:val="00882CB5"/>
    <w:rsid w:val="00883641"/>
    <w:rsid w:val="00884E69"/>
    <w:rsid w:val="00890082"/>
    <w:rsid w:val="00891027"/>
    <w:rsid w:val="0089357F"/>
    <w:rsid w:val="008A48D2"/>
    <w:rsid w:val="008A7423"/>
    <w:rsid w:val="008B2610"/>
    <w:rsid w:val="008B471D"/>
    <w:rsid w:val="008B49E4"/>
    <w:rsid w:val="008B729C"/>
    <w:rsid w:val="008C14B8"/>
    <w:rsid w:val="008C4A93"/>
    <w:rsid w:val="008C61D9"/>
    <w:rsid w:val="008D1335"/>
    <w:rsid w:val="008E0E49"/>
    <w:rsid w:val="008E35FD"/>
    <w:rsid w:val="008E6227"/>
    <w:rsid w:val="008E717B"/>
    <w:rsid w:val="008E78B9"/>
    <w:rsid w:val="008F081C"/>
    <w:rsid w:val="008F7179"/>
    <w:rsid w:val="00901AF5"/>
    <w:rsid w:val="00901F1C"/>
    <w:rsid w:val="0090543D"/>
    <w:rsid w:val="009056C5"/>
    <w:rsid w:val="009163D4"/>
    <w:rsid w:val="009262F2"/>
    <w:rsid w:val="00931267"/>
    <w:rsid w:val="00937791"/>
    <w:rsid w:val="009408AA"/>
    <w:rsid w:val="0094464A"/>
    <w:rsid w:val="00951933"/>
    <w:rsid w:val="00954343"/>
    <w:rsid w:val="00955271"/>
    <w:rsid w:val="0096138A"/>
    <w:rsid w:val="00963C9C"/>
    <w:rsid w:val="00965B6B"/>
    <w:rsid w:val="00971EDB"/>
    <w:rsid w:val="00974D50"/>
    <w:rsid w:val="00987ABE"/>
    <w:rsid w:val="00991EE4"/>
    <w:rsid w:val="009939DC"/>
    <w:rsid w:val="00993B9C"/>
    <w:rsid w:val="00996E3E"/>
    <w:rsid w:val="00997A08"/>
    <w:rsid w:val="009A54C3"/>
    <w:rsid w:val="009B243D"/>
    <w:rsid w:val="009B4E1E"/>
    <w:rsid w:val="009C03FB"/>
    <w:rsid w:val="009C4B4F"/>
    <w:rsid w:val="009F0C02"/>
    <w:rsid w:val="009F5758"/>
    <w:rsid w:val="009F5E4E"/>
    <w:rsid w:val="00A0283F"/>
    <w:rsid w:val="00A04F4A"/>
    <w:rsid w:val="00A12F64"/>
    <w:rsid w:val="00A230F0"/>
    <w:rsid w:val="00A252CC"/>
    <w:rsid w:val="00A26343"/>
    <w:rsid w:val="00A36EBA"/>
    <w:rsid w:val="00A408B5"/>
    <w:rsid w:val="00A44081"/>
    <w:rsid w:val="00A4413D"/>
    <w:rsid w:val="00A529E2"/>
    <w:rsid w:val="00A539F8"/>
    <w:rsid w:val="00A6491A"/>
    <w:rsid w:val="00A6594E"/>
    <w:rsid w:val="00A727B6"/>
    <w:rsid w:val="00A81CC6"/>
    <w:rsid w:val="00A83EC6"/>
    <w:rsid w:val="00A85E9F"/>
    <w:rsid w:val="00A8732C"/>
    <w:rsid w:val="00A9062D"/>
    <w:rsid w:val="00A93F58"/>
    <w:rsid w:val="00A96329"/>
    <w:rsid w:val="00AA134B"/>
    <w:rsid w:val="00AA2CFE"/>
    <w:rsid w:val="00AA5FDA"/>
    <w:rsid w:val="00AA6291"/>
    <w:rsid w:val="00AC07B3"/>
    <w:rsid w:val="00AC0C91"/>
    <w:rsid w:val="00AC35AD"/>
    <w:rsid w:val="00AD06F9"/>
    <w:rsid w:val="00AD37D4"/>
    <w:rsid w:val="00AD7986"/>
    <w:rsid w:val="00AE1188"/>
    <w:rsid w:val="00AE738C"/>
    <w:rsid w:val="00AF1046"/>
    <w:rsid w:val="00AF4466"/>
    <w:rsid w:val="00AF5D1E"/>
    <w:rsid w:val="00B040A9"/>
    <w:rsid w:val="00B15232"/>
    <w:rsid w:val="00B1711E"/>
    <w:rsid w:val="00B17CBE"/>
    <w:rsid w:val="00B17E26"/>
    <w:rsid w:val="00B231A4"/>
    <w:rsid w:val="00B25D20"/>
    <w:rsid w:val="00B31C99"/>
    <w:rsid w:val="00B53BA6"/>
    <w:rsid w:val="00B5731D"/>
    <w:rsid w:val="00B63184"/>
    <w:rsid w:val="00B6378B"/>
    <w:rsid w:val="00B63E3A"/>
    <w:rsid w:val="00B67EDB"/>
    <w:rsid w:val="00B75965"/>
    <w:rsid w:val="00B771AD"/>
    <w:rsid w:val="00B814CB"/>
    <w:rsid w:val="00B84E23"/>
    <w:rsid w:val="00BA0CF8"/>
    <w:rsid w:val="00BA1ADF"/>
    <w:rsid w:val="00BA51FC"/>
    <w:rsid w:val="00BB003A"/>
    <w:rsid w:val="00BB3358"/>
    <w:rsid w:val="00BB3382"/>
    <w:rsid w:val="00BB3643"/>
    <w:rsid w:val="00BC3DA0"/>
    <w:rsid w:val="00BC424B"/>
    <w:rsid w:val="00BE0FDE"/>
    <w:rsid w:val="00BE2E82"/>
    <w:rsid w:val="00BF6AC5"/>
    <w:rsid w:val="00C01121"/>
    <w:rsid w:val="00C030A5"/>
    <w:rsid w:val="00C05A45"/>
    <w:rsid w:val="00C074B1"/>
    <w:rsid w:val="00C0796F"/>
    <w:rsid w:val="00C11B34"/>
    <w:rsid w:val="00C12C5C"/>
    <w:rsid w:val="00C16C8F"/>
    <w:rsid w:val="00C171FB"/>
    <w:rsid w:val="00C209C2"/>
    <w:rsid w:val="00C22412"/>
    <w:rsid w:val="00C2267F"/>
    <w:rsid w:val="00C22AD8"/>
    <w:rsid w:val="00C3557E"/>
    <w:rsid w:val="00C3594B"/>
    <w:rsid w:val="00C43102"/>
    <w:rsid w:val="00C439AE"/>
    <w:rsid w:val="00C4696B"/>
    <w:rsid w:val="00C50513"/>
    <w:rsid w:val="00C544CC"/>
    <w:rsid w:val="00C54503"/>
    <w:rsid w:val="00C6096E"/>
    <w:rsid w:val="00C63055"/>
    <w:rsid w:val="00C67EBD"/>
    <w:rsid w:val="00C73B62"/>
    <w:rsid w:val="00C776B1"/>
    <w:rsid w:val="00C815FE"/>
    <w:rsid w:val="00C81FA0"/>
    <w:rsid w:val="00C847AE"/>
    <w:rsid w:val="00CA04C6"/>
    <w:rsid w:val="00CA26DD"/>
    <w:rsid w:val="00CA705C"/>
    <w:rsid w:val="00CB12EC"/>
    <w:rsid w:val="00CC0184"/>
    <w:rsid w:val="00CC09D7"/>
    <w:rsid w:val="00CC12B8"/>
    <w:rsid w:val="00CC5AB1"/>
    <w:rsid w:val="00CC61F4"/>
    <w:rsid w:val="00CC6BF3"/>
    <w:rsid w:val="00CD22E3"/>
    <w:rsid w:val="00CD4E44"/>
    <w:rsid w:val="00CD5AE4"/>
    <w:rsid w:val="00CD7A7D"/>
    <w:rsid w:val="00CF2D8E"/>
    <w:rsid w:val="00CF2DFA"/>
    <w:rsid w:val="00CF35A4"/>
    <w:rsid w:val="00CF54DF"/>
    <w:rsid w:val="00CF5AD8"/>
    <w:rsid w:val="00CF7A93"/>
    <w:rsid w:val="00D00122"/>
    <w:rsid w:val="00D01D2A"/>
    <w:rsid w:val="00D10B47"/>
    <w:rsid w:val="00D10C04"/>
    <w:rsid w:val="00D11EB1"/>
    <w:rsid w:val="00D17F17"/>
    <w:rsid w:val="00D21F1D"/>
    <w:rsid w:val="00D23597"/>
    <w:rsid w:val="00D30BDC"/>
    <w:rsid w:val="00D30F4A"/>
    <w:rsid w:val="00D33143"/>
    <w:rsid w:val="00D34E1C"/>
    <w:rsid w:val="00D455FD"/>
    <w:rsid w:val="00D57F88"/>
    <w:rsid w:val="00D7105C"/>
    <w:rsid w:val="00D73646"/>
    <w:rsid w:val="00D777B4"/>
    <w:rsid w:val="00D77A90"/>
    <w:rsid w:val="00D8360B"/>
    <w:rsid w:val="00D85676"/>
    <w:rsid w:val="00D85F21"/>
    <w:rsid w:val="00D8622E"/>
    <w:rsid w:val="00D87AE8"/>
    <w:rsid w:val="00D96ADA"/>
    <w:rsid w:val="00DA0A59"/>
    <w:rsid w:val="00DA1AC8"/>
    <w:rsid w:val="00DA1C78"/>
    <w:rsid w:val="00DA2886"/>
    <w:rsid w:val="00DA5E50"/>
    <w:rsid w:val="00DA70E5"/>
    <w:rsid w:val="00DA7D0C"/>
    <w:rsid w:val="00DB311C"/>
    <w:rsid w:val="00DB432D"/>
    <w:rsid w:val="00DB519B"/>
    <w:rsid w:val="00DC6D2A"/>
    <w:rsid w:val="00DC7694"/>
    <w:rsid w:val="00DC7FBE"/>
    <w:rsid w:val="00DD130E"/>
    <w:rsid w:val="00DD308E"/>
    <w:rsid w:val="00DE7D31"/>
    <w:rsid w:val="00DF0C51"/>
    <w:rsid w:val="00DF0D47"/>
    <w:rsid w:val="00DF1652"/>
    <w:rsid w:val="00DF6D37"/>
    <w:rsid w:val="00E048ED"/>
    <w:rsid w:val="00E04FB3"/>
    <w:rsid w:val="00E058F2"/>
    <w:rsid w:val="00E05D9C"/>
    <w:rsid w:val="00E06102"/>
    <w:rsid w:val="00E23E71"/>
    <w:rsid w:val="00E30F19"/>
    <w:rsid w:val="00E33C4A"/>
    <w:rsid w:val="00E357B9"/>
    <w:rsid w:val="00E4321E"/>
    <w:rsid w:val="00E44B80"/>
    <w:rsid w:val="00E47623"/>
    <w:rsid w:val="00E531DB"/>
    <w:rsid w:val="00E60529"/>
    <w:rsid w:val="00E6173C"/>
    <w:rsid w:val="00E641EF"/>
    <w:rsid w:val="00E70D86"/>
    <w:rsid w:val="00E7628E"/>
    <w:rsid w:val="00E82F54"/>
    <w:rsid w:val="00E8649B"/>
    <w:rsid w:val="00E86A4C"/>
    <w:rsid w:val="00E871CD"/>
    <w:rsid w:val="00E90990"/>
    <w:rsid w:val="00E95D3D"/>
    <w:rsid w:val="00EA0E25"/>
    <w:rsid w:val="00EA173C"/>
    <w:rsid w:val="00EB0318"/>
    <w:rsid w:val="00EB7447"/>
    <w:rsid w:val="00EC127A"/>
    <w:rsid w:val="00EC1FF9"/>
    <w:rsid w:val="00EC2737"/>
    <w:rsid w:val="00EC3C10"/>
    <w:rsid w:val="00ED5409"/>
    <w:rsid w:val="00ED6013"/>
    <w:rsid w:val="00ED7768"/>
    <w:rsid w:val="00EE2716"/>
    <w:rsid w:val="00EE6450"/>
    <w:rsid w:val="00F01C2C"/>
    <w:rsid w:val="00F03B96"/>
    <w:rsid w:val="00F10A22"/>
    <w:rsid w:val="00F10ED8"/>
    <w:rsid w:val="00F130C7"/>
    <w:rsid w:val="00F15FCD"/>
    <w:rsid w:val="00F222BE"/>
    <w:rsid w:val="00F24179"/>
    <w:rsid w:val="00F25560"/>
    <w:rsid w:val="00F301F1"/>
    <w:rsid w:val="00F30C22"/>
    <w:rsid w:val="00F33F1A"/>
    <w:rsid w:val="00F34612"/>
    <w:rsid w:val="00F547F7"/>
    <w:rsid w:val="00F54CCF"/>
    <w:rsid w:val="00F57D76"/>
    <w:rsid w:val="00F613F1"/>
    <w:rsid w:val="00F61D7A"/>
    <w:rsid w:val="00F637B3"/>
    <w:rsid w:val="00F66CF7"/>
    <w:rsid w:val="00F67BCB"/>
    <w:rsid w:val="00F73C56"/>
    <w:rsid w:val="00F77702"/>
    <w:rsid w:val="00F77C57"/>
    <w:rsid w:val="00F813C7"/>
    <w:rsid w:val="00F83566"/>
    <w:rsid w:val="00F83A9D"/>
    <w:rsid w:val="00F906B5"/>
    <w:rsid w:val="00F93784"/>
    <w:rsid w:val="00F93D59"/>
    <w:rsid w:val="00F971CC"/>
    <w:rsid w:val="00FA2CAA"/>
    <w:rsid w:val="00FA3DA1"/>
    <w:rsid w:val="00FA6554"/>
    <w:rsid w:val="00FC4E85"/>
    <w:rsid w:val="00FE16C1"/>
    <w:rsid w:val="00FE19FF"/>
    <w:rsid w:val="00FE33A6"/>
    <w:rsid w:val="00FE5452"/>
    <w:rsid w:val="00FF267A"/>
    <w:rsid w:val="00FF59A8"/>
    <w:rsid w:val="0AD05D79"/>
    <w:rsid w:val="0F2A30FA"/>
    <w:rsid w:val="4BB58651"/>
    <w:rsid w:val="5138F268"/>
    <w:rsid w:val="5F803829"/>
    <w:rsid w:val="6C70B40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C126B84"/>
  <w15:docId w15:val="{39994070-167C-43AD-BF9F-88946924D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7CB9"/>
    <w:pPr>
      <w:spacing w:before="120" w:after="120" w:line="240" w:lineRule="auto"/>
    </w:pPr>
    <w:rPr>
      <w:sz w:val="20"/>
    </w:rPr>
  </w:style>
  <w:style w:type="paragraph" w:styleId="Heading1">
    <w:name w:val="heading 1"/>
    <w:next w:val="Normal"/>
    <w:link w:val="Heading1Char"/>
    <w:uiPriority w:val="9"/>
    <w:qFormat/>
    <w:rsid w:val="0056015F"/>
    <w:pPr>
      <w:ind w:left="1560" w:hanging="1560"/>
      <w:outlineLvl w:val="0"/>
    </w:pPr>
    <w:rPr>
      <w:bCs/>
      <w:color w:val="4F81BD" w:themeColor="accent1"/>
      <w:sz w:val="40"/>
      <w:szCs w:val="32"/>
    </w:rPr>
  </w:style>
  <w:style w:type="paragraph" w:styleId="Heading2">
    <w:name w:val="heading 2"/>
    <w:basedOn w:val="ListParagraph"/>
    <w:next w:val="Normal"/>
    <w:link w:val="Heading2Char"/>
    <w:uiPriority w:val="9"/>
    <w:unhideWhenUsed/>
    <w:qFormat/>
    <w:rsid w:val="004A0BF4"/>
    <w:pPr>
      <w:numPr>
        <w:numId w:val="1"/>
      </w:numPr>
      <w:outlineLvl w:val="1"/>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F6A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392F00"/>
    <w:pPr>
      <w:ind w:left="720"/>
      <w:contextualSpacing/>
    </w:pPr>
  </w:style>
  <w:style w:type="character" w:styleId="Hyperlink">
    <w:name w:val="Hyperlink"/>
    <w:basedOn w:val="DefaultParagraphFont"/>
    <w:uiPriority w:val="99"/>
    <w:unhideWhenUsed/>
    <w:rsid w:val="00E44B80"/>
    <w:rPr>
      <w:color w:val="0000FF" w:themeColor="hyperlink"/>
      <w:u w:val="single"/>
    </w:rPr>
  </w:style>
  <w:style w:type="paragraph" w:styleId="BalloonText">
    <w:name w:val="Balloon Text"/>
    <w:basedOn w:val="Normal"/>
    <w:link w:val="BalloonTextChar"/>
    <w:uiPriority w:val="99"/>
    <w:semiHidden/>
    <w:unhideWhenUsed/>
    <w:rsid w:val="00E44B8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4B80"/>
    <w:rPr>
      <w:rFonts w:ascii="Tahoma" w:hAnsi="Tahoma" w:cs="Tahoma"/>
      <w:sz w:val="16"/>
      <w:szCs w:val="16"/>
    </w:rPr>
  </w:style>
  <w:style w:type="paragraph" w:styleId="Header">
    <w:name w:val="header"/>
    <w:basedOn w:val="Normal"/>
    <w:link w:val="HeaderChar"/>
    <w:uiPriority w:val="99"/>
    <w:unhideWhenUsed/>
    <w:rsid w:val="00CF2DFA"/>
    <w:pPr>
      <w:tabs>
        <w:tab w:val="center" w:pos="4513"/>
        <w:tab w:val="right" w:pos="9026"/>
      </w:tabs>
      <w:spacing w:after="0"/>
    </w:pPr>
  </w:style>
  <w:style w:type="character" w:customStyle="1" w:styleId="HeaderChar">
    <w:name w:val="Header Char"/>
    <w:basedOn w:val="DefaultParagraphFont"/>
    <w:link w:val="Header"/>
    <w:uiPriority w:val="99"/>
    <w:rsid w:val="00CF2DFA"/>
  </w:style>
  <w:style w:type="paragraph" w:styleId="Footer">
    <w:name w:val="footer"/>
    <w:basedOn w:val="Normal"/>
    <w:link w:val="FooterChar"/>
    <w:uiPriority w:val="99"/>
    <w:unhideWhenUsed/>
    <w:rsid w:val="00CF2DFA"/>
    <w:pPr>
      <w:tabs>
        <w:tab w:val="center" w:pos="4513"/>
        <w:tab w:val="right" w:pos="9026"/>
      </w:tabs>
      <w:spacing w:after="0"/>
    </w:pPr>
  </w:style>
  <w:style w:type="character" w:customStyle="1" w:styleId="FooterChar">
    <w:name w:val="Footer Char"/>
    <w:basedOn w:val="DefaultParagraphFont"/>
    <w:link w:val="Footer"/>
    <w:uiPriority w:val="99"/>
    <w:rsid w:val="00CF2DFA"/>
  </w:style>
  <w:style w:type="character" w:styleId="CommentReference">
    <w:name w:val="annotation reference"/>
    <w:basedOn w:val="DefaultParagraphFont"/>
    <w:uiPriority w:val="99"/>
    <w:semiHidden/>
    <w:unhideWhenUsed/>
    <w:rsid w:val="005A6AB9"/>
    <w:rPr>
      <w:sz w:val="16"/>
      <w:szCs w:val="16"/>
    </w:rPr>
  </w:style>
  <w:style w:type="paragraph" w:styleId="CommentText">
    <w:name w:val="annotation text"/>
    <w:basedOn w:val="Normal"/>
    <w:link w:val="CommentTextChar"/>
    <w:uiPriority w:val="99"/>
    <w:semiHidden/>
    <w:unhideWhenUsed/>
    <w:rsid w:val="005A6AB9"/>
    <w:rPr>
      <w:szCs w:val="20"/>
    </w:rPr>
  </w:style>
  <w:style w:type="character" w:customStyle="1" w:styleId="CommentTextChar">
    <w:name w:val="Comment Text Char"/>
    <w:basedOn w:val="DefaultParagraphFont"/>
    <w:link w:val="CommentText"/>
    <w:uiPriority w:val="99"/>
    <w:semiHidden/>
    <w:rsid w:val="005A6AB9"/>
    <w:rPr>
      <w:sz w:val="20"/>
      <w:szCs w:val="20"/>
    </w:rPr>
  </w:style>
  <w:style w:type="paragraph" w:styleId="CommentSubject">
    <w:name w:val="annotation subject"/>
    <w:basedOn w:val="CommentText"/>
    <w:next w:val="CommentText"/>
    <w:link w:val="CommentSubjectChar"/>
    <w:uiPriority w:val="99"/>
    <w:semiHidden/>
    <w:unhideWhenUsed/>
    <w:rsid w:val="005A6AB9"/>
    <w:rPr>
      <w:b/>
      <w:bCs/>
    </w:rPr>
  </w:style>
  <w:style w:type="character" w:customStyle="1" w:styleId="CommentSubjectChar">
    <w:name w:val="Comment Subject Char"/>
    <w:basedOn w:val="CommentTextChar"/>
    <w:link w:val="CommentSubject"/>
    <w:uiPriority w:val="99"/>
    <w:semiHidden/>
    <w:rsid w:val="005A6AB9"/>
    <w:rPr>
      <w:b/>
      <w:bCs/>
      <w:sz w:val="20"/>
      <w:szCs w:val="20"/>
    </w:rPr>
  </w:style>
  <w:style w:type="paragraph" w:styleId="NoSpacing">
    <w:name w:val="No Spacing"/>
    <w:uiPriority w:val="1"/>
    <w:qFormat/>
    <w:rsid w:val="00723503"/>
    <w:pPr>
      <w:spacing w:after="0" w:line="240" w:lineRule="auto"/>
    </w:pPr>
    <w:rPr>
      <w:rFonts w:ascii="Calibri" w:eastAsia="Calibri" w:hAnsi="Calibri" w:cs="Times New Roman"/>
    </w:rPr>
  </w:style>
  <w:style w:type="table" w:customStyle="1" w:styleId="TableGrid1">
    <w:name w:val="Table Grid1"/>
    <w:basedOn w:val="TableNormal"/>
    <w:next w:val="TableGrid"/>
    <w:uiPriority w:val="59"/>
    <w:rsid w:val="00BB3382"/>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4A0BF4"/>
    <w:rPr>
      <w:b/>
      <w:sz w:val="20"/>
      <w:szCs w:val="20"/>
    </w:rPr>
  </w:style>
  <w:style w:type="paragraph" w:styleId="Title">
    <w:name w:val="Title"/>
    <w:basedOn w:val="Normal"/>
    <w:next w:val="Normal"/>
    <w:link w:val="TitleChar"/>
    <w:uiPriority w:val="10"/>
    <w:qFormat/>
    <w:rsid w:val="003F7CB9"/>
    <w:pPr>
      <w:spacing w:before="3360" w:after="360"/>
      <w:jc w:val="center"/>
    </w:pPr>
    <w:rPr>
      <w:rFonts w:ascii="Arial" w:hAnsi="Arial" w:cs="Arial"/>
      <w:b/>
      <w:sz w:val="52"/>
      <w:szCs w:val="52"/>
    </w:rPr>
  </w:style>
  <w:style w:type="character" w:customStyle="1" w:styleId="TitleChar">
    <w:name w:val="Title Char"/>
    <w:basedOn w:val="DefaultParagraphFont"/>
    <w:link w:val="Title"/>
    <w:uiPriority w:val="10"/>
    <w:rsid w:val="003F7CB9"/>
    <w:rPr>
      <w:rFonts w:ascii="Arial" w:hAnsi="Arial" w:cs="Arial"/>
      <w:b/>
      <w:sz w:val="52"/>
      <w:szCs w:val="52"/>
    </w:rPr>
  </w:style>
  <w:style w:type="paragraph" w:styleId="Subtitle">
    <w:name w:val="Subtitle"/>
    <w:basedOn w:val="Heading2"/>
    <w:next w:val="Normal"/>
    <w:link w:val="SubtitleChar"/>
    <w:uiPriority w:val="11"/>
    <w:qFormat/>
    <w:rsid w:val="005C3AE7"/>
    <w:pPr>
      <w:numPr>
        <w:numId w:val="0"/>
      </w:numPr>
      <w:ind w:left="357"/>
    </w:pPr>
    <w:rPr>
      <w:i/>
      <w:u w:val="single"/>
    </w:rPr>
  </w:style>
  <w:style w:type="character" w:customStyle="1" w:styleId="SubtitleChar">
    <w:name w:val="Subtitle Char"/>
    <w:basedOn w:val="DefaultParagraphFont"/>
    <w:link w:val="Subtitle"/>
    <w:uiPriority w:val="11"/>
    <w:rsid w:val="005C3AE7"/>
    <w:rPr>
      <w:b/>
      <w:i/>
      <w:sz w:val="20"/>
      <w:szCs w:val="20"/>
      <w:u w:val="single"/>
    </w:rPr>
  </w:style>
  <w:style w:type="character" w:customStyle="1" w:styleId="Heading1Char">
    <w:name w:val="Heading 1 Char"/>
    <w:basedOn w:val="DefaultParagraphFont"/>
    <w:link w:val="Heading1"/>
    <w:uiPriority w:val="9"/>
    <w:rsid w:val="0056015F"/>
    <w:rPr>
      <w:bCs/>
      <w:color w:val="4F81BD" w:themeColor="accent1"/>
      <w:sz w:val="40"/>
      <w:szCs w:val="32"/>
    </w:rPr>
  </w:style>
  <w:style w:type="character" w:styleId="Strong">
    <w:name w:val="Strong"/>
    <w:uiPriority w:val="22"/>
    <w:qFormat/>
    <w:rsid w:val="003F7CB9"/>
    <w:rPr>
      <w:rFonts w:ascii="Calibri" w:eastAsia="Calibri" w:hAnsi="Calibri" w:cs="Times New Roman"/>
      <w:b/>
    </w:rPr>
  </w:style>
  <w:style w:type="paragraph" w:customStyle="1" w:styleId="TableHEADER">
    <w:name w:val="Table HEADER"/>
    <w:basedOn w:val="Normal"/>
    <w:qFormat/>
    <w:rsid w:val="00A8732C"/>
    <w:pPr>
      <w:ind w:right="82"/>
    </w:pPr>
    <w:rPr>
      <w:rFonts w:ascii="Calibri" w:hAnsi="Calibri" w:cs="Tahoma"/>
      <w:b/>
      <w:szCs w:val="20"/>
      <w:lang w:eastAsia="en-AU"/>
    </w:rPr>
  </w:style>
  <w:style w:type="character" w:styleId="IntenseReference">
    <w:name w:val="Intense Reference"/>
    <w:uiPriority w:val="32"/>
    <w:qFormat/>
    <w:rsid w:val="00A8732C"/>
    <w:rPr>
      <w:rFonts w:asciiTheme="minorHAnsi" w:hAnsiTheme="minorHAnsi"/>
      <w:sz w:val="28"/>
    </w:rPr>
  </w:style>
  <w:style w:type="character" w:styleId="PlaceholderText">
    <w:name w:val="Placeholder Text"/>
    <w:basedOn w:val="DefaultParagraphFont"/>
    <w:uiPriority w:val="99"/>
    <w:semiHidden/>
    <w:rsid w:val="00A8732C"/>
    <w:rPr>
      <w:color w:val="808080"/>
    </w:rPr>
  </w:style>
  <w:style w:type="paragraph" w:customStyle="1" w:styleId="TitleBlue">
    <w:name w:val="Title Blue"/>
    <w:basedOn w:val="Title"/>
    <w:qFormat/>
    <w:rsid w:val="0056015F"/>
    <w:pPr>
      <w:spacing w:before="360"/>
    </w:pPr>
    <w:rPr>
      <w:color w:val="548DD4" w:themeColor="text2" w:themeTint="99"/>
    </w:rPr>
  </w:style>
  <w:style w:type="paragraph" w:customStyle="1" w:styleId="EndNoteBibliographyTitle">
    <w:name w:val="EndNote Bibliography Title"/>
    <w:basedOn w:val="Normal"/>
    <w:link w:val="EndNoteBibliographyTitleChar"/>
    <w:rsid w:val="00184505"/>
    <w:pPr>
      <w:spacing w:after="0"/>
      <w:jc w:val="center"/>
    </w:pPr>
    <w:rPr>
      <w:rFonts w:ascii="Calibri" w:hAnsi="Calibri" w:cs="Calibri"/>
      <w:noProof/>
      <w:lang w:val="en-US"/>
    </w:rPr>
  </w:style>
  <w:style w:type="character" w:customStyle="1" w:styleId="ListParagraphChar">
    <w:name w:val="List Paragraph Char"/>
    <w:basedOn w:val="DefaultParagraphFont"/>
    <w:link w:val="ListParagraph"/>
    <w:uiPriority w:val="34"/>
    <w:rsid w:val="00184505"/>
    <w:rPr>
      <w:sz w:val="20"/>
    </w:rPr>
  </w:style>
  <w:style w:type="character" w:customStyle="1" w:styleId="EndNoteBibliographyTitleChar">
    <w:name w:val="EndNote Bibliography Title Char"/>
    <w:basedOn w:val="ListParagraphChar"/>
    <w:link w:val="EndNoteBibliographyTitle"/>
    <w:rsid w:val="00184505"/>
    <w:rPr>
      <w:rFonts w:ascii="Calibri" w:hAnsi="Calibri" w:cs="Calibri"/>
      <w:noProof/>
      <w:sz w:val="20"/>
      <w:lang w:val="en-US"/>
    </w:rPr>
  </w:style>
  <w:style w:type="paragraph" w:customStyle="1" w:styleId="EndNoteBibliography">
    <w:name w:val="EndNote Bibliography"/>
    <w:basedOn w:val="Normal"/>
    <w:link w:val="EndNoteBibliographyChar"/>
    <w:rsid w:val="00184505"/>
    <w:rPr>
      <w:rFonts w:ascii="Calibri" w:hAnsi="Calibri" w:cs="Calibri"/>
      <w:noProof/>
      <w:lang w:val="en-US"/>
    </w:rPr>
  </w:style>
  <w:style w:type="character" w:customStyle="1" w:styleId="EndNoteBibliographyChar">
    <w:name w:val="EndNote Bibliography Char"/>
    <w:basedOn w:val="ListParagraphChar"/>
    <w:link w:val="EndNoteBibliography"/>
    <w:rsid w:val="00184505"/>
    <w:rPr>
      <w:rFonts w:ascii="Calibri" w:hAnsi="Calibri" w:cs="Calibri"/>
      <w:noProof/>
      <w:sz w:val="20"/>
      <w:lang w:val="en-US"/>
    </w:rPr>
  </w:style>
  <w:style w:type="paragraph" w:customStyle="1" w:styleId="Default">
    <w:name w:val="Default"/>
    <w:rsid w:val="0096138A"/>
    <w:pPr>
      <w:autoSpaceDE w:val="0"/>
      <w:autoSpaceDN w:val="0"/>
      <w:adjustRightInd w:val="0"/>
      <w:spacing w:after="0" w:line="240" w:lineRule="auto"/>
    </w:pPr>
    <w:rPr>
      <w:rFonts w:ascii="Calibri" w:hAnsi="Calibri" w:cs="Calibri"/>
      <w:color w:val="000000"/>
      <w:sz w:val="24"/>
      <w:szCs w:val="24"/>
    </w:rPr>
  </w:style>
  <w:style w:type="paragraph" w:customStyle="1" w:styleId="Normalessay">
    <w:name w:val="Normal essay"/>
    <w:basedOn w:val="Normal"/>
    <w:qFormat/>
    <w:rsid w:val="00C16C8F"/>
    <w:pPr>
      <w:spacing w:before="0" w:line="480" w:lineRule="auto"/>
      <w:ind w:firstLine="720"/>
      <w:jc w:val="both"/>
    </w:pPr>
    <w:rPr>
      <w:rFonts w:ascii="Times New Roman" w:hAnsi="Times New Roman"/>
      <w:iCs/>
      <w:sz w:val="24"/>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749551">
      <w:bodyDiv w:val="1"/>
      <w:marLeft w:val="0"/>
      <w:marRight w:val="0"/>
      <w:marTop w:val="0"/>
      <w:marBottom w:val="0"/>
      <w:divBdr>
        <w:top w:val="none" w:sz="0" w:space="0" w:color="auto"/>
        <w:left w:val="none" w:sz="0" w:space="0" w:color="auto"/>
        <w:bottom w:val="none" w:sz="0" w:space="0" w:color="auto"/>
        <w:right w:val="none" w:sz="0" w:space="0" w:color="auto"/>
      </w:divBdr>
    </w:div>
    <w:div w:id="301622398">
      <w:bodyDiv w:val="1"/>
      <w:marLeft w:val="0"/>
      <w:marRight w:val="0"/>
      <w:marTop w:val="0"/>
      <w:marBottom w:val="0"/>
      <w:divBdr>
        <w:top w:val="none" w:sz="0" w:space="0" w:color="auto"/>
        <w:left w:val="none" w:sz="0" w:space="0" w:color="auto"/>
        <w:bottom w:val="none" w:sz="0" w:space="0" w:color="auto"/>
        <w:right w:val="none" w:sz="0" w:space="0" w:color="auto"/>
      </w:divBdr>
    </w:div>
    <w:div w:id="336620245">
      <w:bodyDiv w:val="1"/>
      <w:marLeft w:val="0"/>
      <w:marRight w:val="0"/>
      <w:marTop w:val="0"/>
      <w:marBottom w:val="0"/>
      <w:divBdr>
        <w:top w:val="none" w:sz="0" w:space="0" w:color="auto"/>
        <w:left w:val="none" w:sz="0" w:space="0" w:color="auto"/>
        <w:bottom w:val="none" w:sz="0" w:space="0" w:color="auto"/>
        <w:right w:val="none" w:sz="0" w:space="0" w:color="auto"/>
      </w:divBdr>
    </w:div>
    <w:div w:id="367950427">
      <w:bodyDiv w:val="1"/>
      <w:marLeft w:val="0"/>
      <w:marRight w:val="0"/>
      <w:marTop w:val="0"/>
      <w:marBottom w:val="0"/>
      <w:divBdr>
        <w:top w:val="none" w:sz="0" w:space="0" w:color="auto"/>
        <w:left w:val="none" w:sz="0" w:space="0" w:color="auto"/>
        <w:bottom w:val="none" w:sz="0" w:space="0" w:color="auto"/>
        <w:right w:val="none" w:sz="0" w:space="0" w:color="auto"/>
      </w:divBdr>
    </w:div>
    <w:div w:id="666909645">
      <w:bodyDiv w:val="1"/>
      <w:marLeft w:val="0"/>
      <w:marRight w:val="0"/>
      <w:marTop w:val="0"/>
      <w:marBottom w:val="0"/>
      <w:divBdr>
        <w:top w:val="none" w:sz="0" w:space="0" w:color="auto"/>
        <w:left w:val="none" w:sz="0" w:space="0" w:color="auto"/>
        <w:bottom w:val="none" w:sz="0" w:space="0" w:color="auto"/>
        <w:right w:val="none" w:sz="0" w:space="0" w:color="auto"/>
      </w:divBdr>
    </w:div>
    <w:div w:id="696079097">
      <w:bodyDiv w:val="1"/>
      <w:marLeft w:val="0"/>
      <w:marRight w:val="0"/>
      <w:marTop w:val="0"/>
      <w:marBottom w:val="0"/>
      <w:divBdr>
        <w:top w:val="none" w:sz="0" w:space="0" w:color="auto"/>
        <w:left w:val="none" w:sz="0" w:space="0" w:color="auto"/>
        <w:bottom w:val="none" w:sz="0" w:space="0" w:color="auto"/>
        <w:right w:val="none" w:sz="0" w:space="0" w:color="auto"/>
      </w:divBdr>
    </w:div>
    <w:div w:id="703408162">
      <w:bodyDiv w:val="1"/>
      <w:marLeft w:val="0"/>
      <w:marRight w:val="0"/>
      <w:marTop w:val="0"/>
      <w:marBottom w:val="0"/>
      <w:divBdr>
        <w:top w:val="none" w:sz="0" w:space="0" w:color="auto"/>
        <w:left w:val="none" w:sz="0" w:space="0" w:color="auto"/>
        <w:bottom w:val="none" w:sz="0" w:space="0" w:color="auto"/>
        <w:right w:val="none" w:sz="0" w:space="0" w:color="auto"/>
      </w:divBdr>
    </w:div>
    <w:div w:id="763843805">
      <w:bodyDiv w:val="1"/>
      <w:marLeft w:val="0"/>
      <w:marRight w:val="0"/>
      <w:marTop w:val="0"/>
      <w:marBottom w:val="0"/>
      <w:divBdr>
        <w:top w:val="none" w:sz="0" w:space="0" w:color="auto"/>
        <w:left w:val="none" w:sz="0" w:space="0" w:color="auto"/>
        <w:bottom w:val="none" w:sz="0" w:space="0" w:color="auto"/>
        <w:right w:val="none" w:sz="0" w:space="0" w:color="auto"/>
      </w:divBdr>
    </w:div>
    <w:div w:id="847059859">
      <w:bodyDiv w:val="1"/>
      <w:marLeft w:val="0"/>
      <w:marRight w:val="0"/>
      <w:marTop w:val="0"/>
      <w:marBottom w:val="0"/>
      <w:divBdr>
        <w:top w:val="none" w:sz="0" w:space="0" w:color="auto"/>
        <w:left w:val="none" w:sz="0" w:space="0" w:color="auto"/>
        <w:bottom w:val="none" w:sz="0" w:space="0" w:color="auto"/>
        <w:right w:val="none" w:sz="0" w:space="0" w:color="auto"/>
      </w:divBdr>
    </w:div>
    <w:div w:id="979653197">
      <w:bodyDiv w:val="1"/>
      <w:marLeft w:val="0"/>
      <w:marRight w:val="0"/>
      <w:marTop w:val="0"/>
      <w:marBottom w:val="0"/>
      <w:divBdr>
        <w:top w:val="none" w:sz="0" w:space="0" w:color="auto"/>
        <w:left w:val="none" w:sz="0" w:space="0" w:color="auto"/>
        <w:bottom w:val="none" w:sz="0" w:space="0" w:color="auto"/>
        <w:right w:val="none" w:sz="0" w:space="0" w:color="auto"/>
      </w:divBdr>
    </w:div>
    <w:div w:id="989359152">
      <w:bodyDiv w:val="1"/>
      <w:marLeft w:val="0"/>
      <w:marRight w:val="0"/>
      <w:marTop w:val="0"/>
      <w:marBottom w:val="0"/>
      <w:divBdr>
        <w:top w:val="none" w:sz="0" w:space="0" w:color="auto"/>
        <w:left w:val="none" w:sz="0" w:space="0" w:color="auto"/>
        <w:bottom w:val="none" w:sz="0" w:space="0" w:color="auto"/>
        <w:right w:val="none" w:sz="0" w:space="0" w:color="auto"/>
      </w:divBdr>
    </w:div>
    <w:div w:id="1449399579">
      <w:bodyDiv w:val="1"/>
      <w:marLeft w:val="0"/>
      <w:marRight w:val="0"/>
      <w:marTop w:val="0"/>
      <w:marBottom w:val="0"/>
      <w:divBdr>
        <w:top w:val="none" w:sz="0" w:space="0" w:color="auto"/>
        <w:left w:val="none" w:sz="0" w:space="0" w:color="auto"/>
        <w:bottom w:val="none" w:sz="0" w:space="0" w:color="auto"/>
        <w:right w:val="none" w:sz="0" w:space="0" w:color="auto"/>
      </w:divBdr>
    </w:div>
    <w:div w:id="1566454415">
      <w:bodyDiv w:val="1"/>
      <w:marLeft w:val="0"/>
      <w:marRight w:val="0"/>
      <w:marTop w:val="0"/>
      <w:marBottom w:val="0"/>
      <w:divBdr>
        <w:top w:val="none" w:sz="0" w:space="0" w:color="auto"/>
        <w:left w:val="none" w:sz="0" w:space="0" w:color="auto"/>
        <w:bottom w:val="none" w:sz="0" w:space="0" w:color="auto"/>
        <w:right w:val="none" w:sz="0" w:space="0" w:color="auto"/>
      </w:divBdr>
    </w:div>
    <w:div w:id="1726878090">
      <w:bodyDiv w:val="1"/>
      <w:marLeft w:val="0"/>
      <w:marRight w:val="0"/>
      <w:marTop w:val="0"/>
      <w:marBottom w:val="0"/>
      <w:divBdr>
        <w:top w:val="none" w:sz="0" w:space="0" w:color="auto"/>
        <w:left w:val="none" w:sz="0" w:space="0" w:color="auto"/>
        <w:bottom w:val="none" w:sz="0" w:space="0" w:color="auto"/>
        <w:right w:val="none" w:sz="0" w:space="0" w:color="auto"/>
      </w:divBdr>
    </w:div>
    <w:div w:id="1775205305">
      <w:bodyDiv w:val="1"/>
      <w:marLeft w:val="0"/>
      <w:marRight w:val="0"/>
      <w:marTop w:val="0"/>
      <w:marBottom w:val="0"/>
      <w:divBdr>
        <w:top w:val="none" w:sz="0" w:space="0" w:color="auto"/>
        <w:left w:val="none" w:sz="0" w:space="0" w:color="auto"/>
        <w:bottom w:val="none" w:sz="0" w:space="0" w:color="auto"/>
        <w:right w:val="none" w:sz="0" w:space="0" w:color="auto"/>
      </w:divBdr>
    </w:div>
    <w:div w:id="1779835911">
      <w:bodyDiv w:val="1"/>
      <w:marLeft w:val="0"/>
      <w:marRight w:val="0"/>
      <w:marTop w:val="0"/>
      <w:marBottom w:val="0"/>
      <w:divBdr>
        <w:top w:val="none" w:sz="0" w:space="0" w:color="auto"/>
        <w:left w:val="none" w:sz="0" w:space="0" w:color="auto"/>
        <w:bottom w:val="none" w:sz="0" w:space="0" w:color="auto"/>
        <w:right w:val="none" w:sz="0" w:space="0" w:color="auto"/>
      </w:divBdr>
    </w:div>
    <w:div w:id="1844472813">
      <w:bodyDiv w:val="1"/>
      <w:marLeft w:val="0"/>
      <w:marRight w:val="0"/>
      <w:marTop w:val="0"/>
      <w:marBottom w:val="0"/>
      <w:divBdr>
        <w:top w:val="none" w:sz="0" w:space="0" w:color="auto"/>
        <w:left w:val="none" w:sz="0" w:space="0" w:color="auto"/>
        <w:bottom w:val="none" w:sz="0" w:space="0" w:color="auto"/>
        <w:right w:val="none" w:sz="0" w:space="0" w:color="auto"/>
      </w:divBdr>
    </w:div>
    <w:div w:id="2082170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sac.gov.a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ta@health.gov.a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nature.com/articles/s41431-019-0553-8"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anelapp.agha.umcc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C09A327191594195F03D5DE9E748D0" ma:contentTypeVersion="8" ma:contentTypeDescription="Create a new document." ma:contentTypeScope="" ma:versionID="d23f88f26314dc093452ae3d9c2c0cc4">
  <xsd:schema xmlns:xsd="http://www.w3.org/2001/XMLSchema" xmlns:xs="http://www.w3.org/2001/XMLSchema" xmlns:p="http://schemas.microsoft.com/office/2006/metadata/properties" xmlns:ns2="6d7781e1-d702-4345-95e6-09ff78860c31" targetNamespace="http://schemas.microsoft.com/office/2006/metadata/properties" ma:root="true" ma:fieldsID="eb22dc3e1867a976154ad40f8073bbaa" ns2:_="">
    <xsd:import namespace="6d7781e1-d702-4345-95e6-09ff78860c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7781e1-d702-4345-95e6-09ff78860c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3269816-5B83-4CBB-A4BB-C82BF83AA5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7781e1-d702-4345-95e6-09ff78860c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B7A1A9-77A5-A242-AD26-6AA214AD1BC2}">
  <ds:schemaRefs>
    <ds:schemaRef ds:uri="http://schemas.openxmlformats.org/officeDocument/2006/bibliography"/>
  </ds:schemaRefs>
</ds:datastoreItem>
</file>

<file path=customXml/itemProps3.xml><?xml version="1.0" encoding="utf-8"?>
<ds:datastoreItem xmlns:ds="http://schemas.openxmlformats.org/officeDocument/2006/customXml" ds:itemID="{5C3E6F23-7CAB-4725-BFED-7E7D3EBCAC81}">
  <ds:schemaRefs>
    <ds:schemaRef ds:uri="http://schemas.microsoft.com/sharepoint/v3/contenttype/forms"/>
  </ds:schemaRefs>
</ds:datastoreItem>
</file>

<file path=customXml/itemProps4.xml><?xml version="1.0" encoding="utf-8"?>
<ds:datastoreItem xmlns:ds="http://schemas.openxmlformats.org/officeDocument/2006/customXml" ds:itemID="{D6455BFA-C60C-4F09-B90A-BCB0434D3813}">
  <ds:schemaRefs>
    <ds:schemaRef ds:uri="http://purl.org/dc/elements/1.1/"/>
    <ds:schemaRef ds:uri="http://schemas.microsoft.com/office/2006/metadata/properties"/>
    <ds:schemaRef ds:uri="6d7781e1-d702-4345-95e6-09ff78860c31"/>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18</Pages>
  <Words>5859</Words>
  <Characters>33397</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Medical Services Advisory Committee Application Form</vt:lpstr>
    </vt:vector>
  </TitlesOfParts>
  <Company>Department of Health</Company>
  <LinksUpToDate>false</LinksUpToDate>
  <CharactersWithSpaces>39178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Medical Services Advisory Committee Application Form</dc:title>
  <dc:subject/>
  <dc:creator>Department of Health</dc:creator>
  <cp:keywords/>
  <dc:description/>
  <cp:lastModifiedBy>GOLD, Maynard</cp:lastModifiedBy>
  <cp:revision>3</cp:revision>
  <cp:lastPrinted>2019-03-18T21:14:00Z</cp:lastPrinted>
  <dcterms:created xsi:type="dcterms:W3CDTF">2021-08-24T01:41:00Z</dcterms:created>
  <dcterms:modified xsi:type="dcterms:W3CDTF">2021-08-24T01:48:00Z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ContentTypeId">
    <vt:lpwstr>0x0101000BC09A327191594195F03D5DE9E748D0</vt:lpwstr>
  </property>
</Properties>
</file>