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9E8DF" w14:textId="77777777" w:rsidR="00772829" w:rsidRPr="00CE28E3" w:rsidRDefault="00772829" w:rsidP="00772829">
      <w:pPr>
        <w:spacing w:after="240"/>
        <w:jc w:val="center"/>
        <w:rPr>
          <w:b/>
          <w:i/>
          <w:szCs w:val="24"/>
          <w:highlight w:val="yellow"/>
        </w:rPr>
      </w:pPr>
      <w:r w:rsidRPr="00CE28E3">
        <w:rPr>
          <w:rFonts w:ascii="Arial" w:hAnsi="Arial" w:cs="Arial"/>
          <w:b/>
          <w:noProof/>
          <w:color w:val="000080"/>
          <w:sz w:val="28"/>
          <w:szCs w:val="28"/>
          <w:lang w:eastAsia="en-AU"/>
        </w:rPr>
        <w:drawing>
          <wp:inline distT="0" distB="0" distL="0" distR="0" wp14:anchorId="6632E2AE" wp14:editId="492F13DD">
            <wp:extent cx="2627630" cy="1078865"/>
            <wp:effectExtent l="0" t="0" r="1270" b="6985"/>
            <wp:docPr id="6" name="Picture 6"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6417A49A" w14:textId="6FE3CE54" w:rsidR="00772829" w:rsidRPr="00C72177" w:rsidRDefault="00991723" w:rsidP="000A2DA8">
      <w:pPr>
        <w:pStyle w:val="Heading1"/>
        <w:numPr>
          <w:ilvl w:val="0"/>
          <w:numId w:val="0"/>
        </w:numPr>
        <w:pBdr>
          <w:bottom w:val="none" w:sz="0" w:space="0" w:color="auto"/>
        </w:pBdr>
        <w:spacing w:before="480" w:after="240"/>
        <w:ind w:left="788"/>
        <w:jc w:val="center"/>
        <w:rPr>
          <w:rFonts w:ascii="Arial" w:hAnsi="Arial" w:cs="Arial"/>
          <w:b/>
          <w:bCs/>
          <w:color w:val="000080"/>
          <w:sz w:val="36"/>
          <w:szCs w:val="36"/>
        </w:rPr>
      </w:pPr>
      <w:r>
        <w:rPr>
          <w:rFonts w:ascii="Arial" w:hAnsi="Arial" w:cs="Arial"/>
          <w:b/>
          <w:bCs/>
          <w:color w:val="000080"/>
          <w:sz w:val="36"/>
          <w:szCs w:val="36"/>
        </w:rPr>
        <w:t>Public Summary Document</w:t>
      </w:r>
    </w:p>
    <w:p w14:paraId="7A128FDE" w14:textId="721F5704" w:rsidR="00772829" w:rsidRPr="00CE28E3" w:rsidRDefault="00772829" w:rsidP="00772829">
      <w:pPr>
        <w:pStyle w:val="Subtitle"/>
      </w:pPr>
      <w:r w:rsidRPr="00CE28E3">
        <w:t xml:space="preserve">Application </w:t>
      </w:r>
      <w:r w:rsidR="00E42632">
        <w:t>1</w:t>
      </w:r>
      <w:r w:rsidR="00B24987">
        <w:t>6</w:t>
      </w:r>
      <w:r w:rsidR="00E42632">
        <w:t>83</w:t>
      </w:r>
      <w:r w:rsidR="00ED3AB0">
        <w:t xml:space="preserve"> - </w:t>
      </w:r>
      <w:r w:rsidR="00946116" w:rsidRPr="00946116">
        <w:t>MRI of the liver, for the evaluation of hepatic metastases for initial staging or restaging prior to treatment using interventional techniques</w:t>
      </w:r>
    </w:p>
    <w:p w14:paraId="35263561" w14:textId="684B0B88" w:rsidR="00772829" w:rsidRPr="00CE28E3" w:rsidRDefault="00772829" w:rsidP="00772829">
      <w:pPr>
        <w:tabs>
          <w:tab w:val="left" w:pos="3686"/>
        </w:tabs>
        <w:spacing w:after="240"/>
        <w:rPr>
          <w:rFonts w:ascii="Arial" w:hAnsi="Arial" w:cs="Arial"/>
          <w:b/>
          <w:szCs w:val="24"/>
        </w:rPr>
      </w:pPr>
      <w:r w:rsidRPr="00CE28E3">
        <w:rPr>
          <w:rFonts w:ascii="Arial" w:hAnsi="Arial" w:cs="Arial"/>
          <w:b/>
          <w:szCs w:val="24"/>
        </w:rPr>
        <w:t>Applicant:</w:t>
      </w:r>
      <w:r w:rsidRPr="00CE28E3">
        <w:rPr>
          <w:rFonts w:ascii="Arial" w:hAnsi="Arial" w:cs="Arial"/>
          <w:b/>
          <w:szCs w:val="24"/>
        </w:rPr>
        <w:tab/>
      </w:r>
      <w:r w:rsidR="00991723">
        <w:rPr>
          <w:rFonts w:ascii="Arial" w:hAnsi="Arial" w:cs="Arial"/>
          <w:b/>
          <w:szCs w:val="24"/>
        </w:rPr>
        <w:t>Department of Health</w:t>
      </w:r>
    </w:p>
    <w:p w14:paraId="15DA9C4A" w14:textId="16F8EF93" w:rsidR="009A3778" w:rsidRDefault="00772829" w:rsidP="00772829">
      <w:pPr>
        <w:tabs>
          <w:tab w:val="left" w:pos="3686"/>
        </w:tabs>
        <w:spacing w:after="360"/>
        <w:rPr>
          <w:rFonts w:ascii="Arial" w:hAnsi="Arial" w:cs="Arial"/>
          <w:b/>
          <w:szCs w:val="24"/>
          <w:highlight w:val="cyan"/>
        </w:rPr>
      </w:pPr>
      <w:r w:rsidRPr="00CE28E3">
        <w:rPr>
          <w:rFonts w:ascii="Arial" w:hAnsi="Arial" w:cs="Arial"/>
          <w:b/>
          <w:szCs w:val="24"/>
        </w:rPr>
        <w:t>Date of MSAC consideration:</w:t>
      </w:r>
      <w:r w:rsidRPr="00CE28E3">
        <w:rPr>
          <w:rFonts w:ascii="Arial" w:hAnsi="Arial" w:cs="Arial"/>
          <w:b/>
          <w:szCs w:val="24"/>
        </w:rPr>
        <w:tab/>
        <w:t xml:space="preserve">MSAC </w:t>
      </w:r>
      <w:r w:rsidR="00024628" w:rsidRPr="00024628">
        <w:rPr>
          <w:rFonts w:ascii="Arial" w:hAnsi="Arial" w:cs="Arial"/>
          <w:b/>
          <w:szCs w:val="24"/>
        </w:rPr>
        <w:t>83rd</w:t>
      </w:r>
      <w:r w:rsidRPr="00CE28E3">
        <w:rPr>
          <w:rFonts w:ascii="Arial" w:hAnsi="Arial" w:cs="Arial"/>
          <w:b/>
          <w:szCs w:val="24"/>
        </w:rPr>
        <w:t xml:space="preserve"> Meeting</w:t>
      </w:r>
      <w:r w:rsidRPr="00B73365">
        <w:rPr>
          <w:rFonts w:ascii="Arial" w:hAnsi="Arial" w:cs="Arial"/>
          <w:b/>
          <w:szCs w:val="24"/>
        </w:rPr>
        <w:t xml:space="preserve">, </w:t>
      </w:r>
      <w:r w:rsidR="00B73365" w:rsidRPr="00B73365">
        <w:rPr>
          <w:rFonts w:ascii="Arial" w:hAnsi="Arial" w:cs="Arial"/>
          <w:b/>
          <w:szCs w:val="24"/>
        </w:rPr>
        <w:t>25-26 November 2021</w:t>
      </w:r>
    </w:p>
    <w:p w14:paraId="7EAA7262" w14:textId="2DD4F0DA" w:rsidR="00772829" w:rsidRPr="00CE28E3" w:rsidRDefault="00C36633" w:rsidP="00C36633">
      <w:pPr>
        <w:pStyle w:val="Heading2"/>
        <w:numPr>
          <w:ilvl w:val="0"/>
          <w:numId w:val="0"/>
        </w:numPr>
      </w:pPr>
      <w:bookmarkStart w:id="0" w:name="_Toc85450799"/>
      <w:r>
        <w:t>1.</w:t>
      </w:r>
      <w:r>
        <w:tab/>
      </w:r>
      <w:r w:rsidR="00772829" w:rsidRPr="00CE28E3">
        <w:t xml:space="preserve">Purpose </w:t>
      </w:r>
      <w:r w:rsidR="00772829" w:rsidRPr="00CE28E3">
        <w:rPr>
          <w:szCs w:val="32"/>
        </w:rPr>
        <w:t>of</w:t>
      </w:r>
      <w:r w:rsidR="00772829" w:rsidRPr="00CE28E3">
        <w:t xml:space="preserve"> application</w:t>
      </w:r>
      <w:bookmarkEnd w:id="0"/>
    </w:p>
    <w:p w14:paraId="6BF31FF2" w14:textId="1B1EE402" w:rsidR="00772829" w:rsidRDefault="00991723" w:rsidP="00991723">
      <w:pPr>
        <w:spacing w:after="240"/>
        <w:rPr>
          <w:iCs/>
        </w:rPr>
      </w:pPr>
      <w:bookmarkStart w:id="1" w:name="_Hlk69734469"/>
      <w:r>
        <w:rPr>
          <w:rFonts w:eastAsia="Calibri"/>
        </w:rPr>
        <w:t xml:space="preserve">To consider </w:t>
      </w:r>
      <w:r w:rsidR="00F81627">
        <w:rPr>
          <w:rFonts w:eastAsia="Calibri"/>
        </w:rPr>
        <w:t xml:space="preserve">the financial implications of </w:t>
      </w:r>
      <w:r>
        <w:rPr>
          <w:rFonts w:eastAsia="Calibri"/>
        </w:rPr>
        <w:t xml:space="preserve">a recommendation from the </w:t>
      </w:r>
      <w:r w:rsidRPr="002F28D5">
        <w:rPr>
          <w:rFonts w:eastAsia="Calibri"/>
        </w:rPr>
        <w:t>M</w:t>
      </w:r>
      <w:r>
        <w:rPr>
          <w:rFonts w:eastAsia="Calibri"/>
        </w:rPr>
        <w:t xml:space="preserve">edicare </w:t>
      </w:r>
      <w:r w:rsidRPr="002F28D5">
        <w:rPr>
          <w:rFonts w:eastAsia="Calibri"/>
        </w:rPr>
        <w:t>B</w:t>
      </w:r>
      <w:r>
        <w:rPr>
          <w:rFonts w:eastAsia="Calibri"/>
        </w:rPr>
        <w:t xml:space="preserve">enefits </w:t>
      </w:r>
      <w:r w:rsidRPr="002F28D5">
        <w:rPr>
          <w:rFonts w:eastAsia="Calibri"/>
        </w:rPr>
        <w:t>S</w:t>
      </w:r>
      <w:r>
        <w:rPr>
          <w:rFonts w:eastAsia="Calibri"/>
        </w:rPr>
        <w:t>chedule</w:t>
      </w:r>
      <w:r w:rsidRPr="002F28D5">
        <w:rPr>
          <w:rFonts w:eastAsia="Calibri"/>
        </w:rPr>
        <w:t xml:space="preserve"> </w:t>
      </w:r>
      <w:r w:rsidR="00F81627">
        <w:rPr>
          <w:rFonts w:eastAsia="Calibri"/>
        </w:rPr>
        <w:t xml:space="preserve">(MBS) </w:t>
      </w:r>
      <w:r w:rsidRPr="002F28D5">
        <w:rPr>
          <w:rFonts w:eastAsia="Calibri"/>
        </w:rPr>
        <w:t xml:space="preserve">Review Taskforce </w:t>
      </w:r>
      <w:r w:rsidR="00F81627">
        <w:rPr>
          <w:rFonts w:eastAsia="Calibri"/>
        </w:rPr>
        <w:t xml:space="preserve">- </w:t>
      </w:r>
      <w:r w:rsidR="00DC76B9" w:rsidRPr="001D0442">
        <w:rPr>
          <w:rFonts w:cstheme="minorHAnsi"/>
        </w:rPr>
        <w:t xml:space="preserve">Diagnostic Imaging Clinical Committee </w:t>
      </w:r>
      <w:r w:rsidR="00DC76B9">
        <w:rPr>
          <w:rFonts w:cstheme="minorHAnsi"/>
        </w:rPr>
        <w:t>(</w:t>
      </w:r>
      <w:r w:rsidR="008103F4">
        <w:rPr>
          <w:iCs/>
        </w:rPr>
        <w:t>DICC</w:t>
      </w:r>
      <w:r w:rsidR="00DC76B9">
        <w:rPr>
          <w:iCs/>
        </w:rPr>
        <w:t>)</w:t>
      </w:r>
      <w:r w:rsidR="008103F4">
        <w:rPr>
          <w:iCs/>
        </w:rPr>
        <w:t xml:space="preserve"> </w:t>
      </w:r>
      <w:r w:rsidR="001A3F1B">
        <w:rPr>
          <w:iCs/>
        </w:rPr>
        <w:t>to create</w:t>
      </w:r>
      <w:r w:rsidR="008103F4">
        <w:rPr>
          <w:iCs/>
        </w:rPr>
        <w:t xml:space="preserve"> a new MBS item</w:t>
      </w:r>
      <w:r w:rsidR="00964A3B">
        <w:rPr>
          <w:iCs/>
        </w:rPr>
        <w:t xml:space="preserve"> for magnetic resonance imaging (MRI) of the liver for initial staging or restaging of hepatic metastases prior to treatment using interventional techniques. </w:t>
      </w:r>
    </w:p>
    <w:p w14:paraId="44F99F85" w14:textId="23B26CE3" w:rsidR="00C27F3A" w:rsidRPr="00C27F3A" w:rsidRDefault="00C27F3A" w:rsidP="00C27F3A">
      <w:pPr>
        <w:pStyle w:val="Heading2"/>
        <w:numPr>
          <w:ilvl w:val="0"/>
          <w:numId w:val="0"/>
        </w:numPr>
      </w:pPr>
      <w:r>
        <w:t>2.</w:t>
      </w:r>
      <w:r>
        <w:tab/>
      </w:r>
      <w:r w:rsidRPr="00C27F3A">
        <w:t>MSAC’s advice to the Minister</w:t>
      </w:r>
    </w:p>
    <w:p w14:paraId="7D249914" w14:textId="3CEFA04A" w:rsidR="00BD7AC0" w:rsidRPr="00BD7AC0" w:rsidRDefault="00BD7AC0" w:rsidP="00241A9B">
      <w:pPr>
        <w:pStyle w:val="Default"/>
        <w:spacing w:before="120" w:after="160"/>
        <w:rPr>
          <w:rFonts w:ascii="Franklin Gothic Book" w:hAnsi="Franklin Gothic Book"/>
          <w:iCs/>
          <w:color w:val="auto"/>
          <w:sz w:val="22"/>
          <w:szCs w:val="22"/>
        </w:rPr>
      </w:pPr>
      <w:r w:rsidRPr="00BD7AC0">
        <w:rPr>
          <w:rFonts w:ascii="Franklin Gothic Book" w:hAnsi="Franklin Gothic Book"/>
          <w:iCs/>
          <w:color w:val="auto"/>
          <w:sz w:val="22"/>
          <w:szCs w:val="22"/>
        </w:rPr>
        <w:t xml:space="preserve">After considering </w:t>
      </w:r>
      <w:r w:rsidR="00F81627" w:rsidRPr="00145497">
        <w:rPr>
          <w:rFonts w:ascii="Franklin Gothic Book" w:hAnsi="Franklin Gothic Book"/>
          <w:iCs/>
          <w:color w:val="auto"/>
          <w:sz w:val="22"/>
          <w:szCs w:val="22"/>
        </w:rPr>
        <w:t>the</w:t>
      </w:r>
      <w:r w:rsidR="00F81627">
        <w:rPr>
          <w:rFonts w:ascii="Franklin Gothic Book" w:hAnsi="Franklin Gothic Book"/>
          <w:iCs/>
          <w:color w:val="auto"/>
          <w:sz w:val="22"/>
          <w:szCs w:val="22"/>
        </w:rPr>
        <w:t xml:space="preserve"> estimated utilisation and financial impact of the </w:t>
      </w:r>
      <w:r w:rsidR="00F81627" w:rsidRPr="00352175">
        <w:rPr>
          <w:rFonts w:ascii="Franklin Gothic Book" w:hAnsi="Franklin Gothic Book"/>
          <w:iCs/>
          <w:color w:val="auto"/>
          <w:sz w:val="22"/>
          <w:szCs w:val="22"/>
        </w:rPr>
        <w:t xml:space="preserve">MBS Review Taskforce - </w:t>
      </w:r>
      <w:r w:rsidR="00F81627" w:rsidRPr="00145497">
        <w:rPr>
          <w:rFonts w:ascii="Franklin Gothic Book" w:hAnsi="Franklin Gothic Book"/>
          <w:iCs/>
          <w:color w:val="auto"/>
          <w:sz w:val="22"/>
          <w:szCs w:val="22"/>
        </w:rPr>
        <w:t xml:space="preserve"> </w:t>
      </w:r>
      <w:r w:rsidR="00F81627">
        <w:rPr>
          <w:rFonts w:ascii="Franklin Gothic Book" w:hAnsi="Franklin Gothic Book"/>
          <w:iCs/>
          <w:color w:val="auto"/>
          <w:sz w:val="22"/>
          <w:szCs w:val="22"/>
        </w:rPr>
        <w:t>DICC’s recommendation</w:t>
      </w:r>
      <w:r w:rsidRPr="00BD7AC0">
        <w:rPr>
          <w:rFonts w:ascii="Franklin Gothic Book" w:hAnsi="Franklin Gothic Book"/>
          <w:iCs/>
          <w:color w:val="auto"/>
          <w:sz w:val="22"/>
          <w:szCs w:val="22"/>
        </w:rPr>
        <w:t xml:space="preserve">, MSAC supported MBS funding of MRI of the liver, for the evaluation of hepatic metastases for initial staging or restaging prior to treatment using interventional techniques. MSAC considered that MRI of the liver for the proposed population is best practice. MSAC advised that MBS item 63545, which is currently restricted to liver MRI in patients with colorectal cancer, be amended to allow MRI of the liver </w:t>
      </w:r>
      <w:r w:rsidR="000932C9">
        <w:rPr>
          <w:rFonts w:ascii="Franklin Gothic Book" w:hAnsi="Franklin Gothic Book"/>
          <w:iCs/>
          <w:color w:val="auto"/>
          <w:sz w:val="22"/>
          <w:szCs w:val="22"/>
        </w:rPr>
        <w:t>for</w:t>
      </w:r>
      <w:r w:rsidRPr="00BD7AC0">
        <w:rPr>
          <w:rFonts w:ascii="Franklin Gothic Book" w:hAnsi="Franklin Gothic Book"/>
          <w:iCs/>
          <w:color w:val="auto"/>
          <w:sz w:val="22"/>
          <w:szCs w:val="22"/>
        </w:rPr>
        <w:t xml:space="preserve"> patients with any oncological indication</w:t>
      </w:r>
      <w:r w:rsidR="000932C9">
        <w:rPr>
          <w:rFonts w:ascii="Franklin Gothic Book" w:hAnsi="Franklin Gothic Book"/>
          <w:iCs/>
          <w:color w:val="auto"/>
          <w:sz w:val="22"/>
          <w:szCs w:val="22"/>
        </w:rPr>
        <w:t xml:space="preserve"> </w:t>
      </w:r>
      <w:r w:rsidR="000932C9" w:rsidRPr="00BD7AC0">
        <w:rPr>
          <w:rFonts w:ascii="Franklin Gothic Book" w:hAnsi="Franklin Gothic Book"/>
          <w:iCs/>
          <w:color w:val="auto"/>
          <w:sz w:val="22"/>
          <w:szCs w:val="22"/>
        </w:rPr>
        <w:t>with suspected hepatic metastases</w:t>
      </w:r>
      <w:r w:rsidRPr="00BD7AC0">
        <w:rPr>
          <w:rFonts w:ascii="Franklin Gothic Book" w:hAnsi="Franklin Gothic Book"/>
          <w:iCs/>
          <w:color w:val="auto"/>
          <w:sz w:val="22"/>
          <w:szCs w:val="22"/>
        </w:rPr>
        <w:t>. MSAC considered the utilisation and financial estimates were uncertain and advised that a review should be conducted in 5 years.</w:t>
      </w:r>
    </w:p>
    <w:p w14:paraId="0011881C" w14:textId="31FAC11D" w:rsidR="00BD7AC0" w:rsidRPr="00BD7AC0" w:rsidRDefault="00BD7AC0" w:rsidP="00241A9B">
      <w:pPr>
        <w:pStyle w:val="Default"/>
        <w:spacing w:before="120" w:after="160"/>
        <w:rPr>
          <w:rFonts w:ascii="Franklin Gothic Book" w:hAnsi="Franklin Gothic Book"/>
          <w:iCs/>
          <w:color w:val="auto"/>
          <w:sz w:val="22"/>
          <w:szCs w:val="22"/>
        </w:rPr>
      </w:pPr>
      <w:r w:rsidRPr="00BD7AC0">
        <w:rPr>
          <w:rFonts w:ascii="Franklin Gothic Book" w:hAnsi="Franklin Gothic Book"/>
          <w:iCs/>
          <w:color w:val="auto"/>
          <w:sz w:val="22"/>
          <w:szCs w:val="22"/>
        </w:rPr>
        <w:t>MSAC supported the following modifications to MBS 63545 item descriptor and fee:</w:t>
      </w:r>
    </w:p>
    <w:p w14:paraId="3B9F46C1" w14:textId="2DA88411" w:rsidR="00BD7AC0" w:rsidRPr="00541269" w:rsidRDefault="00BD7AC0" w:rsidP="00241A9B">
      <w:pPr>
        <w:pStyle w:val="Default"/>
        <w:spacing w:before="120" w:after="160"/>
        <w:rPr>
          <w:rFonts w:ascii="Franklin Gothic Book" w:hAnsi="Franklin Gothic Book"/>
          <w:i/>
          <w:color w:val="auto"/>
          <w:sz w:val="22"/>
          <w:szCs w:val="22"/>
          <w:u w:val="single"/>
        </w:rPr>
      </w:pPr>
      <w:r w:rsidRPr="00541269">
        <w:rPr>
          <w:rFonts w:ascii="Franklin Gothic Book" w:hAnsi="Franklin Gothic Book"/>
          <w:i/>
          <w:color w:val="auto"/>
          <w:sz w:val="22"/>
          <w:szCs w:val="22"/>
          <w:u w:val="single"/>
        </w:rPr>
        <w:t>MBS item 63545 (modified)</w:t>
      </w:r>
    </w:p>
    <w:p w14:paraId="4E56DAA4" w14:textId="77777777" w:rsidR="00541269" w:rsidRPr="00541269" w:rsidRDefault="00541269" w:rsidP="00541269">
      <w:pPr>
        <w:pStyle w:val="Default"/>
        <w:rPr>
          <w:rFonts w:ascii="Franklin Gothic Book" w:hAnsi="Franklin Gothic Book"/>
          <w:i/>
          <w:color w:val="auto"/>
          <w:sz w:val="22"/>
          <w:szCs w:val="22"/>
        </w:rPr>
      </w:pPr>
      <w:r w:rsidRPr="00541269">
        <w:rPr>
          <w:rFonts w:ascii="Franklin Gothic Book" w:hAnsi="Franklin Gothic Book"/>
          <w:i/>
          <w:color w:val="auto"/>
          <w:sz w:val="22"/>
          <w:szCs w:val="22"/>
        </w:rPr>
        <w:t>MRI – multiphase scans of liver (including delayed imaging, if performed) with a contrast agent, for staging where surgical resection or interventional techniques are under consideration to treat the liver metastases, if:</w:t>
      </w:r>
    </w:p>
    <w:p w14:paraId="750E9333" w14:textId="3E025393" w:rsidR="00541269" w:rsidRPr="00541269" w:rsidRDefault="00541269" w:rsidP="00541269">
      <w:pPr>
        <w:pStyle w:val="Default"/>
        <w:numPr>
          <w:ilvl w:val="0"/>
          <w:numId w:val="24"/>
        </w:numPr>
        <w:rPr>
          <w:rFonts w:ascii="Franklin Gothic Book" w:hAnsi="Franklin Gothic Book"/>
          <w:i/>
          <w:color w:val="auto"/>
          <w:sz w:val="22"/>
          <w:szCs w:val="22"/>
        </w:rPr>
      </w:pPr>
      <w:r w:rsidRPr="00541269">
        <w:rPr>
          <w:rFonts w:ascii="Franklin Gothic Book" w:hAnsi="Franklin Gothic Book"/>
          <w:i/>
          <w:color w:val="auto"/>
          <w:sz w:val="22"/>
          <w:szCs w:val="22"/>
        </w:rPr>
        <w:t>the patient has:</w:t>
      </w:r>
    </w:p>
    <w:p w14:paraId="4B32129F" w14:textId="3AF891F5" w:rsidR="00541269" w:rsidRPr="00541269" w:rsidRDefault="00541269" w:rsidP="00541269">
      <w:pPr>
        <w:pStyle w:val="Default"/>
        <w:numPr>
          <w:ilvl w:val="0"/>
          <w:numId w:val="26"/>
        </w:numPr>
        <w:rPr>
          <w:rFonts w:ascii="Franklin Gothic Book" w:hAnsi="Franklin Gothic Book"/>
          <w:i/>
          <w:color w:val="auto"/>
          <w:sz w:val="22"/>
          <w:szCs w:val="22"/>
        </w:rPr>
      </w:pPr>
      <w:r w:rsidRPr="00541269">
        <w:rPr>
          <w:rFonts w:ascii="Franklin Gothic Book" w:hAnsi="Franklin Gothic Book"/>
          <w:i/>
          <w:color w:val="auto"/>
          <w:sz w:val="22"/>
          <w:szCs w:val="22"/>
        </w:rPr>
        <w:t>a confirmed extra-hepatic malignancy, with absence of extra-hepatic disease (other than hepatocellular carcinoma); and</w:t>
      </w:r>
    </w:p>
    <w:p w14:paraId="5B014AC8" w14:textId="498AF73F" w:rsidR="00541269" w:rsidRPr="00541269" w:rsidRDefault="00541269" w:rsidP="00541269">
      <w:pPr>
        <w:pStyle w:val="Default"/>
        <w:numPr>
          <w:ilvl w:val="0"/>
          <w:numId w:val="26"/>
        </w:numPr>
        <w:rPr>
          <w:rFonts w:ascii="Franklin Gothic Book" w:hAnsi="Franklin Gothic Book"/>
          <w:i/>
          <w:color w:val="auto"/>
          <w:sz w:val="22"/>
          <w:szCs w:val="22"/>
        </w:rPr>
      </w:pPr>
      <w:r w:rsidRPr="00541269">
        <w:rPr>
          <w:rFonts w:ascii="Franklin Gothic Book" w:hAnsi="Franklin Gothic Book"/>
          <w:i/>
          <w:color w:val="auto"/>
          <w:sz w:val="22"/>
          <w:szCs w:val="22"/>
        </w:rPr>
        <w:t xml:space="preserve">computed tomography, is negative or inconclusive, and the identification of liver metastases would change management. </w:t>
      </w:r>
    </w:p>
    <w:p w14:paraId="5B9EBF82" w14:textId="716C4314" w:rsidR="00541269" w:rsidRPr="00541269" w:rsidRDefault="00541269" w:rsidP="00665B22">
      <w:pPr>
        <w:pStyle w:val="Default"/>
        <w:spacing w:before="240" w:after="240"/>
        <w:rPr>
          <w:rFonts w:ascii="Franklin Gothic Book" w:hAnsi="Franklin Gothic Book"/>
          <w:i/>
          <w:color w:val="auto"/>
          <w:sz w:val="22"/>
          <w:szCs w:val="22"/>
        </w:rPr>
      </w:pPr>
      <w:r w:rsidRPr="00541269">
        <w:rPr>
          <w:rFonts w:ascii="Franklin Gothic Book" w:hAnsi="Franklin Gothic Book"/>
          <w:i/>
          <w:color w:val="auto"/>
          <w:sz w:val="22"/>
          <w:szCs w:val="22"/>
        </w:rPr>
        <w:t>For any particular patient—applicable not more than once in a 12 month period (R) (Contrast)</w:t>
      </w:r>
    </w:p>
    <w:p w14:paraId="7425CACB" w14:textId="2353C80C" w:rsidR="00541269" w:rsidRPr="00541269" w:rsidRDefault="00541269" w:rsidP="00541269">
      <w:pPr>
        <w:pStyle w:val="Default"/>
        <w:rPr>
          <w:rFonts w:ascii="Franklin Gothic Book" w:hAnsi="Franklin Gothic Book"/>
          <w:i/>
          <w:color w:val="auto"/>
          <w:sz w:val="22"/>
          <w:szCs w:val="22"/>
        </w:rPr>
      </w:pPr>
      <w:r w:rsidRPr="00541269">
        <w:rPr>
          <w:rFonts w:ascii="Franklin Gothic Book" w:hAnsi="Franklin Gothic Book"/>
          <w:i/>
          <w:color w:val="auto"/>
          <w:sz w:val="22"/>
          <w:szCs w:val="22"/>
        </w:rPr>
        <w:t>Bulk bill incentive</w:t>
      </w:r>
    </w:p>
    <w:p w14:paraId="68E1D584" w14:textId="77777777" w:rsidR="00541269" w:rsidRPr="00541269" w:rsidRDefault="00541269" w:rsidP="00541269">
      <w:pPr>
        <w:pStyle w:val="Default"/>
        <w:rPr>
          <w:rFonts w:ascii="Franklin Gothic Book" w:hAnsi="Franklin Gothic Book"/>
          <w:i/>
          <w:color w:val="auto"/>
          <w:sz w:val="22"/>
          <w:szCs w:val="22"/>
        </w:rPr>
      </w:pPr>
      <w:r w:rsidRPr="00541269">
        <w:rPr>
          <w:rFonts w:ascii="Franklin Gothic Book" w:hAnsi="Franklin Gothic Book"/>
          <w:i/>
          <w:color w:val="auto"/>
          <w:sz w:val="22"/>
          <w:szCs w:val="22"/>
        </w:rPr>
        <w:lastRenderedPageBreak/>
        <w:t>(</w:t>
      </w:r>
      <w:proofErr w:type="spellStart"/>
      <w:r w:rsidRPr="00541269">
        <w:rPr>
          <w:rFonts w:ascii="Franklin Gothic Book" w:hAnsi="Franklin Gothic Book"/>
          <w:i/>
          <w:color w:val="auto"/>
          <w:sz w:val="22"/>
          <w:szCs w:val="22"/>
        </w:rPr>
        <w:t>Anaes</w:t>
      </w:r>
      <w:proofErr w:type="spellEnd"/>
      <w:r w:rsidRPr="00541269">
        <w:rPr>
          <w:rFonts w:ascii="Franklin Gothic Book" w:hAnsi="Franklin Gothic Book"/>
          <w:i/>
          <w:color w:val="auto"/>
          <w:sz w:val="22"/>
          <w:szCs w:val="22"/>
        </w:rPr>
        <w:t>.)</w:t>
      </w:r>
    </w:p>
    <w:p w14:paraId="3BEC7085" w14:textId="0DEC2A9C" w:rsidR="00541269" w:rsidRDefault="00541269" w:rsidP="00541269">
      <w:pPr>
        <w:pStyle w:val="Default"/>
        <w:spacing w:before="120" w:after="160"/>
        <w:rPr>
          <w:rFonts w:ascii="Franklin Gothic Book" w:hAnsi="Franklin Gothic Book"/>
          <w:i/>
          <w:color w:val="auto"/>
          <w:sz w:val="22"/>
          <w:szCs w:val="22"/>
        </w:rPr>
      </w:pPr>
      <w:r w:rsidRPr="00541269">
        <w:rPr>
          <w:rFonts w:ascii="Franklin Gothic Book" w:hAnsi="Franklin Gothic Book"/>
          <w:i/>
          <w:color w:val="auto"/>
          <w:sz w:val="22"/>
          <w:szCs w:val="22"/>
        </w:rPr>
        <w:t xml:space="preserve">Fee: $550.00 Benefit: 75% = $412.50 85% = $467.50 </w:t>
      </w:r>
    </w:p>
    <w:p w14:paraId="44507DB6" w14:textId="5B50C520" w:rsidR="00541269" w:rsidRPr="00541269" w:rsidRDefault="00541269" w:rsidP="00665B22">
      <w:pPr>
        <w:pStyle w:val="Default"/>
        <w:spacing w:before="240" w:after="240"/>
        <w:rPr>
          <w:rFonts w:ascii="Franklin Gothic Book" w:hAnsi="Franklin Gothic Book"/>
          <w:i/>
          <w:color w:val="auto"/>
          <w:sz w:val="22"/>
          <w:szCs w:val="22"/>
          <w:u w:val="single"/>
        </w:rPr>
      </w:pPr>
      <w:r w:rsidRPr="00541269">
        <w:rPr>
          <w:rFonts w:ascii="Franklin Gothic Book" w:hAnsi="Franklin Gothic Book"/>
          <w:i/>
          <w:color w:val="auto"/>
          <w:sz w:val="22"/>
          <w:szCs w:val="22"/>
          <w:u w:val="single"/>
        </w:rPr>
        <w:t>MBS item 63496 (modified)</w:t>
      </w:r>
    </w:p>
    <w:p w14:paraId="5EF39099" w14:textId="5EF5387C" w:rsidR="00541269" w:rsidRDefault="00541269" w:rsidP="00541269">
      <w:pPr>
        <w:pStyle w:val="Default"/>
        <w:rPr>
          <w:rFonts w:ascii="Franklin Gothic Book" w:hAnsi="Franklin Gothic Book"/>
          <w:i/>
          <w:color w:val="auto"/>
          <w:sz w:val="22"/>
          <w:szCs w:val="22"/>
        </w:rPr>
      </w:pPr>
      <w:r w:rsidRPr="00541269">
        <w:rPr>
          <w:rFonts w:ascii="Franklin Gothic Book" w:hAnsi="Franklin Gothic Book"/>
          <w:i/>
          <w:color w:val="auto"/>
          <w:sz w:val="22"/>
          <w:szCs w:val="22"/>
        </w:rPr>
        <w:t xml:space="preserve">NOTE: Benefits in Subgroup 22 are only payable for modifying items where claimed simultaneously with MRI services. Modifiers for sedation and anaesthesia may not be claimed for the same service. </w:t>
      </w:r>
    </w:p>
    <w:p w14:paraId="40FF237C" w14:textId="77777777" w:rsidR="00541269" w:rsidRPr="00541269" w:rsidRDefault="00541269" w:rsidP="00665B22">
      <w:pPr>
        <w:pStyle w:val="Default"/>
        <w:spacing w:before="240"/>
        <w:rPr>
          <w:rFonts w:ascii="Franklin Gothic Book" w:hAnsi="Franklin Gothic Book"/>
          <w:i/>
          <w:color w:val="auto"/>
          <w:sz w:val="22"/>
          <w:szCs w:val="22"/>
        </w:rPr>
      </w:pPr>
      <w:r w:rsidRPr="00541269">
        <w:rPr>
          <w:rFonts w:ascii="Franklin Gothic Book" w:hAnsi="Franklin Gothic Book"/>
          <w:i/>
          <w:color w:val="auto"/>
          <w:sz w:val="22"/>
          <w:szCs w:val="22"/>
        </w:rPr>
        <w:t>MRI service to which item 63544, 63545 or 63546 applies if:</w:t>
      </w:r>
    </w:p>
    <w:p w14:paraId="17012716" w14:textId="0F79DD9E" w:rsidR="00541269" w:rsidRPr="00541269" w:rsidRDefault="00541269" w:rsidP="00541269">
      <w:pPr>
        <w:pStyle w:val="Default"/>
        <w:numPr>
          <w:ilvl w:val="0"/>
          <w:numId w:val="28"/>
        </w:numPr>
        <w:rPr>
          <w:rFonts w:ascii="Franklin Gothic Book" w:hAnsi="Franklin Gothic Book"/>
          <w:i/>
          <w:color w:val="auto"/>
          <w:sz w:val="22"/>
          <w:szCs w:val="22"/>
        </w:rPr>
      </w:pPr>
      <w:r w:rsidRPr="00541269">
        <w:rPr>
          <w:rFonts w:ascii="Franklin Gothic Book" w:hAnsi="Franklin Gothic Book"/>
          <w:i/>
          <w:color w:val="auto"/>
          <w:sz w:val="22"/>
          <w:szCs w:val="22"/>
        </w:rPr>
        <w:t>the service is performed on a person under the supervision of an eligible provider; and</w:t>
      </w:r>
    </w:p>
    <w:p w14:paraId="22454512" w14:textId="7C0BF2BD" w:rsidR="00541269" w:rsidRPr="00541269" w:rsidRDefault="00541269" w:rsidP="00541269">
      <w:pPr>
        <w:pStyle w:val="Default"/>
        <w:numPr>
          <w:ilvl w:val="0"/>
          <w:numId w:val="28"/>
        </w:numPr>
        <w:rPr>
          <w:rFonts w:ascii="Franklin Gothic Book" w:hAnsi="Franklin Gothic Book"/>
          <w:i/>
          <w:color w:val="auto"/>
          <w:sz w:val="22"/>
          <w:szCs w:val="22"/>
        </w:rPr>
      </w:pPr>
      <w:r w:rsidRPr="00541269">
        <w:rPr>
          <w:rFonts w:ascii="Franklin Gothic Book" w:hAnsi="Franklin Gothic Book"/>
          <w:i/>
          <w:color w:val="auto"/>
          <w:sz w:val="22"/>
          <w:szCs w:val="22"/>
        </w:rPr>
        <w:t>the service is performed using an hepatobiliary specific contrast agent.</w:t>
      </w:r>
    </w:p>
    <w:p w14:paraId="5677815B" w14:textId="477C9422" w:rsidR="00541269" w:rsidRPr="00541269" w:rsidRDefault="00541269" w:rsidP="00665B22">
      <w:pPr>
        <w:pStyle w:val="Default"/>
        <w:spacing w:before="240" w:after="240"/>
        <w:rPr>
          <w:rFonts w:ascii="Franklin Gothic Book" w:hAnsi="Franklin Gothic Book"/>
          <w:i/>
          <w:color w:val="auto"/>
          <w:sz w:val="22"/>
          <w:szCs w:val="22"/>
        </w:rPr>
      </w:pPr>
      <w:r w:rsidRPr="00541269">
        <w:rPr>
          <w:rFonts w:ascii="Franklin Gothic Book" w:hAnsi="Franklin Gothic Book"/>
          <w:i/>
          <w:color w:val="auto"/>
          <w:sz w:val="22"/>
          <w:szCs w:val="22"/>
        </w:rPr>
        <w:t>Bulk bill incentive</w:t>
      </w:r>
    </w:p>
    <w:p w14:paraId="3E7007ED" w14:textId="77777777" w:rsidR="00541269" w:rsidRPr="00541269" w:rsidRDefault="00541269" w:rsidP="00541269">
      <w:pPr>
        <w:pStyle w:val="Default"/>
        <w:rPr>
          <w:rFonts w:ascii="Franklin Gothic Book" w:hAnsi="Franklin Gothic Book"/>
          <w:i/>
          <w:color w:val="auto"/>
          <w:sz w:val="22"/>
          <w:szCs w:val="22"/>
        </w:rPr>
      </w:pPr>
      <w:r w:rsidRPr="00541269">
        <w:rPr>
          <w:rFonts w:ascii="Franklin Gothic Book" w:hAnsi="Franklin Gothic Book"/>
          <w:i/>
          <w:color w:val="auto"/>
          <w:sz w:val="22"/>
          <w:szCs w:val="22"/>
        </w:rPr>
        <w:t>Fee: $250.00 Benefit: 75% = $187.50 85% = $212.50</w:t>
      </w:r>
    </w:p>
    <w:p w14:paraId="42BFE763" w14:textId="4A444517" w:rsidR="00541269" w:rsidRPr="00BD7AC0" w:rsidRDefault="00541269" w:rsidP="00665B22">
      <w:pPr>
        <w:pStyle w:val="Default"/>
        <w:spacing w:before="120" w:after="240"/>
        <w:rPr>
          <w:rFonts w:ascii="Franklin Gothic Book" w:hAnsi="Franklin Gothic Book"/>
          <w:i/>
          <w:color w:val="auto"/>
          <w:sz w:val="22"/>
          <w:szCs w:val="22"/>
        </w:rPr>
      </w:pPr>
      <w:r w:rsidRPr="00541269">
        <w:rPr>
          <w:rFonts w:ascii="Franklin Gothic Book" w:hAnsi="Franklin Gothic Book"/>
          <w:i/>
          <w:color w:val="auto"/>
          <w:sz w:val="22"/>
          <w:szCs w:val="22"/>
        </w:rPr>
        <w:t xml:space="preserve">(See para IN.0.19 of explanatory notes to this Category) </w:t>
      </w:r>
    </w:p>
    <w:tbl>
      <w:tblPr>
        <w:tblStyle w:val="TableGrid"/>
        <w:tblW w:w="0" w:type="auto"/>
        <w:tblLook w:val="04A0" w:firstRow="1" w:lastRow="0" w:firstColumn="1" w:lastColumn="0" w:noHBand="0" w:noVBand="1"/>
        <w:tblDescription w:val="Consumer summary of MSAC consideration"/>
      </w:tblPr>
      <w:tblGrid>
        <w:gridCol w:w="9016"/>
      </w:tblGrid>
      <w:tr w:rsidR="00C27F3A" w:rsidRPr="002F28D5" w14:paraId="54A1B862" w14:textId="77777777" w:rsidTr="0005426D">
        <w:trPr>
          <w:tblHeader/>
        </w:trPr>
        <w:tc>
          <w:tcPr>
            <w:tcW w:w="9016" w:type="dxa"/>
          </w:tcPr>
          <w:p w14:paraId="6D2F8F84" w14:textId="77777777" w:rsidR="00C27F3A" w:rsidRPr="002F28D5" w:rsidRDefault="00C27F3A" w:rsidP="0005426D">
            <w:pPr>
              <w:pStyle w:val="Default"/>
              <w:spacing w:before="120" w:after="120"/>
              <w:rPr>
                <w:rFonts w:ascii="Franklin Gothic Book" w:hAnsi="Franklin Gothic Book"/>
                <w:b/>
                <w:color w:val="auto"/>
                <w:sz w:val="22"/>
                <w:szCs w:val="22"/>
              </w:rPr>
            </w:pPr>
            <w:r w:rsidRPr="002F28D5">
              <w:rPr>
                <w:rFonts w:ascii="Franklin Gothic Book" w:hAnsi="Franklin Gothic Book"/>
                <w:b/>
                <w:color w:val="auto"/>
                <w:sz w:val="22"/>
                <w:szCs w:val="22"/>
              </w:rPr>
              <w:t>Consumer summary</w:t>
            </w:r>
          </w:p>
        </w:tc>
      </w:tr>
      <w:tr w:rsidR="00C27F3A" w:rsidRPr="002F28D5" w14:paraId="1504B21C" w14:textId="77777777" w:rsidTr="0005426D">
        <w:tc>
          <w:tcPr>
            <w:tcW w:w="9016" w:type="dxa"/>
          </w:tcPr>
          <w:p w14:paraId="6C6D165D" w14:textId="333A7EE4" w:rsidR="00241A9B" w:rsidRPr="00241A9B" w:rsidRDefault="006B6A80" w:rsidP="00241A9B">
            <w:pPr>
              <w:pStyle w:val="Default"/>
              <w:spacing w:before="120" w:after="160"/>
              <w:rPr>
                <w:rFonts w:ascii="Franklin Gothic Book" w:hAnsi="Franklin Gothic Book"/>
                <w:iCs/>
                <w:color w:val="auto"/>
                <w:sz w:val="22"/>
                <w:szCs w:val="22"/>
              </w:rPr>
            </w:pPr>
            <w:r w:rsidRPr="00145497">
              <w:rPr>
                <w:rFonts w:ascii="Franklin Gothic Book" w:hAnsi="Franklin Gothic Book"/>
                <w:iCs/>
                <w:color w:val="auto"/>
                <w:sz w:val="22"/>
                <w:szCs w:val="22"/>
              </w:rPr>
              <w:t xml:space="preserve">This application </w:t>
            </w:r>
            <w:r>
              <w:rPr>
                <w:rFonts w:ascii="Franklin Gothic Book" w:hAnsi="Franklin Gothic Book"/>
                <w:iCs/>
                <w:color w:val="auto"/>
                <w:sz w:val="22"/>
                <w:szCs w:val="22"/>
              </w:rPr>
              <w:t xml:space="preserve">was in response to </w:t>
            </w:r>
            <w:r w:rsidRPr="00B97AB9">
              <w:rPr>
                <w:rFonts w:ascii="Franklin Gothic Book" w:hAnsi="Franklin Gothic Book"/>
                <w:iCs/>
                <w:color w:val="auto"/>
                <w:sz w:val="22"/>
                <w:szCs w:val="22"/>
              </w:rPr>
              <w:t xml:space="preserve">a recommendation from the Medicare Benefits Schedule </w:t>
            </w:r>
            <w:r>
              <w:rPr>
                <w:rFonts w:ascii="Franklin Gothic Book" w:hAnsi="Franklin Gothic Book"/>
                <w:iCs/>
                <w:color w:val="auto"/>
                <w:sz w:val="22"/>
                <w:szCs w:val="22"/>
              </w:rPr>
              <w:t xml:space="preserve">(MBS) </w:t>
            </w:r>
            <w:r w:rsidRPr="00B97AB9">
              <w:rPr>
                <w:rFonts w:ascii="Franklin Gothic Book" w:hAnsi="Franklin Gothic Book"/>
                <w:iCs/>
                <w:color w:val="auto"/>
                <w:sz w:val="22"/>
                <w:szCs w:val="22"/>
              </w:rPr>
              <w:t xml:space="preserve">Review Taskforce </w:t>
            </w:r>
            <w:r>
              <w:rPr>
                <w:rFonts w:ascii="Franklin Gothic Book" w:hAnsi="Franklin Gothic Book"/>
                <w:iCs/>
                <w:color w:val="auto"/>
                <w:sz w:val="22"/>
                <w:szCs w:val="22"/>
              </w:rPr>
              <w:t xml:space="preserve">- </w:t>
            </w:r>
            <w:r w:rsidRPr="00B97AB9">
              <w:rPr>
                <w:rFonts w:ascii="Franklin Gothic Book" w:hAnsi="Franklin Gothic Book"/>
                <w:iCs/>
                <w:color w:val="auto"/>
                <w:sz w:val="22"/>
                <w:szCs w:val="22"/>
              </w:rPr>
              <w:t>Diagnostic Imaging Clinical Committee (DICC)</w:t>
            </w:r>
            <w:r w:rsidRPr="00145497">
              <w:rPr>
                <w:rFonts w:ascii="Franklin Gothic Book" w:hAnsi="Franklin Gothic Book"/>
                <w:iCs/>
                <w:color w:val="auto"/>
                <w:sz w:val="22"/>
                <w:szCs w:val="22"/>
              </w:rPr>
              <w:t xml:space="preserve"> to</w:t>
            </w:r>
            <w:r>
              <w:t xml:space="preserve"> </w:t>
            </w:r>
            <w:r w:rsidRPr="006B6A80">
              <w:rPr>
                <w:rFonts w:ascii="Franklin Gothic Book" w:hAnsi="Franklin Gothic Book"/>
                <w:iCs/>
                <w:color w:val="auto"/>
                <w:sz w:val="22"/>
                <w:szCs w:val="22"/>
              </w:rPr>
              <w:t>creat</w:t>
            </w:r>
            <w:r>
              <w:rPr>
                <w:rFonts w:ascii="Franklin Gothic Book" w:hAnsi="Franklin Gothic Book"/>
                <w:iCs/>
                <w:color w:val="auto"/>
                <w:sz w:val="22"/>
                <w:szCs w:val="22"/>
              </w:rPr>
              <w:t>e</w:t>
            </w:r>
            <w:r w:rsidRPr="006B6A80">
              <w:rPr>
                <w:rFonts w:ascii="Franklin Gothic Book" w:hAnsi="Franklin Gothic Book"/>
                <w:iCs/>
                <w:color w:val="auto"/>
                <w:sz w:val="22"/>
                <w:szCs w:val="22"/>
              </w:rPr>
              <w:t xml:space="preserve"> a new MBS item for magnetic resonance imaging (MRI) of the liver for initial staging or restaging of hepatic metastases prior to treatment using interventional techniques.</w:t>
            </w:r>
          </w:p>
          <w:p w14:paraId="5F78C59B" w14:textId="7E965F54" w:rsidR="00D517FE" w:rsidRDefault="00241A9B" w:rsidP="00D517FE">
            <w:pPr>
              <w:pStyle w:val="Default"/>
              <w:spacing w:before="120" w:after="160"/>
              <w:rPr>
                <w:rFonts w:ascii="Franklin Gothic Book" w:hAnsi="Franklin Gothic Book"/>
                <w:iCs/>
                <w:color w:val="auto"/>
                <w:sz w:val="22"/>
                <w:szCs w:val="22"/>
              </w:rPr>
            </w:pPr>
            <w:r w:rsidRPr="00241A9B">
              <w:rPr>
                <w:rFonts w:ascii="Franklin Gothic Book" w:hAnsi="Franklin Gothic Book"/>
                <w:iCs/>
                <w:color w:val="auto"/>
                <w:sz w:val="22"/>
                <w:szCs w:val="22"/>
              </w:rPr>
              <w:t xml:space="preserve">MRI uses a powerful magnetic field, radio waves and a computer to produce detailed pictures of the inside of the body. </w:t>
            </w:r>
            <w:r w:rsidR="00D517FE">
              <w:rPr>
                <w:rFonts w:ascii="Franklin Gothic Book" w:hAnsi="Franklin Gothic Book"/>
                <w:iCs/>
                <w:color w:val="auto"/>
                <w:sz w:val="22"/>
                <w:szCs w:val="22"/>
              </w:rPr>
              <w:t>MRI of the liver, to</w:t>
            </w:r>
            <w:r w:rsidRPr="00241A9B">
              <w:rPr>
                <w:rFonts w:ascii="Franklin Gothic Book" w:hAnsi="Franklin Gothic Book"/>
                <w:iCs/>
                <w:color w:val="auto"/>
                <w:sz w:val="22"/>
                <w:szCs w:val="22"/>
              </w:rPr>
              <w:t xml:space="preserve"> help diagnose or monitor treatment for a variety of conditions, including liver cancer</w:t>
            </w:r>
            <w:r w:rsidR="00D517FE">
              <w:rPr>
                <w:rFonts w:ascii="Franklin Gothic Book" w:hAnsi="Franklin Gothic Book"/>
                <w:iCs/>
                <w:color w:val="auto"/>
                <w:sz w:val="22"/>
                <w:szCs w:val="22"/>
              </w:rPr>
              <w:t xml:space="preserve">, is currently MBS funded for </w:t>
            </w:r>
            <w:r w:rsidRPr="00241A9B">
              <w:rPr>
                <w:rFonts w:ascii="Franklin Gothic Book" w:hAnsi="Franklin Gothic Book"/>
                <w:iCs/>
                <w:color w:val="auto"/>
                <w:sz w:val="22"/>
                <w:szCs w:val="22"/>
              </w:rPr>
              <w:t>patients with known colorectal cancer with suspected or proven liver metastases (cancerous tumours that have spread, or metastasised, to the liver</w:t>
            </w:r>
            <w:r w:rsidR="003C1B7D">
              <w:rPr>
                <w:rFonts w:ascii="Franklin Gothic Book" w:hAnsi="Franklin Gothic Book"/>
                <w:iCs/>
                <w:color w:val="auto"/>
                <w:sz w:val="22"/>
                <w:szCs w:val="22"/>
              </w:rPr>
              <w:t>; MBS item 63545</w:t>
            </w:r>
            <w:r w:rsidRPr="00241A9B">
              <w:rPr>
                <w:rFonts w:ascii="Franklin Gothic Book" w:hAnsi="Franklin Gothic Book"/>
                <w:iCs/>
                <w:color w:val="auto"/>
                <w:sz w:val="22"/>
                <w:szCs w:val="22"/>
              </w:rPr>
              <w:t>) and patients with known or suspected hepatocellular carcinoma (a common type of liver cancer</w:t>
            </w:r>
            <w:r w:rsidR="003C1B7D">
              <w:rPr>
                <w:rFonts w:ascii="Franklin Gothic Book" w:hAnsi="Franklin Gothic Book"/>
                <w:iCs/>
                <w:color w:val="auto"/>
                <w:sz w:val="22"/>
                <w:szCs w:val="22"/>
              </w:rPr>
              <w:t xml:space="preserve">; MBS item </w:t>
            </w:r>
            <w:r w:rsidR="003C1B7D" w:rsidRPr="003C1B7D">
              <w:rPr>
                <w:rFonts w:ascii="Franklin Gothic Book" w:hAnsi="Franklin Gothic Book"/>
                <w:iCs/>
                <w:color w:val="auto"/>
                <w:sz w:val="22"/>
                <w:szCs w:val="22"/>
              </w:rPr>
              <w:t>63546</w:t>
            </w:r>
            <w:r w:rsidRPr="00241A9B">
              <w:rPr>
                <w:rFonts w:ascii="Franklin Gothic Book" w:hAnsi="Franklin Gothic Book"/>
                <w:iCs/>
                <w:color w:val="auto"/>
                <w:sz w:val="22"/>
                <w:szCs w:val="22"/>
              </w:rPr>
              <w:t xml:space="preserve">). </w:t>
            </w:r>
          </w:p>
          <w:p w14:paraId="61B2B1FB" w14:textId="09A36466" w:rsidR="00241A9B" w:rsidRPr="00241A9B" w:rsidRDefault="00D517FE" w:rsidP="005C134D">
            <w:pPr>
              <w:pStyle w:val="Default"/>
              <w:spacing w:before="120" w:after="160"/>
              <w:rPr>
                <w:rFonts w:ascii="Franklin Gothic Book" w:hAnsi="Franklin Gothic Book"/>
                <w:iCs/>
                <w:color w:val="auto"/>
                <w:sz w:val="22"/>
                <w:szCs w:val="22"/>
              </w:rPr>
            </w:pPr>
            <w:r>
              <w:rPr>
                <w:rFonts w:ascii="Franklin Gothic Book" w:hAnsi="Franklin Gothic Book"/>
                <w:iCs/>
                <w:color w:val="auto"/>
                <w:sz w:val="22"/>
                <w:szCs w:val="22"/>
              </w:rPr>
              <w:t xml:space="preserve">As part of a recent review of the MBS, the MBS Review Taskforce recommended that MRI of the liver should be MBS funded </w:t>
            </w:r>
            <w:r w:rsidR="00D742C5">
              <w:rPr>
                <w:rFonts w:ascii="Franklin Gothic Book" w:hAnsi="Franklin Gothic Book"/>
                <w:iCs/>
                <w:color w:val="auto"/>
                <w:sz w:val="22"/>
                <w:szCs w:val="22"/>
              </w:rPr>
              <w:t xml:space="preserve">for </w:t>
            </w:r>
            <w:r>
              <w:rPr>
                <w:rFonts w:ascii="Franklin Gothic Book" w:hAnsi="Franklin Gothic Book"/>
                <w:iCs/>
                <w:color w:val="auto"/>
                <w:sz w:val="22"/>
                <w:szCs w:val="22"/>
              </w:rPr>
              <w:t xml:space="preserve">all </w:t>
            </w:r>
            <w:r w:rsidR="00D742C5">
              <w:rPr>
                <w:rFonts w:ascii="Franklin Gothic Book" w:hAnsi="Franklin Gothic Book"/>
                <w:iCs/>
                <w:color w:val="auto"/>
                <w:sz w:val="22"/>
                <w:szCs w:val="22"/>
              </w:rPr>
              <w:t xml:space="preserve">cancer </w:t>
            </w:r>
            <w:r>
              <w:rPr>
                <w:rFonts w:ascii="Franklin Gothic Book" w:hAnsi="Franklin Gothic Book"/>
                <w:iCs/>
                <w:color w:val="auto"/>
                <w:sz w:val="22"/>
                <w:szCs w:val="22"/>
              </w:rPr>
              <w:t xml:space="preserve">patients with suspected or proven liver metastases. </w:t>
            </w:r>
          </w:p>
          <w:p w14:paraId="5C9B3A67" w14:textId="2BBAC498" w:rsidR="00570CF0" w:rsidRPr="00570CF0" w:rsidRDefault="00D742C5" w:rsidP="00241A9B">
            <w:pPr>
              <w:pStyle w:val="Default"/>
              <w:spacing w:before="120" w:after="160"/>
              <w:rPr>
                <w:rFonts w:ascii="Franklin Gothic Book" w:hAnsi="Franklin Gothic Book"/>
                <w:iCs/>
                <w:color w:val="auto"/>
                <w:sz w:val="22"/>
                <w:szCs w:val="22"/>
              </w:rPr>
            </w:pPr>
            <w:r>
              <w:rPr>
                <w:rFonts w:ascii="Franklin Gothic Book" w:hAnsi="Franklin Gothic Book"/>
                <w:iCs/>
                <w:color w:val="auto"/>
                <w:sz w:val="22"/>
                <w:szCs w:val="22"/>
              </w:rPr>
              <w:t xml:space="preserve">MSAC discussed the estimated additional number of patients who would access a liver MRI if the service was expanded to all cancer patients with suspected or proven liver metastases, and the costs to the MBS of these additional scans. MSAC </w:t>
            </w:r>
            <w:r w:rsidR="003C1B7D">
              <w:rPr>
                <w:rFonts w:ascii="Franklin Gothic Book" w:hAnsi="Franklin Gothic Book"/>
                <w:iCs/>
                <w:color w:val="auto"/>
                <w:sz w:val="22"/>
                <w:szCs w:val="22"/>
              </w:rPr>
              <w:t>agreed</w:t>
            </w:r>
            <w:r>
              <w:rPr>
                <w:rFonts w:ascii="Franklin Gothic Book" w:hAnsi="Franklin Gothic Book"/>
                <w:iCs/>
                <w:color w:val="auto"/>
                <w:sz w:val="22"/>
                <w:szCs w:val="22"/>
              </w:rPr>
              <w:t xml:space="preserve"> that liver MRI </w:t>
            </w:r>
            <w:r w:rsidR="003C1B7D">
              <w:rPr>
                <w:rFonts w:ascii="Franklin Gothic Book" w:hAnsi="Franklin Gothic Book"/>
                <w:iCs/>
                <w:color w:val="auto"/>
                <w:sz w:val="22"/>
                <w:szCs w:val="22"/>
              </w:rPr>
              <w:t xml:space="preserve">to help diagnose or monitor treatment in these patients </w:t>
            </w:r>
            <w:r w:rsidR="000932C9">
              <w:rPr>
                <w:rFonts w:ascii="Franklin Gothic Book" w:hAnsi="Franklin Gothic Book"/>
                <w:iCs/>
                <w:color w:val="auto"/>
                <w:sz w:val="22"/>
                <w:szCs w:val="22"/>
              </w:rPr>
              <w:t>is</w:t>
            </w:r>
            <w:r w:rsidR="003C1B7D">
              <w:rPr>
                <w:rFonts w:ascii="Franklin Gothic Book" w:hAnsi="Franklin Gothic Book"/>
                <w:iCs/>
                <w:color w:val="auto"/>
                <w:sz w:val="22"/>
                <w:szCs w:val="22"/>
              </w:rPr>
              <w:t xml:space="preserve"> best practice and therefore considered the estimated additional costs to the MBS to be reasonable. However, MSAC noted there was some uncertainty in the estimated number of patients who would access a liver MRI and recommended the utilisation be reviewed in 5 years. </w:t>
            </w:r>
          </w:p>
          <w:p w14:paraId="2AAD7912" w14:textId="6A5511DD" w:rsidR="00C27F3A" w:rsidRPr="002F28D5" w:rsidRDefault="00C27F3A" w:rsidP="00241A9B">
            <w:pPr>
              <w:pStyle w:val="Default"/>
              <w:spacing w:before="120" w:after="160"/>
              <w:rPr>
                <w:rFonts w:ascii="Franklin Gothic Book" w:hAnsi="Franklin Gothic Book"/>
                <w:b/>
                <w:color w:val="auto"/>
                <w:sz w:val="22"/>
                <w:szCs w:val="22"/>
              </w:rPr>
            </w:pPr>
            <w:r w:rsidRPr="002F28D5">
              <w:rPr>
                <w:rFonts w:ascii="Franklin Gothic Book" w:hAnsi="Franklin Gothic Book"/>
                <w:b/>
                <w:color w:val="auto"/>
                <w:sz w:val="22"/>
                <w:szCs w:val="22"/>
              </w:rPr>
              <w:t>MSAC’s advice to the Commonwealth Minister for Health</w:t>
            </w:r>
          </w:p>
          <w:p w14:paraId="5C0A5FA9" w14:textId="4DED69DA" w:rsidR="00C27F3A" w:rsidRPr="002F28D5" w:rsidRDefault="00241A9B" w:rsidP="000932C9">
            <w:pPr>
              <w:pStyle w:val="Default"/>
              <w:spacing w:before="120" w:after="160"/>
              <w:rPr>
                <w:rFonts w:ascii="Franklin Gothic Book" w:hAnsi="Franklin Gothic Book"/>
                <w:i/>
                <w:color w:val="auto"/>
                <w:sz w:val="22"/>
                <w:szCs w:val="22"/>
              </w:rPr>
            </w:pPr>
            <w:r w:rsidRPr="00241A9B">
              <w:rPr>
                <w:rFonts w:ascii="Franklin Gothic Book" w:hAnsi="Franklin Gothic Book"/>
                <w:iCs/>
                <w:color w:val="auto"/>
                <w:sz w:val="22"/>
                <w:szCs w:val="22"/>
              </w:rPr>
              <w:t>MSAC supported MBS</w:t>
            </w:r>
            <w:r w:rsidR="000932C9">
              <w:rPr>
                <w:rFonts w:ascii="Franklin Gothic Book" w:hAnsi="Franklin Gothic Book"/>
                <w:iCs/>
                <w:color w:val="auto"/>
                <w:sz w:val="22"/>
                <w:szCs w:val="22"/>
              </w:rPr>
              <w:t xml:space="preserve"> </w:t>
            </w:r>
            <w:r w:rsidRPr="00241A9B">
              <w:rPr>
                <w:rFonts w:ascii="Franklin Gothic Book" w:hAnsi="Franklin Gothic Book"/>
                <w:iCs/>
                <w:color w:val="auto"/>
                <w:sz w:val="22"/>
                <w:szCs w:val="22"/>
              </w:rPr>
              <w:t xml:space="preserve">funding of MRI of the liver, for </w:t>
            </w:r>
            <w:r w:rsidR="003C1B7D">
              <w:rPr>
                <w:rFonts w:ascii="Franklin Gothic Book" w:hAnsi="Franklin Gothic Book"/>
                <w:iCs/>
                <w:color w:val="auto"/>
                <w:sz w:val="22"/>
                <w:szCs w:val="22"/>
              </w:rPr>
              <w:t>patients with any cancer type with</w:t>
            </w:r>
            <w:r w:rsidR="003C1B7D">
              <w:t xml:space="preserve"> </w:t>
            </w:r>
            <w:r w:rsidR="003C1B7D" w:rsidRPr="003C1B7D">
              <w:rPr>
                <w:rFonts w:ascii="Franklin Gothic Book" w:hAnsi="Franklin Gothic Book"/>
                <w:iCs/>
                <w:color w:val="auto"/>
                <w:sz w:val="22"/>
                <w:szCs w:val="22"/>
              </w:rPr>
              <w:t>suspected or proven liver metastases</w:t>
            </w:r>
            <w:r w:rsidR="003C1B7D">
              <w:rPr>
                <w:rFonts w:ascii="Franklin Gothic Book" w:hAnsi="Franklin Gothic Book"/>
                <w:iCs/>
                <w:color w:val="auto"/>
                <w:sz w:val="22"/>
                <w:szCs w:val="22"/>
              </w:rPr>
              <w:t xml:space="preserve">, for </w:t>
            </w:r>
            <w:r w:rsidRPr="00241A9B">
              <w:rPr>
                <w:rFonts w:ascii="Franklin Gothic Book" w:hAnsi="Franklin Gothic Book"/>
                <w:iCs/>
                <w:color w:val="auto"/>
                <w:sz w:val="22"/>
                <w:szCs w:val="22"/>
              </w:rPr>
              <w:t xml:space="preserve">the evaluation of liver metastases for initial staging or restaging before treatment. </w:t>
            </w:r>
            <w:r w:rsidR="003C1B7D">
              <w:rPr>
                <w:rFonts w:ascii="Franklin Gothic Book" w:hAnsi="Franklin Gothic Book"/>
                <w:iCs/>
                <w:color w:val="auto"/>
                <w:sz w:val="22"/>
                <w:szCs w:val="22"/>
              </w:rPr>
              <w:t xml:space="preserve">MSAC recommended the utilisation of the MBS item be reviewed in 5 years. </w:t>
            </w:r>
          </w:p>
        </w:tc>
      </w:tr>
    </w:tbl>
    <w:p w14:paraId="70319C3C" w14:textId="4AF2E00E" w:rsidR="00C27F3A" w:rsidRPr="00C27F3A" w:rsidRDefault="00C27F3A" w:rsidP="00C27F3A">
      <w:pPr>
        <w:pStyle w:val="Heading2"/>
        <w:numPr>
          <w:ilvl w:val="0"/>
          <w:numId w:val="0"/>
        </w:numPr>
      </w:pPr>
      <w:r>
        <w:lastRenderedPageBreak/>
        <w:t>3.</w:t>
      </w:r>
      <w:r>
        <w:tab/>
      </w:r>
      <w:r w:rsidRPr="00C27F3A">
        <w:t xml:space="preserve">Summary of consideration and rationale for MSAC’s advice </w:t>
      </w:r>
    </w:p>
    <w:p w14:paraId="348D953E" w14:textId="520291F2" w:rsidR="00241A9B" w:rsidRDefault="00241A9B" w:rsidP="00241A9B">
      <w:r>
        <w:t>MSAC noted the MBS Review Taskforce</w:t>
      </w:r>
      <w:r w:rsidR="003C1B7D">
        <w:t xml:space="preserve">–DICC recommended creating </w:t>
      </w:r>
      <w:r>
        <w:t xml:space="preserve">a new MBS item for MRI of the liver </w:t>
      </w:r>
      <w:r w:rsidR="0043068B">
        <w:t xml:space="preserve">for patients with any oncological condition, for </w:t>
      </w:r>
      <w:r>
        <w:t xml:space="preserve">the evaluation of hepatic metastases for initial staging or restaging prior to treatment using interventional techniques. MSAC </w:t>
      </w:r>
      <w:r w:rsidR="003C1B7D">
        <w:t xml:space="preserve">recalled that </w:t>
      </w:r>
      <w:r w:rsidR="00946116">
        <w:t xml:space="preserve">it </w:t>
      </w:r>
      <w:r w:rsidR="003C1B7D">
        <w:t xml:space="preserve">had previously </w:t>
      </w:r>
      <w:r>
        <w:t xml:space="preserve">supported </w:t>
      </w:r>
      <w:r w:rsidR="0043068B">
        <w:t xml:space="preserve">MBS </w:t>
      </w:r>
      <w:r>
        <w:t xml:space="preserve">funding </w:t>
      </w:r>
      <w:r w:rsidR="0043068B">
        <w:t xml:space="preserve">of liver MRI </w:t>
      </w:r>
      <w:r>
        <w:t xml:space="preserve">for two </w:t>
      </w:r>
      <w:r w:rsidR="0043068B">
        <w:t xml:space="preserve">oncological </w:t>
      </w:r>
      <w:r>
        <w:t>populations: patients with known colorectal cancer (CRC) with suspected or proven liver metastases (MBS item 63545) and patients with known or suspected hepatocellular carcinoma (HCC</w:t>
      </w:r>
      <w:r w:rsidR="00EC6AFB">
        <w:t xml:space="preserve">; </w:t>
      </w:r>
      <w:r>
        <w:t xml:space="preserve">MBS item 63546).  </w:t>
      </w:r>
      <w:r w:rsidR="0043068B">
        <w:t>Following the advice of the</w:t>
      </w:r>
      <w:r>
        <w:t xml:space="preserve"> MSAC Executive</w:t>
      </w:r>
      <w:r w:rsidR="0043068B">
        <w:t>, application 1683 seeks MSAC advice on the potential utilisation and financial impact to the MB</w:t>
      </w:r>
      <w:r w:rsidR="00E9365A">
        <w:t>S</w:t>
      </w:r>
      <w:r w:rsidR="0043068B">
        <w:t xml:space="preserve"> as a result of creating a new MBS item for liver MRI </w:t>
      </w:r>
      <w:r w:rsidR="00EC6AFB">
        <w:t>for</w:t>
      </w:r>
      <w:r w:rsidR="0043068B">
        <w:t xml:space="preserve"> patients with any other oncological condition</w:t>
      </w:r>
      <w:r w:rsidR="0043068B" w:rsidRPr="0043068B">
        <w:t xml:space="preserve"> with suspected or proven liver metastases</w:t>
      </w:r>
      <w:r w:rsidR="00EC6AFB">
        <w:t>.</w:t>
      </w:r>
      <w:r w:rsidR="0043068B">
        <w:t xml:space="preserve"> </w:t>
      </w:r>
      <w:r>
        <w:t xml:space="preserve"> </w:t>
      </w:r>
    </w:p>
    <w:p w14:paraId="36A32C7D" w14:textId="7316AB32" w:rsidR="00241A9B" w:rsidRDefault="00241A9B" w:rsidP="00EC6AFB">
      <w:r>
        <w:rPr>
          <w:rStyle w:val="normaltextrun"/>
          <w:shd w:val="clear" w:color="auto" w:fill="FFFFFF"/>
          <w:lang w:val="en-US"/>
        </w:rPr>
        <w:t xml:space="preserve">MSAC </w:t>
      </w:r>
      <w:r w:rsidR="00EC6AFB">
        <w:rPr>
          <w:rStyle w:val="normaltextrun"/>
          <w:shd w:val="clear" w:color="auto" w:fill="FFFFFF"/>
          <w:lang w:val="en-US"/>
        </w:rPr>
        <w:t xml:space="preserve">recalled </w:t>
      </w:r>
      <w:r>
        <w:rPr>
          <w:rStyle w:val="normaltextrun"/>
          <w:shd w:val="clear" w:color="auto" w:fill="FFFFFF"/>
          <w:lang w:val="en-US"/>
        </w:rPr>
        <w:t>it had previously accepted MRI of the liver as “a safe, non-invasive imaging technique for patients who are not contraindicated”.</w:t>
      </w:r>
      <w:r>
        <w:rPr>
          <w:rStyle w:val="eop"/>
          <w:shd w:val="clear" w:color="auto" w:fill="FFFFFF"/>
        </w:rPr>
        <w:t> </w:t>
      </w:r>
      <w:r w:rsidR="00EC6AFB">
        <w:rPr>
          <w:rStyle w:val="eop"/>
          <w:shd w:val="clear" w:color="auto" w:fill="FFFFFF"/>
        </w:rPr>
        <w:t xml:space="preserve">MSAC agreed with the </w:t>
      </w:r>
      <w:r w:rsidR="00EC6AFB">
        <w:t xml:space="preserve">MBS Review Taskforce–DICC </w:t>
      </w:r>
      <w:r w:rsidR="00EC6AFB">
        <w:rPr>
          <w:rStyle w:val="eop"/>
          <w:shd w:val="clear" w:color="auto" w:fill="FFFFFF"/>
        </w:rPr>
        <w:t xml:space="preserve">that liver MRI for </w:t>
      </w:r>
      <w:r w:rsidR="00EC6AFB">
        <w:t xml:space="preserve">diagnosis, initial staging and/or restaging prior to treatment </w:t>
      </w:r>
      <w:r w:rsidR="00EC6AFB">
        <w:rPr>
          <w:rStyle w:val="eop"/>
          <w:shd w:val="clear" w:color="auto" w:fill="FFFFFF"/>
        </w:rPr>
        <w:t xml:space="preserve">is best practice for patients with any oncological condition </w:t>
      </w:r>
      <w:r w:rsidR="00EC6AFB" w:rsidRPr="00EC6AFB">
        <w:rPr>
          <w:rStyle w:val="eop"/>
          <w:shd w:val="clear" w:color="auto" w:fill="FFFFFF"/>
        </w:rPr>
        <w:t>with suspected or proven liver metastases</w:t>
      </w:r>
      <w:r w:rsidR="000932C9">
        <w:rPr>
          <w:rStyle w:val="eop"/>
          <w:shd w:val="clear" w:color="auto" w:fill="FFFFFF"/>
        </w:rPr>
        <w:t xml:space="preserve"> (not just patients with CRC or HCC)</w:t>
      </w:r>
      <w:r w:rsidR="00EC6AFB">
        <w:rPr>
          <w:rStyle w:val="eop"/>
          <w:shd w:val="clear" w:color="auto" w:fill="FFFFFF"/>
        </w:rPr>
        <w:t>. MSAC also agreed that</w:t>
      </w:r>
      <w:r w:rsidR="00EC6AFB" w:rsidRPr="00EC6AFB">
        <w:rPr>
          <w:rStyle w:val="eop"/>
          <w:shd w:val="clear" w:color="auto" w:fill="FFFFFF"/>
        </w:rPr>
        <w:t xml:space="preserve"> best practice should be encouraged through discussion with the</w:t>
      </w:r>
      <w:r w:rsidR="00EC6AFB">
        <w:rPr>
          <w:rStyle w:val="eop"/>
          <w:shd w:val="clear" w:color="auto" w:fill="FFFFFF"/>
        </w:rPr>
        <w:t xml:space="preserve"> </w:t>
      </w:r>
      <w:r w:rsidR="00EC6AFB" w:rsidRPr="00EC6AFB">
        <w:rPr>
          <w:rStyle w:val="eop"/>
          <w:shd w:val="clear" w:color="auto" w:fill="FFFFFF"/>
        </w:rPr>
        <w:t xml:space="preserve">patient, giving consideration to the value of </w:t>
      </w:r>
      <w:r w:rsidR="00514112">
        <w:rPr>
          <w:rStyle w:val="eop"/>
          <w:shd w:val="clear" w:color="auto" w:fill="FFFFFF"/>
        </w:rPr>
        <w:t xml:space="preserve">input regarding patient management from a properly constituted </w:t>
      </w:r>
      <w:r w:rsidR="00EC6AFB" w:rsidRPr="00EC6AFB">
        <w:rPr>
          <w:rStyle w:val="eop"/>
          <w:shd w:val="clear" w:color="auto" w:fill="FFFFFF"/>
        </w:rPr>
        <w:t>multidisciplinary team (MDT).</w:t>
      </w:r>
      <w:r w:rsidR="00E9365A">
        <w:rPr>
          <w:rStyle w:val="eop"/>
          <w:shd w:val="clear" w:color="auto" w:fill="FFFFFF"/>
        </w:rPr>
        <w:t xml:space="preserve"> However, instead of creating a new MBS item, MSAC recommended that MBS item 63545 for liver MRI for patients with CRC be amended to include all oncological conditions.</w:t>
      </w:r>
    </w:p>
    <w:p w14:paraId="74AE3787" w14:textId="46F08E7D" w:rsidR="00241A9B" w:rsidRDefault="00241A9B" w:rsidP="00241A9B">
      <w:r>
        <w:t>MSAC noted that a market-share approach</w:t>
      </w:r>
      <w:r w:rsidR="00514112">
        <w:t xml:space="preserve"> </w:t>
      </w:r>
      <w:r>
        <w:t xml:space="preserve">was used to estimate the </w:t>
      </w:r>
      <w:r w:rsidR="00514112">
        <w:t xml:space="preserve">utilisation and </w:t>
      </w:r>
      <w:r>
        <w:t>financial implications of funding liver MRI in patients with extra-hepatic primary tumours (non-CRC and non-HCC) with suspected liver metastases</w:t>
      </w:r>
      <w:r w:rsidR="00514112">
        <w:t xml:space="preserve">. </w:t>
      </w:r>
      <w:r>
        <w:t xml:space="preserve">MSAC noted the </w:t>
      </w:r>
      <w:r w:rsidR="00514112">
        <w:t xml:space="preserve">current utilisation of MBS item 63545 (liver MRI for patients with </w:t>
      </w:r>
      <w:r>
        <w:t>CRC</w:t>
      </w:r>
      <w:r w:rsidR="00514112">
        <w:t>) was used to ‘scale up’ and estimate</w:t>
      </w:r>
      <w:r>
        <w:t xml:space="preserve"> the </w:t>
      </w:r>
      <w:r w:rsidR="00514112">
        <w:t>‘</w:t>
      </w:r>
      <w:r>
        <w:t>all other primary tumours</w:t>
      </w:r>
      <w:r w:rsidR="00514112">
        <w:t>’</w:t>
      </w:r>
      <w:r>
        <w:t xml:space="preserve"> with liver metastases requiring an MRI</w:t>
      </w:r>
      <w:r w:rsidR="00514112">
        <w:t xml:space="preserve"> based on the assumption that patients with CRC represents approximately 30% of all primary extra hepatic tumours. Based on this assumption, it was estimated that an additional 4,881 patients would receive a liver MRI in year 1, increasing to </w:t>
      </w:r>
      <w:r w:rsidR="00514112" w:rsidRPr="00514112">
        <w:t>6,230</w:t>
      </w:r>
      <w:r w:rsidR="00514112">
        <w:t xml:space="preserve"> patients in year 6. </w:t>
      </w:r>
      <w:r w:rsidR="00F92C98" w:rsidRPr="00F92C98">
        <w:t xml:space="preserve">This would result in a total </w:t>
      </w:r>
      <w:r w:rsidR="00F92C98">
        <w:t xml:space="preserve">net </w:t>
      </w:r>
      <w:r w:rsidR="00F92C98" w:rsidRPr="00F92C98">
        <w:t>cost to the MBS of $20,513,946</w:t>
      </w:r>
      <w:r w:rsidR="00F92C98">
        <w:t xml:space="preserve"> </w:t>
      </w:r>
      <w:r w:rsidR="00F92C98" w:rsidRPr="00F92C98">
        <w:t xml:space="preserve">over </w:t>
      </w:r>
      <w:r w:rsidR="00F92C98">
        <w:t>6</w:t>
      </w:r>
      <w:r w:rsidR="00946116">
        <w:t> </w:t>
      </w:r>
      <w:r w:rsidR="00F92C98" w:rsidRPr="00F92C98">
        <w:t>years</w:t>
      </w:r>
      <w:r w:rsidR="00F92C98">
        <w:t>.</w:t>
      </w:r>
    </w:p>
    <w:p w14:paraId="29ECF999" w14:textId="619831DE" w:rsidR="00241A9B" w:rsidRDefault="00241A9B" w:rsidP="00241A9B">
      <w:r>
        <w:t>MSAC noted that the sensitivity analys</w:t>
      </w:r>
      <w:r w:rsidR="00F92C98">
        <w:t>e</w:t>
      </w:r>
      <w:r>
        <w:t>s suggest</w:t>
      </w:r>
      <w:r w:rsidR="00E9365A">
        <w:t>ed</w:t>
      </w:r>
      <w:r>
        <w:t xml:space="preserve"> the net cost to the MBS was sensitive to the upscaling estimates and could range from $8,804,269 million to $35,217,075 million over 6</w:t>
      </w:r>
      <w:r w:rsidR="00946116">
        <w:t> </w:t>
      </w:r>
      <w:r>
        <w:t>years</w:t>
      </w:r>
      <w:r w:rsidR="00F92C98">
        <w:t xml:space="preserve">, if CRC is assumed to represent 50% or 80% of </w:t>
      </w:r>
      <w:r w:rsidR="00F92C98" w:rsidRPr="00F92C98">
        <w:t>all primary extra hepatic tumours</w:t>
      </w:r>
      <w:r w:rsidR="00F92C98">
        <w:t xml:space="preserve"> respectively. </w:t>
      </w:r>
      <w:r>
        <w:t xml:space="preserve">MSAC </w:t>
      </w:r>
      <w:r w:rsidR="00F92C98">
        <w:t xml:space="preserve">also </w:t>
      </w:r>
      <w:r>
        <w:t xml:space="preserve">noted the Department analysis on the actual utilisation of MRI for CRC (MBS item 63545) is significantly less than what was </w:t>
      </w:r>
      <w:r w:rsidR="005C134D">
        <w:t xml:space="preserve">originally </w:t>
      </w:r>
      <w:r>
        <w:t xml:space="preserve">predicted. </w:t>
      </w:r>
      <w:r w:rsidR="00EF4C12">
        <w:t>T</w:t>
      </w:r>
      <w:r>
        <w:t xml:space="preserve">he predicted utilisation </w:t>
      </w:r>
      <w:r w:rsidR="00EF4C12">
        <w:t xml:space="preserve">for Year 1 (2018–19) </w:t>
      </w:r>
      <w:r>
        <w:t xml:space="preserve">was 1,646 but the actual </w:t>
      </w:r>
      <w:r w:rsidR="00EF4C12">
        <w:t xml:space="preserve">utilisation </w:t>
      </w:r>
      <w:r>
        <w:t xml:space="preserve">was 353. </w:t>
      </w:r>
      <w:r w:rsidR="00EF4C12">
        <w:t>Similarly, the predicted utilisation i</w:t>
      </w:r>
      <w:r>
        <w:t>n Year 3 (2020–21)</w:t>
      </w:r>
      <w:r w:rsidR="005C134D" w:rsidRPr="005C134D">
        <w:t xml:space="preserve"> </w:t>
      </w:r>
      <w:r>
        <w:t xml:space="preserve">was 10,889 </w:t>
      </w:r>
      <w:r w:rsidR="005C134D">
        <w:t>but the actual utilisation was</w:t>
      </w:r>
      <w:r>
        <w:t xml:space="preserve"> 2,095. </w:t>
      </w:r>
      <w:r w:rsidR="00F92C98">
        <w:t>Although, the estimates for expanding liver MRI to all other oncological conditions were based on the current (i.e. actual) utilisation of MBS item 63545</w:t>
      </w:r>
      <w:r w:rsidR="005C134D">
        <w:t xml:space="preserve"> (2,095 in 2020-2021)</w:t>
      </w:r>
      <w:r w:rsidR="00F92C98">
        <w:t>, MSAC noted th</w:t>
      </w:r>
      <w:r w:rsidR="00E9365A">
        <w:t>ere remained uncertainty in the estimated u</w:t>
      </w:r>
      <w:r w:rsidR="00F92C98">
        <w:t>tilisation</w:t>
      </w:r>
      <w:r w:rsidR="00E9365A">
        <w:t xml:space="preserve"> and financial impact to the MBS. Therefore, MSAC recommended the utilisation be reviewed 5 years after listing. </w:t>
      </w:r>
    </w:p>
    <w:p w14:paraId="6710B69D" w14:textId="78ABCD5E" w:rsidR="00772829" w:rsidRDefault="00C27F3A" w:rsidP="002A18BE">
      <w:pPr>
        <w:pStyle w:val="Heading2"/>
        <w:numPr>
          <w:ilvl w:val="0"/>
          <w:numId w:val="0"/>
        </w:numPr>
      </w:pPr>
      <w:bookmarkStart w:id="2" w:name="_Toc85450800"/>
      <w:bookmarkEnd w:id="1"/>
      <w:r>
        <w:t>4</w:t>
      </w:r>
      <w:r w:rsidR="00C36633">
        <w:t>.</w:t>
      </w:r>
      <w:r w:rsidR="00C36633">
        <w:tab/>
      </w:r>
      <w:r w:rsidR="00772829" w:rsidRPr="00CE28E3">
        <w:t>Background</w:t>
      </w:r>
      <w:bookmarkEnd w:id="2"/>
    </w:p>
    <w:p w14:paraId="29731596" w14:textId="0683D89B" w:rsidR="00BD09C4" w:rsidRDefault="00BD09C4" w:rsidP="00BD09C4">
      <w:r>
        <w:t xml:space="preserve">MSAC has previously considered </w:t>
      </w:r>
      <w:r w:rsidR="002D46F6">
        <w:t xml:space="preserve">and supported </w:t>
      </w:r>
      <w:r w:rsidRPr="00C722F0">
        <w:t>MRI of</w:t>
      </w:r>
      <w:r w:rsidR="00EF4C12">
        <w:t xml:space="preserve"> the</w:t>
      </w:r>
      <w:r w:rsidRPr="00C722F0">
        <w:t xml:space="preserve"> liver for patients with CRC with suspected hepatic metastases or patients with suspected HCC for the purposes of staging</w:t>
      </w:r>
      <w:r>
        <w:t xml:space="preserve"> (</w:t>
      </w:r>
      <w:hyperlink r:id="rId9" w:history="1">
        <w:r w:rsidRPr="00D04B6F">
          <w:rPr>
            <w:rStyle w:val="Hyperlink"/>
          </w:rPr>
          <w:t>MSAC application 1372.1</w:t>
        </w:r>
      </w:hyperlink>
      <w:r>
        <w:t xml:space="preserve">). </w:t>
      </w:r>
    </w:p>
    <w:p w14:paraId="774404F6" w14:textId="4DF8A13C" w:rsidR="00BD09C4" w:rsidRPr="001D0442" w:rsidRDefault="002D46F6" w:rsidP="00BD09C4">
      <w:pPr>
        <w:rPr>
          <w:rFonts w:cstheme="minorHAnsi"/>
        </w:rPr>
      </w:pPr>
      <w:r>
        <w:rPr>
          <w:rFonts w:cstheme="minorHAnsi"/>
        </w:rPr>
        <w:lastRenderedPageBreak/>
        <w:t>In 2018, t</w:t>
      </w:r>
      <w:r w:rsidR="00BD09C4" w:rsidRPr="00B505F6">
        <w:rPr>
          <w:rFonts w:cstheme="minorHAnsi"/>
        </w:rPr>
        <w:t xml:space="preserve">he </w:t>
      </w:r>
      <w:r w:rsidR="001D0442" w:rsidRPr="001D0442">
        <w:rPr>
          <w:rFonts w:cstheme="minorHAnsi"/>
        </w:rPr>
        <w:t xml:space="preserve">MBS Review Taskforce </w:t>
      </w:r>
      <w:r>
        <w:rPr>
          <w:rFonts w:cstheme="minorHAnsi"/>
        </w:rPr>
        <w:t xml:space="preserve">– DICC </w:t>
      </w:r>
      <w:r w:rsidR="00BD09C4" w:rsidRPr="00B505F6">
        <w:rPr>
          <w:rFonts w:cstheme="minorHAnsi"/>
        </w:rPr>
        <w:t xml:space="preserve"> agreed that a service is required for MRI of the liver for additional oncologic indications</w:t>
      </w:r>
      <w:r>
        <w:rPr>
          <w:rFonts w:cstheme="minorHAnsi"/>
        </w:rPr>
        <w:t xml:space="preserve"> and</w:t>
      </w:r>
      <w:r w:rsidR="00BD09C4">
        <w:t xml:space="preserve"> recommended</w:t>
      </w:r>
      <w:r w:rsidR="00BD09C4" w:rsidRPr="00DD1F4E">
        <w:t xml:space="preserve"> </w:t>
      </w:r>
      <w:r w:rsidR="00BD09C4">
        <w:t>c</w:t>
      </w:r>
      <w:r w:rsidR="00BD09C4" w:rsidRPr="003B571A">
        <w:t>reat</w:t>
      </w:r>
      <w:r w:rsidR="00BD09C4">
        <w:t>ing</w:t>
      </w:r>
      <w:r w:rsidR="00BD09C4" w:rsidRPr="003B571A">
        <w:t xml:space="preserve"> a new item for MRI of the liver for the evaluation of hepatic metastases for initial staging or restaging prior to treatment using interventional techniques</w:t>
      </w:r>
      <w:r>
        <w:t xml:space="preserve"> </w:t>
      </w:r>
      <w:r>
        <w:rPr>
          <w:rFonts w:eastAsia="Calibri"/>
        </w:rPr>
        <w:t xml:space="preserve">(Recommendation 22, </w:t>
      </w:r>
      <w:proofErr w:type="spellStart"/>
      <w:r>
        <w:rPr>
          <w:rFonts w:eastAsia="Calibri"/>
        </w:rPr>
        <w:t>pg</w:t>
      </w:r>
      <w:proofErr w:type="spellEnd"/>
      <w:r>
        <w:rPr>
          <w:rFonts w:eastAsia="Calibri"/>
        </w:rPr>
        <w:t xml:space="preserve"> 109 of </w:t>
      </w:r>
      <w:hyperlink r:id="rId10" w:history="1">
        <w:r w:rsidRPr="00524BED">
          <w:rPr>
            <w:rStyle w:val="Hyperlink"/>
            <w:rFonts w:eastAsia="Calibri"/>
          </w:rPr>
          <w:t xml:space="preserve">MBS Review Taskforce </w:t>
        </w:r>
        <w:r w:rsidR="00524BED" w:rsidRPr="00524BED">
          <w:rPr>
            <w:rStyle w:val="Hyperlink"/>
            <w:rFonts w:eastAsia="Calibri"/>
          </w:rPr>
          <w:t xml:space="preserve">Final </w:t>
        </w:r>
        <w:r w:rsidRPr="00524BED">
          <w:rPr>
            <w:rStyle w:val="Hyperlink"/>
            <w:rFonts w:eastAsia="Calibri"/>
          </w:rPr>
          <w:t xml:space="preserve">Report from the DICC </w:t>
        </w:r>
        <w:r w:rsidR="00524BED" w:rsidRPr="00524BED">
          <w:rPr>
            <w:rStyle w:val="Hyperlink"/>
            <w:rFonts w:eastAsia="Calibri"/>
          </w:rPr>
          <w:t>Recommendations</w:t>
        </w:r>
      </w:hyperlink>
      <w:r>
        <w:rPr>
          <w:rFonts w:eastAsia="Calibri"/>
        </w:rPr>
        <w:t>)</w:t>
      </w:r>
      <w:r w:rsidRPr="008E314E">
        <w:rPr>
          <w:rFonts w:eastAsia="Calibri"/>
        </w:rPr>
        <w:t>.</w:t>
      </w:r>
      <w:r w:rsidR="00BD09C4">
        <w:t xml:space="preserve"> </w:t>
      </w:r>
    </w:p>
    <w:p w14:paraId="68C00455" w14:textId="70DB2E3D" w:rsidR="00BD09C4" w:rsidRPr="00BD09C4" w:rsidRDefault="002D46F6" w:rsidP="00BD09C4">
      <w:r w:rsidRPr="008E314E">
        <w:rPr>
          <w:rFonts w:eastAsia="Calibri"/>
        </w:rPr>
        <w:t xml:space="preserve">The </w:t>
      </w:r>
      <w:r>
        <w:rPr>
          <w:rFonts w:eastAsia="Calibri"/>
        </w:rPr>
        <w:t>DICC recommend</w:t>
      </w:r>
      <w:r w:rsidR="00EF4C12">
        <w:rPr>
          <w:rFonts w:eastAsia="Calibri"/>
        </w:rPr>
        <w:t xml:space="preserve">ation to create a new liver MRI item for all other oncological conditions </w:t>
      </w:r>
      <w:r>
        <w:rPr>
          <w:rFonts w:eastAsia="Calibri"/>
        </w:rPr>
        <w:t xml:space="preserve">was presented to the </w:t>
      </w:r>
      <w:r w:rsidRPr="008E314E">
        <w:rPr>
          <w:rFonts w:eastAsia="Calibri"/>
        </w:rPr>
        <w:t xml:space="preserve">MSAC Executive </w:t>
      </w:r>
      <w:r>
        <w:rPr>
          <w:rFonts w:eastAsia="Calibri"/>
        </w:rPr>
        <w:t xml:space="preserve">in 2021. </w:t>
      </w:r>
      <w:r w:rsidR="00BD09C4" w:rsidRPr="00382D3B">
        <w:t>The MSAC Executive noted that</w:t>
      </w:r>
      <w:r w:rsidR="00BD09C4">
        <w:t xml:space="preserve"> the</w:t>
      </w:r>
      <w:r w:rsidR="00BD09C4" w:rsidRPr="00382D3B">
        <w:t xml:space="preserve"> proposed </w:t>
      </w:r>
      <w:r w:rsidR="00BD09C4">
        <w:t xml:space="preserve">liver MRI </w:t>
      </w:r>
      <w:r w:rsidR="00BD09C4" w:rsidRPr="00382D3B">
        <w:t>item could be used in a potentially large patient population</w:t>
      </w:r>
      <w:r w:rsidR="00BD09C4">
        <w:t xml:space="preserve"> and that </w:t>
      </w:r>
      <w:r w:rsidR="00BD09C4" w:rsidRPr="00BD09C4">
        <w:t xml:space="preserve">information on the utilisation and potential net financial impact to the MBS </w:t>
      </w:r>
      <w:r w:rsidRPr="006F1D7A">
        <w:rPr>
          <w:rFonts w:eastAsia="Calibri"/>
        </w:rPr>
        <w:t>should be presented to MSAC</w:t>
      </w:r>
      <w:r>
        <w:rPr>
          <w:rFonts w:eastAsia="Calibri"/>
        </w:rPr>
        <w:t>.</w:t>
      </w:r>
    </w:p>
    <w:p w14:paraId="6F52500A" w14:textId="7F9DB672" w:rsidR="00772829" w:rsidRDefault="00C27F3A" w:rsidP="002A18BE">
      <w:pPr>
        <w:pStyle w:val="Heading2"/>
        <w:numPr>
          <w:ilvl w:val="0"/>
          <w:numId w:val="0"/>
        </w:numPr>
      </w:pPr>
      <w:bookmarkStart w:id="3" w:name="ColumnTitle_Table1"/>
      <w:bookmarkStart w:id="4" w:name="_Toc85450801"/>
      <w:bookmarkEnd w:id="3"/>
      <w:r>
        <w:t>5</w:t>
      </w:r>
      <w:r w:rsidR="00C36633">
        <w:t>.</w:t>
      </w:r>
      <w:r w:rsidR="00C36633">
        <w:tab/>
      </w:r>
      <w:r w:rsidR="00772829" w:rsidRPr="00CE28E3">
        <w:t>Prerequisites to implementation of any funding advice</w:t>
      </w:r>
      <w:bookmarkEnd w:id="4"/>
    </w:p>
    <w:p w14:paraId="14DB35A6" w14:textId="77777777" w:rsidR="002D46F6" w:rsidRPr="008E314E" w:rsidRDefault="002D46F6" w:rsidP="002D46F6">
      <w:pPr>
        <w:rPr>
          <w:rFonts w:eastAsia="Calibri"/>
        </w:rPr>
      </w:pPr>
      <w:r w:rsidRPr="008E314E">
        <w:rPr>
          <w:rFonts w:eastAsia="Calibri"/>
        </w:rPr>
        <w:t xml:space="preserve">MRI devices </w:t>
      </w:r>
      <w:r>
        <w:rPr>
          <w:rFonts w:eastAsia="Calibri"/>
        </w:rPr>
        <w:t xml:space="preserve">and contrast agents for clinical MRI </w:t>
      </w:r>
      <w:r w:rsidRPr="008E314E">
        <w:rPr>
          <w:rFonts w:eastAsia="Calibri"/>
        </w:rPr>
        <w:t>are included on the Australian Register of Therapeutic Goods (ARTG).</w:t>
      </w:r>
    </w:p>
    <w:p w14:paraId="44C3B242" w14:textId="55822740" w:rsidR="00772829" w:rsidRPr="00CE28E3" w:rsidRDefault="00C27F3A" w:rsidP="002A18BE">
      <w:pPr>
        <w:pStyle w:val="Heading2"/>
        <w:numPr>
          <w:ilvl w:val="0"/>
          <w:numId w:val="0"/>
        </w:numPr>
      </w:pPr>
      <w:bookmarkStart w:id="5" w:name="_Toc85450802"/>
      <w:r>
        <w:t>6</w:t>
      </w:r>
      <w:r w:rsidR="00C36633">
        <w:t>.</w:t>
      </w:r>
      <w:r w:rsidR="00C36633">
        <w:tab/>
      </w:r>
      <w:r w:rsidR="00772829" w:rsidRPr="00CE28E3">
        <w:t>Proposal for public funding</w:t>
      </w:r>
      <w:bookmarkEnd w:id="5"/>
    </w:p>
    <w:p w14:paraId="4D78668A" w14:textId="2399B4CA" w:rsidR="005D518E" w:rsidRPr="00DC76B9" w:rsidRDefault="00524BED" w:rsidP="005D518E">
      <w:pPr>
        <w:pStyle w:val="Instructionaltext"/>
        <w:rPr>
          <w:color w:val="auto"/>
        </w:rPr>
      </w:pPr>
      <w:bookmarkStart w:id="6" w:name="_Hlk85450764"/>
      <w:bookmarkStart w:id="7" w:name="_Hlk82521054"/>
      <w:r>
        <w:rPr>
          <w:rFonts w:eastAsia="Calibri"/>
          <w:color w:val="auto"/>
        </w:rPr>
        <w:t>The proposed new</w:t>
      </w:r>
      <w:r w:rsidR="00F25984" w:rsidRPr="00DC76B9">
        <w:rPr>
          <w:color w:val="auto"/>
        </w:rPr>
        <w:t xml:space="preserve"> MBS item for initial </w:t>
      </w:r>
      <w:r w:rsidR="00B279F6" w:rsidRPr="00DC76B9">
        <w:rPr>
          <w:color w:val="auto"/>
        </w:rPr>
        <w:t xml:space="preserve">and </w:t>
      </w:r>
      <w:r w:rsidR="00B279F6" w:rsidRPr="00C27F3A">
        <w:rPr>
          <w:color w:val="auto"/>
        </w:rPr>
        <w:t xml:space="preserve">restaging </w:t>
      </w:r>
      <w:r w:rsidR="00F25984" w:rsidRPr="00C27F3A">
        <w:rPr>
          <w:color w:val="auto"/>
        </w:rPr>
        <w:t>(</w:t>
      </w:r>
      <w:r w:rsidR="00946116">
        <w:rPr>
          <w:color w:val="auto"/>
        </w:rPr>
        <w:t>Table 1</w:t>
      </w:r>
      <w:r w:rsidR="00F25984" w:rsidRPr="00C27F3A">
        <w:rPr>
          <w:color w:val="auto"/>
        </w:rPr>
        <w:t xml:space="preserve">) of </w:t>
      </w:r>
      <w:r w:rsidR="00F25984" w:rsidRPr="00DC76B9">
        <w:rPr>
          <w:color w:val="auto"/>
        </w:rPr>
        <w:t xml:space="preserve">suspected hepatic metastases in patients without CRC </w:t>
      </w:r>
      <w:r>
        <w:rPr>
          <w:color w:val="auto"/>
        </w:rPr>
        <w:t>is presented below</w:t>
      </w:r>
      <w:r w:rsidR="00F25984" w:rsidRPr="00DC76B9">
        <w:rPr>
          <w:color w:val="auto"/>
        </w:rPr>
        <w:t>.</w:t>
      </w:r>
    </w:p>
    <w:bookmarkEnd w:id="6"/>
    <w:p w14:paraId="19EC3EC6" w14:textId="527D710B" w:rsidR="00F25984" w:rsidRPr="00D76D20" w:rsidRDefault="00524BED" w:rsidP="00524BED">
      <w:pPr>
        <w:pStyle w:val="Caption"/>
        <w:rPr>
          <w:highlight w:val="yellow"/>
        </w:rPr>
      </w:pPr>
      <w:r>
        <w:t xml:space="preserve">Table </w:t>
      </w:r>
      <w:fldSimple w:instr=" SEQ Table \* ARABIC ">
        <w:r>
          <w:rPr>
            <w:noProof/>
          </w:rPr>
          <w:t>1</w:t>
        </w:r>
      </w:fldSimple>
      <w:r>
        <w:t xml:space="preserve"> P</w:t>
      </w:r>
      <w:r w:rsidR="00F25984" w:rsidRPr="00D82B6E">
        <w:t xml:space="preserve">roposed </w:t>
      </w:r>
      <w:r>
        <w:t xml:space="preserve">new </w:t>
      </w:r>
      <w:r w:rsidR="00F25984" w:rsidRPr="00D82B6E">
        <w:t xml:space="preserve">MBS item for </w:t>
      </w:r>
      <w:r w:rsidR="00F25984">
        <w:t xml:space="preserve">MRI of the liver for initial and </w:t>
      </w:r>
      <w:r w:rsidR="00F25984" w:rsidRPr="00D82B6E">
        <w:t>re-staging</w:t>
      </w:r>
      <w:r w:rsidR="00F25984">
        <w:t xml:space="preserve"> of suspected hepatic metastases prior to intervention, in patients without CRC or HCC</w:t>
      </w:r>
    </w:p>
    <w:tbl>
      <w:tblPr>
        <w:tblStyle w:val="TableGrid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Proposed new MBS item for MRI of the liver for initial and re-staging of suspected hepatic metastases prior to intervention, in patients without CRC or HCC"/>
      </w:tblPr>
      <w:tblGrid>
        <w:gridCol w:w="9016"/>
      </w:tblGrid>
      <w:tr w:rsidR="00F25984" w:rsidRPr="00354DE9" w14:paraId="4C309DAF" w14:textId="793E9EDE" w:rsidTr="00172A15">
        <w:trPr>
          <w:cnfStyle w:val="100000000000" w:firstRow="1" w:lastRow="0" w:firstColumn="0" w:lastColumn="0" w:oddVBand="0" w:evenVBand="0" w:oddHBand="0" w:evenHBand="0" w:firstRowFirstColumn="0" w:firstRowLastColumn="0" w:lastRowFirstColumn="0" w:lastRowLastColumn="0"/>
          <w:trHeight w:val="351"/>
          <w:tblHeader/>
        </w:trPr>
        <w:tc>
          <w:tcPr>
            <w:tcW w:w="5000" w:type="pct"/>
            <w:tcBorders>
              <w:top w:val="single" w:sz="4" w:space="0" w:color="000000"/>
              <w:left w:val="single" w:sz="4" w:space="0" w:color="000000"/>
              <w:bottom w:val="single" w:sz="4" w:space="0" w:color="000000"/>
              <w:right w:val="single" w:sz="4" w:space="0" w:color="000000"/>
            </w:tcBorders>
            <w:hideMark/>
          </w:tcPr>
          <w:p w14:paraId="1730F4EB" w14:textId="4771F130" w:rsidR="00F25984" w:rsidRPr="00354DE9" w:rsidRDefault="00F25984" w:rsidP="00172A15">
            <w:pPr>
              <w:pStyle w:val="TableText"/>
              <w:rPr>
                <w:sz w:val="24"/>
              </w:rPr>
            </w:pPr>
            <w:r w:rsidRPr="00354DE9">
              <w:t xml:space="preserve">Category 5 – DIAGNOSTIC IMAGING SERVICES </w:t>
            </w:r>
          </w:p>
        </w:tc>
      </w:tr>
      <w:tr w:rsidR="00F25984" w:rsidRPr="00354DE9" w14:paraId="4544D1B6" w14:textId="3C0695D5" w:rsidTr="00172A15">
        <w:tc>
          <w:tcPr>
            <w:tcW w:w="5000" w:type="pct"/>
            <w:tcBorders>
              <w:top w:val="single" w:sz="4" w:space="0" w:color="000000"/>
              <w:left w:val="single" w:sz="4" w:space="0" w:color="000000"/>
              <w:bottom w:val="single" w:sz="4" w:space="0" w:color="000000"/>
              <w:right w:val="single" w:sz="4" w:space="0" w:color="000000"/>
            </w:tcBorders>
            <w:hideMark/>
          </w:tcPr>
          <w:p w14:paraId="001E12E7" w14:textId="2693EE26" w:rsidR="00F25984" w:rsidRPr="00354DE9" w:rsidRDefault="00F25984" w:rsidP="00172A15">
            <w:pPr>
              <w:spacing w:after="120"/>
              <w:rPr>
                <w:rFonts w:ascii="Arial Narrow" w:hAnsi="Arial Narrow"/>
                <w:lang w:val="en-US" w:eastAsia="ja-JP"/>
              </w:rPr>
            </w:pPr>
            <w:r w:rsidRPr="00354DE9">
              <w:rPr>
                <w:rFonts w:ascii="Arial Narrow" w:hAnsi="Arial Narrow"/>
                <w:lang w:val="en-US" w:eastAsia="ja-JP"/>
              </w:rPr>
              <w:t>MBS item XXXX</w:t>
            </w:r>
          </w:p>
          <w:p w14:paraId="1CC7D09B" w14:textId="002B1B0E" w:rsidR="00F25984" w:rsidRPr="00816A82" w:rsidRDefault="00F25984" w:rsidP="00597EBA">
            <w:pPr>
              <w:shd w:val="clear" w:color="auto" w:fill="FFFFFF" w:themeFill="background1"/>
              <w:spacing w:after="120"/>
              <w:rPr>
                <w:rFonts w:ascii="Arial Narrow" w:hAnsi="Arial Narrow"/>
                <w:lang w:val="en-US" w:eastAsia="ja-JP"/>
              </w:rPr>
            </w:pPr>
            <w:r w:rsidRPr="00196512">
              <w:rPr>
                <w:rFonts w:ascii="Arial Narrow" w:hAnsi="Arial Narrow"/>
                <w:lang w:val="en-US" w:eastAsia="ja-JP"/>
              </w:rPr>
              <w:t>MRI – multiphase scans of liver (including delayed imaging, if performed) with a contrast agent, for</w:t>
            </w:r>
            <w:r>
              <w:rPr>
                <w:rFonts w:ascii="Arial Narrow" w:hAnsi="Arial Narrow"/>
                <w:lang w:val="en-US" w:eastAsia="ja-JP"/>
              </w:rPr>
              <w:t xml:space="preserve"> initial and</w:t>
            </w:r>
            <w:r w:rsidRPr="00196512">
              <w:rPr>
                <w:rFonts w:ascii="Arial Narrow" w:hAnsi="Arial Narrow"/>
                <w:lang w:val="en-US" w:eastAsia="ja-JP"/>
              </w:rPr>
              <w:t xml:space="preserve"> </w:t>
            </w:r>
            <w:r>
              <w:rPr>
                <w:rFonts w:ascii="Arial Narrow" w:hAnsi="Arial Narrow"/>
                <w:lang w:val="en-US" w:eastAsia="ja-JP"/>
              </w:rPr>
              <w:t xml:space="preserve">re-staging in </w:t>
            </w:r>
            <w:r w:rsidRPr="00816A82">
              <w:rPr>
                <w:rFonts w:ascii="Arial Narrow" w:hAnsi="Arial Narrow"/>
                <w:lang w:val="en-US" w:eastAsia="ja-JP"/>
              </w:rPr>
              <w:t>patients with any cancer except colorectal cancer or hepatocellular carcinoma when:</w:t>
            </w:r>
          </w:p>
          <w:p w14:paraId="39CA025F" w14:textId="5BCD0CF6" w:rsidR="00422F45" w:rsidRPr="00816A82" w:rsidRDefault="00422F45" w:rsidP="00C27F3A">
            <w:pPr>
              <w:pStyle w:val="ListParagraph"/>
              <w:numPr>
                <w:ilvl w:val="0"/>
                <w:numId w:val="10"/>
              </w:numPr>
              <w:shd w:val="clear" w:color="auto" w:fill="FFFFFF" w:themeFill="background1"/>
              <w:spacing w:after="120"/>
              <w:rPr>
                <w:rFonts w:ascii="Arial Narrow" w:hAnsi="Arial Narrow"/>
                <w:lang w:val="en-US" w:eastAsia="ja-JP"/>
              </w:rPr>
            </w:pPr>
            <w:r w:rsidRPr="00816A82">
              <w:rPr>
                <w:rFonts w:ascii="Arial Narrow" w:hAnsi="Arial Narrow"/>
                <w:lang w:val="en-US" w:eastAsia="ja-JP"/>
              </w:rPr>
              <w:t xml:space="preserve">known, suspected, or possible liver </w:t>
            </w:r>
            <w:r w:rsidR="00597EBA" w:rsidRPr="00816A82">
              <w:rPr>
                <w:rFonts w:ascii="Arial Narrow" w:hAnsi="Arial Narrow"/>
                <w:lang w:val="en-US" w:eastAsia="ja-JP"/>
              </w:rPr>
              <w:t>metastasis</w:t>
            </w:r>
          </w:p>
          <w:p w14:paraId="1E7A7E47" w14:textId="4E748F3E" w:rsidR="00422F45" w:rsidRPr="00816A82" w:rsidRDefault="00422F45" w:rsidP="00C27F3A">
            <w:pPr>
              <w:pStyle w:val="ListParagraph"/>
              <w:numPr>
                <w:ilvl w:val="0"/>
                <w:numId w:val="10"/>
              </w:numPr>
              <w:shd w:val="clear" w:color="auto" w:fill="FFFFFF" w:themeFill="background1"/>
              <w:spacing w:after="120"/>
              <w:rPr>
                <w:rFonts w:ascii="Arial Narrow" w:hAnsi="Arial Narrow"/>
                <w:lang w:val="en-US" w:eastAsia="ja-JP"/>
              </w:rPr>
            </w:pPr>
            <w:r w:rsidRPr="00816A82">
              <w:rPr>
                <w:rFonts w:ascii="Arial Narrow" w:hAnsi="Arial Narrow"/>
                <w:lang w:val="en-US" w:eastAsia="ja-JP"/>
              </w:rPr>
              <w:t>computed tomography, or ultrasound imaging, has identified a mass lesion in patient’s liver.</w:t>
            </w:r>
          </w:p>
          <w:p w14:paraId="02B5E3BA" w14:textId="15F960EA" w:rsidR="00597EBA" w:rsidRPr="00597EBA" w:rsidRDefault="00597EBA" w:rsidP="00C27F3A">
            <w:pPr>
              <w:pStyle w:val="ListParagraph"/>
              <w:numPr>
                <w:ilvl w:val="0"/>
                <w:numId w:val="10"/>
              </w:numPr>
              <w:shd w:val="clear" w:color="auto" w:fill="FFFFFF" w:themeFill="background1"/>
              <w:rPr>
                <w:rFonts w:ascii="Arial Narrow" w:hAnsi="Arial Narrow"/>
                <w:lang w:val="en-US" w:eastAsia="ja-JP"/>
              </w:rPr>
            </w:pPr>
            <w:r w:rsidRPr="00597EBA">
              <w:rPr>
                <w:rFonts w:ascii="Arial Narrow" w:hAnsi="Arial Narrow"/>
                <w:lang w:val="en-US" w:eastAsia="ja-JP"/>
              </w:rPr>
              <w:t xml:space="preserve">Patient referred by a specialist surgeon, oncologist, or radiation oncologist </w:t>
            </w:r>
          </w:p>
          <w:p w14:paraId="1D78DE4F" w14:textId="0FDC139C" w:rsidR="00F25984" w:rsidRPr="00354DE9" w:rsidRDefault="00F25984" w:rsidP="00C27F3A">
            <w:pPr>
              <w:pStyle w:val="ListParagraph"/>
              <w:numPr>
                <w:ilvl w:val="0"/>
                <w:numId w:val="10"/>
              </w:numPr>
              <w:spacing w:after="120"/>
              <w:rPr>
                <w:rFonts w:ascii="Arial Narrow" w:hAnsi="Arial Narrow"/>
                <w:lang w:val="en-US" w:eastAsia="ja-JP"/>
              </w:rPr>
            </w:pPr>
            <w:r w:rsidRPr="00354DE9">
              <w:rPr>
                <w:rFonts w:ascii="Arial Narrow" w:hAnsi="Arial Narrow"/>
                <w:lang w:val="en-US" w:eastAsia="ja-JP"/>
              </w:rPr>
              <w:t xml:space="preserve">Medicare benefits are only payable for this item if the service is provided to patients: </w:t>
            </w:r>
          </w:p>
          <w:p w14:paraId="40F5368B" w14:textId="567AABCE" w:rsidR="00F25984" w:rsidRPr="00354DE9" w:rsidRDefault="00F25984" w:rsidP="00C27F3A">
            <w:pPr>
              <w:pStyle w:val="ListParagraph"/>
              <w:numPr>
                <w:ilvl w:val="0"/>
                <w:numId w:val="11"/>
              </w:numPr>
              <w:spacing w:after="120"/>
              <w:rPr>
                <w:rFonts w:ascii="Arial Narrow" w:hAnsi="Arial Narrow"/>
                <w:lang w:val="en-US" w:eastAsia="ja-JP"/>
              </w:rPr>
            </w:pPr>
            <w:r w:rsidRPr="00354DE9">
              <w:rPr>
                <w:rFonts w:ascii="Arial Narrow" w:hAnsi="Arial Narrow"/>
                <w:lang w:val="en-US" w:eastAsia="ja-JP"/>
              </w:rPr>
              <w:t>For</w:t>
            </w:r>
            <w:r>
              <w:rPr>
                <w:rFonts w:ascii="Arial Narrow" w:hAnsi="Arial Narrow"/>
                <w:lang w:val="en-US" w:eastAsia="ja-JP"/>
              </w:rPr>
              <w:t xml:space="preserve"> initial or</w:t>
            </w:r>
            <w:r w:rsidRPr="00354DE9">
              <w:rPr>
                <w:rFonts w:ascii="Arial Narrow" w:hAnsi="Arial Narrow"/>
                <w:lang w:val="en-US" w:eastAsia="ja-JP"/>
              </w:rPr>
              <w:t xml:space="preserve"> re-staging prior to surgery, or  </w:t>
            </w:r>
          </w:p>
          <w:p w14:paraId="1A3A5508" w14:textId="3651E21C" w:rsidR="00F25984" w:rsidRPr="00354DE9" w:rsidRDefault="00F25984" w:rsidP="00C27F3A">
            <w:pPr>
              <w:pStyle w:val="ListParagraph"/>
              <w:numPr>
                <w:ilvl w:val="0"/>
                <w:numId w:val="11"/>
              </w:numPr>
              <w:spacing w:after="120"/>
              <w:rPr>
                <w:rFonts w:ascii="Arial Narrow" w:hAnsi="Arial Narrow"/>
                <w:lang w:val="en-US" w:eastAsia="ja-JP"/>
              </w:rPr>
            </w:pPr>
            <w:r w:rsidRPr="00354DE9">
              <w:rPr>
                <w:rFonts w:ascii="Arial Narrow" w:hAnsi="Arial Narrow"/>
                <w:lang w:val="en-US" w:eastAsia="ja-JP"/>
              </w:rPr>
              <w:t>For</w:t>
            </w:r>
            <w:r>
              <w:rPr>
                <w:rFonts w:ascii="Arial Narrow" w:hAnsi="Arial Narrow"/>
                <w:lang w:val="en-US" w:eastAsia="ja-JP"/>
              </w:rPr>
              <w:t xml:space="preserve"> initial or</w:t>
            </w:r>
            <w:r w:rsidRPr="00354DE9">
              <w:rPr>
                <w:rFonts w:ascii="Arial Narrow" w:hAnsi="Arial Narrow"/>
                <w:lang w:val="en-US" w:eastAsia="ja-JP"/>
              </w:rPr>
              <w:t xml:space="preserve"> re-staging for treatment planning, or </w:t>
            </w:r>
          </w:p>
          <w:p w14:paraId="4ADCC1E9" w14:textId="507FFA98" w:rsidR="00F25984" w:rsidRPr="00354DE9" w:rsidRDefault="00F25984" w:rsidP="00C27F3A">
            <w:pPr>
              <w:pStyle w:val="ListParagraph"/>
              <w:numPr>
                <w:ilvl w:val="0"/>
                <w:numId w:val="11"/>
              </w:numPr>
              <w:spacing w:after="120"/>
              <w:rPr>
                <w:rFonts w:ascii="Arial Narrow" w:hAnsi="Arial Narrow"/>
                <w:lang w:val="en-US" w:eastAsia="ja-JP"/>
              </w:rPr>
            </w:pPr>
            <w:r w:rsidRPr="00354DE9">
              <w:rPr>
                <w:rFonts w:ascii="Arial Narrow" w:hAnsi="Arial Narrow"/>
                <w:lang w:val="en-US" w:eastAsia="ja-JP"/>
              </w:rPr>
              <w:t>for evaluation of suspected relapse based on pathology findings, or</w:t>
            </w:r>
          </w:p>
          <w:p w14:paraId="1207F5B8" w14:textId="79639C0E" w:rsidR="00F25984" w:rsidRPr="00354DE9" w:rsidRDefault="00F25984" w:rsidP="00C27F3A">
            <w:pPr>
              <w:pStyle w:val="ListParagraph"/>
              <w:numPr>
                <w:ilvl w:val="0"/>
                <w:numId w:val="11"/>
              </w:numPr>
              <w:spacing w:after="120"/>
              <w:rPr>
                <w:rFonts w:ascii="Arial Narrow" w:hAnsi="Arial Narrow"/>
                <w:lang w:val="en-US" w:eastAsia="ja-JP"/>
              </w:rPr>
            </w:pPr>
            <w:r w:rsidRPr="00354DE9">
              <w:rPr>
                <w:rFonts w:ascii="Arial Narrow" w:hAnsi="Arial Narrow"/>
                <w:lang w:val="en-US" w:eastAsia="ja-JP"/>
              </w:rPr>
              <w:t xml:space="preserve">when other imaging is inconclusive, or </w:t>
            </w:r>
          </w:p>
          <w:p w14:paraId="566A40CD" w14:textId="68D12F0B" w:rsidR="00F25984" w:rsidRPr="00354DE9" w:rsidRDefault="00F25984" w:rsidP="00C27F3A">
            <w:pPr>
              <w:pStyle w:val="ListParagraph"/>
              <w:numPr>
                <w:ilvl w:val="0"/>
                <w:numId w:val="11"/>
              </w:numPr>
              <w:spacing w:after="120"/>
              <w:rPr>
                <w:rFonts w:ascii="Arial Narrow" w:hAnsi="Arial Narrow"/>
                <w:lang w:val="en-US" w:eastAsia="ja-JP"/>
              </w:rPr>
            </w:pPr>
            <w:r w:rsidRPr="00354DE9">
              <w:rPr>
                <w:rFonts w:ascii="Arial Narrow" w:hAnsi="Arial Narrow"/>
                <w:lang w:val="en-US" w:eastAsia="ja-JP"/>
              </w:rPr>
              <w:t>after consideration of patient's management at a properly constituted oncological multidisciplinary team meeting.</w:t>
            </w:r>
          </w:p>
        </w:tc>
      </w:tr>
      <w:tr w:rsidR="00F25984" w:rsidRPr="00354DE9" w14:paraId="0F9F6E90" w14:textId="3753D1E4" w:rsidTr="00172A15">
        <w:tc>
          <w:tcPr>
            <w:tcW w:w="5000" w:type="pct"/>
            <w:tcBorders>
              <w:top w:val="single" w:sz="4" w:space="0" w:color="000000"/>
              <w:left w:val="single" w:sz="4" w:space="0" w:color="000000"/>
              <w:bottom w:val="single" w:sz="4" w:space="0" w:color="000000"/>
              <w:right w:val="single" w:sz="4" w:space="0" w:color="000000"/>
            </w:tcBorders>
            <w:vAlign w:val="center"/>
            <w:hideMark/>
          </w:tcPr>
          <w:p w14:paraId="7C2E19C4" w14:textId="48106086" w:rsidR="00F25984" w:rsidRPr="00354DE9" w:rsidRDefault="00F25984" w:rsidP="00172A15">
            <w:pPr>
              <w:pStyle w:val="TableText"/>
            </w:pPr>
            <w:r w:rsidRPr="00354DE9">
              <w:t>Fee: $550.00 Benefit: 75% = $412.50 85% = $467.50</w:t>
            </w:r>
          </w:p>
        </w:tc>
      </w:tr>
    </w:tbl>
    <w:p w14:paraId="590C1138" w14:textId="42FF625C" w:rsidR="005D518E" w:rsidRPr="00EA7041" w:rsidRDefault="00F25984" w:rsidP="00EA7041">
      <w:pPr>
        <w:pStyle w:val="NoSpacing"/>
        <w:spacing w:after="240"/>
        <w:rPr>
          <w:rFonts w:ascii="Arial Narrow" w:hAnsi="Arial Narrow"/>
          <w:sz w:val="18"/>
          <w:szCs w:val="18"/>
        </w:rPr>
      </w:pPr>
      <w:r>
        <w:rPr>
          <w:rFonts w:ascii="Arial Narrow" w:hAnsi="Arial Narrow"/>
          <w:sz w:val="18"/>
          <w:szCs w:val="18"/>
        </w:rPr>
        <w:t xml:space="preserve">Source: </w:t>
      </w:r>
      <w:r w:rsidR="00541269">
        <w:rPr>
          <w:rFonts w:ascii="Arial Narrow" w:hAnsi="Arial Narrow"/>
          <w:sz w:val="18"/>
          <w:szCs w:val="18"/>
        </w:rPr>
        <w:t xml:space="preserve">Figure 1, </w:t>
      </w:r>
      <w:proofErr w:type="spellStart"/>
      <w:r w:rsidR="00541269">
        <w:rPr>
          <w:rFonts w:ascii="Arial Narrow" w:hAnsi="Arial Narrow"/>
          <w:sz w:val="18"/>
          <w:szCs w:val="18"/>
        </w:rPr>
        <w:t>pg</w:t>
      </w:r>
      <w:proofErr w:type="spellEnd"/>
      <w:r w:rsidR="00541269">
        <w:rPr>
          <w:rFonts w:ascii="Arial Narrow" w:hAnsi="Arial Narrow"/>
          <w:sz w:val="18"/>
          <w:szCs w:val="18"/>
        </w:rPr>
        <w:t xml:space="preserve"> 6 of MSAC 1683 Assessment Report</w:t>
      </w:r>
      <w:bookmarkStart w:id="8" w:name="_Hlk85553786"/>
    </w:p>
    <w:p w14:paraId="53F4710F" w14:textId="6587FE11" w:rsidR="00F25984" w:rsidRDefault="00F25984" w:rsidP="00EF59A2">
      <w:r>
        <w:t>The proposed fee is based on the existing liver MRI MBS item 6354</w:t>
      </w:r>
      <w:r w:rsidR="00EF22F2">
        <w:t>5</w:t>
      </w:r>
      <w:r>
        <w:t>.</w:t>
      </w:r>
    </w:p>
    <w:p w14:paraId="34E0B08F" w14:textId="1DD2E3AC" w:rsidR="00772829" w:rsidRDefault="00C27F3A" w:rsidP="002A18BE">
      <w:pPr>
        <w:pStyle w:val="Heading2"/>
        <w:numPr>
          <w:ilvl w:val="0"/>
          <w:numId w:val="0"/>
        </w:numPr>
      </w:pPr>
      <w:bookmarkStart w:id="9" w:name="_Toc85450803"/>
      <w:bookmarkEnd w:id="7"/>
      <w:bookmarkEnd w:id="8"/>
      <w:r>
        <w:t>7</w:t>
      </w:r>
      <w:r w:rsidR="00C36633">
        <w:t>.</w:t>
      </w:r>
      <w:r w:rsidR="00C36633">
        <w:tab/>
      </w:r>
      <w:r w:rsidR="00772829" w:rsidRPr="00CE28E3">
        <w:t>Population</w:t>
      </w:r>
      <w:bookmarkEnd w:id="9"/>
      <w:r w:rsidR="00772829" w:rsidRPr="00CE28E3">
        <w:t xml:space="preserve"> </w:t>
      </w:r>
    </w:p>
    <w:p w14:paraId="75DA6CE1" w14:textId="63D3680E" w:rsidR="009B6179" w:rsidRDefault="009B6179" w:rsidP="00524BED">
      <w:r w:rsidRPr="009B6179">
        <w:t xml:space="preserve">The proposed population </w:t>
      </w:r>
      <w:r w:rsidR="00524BED">
        <w:t>is</w:t>
      </w:r>
      <w:r w:rsidRPr="009B6179">
        <w:t xml:space="preserve"> patients with oncologic indications</w:t>
      </w:r>
      <w:r w:rsidR="0093518D">
        <w:t xml:space="preserve">, </w:t>
      </w:r>
      <w:r w:rsidR="008D2AFF">
        <w:t xml:space="preserve">with any </w:t>
      </w:r>
      <w:r w:rsidR="00390B73">
        <w:t>extra hepatic primary</w:t>
      </w:r>
      <w:r w:rsidR="004E49D3">
        <w:t xml:space="preserve"> </w:t>
      </w:r>
      <w:r w:rsidR="008D2AFF">
        <w:t>cancer</w:t>
      </w:r>
      <w:r w:rsidR="00524BED">
        <w:t>,</w:t>
      </w:r>
      <w:r w:rsidR="00390B73">
        <w:t xml:space="preserve"> </w:t>
      </w:r>
      <w:r w:rsidR="0093518D">
        <w:t>excluding patients with CRC or HCC who are eligible for MBS items 63545 or 63546</w:t>
      </w:r>
      <w:r>
        <w:t xml:space="preserve">. </w:t>
      </w:r>
    </w:p>
    <w:p w14:paraId="66BDFCC1" w14:textId="28219578" w:rsidR="00772829" w:rsidRDefault="00C27F3A" w:rsidP="002A18BE">
      <w:pPr>
        <w:pStyle w:val="Heading2"/>
        <w:numPr>
          <w:ilvl w:val="0"/>
          <w:numId w:val="0"/>
        </w:numPr>
      </w:pPr>
      <w:bookmarkStart w:id="10" w:name="_Toc85450804"/>
      <w:r>
        <w:lastRenderedPageBreak/>
        <w:t>8</w:t>
      </w:r>
      <w:r w:rsidR="00C36633">
        <w:t>.</w:t>
      </w:r>
      <w:r w:rsidR="00C36633">
        <w:tab/>
      </w:r>
      <w:r w:rsidR="00772829" w:rsidRPr="00CE28E3">
        <w:t>Comparator</w:t>
      </w:r>
      <w:bookmarkEnd w:id="10"/>
    </w:p>
    <w:p w14:paraId="799D8EAE" w14:textId="45B938F0" w:rsidR="00F903D9" w:rsidRPr="00F903D9" w:rsidRDefault="00B85C63" w:rsidP="00665B22">
      <w:r w:rsidRPr="00B85C63">
        <w:t xml:space="preserve">The comparator for staging liver metastases </w:t>
      </w:r>
      <w:r w:rsidR="00CF17F8">
        <w:t xml:space="preserve">in the </w:t>
      </w:r>
      <w:r w:rsidR="00524BED">
        <w:t xml:space="preserve">proposed </w:t>
      </w:r>
      <w:r w:rsidR="00CF17F8">
        <w:t xml:space="preserve">population </w:t>
      </w:r>
      <w:r w:rsidRPr="00B85C63">
        <w:t>is multiphase CT</w:t>
      </w:r>
      <w:r w:rsidR="00D04B6F">
        <w:t xml:space="preserve"> (MBS item 56407)</w:t>
      </w:r>
      <w:r w:rsidR="0093518D">
        <w:t>, PET</w:t>
      </w:r>
      <w:r w:rsidRPr="00B85C63">
        <w:t xml:space="preserve"> </w:t>
      </w:r>
      <w:bookmarkStart w:id="11" w:name="_Hlk85116535"/>
      <w:r w:rsidR="00FA0198">
        <w:t>(</w:t>
      </w:r>
      <w:r w:rsidR="0060213A">
        <w:t xml:space="preserve">MBS item </w:t>
      </w:r>
      <w:r w:rsidR="00AB727C">
        <w:t>61541 for</w:t>
      </w:r>
      <w:r w:rsidR="00852A27">
        <w:t xml:space="preserve"> </w:t>
      </w:r>
      <w:r w:rsidR="00344466">
        <w:t>colorectal carcinoma</w:t>
      </w:r>
      <w:r w:rsidR="00AD4DB0">
        <w:t>)</w:t>
      </w:r>
      <w:r w:rsidR="00344466" w:rsidRPr="00B85C63">
        <w:t xml:space="preserve"> </w:t>
      </w:r>
      <w:bookmarkEnd w:id="11"/>
      <w:r w:rsidRPr="00B85C63">
        <w:t>or liver biopsy</w:t>
      </w:r>
      <w:r w:rsidR="005B4F02">
        <w:t xml:space="preserve"> (MBS item 30409)</w:t>
      </w:r>
      <w:r w:rsidRPr="00B85C63">
        <w:t xml:space="preserve">, </w:t>
      </w:r>
      <w:r w:rsidR="00297C82" w:rsidRPr="00B85C63">
        <w:t>wh</w:t>
      </w:r>
      <w:r w:rsidR="00297C82">
        <w:t>ere</w:t>
      </w:r>
      <w:r w:rsidR="00297C82" w:rsidRPr="00B85C63">
        <w:t xml:space="preserve"> </w:t>
      </w:r>
      <w:r w:rsidRPr="00B85C63">
        <w:t xml:space="preserve">MRI of the liver would be </w:t>
      </w:r>
      <w:r w:rsidR="0006014B">
        <w:t xml:space="preserve">an </w:t>
      </w:r>
      <w:r w:rsidR="00D04B6F">
        <w:t>additional</w:t>
      </w:r>
      <w:r w:rsidRPr="00B85C63">
        <w:t xml:space="preserve"> test for </w:t>
      </w:r>
      <w:r w:rsidR="005650E9">
        <w:t>most</w:t>
      </w:r>
      <w:r w:rsidRPr="00B85C63">
        <w:t xml:space="preserve"> patients. Multiphase CT scan (MBS item</w:t>
      </w:r>
      <w:r w:rsidR="009A44EA">
        <w:t xml:space="preserve"> 56407</w:t>
      </w:r>
      <w:r w:rsidRPr="00B85C63">
        <w:t>) is currently used for patients with known CRC with suspected or possible liver malignancy and patients with suspected HCC</w:t>
      </w:r>
      <w:r w:rsidR="00C07B25">
        <w:t xml:space="preserve">. </w:t>
      </w:r>
      <w:r w:rsidR="000C4DDB">
        <w:t xml:space="preserve">Liver </w:t>
      </w:r>
      <w:r w:rsidRPr="00B85C63">
        <w:t>biopsy (MBS item 30409) is currently used for patients with known CRC with suspected or possible liver malignancy.</w:t>
      </w:r>
      <w:r w:rsidR="009A44EA">
        <w:t xml:space="preserve"> </w:t>
      </w:r>
      <w:bookmarkStart w:id="12" w:name="_Hlk85547226"/>
      <w:r w:rsidR="0062690B">
        <w:t>However, liver biopsy may not be appropriate to diagnose liver cancer due to the risk of spreading cancer cells outside the liver.</w:t>
      </w:r>
      <w:r w:rsidR="0062690B">
        <w:fldChar w:fldCharType="begin"/>
      </w:r>
      <w:r w:rsidR="000A1A60">
        <w:instrText xml:space="preserve"> ADDIN EN.CITE &lt;EndNote&gt;&lt;Cite ExcludeAuth="1"&gt;&lt;Year&gt;2017&lt;/Year&gt;&lt;RecNum&gt;9&lt;/RecNum&gt;&lt;DisplayText&gt;&lt;style face="superscript"&gt;1&lt;/style&gt;&lt;/DisplayText&gt;&lt;record&gt;&lt;rec-number&gt;9&lt;/rec-number&gt;&lt;foreign-keys&gt;&lt;key app="EN" db-id="e2dazve92z22f0eetdn55ss4zrep2atpwt2t" timestamp="1634612564"&gt;9&lt;/key&gt;&lt;/foreign-keys&gt;&lt;ref-type name="Report"&gt;27&lt;/ref-type&gt;&lt;contributors&gt;&lt;/contributors&gt;&lt;titles&gt;&lt;title&gt;MSAC application no. 1372.1 Assessment report: MRI of liver for patients with colorectal carcinoma (CRC) with suspected hepatic metastases or patients with suspected hepatocellular carcinoma (HCC) for the purposes of staging&lt;/title&gt;&lt;/titles&gt;&lt;dates&gt;&lt;year&gt;2017&lt;/year&gt;&lt;/dates&gt;&lt;urls&gt;&lt;/urls&gt;&lt;/record&gt;&lt;/Cite&gt;&lt;/EndNote&gt;</w:instrText>
      </w:r>
      <w:r w:rsidR="0062690B">
        <w:fldChar w:fldCharType="separate"/>
      </w:r>
      <w:r w:rsidR="0062690B" w:rsidRPr="0062690B">
        <w:rPr>
          <w:noProof/>
          <w:vertAlign w:val="superscript"/>
        </w:rPr>
        <w:t>1</w:t>
      </w:r>
      <w:r w:rsidR="0062690B">
        <w:fldChar w:fldCharType="end"/>
      </w:r>
      <w:r w:rsidR="0062690B">
        <w:t xml:space="preserve">  </w:t>
      </w:r>
      <w:bookmarkEnd w:id="12"/>
    </w:p>
    <w:p w14:paraId="25AE2BAC" w14:textId="3EFE42D7" w:rsidR="00772829" w:rsidRDefault="00C27F3A" w:rsidP="002A18BE">
      <w:pPr>
        <w:pStyle w:val="Heading2"/>
        <w:numPr>
          <w:ilvl w:val="0"/>
          <w:numId w:val="0"/>
        </w:numPr>
      </w:pPr>
      <w:bookmarkStart w:id="13" w:name="_Toc85450805"/>
      <w:r>
        <w:t>9</w:t>
      </w:r>
      <w:r w:rsidR="00C36633">
        <w:t>.</w:t>
      </w:r>
      <w:r w:rsidR="00C36633">
        <w:tab/>
      </w:r>
      <w:r w:rsidR="00772829" w:rsidRPr="00CE28E3">
        <w:t>Financial/budgetary impacts</w:t>
      </w:r>
      <w:bookmarkEnd w:id="13"/>
    </w:p>
    <w:p w14:paraId="2B3FA87D" w14:textId="73D2FCFC" w:rsidR="00F0411D" w:rsidRDefault="006B2FA4" w:rsidP="006B2FA4">
      <w:r>
        <w:t>A market-share approach was used to estimate the use and financial impact of liver MRI</w:t>
      </w:r>
      <w:r w:rsidR="00C45DA9" w:rsidRPr="00C45DA9">
        <w:t xml:space="preserve"> in the defined new population.</w:t>
      </w:r>
      <w:r w:rsidR="00524BED" w:rsidRPr="00524BED">
        <w:t xml:space="preserve"> The estimated utilisation was based on the following assumptions:</w:t>
      </w:r>
    </w:p>
    <w:p w14:paraId="30185B2D" w14:textId="31E6C713" w:rsidR="00524BED" w:rsidRDefault="00524BED" w:rsidP="00524BED">
      <w:pPr>
        <w:pStyle w:val="ListParagraph"/>
        <w:numPr>
          <w:ilvl w:val="0"/>
          <w:numId w:val="23"/>
        </w:numPr>
      </w:pPr>
      <w:r>
        <w:t xml:space="preserve">The current utilisation of MBS item 63545 (liver MRI for patients with CRC) reflects the staging and restaging of patients with liver metastases from CRC primary tumour </w:t>
      </w:r>
    </w:p>
    <w:p w14:paraId="316EA970" w14:textId="5FA39DFF" w:rsidR="00524BED" w:rsidRDefault="00524BED" w:rsidP="00524BED">
      <w:pPr>
        <w:pStyle w:val="ListParagraph"/>
        <w:numPr>
          <w:ilvl w:val="0"/>
          <w:numId w:val="23"/>
        </w:numPr>
      </w:pPr>
      <w:r>
        <w:t>The epidemiology of liver metastases (Horn 2020</w:t>
      </w:r>
      <w:r w:rsidR="0014225F">
        <w:rPr>
          <w:rStyle w:val="FootnoteReference"/>
        </w:rPr>
        <w:footnoteReference w:id="1"/>
      </w:r>
      <w:r>
        <w:t xml:space="preserve">) indicates that most of the liver metastases had primary tumours in the gastrointestinal system: </w:t>
      </w:r>
    </w:p>
    <w:p w14:paraId="7D66EA3A" w14:textId="6DC1FE8A" w:rsidR="00524BED" w:rsidRDefault="00524BED" w:rsidP="00524BED">
      <w:pPr>
        <w:pStyle w:val="ListParagraph"/>
        <w:numPr>
          <w:ilvl w:val="1"/>
          <w:numId w:val="23"/>
        </w:numPr>
      </w:pPr>
      <w:r>
        <w:t xml:space="preserve">27% being colorectal in origin.  </w:t>
      </w:r>
    </w:p>
    <w:p w14:paraId="7034AA47" w14:textId="2BB0D837" w:rsidR="00524BED" w:rsidRDefault="00EF4C12" w:rsidP="00524BED">
      <w:pPr>
        <w:pStyle w:val="ListParagraph"/>
        <w:numPr>
          <w:ilvl w:val="0"/>
          <w:numId w:val="23"/>
        </w:numPr>
      </w:pPr>
      <w:r>
        <w:t>Approximately</w:t>
      </w:r>
      <w:r w:rsidR="00524BED">
        <w:t xml:space="preserve"> 70% of extra hepatic primary cancers come from locations other than CRC.</w:t>
      </w:r>
    </w:p>
    <w:p w14:paraId="004042B7" w14:textId="7316BB8C" w:rsidR="00524BED" w:rsidRDefault="00524BED" w:rsidP="00524BED">
      <w:pPr>
        <w:pStyle w:val="ListParagraph"/>
        <w:numPr>
          <w:ilvl w:val="0"/>
          <w:numId w:val="23"/>
        </w:numPr>
      </w:pPr>
      <w:r>
        <w:t>The upscaling factor: 70% / 30% = 2.33.</w:t>
      </w:r>
    </w:p>
    <w:p w14:paraId="2DAB6FCE" w14:textId="15FBC6AE" w:rsidR="00EA7041" w:rsidRPr="00665B22" w:rsidRDefault="00D428B9" w:rsidP="00665B22">
      <w:pPr>
        <w:rPr>
          <w:color w:val="258221"/>
        </w:rPr>
      </w:pPr>
      <w:r w:rsidRPr="00CE28E3">
        <w:t xml:space="preserve">The </w:t>
      </w:r>
      <w:r w:rsidR="004A0170">
        <w:t xml:space="preserve">utilisation and </w:t>
      </w:r>
      <w:r w:rsidRPr="00CE28E3">
        <w:t xml:space="preserve">financial implications </w:t>
      </w:r>
      <w:r w:rsidR="00654A6F">
        <w:t>of</w:t>
      </w:r>
      <w:r w:rsidRPr="006B2FA4">
        <w:t xml:space="preserve"> </w:t>
      </w:r>
      <w:r w:rsidR="006B2FA4" w:rsidRPr="006B2FA4">
        <w:t>MRI</w:t>
      </w:r>
      <w:r w:rsidRPr="006B2FA4">
        <w:t xml:space="preserve"> resulting</w:t>
      </w:r>
      <w:r w:rsidRPr="00CE28E3">
        <w:t xml:space="preserve"> from the proposed listing are summarised in</w:t>
      </w:r>
      <w:r w:rsidR="00BA3E41">
        <w:rPr>
          <w:rStyle w:val="InstructionaltextChar"/>
        </w:rPr>
        <w:t xml:space="preserve"> </w:t>
      </w:r>
      <w:r w:rsidR="00BA3E41">
        <w:rPr>
          <w:rStyle w:val="InstructionaltextChar"/>
        </w:rPr>
        <w:fldChar w:fldCharType="begin"/>
      </w:r>
      <w:r w:rsidR="00BA3E41">
        <w:rPr>
          <w:rStyle w:val="InstructionaltextChar"/>
        </w:rPr>
        <w:instrText xml:space="preserve"> REF _Ref85224380 \h </w:instrText>
      </w:r>
      <w:r w:rsidR="00BA3E41">
        <w:rPr>
          <w:rStyle w:val="InstructionaltextChar"/>
        </w:rPr>
      </w:r>
      <w:r w:rsidR="00BA3E41">
        <w:rPr>
          <w:rStyle w:val="InstructionaltextChar"/>
        </w:rPr>
        <w:fldChar w:fldCharType="separate"/>
      </w:r>
      <w:r w:rsidR="0014225F">
        <w:t xml:space="preserve">Table </w:t>
      </w:r>
      <w:r w:rsidR="0014225F">
        <w:rPr>
          <w:noProof/>
        </w:rPr>
        <w:t>2</w:t>
      </w:r>
      <w:r w:rsidR="00BA3E41">
        <w:rPr>
          <w:rStyle w:val="InstructionaltextChar"/>
        </w:rPr>
        <w:fldChar w:fldCharType="end"/>
      </w:r>
      <w:r w:rsidR="00BA3E41">
        <w:rPr>
          <w:rStyle w:val="InstructionaltextChar"/>
        </w:rPr>
        <w:t>.</w:t>
      </w:r>
      <w:r w:rsidR="006D0EC2" w:rsidRPr="00DF39E9">
        <w:rPr>
          <w:rStyle w:val="InstructionaltextChar"/>
        </w:rPr>
        <w:t xml:space="preserve"> </w:t>
      </w:r>
      <w:bookmarkStart w:id="14" w:name="_Ref85224380"/>
      <w:r w:rsidR="00EA7041">
        <w:br w:type="page"/>
      </w:r>
    </w:p>
    <w:p w14:paraId="2A390A8E" w14:textId="5A6D498C" w:rsidR="00FD73F7" w:rsidRPr="00FD73F7" w:rsidRDefault="00FD73F7" w:rsidP="00FD73F7">
      <w:pPr>
        <w:pStyle w:val="Caption"/>
      </w:pPr>
      <w:r>
        <w:lastRenderedPageBreak/>
        <w:t xml:space="preserve">Table </w:t>
      </w:r>
      <w:fldSimple w:instr=" SEQ Table \* ARABIC ">
        <w:r w:rsidR="0014225F">
          <w:rPr>
            <w:noProof/>
          </w:rPr>
          <w:t>2</w:t>
        </w:r>
      </w:fldSimple>
      <w:bookmarkEnd w:id="14"/>
      <w:r>
        <w:t xml:space="preserve"> </w:t>
      </w:r>
      <w:r w:rsidRPr="00FD73F7">
        <w:t xml:space="preserve">Estimated use </w:t>
      </w:r>
      <w:r w:rsidRPr="009254CA">
        <w:t xml:space="preserve">and </w:t>
      </w:r>
      <w:r w:rsidR="009254CA">
        <w:t xml:space="preserve">cost </w:t>
      </w:r>
      <w:r w:rsidRPr="00FD73F7">
        <w:t xml:space="preserve">of liver MRI in ‘all other oncology cohort’ (excluding CRC and HCC MRI patients) </w:t>
      </w:r>
    </w:p>
    <w:tbl>
      <w:tblPr>
        <w:tblStyle w:val="TableGrid1"/>
        <w:tblW w:w="9356" w:type="dxa"/>
        <w:tblCellMar>
          <w:left w:w="0" w:type="dxa"/>
          <w:right w:w="0" w:type="dxa"/>
        </w:tblCellMar>
        <w:tblLook w:val="04A0" w:firstRow="1" w:lastRow="0" w:firstColumn="1" w:lastColumn="0" w:noHBand="0" w:noVBand="1"/>
        <w:tblDescription w:val="Estimated use and cost of liver MRI in ‘all other oncology cohort’ (excluding CRC and HCC MRI patients) "/>
      </w:tblPr>
      <w:tblGrid>
        <w:gridCol w:w="1668"/>
        <w:gridCol w:w="1280"/>
        <w:gridCol w:w="1280"/>
        <w:gridCol w:w="1282"/>
        <w:gridCol w:w="1282"/>
        <w:gridCol w:w="1282"/>
        <w:gridCol w:w="1282"/>
      </w:tblGrid>
      <w:tr w:rsidR="00FD73F7" w:rsidRPr="00FD73F7" w14:paraId="5EC9968A" w14:textId="77777777" w:rsidTr="004323DB">
        <w:trPr>
          <w:cnfStyle w:val="100000000000" w:firstRow="1" w:lastRow="0" w:firstColumn="0" w:lastColumn="0" w:oddVBand="0" w:evenVBand="0" w:oddHBand="0" w:evenHBand="0" w:firstRowFirstColumn="0" w:firstRowLastColumn="0" w:lastRowFirstColumn="0" w:lastRowLastColumn="0"/>
          <w:tblHeader/>
        </w:trPr>
        <w:tc>
          <w:tcPr>
            <w:tcW w:w="1668" w:type="dxa"/>
            <w:shd w:val="clear" w:color="auto" w:fill="E7E6E6" w:themeFill="background2"/>
            <w:tcMar>
              <w:top w:w="0" w:type="dxa"/>
              <w:left w:w="108" w:type="dxa"/>
              <w:bottom w:w="0" w:type="dxa"/>
              <w:right w:w="108" w:type="dxa"/>
            </w:tcMar>
            <w:vAlign w:val="center"/>
          </w:tcPr>
          <w:p w14:paraId="6956C286" w14:textId="77777777" w:rsidR="00FD73F7" w:rsidRPr="00FD73F7" w:rsidRDefault="00FD73F7" w:rsidP="00FD73F7">
            <w:pPr>
              <w:keepNext/>
              <w:spacing w:before="40"/>
              <w:jc w:val="center"/>
              <w:rPr>
                <w:rFonts w:ascii="Arial Narrow" w:hAnsi="Arial Narrow"/>
                <w:b/>
              </w:rPr>
            </w:pPr>
            <w:r w:rsidRPr="00FD73F7">
              <w:rPr>
                <w:rFonts w:ascii="Arial Narrow" w:hAnsi="Arial Narrow"/>
                <w:b/>
              </w:rPr>
              <w:t>Parameter</w:t>
            </w:r>
          </w:p>
        </w:tc>
        <w:tc>
          <w:tcPr>
            <w:tcW w:w="1280" w:type="dxa"/>
            <w:shd w:val="clear" w:color="auto" w:fill="E7E6E6" w:themeFill="background2"/>
            <w:tcMar>
              <w:top w:w="0" w:type="dxa"/>
              <w:left w:w="108" w:type="dxa"/>
              <w:bottom w:w="0" w:type="dxa"/>
              <w:right w:w="108" w:type="dxa"/>
            </w:tcMar>
            <w:vAlign w:val="center"/>
          </w:tcPr>
          <w:p w14:paraId="40717FD2" w14:textId="77777777" w:rsidR="00FD73F7" w:rsidRPr="00FD73F7" w:rsidRDefault="00FD73F7" w:rsidP="00FD73F7">
            <w:pPr>
              <w:keepNext/>
              <w:spacing w:before="40"/>
              <w:jc w:val="center"/>
              <w:rPr>
                <w:rFonts w:ascii="Arial Narrow" w:hAnsi="Arial Narrow"/>
                <w:b/>
              </w:rPr>
            </w:pPr>
            <w:r w:rsidRPr="00FD73F7">
              <w:rPr>
                <w:rFonts w:ascii="Arial Narrow" w:hAnsi="Arial Narrow"/>
                <w:b/>
              </w:rPr>
              <w:t>Year 1</w:t>
            </w:r>
          </w:p>
          <w:p w14:paraId="5D417FC4" w14:textId="77777777" w:rsidR="00FD73F7" w:rsidRPr="00FD73F7" w:rsidRDefault="00FD73F7" w:rsidP="00FD73F7">
            <w:pPr>
              <w:keepNext/>
              <w:spacing w:before="40"/>
              <w:jc w:val="center"/>
              <w:rPr>
                <w:rFonts w:ascii="Arial Narrow" w:hAnsi="Arial Narrow"/>
                <w:b/>
              </w:rPr>
            </w:pPr>
            <w:r w:rsidRPr="00FD73F7">
              <w:rPr>
                <w:rFonts w:ascii="Arial Narrow" w:hAnsi="Arial Narrow"/>
                <w:b/>
              </w:rPr>
              <w:t>2021</w:t>
            </w:r>
          </w:p>
        </w:tc>
        <w:tc>
          <w:tcPr>
            <w:tcW w:w="1280" w:type="dxa"/>
            <w:shd w:val="clear" w:color="auto" w:fill="E7E6E6" w:themeFill="background2"/>
            <w:tcMar>
              <w:top w:w="0" w:type="dxa"/>
              <w:left w:w="108" w:type="dxa"/>
              <w:bottom w:w="0" w:type="dxa"/>
              <w:right w:w="108" w:type="dxa"/>
            </w:tcMar>
            <w:vAlign w:val="center"/>
          </w:tcPr>
          <w:p w14:paraId="34CF724C" w14:textId="77777777" w:rsidR="00FD73F7" w:rsidRPr="00FD73F7" w:rsidRDefault="00FD73F7" w:rsidP="00FD73F7">
            <w:pPr>
              <w:keepNext/>
              <w:spacing w:before="40"/>
              <w:jc w:val="center"/>
              <w:rPr>
                <w:rFonts w:ascii="Arial Narrow" w:hAnsi="Arial Narrow"/>
                <w:b/>
              </w:rPr>
            </w:pPr>
            <w:r w:rsidRPr="00FD73F7">
              <w:rPr>
                <w:rFonts w:ascii="Arial Narrow" w:hAnsi="Arial Narrow"/>
                <w:b/>
              </w:rPr>
              <w:t>Year 2</w:t>
            </w:r>
          </w:p>
          <w:p w14:paraId="15609D43" w14:textId="77777777" w:rsidR="00FD73F7" w:rsidRPr="00FD73F7" w:rsidRDefault="00FD73F7" w:rsidP="00FD73F7">
            <w:pPr>
              <w:keepNext/>
              <w:spacing w:before="40"/>
              <w:jc w:val="center"/>
              <w:rPr>
                <w:rFonts w:ascii="Arial Narrow" w:hAnsi="Arial Narrow"/>
                <w:b/>
              </w:rPr>
            </w:pPr>
            <w:r w:rsidRPr="00FD73F7">
              <w:rPr>
                <w:rFonts w:ascii="Arial Narrow" w:hAnsi="Arial Narrow"/>
                <w:b/>
              </w:rPr>
              <w:t>2022</w:t>
            </w:r>
          </w:p>
        </w:tc>
        <w:tc>
          <w:tcPr>
            <w:tcW w:w="1282" w:type="dxa"/>
            <w:shd w:val="clear" w:color="auto" w:fill="E7E6E6" w:themeFill="background2"/>
            <w:tcMar>
              <w:top w:w="0" w:type="dxa"/>
              <w:left w:w="108" w:type="dxa"/>
              <w:bottom w:w="0" w:type="dxa"/>
              <w:right w:w="108" w:type="dxa"/>
            </w:tcMar>
            <w:vAlign w:val="center"/>
          </w:tcPr>
          <w:p w14:paraId="367DCA0A" w14:textId="77777777" w:rsidR="00FD73F7" w:rsidRPr="00FD73F7" w:rsidRDefault="00FD73F7" w:rsidP="00FD73F7">
            <w:pPr>
              <w:keepNext/>
              <w:spacing w:before="40"/>
              <w:jc w:val="center"/>
              <w:rPr>
                <w:rFonts w:ascii="Arial Narrow" w:hAnsi="Arial Narrow"/>
                <w:b/>
              </w:rPr>
            </w:pPr>
            <w:r w:rsidRPr="00FD73F7">
              <w:rPr>
                <w:rFonts w:ascii="Arial Narrow" w:hAnsi="Arial Narrow"/>
                <w:b/>
              </w:rPr>
              <w:t>Year 3</w:t>
            </w:r>
          </w:p>
          <w:p w14:paraId="12BCAC0A" w14:textId="77777777" w:rsidR="00FD73F7" w:rsidRPr="00FD73F7" w:rsidRDefault="00FD73F7" w:rsidP="00FD73F7">
            <w:pPr>
              <w:keepNext/>
              <w:spacing w:before="40"/>
              <w:jc w:val="center"/>
              <w:rPr>
                <w:rFonts w:ascii="Arial Narrow" w:hAnsi="Arial Narrow"/>
                <w:b/>
              </w:rPr>
            </w:pPr>
            <w:r w:rsidRPr="00FD73F7">
              <w:rPr>
                <w:rFonts w:ascii="Arial Narrow" w:hAnsi="Arial Narrow"/>
                <w:b/>
              </w:rPr>
              <w:t>2023</w:t>
            </w:r>
          </w:p>
        </w:tc>
        <w:tc>
          <w:tcPr>
            <w:tcW w:w="1282" w:type="dxa"/>
            <w:shd w:val="clear" w:color="auto" w:fill="E7E6E6" w:themeFill="background2"/>
            <w:tcMar>
              <w:top w:w="0" w:type="dxa"/>
              <w:left w:w="108" w:type="dxa"/>
              <w:bottom w:w="0" w:type="dxa"/>
              <w:right w:w="108" w:type="dxa"/>
            </w:tcMar>
            <w:vAlign w:val="center"/>
          </w:tcPr>
          <w:p w14:paraId="6B20BD45" w14:textId="77777777" w:rsidR="00FD73F7" w:rsidRPr="00FD73F7" w:rsidRDefault="00FD73F7" w:rsidP="00FD73F7">
            <w:pPr>
              <w:keepNext/>
              <w:spacing w:before="40"/>
              <w:jc w:val="center"/>
              <w:rPr>
                <w:rFonts w:ascii="Arial Narrow" w:hAnsi="Arial Narrow"/>
                <w:b/>
              </w:rPr>
            </w:pPr>
            <w:r w:rsidRPr="00FD73F7">
              <w:rPr>
                <w:rFonts w:ascii="Arial Narrow" w:hAnsi="Arial Narrow"/>
                <w:b/>
              </w:rPr>
              <w:t>Year 4</w:t>
            </w:r>
          </w:p>
          <w:p w14:paraId="6209DE66" w14:textId="77777777" w:rsidR="00FD73F7" w:rsidRPr="00FD73F7" w:rsidRDefault="00FD73F7" w:rsidP="00FD73F7">
            <w:pPr>
              <w:keepNext/>
              <w:spacing w:before="40"/>
              <w:jc w:val="center"/>
              <w:rPr>
                <w:rFonts w:ascii="Arial Narrow" w:hAnsi="Arial Narrow"/>
                <w:b/>
              </w:rPr>
            </w:pPr>
            <w:r w:rsidRPr="00FD73F7">
              <w:rPr>
                <w:rFonts w:ascii="Arial Narrow" w:hAnsi="Arial Narrow"/>
                <w:b/>
              </w:rPr>
              <w:t>2024</w:t>
            </w:r>
          </w:p>
        </w:tc>
        <w:tc>
          <w:tcPr>
            <w:tcW w:w="1282" w:type="dxa"/>
            <w:shd w:val="clear" w:color="auto" w:fill="E7E6E6" w:themeFill="background2"/>
            <w:tcMar>
              <w:top w:w="0" w:type="dxa"/>
              <w:left w:w="108" w:type="dxa"/>
              <w:bottom w:w="0" w:type="dxa"/>
              <w:right w:w="108" w:type="dxa"/>
            </w:tcMar>
            <w:vAlign w:val="center"/>
          </w:tcPr>
          <w:p w14:paraId="2FA5E345" w14:textId="77777777" w:rsidR="00FD73F7" w:rsidRPr="00FD73F7" w:rsidRDefault="00FD73F7" w:rsidP="00FD73F7">
            <w:pPr>
              <w:keepNext/>
              <w:spacing w:before="40"/>
              <w:jc w:val="center"/>
              <w:rPr>
                <w:rFonts w:ascii="Arial Narrow" w:hAnsi="Arial Narrow"/>
                <w:b/>
              </w:rPr>
            </w:pPr>
            <w:r w:rsidRPr="00FD73F7">
              <w:rPr>
                <w:rFonts w:ascii="Arial Narrow" w:hAnsi="Arial Narrow"/>
                <w:b/>
              </w:rPr>
              <w:t>Year 5</w:t>
            </w:r>
          </w:p>
          <w:p w14:paraId="0A0C9D58" w14:textId="77777777" w:rsidR="00FD73F7" w:rsidRPr="00FD73F7" w:rsidRDefault="00FD73F7" w:rsidP="00FD73F7">
            <w:pPr>
              <w:keepNext/>
              <w:spacing w:before="40"/>
              <w:jc w:val="center"/>
              <w:rPr>
                <w:rFonts w:ascii="Arial Narrow" w:hAnsi="Arial Narrow"/>
                <w:b/>
              </w:rPr>
            </w:pPr>
            <w:r w:rsidRPr="00FD73F7">
              <w:rPr>
                <w:rFonts w:ascii="Arial Narrow" w:hAnsi="Arial Narrow"/>
                <w:b/>
              </w:rPr>
              <w:t>2025</w:t>
            </w:r>
          </w:p>
        </w:tc>
        <w:tc>
          <w:tcPr>
            <w:tcW w:w="1282" w:type="dxa"/>
            <w:shd w:val="clear" w:color="auto" w:fill="E7E6E6" w:themeFill="background2"/>
            <w:tcMar>
              <w:top w:w="0" w:type="dxa"/>
              <w:left w:w="108" w:type="dxa"/>
              <w:bottom w:w="0" w:type="dxa"/>
              <w:right w:w="108" w:type="dxa"/>
            </w:tcMar>
            <w:vAlign w:val="center"/>
          </w:tcPr>
          <w:p w14:paraId="20FCF331" w14:textId="77777777" w:rsidR="00FD73F7" w:rsidRPr="00FD73F7" w:rsidRDefault="00FD73F7" w:rsidP="00FD73F7">
            <w:pPr>
              <w:keepNext/>
              <w:spacing w:before="40"/>
              <w:jc w:val="center"/>
              <w:rPr>
                <w:rFonts w:ascii="Arial Narrow" w:hAnsi="Arial Narrow"/>
                <w:b/>
              </w:rPr>
            </w:pPr>
            <w:r w:rsidRPr="00FD73F7">
              <w:rPr>
                <w:rFonts w:ascii="Arial Narrow" w:hAnsi="Arial Narrow"/>
                <w:b/>
              </w:rPr>
              <w:t>Year 6</w:t>
            </w:r>
          </w:p>
          <w:p w14:paraId="230A5773" w14:textId="77777777" w:rsidR="00FD73F7" w:rsidRPr="00FD73F7" w:rsidRDefault="00FD73F7" w:rsidP="00FD73F7">
            <w:pPr>
              <w:keepNext/>
              <w:spacing w:before="40"/>
              <w:jc w:val="center"/>
              <w:rPr>
                <w:rFonts w:ascii="Arial Narrow" w:hAnsi="Arial Narrow"/>
                <w:b/>
              </w:rPr>
            </w:pPr>
            <w:r w:rsidRPr="00FD73F7">
              <w:rPr>
                <w:rFonts w:ascii="Arial Narrow" w:hAnsi="Arial Narrow"/>
                <w:b/>
              </w:rPr>
              <w:t>2026</w:t>
            </w:r>
          </w:p>
        </w:tc>
      </w:tr>
      <w:tr w:rsidR="00FD73F7" w:rsidRPr="00FD73F7" w14:paraId="1DBEECFB" w14:textId="77777777" w:rsidTr="004323DB">
        <w:trPr>
          <w:cnfStyle w:val="100000000000" w:firstRow="1" w:lastRow="0" w:firstColumn="0" w:lastColumn="0" w:oddVBand="0" w:evenVBand="0" w:oddHBand="0" w:evenHBand="0" w:firstRowFirstColumn="0" w:firstRowLastColumn="0" w:lastRowFirstColumn="0" w:lastRowLastColumn="0"/>
          <w:tblHeader/>
        </w:trPr>
        <w:tc>
          <w:tcPr>
            <w:tcW w:w="9356" w:type="dxa"/>
            <w:gridSpan w:val="7"/>
            <w:tcMar>
              <w:top w:w="0" w:type="dxa"/>
              <w:left w:w="108" w:type="dxa"/>
              <w:bottom w:w="0" w:type="dxa"/>
              <w:right w:w="108" w:type="dxa"/>
            </w:tcMar>
            <w:vAlign w:val="center"/>
          </w:tcPr>
          <w:p w14:paraId="76A11C13" w14:textId="621A1A4F" w:rsidR="00FD73F7" w:rsidRPr="00FD73F7" w:rsidRDefault="00FD73F7" w:rsidP="00FD73F7">
            <w:pPr>
              <w:keepNext/>
              <w:spacing w:before="40"/>
              <w:rPr>
                <w:rFonts w:ascii="Arial Narrow" w:hAnsi="Arial Narrow"/>
                <w:b/>
              </w:rPr>
            </w:pPr>
            <w:r w:rsidRPr="00FD73F7">
              <w:rPr>
                <w:rFonts w:ascii="Arial Narrow" w:hAnsi="Arial Narrow"/>
                <w:b/>
              </w:rPr>
              <w:t xml:space="preserve">Staging of non CRC/HCC patients with </w:t>
            </w:r>
            <w:r w:rsidR="00F435F6" w:rsidRPr="00F435F6">
              <w:rPr>
                <w:rFonts w:ascii="Arial Narrow" w:hAnsi="Arial Narrow"/>
                <w:b/>
              </w:rPr>
              <w:t>liver metastasis</w:t>
            </w:r>
          </w:p>
        </w:tc>
      </w:tr>
      <w:tr w:rsidR="00FD73F7" w:rsidRPr="00FD73F7" w14:paraId="01156482" w14:textId="77777777" w:rsidTr="004323DB">
        <w:trPr>
          <w:cnfStyle w:val="100000000000" w:firstRow="1" w:lastRow="0" w:firstColumn="0" w:lastColumn="0" w:oddVBand="0" w:evenVBand="0" w:oddHBand="0" w:evenHBand="0" w:firstRowFirstColumn="0" w:firstRowLastColumn="0" w:lastRowFirstColumn="0" w:lastRowLastColumn="0"/>
          <w:tblHeader/>
        </w:trPr>
        <w:tc>
          <w:tcPr>
            <w:tcW w:w="1668" w:type="dxa"/>
            <w:shd w:val="clear" w:color="auto" w:fill="FFFFFF" w:themeFill="background1"/>
            <w:tcMar>
              <w:top w:w="0" w:type="dxa"/>
              <w:left w:w="108" w:type="dxa"/>
              <w:bottom w:w="0" w:type="dxa"/>
              <w:right w:w="108" w:type="dxa"/>
            </w:tcMar>
            <w:vAlign w:val="center"/>
          </w:tcPr>
          <w:p w14:paraId="40961833" w14:textId="77777777" w:rsidR="00FD73F7" w:rsidRPr="00FD73F7" w:rsidRDefault="00FD73F7" w:rsidP="00FD73F7">
            <w:pPr>
              <w:keepNext/>
              <w:spacing w:before="40"/>
              <w:rPr>
                <w:rFonts w:ascii="Arial Narrow" w:hAnsi="Arial Narrow"/>
                <w:bCs/>
              </w:rPr>
            </w:pPr>
            <w:r w:rsidRPr="00FD73F7">
              <w:rPr>
                <w:rFonts w:ascii="Arial Narrow" w:hAnsi="Arial Narrow"/>
                <w:bCs/>
              </w:rPr>
              <w:t>MRI services</w:t>
            </w:r>
          </w:p>
        </w:tc>
        <w:tc>
          <w:tcPr>
            <w:tcW w:w="1280" w:type="dxa"/>
            <w:shd w:val="clear" w:color="auto" w:fill="FFFFFF" w:themeFill="background1"/>
            <w:tcMar>
              <w:top w:w="0" w:type="dxa"/>
              <w:left w:w="108" w:type="dxa"/>
              <w:bottom w:w="0" w:type="dxa"/>
              <w:right w:w="108" w:type="dxa"/>
            </w:tcMar>
            <w:vAlign w:val="center"/>
          </w:tcPr>
          <w:p w14:paraId="592B2D26" w14:textId="77777777" w:rsidR="00FD73F7" w:rsidRPr="00FD73F7" w:rsidRDefault="00FD73F7" w:rsidP="00FD73F7">
            <w:pPr>
              <w:keepNext/>
              <w:spacing w:before="40"/>
              <w:jc w:val="center"/>
              <w:rPr>
                <w:rFonts w:ascii="Arial Narrow" w:hAnsi="Arial Narrow"/>
                <w:bCs/>
              </w:rPr>
            </w:pPr>
            <w:r w:rsidRPr="00FD73F7">
              <w:rPr>
                <w:rFonts w:ascii="Arial Narrow" w:hAnsi="Arial Narrow"/>
                <w:bCs/>
              </w:rPr>
              <w:t>4,881</w:t>
            </w:r>
          </w:p>
        </w:tc>
        <w:tc>
          <w:tcPr>
            <w:tcW w:w="1280" w:type="dxa"/>
            <w:shd w:val="clear" w:color="auto" w:fill="FFFFFF" w:themeFill="background1"/>
            <w:tcMar>
              <w:top w:w="0" w:type="dxa"/>
              <w:left w:w="108" w:type="dxa"/>
              <w:bottom w:w="0" w:type="dxa"/>
              <w:right w:w="108" w:type="dxa"/>
            </w:tcMar>
            <w:vAlign w:val="center"/>
          </w:tcPr>
          <w:p w14:paraId="686FF5BA" w14:textId="77777777" w:rsidR="00FD73F7" w:rsidRPr="00FD73F7" w:rsidRDefault="00FD73F7" w:rsidP="00FD73F7">
            <w:pPr>
              <w:keepNext/>
              <w:spacing w:before="40"/>
              <w:jc w:val="center"/>
              <w:rPr>
                <w:rFonts w:ascii="Arial Narrow" w:hAnsi="Arial Narrow"/>
                <w:bCs/>
              </w:rPr>
            </w:pPr>
            <w:r w:rsidRPr="00FD73F7">
              <w:rPr>
                <w:rFonts w:ascii="Arial Narrow" w:hAnsi="Arial Narrow"/>
                <w:bCs/>
              </w:rPr>
              <w:t>5,125</w:t>
            </w:r>
          </w:p>
        </w:tc>
        <w:tc>
          <w:tcPr>
            <w:tcW w:w="1282" w:type="dxa"/>
            <w:shd w:val="clear" w:color="auto" w:fill="FFFFFF" w:themeFill="background1"/>
            <w:tcMar>
              <w:top w:w="0" w:type="dxa"/>
              <w:left w:w="108" w:type="dxa"/>
              <w:bottom w:w="0" w:type="dxa"/>
              <w:right w:w="108" w:type="dxa"/>
            </w:tcMar>
            <w:vAlign w:val="center"/>
          </w:tcPr>
          <w:p w14:paraId="2A32C221" w14:textId="77777777" w:rsidR="00FD73F7" w:rsidRPr="00FD73F7" w:rsidRDefault="00FD73F7" w:rsidP="00FD73F7">
            <w:pPr>
              <w:keepNext/>
              <w:spacing w:before="40"/>
              <w:jc w:val="center"/>
              <w:rPr>
                <w:rFonts w:ascii="Arial Narrow" w:hAnsi="Arial Narrow"/>
                <w:bCs/>
              </w:rPr>
            </w:pPr>
            <w:r w:rsidRPr="00FD73F7">
              <w:rPr>
                <w:rFonts w:ascii="Arial Narrow" w:hAnsi="Arial Narrow"/>
                <w:bCs/>
              </w:rPr>
              <w:t>5,382</w:t>
            </w:r>
          </w:p>
        </w:tc>
        <w:tc>
          <w:tcPr>
            <w:tcW w:w="1282" w:type="dxa"/>
            <w:shd w:val="clear" w:color="auto" w:fill="FFFFFF" w:themeFill="background1"/>
            <w:tcMar>
              <w:top w:w="0" w:type="dxa"/>
              <w:left w:w="108" w:type="dxa"/>
              <w:bottom w:w="0" w:type="dxa"/>
              <w:right w:w="108" w:type="dxa"/>
            </w:tcMar>
            <w:vAlign w:val="center"/>
          </w:tcPr>
          <w:p w14:paraId="784E327E" w14:textId="77777777" w:rsidR="00FD73F7" w:rsidRPr="00FD73F7" w:rsidRDefault="00FD73F7" w:rsidP="00FD73F7">
            <w:pPr>
              <w:keepNext/>
              <w:spacing w:before="40"/>
              <w:jc w:val="center"/>
              <w:rPr>
                <w:rFonts w:ascii="Arial Narrow" w:hAnsi="Arial Narrow"/>
                <w:bCs/>
              </w:rPr>
            </w:pPr>
            <w:r w:rsidRPr="00FD73F7">
              <w:rPr>
                <w:rFonts w:ascii="Arial Narrow" w:hAnsi="Arial Narrow"/>
                <w:bCs/>
              </w:rPr>
              <w:t>5,651</w:t>
            </w:r>
          </w:p>
        </w:tc>
        <w:tc>
          <w:tcPr>
            <w:tcW w:w="1282" w:type="dxa"/>
            <w:shd w:val="clear" w:color="auto" w:fill="FFFFFF" w:themeFill="background1"/>
            <w:tcMar>
              <w:top w:w="0" w:type="dxa"/>
              <w:left w:w="108" w:type="dxa"/>
              <w:bottom w:w="0" w:type="dxa"/>
              <w:right w:w="108" w:type="dxa"/>
            </w:tcMar>
            <w:vAlign w:val="center"/>
          </w:tcPr>
          <w:p w14:paraId="6AF4090D" w14:textId="77777777" w:rsidR="00FD73F7" w:rsidRPr="00FD73F7" w:rsidRDefault="00FD73F7" w:rsidP="00FD73F7">
            <w:pPr>
              <w:keepNext/>
              <w:spacing w:before="40"/>
              <w:jc w:val="center"/>
              <w:rPr>
                <w:rFonts w:ascii="Arial Narrow" w:hAnsi="Arial Narrow"/>
                <w:bCs/>
              </w:rPr>
            </w:pPr>
            <w:r w:rsidRPr="00FD73F7">
              <w:rPr>
                <w:rFonts w:ascii="Arial Narrow" w:hAnsi="Arial Narrow"/>
                <w:bCs/>
              </w:rPr>
              <w:t>5,933</w:t>
            </w:r>
          </w:p>
        </w:tc>
        <w:tc>
          <w:tcPr>
            <w:tcW w:w="1282" w:type="dxa"/>
            <w:shd w:val="clear" w:color="auto" w:fill="FFFFFF" w:themeFill="background1"/>
            <w:tcMar>
              <w:top w:w="0" w:type="dxa"/>
              <w:left w:w="108" w:type="dxa"/>
              <w:bottom w:w="0" w:type="dxa"/>
              <w:right w:w="108" w:type="dxa"/>
            </w:tcMar>
            <w:vAlign w:val="center"/>
          </w:tcPr>
          <w:p w14:paraId="2F0C2C8A" w14:textId="77777777" w:rsidR="00FD73F7" w:rsidRPr="00FD73F7" w:rsidRDefault="00FD73F7" w:rsidP="00FD73F7">
            <w:pPr>
              <w:keepNext/>
              <w:spacing w:before="40"/>
              <w:jc w:val="center"/>
              <w:rPr>
                <w:rFonts w:ascii="Arial Narrow" w:hAnsi="Arial Narrow"/>
                <w:bCs/>
              </w:rPr>
            </w:pPr>
            <w:bookmarkStart w:id="15" w:name="_Hlk90297465"/>
            <w:r w:rsidRPr="00FD73F7">
              <w:rPr>
                <w:rFonts w:ascii="Arial Narrow" w:hAnsi="Arial Narrow"/>
                <w:bCs/>
              </w:rPr>
              <w:t>6,230</w:t>
            </w:r>
            <w:bookmarkEnd w:id="15"/>
          </w:p>
        </w:tc>
      </w:tr>
      <w:tr w:rsidR="00FD73F7" w:rsidRPr="00FD73F7" w14:paraId="40B942A1" w14:textId="77777777" w:rsidTr="004323DB">
        <w:trPr>
          <w:cnfStyle w:val="100000000000" w:firstRow="1" w:lastRow="0" w:firstColumn="0" w:lastColumn="0" w:oddVBand="0" w:evenVBand="0" w:oddHBand="0" w:evenHBand="0" w:firstRowFirstColumn="0" w:firstRowLastColumn="0" w:lastRowFirstColumn="0" w:lastRowLastColumn="0"/>
          <w:tblHeader/>
        </w:trPr>
        <w:tc>
          <w:tcPr>
            <w:tcW w:w="1668" w:type="dxa"/>
            <w:shd w:val="clear" w:color="auto" w:fill="FFFFFF" w:themeFill="background1"/>
            <w:tcMar>
              <w:top w:w="0" w:type="dxa"/>
              <w:left w:w="108" w:type="dxa"/>
              <w:bottom w:w="0" w:type="dxa"/>
              <w:right w:w="108" w:type="dxa"/>
            </w:tcMar>
            <w:vAlign w:val="center"/>
          </w:tcPr>
          <w:p w14:paraId="2CBD6F72" w14:textId="470F8F26" w:rsidR="00FD73F7" w:rsidRPr="00FD73F7" w:rsidRDefault="00FD73F7" w:rsidP="00FD73F7">
            <w:pPr>
              <w:keepNext/>
              <w:spacing w:before="40"/>
              <w:rPr>
                <w:rFonts w:ascii="Arial Narrow" w:hAnsi="Arial Narrow"/>
                <w:bCs/>
              </w:rPr>
            </w:pPr>
            <w:r w:rsidRPr="00FD73F7">
              <w:rPr>
                <w:rFonts w:ascii="Arial Narrow" w:hAnsi="Arial Narrow"/>
                <w:bCs/>
              </w:rPr>
              <w:t>CT and US services</w:t>
            </w:r>
            <w:r w:rsidR="00853650">
              <w:rPr>
                <w:rFonts w:ascii="Arial Narrow" w:hAnsi="Arial Narrow"/>
                <w:bCs/>
              </w:rPr>
              <w:t xml:space="preserve"> </w:t>
            </w:r>
          </w:p>
        </w:tc>
        <w:tc>
          <w:tcPr>
            <w:tcW w:w="1280" w:type="dxa"/>
            <w:shd w:val="clear" w:color="auto" w:fill="FFFFFF" w:themeFill="background1"/>
            <w:tcMar>
              <w:top w:w="0" w:type="dxa"/>
              <w:left w:w="108" w:type="dxa"/>
              <w:bottom w:w="0" w:type="dxa"/>
              <w:right w:w="108" w:type="dxa"/>
            </w:tcMar>
            <w:vAlign w:val="center"/>
          </w:tcPr>
          <w:p w14:paraId="7A69464C" w14:textId="77777777" w:rsidR="00FD73F7" w:rsidRPr="00FD73F7" w:rsidRDefault="00FD73F7" w:rsidP="00FD73F7">
            <w:pPr>
              <w:keepNext/>
              <w:spacing w:before="40"/>
              <w:jc w:val="center"/>
              <w:rPr>
                <w:rFonts w:ascii="Arial Narrow" w:hAnsi="Arial Narrow"/>
                <w:bCs/>
              </w:rPr>
            </w:pPr>
            <w:r w:rsidRPr="00FD73F7">
              <w:rPr>
                <w:rFonts w:ascii="Arial Narrow" w:hAnsi="Arial Narrow"/>
                <w:bCs/>
              </w:rPr>
              <w:t>4,881</w:t>
            </w:r>
          </w:p>
        </w:tc>
        <w:tc>
          <w:tcPr>
            <w:tcW w:w="1280" w:type="dxa"/>
            <w:shd w:val="clear" w:color="auto" w:fill="FFFFFF" w:themeFill="background1"/>
            <w:tcMar>
              <w:top w:w="0" w:type="dxa"/>
              <w:left w:w="108" w:type="dxa"/>
              <w:bottom w:w="0" w:type="dxa"/>
              <w:right w:w="108" w:type="dxa"/>
            </w:tcMar>
            <w:vAlign w:val="center"/>
          </w:tcPr>
          <w:p w14:paraId="33BACDCE" w14:textId="77777777" w:rsidR="00FD73F7" w:rsidRPr="00FD73F7" w:rsidRDefault="00FD73F7" w:rsidP="00FD73F7">
            <w:pPr>
              <w:keepNext/>
              <w:spacing w:before="40"/>
              <w:jc w:val="center"/>
              <w:rPr>
                <w:rFonts w:ascii="Arial Narrow" w:hAnsi="Arial Narrow"/>
                <w:bCs/>
              </w:rPr>
            </w:pPr>
            <w:r w:rsidRPr="00FD73F7">
              <w:rPr>
                <w:rFonts w:ascii="Arial Narrow" w:hAnsi="Arial Narrow"/>
                <w:bCs/>
              </w:rPr>
              <w:t>5,125</w:t>
            </w:r>
          </w:p>
        </w:tc>
        <w:tc>
          <w:tcPr>
            <w:tcW w:w="1282" w:type="dxa"/>
            <w:shd w:val="clear" w:color="auto" w:fill="FFFFFF" w:themeFill="background1"/>
            <w:tcMar>
              <w:top w:w="0" w:type="dxa"/>
              <w:left w:w="108" w:type="dxa"/>
              <w:bottom w:w="0" w:type="dxa"/>
              <w:right w:w="108" w:type="dxa"/>
            </w:tcMar>
            <w:vAlign w:val="center"/>
          </w:tcPr>
          <w:p w14:paraId="20762131" w14:textId="77777777" w:rsidR="00FD73F7" w:rsidRPr="00FD73F7" w:rsidRDefault="00FD73F7" w:rsidP="00FD73F7">
            <w:pPr>
              <w:keepNext/>
              <w:spacing w:before="40"/>
              <w:jc w:val="center"/>
              <w:rPr>
                <w:rFonts w:ascii="Arial Narrow" w:hAnsi="Arial Narrow"/>
                <w:bCs/>
              </w:rPr>
            </w:pPr>
            <w:r w:rsidRPr="00FD73F7">
              <w:rPr>
                <w:rFonts w:ascii="Arial Narrow" w:hAnsi="Arial Narrow"/>
                <w:bCs/>
              </w:rPr>
              <w:t>5,382</w:t>
            </w:r>
          </w:p>
        </w:tc>
        <w:tc>
          <w:tcPr>
            <w:tcW w:w="1282" w:type="dxa"/>
            <w:shd w:val="clear" w:color="auto" w:fill="FFFFFF" w:themeFill="background1"/>
            <w:tcMar>
              <w:top w:w="0" w:type="dxa"/>
              <w:left w:w="108" w:type="dxa"/>
              <w:bottom w:w="0" w:type="dxa"/>
              <w:right w:w="108" w:type="dxa"/>
            </w:tcMar>
            <w:vAlign w:val="center"/>
          </w:tcPr>
          <w:p w14:paraId="6EE427F8" w14:textId="77777777" w:rsidR="00FD73F7" w:rsidRPr="00FD73F7" w:rsidRDefault="00FD73F7" w:rsidP="00FD73F7">
            <w:pPr>
              <w:keepNext/>
              <w:spacing w:before="40"/>
              <w:jc w:val="center"/>
              <w:rPr>
                <w:rFonts w:ascii="Arial Narrow" w:hAnsi="Arial Narrow"/>
                <w:bCs/>
              </w:rPr>
            </w:pPr>
            <w:r w:rsidRPr="00FD73F7">
              <w:rPr>
                <w:rFonts w:ascii="Arial Narrow" w:hAnsi="Arial Narrow"/>
                <w:bCs/>
              </w:rPr>
              <w:t>5,651</w:t>
            </w:r>
          </w:p>
        </w:tc>
        <w:tc>
          <w:tcPr>
            <w:tcW w:w="1282" w:type="dxa"/>
            <w:shd w:val="clear" w:color="auto" w:fill="FFFFFF" w:themeFill="background1"/>
            <w:tcMar>
              <w:top w:w="0" w:type="dxa"/>
              <w:left w:w="108" w:type="dxa"/>
              <w:bottom w:w="0" w:type="dxa"/>
              <w:right w:w="108" w:type="dxa"/>
            </w:tcMar>
            <w:vAlign w:val="center"/>
          </w:tcPr>
          <w:p w14:paraId="41DE46C3" w14:textId="77777777" w:rsidR="00FD73F7" w:rsidRPr="00FD73F7" w:rsidRDefault="00FD73F7" w:rsidP="00FD73F7">
            <w:pPr>
              <w:keepNext/>
              <w:spacing w:before="40"/>
              <w:jc w:val="center"/>
              <w:rPr>
                <w:rFonts w:ascii="Arial Narrow" w:hAnsi="Arial Narrow"/>
                <w:bCs/>
              </w:rPr>
            </w:pPr>
            <w:r w:rsidRPr="00FD73F7">
              <w:rPr>
                <w:rFonts w:ascii="Arial Narrow" w:hAnsi="Arial Narrow"/>
                <w:bCs/>
              </w:rPr>
              <w:t>5,933</w:t>
            </w:r>
          </w:p>
        </w:tc>
        <w:tc>
          <w:tcPr>
            <w:tcW w:w="1282" w:type="dxa"/>
            <w:shd w:val="clear" w:color="auto" w:fill="FFFFFF" w:themeFill="background1"/>
            <w:tcMar>
              <w:top w:w="0" w:type="dxa"/>
              <w:left w:w="108" w:type="dxa"/>
              <w:bottom w:w="0" w:type="dxa"/>
              <w:right w:w="108" w:type="dxa"/>
            </w:tcMar>
            <w:vAlign w:val="center"/>
          </w:tcPr>
          <w:p w14:paraId="074D6F73" w14:textId="77777777" w:rsidR="00FD73F7" w:rsidRPr="00FD73F7" w:rsidRDefault="00FD73F7" w:rsidP="00FD73F7">
            <w:pPr>
              <w:keepNext/>
              <w:spacing w:before="40"/>
              <w:jc w:val="center"/>
              <w:rPr>
                <w:rFonts w:ascii="Arial Narrow" w:hAnsi="Arial Narrow"/>
                <w:bCs/>
              </w:rPr>
            </w:pPr>
            <w:r w:rsidRPr="00FD73F7">
              <w:rPr>
                <w:rFonts w:ascii="Arial Narrow" w:hAnsi="Arial Narrow"/>
                <w:bCs/>
              </w:rPr>
              <w:t>6,230</w:t>
            </w:r>
          </w:p>
        </w:tc>
      </w:tr>
      <w:tr w:rsidR="00FD73F7" w:rsidRPr="00FD73F7" w14:paraId="4812A05D" w14:textId="77777777" w:rsidTr="004323DB">
        <w:trPr>
          <w:cnfStyle w:val="100000000000" w:firstRow="1" w:lastRow="0" w:firstColumn="0" w:lastColumn="0" w:oddVBand="0" w:evenVBand="0" w:oddHBand="0" w:evenHBand="0" w:firstRowFirstColumn="0" w:firstRowLastColumn="0" w:lastRowFirstColumn="0" w:lastRowLastColumn="0"/>
          <w:tblHeader/>
        </w:trPr>
        <w:tc>
          <w:tcPr>
            <w:tcW w:w="9356" w:type="dxa"/>
            <w:gridSpan w:val="7"/>
            <w:shd w:val="clear" w:color="auto" w:fill="FFFFFF" w:themeFill="background1"/>
            <w:tcMar>
              <w:top w:w="0" w:type="dxa"/>
              <w:left w:w="108" w:type="dxa"/>
              <w:bottom w:w="0" w:type="dxa"/>
              <w:right w:w="108" w:type="dxa"/>
            </w:tcMar>
            <w:vAlign w:val="center"/>
          </w:tcPr>
          <w:p w14:paraId="1E3DE8A4" w14:textId="77777777" w:rsidR="00FD73F7" w:rsidRPr="009A1AD5" w:rsidRDefault="00FD73F7" w:rsidP="00FD73F7">
            <w:pPr>
              <w:keepNext/>
              <w:spacing w:before="40"/>
              <w:rPr>
                <w:rFonts w:ascii="Arial Narrow" w:hAnsi="Arial Narrow"/>
                <w:b/>
                <w:bCs/>
              </w:rPr>
            </w:pPr>
            <w:r w:rsidRPr="009A1AD5">
              <w:rPr>
                <w:rFonts w:ascii="Arial Narrow" w:hAnsi="Arial Narrow"/>
                <w:b/>
                <w:bCs/>
              </w:rPr>
              <w:t>Comparator</w:t>
            </w:r>
          </w:p>
        </w:tc>
      </w:tr>
      <w:tr w:rsidR="00FD73F7" w:rsidRPr="00FD73F7" w14:paraId="541BE787" w14:textId="77777777" w:rsidTr="004323DB">
        <w:trPr>
          <w:cnfStyle w:val="100000000000" w:firstRow="1" w:lastRow="0" w:firstColumn="0" w:lastColumn="0" w:oddVBand="0" w:evenVBand="0" w:oddHBand="0" w:evenHBand="0" w:firstRowFirstColumn="0" w:firstRowLastColumn="0" w:lastRowFirstColumn="0" w:lastRowLastColumn="0"/>
          <w:tblHeader/>
        </w:trPr>
        <w:tc>
          <w:tcPr>
            <w:tcW w:w="1668" w:type="dxa"/>
            <w:shd w:val="clear" w:color="auto" w:fill="FFFFFF" w:themeFill="background1"/>
            <w:tcMar>
              <w:top w:w="0" w:type="dxa"/>
              <w:left w:w="108" w:type="dxa"/>
              <w:bottom w:w="0" w:type="dxa"/>
              <w:right w:w="108" w:type="dxa"/>
            </w:tcMar>
            <w:vAlign w:val="center"/>
          </w:tcPr>
          <w:p w14:paraId="0D9EDFE3" w14:textId="40CB01C4" w:rsidR="00FD73F7" w:rsidRPr="00FD73F7" w:rsidRDefault="00FD73F7" w:rsidP="00FD73F7">
            <w:pPr>
              <w:keepNext/>
              <w:spacing w:before="40"/>
              <w:rPr>
                <w:rFonts w:ascii="Arial Narrow" w:hAnsi="Arial Narrow"/>
                <w:bCs/>
              </w:rPr>
            </w:pPr>
            <w:r w:rsidRPr="00FD73F7">
              <w:rPr>
                <w:rFonts w:ascii="Arial Narrow" w:hAnsi="Arial Narrow"/>
                <w:bCs/>
              </w:rPr>
              <w:t>CT and US services</w:t>
            </w:r>
            <w:r w:rsidR="00853650">
              <w:rPr>
                <w:rFonts w:ascii="Arial Narrow" w:hAnsi="Arial Narrow"/>
                <w:bCs/>
              </w:rPr>
              <w:t xml:space="preserve"> </w:t>
            </w:r>
          </w:p>
        </w:tc>
        <w:tc>
          <w:tcPr>
            <w:tcW w:w="1280" w:type="dxa"/>
            <w:shd w:val="clear" w:color="auto" w:fill="FFFFFF" w:themeFill="background1"/>
            <w:tcMar>
              <w:top w:w="0" w:type="dxa"/>
              <w:left w:w="108" w:type="dxa"/>
              <w:bottom w:w="0" w:type="dxa"/>
              <w:right w:w="108" w:type="dxa"/>
            </w:tcMar>
            <w:vAlign w:val="center"/>
          </w:tcPr>
          <w:p w14:paraId="22FFC19C" w14:textId="77777777" w:rsidR="00FD73F7" w:rsidRPr="00FD73F7" w:rsidRDefault="00FD73F7" w:rsidP="00FD73F7">
            <w:pPr>
              <w:keepNext/>
              <w:spacing w:before="40"/>
              <w:jc w:val="center"/>
              <w:rPr>
                <w:rFonts w:ascii="Arial Narrow" w:hAnsi="Arial Narrow"/>
                <w:bCs/>
              </w:rPr>
            </w:pPr>
            <w:r w:rsidRPr="00FD73F7">
              <w:rPr>
                <w:rFonts w:ascii="Arial Narrow" w:hAnsi="Arial Narrow"/>
                <w:bCs/>
              </w:rPr>
              <w:t>4,881</w:t>
            </w:r>
          </w:p>
        </w:tc>
        <w:tc>
          <w:tcPr>
            <w:tcW w:w="1280" w:type="dxa"/>
            <w:shd w:val="clear" w:color="auto" w:fill="FFFFFF" w:themeFill="background1"/>
            <w:tcMar>
              <w:top w:w="0" w:type="dxa"/>
              <w:left w:w="108" w:type="dxa"/>
              <w:bottom w:w="0" w:type="dxa"/>
              <w:right w:w="108" w:type="dxa"/>
            </w:tcMar>
            <w:vAlign w:val="center"/>
          </w:tcPr>
          <w:p w14:paraId="48B355B6" w14:textId="77777777" w:rsidR="00FD73F7" w:rsidRPr="00FD73F7" w:rsidRDefault="00FD73F7" w:rsidP="00FD73F7">
            <w:pPr>
              <w:keepNext/>
              <w:spacing w:before="40"/>
              <w:jc w:val="center"/>
              <w:rPr>
                <w:rFonts w:ascii="Arial Narrow" w:hAnsi="Arial Narrow"/>
                <w:bCs/>
              </w:rPr>
            </w:pPr>
            <w:r w:rsidRPr="00FD73F7">
              <w:rPr>
                <w:rFonts w:ascii="Arial Narrow" w:hAnsi="Arial Narrow"/>
                <w:bCs/>
              </w:rPr>
              <w:t>5,125</w:t>
            </w:r>
          </w:p>
        </w:tc>
        <w:tc>
          <w:tcPr>
            <w:tcW w:w="1282" w:type="dxa"/>
            <w:shd w:val="clear" w:color="auto" w:fill="FFFFFF" w:themeFill="background1"/>
            <w:tcMar>
              <w:top w:w="0" w:type="dxa"/>
              <w:left w:w="108" w:type="dxa"/>
              <w:bottom w:w="0" w:type="dxa"/>
              <w:right w:w="108" w:type="dxa"/>
            </w:tcMar>
            <w:vAlign w:val="center"/>
          </w:tcPr>
          <w:p w14:paraId="22EC115E" w14:textId="77777777" w:rsidR="00FD73F7" w:rsidRPr="00FD73F7" w:rsidRDefault="00FD73F7" w:rsidP="00FD73F7">
            <w:pPr>
              <w:keepNext/>
              <w:spacing w:before="40"/>
              <w:jc w:val="center"/>
              <w:rPr>
                <w:rFonts w:ascii="Arial Narrow" w:hAnsi="Arial Narrow"/>
                <w:bCs/>
              </w:rPr>
            </w:pPr>
            <w:r w:rsidRPr="00FD73F7">
              <w:rPr>
                <w:rFonts w:ascii="Arial Narrow" w:hAnsi="Arial Narrow"/>
                <w:bCs/>
              </w:rPr>
              <w:t>5,382</w:t>
            </w:r>
          </w:p>
        </w:tc>
        <w:tc>
          <w:tcPr>
            <w:tcW w:w="1282" w:type="dxa"/>
            <w:shd w:val="clear" w:color="auto" w:fill="FFFFFF" w:themeFill="background1"/>
            <w:tcMar>
              <w:top w:w="0" w:type="dxa"/>
              <w:left w:w="108" w:type="dxa"/>
              <w:bottom w:w="0" w:type="dxa"/>
              <w:right w:w="108" w:type="dxa"/>
            </w:tcMar>
            <w:vAlign w:val="center"/>
          </w:tcPr>
          <w:p w14:paraId="55630C5A" w14:textId="77777777" w:rsidR="00FD73F7" w:rsidRPr="00FD73F7" w:rsidRDefault="00FD73F7" w:rsidP="00FD73F7">
            <w:pPr>
              <w:keepNext/>
              <w:spacing w:before="40"/>
              <w:jc w:val="center"/>
              <w:rPr>
                <w:rFonts w:ascii="Arial Narrow" w:hAnsi="Arial Narrow"/>
                <w:bCs/>
              </w:rPr>
            </w:pPr>
            <w:r w:rsidRPr="00FD73F7">
              <w:rPr>
                <w:rFonts w:ascii="Arial Narrow" w:hAnsi="Arial Narrow"/>
                <w:bCs/>
              </w:rPr>
              <w:t>5,651</w:t>
            </w:r>
          </w:p>
        </w:tc>
        <w:tc>
          <w:tcPr>
            <w:tcW w:w="1282" w:type="dxa"/>
            <w:shd w:val="clear" w:color="auto" w:fill="FFFFFF" w:themeFill="background1"/>
            <w:tcMar>
              <w:top w:w="0" w:type="dxa"/>
              <w:left w:w="108" w:type="dxa"/>
              <w:bottom w:w="0" w:type="dxa"/>
              <w:right w:w="108" w:type="dxa"/>
            </w:tcMar>
            <w:vAlign w:val="center"/>
          </w:tcPr>
          <w:p w14:paraId="53DDC44B" w14:textId="77777777" w:rsidR="00FD73F7" w:rsidRPr="00FD73F7" w:rsidRDefault="00FD73F7" w:rsidP="00FD73F7">
            <w:pPr>
              <w:keepNext/>
              <w:spacing w:before="40"/>
              <w:jc w:val="center"/>
              <w:rPr>
                <w:rFonts w:ascii="Arial Narrow" w:hAnsi="Arial Narrow"/>
                <w:bCs/>
              </w:rPr>
            </w:pPr>
            <w:r w:rsidRPr="00FD73F7">
              <w:rPr>
                <w:rFonts w:ascii="Arial Narrow" w:hAnsi="Arial Narrow"/>
                <w:bCs/>
              </w:rPr>
              <w:t>5,933</w:t>
            </w:r>
          </w:p>
        </w:tc>
        <w:tc>
          <w:tcPr>
            <w:tcW w:w="1282" w:type="dxa"/>
            <w:shd w:val="clear" w:color="auto" w:fill="FFFFFF" w:themeFill="background1"/>
            <w:tcMar>
              <w:top w:w="0" w:type="dxa"/>
              <w:left w:w="108" w:type="dxa"/>
              <w:bottom w:w="0" w:type="dxa"/>
              <w:right w:w="108" w:type="dxa"/>
            </w:tcMar>
            <w:vAlign w:val="center"/>
          </w:tcPr>
          <w:p w14:paraId="7DC044CA" w14:textId="77777777" w:rsidR="00FD73F7" w:rsidRPr="00FD73F7" w:rsidRDefault="00FD73F7" w:rsidP="00FD73F7">
            <w:pPr>
              <w:keepNext/>
              <w:spacing w:before="40"/>
              <w:jc w:val="center"/>
              <w:rPr>
                <w:rFonts w:ascii="Arial Narrow" w:hAnsi="Arial Narrow"/>
                <w:bCs/>
              </w:rPr>
            </w:pPr>
            <w:r w:rsidRPr="00FD73F7">
              <w:rPr>
                <w:rFonts w:ascii="Arial Narrow" w:hAnsi="Arial Narrow"/>
                <w:bCs/>
              </w:rPr>
              <w:t>6,230</w:t>
            </w:r>
          </w:p>
        </w:tc>
      </w:tr>
      <w:tr w:rsidR="00FD73F7" w:rsidRPr="00FD73F7" w14:paraId="5BB551BD" w14:textId="77777777" w:rsidTr="004323DB">
        <w:trPr>
          <w:cnfStyle w:val="100000000000" w:firstRow="1" w:lastRow="0" w:firstColumn="0" w:lastColumn="0" w:oddVBand="0" w:evenVBand="0" w:oddHBand="0" w:evenHBand="0" w:firstRowFirstColumn="0" w:firstRowLastColumn="0" w:lastRowFirstColumn="0" w:lastRowLastColumn="0"/>
          <w:tblHeader/>
        </w:trPr>
        <w:tc>
          <w:tcPr>
            <w:tcW w:w="9356" w:type="dxa"/>
            <w:gridSpan w:val="7"/>
            <w:tcMar>
              <w:top w:w="0" w:type="dxa"/>
              <w:left w:w="108" w:type="dxa"/>
              <w:bottom w:w="0" w:type="dxa"/>
              <w:right w:w="108" w:type="dxa"/>
            </w:tcMar>
            <w:vAlign w:val="center"/>
          </w:tcPr>
          <w:p w14:paraId="4D8E007B" w14:textId="1D52C9FB" w:rsidR="00FD73F7" w:rsidRPr="00FD73F7" w:rsidRDefault="00FD73F7" w:rsidP="00FD73F7">
            <w:pPr>
              <w:keepNext/>
              <w:spacing w:before="40"/>
              <w:rPr>
                <w:rFonts w:ascii="Arial Narrow" w:hAnsi="Arial Narrow"/>
                <w:b/>
              </w:rPr>
            </w:pPr>
            <w:r w:rsidRPr="00FD73F7">
              <w:rPr>
                <w:rFonts w:ascii="Arial Narrow" w:hAnsi="Arial Narrow"/>
                <w:b/>
              </w:rPr>
              <w:t xml:space="preserve">Financial impact to the MBS (non CRC/HCC patients with </w:t>
            </w:r>
            <w:r w:rsidR="00CE249E" w:rsidRPr="00CE249E">
              <w:rPr>
                <w:rFonts w:ascii="Arial Narrow" w:hAnsi="Arial Narrow"/>
                <w:b/>
              </w:rPr>
              <w:t>liver metastasis</w:t>
            </w:r>
            <w:r w:rsidRPr="00FD73F7">
              <w:rPr>
                <w:rFonts w:ascii="Arial Narrow" w:hAnsi="Arial Narrow"/>
                <w:b/>
              </w:rPr>
              <w:t>)</w:t>
            </w:r>
          </w:p>
        </w:tc>
      </w:tr>
      <w:tr w:rsidR="00FD73F7" w:rsidRPr="00FD73F7" w14:paraId="38EC3200" w14:textId="77777777" w:rsidTr="004323DB">
        <w:trPr>
          <w:cnfStyle w:val="100000000000" w:firstRow="1" w:lastRow="0" w:firstColumn="0" w:lastColumn="0" w:oddVBand="0" w:evenVBand="0" w:oddHBand="0" w:evenHBand="0" w:firstRowFirstColumn="0" w:firstRowLastColumn="0" w:lastRowFirstColumn="0" w:lastRowLastColumn="0"/>
          <w:tblHeader/>
        </w:trPr>
        <w:tc>
          <w:tcPr>
            <w:tcW w:w="1668" w:type="dxa"/>
            <w:tcMar>
              <w:top w:w="0" w:type="dxa"/>
              <w:left w:w="108" w:type="dxa"/>
              <w:bottom w:w="0" w:type="dxa"/>
              <w:right w:w="108" w:type="dxa"/>
            </w:tcMar>
            <w:vAlign w:val="center"/>
          </w:tcPr>
          <w:p w14:paraId="560D9E72" w14:textId="77777777" w:rsidR="00FD73F7" w:rsidRPr="00FD73F7" w:rsidRDefault="00FD73F7" w:rsidP="00FD73F7">
            <w:pPr>
              <w:keepNext/>
              <w:spacing w:before="40"/>
              <w:rPr>
                <w:rFonts w:ascii="Arial Narrow" w:hAnsi="Arial Narrow"/>
                <w:bCs/>
              </w:rPr>
            </w:pPr>
            <w:r w:rsidRPr="00FD73F7">
              <w:rPr>
                <w:rFonts w:ascii="Arial Narrow" w:hAnsi="Arial Narrow"/>
                <w:bCs/>
              </w:rPr>
              <w:t>MRI cost</w:t>
            </w:r>
          </w:p>
        </w:tc>
        <w:tc>
          <w:tcPr>
            <w:tcW w:w="1280" w:type="dxa"/>
            <w:tcMar>
              <w:top w:w="0" w:type="dxa"/>
              <w:left w:w="108" w:type="dxa"/>
              <w:bottom w:w="0" w:type="dxa"/>
              <w:right w:w="108" w:type="dxa"/>
            </w:tcMar>
            <w:vAlign w:val="center"/>
          </w:tcPr>
          <w:p w14:paraId="63844CA2" w14:textId="77777777" w:rsidR="00FD73F7" w:rsidRPr="00FD73F7" w:rsidRDefault="00FD73F7" w:rsidP="00FD73F7">
            <w:pPr>
              <w:keepNext/>
              <w:spacing w:before="40"/>
              <w:rPr>
                <w:rFonts w:ascii="Arial Narrow" w:hAnsi="Arial Narrow"/>
                <w:bCs/>
              </w:rPr>
            </w:pPr>
            <w:r w:rsidRPr="00FD73F7">
              <w:rPr>
                <w:rFonts w:ascii="Arial Narrow" w:hAnsi="Arial Narrow"/>
                <w:bCs/>
              </w:rPr>
              <w:t>$3,015,908</w:t>
            </w:r>
          </w:p>
        </w:tc>
        <w:tc>
          <w:tcPr>
            <w:tcW w:w="1280" w:type="dxa"/>
            <w:tcMar>
              <w:top w:w="0" w:type="dxa"/>
              <w:left w:w="108" w:type="dxa"/>
              <w:bottom w:w="0" w:type="dxa"/>
              <w:right w:w="108" w:type="dxa"/>
            </w:tcMar>
            <w:vAlign w:val="center"/>
          </w:tcPr>
          <w:p w14:paraId="657CDF28" w14:textId="77777777" w:rsidR="00FD73F7" w:rsidRPr="00FD73F7" w:rsidRDefault="00FD73F7" w:rsidP="00FD73F7">
            <w:pPr>
              <w:keepNext/>
              <w:spacing w:before="40"/>
              <w:rPr>
                <w:rFonts w:ascii="Arial Narrow" w:hAnsi="Arial Narrow"/>
                <w:bCs/>
              </w:rPr>
            </w:pPr>
            <w:r w:rsidRPr="00FD73F7">
              <w:rPr>
                <w:rFonts w:ascii="Arial Narrow" w:hAnsi="Arial Narrow"/>
                <w:bCs/>
              </w:rPr>
              <w:t>$3,166,704</w:t>
            </w:r>
          </w:p>
        </w:tc>
        <w:tc>
          <w:tcPr>
            <w:tcW w:w="1282" w:type="dxa"/>
            <w:tcMar>
              <w:top w:w="0" w:type="dxa"/>
              <w:left w:w="108" w:type="dxa"/>
              <w:bottom w:w="0" w:type="dxa"/>
              <w:right w:w="108" w:type="dxa"/>
            </w:tcMar>
            <w:vAlign w:val="center"/>
          </w:tcPr>
          <w:p w14:paraId="0289E87D" w14:textId="77777777" w:rsidR="00FD73F7" w:rsidRPr="00FD73F7" w:rsidRDefault="00FD73F7" w:rsidP="00FD73F7">
            <w:pPr>
              <w:keepNext/>
              <w:spacing w:before="40"/>
              <w:rPr>
                <w:rFonts w:ascii="Arial Narrow" w:hAnsi="Arial Narrow"/>
                <w:bCs/>
              </w:rPr>
            </w:pPr>
            <w:r w:rsidRPr="00FD73F7">
              <w:rPr>
                <w:rFonts w:ascii="Arial Narrow" w:hAnsi="Arial Narrow"/>
                <w:bCs/>
              </w:rPr>
              <w:t>$3,325,039</w:t>
            </w:r>
          </w:p>
        </w:tc>
        <w:tc>
          <w:tcPr>
            <w:tcW w:w="1282" w:type="dxa"/>
            <w:tcMar>
              <w:top w:w="0" w:type="dxa"/>
              <w:left w:w="108" w:type="dxa"/>
              <w:bottom w:w="0" w:type="dxa"/>
              <w:right w:w="108" w:type="dxa"/>
            </w:tcMar>
            <w:vAlign w:val="center"/>
          </w:tcPr>
          <w:p w14:paraId="7FA8A68C" w14:textId="77777777" w:rsidR="00FD73F7" w:rsidRPr="00FD73F7" w:rsidRDefault="00FD73F7" w:rsidP="00FD73F7">
            <w:pPr>
              <w:keepNext/>
              <w:spacing w:before="40"/>
              <w:rPr>
                <w:rFonts w:ascii="Arial Narrow" w:hAnsi="Arial Narrow"/>
                <w:bCs/>
              </w:rPr>
            </w:pPr>
            <w:r w:rsidRPr="00FD73F7">
              <w:rPr>
                <w:rFonts w:ascii="Arial Narrow" w:hAnsi="Arial Narrow"/>
                <w:bCs/>
              </w:rPr>
              <w:t>$3,491,291</w:t>
            </w:r>
          </w:p>
        </w:tc>
        <w:tc>
          <w:tcPr>
            <w:tcW w:w="1282" w:type="dxa"/>
            <w:tcMar>
              <w:top w:w="0" w:type="dxa"/>
              <w:left w:w="108" w:type="dxa"/>
              <w:bottom w:w="0" w:type="dxa"/>
              <w:right w:w="108" w:type="dxa"/>
            </w:tcMar>
            <w:vAlign w:val="center"/>
          </w:tcPr>
          <w:p w14:paraId="040A5056" w14:textId="77777777" w:rsidR="00FD73F7" w:rsidRPr="00FD73F7" w:rsidRDefault="00FD73F7" w:rsidP="00FD73F7">
            <w:pPr>
              <w:keepNext/>
              <w:spacing w:before="40"/>
              <w:rPr>
                <w:rFonts w:ascii="Arial Narrow" w:hAnsi="Arial Narrow"/>
                <w:bCs/>
              </w:rPr>
            </w:pPr>
            <w:r w:rsidRPr="00FD73F7">
              <w:rPr>
                <w:rFonts w:ascii="Arial Narrow" w:hAnsi="Arial Narrow"/>
                <w:bCs/>
              </w:rPr>
              <w:t>$3,665,856</w:t>
            </w:r>
          </w:p>
        </w:tc>
        <w:tc>
          <w:tcPr>
            <w:tcW w:w="1282" w:type="dxa"/>
            <w:tcMar>
              <w:top w:w="0" w:type="dxa"/>
              <w:left w:w="108" w:type="dxa"/>
              <w:bottom w:w="0" w:type="dxa"/>
              <w:right w:w="108" w:type="dxa"/>
            </w:tcMar>
            <w:vAlign w:val="center"/>
          </w:tcPr>
          <w:p w14:paraId="1AB8A705" w14:textId="77777777" w:rsidR="00FD73F7" w:rsidRPr="00FD73F7" w:rsidRDefault="00FD73F7" w:rsidP="00FD73F7">
            <w:pPr>
              <w:keepNext/>
              <w:spacing w:before="40"/>
              <w:rPr>
                <w:rFonts w:ascii="Arial Narrow" w:hAnsi="Arial Narrow"/>
                <w:bCs/>
              </w:rPr>
            </w:pPr>
            <w:r w:rsidRPr="00FD73F7">
              <w:rPr>
                <w:rFonts w:ascii="Arial Narrow" w:hAnsi="Arial Narrow"/>
                <w:bCs/>
              </w:rPr>
              <w:t>$3,849,148</w:t>
            </w:r>
          </w:p>
        </w:tc>
      </w:tr>
      <w:tr w:rsidR="00FD73F7" w:rsidRPr="00FD73F7" w14:paraId="189C2E6D" w14:textId="77777777" w:rsidTr="004323DB">
        <w:trPr>
          <w:cnfStyle w:val="100000000000" w:firstRow="1" w:lastRow="0" w:firstColumn="0" w:lastColumn="0" w:oddVBand="0" w:evenVBand="0" w:oddHBand="0" w:evenHBand="0" w:firstRowFirstColumn="0" w:firstRowLastColumn="0" w:lastRowFirstColumn="0" w:lastRowLastColumn="0"/>
          <w:tblHeader/>
        </w:trPr>
        <w:tc>
          <w:tcPr>
            <w:tcW w:w="1668" w:type="dxa"/>
            <w:tcMar>
              <w:top w:w="0" w:type="dxa"/>
              <w:left w:w="108" w:type="dxa"/>
              <w:bottom w:w="0" w:type="dxa"/>
              <w:right w:w="108" w:type="dxa"/>
            </w:tcMar>
            <w:vAlign w:val="center"/>
          </w:tcPr>
          <w:p w14:paraId="5846F2E7" w14:textId="7F904D02" w:rsidR="00FD73F7" w:rsidRPr="00FD73F7" w:rsidRDefault="00FD73F7" w:rsidP="00FD73F7">
            <w:pPr>
              <w:keepNext/>
              <w:spacing w:before="40"/>
              <w:rPr>
                <w:rFonts w:ascii="Arial Narrow" w:hAnsi="Arial Narrow"/>
                <w:bCs/>
              </w:rPr>
            </w:pPr>
            <w:r w:rsidRPr="00FD73F7">
              <w:rPr>
                <w:rFonts w:ascii="Arial Narrow" w:hAnsi="Arial Narrow"/>
                <w:bCs/>
              </w:rPr>
              <w:t>CT and US cost</w:t>
            </w:r>
            <w:r w:rsidR="00881729">
              <w:rPr>
                <w:rFonts w:ascii="Arial Narrow" w:hAnsi="Arial Narrow"/>
                <w:bCs/>
              </w:rPr>
              <w:t xml:space="preserve"> </w:t>
            </w:r>
            <w:r w:rsidR="00881729" w:rsidRPr="00881729">
              <w:rPr>
                <w:rFonts w:ascii="Arial Narrow" w:hAnsi="Arial Narrow"/>
                <w:bCs/>
                <w:vertAlign w:val="superscript"/>
              </w:rPr>
              <w:t>a</w:t>
            </w:r>
          </w:p>
        </w:tc>
        <w:tc>
          <w:tcPr>
            <w:tcW w:w="1280" w:type="dxa"/>
            <w:tcMar>
              <w:top w:w="0" w:type="dxa"/>
              <w:left w:w="108" w:type="dxa"/>
              <w:bottom w:w="0" w:type="dxa"/>
              <w:right w:w="108" w:type="dxa"/>
            </w:tcMar>
            <w:vAlign w:val="center"/>
          </w:tcPr>
          <w:p w14:paraId="34E17E02" w14:textId="77777777" w:rsidR="00FD73F7" w:rsidRPr="00FD73F7" w:rsidRDefault="00FD73F7" w:rsidP="00FD73F7">
            <w:pPr>
              <w:keepNext/>
              <w:spacing w:before="40"/>
              <w:rPr>
                <w:rFonts w:ascii="Arial Narrow" w:hAnsi="Arial Narrow"/>
                <w:bCs/>
              </w:rPr>
            </w:pPr>
            <w:r w:rsidRPr="00FD73F7">
              <w:rPr>
                <w:rFonts w:ascii="Arial Narrow" w:hAnsi="Arial Narrow"/>
                <w:bCs/>
              </w:rPr>
              <w:t>$2,177,857</w:t>
            </w:r>
          </w:p>
        </w:tc>
        <w:tc>
          <w:tcPr>
            <w:tcW w:w="1280" w:type="dxa"/>
            <w:tcMar>
              <w:top w:w="0" w:type="dxa"/>
              <w:left w:w="108" w:type="dxa"/>
              <w:bottom w:w="0" w:type="dxa"/>
              <w:right w:w="108" w:type="dxa"/>
            </w:tcMar>
            <w:vAlign w:val="center"/>
          </w:tcPr>
          <w:p w14:paraId="49ABD064" w14:textId="77777777" w:rsidR="00FD73F7" w:rsidRPr="00FD73F7" w:rsidRDefault="00FD73F7" w:rsidP="00FD73F7">
            <w:pPr>
              <w:keepNext/>
              <w:spacing w:before="40"/>
              <w:rPr>
                <w:rFonts w:ascii="Arial Narrow" w:hAnsi="Arial Narrow"/>
                <w:bCs/>
              </w:rPr>
            </w:pPr>
            <w:r w:rsidRPr="00FD73F7">
              <w:rPr>
                <w:rFonts w:ascii="Arial Narrow" w:hAnsi="Arial Narrow"/>
                <w:bCs/>
              </w:rPr>
              <w:t>$2,286,750</w:t>
            </w:r>
          </w:p>
        </w:tc>
        <w:tc>
          <w:tcPr>
            <w:tcW w:w="1282" w:type="dxa"/>
            <w:tcMar>
              <w:top w:w="0" w:type="dxa"/>
              <w:left w:w="108" w:type="dxa"/>
              <w:bottom w:w="0" w:type="dxa"/>
              <w:right w:w="108" w:type="dxa"/>
            </w:tcMar>
            <w:vAlign w:val="center"/>
          </w:tcPr>
          <w:p w14:paraId="5F6678F9" w14:textId="77777777" w:rsidR="00FD73F7" w:rsidRPr="00FD73F7" w:rsidRDefault="00FD73F7" w:rsidP="00FD73F7">
            <w:pPr>
              <w:keepNext/>
              <w:spacing w:before="40"/>
              <w:rPr>
                <w:rFonts w:ascii="Arial Narrow" w:hAnsi="Arial Narrow"/>
                <w:bCs/>
              </w:rPr>
            </w:pPr>
            <w:r w:rsidRPr="00FD73F7">
              <w:rPr>
                <w:rFonts w:ascii="Arial Narrow" w:hAnsi="Arial Narrow"/>
                <w:bCs/>
              </w:rPr>
              <w:t>$2,401,087</w:t>
            </w:r>
          </w:p>
        </w:tc>
        <w:tc>
          <w:tcPr>
            <w:tcW w:w="1282" w:type="dxa"/>
            <w:tcMar>
              <w:top w:w="0" w:type="dxa"/>
              <w:left w:w="108" w:type="dxa"/>
              <w:bottom w:w="0" w:type="dxa"/>
              <w:right w:w="108" w:type="dxa"/>
            </w:tcMar>
            <w:vAlign w:val="center"/>
          </w:tcPr>
          <w:p w14:paraId="793BD0D4" w14:textId="77777777" w:rsidR="00FD73F7" w:rsidRPr="00FD73F7" w:rsidRDefault="00FD73F7" w:rsidP="00FD73F7">
            <w:pPr>
              <w:keepNext/>
              <w:spacing w:before="40"/>
              <w:rPr>
                <w:rFonts w:ascii="Arial Narrow" w:hAnsi="Arial Narrow"/>
                <w:bCs/>
              </w:rPr>
            </w:pPr>
            <w:r w:rsidRPr="00FD73F7">
              <w:rPr>
                <w:rFonts w:ascii="Arial Narrow" w:hAnsi="Arial Narrow"/>
                <w:bCs/>
              </w:rPr>
              <w:t>$2,521,142</w:t>
            </w:r>
          </w:p>
        </w:tc>
        <w:tc>
          <w:tcPr>
            <w:tcW w:w="1282" w:type="dxa"/>
            <w:tcMar>
              <w:top w:w="0" w:type="dxa"/>
              <w:left w:w="108" w:type="dxa"/>
              <w:bottom w:w="0" w:type="dxa"/>
              <w:right w:w="108" w:type="dxa"/>
            </w:tcMar>
            <w:vAlign w:val="center"/>
          </w:tcPr>
          <w:p w14:paraId="06C75632" w14:textId="77777777" w:rsidR="00FD73F7" w:rsidRPr="00FD73F7" w:rsidRDefault="00FD73F7" w:rsidP="00FD73F7">
            <w:pPr>
              <w:keepNext/>
              <w:spacing w:before="40"/>
              <w:rPr>
                <w:rFonts w:ascii="Arial Narrow" w:hAnsi="Arial Narrow"/>
                <w:bCs/>
              </w:rPr>
            </w:pPr>
            <w:r w:rsidRPr="00FD73F7">
              <w:rPr>
                <w:rFonts w:ascii="Arial Narrow" w:hAnsi="Arial Narrow"/>
                <w:bCs/>
              </w:rPr>
              <w:t>$2,647,199</w:t>
            </w:r>
          </w:p>
        </w:tc>
        <w:tc>
          <w:tcPr>
            <w:tcW w:w="1282" w:type="dxa"/>
            <w:tcMar>
              <w:top w:w="0" w:type="dxa"/>
              <w:left w:w="108" w:type="dxa"/>
              <w:bottom w:w="0" w:type="dxa"/>
              <w:right w:w="108" w:type="dxa"/>
            </w:tcMar>
            <w:vAlign w:val="center"/>
          </w:tcPr>
          <w:p w14:paraId="28427556" w14:textId="77777777" w:rsidR="00FD73F7" w:rsidRPr="00FD73F7" w:rsidRDefault="00FD73F7" w:rsidP="00FD73F7">
            <w:pPr>
              <w:keepNext/>
              <w:spacing w:before="40"/>
              <w:rPr>
                <w:rFonts w:ascii="Arial Narrow" w:hAnsi="Arial Narrow"/>
                <w:bCs/>
              </w:rPr>
            </w:pPr>
            <w:r w:rsidRPr="00FD73F7">
              <w:rPr>
                <w:rFonts w:ascii="Arial Narrow" w:hAnsi="Arial Narrow"/>
                <w:bCs/>
              </w:rPr>
              <w:t>$2,779,559</w:t>
            </w:r>
          </w:p>
        </w:tc>
      </w:tr>
      <w:tr w:rsidR="00FD73F7" w:rsidRPr="00FD73F7" w14:paraId="676B55C6" w14:textId="77777777" w:rsidTr="004323DB">
        <w:trPr>
          <w:cnfStyle w:val="100000000000" w:firstRow="1" w:lastRow="0" w:firstColumn="0" w:lastColumn="0" w:oddVBand="0" w:evenVBand="0" w:oddHBand="0" w:evenHBand="0" w:firstRowFirstColumn="0" w:firstRowLastColumn="0" w:lastRowFirstColumn="0" w:lastRowLastColumn="0"/>
          <w:tblHeader/>
        </w:trPr>
        <w:tc>
          <w:tcPr>
            <w:tcW w:w="1668" w:type="dxa"/>
            <w:tcMar>
              <w:top w:w="0" w:type="dxa"/>
              <w:left w:w="108" w:type="dxa"/>
              <w:bottom w:w="0" w:type="dxa"/>
              <w:right w:w="108" w:type="dxa"/>
            </w:tcMar>
            <w:vAlign w:val="center"/>
          </w:tcPr>
          <w:p w14:paraId="3AADB855" w14:textId="77777777" w:rsidR="00FD73F7" w:rsidRPr="00FD73F7" w:rsidRDefault="00FD73F7" w:rsidP="00FD73F7">
            <w:pPr>
              <w:keepNext/>
              <w:spacing w:before="40"/>
              <w:rPr>
                <w:rFonts w:ascii="Arial Narrow" w:hAnsi="Arial Narrow"/>
                <w:bCs/>
              </w:rPr>
            </w:pPr>
            <w:r w:rsidRPr="00FD73F7">
              <w:rPr>
                <w:rFonts w:ascii="Arial Narrow" w:hAnsi="Arial Narrow"/>
                <w:bCs/>
              </w:rPr>
              <w:t>Sub Total</w:t>
            </w:r>
          </w:p>
        </w:tc>
        <w:tc>
          <w:tcPr>
            <w:tcW w:w="1280" w:type="dxa"/>
            <w:tcMar>
              <w:top w:w="0" w:type="dxa"/>
              <w:left w:w="108" w:type="dxa"/>
              <w:bottom w:w="0" w:type="dxa"/>
              <w:right w:w="108" w:type="dxa"/>
            </w:tcMar>
            <w:vAlign w:val="center"/>
          </w:tcPr>
          <w:p w14:paraId="35855937" w14:textId="77777777" w:rsidR="00FD73F7" w:rsidRPr="00FD73F7" w:rsidRDefault="00FD73F7" w:rsidP="00FD73F7">
            <w:pPr>
              <w:keepNext/>
              <w:spacing w:before="40"/>
              <w:rPr>
                <w:rFonts w:ascii="Arial Narrow" w:hAnsi="Arial Narrow"/>
                <w:bCs/>
              </w:rPr>
            </w:pPr>
            <w:r w:rsidRPr="00FD73F7">
              <w:rPr>
                <w:rFonts w:ascii="Arial Narrow" w:hAnsi="Arial Narrow"/>
                <w:bCs/>
              </w:rPr>
              <w:t>$5,193,765</w:t>
            </w:r>
          </w:p>
        </w:tc>
        <w:tc>
          <w:tcPr>
            <w:tcW w:w="1280" w:type="dxa"/>
            <w:tcMar>
              <w:top w:w="0" w:type="dxa"/>
              <w:left w:w="108" w:type="dxa"/>
              <w:bottom w:w="0" w:type="dxa"/>
              <w:right w:w="108" w:type="dxa"/>
            </w:tcMar>
            <w:vAlign w:val="center"/>
          </w:tcPr>
          <w:p w14:paraId="57BC5FA2" w14:textId="77777777" w:rsidR="00FD73F7" w:rsidRPr="00FD73F7" w:rsidRDefault="00FD73F7" w:rsidP="00FD73F7">
            <w:pPr>
              <w:keepNext/>
              <w:spacing w:before="40"/>
              <w:rPr>
                <w:rFonts w:ascii="Arial Narrow" w:hAnsi="Arial Narrow"/>
                <w:bCs/>
              </w:rPr>
            </w:pPr>
            <w:r w:rsidRPr="00FD73F7">
              <w:rPr>
                <w:rFonts w:ascii="Arial Narrow" w:hAnsi="Arial Narrow"/>
                <w:bCs/>
              </w:rPr>
              <w:t>$5,453,454</w:t>
            </w:r>
          </w:p>
        </w:tc>
        <w:tc>
          <w:tcPr>
            <w:tcW w:w="1282" w:type="dxa"/>
            <w:tcMar>
              <w:top w:w="0" w:type="dxa"/>
              <w:left w:w="108" w:type="dxa"/>
              <w:bottom w:w="0" w:type="dxa"/>
              <w:right w:w="108" w:type="dxa"/>
            </w:tcMar>
            <w:vAlign w:val="center"/>
          </w:tcPr>
          <w:p w14:paraId="70AD9CB8" w14:textId="77777777" w:rsidR="00FD73F7" w:rsidRPr="00FD73F7" w:rsidRDefault="00FD73F7" w:rsidP="00FD73F7">
            <w:pPr>
              <w:keepNext/>
              <w:spacing w:before="40"/>
              <w:rPr>
                <w:rFonts w:ascii="Arial Narrow" w:hAnsi="Arial Narrow"/>
                <w:bCs/>
              </w:rPr>
            </w:pPr>
            <w:r w:rsidRPr="00FD73F7">
              <w:rPr>
                <w:rFonts w:ascii="Arial Narrow" w:hAnsi="Arial Narrow"/>
                <w:bCs/>
              </w:rPr>
              <w:t>$5,726,126</w:t>
            </w:r>
          </w:p>
        </w:tc>
        <w:tc>
          <w:tcPr>
            <w:tcW w:w="1282" w:type="dxa"/>
            <w:tcMar>
              <w:top w:w="0" w:type="dxa"/>
              <w:left w:w="108" w:type="dxa"/>
              <w:bottom w:w="0" w:type="dxa"/>
              <w:right w:w="108" w:type="dxa"/>
            </w:tcMar>
            <w:vAlign w:val="center"/>
          </w:tcPr>
          <w:p w14:paraId="4F623B00" w14:textId="77777777" w:rsidR="00FD73F7" w:rsidRPr="00FD73F7" w:rsidRDefault="00FD73F7" w:rsidP="00FD73F7">
            <w:pPr>
              <w:keepNext/>
              <w:spacing w:before="40"/>
              <w:rPr>
                <w:rFonts w:ascii="Arial Narrow" w:hAnsi="Arial Narrow"/>
                <w:bCs/>
              </w:rPr>
            </w:pPr>
            <w:r w:rsidRPr="00FD73F7">
              <w:rPr>
                <w:rFonts w:ascii="Arial Narrow" w:hAnsi="Arial Narrow"/>
                <w:bCs/>
              </w:rPr>
              <w:t>$6,012,433</w:t>
            </w:r>
          </w:p>
        </w:tc>
        <w:tc>
          <w:tcPr>
            <w:tcW w:w="1282" w:type="dxa"/>
            <w:tcMar>
              <w:top w:w="0" w:type="dxa"/>
              <w:left w:w="108" w:type="dxa"/>
              <w:bottom w:w="0" w:type="dxa"/>
              <w:right w:w="108" w:type="dxa"/>
            </w:tcMar>
            <w:vAlign w:val="center"/>
          </w:tcPr>
          <w:p w14:paraId="067E4818" w14:textId="77777777" w:rsidR="00FD73F7" w:rsidRPr="00FD73F7" w:rsidRDefault="00FD73F7" w:rsidP="00FD73F7">
            <w:pPr>
              <w:keepNext/>
              <w:spacing w:before="40"/>
              <w:rPr>
                <w:rFonts w:ascii="Arial Narrow" w:hAnsi="Arial Narrow"/>
                <w:bCs/>
              </w:rPr>
            </w:pPr>
            <w:r w:rsidRPr="00FD73F7">
              <w:rPr>
                <w:rFonts w:ascii="Arial Narrow" w:hAnsi="Arial Narrow"/>
                <w:bCs/>
              </w:rPr>
              <w:t>$6,313,054</w:t>
            </w:r>
          </w:p>
        </w:tc>
        <w:tc>
          <w:tcPr>
            <w:tcW w:w="1282" w:type="dxa"/>
            <w:tcMar>
              <w:top w:w="0" w:type="dxa"/>
              <w:left w:w="108" w:type="dxa"/>
              <w:bottom w:w="0" w:type="dxa"/>
              <w:right w:w="108" w:type="dxa"/>
            </w:tcMar>
            <w:vAlign w:val="center"/>
          </w:tcPr>
          <w:p w14:paraId="35A07312" w14:textId="77777777" w:rsidR="00FD73F7" w:rsidRPr="00FD73F7" w:rsidRDefault="00FD73F7" w:rsidP="00FD73F7">
            <w:pPr>
              <w:keepNext/>
              <w:spacing w:before="40"/>
              <w:rPr>
                <w:rFonts w:ascii="Arial Narrow" w:hAnsi="Arial Narrow"/>
                <w:bCs/>
              </w:rPr>
            </w:pPr>
            <w:r w:rsidRPr="00FD73F7">
              <w:rPr>
                <w:rFonts w:ascii="Arial Narrow" w:hAnsi="Arial Narrow"/>
                <w:bCs/>
              </w:rPr>
              <w:t>$6,628,707</w:t>
            </w:r>
          </w:p>
        </w:tc>
      </w:tr>
      <w:tr w:rsidR="00FD73F7" w:rsidRPr="00FD73F7" w14:paraId="28D3DD89" w14:textId="77777777" w:rsidTr="004323DB">
        <w:trPr>
          <w:cnfStyle w:val="100000000000" w:firstRow="1" w:lastRow="0" w:firstColumn="0" w:lastColumn="0" w:oddVBand="0" w:evenVBand="0" w:oddHBand="0" w:evenHBand="0" w:firstRowFirstColumn="0" w:firstRowLastColumn="0" w:lastRowFirstColumn="0" w:lastRowLastColumn="0"/>
          <w:tblHeader/>
        </w:trPr>
        <w:tc>
          <w:tcPr>
            <w:tcW w:w="9356" w:type="dxa"/>
            <w:gridSpan w:val="7"/>
            <w:tcMar>
              <w:top w:w="0" w:type="dxa"/>
              <w:left w:w="108" w:type="dxa"/>
              <w:bottom w:w="0" w:type="dxa"/>
              <w:right w:w="108" w:type="dxa"/>
            </w:tcMar>
            <w:vAlign w:val="center"/>
          </w:tcPr>
          <w:p w14:paraId="1BC67DC6" w14:textId="77777777" w:rsidR="00FD73F7" w:rsidRPr="00FD73F7" w:rsidRDefault="00FD73F7" w:rsidP="00FD73F7">
            <w:pPr>
              <w:keepNext/>
              <w:spacing w:before="40"/>
              <w:rPr>
                <w:rFonts w:ascii="Arial Narrow" w:hAnsi="Arial Narrow"/>
                <w:b/>
              </w:rPr>
            </w:pPr>
            <w:r w:rsidRPr="00FD73F7">
              <w:rPr>
                <w:rFonts w:ascii="Arial Narrow" w:hAnsi="Arial Narrow"/>
                <w:b/>
              </w:rPr>
              <w:t>Comparator</w:t>
            </w:r>
          </w:p>
        </w:tc>
      </w:tr>
      <w:tr w:rsidR="00FD73F7" w:rsidRPr="00FD73F7" w14:paraId="66D0B0D1" w14:textId="77777777" w:rsidTr="004323DB">
        <w:trPr>
          <w:cnfStyle w:val="100000000000" w:firstRow="1" w:lastRow="0" w:firstColumn="0" w:lastColumn="0" w:oddVBand="0" w:evenVBand="0" w:oddHBand="0" w:evenHBand="0" w:firstRowFirstColumn="0" w:firstRowLastColumn="0" w:lastRowFirstColumn="0" w:lastRowLastColumn="0"/>
          <w:tblHeader/>
        </w:trPr>
        <w:tc>
          <w:tcPr>
            <w:tcW w:w="1668" w:type="dxa"/>
            <w:tcMar>
              <w:top w:w="0" w:type="dxa"/>
              <w:left w:w="108" w:type="dxa"/>
              <w:bottom w:w="0" w:type="dxa"/>
              <w:right w:w="108" w:type="dxa"/>
            </w:tcMar>
            <w:vAlign w:val="center"/>
          </w:tcPr>
          <w:p w14:paraId="62E6AAFB" w14:textId="0B89CEB1" w:rsidR="00FD73F7" w:rsidRPr="00FD73F7" w:rsidRDefault="00FD73F7" w:rsidP="00FD73F7">
            <w:pPr>
              <w:keepNext/>
              <w:spacing w:before="40"/>
              <w:rPr>
                <w:rFonts w:ascii="Arial Narrow" w:hAnsi="Arial Narrow"/>
                <w:bCs/>
              </w:rPr>
            </w:pPr>
            <w:r w:rsidRPr="00FD73F7">
              <w:rPr>
                <w:rFonts w:ascii="Arial Narrow" w:hAnsi="Arial Narrow"/>
                <w:bCs/>
              </w:rPr>
              <w:t>CT and US cost</w:t>
            </w:r>
            <w:r w:rsidR="00881729">
              <w:rPr>
                <w:rFonts w:ascii="Arial Narrow" w:hAnsi="Arial Narrow"/>
                <w:bCs/>
              </w:rPr>
              <w:t xml:space="preserve"> </w:t>
            </w:r>
            <w:r w:rsidR="00881729" w:rsidRPr="00881729">
              <w:rPr>
                <w:rFonts w:ascii="Arial Narrow" w:hAnsi="Arial Narrow"/>
                <w:bCs/>
                <w:vertAlign w:val="superscript"/>
              </w:rPr>
              <w:t>a</w:t>
            </w:r>
          </w:p>
        </w:tc>
        <w:tc>
          <w:tcPr>
            <w:tcW w:w="1280" w:type="dxa"/>
            <w:tcMar>
              <w:top w:w="0" w:type="dxa"/>
              <w:left w:w="108" w:type="dxa"/>
              <w:bottom w:w="0" w:type="dxa"/>
              <w:right w:w="108" w:type="dxa"/>
            </w:tcMar>
            <w:vAlign w:val="center"/>
          </w:tcPr>
          <w:p w14:paraId="463A53B2" w14:textId="77777777" w:rsidR="00FD73F7" w:rsidRPr="00FD73F7" w:rsidRDefault="00FD73F7" w:rsidP="00FD73F7">
            <w:pPr>
              <w:keepNext/>
              <w:spacing w:before="40"/>
              <w:rPr>
                <w:rFonts w:ascii="Arial Narrow" w:hAnsi="Arial Narrow"/>
                <w:bCs/>
              </w:rPr>
            </w:pPr>
            <w:r w:rsidRPr="00FD73F7">
              <w:rPr>
                <w:rFonts w:ascii="Arial Narrow" w:hAnsi="Arial Narrow"/>
                <w:bCs/>
              </w:rPr>
              <w:t>$2,177,857</w:t>
            </w:r>
          </w:p>
        </w:tc>
        <w:tc>
          <w:tcPr>
            <w:tcW w:w="1280" w:type="dxa"/>
            <w:tcMar>
              <w:top w:w="0" w:type="dxa"/>
              <w:left w:w="108" w:type="dxa"/>
              <w:bottom w:w="0" w:type="dxa"/>
              <w:right w:w="108" w:type="dxa"/>
            </w:tcMar>
            <w:vAlign w:val="center"/>
          </w:tcPr>
          <w:p w14:paraId="46A9BED0" w14:textId="77777777" w:rsidR="00FD73F7" w:rsidRPr="00FD73F7" w:rsidRDefault="00FD73F7" w:rsidP="00FD73F7">
            <w:pPr>
              <w:keepNext/>
              <w:spacing w:before="40"/>
              <w:rPr>
                <w:rFonts w:ascii="Arial Narrow" w:hAnsi="Arial Narrow"/>
                <w:bCs/>
              </w:rPr>
            </w:pPr>
            <w:r w:rsidRPr="00FD73F7">
              <w:rPr>
                <w:rFonts w:ascii="Arial Narrow" w:hAnsi="Arial Narrow"/>
                <w:bCs/>
              </w:rPr>
              <w:t>$2,286,750</w:t>
            </w:r>
          </w:p>
        </w:tc>
        <w:tc>
          <w:tcPr>
            <w:tcW w:w="1282" w:type="dxa"/>
            <w:tcMar>
              <w:top w:w="0" w:type="dxa"/>
              <w:left w:w="108" w:type="dxa"/>
              <w:bottom w:w="0" w:type="dxa"/>
              <w:right w:w="108" w:type="dxa"/>
            </w:tcMar>
            <w:vAlign w:val="center"/>
          </w:tcPr>
          <w:p w14:paraId="790A01A8" w14:textId="77777777" w:rsidR="00FD73F7" w:rsidRPr="00FD73F7" w:rsidRDefault="00FD73F7" w:rsidP="00FD73F7">
            <w:pPr>
              <w:keepNext/>
              <w:spacing w:before="40"/>
              <w:rPr>
                <w:rFonts w:ascii="Arial Narrow" w:hAnsi="Arial Narrow"/>
                <w:bCs/>
              </w:rPr>
            </w:pPr>
            <w:r w:rsidRPr="00FD73F7">
              <w:rPr>
                <w:rFonts w:ascii="Arial Narrow" w:hAnsi="Arial Narrow"/>
                <w:bCs/>
              </w:rPr>
              <w:t>$2,401,087</w:t>
            </w:r>
          </w:p>
        </w:tc>
        <w:tc>
          <w:tcPr>
            <w:tcW w:w="1282" w:type="dxa"/>
            <w:tcMar>
              <w:top w:w="0" w:type="dxa"/>
              <w:left w:w="108" w:type="dxa"/>
              <w:bottom w:w="0" w:type="dxa"/>
              <w:right w:w="108" w:type="dxa"/>
            </w:tcMar>
            <w:vAlign w:val="center"/>
          </w:tcPr>
          <w:p w14:paraId="0FEE90E8" w14:textId="77777777" w:rsidR="00FD73F7" w:rsidRPr="00FD73F7" w:rsidRDefault="00FD73F7" w:rsidP="00FD73F7">
            <w:pPr>
              <w:keepNext/>
              <w:spacing w:before="40"/>
              <w:rPr>
                <w:rFonts w:ascii="Arial Narrow" w:hAnsi="Arial Narrow"/>
                <w:bCs/>
              </w:rPr>
            </w:pPr>
            <w:r w:rsidRPr="00FD73F7">
              <w:rPr>
                <w:rFonts w:ascii="Arial Narrow" w:hAnsi="Arial Narrow"/>
                <w:bCs/>
              </w:rPr>
              <w:t>$2,521,142</w:t>
            </w:r>
          </w:p>
        </w:tc>
        <w:tc>
          <w:tcPr>
            <w:tcW w:w="1282" w:type="dxa"/>
            <w:tcMar>
              <w:top w:w="0" w:type="dxa"/>
              <w:left w:w="108" w:type="dxa"/>
              <w:bottom w:w="0" w:type="dxa"/>
              <w:right w:w="108" w:type="dxa"/>
            </w:tcMar>
            <w:vAlign w:val="center"/>
          </w:tcPr>
          <w:p w14:paraId="4E39C5F5" w14:textId="77777777" w:rsidR="00FD73F7" w:rsidRPr="00FD73F7" w:rsidRDefault="00FD73F7" w:rsidP="00FD73F7">
            <w:pPr>
              <w:keepNext/>
              <w:spacing w:before="40"/>
              <w:rPr>
                <w:rFonts w:ascii="Arial Narrow" w:hAnsi="Arial Narrow"/>
                <w:bCs/>
              </w:rPr>
            </w:pPr>
            <w:r w:rsidRPr="00FD73F7">
              <w:rPr>
                <w:rFonts w:ascii="Arial Narrow" w:hAnsi="Arial Narrow"/>
                <w:bCs/>
              </w:rPr>
              <w:t>$2,647,199</w:t>
            </w:r>
          </w:p>
        </w:tc>
        <w:tc>
          <w:tcPr>
            <w:tcW w:w="1282" w:type="dxa"/>
            <w:tcMar>
              <w:top w:w="0" w:type="dxa"/>
              <w:left w:w="108" w:type="dxa"/>
              <w:bottom w:w="0" w:type="dxa"/>
              <w:right w:w="108" w:type="dxa"/>
            </w:tcMar>
            <w:vAlign w:val="center"/>
          </w:tcPr>
          <w:p w14:paraId="196C3241" w14:textId="77777777" w:rsidR="00FD73F7" w:rsidRPr="00FD73F7" w:rsidRDefault="00FD73F7" w:rsidP="00FD73F7">
            <w:pPr>
              <w:keepNext/>
              <w:spacing w:before="40"/>
              <w:rPr>
                <w:rFonts w:ascii="Arial Narrow" w:hAnsi="Arial Narrow"/>
                <w:bCs/>
              </w:rPr>
            </w:pPr>
            <w:r w:rsidRPr="00FD73F7">
              <w:rPr>
                <w:rFonts w:ascii="Arial Narrow" w:hAnsi="Arial Narrow"/>
                <w:bCs/>
              </w:rPr>
              <w:t>$2,779,559</w:t>
            </w:r>
          </w:p>
        </w:tc>
      </w:tr>
      <w:tr w:rsidR="00FD73F7" w:rsidRPr="00FD73F7" w14:paraId="3657AA50" w14:textId="77777777" w:rsidTr="004323DB">
        <w:trPr>
          <w:cnfStyle w:val="100000000000" w:firstRow="1" w:lastRow="0" w:firstColumn="0" w:lastColumn="0" w:oddVBand="0" w:evenVBand="0" w:oddHBand="0" w:evenHBand="0" w:firstRowFirstColumn="0" w:firstRowLastColumn="0" w:lastRowFirstColumn="0" w:lastRowLastColumn="0"/>
          <w:tblHeader/>
        </w:trPr>
        <w:tc>
          <w:tcPr>
            <w:tcW w:w="1668" w:type="dxa"/>
            <w:shd w:val="clear" w:color="auto" w:fill="E7E6E6" w:themeFill="background2"/>
            <w:tcMar>
              <w:top w:w="0" w:type="dxa"/>
              <w:left w:w="108" w:type="dxa"/>
              <w:bottom w:w="0" w:type="dxa"/>
              <w:right w:w="108" w:type="dxa"/>
            </w:tcMar>
            <w:vAlign w:val="center"/>
          </w:tcPr>
          <w:p w14:paraId="6F1C2D85" w14:textId="77777777" w:rsidR="00FD73F7" w:rsidRPr="00FD73F7" w:rsidRDefault="00FD73F7" w:rsidP="00FD73F7">
            <w:pPr>
              <w:keepNext/>
              <w:spacing w:before="40"/>
              <w:rPr>
                <w:rFonts w:ascii="Arial Narrow" w:hAnsi="Arial Narrow"/>
                <w:b/>
              </w:rPr>
            </w:pPr>
            <w:r w:rsidRPr="00FD73F7">
              <w:rPr>
                <w:rFonts w:ascii="Arial Narrow" w:hAnsi="Arial Narrow"/>
                <w:b/>
              </w:rPr>
              <w:t>Net cost to the MBS</w:t>
            </w:r>
          </w:p>
        </w:tc>
        <w:tc>
          <w:tcPr>
            <w:tcW w:w="1280" w:type="dxa"/>
            <w:shd w:val="clear" w:color="auto" w:fill="E7E6E6" w:themeFill="background2"/>
            <w:tcMar>
              <w:top w:w="0" w:type="dxa"/>
              <w:left w:w="108" w:type="dxa"/>
              <w:bottom w:w="0" w:type="dxa"/>
              <w:right w:w="108" w:type="dxa"/>
            </w:tcMar>
            <w:vAlign w:val="center"/>
          </w:tcPr>
          <w:p w14:paraId="270B413A" w14:textId="77777777" w:rsidR="00FD73F7" w:rsidRPr="00FD73F7" w:rsidRDefault="00FD73F7" w:rsidP="00FD73F7">
            <w:pPr>
              <w:keepNext/>
              <w:spacing w:before="40"/>
              <w:rPr>
                <w:rFonts w:ascii="Arial Narrow" w:hAnsi="Arial Narrow"/>
                <w:b/>
              </w:rPr>
            </w:pPr>
            <w:r w:rsidRPr="00FD73F7">
              <w:rPr>
                <w:rFonts w:ascii="Arial Narrow" w:hAnsi="Arial Narrow"/>
                <w:b/>
              </w:rPr>
              <w:t>$3,015,908</w:t>
            </w:r>
          </w:p>
        </w:tc>
        <w:tc>
          <w:tcPr>
            <w:tcW w:w="1280" w:type="dxa"/>
            <w:shd w:val="clear" w:color="auto" w:fill="E7E6E6" w:themeFill="background2"/>
            <w:tcMar>
              <w:top w:w="0" w:type="dxa"/>
              <w:left w:w="108" w:type="dxa"/>
              <w:bottom w:w="0" w:type="dxa"/>
              <w:right w:w="108" w:type="dxa"/>
            </w:tcMar>
            <w:vAlign w:val="center"/>
          </w:tcPr>
          <w:p w14:paraId="75D215EC" w14:textId="77777777" w:rsidR="00FD73F7" w:rsidRPr="00FD73F7" w:rsidRDefault="00FD73F7" w:rsidP="00FD73F7">
            <w:pPr>
              <w:keepNext/>
              <w:spacing w:before="40"/>
              <w:rPr>
                <w:rFonts w:ascii="Arial Narrow" w:hAnsi="Arial Narrow"/>
                <w:b/>
              </w:rPr>
            </w:pPr>
            <w:r w:rsidRPr="00FD73F7">
              <w:rPr>
                <w:rFonts w:ascii="Arial Narrow" w:hAnsi="Arial Narrow"/>
                <w:b/>
              </w:rPr>
              <w:t>$3,166,704</w:t>
            </w:r>
          </w:p>
        </w:tc>
        <w:tc>
          <w:tcPr>
            <w:tcW w:w="1282" w:type="dxa"/>
            <w:shd w:val="clear" w:color="auto" w:fill="E7E6E6" w:themeFill="background2"/>
            <w:tcMar>
              <w:top w:w="0" w:type="dxa"/>
              <w:left w:w="108" w:type="dxa"/>
              <w:bottom w:w="0" w:type="dxa"/>
              <w:right w:w="108" w:type="dxa"/>
            </w:tcMar>
            <w:vAlign w:val="center"/>
          </w:tcPr>
          <w:p w14:paraId="17A0065B" w14:textId="77777777" w:rsidR="00FD73F7" w:rsidRPr="00FD73F7" w:rsidRDefault="00FD73F7" w:rsidP="00FD73F7">
            <w:pPr>
              <w:keepNext/>
              <w:spacing w:before="40"/>
              <w:rPr>
                <w:rFonts w:ascii="Arial Narrow" w:hAnsi="Arial Narrow"/>
                <w:b/>
              </w:rPr>
            </w:pPr>
            <w:r w:rsidRPr="00FD73F7">
              <w:rPr>
                <w:rFonts w:ascii="Arial Narrow" w:hAnsi="Arial Narrow"/>
                <w:b/>
              </w:rPr>
              <w:t>$3,325,039</w:t>
            </w:r>
          </w:p>
        </w:tc>
        <w:tc>
          <w:tcPr>
            <w:tcW w:w="1282" w:type="dxa"/>
            <w:shd w:val="clear" w:color="auto" w:fill="E7E6E6" w:themeFill="background2"/>
            <w:tcMar>
              <w:top w:w="0" w:type="dxa"/>
              <w:left w:w="108" w:type="dxa"/>
              <w:bottom w:w="0" w:type="dxa"/>
              <w:right w:w="108" w:type="dxa"/>
            </w:tcMar>
            <w:vAlign w:val="center"/>
          </w:tcPr>
          <w:p w14:paraId="7120A234" w14:textId="77777777" w:rsidR="00FD73F7" w:rsidRPr="00FD73F7" w:rsidRDefault="00FD73F7" w:rsidP="00FD73F7">
            <w:pPr>
              <w:keepNext/>
              <w:spacing w:before="40"/>
              <w:rPr>
                <w:rFonts w:ascii="Arial Narrow" w:hAnsi="Arial Narrow"/>
                <w:b/>
              </w:rPr>
            </w:pPr>
            <w:r w:rsidRPr="00FD73F7">
              <w:rPr>
                <w:rFonts w:ascii="Arial Narrow" w:hAnsi="Arial Narrow"/>
                <w:b/>
              </w:rPr>
              <w:t>$3,491,291</w:t>
            </w:r>
          </w:p>
        </w:tc>
        <w:tc>
          <w:tcPr>
            <w:tcW w:w="1282" w:type="dxa"/>
            <w:shd w:val="clear" w:color="auto" w:fill="E7E6E6" w:themeFill="background2"/>
            <w:tcMar>
              <w:top w:w="0" w:type="dxa"/>
              <w:left w:w="108" w:type="dxa"/>
              <w:bottom w:w="0" w:type="dxa"/>
              <w:right w:w="108" w:type="dxa"/>
            </w:tcMar>
            <w:vAlign w:val="center"/>
          </w:tcPr>
          <w:p w14:paraId="0BFB9A3B" w14:textId="77777777" w:rsidR="00FD73F7" w:rsidRPr="00FD73F7" w:rsidRDefault="00FD73F7" w:rsidP="00FD73F7">
            <w:pPr>
              <w:keepNext/>
              <w:spacing w:before="40"/>
              <w:rPr>
                <w:rFonts w:ascii="Arial Narrow" w:hAnsi="Arial Narrow"/>
                <w:b/>
              </w:rPr>
            </w:pPr>
            <w:r w:rsidRPr="00FD73F7">
              <w:rPr>
                <w:rFonts w:ascii="Arial Narrow" w:hAnsi="Arial Narrow"/>
                <w:b/>
              </w:rPr>
              <w:t>$3,665,856</w:t>
            </w:r>
          </w:p>
        </w:tc>
        <w:tc>
          <w:tcPr>
            <w:tcW w:w="1282" w:type="dxa"/>
            <w:shd w:val="clear" w:color="auto" w:fill="E7E6E6" w:themeFill="background2"/>
            <w:tcMar>
              <w:top w:w="0" w:type="dxa"/>
              <w:left w:w="108" w:type="dxa"/>
              <w:bottom w:w="0" w:type="dxa"/>
              <w:right w:w="108" w:type="dxa"/>
            </w:tcMar>
            <w:vAlign w:val="center"/>
          </w:tcPr>
          <w:p w14:paraId="4E588E4B" w14:textId="77777777" w:rsidR="00FD73F7" w:rsidRPr="00FD73F7" w:rsidRDefault="00FD73F7" w:rsidP="00FD73F7">
            <w:pPr>
              <w:keepNext/>
              <w:spacing w:before="40"/>
              <w:rPr>
                <w:rFonts w:ascii="Arial Narrow" w:hAnsi="Arial Narrow"/>
                <w:b/>
              </w:rPr>
            </w:pPr>
            <w:r w:rsidRPr="00FD73F7">
              <w:rPr>
                <w:rFonts w:ascii="Arial Narrow" w:hAnsi="Arial Narrow"/>
                <w:b/>
              </w:rPr>
              <w:t>$3,849,148</w:t>
            </w:r>
          </w:p>
        </w:tc>
      </w:tr>
    </w:tbl>
    <w:p w14:paraId="42B16212" w14:textId="77777777" w:rsidR="0014225F" w:rsidRDefault="0014225F" w:rsidP="00FD73F7">
      <w:pPr>
        <w:spacing w:before="0" w:after="0" w:line="240" w:lineRule="auto"/>
        <w:rPr>
          <w:rFonts w:ascii="Arial Narrow" w:hAnsi="Arial Narrow"/>
          <w:sz w:val="18"/>
          <w:szCs w:val="18"/>
        </w:rPr>
      </w:pPr>
      <w:r>
        <w:rPr>
          <w:rFonts w:ascii="Arial Narrow" w:hAnsi="Arial Narrow"/>
          <w:sz w:val="18"/>
          <w:szCs w:val="18"/>
        </w:rPr>
        <w:t xml:space="preserve">Source: Table 1, </w:t>
      </w:r>
      <w:proofErr w:type="spellStart"/>
      <w:r>
        <w:rPr>
          <w:rFonts w:ascii="Arial Narrow" w:hAnsi="Arial Narrow"/>
          <w:sz w:val="18"/>
          <w:szCs w:val="18"/>
        </w:rPr>
        <w:t>pg</w:t>
      </w:r>
      <w:proofErr w:type="spellEnd"/>
      <w:r>
        <w:rPr>
          <w:rFonts w:ascii="Arial Narrow" w:hAnsi="Arial Narrow"/>
          <w:sz w:val="18"/>
          <w:szCs w:val="18"/>
        </w:rPr>
        <w:t xml:space="preserve"> 7 of MSAC 1683 Assessment Report</w:t>
      </w:r>
    </w:p>
    <w:p w14:paraId="5C2D9B73" w14:textId="1A72D711" w:rsidR="00FD73F7" w:rsidRPr="00FD73F7" w:rsidRDefault="00FD73F7" w:rsidP="00FD73F7">
      <w:pPr>
        <w:spacing w:before="0" w:after="0" w:line="240" w:lineRule="auto"/>
        <w:rPr>
          <w:rFonts w:ascii="Arial Narrow" w:hAnsi="Arial Narrow"/>
          <w:sz w:val="18"/>
          <w:szCs w:val="18"/>
        </w:rPr>
      </w:pPr>
      <w:r w:rsidRPr="00FD73F7">
        <w:rPr>
          <w:rFonts w:ascii="Arial Narrow" w:hAnsi="Arial Narrow"/>
          <w:sz w:val="18"/>
          <w:szCs w:val="18"/>
        </w:rPr>
        <w:t>Abbreviations: CT, computed tomography;</w:t>
      </w:r>
      <w:r w:rsidRPr="00FD73F7">
        <w:t xml:space="preserve"> </w:t>
      </w:r>
      <w:r w:rsidRPr="00FD73F7">
        <w:rPr>
          <w:rFonts w:ascii="Arial Narrow" w:hAnsi="Arial Narrow"/>
          <w:sz w:val="18"/>
          <w:szCs w:val="18"/>
        </w:rPr>
        <w:t>CRC, Colorectal carcinoma; HCC, Hepatocellular carcinoma; LM, liver metastases; MBS, medical benefits schedule; MRI, magnetic resonance imaging; US, Ultrasound</w:t>
      </w:r>
    </w:p>
    <w:p w14:paraId="5CB16331" w14:textId="167764EC" w:rsidR="00FD73F7" w:rsidRDefault="00FD73F7" w:rsidP="00FD73F7">
      <w:pPr>
        <w:spacing w:before="0" w:after="0" w:line="240" w:lineRule="auto"/>
        <w:rPr>
          <w:rFonts w:ascii="Arial Narrow" w:hAnsi="Arial Narrow"/>
          <w:sz w:val="18"/>
          <w:szCs w:val="18"/>
        </w:rPr>
      </w:pPr>
      <w:r w:rsidRPr="00FD73F7">
        <w:rPr>
          <w:rFonts w:ascii="Arial Narrow" w:hAnsi="Arial Narrow"/>
          <w:sz w:val="18"/>
          <w:szCs w:val="18"/>
        </w:rPr>
        <w:t>Note: non CRC/HCC patient are proxy for ‘all other oncology cohort’</w:t>
      </w:r>
    </w:p>
    <w:p w14:paraId="7D677F48" w14:textId="03D6E961" w:rsidR="00DB157A" w:rsidRPr="00FD73F7" w:rsidRDefault="00DB157A" w:rsidP="00C27F3A">
      <w:pPr>
        <w:spacing w:before="0" w:after="240" w:line="240" w:lineRule="auto"/>
        <w:rPr>
          <w:rFonts w:ascii="Arial Narrow" w:hAnsi="Arial Narrow"/>
          <w:sz w:val="18"/>
          <w:szCs w:val="18"/>
        </w:rPr>
      </w:pPr>
      <w:r w:rsidRPr="00DC76B9">
        <w:rPr>
          <w:rFonts w:ascii="Arial Narrow" w:hAnsi="Arial Narrow"/>
          <w:sz w:val="18"/>
          <w:szCs w:val="18"/>
          <w:vertAlign w:val="superscript"/>
        </w:rPr>
        <w:t xml:space="preserve">a </w:t>
      </w:r>
      <w:r w:rsidR="008E23AB" w:rsidRPr="00853650">
        <w:rPr>
          <w:rFonts w:ascii="Arial Narrow" w:hAnsi="Arial Narrow"/>
          <w:sz w:val="18"/>
          <w:szCs w:val="18"/>
        </w:rPr>
        <w:t>CT</w:t>
      </w:r>
      <w:r w:rsidR="001003D0">
        <w:rPr>
          <w:rFonts w:ascii="Arial Narrow" w:hAnsi="Arial Narrow"/>
          <w:sz w:val="18"/>
          <w:szCs w:val="18"/>
        </w:rPr>
        <w:t xml:space="preserve"> and US is an equally w</w:t>
      </w:r>
      <w:r w:rsidR="00274D2A">
        <w:rPr>
          <w:rFonts w:ascii="Arial Narrow" w:hAnsi="Arial Narrow"/>
          <w:sz w:val="18"/>
          <w:szCs w:val="18"/>
        </w:rPr>
        <w:t>eighted</w:t>
      </w:r>
      <w:r w:rsidR="001003D0">
        <w:rPr>
          <w:rFonts w:ascii="Arial Narrow" w:hAnsi="Arial Narrow"/>
          <w:sz w:val="18"/>
          <w:szCs w:val="18"/>
        </w:rPr>
        <w:t xml:space="preserve"> price</w:t>
      </w:r>
      <w:r w:rsidR="00E807D9">
        <w:rPr>
          <w:rFonts w:ascii="Arial Narrow" w:hAnsi="Arial Narrow"/>
          <w:sz w:val="18"/>
          <w:szCs w:val="18"/>
        </w:rPr>
        <w:t xml:space="preserve"> (bundled price)</w:t>
      </w:r>
      <w:r w:rsidR="001003D0">
        <w:rPr>
          <w:rFonts w:ascii="Arial Narrow" w:hAnsi="Arial Narrow"/>
          <w:sz w:val="18"/>
          <w:szCs w:val="18"/>
        </w:rPr>
        <w:t xml:space="preserve">. </w:t>
      </w:r>
      <w:r w:rsidR="00E807D9">
        <w:rPr>
          <w:rFonts w:ascii="Arial Narrow" w:hAnsi="Arial Narrow"/>
          <w:sz w:val="18"/>
          <w:szCs w:val="18"/>
        </w:rPr>
        <w:t xml:space="preserve">As </w:t>
      </w:r>
      <w:r w:rsidR="001003D0">
        <w:rPr>
          <w:rFonts w:ascii="Arial Narrow" w:hAnsi="Arial Narrow"/>
          <w:sz w:val="18"/>
          <w:szCs w:val="18"/>
        </w:rPr>
        <w:t>CT is in both arms</w:t>
      </w:r>
      <w:r w:rsidR="00395B7C">
        <w:rPr>
          <w:rFonts w:ascii="Arial Narrow" w:hAnsi="Arial Narrow"/>
          <w:sz w:val="18"/>
          <w:szCs w:val="18"/>
        </w:rPr>
        <w:t xml:space="preserve"> </w:t>
      </w:r>
      <w:r w:rsidR="00E807D9">
        <w:rPr>
          <w:rFonts w:ascii="Arial Narrow" w:hAnsi="Arial Narrow"/>
          <w:sz w:val="18"/>
          <w:szCs w:val="18"/>
        </w:rPr>
        <w:t>there is</w:t>
      </w:r>
      <w:r w:rsidR="00395B7C">
        <w:rPr>
          <w:rFonts w:ascii="Arial Narrow" w:hAnsi="Arial Narrow"/>
          <w:sz w:val="18"/>
          <w:szCs w:val="18"/>
        </w:rPr>
        <w:t xml:space="preserve"> </w:t>
      </w:r>
      <w:r w:rsidR="00980619">
        <w:rPr>
          <w:rFonts w:ascii="Arial Narrow" w:hAnsi="Arial Narrow"/>
          <w:sz w:val="18"/>
          <w:szCs w:val="18"/>
        </w:rPr>
        <w:t xml:space="preserve">no </w:t>
      </w:r>
      <w:r w:rsidR="00395B7C">
        <w:rPr>
          <w:rFonts w:ascii="Arial Narrow" w:hAnsi="Arial Narrow"/>
          <w:sz w:val="18"/>
          <w:szCs w:val="18"/>
        </w:rPr>
        <w:t xml:space="preserve">difference to cost. Base </w:t>
      </w:r>
      <w:r w:rsidR="00980619">
        <w:rPr>
          <w:rFonts w:ascii="Arial Narrow" w:hAnsi="Arial Narrow"/>
          <w:sz w:val="18"/>
          <w:szCs w:val="18"/>
        </w:rPr>
        <w:t xml:space="preserve">case </w:t>
      </w:r>
      <w:r w:rsidR="00395B7C">
        <w:rPr>
          <w:rFonts w:ascii="Arial Narrow" w:hAnsi="Arial Narrow"/>
          <w:sz w:val="18"/>
          <w:szCs w:val="18"/>
        </w:rPr>
        <w:t xml:space="preserve">considered to be same. </w:t>
      </w:r>
      <w:r w:rsidR="00CF1D45">
        <w:rPr>
          <w:rFonts w:ascii="Arial Narrow" w:hAnsi="Arial Narrow"/>
          <w:sz w:val="18"/>
          <w:szCs w:val="18"/>
        </w:rPr>
        <w:t xml:space="preserve">CT and US </w:t>
      </w:r>
      <w:r w:rsidR="00E807D9">
        <w:rPr>
          <w:rFonts w:ascii="Arial Narrow" w:hAnsi="Arial Narrow"/>
          <w:sz w:val="18"/>
          <w:szCs w:val="18"/>
        </w:rPr>
        <w:t>include</w:t>
      </w:r>
      <w:r w:rsidR="00CF1D45">
        <w:rPr>
          <w:rFonts w:ascii="Arial Narrow" w:hAnsi="Arial Narrow"/>
          <w:sz w:val="18"/>
          <w:szCs w:val="18"/>
        </w:rPr>
        <w:t xml:space="preserve"> PET in the weighted </w:t>
      </w:r>
      <w:r w:rsidR="00E807D9">
        <w:rPr>
          <w:rFonts w:ascii="Arial Narrow" w:hAnsi="Arial Narrow"/>
          <w:sz w:val="18"/>
          <w:szCs w:val="18"/>
        </w:rPr>
        <w:t xml:space="preserve">(bundled) </w:t>
      </w:r>
      <w:r w:rsidR="00CF1D45">
        <w:rPr>
          <w:rFonts w:ascii="Arial Narrow" w:hAnsi="Arial Narrow"/>
          <w:sz w:val="18"/>
          <w:szCs w:val="18"/>
        </w:rPr>
        <w:t xml:space="preserve">price as </w:t>
      </w:r>
      <w:r w:rsidR="00980619">
        <w:rPr>
          <w:rFonts w:ascii="Arial Narrow" w:hAnsi="Arial Narrow"/>
          <w:sz w:val="18"/>
          <w:szCs w:val="18"/>
        </w:rPr>
        <w:t>ind</w:t>
      </w:r>
      <w:r w:rsidR="00DC76B9">
        <w:rPr>
          <w:rFonts w:ascii="Arial Narrow" w:hAnsi="Arial Narrow"/>
          <w:sz w:val="18"/>
          <w:szCs w:val="18"/>
        </w:rPr>
        <w:t>ivid</w:t>
      </w:r>
      <w:r w:rsidR="00980619">
        <w:rPr>
          <w:rFonts w:ascii="Arial Narrow" w:hAnsi="Arial Narrow"/>
          <w:sz w:val="18"/>
          <w:szCs w:val="18"/>
        </w:rPr>
        <w:t xml:space="preserve">ual patient level data </w:t>
      </w:r>
      <w:r w:rsidR="00DC76B9">
        <w:rPr>
          <w:rFonts w:ascii="Arial Narrow" w:hAnsi="Arial Narrow"/>
          <w:sz w:val="18"/>
          <w:szCs w:val="18"/>
        </w:rPr>
        <w:t xml:space="preserve">is </w:t>
      </w:r>
      <w:r w:rsidR="00E807D9">
        <w:rPr>
          <w:rFonts w:ascii="Arial Narrow" w:hAnsi="Arial Narrow"/>
          <w:sz w:val="18"/>
          <w:szCs w:val="18"/>
        </w:rPr>
        <w:t>unavailable. The</w:t>
      </w:r>
      <w:r w:rsidR="00980619">
        <w:rPr>
          <w:rFonts w:ascii="Arial Narrow" w:hAnsi="Arial Narrow"/>
          <w:sz w:val="18"/>
          <w:szCs w:val="18"/>
        </w:rPr>
        <w:t xml:space="preserve"> </w:t>
      </w:r>
      <w:r w:rsidR="00274D2A">
        <w:rPr>
          <w:rFonts w:ascii="Arial Narrow" w:hAnsi="Arial Narrow"/>
          <w:sz w:val="18"/>
          <w:szCs w:val="18"/>
        </w:rPr>
        <w:t xml:space="preserve">bundled </w:t>
      </w:r>
      <w:r w:rsidR="00980619">
        <w:rPr>
          <w:rFonts w:ascii="Arial Narrow" w:hAnsi="Arial Narrow"/>
          <w:sz w:val="18"/>
          <w:szCs w:val="18"/>
        </w:rPr>
        <w:t xml:space="preserve">price was weighted up and down </w:t>
      </w:r>
      <w:r w:rsidR="00274D2A">
        <w:rPr>
          <w:rFonts w:ascii="Arial Narrow" w:hAnsi="Arial Narrow"/>
          <w:sz w:val="18"/>
          <w:szCs w:val="18"/>
        </w:rPr>
        <w:t>by 20% it doesn’t change as off set is in both arms</w:t>
      </w:r>
      <w:r w:rsidR="00E807D9">
        <w:rPr>
          <w:rFonts w:ascii="Arial Narrow" w:hAnsi="Arial Narrow"/>
          <w:sz w:val="18"/>
          <w:szCs w:val="18"/>
        </w:rPr>
        <w:t xml:space="preserve"> (see sensitivity analysis)</w:t>
      </w:r>
      <w:r w:rsidR="00274D2A">
        <w:rPr>
          <w:rFonts w:ascii="Arial Narrow" w:hAnsi="Arial Narrow"/>
          <w:sz w:val="18"/>
          <w:szCs w:val="18"/>
        </w:rPr>
        <w:t xml:space="preserve">. </w:t>
      </w:r>
    </w:p>
    <w:p w14:paraId="1345A2F2" w14:textId="5B778AE0" w:rsidR="00FD73F7" w:rsidRDefault="009254CA" w:rsidP="00C27F3A">
      <w:pPr>
        <w:spacing w:before="240"/>
        <w:rPr>
          <w:rStyle w:val="InstructionaltextChar"/>
          <w:color w:val="auto"/>
        </w:rPr>
      </w:pPr>
      <w:r>
        <w:rPr>
          <w:rStyle w:val="InstructionaltextChar"/>
        </w:rPr>
        <w:fldChar w:fldCharType="begin"/>
      </w:r>
      <w:r>
        <w:rPr>
          <w:rStyle w:val="InstructionaltextChar"/>
        </w:rPr>
        <w:instrText xml:space="preserve"> REF _Ref85224380 \h </w:instrText>
      </w:r>
      <w:r>
        <w:rPr>
          <w:rStyle w:val="InstructionaltextChar"/>
        </w:rPr>
      </w:r>
      <w:r>
        <w:rPr>
          <w:rStyle w:val="InstructionaltextChar"/>
        </w:rPr>
        <w:fldChar w:fldCharType="separate"/>
      </w:r>
      <w:r w:rsidR="0014225F">
        <w:t xml:space="preserve">Table </w:t>
      </w:r>
      <w:r w:rsidR="0014225F">
        <w:rPr>
          <w:noProof/>
        </w:rPr>
        <w:t>2</w:t>
      </w:r>
      <w:r>
        <w:rPr>
          <w:rStyle w:val="InstructionaltextChar"/>
        </w:rPr>
        <w:fldChar w:fldCharType="end"/>
      </w:r>
      <w:r>
        <w:rPr>
          <w:rStyle w:val="InstructionaltextChar"/>
        </w:rPr>
        <w:t xml:space="preserve"> </w:t>
      </w:r>
      <w:r w:rsidRPr="009254CA">
        <w:rPr>
          <w:rStyle w:val="InstructionaltextChar"/>
          <w:color w:val="auto"/>
        </w:rPr>
        <w:t xml:space="preserve">displays the estimated </w:t>
      </w:r>
      <w:r w:rsidR="00297C82">
        <w:rPr>
          <w:rStyle w:val="InstructionaltextChar"/>
          <w:color w:val="auto"/>
        </w:rPr>
        <w:t>number of MRI services</w:t>
      </w:r>
      <w:r w:rsidR="00297C82" w:rsidRPr="009254CA">
        <w:rPr>
          <w:rStyle w:val="InstructionaltextChar"/>
          <w:color w:val="auto"/>
        </w:rPr>
        <w:t xml:space="preserve"> </w:t>
      </w:r>
      <w:r w:rsidRPr="009254CA">
        <w:rPr>
          <w:rStyle w:val="InstructionaltextChar"/>
          <w:color w:val="auto"/>
        </w:rPr>
        <w:t xml:space="preserve">and financial impact of liver MRI in the ‘all other </w:t>
      </w:r>
      <w:r w:rsidR="00297C82">
        <w:rPr>
          <w:rStyle w:val="InstructionaltextChar"/>
          <w:color w:val="auto"/>
        </w:rPr>
        <w:t>extra hepatic tumours</w:t>
      </w:r>
      <w:r w:rsidR="00297C82" w:rsidRPr="009254CA">
        <w:rPr>
          <w:rStyle w:val="InstructionaltextChar"/>
          <w:color w:val="auto"/>
        </w:rPr>
        <w:t xml:space="preserve"> </w:t>
      </w:r>
      <w:r w:rsidRPr="009254CA">
        <w:rPr>
          <w:rStyle w:val="InstructionaltextChar"/>
          <w:color w:val="auto"/>
        </w:rPr>
        <w:t xml:space="preserve">cohort’ (i.e. excluding CRC and HCC MRI patients). The estimated MRI service ranged from 4,881 </w:t>
      </w:r>
      <w:r w:rsidR="009C0B0C">
        <w:rPr>
          <w:rStyle w:val="InstructionaltextChar"/>
          <w:color w:val="auto"/>
        </w:rPr>
        <w:t>in</w:t>
      </w:r>
      <w:r w:rsidRPr="009254CA">
        <w:rPr>
          <w:rStyle w:val="InstructionaltextChar"/>
          <w:color w:val="auto"/>
        </w:rPr>
        <w:t xml:space="preserve"> Year 1 increasing to 6,230 </w:t>
      </w:r>
      <w:r w:rsidR="009C0B0C">
        <w:rPr>
          <w:rStyle w:val="InstructionaltextChar"/>
          <w:color w:val="auto"/>
        </w:rPr>
        <w:t xml:space="preserve">in </w:t>
      </w:r>
      <w:r w:rsidRPr="009254CA">
        <w:rPr>
          <w:rStyle w:val="InstructionaltextChar"/>
          <w:color w:val="auto"/>
        </w:rPr>
        <w:t xml:space="preserve">Year 6. The estimated net cost to the MBS ranged from $3,015,908 </w:t>
      </w:r>
      <w:r w:rsidR="009C0B0C">
        <w:rPr>
          <w:rStyle w:val="InstructionaltextChar"/>
          <w:color w:val="auto"/>
        </w:rPr>
        <w:t>in</w:t>
      </w:r>
      <w:r w:rsidRPr="009254CA">
        <w:rPr>
          <w:rStyle w:val="InstructionaltextChar"/>
          <w:color w:val="auto"/>
        </w:rPr>
        <w:t xml:space="preserve"> Year 1 increasing to $3,849,148 </w:t>
      </w:r>
      <w:r w:rsidR="009C0B0C">
        <w:rPr>
          <w:rStyle w:val="InstructionaltextChar"/>
          <w:color w:val="auto"/>
        </w:rPr>
        <w:t>in</w:t>
      </w:r>
      <w:r w:rsidRPr="009254CA">
        <w:rPr>
          <w:rStyle w:val="InstructionaltextChar"/>
          <w:color w:val="auto"/>
        </w:rPr>
        <w:t xml:space="preserve"> Year 6.</w:t>
      </w:r>
      <w:r>
        <w:rPr>
          <w:rStyle w:val="InstructionaltextChar"/>
          <w:color w:val="auto"/>
        </w:rPr>
        <w:t xml:space="preserve"> </w:t>
      </w:r>
      <w:r w:rsidR="009315DB" w:rsidRPr="009315DB">
        <w:rPr>
          <w:rStyle w:val="InstructionaltextChar"/>
          <w:color w:val="auto"/>
        </w:rPr>
        <w:t xml:space="preserve">The 6-year cost to the MBS for listing liver MRI for staging of </w:t>
      </w:r>
      <w:r w:rsidR="009315DB">
        <w:rPr>
          <w:rStyle w:val="InstructionaltextChar"/>
          <w:color w:val="auto"/>
        </w:rPr>
        <w:t xml:space="preserve">all other </w:t>
      </w:r>
      <w:r w:rsidR="00297C82">
        <w:rPr>
          <w:rStyle w:val="InstructionaltextChar"/>
          <w:color w:val="auto"/>
        </w:rPr>
        <w:t xml:space="preserve">primary tumour </w:t>
      </w:r>
      <w:r w:rsidR="009315DB">
        <w:rPr>
          <w:rStyle w:val="InstructionaltextChar"/>
          <w:color w:val="auto"/>
        </w:rPr>
        <w:t xml:space="preserve">patients (i.e. </w:t>
      </w:r>
      <w:r w:rsidR="009315DB" w:rsidRPr="009315DB">
        <w:rPr>
          <w:rStyle w:val="InstructionaltextChar"/>
          <w:color w:val="auto"/>
        </w:rPr>
        <w:t>non CRC/HCC patients</w:t>
      </w:r>
      <w:r w:rsidR="009315DB">
        <w:rPr>
          <w:rStyle w:val="InstructionaltextChar"/>
          <w:color w:val="auto"/>
        </w:rPr>
        <w:t>)</w:t>
      </w:r>
      <w:r w:rsidR="009315DB" w:rsidRPr="009315DB">
        <w:rPr>
          <w:rStyle w:val="InstructionaltextChar"/>
          <w:color w:val="auto"/>
        </w:rPr>
        <w:t xml:space="preserve"> with liver metastases is </w:t>
      </w:r>
      <w:r w:rsidR="00800880">
        <w:rPr>
          <w:rStyle w:val="InstructionaltextChar"/>
          <w:color w:val="auto"/>
        </w:rPr>
        <w:t xml:space="preserve">estimated </w:t>
      </w:r>
      <w:r w:rsidR="00744845">
        <w:rPr>
          <w:rStyle w:val="InstructionaltextChar"/>
          <w:color w:val="auto"/>
        </w:rPr>
        <w:t xml:space="preserve">to be </w:t>
      </w:r>
      <w:r w:rsidR="009315DB" w:rsidRPr="009315DB">
        <w:rPr>
          <w:rStyle w:val="InstructionaltextChar"/>
          <w:color w:val="auto"/>
        </w:rPr>
        <w:t>$20,513,946</w:t>
      </w:r>
      <w:r w:rsidR="009315DB">
        <w:rPr>
          <w:rStyle w:val="InstructionaltextChar"/>
          <w:color w:val="auto"/>
        </w:rPr>
        <w:t xml:space="preserve">. </w:t>
      </w:r>
    </w:p>
    <w:p w14:paraId="45791D6A" w14:textId="3148272A" w:rsidR="005D518E" w:rsidRDefault="0014225F" w:rsidP="00C27F3A">
      <w:pPr>
        <w:spacing w:before="240"/>
        <w:rPr>
          <w:rFonts w:eastAsia="Calibri"/>
        </w:rPr>
      </w:pPr>
      <w:r>
        <w:rPr>
          <w:rFonts w:eastAsia="Calibri"/>
        </w:rPr>
        <w:t xml:space="preserve">Sensitivity analyses were undertaken to explore the assumptions used for the base case financial estimates. </w:t>
      </w:r>
      <w:r w:rsidRPr="0014225F">
        <w:rPr>
          <w:rFonts w:eastAsia="Calibri"/>
        </w:rPr>
        <w:t>The sensitivity analys</w:t>
      </w:r>
      <w:r>
        <w:rPr>
          <w:rFonts w:eastAsia="Calibri"/>
        </w:rPr>
        <w:t>e</w:t>
      </w:r>
      <w:r w:rsidRPr="0014225F">
        <w:rPr>
          <w:rFonts w:eastAsia="Calibri"/>
        </w:rPr>
        <w:t>s suggest</w:t>
      </w:r>
      <w:r>
        <w:rPr>
          <w:rFonts w:eastAsia="Calibri"/>
        </w:rPr>
        <w:t>ed</w:t>
      </w:r>
      <w:r w:rsidRPr="0014225F">
        <w:rPr>
          <w:rFonts w:eastAsia="Calibri"/>
        </w:rPr>
        <w:t xml:space="preserve"> that the </w:t>
      </w:r>
      <w:r>
        <w:rPr>
          <w:rFonts w:eastAsia="Calibri"/>
        </w:rPr>
        <w:t>n</w:t>
      </w:r>
      <w:r w:rsidRPr="0014225F">
        <w:rPr>
          <w:rFonts w:eastAsia="Calibri"/>
        </w:rPr>
        <w:t>et cost to the MBS was sensitive to the upscaling estimates and could range between $8,804,269 million to $35,217,075 million over 6</w:t>
      </w:r>
      <w:r w:rsidR="00EA7041">
        <w:rPr>
          <w:rFonts w:eastAsia="Calibri"/>
        </w:rPr>
        <w:t> </w:t>
      </w:r>
      <w:r w:rsidRPr="0014225F">
        <w:rPr>
          <w:rFonts w:eastAsia="Calibri"/>
        </w:rPr>
        <w:t>years (50% of those with liver metastases have CRC to 20% with liver metastases have CRC respectively)</w:t>
      </w:r>
      <w:r>
        <w:rPr>
          <w:rFonts w:eastAsia="Calibri"/>
        </w:rPr>
        <w:t>.</w:t>
      </w:r>
    </w:p>
    <w:p w14:paraId="69E92897" w14:textId="66B13252" w:rsidR="0014225F" w:rsidRPr="00B253EB" w:rsidRDefault="0014225F" w:rsidP="0014225F">
      <w:pPr>
        <w:pStyle w:val="Caption"/>
      </w:pPr>
      <w:bookmarkStart w:id="16" w:name="_Ref85224811"/>
      <w:r>
        <w:lastRenderedPageBreak/>
        <w:t xml:space="preserve">Figure </w:t>
      </w:r>
      <w:bookmarkEnd w:id="16"/>
      <w:r w:rsidR="00665B22">
        <w:t>1</w:t>
      </w:r>
      <w:r>
        <w:rPr>
          <w:noProof/>
        </w:rPr>
        <w:tab/>
      </w:r>
      <w:r w:rsidRPr="00EA7408">
        <w:t>Six-year total cost to the MBS of this new MRI Liver listing</w:t>
      </w:r>
    </w:p>
    <w:p w14:paraId="30C72935" w14:textId="77777777" w:rsidR="0014225F" w:rsidRDefault="0014225F" w:rsidP="0014225F">
      <w:r>
        <w:rPr>
          <w:noProof/>
          <w:lang w:eastAsia="en-AU"/>
        </w:rPr>
        <w:drawing>
          <wp:inline distT="0" distB="0" distL="0" distR="0" wp14:anchorId="7541B06E" wp14:editId="15876FEE">
            <wp:extent cx="4394200" cy="3327400"/>
            <wp:effectExtent l="0" t="0" r="6350" b="6350"/>
            <wp:docPr id="2" name="Chart 2" descr="Six-year total cost to the MBS of this new MRI Liver listing"/>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2A47354" w14:textId="38FD6506" w:rsidR="0014225F" w:rsidRPr="0014225F" w:rsidRDefault="0014225F" w:rsidP="0014225F">
      <w:pPr>
        <w:pStyle w:val="Tablenotes"/>
        <w:spacing w:before="0"/>
        <w:rPr>
          <w:rStyle w:val="InstructionaltextChar"/>
          <w:color w:val="auto"/>
        </w:rPr>
      </w:pPr>
      <w:r w:rsidRPr="0014225F">
        <w:rPr>
          <w:rStyle w:val="InstructionaltextChar"/>
          <w:color w:val="auto"/>
        </w:rPr>
        <w:t xml:space="preserve">Source: Figure 6, </w:t>
      </w:r>
      <w:proofErr w:type="spellStart"/>
      <w:r w:rsidRPr="0014225F">
        <w:rPr>
          <w:rStyle w:val="InstructionaltextChar"/>
          <w:color w:val="auto"/>
        </w:rPr>
        <w:t>pg</w:t>
      </w:r>
      <w:proofErr w:type="spellEnd"/>
      <w:r w:rsidRPr="0014225F">
        <w:rPr>
          <w:rStyle w:val="InstructionaltextChar"/>
          <w:color w:val="auto"/>
        </w:rPr>
        <w:t xml:space="preserve"> 21 of MSAC 1683 Assessment Report</w:t>
      </w:r>
    </w:p>
    <w:p w14:paraId="7838A9FF" w14:textId="14D4072A" w:rsidR="00772829" w:rsidRDefault="00C36633" w:rsidP="002A18BE">
      <w:pPr>
        <w:pStyle w:val="Heading2"/>
        <w:numPr>
          <w:ilvl w:val="0"/>
          <w:numId w:val="0"/>
        </w:numPr>
      </w:pPr>
      <w:bookmarkStart w:id="17" w:name="_Toc85450806"/>
      <w:r>
        <w:t>1</w:t>
      </w:r>
      <w:r w:rsidR="00C27F3A">
        <w:t>0</w:t>
      </w:r>
      <w:r>
        <w:t>.</w:t>
      </w:r>
      <w:r>
        <w:tab/>
      </w:r>
      <w:r w:rsidR="00772829" w:rsidRPr="00CE28E3">
        <w:t xml:space="preserve">Other relevant </w:t>
      </w:r>
      <w:r w:rsidR="00FA5766">
        <w:t>information</w:t>
      </w:r>
      <w:bookmarkEnd w:id="17"/>
    </w:p>
    <w:p w14:paraId="5769FF69" w14:textId="1062CC87" w:rsidR="002869A0" w:rsidRPr="002869A0" w:rsidRDefault="00EA7041" w:rsidP="002869A0">
      <w:r>
        <w:t>Nil</w:t>
      </w:r>
    </w:p>
    <w:p w14:paraId="7E10E882" w14:textId="77777777" w:rsidR="00C27F3A" w:rsidRDefault="00C27F3A" w:rsidP="00C27F3A">
      <w:pPr>
        <w:pStyle w:val="Heading2"/>
        <w:numPr>
          <w:ilvl w:val="0"/>
          <w:numId w:val="0"/>
        </w:numPr>
      </w:pPr>
      <w:r>
        <w:t>11.</w:t>
      </w:r>
      <w:r>
        <w:tab/>
        <w:t>Further information on MSAC</w:t>
      </w:r>
    </w:p>
    <w:p w14:paraId="4C218EF3" w14:textId="2A6AF430" w:rsidR="00804632" w:rsidRPr="000A7613" w:rsidRDefault="00C27F3A" w:rsidP="0099572C">
      <w:pPr>
        <w:spacing w:after="240"/>
        <w:rPr>
          <w:color w:val="0070C0"/>
          <w:szCs w:val="24"/>
          <w:u w:val="single"/>
        </w:rPr>
      </w:pPr>
      <w:r w:rsidRPr="00D7400C">
        <w:rPr>
          <w:szCs w:val="24"/>
        </w:rPr>
        <w:t xml:space="preserve">MSAC Terms of Reference and other information are available on the MSAC Website: </w:t>
      </w:r>
      <w:r w:rsidRPr="00D7400C">
        <w:rPr>
          <w:szCs w:val="24"/>
        </w:rPr>
        <w:br/>
      </w:r>
      <w:hyperlink r:id="rId12" w:tooltip="Link to Medical Services Advisory Committee website" w:history="1">
        <w:r w:rsidRPr="00D7400C">
          <w:rPr>
            <w:rStyle w:val="Hyperlink"/>
            <w:szCs w:val="24"/>
          </w:rPr>
          <w:t>visit the MSAC website</w:t>
        </w:r>
      </w:hyperlink>
    </w:p>
    <w:sectPr w:rsidR="00804632" w:rsidRPr="000A7613" w:rsidSect="00052DD3">
      <w:footerReference w:type="even" r:id="rId13"/>
      <w:footerReference w:type="defaul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64B9D" w14:textId="77777777" w:rsidR="0060599A" w:rsidRDefault="0060599A" w:rsidP="00B62DF2">
      <w:pPr>
        <w:spacing w:after="0" w:line="240" w:lineRule="auto"/>
      </w:pPr>
      <w:r>
        <w:separator/>
      </w:r>
    </w:p>
  </w:endnote>
  <w:endnote w:type="continuationSeparator" w:id="0">
    <w:p w14:paraId="3302C8B5" w14:textId="77777777" w:rsidR="0060599A" w:rsidRDefault="0060599A" w:rsidP="00B62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5460831"/>
      <w:docPartObj>
        <w:docPartGallery w:val="Page Numbers (Bottom of Page)"/>
        <w:docPartUnique/>
      </w:docPartObj>
    </w:sdtPr>
    <w:sdtEndPr>
      <w:rPr>
        <w:noProof/>
      </w:rPr>
    </w:sdtEndPr>
    <w:sdtContent>
      <w:p w14:paraId="6E76D499" w14:textId="41E52DCE" w:rsidR="004323DB" w:rsidRDefault="004323DB">
        <w:pPr>
          <w:pStyle w:val="Footer"/>
        </w:pPr>
        <w:r>
          <w:fldChar w:fldCharType="begin"/>
        </w:r>
        <w:r>
          <w:instrText xml:space="preserve"> PAGE   \* MERGEFORMAT </w:instrText>
        </w:r>
        <w:r>
          <w:fldChar w:fldCharType="separate"/>
        </w:r>
        <w:r>
          <w:rPr>
            <w:noProof/>
          </w:rPr>
          <w:t>72</w:t>
        </w:r>
        <w:r>
          <w:rPr>
            <w:noProof/>
          </w:rPr>
          <w:fldChar w:fldCharType="end"/>
        </w:r>
        <w:r>
          <w:rPr>
            <w:noProof/>
          </w:rPr>
          <w:tab/>
        </w:r>
        <w:r>
          <w:rPr>
            <w:noProof/>
          </w:rPr>
          <w:tab/>
        </w:r>
        <w:r>
          <w:t xml:space="preserve">MSAC </w:t>
        </w:r>
        <w:r w:rsidRPr="00807A3E">
          <w:t xml:space="preserve">assessment report </w:t>
        </w:r>
        <w:r>
          <w:rPr>
            <w:highlight w:val="cyan"/>
          </w:rPr>
          <w:t>*</w:t>
        </w:r>
        <w:r w:rsidRPr="00052DD3">
          <w:rPr>
            <w:highlight w:val="cyan"/>
          </w:rPr>
          <w:t>XXXX</w:t>
        </w:r>
        <w:r>
          <w:rPr>
            <w:highlight w:val="cyan"/>
          </w:rPr>
          <w:t xml:space="preserve"> –</w:t>
        </w:r>
        <w:r w:rsidRPr="00052DD3">
          <w:rPr>
            <w:highlight w:val="cyan"/>
          </w:rPr>
          <w:t xml:space="preserve"> Brief heading</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44847"/>
      <w:docPartObj>
        <w:docPartGallery w:val="Page Numbers (Bottom of Page)"/>
        <w:docPartUnique/>
      </w:docPartObj>
    </w:sdtPr>
    <w:sdtEndPr>
      <w:rPr>
        <w:noProof/>
      </w:rPr>
    </w:sdtEndPr>
    <w:sdtContent>
      <w:p w14:paraId="6BE9385A" w14:textId="31D6BBCF" w:rsidR="004323DB" w:rsidRDefault="004323DB" w:rsidP="00991723">
        <w:pPr>
          <w:pStyle w:val="Footer"/>
          <w:jc w:val="right"/>
        </w:pPr>
        <w:r>
          <w:tab/>
        </w:r>
        <w:r>
          <w:fldChar w:fldCharType="begin"/>
        </w:r>
        <w:r>
          <w:instrText xml:space="preserve"> PAGE   \* MERGEFORMAT </w:instrText>
        </w:r>
        <w:r>
          <w:fldChar w:fldCharType="separate"/>
        </w:r>
        <w:r w:rsidR="00AE4554">
          <w:rPr>
            <w:noProof/>
          </w:rPr>
          <w:t>23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2818046"/>
      <w:docPartObj>
        <w:docPartGallery w:val="Page Numbers (Bottom of Page)"/>
        <w:docPartUnique/>
      </w:docPartObj>
    </w:sdtPr>
    <w:sdtEndPr>
      <w:rPr>
        <w:noProof/>
      </w:rPr>
    </w:sdtEndPr>
    <w:sdtContent>
      <w:p w14:paraId="74311C3E" w14:textId="1DEF17FB" w:rsidR="00F021A6" w:rsidRDefault="00F021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AF753A" w14:textId="77777777" w:rsidR="00F021A6" w:rsidRDefault="00F02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B6921" w14:textId="77777777" w:rsidR="0060599A" w:rsidRDefault="0060599A" w:rsidP="00B62DF2">
      <w:pPr>
        <w:spacing w:after="0" w:line="240" w:lineRule="auto"/>
      </w:pPr>
      <w:r>
        <w:separator/>
      </w:r>
    </w:p>
  </w:footnote>
  <w:footnote w:type="continuationSeparator" w:id="0">
    <w:p w14:paraId="4FA9F224" w14:textId="77777777" w:rsidR="0060599A" w:rsidRDefault="0060599A" w:rsidP="00B62DF2">
      <w:pPr>
        <w:spacing w:after="0" w:line="240" w:lineRule="auto"/>
      </w:pPr>
      <w:r>
        <w:continuationSeparator/>
      </w:r>
    </w:p>
  </w:footnote>
  <w:footnote w:id="1">
    <w:p w14:paraId="22F1234B" w14:textId="79CBF9CD" w:rsidR="0014225F" w:rsidRDefault="0014225F">
      <w:pPr>
        <w:pStyle w:val="FootnoteText"/>
      </w:pPr>
      <w:r>
        <w:rPr>
          <w:rStyle w:val="FootnoteReference"/>
        </w:rPr>
        <w:footnoteRef/>
      </w:r>
      <w:r>
        <w:t xml:space="preserve"> </w:t>
      </w:r>
      <w:r w:rsidRPr="0014225F">
        <w:t>Horn</w:t>
      </w:r>
      <w:r>
        <w:t>,</w:t>
      </w:r>
      <w:r w:rsidRPr="0014225F">
        <w:t xml:space="preserve"> SR</w:t>
      </w:r>
      <w:r>
        <w:t xml:space="preserve"> </w:t>
      </w:r>
      <w:r w:rsidRPr="0014225F">
        <w:t xml:space="preserve">et al. </w:t>
      </w:r>
      <w:r>
        <w:t xml:space="preserve">(2020) </w:t>
      </w:r>
      <w:r w:rsidRPr="0014225F">
        <w:rPr>
          <w:i/>
          <w:iCs/>
        </w:rPr>
        <w:t>Cancer epidemiology</w:t>
      </w:r>
      <w:r w:rsidRPr="0014225F">
        <w:t>. 67:101760.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8101F"/>
    <w:multiLevelType w:val="hybridMultilevel"/>
    <w:tmpl w:val="2E40A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1D781F"/>
    <w:multiLevelType w:val="hybridMultilevel"/>
    <w:tmpl w:val="3C7E11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0F3B88"/>
    <w:multiLevelType w:val="hybridMultilevel"/>
    <w:tmpl w:val="46045DB6"/>
    <w:lvl w:ilvl="0" w:tplc="96363DC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E3B7DDA"/>
    <w:multiLevelType w:val="hybridMultilevel"/>
    <w:tmpl w:val="AE847C46"/>
    <w:lvl w:ilvl="0" w:tplc="FDDEDD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0D5C06"/>
    <w:multiLevelType w:val="hybridMultilevel"/>
    <w:tmpl w:val="31E6901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F692EB6"/>
    <w:multiLevelType w:val="hybridMultilevel"/>
    <w:tmpl w:val="8756924C"/>
    <w:lvl w:ilvl="0" w:tplc="FDDEDD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39514E"/>
    <w:multiLevelType w:val="hybridMultilevel"/>
    <w:tmpl w:val="A7F6379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9"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C1093F"/>
    <w:multiLevelType w:val="hybridMultilevel"/>
    <w:tmpl w:val="B7281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C72F22"/>
    <w:multiLevelType w:val="hybridMultilevel"/>
    <w:tmpl w:val="7FA66750"/>
    <w:lvl w:ilvl="0" w:tplc="72EC37C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FA131B2"/>
    <w:multiLevelType w:val="hybridMultilevel"/>
    <w:tmpl w:val="4EF0CF14"/>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A1D78EA"/>
    <w:multiLevelType w:val="hybridMultilevel"/>
    <w:tmpl w:val="F99C5B34"/>
    <w:lvl w:ilvl="0" w:tplc="11A441F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BDE57D3"/>
    <w:multiLevelType w:val="hybridMultilevel"/>
    <w:tmpl w:val="8C9CBB5E"/>
    <w:lvl w:ilvl="0" w:tplc="FDDEDD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F77E48D2">
      <w:start w:val="4"/>
      <w:numFmt w:val="bullet"/>
      <w:lvlText w:val="•"/>
      <w:lvlJc w:val="left"/>
      <w:pPr>
        <w:ind w:left="2700" w:hanging="720"/>
      </w:pPr>
      <w:rPr>
        <w:rFonts w:ascii="Franklin Gothic Book" w:eastAsiaTheme="minorHAnsi" w:hAnsi="Franklin Gothic Book" w:cstheme="minorBidi" w:hint="default"/>
      </w:rPr>
    </w:lvl>
    <w:lvl w:ilvl="3" w:tplc="7D5CC2D4">
      <w:start w:val="5"/>
      <w:numFmt w:val="bullet"/>
      <w:lvlText w:val=""/>
      <w:lvlJc w:val="left"/>
      <w:pPr>
        <w:ind w:left="3240" w:hanging="720"/>
      </w:pPr>
      <w:rPr>
        <w:rFonts w:ascii="Symbol" w:eastAsiaTheme="minorHAnsi" w:hAnsi="Symbol" w:cstheme="minorBidi"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EAF5CDC"/>
    <w:multiLevelType w:val="hybridMultilevel"/>
    <w:tmpl w:val="3C9458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69258D"/>
    <w:multiLevelType w:val="hybridMultilevel"/>
    <w:tmpl w:val="A436505A"/>
    <w:lvl w:ilvl="0" w:tplc="96363DC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51375F76"/>
    <w:multiLevelType w:val="hybridMultilevel"/>
    <w:tmpl w:val="E5B8683A"/>
    <w:lvl w:ilvl="0" w:tplc="FDDEDD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CDD49D8"/>
    <w:multiLevelType w:val="hybridMultilevel"/>
    <w:tmpl w:val="55DEA592"/>
    <w:lvl w:ilvl="0" w:tplc="FDDEDD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843191B"/>
    <w:multiLevelType w:val="hybridMultilevel"/>
    <w:tmpl w:val="8C32E5E8"/>
    <w:lvl w:ilvl="0" w:tplc="0C09000F">
      <w:start w:val="1"/>
      <w:numFmt w:val="decimal"/>
      <w:lvlText w:val="%1."/>
      <w:lvlJc w:val="left"/>
      <w:pPr>
        <w:ind w:left="1080" w:hanging="360"/>
      </w:p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D03550F"/>
    <w:multiLevelType w:val="hybridMultilevel"/>
    <w:tmpl w:val="B4662576"/>
    <w:lvl w:ilvl="0" w:tplc="5372A4D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A4C758F"/>
    <w:multiLevelType w:val="hybridMultilevel"/>
    <w:tmpl w:val="281C2BBC"/>
    <w:lvl w:ilvl="0" w:tplc="FDDEDD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abstractNumId w:val="12"/>
  </w:num>
  <w:num w:numId="2">
    <w:abstractNumId w:val="28"/>
  </w:num>
  <w:num w:numId="3">
    <w:abstractNumId w:val="1"/>
  </w:num>
  <w:num w:numId="4">
    <w:abstractNumId w:val="8"/>
  </w:num>
  <w:num w:numId="5">
    <w:abstractNumId w:val="26"/>
  </w:num>
  <w:num w:numId="6">
    <w:abstractNumId w:val="9"/>
  </w:num>
  <w:num w:numId="7">
    <w:abstractNumId w:val="10"/>
  </w:num>
  <w:num w:numId="8">
    <w:abstractNumId w:val="11"/>
  </w:num>
  <w:num w:numId="9">
    <w:abstractNumId w:val="17"/>
  </w:num>
  <w:num w:numId="10">
    <w:abstractNumId w:val="19"/>
  </w:num>
  <w:num w:numId="11">
    <w:abstractNumId w:val="21"/>
  </w:num>
  <w:num w:numId="12">
    <w:abstractNumId w:val="13"/>
  </w:num>
  <w:num w:numId="13">
    <w:abstractNumId w:val="6"/>
  </w:num>
  <w:num w:numId="14">
    <w:abstractNumId w:val="15"/>
  </w:num>
  <w:num w:numId="15">
    <w:abstractNumId w:val="5"/>
  </w:num>
  <w:num w:numId="16">
    <w:abstractNumId w:val="18"/>
  </w:num>
  <w:num w:numId="17">
    <w:abstractNumId w:val="7"/>
  </w:num>
  <w:num w:numId="18">
    <w:abstractNumId w:val="24"/>
  </w:num>
  <w:num w:numId="19">
    <w:abstractNumId w:val="2"/>
  </w:num>
  <w:num w:numId="20">
    <w:abstractNumId w:val="16"/>
  </w:num>
  <w:num w:numId="21">
    <w:abstractNumId w:val="0"/>
  </w:num>
  <w:num w:numId="22">
    <w:abstractNumId w:val="14"/>
  </w:num>
  <w:num w:numId="23">
    <w:abstractNumId w:val="20"/>
  </w:num>
  <w:num w:numId="24">
    <w:abstractNumId w:val="23"/>
  </w:num>
  <w:num w:numId="25">
    <w:abstractNumId w:val="27"/>
  </w:num>
  <w:num w:numId="26">
    <w:abstractNumId w:val="3"/>
  </w:num>
  <w:num w:numId="27">
    <w:abstractNumId w:val="25"/>
  </w:num>
  <w:num w:numId="28">
    <w:abstractNumId w:val="4"/>
  </w:num>
  <w:num w:numId="29">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Franklin Gothic Book&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8157F1"/>
    <w:rsid w:val="00000F58"/>
    <w:rsid w:val="0000109A"/>
    <w:rsid w:val="00001AE6"/>
    <w:rsid w:val="00001D52"/>
    <w:rsid w:val="00002F11"/>
    <w:rsid w:val="00003B66"/>
    <w:rsid w:val="00004D69"/>
    <w:rsid w:val="00004F7F"/>
    <w:rsid w:val="000054C9"/>
    <w:rsid w:val="00006BDE"/>
    <w:rsid w:val="00006C6E"/>
    <w:rsid w:val="00007A7E"/>
    <w:rsid w:val="00010168"/>
    <w:rsid w:val="0001130A"/>
    <w:rsid w:val="00011568"/>
    <w:rsid w:val="000119FE"/>
    <w:rsid w:val="000132C0"/>
    <w:rsid w:val="00014974"/>
    <w:rsid w:val="00014BE9"/>
    <w:rsid w:val="000162B0"/>
    <w:rsid w:val="0002032E"/>
    <w:rsid w:val="000203D0"/>
    <w:rsid w:val="000228B8"/>
    <w:rsid w:val="00022BF0"/>
    <w:rsid w:val="0002381B"/>
    <w:rsid w:val="00024263"/>
    <w:rsid w:val="00024628"/>
    <w:rsid w:val="00024ACF"/>
    <w:rsid w:val="00024EA5"/>
    <w:rsid w:val="0002569B"/>
    <w:rsid w:val="00026B43"/>
    <w:rsid w:val="00026E5B"/>
    <w:rsid w:val="0002755F"/>
    <w:rsid w:val="00030515"/>
    <w:rsid w:val="000317BA"/>
    <w:rsid w:val="00031C18"/>
    <w:rsid w:val="0003423A"/>
    <w:rsid w:val="0003477F"/>
    <w:rsid w:val="00034BC5"/>
    <w:rsid w:val="00034D6D"/>
    <w:rsid w:val="00034DDF"/>
    <w:rsid w:val="00036456"/>
    <w:rsid w:val="00036AD8"/>
    <w:rsid w:val="00036CAB"/>
    <w:rsid w:val="00037037"/>
    <w:rsid w:val="0003725E"/>
    <w:rsid w:val="00037302"/>
    <w:rsid w:val="0004005D"/>
    <w:rsid w:val="00040416"/>
    <w:rsid w:val="0004051A"/>
    <w:rsid w:val="00040ADF"/>
    <w:rsid w:val="00040FB4"/>
    <w:rsid w:val="0004178C"/>
    <w:rsid w:val="00041F5D"/>
    <w:rsid w:val="000443A6"/>
    <w:rsid w:val="000449D1"/>
    <w:rsid w:val="00044F9A"/>
    <w:rsid w:val="00045B8D"/>
    <w:rsid w:val="00045CC5"/>
    <w:rsid w:val="000465BA"/>
    <w:rsid w:val="00046B6A"/>
    <w:rsid w:val="000472D4"/>
    <w:rsid w:val="00052DD3"/>
    <w:rsid w:val="0005326D"/>
    <w:rsid w:val="00053AC3"/>
    <w:rsid w:val="00053F6C"/>
    <w:rsid w:val="00055A19"/>
    <w:rsid w:val="00056210"/>
    <w:rsid w:val="00057334"/>
    <w:rsid w:val="0006014B"/>
    <w:rsid w:val="00061415"/>
    <w:rsid w:val="000622E9"/>
    <w:rsid w:val="0006256C"/>
    <w:rsid w:val="0006339C"/>
    <w:rsid w:val="00064783"/>
    <w:rsid w:val="000647C2"/>
    <w:rsid w:val="000651D9"/>
    <w:rsid w:val="00065E60"/>
    <w:rsid w:val="00067404"/>
    <w:rsid w:val="00067BA3"/>
    <w:rsid w:val="00070168"/>
    <w:rsid w:val="0007021F"/>
    <w:rsid w:val="000709A0"/>
    <w:rsid w:val="00070F11"/>
    <w:rsid w:val="00072449"/>
    <w:rsid w:val="00074199"/>
    <w:rsid w:val="00076EAC"/>
    <w:rsid w:val="0007719E"/>
    <w:rsid w:val="00080241"/>
    <w:rsid w:val="00081674"/>
    <w:rsid w:val="00081778"/>
    <w:rsid w:val="00083120"/>
    <w:rsid w:val="00084D3D"/>
    <w:rsid w:val="000870B6"/>
    <w:rsid w:val="0008773B"/>
    <w:rsid w:val="00090096"/>
    <w:rsid w:val="00090613"/>
    <w:rsid w:val="0009092B"/>
    <w:rsid w:val="00090BD1"/>
    <w:rsid w:val="00091857"/>
    <w:rsid w:val="00091C59"/>
    <w:rsid w:val="00091F85"/>
    <w:rsid w:val="00092133"/>
    <w:rsid w:val="00092309"/>
    <w:rsid w:val="00092A21"/>
    <w:rsid w:val="000932C9"/>
    <w:rsid w:val="00093D9A"/>
    <w:rsid w:val="00094656"/>
    <w:rsid w:val="00096B52"/>
    <w:rsid w:val="000973D0"/>
    <w:rsid w:val="00097CAF"/>
    <w:rsid w:val="000A10BF"/>
    <w:rsid w:val="000A1A60"/>
    <w:rsid w:val="000A2ACD"/>
    <w:rsid w:val="000A2B65"/>
    <w:rsid w:val="000A2DA8"/>
    <w:rsid w:val="000A4713"/>
    <w:rsid w:val="000A50EA"/>
    <w:rsid w:val="000A5C47"/>
    <w:rsid w:val="000A5D5A"/>
    <w:rsid w:val="000A629E"/>
    <w:rsid w:val="000A6B30"/>
    <w:rsid w:val="000A7613"/>
    <w:rsid w:val="000B0BF5"/>
    <w:rsid w:val="000B0C1F"/>
    <w:rsid w:val="000B1A25"/>
    <w:rsid w:val="000B3330"/>
    <w:rsid w:val="000B6CF0"/>
    <w:rsid w:val="000B720C"/>
    <w:rsid w:val="000B7665"/>
    <w:rsid w:val="000B7C1B"/>
    <w:rsid w:val="000B7FAF"/>
    <w:rsid w:val="000C04BD"/>
    <w:rsid w:val="000C2F76"/>
    <w:rsid w:val="000C367D"/>
    <w:rsid w:val="000C3E6D"/>
    <w:rsid w:val="000C49CE"/>
    <w:rsid w:val="000C4D55"/>
    <w:rsid w:val="000C4DDB"/>
    <w:rsid w:val="000C7868"/>
    <w:rsid w:val="000C7C46"/>
    <w:rsid w:val="000D1B52"/>
    <w:rsid w:val="000D23C2"/>
    <w:rsid w:val="000D41B9"/>
    <w:rsid w:val="000D4C1B"/>
    <w:rsid w:val="000D5523"/>
    <w:rsid w:val="000D74DB"/>
    <w:rsid w:val="000E03DC"/>
    <w:rsid w:val="000E1124"/>
    <w:rsid w:val="000E126A"/>
    <w:rsid w:val="000E253B"/>
    <w:rsid w:val="000E5531"/>
    <w:rsid w:val="000E6410"/>
    <w:rsid w:val="000E678B"/>
    <w:rsid w:val="000E7AFA"/>
    <w:rsid w:val="000F0A81"/>
    <w:rsid w:val="000F2E01"/>
    <w:rsid w:val="000F3562"/>
    <w:rsid w:val="000F5473"/>
    <w:rsid w:val="000F5485"/>
    <w:rsid w:val="000F5A54"/>
    <w:rsid w:val="000F7987"/>
    <w:rsid w:val="000F7FD4"/>
    <w:rsid w:val="001003D0"/>
    <w:rsid w:val="0010051C"/>
    <w:rsid w:val="0010313E"/>
    <w:rsid w:val="00103CC8"/>
    <w:rsid w:val="0010448B"/>
    <w:rsid w:val="0010521F"/>
    <w:rsid w:val="0010625A"/>
    <w:rsid w:val="00106B13"/>
    <w:rsid w:val="00107524"/>
    <w:rsid w:val="00107757"/>
    <w:rsid w:val="00107DCD"/>
    <w:rsid w:val="00107EF0"/>
    <w:rsid w:val="001105B9"/>
    <w:rsid w:val="0011067F"/>
    <w:rsid w:val="00111417"/>
    <w:rsid w:val="00113B8C"/>
    <w:rsid w:val="00113C60"/>
    <w:rsid w:val="00114B1C"/>
    <w:rsid w:val="00114C3B"/>
    <w:rsid w:val="00115691"/>
    <w:rsid w:val="00115F15"/>
    <w:rsid w:val="00117039"/>
    <w:rsid w:val="001175FC"/>
    <w:rsid w:val="00117788"/>
    <w:rsid w:val="00117F04"/>
    <w:rsid w:val="00120A39"/>
    <w:rsid w:val="00122AE3"/>
    <w:rsid w:val="00122EE1"/>
    <w:rsid w:val="00123545"/>
    <w:rsid w:val="00123658"/>
    <w:rsid w:val="001237AF"/>
    <w:rsid w:val="001247EB"/>
    <w:rsid w:val="00124F3C"/>
    <w:rsid w:val="001257AB"/>
    <w:rsid w:val="00125B61"/>
    <w:rsid w:val="00126122"/>
    <w:rsid w:val="001262DC"/>
    <w:rsid w:val="0013056B"/>
    <w:rsid w:val="00131551"/>
    <w:rsid w:val="00131A75"/>
    <w:rsid w:val="00131D45"/>
    <w:rsid w:val="001320F0"/>
    <w:rsid w:val="001336E0"/>
    <w:rsid w:val="001338E6"/>
    <w:rsid w:val="00133F34"/>
    <w:rsid w:val="001340B6"/>
    <w:rsid w:val="00134A55"/>
    <w:rsid w:val="00134EB8"/>
    <w:rsid w:val="0013514B"/>
    <w:rsid w:val="00135273"/>
    <w:rsid w:val="0013568A"/>
    <w:rsid w:val="00135FC9"/>
    <w:rsid w:val="001365CF"/>
    <w:rsid w:val="00137919"/>
    <w:rsid w:val="00137D63"/>
    <w:rsid w:val="001408B9"/>
    <w:rsid w:val="0014225F"/>
    <w:rsid w:val="00143000"/>
    <w:rsid w:val="00143478"/>
    <w:rsid w:val="001434F9"/>
    <w:rsid w:val="00143AF6"/>
    <w:rsid w:val="00143F2F"/>
    <w:rsid w:val="00146624"/>
    <w:rsid w:val="00146796"/>
    <w:rsid w:val="0015019F"/>
    <w:rsid w:val="00150376"/>
    <w:rsid w:val="00150D82"/>
    <w:rsid w:val="001515BF"/>
    <w:rsid w:val="00151DBD"/>
    <w:rsid w:val="00151EDA"/>
    <w:rsid w:val="00152C36"/>
    <w:rsid w:val="001531D6"/>
    <w:rsid w:val="00155054"/>
    <w:rsid w:val="0015542B"/>
    <w:rsid w:val="00155434"/>
    <w:rsid w:val="00155BDA"/>
    <w:rsid w:val="00156FA7"/>
    <w:rsid w:val="0016023A"/>
    <w:rsid w:val="00162D2A"/>
    <w:rsid w:val="00162DBF"/>
    <w:rsid w:val="00163501"/>
    <w:rsid w:val="00164CF8"/>
    <w:rsid w:val="001653AE"/>
    <w:rsid w:val="0016571D"/>
    <w:rsid w:val="00165AFA"/>
    <w:rsid w:val="00165DBF"/>
    <w:rsid w:val="00170D5B"/>
    <w:rsid w:val="001725A6"/>
    <w:rsid w:val="00172B8F"/>
    <w:rsid w:val="00173527"/>
    <w:rsid w:val="001736DD"/>
    <w:rsid w:val="001736F8"/>
    <w:rsid w:val="00173968"/>
    <w:rsid w:val="00173D85"/>
    <w:rsid w:val="00173FDE"/>
    <w:rsid w:val="00174C6B"/>
    <w:rsid w:val="00174FD4"/>
    <w:rsid w:val="001752D1"/>
    <w:rsid w:val="00176345"/>
    <w:rsid w:val="001772FE"/>
    <w:rsid w:val="00181067"/>
    <w:rsid w:val="00181DDA"/>
    <w:rsid w:val="00184BAE"/>
    <w:rsid w:val="00191AE1"/>
    <w:rsid w:val="00192722"/>
    <w:rsid w:val="00192817"/>
    <w:rsid w:val="00193395"/>
    <w:rsid w:val="0019353B"/>
    <w:rsid w:val="0019362A"/>
    <w:rsid w:val="0019474E"/>
    <w:rsid w:val="00195728"/>
    <w:rsid w:val="00196512"/>
    <w:rsid w:val="001970C0"/>
    <w:rsid w:val="00197254"/>
    <w:rsid w:val="00197AC1"/>
    <w:rsid w:val="001A0730"/>
    <w:rsid w:val="001A1341"/>
    <w:rsid w:val="001A135E"/>
    <w:rsid w:val="001A1CB7"/>
    <w:rsid w:val="001A2170"/>
    <w:rsid w:val="001A2EAA"/>
    <w:rsid w:val="001A39D4"/>
    <w:rsid w:val="001A3D7B"/>
    <w:rsid w:val="001A3F1B"/>
    <w:rsid w:val="001A420B"/>
    <w:rsid w:val="001A4360"/>
    <w:rsid w:val="001A4B97"/>
    <w:rsid w:val="001A4F7D"/>
    <w:rsid w:val="001A5FFE"/>
    <w:rsid w:val="001A7B42"/>
    <w:rsid w:val="001A7D8F"/>
    <w:rsid w:val="001B0A21"/>
    <w:rsid w:val="001B1368"/>
    <w:rsid w:val="001B18BB"/>
    <w:rsid w:val="001B2A97"/>
    <w:rsid w:val="001B2CD4"/>
    <w:rsid w:val="001B352C"/>
    <w:rsid w:val="001B3CF2"/>
    <w:rsid w:val="001B485A"/>
    <w:rsid w:val="001B564F"/>
    <w:rsid w:val="001B7329"/>
    <w:rsid w:val="001B779F"/>
    <w:rsid w:val="001B7954"/>
    <w:rsid w:val="001C040B"/>
    <w:rsid w:val="001C174A"/>
    <w:rsid w:val="001C1D05"/>
    <w:rsid w:val="001C1D09"/>
    <w:rsid w:val="001C2A48"/>
    <w:rsid w:val="001C2AA5"/>
    <w:rsid w:val="001C691E"/>
    <w:rsid w:val="001C69E3"/>
    <w:rsid w:val="001C6DFD"/>
    <w:rsid w:val="001D009B"/>
    <w:rsid w:val="001D0442"/>
    <w:rsid w:val="001D0E94"/>
    <w:rsid w:val="001D236C"/>
    <w:rsid w:val="001D32C0"/>
    <w:rsid w:val="001D3765"/>
    <w:rsid w:val="001D3A41"/>
    <w:rsid w:val="001D3A64"/>
    <w:rsid w:val="001D45C7"/>
    <w:rsid w:val="001D52BC"/>
    <w:rsid w:val="001D5379"/>
    <w:rsid w:val="001D5793"/>
    <w:rsid w:val="001D74A7"/>
    <w:rsid w:val="001D7EB5"/>
    <w:rsid w:val="001E0E57"/>
    <w:rsid w:val="001E13F0"/>
    <w:rsid w:val="001E15F2"/>
    <w:rsid w:val="001E22F7"/>
    <w:rsid w:val="001E2492"/>
    <w:rsid w:val="001E24F4"/>
    <w:rsid w:val="001E465F"/>
    <w:rsid w:val="001E468F"/>
    <w:rsid w:val="001E49E7"/>
    <w:rsid w:val="001E514F"/>
    <w:rsid w:val="001E6BF3"/>
    <w:rsid w:val="001E6D77"/>
    <w:rsid w:val="001F2902"/>
    <w:rsid w:val="001F3F36"/>
    <w:rsid w:val="001F4624"/>
    <w:rsid w:val="001F4752"/>
    <w:rsid w:val="001F4DDC"/>
    <w:rsid w:val="001F658C"/>
    <w:rsid w:val="001F675C"/>
    <w:rsid w:val="001F6F44"/>
    <w:rsid w:val="001F7563"/>
    <w:rsid w:val="00200089"/>
    <w:rsid w:val="00200098"/>
    <w:rsid w:val="00202677"/>
    <w:rsid w:val="00202E73"/>
    <w:rsid w:val="00203F4C"/>
    <w:rsid w:val="002040C7"/>
    <w:rsid w:val="00204F11"/>
    <w:rsid w:val="00205108"/>
    <w:rsid w:val="00206D91"/>
    <w:rsid w:val="00207CEA"/>
    <w:rsid w:val="00207F59"/>
    <w:rsid w:val="00211469"/>
    <w:rsid w:val="002115FA"/>
    <w:rsid w:val="00211DC3"/>
    <w:rsid w:val="00212D67"/>
    <w:rsid w:val="00214C39"/>
    <w:rsid w:val="002155B6"/>
    <w:rsid w:val="002157E4"/>
    <w:rsid w:val="00215AFB"/>
    <w:rsid w:val="00215BBA"/>
    <w:rsid w:val="00215DEA"/>
    <w:rsid w:val="00216D7F"/>
    <w:rsid w:val="00216F2B"/>
    <w:rsid w:val="002200D8"/>
    <w:rsid w:val="002225FD"/>
    <w:rsid w:val="00222A37"/>
    <w:rsid w:val="0022315A"/>
    <w:rsid w:val="002232E2"/>
    <w:rsid w:val="00223664"/>
    <w:rsid w:val="00223A56"/>
    <w:rsid w:val="00224AF0"/>
    <w:rsid w:val="00225833"/>
    <w:rsid w:val="00225D91"/>
    <w:rsid w:val="00226095"/>
    <w:rsid w:val="00227B89"/>
    <w:rsid w:val="00227F43"/>
    <w:rsid w:val="00231074"/>
    <w:rsid w:val="002315A3"/>
    <w:rsid w:val="00231D8E"/>
    <w:rsid w:val="00232EE2"/>
    <w:rsid w:val="00233971"/>
    <w:rsid w:val="002339E6"/>
    <w:rsid w:val="00234640"/>
    <w:rsid w:val="00235FD0"/>
    <w:rsid w:val="00240106"/>
    <w:rsid w:val="002411C7"/>
    <w:rsid w:val="00241A9B"/>
    <w:rsid w:val="002420D9"/>
    <w:rsid w:val="00242E25"/>
    <w:rsid w:val="00242F4E"/>
    <w:rsid w:val="00244772"/>
    <w:rsid w:val="002452A0"/>
    <w:rsid w:val="00245E4C"/>
    <w:rsid w:val="002463A6"/>
    <w:rsid w:val="00246680"/>
    <w:rsid w:val="00246ADB"/>
    <w:rsid w:val="002517A5"/>
    <w:rsid w:val="00251F6C"/>
    <w:rsid w:val="00251FEA"/>
    <w:rsid w:val="0025249C"/>
    <w:rsid w:val="002539ED"/>
    <w:rsid w:val="002540B0"/>
    <w:rsid w:val="0025440D"/>
    <w:rsid w:val="0025450E"/>
    <w:rsid w:val="00254558"/>
    <w:rsid w:val="00254D24"/>
    <w:rsid w:val="00255152"/>
    <w:rsid w:val="0025554E"/>
    <w:rsid w:val="0025790B"/>
    <w:rsid w:val="00260B32"/>
    <w:rsid w:val="002638F4"/>
    <w:rsid w:val="00264990"/>
    <w:rsid w:val="00267F4C"/>
    <w:rsid w:val="00267F90"/>
    <w:rsid w:val="0027160C"/>
    <w:rsid w:val="0027373F"/>
    <w:rsid w:val="00274D2A"/>
    <w:rsid w:val="002751D1"/>
    <w:rsid w:val="00275209"/>
    <w:rsid w:val="002761F5"/>
    <w:rsid w:val="00277838"/>
    <w:rsid w:val="00277903"/>
    <w:rsid w:val="00280DA9"/>
    <w:rsid w:val="002824E3"/>
    <w:rsid w:val="00282741"/>
    <w:rsid w:val="00282ACC"/>
    <w:rsid w:val="00282B79"/>
    <w:rsid w:val="00284340"/>
    <w:rsid w:val="002869A0"/>
    <w:rsid w:val="00287ABB"/>
    <w:rsid w:val="00287E78"/>
    <w:rsid w:val="00287F6C"/>
    <w:rsid w:val="00290676"/>
    <w:rsid w:val="00290C86"/>
    <w:rsid w:val="0029102A"/>
    <w:rsid w:val="00291462"/>
    <w:rsid w:val="00291572"/>
    <w:rsid w:val="002919D5"/>
    <w:rsid w:val="00294E2B"/>
    <w:rsid w:val="002965E2"/>
    <w:rsid w:val="00297C82"/>
    <w:rsid w:val="002A04B4"/>
    <w:rsid w:val="002A0880"/>
    <w:rsid w:val="002A145B"/>
    <w:rsid w:val="002A18BE"/>
    <w:rsid w:val="002A19EE"/>
    <w:rsid w:val="002A2D50"/>
    <w:rsid w:val="002A335F"/>
    <w:rsid w:val="002A36F6"/>
    <w:rsid w:val="002A3CAE"/>
    <w:rsid w:val="002A4084"/>
    <w:rsid w:val="002A4665"/>
    <w:rsid w:val="002A4AD6"/>
    <w:rsid w:val="002A4C17"/>
    <w:rsid w:val="002A7196"/>
    <w:rsid w:val="002A76AE"/>
    <w:rsid w:val="002A76C3"/>
    <w:rsid w:val="002A77F8"/>
    <w:rsid w:val="002B020D"/>
    <w:rsid w:val="002B0661"/>
    <w:rsid w:val="002B1384"/>
    <w:rsid w:val="002B19BA"/>
    <w:rsid w:val="002B227B"/>
    <w:rsid w:val="002B2AA0"/>
    <w:rsid w:val="002B3681"/>
    <w:rsid w:val="002B3BD7"/>
    <w:rsid w:val="002B3FD0"/>
    <w:rsid w:val="002B428A"/>
    <w:rsid w:val="002B4E76"/>
    <w:rsid w:val="002B4EE0"/>
    <w:rsid w:val="002B5398"/>
    <w:rsid w:val="002B667C"/>
    <w:rsid w:val="002B6A17"/>
    <w:rsid w:val="002B78A3"/>
    <w:rsid w:val="002C0232"/>
    <w:rsid w:val="002C11CA"/>
    <w:rsid w:val="002C236F"/>
    <w:rsid w:val="002C2ADE"/>
    <w:rsid w:val="002C39E4"/>
    <w:rsid w:val="002C45E8"/>
    <w:rsid w:val="002C47E6"/>
    <w:rsid w:val="002C4EBE"/>
    <w:rsid w:val="002C5234"/>
    <w:rsid w:val="002C5F63"/>
    <w:rsid w:val="002C6341"/>
    <w:rsid w:val="002C70CE"/>
    <w:rsid w:val="002D016A"/>
    <w:rsid w:val="002D3724"/>
    <w:rsid w:val="002D3E0D"/>
    <w:rsid w:val="002D46F6"/>
    <w:rsid w:val="002D5097"/>
    <w:rsid w:val="002D55E4"/>
    <w:rsid w:val="002D690D"/>
    <w:rsid w:val="002D6EC3"/>
    <w:rsid w:val="002D706D"/>
    <w:rsid w:val="002D7502"/>
    <w:rsid w:val="002E0039"/>
    <w:rsid w:val="002E0C0B"/>
    <w:rsid w:val="002E5FAD"/>
    <w:rsid w:val="002E63D3"/>
    <w:rsid w:val="002E6405"/>
    <w:rsid w:val="002E7775"/>
    <w:rsid w:val="002E7AD2"/>
    <w:rsid w:val="002F10C6"/>
    <w:rsid w:val="002F1399"/>
    <w:rsid w:val="002F1542"/>
    <w:rsid w:val="002F32FB"/>
    <w:rsid w:val="002F3459"/>
    <w:rsid w:val="002F3D8F"/>
    <w:rsid w:val="002F50D7"/>
    <w:rsid w:val="002F540D"/>
    <w:rsid w:val="002F5611"/>
    <w:rsid w:val="002F5C47"/>
    <w:rsid w:val="002F5F5E"/>
    <w:rsid w:val="002F5F85"/>
    <w:rsid w:val="002F61E2"/>
    <w:rsid w:val="002F6686"/>
    <w:rsid w:val="002F6823"/>
    <w:rsid w:val="002F693F"/>
    <w:rsid w:val="002F6F83"/>
    <w:rsid w:val="002F6FB3"/>
    <w:rsid w:val="002F710B"/>
    <w:rsid w:val="002F74F4"/>
    <w:rsid w:val="002F7E78"/>
    <w:rsid w:val="003008CC"/>
    <w:rsid w:val="0030105E"/>
    <w:rsid w:val="00301763"/>
    <w:rsid w:val="00302252"/>
    <w:rsid w:val="00302E45"/>
    <w:rsid w:val="00302EE2"/>
    <w:rsid w:val="00303C60"/>
    <w:rsid w:val="0030437A"/>
    <w:rsid w:val="00304FB8"/>
    <w:rsid w:val="003053E7"/>
    <w:rsid w:val="00306302"/>
    <w:rsid w:val="00307299"/>
    <w:rsid w:val="00310B9B"/>
    <w:rsid w:val="00310C3F"/>
    <w:rsid w:val="00312652"/>
    <w:rsid w:val="00312EB1"/>
    <w:rsid w:val="003140D2"/>
    <w:rsid w:val="00315B59"/>
    <w:rsid w:val="00317714"/>
    <w:rsid w:val="0031774E"/>
    <w:rsid w:val="00320192"/>
    <w:rsid w:val="00320A17"/>
    <w:rsid w:val="00321AC6"/>
    <w:rsid w:val="00321D6D"/>
    <w:rsid w:val="00321DB3"/>
    <w:rsid w:val="00322D77"/>
    <w:rsid w:val="00322DA9"/>
    <w:rsid w:val="00323AF6"/>
    <w:rsid w:val="003251C2"/>
    <w:rsid w:val="00325526"/>
    <w:rsid w:val="00325548"/>
    <w:rsid w:val="00325FA0"/>
    <w:rsid w:val="00326F1C"/>
    <w:rsid w:val="00327162"/>
    <w:rsid w:val="00330875"/>
    <w:rsid w:val="00330A0A"/>
    <w:rsid w:val="00330A1F"/>
    <w:rsid w:val="003322CB"/>
    <w:rsid w:val="003328A9"/>
    <w:rsid w:val="0033375F"/>
    <w:rsid w:val="003370E4"/>
    <w:rsid w:val="003371B5"/>
    <w:rsid w:val="00337BAF"/>
    <w:rsid w:val="00340341"/>
    <w:rsid w:val="0034088D"/>
    <w:rsid w:val="003417CB"/>
    <w:rsid w:val="00341D3F"/>
    <w:rsid w:val="00342C59"/>
    <w:rsid w:val="00342E44"/>
    <w:rsid w:val="003435A9"/>
    <w:rsid w:val="00344150"/>
    <w:rsid w:val="00344466"/>
    <w:rsid w:val="0034453A"/>
    <w:rsid w:val="00344649"/>
    <w:rsid w:val="00345496"/>
    <w:rsid w:val="00345BCF"/>
    <w:rsid w:val="003466F9"/>
    <w:rsid w:val="00350092"/>
    <w:rsid w:val="00350A81"/>
    <w:rsid w:val="003519AD"/>
    <w:rsid w:val="00351E0E"/>
    <w:rsid w:val="00351E13"/>
    <w:rsid w:val="00353BCF"/>
    <w:rsid w:val="00354DE9"/>
    <w:rsid w:val="00354EB4"/>
    <w:rsid w:val="00356D29"/>
    <w:rsid w:val="003571C2"/>
    <w:rsid w:val="00361775"/>
    <w:rsid w:val="0036189A"/>
    <w:rsid w:val="003630E5"/>
    <w:rsid w:val="00363652"/>
    <w:rsid w:val="003640A7"/>
    <w:rsid w:val="00364DA8"/>
    <w:rsid w:val="00365447"/>
    <w:rsid w:val="0036794E"/>
    <w:rsid w:val="00367B0C"/>
    <w:rsid w:val="003711CA"/>
    <w:rsid w:val="0037423F"/>
    <w:rsid w:val="00376703"/>
    <w:rsid w:val="00377BD9"/>
    <w:rsid w:val="00377F01"/>
    <w:rsid w:val="00380E66"/>
    <w:rsid w:val="00380ECA"/>
    <w:rsid w:val="00381429"/>
    <w:rsid w:val="0038146C"/>
    <w:rsid w:val="00381CCB"/>
    <w:rsid w:val="0038240B"/>
    <w:rsid w:val="00382609"/>
    <w:rsid w:val="0038361D"/>
    <w:rsid w:val="00383C5D"/>
    <w:rsid w:val="0038451F"/>
    <w:rsid w:val="00385027"/>
    <w:rsid w:val="003859B3"/>
    <w:rsid w:val="00386124"/>
    <w:rsid w:val="003864D5"/>
    <w:rsid w:val="00386799"/>
    <w:rsid w:val="003879EE"/>
    <w:rsid w:val="00390567"/>
    <w:rsid w:val="00390B73"/>
    <w:rsid w:val="00391FB3"/>
    <w:rsid w:val="00392725"/>
    <w:rsid w:val="003955F4"/>
    <w:rsid w:val="00395B7A"/>
    <w:rsid w:val="00395B7C"/>
    <w:rsid w:val="003966F6"/>
    <w:rsid w:val="0039677D"/>
    <w:rsid w:val="00397BF3"/>
    <w:rsid w:val="003A0660"/>
    <w:rsid w:val="003A0B04"/>
    <w:rsid w:val="003A0D52"/>
    <w:rsid w:val="003A110E"/>
    <w:rsid w:val="003A2ED1"/>
    <w:rsid w:val="003A3740"/>
    <w:rsid w:val="003A4C47"/>
    <w:rsid w:val="003A5469"/>
    <w:rsid w:val="003A6724"/>
    <w:rsid w:val="003A68DF"/>
    <w:rsid w:val="003A6E1A"/>
    <w:rsid w:val="003B0BA1"/>
    <w:rsid w:val="003B1DB8"/>
    <w:rsid w:val="003B2219"/>
    <w:rsid w:val="003B2456"/>
    <w:rsid w:val="003B2BCA"/>
    <w:rsid w:val="003B309A"/>
    <w:rsid w:val="003B3902"/>
    <w:rsid w:val="003B3A58"/>
    <w:rsid w:val="003B4599"/>
    <w:rsid w:val="003B505F"/>
    <w:rsid w:val="003B571A"/>
    <w:rsid w:val="003B5D7F"/>
    <w:rsid w:val="003B61B7"/>
    <w:rsid w:val="003B65DE"/>
    <w:rsid w:val="003C0C2F"/>
    <w:rsid w:val="003C185D"/>
    <w:rsid w:val="003C1AE2"/>
    <w:rsid w:val="003C1B7D"/>
    <w:rsid w:val="003C4071"/>
    <w:rsid w:val="003C4611"/>
    <w:rsid w:val="003C4F8F"/>
    <w:rsid w:val="003C568D"/>
    <w:rsid w:val="003C5D95"/>
    <w:rsid w:val="003C62F8"/>
    <w:rsid w:val="003C6B59"/>
    <w:rsid w:val="003D0420"/>
    <w:rsid w:val="003D165F"/>
    <w:rsid w:val="003D299E"/>
    <w:rsid w:val="003D47B8"/>
    <w:rsid w:val="003D5322"/>
    <w:rsid w:val="003D55E1"/>
    <w:rsid w:val="003D594A"/>
    <w:rsid w:val="003D641A"/>
    <w:rsid w:val="003D71EB"/>
    <w:rsid w:val="003E06E2"/>
    <w:rsid w:val="003E22CB"/>
    <w:rsid w:val="003E2343"/>
    <w:rsid w:val="003E406B"/>
    <w:rsid w:val="003E4F96"/>
    <w:rsid w:val="003E5574"/>
    <w:rsid w:val="003E5CCA"/>
    <w:rsid w:val="003E74F4"/>
    <w:rsid w:val="003E7773"/>
    <w:rsid w:val="003F115E"/>
    <w:rsid w:val="003F14C2"/>
    <w:rsid w:val="003F1A0C"/>
    <w:rsid w:val="003F2210"/>
    <w:rsid w:val="003F535C"/>
    <w:rsid w:val="003F7196"/>
    <w:rsid w:val="003F7F9A"/>
    <w:rsid w:val="00400045"/>
    <w:rsid w:val="0040011B"/>
    <w:rsid w:val="004008AF"/>
    <w:rsid w:val="00400B5F"/>
    <w:rsid w:val="00401DBF"/>
    <w:rsid w:val="004033D9"/>
    <w:rsid w:val="00403D57"/>
    <w:rsid w:val="00403DFE"/>
    <w:rsid w:val="004047C5"/>
    <w:rsid w:val="00404A94"/>
    <w:rsid w:val="00404D7A"/>
    <w:rsid w:val="0040551F"/>
    <w:rsid w:val="0040771F"/>
    <w:rsid w:val="00407AF4"/>
    <w:rsid w:val="00410491"/>
    <w:rsid w:val="004111F7"/>
    <w:rsid w:val="0041217D"/>
    <w:rsid w:val="004125C6"/>
    <w:rsid w:val="0041275F"/>
    <w:rsid w:val="00412E50"/>
    <w:rsid w:val="00415C0D"/>
    <w:rsid w:val="0041791F"/>
    <w:rsid w:val="00421203"/>
    <w:rsid w:val="00421A89"/>
    <w:rsid w:val="00421BB5"/>
    <w:rsid w:val="00421EBC"/>
    <w:rsid w:val="00422F45"/>
    <w:rsid w:val="0042304B"/>
    <w:rsid w:val="00424084"/>
    <w:rsid w:val="00424D0E"/>
    <w:rsid w:val="0042693D"/>
    <w:rsid w:val="004273AD"/>
    <w:rsid w:val="004305AE"/>
    <w:rsid w:val="0043068B"/>
    <w:rsid w:val="00430749"/>
    <w:rsid w:val="00430D35"/>
    <w:rsid w:val="00431800"/>
    <w:rsid w:val="004323DB"/>
    <w:rsid w:val="00432A36"/>
    <w:rsid w:val="00433541"/>
    <w:rsid w:val="00436514"/>
    <w:rsid w:val="00437943"/>
    <w:rsid w:val="0044091F"/>
    <w:rsid w:val="004423F7"/>
    <w:rsid w:val="00442762"/>
    <w:rsid w:val="00442A49"/>
    <w:rsid w:val="004449B6"/>
    <w:rsid w:val="00445F6A"/>
    <w:rsid w:val="0044690B"/>
    <w:rsid w:val="00446BBE"/>
    <w:rsid w:val="0044782C"/>
    <w:rsid w:val="004507A5"/>
    <w:rsid w:val="0045093D"/>
    <w:rsid w:val="00450A82"/>
    <w:rsid w:val="00451645"/>
    <w:rsid w:val="00451987"/>
    <w:rsid w:val="00451C3F"/>
    <w:rsid w:val="00452693"/>
    <w:rsid w:val="00454F8E"/>
    <w:rsid w:val="00455781"/>
    <w:rsid w:val="00460CA0"/>
    <w:rsid w:val="00460EC0"/>
    <w:rsid w:val="00462778"/>
    <w:rsid w:val="004632F7"/>
    <w:rsid w:val="00463CD7"/>
    <w:rsid w:val="0046438E"/>
    <w:rsid w:val="00464F6C"/>
    <w:rsid w:val="0046645B"/>
    <w:rsid w:val="0047129D"/>
    <w:rsid w:val="00471D0D"/>
    <w:rsid w:val="004723F9"/>
    <w:rsid w:val="00472AB3"/>
    <w:rsid w:val="00473C48"/>
    <w:rsid w:val="00473DFF"/>
    <w:rsid w:val="00474E01"/>
    <w:rsid w:val="004755ED"/>
    <w:rsid w:val="00476537"/>
    <w:rsid w:val="00477A22"/>
    <w:rsid w:val="00477F20"/>
    <w:rsid w:val="00480BA4"/>
    <w:rsid w:val="00482804"/>
    <w:rsid w:val="00482B47"/>
    <w:rsid w:val="0048323E"/>
    <w:rsid w:val="00483F83"/>
    <w:rsid w:val="00484DC5"/>
    <w:rsid w:val="00485675"/>
    <w:rsid w:val="0048747E"/>
    <w:rsid w:val="00487A30"/>
    <w:rsid w:val="00487C85"/>
    <w:rsid w:val="004903BA"/>
    <w:rsid w:val="00490B75"/>
    <w:rsid w:val="00490DC4"/>
    <w:rsid w:val="00494F64"/>
    <w:rsid w:val="00495AB6"/>
    <w:rsid w:val="00497242"/>
    <w:rsid w:val="00497358"/>
    <w:rsid w:val="00497B9F"/>
    <w:rsid w:val="004A0170"/>
    <w:rsid w:val="004A2084"/>
    <w:rsid w:val="004A224A"/>
    <w:rsid w:val="004A4430"/>
    <w:rsid w:val="004A4FDF"/>
    <w:rsid w:val="004A5489"/>
    <w:rsid w:val="004A5718"/>
    <w:rsid w:val="004A5E73"/>
    <w:rsid w:val="004A66ED"/>
    <w:rsid w:val="004A7A52"/>
    <w:rsid w:val="004B1166"/>
    <w:rsid w:val="004B1446"/>
    <w:rsid w:val="004B19FE"/>
    <w:rsid w:val="004B2A4D"/>
    <w:rsid w:val="004B2F45"/>
    <w:rsid w:val="004B33C2"/>
    <w:rsid w:val="004B4214"/>
    <w:rsid w:val="004B45BA"/>
    <w:rsid w:val="004B46B9"/>
    <w:rsid w:val="004B689D"/>
    <w:rsid w:val="004B68F3"/>
    <w:rsid w:val="004C016E"/>
    <w:rsid w:val="004C073A"/>
    <w:rsid w:val="004C0E97"/>
    <w:rsid w:val="004C0F19"/>
    <w:rsid w:val="004C119C"/>
    <w:rsid w:val="004C1667"/>
    <w:rsid w:val="004C2BB6"/>
    <w:rsid w:val="004C3603"/>
    <w:rsid w:val="004C431F"/>
    <w:rsid w:val="004C48C8"/>
    <w:rsid w:val="004C4F4B"/>
    <w:rsid w:val="004C4F57"/>
    <w:rsid w:val="004C5447"/>
    <w:rsid w:val="004C598D"/>
    <w:rsid w:val="004C616E"/>
    <w:rsid w:val="004D1791"/>
    <w:rsid w:val="004D3897"/>
    <w:rsid w:val="004D3F81"/>
    <w:rsid w:val="004D4425"/>
    <w:rsid w:val="004D44CF"/>
    <w:rsid w:val="004D4FB6"/>
    <w:rsid w:val="004D525D"/>
    <w:rsid w:val="004D687F"/>
    <w:rsid w:val="004D6A76"/>
    <w:rsid w:val="004D7A43"/>
    <w:rsid w:val="004E005A"/>
    <w:rsid w:val="004E2871"/>
    <w:rsid w:val="004E2BD6"/>
    <w:rsid w:val="004E43BB"/>
    <w:rsid w:val="004E49D3"/>
    <w:rsid w:val="004E538F"/>
    <w:rsid w:val="004F241C"/>
    <w:rsid w:val="004F3B97"/>
    <w:rsid w:val="004F6AD3"/>
    <w:rsid w:val="00501386"/>
    <w:rsid w:val="00501517"/>
    <w:rsid w:val="00501B9D"/>
    <w:rsid w:val="00501BD9"/>
    <w:rsid w:val="00501C25"/>
    <w:rsid w:val="005027A6"/>
    <w:rsid w:val="00502DAE"/>
    <w:rsid w:val="00502FFB"/>
    <w:rsid w:val="00503207"/>
    <w:rsid w:val="005038A0"/>
    <w:rsid w:val="00503A12"/>
    <w:rsid w:val="0050456E"/>
    <w:rsid w:val="00504A82"/>
    <w:rsid w:val="00504E1C"/>
    <w:rsid w:val="00505B16"/>
    <w:rsid w:val="00505E19"/>
    <w:rsid w:val="00506CF7"/>
    <w:rsid w:val="005103C5"/>
    <w:rsid w:val="0051099B"/>
    <w:rsid w:val="00511BB4"/>
    <w:rsid w:val="00512495"/>
    <w:rsid w:val="005131D3"/>
    <w:rsid w:val="0051352C"/>
    <w:rsid w:val="00514112"/>
    <w:rsid w:val="0051463C"/>
    <w:rsid w:val="00514C69"/>
    <w:rsid w:val="00514FC2"/>
    <w:rsid w:val="005154FF"/>
    <w:rsid w:val="00515BFA"/>
    <w:rsid w:val="005162CC"/>
    <w:rsid w:val="00517A86"/>
    <w:rsid w:val="00517DA3"/>
    <w:rsid w:val="00517E29"/>
    <w:rsid w:val="005205D7"/>
    <w:rsid w:val="0052349D"/>
    <w:rsid w:val="0052432D"/>
    <w:rsid w:val="00524BE8"/>
    <w:rsid w:val="00524BED"/>
    <w:rsid w:val="00524C28"/>
    <w:rsid w:val="0052575D"/>
    <w:rsid w:val="00525C19"/>
    <w:rsid w:val="0052650A"/>
    <w:rsid w:val="00526C92"/>
    <w:rsid w:val="00527252"/>
    <w:rsid w:val="005273E6"/>
    <w:rsid w:val="005275FC"/>
    <w:rsid w:val="0052768C"/>
    <w:rsid w:val="00527F91"/>
    <w:rsid w:val="00530641"/>
    <w:rsid w:val="00530896"/>
    <w:rsid w:val="005310AF"/>
    <w:rsid w:val="00533B90"/>
    <w:rsid w:val="005342C3"/>
    <w:rsid w:val="00534EA7"/>
    <w:rsid w:val="005361F4"/>
    <w:rsid w:val="005362F5"/>
    <w:rsid w:val="0053725B"/>
    <w:rsid w:val="005374F0"/>
    <w:rsid w:val="0053792C"/>
    <w:rsid w:val="00537BF4"/>
    <w:rsid w:val="005403D8"/>
    <w:rsid w:val="00540AEB"/>
    <w:rsid w:val="00540B5C"/>
    <w:rsid w:val="00540C57"/>
    <w:rsid w:val="00541269"/>
    <w:rsid w:val="005432BD"/>
    <w:rsid w:val="00550EDC"/>
    <w:rsid w:val="0055118F"/>
    <w:rsid w:val="00551980"/>
    <w:rsid w:val="005531BD"/>
    <w:rsid w:val="00553BA0"/>
    <w:rsid w:val="005540BE"/>
    <w:rsid w:val="005567B2"/>
    <w:rsid w:val="00557870"/>
    <w:rsid w:val="00560277"/>
    <w:rsid w:val="00560938"/>
    <w:rsid w:val="00560988"/>
    <w:rsid w:val="00560AF1"/>
    <w:rsid w:val="00561562"/>
    <w:rsid w:val="00561B27"/>
    <w:rsid w:val="00563DE6"/>
    <w:rsid w:val="005650E9"/>
    <w:rsid w:val="0056528D"/>
    <w:rsid w:val="00565561"/>
    <w:rsid w:val="00565CD7"/>
    <w:rsid w:val="00565DB7"/>
    <w:rsid w:val="0056628B"/>
    <w:rsid w:val="00566298"/>
    <w:rsid w:val="00566D54"/>
    <w:rsid w:val="00567995"/>
    <w:rsid w:val="005705A3"/>
    <w:rsid w:val="0057091E"/>
    <w:rsid w:val="00570CF0"/>
    <w:rsid w:val="005719A6"/>
    <w:rsid w:val="005723D6"/>
    <w:rsid w:val="00572C3F"/>
    <w:rsid w:val="0057354B"/>
    <w:rsid w:val="00574A6E"/>
    <w:rsid w:val="00574DD3"/>
    <w:rsid w:val="00577145"/>
    <w:rsid w:val="0057724C"/>
    <w:rsid w:val="005773BE"/>
    <w:rsid w:val="00580851"/>
    <w:rsid w:val="0058119D"/>
    <w:rsid w:val="00581E9F"/>
    <w:rsid w:val="00582365"/>
    <w:rsid w:val="00583BAC"/>
    <w:rsid w:val="005846D8"/>
    <w:rsid w:val="00585C1B"/>
    <w:rsid w:val="00587639"/>
    <w:rsid w:val="00590361"/>
    <w:rsid w:val="0059165A"/>
    <w:rsid w:val="005919FF"/>
    <w:rsid w:val="005922F2"/>
    <w:rsid w:val="00592638"/>
    <w:rsid w:val="00592D4C"/>
    <w:rsid w:val="00593138"/>
    <w:rsid w:val="00593A33"/>
    <w:rsid w:val="00594091"/>
    <w:rsid w:val="00594186"/>
    <w:rsid w:val="005947B5"/>
    <w:rsid w:val="005960BB"/>
    <w:rsid w:val="005968A6"/>
    <w:rsid w:val="00596910"/>
    <w:rsid w:val="00597407"/>
    <w:rsid w:val="00597EBA"/>
    <w:rsid w:val="005A0496"/>
    <w:rsid w:val="005A2CCC"/>
    <w:rsid w:val="005A33BC"/>
    <w:rsid w:val="005A4047"/>
    <w:rsid w:val="005A4384"/>
    <w:rsid w:val="005A5BB1"/>
    <w:rsid w:val="005A60A8"/>
    <w:rsid w:val="005A7012"/>
    <w:rsid w:val="005A7A5E"/>
    <w:rsid w:val="005B1133"/>
    <w:rsid w:val="005B14C7"/>
    <w:rsid w:val="005B1BE4"/>
    <w:rsid w:val="005B1C07"/>
    <w:rsid w:val="005B1D91"/>
    <w:rsid w:val="005B2161"/>
    <w:rsid w:val="005B3432"/>
    <w:rsid w:val="005B3BD6"/>
    <w:rsid w:val="005B4D18"/>
    <w:rsid w:val="005B4F02"/>
    <w:rsid w:val="005B5323"/>
    <w:rsid w:val="005B5544"/>
    <w:rsid w:val="005B5D58"/>
    <w:rsid w:val="005B6D60"/>
    <w:rsid w:val="005B7D6C"/>
    <w:rsid w:val="005C0351"/>
    <w:rsid w:val="005C05A2"/>
    <w:rsid w:val="005C134D"/>
    <w:rsid w:val="005C1EFE"/>
    <w:rsid w:val="005C6DE0"/>
    <w:rsid w:val="005C7215"/>
    <w:rsid w:val="005C73C4"/>
    <w:rsid w:val="005C7E4A"/>
    <w:rsid w:val="005D00EA"/>
    <w:rsid w:val="005D023B"/>
    <w:rsid w:val="005D169D"/>
    <w:rsid w:val="005D2304"/>
    <w:rsid w:val="005D2DA5"/>
    <w:rsid w:val="005D3A04"/>
    <w:rsid w:val="005D48FE"/>
    <w:rsid w:val="005D4D8C"/>
    <w:rsid w:val="005D518E"/>
    <w:rsid w:val="005D5C51"/>
    <w:rsid w:val="005D65D6"/>
    <w:rsid w:val="005D7471"/>
    <w:rsid w:val="005D749D"/>
    <w:rsid w:val="005D7780"/>
    <w:rsid w:val="005D7A18"/>
    <w:rsid w:val="005E022A"/>
    <w:rsid w:val="005E1005"/>
    <w:rsid w:val="005E21D8"/>
    <w:rsid w:val="005E2702"/>
    <w:rsid w:val="005E492B"/>
    <w:rsid w:val="005E4EB7"/>
    <w:rsid w:val="005E5874"/>
    <w:rsid w:val="005E5A4D"/>
    <w:rsid w:val="005E60A7"/>
    <w:rsid w:val="005E75D5"/>
    <w:rsid w:val="005F025B"/>
    <w:rsid w:val="005F1555"/>
    <w:rsid w:val="005F1FF0"/>
    <w:rsid w:val="005F2978"/>
    <w:rsid w:val="005F36CF"/>
    <w:rsid w:val="005F46C1"/>
    <w:rsid w:val="005F4721"/>
    <w:rsid w:val="005F574E"/>
    <w:rsid w:val="005F720A"/>
    <w:rsid w:val="00600986"/>
    <w:rsid w:val="0060213A"/>
    <w:rsid w:val="006021E8"/>
    <w:rsid w:val="00602F43"/>
    <w:rsid w:val="00603923"/>
    <w:rsid w:val="00603B08"/>
    <w:rsid w:val="00605061"/>
    <w:rsid w:val="00605776"/>
    <w:rsid w:val="0060599A"/>
    <w:rsid w:val="00607B16"/>
    <w:rsid w:val="00610162"/>
    <w:rsid w:val="006103DB"/>
    <w:rsid w:val="00610ABA"/>
    <w:rsid w:val="00613037"/>
    <w:rsid w:val="006135AB"/>
    <w:rsid w:val="006138E4"/>
    <w:rsid w:val="00614047"/>
    <w:rsid w:val="006144F6"/>
    <w:rsid w:val="00616407"/>
    <w:rsid w:val="00617014"/>
    <w:rsid w:val="0062097D"/>
    <w:rsid w:val="00620E5A"/>
    <w:rsid w:val="006250E9"/>
    <w:rsid w:val="006256D0"/>
    <w:rsid w:val="0062690B"/>
    <w:rsid w:val="00627C8D"/>
    <w:rsid w:val="00630885"/>
    <w:rsid w:val="00630E92"/>
    <w:rsid w:val="00630EF0"/>
    <w:rsid w:val="00633B2F"/>
    <w:rsid w:val="00634C84"/>
    <w:rsid w:val="0063714D"/>
    <w:rsid w:val="006372CD"/>
    <w:rsid w:val="0063741A"/>
    <w:rsid w:val="00640C31"/>
    <w:rsid w:val="006411E1"/>
    <w:rsid w:val="006415FA"/>
    <w:rsid w:val="00641A0F"/>
    <w:rsid w:val="00642326"/>
    <w:rsid w:val="00643009"/>
    <w:rsid w:val="00643178"/>
    <w:rsid w:val="00643226"/>
    <w:rsid w:val="00643F21"/>
    <w:rsid w:val="006459EF"/>
    <w:rsid w:val="006465F3"/>
    <w:rsid w:val="006470FA"/>
    <w:rsid w:val="006534BF"/>
    <w:rsid w:val="006537D7"/>
    <w:rsid w:val="0065444A"/>
    <w:rsid w:val="00654A6F"/>
    <w:rsid w:val="00654F68"/>
    <w:rsid w:val="00655CF9"/>
    <w:rsid w:val="00655D45"/>
    <w:rsid w:val="00655F2C"/>
    <w:rsid w:val="006565E4"/>
    <w:rsid w:val="006569CD"/>
    <w:rsid w:val="0065714C"/>
    <w:rsid w:val="00660866"/>
    <w:rsid w:val="00660A74"/>
    <w:rsid w:val="00662E5F"/>
    <w:rsid w:val="00664434"/>
    <w:rsid w:val="0066443F"/>
    <w:rsid w:val="0066561F"/>
    <w:rsid w:val="00665B22"/>
    <w:rsid w:val="00665EDA"/>
    <w:rsid w:val="006668EE"/>
    <w:rsid w:val="00666A58"/>
    <w:rsid w:val="00670650"/>
    <w:rsid w:val="006712C0"/>
    <w:rsid w:val="0067156A"/>
    <w:rsid w:val="00671618"/>
    <w:rsid w:val="0067173C"/>
    <w:rsid w:val="00672227"/>
    <w:rsid w:val="00672CC9"/>
    <w:rsid w:val="006734CF"/>
    <w:rsid w:val="006744AC"/>
    <w:rsid w:val="00674C7D"/>
    <w:rsid w:val="00675F02"/>
    <w:rsid w:val="006800E7"/>
    <w:rsid w:val="00680B40"/>
    <w:rsid w:val="00681EC9"/>
    <w:rsid w:val="006822FA"/>
    <w:rsid w:val="0068288C"/>
    <w:rsid w:val="00683AF1"/>
    <w:rsid w:val="00683F36"/>
    <w:rsid w:val="00685589"/>
    <w:rsid w:val="0068682C"/>
    <w:rsid w:val="006877C8"/>
    <w:rsid w:val="00687B12"/>
    <w:rsid w:val="006909FB"/>
    <w:rsid w:val="00691B6A"/>
    <w:rsid w:val="006928B6"/>
    <w:rsid w:val="006938AA"/>
    <w:rsid w:val="0069391E"/>
    <w:rsid w:val="0069474B"/>
    <w:rsid w:val="0069475D"/>
    <w:rsid w:val="00694F8A"/>
    <w:rsid w:val="00697966"/>
    <w:rsid w:val="006A18C9"/>
    <w:rsid w:val="006A20A6"/>
    <w:rsid w:val="006A3A2B"/>
    <w:rsid w:val="006A6A31"/>
    <w:rsid w:val="006A6BF1"/>
    <w:rsid w:val="006A7019"/>
    <w:rsid w:val="006B03A0"/>
    <w:rsid w:val="006B05E0"/>
    <w:rsid w:val="006B0667"/>
    <w:rsid w:val="006B1D0D"/>
    <w:rsid w:val="006B1E8A"/>
    <w:rsid w:val="006B2570"/>
    <w:rsid w:val="006B2FA4"/>
    <w:rsid w:val="006B3032"/>
    <w:rsid w:val="006B4B4A"/>
    <w:rsid w:val="006B65CE"/>
    <w:rsid w:val="006B6A80"/>
    <w:rsid w:val="006B75C6"/>
    <w:rsid w:val="006B7A22"/>
    <w:rsid w:val="006C0363"/>
    <w:rsid w:val="006C240D"/>
    <w:rsid w:val="006C354C"/>
    <w:rsid w:val="006C3B76"/>
    <w:rsid w:val="006C4572"/>
    <w:rsid w:val="006C4C6E"/>
    <w:rsid w:val="006C5543"/>
    <w:rsid w:val="006C6574"/>
    <w:rsid w:val="006C7B03"/>
    <w:rsid w:val="006D0EC2"/>
    <w:rsid w:val="006D0FC5"/>
    <w:rsid w:val="006D2E11"/>
    <w:rsid w:val="006D4C72"/>
    <w:rsid w:val="006D4E4C"/>
    <w:rsid w:val="006D5585"/>
    <w:rsid w:val="006D5C5C"/>
    <w:rsid w:val="006D5F76"/>
    <w:rsid w:val="006D6D96"/>
    <w:rsid w:val="006D7211"/>
    <w:rsid w:val="006D75C8"/>
    <w:rsid w:val="006D7F28"/>
    <w:rsid w:val="006E20C0"/>
    <w:rsid w:val="006E2787"/>
    <w:rsid w:val="006E3115"/>
    <w:rsid w:val="006E3747"/>
    <w:rsid w:val="006E4307"/>
    <w:rsid w:val="006E46A9"/>
    <w:rsid w:val="006E4F31"/>
    <w:rsid w:val="006E5355"/>
    <w:rsid w:val="006E5760"/>
    <w:rsid w:val="006E66F7"/>
    <w:rsid w:val="006F0D46"/>
    <w:rsid w:val="006F1106"/>
    <w:rsid w:val="006F23DD"/>
    <w:rsid w:val="006F45F9"/>
    <w:rsid w:val="006F5158"/>
    <w:rsid w:val="006F57E7"/>
    <w:rsid w:val="006F5EBE"/>
    <w:rsid w:val="006F74A0"/>
    <w:rsid w:val="006F74C4"/>
    <w:rsid w:val="00700950"/>
    <w:rsid w:val="00701136"/>
    <w:rsid w:val="00701154"/>
    <w:rsid w:val="0070319A"/>
    <w:rsid w:val="0070332D"/>
    <w:rsid w:val="00703CB4"/>
    <w:rsid w:val="007046EC"/>
    <w:rsid w:val="00705EC4"/>
    <w:rsid w:val="007063D6"/>
    <w:rsid w:val="00706AF7"/>
    <w:rsid w:val="00707145"/>
    <w:rsid w:val="00707C18"/>
    <w:rsid w:val="007103A9"/>
    <w:rsid w:val="0071189F"/>
    <w:rsid w:val="00711BC2"/>
    <w:rsid w:val="0071251E"/>
    <w:rsid w:val="0071341F"/>
    <w:rsid w:val="00713C3C"/>
    <w:rsid w:val="0071537C"/>
    <w:rsid w:val="00716328"/>
    <w:rsid w:val="00716433"/>
    <w:rsid w:val="00716A4E"/>
    <w:rsid w:val="00716AD2"/>
    <w:rsid w:val="0071736F"/>
    <w:rsid w:val="007203CA"/>
    <w:rsid w:val="00722064"/>
    <w:rsid w:val="007222EF"/>
    <w:rsid w:val="007226F5"/>
    <w:rsid w:val="00723B2C"/>
    <w:rsid w:val="007241C2"/>
    <w:rsid w:val="00724ED0"/>
    <w:rsid w:val="00724F92"/>
    <w:rsid w:val="007253D6"/>
    <w:rsid w:val="0072578A"/>
    <w:rsid w:val="0072597A"/>
    <w:rsid w:val="007268D3"/>
    <w:rsid w:val="00727CDD"/>
    <w:rsid w:val="007308A3"/>
    <w:rsid w:val="007311D5"/>
    <w:rsid w:val="007321DE"/>
    <w:rsid w:val="00733580"/>
    <w:rsid w:val="00733869"/>
    <w:rsid w:val="00734508"/>
    <w:rsid w:val="00735793"/>
    <w:rsid w:val="00736344"/>
    <w:rsid w:val="00737360"/>
    <w:rsid w:val="0073792C"/>
    <w:rsid w:val="0074166A"/>
    <w:rsid w:val="0074257A"/>
    <w:rsid w:val="00743286"/>
    <w:rsid w:val="00744845"/>
    <w:rsid w:val="0074486D"/>
    <w:rsid w:val="0074549E"/>
    <w:rsid w:val="00747400"/>
    <w:rsid w:val="00747434"/>
    <w:rsid w:val="007475E5"/>
    <w:rsid w:val="007476FB"/>
    <w:rsid w:val="0074788B"/>
    <w:rsid w:val="0075137C"/>
    <w:rsid w:val="007514B1"/>
    <w:rsid w:val="007515E8"/>
    <w:rsid w:val="00751CC1"/>
    <w:rsid w:val="007530FB"/>
    <w:rsid w:val="0075408B"/>
    <w:rsid w:val="0075418A"/>
    <w:rsid w:val="007547AB"/>
    <w:rsid w:val="00757C18"/>
    <w:rsid w:val="00757E89"/>
    <w:rsid w:val="0076260D"/>
    <w:rsid w:val="00762E0E"/>
    <w:rsid w:val="00763B77"/>
    <w:rsid w:val="0076498E"/>
    <w:rsid w:val="007649C9"/>
    <w:rsid w:val="00764BE2"/>
    <w:rsid w:val="007658A7"/>
    <w:rsid w:val="00766242"/>
    <w:rsid w:val="0076702C"/>
    <w:rsid w:val="007673EF"/>
    <w:rsid w:val="00767F6C"/>
    <w:rsid w:val="00770359"/>
    <w:rsid w:val="00770597"/>
    <w:rsid w:val="0077200B"/>
    <w:rsid w:val="00772829"/>
    <w:rsid w:val="00772B1B"/>
    <w:rsid w:val="007747B1"/>
    <w:rsid w:val="00777848"/>
    <w:rsid w:val="00777893"/>
    <w:rsid w:val="0078320D"/>
    <w:rsid w:val="007852E9"/>
    <w:rsid w:val="00785AC6"/>
    <w:rsid w:val="00787BC1"/>
    <w:rsid w:val="00790B15"/>
    <w:rsid w:val="00790F49"/>
    <w:rsid w:val="0079229D"/>
    <w:rsid w:val="0079258A"/>
    <w:rsid w:val="007931CB"/>
    <w:rsid w:val="007947B2"/>
    <w:rsid w:val="007951D4"/>
    <w:rsid w:val="00797A92"/>
    <w:rsid w:val="00797C46"/>
    <w:rsid w:val="007A0BFD"/>
    <w:rsid w:val="007A1183"/>
    <w:rsid w:val="007A119D"/>
    <w:rsid w:val="007A19F6"/>
    <w:rsid w:val="007A1FB9"/>
    <w:rsid w:val="007A2B65"/>
    <w:rsid w:val="007A34C2"/>
    <w:rsid w:val="007A45F8"/>
    <w:rsid w:val="007A5617"/>
    <w:rsid w:val="007A57C2"/>
    <w:rsid w:val="007A65FB"/>
    <w:rsid w:val="007A698B"/>
    <w:rsid w:val="007A7CAA"/>
    <w:rsid w:val="007B0245"/>
    <w:rsid w:val="007B083F"/>
    <w:rsid w:val="007B0880"/>
    <w:rsid w:val="007B0D01"/>
    <w:rsid w:val="007B141B"/>
    <w:rsid w:val="007B2085"/>
    <w:rsid w:val="007B25F4"/>
    <w:rsid w:val="007B2FDC"/>
    <w:rsid w:val="007B38A0"/>
    <w:rsid w:val="007B38B7"/>
    <w:rsid w:val="007B4F7B"/>
    <w:rsid w:val="007B583D"/>
    <w:rsid w:val="007B5C68"/>
    <w:rsid w:val="007B6684"/>
    <w:rsid w:val="007B6B21"/>
    <w:rsid w:val="007B6D68"/>
    <w:rsid w:val="007B7024"/>
    <w:rsid w:val="007B7061"/>
    <w:rsid w:val="007B7580"/>
    <w:rsid w:val="007B7716"/>
    <w:rsid w:val="007C0390"/>
    <w:rsid w:val="007C14A2"/>
    <w:rsid w:val="007C2DBB"/>
    <w:rsid w:val="007C300E"/>
    <w:rsid w:val="007C328D"/>
    <w:rsid w:val="007C336F"/>
    <w:rsid w:val="007C33C2"/>
    <w:rsid w:val="007C36D1"/>
    <w:rsid w:val="007C3F94"/>
    <w:rsid w:val="007C41B1"/>
    <w:rsid w:val="007C51A0"/>
    <w:rsid w:val="007C6ABB"/>
    <w:rsid w:val="007C75DC"/>
    <w:rsid w:val="007D1DEF"/>
    <w:rsid w:val="007D2398"/>
    <w:rsid w:val="007D30B7"/>
    <w:rsid w:val="007D3CEA"/>
    <w:rsid w:val="007D5C2B"/>
    <w:rsid w:val="007E0896"/>
    <w:rsid w:val="007E0C45"/>
    <w:rsid w:val="007E0E0F"/>
    <w:rsid w:val="007E0F99"/>
    <w:rsid w:val="007E15AD"/>
    <w:rsid w:val="007E1C7C"/>
    <w:rsid w:val="007E25ED"/>
    <w:rsid w:val="007E2BC0"/>
    <w:rsid w:val="007E352A"/>
    <w:rsid w:val="007E6D36"/>
    <w:rsid w:val="007F1217"/>
    <w:rsid w:val="007F19B6"/>
    <w:rsid w:val="007F4E97"/>
    <w:rsid w:val="007F67E9"/>
    <w:rsid w:val="007F7C7B"/>
    <w:rsid w:val="007F7E4C"/>
    <w:rsid w:val="008003A2"/>
    <w:rsid w:val="00800880"/>
    <w:rsid w:val="00801E06"/>
    <w:rsid w:val="008040A2"/>
    <w:rsid w:val="008045F5"/>
    <w:rsid w:val="00804632"/>
    <w:rsid w:val="008054D9"/>
    <w:rsid w:val="0080612D"/>
    <w:rsid w:val="00806688"/>
    <w:rsid w:val="00807316"/>
    <w:rsid w:val="00807A3E"/>
    <w:rsid w:val="00810338"/>
    <w:rsid w:val="008103F4"/>
    <w:rsid w:val="0081090F"/>
    <w:rsid w:val="0081181E"/>
    <w:rsid w:val="00812282"/>
    <w:rsid w:val="00813F58"/>
    <w:rsid w:val="008148E4"/>
    <w:rsid w:val="008157F1"/>
    <w:rsid w:val="00816A82"/>
    <w:rsid w:val="00816E2A"/>
    <w:rsid w:val="00816EC2"/>
    <w:rsid w:val="00817625"/>
    <w:rsid w:val="00823120"/>
    <w:rsid w:val="008236E1"/>
    <w:rsid w:val="008242CD"/>
    <w:rsid w:val="00824458"/>
    <w:rsid w:val="008249F7"/>
    <w:rsid w:val="00824AE8"/>
    <w:rsid w:val="00824B74"/>
    <w:rsid w:val="00824FAA"/>
    <w:rsid w:val="00827027"/>
    <w:rsid w:val="0082708E"/>
    <w:rsid w:val="00827BF8"/>
    <w:rsid w:val="00827E99"/>
    <w:rsid w:val="0083084B"/>
    <w:rsid w:val="00830B1B"/>
    <w:rsid w:val="008314E1"/>
    <w:rsid w:val="008327A8"/>
    <w:rsid w:val="00833A26"/>
    <w:rsid w:val="0083530C"/>
    <w:rsid w:val="00835EC9"/>
    <w:rsid w:val="008366F8"/>
    <w:rsid w:val="00836C01"/>
    <w:rsid w:val="00837052"/>
    <w:rsid w:val="00837D55"/>
    <w:rsid w:val="00837EAA"/>
    <w:rsid w:val="008406EA"/>
    <w:rsid w:val="00841388"/>
    <w:rsid w:val="00841991"/>
    <w:rsid w:val="00841EFB"/>
    <w:rsid w:val="00841F44"/>
    <w:rsid w:val="00842C82"/>
    <w:rsid w:val="008430B8"/>
    <w:rsid w:val="00843486"/>
    <w:rsid w:val="008436D7"/>
    <w:rsid w:val="00843F23"/>
    <w:rsid w:val="008440FE"/>
    <w:rsid w:val="00846119"/>
    <w:rsid w:val="00847397"/>
    <w:rsid w:val="008474E3"/>
    <w:rsid w:val="008527ED"/>
    <w:rsid w:val="00852A27"/>
    <w:rsid w:val="00852BC7"/>
    <w:rsid w:val="00852E97"/>
    <w:rsid w:val="00853650"/>
    <w:rsid w:val="008537F7"/>
    <w:rsid w:val="00854268"/>
    <w:rsid w:val="008546BE"/>
    <w:rsid w:val="00854D75"/>
    <w:rsid w:val="00856074"/>
    <w:rsid w:val="00857949"/>
    <w:rsid w:val="00860DBE"/>
    <w:rsid w:val="00861A3F"/>
    <w:rsid w:val="00861DAC"/>
    <w:rsid w:val="00864780"/>
    <w:rsid w:val="00866D81"/>
    <w:rsid w:val="00867B29"/>
    <w:rsid w:val="008711B5"/>
    <w:rsid w:val="0087277A"/>
    <w:rsid w:val="00872A47"/>
    <w:rsid w:val="008736D9"/>
    <w:rsid w:val="008736E2"/>
    <w:rsid w:val="00874565"/>
    <w:rsid w:val="00876A25"/>
    <w:rsid w:val="00877247"/>
    <w:rsid w:val="008801AE"/>
    <w:rsid w:val="008803B2"/>
    <w:rsid w:val="00880980"/>
    <w:rsid w:val="00880AA3"/>
    <w:rsid w:val="00881729"/>
    <w:rsid w:val="008817C4"/>
    <w:rsid w:val="0088421C"/>
    <w:rsid w:val="0088445B"/>
    <w:rsid w:val="00885BC8"/>
    <w:rsid w:val="00886A87"/>
    <w:rsid w:val="00886EE9"/>
    <w:rsid w:val="0089178B"/>
    <w:rsid w:val="00891AF6"/>
    <w:rsid w:val="00891BC3"/>
    <w:rsid w:val="00893715"/>
    <w:rsid w:val="008937C8"/>
    <w:rsid w:val="00894CA8"/>
    <w:rsid w:val="00894FF0"/>
    <w:rsid w:val="00895044"/>
    <w:rsid w:val="0089642A"/>
    <w:rsid w:val="008967C4"/>
    <w:rsid w:val="008967D1"/>
    <w:rsid w:val="00897252"/>
    <w:rsid w:val="00897610"/>
    <w:rsid w:val="008A0D2A"/>
    <w:rsid w:val="008A1535"/>
    <w:rsid w:val="008A1693"/>
    <w:rsid w:val="008A2086"/>
    <w:rsid w:val="008A254F"/>
    <w:rsid w:val="008A2630"/>
    <w:rsid w:val="008A5833"/>
    <w:rsid w:val="008A7462"/>
    <w:rsid w:val="008B0048"/>
    <w:rsid w:val="008B0935"/>
    <w:rsid w:val="008B2524"/>
    <w:rsid w:val="008B2A0A"/>
    <w:rsid w:val="008B373A"/>
    <w:rsid w:val="008B37ED"/>
    <w:rsid w:val="008B3915"/>
    <w:rsid w:val="008B3A1E"/>
    <w:rsid w:val="008B3A88"/>
    <w:rsid w:val="008B4BFC"/>
    <w:rsid w:val="008B51B4"/>
    <w:rsid w:val="008B5B67"/>
    <w:rsid w:val="008B5D7A"/>
    <w:rsid w:val="008B5E23"/>
    <w:rsid w:val="008B66E3"/>
    <w:rsid w:val="008B7848"/>
    <w:rsid w:val="008C1E05"/>
    <w:rsid w:val="008C21B0"/>
    <w:rsid w:val="008C34BB"/>
    <w:rsid w:val="008C4215"/>
    <w:rsid w:val="008C45E2"/>
    <w:rsid w:val="008C6235"/>
    <w:rsid w:val="008C671D"/>
    <w:rsid w:val="008D2AFF"/>
    <w:rsid w:val="008D3726"/>
    <w:rsid w:val="008D4CB0"/>
    <w:rsid w:val="008D5948"/>
    <w:rsid w:val="008D6397"/>
    <w:rsid w:val="008D73C9"/>
    <w:rsid w:val="008E16BF"/>
    <w:rsid w:val="008E2040"/>
    <w:rsid w:val="008E232A"/>
    <w:rsid w:val="008E23AB"/>
    <w:rsid w:val="008E3049"/>
    <w:rsid w:val="008E32B8"/>
    <w:rsid w:val="008E35A3"/>
    <w:rsid w:val="008E4093"/>
    <w:rsid w:val="008E4734"/>
    <w:rsid w:val="008E5E43"/>
    <w:rsid w:val="008E5FA5"/>
    <w:rsid w:val="008E66F9"/>
    <w:rsid w:val="008E6D51"/>
    <w:rsid w:val="008E7274"/>
    <w:rsid w:val="008F0553"/>
    <w:rsid w:val="008F0562"/>
    <w:rsid w:val="008F260B"/>
    <w:rsid w:val="008F376C"/>
    <w:rsid w:val="008F47DC"/>
    <w:rsid w:val="008F60FB"/>
    <w:rsid w:val="008F70D5"/>
    <w:rsid w:val="00900873"/>
    <w:rsid w:val="00900D5B"/>
    <w:rsid w:val="00901868"/>
    <w:rsid w:val="009021E5"/>
    <w:rsid w:val="00906E65"/>
    <w:rsid w:val="009104F7"/>
    <w:rsid w:val="00913C98"/>
    <w:rsid w:val="009144D5"/>
    <w:rsid w:val="0091488C"/>
    <w:rsid w:val="00915F98"/>
    <w:rsid w:val="00915FA3"/>
    <w:rsid w:val="00916D12"/>
    <w:rsid w:val="00920B4A"/>
    <w:rsid w:val="00921276"/>
    <w:rsid w:val="009217F8"/>
    <w:rsid w:val="009225FB"/>
    <w:rsid w:val="00922918"/>
    <w:rsid w:val="009238A8"/>
    <w:rsid w:val="0092470E"/>
    <w:rsid w:val="00924FC0"/>
    <w:rsid w:val="00925187"/>
    <w:rsid w:val="009254CA"/>
    <w:rsid w:val="009255B6"/>
    <w:rsid w:val="009256B6"/>
    <w:rsid w:val="0092709C"/>
    <w:rsid w:val="0092717F"/>
    <w:rsid w:val="00927744"/>
    <w:rsid w:val="00927B05"/>
    <w:rsid w:val="009306FD"/>
    <w:rsid w:val="00930F4E"/>
    <w:rsid w:val="0093159E"/>
    <w:rsid w:val="009315DB"/>
    <w:rsid w:val="00931DD5"/>
    <w:rsid w:val="00931E3E"/>
    <w:rsid w:val="0093518D"/>
    <w:rsid w:val="00935393"/>
    <w:rsid w:val="00935A69"/>
    <w:rsid w:val="00935DFF"/>
    <w:rsid w:val="00936062"/>
    <w:rsid w:val="00937CBE"/>
    <w:rsid w:val="00937E5A"/>
    <w:rsid w:val="00941BE6"/>
    <w:rsid w:val="00943AA4"/>
    <w:rsid w:val="00944087"/>
    <w:rsid w:val="0094442A"/>
    <w:rsid w:val="00944E74"/>
    <w:rsid w:val="00946116"/>
    <w:rsid w:val="00946684"/>
    <w:rsid w:val="00946CE8"/>
    <w:rsid w:val="009472A3"/>
    <w:rsid w:val="00947FD2"/>
    <w:rsid w:val="0095012E"/>
    <w:rsid w:val="00951934"/>
    <w:rsid w:val="0095207B"/>
    <w:rsid w:val="009522A7"/>
    <w:rsid w:val="00953B48"/>
    <w:rsid w:val="009546AF"/>
    <w:rsid w:val="00954C8C"/>
    <w:rsid w:val="00954FBC"/>
    <w:rsid w:val="00955AF3"/>
    <w:rsid w:val="009561DD"/>
    <w:rsid w:val="00956596"/>
    <w:rsid w:val="00956ACE"/>
    <w:rsid w:val="009572A0"/>
    <w:rsid w:val="00957D24"/>
    <w:rsid w:val="00960DCF"/>
    <w:rsid w:val="009615CB"/>
    <w:rsid w:val="0096188C"/>
    <w:rsid w:val="00961B53"/>
    <w:rsid w:val="00963264"/>
    <w:rsid w:val="0096389D"/>
    <w:rsid w:val="00963B81"/>
    <w:rsid w:val="00963C01"/>
    <w:rsid w:val="00964A3B"/>
    <w:rsid w:val="0096554D"/>
    <w:rsid w:val="00965C4F"/>
    <w:rsid w:val="00965DB4"/>
    <w:rsid w:val="00966748"/>
    <w:rsid w:val="00966808"/>
    <w:rsid w:val="00967549"/>
    <w:rsid w:val="009676C0"/>
    <w:rsid w:val="00972240"/>
    <w:rsid w:val="00972D85"/>
    <w:rsid w:val="00972F19"/>
    <w:rsid w:val="00972F56"/>
    <w:rsid w:val="00973D6C"/>
    <w:rsid w:val="009749E7"/>
    <w:rsid w:val="00977F6D"/>
    <w:rsid w:val="009803A9"/>
    <w:rsid w:val="009803CB"/>
    <w:rsid w:val="009803D4"/>
    <w:rsid w:val="00980619"/>
    <w:rsid w:val="009807A2"/>
    <w:rsid w:val="00980E14"/>
    <w:rsid w:val="00980F88"/>
    <w:rsid w:val="0098199C"/>
    <w:rsid w:val="0098268D"/>
    <w:rsid w:val="00986A29"/>
    <w:rsid w:val="009873F3"/>
    <w:rsid w:val="00987E2E"/>
    <w:rsid w:val="00990300"/>
    <w:rsid w:val="00990F72"/>
    <w:rsid w:val="00991723"/>
    <w:rsid w:val="00992FC1"/>
    <w:rsid w:val="009936AF"/>
    <w:rsid w:val="0099572C"/>
    <w:rsid w:val="009959E6"/>
    <w:rsid w:val="00995E98"/>
    <w:rsid w:val="00996F15"/>
    <w:rsid w:val="00997BA8"/>
    <w:rsid w:val="009A06F4"/>
    <w:rsid w:val="009A09D2"/>
    <w:rsid w:val="009A0B6A"/>
    <w:rsid w:val="009A1AD5"/>
    <w:rsid w:val="009A2DDD"/>
    <w:rsid w:val="009A3778"/>
    <w:rsid w:val="009A3E2E"/>
    <w:rsid w:val="009A412E"/>
    <w:rsid w:val="009A44EA"/>
    <w:rsid w:val="009A461C"/>
    <w:rsid w:val="009A5880"/>
    <w:rsid w:val="009A7F34"/>
    <w:rsid w:val="009B1617"/>
    <w:rsid w:val="009B2245"/>
    <w:rsid w:val="009B2294"/>
    <w:rsid w:val="009B258E"/>
    <w:rsid w:val="009B39DA"/>
    <w:rsid w:val="009B5997"/>
    <w:rsid w:val="009B6179"/>
    <w:rsid w:val="009B6B23"/>
    <w:rsid w:val="009B7ABD"/>
    <w:rsid w:val="009C06FF"/>
    <w:rsid w:val="009C0B0C"/>
    <w:rsid w:val="009C1049"/>
    <w:rsid w:val="009C1AB0"/>
    <w:rsid w:val="009C1D27"/>
    <w:rsid w:val="009C3BD9"/>
    <w:rsid w:val="009C3DA2"/>
    <w:rsid w:val="009C3EF5"/>
    <w:rsid w:val="009C4FB5"/>
    <w:rsid w:val="009C5B82"/>
    <w:rsid w:val="009C756E"/>
    <w:rsid w:val="009D11E0"/>
    <w:rsid w:val="009D21BE"/>
    <w:rsid w:val="009D2301"/>
    <w:rsid w:val="009D2464"/>
    <w:rsid w:val="009D2920"/>
    <w:rsid w:val="009D2DAE"/>
    <w:rsid w:val="009D3C3D"/>
    <w:rsid w:val="009D3F81"/>
    <w:rsid w:val="009D5288"/>
    <w:rsid w:val="009D5FE7"/>
    <w:rsid w:val="009D6982"/>
    <w:rsid w:val="009D7811"/>
    <w:rsid w:val="009E0120"/>
    <w:rsid w:val="009E026B"/>
    <w:rsid w:val="009E2AD3"/>
    <w:rsid w:val="009E474D"/>
    <w:rsid w:val="009E47E5"/>
    <w:rsid w:val="009E4E7B"/>
    <w:rsid w:val="009F019C"/>
    <w:rsid w:val="009F01F1"/>
    <w:rsid w:val="009F08F9"/>
    <w:rsid w:val="009F0B94"/>
    <w:rsid w:val="009F146F"/>
    <w:rsid w:val="009F17CD"/>
    <w:rsid w:val="009F3C75"/>
    <w:rsid w:val="00A0037E"/>
    <w:rsid w:val="00A00703"/>
    <w:rsid w:val="00A011BA"/>
    <w:rsid w:val="00A01303"/>
    <w:rsid w:val="00A02914"/>
    <w:rsid w:val="00A02C4F"/>
    <w:rsid w:val="00A04A09"/>
    <w:rsid w:val="00A05821"/>
    <w:rsid w:val="00A05D1D"/>
    <w:rsid w:val="00A05EA2"/>
    <w:rsid w:val="00A076CC"/>
    <w:rsid w:val="00A07AC3"/>
    <w:rsid w:val="00A07BAF"/>
    <w:rsid w:val="00A1086A"/>
    <w:rsid w:val="00A108AC"/>
    <w:rsid w:val="00A1165C"/>
    <w:rsid w:val="00A11FB2"/>
    <w:rsid w:val="00A125D6"/>
    <w:rsid w:val="00A128FF"/>
    <w:rsid w:val="00A12DEE"/>
    <w:rsid w:val="00A14857"/>
    <w:rsid w:val="00A14E53"/>
    <w:rsid w:val="00A15580"/>
    <w:rsid w:val="00A15CAE"/>
    <w:rsid w:val="00A16449"/>
    <w:rsid w:val="00A1653A"/>
    <w:rsid w:val="00A17621"/>
    <w:rsid w:val="00A22EFC"/>
    <w:rsid w:val="00A24659"/>
    <w:rsid w:val="00A24C47"/>
    <w:rsid w:val="00A2529E"/>
    <w:rsid w:val="00A26389"/>
    <w:rsid w:val="00A278C7"/>
    <w:rsid w:val="00A303B8"/>
    <w:rsid w:val="00A310D7"/>
    <w:rsid w:val="00A31200"/>
    <w:rsid w:val="00A31681"/>
    <w:rsid w:val="00A31901"/>
    <w:rsid w:val="00A319CB"/>
    <w:rsid w:val="00A361C3"/>
    <w:rsid w:val="00A3635F"/>
    <w:rsid w:val="00A37674"/>
    <w:rsid w:val="00A37D7D"/>
    <w:rsid w:val="00A411FA"/>
    <w:rsid w:val="00A413D9"/>
    <w:rsid w:val="00A431C8"/>
    <w:rsid w:val="00A44EC1"/>
    <w:rsid w:val="00A454B3"/>
    <w:rsid w:val="00A45644"/>
    <w:rsid w:val="00A45E52"/>
    <w:rsid w:val="00A46652"/>
    <w:rsid w:val="00A46D15"/>
    <w:rsid w:val="00A4713D"/>
    <w:rsid w:val="00A47574"/>
    <w:rsid w:val="00A5323B"/>
    <w:rsid w:val="00A545F2"/>
    <w:rsid w:val="00A54619"/>
    <w:rsid w:val="00A54FB4"/>
    <w:rsid w:val="00A55568"/>
    <w:rsid w:val="00A56DE0"/>
    <w:rsid w:val="00A57CE4"/>
    <w:rsid w:val="00A61E00"/>
    <w:rsid w:val="00A62562"/>
    <w:rsid w:val="00A62AB4"/>
    <w:rsid w:val="00A63C18"/>
    <w:rsid w:val="00A63FC5"/>
    <w:rsid w:val="00A64B04"/>
    <w:rsid w:val="00A652FE"/>
    <w:rsid w:val="00A662DC"/>
    <w:rsid w:val="00A6741B"/>
    <w:rsid w:val="00A67ACD"/>
    <w:rsid w:val="00A702F7"/>
    <w:rsid w:val="00A70875"/>
    <w:rsid w:val="00A70EE2"/>
    <w:rsid w:val="00A74226"/>
    <w:rsid w:val="00A7564C"/>
    <w:rsid w:val="00A757B0"/>
    <w:rsid w:val="00A75945"/>
    <w:rsid w:val="00A776A4"/>
    <w:rsid w:val="00A77E99"/>
    <w:rsid w:val="00A8049D"/>
    <w:rsid w:val="00A80972"/>
    <w:rsid w:val="00A822C2"/>
    <w:rsid w:val="00A82990"/>
    <w:rsid w:val="00A83B45"/>
    <w:rsid w:val="00A8428E"/>
    <w:rsid w:val="00A85516"/>
    <w:rsid w:val="00A87924"/>
    <w:rsid w:val="00A90401"/>
    <w:rsid w:val="00A90D58"/>
    <w:rsid w:val="00A915FD"/>
    <w:rsid w:val="00A921E3"/>
    <w:rsid w:val="00A93974"/>
    <w:rsid w:val="00A93BF9"/>
    <w:rsid w:val="00A9426D"/>
    <w:rsid w:val="00A94D20"/>
    <w:rsid w:val="00A95A68"/>
    <w:rsid w:val="00A9687F"/>
    <w:rsid w:val="00A9752B"/>
    <w:rsid w:val="00AA0C85"/>
    <w:rsid w:val="00AA1285"/>
    <w:rsid w:val="00AA1CEE"/>
    <w:rsid w:val="00AA2461"/>
    <w:rsid w:val="00AA2865"/>
    <w:rsid w:val="00AA36A3"/>
    <w:rsid w:val="00AA3A9B"/>
    <w:rsid w:val="00AA3BF1"/>
    <w:rsid w:val="00AA5410"/>
    <w:rsid w:val="00AA54B9"/>
    <w:rsid w:val="00AA5D81"/>
    <w:rsid w:val="00AA7993"/>
    <w:rsid w:val="00AB21C6"/>
    <w:rsid w:val="00AB2841"/>
    <w:rsid w:val="00AB2A47"/>
    <w:rsid w:val="00AB30E5"/>
    <w:rsid w:val="00AB358E"/>
    <w:rsid w:val="00AB4375"/>
    <w:rsid w:val="00AB727C"/>
    <w:rsid w:val="00AC0788"/>
    <w:rsid w:val="00AC1891"/>
    <w:rsid w:val="00AC4C47"/>
    <w:rsid w:val="00AC5ED9"/>
    <w:rsid w:val="00AC634A"/>
    <w:rsid w:val="00AC698A"/>
    <w:rsid w:val="00AC6F7D"/>
    <w:rsid w:val="00AC720A"/>
    <w:rsid w:val="00AC7D99"/>
    <w:rsid w:val="00AD35D8"/>
    <w:rsid w:val="00AD4DB0"/>
    <w:rsid w:val="00AD5B91"/>
    <w:rsid w:val="00AD60EA"/>
    <w:rsid w:val="00AD67D4"/>
    <w:rsid w:val="00AD7279"/>
    <w:rsid w:val="00AE41ED"/>
    <w:rsid w:val="00AE4331"/>
    <w:rsid w:val="00AE4554"/>
    <w:rsid w:val="00AE614D"/>
    <w:rsid w:val="00AE7849"/>
    <w:rsid w:val="00AE7922"/>
    <w:rsid w:val="00AE7977"/>
    <w:rsid w:val="00AE7EAA"/>
    <w:rsid w:val="00AF1F10"/>
    <w:rsid w:val="00AF3D39"/>
    <w:rsid w:val="00AF497B"/>
    <w:rsid w:val="00AF6293"/>
    <w:rsid w:val="00AF6908"/>
    <w:rsid w:val="00AF6A4C"/>
    <w:rsid w:val="00AF708A"/>
    <w:rsid w:val="00AF769C"/>
    <w:rsid w:val="00B007D3"/>
    <w:rsid w:val="00B00E2E"/>
    <w:rsid w:val="00B016E1"/>
    <w:rsid w:val="00B01E70"/>
    <w:rsid w:val="00B02183"/>
    <w:rsid w:val="00B03BDE"/>
    <w:rsid w:val="00B047C2"/>
    <w:rsid w:val="00B04CB1"/>
    <w:rsid w:val="00B05635"/>
    <w:rsid w:val="00B06EC0"/>
    <w:rsid w:val="00B07620"/>
    <w:rsid w:val="00B07B1E"/>
    <w:rsid w:val="00B130DC"/>
    <w:rsid w:val="00B1314F"/>
    <w:rsid w:val="00B150FD"/>
    <w:rsid w:val="00B151CF"/>
    <w:rsid w:val="00B153DB"/>
    <w:rsid w:val="00B16C8A"/>
    <w:rsid w:val="00B206C2"/>
    <w:rsid w:val="00B21A7B"/>
    <w:rsid w:val="00B2210F"/>
    <w:rsid w:val="00B2343F"/>
    <w:rsid w:val="00B24159"/>
    <w:rsid w:val="00B247AD"/>
    <w:rsid w:val="00B24891"/>
    <w:rsid w:val="00B24987"/>
    <w:rsid w:val="00B253EB"/>
    <w:rsid w:val="00B2560A"/>
    <w:rsid w:val="00B25807"/>
    <w:rsid w:val="00B25D05"/>
    <w:rsid w:val="00B26622"/>
    <w:rsid w:val="00B26669"/>
    <w:rsid w:val="00B276B4"/>
    <w:rsid w:val="00B279F6"/>
    <w:rsid w:val="00B303F6"/>
    <w:rsid w:val="00B30411"/>
    <w:rsid w:val="00B307B7"/>
    <w:rsid w:val="00B308A2"/>
    <w:rsid w:val="00B31E3B"/>
    <w:rsid w:val="00B328CD"/>
    <w:rsid w:val="00B32943"/>
    <w:rsid w:val="00B32BE6"/>
    <w:rsid w:val="00B36028"/>
    <w:rsid w:val="00B36432"/>
    <w:rsid w:val="00B3761E"/>
    <w:rsid w:val="00B3789B"/>
    <w:rsid w:val="00B40064"/>
    <w:rsid w:val="00B41226"/>
    <w:rsid w:val="00B42475"/>
    <w:rsid w:val="00B427A7"/>
    <w:rsid w:val="00B45936"/>
    <w:rsid w:val="00B46F3C"/>
    <w:rsid w:val="00B47003"/>
    <w:rsid w:val="00B505F6"/>
    <w:rsid w:val="00B50A44"/>
    <w:rsid w:val="00B50F46"/>
    <w:rsid w:val="00B5180A"/>
    <w:rsid w:val="00B51932"/>
    <w:rsid w:val="00B53757"/>
    <w:rsid w:val="00B55524"/>
    <w:rsid w:val="00B5660C"/>
    <w:rsid w:val="00B5743E"/>
    <w:rsid w:val="00B575BF"/>
    <w:rsid w:val="00B601DB"/>
    <w:rsid w:val="00B61040"/>
    <w:rsid w:val="00B612EA"/>
    <w:rsid w:val="00B61C66"/>
    <w:rsid w:val="00B62604"/>
    <w:rsid w:val="00B6279B"/>
    <w:rsid w:val="00B62D5D"/>
    <w:rsid w:val="00B62DF2"/>
    <w:rsid w:val="00B65713"/>
    <w:rsid w:val="00B65B01"/>
    <w:rsid w:val="00B66A87"/>
    <w:rsid w:val="00B67818"/>
    <w:rsid w:val="00B70ED3"/>
    <w:rsid w:val="00B712D0"/>
    <w:rsid w:val="00B7281B"/>
    <w:rsid w:val="00B73365"/>
    <w:rsid w:val="00B74A30"/>
    <w:rsid w:val="00B757E5"/>
    <w:rsid w:val="00B8014B"/>
    <w:rsid w:val="00B81719"/>
    <w:rsid w:val="00B81DD3"/>
    <w:rsid w:val="00B81F38"/>
    <w:rsid w:val="00B82432"/>
    <w:rsid w:val="00B8300D"/>
    <w:rsid w:val="00B83B62"/>
    <w:rsid w:val="00B8535F"/>
    <w:rsid w:val="00B85C63"/>
    <w:rsid w:val="00B85F18"/>
    <w:rsid w:val="00B860A9"/>
    <w:rsid w:val="00B878CD"/>
    <w:rsid w:val="00B912F1"/>
    <w:rsid w:val="00B91CB1"/>
    <w:rsid w:val="00B9249B"/>
    <w:rsid w:val="00B932E0"/>
    <w:rsid w:val="00B94090"/>
    <w:rsid w:val="00B95026"/>
    <w:rsid w:val="00B9536C"/>
    <w:rsid w:val="00B977E0"/>
    <w:rsid w:val="00B97AB3"/>
    <w:rsid w:val="00BA0AB5"/>
    <w:rsid w:val="00BA1FFB"/>
    <w:rsid w:val="00BA2B3F"/>
    <w:rsid w:val="00BA3DC3"/>
    <w:rsid w:val="00BA3E41"/>
    <w:rsid w:val="00BA4C94"/>
    <w:rsid w:val="00BA4E45"/>
    <w:rsid w:val="00BA59FB"/>
    <w:rsid w:val="00BA5B02"/>
    <w:rsid w:val="00BA5DE1"/>
    <w:rsid w:val="00BA686C"/>
    <w:rsid w:val="00BA7D36"/>
    <w:rsid w:val="00BB145D"/>
    <w:rsid w:val="00BB14A3"/>
    <w:rsid w:val="00BB1790"/>
    <w:rsid w:val="00BB1B01"/>
    <w:rsid w:val="00BB2807"/>
    <w:rsid w:val="00BB4505"/>
    <w:rsid w:val="00BB4C4D"/>
    <w:rsid w:val="00BC03E8"/>
    <w:rsid w:val="00BC115E"/>
    <w:rsid w:val="00BC15DE"/>
    <w:rsid w:val="00BC17C8"/>
    <w:rsid w:val="00BC2B4C"/>
    <w:rsid w:val="00BC369C"/>
    <w:rsid w:val="00BC3DB2"/>
    <w:rsid w:val="00BC4972"/>
    <w:rsid w:val="00BC5C57"/>
    <w:rsid w:val="00BC6897"/>
    <w:rsid w:val="00BD09C4"/>
    <w:rsid w:val="00BD11D1"/>
    <w:rsid w:val="00BD2D9F"/>
    <w:rsid w:val="00BD33D4"/>
    <w:rsid w:val="00BD40B1"/>
    <w:rsid w:val="00BD476A"/>
    <w:rsid w:val="00BD58B6"/>
    <w:rsid w:val="00BD6110"/>
    <w:rsid w:val="00BD7AC0"/>
    <w:rsid w:val="00BD7FBB"/>
    <w:rsid w:val="00BE1925"/>
    <w:rsid w:val="00BE2EA5"/>
    <w:rsid w:val="00BE3E1E"/>
    <w:rsid w:val="00BE47BF"/>
    <w:rsid w:val="00BE5374"/>
    <w:rsid w:val="00BE627A"/>
    <w:rsid w:val="00BE6CE8"/>
    <w:rsid w:val="00BF0198"/>
    <w:rsid w:val="00BF0FA9"/>
    <w:rsid w:val="00BF1C85"/>
    <w:rsid w:val="00BF355F"/>
    <w:rsid w:val="00BF5C5A"/>
    <w:rsid w:val="00BF7C54"/>
    <w:rsid w:val="00C01D5F"/>
    <w:rsid w:val="00C023CF"/>
    <w:rsid w:val="00C024C3"/>
    <w:rsid w:val="00C02858"/>
    <w:rsid w:val="00C02907"/>
    <w:rsid w:val="00C02941"/>
    <w:rsid w:val="00C0345A"/>
    <w:rsid w:val="00C03511"/>
    <w:rsid w:val="00C04C3A"/>
    <w:rsid w:val="00C053FB"/>
    <w:rsid w:val="00C05566"/>
    <w:rsid w:val="00C05700"/>
    <w:rsid w:val="00C05FB6"/>
    <w:rsid w:val="00C074CD"/>
    <w:rsid w:val="00C07A89"/>
    <w:rsid w:val="00C07B25"/>
    <w:rsid w:val="00C107C3"/>
    <w:rsid w:val="00C11928"/>
    <w:rsid w:val="00C13520"/>
    <w:rsid w:val="00C13827"/>
    <w:rsid w:val="00C14974"/>
    <w:rsid w:val="00C14F9B"/>
    <w:rsid w:val="00C14FAB"/>
    <w:rsid w:val="00C155A6"/>
    <w:rsid w:val="00C15F42"/>
    <w:rsid w:val="00C1610B"/>
    <w:rsid w:val="00C1611D"/>
    <w:rsid w:val="00C16C9A"/>
    <w:rsid w:val="00C175E4"/>
    <w:rsid w:val="00C2015E"/>
    <w:rsid w:val="00C20F6C"/>
    <w:rsid w:val="00C228BB"/>
    <w:rsid w:val="00C232E0"/>
    <w:rsid w:val="00C24B5E"/>
    <w:rsid w:val="00C2534F"/>
    <w:rsid w:val="00C27759"/>
    <w:rsid w:val="00C27F3A"/>
    <w:rsid w:val="00C30058"/>
    <w:rsid w:val="00C317A2"/>
    <w:rsid w:val="00C32B99"/>
    <w:rsid w:val="00C33C9F"/>
    <w:rsid w:val="00C343FC"/>
    <w:rsid w:val="00C357CB"/>
    <w:rsid w:val="00C3651F"/>
    <w:rsid w:val="00C36633"/>
    <w:rsid w:val="00C36BCF"/>
    <w:rsid w:val="00C36E9D"/>
    <w:rsid w:val="00C37C86"/>
    <w:rsid w:val="00C41092"/>
    <w:rsid w:val="00C412B1"/>
    <w:rsid w:val="00C424E4"/>
    <w:rsid w:val="00C430DE"/>
    <w:rsid w:val="00C43A74"/>
    <w:rsid w:val="00C4436C"/>
    <w:rsid w:val="00C446C9"/>
    <w:rsid w:val="00C447A9"/>
    <w:rsid w:val="00C451A8"/>
    <w:rsid w:val="00C4552C"/>
    <w:rsid w:val="00C45DA9"/>
    <w:rsid w:val="00C461B2"/>
    <w:rsid w:val="00C46ED4"/>
    <w:rsid w:val="00C46F13"/>
    <w:rsid w:val="00C47C8E"/>
    <w:rsid w:val="00C50586"/>
    <w:rsid w:val="00C510AA"/>
    <w:rsid w:val="00C5206F"/>
    <w:rsid w:val="00C52FD1"/>
    <w:rsid w:val="00C5359B"/>
    <w:rsid w:val="00C53AF7"/>
    <w:rsid w:val="00C54D9C"/>
    <w:rsid w:val="00C55122"/>
    <w:rsid w:val="00C554B5"/>
    <w:rsid w:val="00C56EF2"/>
    <w:rsid w:val="00C570A6"/>
    <w:rsid w:val="00C57384"/>
    <w:rsid w:val="00C57751"/>
    <w:rsid w:val="00C579F3"/>
    <w:rsid w:val="00C600B3"/>
    <w:rsid w:val="00C61464"/>
    <w:rsid w:val="00C62718"/>
    <w:rsid w:val="00C632A6"/>
    <w:rsid w:val="00C67E8E"/>
    <w:rsid w:val="00C70044"/>
    <w:rsid w:val="00C7021E"/>
    <w:rsid w:val="00C71B97"/>
    <w:rsid w:val="00C72177"/>
    <w:rsid w:val="00C722F0"/>
    <w:rsid w:val="00C73867"/>
    <w:rsid w:val="00C74B8C"/>
    <w:rsid w:val="00C75E6E"/>
    <w:rsid w:val="00C76B74"/>
    <w:rsid w:val="00C777F5"/>
    <w:rsid w:val="00C77993"/>
    <w:rsid w:val="00C819C7"/>
    <w:rsid w:val="00C8268F"/>
    <w:rsid w:val="00C82C40"/>
    <w:rsid w:val="00C83048"/>
    <w:rsid w:val="00C83535"/>
    <w:rsid w:val="00C83D84"/>
    <w:rsid w:val="00C87436"/>
    <w:rsid w:val="00C91651"/>
    <w:rsid w:val="00C917A4"/>
    <w:rsid w:val="00C921E7"/>
    <w:rsid w:val="00C922A2"/>
    <w:rsid w:val="00C92CB4"/>
    <w:rsid w:val="00C951B6"/>
    <w:rsid w:val="00C97CEE"/>
    <w:rsid w:val="00CA125F"/>
    <w:rsid w:val="00CA176F"/>
    <w:rsid w:val="00CA1853"/>
    <w:rsid w:val="00CA26EA"/>
    <w:rsid w:val="00CA2FB2"/>
    <w:rsid w:val="00CA3736"/>
    <w:rsid w:val="00CA3D3A"/>
    <w:rsid w:val="00CA42D6"/>
    <w:rsid w:val="00CA528A"/>
    <w:rsid w:val="00CA6532"/>
    <w:rsid w:val="00CB085D"/>
    <w:rsid w:val="00CB15E9"/>
    <w:rsid w:val="00CB2BD5"/>
    <w:rsid w:val="00CB5C55"/>
    <w:rsid w:val="00CC17A9"/>
    <w:rsid w:val="00CC1D1A"/>
    <w:rsid w:val="00CC4821"/>
    <w:rsid w:val="00CC4D6F"/>
    <w:rsid w:val="00CC6260"/>
    <w:rsid w:val="00CC7C58"/>
    <w:rsid w:val="00CD06DD"/>
    <w:rsid w:val="00CD1404"/>
    <w:rsid w:val="00CD3210"/>
    <w:rsid w:val="00CD4625"/>
    <w:rsid w:val="00CD70E3"/>
    <w:rsid w:val="00CE06F2"/>
    <w:rsid w:val="00CE0ADE"/>
    <w:rsid w:val="00CE1A6F"/>
    <w:rsid w:val="00CE249E"/>
    <w:rsid w:val="00CE28E3"/>
    <w:rsid w:val="00CE49E9"/>
    <w:rsid w:val="00CF0120"/>
    <w:rsid w:val="00CF0198"/>
    <w:rsid w:val="00CF08D7"/>
    <w:rsid w:val="00CF17F8"/>
    <w:rsid w:val="00CF1A2D"/>
    <w:rsid w:val="00CF1D45"/>
    <w:rsid w:val="00CF2525"/>
    <w:rsid w:val="00CF270F"/>
    <w:rsid w:val="00CF2913"/>
    <w:rsid w:val="00CF2CE2"/>
    <w:rsid w:val="00CF3022"/>
    <w:rsid w:val="00CF3183"/>
    <w:rsid w:val="00CF39A9"/>
    <w:rsid w:val="00CF439F"/>
    <w:rsid w:val="00CF4D2E"/>
    <w:rsid w:val="00CF7120"/>
    <w:rsid w:val="00CF724C"/>
    <w:rsid w:val="00D001B4"/>
    <w:rsid w:val="00D003B7"/>
    <w:rsid w:val="00D00E36"/>
    <w:rsid w:val="00D013F6"/>
    <w:rsid w:val="00D01A7E"/>
    <w:rsid w:val="00D02F4F"/>
    <w:rsid w:val="00D03912"/>
    <w:rsid w:val="00D04B6F"/>
    <w:rsid w:val="00D04CB3"/>
    <w:rsid w:val="00D06D6A"/>
    <w:rsid w:val="00D104DE"/>
    <w:rsid w:val="00D10BC5"/>
    <w:rsid w:val="00D13865"/>
    <w:rsid w:val="00D14E20"/>
    <w:rsid w:val="00D14E59"/>
    <w:rsid w:val="00D164D6"/>
    <w:rsid w:val="00D1650B"/>
    <w:rsid w:val="00D20031"/>
    <w:rsid w:val="00D203AA"/>
    <w:rsid w:val="00D23A01"/>
    <w:rsid w:val="00D23A84"/>
    <w:rsid w:val="00D23D35"/>
    <w:rsid w:val="00D2466F"/>
    <w:rsid w:val="00D27C87"/>
    <w:rsid w:val="00D30193"/>
    <w:rsid w:val="00D313B0"/>
    <w:rsid w:val="00D313B3"/>
    <w:rsid w:val="00D31741"/>
    <w:rsid w:val="00D3292B"/>
    <w:rsid w:val="00D33DFA"/>
    <w:rsid w:val="00D33F02"/>
    <w:rsid w:val="00D34B7B"/>
    <w:rsid w:val="00D358F7"/>
    <w:rsid w:val="00D36376"/>
    <w:rsid w:val="00D36AD0"/>
    <w:rsid w:val="00D36C99"/>
    <w:rsid w:val="00D36E67"/>
    <w:rsid w:val="00D37EF5"/>
    <w:rsid w:val="00D410E6"/>
    <w:rsid w:val="00D419C9"/>
    <w:rsid w:val="00D428B9"/>
    <w:rsid w:val="00D43246"/>
    <w:rsid w:val="00D43457"/>
    <w:rsid w:val="00D436E0"/>
    <w:rsid w:val="00D444FE"/>
    <w:rsid w:val="00D45750"/>
    <w:rsid w:val="00D457EA"/>
    <w:rsid w:val="00D45C42"/>
    <w:rsid w:val="00D50021"/>
    <w:rsid w:val="00D517FE"/>
    <w:rsid w:val="00D523C4"/>
    <w:rsid w:val="00D52AC3"/>
    <w:rsid w:val="00D52E54"/>
    <w:rsid w:val="00D52FF5"/>
    <w:rsid w:val="00D53D8E"/>
    <w:rsid w:val="00D53E3D"/>
    <w:rsid w:val="00D54143"/>
    <w:rsid w:val="00D5498C"/>
    <w:rsid w:val="00D54F83"/>
    <w:rsid w:val="00D54F96"/>
    <w:rsid w:val="00D5544D"/>
    <w:rsid w:val="00D55B1F"/>
    <w:rsid w:val="00D55F16"/>
    <w:rsid w:val="00D56DFA"/>
    <w:rsid w:val="00D60294"/>
    <w:rsid w:val="00D60E22"/>
    <w:rsid w:val="00D61302"/>
    <w:rsid w:val="00D61CDA"/>
    <w:rsid w:val="00D62D15"/>
    <w:rsid w:val="00D62F4D"/>
    <w:rsid w:val="00D63D11"/>
    <w:rsid w:val="00D64B0B"/>
    <w:rsid w:val="00D652D9"/>
    <w:rsid w:val="00D70DDA"/>
    <w:rsid w:val="00D73AD9"/>
    <w:rsid w:val="00D73E4C"/>
    <w:rsid w:val="00D742C5"/>
    <w:rsid w:val="00D7646A"/>
    <w:rsid w:val="00D76D20"/>
    <w:rsid w:val="00D7721E"/>
    <w:rsid w:val="00D80C29"/>
    <w:rsid w:val="00D82B6E"/>
    <w:rsid w:val="00D82D32"/>
    <w:rsid w:val="00D8316D"/>
    <w:rsid w:val="00D83B33"/>
    <w:rsid w:val="00D83B51"/>
    <w:rsid w:val="00D846F7"/>
    <w:rsid w:val="00D84B9E"/>
    <w:rsid w:val="00D84ECA"/>
    <w:rsid w:val="00D8525E"/>
    <w:rsid w:val="00D9041B"/>
    <w:rsid w:val="00D90DBB"/>
    <w:rsid w:val="00D913AB"/>
    <w:rsid w:val="00D9141D"/>
    <w:rsid w:val="00D931CC"/>
    <w:rsid w:val="00D93984"/>
    <w:rsid w:val="00D946C9"/>
    <w:rsid w:val="00D94B4F"/>
    <w:rsid w:val="00D94CF3"/>
    <w:rsid w:val="00D9549E"/>
    <w:rsid w:val="00D96051"/>
    <w:rsid w:val="00D96074"/>
    <w:rsid w:val="00D967A8"/>
    <w:rsid w:val="00DA03E6"/>
    <w:rsid w:val="00DA058E"/>
    <w:rsid w:val="00DA1BBE"/>
    <w:rsid w:val="00DA2476"/>
    <w:rsid w:val="00DA335E"/>
    <w:rsid w:val="00DA36F9"/>
    <w:rsid w:val="00DA512C"/>
    <w:rsid w:val="00DA6765"/>
    <w:rsid w:val="00DA6EF7"/>
    <w:rsid w:val="00DA77FC"/>
    <w:rsid w:val="00DA7A1E"/>
    <w:rsid w:val="00DB003C"/>
    <w:rsid w:val="00DB093C"/>
    <w:rsid w:val="00DB1033"/>
    <w:rsid w:val="00DB11EF"/>
    <w:rsid w:val="00DB157A"/>
    <w:rsid w:val="00DB16D3"/>
    <w:rsid w:val="00DB1E91"/>
    <w:rsid w:val="00DB4410"/>
    <w:rsid w:val="00DB5117"/>
    <w:rsid w:val="00DB52F1"/>
    <w:rsid w:val="00DB5964"/>
    <w:rsid w:val="00DB6031"/>
    <w:rsid w:val="00DB664A"/>
    <w:rsid w:val="00DB7463"/>
    <w:rsid w:val="00DC08B4"/>
    <w:rsid w:val="00DC14AF"/>
    <w:rsid w:val="00DC16CF"/>
    <w:rsid w:val="00DC1720"/>
    <w:rsid w:val="00DC2AA0"/>
    <w:rsid w:val="00DC3633"/>
    <w:rsid w:val="00DC3EC5"/>
    <w:rsid w:val="00DC3F89"/>
    <w:rsid w:val="00DC4108"/>
    <w:rsid w:val="00DC4EC7"/>
    <w:rsid w:val="00DC4F64"/>
    <w:rsid w:val="00DC50C5"/>
    <w:rsid w:val="00DC64A7"/>
    <w:rsid w:val="00DC74EB"/>
    <w:rsid w:val="00DC76B9"/>
    <w:rsid w:val="00DC7AAE"/>
    <w:rsid w:val="00DD0953"/>
    <w:rsid w:val="00DD1787"/>
    <w:rsid w:val="00DD1A95"/>
    <w:rsid w:val="00DD1F4E"/>
    <w:rsid w:val="00DD2573"/>
    <w:rsid w:val="00DD2C81"/>
    <w:rsid w:val="00DD427F"/>
    <w:rsid w:val="00DE0726"/>
    <w:rsid w:val="00DE1590"/>
    <w:rsid w:val="00DE2496"/>
    <w:rsid w:val="00DE290D"/>
    <w:rsid w:val="00DE3322"/>
    <w:rsid w:val="00DE3999"/>
    <w:rsid w:val="00DE399C"/>
    <w:rsid w:val="00DE4FDD"/>
    <w:rsid w:val="00DE549F"/>
    <w:rsid w:val="00DE6E2B"/>
    <w:rsid w:val="00DE6E32"/>
    <w:rsid w:val="00DE7099"/>
    <w:rsid w:val="00DF01A3"/>
    <w:rsid w:val="00DF0FAA"/>
    <w:rsid w:val="00DF2576"/>
    <w:rsid w:val="00DF341B"/>
    <w:rsid w:val="00DF384B"/>
    <w:rsid w:val="00DF39E9"/>
    <w:rsid w:val="00DF431B"/>
    <w:rsid w:val="00DF4681"/>
    <w:rsid w:val="00DF5F61"/>
    <w:rsid w:val="00DF643D"/>
    <w:rsid w:val="00DF65E2"/>
    <w:rsid w:val="00DF7408"/>
    <w:rsid w:val="00DF74D9"/>
    <w:rsid w:val="00DF7819"/>
    <w:rsid w:val="00E00983"/>
    <w:rsid w:val="00E00FD0"/>
    <w:rsid w:val="00E01F5A"/>
    <w:rsid w:val="00E0215F"/>
    <w:rsid w:val="00E0298F"/>
    <w:rsid w:val="00E0360B"/>
    <w:rsid w:val="00E03A96"/>
    <w:rsid w:val="00E042DD"/>
    <w:rsid w:val="00E0562F"/>
    <w:rsid w:val="00E05D56"/>
    <w:rsid w:val="00E079B8"/>
    <w:rsid w:val="00E079CC"/>
    <w:rsid w:val="00E105A9"/>
    <w:rsid w:val="00E10C04"/>
    <w:rsid w:val="00E13866"/>
    <w:rsid w:val="00E14025"/>
    <w:rsid w:val="00E143BF"/>
    <w:rsid w:val="00E145FF"/>
    <w:rsid w:val="00E15056"/>
    <w:rsid w:val="00E15A35"/>
    <w:rsid w:val="00E15D7A"/>
    <w:rsid w:val="00E15DB1"/>
    <w:rsid w:val="00E166D8"/>
    <w:rsid w:val="00E16F33"/>
    <w:rsid w:val="00E17552"/>
    <w:rsid w:val="00E21B03"/>
    <w:rsid w:val="00E21F0A"/>
    <w:rsid w:val="00E22445"/>
    <w:rsid w:val="00E23BBB"/>
    <w:rsid w:val="00E260A3"/>
    <w:rsid w:val="00E26D15"/>
    <w:rsid w:val="00E27DDB"/>
    <w:rsid w:val="00E31702"/>
    <w:rsid w:val="00E31B75"/>
    <w:rsid w:val="00E3242E"/>
    <w:rsid w:val="00E330C9"/>
    <w:rsid w:val="00E3330E"/>
    <w:rsid w:val="00E3351F"/>
    <w:rsid w:val="00E33992"/>
    <w:rsid w:val="00E4052C"/>
    <w:rsid w:val="00E40D84"/>
    <w:rsid w:val="00E40DAE"/>
    <w:rsid w:val="00E40F62"/>
    <w:rsid w:val="00E41C8B"/>
    <w:rsid w:val="00E42632"/>
    <w:rsid w:val="00E43249"/>
    <w:rsid w:val="00E436A2"/>
    <w:rsid w:val="00E43E3B"/>
    <w:rsid w:val="00E44B66"/>
    <w:rsid w:val="00E44F87"/>
    <w:rsid w:val="00E4514E"/>
    <w:rsid w:val="00E458D8"/>
    <w:rsid w:val="00E46C02"/>
    <w:rsid w:val="00E47029"/>
    <w:rsid w:val="00E47902"/>
    <w:rsid w:val="00E505F5"/>
    <w:rsid w:val="00E51006"/>
    <w:rsid w:val="00E518A7"/>
    <w:rsid w:val="00E520B9"/>
    <w:rsid w:val="00E529F5"/>
    <w:rsid w:val="00E53277"/>
    <w:rsid w:val="00E5356B"/>
    <w:rsid w:val="00E53D62"/>
    <w:rsid w:val="00E53E00"/>
    <w:rsid w:val="00E54221"/>
    <w:rsid w:val="00E5650A"/>
    <w:rsid w:val="00E574EC"/>
    <w:rsid w:val="00E57885"/>
    <w:rsid w:val="00E57F9C"/>
    <w:rsid w:val="00E615F9"/>
    <w:rsid w:val="00E6193C"/>
    <w:rsid w:val="00E62BC2"/>
    <w:rsid w:val="00E637A2"/>
    <w:rsid w:val="00E637D1"/>
    <w:rsid w:val="00E63DAA"/>
    <w:rsid w:val="00E64B96"/>
    <w:rsid w:val="00E65E98"/>
    <w:rsid w:val="00E70241"/>
    <w:rsid w:val="00E7048F"/>
    <w:rsid w:val="00E7122E"/>
    <w:rsid w:val="00E71B8D"/>
    <w:rsid w:val="00E7221D"/>
    <w:rsid w:val="00E72560"/>
    <w:rsid w:val="00E74382"/>
    <w:rsid w:val="00E7615F"/>
    <w:rsid w:val="00E76AE0"/>
    <w:rsid w:val="00E807D9"/>
    <w:rsid w:val="00E80F35"/>
    <w:rsid w:val="00E8175B"/>
    <w:rsid w:val="00E81A87"/>
    <w:rsid w:val="00E83948"/>
    <w:rsid w:val="00E83CF9"/>
    <w:rsid w:val="00E85237"/>
    <w:rsid w:val="00E8627B"/>
    <w:rsid w:val="00E87D4B"/>
    <w:rsid w:val="00E9037C"/>
    <w:rsid w:val="00E9118A"/>
    <w:rsid w:val="00E92974"/>
    <w:rsid w:val="00E92F98"/>
    <w:rsid w:val="00E92FC5"/>
    <w:rsid w:val="00E93029"/>
    <w:rsid w:val="00E9331D"/>
    <w:rsid w:val="00E9365A"/>
    <w:rsid w:val="00E937E4"/>
    <w:rsid w:val="00E95322"/>
    <w:rsid w:val="00E95490"/>
    <w:rsid w:val="00E967E2"/>
    <w:rsid w:val="00E968C1"/>
    <w:rsid w:val="00E96E37"/>
    <w:rsid w:val="00E971F6"/>
    <w:rsid w:val="00E975B6"/>
    <w:rsid w:val="00E97751"/>
    <w:rsid w:val="00E97875"/>
    <w:rsid w:val="00EA06A9"/>
    <w:rsid w:val="00EA0E54"/>
    <w:rsid w:val="00EA120C"/>
    <w:rsid w:val="00EA1769"/>
    <w:rsid w:val="00EA22DE"/>
    <w:rsid w:val="00EA260F"/>
    <w:rsid w:val="00EA3671"/>
    <w:rsid w:val="00EA4C1E"/>
    <w:rsid w:val="00EA7041"/>
    <w:rsid w:val="00EA7408"/>
    <w:rsid w:val="00EB0CC8"/>
    <w:rsid w:val="00EB0DEA"/>
    <w:rsid w:val="00EB1719"/>
    <w:rsid w:val="00EB1F63"/>
    <w:rsid w:val="00EB1FD1"/>
    <w:rsid w:val="00EB1FE2"/>
    <w:rsid w:val="00EB27BC"/>
    <w:rsid w:val="00EB2AFC"/>
    <w:rsid w:val="00EB2CEF"/>
    <w:rsid w:val="00EB31CC"/>
    <w:rsid w:val="00EB33F6"/>
    <w:rsid w:val="00EB4664"/>
    <w:rsid w:val="00EB4A0F"/>
    <w:rsid w:val="00EB4FBF"/>
    <w:rsid w:val="00EB5B41"/>
    <w:rsid w:val="00EB6A32"/>
    <w:rsid w:val="00EB7771"/>
    <w:rsid w:val="00EC0BE9"/>
    <w:rsid w:val="00EC1A53"/>
    <w:rsid w:val="00EC33A0"/>
    <w:rsid w:val="00EC4836"/>
    <w:rsid w:val="00EC5088"/>
    <w:rsid w:val="00EC516C"/>
    <w:rsid w:val="00EC6AFB"/>
    <w:rsid w:val="00EC7ED7"/>
    <w:rsid w:val="00ED0ADD"/>
    <w:rsid w:val="00ED154B"/>
    <w:rsid w:val="00ED324A"/>
    <w:rsid w:val="00ED3AB0"/>
    <w:rsid w:val="00ED4482"/>
    <w:rsid w:val="00ED4D5B"/>
    <w:rsid w:val="00ED5CF2"/>
    <w:rsid w:val="00ED5E38"/>
    <w:rsid w:val="00ED610A"/>
    <w:rsid w:val="00ED6D3C"/>
    <w:rsid w:val="00EE0CC1"/>
    <w:rsid w:val="00EE0E6D"/>
    <w:rsid w:val="00EE4137"/>
    <w:rsid w:val="00EE4490"/>
    <w:rsid w:val="00EE4D63"/>
    <w:rsid w:val="00EE4DAC"/>
    <w:rsid w:val="00EE4EEF"/>
    <w:rsid w:val="00EE5B24"/>
    <w:rsid w:val="00EE5E06"/>
    <w:rsid w:val="00EE6832"/>
    <w:rsid w:val="00EE724A"/>
    <w:rsid w:val="00EE7F7E"/>
    <w:rsid w:val="00EF073B"/>
    <w:rsid w:val="00EF08C2"/>
    <w:rsid w:val="00EF1755"/>
    <w:rsid w:val="00EF205A"/>
    <w:rsid w:val="00EF22F2"/>
    <w:rsid w:val="00EF3D58"/>
    <w:rsid w:val="00EF4C12"/>
    <w:rsid w:val="00EF59A2"/>
    <w:rsid w:val="00EF7063"/>
    <w:rsid w:val="00EF7084"/>
    <w:rsid w:val="00EF773A"/>
    <w:rsid w:val="00EF7C2F"/>
    <w:rsid w:val="00F00846"/>
    <w:rsid w:val="00F00AFC"/>
    <w:rsid w:val="00F00FFC"/>
    <w:rsid w:val="00F021A6"/>
    <w:rsid w:val="00F02EC8"/>
    <w:rsid w:val="00F03723"/>
    <w:rsid w:val="00F03B39"/>
    <w:rsid w:val="00F04052"/>
    <w:rsid w:val="00F0411D"/>
    <w:rsid w:val="00F047A2"/>
    <w:rsid w:val="00F04FED"/>
    <w:rsid w:val="00F05A66"/>
    <w:rsid w:val="00F06200"/>
    <w:rsid w:val="00F06673"/>
    <w:rsid w:val="00F06961"/>
    <w:rsid w:val="00F06A06"/>
    <w:rsid w:val="00F1066F"/>
    <w:rsid w:val="00F10F76"/>
    <w:rsid w:val="00F11386"/>
    <w:rsid w:val="00F1187D"/>
    <w:rsid w:val="00F12BBB"/>
    <w:rsid w:val="00F1415F"/>
    <w:rsid w:val="00F14201"/>
    <w:rsid w:val="00F1508C"/>
    <w:rsid w:val="00F1578E"/>
    <w:rsid w:val="00F16FDE"/>
    <w:rsid w:val="00F20763"/>
    <w:rsid w:val="00F20C90"/>
    <w:rsid w:val="00F2160B"/>
    <w:rsid w:val="00F226C9"/>
    <w:rsid w:val="00F227C8"/>
    <w:rsid w:val="00F2316F"/>
    <w:rsid w:val="00F23CB7"/>
    <w:rsid w:val="00F23FC1"/>
    <w:rsid w:val="00F25077"/>
    <w:rsid w:val="00F257B5"/>
    <w:rsid w:val="00F25984"/>
    <w:rsid w:val="00F25E0F"/>
    <w:rsid w:val="00F2720E"/>
    <w:rsid w:val="00F2776D"/>
    <w:rsid w:val="00F30216"/>
    <w:rsid w:val="00F3204C"/>
    <w:rsid w:val="00F34183"/>
    <w:rsid w:val="00F346E6"/>
    <w:rsid w:val="00F40852"/>
    <w:rsid w:val="00F40864"/>
    <w:rsid w:val="00F42A63"/>
    <w:rsid w:val="00F435F6"/>
    <w:rsid w:val="00F43FF8"/>
    <w:rsid w:val="00F44895"/>
    <w:rsid w:val="00F450D8"/>
    <w:rsid w:val="00F452B0"/>
    <w:rsid w:val="00F456C3"/>
    <w:rsid w:val="00F47425"/>
    <w:rsid w:val="00F50585"/>
    <w:rsid w:val="00F50E5C"/>
    <w:rsid w:val="00F515F0"/>
    <w:rsid w:val="00F516E3"/>
    <w:rsid w:val="00F51EFB"/>
    <w:rsid w:val="00F5203C"/>
    <w:rsid w:val="00F53B15"/>
    <w:rsid w:val="00F53F6F"/>
    <w:rsid w:val="00F54832"/>
    <w:rsid w:val="00F554F7"/>
    <w:rsid w:val="00F557AC"/>
    <w:rsid w:val="00F57885"/>
    <w:rsid w:val="00F5796C"/>
    <w:rsid w:val="00F60E12"/>
    <w:rsid w:val="00F6222B"/>
    <w:rsid w:val="00F628BC"/>
    <w:rsid w:val="00F630D6"/>
    <w:rsid w:val="00F63688"/>
    <w:rsid w:val="00F63F4A"/>
    <w:rsid w:val="00F6591E"/>
    <w:rsid w:val="00F65925"/>
    <w:rsid w:val="00F66144"/>
    <w:rsid w:val="00F66A42"/>
    <w:rsid w:val="00F6713F"/>
    <w:rsid w:val="00F748DA"/>
    <w:rsid w:val="00F74B51"/>
    <w:rsid w:val="00F75866"/>
    <w:rsid w:val="00F77666"/>
    <w:rsid w:val="00F81362"/>
    <w:rsid w:val="00F81627"/>
    <w:rsid w:val="00F827D8"/>
    <w:rsid w:val="00F8325D"/>
    <w:rsid w:val="00F83428"/>
    <w:rsid w:val="00F838D9"/>
    <w:rsid w:val="00F84054"/>
    <w:rsid w:val="00F845F8"/>
    <w:rsid w:val="00F84D6B"/>
    <w:rsid w:val="00F854EE"/>
    <w:rsid w:val="00F86277"/>
    <w:rsid w:val="00F86EC7"/>
    <w:rsid w:val="00F86ECE"/>
    <w:rsid w:val="00F87D6E"/>
    <w:rsid w:val="00F902CB"/>
    <w:rsid w:val="00F903D9"/>
    <w:rsid w:val="00F90596"/>
    <w:rsid w:val="00F91353"/>
    <w:rsid w:val="00F91E0F"/>
    <w:rsid w:val="00F92C14"/>
    <w:rsid w:val="00F92C98"/>
    <w:rsid w:val="00F93355"/>
    <w:rsid w:val="00F9597F"/>
    <w:rsid w:val="00F9684A"/>
    <w:rsid w:val="00F96A6B"/>
    <w:rsid w:val="00F97A30"/>
    <w:rsid w:val="00FA0198"/>
    <w:rsid w:val="00FA0825"/>
    <w:rsid w:val="00FA08AD"/>
    <w:rsid w:val="00FA11EC"/>
    <w:rsid w:val="00FA2C2C"/>
    <w:rsid w:val="00FA2F27"/>
    <w:rsid w:val="00FA2F65"/>
    <w:rsid w:val="00FA4150"/>
    <w:rsid w:val="00FA5134"/>
    <w:rsid w:val="00FA5766"/>
    <w:rsid w:val="00FA5F5E"/>
    <w:rsid w:val="00FA6542"/>
    <w:rsid w:val="00FA75DD"/>
    <w:rsid w:val="00FA7D7D"/>
    <w:rsid w:val="00FB0250"/>
    <w:rsid w:val="00FB31E2"/>
    <w:rsid w:val="00FB34F1"/>
    <w:rsid w:val="00FB5C0E"/>
    <w:rsid w:val="00FB620D"/>
    <w:rsid w:val="00FB63F1"/>
    <w:rsid w:val="00FB6F67"/>
    <w:rsid w:val="00FC0032"/>
    <w:rsid w:val="00FC07A5"/>
    <w:rsid w:val="00FC0AD7"/>
    <w:rsid w:val="00FC10DE"/>
    <w:rsid w:val="00FC2D5F"/>
    <w:rsid w:val="00FC3EE2"/>
    <w:rsid w:val="00FC4115"/>
    <w:rsid w:val="00FC5603"/>
    <w:rsid w:val="00FC7985"/>
    <w:rsid w:val="00FD0B28"/>
    <w:rsid w:val="00FD17BA"/>
    <w:rsid w:val="00FD2A21"/>
    <w:rsid w:val="00FD2C9D"/>
    <w:rsid w:val="00FD2F74"/>
    <w:rsid w:val="00FD39C1"/>
    <w:rsid w:val="00FD3B94"/>
    <w:rsid w:val="00FD403A"/>
    <w:rsid w:val="00FD40DD"/>
    <w:rsid w:val="00FD43B3"/>
    <w:rsid w:val="00FD4CD0"/>
    <w:rsid w:val="00FD511D"/>
    <w:rsid w:val="00FD6295"/>
    <w:rsid w:val="00FD629E"/>
    <w:rsid w:val="00FD73F7"/>
    <w:rsid w:val="00FD7A03"/>
    <w:rsid w:val="00FE1118"/>
    <w:rsid w:val="00FE2522"/>
    <w:rsid w:val="00FE35AF"/>
    <w:rsid w:val="00FE3685"/>
    <w:rsid w:val="00FE38D0"/>
    <w:rsid w:val="00FE40E5"/>
    <w:rsid w:val="00FE4739"/>
    <w:rsid w:val="00FE4B0F"/>
    <w:rsid w:val="00FE4DB2"/>
    <w:rsid w:val="00FE5EE9"/>
    <w:rsid w:val="00FE65A5"/>
    <w:rsid w:val="00FE681D"/>
    <w:rsid w:val="00FE7342"/>
    <w:rsid w:val="00FE74DF"/>
    <w:rsid w:val="00FF018F"/>
    <w:rsid w:val="00FF0627"/>
    <w:rsid w:val="00FF0DBD"/>
    <w:rsid w:val="00FF0E25"/>
    <w:rsid w:val="00FF1F9B"/>
    <w:rsid w:val="00FF2100"/>
    <w:rsid w:val="00FF30D7"/>
    <w:rsid w:val="00FF3A07"/>
    <w:rsid w:val="00FF3F9D"/>
    <w:rsid w:val="00FF3FEA"/>
    <w:rsid w:val="00FF4C68"/>
    <w:rsid w:val="00FF68A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3F7"/>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
    <w:basedOn w:val="TableNormal"/>
    <w:uiPriority w:val="59"/>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GB"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Arial Narrow" w:hAnsi="Arial Narrow"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Arial Narrow" w:hAnsi="Arial Narrow"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Arial Narrow" w:hAnsi="Arial Narrow"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8"/>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9"/>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character" w:customStyle="1" w:styleId="UnresolvedMention3">
    <w:name w:val="Unresolved Mention3"/>
    <w:basedOn w:val="DefaultParagraphFont"/>
    <w:uiPriority w:val="99"/>
    <w:semiHidden/>
    <w:unhideWhenUsed/>
    <w:rsid w:val="00D13865"/>
    <w:rPr>
      <w:color w:val="605E5C"/>
      <w:shd w:val="clear" w:color="auto" w:fill="E1DFDD"/>
    </w:rPr>
  </w:style>
  <w:style w:type="paragraph" w:styleId="NoSpacing">
    <w:name w:val="No Spacing"/>
    <w:uiPriority w:val="1"/>
    <w:qFormat/>
    <w:rsid w:val="006372CD"/>
    <w:pPr>
      <w:spacing w:after="0" w:line="240" w:lineRule="auto"/>
    </w:pPr>
    <w:rPr>
      <w:rFonts w:ascii="Franklin Gothic Book" w:hAnsi="Franklin Gothic Book"/>
    </w:rPr>
  </w:style>
  <w:style w:type="paragraph" w:customStyle="1" w:styleId="EndNoteBibliographyTitle">
    <w:name w:val="EndNote Bibliography Title"/>
    <w:basedOn w:val="Normal"/>
    <w:link w:val="EndNoteBibliographyTitleChar"/>
    <w:rsid w:val="00E47029"/>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E47029"/>
    <w:rPr>
      <w:rFonts w:ascii="Franklin Gothic Book" w:hAnsi="Franklin Gothic Book"/>
      <w:noProof/>
      <w:lang w:val="en-US"/>
    </w:rPr>
  </w:style>
  <w:style w:type="paragraph" w:customStyle="1" w:styleId="EndNoteBibliography">
    <w:name w:val="EndNote Bibliography"/>
    <w:basedOn w:val="Normal"/>
    <w:link w:val="EndNoteBibliographyChar"/>
    <w:rsid w:val="00E47029"/>
    <w:pPr>
      <w:spacing w:line="240" w:lineRule="auto"/>
    </w:pPr>
    <w:rPr>
      <w:noProof/>
      <w:lang w:val="en-US"/>
    </w:rPr>
  </w:style>
  <w:style w:type="character" w:customStyle="1" w:styleId="EndNoteBibliographyChar">
    <w:name w:val="EndNote Bibliography Char"/>
    <w:basedOn w:val="DefaultParagraphFont"/>
    <w:link w:val="EndNoteBibliography"/>
    <w:rsid w:val="00E47029"/>
    <w:rPr>
      <w:rFonts w:ascii="Franklin Gothic Book" w:hAnsi="Franklin Gothic Book"/>
      <w:noProof/>
      <w:lang w:val="en-US"/>
    </w:rPr>
  </w:style>
  <w:style w:type="table" w:customStyle="1" w:styleId="TableGrid3">
    <w:name w:val="Table Grid3"/>
    <w:basedOn w:val="TableNormal"/>
    <w:next w:val="TableGrid"/>
    <w:uiPriority w:val="39"/>
    <w:rsid w:val="00A95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F5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3714D"/>
    <w:rPr>
      <w:color w:val="605E5C"/>
      <w:shd w:val="clear" w:color="auto" w:fill="E1DFDD"/>
    </w:rPr>
  </w:style>
  <w:style w:type="paragraph" w:customStyle="1" w:styleId="Default">
    <w:name w:val="Default"/>
    <w:rsid w:val="00C27F3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ormaltextrun">
    <w:name w:val="normaltextrun"/>
    <w:basedOn w:val="DefaultParagraphFont"/>
    <w:rsid w:val="00570CF0"/>
  </w:style>
  <w:style w:type="character" w:customStyle="1" w:styleId="eop">
    <w:name w:val="eop"/>
    <w:basedOn w:val="DefaultParagraphFont"/>
    <w:rsid w:val="00570CF0"/>
  </w:style>
  <w:style w:type="character" w:customStyle="1" w:styleId="tabchar">
    <w:name w:val="tabchar"/>
    <w:basedOn w:val="DefaultParagraphFont"/>
    <w:rsid w:val="00570CF0"/>
  </w:style>
  <w:style w:type="paragraph" w:styleId="NormalWeb">
    <w:name w:val="Normal (Web)"/>
    <w:basedOn w:val="Normal"/>
    <w:uiPriority w:val="99"/>
    <w:rsid w:val="005D518E"/>
    <w:pPr>
      <w:spacing w:before="100" w:beforeAutospacing="1" w:after="100" w:afterAutospacing="1"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10320598">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20437537">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565998750">
      <w:bodyDiv w:val="1"/>
      <w:marLeft w:val="0"/>
      <w:marRight w:val="0"/>
      <w:marTop w:val="0"/>
      <w:marBottom w:val="0"/>
      <w:divBdr>
        <w:top w:val="none" w:sz="0" w:space="0" w:color="auto"/>
        <w:left w:val="none" w:sz="0" w:space="0" w:color="auto"/>
        <w:bottom w:val="none" w:sz="0" w:space="0" w:color="auto"/>
        <w:right w:val="none" w:sz="0" w:space="0" w:color="auto"/>
      </w:divBdr>
    </w:div>
    <w:div w:id="594287137">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665060038">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072851434">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70264159">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46156833">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00593801">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1971746397">
      <w:bodyDiv w:val="1"/>
      <w:marLeft w:val="0"/>
      <w:marRight w:val="0"/>
      <w:marTop w:val="0"/>
      <w:marBottom w:val="0"/>
      <w:divBdr>
        <w:top w:val="none" w:sz="0" w:space="0" w:color="auto"/>
        <w:left w:val="none" w:sz="0" w:space="0" w:color="auto"/>
        <w:bottom w:val="none" w:sz="0" w:space="0" w:color="auto"/>
        <w:right w:val="none" w:sz="0" w:space="0" w:color="auto"/>
      </w:divBdr>
    </w:div>
    <w:div w:id="1978877761">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ac.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health.gov.au/resources/publications/taskforce-final-report-diagnostic-imaging-clinical-committee" TargetMode="External"/><Relationship Id="rId4" Type="http://schemas.openxmlformats.org/officeDocument/2006/relationships/settings" Target="settings.xml"/><Relationship Id="rId9" Type="http://schemas.openxmlformats.org/officeDocument/2006/relationships/hyperlink" Target="http://www.msac.gov.au/internet/msac/publishing.nsf/Content/1372.1-public"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Six</a:t>
            </a:r>
            <a:r>
              <a:rPr lang="en-US" baseline="0"/>
              <a:t> Y</a:t>
            </a:r>
            <a:r>
              <a:rPr lang="en-US"/>
              <a:t>ear Total Cost to MBS </a:t>
            </a:r>
          </a:p>
        </c:rich>
      </c:tx>
      <c:overlay val="0"/>
    </c:title>
    <c:autoTitleDeleted val="0"/>
    <c:plotArea>
      <c:layout/>
      <c:barChart>
        <c:barDir val="bar"/>
        <c:grouping val="clustered"/>
        <c:varyColors val="0"/>
        <c:ser>
          <c:idx val="0"/>
          <c:order val="0"/>
          <c:tx>
            <c:strRef>
              <c:f>Sheet1!$C$3</c:f>
              <c:strCache>
                <c:ptCount val="1"/>
                <c:pt idx="0">
                  <c:v>6 year Total</c:v>
                </c:pt>
              </c:strCache>
            </c:strRef>
          </c:tx>
          <c:invertIfNegative val="0"/>
          <c:dPt>
            <c:idx val="6"/>
            <c:invertIfNegative val="0"/>
            <c:bubble3D val="0"/>
            <c:spPr>
              <a:solidFill>
                <a:srgbClr val="C00000"/>
              </a:solidFill>
            </c:spPr>
            <c:extLst>
              <c:ext xmlns:c16="http://schemas.microsoft.com/office/drawing/2014/chart" uri="{C3380CC4-5D6E-409C-BE32-E72D297353CC}">
                <c16:uniqueId val="{00000001-CFE1-4B5D-81DB-CAB380E1AFEE}"/>
              </c:ext>
            </c:extLst>
          </c:dPt>
          <c:cat>
            <c:strRef>
              <c:f>Sheet1!$B$4:$B$10</c:f>
              <c:strCache>
                <c:ptCount val="7"/>
                <c:pt idx="0">
                  <c:v>No Growth</c:v>
                </c:pt>
                <c:pt idx="1">
                  <c:v>50% non CRC</c:v>
                </c:pt>
                <c:pt idx="2">
                  <c:v>80% non CRC</c:v>
                </c:pt>
                <c:pt idx="3">
                  <c:v>20% higher cost</c:v>
                </c:pt>
                <c:pt idx="4">
                  <c:v>20% lower cost</c:v>
                </c:pt>
                <c:pt idx="5">
                  <c:v>85% MBS Fee</c:v>
                </c:pt>
                <c:pt idx="6">
                  <c:v>Base case</c:v>
                </c:pt>
              </c:strCache>
            </c:strRef>
          </c:cat>
          <c:val>
            <c:numRef>
              <c:f>Sheet1!$C$4:$C$10</c:f>
              <c:numCache>
                <c:formatCode>"$"#,##0</c:formatCode>
                <c:ptCount val="7"/>
                <c:pt idx="0">
                  <c:v>18095450.489787009</c:v>
                </c:pt>
                <c:pt idx="1">
                  <c:v>8804268.7077569179</c:v>
                </c:pt>
                <c:pt idx="2">
                  <c:v>35217074.831027672</c:v>
                </c:pt>
                <c:pt idx="3">
                  <c:v>20949517.475502219</c:v>
                </c:pt>
                <c:pt idx="4">
                  <c:v>17551227.494966529</c:v>
                </c:pt>
                <c:pt idx="5">
                  <c:v>19978784.606388211</c:v>
                </c:pt>
                <c:pt idx="6">
                  <c:v>20513946.089073617</c:v>
                </c:pt>
              </c:numCache>
            </c:numRef>
          </c:val>
          <c:extLst>
            <c:ext xmlns:c16="http://schemas.microsoft.com/office/drawing/2014/chart" uri="{C3380CC4-5D6E-409C-BE32-E72D297353CC}">
              <c16:uniqueId val="{00000002-CFE1-4B5D-81DB-CAB380E1AFEE}"/>
            </c:ext>
          </c:extLst>
        </c:ser>
        <c:dLbls>
          <c:showLegendKey val="0"/>
          <c:showVal val="0"/>
          <c:showCatName val="0"/>
          <c:showSerName val="0"/>
          <c:showPercent val="0"/>
          <c:showBubbleSize val="0"/>
        </c:dLbls>
        <c:gapWidth val="150"/>
        <c:axId val="178813568"/>
        <c:axId val="179560832"/>
      </c:barChart>
      <c:catAx>
        <c:axId val="178813568"/>
        <c:scaling>
          <c:orientation val="minMax"/>
        </c:scaling>
        <c:delete val="0"/>
        <c:axPos val="l"/>
        <c:numFmt formatCode="General" sourceLinked="0"/>
        <c:majorTickMark val="out"/>
        <c:minorTickMark val="none"/>
        <c:tickLblPos val="nextTo"/>
        <c:crossAx val="179560832"/>
        <c:crosses val="autoZero"/>
        <c:auto val="1"/>
        <c:lblAlgn val="ctr"/>
        <c:lblOffset val="100"/>
        <c:noMultiLvlLbl val="0"/>
      </c:catAx>
      <c:valAx>
        <c:axId val="179560832"/>
        <c:scaling>
          <c:orientation val="minMax"/>
          <c:max val="35000000"/>
          <c:min val="0"/>
        </c:scaling>
        <c:delete val="0"/>
        <c:axPos val="b"/>
        <c:majorGridlines/>
        <c:numFmt formatCode="&quot;$&quot;#,##0" sourceLinked="1"/>
        <c:majorTickMark val="out"/>
        <c:minorTickMark val="none"/>
        <c:tickLblPos val="nextTo"/>
        <c:crossAx val="178813568"/>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DAC3E-EB35-45EE-ADE0-314306629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2459</Words>
  <Characters>14018</Characters>
  <Application>Microsoft Office Word</Application>
  <DocSecurity>0</DocSecurity>
  <Lines>116</Lines>
  <Paragraphs>32</Paragraphs>
  <ScaleCrop>false</ScaleCrop>
  <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2022-01-11T22:23:00Z</dcterms:created>
  <dcterms:modified xsi:type="dcterms:W3CDTF">2022-01-18T23:24:00Z</dcterms:modified>
</cp:coreProperties>
</file>