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187D7143"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6D43B9">
        <w:rPr>
          <w:rFonts w:ascii="Arial" w:hAnsi="Arial" w:cs="Arial"/>
          <w:b/>
          <w:sz w:val="48"/>
          <w:szCs w:val="48"/>
        </w:rPr>
        <w:t>16</w:t>
      </w:r>
      <w:r w:rsidR="0058477F">
        <w:rPr>
          <w:rFonts w:ascii="Arial" w:hAnsi="Arial" w:cs="Arial"/>
          <w:b/>
          <w:sz w:val="48"/>
          <w:szCs w:val="48"/>
        </w:rPr>
        <w:t>86</w:t>
      </w:r>
    </w:p>
    <w:p w14:paraId="6BAE7BF6" w14:textId="77777777" w:rsidR="0058477F" w:rsidRDefault="0058477F" w:rsidP="0058477F">
      <w:pPr>
        <w:spacing w:before="240" w:after="120"/>
        <w:jc w:val="center"/>
        <w:rPr>
          <w:rFonts w:ascii="Arial" w:hAnsi="Arial" w:cs="Arial"/>
          <w:b/>
          <w:sz w:val="28"/>
          <w:szCs w:val="28"/>
        </w:rPr>
      </w:pPr>
      <w:r w:rsidRPr="0058477F">
        <w:rPr>
          <w:rFonts w:ascii="Arial" w:hAnsi="Arial" w:cs="Arial"/>
          <w:b/>
          <w:sz w:val="28"/>
          <w:szCs w:val="28"/>
          <w:vertAlign w:val="superscript"/>
        </w:rPr>
        <w:t>177</w:t>
      </w:r>
      <w:r w:rsidRPr="0058477F">
        <w:rPr>
          <w:rFonts w:ascii="Arial" w:hAnsi="Arial" w:cs="Arial"/>
          <w:b/>
          <w:sz w:val="28"/>
          <w:szCs w:val="28"/>
        </w:rPr>
        <w:t>Lutetium PSMA i&amp;t for metastatic castrate resistant prostate cancer</w:t>
      </w:r>
    </w:p>
    <w:p w14:paraId="2224A917" w14:textId="392F6E7D"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58477F">
        <w:rPr>
          <w:b w:val="0"/>
        </w:rPr>
      </w:r>
      <w:r w:rsidR="0058477F">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58477F">
        <w:rPr>
          <w:b w:val="0"/>
        </w:rPr>
      </w:r>
      <w:r w:rsidR="0058477F">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477F"/>
    <w:rsid w:val="00585D5F"/>
    <w:rsid w:val="005D6728"/>
    <w:rsid w:val="005F5875"/>
    <w:rsid w:val="0060042B"/>
    <w:rsid w:val="00643AC3"/>
    <w:rsid w:val="006530F2"/>
    <w:rsid w:val="00693E52"/>
    <w:rsid w:val="006A0C56"/>
    <w:rsid w:val="006B695A"/>
    <w:rsid w:val="006D43B9"/>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962</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2021-10-01T01:49:00Z</dcterms:created>
  <dcterms:modified xsi:type="dcterms:W3CDTF">2021-10-01T01:49:00Z</dcterms:modified>
</cp:coreProperties>
</file>