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8DF" w14:textId="68AF169F" w:rsidR="00772829" w:rsidRPr="00CE28E3" w:rsidRDefault="009A5B31" w:rsidP="000B3437">
      <w:pPr>
        <w:spacing w:after="240"/>
        <w:jc w:val="center"/>
        <w:rPr>
          <w:b/>
          <w:i/>
          <w:szCs w:val="24"/>
          <w:highlight w:val="yellow"/>
        </w:rPr>
      </w:pPr>
      <w:r>
        <w:rPr>
          <w:noProof/>
        </w:rPr>
        <w:drawing>
          <wp:inline distT="0" distB="0" distL="0" distR="0" wp14:anchorId="5574DA46" wp14:editId="7EE68272">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FF338BD" w14:textId="77777777" w:rsidR="009A5B31" w:rsidRDefault="009A5B31" w:rsidP="009A5B31">
      <w:pPr>
        <w:spacing w:before="480" w:after="240" w:line="240" w:lineRule="auto"/>
        <w:jc w:val="center"/>
        <w:rPr>
          <w:rFonts w:ascii="Arial" w:eastAsiaTheme="majorEastAsia" w:hAnsi="Arial" w:cs="Arial"/>
          <w:b/>
          <w:bCs/>
          <w:color w:val="000080"/>
          <w:sz w:val="36"/>
          <w:szCs w:val="36"/>
        </w:rPr>
      </w:pPr>
      <w:r w:rsidRPr="009A5B31">
        <w:rPr>
          <w:rFonts w:ascii="Arial" w:eastAsiaTheme="majorEastAsia" w:hAnsi="Arial" w:cs="Arial"/>
          <w:b/>
          <w:bCs/>
          <w:color w:val="000080"/>
          <w:sz w:val="36"/>
          <w:szCs w:val="36"/>
        </w:rPr>
        <w:t xml:space="preserve">Public Summary Document </w:t>
      </w:r>
    </w:p>
    <w:p w14:paraId="09893184" w14:textId="5919703A" w:rsidR="00E4281E" w:rsidRPr="00055E91" w:rsidRDefault="00E4281E" w:rsidP="00E4281E">
      <w:pPr>
        <w:spacing w:after="240" w:line="240" w:lineRule="auto"/>
        <w:jc w:val="center"/>
        <w:rPr>
          <w:rFonts w:ascii="Arial" w:eastAsia="Times New Roman" w:hAnsi="Arial" w:cs="Arial"/>
          <w:b/>
          <w:bCs/>
          <w:i/>
          <w:color w:val="000080"/>
          <w:sz w:val="28"/>
          <w:szCs w:val="28"/>
          <w:lang w:eastAsia="en-AU"/>
        </w:rPr>
      </w:pPr>
      <w:r w:rsidRPr="00055E91">
        <w:rPr>
          <w:rFonts w:ascii="Arial" w:eastAsia="Times New Roman" w:hAnsi="Arial" w:cs="Arial"/>
          <w:b/>
          <w:bCs/>
          <w:i/>
          <w:color w:val="000080"/>
          <w:sz w:val="28"/>
          <w:szCs w:val="28"/>
          <w:lang w:eastAsia="en-AU"/>
        </w:rPr>
        <w:t>Application No. 1689 – Quantification of NT-</w:t>
      </w:r>
      <w:proofErr w:type="spellStart"/>
      <w:r w:rsidRPr="00055E91">
        <w:rPr>
          <w:rFonts w:ascii="Arial" w:eastAsia="Times New Roman" w:hAnsi="Arial" w:cs="Arial"/>
          <w:b/>
          <w:bCs/>
          <w:i/>
          <w:color w:val="000080"/>
          <w:sz w:val="28"/>
          <w:szCs w:val="28"/>
          <w:lang w:eastAsia="en-AU"/>
        </w:rPr>
        <w:t>proBNP</w:t>
      </w:r>
      <w:proofErr w:type="spellEnd"/>
      <w:r w:rsidRPr="00055E91">
        <w:rPr>
          <w:rFonts w:ascii="Arial" w:eastAsia="Times New Roman" w:hAnsi="Arial" w:cs="Arial"/>
          <w:b/>
          <w:bCs/>
          <w:i/>
          <w:color w:val="000080"/>
          <w:sz w:val="28"/>
          <w:szCs w:val="28"/>
          <w:lang w:eastAsia="en-AU"/>
        </w:rPr>
        <w:t xml:space="preserve"> in patients with systemic sclerosis, and in patients with diagnosed pulmonary arterial hypertension</w:t>
      </w:r>
    </w:p>
    <w:p w14:paraId="35263561" w14:textId="31B0E069" w:rsidR="00772829" w:rsidRPr="00CE28E3" w:rsidRDefault="00772829" w:rsidP="00A64B20">
      <w:pPr>
        <w:tabs>
          <w:tab w:val="left" w:pos="3686"/>
        </w:tabs>
        <w:spacing w:after="240"/>
        <w:ind w:left="3600" w:hanging="360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E4281E" w:rsidRPr="00055E91">
        <w:rPr>
          <w:rFonts w:ascii="Arial" w:hAnsi="Arial" w:cs="Arial"/>
          <w:b/>
          <w:szCs w:val="24"/>
        </w:rPr>
        <w:t>Janssen-</w:t>
      </w:r>
      <w:proofErr w:type="spellStart"/>
      <w:r w:rsidR="00E4281E" w:rsidRPr="00055E91">
        <w:rPr>
          <w:rFonts w:ascii="Arial" w:hAnsi="Arial" w:cs="Arial"/>
          <w:b/>
          <w:szCs w:val="24"/>
        </w:rPr>
        <w:t>Cilag</w:t>
      </w:r>
      <w:proofErr w:type="spellEnd"/>
      <w:r w:rsidR="00E4281E" w:rsidRPr="00055E91">
        <w:rPr>
          <w:rFonts w:ascii="Arial" w:hAnsi="Arial" w:cs="Arial"/>
          <w:b/>
          <w:szCs w:val="24"/>
        </w:rPr>
        <w:t xml:space="preserve"> Pty Ltd</w:t>
      </w:r>
    </w:p>
    <w:p w14:paraId="4E91AD95" w14:textId="2ABC5FFA" w:rsidR="00B61539" w:rsidRDefault="00772829" w:rsidP="00566EFA">
      <w:pPr>
        <w:tabs>
          <w:tab w:val="left" w:pos="3686"/>
        </w:tabs>
        <w:spacing w:after="360"/>
        <w:rPr>
          <w:rFonts w:ascii="Arial" w:hAnsi="Arial" w:cs="Arial"/>
          <w:b/>
          <w:szCs w:val="24"/>
        </w:rPr>
      </w:pPr>
      <w:r w:rsidRPr="00CE28E3">
        <w:rPr>
          <w:rFonts w:ascii="Arial" w:hAnsi="Arial" w:cs="Arial"/>
          <w:b/>
          <w:szCs w:val="24"/>
        </w:rPr>
        <w:t xml:space="preserve">Date of </w:t>
      </w:r>
      <w:r w:rsidR="009A5B31">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9A5B31">
        <w:rPr>
          <w:rFonts w:ascii="Arial" w:hAnsi="Arial" w:cs="Arial"/>
          <w:b/>
          <w:szCs w:val="24"/>
        </w:rPr>
        <w:t>28-29 July</w:t>
      </w:r>
      <w:r w:rsidR="00ED2CA1">
        <w:rPr>
          <w:rFonts w:ascii="Arial" w:hAnsi="Arial" w:cs="Arial"/>
          <w:b/>
          <w:szCs w:val="24"/>
        </w:rPr>
        <w:t xml:space="preserve"> 2022</w:t>
      </w:r>
      <w:bookmarkStart w:id="0" w:name="_Hlk69734340"/>
    </w:p>
    <w:p w14:paraId="1165172A" w14:textId="77777777" w:rsidR="00F60EFA" w:rsidRPr="00B03EAB" w:rsidRDefault="00F60EFA" w:rsidP="00F60EFA">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5C679966" w14:textId="77777777" w:rsidR="00E4281E" w:rsidRPr="00055E91" w:rsidRDefault="00E4281E"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1" w:name="_Toc69491415"/>
      <w:bookmarkStart w:id="2" w:name="_Toc103161059"/>
      <w:bookmarkStart w:id="3" w:name="_Hlk103938359"/>
      <w:bookmarkEnd w:id="0"/>
      <w:r w:rsidRPr="00055E91">
        <w:rPr>
          <w:rFonts w:ascii="Franklin Gothic Medium" w:eastAsiaTheme="majorEastAsia" w:hAnsi="Franklin Gothic Medium" w:cstheme="majorBidi"/>
          <w:color w:val="000000" w:themeColor="text1"/>
          <w:sz w:val="32"/>
          <w:szCs w:val="26"/>
        </w:rPr>
        <w:t>1.</w:t>
      </w:r>
      <w:r w:rsidRPr="00055E91">
        <w:rPr>
          <w:rFonts w:ascii="Franklin Gothic Medium" w:eastAsiaTheme="majorEastAsia" w:hAnsi="Franklin Gothic Medium" w:cstheme="majorBidi"/>
          <w:color w:val="000000" w:themeColor="text1"/>
          <w:sz w:val="32"/>
          <w:szCs w:val="26"/>
        </w:rPr>
        <w:tab/>
        <w:t xml:space="preserve">Purpose </w:t>
      </w:r>
      <w:r w:rsidRPr="00055E91">
        <w:rPr>
          <w:rFonts w:ascii="Franklin Gothic Medium" w:eastAsiaTheme="majorEastAsia" w:hAnsi="Franklin Gothic Medium" w:cstheme="majorBidi"/>
          <w:color w:val="000000" w:themeColor="text1"/>
          <w:sz w:val="32"/>
          <w:szCs w:val="32"/>
        </w:rPr>
        <w:t>of</w:t>
      </w:r>
      <w:r w:rsidRPr="00055E91">
        <w:rPr>
          <w:rFonts w:ascii="Franklin Gothic Medium" w:eastAsiaTheme="majorEastAsia" w:hAnsi="Franklin Gothic Medium" w:cstheme="majorBidi"/>
          <w:color w:val="000000" w:themeColor="text1"/>
          <w:sz w:val="32"/>
          <w:szCs w:val="26"/>
        </w:rPr>
        <w:t xml:space="preserve"> application</w:t>
      </w:r>
      <w:bookmarkEnd w:id="1"/>
      <w:bookmarkEnd w:id="2"/>
    </w:p>
    <w:p w14:paraId="0D74CBFA" w14:textId="0B7CF1EF" w:rsidR="00E4281E" w:rsidRDefault="00E4281E" w:rsidP="00E4281E">
      <w:pPr>
        <w:spacing w:after="240"/>
        <w:rPr>
          <w:iCs/>
        </w:rPr>
      </w:pPr>
      <w:bookmarkStart w:id="4" w:name="_Hlk69734469"/>
      <w:r w:rsidRPr="00055E91">
        <w:rPr>
          <w:iCs/>
        </w:rPr>
        <w:t>An application requesting Medicare Benefits Schedule (MBS) listing of N-terminal pro B-type natriuretic peptide (NT-</w:t>
      </w:r>
      <w:proofErr w:type="spellStart"/>
      <w:r w:rsidRPr="00055E91">
        <w:rPr>
          <w:iCs/>
        </w:rPr>
        <w:t>proBNP</w:t>
      </w:r>
      <w:proofErr w:type="spellEnd"/>
      <w:r w:rsidRPr="00055E91">
        <w:rPr>
          <w:iCs/>
        </w:rPr>
        <w:t>) biomarker assay for (1) detection of pulmonary arterial hypertension (PAH) in patients with systemic sclerosis (</w:t>
      </w:r>
      <w:proofErr w:type="spellStart"/>
      <w:r w:rsidRPr="00055E91">
        <w:rPr>
          <w:iCs/>
        </w:rPr>
        <w:t>SSc</w:t>
      </w:r>
      <w:proofErr w:type="spellEnd"/>
      <w:r w:rsidRPr="00055E91">
        <w:rPr>
          <w:iCs/>
        </w:rPr>
        <w:t>)</w:t>
      </w:r>
      <w:r w:rsidR="7B3B5281">
        <w:t>, and for</w:t>
      </w:r>
      <w:r w:rsidRPr="00055E91">
        <w:rPr>
          <w:iCs/>
        </w:rPr>
        <w:t xml:space="preserve"> (2) risk assessment of patients diagnosed with PAH was received from Janssen-</w:t>
      </w:r>
      <w:proofErr w:type="spellStart"/>
      <w:r w:rsidRPr="00055E91">
        <w:rPr>
          <w:iCs/>
        </w:rPr>
        <w:t>Cilag</w:t>
      </w:r>
      <w:proofErr w:type="spellEnd"/>
      <w:r w:rsidRPr="00055E91">
        <w:rPr>
          <w:iCs/>
        </w:rPr>
        <w:t xml:space="preserve"> Australia Pty Ltd by the Department of Health.</w:t>
      </w:r>
    </w:p>
    <w:p w14:paraId="1263549B" w14:textId="77777777" w:rsidR="009A5B31" w:rsidRPr="009A5B31" w:rsidRDefault="009A5B31" w:rsidP="009A5B31">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r w:rsidRPr="009A5B31">
        <w:rPr>
          <w:rFonts w:ascii="Franklin Gothic Medium" w:eastAsiaTheme="majorEastAsia" w:hAnsi="Franklin Gothic Medium" w:cstheme="majorBidi"/>
          <w:color w:val="000000" w:themeColor="text1"/>
          <w:sz w:val="32"/>
          <w:szCs w:val="26"/>
        </w:rPr>
        <w:t>2.</w:t>
      </w:r>
      <w:r w:rsidRPr="009A5B31">
        <w:rPr>
          <w:rFonts w:ascii="Franklin Gothic Medium" w:eastAsiaTheme="majorEastAsia" w:hAnsi="Franklin Gothic Medium" w:cstheme="majorBidi"/>
          <w:color w:val="000000" w:themeColor="text1"/>
          <w:sz w:val="32"/>
          <w:szCs w:val="26"/>
        </w:rPr>
        <w:tab/>
        <w:t>MSAC’s advice to the Minister</w:t>
      </w:r>
    </w:p>
    <w:p w14:paraId="5C2D4385" w14:textId="697F2DDB" w:rsidR="003A3925" w:rsidRDefault="003A3925" w:rsidP="003A3925">
      <w:pPr>
        <w:rPr>
          <w:szCs w:val="24"/>
        </w:rPr>
      </w:pPr>
      <w:r>
        <w:t>After considering the strength of the available evidence in relation to comparative safety, clinical effectiveness</w:t>
      </w:r>
      <w:r w:rsidR="008A3AFB">
        <w:t>,</w:t>
      </w:r>
      <w:r>
        <w:t xml:space="preserve"> cost-effectiveness</w:t>
      </w:r>
      <w:r w:rsidR="008A3AFB">
        <w:t xml:space="preserve"> and total cost</w:t>
      </w:r>
      <w:r>
        <w:t xml:space="preserve">, </w:t>
      </w:r>
      <w:r>
        <w:rPr>
          <w:szCs w:val="24"/>
        </w:rPr>
        <w:t>MSAC supported the creation of a new Medicare Benefits Schedule (MBS) item for the quantification of laboratory-based NT-</w:t>
      </w:r>
      <w:proofErr w:type="spellStart"/>
      <w:r>
        <w:rPr>
          <w:szCs w:val="24"/>
        </w:rPr>
        <w:t>proBNP</w:t>
      </w:r>
      <w:proofErr w:type="spellEnd"/>
      <w:r>
        <w:rPr>
          <w:szCs w:val="24"/>
        </w:rPr>
        <w:t xml:space="preserve"> testing for patients with systemic sclerosis (</w:t>
      </w:r>
      <w:proofErr w:type="spellStart"/>
      <w:r>
        <w:rPr>
          <w:szCs w:val="24"/>
        </w:rPr>
        <w:t>SSc</w:t>
      </w:r>
      <w:proofErr w:type="spellEnd"/>
      <w:r>
        <w:rPr>
          <w:szCs w:val="24"/>
        </w:rPr>
        <w:t xml:space="preserve"> or scleroderma) to assess the risk of pulmonary arterial hypertension (PAH). For this population, MSAC advised that the proposed test was safe and had at least non</w:t>
      </w:r>
      <w:r w:rsidR="00DC2027">
        <w:rPr>
          <w:szCs w:val="24"/>
        </w:rPr>
        <w:noBreakHyphen/>
      </w:r>
      <w:r>
        <w:rPr>
          <w:szCs w:val="24"/>
        </w:rPr>
        <w:t>inferior effectiveness, with acceptable cost-effectiveness and financial implications.</w:t>
      </w:r>
    </w:p>
    <w:p w14:paraId="4F843EA0" w14:textId="032C5A66" w:rsidR="00006582" w:rsidRDefault="003A3925" w:rsidP="003A3925">
      <w:pPr>
        <w:rPr>
          <w:szCs w:val="24"/>
        </w:rPr>
      </w:pPr>
      <w:r>
        <w:rPr>
          <w:szCs w:val="24"/>
        </w:rPr>
        <w:t>MSAC did not support public funding for NT-</w:t>
      </w:r>
      <w:proofErr w:type="spellStart"/>
      <w:r>
        <w:rPr>
          <w:szCs w:val="24"/>
        </w:rPr>
        <w:t>proBNP</w:t>
      </w:r>
      <w:proofErr w:type="spellEnd"/>
      <w:r>
        <w:rPr>
          <w:szCs w:val="24"/>
        </w:rPr>
        <w:t xml:space="preserve"> testing in patients with an established diagnosis of PAH. MSAC advised that the extent of substitution of transthoracic echocardiogram (TTE) is uncertain, resulting in uncertain cost-effectiveness and total financial implications.</w:t>
      </w:r>
    </w:p>
    <w:p w14:paraId="5794BB44" w14:textId="77777777" w:rsidR="00006582" w:rsidRDefault="00006582">
      <w:pPr>
        <w:spacing w:before="0"/>
        <w:rPr>
          <w:szCs w:val="24"/>
        </w:rPr>
      </w:pPr>
      <w:r>
        <w:rPr>
          <w:szCs w:val="24"/>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9A5B31" w14:paraId="4C938C29" w14:textId="77777777" w:rsidTr="009A5B31">
        <w:trPr>
          <w:tblHeader/>
        </w:trPr>
        <w:tc>
          <w:tcPr>
            <w:tcW w:w="9016" w:type="dxa"/>
            <w:tcBorders>
              <w:top w:val="single" w:sz="4" w:space="0" w:color="auto"/>
              <w:left w:val="single" w:sz="4" w:space="0" w:color="auto"/>
              <w:bottom w:val="single" w:sz="4" w:space="0" w:color="auto"/>
              <w:right w:val="single" w:sz="4" w:space="0" w:color="auto"/>
            </w:tcBorders>
            <w:hideMark/>
          </w:tcPr>
          <w:p w14:paraId="3E47339B" w14:textId="77777777" w:rsidR="009A5B31" w:rsidRPr="009A5B31" w:rsidRDefault="009A5B31">
            <w:pPr>
              <w:pStyle w:val="Default"/>
              <w:spacing w:before="120" w:after="120"/>
              <w:rPr>
                <w:rFonts w:ascii="Franklin Gothic Book" w:hAnsi="Franklin Gothic Book"/>
                <w:b/>
                <w:bCs/>
                <w:color w:val="auto"/>
                <w:sz w:val="22"/>
                <w:szCs w:val="22"/>
              </w:rPr>
            </w:pPr>
            <w:r w:rsidRPr="009A5B31">
              <w:rPr>
                <w:rFonts w:ascii="Franklin Gothic Book" w:hAnsi="Franklin Gothic Book"/>
                <w:b/>
                <w:bCs/>
                <w:color w:val="auto"/>
                <w:sz w:val="22"/>
                <w:szCs w:val="22"/>
              </w:rPr>
              <w:lastRenderedPageBreak/>
              <w:t>Consumer summary</w:t>
            </w:r>
          </w:p>
        </w:tc>
      </w:tr>
      <w:tr w:rsidR="009A5B31" w14:paraId="625A00EC" w14:textId="77777777" w:rsidTr="009A5B31">
        <w:tc>
          <w:tcPr>
            <w:tcW w:w="9016" w:type="dxa"/>
            <w:tcBorders>
              <w:top w:val="single" w:sz="4" w:space="0" w:color="auto"/>
              <w:left w:val="single" w:sz="4" w:space="0" w:color="auto"/>
              <w:bottom w:val="single" w:sz="4" w:space="0" w:color="auto"/>
              <w:right w:val="single" w:sz="4" w:space="0" w:color="auto"/>
            </w:tcBorders>
            <w:hideMark/>
          </w:tcPr>
          <w:p w14:paraId="52F831DF" w14:textId="4C8345B6" w:rsidR="003A3925" w:rsidRPr="003A3925" w:rsidRDefault="003A3925" w:rsidP="003A3925">
            <w:pPr>
              <w:pStyle w:val="Default"/>
              <w:spacing w:after="240"/>
              <w:rPr>
                <w:rFonts w:ascii="Franklin Gothic Book" w:hAnsi="Franklin Gothic Book"/>
                <w:iCs/>
                <w:color w:val="auto"/>
                <w:sz w:val="22"/>
                <w:szCs w:val="22"/>
              </w:rPr>
            </w:pPr>
            <w:r w:rsidRPr="003A3925">
              <w:rPr>
                <w:rFonts w:ascii="Franklin Gothic Book" w:hAnsi="Franklin Gothic Book"/>
                <w:iCs/>
                <w:color w:val="auto"/>
                <w:sz w:val="22"/>
                <w:szCs w:val="22"/>
              </w:rPr>
              <w:t>This is an application from Janssen-</w:t>
            </w:r>
            <w:proofErr w:type="spellStart"/>
            <w:r w:rsidRPr="003A3925">
              <w:rPr>
                <w:rFonts w:ascii="Franklin Gothic Book" w:hAnsi="Franklin Gothic Book"/>
                <w:iCs/>
                <w:color w:val="auto"/>
                <w:sz w:val="22"/>
                <w:szCs w:val="22"/>
              </w:rPr>
              <w:t>Cilag</w:t>
            </w:r>
            <w:proofErr w:type="spellEnd"/>
            <w:r w:rsidRPr="003A3925">
              <w:rPr>
                <w:rFonts w:ascii="Franklin Gothic Book" w:hAnsi="Franklin Gothic Book"/>
                <w:iCs/>
                <w:color w:val="auto"/>
                <w:sz w:val="22"/>
                <w:szCs w:val="22"/>
              </w:rPr>
              <w:t xml:space="preserve"> Australia Pty Ltd requesting Medicare Benefits Schedule (MBS) listing of</w:t>
            </w:r>
            <w:r w:rsidR="00B707AF">
              <w:rPr>
                <w:rFonts w:ascii="Franklin Gothic Book" w:hAnsi="Franklin Gothic Book"/>
                <w:iCs/>
                <w:color w:val="auto"/>
                <w:sz w:val="22"/>
                <w:szCs w:val="22"/>
              </w:rPr>
              <w:t xml:space="preserve"> </w:t>
            </w:r>
            <w:r w:rsidR="00B707AF" w:rsidRPr="00822727">
              <w:rPr>
                <w:rFonts w:ascii="Franklin Gothic Book" w:hAnsi="Franklin Gothic Book"/>
                <w:iCs/>
                <w:sz w:val="22"/>
                <w:szCs w:val="22"/>
              </w:rPr>
              <w:t>NT-</w:t>
            </w:r>
            <w:proofErr w:type="spellStart"/>
            <w:r w:rsidR="00B707AF" w:rsidRPr="00822727">
              <w:rPr>
                <w:rFonts w:ascii="Franklin Gothic Book" w:hAnsi="Franklin Gothic Book"/>
                <w:iCs/>
                <w:sz w:val="22"/>
                <w:szCs w:val="22"/>
              </w:rPr>
              <w:t>proBNP</w:t>
            </w:r>
            <w:proofErr w:type="spellEnd"/>
            <w:r w:rsidR="00B707AF" w:rsidRPr="00822727">
              <w:rPr>
                <w:rFonts w:ascii="Franklin Gothic Book" w:hAnsi="Franklin Gothic Book"/>
                <w:iCs/>
                <w:sz w:val="22"/>
                <w:szCs w:val="22"/>
              </w:rPr>
              <w:t xml:space="preserve"> biomarker assay, via</w:t>
            </w:r>
            <w:r w:rsidR="00B707AF">
              <w:rPr>
                <w:iCs/>
              </w:rPr>
              <w:t xml:space="preserve"> </w:t>
            </w:r>
            <w:r w:rsidR="00B707AF">
              <w:rPr>
                <w:rFonts w:ascii="Franklin Gothic Book" w:hAnsi="Franklin Gothic Book"/>
                <w:iCs/>
                <w:color w:val="auto"/>
                <w:sz w:val="22"/>
                <w:szCs w:val="22"/>
              </w:rPr>
              <w:t xml:space="preserve">blood test </w:t>
            </w:r>
            <w:r w:rsidRPr="003A3925">
              <w:rPr>
                <w:rFonts w:ascii="Franklin Gothic Book" w:hAnsi="Franklin Gothic Book"/>
                <w:iCs/>
                <w:color w:val="auto"/>
                <w:sz w:val="22"/>
                <w:szCs w:val="22"/>
              </w:rPr>
              <w:t>for patients with systemic sclerosis to detect pulmonary arterial hypertension, and for risk</w:t>
            </w:r>
            <w:r w:rsidR="00B707AF">
              <w:rPr>
                <w:rFonts w:ascii="Franklin Gothic Book" w:hAnsi="Franklin Gothic Book"/>
                <w:iCs/>
                <w:color w:val="auto"/>
                <w:sz w:val="22"/>
                <w:szCs w:val="22"/>
              </w:rPr>
              <w:t>-</w:t>
            </w:r>
            <w:r w:rsidRPr="003A3925">
              <w:rPr>
                <w:rFonts w:ascii="Franklin Gothic Book" w:hAnsi="Franklin Gothic Book"/>
                <w:iCs/>
                <w:color w:val="auto"/>
                <w:sz w:val="22"/>
                <w:szCs w:val="22"/>
              </w:rPr>
              <w:t xml:space="preserve">assessment in patients </w:t>
            </w:r>
            <w:r w:rsidR="00B707AF">
              <w:rPr>
                <w:rFonts w:ascii="Franklin Gothic Book" w:hAnsi="Franklin Gothic Book"/>
                <w:iCs/>
                <w:color w:val="auto"/>
                <w:sz w:val="22"/>
                <w:szCs w:val="22"/>
              </w:rPr>
              <w:t xml:space="preserve">already </w:t>
            </w:r>
            <w:r w:rsidRPr="003A3925">
              <w:rPr>
                <w:rFonts w:ascii="Franklin Gothic Book" w:hAnsi="Franklin Gothic Book"/>
                <w:iCs/>
                <w:color w:val="auto"/>
                <w:sz w:val="22"/>
                <w:szCs w:val="22"/>
              </w:rPr>
              <w:t xml:space="preserve">diagnosed with </w:t>
            </w:r>
            <w:r w:rsidR="00B707AF">
              <w:rPr>
                <w:rFonts w:ascii="Franklin Gothic Book" w:hAnsi="Franklin Gothic Book"/>
                <w:iCs/>
                <w:color w:val="auto"/>
                <w:sz w:val="22"/>
                <w:szCs w:val="22"/>
              </w:rPr>
              <w:t>pulmon</w:t>
            </w:r>
            <w:r w:rsidR="00AF5083">
              <w:rPr>
                <w:rFonts w:ascii="Franklin Gothic Book" w:hAnsi="Franklin Gothic Book"/>
                <w:iCs/>
                <w:color w:val="auto"/>
                <w:sz w:val="22"/>
                <w:szCs w:val="22"/>
              </w:rPr>
              <w:t>ar</w:t>
            </w:r>
            <w:r w:rsidR="00B707AF">
              <w:rPr>
                <w:rFonts w:ascii="Franklin Gothic Book" w:hAnsi="Franklin Gothic Book"/>
                <w:iCs/>
                <w:color w:val="auto"/>
                <w:sz w:val="22"/>
                <w:szCs w:val="22"/>
              </w:rPr>
              <w:t>y arterial hypertension</w:t>
            </w:r>
            <w:r w:rsidRPr="003A3925">
              <w:rPr>
                <w:rFonts w:ascii="Franklin Gothic Book" w:hAnsi="Franklin Gothic Book"/>
                <w:iCs/>
                <w:color w:val="auto"/>
                <w:sz w:val="22"/>
                <w:szCs w:val="22"/>
              </w:rPr>
              <w:t>.</w:t>
            </w:r>
          </w:p>
          <w:p w14:paraId="1933750E" w14:textId="201DEA35" w:rsidR="00B707AF" w:rsidRDefault="00B707AF" w:rsidP="00B707AF">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S</w:t>
            </w:r>
            <w:r w:rsidRPr="003A3925">
              <w:rPr>
                <w:rFonts w:ascii="Franklin Gothic Book" w:hAnsi="Franklin Gothic Book"/>
                <w:iCs/>
                <w:color w:val="auto"/>
                <w:sz w:val="22"/>
                <w:szCs w:val="22"/>
              </w:rPr>
              <w:t>ystemic sclerosis</w:t>
            </w:r>
            <w:r w:rsidR="003A3925" w:rsidRPr="003A3925">
              <w:rPr>
                <w:rFonts w:ascii="Franklin Gothic Book" w:hAnsi="Franklin Gothic Book"/>
                <w:iCs/>
                <w:color w:val="auto"/>
                <w:sz w:val="22"/>
                <w:szCs w:val="22"/>
              </w:rPr>
              <w:t xml:space="preserve"> is a</w:t>
            </w:r>
            <w:r w:rsidR="00AF5083">
              <w:rPr>
                <w:rFonts w:ascii="Franklin Gothic Book" w:hAnsi="Franklin Gothic Book"/>
                <w:iCs/>
                <w:color w:val="auto"/>
                <w:sz w:val="22"/>
                <w:szCs w:val="22"/>
              </w:rPr>
              <w:t xml:space="preserve"> type of scleroderma </w:t>
            </w:r>
            <w:r w:rsidR="003A3925" w:rsidRPr="003A3925">
              <w:rPr>
                <w:rFonts w:ascii="Franklin Gothic Book" w:hAnsi="Franklin Gothic Book"/>
                <w:iCs/>
                <w:color w:val="auto"/>
                <w:sz w:val="22"/>
                <w:szCs w:val="22"/>
              </w:rPr>
              <w:t>that causes hardening or tightening of the skin</w:t>
            </w:r>
            <w:r w:rsidR="00AF5083">
              <w:rPr>
                <w:rFonts w:ascii="Franklin Gothic Book" w:hAnsi="Franklin Gothic Book"/>
                <w:iCs/>
                <w:color w:val="auto"/>
                <w:sz w:val="22"/>
                <w:szCs w:val="22"/>
              </w:rPr>
              <w:t xml:space="preserve"> and other internal organs, including the </w:t>
            </w:r>
            <w:r w:rsidR="003A3925" w:rsidRPr="003A3925">
              <w:rPr>
                <w:rFonts w:ascii="Franklin Gothic Book" w:hAnsi="Franklin Gothic Book"/>
                <w:iCs/>
                <w:color w:val="auto"/>
                <w:sz w:val="22"/>
                <w:szCs w:val="22"/>
              </w:rPr>
              <w:t>blood vessels. This can lead to high pressure</w:t>
            </w:r>
            <w:r w:rsidR="00AF5083">
              <w:rPr>
                <w:rFonts w:ascii="Franklin Gothic Book" w:hAnsi="Franklin Gothic Book"/>
                <w:iCs/>
                <w:color w:val="auto"/>
                <w:sz w:val="22"/>
                <w:szCs w:val="22"/>
              </w:rPr>
              <w:t>s</w:t>
            </w:r>
            <w:r w:rsidR="003A3925" w:rsidRPr="003A3925">
              <w:rPr>
                <w:rFonts w:ascii="Franklin Gothic Book" w:hAnsi="Franklin Gothic Book"/>
                <w:iCs/>
                <w:color w:val="auto"/>
                <w:sz w:val="22"/>
                <w:szCs w:val="22"/>
              </w:rPr>
              <w:t xml:space="preserve"> in the blood vessels between the heart and lungs,</w:t>
            </w:r>
            <w:r>
              <w:rPr>
                <w:rFonts w:ascii="Franklin Gothic Book" w:hAnsi="Franklin Gothic Book"/>
                <w:iCs/>
                <w:color w:val="auto"/>
                <w:sz w:val="22"/>
                <w:szCs w:val="22"/>
              </w:rPr>
              <w:t xml:space="preserve"> which is</w:t>
            </w:r>
            <w:r w:rsidR="003A3925" w:rsidRPr="003A3925">
              <w:rPr>
                <w:rFonts w:ascii="Franklin Gothic Book" w:hAnsi="Franklin Gothic Book"/>
                <w:iCs/>
                <w:color w:val="auto"/>
                <w:sz w:val="22"/>
                <w:szCs w:val="22"/>
              </w:rPr>
              <w:t xml:space="preserve"> called </w:t>
            </w:r>
            <w:r>
              <w:rPr>
                <w:rFonts w:ascii="Franklin Gothic Book" w:hAnsi="Franklin Gothic Book"/>
                <w:iCs/>
                <w:color w:val="auto"/>
                <w:sz w:val="22"/>
                <w:szCs w:val="22"/>
              </w:rPr>
              <w:t xml:space="preserve">pulmonary arterial </w:t>
            </w:r>
            <w:r w:rsidR="00AF5083">
              <w:rPr>
                <w:rFonts w:ascii="Franklin Gothic Book" w:hAnsi="Franklin Gothic Book"/>
                <w:iCs/>
                <w:color w:val="auto"/>
                <w:sz w:val="22"/>
                <w:szCs w:val="22"/>
              </w:rPr>
              <w:t>hypertension</w:t>
            </w:r>
            <w:r>
              <w:rPr>
                <w:rFonts w:ascii="Franklin Gothic Book" w:hAnsi="Franklin Gothic Book"/>
                <w:iCs/>
                <w:color w:val="auto"/>
                <w:sz w:val="22"/>
                <w:szCs w:val="22"/>
              </w:rPr>
              <w:t xml:space="preserve"> (PAH)</w:t>
            </w:r>
            <w:r w:rsidR="00AF5083">
              <w:rPr>
                <w:rFonts w:ascii="Franklin Gothic Book" w:hAnsi="Franklin Gothic Book"/>
                <w:iCs/>
                <w:color w:val="auto"/>
                <w:sz w:val="22"/>
                <w:szCs w:val="22"/>
              </w:rPr>
              <w:t>.</w:t>
            </w:r>
            <w:r w:rsidR="003A3925" w:rsidRPr="003A3925">
              <w:rPr>
                <w:rFonts w:ascii="Franklin Gothic Book" w:hAnsi="Franklin Gothic Book"/>
                <w:iCs/>
                <w:color w:val="auto"/>
                <w:sz w:val="22"/>
                <w:szCs w:val="22"/>
              </w:rPr>
              <w:t xml:space="preserve"> Patients with PAH can experience shortness of breath, chest pain and fainting. </w:t>
            </w:r>
            <w:r w:rsidR="00AF5083">
              <w:rPr>
                <w:rFonts w:ascii="Franklin Gothic Book" w:hAnsi="Franklin Gothic Book"/>
                <w:iCs/>
                <w:color w:val="auto"/>
                <w:sz w:val="22"/>
                <w:szCs w:val="22"/>
              </w:rPr>
              <w:t xml:space="preserve">It </w:t>
            </w:r>
            <w:r w:rsidR="003A3925" w:rsidRPr="003A3925">
              <w:rPr>
                <w:rFonts w:ascii="Franklin Gothic Book" w:hAnsi="Franklin Gothic Book"/>
                <w:iCs/>
                <w:color w:val="auto"/>
                <w:sz w:val="22"/>
                <w:szCs w:val="22"/>
              </w:rPr>
              <w:t xml:space="preserve">gets worse over time if not treated and can lead to heart failure. </w:t>
            </w:r>
            <w:r w:rsidRPr="003A3925">
              <w:rPr>
                <w:rFonts w:ascii="Franklin Gothic Book" w:hAnsi="Franklin Gothic Book"/>
                <w:iCs/>
                <w:color w:val="auto"/>
                <w:sz w:val="22"/>
                <w:szCs w:val="22"/>
              </w:rPr>
              <w:t xml:space="preserve">There is no cure for </w:t>
            </w:r>
            <w:r>
              <w:rPr>
                <w:rFonts w:ascii="Franklin Gothic Book" w:hAnsi="Franklin Gothic Book"/>
                <w:iCs/>
                <w:color w:val="auto"/>
                <w:sz w:val="22"/>
                <w:szCs w:val="22"/>
              </w:rPr>
              <w:t>PAH</w:t>
            </w:r>
            <w:r w:rsidRPr="003A3925">
              <w:rPr>
                <w:rFonts w:ascii="Franklin Gothic Book" w:hAnsi="Franklin Gothic Book"/>
                <w:iCs/>
                <w:color w:val="auto"/>
                <w:sz w:val="22"/>
                <w:szCs w:val="22"/>
              </w:rPr>
              <w:t>, but it can be managed with a range of medications. Early diagnosis and treatment are important to slow down disease progression.</w:t>
            </w:r>
          </w:p>
          <w:p w14:paraId="68529FC8" w14:textId="157D99FF" w:rsidR="00AF5083" w:rsidRDefault="00AF5083" w:rsidP="00B707AF">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People with systemic sclerosis </w:t>
            </w:r>
            <w:r w:rsidR="00680118">
              <w:rPr>
                <w:rFonts w:ascii="Franklin Gothic Book" w:hAnsi="Franklin Gothic Book"/>
                <w:iCs/>
                <w:color w:val="auto"/>
                <w:sz w:val="22"/>
                <w:szCs w:val="22"/>
              </w:rPr>
              <w:t>are usually</w:t>
            </w:r>
            <w:r>
              <w:rPr>
                <w:rFonts w:ascii="Franklin Gothic Book" w:hAnsi="Franklin Gothic Book"/>
                <w:iCs/>
                <w:color w:val="auto"/>
                <w:sz w:val="22"/>
                <w:szCs w:val="22"/>
              </w:rPr>
              <w:t xml:space="preserve"> checked for PAH every year, which</w:t>
            </w:r>
            <w:r w:rsidR="00385D4D">
              <w:rPr>
                <w:rFonts w:ascii="Franklin Gothic Book" w:hAnsi="Franklin Gothic Book"/>
                <w:iCs/>
                <w:color w:val="auto"/>
                <w:sz w:val="22"/>
                <w:szCs w:val="22"/>
              </w:rPr>
              <w:t xml:space="preserve"> currently</w:t>
            </w:r>
            <w:r>
              <w:rPr>
                <w:rFonts w:ascii="Franklin Gothic Book" w:hAnsi="Franklin Gothic Book"/>
                <w:iCs/>
                <w:color w:val="auto"/>
                <w:sz w:val="22"/>
                <w:szCs w:val="22"/>
              </w:rPr>
              <w:t xml:space="preserve"> involves a lung function test</w:t>
            </w:r>
            <w:r w:rsidR="00385D4D">
              <w:rPr>
                <w:rFonts w:ascii="Franklin Gothic Book" w:hAnsi="Franklin Gothic Book"/>
                <w:iCs/>
                <w:color w:val="auto"/>
                <w:sz w:val="22"/>
                <w:szCs w:val="22"/>
              </w:rPr>
              <w:t xml:space="preserve"> and </w:t>
            </w:r>
            <w:r w:rsidR="00385D4D" w:rsidRPr="00006582">
              <w:rPr>
                <w:rFonts w:ascii="Franklin Gothic Book" w:hAnsi="Franklin Gothic Book"/>
                <w:iCs/>
                <w:color w:val="auto"/>
                <w:sz w:val="22"/>
                <w:szCs w:val="22"/>
              </w:rPr>
              <w:t xml:space="preserve">a </w:t>
            </w:r>
            <w:r w:rsidR="00F5257A" w:rsidRPr="00006582">
              <w:rPr>
                <w:rFonts w:ascii="Franklin Gothic Book" w:hAnsi="Franklin Gothic Book"/>
                <w:iCs/>
                <w:color w:val="auto"/>
                <w:sz w:val="22"/>
                <w:szCs w:val="22"/>
              </w:rPr>
              <w:t>transthoracic echocardiogram (</w:t>
            </w:r>
            <w:r w:rsidRPr="00006582">
              <w:rPr>
                <w:rFonts w:ascii="Franklin Gothic Book" w:hAnsi="Franklin Gothic Book"/>
                <w:iCs/>
                <w:color w:val="auto"/>
                <w:sz w:val="22"/>
                <w:szCs w:val="22"/>
              </w:rPr>
              <w:t>TTE</w:t>
            </w:r>
            <w:r w:rsidR="00F5257A" w:rsidRPr="00006582">
              <w:rPr>
                <w:rFonts w:ascii="Franklin Gothic Book" w:hAnsi="Franklin Gothic Book"/>
                <w:iCs/>
                <w:color w:val="auto"/>
                <w:sz w:val="22"/>
                <w:szCs w:val="22"/>
              </w:rPr>
              <w:t>)</w:t>
            </w:r>
            <w:r w:rsidR="00385D4D" w:rsidRPr="00006582">
              <w:rPr>
                <w:rFonts w:ascii="Franklin Gothic Book" w:hAnsi="Franklin Gothic Book"/>
                <w:iCs/>
                <w:color w:val="auto"/>
                <w:sz w:val="22"/>
                <w:szCs w:val="22"/>
              </w:rPr>
              <w:t>,</w:t>
            </w:r>
            <w:r w:rsidR="00F5257A" w:rsidRPr="00006582">
              <w:rPr>
                <w:rFonts w:ascii="Franklin Gothic Book" w:hAnsi="Franklin Gothic Book"/>
                <w:iCs/>
                <w:color w:val="auto"/>
                <w:sz w:val="22"/>
                <w:szCs w:val="22"/>
              </w:rPr>
              <w:t xml:space="preserve"> </w:t>
            </w:r>
            <w:r w:rsidR="00202CF8" w:rsidRPr="00006582">
              <w:rPr>
                <w:rFonts w:ascii="Franklin Gothic Book" w:hAnsi="Franklin Gothic Book"/>
                <w:iCs/>
                <w:color w:val="auto"/>
                <w:sz w:val="22"/>
                <w:szCs w:val="22"/>
              </w:rPr>
              <w:t>which is an ultrasound test of the heart</w:t>
            </w:r>
            <w:r w:rsidR="00385D4D" w:rsidRPr="00006582">
              <w:rPr>
                <w:rFonts w:ascii="Franklin Gothic Book" w:hAnsi="Franklin Gothic Book"/>
                <w:iCs/>
                <w:color w:val="auto"/>
                <w:sz w:val="22"/>
                <w:szCs w:val="22"/>
              </w:rPr>
              <w:t>. A TTE</w:t>
            </w:r>
            <w:r w:rsidR="00202CF8" w:rsidRPr="00006582">
              <w:rPr>
                <w:rFonts w:ascii="Franklin Gothic Book" w:hAnsi="Franklin Gothic Book"/>
                <w:iCs/>
                <w:color w:val="auto"/>
                <w:sz w:val="22"/>
                <w:szCs w:val="22"/>
              </w:rPr>
              <w:t xml:space="preserve"> is performed by a trained sonographer or cardiologist with specialised ultrasound equipment, and it takes about </w:t>
            </w:r>
            <w:r w:rsidR="00385D4D" w:rsidRPr="00006582">
              <w:rPr>
                <w:rFonts w:ascii="Franklin Gothic Book" w:hAnsi="Franklin Gothic Book"/>
                <w:iCs/>
                <w:color w:val="auto"/>
                <w:sz w:val="22"/>
                <w:szCs w:val="22"/>
              </w:rPr>
              <w:t>one</w:t>
            </w:r>
            <w:r w:rsidR="00202CF8" w:rsidRPr="00006582">
              <w:rPr>
                <w:rFonts w:ascii="Franklin Gothic Book" w:hAnsi="Franklin Gothic Book"/>
                <w:iCs/>
                <w:color w:val="auto"/>
                <w:sz w:val="22"/>
                <w:szCs w:val="22"/>
              </w:rPr>
              <w:t xml:space="preserve"> hour</w:t>
            </w:r>
            <w:r w:rsidR="00385D4D" w:rsidRPr="00006582">
              <w:rPr>
                <w:rFonts w:ascii="Franklin Gothic Book" w:hAnsi="Franklin Gothic Book"/>
                <w:iCs/>
                <w:color w:val="auto"/>
                <w:sz w:val="22"/>
                <w:szCs w:val="22"/>
              </w:rPr>
              <w:t>.</w:t>
            </w:r>
            <w:r w:rsidR="00202CF8">
              <w:rPr>
                <w:rFonts w:ascii="Franklin Gothic Book" w:hAnsi="Franklin Gothic Book"/>
                <w:iCs/>
                <w:color w:val="auto"/>
                <w:sz w:val="22"/>
                <w:szCs w:val="22"/>
              </w:rPr>
              <w:t xml:space="preserve"> </w:t>
            </w:r>
            <w:r w:rsidRPr="000354A6">
              <w:rPr>
                <w:rFonts w:ascii="Franklin Gothic Book" w:hAnsi="Franklin Gothic Book"/>
                <w:iCs/>
                <w:sz w:val="22"/>
                <w:szCs w:val="22"/>
              </w:rPr>
              <w:t>N-terminal pro B-type natriuretic peptide</w:t>
            </w:r>
            <w:r w:rsidRPr="00055E91">
              <w:rPr>
                <w:iCs/>
              </w:rPr>
              <w:t xml:space="preserve"> (</w:t>
            </w:r>
            <w:r>
              <w:rPr>
                <w:rFonts w:ascii="Franklin Gothic Book" w:hAnsi="Franklin Gothic Book"/>
                <w:iCs/>
                <w:color w:val="auto"/>
                <w:sz w:val="22"/>
                <w:szCs w:val="22"/>
              </w:rPr>
              <w:t>NT-</w:t>
            </w:r>
            <w:proofErr w:type="spellStart"/>
            <w:r>
              <w:rPr>
                <w:rFonts w:ascii="Franklin Gothic Book" w:hAnsi="Franklin Gothic Book"/>
                <w:iCs/>
                <w:color w:val="auto"/>
                <w:sz w:val="22"/>
                <w:szCs w:val="22"/>
              </w:rPr>
              <w:t>proBNP</w:t>
            </w:r>
            <w:proofErr w:type="spellEnd"/>
            <w:r>
              <w:rPr>
                <w:rFonts w:ascii="Franklin Gothic Book" w:hAnsi="Franklin Gothic Book"/>
                <w:iCs/>
                <w:color w:val="auto"/>
                <w:sz w:val="22"/>
                <w:szCs w:val="22"/>
              </w:rPr>
              <w:t>)</w:t>
            </w:r>
            <w:r w:rsidR="00202CF8">
              <w:rPr>
                <w:rFonts w:ascii="Franklin Gothic Book" w:hAnsi="Franklin Gothic Book"/>
                <w:iCs/>
                <w:color w:val="auto"/>
                <w:sz w:val="22"/>
                <w:szCs w:val="22"/>
              </w:rPr>
              <w:t xml:space="preserve"> is a blood test that can be used instead of TTE</w:t>
            </w:r>
            <w:r>
              <w:rPr>
                <w:rFonts w:ascii="Franklin Gothic Book" w:hAnsi="Franklin Gothic Book"/>
                <w:iCs/>
                <w:color w:val="auto"/>
                <w:sz w:val="22"/>
                <w:szCs w:val="22"/>
              </w:rPr>
              <w:t>.</w:t>
            </w:r>
            <w:r w:rsidR="00F5257A" w:rsidRPr="003A3925">
              <w:rPr>
                <w:rFonts w:ascii="Franklin Gothic Book" w:hAnsi="Franklin Gothic Book"/>
                <w:iCs/>
                <w:color w:val="auto"/>
                <w:sz w:val="22"/>
                <w:szCs w:val="22"/>
              </w:rPr>
              <w:t xml:space="preserve"> </w:t>
            </w:r>
            <w:r w:rsidRPr="003A3925">
              <w:rPr>
                <w:rFonts w:ascii="Franklin Gothic Book" w:hAnsi="Franklin Gothic Book"/>
                <w:iCs/>
                <w:color w:val="auto"/>
                <w:sz w:val="22"/>
                <w:szCs w:val="22"/>
              </w:rPr>
              <w:t>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is a hormone that is released by the heart</w:t>
            </w:r>
            <w:r>
              <w:rPr>
                <w:rFonts w:ascii="Franklin Gothic Book" w:hAnsi="Franklin Gothic Book"/>
                <w:iCs/>
                <w:color w:val="auto"/>
                <w:sz w:val="22"/>
                <w:szCs w:val="22"/>
              </w:rPr>
              <w:t xml:space="preserve"> </w:t>
            </w:r>
            <w:r w:rsidR="00385D4D">
              <w:rPr>
                <w:rFonts w:ascii="Franklin Gothic Book" w:hAnsi="Franklin Gothic Book"/>
                <w:iCs/>
                <w:color w:val="auto"/>
                <w:sz w:val="22"/>
                <w:szCs w:val="22"/>
              </w:rPr>
              <w:t xml:space="preserve">as </w:t>
            </w:r>
            <w:r>
              <w:rPr>
                <w:rFonts w:ascii="Franklin Gothic Book" w:hAnsi="Franklin Gothic Book"/>
                <w:iCs/>
                <w:color w:val="auto"/>
                <w:sz w:val="22"/>
                <w:szCs w:val="22"/>
              </w:rPr>
              <w:t>heart pressure increases. H</w:t>
            </w:r>
            <w:r w:rsidRPr="003A3925">
              <w:rPr>
                <w:rFonts w:ascii="Franklin Gothic Book" w:hAnsi="Franklin Gothic Book"/>
                <w:iCs/>
                <w:color w:val="auto"/>
                <w:sz w:val="22"/>
                <w:szCs w:val="22"/>
              </w:rPr>
              <w:t xml:space="preserve">igher levels </w:t>
            </w:r>
            <w:r>
              <w:rPr>
                <w:rFonts w:ascii="Franklin Gothic Book" w:hAnsi="Franklin Gothic Book"/>
                <w:iCs/>
                <w:color w:val="auto"/>
                <w:sz w:val="22"/>
                <w:szCs w:val="22"/>
              </w:rPr>
              <w:t xml:space="preserve">in the bloodstream </w:t>
            </w:r>
            <w:r w:rsidRPr="003A3925">
              <w:rPr>
                <w:rFonts w:ascii="Franklin Gothic Book" w:hAnsi="Franklin Gothic Book"/>
                <w:iCs/>
                <w:color w:val="auto"/>
                <w:sz w:val="22"/>
                <w:szCs w:val="22"/>
              </w:rPr>
              <w:t>may indicate problems with the heart</w:t>
            </w:r>
            <w:r>
              <w:rPr>
                <w:rFonts w:ascii="Franklin Gothic Book" w:hAnsi="Franklin Gothic Book"/>
                <w:iCs/>
                <w:color w:val="auto"/>
                <w:sz w:val="22"/>
                <w:szCs w:val="22"/>
              </w:rPr>
              <w:t>, one of which is PAH. The NT-</w:t>
            </w:r>
            <w:proofErr w:type="spellStart"/>
            <w:r>
              <w:rPr>
                <w:rFonts w:ascii="Franklin Gothic Book" w:hAnsi="Franklin Gothic Book"/>
                <w:iCs/>
                <w:color w:val="auto"/>
                <w:sz w:val="22"/>
                <w:szCs w:val="22"/>
              </w:rPr>
              <w:t>proBNP</w:t>
            </w:r>
            <w:proofErr w:type="spellEnd"/>
            <w:r>
              <w:rPr>
                <w:rFonts w:ascii="Franklin Gothic Book" w:hAnsi="Franklin Gothic Book"/>
                <w:iCs/>
                <w:color w:val="auto"/>
                <w:sz w:val="22"/>
                <w:szCs w:val="22"/>
              </w:rPr>
              <w:t xml:space="preserve"> blood test </w:t>
            </w:r>
            <w:r w:rsidR="000354A6">
              <w:rPr>
                <w:rFonts w:ascii="Franklin Gothic Book" w:hAnsi="Franklin Gothic Book"/>
                <w:iCs/>
                <w:color w:val="auto"/>
                <w:sz w:val="22"/>
                <w:szCs w:val="22"/>
              </w:rPr>
              <w:t xml:space="preserve">to detect PAH </w:t>
            </w:r>
            <w:r>
              <w:rPr>
                <w:rFonts w:ascii="Franklin Gothic Book" w:hAnsi="Franklin Gothic Book"/>
                <w:iCs/>
                <w:color w:val="auto"/>
                <w:sz w:val="22"/>
                <w:szCs w:val="22"/>
              </w:rPr>
              <w:t>has not previously been listed on the MBS.</w:t>
            </w:r>
            <w:r w:rsidR="00F5257A">
              <w:rPr>
                <w:rFonts w:ascii="Franklin Gothic Book" w:hAnsi="Franklin Gothic Book"/>
                <w:iCs/>
                <w:color w:val="auto"/>
                <w:sz w:val="22"/>
                <w:szCs w:val="22"/>
              </w:rPr>
              <w:t xml:space="preserve"> </w:t>
            </w:r>
          </w:p>
          <w:p w14:paraId="17E9452A" w14:textId="1EA49DCC" w:rsidR="00AF5083" w:rsidRDefault="00AF5083" w:rsidP="003A3925">
            <w:pPr>
              <w:pStyle w:val="Default"/>
              <w:spacing w:after="240"/>
              <w:rPr>
                <w:rFonts w:ascii="Franklin Gothic Book" w:hAnsi="Franklin Gothic Book"/>
                <w:iCs/>
                <w:color w:val="auto"/>
                <w:sz w:val="22"/>
                <w:szCs w:val="22"/>
              </w:rPr>
            </w:pPr>
            <w:r w:rsidRPr="003A3925">
              <w:rPr>
                <w:rFonts w:ascii="Franklin Gothic Book" w:hAnsi="Franklin Gothic Book"/>
                <w:iCs/>
                <w:color w:val="auto"/>
                <w:sz w:val="22"/>
                <w:szCs w:val="22"/>
              </w:rPr>
              <w:t>MSAC considered that 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testing was at least as effective as TTE at </w:t>
            </w:r>
            <w:r w:rsidR="00A45114">
              <w:rPr>
                <w:rFonts w:ascii="Franklin Gothic Book" w:hAnsi="Franklin Gothic Book"/>
                <w:iCs/>
                <w:color w:val="auto"/>
                <w:sz w:val="22"/>
                <w:szCs w:val="22"/>
              </w:rPr>
              <w:t>detecting</w:t>
            </w:r>
            <w:r w:rsidR="00A45114" w:rsidRPr="003A3925">
              <w:rPr>
                <w:rFonts w:ascii="Franklin Gothic Book" w:hAnsi="Franklin Gothic Book"/>
                <w:iCs/>
                <w:color w:val="auto"/>
                <w:sz w:val="22"/>
                <w:szCs w:val="22"/>
              </w:rPr>
              <w:t xml:space="preserve"> </w:t>
            </w:r>
            <w:r w:rsidRPr="003A3925">
              <w:rPr>
                <w:rFonts w:ascii="Franklin Gothic Book" w:hAnsi="Franklin Gothic Book"/>
                <w:iCs/>
                <w:color w:val="auto"/>
                <w:sz w:val="22"/>
                <w:szCs w:val="22"/>
              </w:rPr>
              <w:t>PAH and was better at correctly identifying patients who do not have PAH.</w:t>
            </w:r>
            <w:r>
              <w:rPr>
                <w:rFonts w:ascii="Franklin Gothic Book" w:hAnsi="Franklin Gothic Book"/>
                <w:iCs/>
                <w:color w:val="auto"/>
                <w:sz w:val="22"/>
                <w:szCs w:val="22"/>
              </w:rPr>
              <w:t xml:space="preserve"> If patients with systemic scleroderma could have a lung function test and a blood test which showed a normal NT-</w:t>
            </w:r>
            <w:proofErr w:type="spellStart"/>
            <w:r>
              <w:rPr>
                <w:rFonts w:ascii="Franklin Gothic Book" w:hAnsi="Franklin Gothic Book"/>
                <w:iCs/>
                <w:color w:val="auto"/>
                <w:sz w:val="22"/>
                <w:szCs w:val="22"/>
              </w:rPr>
              <w:t>proBNP</w:t>
            </w:r>
            <w:proofErr w:type="spellEnd"/>
            <w:r>
              <w:rPr>
                <w:rFonts w:ascii="Franklin Gothic Book" w:hAnsi="Franklin Gothic Book"/>
                <w:iCs/>
                <w:color w:val="auto"/>
                <w:sz w:val="22"/>
                <w:szCs w:val="22"/>
              </w:rPr>
              <w:t xml:space="preserve"> level, they might not need to have a TTE that year. This would reduce the number of other tests people would need to have, saving money and time.</w:t>
            </w:r>
            <w:r w:rsidRPr="003A3925">
              <w:rPr>
                <w:rFonts w:ascii="Franklin Gothic Book" w:hAnsi="Franklin Gothic Book"/>
                <w:iCs/>
                <w:color w:val="auto"/>
                <w:sz w:val="22"/>
                <w:szCs w:val="22"/>
              </w:rPr>
              <w:t xml:space="preserve"> MSAC </w:t>
            </w:r>
            <w:r>
              <w:rPr>
                <w:rFonts w:ascii="Franklin Gothic Book" w:hAnsi="Franklin Gothic Book"/>
                <w:iCs/>
                <w:color w:val="auto"/>
                <w:sz w:val="22"/>
                <w:szCs w:val="22"/>
              </w:rPr>
              <w:t>considered</w:t>
            </w:r>
            <w:r w:rsidRPr="003A3925">
              <w:rPr>
                <w:rFonts w:ascii="Franklin Gothic Book" w:hAnsi="Franklin Gothic Book"/>
                <w:iCs/>
                <w:color w:val="auto"/>
                <w:sz w:val="22"/>
                <w:szCs w:val="22"/>
              </w:rPr>
              <w:t xml:space="preserve"> that </w:t>
            </w:r>
            <w:r>
              <w:rPr>
                <w:rFonts w:ascii="Franklin Gothic Book" w:hAnsi="Franklin Gothic Book"/>
                <w:iCs/>
                <w:color w:val="auto"/>
                <w:sz w:val="22"/>
                <w:szCs w:val="22"/>
              </w:rPr>
              <w:t xml:space="preserve">it would be appropriate for </w:t>
            </w:r>
            <w:r w:rsidRPr="003A3925">
              <w:rPr>
                <w:rFonts w:ascii="Franklin Gothic Book" w:hAnsi="Franklin Gothic Book"/>
                <w:iCs/>
                <w:color w:val="auto"/>
                <w:sz w:val="22"/>
                <w:szCs w:val="22"/>
              </w:rPr>
              <w:t xml:space="preserve">the patient’s regular doctor (GP) </w:t>
            </w:r>
            <w:r>
              <w:rPr>
                <w:rFonts w:ascii="Franklin Gothic Book" w:hAnsi="Franklin Gothic Book"/>
                <w:iCs/>
                <w:color w:val="auto"/>
                <w:sz w:val="22"/>
                <w:szCs w:val="22"/>
              </w:rPr>
              <w:t xml:space="preserve">to refer the patient for </w:t>
            </w:r>
            <w:r w:rsidRPr="003A3925">
              <w:rPr>
                <w:rFonts w:ascii="Franklin Gothic Book" w:hAnsi="Franklin Gothic Book"/>
                <w:iCs/>
                <w:color w:val="auto"/>
                <w:sz w:val="22"/>
                <w:szCs w:val="22"/>
              </w:rPr>
              <w:t>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testing, </w:t>
            </w:r>
            <w:r>
              <w:rPr>
                <w:rFonts w:ascii="Franklin Gothic Book" w:hAnsi="Franklin Gothic Book"/>
                <w:iCs/>
                <w:color w:val="auto"/>
                <w:sz w:val="22"/>
                <w:szCs w:val="22"/>
              </w:rPr>
              <w:t xml:space="preserve">if done </w:t>
            </w:r>
            <w:r w:rsidRPr="003A3925">
              <w:rPr>
                <w:rFonts w:ascii="Franklin Gothic Book" w:hAnsi="Franklin Gothic Book"/>
                <w:iCs/>
                <w:color w:val="auto"/>
                <w:sz w:val="22"/>
                <w:szCs w:val="22"/>
              </w:rPr>
              <w:t>in consultation with the patient’s specialist. This would make 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testing more accessible to more patients.</w:t>
            </w:r>
            <w:r w:rsidR="005C49A5">
              <w:rPr>
                <w:rFonts w:ascii="Franklin Gothic Book" w:hAnsi="Franklin Gothic Book"/>
                <w:iCs/>
                <w:color w:val="auto"/>
                <w:sz w:val="22"/>
                <w:szCs w:val="22"/>
              </w:rPr>
              <w:t xml:space="preserve"> GPs are already able to refer patients for lung function testing. </w:t>
            </w:r>
          </w:p>
          <w:p w14:paraId="47D238DE" w14:textId="0E897AB2" w:rsidR="003A3925" w:rsidRPr="003A3925" w:rsidRDefault="003A3925" w:rsidP="003A3925">
            <w:pPr>
              <w:pStyle w:val="Default"/>
              <w:spacing w:after="240"/>
              <w:rPr>
                <w:rFonts w:ascii="Franklin Gothic Book" w:hAnsi="Franklin Gothic Book"/>
                <w:iCs/>
                <w:color w:val="auto"/>
                <w:sz w:val="22"/>
                <w:szCs w:val="22"/>
              </w:rPr>
            </w:pPr>
            <w:r w:rsidRPr="003A3925">
              <w:rPr>
                <w:rFonts w:ascii="Franklin Gothic Book" w:hAnsi="Franklin Gothic Book"/>
                <w:iCs/>
                <w:color w:val="auto"/>
                <w:sz w:val="22"/>
                <w:szCs w:val="22"/>
              </w:rPr>
              <w:t xml:space="preserve">If problems </w:t>
            </w:r>
            <w:r w:rsidR="00AF5083">
              <w:rPr>
                <w:rFonts w:ascii="Franklin Gothic Book" w:hAnsi="Franklin Gothic Book"/>
                <w:iCs/>
                <w:color w:val="auto"/>
                <w:sz w:val="22"/>
                <w:szCs w:val="22"/>
              </w:rPr>
              <w:t xml:space="preserve">were </w:t>
            </w:r>
            <w:r w:rsidRPr="003A3925">
              <w:rPr>
                <w:rFonts w:ascii="Franklin Gothic Book" w:hAnsi="Franklin Gothic Book"/>
                <w:iCs/>
                <w:color w:val="auto"/>
                <w:sz w:val="22"/>
                <w:szCs w:val="22"/>
              </w:rPr>
              <w:t>detected from the 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w:t>
            </w:r>
            <w:r w:rsidR="00500F96">
              <w:rPr>
                <w:rFonts w:ascii="Franklin Gothic Book" w:hAnsi="Franklin Gothic Book"/>
                <w:iCs/>
                <w:color w:val="auto"/>
                <w:sz w:val="22"/>
                <w:szCs w:val="22"/>
              </w:rPr>
              <w:t xml:space="preserve"> and the lung function test</w:t>
            </w:r>
            <w:r w:rsidRPr="003A3925">
              <w:rPr>
                <w:rFonts w:ascii="Franklin Gothic Book" w:hAnsi="Franklin Gothic Book"/>
                <w:iCs/>
                <w:color w:val="auto"/>
                <w:sz w:val="22"/>
                <w:szCs w:val="22"/>
              </w:rPr>
              <w:t xml:space="preserve">, patients </w:t>
            </w:r>
            <w:r w:rsidR="00AF5083">
              <w:rPr>
                <w:rFonts w:ascii="Franklin Gothic Book" w:hAnsi="Franklin Gothic Book"/>
                <w:iCs/>
                <w:color w:val="auto"/>
                <w:sz w:val="22"/>
                <w:szCs w:val="22"/>
              </w:rPr>
              <w:t xml:space="preserve">would then need to </w:t>
            </w:r>
            <w:r w:rsidRPr="003A3925">
              <w:rPr>
                <w:rFonts w:ascii="Franklin Gothic Book" w:hAnsi="Franklin Gothic Book"/>
                <w:iCs/>
                <w:color w:val="auto"/>
                <w:sz w:val="22"/>
                <w:szCs w:val="22"/>
              </w:rPr>
              <w:t xml:space="preserve">have a TTE </w:t>
            </w:r>
            <w:r w:rsidR="00500F96">
              <w:rPr>
                <w:rFonts w:ascii="Franklin Gothic Book" w:hAnsi="Franklin Gothic Book"/>
                <w:iCs/>
                <w:color w:val="auto"/>
                <w:sz w:val="22"/>
                <w:szCs w:val="22"/>
              </w:rPr>
              <w:t xml:space="preserve">and other tests </w:t>
            </w:r>
            <w:r w:rsidRPr="003A3925">
              <w:rPr>
                <w:rFonts w:ascii="Franklin Gothic Book" w:hAnsi="Franklin Gothic Book"/>
                <w:iCs/>
                <w:color w:val="auto"/>
                <w:sz w:val="22"/>
                <w:szCs w:val="22"/>
              </w:rPr>
              <w:t xml:space="preserve">to </w:t>
            </w:r>
            <w:r w:rsidR="00AF5083">
              <w:rPr>
                <w:rFonts w:ascii="Franklin Gothic Book" w:hAnsi="Franklin Gothic Book"/>
                <w:iCs/>
                <w:color w:val="auto"/>
                <w:sz w:val="22"/>
                <w:szCs w:val="22"/>
              </w:rPr>
              <w:t xml:space="preserve">further assess for PAH or other </w:t>
            </w:r>
            <w:r w:rsidRPr="003A3925">
              <w:rPr>
                <w:rFonts w:ascii="Franklin Gothic Book" w:hAnsi="Franklin Gothic Book"/>
                <w:iCs/>
                <w:color w:val="auto"/>
                <w:sz w:val="22"/>
                <w:szCs w:val="22"/>
              </w:rPr>
              <w:t xml:space="preserve">problems. </w:t>
            </w:r>
          </w:p>
          <w:p w14:paraId="3BB943A2" w14:textId="400A5C18" w:rsidR="00FF43AB" w:rsidRPr="00FF43AB" w:rsidRDefault="00586E82" w:rsidP="00FF43AB">
            <w:pPr>
              <w:pStyle w:val="Default"/>
              <w:spacing w:after="240"/>
              <w:rPr>
                <w:rFonts w:ascii="Franklin Gothic Book" w:hAnsi="Franklin Gothic Book"/>
                <w:iCs/>
                <w:color w:val="auto"/>
                <w:szCs w:val="22"/>
                <w:lang w:val="en-US"/>
              </w:rPr>
            </w:pPr>
            <w:r w:rsidRPr="003A3925">
              <w:rPr>
                <w:rFonts w:ascii="Franklin Gothic Book" w:hAnsi="Franklin Gothic Book"/>
                <w:iCs/>
                <w:color w:val="auto"/>
                <w:sz w:val="22"/>
                <w:szCs w:val="22"/>
              </w:rPr>
              <w:t xml:space="preserve">MSAC did not </w:t>
            </w:r>
            <w:r>
              <w:rPr>
                <w:rFonts w:ascii="Franklin Gothic Book" w:hAnsi="Franklin Gothic Book"/>
                <w:iCs/>
                <w:color w:val="auto"/>
                <w:sz w:val="22"/>
                <w:szCs w:val="22"/>
              </w:rPr>
              <w:t>support funding for</w:t>
            </w:r>
            <w:r w:rsidRPr="003A3925">
              <w:rPr>
                <w:rFonts w:ascii="Franklin Gothic Book" w:hAnsi="Franklin Gothic Book"/>
                <w:iCs/>
                <w:color w:val="auto"/>
                <w:sz w:val="22"/>
                <w:szCs w:val="22"/>
              </w:rPr>
              <w:t xml:space="preserve"> </w:t>
            </w:r>
            <w:r>
              <w:rPr>
                <w:rFonts w:ascii="Franklin Gothic Book" w:hAnsi="Franklin Gothic Book"/>
                <w:iCs/>
                <w:color w:val="auto"/>
                <w:sz w:val="22"/>
                <w:szCs w:val="22"/>
              </w:rPr>
              <w:t xml:space="preserve">monitoring or assessing risk using </w:t>
            </w:r>
            <w:r w:rsidRPr="003A3925">
              <w:rPr>
                <w:rFonts w:ascii="Franklin Gothic Book" w:hAnsi="Franklin Gothic Book"/>
                <w:iCs/>
                <w:color w:val="auto"/>
                <w:sz w:val="22"/>
                <w:szCs w:val="22"/>
              </w:rPr>
              <w:t>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testing </w:t>
            </w:r>
            <w:r>
              <w:rPr>
                <w:rFonts w:ascii="Franklin Gothic Book" w:hAnsi="Franklin Gothic Book"/>
                <w:iCs/>
                <w:color w:val="auto"/>
                <w:sz w:val="22"/>
                <w:szCs w:val="22"/>
              </w:rPr>
              <w:t>in</w:t>
            </w:r>
            <w:r w:rsidRPr="003A3925">
              <w:rPr>
                <w:rFonts w:ascii="Franklin Gothic Book" w:hAnsi="Franklin Gothic Book"/>
                <w:iCs/>
                <w:color w:val="auto"/>
                <w:sz w:val="22"/>
                <w:szCs w:val="22"/>
              </w:rPr>
              <w:t xml:space="preserve"> </w:t>
            </w:r>
            <w:r w:rsidR="003A3925" w:rsidRPr="003A3925">
              <w:rPr>
                <w:rFonts w:ascii="Franklin Gothic Book" w:hAnsi="Franklin Gothic Book"/>
                <w:iCs/>
                <w:color w:val="auto"/>
                <w:sz w:val="22"/>
                <w:szCs w:val="22"/>
              </w:rPr>
              <w:t xml:space="preserve">patients who have already been diagnosed with </w:t>
            </w:r>
            <w:r w:rsidR="00CB2A61">
              <w:rPr>
                <w:rFonts w:ascii="Franklin Gothic Book" w:hAnsi="Franklin Gothic Book"/>
                <w:iCs/>
                <w:color w:val="auto"/>
                <w:sz w:val="22"/>
                <w:szCs w:val="22"/>
              </w:rPr>
              <w:t>PAH</w:t>
            </w:r>
            <w:r w:rsidR="00DC2027">
              <w:rPr>
                <w:rFonts w:ascii="Franklin Gothic Book" w:hAnsi="Franklin Gothic Book"/>
                <w:iCs/>
                <w:color w:val="auto"/>
                <w:sz w:val="22"/>
                <w:szCs w:val="22"/>
              </w:rPr>
              <w:t>.</w:t>
            </w:r>
            <w:r w:rsidR="001E35D1">
              <w:rPr>
                <w:rFonts w:ascii="Franklin Gothic Book" w:hAnsi="Franklin Gothic Book"/>
                <w:iCs/>
                <w:color w:val="auto"/>
                <w:sz w:val="22"/>
                <w:szCs w:val="22"/>
              </w:rPr>
              <w:t xml:space="preserve"> </w:t>
            </w:r>
            <w:r w:rsidR="00F432BF">
              <w:rPr>
                <w:rFonts w:ascii="Franklin Gothic Book" w:hAnsi="Franklin Gothic Book"/>
                <w:iCs/>
                <w:color w:val="auto"/>
                <w:sz w:val="22"/>
                <w:szCs w:val="22"/>
              </w:rPr>
              <w:t xml:space="preserve">In these patients, </w:t>
            </w:r>
            <w:r w:rsidR="001E35D1" w:rsidRPr="001E35D1">
              <w:rPr>
                <w:rFonts w:ascii="Franklin Gothic Book" w:hAnsi="Franklin Gothic Book"/>
                <w:iCs/>
                <w:color w:val="auto"/>
                <w:sz w:val="22"/>
                <w:szCs w:val="22"/>
              </w:rPr>
              <w:t>NT-</w:t>
            </w:r>
            <w:proofErr w:type="spellStart"/>
            <w:r w:rsidR="001E35D1" w:rsidRPr="001E35D1">
              <w:rPr>
                <w:rFonts w:ascii="Franklin Gothic Book" w:hAnsi="Franklin Gothic Book"/>
                <w:iCs/>
                <w:color w:val="auto"/>
                <w:sz w:val="22"/>
                <w:szCs w:val="22"/>
              </w:rPr>
              <w:t>proBNP</w:t>
            </w:r>
            <w:proofErr w:type="spellEnd"/>
            <w:r w:rsidR="001E35D1" w:rsidRPr="001E35D1">
              <w:rPr>
                <w:rFonts w:ascii="Franklin Gothic Book" w:hAnsi="Franklin Gothic Book"/>
                <w:iCs/>
                <w:color w:val="auto"/>
                <w:sz w:val="22"/>
                <w:szCs w:val="22"/>
              </w:rPr>
              <w:t xml:space="preserve"> </w:t>
            </w:r>
            <w:r w:rsidR="001E35D1">
              <w:rPr>
                <w:rFonts w:ascii="Franklin Gothic Book" w:hAnsi="Franklin Gothic Book"/>
                <w:iCs/>
                <w:color w:val="auto"/>
                <w:sz w:val="22"/>
                <w:szCs w:val="22"/>
              </w:rPr>
              <w:t>test</w:t>
            </w:r>
            <w:r w:rsidR="00F432BF">
              <w:rPr>
                <w:rFonts w:ascii="Franklin Gothic Book" w:hAnsi="Franklin Gothic Book"/>
                <w:iCs/>
                <w:color w:val="auto"/>
                <w:sz w:val="22"/>
                <w:szCs w:val="22"/>
              </w:rPr>
              <w:t>ing</w:t>
            </w:r>
            <w:r w:rsidR="001E35D1">
              <w:rPr>
                <w:rFonts w:ascii="Franklin Gothic Book" w:hAnsi="Franklin Gothic Book"/>
                <w:iCs/>
                <w:color w:val="auto"/>
                <w:sz w:val="22"/>
                <w:szCs w:val="22"/>
              </w:rPr>
              <w:t xml:space="preserve"> </w:t>
            </w:r>
            <w:r w:rsidR="001E35D1" w:rsidRPr="001E35D1">
              <w:rPr>
                <w:rFonts w:ascii="Franklin Gothic Book" w:hAnsi="Franklin Gothic Book"/>
                <w:iCs/>
                <w:color w:val="auto"/>
                <w:sz w:val="22"/>
                <w:szCs w:val="22"/>
              </w:rPr>
              <w:t xml:space="preserve">is not expected to </w:t>
            </w:r>
            <w:r w:rsidR="001E35D1">
              <w:rPr>
                <w:rFonts w:ascii="Franklin Gothic Book" w:hAnsi="Franklin Gothic Book"/>
                <w:iCs/>
                <w:color w:val="auto"/>
                <w:sz w:val="22"/>
                <w:szCs w:val="22"/>
              </w:rPr>
              <w:t>perform</w:t>
            </w:r>
            <w:r w:rsidR="001E35D1" w:rsidRPr="001E35D1">
              <w:rPr>
                <w:rFonts w:ascii="Franklin Gothic Book" w:hAnsi="Franklin Gothic Book"/>
                <w:iCs/>
                <w:color w:val="auto"/>
                <w:sz w:val="22"/>
                <w:szCs w:val="22"/>
              </w:rPr>
              <w:t xml:space="preserve"> better than TTE</w:t>
            </w:r>
            <w:r w:rsidR="00AF5083">
              <w:rPr>
                <w:rFonts w:ascii="Franklin Gothic Book" w:hAnsi="Franklin Gothic Book"/>
                <w:iCs/>
                <w:color w:val="auto"/>
                <w:sz w:val="22"/>
                <w:szCs w:val="22"/>
              </w:rPr>
              <w:t>,</w:t>
            </w:r>
            <w:r w:rsidR="00BC1D56">
              <w:rPr>
                <w:rFonts w:ascii="Franklin Gothic Book" w:hAnsi="Franklin Gothic Book"/>
                <w:iCs/>
                <w:color w:val="auto"/>
                <w:sz w:val="22"/>
                <w:szCs w:val="22"/>
              </w:rPr>
              <w:t xml:space="preserve"> and</w:t>
            </w:r>
            <w:r w:rsidR="001E35D1">
              <w:rPr>
                <w:rFonts w:ascii="Franklin Gothic Book" w:hAnsi="Franklin Gothic Book"/>
                <w:iCs/>
                <w:color w:val="auto"/>
                <w:sz w:val="22"/>
                <w:szCs w:val="22"/>
              </w:rPr>
              <w:t xml:space="preserve"> </w:t>
            </w:r>
            <w:r w:rsidR="00F432BF">
              <w:rPr>
                <w:rFonts w:ascii="Franklin Gothic Book" w:hAnsi="Franklin Gothic Book"/>
                <w:iCs/>
                <w:color w:val="auto"/>
                <w:sz w:val="22"/>
                <w:szCs w:val="22"/>
              </w:rPr>
              <w:t xml:space="preserve">these </w:t>
            </w:r>
            <w:r w:rsidR="001E35D1">
              <w:rPr>
                <w:rFonts w:ascii="Franklin Gothic Book" w:hAnsi="Franklin Gothic Book"/>
                <w:iCs/>
                <w:color w:val="auto"/>
                <w:sz w:val="22"/>
                <w:szCs w:val="22"/>
              </w:rPr>
              <w:t>patients</w:t>
            </w:r>
            <w:r w:rsidR="00BC1D56">
              <w:rPr>
                <w:rFonts w:ascii="Franklin Gothic Book" w:hAnsi="Franklin Gothic Book"/>
                <w:iCs/>
                <w:color w:val="auto"/>
                <w:sz w:val="22"/>
                <w:szCs w:val="22"/>
              </w:rPr>
              <w:t xml:space="preserve"> </w:t>
            </w:r>
            <w:r w:rsidR="001E35D1" w:rsidRPr="001E35D1">
              <w:rPr>
                <w:rFonts w:ascii="Franklin Gothic Book" w:hAnsi="Franklin Gothic Book"/>
                <w:iCs/>
                <w:color w:val="auto"/>
                <w:sz w:val="22"/>
                <w:szCs w:val="22"/>
              </w:rPr>
              <w:t xml:space="preserve">may </w:t>
            </w:r>
            <w:r w:rsidR="00BC1D56">
              <w:rPr>
                <w:rFonts w:ascii="Franklin Gothic Book" w:hAnsi="Franklin Gothic Book"/>
                <w:iCs/>
                <w:color w:val="auto"/>
                <w:sz w:val="22"/>
                <w:szCs w:val="22"/>
              </w:rPr>
              <w:t xml:space="preserve">require </w:t>
            </w:r>
            <w:r w:rsidR="001E35D1" w:rsidRPr="001E35D1">
              <w:rPr>
                <w:rFonts w:ascii="Franklin Gothic Book" w:hAnsi="Franklin Gothic Book"/>
                <w:iCs/>
                <w:color w:val="auto"/>
                <w:sz w:val="22"/>
                <w:szCs w:val="22"/>
              </w:rPr>
              <w:t>TTE</w:t>
            </w:r>
            <w:r w:rsidR="00BC1D56">
              <w:rPr>
                <w:rFonts w:ascii="Franklin Gothic Book" w:hAnsi="Franklin Gothic Book"/>
                <w:iCs/>
                <w:color w:val="auto"/>
                <w:sz w:val="22"/>
                <w:szCs w:val="22"/>
              </w:rPr>
              <w:t xml:space="preserve"> </w:t>
            </w:r>
            <w:r w:rsidR="00D87030">
              <w:rPr>
                <w:rFonts w:ascii="Franklin Gothic Book" w:hAnsi="Franklin Gothic Book"/>
                <w:iCs/>
                <w:color w:val="auto"/>
                <w:sz w:val="22"/>
                <w:szCs w:val="22"/>
              </w:rPr>
              <w:t xml:space="preserve">anyway </w:t>
            </w:r>
            <w:r w:rsidR="00DC2027">
              <w:rPr>
                <w:rFonts w:ascii="Franklin Gothic Book" w:hAnsi="Franklin Gothic Book"/>
                <w:iCs/>
                <w:color w:val="auto"/>
                <w:sz w:val="22"/>
                <w:szCs w:val="22"/>
              </w:rPr>
              <w:t xml:space="preserve">for other </w:t>
            </w:r>
            <w:r w:rsidR="00F432BF">
              <w:rPr>
                <w:rFonts w:ascii="Franklin Gothic Book" w:hAnsi="Franklin Gothic Book"/>
                <w:iCs/>
                <w:color w:val="auto"/>
                <w:sz w:val="22"/>
                <w:szCs w:val="22"/>
              </w:rPr>
              <w:t xml:space="preserve">clinical </w:t>
            </w:r>
            <w:r w:rsidR="00DC2027">
              <w:rPr>
                <w:rFonts w:ascii="Franklin Gothic Book" w:hAnsi="Franklin Gothic Book"/>
                <w:iCs/>
                <w:color w:val="auto"/>
                <w:sz w:val="22"/>
                <w:szCs w:val="22"/>
              </w:rPr>
              <w:t>reasons</w:t>
            </w:r>
            <w:r w:rsidR="001E35D1" w:rsidRPr="001E35D1">
              <w:rPr>
                <w:rFonts w:ascii="Franklin Gothic Book" w:hAnsi="Franklin Gothic Book"/>
                <w:iCs/>
                <w:color w:val="auto"/>
                <w:sz w:val="22"/>
                <w:szCs w:val="22"/>
              </w:rPr>
              <w:t>.</w:t>
            </w:r>
            <w:r w:rsidR="003A3925" w:rsidRPr="003A3925">
              <w:rPr>
                <w:rFonts w:ascii="Franklin Gothic Book" w:hAnsi="Franklin Gothic Book"/>
                <w:iCs/>
                <w:color w:val="auto"/>
                <w:sz w:val="22"/>
                <w:szCs w:val="22"/>
              </w:rPr>
              <w:t xml:space="preserve"> </w:t>
            </w:r>
            <w:r w:rsidR="00DC2027">
              <w:rPr>
                <w:rFonts w:ascii="Franklin Gothic Book" w:hAnsi="Franklin Gothic Book"/>
                <w:iCs/>
                <w:color w:val="auto"/>
                <w:sz w:val="22"/>
                <w:szCs w:val="22"/>
              </w:rPr>
              <w:t>MSAC considered t</w:t>
            </w:r>
            <w:r w:rsidR="003A3925" w:rsidRPr="003A3925">
              <w:rPr>
                <w:rFonts w:ascii="Franklin Gothic Book" w:hAnsi="Franklin Gothic Book"/>
                <w:iCs/>
                <w:color w:val="auto"/>
                <w:sz w:val="22"/>
                <w:szCs w:val="22"/>
              </w:rPr>
              <w:t xml:space="preserve">his </w:t>
            </w:r>
            <w:r w:rsidR="00DC2027">
              <w:rPr>
                <w:rFonts w:ascii="Franklin Gothic Book" w:hAnsi="Franklin Gothic Book"/>
                <w:iCs/>
                <w:color w:val="auto"/>
                <w:sz w:val="22"/>
                <w:szCs w:val="22"/>
              </w:rPr>
              <w:t xml:space="preserve">could make </w:t>
            </w:r>
            <w:r w:rsidR="00DC2027" w:rsidRPr="003A3925">
              <w:rPr>
                <w:rFonts w:ascii="Franklin Gothic Book" w:hAnsi="Franklin Gothic Book"/>
                <w:iCs/>
                <w:color w:val="auto"/>
                <w:sz w:val="22"/>
                <w:szCs w:val="22"/>
              </w:rPr>
              <w:t>NT-</w:t>
            </w:r>
            <w:proofErr w:type="spellStart"/>
            <w:r w:rsidR="00DC2027" w:rsidRPr="003A3925">
              <w:rPr>
                <w:rFonts w:ascii="Franklin Gothic Book" w:hAnsi="Franklin Gothic Book"/>
                <w:iCs/>
                <w:color w:val="auto"/>
                <w:sz w:val="22"/>
                <w:szCs w:val="22"/>
              </w:rPr>
              <w:t>proBNP</w:t>
            </w:r>
            <w:proofErr w:type="spellEnd"/>
            <w:r w:rsidR="00DC2027" w:rsidRPr="003A3925">
              <w:rPr>
                <w:rFonts w:ascii="Franklin Gothic Book" w:hAnsi="Franklin Gothic Book"/>
                <w:iCs/>
                <w:color w:val="auto"/>
                <w:sz w:val="22"/>
                <w:szCs w:val="22"/>
              </w:rPr>
              <w:t xml:space="preserve"> testing an unnecessary </w:t>
            </w:r>
            <w:r w:rsidR="00DC2027">
              <w:rPr>
                <w:rFonts w:ascii="Franklin Gothic Book" w:hAnsi="Franklin Gothic Book"/>
                <w:iCs/>
                <w:color w:val="auto"/>
                <w:sz w:val="22"/>
                <w:szCs w:val="22"/>
              </w:rPr>
              <w:t>additional</w:t>
            </w:r>
            <w:r w:rsidR="00DC2027" w:rsidRPr="003A3925">
              <w:rPr>
                <w:rFonts w:ascii="Franklin Gothic Book" w:hAnsi="Franklin Gothic Book"/>
                <w:iCs/>
                <w:color w:val="auto"/>
                <w:sz w:val="22"/>
                <w:szCs w:val="22"/>
              </w:rPr>
              <w:t xml:space="preserve"> test</w:t>
            </w:r>
            <w:r w:rsidR="00DC2027">
              <w:rPr>
                <w:rFonts w:ascii="Franklin Gothic Book" w:hAnsi="Franklin Gothic Book"/>
                <w:iCs/>
                <w:color w:val="auto"/>
                <w:sz w:val="22"/>
                <w:szCs w:val="22"/>
              </w:rPr>
              <w:t xml:space="preserve"> that </w:t>
            </w:r>
            <w:r w:rsidR="00DC2027" w:rsidRPr="09A00153">
              <w:rPr>
                <w:rFonts w:ascii="Franklin Gothic Book" w:hAnsi="Franklin Gothic Book"/>
                <w:color w:val="auto"/>
                <w:sz w:val="22"/>
                <w:szCs w:val="22"/>
              </w:rPr>
              <w:t>might</w:t>
            </w:r>
            <w:r w:rsidR="00DC2027">
              <w:rPr>
                <w:rFonts w:ascii="Franklin Gothic Book" w:hAnsi="Franklin Gothic Book"/>
                <w:color w:val="auto"/>
                <w:sz w:val="22"/>
                <w:szCs w:val="22"/>
              </w:rPr>
              <w:t xml:space="preserve"> </w:t>
            </w:r>
            <w:r w:rsidR="00DC2027" w:rsidRPr="003A3925">
              <w:rPr>
                <w:rFonts w:ascii="Franklin Gothic Book" w:hAnsi="Franklin Gothic Book"/>
                <w:iCs/>
                <w:color w:val="auto"/>
                <w:sz w:val="22"/>
                <w:szCs w:val="22"/>
              </w:rPr>
              <w:t>not change how the patient was managed.</w:t>
            </w:r>
            <w:r w:rsidR="00DC2027">
              <w:rPr>
                <w:rFonts w:ascii="Franklin Gothic Book" w:hAnsi="Franklin Gothic Book"/>
                <w:iCs/>
                <w:color w:val="auto"/>
                <w:sz w:val="22"/>
                <w:szCs w:val="22"/>
              </w:rPr>
              <w:t xml:space="preserve"> MSAC considered this may not be</w:t>
            </w:r>
            <w:r w:rsidR="00C35430">
              <w:rPr>
                <w:rFonts w:ascii="Franklin Gothic Book" w:hAnsi="Franklin Gothic Book"/>
                <w:iCs/>
                <w:color w:val="auto"/>
                <w:sz w:val="22"/>
                <w:szCs w:val="22"/>
              </w:rPr>
              <w:t xml:space="preserve"> cost-effective.</w:t>
            </w:r>
            <w:r w:rsidR="00DC2027">
              <w:rPr>
                <w:rFonts w:ascii="Franklin Gothic Book" w:hAnsi="Franklin Gothic Book"/>
                <w:iCs/>
                <w:color w:val="auto"/>
                <w:sz w:val="22"/>
                <w:szCs w:val="22"/>
              </w:rPr>
              <w:t xml:space="preserve"> </w:t>
            </w:r>
            <w:r w:rsidR="00FF43AB" w:rsidRPr="00FF43AB">
              <w:rPr>
                <w:rFonts w:ascii="Franklin Gothic Book" w:hAnsi="Franklin Gothic Book"/>
                <w:iCs/>
                <w:color w:val="auto"/>
                <w:sz w:val="22"/>
                <w:szCs w:val="20"/>
                <w:lang w:val="en-US"/>
              </w:rPr>
              <w:t>MSAC thought that it was possible that doctors may use NT-</w:t>
            </w:r>
            <w:proofErr w:type="spellStart"/>
            <w:r w:rsidR="00FF43AB" w:rsidRPr="00FF43AB">
              <w:rPr>
                <w:rFonts w:ascii="Franklin Gothic Book" w:hAnsi="Franklin Gothic Book"/>
                <w:iCs/>
                <w:color w:val="auto"/>
                <w:sz w:val="22"/>
                <w:szCs w:val="20"/>
                <w:lang w:val="en-US"/>
              </w:rPr>
              <w:t>proBNP</w:t>
            </w:r>
            <w:proofErr w:type="spellEnd"/>
            <w:r w:rsidR="00FF43AB" w:rsidRPr="00FF43AB">
              <w:rPr>
                <w:rFonts w:ascii="Franklin Gothic Book" w:hAnsi="Franklin Gothic Book"/>
                <w:iCs/>
                <w:color w:val="auto"/>
                <w:sz w:val="22"/>
                <w:szCs w:val="20"/>
                <w:lang w:val="en-US"/>
              </w:rPr>
              <w:t xml:space="preserve"> testing for patients with other types of heart conditions</w:t>
            </w:r>
            <w:r w:rsidR="00E316C0">
              <w:rPr>
                <w:rFonts w:ascii="Franklin Gothic Book" w:hAnsi="Franklin Gothic Book"/>
                <w:iCs/>
                <w:color w:val="auto"/>
                <w:sz w:val="22"/>
                <w:szCs w:val="20"/>
                <w:lang w:val="en-US"/>
              </w:rPr>
              <w:t xml:space="preserve"> that have not been assessed</w:t>
            </w:r>
            <w:r w:rsidR="00D87030">
              <w:rPr>
                <w:rFonts w:ascii="Franklin Gothic Book" w:hAnsi="Franklin Gothic Book"/>
                <w:iCs/>
                <w:color w:val="auto"/>
                <w:sz w:val="22"/>
                <w:szCs w:val="20"/>
                <w:lang w:val="en-US"/>
              </w:rPr>
              <w:t xml:space="preserve"> by MSAC for clinical or cost-effectiveness</w:t>
            </w:r>
            <w:r w:rsidR="00FF43AB" w:rsidRPr="00FF43AB">
              <w:rPr>
                <w:rFonts w:ascii="Franklin Gothic Book" w:hAnsi="Franklin Gothic Book"/>
                <w:iCs/>
                <w:color w:val="auto"/>
                <w:sz w:val="22"/>
                <w:szCs w:val="20"/>
                <w:lang w:val="en-US"/>
              </w:rPr>
              <w:t>, which would increase the overall cost to the government. MSAC considered that having a</w:t>
            </w:r>
            <w:r w:rsidR="00FF43AB">
              <w:rPr>
                <w:rFonts w:ascii="Franklin Gothic Book" w:hAnsi="Franklin Gothic Book"/>
                <w:iCs/>
                <w:color w:val="auto"/>
                <w:sz w:val="22"/>
                <w:szCs w:val="20"/>
                <w:lang w:val="en-US"/>
              </w:rPr>
              <w:t>n</w:t>
            </w:r>
            <w:r w:rsidR="00FF43AB" w:rsidRPr="00FF43AB">
              <w:rPr>
                <w:rFonts w:ascii="Franklin Gothic Book" w:hAnsi="Franklin Gothic Book"/>
                <w:iCs/>
                <w:color w:val="auto"/>
                <w:sz w:val="22"/>
                <w:szCs w:val="20"/>
                <w:lang w:val="en-US"/>
              </w:rPr>
              <w:t xml:space="preserve"> MBS item that is only for people </w:t>
            </w:r>
            <w:r w:rsidR="003D6FF4">
              <w:rPr>
                <w:rFonts w:ascii="Franklin Gothic Book" w:hAnsi="Franklin Gothic Book"/>
                <w:iCs/>
                <w:color w:val="auto"/>
                <w:sz w:val="22"/>
                <w:szCs w:val="20"/>
                <w:lang w:val="en-US"/>
              </w:rPr>
              <w:t xml:space="preserve">with </w:t>
            </w:r>
            <w:r w:rsidR="00AF5083">
              <w:rPr>
                <w:rFonts w:ascii="Franklin Gothic Book" w:hAnsi="Franklin Gothic Book"/>
                <w:iCs/>
                <w:color w:val="auto"/>
                <w:sz w:val="22"/>
                <w:szCs w:val="20"/>
                <w:lang w:val="en-US"/>
              </w:rPr>
              <w:t xml:space="preserve">systemic sclerosis </w:t>
            </w:r>
            <w:r w:rsidR="00FF43AB" w:rsidRPr="00FF43AB">
              <w:rPr>
                <w:rFonts w:ascii="Franklin Gothic Book" w:hAnsi="Franklin Gothic Book"/>
                <w:iCs/>
                <w:color w:val="auto"/>
                <w:sz w:val="22"/>
                <w:szCs w:val="20"/>
                <w:lang w:val="en-US"/>
              </w:rPr>
              <w:t xml:space="preserve">would reduce use in patients with other </w:t>
            </w:r>
            <w:r w:rsidR="00D87030">
              <w:rPr>
                <w:rFonts w:ascii="Franklin Gothic Book" w:hAnsi="Franklin Gothic Book"/>
                <w:iCs/>
                <w:color w:val="auto"/>
                <w:sz w:val="22"/>
                <w:szCs w:val="20"/>
                <w:lang w:val="en-US"/>
              </w:rPr>
              <w:t xml:space="preserve">types of </w:t>
            </w:r>
            <w:r w:rsidR="00FF43AB" w:rsidRPr="00FF43AB">
              <w:rPr>
                <w:rFonts w:ascii="Franklin Gothic Book" w:hAnsi="Franklin Gothic Book"/>
                <w:iCs/>
                <w:color w:val="auto"/>
                <w:sz w:val="22"/>
                <w:szCs w:val="20"/>
                <w:lang w:val="en-US"/>
              </w:rPr>
              <w:t>heart conditions.</w:t>
            </w:r>
          </w:p>
          <w:p w14:paraId="47EE00DF" w14:textId="602EB04A" w:rsidR="003A3925" w:rsidRPr="003A3925" w:rsidRDefault="003A3925" w:rsidP="003A3925">
            <w:pPr>
              <w:pStyle w:val="Default"/>
              <w:spacing w:after="240"/>
              <w:rPr>
                <w:rFonts w:ascii="Franklin Gothic Book" w:hAnsi="Franklin Gothic Book"/>
                <w:b/>
                <w:bCs/>
                <w:iCs/>
                <w:color w:val="auto"/>
                <w:sz w:val="22"/>
                <w:szCs w:val="22"/>
              </w:rPr>
            </w:pPr>
            <w:r w:rsidRPr="003A3925">
              <w:rPr>
                <w:rFonts w:ascii="Franklin Gothic Book" w:hAnsi="Franklin Gothic Book"/>
                <w:b/>
                <w:bCs/>
                <w:iCs/>
                <w:color w:val="auto"/>
                <w:sz w:val="22"/>
                <w:szCs w:val="22"/>
              </w:rPr>
              <w:t>MSAC’s advice to the Commonwealth Minister for Health</w:t>
            </w:r>
            <w:r w:rsidR="00006582">
              <w:rPr>
                <w:rFonts w:ascii="Franklin Gothic Book" w:hAnsi="Franklin Gothic Book"/>
                <w:b/>
                <w:bCs/>
                <w:iCs/>
                <w:color w:val="auto"/>
                <w:sz w:val="22"/>
                <w:szCs w:val="22"/>
              </w:rPr>
              <w:t xml:space="preserve"> and Aged Care</w:t>
            </w:r>
          </w:p>
          <w:p w14:paraId="10A442AE" w14:textId="76DCC324" w:rsidR="003A3925" w:rsidRPr="003A3925" w:rsidRDefault="003A3925" w:rsidP="003A3925">
            <w:pPr>
              <w:pStyle w:val="Default"/>
              <w:spacing w:after="240"/>
              <w:rPr>
                <w:rFonts w:ascii="Franklin Gothic Book" w:hAnsi="Franklin Gothic Book"/>
                <w:iCs/>
                <w:color w:val="auto"/>
                <w:sz w:val="22"/>
                <w:szCs w:val="22"/>
              </w:rPr>
            </w:pPr>
            <w:r w:rsidRPr="003A3925">
              <w:rPr>
                <w:rFonts w:ascii="Franklin Gothic Book" w:hAnsi="Franklin Gothic Book"/>
                <w:iCs/>
                <w:color w:val="auto"/>
                <w:sz w:val="22"/>
                <w:szCs w:val="22"/>
              </w:rPr>
              <w:t>MSAC supported MBS listing of 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testing in patients with </w:t>
            </w:r>
            <w:r w:rsidR="00AF5083">
              <w:rPr>
                <w:rFonts w:ascii="Franklin Gothic Book" w:hAnsi="Franklin Gothic Book"/>
                <w:iCs/>
                <w:color w:val="auto"/>
                <w:sz w:val="22"/>
                <w:szCs w:val="22"/>
              </w:rPr>
              <w:t>systemic sclerosis</w:t>
            </w:r>
            <w:r w:rsidRPr="003A3925">
              <w:rPr>
                <w:rFonts w:ascii="Franklin Gothic Book" w:hAnsi="Franklin Gothic Book"/>
                <w:iCs/>
                <w:color w:val="auto"/>
                <w:sz w:val="22"/>
                <w:szCs w:val="22"/>
              </w:rPr>
              <w:t xml:space="preserve">. </w:t>
            </w:r>
            <w:r w:rsidR="00F432BF">
              <w:rPr>
                <w:rFonts w:ascii="Franklin Gothic Book" w:hAnsi="Franklin Gothic Book"/>
                <w:iCs/>
                <w:color w:val="auto"/>
                <w:sz w:val="22"/>
                <w:szCs w:val="22"/>
              </w:rPr>
              <w:t>In these patients, t</w:t>
            </w:r>
            <w:r w:rsidRPr="003A3925">
              <w:rPr>
                <w:rFonts w:ascii="Franklin Gothic Book" w:hAnsi="Franklin Gothic Book"/>
                <w:iCs/>
                <w:color w:val="auto"/>
                <w:sz w:val="22"/>
                <w:szCs w:val="22"/>
              </w:rPr>
              <w:t xml:space="preserve">he test is safe and effective </w:t>
            </w:r>
            <w:r w:rsidR="00F432BF">
              <w:rPr>
                <w:rFonts w:ascii="Franklin Gothic Book" w:hAnsi="Franklin Gothic Book"/>
                <w:iCs/>
                <w:color w:val="auto"/>
                <w:sz w:val="22"/>
                <w:szCs w:val="22"/>
              </w:rPr>
              <w:t xml:space="preserve">and will replace the </w:t>
            </w:r>
            <w:r w:rsidR="00AF5083">
              <w:rPr>
                <w:rFonts w:ascii="Franklin Gothic Book" w:hAnsi="Franklin Gothic Book"/>
                <w:iCs/>
                <w:color w:val="auto"/>
                <w:sz w:val="22"/>
                <w:szCs w:val="22"/>
              </w:rPr>
              <w:t xml:space="preserve">need for </w:t>
            </w:r>
            <w:r w:rsidR="00F432BF">
              <w:rPr>
                <w:rFonts w:ascii="Franklin Gothic Book" w:hAnsi="Franklin Gothic Book"/>
                <w:iCs/>
                <w:color w:val="auto"/>
                <w:sz w:val="22"/>
                <w:szCs w:val="22"/>
              </w:rPr>
              <w:t>more expensive TTE</w:t>
            </w:r>
            <w:r w:rsidR="00AF5083">
              <w:rPr>
                <w:rFonts w:ascii="Franklin Gothic Book" w:hAnsi="Franklin Gothic Book"/>
                <w:iCs/>
                <w:color w:val="auto"/>
                <w:sz w:val="22"/>
                <w:szCs w:val="22"/>
              </w:rPr>
              <w:t xml:space="preserve"> in many cases</w:t>
            </w:r>
            <w:r w:rsidR="00F432BF">
              <w:rPr>
                <w:rFonts w:ascii="Franklin Gothic Book" w:hAnsi="Franklin Gothic Book"/>
                <w:iCs/>
                <w:color w:val="auto"/>
                <w:sz w:val="22"/>
                <w:szCs w:val="22"/>
              </w:rPr>
              <w:t>, so it</w:t>
            </w:r>
            <w:r w:rsidRPr="003A3925">
              <w:rPr>
                <w:rFonts w:ascii="Franklin Gothic Book" w:hAnsi="Franklin Gothic Book"/>
                <w:iCs/>
                <w:color w:val="auto"/>
                <w:sz w:val="22"/>
                <w:szCs w:val="22"/>
              </w:rPr>
              <w:t xml:space="preserve"> is expected to </w:t>
            </w:r>
            <w:r w:rsidR="008074E7">
              <w:rPr>
                <w:rFonts w:ascii="Franklin Gothic Book" w:hAnsi="Franklin Gothic Book"/>
                <w:iCs/>
                <w:color w:val="auto"/>
                <w:sz w:val="22"/>
                <w:szCs w:val="22"/>
              </w:rPr>
              <w:t>result in savings to MBS expenditure</w:t>
            </w:r>
            <w:r w:rsidRPr="003A3925">
              <w:rPr>
                <w:rFonts w:ascii="Franklin Gothic Book" w:hAnsi="Franklin Gothic Book"/>
                <w:iCs/>
                <w:color w:val="auto"/>
                <w:sz w:val="22"/>
                <w:szCs w:val="22"/>
              </w:rPr>
              <w:t>.</w:t>
            </w:r>
            <w:r w:rsidR="00AF5083">
              <w:rPr>
                <w:rFonts w:ascii="Franklin Gothic Book" w:hAnsi="Franklin Gothic Book"/>
                <w:iCs/>
                <w:color w:val="auto"/>
                <w:sz w:val="22"/>
                <w:szCs w:val="22"/>
              </w:rPr>
              <w:t xml:space="preserve"> It will also reduce the number of specialised imaging appointments patients need to schedule and attend, replacing them with a simple blood test.</w:t>
            </w:r>
          </w:p>
          <w:p w14:paraId="3AF84ACA" w14:textId="302FD80D" w:rsidR="009A5B31" w:rsidRDefault="003A3925" w:rsidP="003A3925">
            <w:pPr>
              <w:pStyle w:val="Default"/>
              <w:spacing w:after="240"/>
              <w:rPr>
                <w:rFonts w:ascii="Times New Roman" w:hAnsi="Times New Roman"/>
                <w:i/>
                <w:color w:val="auto"/>
              </w:rPr>
            </w:pPr>
            <w:r w:rsidRPr="003A3925">
              <w:rPr>
                <w:rFonts w:ascii="Franklin Gothic Book" w:hAnsi="Franklin Gothic Book"/>
                <w:iCs/>
                <w:color w:val="auto"/>
                <w:sz w:val="22"/>
                <w:szCs w:val="22"/>
              </w:rPr>
              <w:lastRenderedPageBreak/>
              <w:t>MSAC did not support MBS listing of NT-</w:t>
            </w:r>
            <w:proofErr w:type="spellStart"/>
            <w:r w:rsidRPr="003A3925">
              <w:rPr>
                <w:rFonts w:ascii="Franklin Gothic Book" w:hAnsi="Franklin Gothic Book"/>
                <w:iCs/>
                <w:color w:val="auto"/>
                <w:sz w:val="22"/>
                <w:szCs w:val="22"/>
              </w:rPr>
              <w:t>proBNP</w:t>
            </w:r>
            <w:proofErr w:type="spellEnd"/>
            <w:r w:rsidRPr="003A3925">
              <w:rPr>
                <w:rFonts w:ascii="Franklin Gothic Book" w:hAnsi="Franklin Gothic Book"/>
                <w:iCs/>
                <w:color w:val="auto"/>
                <w:sz w:val="22"/>
                <w:szCs w:val="22"/>
              </w:rPr>
              <w:t xml:space="preserve"> in patients who have already been diagnosed with pulmonary arterial hypertension. </w:t>
            </w:r>
            <w:r w:rsidR="008074E7">
              <w:rPr>
                <w:rFonts w:ascii="Franklin Gothic Book" w:hAnsi="Franklin Gothic Book"/>
                <w:iCs/>
                <w:color w:val="auto"/>
                <w:sz w:val="22"/>
                <w:szCs w:val="22"/>
              </w:rPr>
              <w:t>In these patients, t</w:t>
            </w:r>
            <w:r w:rsidRPr="003A3925">
              <w:rPr>
                <w:rFonts w:ascii="Franklin Gothic Book" w:hAnsi="Franklin Gothic Book"/>
                <w:iCs/>
                <w:color w:val="auto"/>
                <w:sz w:val="22"/>
                <w:szCs w:val="22"/>
              </w:rPr>
              <w:t>he test is safe and effective, but it would not change patient</w:t>
            </w:r>
            <w:r w:rsidR="009B0055">
              <w:rPr>
                <w:rFonts w:ascii="Franklin Gothic Book" w:hAnsi="Franklin Gothic Book"/>
                <w:iCs/>
                <w:color w:val="auto"/>
                <w:sz w:val="22"/>
                <w:szCs w:val="22"/>
              </w:rPr>
              <w:t xml:space="preserve"> </w:t>
            </w:r>
            <w:r w:rsidR="007F695E">
              <w:rPr>
                <w:rFonts w:ascii="Franklin Gothic Book" w:hAnsi="Franklin Gothic Book"/>
                <w:iCs/>
                <w:color w:val="auto"/>
                <w:sz w:val="22"/>
                <w:szCs w:val="22"/>
              </w:rPr>
              <w:t>management</w:t>
            </w:r>
            <w:r w:rsidRPr="003A3925">
              <w:rPr>
                <w:rFonts w:ascii="Franklin Gothic Book" w:hAnsi="Franklin Gothic Book"/>
                <w:iCs/>
                <w:color w:val="auto"/>
                <w:sz w:val="22"/>
                <w:szCs w:val="22"/>
              </w:rPr>
              <w:t xml:space="preserve">, and it may </w:t>
            </w:r>
            <w:r w:rsidR="008074E7">
              <w:rPr>
                <w:rFonts w:ascii="Franklin Gothic Book" w:hAnsi="Franklin Gothic Book"/>
                <w:iCs/>
                <w:color w:val="auto"/>
                <w:sz w:val="22"/>
                <w:szCs w:val="22"/>
              </w:rPr>
              <w:t xml:space="preserve">result in less savings </w:t>
            </w:r>
            <w:r w:rsidRPr="003A3925">
              <w:rPr>
                <w:rFonts w:ascii="Franklin Gothic Book" w:hAnsi="Franklin Gothic Book"/>
                <w:iCs/>
                <w:color w:val="auto"/>
                <w:sz w:val="22"/>
                <w:szCs w:val="22"/>
              </w:rPr>
              <w:t>than the application estimated.</w:t>
            </w:r>
          </w:p>
        </w:tc>
      </w:tr>
    </w:tbl>
    <w:p w14:paraId="31E239E6" w14:textId="77777777" w:rsidR="009A5B31" w:rsidRDefault="009A5B31" w:rsidP="009A5B31">
      <w:pPr>
        <w:pStyle w:val="Heading2"/>
        <w:numPr>
          <w:ilvl w:val="0"/>
          <w:numId w:val="0"/>
        </w:numPr>
      </w:pPr>
      <w:r>
        <w:lastRenderedPageBreak/>
        <w:t>3.</w:t>
      </w:r>
      <w:r>
        <w:tab/>
        <w:t>Summary of consideration and rationale for MSAC’s advice</w:t>
      </w:r>
    </w:p>
    <w:p w14:paraId="505642FA" w14:textId="04E20D67" w:rsidR="003A3925" w:rsidRDefault="003A3925" w:rsidP="003A3925">
      <w:r>
        <w:t>MSAC noted that the purpose of the application was to seek MBS funding for N-terminal pro B-type natriuretic peptide (NT-</w:t>
      </w:r>
      <w:proofErr w:type="spellStart"/>
      <w:r>
        <w:t>proBNP</w:t>
      </w:r>
      <w:proofErr w:type="spellEnd"/>
      <w:r>
        <w:t xml:space="preserve">) biomarker assay </w:t>
      </w:r>
      <w:r w:rsidR="00C35430">
        <w:t>to help detect</w:t>
      </w:r>
      <w:r>
        <w:t xml:space="preserve"> </w:t>
      </w:r>
      <w:r w:rsidR="00C35430">
        <w:t>pulmonary arterial hypertension (</w:t>
      </w:r>
      <w:r>
        <w:t>PAH</w:t>
      </w:r>
      <w:r w:rsidR="00C35430">
        <w:t>)</w:t>
      </w:r>
      <w:r>
        <w:t xml:space="preserve"> in patients with </w:t>
      </w:r>
      <w:proofErr w:type="spellStart"/>
      <w:r>
        <w:t>SSc</w:t>
      </w:r>
      <w:proofErr w:type="spellEnd"/>
      <w:r>
        <w:t xml:space="preserve">, and for risk assessment in patients diagnosed with PAH. </w:t>
      </w:r>
    </w:p>
    <w:p w14:paraId="145CF18E" w14:textId="0A1BA5CF" w:rsidR="00CA5D20" w:rsidRDefault="00E016EB" w:rsidP="003A3925">
      <w:r w:rsidRPr="00675CCD">
        <w:t>PAH is a rare, debilitating</w:t>
      </w:r>
      <w:r w:rsidR="00C35430">
        <w:t xml:space="preserve"> and</w:t>
      </w:r>
      <w:r w:rsidRPr="00675CCD">
        <w:t xml:space="preserve"> progressive condition characterised by a sustained elevation of pulmonary vascular resistance (due to narrowing of the pulmonary arteries)</w:t>
      </w:r>
      <w:r w:rsidR="00C35430">
        <w:t xml:space="preserve">. </w:t>
      </w:r>
      <w:r w:rsidR="00606F99">
        <w:t>PAH</w:t>
      </w:r>
      <w:r w:rsidR="00C35430">
        <w:t xml:space="preserve"> </w:t>
      </w:r>
      <w:r w:rsidR="000F7773">
        <w:t xml:space="preserve">can </w:t>
      </w:r>
      <w:r w:rsidR="00F432BF">
        <w:t xml:space="preserve">cause </w:t>
      </w:r>
      <w:r w:rsidR="00C35430">
        <w:t xml:space="preserve">shortness of </w:t>
      </w:r>
      <w:r w:rsidR="000F7773">
        <w:t>breath and other symptoms</w:t>
      </w:r>
      <w:r w:rsidR="00606F99">
        <w:t>,</w:t>
      </w:r>
      <w:r w:rsidR="000F7773">
        <w:t xml:space="preserve"> </w:t>
      </w:r>
      <w:r w:rsidR="000F7773" w:rsidRPr="000F7773">
        <w:t xml:space="preserve">initially </w:t>
      </w:r>
      <w:r w:rsidR="000F7773">
        <w:t>during exercise</w:t>
      </w:r>
      <w:r w:rsidR="000F7773" w:rsidRPr="000F7773">
        <w:t xml:space="preserve"> and eventually at rest</w:t>
      </w:r>
      <w:r w:rsidR="000F7773">
        <w:t xml:space="preserve"> as the condition progresses. I</w:t>
      </w:r>
      <w:r>
        <w:t>f left untreated</w:t>
      </w:r>
      <w:r w:rsidR="00606F99">
        <w:t>, PAH</w:t>
      </w:r>
      <w:r w:rsidRPr="00675CCD">
        <w:t xml:space="preserve"> leads to right heart failure and death.</w:t>
      </w:r>
      <w:r>
        <w:t xml:space="preserve"> The prognosis for patients with PAH is poor. </w:t>
      </w:r>
      <w:r w:rsidR="003A3925">
        <w:t xml:space="preserve">MSAC noted that early detection of PAH in patients with </w:t>
      </w:r>
      <w:proofErr w:type="spellStart"/>
      <w:r w:rsidR="003A3925">
        <w:t>SSc</w:t>
      </w:r>
      <w:proofErr w:type="spellEnd"/>
      <w:r w:rsidR="003A3925">
        <w:t xml:space="preserve"> is important to allow earlier introduction of disease-modifying therapy. </w:t>
      </w:r>
    </w:p>
    <w:p w14:paraId="18544B56" w14:textId="4172E7EA" w:rsidR="003A3925" w:rsidRDefault="000F7773" w:rsidP="003A3925">
      <w:r>
        <w:t xml:space="preserve">MSAC noted that </w:t>
      </w:r>
      <w:r w:rsidR="003A3925">
        <w:t>NT-</w:t>
      </w:r>
      <w:proofErr w:type="spellStart"/>
      <w:r w:rsidR="003A3925">
        <w:t>proBNP</w:t>
      </w:r>
      <w:proofErr w:type="spellEnd"/>
      <w:r w:rsidR="003A3925">
        <w:t xml:space="preserve"> is more stable than BNP and assays from different manufacturers show greater concordance of results than those for BNP.</w:t>
      </w:r>
      <w:r w:rsidR="00CA5D20" w:rsidRPr="00CA5D20">
        <w:t xml:space="preserve"> </w:t>
      </w:r>
      <w:r w:rsidR="00CA5D20">
        <w:t xml:space="preserve">MSAC also noted that there can be variation in </w:t>
      </w:r>
      <w:r w:rsidR="002B79BA">
        <w:t>NT-</w:t>
      </w:r>
      <w:proofErr w:type="spellStart"/>
      <w:r w:rsidR="002B79BA">
        <w:t>proBNP</w:t>
      </w:r>
      <w:proofErr w:type="spellEnd"/>
      <w:r w:rsidR="002B79BA">
        <w:t xml:space="preserve"> </w:t>
      </w:r>
      <w:r w:rsidR="00CA5D20">
        <w:t>level</w:t>
      </w:r>
      <w:r w:rsidR="00606F99">
        <w:t>s</w:t>
      </w:r>
      <w:r w:rsidR="00CA5D20">
        <w:t xml:space="preserve"> day</w:t>
      </w:r>
      <w:r w:rsidR="00606F99">
        <w:noBreakHyphen/>
      </w:r>
      <w:r w:rsidR="00CA5D20">
        <w:t>to</w:t>
      </w:r>
      <w:r w:rsidR="00606F99">
        <w:noBreakHyphen/>
      </w:r>
      <w:r w:rsidR="00CA5D20">
        <w:t>day and week</w:t>
      </w:r>
      <w:r w:rsidR="00606F99">
        <w:noBreakHyphen/>
      </w:r>
      <w:r w:rsidR="00CA5D20">
        <w:t>to</w:t>
      </w:r>
      <w:r w:rsidR="00606F99">
        <w:noBreakHyphen/>
      </w:r>
      <w:r w:rsidR="00CA5D20">
        <w:t>week in the same patien</w:t>
      </w:r>
      <w:r w:rsidR="00606F99">
        <w:t>t</w:t>
      </w:r>
      <w:r w:rsidR="00CA5D20">
        <w:t xml:space="preserve"> due to natural biological variability and analytical variability. This means that, for </w:t>
      </w:r>
      <w:r w:rsidR="00606F99">
        <w:t>repeated</w:t>
      </w:r>
      <w:r w:rsidR="00CA5D20">
        <w:t xml:space="preserve"> tests, </w:t>
      </w:r>
      <w:r w:rsidR="002B79BA">
        <w:t>there may be some</w:t>
      </w:r>
      <w:r w:rsidR="00CA5D20">
        <w:t xml:space="preserve"> changes within the normal variability for that patient</w:t>
      </w:r>
      <w:r w:rsidR="002B79BA">
        <w:t xml:space="preserve">. </w:t>
      </w:r>
    </w:p>
    <w:p w14:paraId="74DAE5E6" w14:textId="34A51139" w:rsidR="003A3925" w:rsidRDefault="003A3925" w:rsidP="003A3925">
      <w:r>
        <w:t>MSAC noted the clinical management algorithms. For population 1 (</w:t>
      </w:r>
      <w:proofErr w:type="spellStart"/>
      <w:r>
        <w:t>SSc</w:t>
      </w:r>
      <w:proofErr w:type="spellEnd"/>
      <w:r>
        <w:t>), the current clinical management algorithm involves annual TTE and pulmonary function testing (PFT) to determine the need for right heart catheterisation (RHC) to definitively diagnose PAH. The proposed clinical management algorithm replaces TTE with NT-</w:t>
      </w:r>
      <w:proofErr w:type="spellStart"/>
      <w:r>
        <w:t>proBNP</w:t>
      </w:r>
      <w:proofErr w:type="spellEnd"/>
      <w:r>
        <w:t xml:space="preserve"> testing. Patients who screen positive using NT-</w:t>
      </w:r>
      <w:proofErr w:type="spellStart"/>
      <w:r>
        <w:t>proBNP</w:t>
      </w:r>
      <w:proofErr w:type="spellEnd"/>
      <w:r>
        <w:t xml:space="preserve"> </w:t>
      </w:r>
      <w:r w:rsidR="001B58B2">
        <w:t xml:space="preserve">and PFT or have symptoms of PAH may </w:t>
      </w:r>
      <w:r>
        <w:t xml:space="preserve">then undergo TTE, but patients who screen negative </w:t>
      </w:r>
      <w:r w:rsidR="001B58B2">
        <w:t xml:space="preserve">do not need </w:t>
      </w:r>
      <w:r>
        <w:t>TTE. For population 2 (</w:t>
      </w:r>
      <w:r w:rsidR="00606F99">
        <w:t xml:space="preserve">people with </w:t>
      </w:r>
      <w:r>
        <w:t>PAH)</w:t>
      </w:r>
      <w:r w:rsidR="001B58B2">
        <w:t xml:space="preserve"> </w:t>
      </w:r>
      <w:r w:rsidR="00606F99" w:rsidRPr="00606F99">
        <w:t>NT-</w:t>
      </w:r>
      <w:proofErr w:type="spellStart"/>
      <w:r w:rsidR="00606F99" w:rsidRPr="00606F99">
        <w:t>proBNP</w:t>
      </w:r>
      <w:proofErr w:type="spellEnd"/>
      <w:r w:rsidR="00606F99" w:rsidRPr="00606F99">
        <w:t xml:space="preserve"> </w:t>
      </w:r>
      <w:r w:rsidR="001B58B2">
        <w:t>will be used alongside other assessments to assess a patient</w:t>
      </w:r>
      <w:r w:rsidR="00FE5A71">
        <w:t>’</w:t>
      </w:r>
      <w:r w:rsidR="001B58B2">
        <w:t>s risk of death or clinical worsening.</w:t>
      </w:r>
      <w:r>
        <w:t xml:space="preserve"> </w:t>
      </w:r>
      <w:r w:rsidR="000F7773">
        <w:t xml:space="preserve">MSAC noted that </w:t>
      </w:r>
      <w:r>
        <w:t>NT</w:t>
      </w:r>
      <w:r w:rsidR="00606F99">
        <w:noBreakHyphen/>
      </w:r>
      <w:proofErr w:type="spellStart"/>
      <w:r>
        <w:t>proBNP</w:t>
      </w:r>
      <w:proofErr w:type="spellEnd"/>
      <w:r>
        <w:t xml:space="preserve"> testing would replace TTE in patients with stable symptoms and </w:t>
      </w:r>
      <w:r w:rsidR="001B58B2">
        <w:t xml:space="preserve">may </w:t>
      </w:r>
      <w:r>
        <w:t xml:space="preserve">be </w:t>
      </w:r>
      <w:r w:rsidR="001B58B2">
        <w:t xml:space="preserve">used </w:t>
      </w:r>
      <w:r>
        <w:t xml:space="preserve">in addition to TTE in patients whose symptoms are worsening. </w:t>
      </w:r>
    </w:p>
    <w:p w14:paraId="247C93BC" w14:textId="687BE334" w:rsidR="003A3925" w:rsidRDefault="003A3925" w:rsidP="003A3925">
      <w:r>
        <w:t xml:space="preserve">MSAC accepted the proposed comparators. For population 1, the comparator was annual testing with TTE and PFT to determine the need for </w:t>
      </w:r>
      <w:r w:rsidR="008F5828">
        <w:t xml:space="preserve">further testing including </w:t>
      </w:r>
      <w:r>
        <w:t>RHC. For population 2, the comparator was a risk assessment (without NT-</w:t>
      </w:r>
      <w:proofErr w:type="spellStart"/>
      <w:r>
        <w:t>proBNP</w:t>
      </w:r>
      <w:proofErr w:type="spellEnd"/>
      <w:r>
        <w:t>) every 3–6 months to guide the need for repeat TTE and/or RHC if symptoms worsen or there is a change in therapy.</w:t>
      </w:r>
    </w:p>
    <w:p w14:paraId="5A3C5D66" w14:textId="7B48F0EB" w:rsidR="003A3925" w:rsidRDefault="003A3925" w:rsidP="003A3925">
      <w:r>
        <w:t>MSAC noted that, as a blood test, NT-</w:t>
      </w:r>
      <w:proofErr w:type="spellStart"/>
      <w:r>
        <w:t>proBNP</w:t>
      </w:r>
      <w:proofErr w:type="spellEnd"/>
      <w:r>
        <w:t xml:space="preserve"> testing has similar safety compared with the comparators. For population 1, NT-</w:t>
      </w:r>
      <w:proofErr w:type="spellStart"/>
      <w:r>
        <w:t>proBNP</w:t>
      </w:r>
      <w:proofErr w:type="spellEnd"/>
      <w:r>
        <w:t xml:space="preserve"> may be comparatively safer if </w:t>
      </w:r>
      <w:r w:rsidR="000F7773">
        <w:t>more people can</w:t>
      </w:r>
      <w:r>
        <w:t xml:space="preserve"> avoid</w:t>
      </w:r>
      <w:r w:rsidR="000F7773">
        <w:t xml:space="preserve"> unnecessary </w:t>
      </w:r>
      <w:r>
        <w:t>RHC</w:t>
      </w:r>
      <w:r w:rsidR="006C56A8">
        <w:t>s</w:t>
      </w:r>
      <w:r>
        <w:t>.</w:t>
      </w:r>
    </w:p>
    <w:p w14:paraId="1B28D069" w14:textId="73C81D9A" w:rsidR="00606F99" w:rsidRDefault="00606F99" w:rsidP="003A3925">
      <w:r>
        <w:t xml:space="preserve">MSAC noted that public consultation </w:t>
      </w:r>
      <w:r w:rsidR="0092189E">
        <w:t xml:space="preserve">input </w:t>
      </w:r>
      <w:r>
        <w:t>was supportive of the application.</w:t>
      </w:r>
    </w:p>
    <w:p w14:paraId="58D8048B" w14:textId="3DDC9E9B" w:rsidR="003A3925" w:rsidRDefault="003A3925" w:rsidP="003A3925">
      <w:r>
        <w:t xml:space="preserve">MSAC considered that the </w:t>
      </w:r>
      <w:r w:rsidR="00606F99">
        <w:t>clinical claim</w:t>
      </w:r>
      <w:r>
        <w:t xml:space="preserve"> of non-inferior comparative clinical effectiveness was reasonable for both populations. </w:t>
      </w:r>
      <w:r w:rsidR="00A25D84">
        <w:t xml:space="preserve">MSAC noted that </w:t>
      </w:r>
      <w:r w:rsidR="00AB31EF">
        <w:t>for Population 1,</w:t>
      </w:r>
      <w:r w:rsidR="000475D4">
        <w:t xml:space="preserve"> </w:t>
      </w:r>
      <w:r>
        <w:t xml:space="preserve">there were </w:t>
      </w:r>
      <w:r w:rsidR="00AB31EF">
        <w:t>multiple comparative and non-comparative studies, and one direct comparative study provided linked evidence of the effectiveness of NT-</w:t>
      </w:r>
      <w:proofErr w:type="spellStart"/>
      <w:r w:rsidR="00AB31EF">
        <w:t>proBNP</w:t>
      </w:r>
      <w:proofErr w:type="spellEnd"/>
      <w:r w:rsidR="00AB31EF">
        <w:t xml:space="preserve"> testing in </w:t>
      </w:r>
      <w:proofErr w:type="spellStart"/>
      <w:r w:rsidR="00AB31EF">
        <w:t>SSc</w:t>
      </w:r>
      <w:proofErr w:type="spellEnd"/>
      <w:r w:rsidR="00AB31EF">
        <w:t xml:space="preserve"> patients at risk for developing PAH. However, </w:t>
      </w:r>
      <w:r>
        <w:t>different NT-</w:t>
      </w:r>
      <w:proofErr w:type="spellStart"/>
      <w:r>
        <w:t>proBNP</w:t>
      </w:r>
      <w:proofErr w:type="spellEnd"/>
      <w:r>
        <w:t xml:space="preserve"> thresholds were used in different studies, and diagnostic accuracy studies were based on initial screening rather than serial testing. </w:t>
      </w:r>
      <w:r w:rsidR="00AB31EF">
        <w:t>MSAC also noted that for</w:t>
      </w:r>
      <w:r w:rsidR="00AB31EF" w:rsidRPr="00AB31EF">
        <w:t xml:space="preserve"> </w:t>
      </w:r>
      <w:r w:rsidR="00AB31EF" w:rsidRPr="00AB31EF">
        <w:lastRenderedPageBreak/>
        <w:t>Population 2, the</w:t>
      </w:r>
      <w:r w:rsidR="00AB31EF">
        <w:t>re was</w:t>
      </w:r>
      <w:r w:rsidR="00AB31EF" w:rsidRPr="00AB31EF">
        <w:t xml:space="preserve"> limited evidence </w:t>
      </w:r>
      <w:r w:rsidR="00AB31EF">
        <w:t xml:space="preserve">which </w:t>
      </w:r>
      <w:r w:rsidR="00AB31EF" w:rsidRPr="00AB31EF">
        <w:t>suggest</w:t>
      </w:r>
      <w:r w:rsidR="00AB31EF">
        <w:t>ed</w:t>
      </w:r>
      <w:r w:rsidR="00AB31EF" w:rsidRPr="00AB31EF">
        <w:t xml:space="preserve"> that risk stratification calculators that included NT-</w:t>
      </w:r>
      <w:proofErr w:type="spellStart"/>
      <w:r w:rsidR="00AB31EF" w:rsidRPr="00AB31EF">
        <w:t>proBNP</w:t>
      </w:r>
      <w:proofErr w:type="spellEnd"/>
      <w:r w:rsidR="00AB31EF" w:rsidRPr="00AB31EF">
        <w:t xml:space="preserve"> were at least as effective as those that did not.</w:t>
      </w:r>
    </w:p>
    <w:p w14:paraId="6DB9A044" w14:textId="2E173D47" w:rsidR="00B86589" w:rsidRDefault="003A3925" w:rsidP="003A3925">
      <w:r>
        <w:t>For population 1, studies on diagnostic accuracy that included NT-</w:t>
      </w:r>
      <w:proofErr w:type="spellStart"/>
      <w:r>
        <w:t>proBNP</w:t>
      </w:r>
      <w:proofErr w:type="spellEnd"/>
      <w:r>
        <w:t xml:space="preserve"> in the algorithms (including the Australian Scleroderma Interest Group [ASIG] algorithm) had similar or better sensitivity and specificity compared with algorithms using TTE based on the European Society of Cardiology and European Respiratory Society (ESC/ERS) guidelines. MSAC considered that a key advantage of NT-</w:t>
      </w:r>
      <w:proofErr w:type="spellStart"/>
      <w:r>
        <w:t>proBNP</w:t>
      </w:r>
      <w:proofErr w:type="spellEnd"/>
      <w:r>
        <w:t xml:space="preserve"> is its increased specificity compared with TTE</w:t>
      </w:r>
      <w:r w:rsidR="00606F99">
        <w:t>-based testing</w:t>
      </w:r>
      <w:r>
        <w:t xml:space="preserve">. For every 1,000 </w:t>
      </w:r>
      <w:proofErr w:type="spellStart"/>
      <w:r>
        <w:t>SSc</w:t>
      </w:r>
      <w:proofErr w:type="spellEnd"/>
      <w:r>
        <w:t xml:space="preserve"> patients tested using the ASIG algorithm, 224 fewer patients would undergo</w:t>
      </w:r>
      <w:r w:rsidR="006C56A8">
        <w:t xml:space="preserve"> </w:t>
      </w:r>
      <w:r>
        <w:t xml:space="preserve">unnecessary </w:t>
      </w:r>
      <w:r w:rsidR="006C56A8">
        <w:t xml:space="preserve">further tests including </w:t>
      </w:r>
      <w:r>
        <w:t>RHC and one patient would avoid a missed diagnosis of PAH compared with the ESC/ERC guidelines-based algorithm using TTE (based on 1% annual incidence).</w:t>
      </w:r>
      <w:r w:rsidR="00606F99">
        <w:t xml:space="preserve"> </w:t>
      </w:r>
      <w:r w:rsidR="00B86589">
        <w:t xml:space="preserve">For Population 1, MSAC accepted that </w:t>
      </w:r>
      <w:r w:rsidR="00425DC9">
        <w:t xml:space="preserve">approximately </w:t>
      </w:r>
      <w:r w:rsidR="00B86589" w:rsidRPr="00B86589">
        <w:rPr>
          <w:lang w:val="en-US"/>
        </w:rPr>
        <w:t>10% of patients would require a second NT-</w:t>
      </w:r>
      <w:proofErr w:type="spellStart"/>
      <w:r w:rsidR="00B86589" w:rsidRPr="00B86589">
        <w:rPr>
          <w:lang w:val="en-US"/>
        </w:rPr>
        <w:t>proBNP</w:t>
      </w:r>
      <w:proofErr w:type="spellEnd"/>
      <w:r w:rsidR="00B86589" w:rsidRPr="00B86589">
        <w:rPr>
          <w:lang w:val="en-US"/>
        </w:rPr>
        <w:t xml:space="preserve"> test</w:t>
      </w:r>
      <w:r w:rsidR="00B86589">
        <w:rPr>
          <w:lang w:val="en-US"/>
        </w:rPr>
        <w:t xml:space="preserve"> </w:t>
      </w:r>
      <w:r w:rsidR="00425DC9">
        <w:rPr>
          <w:lang w:val="en-US"/>
        </w:rPr>
        <w:t xml:space="preserve">within a 12-month period </w:t>
      </w:r>
      <w:r w:rsidR="00B86589">
        <w:rPr>
          <w:lang w:val="en-US"/>
        </w:rPr>
        <w:t xml:space="preserve">due to </w:t>
      </w:r>
      <w:r w:rsidR="00425DC9">
        <w:rPr>
          <w:lang w:val="en-US"/>
        </w:rPr>
        <w:t xml:space="preserve">having a </w:t>
      </w:r>
      <w:r w:rsidR="00B86589" w:rsidRPr="00B86589">
        <w:rPr>
          <w:lang w:val="en-US"/>
        </w:rPr>
        <w:t>NT</w:t>
      </w:r>
      <w:r w:rsidR="006C56A8">
        <w:rPr>
          <w:lang w:val="en-US"/>
        </w:rPr>
        <w:noBreakHyphen/>
      </w:r>
      <w:proofErr w:type="spellStart"/>
      <w:r w:rsidR="00B86589" w:rsidRPr="00B86589">
        <w:rPr>
          <w:lang w:val="en-US"/>
        </w:rPr>
        <w:t>proBNP</w:t>
      </w:r>
      <w:proofErr w:type="spellEnd"/>
      <w:r w:rsidR="00B86589" w:rsidRPr="00B86589">
        <w:rPr>
          <w:lang w:val="en-US"/>
        </w:rPr>
        <w:t xml:space="preserve"> level </w:t>
      </w:r>
      <w:r w:rsidR="00425DC9">
        <w:rPr>
          <w:lang w:val="en-US"/>
        </w:rPr>
        <w:t xml:space="preserve">of </w:t>
      </w:r>
      <w:r w:rsidR="00425DC9" w:rsidRPr="00B86589">
        <w:rPr>
          <w:lang w:val="en-US"/>
        </w:rPr>
        <w:t>168</w:t>
      </w:r>
      <w:r w:rsidR="00606F99">
        <w:rPr>
          <w:lang w:val="en-US"/>
        </w:rPr>
        <w:noBreakHyphen/>
      </w:r>
      <w:r w:rsidR="00425DC9">
        <w:rPr>
          <w:lang w:val="en-US"/>
        </w:rPr>
        <w:t>2</w:t>
      </w:r>
      <w:r w:rsidR="00606F99">
        <w:rPr>
          <w:lang w:val="en-US"/>
        </w:rPr>
        <w:t>09</w:t>
      </w:r>
      <w:r w:rsidR="00425DC9">
        <w:rPr>
          <w:lang w:val="en-US"/>
        </w:rPr>
        <w:t> </w:t>
      </w:r>
      <w:proofErr w:type="spellStart"/>
      <w:r w:rsidR="00425DC9" w:rsidRPr="00B86589">
        <w:rPr>
          <w:lang w:val="en-US"/>
        </w:rPr>
        <w:t>pg</w:t>
      </w:r>
      <w:proofErr w:type="spellEnd"/>
      <w:r w:rsidR="00425DC9" w:rsidRPr="00B86589">
        <w:rPr>
          <w:lang w:val="en-US"/>
        </w:rPr>
        <w:t>/mL</w:t>
      </w:r>
      <w:r w:rsidR="00425DC9">
        <w:rPr>
          <w:lang w:val="en-US"/>
        </w:rPr>
        <w:t xml:space="preserve"> which is close of the threshold for further testing (</w:t>
      </w:r>
      <w:r w:rsidR="00425DC9" w:rsidRPr="00425DC9">
        <w:rPr>
          <w:lang w:val="en-US"/>
        </w:rPr>
        <w:t xml:space="preserve">210 </w:t>
      </w:r>
      <w:proofErr w:type="spellStart"/>
      <w:r w:rsidR="00425DC9" w:rsidRPr="00425DC9">
        <w:rPr>
          <w:lang w:val="en-US"/>
        </w:rPr>
        <w:t>pg</w:t>
      </w:r>
      <w:proofErr w:type="spellEnd"/>
      <w:r w:rsidR="00425DC9" w:rsidRPr="00425DC9">
        <w:rPr>
          <w:lang w:val="en-US"/>
        </w:rPr>
        <w:t>/mL</w:t>
      </w:r>
      <w:r w:rsidR="00425DC9">
        <w:rPr>
          <w:lang w:val="en-US"/>
        </w:rPr>
        <w:t xml:space="preserve">). This was based on data from </w:t>
      </w:r>
      <w:r w:rsidR="00425DC9" w:rsidRPr="00425DC9">
        <w:rPr>
          <w:lang w:val="en-US"/>
        </w:rPr>
        <w:t>Australian Scleroderma Cohort Study</w:t>
      </w:r>
      <w:r w:rsidR="00425DC9">
        <w:rPr>
          <w:lang w:val="en-US"/>
        </w:rPr>
        <w:t>.</w:t>
      </w:r>
    </w:p>
    <w:p w14:paraId="69E92EDF" w14:textId="445065D0" w:rsidR="00EF6B7B" w:rsidRDefault="003A3925" w:rsidP="003A3925">
      <w:r>
        <w:t xml:space="preserve">For population 2, </w:t>
      </w:r>
      <w:r w:rsidR="000C77DA">
        <w:t>MSAC noted the studies showing that increasing NT-</w:t>
      </w:r>
      <w:proofErr w:type="spellStart"/>
      <w:r w:rsidR="000C77DA">
        <w:t>proBNP</w:t>
      </w:r>
      <w:proofErr w:type="spellEnd"/>
      <w:r w:rsidR="000C77DA">
        <w:t xml:space="preserve"> levels are associated </w:t>
      </w:r>
      <w:r w:rsidR="008074E7">
        <w:t xml:space="preserve">with </w:t>
      </w:r>
      <w:r w:rsidR="000C77DA">
        <w:t xml:space="preserve">morbidity and mortality outcomes in PAH. </w:t>
      </w:r>
      <w:r>
        <w:t xml:space="preserve">MSAC noted the studies on the likelihood that risk stratification strategies can predict mortality and/or cardiac morbidity in patients with PAH. A high versus low stratification results in a prediction of a 6–7-fold increased risk of adverse outcomes, and an intermediate vs low stratification results in a prediction of a </w:t>
      </w:r>
      <w:r w:rsidR="00006582">
        <w:br/>
      </w:r>
      <w:r>
        <w:t xml:space="preserve">2–2.5-fold increased risk. </w:t>
      </w:r>
      <w:r w:rsidR="00EF6B7B">
        <w:t>MSAC considered that the REVEAL Lite 2 risk stratification calculator (which includes NT-</w:t>
      </w:r>
      <w:proofErr w:type="spellStart"/>
      <w:r w:rsidR="00EF6B7B">
        <w:t>proBNP</w:t>
      </w:r>
      <w:proofErr w:type="spellEnd"/>
      <w:r w:rsidR="00EF6B7B">
        <w:t xml:space="preserve"> results) was non-inferior to other calculators in identifying patients who were likely to die in the next year.  </w:t>
      </w:r>
    </w:p>
    <w:p w14:paraId="125DF0EF" w14:textId="680B5513" w:rsidR="000C77DA" w:rsidRDefault="00EF6B7B" w:rsidP="003A3925">
      <w:r>
        <w:t xml:space="preserve">For population 2, MSAC noted </w:t>
      </w:r>
      <w:r>
        <w:rPr>
          <w:iCs/>
        </w:rPr>
        <w:t>t</w:t>
      </w:r>
      <w:r w:rsidR="00EE3551" w:rsidRPr="00EE3551">
        <w:rPr>
          <w:iCs/>
        </w:rPr>
        <w:t xml:space="preserve">he study by </w:t>
      </w:r>
      <w:proofErr w:type="spellStart"/>
      <w:r w:rsidR="00EE3551" w:rsidRPr="00EE3551">
        <w:rPr>
          <w:iCs/>
        </w:rPr>
        <w:t>Benza</w:t>
      </w:r>
      <w:proofErr w:type="spellEnd"/>
      <w:r w:rsidR="00EE3551" w:rsidRPr="00EE3551">
        <w:rPr>
          <w:iCs/>
        </w:rPr>
        <w:t xml:space="preserve"> et al. (2021) reported on the effect o</w:t>
      </w:r>
      <w:r w:rsidR="00425DC9">
        <w:rPr>
          <w:iCs/>
        </w:rPr>
        <w:t>f missing variables on</w:t>
      </w:r>
      <w:r w:rsidR="00EE3551" w:rsidRPr="00EE3551">
        <w:rPr>
          <w:iCs/>
        </w:rPr>
        <w:t xml:space="preserve"> the REVEAL Lite 2 risk stratification calculator</w:t>
      </w:r>
      <w:r w:rsidR="00425DC9">
        <w:rPr>
          <w:iCs/>
        </w:rPr>
        <w:t>.</w:t>
      </w:r>
      <w:r w:rsidR="00EE3551" w:rsidRPr="00EE3551">
        <w:rPr>
          <w:iCs/>
        </w:rPr>
        <w:t xml:space="preserve"> The C-index</w:t>
      </w:r>
      <w:r w:rsidR="00425DC9">
        <w:rPr>
          <w:iCs/>
        </w:rPr>
        <w:t xml:space="preserve"> (goodness of fit) </w:t>
      </w:r>
      <w:r w:rsidR="00EE3551" w:rsidRPr="00EE3551">
        <w:rPr>
          <w:iCs/>
        </w:rPr>
        <w:t>for the REVEAL Lite 2 was 0.73 when all six variables were included.</w:t>
      </w:r>
      <w:r w:rsidR="00EE3551">
        <w:rPr>
          <w:iCs/>
        </w:rPr>
        <w:t xml:space="preserve"> </w:t>
      </w:r>
      <w:r w:rsidR="00425DC9">
        <w:rPr>
          <w:iCs/>
        </w:rPr>
        <w:t>MSAC noted t</w:t>
      </w:r>
      <w:r w:rsidR="00EE3551" w:rsidRPr="00EE3551">
        <w:rPr>
          <w:iCs/>
        </w:rPr>
        <w:t xml:space="preserve">he C-index </w:t>
      </w:r>
      <w:r w:rsidR="00A608AD">
        <w:rPr>
          <w:iCs/>
        </w:rPr>
        <w:t>decreased</w:t>
      </w:r>
      <w:r w:rsidR="00EE3551" w:rsidRPr="00EE3551">
        <w:rPr>
          <w:iCs/>
        </w:rPr>
        <w:t xml:space="preserve"> from 0.73 to 0.7</w:t>
      </w:r>
      <w:r w:rsidR="00425DC9">
        <w:rPr>
          <w:iCs/>
        </w:rPr>
        <w:t>0 when NT-</w:t>
      </w:r>
      <w:proofErr w:type="spellStart"/>
      <w:r w:rsidR="00425DC9">
        <w:rPr>
          <w:iCs/>
        </w:rPr>
        <w:t>proBNP</w:t>
      </w:r>
      <w:proofErr w:type="spellEnd"/>
      <w:r w:rsidR="00425DC9">
        <w:rPr>
          <w:iCs/>
        </w:rPr>
        <w:t xml:space="preserve"> was missing</w:t>
      </w:r>
      <w:r w:rsidR="00EE3551" w:rsidRPr="00EE3551">
        <w:rPr>
          <w:iCs/>
        </w:rPr>
        <w:t>.</w:t>
      </w:r>
      <w:r w:rsidR="00EE3551">
        <w:rPr>
          <w:iCs/>
        </w:rPr>
        <w:t xml:space="preserve"> </w:t>
      </w:r>
      <w:r w:rsidR="00A608AD">
        <w:rPr>
          <w:iCs/>
        </w:rPr>
        <w:t xml:space="preserve">MSAC considered that </w:t>
      </w:r>
      <w:r w:rsidR="00B1010D">
        <w:rPr>
          <w:iCs/>
        </w:rPr>
        <w:t>this</w:t>
      </w:r>
      <w:r w:rsidR="00341236" w:rsidRPr="00E01FBF">
        <w:rPr>
          <w:iCs/>
        </w:rPr>
        <w:t xml:space="preserve"> suggests that NT</w:t>
      </w:r>
      <w:r w:rsidR="00B1010D">
        <w:rPr>
          <w:iCs/>
        </w:rPr>
        <w:noBreakHyphen/>
      </w:r>
      <w:proofErr w:type="spellStart"/>
      <w:r w:rsidR="00341236" w:rsidRPr="00E01FBF">
        <w:rPr>
          <w:iCs/>
        </w:rPr>
        <w:t>proBNP</w:t>
      </w:r>
      <w:proofErr w:type="spellEnd"/>
      <w:r w:rsidR="00341236" w:rsidRPr="00E01FBF">
        <w:rPr>
          <w:iCs/>
        </w:rPr>
        <w:t xml:space="preserve"> is an important variable in the REVEAL Lite 2 risk stratification calculator</w:t>
      </w:r>
      <w:r>
        <w:rPr>
          <w:iCs/>
        </w:rPr>
        <w:t xml:space="preserve">, however it remained </w:t>
      </w:r>
      <w:r>
        <w:t xml:space="preserve">non-inferior to risk assessment </w:t>
      </w:r>
      <w:r w:rsidR="00B1010D">
        <w:t>without</w:t>
      </w:r>
      <w:r>
        <w:t xml:space="preserve"> NT-</w:t>
      </w:r>
      <w:proofErr w:type="spellStart"/>
      <w:r>
        <w:t>proBNP</w:t>
      </w:r>
      <w:proofErr w:type="spellEnd"/>
      <w:r>
        <w:t xml:space="preserve">. </w:t>
      </w:r>
    </w:p>
    <w:p w14:paraId="377E0B1F" w14:textId="6D925E57" w:rsidR="002B1BB1" w:rsidRDefault="000C77DA" w:rsidP="003A3925">
      <w:r>
        <w:t>MSAC noted that clinical guidelines consider the aim of PAH treatment is to achieve or maintain a low risk profile based on data from clinical assessment, exercise tests, biochemical markers, and echocardiographic and haemodynamic evaluations.</w:t>
      </w:r>
      <w:r w:rsidRPr="000C77DA">
        <w:t xml:space="preserve"> </w:t>
      </w:r>
      <w:r>
        <w:t xml:space="preserve">MSAC noted the more recent CHEST guidelines (2019), which include recommendations for </w:t>
      </w:r>
      <w:r w:rsidR="002B1BB1">
        <w:t xml:space="preserve">treatment escalation in </w:t>
      </w:r>
      <w:r>
        <w:t xml:space="preserve">PAH patients with </w:t>
      </w:r>
      <w:r w:rsidRPr="002C4A07">
        <w:rPr>
          <w:lang w:val="en-US"/>
        </w:rPr>
        <w:t>evidence of progression of disease, and/or markers of poor clinical prognosis</w:t>
      </w:r>
      <w:r>
        <w:rPr>
          <w:lang w:val="en-US"/>
        </w:rPr>
        <w:t>.</w:t>
      </w:r>
      <w:r w:rsidRPr="002C4A07">
        <w:t xml:space="preserve"> </w:t>
      </w:r>
      <w:r w:rsidR="002B1BB1">
        <w:t>MSAC noted that</w:t>
      </w:r>
      <w:r>
        <w:t xml:space="preserve"> these recommendations</w:t>
      </w:r>
      <w:r w:rsidR="002B1BB1">
        <w:t xml:space="preserve"> were based around a patient’s</w:t>
      </w:r>
      <w:r>
        <w:t xml:space="preserve"> World Health Organization (WHO) functional class</w:t>
      </w:r>
      <w:r w:rsidR="00A04971">
        <w:t xml:space="preserve"> and recommended treatment escalation for patients with a functional class</w:t>
      </w:r>
      <w:r>
        <w:t xml:space="preserve"> III/IV patients</w:t>
      </w:r>
      <w:r w:rsidR="002B1BB1">
        <w:t xml:space="preserve">. </w:t>
      </w:r>
      <w:r w:rsidR="00C45904">
        <w:t>MSAC noted that this group of patients are typically classified as having a</w:t>
      </w:r>
      <w:r w:rsidR="00D400DC">
        <w:t>n</w:t>
      </w:r>
      <w:r w:rsidR="00C45904">
        <w:t xml:space="preserve"> intermediate or high risk of outcomes and would have already been escalated for TTE. </w:t>
      </w:r>
    </w:p>
    <w:p w14:paraId="495A7486" w14:textId="3A041E40" w:rsidR="00C45904" w:rsidRDefault="00C45904" w:rsidP="003A3925">
      <w:r>
        <w:t xml:space="preserve">The applicant-developed assessment report (ADAR) stated that, </w:t>
      </w:r>
      <w:r w:rsidR="00B1010D">
        <w:t xml:space="preserve">for </w:t>
      </w:r>
      <w:r w:rsidR="008074E7">
        <w:t>Population</w:t>
      </w:r>
      <w:r w:rsidR="00B1010D">
        <w:t xml:space="preserve"> 2</w:t>
      </w:r>
      <w:r>
        <w:t>, NT-</w:t>
      </w:r>
      <w:proofErr w:type="spellStart"/>
      <w:r>
        <w:t>proBNP</w:t>
      </w:r>
      <w:proofErr w:type="spellEnd"/>
      <w:r>
        <w:t xml:space="preserve"> </w:t>
      </w:r>
      <w:r w:rsidR="00B1010D">
        <w:t xml:space="preserve">testing </w:t>
      </w:r>
      <w:r>
        <w:t xml:space="preserve">would be performed twice per year in most circumstances, but up to four times per year in patients with worsening symptoms or changes in therapy. </w:t>
      </w:r>
      <w:r w:rsidR="00EF6B7B">
        <w:t>MSAC noted that risk assessment using NT-</w:t>
      </w:r>
      <w:proofErr w:type="spellStart"/>
      <w:r w:rsidR="00EF6B7B">
        <w:t>proBNP</w:t>
      </w:r>
      <w:proofErr w:type="spellEnd"/>
      <w:r w:rsidR="00EF6B7B">
        <w:t xml:space="preserve"> would not result in any downstream changes in patient management. Rather, it is expected to</w:t>
      </w:r>
      <w:r w:rsidR="003A3925">
        <w:t xml:space="preserve"> reduce the number of patients requiring TTE compared with the current risk calculation algorithm</w:t>
      </w:r>
      <w:r w:rsidR="006D147F">
        <w:t xml:space="preserve">. However, MSAC </w:t>
      </w:r>
      <w:r>
        <w:t>considered the extent to which NT-</w:t>
      </w:r>
      <w:proofErr w:type="spellStart"/>
      <w:r>
        <w:t>proBNP</w:t>
      </w:r>
      <w:proofErr w:type="spellEnd"/>
      <w:r>
        <w:t xml:space="preserve"> would reduce TTE is unclear. MSAC noted</w:t>
      </w:r>
      <w:r w:rsidR="006D147F">
        <w:t xml:space="preserve"> that </w:t>
      </w:r>
      <w:r w:rsidR="003A3925">
        <w:t xml:space="preserve">the proportion of patients with stable </w:t>
      </w:r>
      <w:r w:rsidR="006D147F">
        <w:t xml:space="preserve">PAH </w:t>
      </w:r>
      <w:r w:rsidR="003A3925">
        <w:t xml:space="preserve">who would not require TTE was not reported. </w:t>
      </w:r>
      <w:r>
        <w:t>MSAC noted that patients with worsening symptoms would also undergo TTE; therefore, the value of NT-</w:t>
      </w:r>
      <w:proofErr w:type="spellStart"/>
      <w:r>
        <w:t>proBNP</w:t>
      </w:r>
      <w:proofErr w:type="spellEnd"/>
      <w:r>
        <w:t xml:space="preserve"> testing for this group of patients was uncertain. </w:t>
      </w:r>
    </w:p>
    <w:p w14:paraId="31DDEAB4" w14:textId="4D6C06DF" w:rsidR="003A3925" w:rsidRPr="00B1010D" w:rsidRDefault="00C45904" w:rsidP="003A3925">
      <w:pPr>
        <w:rPr>
          <w:iCs/>
        </w:rPr>
      </w:pPr>
      <w:r>
        <w:lastRenderedPageBreak/>
        <w:t>MSAC also considered the proportion of patients who will have TTE despite “normal” NT-</w:t>
      </w:r>
      <w:proofErr w:type="spellStart"/>
      <w:r>
        <w:t>proBNP</w:t>
      </w:r>
      <w:proofErr w:type="spellEnd"/>
      <w:r>
        <w:t xml:space="preserve"> (such as patients with ongoing symptoms in both populations, or to guide therapy in population</w:t>
      </w:r>
      <w:r w:rsidR="00006582">
        <w:t> </w:t>
      </w:r>
      <w:r>
        <w:t>2) is uncertain.</w:t>
      </w:r>
    </w:p>
    <w:p w14:paraId="745F8FCB" w14:textId="77777777" w:rsidR="003A3925" w:rsidRDefault="003A3925" w:rsidP="003A3925">
      <w:r>
        <w:t>MSAC noted that equity of access to TTE was a significant consideration, particularly for patients in population 1 in rural and remote areas.</w:t>
      </w:r>
    </w:p>
    <w:p w14:paraId="6ECD0707" w14:textId="2AF66F39" w:rsidR="005E04FB" w:rsidRDefault="003A3925" w:rsidP="003A3925">
      <w:r>
        <w:t xml:space="preserve">MSAC noted the economic evaluation, which was a cost-minimisation analysis. MSAC considered that the modelled cost savings for population 1 (revised after ESC; saving of $87.98 per patient per year) were reasonable. MSAC noted that the </w:t>
      </w:r>
      <w:r w:rsidR="00E32A88">
        <w:t>economic evaluation</w:t>
      </w:r>
      <w:r>
        <w:t xml:space="preserve"> for both populations was driven by the decrease in TTE. However, MSAC noted that, for population 1, the cost saving due to TTE reduction will only apply to patients who are currently undergoing TTE screening, which is variable. It was also noted that rheumatologists (and potentially other specialists) may not be </w:t>
      </w:r>
      <w:r w:rsidR="008074E7">
        <w:t xml:space="preserve">referring patients for </w:t>
      </w:r>
      <w:r>
        <w:t xml:space="preserve">annual TTE, particularly during the COVID-19 pandemic, so cost savings may be overestimated. However, MSAC considered that the benefits of earlier diagnosis for patients who are tested and the clear cost savings for those who avoid </w:t>
      </w:r>
      <w:r w:rsidR="00EE4EBE">
        <w:t xml:space="preserve">unnecessary </w:t>
      </w:r>
      <w:r>
        <w:t xml:space="preserve">TTE warrants MBS listing for population 1. MSAC noted that the economic evaluation did not include any reduction in unnecessary RHC for patients in population 1, therefore the cost savings are likely to be underestimated. For population 2, the extent of TTE </w:t>
      </w:r>
      <w:r w:rsidR="001C0E70">
        <w:t xml:space="preserve">substitution </w:t>
      </w:r>
      <w:r>
        <w:t xml:space="preserve">was uncertain. </w:t>
      </w:r>
    </w:p>
    <w:p w14:paraId="0C3E00F4" w14:textId="08178C47" w:rsidR="00C45904" w:rsidRDefault="003A3925" w:rsidP="003A3925">
      <w:r>
        <w:t xml:space="preserve">MSAC considered that the financial and budgetary estimates were reasonable. </w:t>
      </w:r>
      <w:r w:rsidR="002D3049">
        <w:t>MSAC noted that approximately 4,811 patients in population 1 would require annual NT-</w:t>
      </w:r>
      <w:proofErr w:type="spellStart"/>
      <w:r w:rsidR="002D3049">
        <w:t>proBNP</w:t>
      </w:r>
      <w:proofErr w:type="spellEnd"/>
      <w:r w:rsidR="002D3049">
        <w:t xml:space="preserve"> testing. Approximately 2,107 patients in population 2 would require NT-</w:t>
      </w:r>
      <w:proofErr w:type="spellStart"/>
      <w:r w:rsidR="002D3049">
        <w:t>proBNP</w:t>
      </w:r>
      <w:proofErr w:type="spellEnd"/>
      <w:r w:rsidR="002D3049">
        <w:t xml:space="preserve"> testing 2–4 times a year.</w:t>
      </w:r>
      <w:r w:rsidR="00C45904" w:rsidRPr="00C45904">
        <w:t xml:space="preserve"> </w:t>
      </w:r>
      <w:r w:rsidR="00C45904">
        <w:t xml:space="preserve">MSAC </w:t>
      </w:r>
      <w:r w:rsidR="008074E7">
        <w:t xml:space="preserve">considered that </w:t>
      </w:r>
      <w:r w:rsidR="00C45904">
        <w:t xml:space="preserve">the applicant’s </w:t>
      </w:r>
      <w:r w:rsidR="008074E7">
        <w:t xml:space="preserve">estimate in the </w:t>
      </w:r>
      <w:r w:rsidR="00C45904">
        <w:t>pre-MSAC response</w:t>
      </w:r>
      <w:r w:rsidR="00B1010D">
        <w:t xml:space="preserve"> that </w:t>
      </w:r>
      <w:r w:rsidR="00C45904">
        <w:t>10% of patients</w:t>
      </w:r>
      <w:r w:rsidR="008074E7">
        <w:t xml:space="preserve"> in</w:t>
      </w:r>
      <w:r w:rsidR="00C45904">
        <w:t xml:space="preserve"> </w:t>
      </w:r>
      <w:r w:rsidR="008074E7">
        <w:t xml:space="preserve">population 1 </w:t>
      </w:r>
      <w:r w:rsidR="00C45904">
        <w:t>would require a second NT-</w:t>
      </w:r>
      <w:proofErr w:type="spellStart"/>
      <w:r w:rsidR="00C45904">
        <w:t>proBNP</w:t>
      </w:r>
      <w:proofErr w:type="spellEnd"/>
      <w:r w:rsidR="00B1010D">
        <w:t xml:space="preserve"> test within one year</w:t>
      </w:r>
      <w:r w:rsidR="00C45904">
        <w:t xml:space="preserve"> was conservative and appropriate.</w:t>
      </w:r>
      <w:r w:rsidR="00CE4F05" w:rsidRPr="00CE4F05">
        <w:t xml:space="preserve"> </w:t>
      </w:r>
    </w:p>
    <w:p w14:paraId="6BCBDD61" w14:textId="5B5EBD5E" w:rsidR="00CE4F05" w:rsidRDefault="00CE4F05" w:rsidP="00CE4F05">
      <w:r>
        <w:t>MSAC considered whether the requestors should be restricted to specialist physicians such as cardiologists, rheumatologists, respiratory physicians and general physicians. The applicant did not object to limiting who can request the item to minimise leakage.</w:t>
      </w:r>
      <w:r w:rsidR="005E04FB">
        <w:t xml:space="preserve"> </w:t>
      </w:r>
      <w:r>
        <w:t xml:space="preserve">MSAC considered that cardiologists would not be likely to see patients in population 1. MSAC also considered that a patient’s GP should play a role in testing and coordination. This would help improve access for patients who cannot regularly see a specialist for a range of reasons (including geographical access or long wait times for appointments). It may also streamline the process and reduce specialist consultations for the purpose of requesting an annual test. MSAC considered consultation between the GP and the specialist was important to minimise over-testing and unnecessary repeat tests and ensure that the projected cost savings are realised. MSAC considered that patient access would be improved by not restricting the item to specified specialists, and the risk of leakage would be minimal as the patient population is well defined and patients would be seeing a specialist for management. MSAC therefore advised that the item descriptor should state that the test can be requested </w:t>
      </w:r>
      <w:r w:rsidR="008074E7">
        <w:t xml:space="preserve">by a treating medical practitioner </w:t>
      </w:r>
      <w:r>
        <w:t>“in consultation with a specialist”.</w:t>
      </w:r>
      <w:r w:rsidR="005C49A5">
        <w:t xml:space="preserve"> GPs are able to refer patients for lung function testing. </w:t>
      </w:r>
    </w:p>
    <w:p w14:paraId="695BFC80" w14:textId="7F8F2D45" w:rsidR="003A3925" w:rsidRDefault="003A3925" w:rsidP="003A3925">
      <w:r>
        <w:t>For population 2, the applicant did not provide evidence to support a reduction in TTE services. The applicant confirmed that NT-</w:t>
      </w:r>
      <w:proofErr w:type="spellStart"/>
      <w:r>
        <w:t>proBNP</w:t>
      </w:r>
      <w:proofErr w:type="spellEnd"/>
      <w:r>
        <w:t xml:space="preserve"> could be used up to four times per year in some patients, but twice per year in most circumstances.</w:t>
      </w:r>
      <w:r w:rsidR="00E643BE">
        <w:t xml:space="preserve"> </w:t>
      </w:r>
    </w:p>
    <w:p w14:paraId="39139799" w14:textId="1B65C374" w:rsidR="00CE4F05" w:rsidRDefault="003A3925" w:rsidP="003A3925">
      <w:r>
        <w:t xml:space="preserve">MSAC </w:t>
      </w:r>
      <w:r w:rsidR="00CE4F05">
        <w:t xml:space="preserve">advised </w:t>
      </w:r>
      <w:r>
        <w:t xml:space="preserve">that the MBS item descriptor for population 1 should specify a maximum of two tests per patient in any one year. MSAC considered that the explanatory notes for the item should clarify that a second test in any one year is warranted if there is a change in symptoms that </w:t>
      </w:r>
      <w:r w:rsidR="00CE4F05">
        <w:t xml:space="preserve">may </w:t>
      </w:r>
      <w:r>
        <w:t>indicate the development of PAH since the last assessment, or NT-</w:t>
      </w:r>
      <w:proofErr w:type="spellStart"/>
      <w:r>
        <w:t>proBNP</w:t>
      </w:r>
      <w:proofErr w:type="spellEnd"/>
      <w:r>
        <w:t xml:space="preserve"> levels which are borderline (between 168 and 209 </w:t>
      </w:r>
      <w:proofErr w:type="spellStart"/>
      <w:r>
        <w:t>pg</w:t>
      </w:r>
      <w:proofErr w:type="spellEnd"/>
      <w:r>
        <w:t xml:space="preserve">/mL). MSAC considered that the proposed fee </w:t>
      </w:r>
      <w:r w:rsidR="00B717C5">
        <w:t xml:space="preserve">for the Type C procedure </w:t>
      </w:r>
      <w:r>
        <w:t xml:space="preserve">was appropriate. </w:t>
      </w:r>
    </w:p>
    <w:p w14:paraId="731B4C70" w14:textId="040F8670" w:rsidR="00F27946" w:rsidRDefault="008E2A44" w:rsidP="003A3925">
      <w:r w:rsidRPr="008E2A44">
        <w:lastRenderedPageBreak/>
        <w:t>MSAC advised that NT-</w:t>
      </w:r>
      <w:proofErr w:type="spellStart"/>
      <w:r w:rsidRPr="008E2A44">
        <w:t>proBNP</w:t>
      </w:r>
      <w:proofErr w:type="spellEnd"/>
      <w:r w:rsidRPr="008E2A44">
        <w:t xml:space="preserve"> </w:t>
      </w:r>
      <w:r>
        <w:t>testing</w:t>
      </w:r>
      <w:r w:rsidRPr="008E2A44">
        <w:t xml:space="preserve"> was safe and had at least non inferior effectiveness</w:t>
      </w:r>
      <w:r>
        <w:t xml:space="preserve"> compared with TTE-based testing to detect PAH in patients with SSC. For this population, MSAC considered NT-</w:t>
      </w:r>
      <w:proofErr w:type="spellStart"/>
      <w:r>
        <w:t>proBNP</w:t>
      </w:r>
      <w:proofErr w:type="spellEnd"/>
      <w:r>
        <w:t xml:space="preserve"> testing had</w:t>
      </w:r>
      <w:r w:rsidRPr="008E2A44">
        <w:t xml:space="preserve"> acceptable cost-effectiveness</w:t>
      </w:r>
      <w:r>
        <w:t xml:space="preserve">. For this </w:t>
      </w:r>
      <w:r w:rsidR="00AA2017">
        <w:t>population</w:t>
      </w:r>
      <w:r w:rsidR="003A3925">
        <w:t>, NT-</w:t>
      </w:r>
      <w:proofErr w:type="spellStart"/>
      <w:r w:rsidR="003A3925">
        <w:t>proBNP</w:t>
      </w:r>
      <w:proofErr w:type="spellEnd"/>
      <w:r w:rsidR="003A3925">
        <w:t xml:space="preserve"> is likely to decrease the use of TTE and possibly downstream RHC and is therefore likely to be cost saving.</w:t>
      </w:r>
      <w:r w:rsidR="00F27946" w:rsidRPr="00F27946">
        <w:t xml:space="preserve"> </w:t>
      </w:r>
      <w:r w:rsidR="00F27946">
        <w:t>MSAC advised that education for clinicians about the ASIG algorithm would help ensure TTE is used when its use is indicated by patients’ symptoms, LFT and NT</w:t>
      </w:r>
      <w:r w:rsidR="005E04FB">
        <w:noBreakHyphen/>
      </w:r>
      <w:proofErr w:type="spellStart"/>
      <w:r w:rsidR="00F27946">
        <w:t>proBNP</w:t>
      </w:r>
      <w:proofErr w:type="spellEnd"/>
      <w:r w:rsidR="00F27946">
        <w:t xml:space="preserve"> results.</w:t>
      </w:r>
      <w:r w:rsidR="005E04FB" w:rsidRPr="005E04FB">
        <w:t xml:space="preserve"> </w:t>
      </w:r>
      <w:r w:rsidR="005E04FB">
        <w:t xml:space="preserve">MSAC considered that utilisation of the item for population 1 should be reviewed in 2 years to ensure that the test is only being used for patients with </w:t>
      </w:r>
      <w:proofErr w:type="spellStart"/>
      <w:r w:rsidR="005E04FB">
        <w:t>SSc</w:t>
      </w:r>
      <w:proofErr w:type="spellEnd"/>
      <w:r w:rsidR="005E04FB">
        <w:t>, and to confirm that the rate of second tests per patient per year remains within expectations at approximately 10%.</w:t>
      </w:r>
    </w:p>
    <w:p w14:paraId="13B761B7" w14:textId="63BB85DA" w:rsidR="003A3925" w:rsidRDefault="003A3925" w:rsidP="003A3925">
      <w:r>
        <w:t xml:space="preserve">For population 2, </w:t>
      </w:r>
      <w:r w:rsidR="005E04FB">
        <w:t xml:space="preserve">MSAC considered </w:t>
      </w:r>
      <w:r>
        <w:t>NT-</w:t>
      </w:r>
      <w:proofErr w:type="spellStart"/>
      <w:r>
        <w:t>proBNP</w:t>
      </w:r>
      <w:proofErr w:type="spellEnd"/>
      <w:r>
        <w:t xml:space="preserve"> may decrease the use of TTE</w:t>
      </w:r>
      <w:r w:rsidR="009A593A">
        <w:t>,</w:t>
      </w:r>
      <w:r>
        <w:t xml:space="preserve"> although </w:t>
      </w:r>
      <w:r w:rsidR="009A593A">
        <w:t xml:space="preserve">MSAC considered the estimated substitution of TTE in the ADAR to be </w:t>
      </w:r>
      <w:r>
        <w:t>uncertain</w:t>
      </w:r>
      <w:r w:rsidR="00FD46DB">
        <w:t xml:space="preserve">. </w:t>
      </w:r>
      <w:r>
        <w:t xml:space="preserve"> </w:t>
      </w:r>
      <w:r w:rsidR="00FD46DB">
        <w:t>For population 2, NT-</w:t>
      </w:r>
      <w:proofErr w:type="spellStart"/>
      <w:r w:rsidR="00FD46DB">
        <w:t>proBNP</w:t>
      </w:r>
      <w:proofErr w:type="spellEnd"/>
      <w:r w:rsidR="00FD46DB">
        <w:t xml:space="preserve"> is not expected to</w:t>
      </w:r>
      <w:r>
        <w:t xml:space="preserve"> effect downstream management or </w:t>
      </w:r>
      <w:r w:rsidR="005E04FB">
        <w:t xml:space="preserve">improve </w:t>
      </w:r>
      <w:r>
        <w:t xml:space="preserve">outcomes, leading to uncertain clinical utility and cost-effectiveness. MSAC considered that, for population 2 to be reconsidered, the applicant </w:t>
      </w:r>
      <w:r w:rsidR="005E04FB">
        <w:t>may</w:t>
      </w:r>
      <w:r>
        <w:t xml:space="preserve"> need to identify a </w:t>
      </w:r>
      <w:r w:rsidR="00F27946">
        <w:t xml:space="preserve">PAH </w:t>
      </w:r>
      <w:r>
        <w:t xml:space="preserve">population </w:t>
      </w:r>
      <w:r w:rsidR="00F27946">
        <w:t>where NT-</w:t>
      </w:r>
      <w:proofErr w:type="spellStart"/>
      <w:r w:rsidR="00F27946">
        <w:t>proBNP</w:t>
      </w:r>
      <w:proofErr w:type="spellEnd"/>
      <w:r w:rsidR="00F27946">
        <w:t xml:space="preserve"> </w:t>
      </w:r>
      <w:r>
        <w:t>could substitute</w:t>
      </w:r>
      <w:r w:rsidR="00F27946">
        <w:t xml:space="preserve"> </w:t>
      </w:r>
      <w:r>
        <w:t xml:space="preserve">TTE. </w:t>
      </w:r>
      <w:r w:rsidR="00F27946">
        <w:t>MSAC advised a future application for this population would</w:t>
      </w:r>
      <w:r>
        <w:t xml:space="preserve"> also need to demonstrate that monitoring using NT-</w:t>
      </w:r>
      <w:proofErr w:type="spellStart"/>
      <w:r>
        <w:t>proBNP</w:t>
      </w:r>
      <w:proofErr w:type="spellEnd"/>
      <w:r>
        <w:t xml:space="preserve"> would decrease TTE frequency (using a cost-minimisation analysis) or improve clinical outcomes (using a cost-effectiveness analysis).</w:t>
      </w:r>
    </w:p>
    <w:p w14:paraId="2DB2D058" w14:textId="4A6634EF" w:rsidR="00CE4F05" w:rsidRDefault="00CE4F05" w:rsidP="00CE4F05">
      <w:r>
        <w:t>MSAC supported the following MBS item descriptor for population 1:</w:t>
      </w:r>
    </w:p>
    <w:tbl>
      <w:tblPr>
        <w:tblStyle w:val="TableGrid"/>
        <w:tblW w:w="0" w:type="auto"/>
        <w:tblLook w:val="04A0" w:firstRow="1" w:lastRow="0" w:firstColumn="1" w:lastColumn="0" w:noHBand="0" w:noVBand="1"/>
      </w:tblPr>
      <w:tblGrid>
        <w:gridCol w:w="9016"/>
      </w:tblGrid>
      <w:tr w:rsidR="00CE4F05" w14:paraId="3E5C7D10" w14:textId="77777777" w:rsidTr="000A08BD">
        <w:tc>
          <w:tcPr>
            <w:tcW w:w="9016" w:type="dxa"/>
            <w:tcBorders>
              <w:top w:val="single" w:sz="4" w:space="0" w:color="auto"/>
              <w:left w:val="single" w:sz="4" w:space="0" w:color="auto"/>
              <w:bottom w:val="single" w:sz="4" w:space="0" w:color="auto"/>
              <w:right w:val="single" w:sz="4" w:space="0" w:color="auto"/>
            </w:tcBorders>
            <w:hideMark/>
          </w:tcPr>
          <w:p w14:paraId="3FEF86DA" w14:textId="77777777" w:rsidR="00CE4F05" w:rsidRDefault="00CE4F05" w:rsidP="000A08BD">
            <w:pPr>
              <w:tabs>
                <w:tab w:val="right" w:pos="8650"/>
              </w:tabs>
              <w:spacing w:before="40" w:after="40"/>
              <w:rPr>
                <w:rFonts w:ascii="Arial Narrow" w:hAnsi="Arial Narrow"/>
                <w:color w:val="000000"/>
                <w:sz w:val="20"/>
              </w:rPr>
            </w:pPr>
            <w:bookmarkStart w:id="5" w:name="_Hlk112163447"/>
            <w:r>
              <w:rPr>
                <w:rFonts w:ascii="Arial Narrow" w:hAnsi="Arial Narrow"/>
                <w:color w:val="000000"/>
                <w:sz w:val="20"/>
              </w:rPr>
              <w:tab/>
              <w:t>Category 6 – PATHOLOGY SERVICES</w:t>
            </w:r>
          </w:p>
          <w:p w14:paraId="63152C97" w14:textId="77777777" w:rsidR="00CE4F05" w:rsidRDefault="00CE4F05" w:rsidP="000A08BD">
            <w:pPr>
              <w:tabs>
                <w:tab w:val="right" w:pos="8650"/>
              </w:tabs>
              <w:spacing w:before="40" w:after="40"/>
              <w:jc w:val="right"/>
              <w:rPr>
                <w:rFonts w:ascii="Arial Narrow" w:hAnsi="Arial Narrow"/>
                <w:color w:val="000000"/>
                <w:sz w:val="20"/>
              </w:rPr>
            </w:pPr>
            <w:r>
              <w:rPr>
                <w:rFonts w:ascii="Arial Narrow" w:hAnsi="Arial Narrow"/>
                <w:color w:val="000000"/>
                <w:sz w:val="20"/>
              </w:rPr>
              <w:t>Group P2 - Chemical</w:t>
            </w:r>
          </w:p>
        </w:tc>
      </w:tr>
      <w:tr w:rsidR="00CE4F05" w14:paraId="4A41AD2A" w14:textId="77777777" w:rsidTr="000A08BD">
        <w:tc>
          <w:tcPr>
            <w:tcW w:w="9016" w:type="dxa"/>
            <w:tcBorders>
              <w:top w:val="single" w:sz="4" w:space="0" w:color="auto"/>
              <w:left w:val="single" w:sz="4" w:space="0" w:color="auto"/>
              <w:bottom w:val="single" w:sz="4" w:space="0" w:color="auto"/>
              <w:right w:val="single" w:sz="4" w:space="0" w:color="auto"/>
            </w:tcBorders>
          </w:tcPr>
          <w:p w14:paraId="59F4FB9B" w14:textId="61B2716B" w:rsidR="00EC32B3" w:rsidRDefault="00CE4F05" w:rsidP="000A08BD">
            <w:pPr>
              <w:spacing w:before="40" w:after="40"/>
              <w:rPr>
                <w:rFonts w:ascii="Arial Narrow" w:hAnsi="Arial Narrow"/>
                <w:color w:val="000000" w:themeColor="text1"/>
                <w:sz w:val="20"/>
                <w:szCs w:val="20"/>
              </w:rPr>
            </w:pPr>
            <w:r w:rsidRPr="3005175F">
              <w:rPr>
                <w:rFonts w:ascii="Arial Narrow" w:hAnsi="Arial Narrow"/>
                <w:color w:val="000000" w:themeColor="text1"/>
                <w:sz w:val="20"/>
                <w:szCs w:val="20"/>
              </w:rPr>
              <w:t>Quantification of laboratory-based NT</w:t>
            </w:r>
            <w:r w:rsidR="00B07B00">
              <w:rPr>
                <w:rFonts w:ascii="Arial Narrow" w:hAnsi="Arial Narrow"/>
                <w:color w:val="000000" w:themeColor="text1"/>
                <w:sz w:val="20"/>
                <w:szCs w:val="20"/>
              </w:rPr>
              <w:t>-</w:t>
            </w:r>
            <w:proofErr w:type="spellStart"/>
            <w:r w:rsidRPr="3005175F">
              <w:rPr>
                <w:rFonts w:ascii="Arial Narrow" w:hAnsi="Arial Narrow"/>
                <w:color w:val="000000" w:themeColor="text1"/>
                <w:sz w:val="20"/>
                <w:szCs w:val="20"/>
              </w:rPr>
              <w:t>proBNP</w:t>
            </w:r>
            <w:proofErr w:type="spellEnd"/>
            <w:r w:rsidRPr="3005175F">
              <w:rPr>
                <w:rFonts w:ascii="Arial Narrow" w:hAnsi="Arial Narrow"/>
                <w:color w:val="000000" w:themeColor="text1"/>
                <w:sz w:val="20"/>
                <w:szCs w:val="20"/>
              </w:rPr>
              <w:t xml:space="preserve"> testing in </w:t>
            </w:r>
            <w:r w:rsidR="00EC32B3">
              <w:rPr>
                <w:rFonts w:ascii="Arial Narrow" w:hAnsi="Arial Narrow"/>
                <w:color w:val="000000" w:themeColor="text1"/>
                <w:sz w:val="20"/>
                <w:szCs w:val="20"/>
              </w:rPr>
              <w:t xml:space="preserve">a </w:t>
            </w:r>
            <w:r w:rsidRPr="3005175F">
              <w:rPr>
                <w:rFonts w:ascii="Arial Narrow" w:hAnsi="Arial Narrow"/>
                <w:color w:val="000000" w:themeColor="text1"/>
                <w:sz w:val="20"/>
                <w:szCs w:val="20"/>
              </w:rPr>
              <w:t xml:space="preserve">patient with systemic sclerosis (scleroderma) </w:t>
            </w:r>
            <w:r>
              <w:rPr>
                <w:rFonts w:ascii="Arial Narrow" w:hAnsi="Arial Narrow"/>
                <w:color w:val="000000" w:themeColor="text1"/>
                <w:sz w:val="20"/>
                <w:szCs w:val="20"/>
              </w:rPr>
              <w:t>to assess</w:t>
            </w:r>
            <w:r w:rsidRPr="3005175F">
              <w:rPr>
                <w:rFonts w:ascii="Arial Narrow" w:hAnsi="Arial Narrow"/>
                <w:color w:val="000000" w:themeColor="text1"/>
                <w:sz w:val="20"/>
                <w:szCs w:val="20"/>
              </w:rPr>
              <w:t xml:space="preserve"> risk of pulmonary arterial hypertension</w:t>
            </w:r>
            <w:r w:rsidR="00733303">
              <w:rPr>
                <w:rFonts w:ascii="Arial Narrow" w:hAnsi="Arial Narrow"/>
                <w:color w:val="000000" w:themeColor="text1"/>
                <w:sz w:val="20"/>
                <w:szCs w:val="20"/>
              </w:rPr>
              <w:t>,</w:t>
            </w:r>
            <w:r w:rsidR="007B7C61">
              <w:rPr>
                <w:rFonts w:ascii="Arial Narrow" w:hAnsi="Arial Narrow"/>
                <w:color w:val="000000" w:themeColor="text1"/>
                <w:sz w:val="20"/>
                <w:szCs w:val="20"/>
              </w:rPr>
              <w:t xml:space="preserve"> requested by</w:t>
            </w:r>
            <w:r w:rsidR="00EC32B3">
              <w:rPr>
                <w:rFonts w:ascii="Arial Narrow" w:hAnsi="Arial Narrow"/>
                <w:color w:val="000000" w:themeColor="text1"/>
                <w:sz w:val="20"/>
                <w:szCs w:val="20"/>
              </w:rPr>
              <w:t>:</w:t>
            </w:r>
          </w:p>
          <w:p w14:paraId="7D36B157" w14:textId="24F43789" w:rsidR="00CE4F05" w:rsidRPr="007E203C" w:rsidRDefault="00645285" w:rsidP="00EC32B3">
            <w:pPr>
              <w:pStyle w:val="ListParagraph"/>
              <w:numPr>
                <w:ilvl w:val="0"/>
                <w:numId w:val="23"/>
              </w:numPr>
              <w:spacing w:before="40" w:after="40"/>
              <w:rPr>
                <w:rFonts w:ascii="Arial Narrow" w:hAnsi="Arial Narrow"/>
                <w:color w:val="000000"/>
                <w:sz w:val="20"/>
                <w:szCs w:val="20"/>
              </w:rPr>
            </w:pPr>
            <w:r w:rsidRPr="007E203C">
              <w:rPr>
                <w:rFonts w:ascii="Arial Narrow" w:hAnsi="Arial Narrow"/>
                <w:color w:val="000000" w:themeColor="text1"/>
                <w:sz w:val="20"/>
                <w:szCs w:val="20"/>
              </w:rPr>
              <w:t xml:space="preserve">a </w:t>
            </w:r>
            <w:r w:rsidR="00226183" w:rsidRPr="007E203C">
              <w:rPr>
                <w:rFonts w:ascii="Arial Narrow" w:hAnsi="Arial Narrow"/>
                <w:color w:val="000000" w:themeColor="text1"/>
                <w:sz w:val="20"/>
                <w:szCs w:val="20"/>
              </w:rPr>
              <w:t>medical</w:t>
            </w:r>
            <w:r w:rsidRPr="007E203C">
              <w:rPr>
                <w:rFonts w:ascii="Arial Narrow" w:hAnsi="Arial Narrow"/>
                <w:color w:val="000000" w:themeColor="text1"/>
                <w:sz w:val="20"/>
                <w:szCs w:val="20"/>
              </w:rPr>
              <w:t xml:space="preserve"> practitioner</w:t>
            </w:r>
            <w:r w:rsidR="00EC32B3">
              <w:rPr>
                <w:rFonts w:ascii="Arial Narrow" w:hAnsi="Arial Narrow"/>
                <w:color w:val="000000" w:themeColor="text1"/>
                <w:sz w:val="20"/>
                <w:szCs w:val="20"/>
              </w:rPr>
              <w:t xml:space="preserve"> (other than a specialist or consultant physician)</w:t>
            </w:r>
            <w:r w:rsidR="00CE4F05" w:rsidRPr="007E203C">
              <w:rPr>
                <w:rFonts w:ascii="Arial Narrow" w:hAnsi="Arial Narrow"/>
                <w:sz w:val="20"/>
                <w:szCs w:val="20"/>
              </w:rPr>
              <w:t xml:space="preserve"> in consultation with a specialist</w:t>
            </w:r>
            <w:r w:rsidR="00EC32B3" w:rsidRPr="007E203C">
              <w:rPr>
                <w:rFonts w:ascii="Arial Narrow" w:hAnsi="Arial Narrow"/>
                <w:sz w:val="20"/>
                <w:szCs w:val="20"/>
              </w:rPr>
              <w:t xml:space="preserve"> or consultant physician</w:t>
            </w:r>
            <w:r w:rsidR="00EC32B3">
              <w:rPr>
                <w:rFonts w:ascii="Arial Narrow" w:hAnsi="Arial Narrow"/>
                <w:sz w:val="20"/>
                <w:szCs w:val="20"/>
              </w:rPr>
              <w:t xml:space="preserve"> who manages the treatment of the patient</w:t>
            </w:r>
          </w:p>
          <w:p w14:paraId="11B3B8FC" w14:textId="5842973F" w:rsidR="00EC32B3" w:rsidRPr="007E203C" w:rsidRDefault="00EC32B3" w:rsidP="007E203C">
            <w:pPr>
              <w:pStyle w:val="ListParagraph"/>
              <w:numPr>
                <w:ilvl w:val="0"/>
                <w:numId w:val="23"/>
              </w:numPr>
              <w:spacing w:before="40" w:after="40"/>
              <w:rPr>
                <w:rFonts w:ascii="Arial Narrow" w:hAnsi="Arial Narrow"/>
                <w:color w:val="000000"/>
                <w:sz w:val="20"/>
                <w:szCs w:val="20"/>
              </w:rPr>
            </w:pPr>
            <w:r>
              <w:rPr>
                <w:rFonts w:ascii="Arial Narrow" w:hAnsi="Arial Narrow"/>
                <w:color w:val="000000" w:themeColor="text1"/>
                <w:sz w:val="20"/>
                <w:szCs w:val="20"/>
              </w:rPr>
              <w:t>a specialist or consultant physician</w:t>
            </w:r>
          </w:p>
          <w:p w14:paraId="0FC33E77" w14:textId="46C9EB95" w:rsidR="00CE4F05" w:rsidRDefault="00CE4F05" w:rsidP="00006582">
            <w:pPr>
              <w:spacing w:before="240" w:after="40"/>
              <w:rPr>
                <w:rFonts w:ascii="Arial Narrow" w:hAnsi="Arial Narrow"/>
                <w:color w:val="000000"/>
                <w:sz w:val="20"/>
              </w:rPr>
            </w:pPr>
            <w:r>
              <w:rPr>
                <w:rFonts w:ascii="Arial Narrow" w:hAnsi="Arial Narrow"/>
                <w:color w:val="000000"/>
                <w:sz w:val="20"/>
              </w:rPr>
              <w:t xml:space="preserve">Maximum of two tests in </w:t>
            </w:r>
            <w:r w:rsidR="00152572">
              <w:rPr>
                <w:rFonts w:ascii="Arial Narrow" w:hAnsi="Arial Narrow"/>
                <w:color w:val="000000"/>
                <w:sz w:val="20"/>
              </w:rPr>
              <w:t>a 12 month period</w:t>
            </w:r>
            <w:r>
              <w:rPr>
                <w:rFonts w:ascii="Arial Narrow" w:hAnsi="Arial Narrow"/>
                <w:color w:val="000000"/>
                <w:sz w:val="20"/>
              </w:rPr>
              <w:t xml:space="preserve">. </w:t>
            </w:r>
          </w:p>
          <w:p w14:paraId="459D9A9F" w14:textId="33108268" w:rsidR="00CE4F05" w:rsidRDefault="00CE4F05" w:rsidP="00006582">
            <w:pPr>
              <w:spacing w:before="240" w:after="40"/>
              <w:rPr>
                <w:rFonts w:ascii="Arial Narrow" w:hAnsi="Arial Narrow"/>
                <w:color w:val="000000"/>
                <w:sz w:val="20"/>
              </w:rPr>
            </w:pPr>
            <w:r>
              <w:rPr>
                <w:rFonts w:ascii="Arial Narrow" w:hAnsi="Arial Narrow"/>
                <w:color w:val="000000"/>
                <w:sz w:val="20"/>
              </w:rPr>
              <w:t xml:space="preserve">Fee: $58.50 Benefit: </w:t>
            </w:r>
            <w:r w:rsidR="00D539C1">
              <w:rPr>
                <w:rFonts w:ascii="Arial Narrow" w:hAnsi="Arial Narrow"/>
                <w:color w:val="000000"/>
                <w:sz w:val="20"/>
              </w:rPr>
              <w:t xml:space="preserve">75% = 43.90 </w:t>
            </w:r>
            <w:r>
              <w:rPr>
                <w:rFonts w:ascii="Arial Narrow" w:hAnsi="Arial Narrow"/>
                <w:color w:val="000000"/>
                <w:sz w:val="20"/>
              </w:rPr>
              <w:t>85% = $49.75</w:t>
            </w:r>
          </w:p>
        </w:tc>
      </w:tr>
      <w:tr w:rsidR="00CE4F05" w14:paraId="0716D737" w14:textId="77777777" w:rsidTr="000A08BD">
        <w:tc>
          <w:tcPr>
            <w:tcW w:w="9016" w:type="dxa"/>
            <w:tcBorders>
              <w:top w:val="single" w:sz="4" w:space="0" w:color="auto"/>
              <w:left w:val="single" w:sz="4" w:space="0" w:color="auto"/>
              <w:bottom w:val="single" w:sz="4" w:space="0" w:color="auto"/>
              <w:right w:val="single" w:sz="4" w:space="0" w:color="auto"/>
            </w:tcBorders>
          </w:tcPr>
          <w:p w14:paraId="549CF135" w14:textId="2A1D69DF" w:rsidR="00CE4F05" w:rsidRDefault="005F06A7" w:rsidP="000A08BD">
            <w:pPr>
              <w:spacing w:before="40" w:after="40"/>
              <w:rPr>
                <w:rFonts w:ascii="Arial Narrow" w:hAnsi="Arial Narrow"/>
                <w:color w:val="000000" w:themeColor="text1"/>
                <w:sz w:val="20"/>
                <w:szCs w:val="20"/>
              </w:rPr>
            </w:pPr>
            <w:r>
              <w:rPr>
                <w:rFonts w:ascii="Arial Narrow" w:hAnsi="Arial Narrow"/>
                <w:color w:val="000000" w:themeColor="text1"/>
                <w:sz w:val="20"/>
                <w:szCs w:val="20"/>
              </w:rPr>
              <w:t>Proposed e</w:t>
            </w:r>
            <w:r w:rsidR="00CE4F05" w:rsidRPr="00FD46DB">
              <w:rPr>
                <w:rFonts w:ascii="Arial Narrow" w:hAnsi="Arial Narrow"/>
                <w:color w:val="000000" w:themeColor="text1"/>
                <w:sz w:val="20"/>
                <w:szCs w:val="20"/>
              </w:rPr>
              <w:t>xplanatory note</w:t>
            </w:r>
            <w:r>
              <w:rPr>
                <w:rFonts w:ascii="Arial Narrow" w:hAnsi="Arial Narrow"/>
                <w:color w:val="000000" w:themeColor="text1"/>
                <w:sz w:val="20"/>
                <w:szCs w:val="20"/>
              </w:rPr>
              <w:t xml:space="preserve"> </w:t>
            </w:r>
          </w:p>
          <w:p w14:paraId="23DE6D00" w14:textId="1AFB1E69" w:rsidR="00CE4F05" w:rsidRDefault="00CE4F05" w:rsidP="000A08BD">
            <w:pPr>
              <w:spacing w:before="40" w:after="40"/>
              <w:rPr>
                <w:rFonts w:ascii="Arial Narrow" w:hAnsi="Arial Narrow"/>
                <w:color w:val="000000" w:themeColor="text1"/>
                <w:sz w:val="20"/>
                <w:szCs w:val="20"/>
              </w:rPr>
            </w:pPr>
            <w:r>
              <w:rPr>
                <w:rFonts w:ascii="Arial Narrow" w:hAnsi="Arial Narrow"/>
                <w:color w:val="000000" w:themeColor="text1"/>
                <w:sz w:val="20"/>
                <w:szCs w:val="20"/>
              </w:rPr>
              <w:t>NT-</w:t>
            </w:r>
            <w:proofErr w:type="spellStart"/>
            <w:r>
              <w:rPr>
                <w:rFonts w:ascii="Arial Narrow" w:hAnsi="Arial Narrow"/>
                <w:color w:val="000000" w:themeColor="text1"/>
                <w:sz w:val="20"/>
                <w:szCs w:val="20"/>
              </w:rPr>
              <w:t>proBNP</w:t>
            </w:r>
            <w:proofErr w:type="spellEnd"/>
            <w:r w:rsidRPr="00B86589">
              <w:rPr>
                <w:rFonts w:ascii="Arial Narrow" w:hAnsi="Arial Narrow"/>
                <w:color w:val="000000" w:themeColor="text1"/>
                <w:sz w:val="20"/>
                <w:szCs w:val="20"/>
              </w:rPr>
              <w:t xml:space="preserve"> </w:t>
            </w:r>
            <w:r w:rsidR="005F06A7">
              <w:rPr>
                <w:rFonts w:ascii="Arial Narrow" w:hAnsi="Arial Narrow"/>
                <w:color w:val="000000" w:themeColor="text1"/>
                <w:sz w:val="20"/>
                <w:szCs w:val="20"/>
              </w:rPr>
              <w:t xml:space="preserve">testing </w:t>
            </w:r>
            <w:r w:rsidRPr="00B86589">
              <w:rPr>
                <w:rFonts w:ascii="Arial Narrow" w:hAnsi="Arial Narrow"/>
                <w:color w:val="000000" w:themeColor="text1"/>
                <w:sz w:val="20"/>
                <w:szCs w:val="20"/>
              </w:rPr>
              <w:t xml:space="preserve">should be performed </w:t>
            </w:r>
            <w:r>
              <w:rPr>
                <w:rFonts w:ascii="Arial Narrow" w:hAnsi="Arial Narrow"/>
                <w:color w:val="000000" w:themeColor="text1"/>
                <w:sz w:val="20"/>
                <w:szCs w:val="20"/>
              </w:rPr>
              <w:t xml:space="preserve">along </w:t>
            </w:r>
            <w:r w:rsidRPr="00B86589">
              <w:rPr>
                <w:rFonts w:ascii="Arial Narrow" w:hAnsi="Arial Narrow"/>
                <w:color w:val="000000" w:themeColor="text1"/>
                <w:sz w:val="20"/>
                <w:szCs w:val="20"/>
              </w:rPr>
              <w:t xml:space="preserve">with </w:t>
            </w:r>
            <w:r w:rsidR="005F2BCD">
              <w:rPr>
                <w:rFonts w:ascii="Arial Narrow" w:hAnsi="Arial Narrow"/>
                <w:color w:val="000000" w:themeColor="text1"/>
                <w:sz w:val="20"/>
                <w:szCs w:val="20"/>
              </w:rPr>
              <w:t xml:space="preserve">a </w:t>
            </w:r>
            <w:r>
              <w:rPr>
                <w:rFonts w:ascii="Arial Narrow" w:hAnsi="Arial Narrow"/>
                <w:color w:val="000000" w:themeColor="text1"/>
                <w:sz w:val="20"/>
                <w:szCs w:val="20"/>
              </w:rPr>
              <w:t>pulmonary function test (</w:t>
            </w:r>
            <w:r w:rsidRPr="00B86589">
              <w:rPr>
                <w:rFonts w:ascii="Arial Narrow" w:hAnsi="Arial Narrow"/>
                <w:color w:val="000000" w:themeColor="text1"/>
                <w:sz w:val="20"/>
                <w:szCs w:val="20"/>
              </w:rPr>
              <w:t>PFT</w:t>
            </w:r>
            <w:r>
              <w:rPr>
                <w:rFonts w:ascii="Arial Narrow" w:hAnsi="Arial Narrow"/>
                <w:color w:val="000000" w:themeColor="text1"/>
                <w:sz w:val="20"/>
                <w:szCs w:val="20"/>
              </w:rPr>
              <w:t>)</w:t>
            </w:r>
            <w:r w:rsidRPr="00B86589">
              <w:rPr>
                <w:rFonts w:ascii="Arial Narrow" w:hAnsi="Arial Narrow"/>
                <w:color w:val="000000" w:themeColor="text1"/>
                <w:sz w:val="20"/>
                <w:szCs w:val="20"/>
              </w:rPr>
              <w:t xml:space="preserve"> measuring </w:t>
            </w:r>
            <w:r>
              <w:rPr>
                <w:rFonts w:ascii="Arial Narrow" w:hAnsi="Arial Narrow"/>
                <w:color w:val="000000" w:themeColor="text1"/>
                <w:sz w:val="20"/>
                <w:szCs w:val="20"/>
              </w:rPr>
              <w:t>d</w:t>
            </w:r>
            <w:r w:rsidRPr="002B79BA">
              <w:rPr>
                <w:rFonts w:ascii="Arial Narrow" w:hAnsi="Arial Narrow"/>
                <w:color w:val="000000" w:themeColor="text1"/>
                <w:sz w:val="20"/>
                <w:szCs w:val="20"/>
              </w:rPr>
              <w:t>iffusing capacity for carbon monoxide</w:t>
            </w:r>
            <w:r>
              <w:rPr>
                <w:rFonts w:ascii="Arial Narrow" w:hAnsi="Arial Narrow"/>
                <w:color w:val="000000" w:themeColor="text1"/>
                <w:sz w:val="20"/>
                <w:szCs w:val="20"/>
              </w:rPr>
              <w:t xml:space="preserve"> in accordance with the</w:t>
            </w:r>
            <w:r w:rsidR="00E402C2">
              <w:rPr>
                <w:rFonts w:ascii="Arial Narrow" w:hAnsi="Arial Narrow"/>
                <w:color w:val="000000" w:themeColor="text1"/>
                <w:sz w:val="20"/>
                <w:szCs w:val="20"/>
              </w:rPr>
              <w:t xml:space="preserve"> 2012</w:t>
            </w:r>
            <w:r>
              <w:rPr>
                <w:rFonts w:ascii="Arial Narrow" w:hAnsi="Arial Narrow"/>
                <w:color w:val="000000" w:themeColor="text1"/>
                <w:sz w:val="20"/>
                <w:szCs w:val="20"/>
              </w:rPr>
              <w:t xml:space="preserve"> </w:t>
            </w:r>
            <w:r w:rsidRPr="002B79BA">
              <w:rPr>
                <w:rFonts w:ascii="Arial Narrow" w:hAnsi="Arial Narrow"/>
                <w:color w:val="000000" w:themeColor="text1"/>
                <w:sz w:val="20"/>
                <w:szCs w:val="20"/>
              </w:rPr>
              <w:t xml:space="preserve">Australian Scleroderma Interest Group (ASIG) </w:t>
            </w:r>
            <w:r w:rsidR="009A593A" w:rsidRPr="009A593A">
              <w:rPr>
                <w:rFonts w:ascii="Arial Narrow" w:hAnsi="Arial Narrow"/>
                <w:color w:val="000000" w:themeColor="text1"/>
                <w:sz w:val="20"/>
                <w:szCs w:val="20"/>
              </w:rPr>
              <w:t xml:space="preserve">pulmonary arterial hypertension </w:t>
            </w:r>
            <w:r w:rsidR="00EC32B3">
              <w:rPr>
                <w:rFonts w:ascii="Arial Narrow" w:hAnsi="Arial Narrow"/>
                <w:color w:val="000000" w:themeColor="text1"/>
                <w:sz w:val="20"/>
                <w:szCs w:val="20"/>
              </w:rPr>
              <w:t xml:space="preserve">(PAH) </w:t>
            </w:r>
            <w:r w:rsidR="009A593A" w:rsidRPr="009A593A">
              <w:rPr>
                <w:rFonts w:ascii="Arial Narrow" w:hAnsi="Arial Narrow"/>
                <w:color w:val="000000" w:themeColor="text1"/>
                <w:sz w:val="20"/>
                <w:szCs w:val="20"/>
              </w:rPr>
              <w:t xml:space="preserve">screening </w:t>
            </w:r>
            <w:r w:rsidRPr="002B79BA">
              <w:rPr>
                <w:rFonts w:ascii="Arial Narrow" w:hAnsi="Arial Narrow"/>
                <w:color w:val="000000" w:themeColor="text1"/>
                <w:sz w:val="20"/>
                <w:szCs w:val="20"/>
              </w:rPr>
              <w:t>algorithm</w:t>
            </w:r>
            <w:r>
              <w:rPr>
                <w:rFonts w:ascii="Arial Narrow" w:hAnsi="Arial Narrow"/>
                <w:color w:val="000000" w:themeColor="text1"/>
                <w:sz w:val="20"/>
                <w:szCs w:val="20"/>
              </w:rPr>
              <w:t xml:space="preserve">. </w:t>
            </w:r>
          </w:p>
          <w:p w14:paraId="27085E4F" w14:textId="5925392E" w:rsidR="00CE4F05" w:rsidRPr="3005175F" w:rsidRDefault="00CE4F05" w:rsidP="000A08BD">
            <w:pPr>
              <w:spacing w:before="40" w:after="40"/>
              <w:rPr>
                <w:rFonts w:ascii="Arial Narrow" w:hAnsi="Arial Narrow"/>
                <w:color w:val="000000" w:themeColor="text1"/>
                <w:sz w:val="20"/>
                <w:szCs w:val="20"/>
              </w:rPr>
            </w:pPr>
            <w:r>
              <w:rPr>
                <w:rFonts w:ascii="Arial Narrow" w:hAnsi="Arial Narrow"/>
                <w:color w:val="000000" w:themeColor="text1"/>
                <w:sz w:val="20"/>
                <w:szCs w:val="20"/>
              </w:rPr>
              <w:t xml:space="preserve">Repeat testing within </w:t>
            </w:r>
            <w:r w:rsidR="00EC32B3">
              <w:rPr>
                <w:rFonts w:ascii="Arial Narrow" w:hAnsi="Arial Narrow"/>
                <w:color w:val="000000" w:themeColor="text1"/>
                <w:sz w:val="20"/>
                <w:szCs w:val="20"/>
              </w:rPr>
              <w:t xml:space="preserve">a </w:t>
            </w:r>
            <w:r>
              <w:rPr>
                <w:rFonts w:ascii="Arial Narrow" w:hAnsi="Arial Narrow"/>
                <w:color w:val="000000" w:themeColor="text1"/>
                <w:sz w:val="20"/>
                <w:szCs w:val="20"/>
              </w:rPr>
              <w:t>12 month</w:t>
            </w:r>
            <w:r w:rsidR="00EC32B3">
              <w:rPr>
                <w:rFonts w:ascii="Arial Narrow" w:hAnsi="Arial Narrow"/>
                <w:color w:val="000000" w:themeColor="text1"/>
                <w:sz w:val="20"/>
                <w:szCs w:val="20"/>
              </w:rPr>
              <w:t xml:space="preserve"> period</w:t>
            </w:r>
            <w:r>
              <w:rPr>
                <w:rFonts w:ascii="Arial Narrow" w:hAnsi="Arial Narrow"/>
                <w:color w:val="000000" w:themeColor="text1"/>
                <w:sz w:val="20"/>
                <w:szCs w:val="20"/>
              </w:rPr>
              <w:t xml:space="preserve"> should only be performed for </w:t>
            </w:r>
            <w:r w:rsidR="00EC32B3">
              <w:rPr>
                <w:rFonts w:ascii="Arial Narrow" w:hAnsi="Arial Narrow"/>
                <w:color w:val="000000" w:themeColor="text1"/>
                <w:sz w:val="20"/>
                <w:szCs w:val="20"/>
              </w:rPr>
              <w:t xml:space="preserve">a </w:t>
            </w:r>
            <w:r>
              <w:rPr>
                <w:rFonts w:ascii="Arial Narrow" w:hAnsi="Arial Narrow"/>
                <w:color w:val="000000" w:themeColor="text1"/>
                <w:sz w:val="20"/>
                <w:szCs w:val="20"/>
              </w:rPr>
              <w:t xml:space="preserve">patient </w:t>
            </w:r>
            <w:r w:rsidRPr="005F782C">
              <w:rPr>
                <w:rFonts w:ascii="Arial Narrow" w:hAnsi="Arial Narrow"/>
                <w:color w:val="000000" w:themeColor="text1"/>
                <w:sz w:val="20"/>
                <w:szCs w:val="20"/>
              </w:rPr>
              <w:t>present</w:t>
            </w:r>
            <w:r>
              <w:rPr>
                <w:rFonts w:ascii="Arial Narrow" w:hAnsi="Arial Narrow"/>
                <w:color w:val="000000" w:themeColor="text1"/>
                <w:sz w:val="20"/>
                <w:szCs w:val="20"/>
              </w:rPr>
              <w:t>ing</w:t>
            </w:r>
            <w:r w:rsidRPr="005F782C">
              <w:rPr>
                <w:rFonts w:ascii="Arial Narrow" w:hAnsi="Arial Narrow"/>
                <w:color w:val="000000" w:themeColor="text1"/>
                <w:sz w:val="20"/>
                <w:szCs w:val="20"/>
              </w:rPr>
              <w:t xml:space="preserve"> with </w:t>
            </w:r>
            <w:r w:rsidR="001D21D2">
              <w:rPr>
                <w:rFonts w:ascii="Arial Narrow" w:hAnsi="Arial Narrow"/>
                <w:color w:val="000000" w:themeColor="text1"/>
                <w:sz w:val="20"/>
                <w:szCs w:val="20"/>
              </w:rPr>
              <w:t xml:space="preserve">new </w:t>
            </w:r>
            <w:r w:rsidRPr="005F782C">
              <w:rPr>
                <w:rFonts w:ascii="Arial Narrow" w:hAnsi="Arial Narrow"/>
                <w:color w:val="000000" w:themeColor="text1"/>
                <w:sz w:val="20"/>
                <w:szCs w:val="20"/>
              </w:rPr>
              <w:t>symptoms</w:t>
            </w:r>
            <w:r w:rsidR="00A477BF">
              <w:rPr>
                <w:rFonts w:ascii="Arial Narrow" w:hAnsi="Arial Narrow"/>
                <w:color w:val="000000" w:themeColor="text1"/>
                <w:sz w:val="20"/>
                <w:szCs w:val="20"/>
              </w:rPr>
              <w:t xml:space="preserve"> </w:t>
            </w:r>
            <w:r w:rsidR="001D21D2">
              <w:rPr>
                <w:rFonts w:ascii="Arial Narrow" w:hAnsi="Arial Narrow"/>
                <w:color w:val="000000" w:themeColor="text1"/>
                <w:sz w:val="20"/>
                <w:szCs w:val="20"/>
              </w:rPr>
              <w:t>suggestive of</w:t>
            </w:r>
            <w:r>
              <w:rPr>
                <w:rFonts w:ascii="Arial Narrow" w:hAnsi="Arial Narrow"/>
                <w:color w:val="000000" w:themeColor="text1"/>
                <w:sz w:val="20"/>
                <w:szCs w:val="20"/>
              </w:rPr>
              <w:t xml:space="preserve"> PAH</w:t>
            </w:r>
            <w:r w:rsidR="00A477BF">
              <w:rPr>
                <w:rFonts w:ascii="Arial Narrow" w:hAnsi="Arial Narrow"/>
                <w:color w:val="000000" w:themeColor="text1"/>
                <w:sz w:val="20"/>
                <w:szCs w:val="20"/>
              </w:rPr>
              <w:t xml:space="preserve"> since last assessment</w:t>
            </w:r>
            <w:r>
              <w:rPr>
                <w:rFonts w:ascii="Arial Narrow" w:hAnsi="Arial Narrow"/>
                <w:color w:val="000000" w:themeColor="text1"/>
                <w:sz w:val="20"/>
                <w:szCs w:val="20"/>
              </w:rPr>
              <w:t xml:space="preserve"> or </w:t>
            </w:r>
            <w:r w:rsidR="00EC32B3">
              <w:rPr>
                <w:rFonts w:ascii="Arial Narrow" w:hAnsi="Arial Narrow"/>
                <w:color w:val="000000" w:themeColor="text1"/>
                <w:sz w:val="20"/>
                <w:szCs w:val="20"/>
              </w:rPr>
              <w:t>a patient that has</w:t>
            </w:r>
            <w:r>
              <w:rPr>
                <w:rFonts w:ascii="Arial Narrow" w:hAnsi="Arial Narrow"/>
                <w:color w:val="000000" w:themeColor="text1"/>
                <w:sz w:val="20"/>
                <w:szCs w:val="20"/>
              </w:rPr>
              <w:t xml:space="preserve"> a</w:t>
            </w:r>
            <w:r w:rsidR="00562E54">
              <w:rPr>
                <w:rFonts w:ascii="Arial Narrow" w:hAnsi="Arial Narrow"/>
                <w:color w:val="000000" w:themeColor="text1"/>
                <w:sz w:val="20"/>
                <w:szCs w:val="20"/>
              </w:rPr>
              <w:t xml:space="preserve"> borderline </w:t>
            </w:r>
            <w:r w:rsidRPr="005F782C">
              <w:rPr>
                <w:rFonts w:ascii="Arial Narrow" w:hAnsi="Arial Narrow"/>
                <w:color w:val="000000" w:themeColor="text1"/>
                <w:sz w:val="20"/>
                <w:szCs w:val="20"/>
                <w:lang w:val="en-US"/>
              </w:rPr>
              <w:t>NT-</w:t>
            </w:r>
            <w:proofErr w:type="spellStart"/>
            <w:r w:rsidRPr="005F782C">
              <w:rPr>
                <w:rFonts w:ascii="Arial Narrow" w:hAnsi="Arial Narrow"/>
                <w:color w:val="000000" w:themeColor="text1"/>
                <w:sz w:val="20"/>
                <w:szCs w:val="20"/>
                <w:lang w:val="en-US"/>
              </w:rPr>
              <w:t>proBNP</w:t>
            </w:r>
            <w:proofErr w:type="spellEnd"/>
            <w:r w:rsidRPr="005F782C">
              <w:rPr>
                <w:rFonts w:ascii="Arial Narrow" w:hAnsi="Arial Narrow"/>
                <w:color w:val="000000" w:themeColor="text1"/>
                <w:sz w:val="20"/>
                <w:szCs w:val="20"/>
                <w:lang w:val="en-US"/>
              </w:rPr>
              <w:t xml:space="preserve"> level </w:t>
            </w:r>
            <w:r w:rsidR="00304D79">
              <w:rPr>
                <w:rFonts w:ascii="Arial Narrow" w:hAnsi="Arial Narrow"/>
                <w:color w:val="000000" w:themeColor="text1"/>
                <w:sz w:val="20"/>
                <w:szCs w:val="20"/>
                <w:lang w:val="en-US"/>
              </w:rPr>
              <w:t>between</w:t>
            </w:r>
            <w:r>
              <w:rPr>
                <w:rFonts w:ascii="Arial Narrow" w:hAnsi="Arial Narrow"/>
                <w:color w:val="000000" w:themeColor="text1"/>
                <w:sz w:val="20"/>
                <w:szCs w:val="20"/>
                <w:lang w:val="en-US"/>
              </w:rPr>
              <w:t xml:space="preserve"> 168</w:t>
            </w:r>
            <w:r w:rsidR="00304D79">
              <w:rPr>
                <w:rFonts w:ascii="Arial Narrow" w:hAnsi="Arial Narrow"/>
                <w:color w:val="000000" w:themeColor="text1"/>
                <w:sz w:val="20"/>
                <w:szCs w:val="20"/>
                <w:lang w:val="en-US"/>
              </w:rPr>
              <w:t xml:space="preserve">-209 </w:t>
            </w:r>
            <w:proofErr w:type="spellStart"/>
            <w:r>
              <w:rPr>
                <w:rFonts w:ascii="Arial Narrow" w:hAnsi="Arial Narrow"/>
                <w:color w:val="000000" w:themeColor="text1"/>
                <w:sz w:val="20"/>
                <w:szCs w:val="20"/>
                <w:lang w:val="en-US"/>
              </w:rPr>
              <w:t>pg</w:t>
            </w:r>
            <w:proofErr w:type="spellEnd"/>
            <w:r>
              <w:rPr>
                <w:rFonts w:ascii="Arial Narrow" w:hAnsi="Arial Narrow"/>
                <w:color w:val="000000" w:themeColor="text1"/>
                <w:sz w:val="20"/>
                <w:szCs w:val="20"/>
                <w:lang w:val="en-US"/>
              </w:rPr>
              <w:t>/</w:t>
            </w:r>
            <w:proofErr w:type="spellStart"/>
            <w:r>
              <w:rPr>
                <w:rFonts w:ascii="Arial Narrow" w:hAnsi="Arial Narrow"/>
                <w:color w:val="000000" w:themeColor="text1"/>
                <w:sz w:val="20"/>
                <w:szCs w:val="20"/>
                <w:lang w:val="en-US"/>
              </w:rPr>
              <w:t>mL.</w:t>
            </w:r>
            <w:proofErr w:type="spellEnd"/>
          </w:p>
        </w:tc>
      </w:tr>
    </w:tbl>
    <w:p w14:paraId="54C1FB34" w14:textId="50DE2D6E"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6" w:name="_Toc69491416"/>
      <w:bookmarkStart w:id="7" w:name="_Toc103161060"/>
      <w:bookmarkEnd w:id="4"/>
      <w:bookmarkEnd w:id="5"/>
      <w:r>
        <w:rPr>
          <w:rFonts w:ascii="Franklin Gothic Medium" w:eastAsiaTheme="majorEastAsia" w:hAnsi="Franklin Gothic Medium" w:cstheme="majorBidi"/>
          <w:color w:val="000000" w:themeColor="text1"/>
          <w:sz w:val="32"/>
          <w:szCs w:val="26"/>
        </w:rPr>
        <w:t>4</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Background</w:t>
      </w:r>
      <w:bookmarkEnd w:id="6"/>
      <w:bookmarkEnd w:id="7"/>
    </w:p>
    <w:p w14:paraId="30CEDB60" w14:textId="77777777" w:rsidR="00E4281E" w:rsidRPr="00055E91" w:rsidRDefault="00E4281E" w:rsidP="00E4281E">
      <w:r w:rsidRPr="00055E91">
        <w:t xml:space="preserve">MSAC has not previously considered </w:t>
      </w:r>
      <w:r w:rsidRPr="00055E91">
        <w:rPr>
          <w:szCs w:val="20"/>
        </w:rPr>
        <w:t>testing of plasma NT-</w:t>
      </w:r>
      <w:proofErr w:type="spellStart"/>
      <w:r w:rsidRPr="00055E91">
        <w:rPr>
          <w:szCs w:val="20"/>
        </w:rPr>
        <w:t>proBNP</w:t>
      </w:r>
      <w:proofErr w:type="spellEnd"/>
      <w:r w:rsidRPr="00055E91" w:rsidDel="00E4612A">
        <w:rPr>
          <w:szCs w:val="20"/>
        </w:rPr>
        <w:t xml:space="preserve"> </w:t>
      </w:r>
      <w:r w:rsidRPr="00055E91">
        <w:rPr>
          <w:szCs w:val="20"/>
        </w:rPr>
        <w:t xml:space="preserve">levels </w:t>
      </w:r>
      <w:r w:rsidRPr="00055E91">
        <w:t xml:space="preserve">in patients with </w:t>
      </w:r>
      <w:proofErr w:type="spellStart"/>
      <w:r w:rsidRPr="00055E91">
        <w:t>SSc</w:t>
      </w:r>
      <w:proofErr w:type="spellEnd"/>
      <w:r w:rsidRPr="00055E91">
        <w:t xml:space="preserve"> and PAH. </w:t>
      </w:r>
    </w:p>
    <w:p w14:paraId="0AC2B16B" w14:textId="7E55A846"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8" w:name="_Toc69491417"/>
      <w:bookmarkStart w:id="9" w:name="_Toc103161061"/>
      <w:r>
        <w:rPr>
          <w:rFonts w:ascii="Franklin Gothic Medium" w:eastAsiaTheme="majorEastAsia" w:hAnsi="Franklin Gothic Medium" w:cstheme="majorBidi"/>
          <w:color w:val="000000" w:themeColor="text1"/>
          <w:sz w:val="32"/>
          <w:szCs w:val="26"/>
        </w:rPr>
        <w:t>5</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Prerequisites to implementation of any funding advice</w:t>
      </w:r>
      <w:bookmarkEnd w:id="8"/>
      <w:bookmarkEnd w:id="9"/>
    </w:p>
    <w:p w14:paraId="6A1D0A8B" w14:textId="424CBD1E" w:rsidR="00E4281E" w:rsidRPr="00055E91" w:rsidRDefault="00E4281E" w:rsidP="00E4281E">
      <w:r w:rsidRPr="00055E91">
        <w:t>NT-</w:t>
      </w:r>
      <w:proofErr w:type="spellStart"/>
      <w:r w:rsidRPr="00055E91">
        <w:t>proBNP</w:t>
      </w:r>
      <w:proofErr w:type="spellEnd"/>
      <w:r w:rsidRPr="00055E91">
        <w:t xml:space="preserve"> tests are TGA approved. There are five companies offering seven </w:t>
      </w:r>
      <w:r w:rsidR="7B3B5281">
        <w:t xml:space="preserve">laboratory-based </w:t>
      </w:r>
      <w:r w:rsidRPr="00055E91">
        <w:t>assays</w:t>
      </w:r>
      <w:r w:rsidR="00566EFA">
        <w:t>. The Royal College of Pathologists Australia (</w:t>
      </w:r>
      <w:r w:rsidRPr="00055E91">
        <w:t>RCPA</w:t>
      </w:r>
      <w:r w:rsidR="00566EFA">
        <w:t xml:space="preserve">) has </w:t>
      </w:r>
      <w:r w:rsidRPr="00055E91">
        <w:t>Quality Assurance Programs</w:t>
      </w:r>
      <w:r w:rsidR="00566EFA">
        <w:t xml:space="preserve"> for NT</w:t>
      </w:r>
      <w:r w:rsidR="00566EFA">
        <w:noBreakHyphen/>
      </w:r>
      <w:proofErr w:type="spellStart"/>
      <w:r w:rsidR="00566EFA">
        <w:t>proBNP</w:t>
      </w:r>
      <w:proofErr w:type="spellEnd"/>
      <w:r w:rsidRPr="00055E91">
        <w:t>.</w:t>
      </w:r>
    </w:p>
    <w:p w14:paraId="772A6AEE" w14:textId="32626D9B"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10" w:name="_Toc69491418"/>
      <w:bookmarkStart w:id="11" w:name="_Toc103161062"/>
      <w:r>
        <w:rPr>
          <w:rFonts w:ascii="Franklin Gothic Medium" w:eastAsiaTheme="majorEastAsia" w:hAnsi="Franklin Gothic Medium" w:cstheme="majorBidi"/>
          <w:color w:val="000000" w:themeColor="text1"/>
          <w:sz w:val="32"/>
          <w:szCs w:val="26"/>
        </w:rPr>
        <w:lastRenderedPageBreak/>
        <w:t>6</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Proposal for public funding</w:t>
      </w:r>
      <w:bookmarkEnd w:id="10"/>
      <w:bookmarkEnd w:id="11"/>
    </w:p>
    <w:p w14:paraId="31553701" w14:textId="57D60015" w:rsidR="005A3600" w:rsidRDefault="00E4281E" w:rsidP="00E4281E">
      <w:r w:rsidRPr="00055E91">
        <w:t>The applicant has proposed two new MBS item descriptors for NT-</w:t>
      </w:r>
      <w:proofErr w:type="spellStart"/>
      <w:r w:rsidRPr="00055E91">
        <w:t>proBNP</w:t>
      </w:r>
      <w:proofErr w:type="spellEnd"/>
      <w:r w:rsidRPr="00055E91">
        <w:t xml:space="preserve"> testing, one for each of the two populations to be tested. The proposed fee and benefit are the same as for the current MBS Item 66830 (BNP/NT-</w:t>
      </w:r>
      <w:proofErr w:type="spellStart"/>
      <w:r w:rsidRPr="00055E91">
        <w:t>proBNP</w:t>
      </w:r>
      <w:proofErr w:type="spellEnd"/>
      <w:r w:rsidRPr="00055E91">
        <w:t xml:space="preserve"> testing for the detection of heart failure).</w:t>
      </w:r>
    </w:p>
    <w:p w14:paraId="2D2BF5A9" w14:textId="290562D4" w:rsidR="00E4281E" w:rsidRPr="00055E91" w:rsidRDefault="00E4281E" w:rsidP="00E4281E">
      <w:pPr>
        <w:pStyle w:val="TableHeading0"/>
      </w:pPr>
      <w:r>
        <w:t xml:space="preserve">Table </w:t>
      </w:r>
      <w:r>
        <w:fldChar w:fldCharType="begin"/>
      </w:r>
      <w:r>
        <w:instrText>SEQ Table_CES \* ARABIC</w:instrText>
      </w:r>
      <w:r>
        <w:fldChar w:fldCharType="separate"/>
      </w:r>
      <w:r w:rsidR="00D270D9">
        <w:rPr>
          <w:noProof/>
        </w:rPr>
        <w:t>1</w:t>
      </w:r>
      <w:r>
        <w:fldChar w:fldCharType="end"/>
      </w:r>
      <w:r w:rsidRPr="00055E91">
        <w:tab/>
        <w:t xml:space="preserve">Presentation of the newly proposed MBS item descriptors </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4281E" w:rsidRPr="00055E91" w14:paraId="1C16949D" w14:textId="77777777" w:rsidTr="00E4281E">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0A7C1523" w14:textId="77777777" w:rsidR="00E4281E" w:rsidRPr="00055E91" w:rsidRDefault="00E4281E" w:rsidP="00E4281E">
            <w:pPr>
              <w:spacing w:after="120"/>
              <w:contextualSpacing/>
              <w:rPr>
                <w:rFonts w:cstheme="minorHAnsi"/>
              </w:rPr>
            </w:pPr>
            <w:r w:rsidRPr="00055E91">
              <w:rPr>
                <w:rFonts w:cstheme="minorHAnsi"/>
              </w:rPr>
              <w:t>Category 6 - PATHOLOGY SERVICES – (proposed category description)</w:t>
            </w:r>
          </w:p>
          <w:p w14:paraId="554390CB" w14:textId="77777777" w:rsidR="00E4281E" w:rsidRPr="00055E91" w:rsidRDefault="00E4281E" w:rsidP="00E4281E">
            <w:pPr>
              <w:spacing w:after="120"/>
              <w:rPr>
                <w:rFonts w:cstheme="minorHAnsi"/>
              </w:rPr>
            </w:pPr>
            <w:r w:rsidRPr="00055E91">
              <w:rPr>
                <w:rFonts w:cstheme="minorHAnsi"/>
              </w:rPr>
              <w:t>Group P2 – Chemical (proposed group description)</w:t>
            </w:r>
          </w:p>
        </w:tc>
      </w:tr>
      <w:tr w:rsidR="00E4281E" w:rsidRPr="00055E91" w14:paraId="2F3D44E5" w14:textId="77777777" w:rsidTr="00E4281E">
        <w:tc>
          <w:tcPr>
            <w:tcW w:w="5000" w:type="pct"/>
            <w:tcBorders>
              <w:top w:val="single" w:sz="4" w:space="0" w:color="auto"/>
              <w:left w:val="single" w:sz="4" w:space="0" w:color="auto"/>
              <w:bottom w:val="nil"/>
              <w:right w:val="single" w:sz="4" w:space="0" w:color="auto"/>
            </w:tcBorders>
            <w:hideMark/>
          </w:tcPr>
          <w:p w14:paraId="29500ED9" w14:textId="77777777" w:rsidR="00E4281E" w:rsidRPr="00055E91" w:rsidRDefault="00E4281E" w:rsidP="00E4281E">
            <w:pPr>
              <w:spacing w:after="120"/>
              <w:rPr>
                <w:rFonts w:cstheme="minorHAnsi"/>
              </w:rPr>
            </w:pPr>
            <w:r w:rsidRPr="00055E91">
              <w:rPr>
                <w:rFonts w:cstheme="minorHAnsi"/>
              </w:rPr>
              <w:t xml:space="preserve">Proposed item descriptor for Population 1: </w:t>
            </w:r>
          </w:p>
          <w:p w14:paraId="7F565D11" w14:textId="77777777" w:rsidR="00E4281E" w:rsidRPr="00055E91" w:rsidRDefault="00E4281E" w:rsidP="00E4281E">
            <w:pPr>
              <w:spacing w:after="120"/>
              <w:rPr>
                <w:rFonts w:cstheme="minorHAnsi"/>
              </w:rPr>
            </w:pPr>
            <w:r w:rsidRPr="00055E91">
              <w:rPr>
                <w:rFonts w:cstheme="minorHAnsi"/>
              </w:rPr>
              <w:t xml:space="preserve">Quantification of laboratory-based NT </w:t>
            </w:r>
            <w:proofErr w:type="spellStart"/>
            <w:r w:rsidRPr="00055E91">
              <w:rPr>
                <w:rFonts w:cstheme="minorHAnsi"/>
              </w:rPr>
              <w:t>proBNP</w:t>
            </w:r>
            <w:proofErr w:type="spellEnd"/>
            <w:r w:rsidRPr="00055E91">
              <w:rPr>
                <w:rFonts w:cstheme="minorHAnsi"/>
              </w:rPr>
              <w:t xml:space="preserve"> testing in patients with systemic sclerosis (scleroderma) in assessing the risk of pulmonary arterial hypertension that requires right heart catheterisation for definitive diagnosis.</w:t>
            </w:r>
          </w:p>
        </w:tc>
      </w:tr>
      <w:tr w:rsidR="00E4281E" w:rsidRPr="00055E91" w14:paraId="30B82BC7" w14:textId="77777777" w:rsidTr="00E4281E">
        <w:tc>
          <w:tcPr>
            <w:tcW w:w="5000" w:type="pct"/>
            <w:tcBorders>
              <w:top w:val="nil"/>
              <w:left w:val="single" w:sz="4" w:space="0" w:color="auto"/>
              <w:bottom w:val="single" w:sz="4" w:space="0" w:color="auto"/>
            </w:tcBorders>
            <w:hideMark/>
          </w:tcPr>
          <w:p w14:paraId="5C88D86F" w14:textId="77777777" w:rsidR="00E4281E" w:rsidRPr="00055E91" w:rsidRDefault="00E4281E" w:rsidP="00E4281E">
            <w:pPr>
              <w:spacing w:after="120"/>
              <w:rPr>
                <w:rFonts w:cstheme="minorHAnsi"/>
              </w:rPr>
            </w:pPr>
            <w:r w:rsidRPr="00055E91">
              <w:rPr>
                <w:rFonts w:cstheme="minorHAnsi"/>
              </w:rPr>
              <w:t>Maximum of two tests per patient in any one year.</w:t>
            </w:r>
          </w:p>
          <w:p w14:paraId="08E412F6" w14:textId="77777777" w:rsidR="00E4281E" w:rsidRPr="00055E91" w:rsidRDefault="00E4281E" w:rsidP="00E4281E">
            <w:pPr>
              <w:spacing w:after="120"/>
              <w:rPr>
                <w:rFonts w:cstheme="minorHAnsi"/>
              </w:rPr>
            </w:pPr>
            <w:r w:rsidRPr="00055E91">
              <w:rPr>
                <w:rFonts w:cstheme="minorHAnsi"/>
              </w:rPr>
              <w:t>Fee: $58.50 Benefit: 75% = $43.90 85% = $49.75</w:t>
            </w:r>
          </w:p>
        </w:tc>
      </w:tr>
      <w:tr w:rsidR="00E4281E" w:rsidRPr="00055E91" w14:paraId="2C9A7FD5" w14:textId="77777777" w:rsidTr="00E4281E">
        <w:tc>
          <w:tcPr>
            <w:tcW w:w="5000" w:type="pct"/>
            <w:tcBorders>
              <w:top w:val="single" w:sz="4" w:space="0" w:color="000000"/>
              <w:left w:val="single" w:sz="4" w:space="0" w:color="000000"/>
              <w:bottom w:val="single" w:sz="4" w:space="0" w:color="000000"/>
              <w:right w:val="single" w:sz="4" w:space="0" w:color="000000"/>
            </w:tcBorders>
          </w:tcPr>
          <w:p w14:paraId="247444EA" w14:textId="77777777" w:rsidR="00E4281E" w:rsidRPr="00055E91" w:rsidRDefault="00E4281E" w:rsidP="00E4281E">
            <w:pPr>
              <w:spacing w:after="120"/>
              <w:rPr>
                <w:rFonts w:cstheme="minorHAnsi"/>
              </w:rPr>
            </w:pPr>
            <w:r w:rsidRPr="00055E91">
              <w:rPr>
                <w:rFonts w:cstheme="minorHAnsi"/>
              </w:rPr>
              <w:t xml:space="preserve">Proposed item descriptor for Population 2: </w:t>
            </w:r>
          </w:p>
          <w:p w14:paraId="1B8493C3" w14:textId="77777777" w:rsidR="00E4281E" w:rsidRPr="00055E91" w:rsidRDefault="00E4281E" w:rsidP="00E4281E">
            <w:pPr>
              <w:spacing w:after="120"/>
              <w:rPr>
                <w:rFonts w:cstheme="minorHAnsi"/>
              </w:rPr>
            </w:pPr>
            <w:r w:rsidRPr="00055E91">
              <w:rPr>
                <w:rFonts w:cstheme="minorHAnsi"/>
              </w:rPr>
              <w:t xml:space="preserve">Quantification of laboratory-based NT </w:t>
            </w:r>
            <w:proofErr w:type="spellStart"/>
            <w:r w:rsidRPr="00055E91">
              <w:rPr>
                <w:rFonts w:cstheme="minorHAnsi"/>
              </w:rPr>
              <w:t>proBNP</w:t>
            </w:r>
            <w:proofErr w:type="spellEnd"/>
            <w:r w:rsidRPr="00055E91">
              <w:rPr>
                <w:rFonts w:cstheme="minorHAnsi"/>
              </w:rPr>
              <w:t xml:space="preserve"> testing in patients with diagnosed pulmonary arterial hypertension for ongoing risk assessment.</w:t>
            </w:r>
          </w:p>
          <w:p w14:paraId="48254FA5" w14:textId="77777777" w:rsidR="00E4281E" w:rsidRPr="00055E91" w:rsidRDefault="00E4281E" w:rsidP="00E4281E">
            <w:pPr>
              <w:spacing w:after="120"/>
              <w:rPr>
                <w:rFonts w:cstheme="minorHAnsi"/>
              </w:rPr>
            </w:pPr>
            <w:r w:rsidRPr="00055E91">
              <w:rPr>
                <w:rFonts w:cstheme="minorHAnsi"/>
              </w:rPr>
              <w:t>Maximum of 4 tests per patient in any one year.</w:t>
            </w:r>
          </w:p>
          <w:p w14:paraId="5A6D426F" w14:textId="77777777" w:rsidR="00E4281E" w:rsidRPr="00055E91" w:rsidRDefault="00E4281E" w:rsidP="00E4281E">
            <w:pPr>
              <w:spacing w:after="120"/>
              <w:rPr>
                <w:rFonts w:ascii="Arial Narrow" w:hAnsi="Arial Narrow"/>
                <w:lang w:val="en-US" w:eastAsia="ja-JP"/>
              </w:rPr>
            </w:pPr>
            <w:r w:rsidRPr="00055E91">
              <w:rPr>
                <w:rFonts w:cstheme="minorHAnsi"/>
              </w:rPr>
              <w:t>Fee: $58.50 Benefit: 75% = $43.90 85% = $49.75</w:t>
            </w:r>
          </w:p>
        </w:tc>
      </w:tr>
    </w:tbl>
    <w:p w14:paraId="3E26CA3F" w14:textId="77777777" w:rsidR="00E4281E" w:rsidRDefault="00E4281E" w:rsidP="00006582">
      <w:pPr>
        <w:spacing w:before="240"/>
      </w:pPr>
      <w:r w:rsidRPr="00055E91">
        <w:t>The proposed item descriptors are unchanged compared to the proposed item descriptors presented in the ratified PICO.</w:t>
      </w:r>
    </w:p>
    <w:p w14:paraId="7129B1BE" w14:textId="66939268" w:rsidR="00E4281E" w:rsidRPr="001118E9" w:rsidRDefault="00E4281E" w:rsidP="00E4281E">
      <w:pPr>
        <w:rPr>
          <w:iCs/>
        </w:rPr>
      </w:pPr>
      <w:r w:rsidRPr="001118E9">
        <w:rPr>
          <w:iCs/>
        </w:rPr>
        <w:t>However, the item descriptor for population 1 states: Maximum of two tests per patient in any one year. This is not consistent with the proposed clinical management algorithm, which recommends annual testing. The applicant had advised PASC that a second NT-</w:t>
      </w:r>
      <w:proofErr w:type="spellStart"/>
      <w:r w:rsidRPr="001118E9">
        <w:rPr>
          <w:iCs/>
        </w:rPr>
        <w:t>proBNP</w:t>
      </w:r>
      <w:proofErr w:type="spellEnd"/>
      <w:r w:rsidRPr="001118E9">
        <w:rPr>
          <w:iCs/>
        </w:rPr>
        <w:t xml:space="preserve"> test would be performed where results are borderline or in patients with worsening symptoms. However, this had not been </w:t>
      </w:r>
      <w:r w:rsidR="7B3B5281">
        <w:t>incorporated</w:t>
      </w:r>
      <w:r w:rsidRPr="001118E9">
        <w:rPr>
          <w:iCs/>
        </w:rPr>
        <w:t xml:space="preserve"> into the clinical management algorithm and no further information about the proportion of patients likely to </w:t>
      </w:r>
      <w:r w:rsidR="7B3B5281">
        <w:t>meet clinical</w:t>
      </w:r>
      <w:r w:rsidRPr="001118E9">
        <w:rPr>
          <w:iCs/>
        </w:rPr>
        <w:t xml:space="preserve"> criteria requiring two tests in a single year was provided in the ADAR. The economic model assumed 10% of </w:t>
      </w:r>
      <w:proofErr w:type="spellStart"/>
      <w:r w:rsidRPr="001118E9">
        <w:rPr>
          <w:iCs/>
        </w:rPr>
        <w:t>SSc</w:t>
      </w:r>
      <w:proofErr w:type="spellEnd"/>
      <w:r w:rsidRPr="001118E9">
        <w:rPr>
          <w:iCs/>
        </w:rPr>
        <w:t xml:space="preserve"> patients would have a second NT-</w:t>
      </w:r>
      <w:proofErr w:type="spellStart"/>
      <w:r w:rsidRPr="001118E9">
        <w:rPr>
          <w:iCs/>
        </w:rPr>
        <w:t>proBNP</w:t>
      </w:r>
      <w:proofErr w:type="spellEnd"/>
      <w:r w:rsidRPr="001118E9">
        <w:rPr>
          <w:iCs/>
        </w:rPr>
        <w:t xml:space="preserve"> test within one year.</w:t>
      </w:r>
    </w:p>
    <w:p w14:paraId="6794C493" w14:textId="33A5FC55" w:rsidR="00E4281E" w:rsidRPr="001118E9" w:rsidRDefault="00E4281E" w:rsidP="00E4281E">
      <w:pPr>
        <w:rPr>
          <w:iCs/>
        </w:rPr>
      </w:pPr>
      <w:r w:rsidRPr="001118E9">
        <w:rPr>
          <w:iCs/>
        </w:rPr>
        <w:t>MSAC may wish to consider if there is sufficient data to support two tests per year for some patients</w:t>
      </w:r>
      <w:r>
        <w:rPr>
          <w:iCs/>
        </w:rPr>
        <w:t xml:space="preserve"> </w:t>
      </w:r>
      <w:r w:rsidRPr="001118E9">
        <w:rPr>
          <w:iCs/>
        </w:rPr>
        <w:t xml:space="preserve">and defining those eligible for two tests. No evidence was identified to determine the consequences of additional testing per year on subsequent TTE and/or RHC use. Additionally, as the test is a simple blood test, it is </w:t>
      </w:r>
      <w:r w:rsidR="7B3B5281">
        <w:t>feasible</w:t>
      </w:r>
      <w:r w:rsidRPr="001118E9">
        <w:rPr>
          <w:iCs/>
        </w:rPr>
        <w:t xml:space="preserve"> that clinicians may request a second test in a broader range of </w:t>
      </w:r>
      <w:proofErr w:type="spellStart"/>
      <w:r w:rsidRPr="001118E9">
        <w:rPr>
          <w:iCs/>
        </w:rPr>
        <w:t>SSc</w:t>
      </w:r>
      <w:proofErr w:type="spellEnd"/>
      <w:r w:rsidRPr="001118E9">
        <w:rPr>
          <w:iCs/>
        </w:rPr>
        <w:t xml:space="preserve"> patients.</w:t>
      </w:r>
    </w:p>
    <w:p w14:paraId="514633A9" w14:textId="056AEEDC" w:rsidR="00E4281E" w:rsidRPr="00055E91" w:rsidRDefault="00E4281E" w:rsidP="00E4281E">
      <w:r w:rsidRPr="00055E91">
        <w:t>NT-</w:t>
      </w:r>
      <w:proofErr w:type="spellStart"/>
      <w:r w:rsidRPr="00055E91">
        <w:t>proBNP</w:t>
      </w:r>
      <w:proofErr w:type="spellEnd"/>
      <w:r w:rsidRPr="00055E91">
        <w:t xml:space="preserve"> is a non-invasive blood test already available from many diagnostic laboratories for the detection of heart failure.</w:t>
      </w:r>
      <w:r>
        <w:t xml:space="preserve"> This application does not include point</w:t>
      </w:r>
      <w:r w:rsidR="7B3B5281">
        <w:t>-</w:t>
      </w:r>
      <w:r>
        <w:t>of</w:t>
      </w:r>
      <w:r w:rsidR="7B3B5281">
        <w:t>-</w:t>
      </w:r>
      <w:r>
        <w:t>care testing for NT-</w:t>
      </w:r>
      <w:proofErr w:type="spellStart"/>
      <w:r>
        <w:t>proBNP</w:t>
      </w:r>
      <w:proofErr w:type="spellEnd"/>
      <w:r>
        <w:t>.</w:t>
      </w:r>
    </w:p>
    <w:p w14:paraId="0D38C8B1" w14:textId="266D806C" w:rsidR="00E4281E" w:rsidRPr="00055E91" w:rsidRDefault="00E4281E" w:rsidP="00E4281E">
      <w:r w:rsidRPr="00055E91">
        <w:t xml:space="preserve">Due to poor access to transthoracic echocardiogram (TTE), especially for those located in rural and remote areas, annual </w:t>
      </w:r>
      <w:r>
        <w:t>testing</w:t>
      </w:r>
      <w:r w:rsidRPr="00055E91">
        <w:t xml:space="preserve"> of patients with </w:t>
      </w:r>
      <w:proofErr w:type="spellStart"/>
      <w:r w:rsidRPr="00055E91">
        <w:t>SSc</w:t>
      </w:r>
      <w:proofErr w:type="spellEnd"/>
      <w:r w:rsidRPr="00055E91">
        <w:t xml:space="preserve"> for PAH and risk stratification of patients with PAH is not </w:t>
      </w:r>
      <w:r w:rsidR="7B3B5281">
        <w:t xml:space="preserve">currently </w:t>
      </w:r>
      <w:r>
        <w:t xml:space="preserve">performed </w:t>
      </w:r>
      <w:r w:rsidRPr="00055E91">
        <w:t>consistently.</w:t>
      </w:r>
    </w:p>
    <w:p w14:paraId="5677F029" w14:textId="5CBE08DB" w:rsidR="00E4281E" w:rsidRPr="00055E91" w:rsidRDefault="00E4281E" w:rsidP="00E4281E">
      <w:r w:rsidRPr="00055E91">
        <w:t xml:space="preserve">Public funding would </w:t>
      </w:r>
      <w:r w:rsidR="7B3B5281">
        <w:t>enable</w:t>
      </w:r>
      <w:r w:rsidR="00294D4D">
        <w:t xml:space="preserve"> </w:t>
      </w:r>
      <w:r w:rsidRPr="00055E91">
        <w:t>NT-</w:t>
      </w:r>
      <w:proofErr w:type="spellStart"/>
      <w:r w:rsidRPr="00055E91">
        <w:t>proBNP</w:t>
      </w:r>
      <w:proofErr w:type="spellEnd"/>
      <w:r w:rsidRPr="00055E91">
        <w:t xml:space="preserve"> testing </w:t>
      </w:r>
      <w:r w:rsidR="7B3B5281">
        <w:t xml:space="preserve">to be </w:t>
      </w:r>
      <w:r w:rsidRPr="00055E91">
        <w:t xml:space="preserve">more equitable and accessible, and lead to more regular and widespread </w:t>
      </w:r>
      <w:r w:rsidRPr="0082089F">
        <w:t xml:space="preserve">testing </w:t>
      </w:r>
      <w:r w:rsidRPr="00055E91">
        <w:t xml:space="preserve">for PAH in patients with </w:t>
      </w:r>
      <w:proofErr w:type="spellStart"/>
      <w:r w:rsidRPr="00055E91">
        <w:t>SSc</w:t>
      </w:r>
      <w:proofErr w:type="spellEnd"/>
      <w:r w:rsidRPr="00055E91">
        <w:t xml:space="preserve"> and risk assessment in patients with PAH.</w:t>
      </w:r>
    </w:p>
    <w:p w14:paraId="52454822" w14:textId="77777777" w:rsidR="00E4281E" w:rsidRPr="00055E91" w:rsidRDefault="00E4281E" w:rsidP="00E4281E">
      <w:r w:rsidRPr="00055E91">
        <w:lastRenderedPageBreak/>
        <w:t>As elevated NT-</w:t>
      </w:r>
      <w:proofErr w:type="spellStart"/>
      <w:r w:rsidRPr="00055E91">
        <w:t>proBNP</w:t>
      </w:r>
      <w:proofErr w:type="spellEnd"/>
      <w:r w:rsidRPr="00055E91">
        <w:t xml:space="preserve"> levels are not specific to PAH, this test is proposed as part of a </w:t>
      </w:r>
      <w:r w:rsidRPr="0082089F">
        <w:t xml:space="preserve">testing </w:t>
      </w:r>
      <w:r w:rsidRPr="00055E91">
        <w:t>algorithm for population 1 (</w:t>
      </w:r>
      <w:proofErr w:type="spellStart"/>
      <w:r w:rsidRPr="00055E91">
        <w:t>SSc</w:t>
      </w:r>
      <w:proofErr w:type="spellEnd"/>
      <w:r w:rsidRPr="00055E91">
        <w:t xml:space="preserve"> patients) and as part of a risk assessment strategy in Population 2 (PAH patients).</w:t>
      </w:r>
    </w:p>
    <w:p w14:paraId="46ED2821" w14:textId="5EA9FF31"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12" w:name="_Toc69491419"/>
      <w:bookmarkStart w:id="13" w:name="_Toc103161063"/>
      <w:r>
        <w:rPr>
          <w:rFonts w:ascii="Franklin Gothic Medium" w:eastAsiaTheme="majorEastAsia" w:hAnsi="Franklin Gothic Medium" w:cstheme="majorBidi"/>
          <w:color w:val="000000" w:themeColor="text1"/>
          <w:sz w:val="32"/>
          <w:szCs w:val="26"/>
        </w:rPr>
        <w:t>7</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Population</w:t>
      </w:r>
      <w:bookmarkEnd w:id="12"/>
      <w:bookmarkEnd w:id="13"/>
      <w:r w:rsidR="00E4281E" w:rsidRPr="00055E91">
        <w:rPr>
          <w:rFonts w:ascii="Franklin Gothic Medium" w:eastAsiaTheme="majorEastAsia" w:hAnsi="Franklin Gothic Medium" w:cstheme="majorBidi"/>
          <w:color w:val="000000" w:themeColor="text1"/>
          <w:sz w:val="32"/>
          <w:szCs w:val="26"/>
        </w:rPr>
        <w:t xml:space="preserve"> </w:t>
      </w:r>
    </w:p>
    <w:p w14:paraId="1329436C" w14:textId="77777777" w:rsidR="00E4281E" w:rsidRPr="00055E91"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14" w:name="_Toc103161064"/>
      <w:r w:rsidRPr="00055E91">
        <w:rPr>
          <w:rFonts w:ascii="Franklin Gothic Medium" w:eastAsiaTheme="majorEastAsia" w:hAnsi="Franklin Gothic Medium" w:cstheme="majorBidi"/>
          <w:sz w:val="24"/>
          <w:szCs w:val="24"/>
        </w:rPr>
        <w:t xml:space="preserve">Population 1: Patients with </w:t>
      </w:r>
      <w:r w:rsidRPr="00055E91">
        <w:rPr>
          <w:rFonts w:ascii="Franklin Gothic Medium" w:eastAsiaTheme="majorEastAsia" w:hAnsi="Franklin Gothic Medium" w:cstheme="majorBidi"/>
          <w:sz w:val="24"/>
          <w:szCs w:val="20"/>
        </w:rPr>
        <w:t>systemic sclerosis (</w:t>
      </w:r>
      <w:proofErr w:type="spellStart"/>
      <w:r w:rsidRPr="00055E91">
        <w:rPr>
          <w:rFonts w:ascii="Franklin Gothic Medium" w:eastAsiaTheme="majorEastAsia" w:hAnsi="Franklin Gothic Medium" w:cstheme="majorBidi"/>
          <w:sz w:val="24"/>
          <w:szCs w:val="20"/>
        </w:rPr>
        <w:t>SSc</w:t>
      </w:r>
      <w:proofErr w:type="spellEnd"/>
      <w:r w:rsidRPr="00055E91">
        <w:rPr>
          <w:rFonts w:ascii="Franklin Gothic Medium" w:eastAsiaTheme="majorEastAsia" w:hAnsi="Franklin Gothic Medium" w:cstheme="majorBidi"/>
          <w:sz w:val="24"/>
          <w:szCs w:val="20"/>
        </w:rPr>
        <w:t>)</w:t>
      </w:r>
      <w:bookmarkEnd w:id="14"/>
    </w:p>
    <w:p w14:paraId="310C3A03" w14:textId="401E8EC5" w:rsidR="00E4281E" w:rsidRPr="00055E91" w:rsidRDefault="00E4281E" w:rsidP="00E4281E">
      <w:r w:rsidRPr="00055E91">
        <w:t>Scleroderma is a chronic</w:t>
      </w:r>
      <w:r w:rsidR="00F829FC">
        <w:t>,</w:t>
      </w:r>
      <w:r w:rsidRPr="00055E91">
        <w:t xml:space="preserve"> rare connective tissue disorder with unknown and complex pathogenesis. It is primarily characterised by the thickening and hardening of the skin. Scleroderma is categorised into two forms</w:t>
      </w:r>
      <w:r>
        <w:t>:</w:t>
      </w:r>
      <w:r w:rsidRPr="00055E91">
        <w:t xml:space="preserve"> localised scleroderma and </w:t>
      </w:r>
      <w:proofErr w:type="spellStart"/>
      <w:r w:rsidRPr="00055E91">
        <w:t>SSc</w:t>
      </w:r>
      <w:proofErr w:type="spellEnd"/>
      <w:r w:rsidRPr="00055E91">
        <w:t xml:space="preserve">. </w:t>
      </w:r>
    </w:p>
    <w:p w14:paraId="3D1A4C46" w14:textId="77777777" w:rsidR="00E4281E" w:rsidRPr="00055E91" w:rsidRDefault="00E4281E" w:rsidP="00E4281E">
      <w:r w:rsidRPr="00055E91">
        <w:t xml:space="preserve">PAH is a major cause of mortality in </w:t>
      </w:r>
      <w:proofErr w:type="spellStart"/>
      <w:r w:rsidRPr="00055E91">
        <w:t>SSc</w:t>
      </w:r>
      <w:proofErr w:type="spellEnd"/>
      <w:r w:rsidRPr="00055E91">
        <w:t xml:space="preserve">, accounting for approximately 30% of </w:t>
      </w:r>
      <w:proofErr w:type="spellStart"/>
      <w:r w:rsidRPr="00055E91">
        <w:t>SSc</w:t>
      </w:r>
      <w:proofErr w:type="spellEnd"/>
      <w:r w:rsidRPr="00055E91">
        <w:t xml:space="preserve">-related deaths. </w:t>
      </w:r>
      <w:proofErr w:type="spellStart"/>
      <w:r w:rsidRPr="00055E91">
        <w:t>SSc</w:t>
      </w:r>
      <w:proofErr w:type="spellEnd"/>
      <w:r w:rsidRPr="00055E91">
        <w:t xml:space="preserve"> is a multi-organ autoimmune disease characterised by vasculopathy and fibrosis. </w:t>
      </w:r>
      <w:proofErr w:type="spellStart"/>
      <w:r w:rsidRPr="00055E91">
        <w:t>SSc</w:t>
      </w:r>
      <w:proofErr w:type="spellEnd"/>
      <w:r w:rsidRPr="00055E91">
        <w:t xml:space="preserve"> is a rare disease. Australia has one of the highest prevalence rates of </w:t>
      </w:r>
      <w:proofErr w:type="spellStart"/>
      <w:r w:rsidRPr="00055E91">
        <w:t>SSc</w:t>
      </w:r>
      <w:proofErr w:type="spellEnd"/>
      <w:r w:rsidRPr="00055E91">
        <w:t xml:space="preserve"> worldwide with a prevalence of around 20/100,000 people. </w:t>
      </w:r>
    </w:p>
    <w:p w14:paraId="34ECE256" w14:textId="6F57E571" w:rsidR="00E4281E" w:rsidRPr="00055E91" w:rsidRDefault="00E4281E" w:rsidP="00E4281E">
      <w:r w:rsidRPr="00055E91">
        <w:t xml:space="preserve">Among the </w:t>
      </w:r>
      <w:r w:rsidR="00F829FC">
        <w:t>connective tissue</w:t>
      </w:r>
      <w:r w:rsidR="00F829FC" w:rsidRPr="00055E91">
        <w:t xml:space="preserve"> </w:t>
      </w:r>
      <w:r w:rsidRPr="00055E91">
        <w:t xml:space="preserve">diseases, </w:t>
      </w:r>
      <w:proofErr w:type="spellStart"/>
      <w:r w:rsidRPr="00055E91">
        <w:t>SSc</w:t>
      </w:r>
      <w:proofErr w:type="spellEnd"/>
      <w:r w:rsidRPr="00055E91">
        <w:t xml:space="preserve"> is associated with one of the </w:t>
      </w:r>
      <w:r>
        <w:t xml:space="preserve">highest </w:t>
      </w:r>
      <w:r w:rsidRPr="00055E91">
        <w:t xml:space="preserve">increases in mortality and morbidity </w:t>
      </w:r>
      <w:r>
        <w:t xml:space="preserve">rates </w:t>
      </w:r>
      <w:r w:rsidRPr="00055E91">
        <w:t xml:space="preserve">compared with age, and sex-matched peers. There is no cure for </w:t>
      </w:r>
      <w:proofErr w:type="spellStart"/>
      <w:r w:rsidRPr="00055E91">
        <w:t>SSc</w:t>
      </w:r>
      <w:proofErr w:type="spellEnd"/>
      <w:r w:rsidRPr="00055E91">
        <w:t>, leading to significant morbidity, mortality, and poor health-related quality of life</w:t>
      </w:r>
      <w:r w:rsidR="00F829FC">
        <w:t>.</w:t>
      </w:r>
      <w:r w:rsidRPr="00055E91">
        <w:t xml:space="preserve"> </w:t>
      </w:r>
    </w:p>
    <w:p w14:paraId="7EB3CCF6" w14:textId="77777777" w:rsidR="00E4281E" w:rsidRPr="00055E91" w:rsidRDefault="00E4281E" w:rsidP="00E4281E">
      <w:r w:rsidRPr="00055E91">
        <w:t xml:space="preserve">In Australia, </w:t>
      </w:r>
      <w:proofErr w:type="spellStart"/>
      <w:r w:rsidRPr="00055E91">
        <w:t>SSc</w:t>
      </w:r>
      <w:proofErr w:type="spellEnd"/>
      <w:r w:rsidRPr="00055E91">
        <w:t xml:space="preserve"> is associated with an average reduction in life expectancy of 11.3 years for women, and 25.8 years for men, compared with the general population. </w:t>
      </w:r>
    </w:p>
    <w:p w14:paraId="52CB03C2" w14:textId="3DC6C54E" w:rsidR="00E4281E" w:rsidRPr="00055E91" w:rsidRDefault="00E4281E" w:rsidP="00E4281E">
      <w:r w:rsidRPr="00055E91">
        <w:t xml:space="preserve">Early recognition of </w:t>
      </w:r>
      <w:proofErr w:type="spellStart"/>
      <w:r w:rsidRPr="00055E91">
        <w:t>SSc</w:t>
      </w:r>
      <w:proofErr w:type="spellEnd"/>
      <w:r w:rsidRPr="00055E91">
        <w:t xml:space="preserve">-PAH is difficult as early disease is clinically silent and the heterogeneous nature of </w:t>
      </w:r>
      <w:proofErr w:type="spellStart"/>
      <w:r w:rsidRPr="00055E91">
        <w:t>SSc</w:t>
      </w:r>
      <w:proofErr w:type="spellEnd"/>
      <w:r w:rsidRPr="00055E91">
        <w:t xml:space="preserve"> makes interpretation of fatigue and dyspnoea challenging. PAH occurs in 8-12% of asymptomatic Australian </w:t>
      </w:r>
      <w:proofErr w:type="spellStart"/>
      <w:r w:rsidRPr="00055E91">
        <w:t>SSc</w:t>
      </w:r>
      <w:proofErr w:type="spellEnd"/>
      <w:r w:rsidRPr="00055E91">
        <w:t xml:space="preserve"> patients with an annual incidence of PAH in </w:t>
      </w:r>
      <w:proofErr w:type="spellStart"/>
      <w:r w:rsidRPr="00055E91">
        <w:t>SSc</w:t>
      </w:r>
      <w:proofErr w:type="spellEnd"/>
      <w:r w:rsidRPr="00055E91">
        <w:t xml:space="preserve"> of approximately 0.7-1.4% in Australia. Early treatment with advanced pulmonary vasodilators for PAH improves functional class, exercise capacity, </w:t>
      </w:r>
      <w:proofErr w:type="spellStart"/>
      <w:r w:rsidR="7B3B5281">
        <w:t>haemodynamics</w:t>
      </w:r>
      <w:proofErr w:type="spellEnd"/>
      <w:r w:rsidRPr="00055E91">
        <w:t>, quality of life, and survival.</w:t>
      </w:r>
    </w:p>
    <w:p w14:paraId="515C1632" w14:textId="0B3D524F" w:rsidR="00E4281E" w:rsidRPr="00055E91" w:rsidRDefault="00E4281E" w:rsidP="00E4281E">
      <w:r w:rsidRPr="00055E91">
        <w:t xml:space="preserve">The Australian Scleroderma Interest group (ASIG) recommends annual </w:t>
      </w:r>
      <w:r w:rsidRPr="0082089F">
        <w:t>testing</w:t>
      </w:r>
      <w:r w:rsidRPr="00055E91">
        <w:t xml:space="preserve"> for PAH patients with </w:t>
      </w:r>
      <w:proofErr w:type="spellStart"/>
      <w:r w:rsidRPr="00055E91">
        <w:t>SSc</w:t>
      </w:r>
      <w:proofErr w:type="spellEnd"/>
      <w:r w:rsidRPr="00055E91">
        <w:t>. In this population, the NT-</w:t>
      </w:r>
      <w:proofErr w:type="spellStart"/>
      <w:r w:rsidRPr="00055E91">
        <w:t>proBNP</w:t>
      </w:r>
      <w:proofErr w:type="spellEnd"/>
      <w:r w:rsidRPr="00055E91">
        <w:t xml:space="preserve"> assay will largely replace the routine use of TTE in </w:t>
      </w:r>
      <w:r w:rsidRPr="0082089F">
        <w:t xml:space="preserve">testing </w:t>
      </w:r>
      <w:r w:rsidRPr="00055E91">
        <w:t xml:space="preserve">for patients at high risk of PAH. The proposed clinical management algorithm is </w:t>
      </w:r>
      <w:r>
        <w:t xml:space="preserve">mainly </w:t>
      </w:r>
      <w:r w:rsidRPr="00055E91">
        <w:t>based on the ASIG algorithm, which combines the results from the NT-</w:t>
      </w:r>
      <w:proofErr w:type="spellStart"/>
      <w:r w:rsidRPr="00055E91">
        <w:t>proBNP</w:t>
      </w:r>
      <w:proofErr w:type="spellEnd"/>
      <w:r w:rsidRPr="00055E91">
        <w:t xml:space="preserve"> assay and a pulmonary function test (PFT). Therefore, PFT will continue to be used in all patients to determine the Diffusing capacity for carbon monoxide (DLCO) and the Forced vital capacity (FVC) / DLCO ratio. Only those identified as high risk, based on the combined results, will go on to receive right heart catheterisation (RHC) </w:t>
      </w:r>
      <w:r>
        <w:t xml:space="preserve">for definitive diagnosis of PAH, </w:t>
      </w:r>
      <w:r w:rsidRPr="00055E91">
        <w:t xml:space="preserve">but may have an intermediate TTE, at the physician’s discretion, to exclude other contributing factors for </w:t>
      </w:r>
      <w:r w:rsidR="00F829FC">
        <w:t>pulmonary hypertension (</w:t>
      </w:r>
      <w:r w:rsidRPr="00055E91">
        <w:t>PH</w:t>
      </w:r>
      <w:r w:rsidR="00F829FC">
        <w:t>)</w:t>
      </w:r>
      <w:r w:rsidRPr="00055E91">
        <w:t>. Those identified at low risk of PAH will be excluded from further testing by either TTE or RHC</w:t>
      </w:r>
      <w:r>
        <w:t>, but will be re-tested for signs of PAH annually</w:t>
      </w:r>
      <w:r w:rsidRPr="00055E91">
        <w:t>.</w:t>
      </w:r>
    </w:p>
    <w:p w14:paraId="54CC6B82" w14:textId="77777777" w:rsidR="00E4281E" w:rsidRPr="008062E5"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15" w:name="_Toc103161065"/>
      <w:r w:rsidRPr="008062E5">
        <w:rPr>
          <w:rFonts w:ascii="Franklin Gothic Medium" w:eastAsiaTheme="majorEastAsia" w:hAnsi="Franklin Gothic Medium" w:cstheme="majorBidi"/>
          <w:sz w:val="24"/>
          <w:szCs w:val="24"/>
        </w:rPr>
        <w:t>Population 2: Patients with pulmonary arterial hypertension (PAH)</w:t>
      </w:r>
      <w:bookmarkEnd w:id="15"/>
    </w:p>
    <w:p w14:paraId="414530EB" w14:textId="7268AB90" w:rsidR="00E4281E" w:rsidRPr="00055E91" w:rsidRDefault="00E4281E" w:rsidP="00E4281E">
      <w:r w:rsidRPr="00055E91">
        <w:t xml:space="preserve">PH </w:t>
      </w:r>
      <w:r>
        <w:t xml:space="preserve">is </w:t>
      </w:r>
      <w:r w:rsidRPr="008062E5">
        <w:t>a condition of increased blood pressure in the arteries of the lungs</w:t>
      </w:r>
      <w:r>
        <w:t xml:space="preserve"> and </w:t>
      </w:r>
      <w:r w:rsidRPr="00055E91">
        <w:t>has been classified into five categories sharing similar pathological findings, hemodynamic characteristics, and management. PAH</w:t>
      </w:r>
      <w:r>
        <w:t xml:space="preserve"> </w:t>
      </w:r>
      <w:r w:rsidRPr="00055E91">
        <w:t xml:space="preserve">is classified as </w:t>
      </w:r>
      <w:r>
        <w:t xml:space="preserve">World Health Organisation (WHO) </w:t>
      </w:r>
      <w:r w:rsidR="7B3B5281">
        <w:t>Group 1</w:t>
      </w:r>
      <w:r>
        <w:t xml:space="preserve"> PH disease</w:t>
      </w:r>
      <w:r w:rsidRPr="00055E91">
        <w:t>.</w:t>
      </w:r>
      <w:r>
        <w:t xml:space="preserve"> Other </w:t>
      </w:r>
      <w:r w:rsidR="7B3B5281">
        <w:t>categories</w:t>
      </w:r>
      <w:r>
        <w:t xml:space="preserve"> of PH include </w:t>
      </w:r>
      <w:r w:rsidR="7B3B5281">
        <w:t xml:space="preserve">PH due to </w:t>
      </w:r>
      <w:r>
        <w:t xml:space="preserve">left heart disease (WHO Group 2), </w:t>
      </w:r>
      <w:r w:rsidR="7B3B5281">
        <w:t xml:space="preserve">PH due to </w:t>
      </w:r>
      <w:r>
        <w:t xml:space="preserve">lung </w:t>
      </w:r>
      <w:r w:rsidR="7B3B5281">
        <w:t>diseases and/or hypoxia</w:t>
      </w:r>
      <w:r>
        <w:t xml:space="preserve"> (WHO Group 3), </w:t>
      </w:r>
      <w:r w:rsidR="5F7EA55D" w:rsidRPr="5F7EA55D">
        <w:rPr>
          <w:rFonts w:eastAsia="Franklin Gothic Book" w:cs="Franklin Gothic Book"/>
        </w:rPr>
        <w:t xml:space="preserve">chronic thromboembolic PH </w:t>
      </w:r>
      <w:r>
        <w:t>(WHO Group 4). WHO Group 5 is defined as PH</w:t>
      </w:r>
      <w:r w:rsidRPr="008062E5">
        <w:t xml:space="preserve"> </w:t>
      </w:r>
      <w:r w:rsidR="7B3B5281">
        <w:t>with</w:t>
      </w:r>
      <w:r w:rsidRPr="008062E5">
        <w:t xml:space="preserve"> unclear </w:t>
      </w:r>
      <w:r w:rsidR="7B3B5281">
        <w:t xml:space="preserve">and/or </w:t>
      </w:r>
      <w:r w:rsidRPr="008062E5">
        <w:t>multifactorial mechanisms</w:t>
      </w:r>
      <w:r>
        <w:t>.</w:t>
      </w:r>
    </w:p>
    <w:p w14:paraId="16728748" w14:textId="77777777" w:rsidR="00E4281E" w:rsidRPr="00055E91" w:rsidRDefault="00E4281E" w:rsidP="00E4281E">
      <w:r w:rsidRPr="00055E91">
        <w:lastRenderedPageBreak/>
        <w:t>PAH is a rare, severe, intractable, and debilitating progressive clinical condition characterised by a sustained elevation of pulmonary vascular resistance (due to narrowing of the pulmonary arteries), which if left untreated ultimately leads to right heart failure and death.</w:t>
      </w:r>
    </w:p>
    <w:p w14:paraId="42BC9BD0" w14:textId="77777777" w:rsidR="00E4281E" w:rsidRPr="00055E91" w:rsidRDefault="00E4281E" w:rsidP="00E4281E">
      <w:r w:rsidRPr="00055E91">
        <w:t xml:space="preserve">The symptoms of PAH are </w:t>
      </w:r>
      <w:r>
        <w:t xml:space="preserve">initially </w:t>
      </w:r>
      <w:r w:rsidRPr="00055E91">
        <w:t xml:space="preserve">non-specific and mainly related to progressive right ventricular (RV) dysfunction, with </w:t>
      </w:r>
      <w:r>
        <w:t>ongoing</w:t>
      </w:r>
      <w:r w:rsidRPr="00055E91">
        <w:t xml:space="preserve"> symptoms typically induced by exertion, including shortness of breath, fatigue, weakness, angina, and syncope. Symptoms at rest occur only in advanced cases.</w:t>
      </w:r>
    </w:p>
    <w:p w14:paraId="58B25F6A" w14:textId="77777777" w:rsidR="00E4281E" w:rsidRDefault="00E4281E" w:rsidP="00E4281E">
      <w:r>
        <w:t>Clinical guidelines for PAH recommend an assessment of the patient’s risk of PAH deterioration to guide treatment. However, there is no definitive set of parameters for a patient’s risk assessment and there are several PAH risk assessment algorithms available, most of which predict mortality.</w:t>
      </w:r>
    </w:p>
    <w:p w14:paraId="4E035214" w14:textId="77777777" w:rsidR="00E4281E" w:rsidRDefault="00E4281E" w:rsidP="00E4281E">
      <w:r w:rsidRPr="00055E91">
        <w:t xml:space="preserve">The 2015 European Society of Cardiology / European Respiratory Society (ESC/ERS) guidelines recommend a series of variables to stratify patients into low, intermediate, and high-risk categories, which correspond to estimated one-year mortality rates of &lt;5%, 5–10% and &gt;10% respectively. </w:t>
      </w:r>
    </w:p>
    <w:p w14:paraId="7070AAAB" w14:textId="64B5535F" w:rsidR="00E4281E" w:rsidRPr="00055E91" w:rsidRDefault="00E4281E" w:rsidP="00E4281E">
      <w:r w:rsidRPr="00055E91">
        <w:t>The main treatment goal of PAH therapy is to reach a low-risk status.</w:t>
      </w:r>
      <w:r>
        <w:t xml:space="preserve"> Patients not reaching the clinical goals aligned with low</w:t>
      </w:r>
      <w:r w:rsidR="7B3B5281">
        <w:t>-</w:t>
      </w:r>
      <w:r>
        <w:t>risk are considered to have an inadequate response to treatment. However, this does not align with PBS restrictions for PAH therapies, which are based on WHO functional class. PBAC has previously accepted that the treatment goal</w:t>
      </w:r>
      <w:r w:rsidRPr="009A3BDA">
        <w:t xml:space="preserve"> </w:t>
      </w:r>
      <w:r>
        <w:t>is to achieve a low</w:t>
      </w:r>
      <w:r w:rsidR="7B3B5281">
        <w:t>-</w:t>
      </w:r>
      <w:r>
        <w:t>risk status (paragraph 5.11,</w:t>
      </w:r>
      <w:r w:rsidRPr="00530FAE">
        <w:t xml:space="preserve"> November 2019 PBAC</w:t>
      </w:r>
      <w:r>
        <w:t xml:space="preserve"> PSD).</w:t>
      </w:r>
    </w:p>
    <w:p w14:paraId="2D50676C" w14:textId="77777777" w:rsidR="00E4281E" w:rsidRPr="00055E91" w:rsidRDefault="00E4281E" w:rsidP="00E4281E">
      <w:r w:rsidRPr="00055E91">
        <w:t>The proposed intervention is the NT-</w:t>
      </w:r>
      <w:proofErr w:type="spellStart"/>
      <w:r w:rsidRPr="00055E91">
        <w:t>proBNP</w:t>
      </w:r>
      <w:proofErr w:type="spellEnd"/>
      <w:r w:rsidRPr="00055E91">
        <w:t xml:space="preserve"> assay to be utilised in a multi-parameter assessment of risk status as part of regular routine monitoring of patients with PAH. NT-</w:t>
      </w:r>
      <w:proofErr w:type="spellStart"/>
      <w:r w:rsidRPr="00055E91">
        <w:t>proBNP</w:t>
      </w:r>
      <w:proofErr w:type="spellEnd"/>
      <w:r w:rsidRPr="00055E91">
        <w:t xml:space="preserve"> testing will partially replace TTE. Regular assessment is a key part of the evaluation of patients with PAH. NT-</w:t>
      </w:r>
      <w:proofErr w:type="spellStart"/>
      <w:r w:rsidRPr="00055E91">
        <w:t>proBNP</w:t>
      </w:r>
      <w:proofErr w:type="spellEnd"/>
      <w:r w:rsidRPr="00055E91">
        <w:t xml:space="preserve"> serum/plasma levels would be measured when patients are assessed by their PAH physician twice per year, and this information would be integrated with the results of other investigations. In some circumstances, where there are signs of clinical/symptom worsening or changes in therapy, testing may occur every 3 months.</w:t>
      </w:r>
    </w:p>
    <w:p w14:paraId="009C531C" w14:textId="3E7CE255" w:rsidR="00E4281E" w:rsidRPr="00055E91" w:rsidRDefault="00E4281E" w:rsidP="00E4281E">
      <w:r w:rsidRPr="00055E91">
        <w:t xml:space="preserve">The ADAR recommends that the REVEAL Lite 2 Risk Calculator be used to expedite risk assessment in the clinic, where comprehensive data for all patients may be lacking and time constrained. REVEAL Lite 2 uses six non-invasive variables: WHO functional class (FC), 6-minute walking distance (6MWD), vital signs (heart rate and blood pressure) and parameters </w:t>
      </w:r>
      <w:r w:rsidR="7B3B5281">
        <w:t xml:space="preserve">that can be measured via blood tests </w:t>
      </w:r>
      <w:r w:rsidRPr="00055E91">
        <w:t>(NT-</w:t>
      </w:r>
      <w:proofErr w:type="spellStart"/>
      <w:r w:rsidRPr="00055E91">
        <w:t>proBNP</w:t>
      </w:r>
      <w:proofErr w:type="spellEnd"/>
      <w:r w:rsidRPr="00055E91">
        <w:t xml:space="preserve"> and estimated glomerular filtration rate [eGFR]).</w:t>
      </w:r>
    </w:p>
    <w:p w14:paraId="082D077B" w14:textId="62B4FC77" w:rsidR="00E4281E" w:rsidRPr="00055E91" w:rsidRDefault="00E4281E" w:rsidP="00E4281E">
      <w:r w:rsidRPr="00055E91">
        <w:t>Initially the patients would have a clinical assessment of WHO FC, heart rate and blood pressure to look for signs of stable or worsening PAH. All patients would also have routine blood tests, including NT-</w:t>
      </w:r>
      <w:proofErr w:type="spellStart"/>
      <w:r w:rsidRPr="00055E91">
        <w:t>proBNP</w:t>
      </w:r>
      <w:proofErr w:type="spellEnd"/>
      <w:r w:rsidRPr="00055E91">
        <w:t xml:space="preserve"> and eGFR</w:t>
      </w:r>
      <w:r w:rsidR="7B3B5281">
        <w:t>,</w:t>
      </w:r>
      <w:r w:rsidRPr="00055E91">
        <w:t xml:space="preserve"> and undergo a 6MWD test. Only patients with signs of worsening disease (either from initial assessment or from the results of further tests) will undergo TTE. If the results from the TTE also indicate worsening disease, the patient then undergoes RHC to confirm disease progression. </w:t>
      </w:r>
    </w:p>
    <w:p w14:paraId="4284B6E7" w14:textId="07E4B917"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16" w:name="_Toc69491420"/>
      <w:bookmarkStart w:id="17" w:name="_Toc103161066"/>
      <w:r>
        <w:rPr>
          <w:rFonts w:ascii="Franklin Gothic Medium" w:eastAsiaTheme="majorEastAsia" w:hAnsi="Franklin Gothic Medium" w:cstheme="majorBidi"/>
          <w:color w:val="000000" w:themeColor="text1"/>
          <w:sz w:val="32"/>
          <w:szCs w:val="26"/>
        </w:rPr>
        <w:t>8</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Comparator</w:t>
      </w:r>
      <w:bookmarkEnd w:id="16"/>
      <w:bookmarkEnd w:id="17"/>
    </w:p>
    <w:p w14:paraId="78698A41" w14:textId="77777777" w:rsidR="00E4281E" w:rsidRPr="00055E91"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18" w:name="_Toc103161067"/>
      <w:r w:rsidRPr="00055E91">
        <w:rPr>
          <w:rFonts w:ascii="Franklin Gothic Medium" w:eastAsiaTheme="majorEastAsia" w:hAnsi="Franklin Gothic Medium" w:cstheme="majorBidi"/>
          <w:sz w:val="24"/>
          <w:szCs w:val="24"/>
        </w:rPr>
        <w:t xml:space="preserve">Population 1: Patients with </w:t>
      </w:r>
      <w:r w:rsidRPr="00055E91">
        <w:rPr>
          <w:rFonts w:ascii="Franklin Gothic Medium" w:eastAsiaTheme="majorEastAsia" w:hAnsi="Franklin Gothic Medium" w:cstheme="majorBidi"/>
          <w:sz w:val="24"/>
          <w:szCs w:val="20"/>
        </w:rPr>
        <w:t>systemic sclerosis (</w:t>
      </w:r>
      <w:proofErr w:type="spellStart"/>
      <w:r w:rsidRPr="00055E91">
        <w:rPr>
          <w:rFonts w:ascii="Franklin Gothic Medium" w:eastAsiaTheme="majorEastAsia" w:hAnsi="Franklin Gothic Medium" w:cstheme="majorBidi"/>
          <w:sz w:val="24"/>
          <w:szCs w:val="20"/>
        </w:rPr>
        <w:t>SSc</w:t>
      </w:r>
      <w:proofErr w:type="spellEnd"/>
      <w:r w:rsidRPr="00055E91">
        <w:rPr>
          <w:rFonts w:ascii="Franklin Gothic Medium" w:eastAsiaTheme="majorEastAsia" w:hAnsi="Franklin Gothic Medium" w:cstheme="majorBidi"/>
          <w:sz w:val="24"/>
          <w:szCs w:val="20"/>
        </w:rPr>
        <w:t>)</w:t>
      </w:r>
      <w:bookmarkEnd w:id="18"/>
    </w:p>
    <w:p w14:paraId="03E9C8F7" w14:textId="77777777" w:rsidR="00E4281E" w:rsidRPr="00055E91" w:rsidRDefault="00E4281E" w:rsidP="00E4281E">
      <w:r w:rsidRPr="00055E91">
        <w:t>In the absence of MBS funded NT-</w:t>
      </w:r>
      <w:proofErr w:type="spellStart"/>
      <w:r w:rsidRPr="00055E91">
        <w:t>proBNP</w:t>
      </w:r>
      <w:proofErr w:type="spellEnd"/>
      <w:r w:rsidRPr="00055E91">
        <w:t xml:space="preserve"> testing, current clinical assessment for risk of PAH in patients with </w:t>
      </w:r>
      <w:proofErr w:type="spellStart"/>
      <w:r w:rsidRPr="00055E91">
        <w:t>SSc</w:t>
      </w:r>
      <w:proofErr w:type="spellEnd"/>
      <w:r w:rsidRPr="00055E91">
        <w:t xml:space="preserve"> is dependent on annual </w:t>
      </w:r>
      <w:r w:rsidRPr="0082089F">
        <w:t>testing</w:t>
      </w:r>
      <w:r w:rsidRPr="00055E91">
        <w:t xml:space="preserve"> with TTE and PFT, regardless of the presence or absence of the risk factors, to identify patients who should undergo RHC to confirm the diagnosis. </w:t>
      </w:r>
    </w:p>
    <w:p w14:paraId="3ACF6E31" w14:textId="5803BB35" w:rsidR="00E4281E" w:rsidRPr="00055E91" w:rsidRDefault="00E4281E" w:rsidP="00E4281E">
      <w:r w:rsidRPr="00055E91">
        <w:lastRenderedPageBreak/>
        <w:t>The ADAR indicated that the appropriate comparator for NT-</w:t>
      </w:r>
      <w:proofErr w:type="spellStart"/>
      <w:r w:rsidRPr="00055E91">
        <w:t>proBNP</w:t>
      </w:r>
      <w:proofErr w:type="spellEnd"/>
      <w:r w:rsidRPr="00055E91">
        <w:t xml:space="preserve"> testing should be TTE. </w:t>
      </w:r>
      <w:r w:rsidRPr="004306D1">
        <w:t xml:space="preserve">However, PASC indicated </w:t>
      </w:r>
      <w:r w:rsidR="7B3B5281">
        <w:t>that the comparator</w:t>
      </w:r>
      <w:r w:rsidRPr="004306D1">
        <w:t xml:space="preserve"> should be TTE plus PFT. NT-</w:t>
      </w:r>
      <w:proofErr w:type="spellStart"/>
      <w:r w:rsidRPr="004306D1">
        <w:t>proBNP</w:t>
      </w:r>
      <w:proofErr w:type="spellEnd"/>
      <w:r w:rsidRPr="004306D1">
        <w:t xml:space="preserve"> assessment would replace TTE for most patients, but PFT would still occur in all patients.</w:t>
      </w:r>
    </w:p>
    <w:p w14:paraId="42C32C10" w14:textId="77777777" w:rsidR="00E4281E" w:rsidRPr="00055E91"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19" w:name="_Toc103161068"/>
      <w:r w:rsidRPr="00055E91">
        <w:rPr>
          <w:rFonts w:ascii="Franklin Gothic Medium" w:eastAsiaTheme="majorEastAsia" w:hAnsi="Franklin Gothic Medium" w:cstheme="majorBidi"/>
          <w:sz w:val="24"/>
          <w:szCs w:val="24"/>
        </w:rPr>
        <w:t>Population 2: Patients with pulmonary arterial hypertension (PAH)</w:t>
      </w:r>
      <w:bookmarkEnd w:id="19"/>
    </w:p>
    <w:p w14:paraId="547E289E" w14:textId="1B4C5CF9" w:rsidR="00E4281E" w:rsidRPr="00055E91" w:rsidRDefault="00E4281E" w:rsidP="00E4281E">
      <w:r w:rsidRPr="00055E91">
        <w:t>Risk stratification in patients with established PAH is generally performed by a comprehensive analysis including TTE and RHC at diagnosis, with ongoing assessments at regular intervals. TTE is frequently used in the risk assessment of PAH patients, whereas RHC is often performed again in patients with clinical worsening or changes of therapy.</w:t>
      </w:r>
    </w:p>
    <w:p w14:paraId="06E92831" w14:textId="05B34B96" w:rsidR="00E4281E" w:rsidRPr="00055E91" w:rsidRDefault="00E4281E" w:rsidP="00E4281E">
      <w:r w:rsidRPr="00055E91">
        <w:t>Thus, the ADAR suggested that the appropriate comparator for the proposed NT-</w:t>
      </w:r>
      <w:proofErr w:type="spellStart"/>
      <w:r w:rsidRPr="00055E91">
        <w:t>proBNP</w:t>
      </w:r>
      <w:proofErr w:type="spellEnd"/>
      <w:r w:rsidRPr="00055E91">
        <w:t xml:space="preserve"> test in this population is TTE. </w:t>
      </w:r>
      <w:r w:rsidRPr="004306D1">
        <w:t xml:space="preserve">PASC indicated </w:t>
      </w:r>
      <w:r w:rsidR="7B3B5281">
        <w:t>the comparator</w:t>
      </w:r>
      <w:r w:rsidRPr="004306D1">
        <w:t xml:space="preserve"> should be a risk assessment tool that does not use NT-</w:t>
      </w:r>
      <w:proofErr w:type="spellStart"/>
      <w:r w:rsidRPr="004306D1">
        <w:t>proBNP</w:t>
      </w:r>
      <w:proofErr w:type="spellEnd"/>
      <w:r w:rsidRPr="004306D1">
        <w:t xml:space="preserve"> testing, such as the French Pulmonary Hypertension Network (FPHN) </w:t>
      </w:r>
      <w:proofErr w:type="spellStart"/>
      <w:r w:rsidRPr="004306D1">
        <w:t>ItinérAIR</w:t>
      </w:r>
      <w:proofErr w:type="spellEnd"/>
      <w:r w:rsidRPr="004306D1">
        <w:t>-HTAP predictive equation.</w:t>
      </w:r>
    </w:p>
    <w:p w14:paraId="39B79DC4" w14:textId="692BAC26"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20" w:name="_Toc69491421"/>
      <w:bookmarkStart w:id="21" w:name="_Toc103161069"/>
      <w:r>
        <w:rPr>
          <w:rFonts w:ascii="Franklin Gothic Medium" w:eastAsiaTheme="majorEastAsia" w:hAnsi="Franklin Gothic Medium" w:cstheme="majorBidi"/>
          <w:color w:val="000000" w:themeColor="text1"/>
          <w:sz w:val="32"/>
          <w:szCs w:val="26"/>
        </w:rPr>
        <w:t>9</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Summary of public consultation input</w:t>
      </w:r>
      <w:bookmarkEnd w:id="20"/>
      <w:bookmarkEnd w:id="21"/>
    </w:p>
    <w:p w14:paraId="7725DDE4" w14:textId="41FF3F0B" w:rsidR="000913CD" w:rsidRPr="00055E91" w:rsidRDefault="000913CD" w:rsidP="000913CD">
      <w:r>
        <w:t>Consultation input was received from seven</w:t>
      </w:r>
      <w:r w:rsidRPr="00055E91">
        <w:t xml:space="preserve"> (</w:t>
      </w:r>
      <w:r>
        <w:t>7</w:t>
      </w:r>
      <w:r w:rsidRPr="00055E91">
        <w:t xml:space="preserve">) organisations and </w:t>
      </w:r>
      <w:r>
        <w:t>six</w:t>
      </w:r>
      <w:r w:rsidRPr="00055E91">
        <w:t xml:space="preserve"> (</w:t>
      </w:r>
      <w:r>
        <w:t>6</w:t>
      </w:r>
      <w:r w:rsidRPr="00055E91">
        <w:t>) individual</w:t>
      </w:r>
      <w:r>
        <w:t xml:space="preserve">s, five of whom were specialists and one being a nurse. </w:t>
      </w:r>
      <w:r>
        <w:t>No input was received from individual consumers and carers.</w:t>
      </w:r>
      <w:r w:rsidRPr="00055E91">
        <w:t xml:space="preserve"> </w:t>
      </w:r>
      <w:r>
        <w:t>The organisations that submitted input were</w:t>
      </w:r>
      <w:r w:rsidRPr="00055E91">
        <w:t>:</w:t>
      </w:r>
    </w:p>
    <w:p w14:paraId="02BE7037" w14:textId="77777777" w:rsidR="000913CD" w:rsidRPr="00055E91" w:rsidRDefault="000913CD" w:rsidP="000913CD">
      <w:pPr>
        <w:numPr>
          <w:ilvl w:val="0"/>
          <w:numId w:val="18"/>
        </w:numPr>
        <w:contextualSpacing/>
      </w:pPr>
      <w:r w:rsidRPr="00055E91">
        <w:t>Australian Scleroderma Interest Group (ASIG)</w:t>
      </w:r>
    </w:p>
    <w:p w14:paraId="5EE38F2C" w14:textId="77777777" w:rsidR="000913CD" w:rsidRPr="00055E91" w:rsidRDefault="000913CD" w:rsidP="000913CD">
      <w:pPr>
        <w:numPr>
          <w:ilvl w:val="0"/>
          <w:numId w:val="18"/>
        </w:numPr>
        <w:contextualSpacing/>
      </w:pPr>
      <w:r w:rsidRPr="00055E91">
        <w:t>Scleroderma Australia</w:t>
      </w:r>
    </w:p>
    <w:p w14:paraId="5AF876BB" w14:textId="77777777" w:rsidR="000913CD" w:rsidRPr="00055E91" w:rsidRDefault="000913CD" w:rsidP="000913CD">
      <w:pPr>
        <w:numPr>
          <w:ilvl w:val="0"/>
          <w:numId w:val="18"/>
        </w:numPr>
        <w:contextualSpacing/>
      </w:pPr>
      <w:r w:rsidRPr="00055E91">
        <w:t>Thoracic Society of Australia and New Zealand (TSANZ)</w:t>
      </w:r>
    </w:p>
    <w:p w14:paraId="08EFDC6C" w14:textId="77777777" w:rsidR="000913CD" w:rsidRPr="00055E91" w:rsidRDefault="000913CD" w:rsidP="000913CD">
      <w:pPr>
        <w:numPr>
          <w:ilvl w:val="0"/>
          <w:numId w:val="18"/>
        </w:numPr>
        <w:contextualSpacing/>
      </w:pPr>
      <w:r w:rsidRPr="00055E91">
        <w:t xml:space="preserve">Australian Rheumatology Association (ARA) </w:t>
      </w:r>
    </w:p>
    <w:p w14:paraId="74E7D1B4" w14:textId="77777777" w:rsidR="000913CD" w:rsidRPr="00055E91" w:rsidRDefault="000913CD" w:rsidP="000913CD">
      <w:pPr>
        <w:numPr>
          <w:ilvl w:val="0"/>
          <w:numId w:val="18"/>
        </w:numPr>
        <w:contextualSpacing/>
      </w:pPr>
      <w:r w:rsidRPr="00055E91">
        <w:t>Public Pathology Australia (PPA)</w:t>
      </w:r>
    </w:p>
    <w:p w14:paraId="7C64E89D" w14:textId="77777777" w:rsidR="000913CD" w:rsidRPr="00055E91" w:rsidRDefault="000913CD" w:rsidP="000913CD">
      <w:pPr>
        <w:numPr>
          <w:ilvl w:val="0"/>
          <w:numId w:val="18"/>
        </w:numPr>
        <w:contextualSpacing/>
      </w:pPr>
      <w:r w:rsidRPr="00055E91">
        <w:t>The Royal College of Pathologi</w:t>
      </w:r>
      <w:r>
        <w:t>sts</w:t>
      </w:r>
      <w:r w:rsidRPr="00055E91">
        <w:t xml:space="preserve"> of Australasia (RCPA)</w:t>
      </w:r>
    </w:p>
    <w:p w14:paraId="463CC38C" w14:textId="78226ED2" w:rsidR="000913CD" w:rsidRDefault="000913CD" w:rsidP="000913CD">
      <w:pPr>
        <w:numPr>
          <w:ilvl w:val="0"/>
          <w:numId w:val="18"/>
        </w:numPr>
        <w:contextualSpacing/>
      </w:pPr>
      <w:r>
        <w:t>Lung Foundation Australia (LFA)</w:t>
      </w:r>
      <w:r w:rsidRPr="00055E91">
        <w:t xml:space="preserve"> </w:t>
      </w:r>
    </w:p>
    <w:p w14:paraId="57462B7A" w14:textId="77777777" w:rsidR="000913CD" w:rsidRPr="00055E91" w:rsidRDefault="000913CD" w:rsidP="00016377">
      <w:pPr>
        <w:ind w:left="720"/>
        <w:contextualSpacing/>
      </w:pPr>
    </w:p>
    <w:p w14:paraId="2426BD15" w14:textId="1A2A39F7" w:rsidR="000913CD" w:rsidRPr="00055E91" w:rsidRDefault="000913CD" w:rsidP="000913CD">
      <w:r w:rsidRPr="0040106F">
        <w:t>The consultation feedback received was supportive of public funding of NT-</w:t>
      </w:r>
      <w:proofErr w:type="spellStart"/>
      <w:r w:rsidRPr="0040106F">
        <w:t>proBNP</w:t>
      </w:r>
      <w:proofErr w:type="spellEnd"/>
      <w:r w:rsidRPr="0040106F">
        <w:t xml:space="preserve"> testing in patients with systemic sclerosis, and in patients with diagnosed pulmonary arterial hypertension. All submissions identified benefits of the proposed testing and only two identified disadvantages.</w:t>
      </w:r>
    </w:p>
    <w:p w14:paraId="7A39738D" w14:textId="77777777" w:rsidR="00E4281E" w:rsidRPr="00006582" w:rsidRDefault="00E4281E" w:rsidP="00006582">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r w:rsidRPr="00006582">
        <w:rPr>
          <w:rFonts w:ascii="Franklin Gothic Medium" w:eastAsiaTheme="majorEastAsia" w:hAnsi="Franklin Gothic Medium" w:cstheme="majorBidi"/>
          <w:sz w:val="24"/>
          <w:szCs w:val="24"/>
        </w:rPr>
        <w:t>Benefits</w:t>
      </w:r>
    </w:p>
    <w:p w14:paraId="3C03ED26" w14:textId="00C4EFEC" w:rsidR="000913CD" w:rsidRDefault="000913CD" w:rsidP="000913CD">
      <w:r w:rsidRPr="00055E91">
        <w:t xml:space="preserve">Organisations considered that patients would benefit from a more accessible and convenient test compared to TTE or RHC, especially those located in rural and remote areas. </w:t>
      </w:r>
      <w:r>
        <w:t xml:space="preserve">Two specialists emphasized that during the COVID-19 pandemic there was reduced access to TTE for PAH screening and that </w:t>
      </w:r>
      <w:proofErr w:type="spellStart"/>
      <w:r>
        <w:t>NTproBNP</w:t>
      </w:r>
      <w:proofErr w:type="spellEnd"/>
      <w:r>
        <w:t xml:space="preserve"> is a convenient test and will improve access for patients with SSC to annual screening. </w:t>
      </w:r>
      <w:r w:rsidRPr="00055E91">
        <w:t xml:space="preserve">ASIG advised that </w:t>
      </w:r>
      <w:r>
        <w:t xml:space="preserve">annual </w:t>
      </w:r>
      <w:r w:rsidRPr="0082089F">
        <w:t>testing</w:t>
      </w:r>
      <w:r w:rsidRPr="00055E91">
        <w:t xml:space="preserve"> of patients with scleroderma for PAH is the standard of care but it is often performed ad-hoc, or not at all. </w:t>
      </w:r>
      <w:r>
        <w:t xml:space="preserve">Three </w:t>
      </w:r>
      <w:r>
        <w:rPr>
          <w:rFonts w:eastAsia="Times New Roman"/>
        </w:rPr>
        <w:t>individuals considered that that test would allow patients to receive the recommended standard of care according to international guidelines.</w:t>
      </w:r>
      <w:r>
        <w:rPr>
          <w:rFonts w:eastAsia="Times New Roman"/>
        </w:rPr>
        <w:t xml:space="preserve"> </w:t>
      </w:r>
      <w:r w:rsidRPr="00055E91">
        <w:t xml:space="preserve">Similarly, due to poor access to TTE and the invasive nature of right heart catheterization (RHC), risk stratification of patients with PAH is not </w:t>
      </w:r>
      <w:r>
        <w:t xml:space="preserve">performed </w:t>
      </w:r>
      <w:r w:rsidRPr="00055E91">
        <w:t xml:space="preserve">consistently. Scleroderma Australia noted that TTE for </w:t>
      </w:r>
      <w:r>
        <w:t>detection</w:t>
      </w:r>
      <w:r w:rsidRPr="00055E91">
        <w:t xml:space="preserve"> of PAH is uncomfortable and can have limited accuracy where there is a lack of tricuspid regurgitation Doppler signal, whereas the NT-</w:t>
      </w:r>
      <w:proofErr w:type="spellStart"/>
      <w:r w:rsidRPr="00055E91">
        <w:t>proBNP</w:t>
      </w:r>
      <w:proofErr w:type="spellEnd"/>
      <w:r w:rsidRPr="00055E91">
        <w:t xml:space="preserve"> test would provide patients with a more convenient and accurate test.</w:t>
      </w:r>
    </w:p>
    <w:p w14:paraId="6B0D40DA" w14:textId="4408EA2D" w:rsidR="000913CD" w:rsidRPr="00055E91" w:rsidRDefault="000913CD" w:rsidP="000913CD">
      <w:r w:rsidRPr="00055E91">
        <w:t>Organisations noted that public funding would make NT-</w:t>
      </w:r>
      <w:proofErr w:type="spellStart"/>
      <w:r w:rsidRPr="00055E91">
        <w:t>proBNP</w:t>
      </w:r>
      <w:proofErr w:type="spellEnd"/>
      <w:r w:rsidRPr="00055E91">
        <w:t xml:space="preserve"> testing more equitable and accessible and lead to more regular and widespread </w:t>
      </w:r>
      <w:r w:rsidRPr="0082089F">
        <w:t>testing</w:t>
      </w:r>
      <w:r w:rsidRPr="00055E91">
        <w:t xml:space="preserve"> for PAH in patients with </w:t>
      </w:r>
      <w:proofErr w:type="spellStart"/>
      <w:r w:rsidRPr="00055E91">
        <w:t>SSc</w:t>
      </w:r>
      <w:proofErr w:type="spellEnd"/>
      <w:r w:rsidRPr="00055E91">
        <w:t xml:space="preserve"> and risk stratification for patients with PAH. This could lead to earlier diagnosis of PAH in patients with SSC, resulting in improved survival, quality of life and PAH WHO </w:t>
      </w:r>
      <w:r>
        <w:t>Functional Class (</w:t>
      </w:r>
      <w:r w:rsidRPr="00055E91">
        <w:t>FC</w:t>
      </w:r>
      <w:r>
        <w:t>)</w:t>
      </w:r>
      <w:r w:rsidRPr="00055E91">
        <w:t>. For patients with PAH, regular risk stratification would inform treatment and improve survival, WHO FC, and quality of life for patients and carers.</w:t>
      </w:r>
      <w:r>
        <w:t xml:space="preserve"> </w:t>
      </w:r>
      <w:r>
        <w:rPr>
          <w:rFonts w:eastAsia="Times New Roman"/>
        </w:rPr>
        <w:t xml:space="preserve">Four individuals reiterated that </w:t>
      </w:r>
      <w:proofErr w:type="spellStart"/>
      <w:r>
        <w:rPr>
          <w:rFonts w:eastAsia="Times New Roman"/>
        </w:rPr>
        <w:t>NTproBNP</w:t>
      </w:r>
      <w:proofErr w:type="spellEnd"/>
      <w:r>
        <w:rPr>
          <w:rFonts w:eastAsia="Times New Roman"/>
        </w:rPr>
        <w:t xml:space="preserve"> testing would assist in earlier detection and monitoring of the disease.</w:t>
      </w:r>
    </w:p>
    <w:p w14:paraId="1AD93660" w14:textId="77777777" w:rsidR="00E4281E" w:rsidRPr="00055E91" w:rsidRDefault="00E4281E" w:rsidP="00E4281E">
      <w:r w:rsidRPr="00055E91">
        <w:t>ASIG considered that NT-</w:t>
      </w:r>
      <w:proofErr w:type="spellStart"/>
      <w:r w:rsidRPr="00055E91">
        <w:t>proBNP</w:t>
      </w:r>
      <w:proofErr w:type="spellEnd"/>
      <w:r w:rsidRPr="00055E91">
        <w:t xml:space="preserve"> testing would reduce the need for TTEs and RHCs and result in cost savings overall.</w:t>
      </w:r>
    </w:p>
    <w:p w14:paraId="1A07C596" w14:textId="617F5D00" w:rsidR="00E4281E" w:rsidRPr="00055E91" w:rsidRDefault="00E4281E" w:rsidP="00E4281E">
      <w:r w:rsidRPr="00055E91">
        <w:t>A specialist in cardiac-related biomarkers noted that NT-</w:t>
      </w:r>
      <w:proofErr w:type="spellStart"/>
      <w:r w:rsidRPr="00055E91">
        <w:t>proBNP</w:t>
      </w:r>
      <w:proofErr w:type="spellEnd"/>
      <w:r w:rsidRPr="00055E91">
        <w:t>, a biomarker of myocardial stress, may be elevated in patients with PH and is an independent risk predictor in these patients, and noted that natriuretic peptides (including NT-</w:t>
      </w:r>
      <w:proofErr w:type="spellStart"/>
      <w:r w:rsidRPr="00055E91">
        <w:t>proBNP</w:t>
      </w:r>
      <w:proofErr w:type="spellEnd"/>
      <w:r w:rsidRPr="00055E91">
        <w:t xml:space="preserve">) remain the only biomarkers that are widely used in routine </w:t>
      </w:r>
      <w:r w:rsidR="00C72092">
        <w:t xml:space="preserve">clinical </w:t>
      </w:r>
      <w:r w:rsidRPr="00055E91">
        <w:t>practice of PH centres as well as in clinical trials. The specialist noted that test levels correlate</w:t>
      </w:r>
      <w:r w:rsidR="00C72092">
        <w:t>d</w:t>
      </w:r>
      <w:r w:rsidRPr="00055E91">
        <w:t xml:space="preserve"> with myocardial dysfunction and provided prognostic information at the time of diagnosis and during follow-up assessments.</w:t>
      </w:r>
    </w:p>
    <w:p w14:paraId="3733D4A0" w14:textId="19C8179F" w:rsidR="00E4281E" w:rsidRDefault="00E4281E" w:rsidP="00E4281E">
      <w:r w:rsidRPr="00055E91">
        <w:t xml:space="preserve">PPA considered that the test has good sensitivity with a strong negative predictive value and could be used in the initial </w:t>
      </w:r>
      <w:r w:rsidRPr="0082089F">
        <w:t>testing</w:t>
      </w:r>
      <w:r w:rsidRPr="00055E91">
        <w:t xml:space="preserve"> to rule out the condition </w:t>
      </w:r>
      <w:r w:rsidR="7B3B5281">
        <w:t xml:space="preserve">in patients </w:t>
      </w:r>
      <w:r w:rsidRPr="00055E91">
        <w:t>with normal/negative results.</w:t>
      </w:r>
    </w:p>
    <w:p w14:paraId="2C3EF6EB" w14:textId="7CCDDADE" w:rsidR="00255767" w:rsidRPr="00055E91" w:rsidRDefault="00351E6D" w:rsidP="00E4281E">
      <w:r>
        <w:rPr>
          <w:rFonts w:eastAsia="Times New Roman"/>
        </w:rPr>
        <w:t>One specialist supported access to allied health professionals who would encourage patients to engage in physical activity can improve quality of life for PAH patients.</w:t>
      </w:r>
    </w:p>
    <w:p w14:paraId="5A70BC64" w14:textId="77777777" w:rsidR="00E4281E" w:rsidRPr="00006582" w:rsidRDefault="00E4281E" w:rsidP="00006582">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r w:rsidRPr="00006582">
        <w:rPr>
          <w:rFonts w:ascii="Franklin Gothic Medium" w:eastAsiaTheme="majorEastAsia" w:hAnsi="Franklin Gothic Medium" w:cstheme="majorBidi"/>
          <w:sz w:val="24"/>
          <w:szCs w:val="24"/>
        </w:rPr>
        <w:t>Disadvantages</w:t>
      </w:r>
    </w:p>
    <w:p w14:paraId="37987C9F" w14:textId="1FBD0E8F" w:rsidR="00351E6D" w:rsidRPr="00055E91" w:rsidRDefault="00351E6D" w:rsidP="00351E6D">
      <w:r>
        <w:t>A</w:t>
      </w:r>
      <w:r w:rsidRPr="00055E91">
        <w:t xml:space="preserve"> </w:t>
      </w:r>
      <w:r w:rsidRPr="00055E91">
        <w:t xml:space="preserve">specialist noted that natriuretic peptides are not specific for PH and can be elevated in almost any heart disease, and so they need to be considered in the overall clinical context of a patient’s condition. PPA </w:t>
      </w:r>
      <w:r>
        <w:t>raised awareness</w:t>
      </w:r>
      <w:r w:rsidRPr="00055E91">
        <w:t xml:space="preserve"> that other factors that could affect results are gender (higher in women than men), age </w:t>
      </w:r>
      <w:r>
        <w:t>(levels of NT-</w:t>
      </w:r>
      <w:proofErr w:type="spellStart"/>
      <w:r>
        <w:t>proBNP</w:t>
      </w:r>
      <w:proofErr w:type="spellEnd"/>
      <w:r>
        <w:t xml:space="preserve"> can increase with age) </w:t>
      </w:r>
      <w:r w:rsidRPr="00055E91">
        <w:t>and BMI (an inverse relationship with BMI).</w:t>
      </w:r>
    </w:p>
    <w:p w14:paraId="19FC20CF" w14:textId="5F1BFF0C" w:rsidR="00E4281E" w:rsidRDefault="00E4281E" w:rsidP="00E4281E">
      <w:r w:rsidRPr="00055E91">
        <w:t xml:space="preserve">PPA noted that public funding of the proposed </w:t>
      </w:r>
      <w:r>
        <w:t xml:space="preserve">intervention </w:t>
      </w:r>
      <w:r w:rsidRPr="00055E91">
        <w:t>has the potential to impact the continuity of care if patients choose other pathology providers who use different platforms and interpret results differently.</w:t>
      </w:r>
    </w:p>
    <w:p w14:paraId="7883688E" w14:textId="74604975"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22" w:name="_Toc69491422"/>
      <w:bookmarkStart w:id="23" w:name="_Toc103161070"/>
      <w:r>
        <w:rPr>
          <w:rFonts w:ascii="Franklin Gothic Medium" w:eastAsiaTheme="majorEastAsia" w:hAnsi="Franklin Gothic Medium" w:cstheme="majorBidi"/>
          <w:color w:val="000000" w:themeColor="text1"/>
          <w:sz w:val="32"/>
          <w:szCs w:val="26"/>
        </w:rPr>
        <w:t>10</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Characteristics of the evidence base</w:t>
      </w:r>
      <w:bookmarkEnd w:id="22"/>
      <w:bookmarkEnd w:id="23"/>
    </w:p>
    <w:p w14:paraId="644F1B1A" w14:textId="77777777" w:rsidR="00E4281E" w:rsidRPr="00055E91" w:rsidRDefault="00E4281E" w:rsidP="00E4281E">
      <w:r w:rsidRPr="00055E91">
        <w:t>The medical literature was searched on 9th November 2021 (Embase) and 28th December 2021 (Cochrane Library) to identify relevant studies and systematic reviews/meta-analysis. No temporal limits were applied during the searching.</w:t>
      </w:r>
    </w:p>
    <w:p w14:paraId="49CF96AD" w14:textId="14B852D3" w:rsidR="00E4281E" w:rsidRPr="004306D1" w:rsidRDefault="00E4281E" w:rsidP="00E4281E">
      <w:r w:rsidRPr="004306D1">
        <w:t xml:space="preserve">The </w:t>
      </w:r>
      <w:r w:rsidR="00303D0E">
        <w:t xml:space="preserve">commentary considered the </w:t>
      </w:r>
      <w:r w:rsidRPr="004306D1">
        <w:t>literature search should have included another database such as PubMed.</w:t>
      </w:r>
      <w:r w:rsidR="00303D0E" w:rsidRPr="00303D0E">
        <w:t xml:space="preserve"> </w:t>
      </w:r>
      <w:r w:rsidR="00303D0E">
        <w:t>The pre-ESC response clarified that s</w:t>
      </w:r>
      <w:r w:rsidR="00303D0E" w:rsidRPr="00303D0E">
        <w:t>earches were conducted in both Embase and Medline</w:t>
      </w:r>
      <w:r w:rsidR="00193A58">
        <w:t xml:space="preserve"> </w:t>
      </w:r>
      <w:r w:rsidR="00303D0E" w:rsidRPr="00303D0E">
        <w:t xml:space="preserve">(database for PubMed) using Embase.com. </w:t>
      </w:r>
    </w:p>
    <w:p w14:paraId="3BD449B5" w14:textId="295B155B" w:rsidR="00E4281E" w:rsidRPr="00055E91" w:rsidRDefault="00E4281E" w:rsidP="00E4281E">
      <w:pPr>
        <w:pStyle w:val="TableHeading0"/>
      </w:pPr>
      <w:r>
        <w:t xml:space="preserve">Table </w:t>
      </w:r>
      <w:r>
        <w:fldChar w:fldCharType="begin"/>
      </w:r>
      <w:r>
        <w:instrText>SEQ Table_CES \* ARABIC</w:instrText>
      </w:r>
      <w:r>
        <w:fldChar w:fldCharType="separate"/>
      </w:r>
      <w:r w:rsidR="00D270D9">
        <w:rPr>
          <w:noProof/>
        </w:rPr>
        <w:t>2</w:t>
      </w:r>
      <w:r>
        <w:fldChar w:fldCharType="end"/>
      </w:r>
      <w:r w:rsidRPr="00055E91">
        <w:tab/>
        <w:t>Search terms used for searching the EMBASE platform</w:t>
      </w:r>
    </w:p>
    <w:tbl>
      <w:tblPr>
        <w:tblStyle w:val="TableGrid1"/>
        <w:tblW w:w="0" w:type="auto"/>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074"/>
        <w:gridCol w:w="2047"/>
        <w:gridCol w:w="5895"/>
      </w:tblGrid>
      <w:tr w:rsidR="00E4281E" w:rsidRPr="00055E91" w14:paraId="0A5B901D" w14:textId="77777777" w:rsidTr="00E4281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14:paraId="5A1C7CF1" w14:textId="77777777" w:rsidR="00E4281E" w:rsidRPr="00055E91" w:rsidRDefault="00E4281E" w:rsidP="00E4281E">
            <w:pPr>
              <w:keepNext/>
              <w:spacing w:after="60"/>
              <w:rPr>
                <w:rFonts w:ascii="Arial Narrow" w:hAnsi="Arial Narrow"/>
                <w:b/>
              </w:rPr>
            </w:pPr>
            <w:r w:rsidRPr="00055E91">
              <w:rPr>
                <w:rFonts w:ascii="Arial Narrow" w:hAnsi="Arial Narrow"/>
                <w:b/>
              </w:rPr>
              <w:t>Category</w:t>
            </w:r>
          </w:p>
        </w:tc>
        <w:tc>
          <w:tcPr>
            <w:tcW w:w="0" w:type="auto"/>
            <w:shd w:val="clear" w:color="auto" w:fill="auto"/>
          </w:tcPr>
          <w:p w14:paraId="11F221BD" w14:textId="77777777" w:rsidR="00E4281E" w:rsidRPr="00055E91" w:rsidRDefault="00E4281E" w:rsidP="00E4281E">
            <w:pPr>
              <w:keepNext/>
              <w:spacing w:after="60"/>
              <w:rPr>
                <w:rFonts w:ascii="Arial Narrow" w:hAnsi="Arial Narrow"/>
                <w:b/>
              </w:rPr>
            </w:pPr>
            <w:r w:rsidRPr="00055E91">
              <w:rPr>
                <w:rFonts w:ascii="Arial Narrow" w:hAnsi="Arial Narrow"/>
                <w:b/>
              </w:rPr>
              <w:t>Description</w:t>
            </w:r>
          </w:p>
        </w:tc>
        <w:tc>
          <w:tcPr>
            <w:tcW w:w="0" w:type="auto"/>
            <w:shd w:val="clear" w:color="auto" w:fill="auto"/>
          </w:tcPr>
          <w:p w14:paraId="110510A0" w14:textId="77777777" w:rsidR="00E4281E" w:rsidRPr="00055E91" w:rsidRDefault="00E4281E" w:rsidP="00E4281E">
            <w:pPr>
              <w:keepNext/>
              <w:spacing w:after="60"/>
              <w:rPr>
                <w:rFonts w:ascii="Arial Narrow" w:hAnsi="Arial Narrow"/>
                <w:b/>
              </w:rPr>
            </w:pPr>
            <w:r w:rsidRPr="00055E91">
              <w:rPr>
                <w:rFonts w:ascii="Arial Narrow" w:hAnsi="Arial Narrow"/>
                <w:b/>
              </w:rPr>
              <w:t>Search terms</w:t>
            </w:r>
          </w:p>
        </w:tc>
      </w:tr>
      <w:tr w:rsidR="00E4281E" w:rsidRPr="00055E91" w14:paraId="39FE9B91" w14:textId="77777777" w:rsidTr="00E4281E">
        <w:tc>
          <w:tcPr>
            <w:tcW w:w="0" w:type="auto"/>
          </w:tcPr>
          <w:p w14:paraId="75B44EAC" w14:textId="77777777" w:rsidR="00E4281E" w:rsidRPr="00055E91" w:rsidRDefault="00E4281E" w:rsidP="00E4281E">
            <w:pPr>
              <w:keepNext/>
              <w:spacing w:before="40"/>
              <w:rPr>
                <w:rFonts w:ascii="Arial Narrow" w:hAnsi="Arial Narrow"/>
                <w:szCs w:val="24"/>
              </w:rPr>
            </w:pPr>
            <w:r w:rsidRPr="00055E91">
              <w:rPr>
                <w:rFonts w:ascii="Arial Narrow" w:hAnsi="Arial Narrow"/>
                <w:szCs w:val="24"/>
              </w:rPr>
              <w:t>Population</w:t>
            </w:r>
          </w:p>
        </w:tc>
        <w:tc>
          <w:tcPr>
            <w:tcW w:w="0" w:type="auto"/>
          </w:tcPr>
          <w:p w14:paraId="213B07C9" w14:textId="77777777" w:rsidR="00E4281E" w:rsidRPr="00055E91" w:rsidRDefault="00E4281E" w:rsidP="00E4281E">
            <w:pPr>
              <w:keepNext/>
              <w:spacing w:before="40"/>
              <w:rPr>
                <w:rFonts w:ascii="Arial Narrow" w:hAnsi="Arial Narrow"/>
                <w:szCs w:val="24"/>
              </w:rPr>
            </w:pPr>
            <w:r w:rsidRPr="00055E91">
              <w:rPr>
                <w:rFonts w:ascii="Arial Narrow" w:hAnsi="Arial Narrow"/>
                <w:szCs w:val="24"/>
              </w:rPr>
              <w:t>Systemic Sclerosis patients at risk for development of pulmonary arterial hypertension</w:t>
            </w:r>
          </w:p>
        </w:tc>
        <w:tc>
          <w:tcPr>
            <w:tcW w:w="0" w:type="auto"/>
          </w:tcPr>
          <w:p w14:paraId="70A661B0" w14:textId="77777777" w:rsidR="00E4281E" w:rsidRPr="00055E91" w:rsidRDefault="00E4281E" w:rsidP="00E4281E">
            <w:pPr>
              <w:keepNext/>
              <w:spacing w:before="40"/>
              <w:rPr>
                <w:rFonts w:ascii="Arial Narrow" w:hAnsi="Arial Narrow"/>
                <w:szCs w:val="24"/>
              </w:rPr>
            </w:pPr>
            <w:r w:rsidRPr="00055E91">
              <w:rPr>
                <w:rFonts w:ascii="Arial Narrow" w:hAnsi="Arial Narrow"/>
              </w:rPr>
              <w:t>'systemic sclerosis'/exp OR 'systemic sclerosis' NEAR/3 'pulmonary arterial hypertension' OR 'scleroderma' NEAR/3 'pulmonary arterial hypertension' OR 'scleroderma' NEAR/3 '</w:t>
            </w:r>
            <w:proofErr w:type="spellStart"/>
            <w:r w:rsidRPr="00055E91">
              <w:rPr>
                <w:rFonts w:ascii="Arial Narrow" w:hAnsi="Arial Narrow"/>
              </w:rPr>
              <w:t>pah</w:t>
            </w:r>
            <w:proofErr w:type="spellEnd"/>
            <w:r w:rsidRPr="00055E91">
              <w:rPr>
                <w:rFonts w:ascii="Arial Narrow" w:hAnsi="Arial Narrow"/>
              </w:rPr>
              <w:t>' OR 'systemic sclerosis' NEAR/3 '</w:t>
            </w:r>
            <w:proofErr w:type="spellStart"/>
            <w:r w:rsidRPr="00055E91">
              <w:rPr>
                <w:rFonts w:ascii="Arial Narrow" w:hAnsi="Arial Narrow"/>
              </w:rPr>
              <w:t>pah</w:t>
            </w:r>
            <w:proofErr w:type="spellEnd"/>
            <w:r w:rsidRPr="00055E91">
              <w:rPr>
                <w:rFonts w:ascii="Arial Narrow" w:hAnsi="Arial Narrow"/>
              </w:rPr>
              <w:t>' OR '</w:t>
            </w:r>
            <w:proofErr w:type="spellStart"/>
            <w:r w:rsidRPr="00055E91">
              <w:rPr>
                <w:rFonts w:ascii="Arial Narrow" w:hAnsi="Arial Narrow"/>
              </w:rPr>
              <w:t>ssc-pah</w:t>
            </w:r>
            <w:proofErr w:type="spellEnd"/>
            <w:r w:rsidRPr="00055E91">
              <w:rPr>
                <w:rFonts w:ascii="Arial Narrow" w:hAnsi="Arial Narrow"/>
              </w:rPr>
              <w:t>' OR '</w:t>
            </w:r>
            <w:proofErr w:type="spellStart"/>
            <w:r w:rsidRPr="00055E91">
              <w:rPr>
                <w:rFonts w:ascii="Arial Narrow" w:hAnsi="Arial Narrow"/>
              </w:rPr>
              <w:t>ssc</w:t>
            </w:r>
            <w:proofErr w:type="spellEnd"/>
            <w:r w:rsidRPr="00055E91">
              <w:rPr>
                <w:rFonts w:ascii="Arial Narrow" w:hAnsi="Arial Narrow"/>
              </w:rPr>
              <w:t>' NEAR/3 'pulmonary arterial hypertension' OR 'pulmonary arterial hypertension'/exp OR 'pulmonary arterial hypertension' OR '</w:t>
            </w:r>
            <w:proofErr w:type="spellStart"/>
            <w:r w:rsidRPr="00055E91">
              <w:rPr>
                <w:rFonts w:ascii="Arial Narrow" w:hAnsi="Arial Narrow"/>
              </w:rPr>
              <w:t>pah</w:t>
            </w:r>
            <w:proofErr w:type="spellEnd"/>
            <w:r w:rsidRPr="00055E91">
              <w:rPr>
                <w:rFonts w:ascii="Arial Narrow" w:hAnsi="Arial Narrow"/>
              </w:rPr>
              <w:t>'</w:t>
            </w:r>
          </w:p>
        </w:tc>
      </w:tr>
      <w:tr w:rsidR="00E4281E" w:rsidRPr="00055E91" w14:paraId="7C58CA7C" w14:textId="77777777" w:rsidTr="00E4281E">
        <w:tc>
          <w:tcPr>
            <w:tcW w:w="0" w:type="auto"/>
          </w:tcPr>
          <w:p w14:paraId="77A2E29D" w14:textId="77777777" w:rsidR="00E4281E" w:rsidRPr="00055E91" w:rsidRDefault="00E4281E" w:rsidP="00E4281E">
            <w:pPr>
              <w:spacing w:before="40"/>
              <w:rPr>
                <w:rFonts w:ascii="Arial Narrow" w:hAnsi="Arial Narrow"/>
                <w:szCs w:val="24"/>
              </w:rPr>
            </w:pPr>
            <w:r w:rsidRPr="00055E91">
              <w:rPr>
                <w:rFonts w:ascii="Arial Narrow" w:hAnsi="Arial Narrow"/>
                <w:szCs w:val="24"/>
              </w:rPr>
              <w:t>Intervention</w:t>
            </w:r>
          </w:p>
        </w:tc>
        <w:tc>
          <w:tcPr>
            <w:tcW w:w="0" w:type="auto"/>
          </w:tcPr>
          <w:p w14:paraId="3EDC922D" w14:textId="77777777" w:rsidR="00E4281E" w:rsidRPr="00055E91" w:rsidRDefault="00E4281E" w:rsidP="00E4281E">
            <w:pPr>
              <w:spacing w:before="40"/>
              <w:rPr>
                <w:rFonts w:ascii="Arial Narrow" w:hAnsi="Arial Narrow"/>
                <w:szCs w:val="24"/>
              </w:rPr>
            </w:pPr>
            <w:r w:rsidRPr="00055E91">
              <w:rPr>
                <w:rFonts w:ascii="Arial Narrow" w:hAnsi="Arial Narrow"/>
                <w:szCs w:val="24"/>
              </w:rPr>
              <w:t>NT-</w:t>
            </w:r>
            <w:proofErr w:type="spellStart"/>
            <w:r w:rsidRPr="00055E91">
              <w:rPr>
                <w:rFonts w:ascii="Arial Narrow" w:hAnsi="Arial Narrow"/>
                <w:szCs w:val="24"/>
              </w:rPr>
              <w:t>proBNP</w:t>
            </w:r>
            <w:proofErr w:type="spellEnd"/>
          </w:p>
        </w:tc>
        <w:tc>
          <w:tcPr>
            <w:tcW w:w="0" w:type="auto"/>
          </w:tcPr>
          <w:p w14:paraId="2EE0ACFA" w14:textId="77777777" w:rsidR="00E4281E" w:rsidRPr="00055E91" w:rsidRDefault="00E4281E" w:rsidP="00E4281E">
            <w:pPr>
              <w:spacing w:before="40"/>
              <w:rPr>
                <w:rFonts w:ascii="Arial Narrow" w:hAnsi="Arial Narrow"/>
                <w:szCs w:val="24"/>
              </w:rPr>
            </w:pPr>
            <w:r w:rsidRPr="00055E91">
              <w:rPr>
                <w:rFonts w:ascii="Arial Narrow" w:hAnsi="Arial Narrow"/>
                <w:szCs w:val="24"/>
              </w:rPr>
              <w:t xml:space="preserve">'n terminal pro b type natriuretic peptide' OR 'n terminal pro brain natriuretic peptide' OR 'n terminal </w:t>
            </w:r>
            <w:proofErr w:type="spellStart"/>
            <w:r w:rsidRPr="00055E91">
              <w:rPr>
                <w:rFonts w:ascii="Arial Narrow" w:hAnsi="Arial Narrow"/>
                <w:szCs w:val="24"/>
              </w:rPr>
              <w:t>probrain</w:t>
            </w:r>
            <w:proofErr w:type="spellEnd"/>
            <w:r w:rsidRPr="00055E91">
              <w:rPr>
                <w:rFonts w:ascii="Arial Narrow" w:hAnsi="Arial Narrow"/>
                <w:szCs w:val="24"/>
              </w:rPr>
              <w:t xml:space="preserve"> natriuretic peptide' OR 'n-terminal pro-brain natriuretic peptide' OR '</w:t>
            </w:r>
            <w:proofErr w:type="spellStart"/>
            <w:r w:rsidRPr="00055E91">
              <w:rPr>
                <w:rFonts w:ascii="Arial Narrow" w:hAnsi="Arial Narrow"/>
                <w:szCs w:val="24"/>
              </w:rPr>
              <w:t>nt-probnp</w:t>
            </w:r>
            <w:proofErr w:type="spellEnd"/>
            <w:r w:rsidRPr="00055E91">
              <w:rPr>
                <w:rFonts w:ascii="Arial Narrow" w:hAnsi="Arial Narrow"/>
                <w:szCs w:val="24"/>
              </w:rPr>
              <w:t>'</w:t>
            </w:r>
          </w:p>
        </w:tc>
      </w:tr>
      <w:tr w:rsidR="00E4281E" w:rsidRPr="00055E91" w14:paraId="73B8AF44" w14:textId="77777777" w:rsidTr="00E4281E">
        <w:tc>
          <w:tcPr>
            <w:tcW w:w="0" w:type="auto"/>
          </w:tcPr>
          <w:p w14:paraId="755CE4D0" w14:textId="77777777" w:rsidR="00E4281E" w:rsidRPr="00055E91" w:rsidRDefault="00E4281E" w:rsidP="00E4281E">
            <w:pPr>
              <w:spacing w:before="40"/>
              <w:rPr>
                <w:rFonts w:ascii="Arial Narrow" w:hAnsi="Arial Narrow"/>
                <w:szCs w:val="24"/>
              </w:rPr>
            </w:pPr>
            <w:r w:rsidRPr="00055E91">
              <w:rPr>
                <w:rFonts w:ascii="Arial Narrow" w:hAnsi="Arial Narrow"/>
                <w:szCs w:val="24"/>
              </w:rPr>
              <w:t>Outcomes</w:t>
            </w:r>
          </w:p>
        </w:tc>
        <w:tc>
          <w:tcPr>
            <w:tcW w:w="0" w:type="auto"/>
          </w:tcPr>
          <w:p w14:paraId="07C303D1" w14:textId="77777777" w:rsidR="00E4281E" w:rsidRPr="00055E91" w:rsidRDefault="00E4281E" w:rsidP="00E4281E">
            <w:pPr>
              <w:spacing w:before="40"/>
              <w:rPr>
                <w:rFonts w:ascii="Arial Narrow" w:hAnsi="Arial Narrow"/>
                <w:szCs w:val="24"/>
              </w:rPr>
            </w:pPr>
            <w:r w:rsidRPr="00055E91">
              <w:rPr>
                <w:rFonts w:ascii="Arial Narrow" w:hAnsi="Arial Narrow"/>
                <w:szCs w:val="24"/>
              </w:rPr>
              <w:t>Diagnostic performance</w:t>
            </w:r>
          </w:p>
          <w:p w14:paraId="5F760CF7" w14:textId="77777777" w:rsidR="00E4281E" w:rsidRPr="00055E91" w:rsidRDefault="00E4281E" w:rsidP="00E4281E">
            <w:pPr>
              <w:spacing w:before="40"/>
              <w:rPr>
                <w:rFonts w:ascii="Arial Narrow" w:hAnsi="Arial Narrow"/>
                <w:szCs w:val="24"/>
              </w:rPr>
            </w:pPr>
          </w:p>
        </w:tc>
        <w:tc>
          <w:tcPr>
            <w:tcW w:w="0" w:type="auto"/>
          </w:tcPr>
          <w:p w14:paraId="4EDC47BB" w14:textId="77777777" w:rsidR="00E4281E" w:rsidRPr="00055E91" w:rsidRDefault="00E4281E" w:rsidP="00E4281E">
            <w:pPr>
              <w:spacing w:before="40"/>
              <w:rPr>
                <w:rFonts w:ascii="Arial Narrow" w:hAnsi="Arial Narrow"/>
                <w:szCs w:val="24"/>
              </w:rPr>
            </w:pPr>
            <w:r w:rsidRPr="00055E91">
              <w:rPr>
                <w:rFonts w:ascii="Arial Narrow" w:hAnsi="Arial Narrow"/>
              </w:rPr>
              <w:t>'accuracy':</w:t>
            </w:r>
            <w:proofErr w:type="spellStart"/>
            <w:r w:rsidRPr="00055E91">
              <w:rPr>
                <w:rFonts w:ascii="Arial Narrow" w:hAnsi="Arial Narrow"/>
              </w:rPr>
              <w:t>ti,ab,kw</w:t>
            </w:r>
            <w:proofErr w:type="spellEnd"/>
            <w:r w:rsidRPr="00055E91">
              <w:rPr>
                <w:rFonts w:ascii="Arial Narrow" w:hAnsi="Arial Narrow"/>
              </w:rPr>
              <w:t xml:space="preserve"> OR 'accurate':</w:t>
            </w:r>
            <w:proofErr w:type="spellStart"/>
            <w:r w:rsidRPr="00055E91">
              <w:rPr>
                <w:rFonts w:ascii="Arial Narrow" w:hAnsi="Arial Narrow"/>
              </w:rPr>
              <w:t>ti,ab,kw</w:t>
            </w:r>
            <w:proofErr w:type="spellEnd"/>
            <w:r w:rsidRPr="00055E91">
              <w:rPr>
                <w:rFonts w:ascii="Arial Narrow" w:hAnsi="Arial Narrow"/>
              </w:rPr>
              <w:t xml:space="preserve"> OR 'sensitivity':</w:t>
            </w:r>
            <w:proofErr w:type="spellStart"/>
            <w:r w:rsidRPr="00055E91">
              <w:rPr>
                <w:rFonts w:ascii="Arial Narrow" w:hAnsi="Arial Narrow"/>
              </w:rPr>
              <w:t>ti,ab,kw</w:t>
            </w:r>
            <w:proofErr w:type="spellEnd"/>
            <w:r w:rsidRPr="00055E91">
              <w:rPr>
                <w:rFonts w:ascii="Arial Narrow" w:hAnsi="Arial Narrow"/>
              </w:rPr>
              <w:t xml:space="preserve"> OR 'specificity':</w:t>
            </w:r>
            <w:proofErr w:type="spellStart"/>
            <w:r w:rsidRPr="00055E91">
              <w:rPr>
                <w:rFonts w:ascii="Arial Narrow" w:hAnsi="Arial Narrow"/>
              </w:rPr>
              <w:t>ti,ab,kw</w:t>
            </w:r>
            <w:proofErr w:type="spellEnd"/>
            <w:r w:rsidRPr="00055E91">
              <w:rPr>
                <w:rFonts w:ascii="Arial Narrow" w:hAnsi="Arial Narrow"/>
              </w:rPr>
              <w:t xml:space="preserve"> OR 'positive predictive value':</w:t>
            </w:r>
            <w:proofErr w:type="spellStart"/>
            <w:r w:rsidRPr="00055E91">
              <w:rPr>
                <w:rFonts w:ascii="Arial Narrow" w:hAnsi="Arial Narrow"/>
              </w:rPr>
              <w:t>ti,ab,kw</w:t>
            </w:r>
            <w:proofErr w:type="spellEnd"/>
            <w:r w:rsidRPr="00055E91">
              <w:rPr>
                <w:rFonts w:ascii="Arial Narrow" w:hAnsi="Arial Narrow"/>
              </w:rPr>
              <w:t xml:space="preserve"> OR '</w:t>
            </w:r>
            <w:proofErr w:type="spellStart"/>
            <w:r w:rsidRPr="00055E91">
              <w:rPr>
                <w:rFonts w:ascii="Arial Narrow" w:hAnsi="Arial Narrow"/>
              </w:rPr>
              <w:t>ppv</w:t>
            </w:r>
            <w:proofErr w:type="spellEnd"/>
            <w:r w:rsidRPr="00055E91">
              <w:rPr>
                <w:rFonts w:ascii="Arial Narrow" w:hAnsi="Arial Narrow"/>
              </w:rPr>
              <w:t>':</w:t>
            </w:r>
            <w:proofErr w:type="spellStart"/>
            <w:r w:rsidRPr="00055E91">
              <w:rPr>
                <w:rFonts w:ascii="Arial Narrow" w:hAnsi="Arial Narrow"/>
              </w:rPr>
              <w:t>ti,ab,kw</w:t>
            </w:r>
            <w:proofErr w:type="spellEnd"/>
            <w:r w:rsidRPr="00055E91">
              <w:rPr>
                <w:rFonts w:ascii="Arial Narrow" w:hAnsi="Arial Narrow"/>
              </w:rPr>
              <w:t xml:space="preserve"> OR 'negative predictive value':</w:t>
            </w:r>
            <w:proofErr w:type="spellStart"/>
            <w:r w:rsidRPr="00055E91">
              <w:rPr>
                <w:rFonts w:ascii="Arial Narrow" w:hAnsi="Arial Narrow"/>
              </w:rPr>
              <w:t>ti,ab,kw</w:t>
            </w:r>
            <w:proofErr w:type="spellEnd"/>
            <w:r w:rsidRPr="00055E91">
              <w:rPr>
                <w:rFonts w:ascii="Arial Narrow" w:hAnsi="Arial Narrow"/>
              </w:rPr>
              <w:t xml:space="preserve"> OR '</w:t>
            </w:r>
            <w:proofErr w:type="spellStart"/>
            <w:r w:rsidRPr="00055E91">
              <w:rPr>
                <w:rFonts w:ascii="Arial Narrow" w:hAnsi="Arial Narrow"/>
              </w:rPr>
              <w:t>npv</w:t>
            </w:r>
            <w:proofErr w:type="spellEnd"/>
            <w:r w:rsidRPr="00055E91">
              <w:rPr>
                <w:rFonts w:ascii="Arial Narrow" w:hAnsi="Arial Narrow"/>
              </w:rPr>
              <w:t>':</w:t>
            </w:r>
            <w:proofErr w:type="spellStart"/>
            <w:r w:rsidRPr="00055E91">
              <w:rPr>
                <w:rFonts w:ascii="Arial Narrow" w:hAnsi="Arial Narrow"/>
              </w:rPr>
              <w:t>ti,ab,kw</w:t>
            </w:r>
            <w:proofErr w:type="spellEnd"/>
            <w:r w:rsidRPr="00055E91">
              <w:rPr>
                <w:rFonts w:ascii="Arial Narrow" w:hAnsi="Arial Narrow"/>
              </w:rPr>
              <w:t xml:space="preserve"> OR 'predictive value':</w:t>
            </w:r>
            <w:proofErr w:type="spellStart"/>
            <w:r w:rsidRPr="00055E91">
              <w:rPr>
                <w:rFonts w:ascii="Arial Narrow" w:hAnsi="Arial Narrow"/>
              </w:rPr>
              <w:t>ti,ab,kw</w:t>
            </w:r>
            <w:proofErr w:type="spellEnd"/>
          </w:p>
        </w:tc>
      </w:tr>
    </w:tbl>
    <w:p w14:paraId="0F28B7D8" w14:textId="77777777" w:rsidR="00E4281E" w:rsidRPr="00055E91" w:rsidRDefault="00E4281E" w:rsidP="00E4281E">
      <w:pPr>
        <w:pStyle w:val="TableNotes2"/>
      </w:pPr>
      <w:r w:rsidRPr="00055E91">
        <w:t>Abbreviations – NT-</w:t>
      </w:r>
      <w:proofErr w:type="spellStart"/>
      <w:r w:rsidRPr="00055E91">
        <w:t>proBNP</w:t>
      </w:r>
      <w:proofErr w:type="spellEnd"/>
      <w:r w:rsidRPr="00055E91">
        <w:t>: n terminal pro b type natriuretic peptide</w:t>
      </w:r>
    </w:p>
    <w:p w14:paraId="2821A1ED" w14:textId="77777777" w:rsidR="00E4281E" w:rsidRPr="001F7A91" w:rsidRDefault="00E4281E" w:rsidP="00E4281E">
      <w:r w:rsidRPr="001F7A91">
        <w:rPr>
          <w:iCs/>
        </w:rPr>
        <w:t>The</w:t>
      </w:r>
      <w:r>
        <w:rPr>
          <w:iCs/>
        </w:rPr>
        <w:t xml:space="preserve"> ADAR did not provide a</w:t>
      </w:r>
      <w:r w:rsidRPr="001F7A91">
        <w:t xml:space="preserve"> description of the number of articles identified for each search string. The use of the diagnostic performance string would not be appropriate to search for articles reporting on health outcomes or on change in management outcomes.</w:t>
      </w:r>
    </w:p>
    <w:p w14:paraId="2D4DCD60" w14:textId="77777777" w:rsidR="00E4281E" w:rsidRPr="00055E91" w:rsidRDefault="00E4281E" w:rsidP="00E4281E">
      <w:r w:rsidRPr="00055E91">
        <w:t>Summary of the included evidence for Population 1.</w:t>
      </w:r>
    </w:p>
    <w:p w14:paraId="1CCCB245" w14:textId="33BCC310" w:rsidR="00E4281E" w:rsidRPr="00055E91" w:rsidRDefault="00E4281E" w:rsidP="005A3600">
      <w:pPr>
        <w:pStyle w:val="TableHeading0"/>
        <w:keepNext/>
      </w:pPr>
      <w:r>
        <w:t xml:space="preserve">Table </w:t>
      </w:r>
      <w:r>
        <w:fldChar w:fldCharType="begin"/>
      </w:r>
      <w:r>
        <w:instrText>SEQ Table_CES \* ARABIC</w:instrText>
      </w:r>
      <w:r>
        <w:fldChar w:fldCharType="separate"/>
      </w:r>
      <w:r w:rsidR="00D270D9">
        <w:rPr>
          <w:noProof/>
        </w:rPr>
        <w:t>3</w:t>
      </w:r>
      <w:r>
        <w:fldChar w:fldCharType="end"/>
      </w:r>
      <w:r w:rsidRPr="00055E91">
        <w:tab/>
        <w:t>Key features of the key included evidence</w:t>
      </w:r>
    </w:p>
    <w:tbl>
      <w:tblPr>
        <w:tblStyle w:val="TableGrid1"/>
        <w:tblW w:w="5000" w:type="pct"/>
        <w:tblCellMar>
          <w:left w:w="28" w:type="dxa"/>
          <w:right w:w="28" w:type="dxa"/>
        </w:tblCellMar>
        <w:tblLook w:val="04A0" w:firstRow="1" w:lastRow="0" w:firstColumn="1" w:lastColumn="0" w:noHBand="0" w:noVBand="1"/>
      </w:tblPr>
      <w:tblGrid>
        <w:gridCol w:w="1288"/>
        <w:gridCol w:w="840"/>
        <w:gridCol w:w="1410"/>
        <w:gridCol w:w="1120"/>
        <w:gridCol w:w="1434"/>
        <w:gridCol w:w="1233"/>
        <w:gridCol w:w="1691"/>
      </w:tblGrid>
      <w:tr w:rsidR="00E4281E" w:rsidRPr="00055E91" w14:paraId="016F6CCD" w14:textId="77777777" w:rsidTr="00E4281E">
        <w:trPr>
          <w:cnfStyle w:val="100000000000" w:firstRow="1" w:lastRow="0" w:firstColumn="0" w:lastColumn="0" w:oddVBand="0" w:evenVBand="0" w:oddHBand="0" w:evenHBand="0" w:firstRowFirstColumn="0" w:firstRowLastColumn="0" w:lastRowFirstColumn="0" w:lastRowLastColumn="0"/>
          <w:cantSplit/>
          <w:tblHeader/>
        </w:trPr>
        <w:tc>
          <w:tcPr>
            <w:tcW w:w="714" w:type="pct"/>
            <w:shd w:val="clear" w:color="auto" w:fill="auto"/>
            <w:vAlign w:val="center"/>
          </w:tcPr>
          <w:p w14:paraId="73DFC519" w14:textId="77777777" w:rsidR="00E4281E" w:rsidRPr="00055E91" w:rsidRDefault="00E4281E" w:rsidP="00E4281E">
            <w:pPr>
              <w:keepNext/>
              <w:spacing w:before="0" w:after="0"/>
              <w:rPr>
                <w:rFonts w:ascii="Arial Narrow" w:eastAsiaTheme="majorEastAsia" w:hAnsi="Arial Narrow"/>
                <w:b/>
                <w:szCs w:val="24"/>
                <w:lang w:val="en-US"/>
              </w:rPr>
            </w:pPr>
            <w:r w:rsidRPr="00055E91">
              <w:rPr>
                <w:rFonts w:ascii="Arial Narrow" w:eastAsiaTheme="majorEastAsia" w:hAnsi="Arial Narrow"/>
                <w:b/>
                <w:szCs w:val="24"/>
                <w:lang w:val="en-US"/>
              </w:rPr>
              <w:t>References</w:t>
            </w:r>
          </w:p>
        </w:tc>
        <w:tc>
          <w:tcPr>
            <w:tcW w:w="466" w:type="pct"/>
            <w:shd w:val="clear" w:color="auto" w:fill="auto"/>
            <w:vAlign w:val="center"/>
          </w:tcPr>
          <w:p w14:paraId="6A994D96"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N</w:t>
            </w:r>
          </w:p>
        </w:tc>
        <w:tc>
          <w:tcPr>
            <w:tcW w:w="782" w:type="pct"/>
            <w:shd w:val="clear" w:color="auto" w:fill="auto"/>
            <w:vAlign w:val="center"/>
          </w:tcPr>
          <w:p w14:paraId="164256ED"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Study Design</w:t>
            </w:r>
          </w:p>
        </w:tc>
        <w:tc>
          <w:tcPr>
            <w:tcW w:w="621" w:type="pct"/>
            <w:shd w:val="clear" w:color="auto" w:fill="auto"/>
            <w:vAlign w:val="center"/>
          </w:tcPr>
          <w:p w14:paraId="0A0D7700"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Risk of bias</w:t>
            </w:r>
          </w:p>
        </w:tc>
        <w:tc>
          <w:tcPr>
            <w:tcW w:w="795" w:type="pct"/>
            <w:shd w:val="clear" w:color="auto" w:fill="auto"/>
            <w:vAlign w:val="center"/>
          </w:tcPr>
          <w:p w14:paraId="419AF79E"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Patient population</w:t>
            </w:r>
          </w:p>
        </w:tc>
        <w:tc>
          <w:tcPr>
            <w:tcW w:w="684" w:type="pct"/>
            <w:shd w:val="clear" w:color="auto" w:fill="auto"/>
            <w:vAlign w:val="center"/>
          </w:tcPr>
          <w:p w14:paraId="711A4036"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Outcome(s)</w:t>
            </w:r>
          </w:p>
        </w:tc>
        <w:tc>
          <w:tcPr>
            <w:tcW w:w="938" w:type="pct"/>
            <w:shd w:val="clear" w:color="auto" w:fill="auto"/>
            <w:vAlign w:val="center"/>
          </w:tcPr>
          <w:p w14:paraId="171E5354"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Use in modelled evaluation</w:t>
            </w:r>
          </w:p>
        </w:tc>
      </w:tr>
      <w:tr w:rsidR="00E4281E" w:rsidRPr="00055E91" w14:paraId="60DAA06D" w14:textId="77777777" w:rsidTr="00E4281E">
        <w:trPr>
          <w:cantSplit/>
        </w:trPr>
        <w:tc>
          <w:tcPr>
            <w:tcW w:w="5000" w:type="pct"/>
            <w:gridSpan w:val="7"/>
            <w:shd w:val="clear" w:color="auto" w:fill="auto"/>
            <w:vAlign w:val="center"/>
          </w:tcPr>
          <w:p w14:paraId="2AAD9930" w14:textId="77777777" w:rsidR="00E4281E" w:rsidRPr="00055E91" w:rsidRDefault="00E4281E" w:rsidP="00E4281E">
            <w:pPr>
              <w:keepNext/>
              <w:spacing w:before="40"/>
              <w:rPr>
                <w:rFonts w:ascii="Arial Narrow" w:eastAsiaTheme="majorEastAsia" w:hAnsi="Arial Narrow"/>
                <w:b/>
                <w:szCs w:val="24"/>
                <w:lang w:val="en-US"/>
              </w:rPr>
            </w:pPr>
            <w:r w:rsidRPr="00055E91">
              <w:rPr>
                <w:rFonts w:ascii="Arial Narrow" w:eastAsiaTheme="majorEastAsia" w:hAnsi="Arial Narrow"/>
                <w:b/>
                <w:szCs w:val="24"/>
                <w:lang w:val="en-US"/>
              </w:rPr>
              <w:t>Accuracy of the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 xml:space="preserve"> assay compared to RHC to detect </w:t>
            </w:r>
            <w:proofErr w:type="spellStart"/>
            <w:r w:rsidRPr="00055E91">
              <w:rPr>
                <w:rFonts w:ascii="Arial Narrow" w:eastAsiaTheme="majorEastAsia" w:hAnsi="Arial Narrow"/>
                <w:b/>
                <w:szCs w:val="24"/>
                <w:lang w:val="en-US"/>
              </w:rPr>
              <w:t>SSc</w:t>
            </w:r>
            <w:proofErr w:type="spellEnd"/>
            <w:r w:rsidRPr="00055E91">
              <w:rPr>
                <w:rFonts w:ascii="Arial Narrow" w:eastAsiaTheme="majorEastAsia" w:hAnsi="Arial Narrow"/>
                <w:b/>
                <w:szCs w:val="24"/>
                <w:lang w:val="en-US"/>
              </w:rPr>
              <w:t>-PAH</w:t>
            </w:r>
          </w:p>
        </w:tc>
      </w:tr>
      <w:tr w:rsidR="00E4281E" w:rsidRPr="00055E91" w14:paraId="558A145E" w14:textId="77777777" w:rsidTr="00E4281E">
        <w:trPr>
          <w:cantSplit/>
        </w:trPr>
        <w:tc>
          <w:tcPr>
            <w:tcW w:w="714" w:type="pct"/>
          </w:tcPr>
          <w:p w14:paraId="3E4960B5" w14:textId="77777777" w:rsidR="00E4281E" w:rsidRPr="00055E91" w:rsidRDefault="00E4281E" w:rsidP="00E4281E">
            <w:pPr>
              <w:spacing w:before="40"/>
              <w:rPr>
                <w:rFonts w:ascii="Arial Narrow" w:hAnsi="Arial Narrow"/>
                <w:lang w:val="en-US"/>
              </w:rPr>
            </w:pPr>
            <w:r w:rsidRPr="00055E91">
              <w:rPr>
                <w:rFonts w:ascii="Arial Narrow" w:hAnsi="Arial Narrow"/>
              </w:rPr>
              <w:t>Williams et al. (2006)</w:t>
            </w:r>
          </w:p>
        </w:tc>
        <w:tc>
          <w:tcPr>
            <w:tcW w:w="466" w:type="pct"/>
            <w:shd w:val="clear" w:color="auto" w:fill="auto"/>
            <w:vAlign w:val="center"/>
          </w:tcPr>
          <w:p w14:paraId="200FDF8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109</w:t>
            </w:r>
          </w:p>
        </w:tc>
        <w:tc>
          <w:tcPr>
            <w:tcW w:w="782" w:type="pct"/>
            <w:shd w:val="clear" w:color="auto" w:fill="auto"/>
            <w:vAlign w:val="center"/>
          </w:tcPr>
          <w:p w14:paraId="1BFE83A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Case-control</w:t>
            </w:r>
          </w:p>
        </w:tc>
        <w:tc>
          <w:tcPr>
            <w:tcW w:w="621" w:type="pct"/>
            <w:shd w:val="clear" w:color="auto" w:fill="auto"/>
            <w:vAlign w:val="center"/>
          </w:tcPr>
          <w:p w14:paraId="0E0E4A95" w14:textId="77777777" w:rsidR="00E4281E" w:rsidRPr="00055E91" w:rsidRDefault="00E4281E" w:rsidP="00E4281E">
            <w:pPr>
              <w:spacing w:before="40"/>
              <w:jc w:val="center"/>
              <w:rPr>
                <w:rFonts w:ascii="Arial Narrow" w:hAnsi="Arial Narrow"/>
                <w:i/>
                <w:lang w:val="en-US"/>
              </w:rPr>
            </w:pPr>
            <w:r w:rsidRPr="00055E91">
              <w:rPr>
                <w:rFonts w:ascii="Arial Narrow" w:hAnsi="Arial Narrow"/>
                <w:i/>
                <w:lang w:val="en-US"/>
              </w:rPr>
              <w:t>Low</w:t>
            </w:r>
          </w:p>
        </w:tc>
        <w:tc>
          <w:tcPr>
            <w:tcW w:w="795" w:type="pct"/>
            <w:shd w:val="clear" w:color="auto" w:fill="auto"/>
            <w:vAlign w:val="center"/>
          </w:tcPr>
          <w:p w14:paraId="554FFB96"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787391F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04B2AC5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28E1386F" w14:textId="77777777" w:rsidTr="00E4281E">
        <w:trPr>
          <w:cantSplit/>
        </w:trPr>
        <w:tc>
          <w:tcPr>
            <w:tcW w:w="714" w:type="pct"/>
          </w:tcPr>
          <w:p w14:paraId="2D3C2BAC"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rPr>
              <w:t>Ciurzyński</w:t>
            </w:r>
            <w:proofErr w:type="spellEnd"/>
            <w:r w:rsidRPr="00055E91">
              <w:rPr>
                <w:rFonts w:ascii="Arial Narrow" w:hAnsi="Arial Narrow"/>
              </w:rPr>
              <w:t xml:space="preserve"> et al. (2008)</w:t>
            </w:r>
          </w:p>
        </w:tc>
        <w:tc>
          <w:tcPr>
            <w:tcW w:w="466" w:type="pct"/>
            <w:shd w:val="clear" w:color="auto" w:fill="auto"/>
            <w:vAlign w:val="center"/>
          </w:tcPr>
          <w:p w14:paraId="786430E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51</w:t>
            </w:r>
          </w:p>
        </w:tc>
        <w:tc>
          <w:tcPr>
            <w:tcW w:w="782" w:type="pct"/>
            <w:shd w:val="clear" w:color="auto" w:fill="auto"/>
            <w:vAlign w:val="center"/>
          </w:tcPr>
          <w:p w14:paraId="36B63DA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Case-control</w:t>
            </w:r>
          </w:p>
        </w:tc>
        <w:tc>
          <w:tcPr>
            <w:tcW w:w="621" w:type="pct"/>
            <w:shd w:val="clear" w:color="auto" w:fill="auto"/>
            <w:vAlign w:val="center"/>
          </w:tcPr>
          <w:p w14:paraId="08682130" w14:textId="77777777" w:rsidR="00E4281E" w:rsidRPr="00055E91" w:rsidRDefault="00E4281E" w:rsidP="00E4281E">
            <w:pPr>
              <w:spacing w:before="40"/>
              <w:jc w:val="center"/>
              <w:rPr>
                <w:rFonts w:ascii="Arial Narrow" w:hAnsi="Arial Narrow"/>
                <w:i/>
                <w:lang w:val="en-US"/>
              </w:rPr>
            </w:pPr>
            <w:r w:rsidRPr="00055E91">
              <w:rPr>
                <w:rFonts w:ascii="Arial Narrow" w:hAnsi="Arial Narrow"/>
                <w:i/>
                <w:lang w:val="en-US"/>
              </w:rPr>
              <w:t>High</w:t>
            </w:r>
          </w:p>
        </w:tc>
        <w:tc>
          <w:tcPr>
            <w:tcW w:w="795" w:type="pct"/>
            <w:shd w:val="clear" w:color="auto" w:fill="auto"/>
            <w:vAlign w:val="center"/>
          </w:tcPr>
          <w:p w14:paraId="1DCDE909"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7F71B36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47FBFB3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ECF254F" w14:textId="77777777" w:rsidTr="00E4281E">
        <w:trPr>
          <w:cantSplit/>
        </w:trPr>
        <w:tc>
          <w:tcPr>
            <w:tcW w:w="714" w:type="pct"/>
          </w:tcPr>
          <w:p w14:paraId="633ED0CA" w14:textId="77777777" w:rsidR="00E4281E" w:rsidRPr="00055E91" w:rsidRDefault="00E4281E" w:rsidP="00E4281E">
            <w:pPr>
              <w:spacing w:before="40"/>
              <w:rPr>
                <w:rFonts w:ascii="Arial Narrow" w:hAnsi="Arial Narrow"/>
                <w:lang w:val="en-US"/>
              </w:rPr>
            </w:pPr>
            <w:r w:rsidRPr="00055E91">
              <w:rPr>
                <w:rFonts w:ascii="Arial Narrow" w:hAnsi="Arial Narrow"/>
              </w:rPr>
              <w:t>Chung et al. (2017)</w:t>
            </w:r>
          </w:p>
        </w:tc>
        <w:tc>
          <w:tcPr>
            <w:tcW w:w="466" w:type="pct"/>
            <w:shd w:val="clear" w:color="auto" w:fill="auto"/>
            <w:vAlign w:val="center"/>
          </w:tcPr>
          <w:p w14:paraId="7BDCC6B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157</w:t>
            </w:r>
          </w:p>
        </w:tc>
        <w:tc>
          <w:tcPr>
            <w:tcW w:w="782" w:type="pct"/>
            <w:shd w:val="clear" w:color="auto" w:fill="auto"/>
            <w:vAlign w:val="center"/>
          </w:tcPr>
          <w:p w14:paraId="5FC186C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1E5C174C" w14:textId="77777777" w:rsidR="00E4281E" w:rsidRPr="00055E91" w:rsidRDefault="00E4281E" w:rsidP="00E4281E">
            <w:pPr>
              <w:spacing w:before="40"/>
              <w:jc w:val="center"/>
              <w:rPr>
                <w:rFonts w:ascii="Arial Narrow" w:hAnsi="Arial Narrow"/>
                <w:i/>
                <w:lang w:val="en-US"/>
              </w:rPr>
            </w:pPr>
            <w:r w:rsidRPr="00055E91">
              <w:rPr>
                <w:rFonts w:ascii="Arial Narrow" w:hAnsi="Arial Narrow"/>
                <w:i/>
                <w:lang w:val="en-US"/>
              </w:rPr>
              <w:t>Low</w:t>
            </w:r>
          </w:p>
        </w:tc>
        <w:tc>
          <w:tcPr>
            <w:tcW w:w="795" w:type="pct"/>
            <w:shd w:val="clear" w:color="auto" w:fill="auto"/>
            <w:vAlign w:val="center"/>
          </w:tcPr>
          <w:p w14:paraId="4DF68F62"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6E7751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7884196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1F59F76" w14:textId="77777777" w:rsidTr="00E4281E">
        <w:trPr>
          <w:cantSplit/>
        </w:trPr>
        <w:tc>
          <w:tcPr>
            <w:tcW w:w="714" w:type="pct"/>
          </w:tcPr>
          <w:p w14:paraId="6BD73E02"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rPr>
              <w:t>Cavagna</w:t>
            </w:r>
            <w:proofErr w:type="spellEnd"/>
            <w:r w:rsidRPr="00055E91">
              <w:rPr>
                <w:rFonts w:ascii="Arial Narrow" w:hAnsi="Arial Narrow"/>
              </w:rPr>
              <w:t xml:space="preserve"> et al. (2010)</w:t>
            </w:r>
          </w:p>
        </w:tc>
        <w:tc>
          <w:tcPr>
            <w:tcW w:w="466" w:type="pct"/>
            <w:shd w:val="clear" w:color="auto" w:fill="auto"/>
            <w:vAlign w:val="center"/>
          </w:tcPr>
          <w:p w14:paraId="3B72CBB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135</w:t>
            </w:r>
          </w:p>
        </w:tc>
        <w:tc>
          <w:tcPr>
            <w:tcW w:w="782" w:type="pct"/>
            <w:shd w:val="clear" w:color="auto" w:fill="auto"/>
            <w:vAlign w:val="center"/>
          </w:tcPr>
          <w:p w14:paraId="3DFED2A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Cohort</w:t>
            </w:r>
          </w:p>
        </w:tc>
        <w:tc>
          <w:tcPr>
            <w:tcW w:w="621" w:type="pct"/>
            <w:shd w:val="clear" w:color="auto" w:fill="auto"/>
            <w:vAlign w:val="center"/>
          </w:tcPr>
          <w:p w14:paraId="73E30A1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6807A0AC"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7ABD1D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659EA38F" w14:textId="77777777" w:rsidR="00E4281E" w:rsidRPr="00055E91" w:rsidRDefault="00E4281E" w:rsidP="00E4281E">
            <w:pPr>
              <w:spacing w:before="40"/>
              <w:jc w:val="center"/>
              <w:rPr>
                <w:rFonts w:ascii="Arial Narrow" w:hAnsi="Arial Narrow"/>
                <w:highlight w:val="yellow"/>
                <w:lang w:val="en-US"/>
              </w:rPr>
            </w:pPr>
            <w:r w:rsidRPr="00055E91">
              <w:rPr>
                <w:rFonts w:ascii="Arial Narrow" w:hAnsi="Arial Narrow"/>
                <w:lang w:val="en-US"/>
              </w:rPr>
              <w:t>Not used</w:t>
            </w:r>
          </w:p>
        </w:tc>
      </w:tr>
      <w:tr w:rsidR="00E4281E" w:rsidRPr="00055E91" w14:paraId="64DB5151" w14:textId="77777777" w:rsidTr="00E4281E">
        <w:trPr>
          <w:cantSplit/>
        </w:trPr>
        <w:tc>
          <w:tcPr>
            <w:tcW w:w="714" w:type="pct"/>
          </w:tcPr>
          <w:p w14:paraId="16F324AC"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rPr>
              <w:t>Mukerjee</w:t>
            </w:r>
            <w:proofErr w:type="spellEnd"/>
            <w:r w:rsidRPr="00055E91">
              <w:rPr>
                <w:rFonts w:ascii="Arial Narrow" w:hAnsi="Arial Narrow"/>
              </w:rPr>
              <w:t xml:space="preserve"> et al. (2003)</w:t>
            </w:r>
          </w:p>
        </w:tc>
        <w:tc>
          <w:tcPr>
            <w:tcW w:w="466" w:type="pct"/>
            <w:shd w:val="clear" w:color="auto" w:fill="auto"/>
            <w:vAlign w:val="center"/>
          </w:tcPr>
          <w:p w14:paraId="08D293C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49</w:t>
            </w:r>
          </w:p>
        </w:tc>
        <w:tc>
          <w:tcPr>
            <w:tcW w:w="782" w:type="pct"/>
            <w:shd w:val="clear" w:color="auto" w:fill="auto"/>
            <w:vAlign w:val="center"/>
          </w:tcPr>
          <w:p w14:paraId="117D1DF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07F2E47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Unclear</w:t>
            </w:r>
          </w:p>
        </w:tc>
        <w:tc>
          <w:tcPr>
            <w:tcW w:w="795" w:type="pct"/>
            <w:shd w:val="clear" w:color="auto" w:fill="auto"/>
            <w:vAlign w:val="center"/>
          </w:tcPr>
          <w:p w14:paraId="0C34A139"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5A19CD5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2AE66C7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65DDA561" w14:textId="77777777" w:rsidTr="00E4281E">
        <w:trPr>
          <w:cantSplit/>
        </w:trPr>
        <w:tc>
          <w:tcPr>
            <w:tcW w:w="714" w:type="pct"/>
          </w:tcPr>
          <w:p w14:paraId="4CCB6C96"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rPr>
              <w:t>Allanore</w:t>
            </w:r>
            <w:proofErr w:type="spellEnd"/>
            <w:r w:rsidRPr="00055E91">
              <w:rPr>
                <w:rFonts w:ascii="Arial Narrow" w:hAnsi="Arial Narrow"/>
              </w:rPr>
              <w:t xml:space="preserve"> et al. (2008)</w:t>
            </w:r>
          </w:p>
        </w:tc>
        <w:tc>
          <w:tcPr>
            <w:tcW w:w="466" w:type="pct"/>
            <w:shd w:val="clear" w:color="auto" w:fill="auto"/>
            <w:vAlign w:val="center"/>
          </w:tcPr>
          <w:p w14:paraId="3311A05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101</w:t>
            </w:r>
          </w:p>
        </w:tc>
        <w:tc>
          <w:tcPr>
            <w:tcW w:w="782" w:type="pct"/>
            <w:shd w:val="clear" w:color="auto" w:fill="auto"/>
            <w:vAlign w:val="center"/>
          </w:tcPr>
          <w:p w14:paraId="464202E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6D75253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422180A7"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1A51603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3EE4AD6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7E42869" w14:textId="77777777" w:rsidTr="00E4281E">
        <w:trPr>
          <w:cantSplit/>
        </w:trPr>
        <w:tc>
          <w:tcPr>
            <w:tcW w:w="714" w:type="pct"/>
          </w:tcPr>
          <w:p w14:paraId="031E6D55"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rPr>
              <w:lastRenderedPageBreak/>
              <w:t>Költő</w:t>
            </w:r>
            <w:proofErr w:type="spellEnd"/>
            <w:r w:rsidRPr="00055E91">
              <w:rPr>
                <w:rFonts w:ascii="Arial Narrow" w:hAnsi="Arial Narrow"/>
              </w:rPr>
              <w:t xml:space="preserve"> et al. (2014)6</w:t>
            </w:r>
          </w:p>
        </w:tc>
        <w:tc>
          <w:tcPr>
            <w:tcW w:w="466" w:type="pct"/>
            <w:shd w:val="clear" w:color="auto" w:fill="auto"/>
            <w:vAlign w:val="center"/>
          </w:tcPr>
          <w:p w14:paraId="4155095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144</w:t>
            </w:r>
          </w:p>
        </w:tc>
        <w:tc>
          <w:tcPr>
            <w:tcW w:w="782" w:type="pct"/>
            <w:shd w:val="clear" w:color="auto" w:fill="auto"/>
            <w:vAlign w:val="center"/>
          </w:tcPr>
          <w:p w14:paraId="7654B9B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2B662B5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0998FAAE"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4CD58B6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3752A08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3709C4A8" w14:textId="77777777" w:rsidTr="00E4281E">
        <w:trPr>
          <w:cantSplit/>
        </w:trPr>
        <w:tc>
          <w:tcPr>
            <w:tcW w:w="714" w:type="pct"/>
            <w:shd w:val="clear" w:color="auto" w:fill="auto"/>
            <w:vAlign w:val="center"/>
          </w:tcPr>
          <w:p w14:paraId="06EF4327"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w:t>
            </w:r>
          </w:p>
        </w:tc>
        <w:tc>
          <w:tcPr>
            <w:tcW w:w="466" w:type="pct"/>
            <w:shd w:val="clear" w:color="auto" w:fill="auto"/>
            <w:vAlign w:val="center"/>
          </w:tcPr>
          <w:p w14:paraId="23EFDE2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747</w:t>
            </w:r>
          </w:p>
        </w:tc>
        <w:tc>
          <w:tcPr>
            <w:tcW w:w="2882" w:type="pct"/>
            <w:gridSpan w:val="4"/>
            <w:shd w:val="clear" w:color="auto" w:fill="auto"/>
            <w:vAlign w:val="center"/>
          </w:tcPr>
          <w:p w14:paraId="442A2D5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 Included: Williams et al. (2006), </w:t>
            </w:r>
            <w:proofErr w:type="spellStart"/>
            <w:r w:rsidRPr="00055E91">
              <w:rPr>
                <w:rFonts w:ascii="Arial Narrow" w:hAnsi="Arial Narrow"/>
                <w:lang w:val="en-US"/>
              </w:rPr>
              <w:t>Ciurzyński</w:t>
            </w:r>
            <w:proofErr w:type="spellEnd"/>
            <w:r w:rsidRPr="00055E91">
              <w:rPr>
                <w:rFonts w:ascii="Arial Narrow" w:hAnsi="Arial Narrow"/>
                <w:lang w:val="en-US"/>
              </w:rPr>
              <w:t xml:space="preserve"> et al. (2008), Chung et al. (2017), </w:t>
            </w:r>
            <w:proofErr w:type="spellStart"/>
            <w:r w:rsidRPr="00055E91">
              <w:rPr>
                <w:rFonts w:ascii="Arial Narrow" w:hAnsi="Arial Narrow"/>
                <w:lang w:val="en-US"/>
              </w:rPr>
              <w:t>Cavagna</w:t>
            </w:r>
            <w:proofErr w:type="spellEnd"/>
            <w:r w:rsidRPr="00055E91">
              <w:rPr>
                <w:rFonts w:ascii="Arial Narrow" w:hAnsi="Arial Narrow"/>
                <w:lang w:val="en-US"/>
              </w:rPr>
              <w:t xml:space="preserve"> et al. (2010), </w:t>
            </w:r>
            <w:proofErr w:type="spellStart"/>
            <w:r w:rsidRPr="00055E91">
              <w:rPr>
                <w:rFonts w:ascii="Arial Narrow" w:hAnsi="Arial Narrow"/>
                <w:lang w:val="en-US"/>
              </w:rPr>
              <w:t>Mukerjee</w:t>
            </w:r>
            <w:proofErr w:type="spellEnd"/>
            <w:r w:rsidRPr="00055E91">
              <w:rPr>
                <w:rFonts w:ascii="Arial Narrow" w:hAnsi="Arial Narrow"/>
                <w:lang w:val="en-US"/>
              </w:rPr>
              <w:t xml:space="preserve"> et al. (2003), </w:t>
            </w:r>
            <w:proofErr w:type="spellStart"/>
            <w:r w:rsidRPr="00055E91">
              <w:rPr>
                <w:rFonts w:ascii="Arial Narrow" w:hAnsi="Arial Narrow"/>
                <w:lang w:val="en-US"/>
              </w:rPr>
              <w:t>Allanore</w:t>
            </w:r>
            <w:proofErr w:type="spellEnd"/>
            <w:r w:rsidRPr="00055E91">
              <w:rPr>
                <w:rFonts w:ascii="Arial Narrow" w:hAnsi="Arial Narrow"/>
                <w:lang w:val="en-US"/>
              </w:rPr>
              <w:t xml:space="preserve"> et al. (2008) and </w:t>
            </w:r>
            <w:proofErr w:type="spellStart"/>
            <w:r w:rsidRPr="00055E91">
              <w:rPr>
                <w:rFonts w:ascii="Arial Narrow" w:hAnsi="Arial Narrow"/>
                <w:lang w:val="en-US"/>
              </w:rPr>
              <w:t>Költő</w:t>
            </w:r>
            <w:proofErr w:type="spellEnd"/>
            <w:r w:rsidRPr="00055E91">
              <w:rPr>
                <w:rFonts w:ascii="Arial Narrow" w:hAnsi="Arial Narrow"/>
                <w:lang w:val="en-US"/>
              </w:rPr>
              <w:t xml:space="preserve"> et al. (2014)6</w:t>
            </w:r>
          </w:p>
        </w:tc>
        <w:tc>
          <w:tcPr>
            <w:tcW w:w="938" w:type="pct"/>
            <w:shd w:val="clear" w:color="auto" w:fill="auto"/>
            <w:vAlign w:val="center"/>
          </w:tcPr>
          <w:p w14:paraId="211B7FF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4610455F" w14:textId="77777777" w:rsidTr="00E4281E">
        <w:trPr>
          <w:cantSplit/>
        </w:trPr>
        <w:tc>
          <w:tcPr>
            <w:tcW w:w="5000" w:type="pct"/>
            <w:gridSpan w:val="7"/>
            <w:shd w:val="clear" w:color="auto" w:fill="auto"/>
            <w:vAlign w:val="center"/>
          </w:tcPr>
          <w:p w14:paraId="0CCA4045" w14:textId="77777777" w:rsidR="00E4281E" w:rsidRPr="00055E91" w:rsidRDefault="00E4281E" w:rsidP="00E4281E">
            <w:pPr>
              <w:keepNext/>
              <w:spacing w:before="40"/>
              <w:rPr>
                <w:rFonts w:ascii="Arial Narrow" w:eastAsiaTheme="majorEastAsia" w:hAnsi="Arial Narrow"/>
                <w:b/>
                <w:szCs w:val="24"/>
                <w:lang w:val="en-US"/>
              </w:rPr>
            </w:pPr>
            <w:r w:rsidRPr="00055E91">
              <w:rPr>
                <w:rFonts w:ascii="Arial Narrow" w:eastAsiaTheme="majorEastAsia" w:hAnsi="Arial Narrow"/>
                <w:b/>
                <w:szCs w:val="24"/>
                <w:lang w:val="en-US"/>
              </w:rPr>
              <w:t>Accuracy of the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 xml:space="preserve">-based algorithms compared to RHC to detect </w:t>
            </w:r>
            <w:proofErr w:type="spellStart"/>
            <w:r w:rsidRPr="00055E91">
              <w:rPr>
                <w:rFonts w:ascii="Arial Narrow" w:eastAsiaTheme="majorEastAsia" w:hAnsi="Arial Narrow"/>
                <w:b/>
                <w:szCs w:val="24"/>
                <w:lang w:val="en-US"/>
              </w:rPr>
              <w:t>SSc</w:t>
            </w:r>
            <w:proofErr w:type="spellEnd"/>
            <w:r w:rsidRPr="00055E91">
              <w:rPr>
                <w:rFonts w:ascii="Arial Narrow" w:eastAsiaTheme="majorEastAsia" w:hAnsi="Arial Narrow"/>
                <w:b/>
                <w:szCs w:val="24"/>
                <w:lang w:val="en-US"/>
              </w:rPr>
              <w:t>-PAH</w:t>
            </w:r>
          </w:p>
        </w:tc>
      </w:tr>
      <w:tr w:rsidR="00E4281E" w:rsidRPr="00055E91" w14:paraId="75652570" w14:textId="77777777" w:rsidTr="00E4281E">
        <w:trPr>
          <w:cantSplit/>
        </w:trPr>
        <w:tc>
          <w:tcPr>
            <w:tcW w:w="714" w:type="pct"/>
          </w:tcPr>
          <w:p w14:paraId="79423117" w14:textId="77777777" w:rsidR="00E4281E" w:rsidRPr="00055E91" w:rsidRDefault="00E4281E" w:rsidP="00E4281E">
            <w:pPr>
              <w:spacing w:before="40"/>
              <w:rPr>
                <w:rFonts w:ascii="Arial Narrow" w:hAnsi="Arial Narrow"/>
                <w:lang w:val="en-US"/>
              </w:rPr>
            </w:pPr>
            <w:r w:rsidRPr="00055E91">
              <w:rPr>
                <w:rFonts w:ascii="Arial Narrow" w:hAnsi="Arial Narrow"/>
              </w:rPr>
              <w:t>Hao et al. (2015)</w:t>
            </w:r>
          </w:p>
        </w:tc>
        <w:tc>
          <w:tcPr>
            <w:tcW w:w="466" w:type="pct"/>
            <w:shd w:val="clear" w:color="auto" w:fill="auto"/>
            <w:vAlign w:val="center"/>
          </w:tcPr>
          <w:p w14:paraId="7B62288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37</w:t>
            </w:r>
          </w:p>
        </w:tc>
        <w:tc>
          <w:tcPr>
            <w:tcW w:w="782" w:type="pct"/>
            <w:shd w:val="clear" w:color="auto" w:fill="auto"/>
            <w:vAlign w:val="center"/>
          </w:tcPr>
          <w:p w14:paraId="7FBAAA52"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cohort</w:t>
            </w:r>
          </w:p>
        </w:tc>
        <w:tc>
          <w:tcPr>
            <w:tcW w:w="621" w:type="pct"/>
            <w:shd w:val="clear" w:color="auto" w:fill="auto"/>
            <w:vAlign w:val="center"/>
          </w:tcPr>
          <w:p w14:paraId="37250AC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231BE317"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7FE3BEE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5F204E3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04F4E4CC" w14:textId="77777777" w:rsidTr="00E4281E">
        <w:trPr>
          <w:cantSplit/>
        </w:trPr>
        <w:tc>
          <w:tcPr>
            <w:tcW w:w="714" w:type="pct"/>
          </w:tcPr>
          <w:p w14:paraId="445A1FE4" w14:textId="77777777" w:rsidR="00E4281E" w:rsidRPr="00055E91" w:rsidRDefault="00E4281E" w:rsidP="00E4281E">
            <w:pPr>
              <w:spacing w:before="40"/>
              <w:rPr>
                <w:rFonts w:ascii="Arial Narrow" w:hAnsi="Arial Narrow"/>
                <w:lang w:val="en-US"/>
              </w:rPr>
            </w:pPr>
            <w:r w:rsidRPr="00055E91">
              <w:rPr>
                <w:rFonts w:ascii="Arial Narrow" w:hAnsi="Arial Narrow"/>
              </w:rPr>
              <w:t>Thakkar et al. (2013)</w:t>
            </w:r>
          </w:p>
        </w:tc>
        <w:tc>
          <w:tcPr>
            <w:tcW w:w="466" w:type="pct"/>
            <w:shd w:val="clear" w:color="auto" w:fill="auto"/>
            <w:vAlign w:val="center"/>
          </w:tcPr>
          <w:p w14:paraId="50863E6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39</w:t>
            </w:r>
          </w:p>
        </w:tc>
        <w:tc>
          <w:tcPr>
            <w:tcW w:w="782" w:type="pct"/>
            <w:shd w:val="clear" w:color="auto" w:fill="auto"/>
            <w:vAlign w:val="center"/>
          </w:tcPr>
          <w:p w14:paraId="4913CCD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Cohort</w:t>
            </w:r>
          </w:p>
        </w:tc>
        <w:tc>
          <w:tcPr>
            <w:tcW w:w="621" w:type="pct"/>
            <w:shd w:val="clear" w:color="auto" w:fill="auto"/>
            <w:vAlign w:val="center"/>
          </w:tcPr>
          <w:p w14:paraId="17A5C6B2"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High</w:t>
            </w:r>
          </w:p>
        </w:tc>
        <w:tc>
          <w:tcPr>
            <w:tcW w:w="795" w:type="pct"/>
            <w:shd w:val="clear" w:color="auto" w:fill="auto"/>
            <w:vAlign w:val="center"/>
          </w:tcPr>
          <w:p w14:paraId="4DC460CC"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1C24C8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15FF79E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4C8C3E61" w14:textId="77777777" w:rsidTr="00E4281E">
        <w:trPr>
          <w:cantSplit/>
        </w:trPr>
        <w:tc>
          <w:tcPr>
            <w:tcW w:w="714" w:type="pct"/>
          </w:tcPr>
          <w:p w14:paraId="41FA27F9" w14:textId="77777777" w:rsidR="00E4281E" w:rsidRPr="00055E91" w:rsidRDefault="00E4281E" w:rsidP="00E4281E">
            <w:pPr>
              <w:spacing w:before="40"/>
              <w:rPr>
                <w:rFonts w:ascii="Arial Narrow" w:hAnsi="Arial Narrow"/>
              </w:rPr>
            </w:pPr>
            <w:r w:rsidRPr="00055E91">
              <w:rPr>
                <w:rFonts w:ascii="Arial Narrow" w:hAnsi="Arial Narrow"/>
              </w:rPr>
              <w:t>Bauer et al. (2021)</w:t>
            </w:r>
          </w:p>
        </w:tc>
        <w:tc>
          <w:tcPr>
            <w:tcW w:w="466" w:type="pct"/>
            <w:shd w:val="clear" w:color="auto" w:fill="auto"/>
            <w:vAlign w:val="center"/>
          </w:tcPr>
          <w:p w14:paraId="34DC485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201</w:t>
            </w:r>
          </w:p>
        </w:tc>
        <w:tc>
          <w:tcPr>
            <w:tcW w:w="782" w:type="pct"/>
            <w:shd w:val="clear" w:color="auto" w:fill="auto"/>
            <w:vAlign w:val="center"/>
          </w:tcPr>
          <w:p w14:paraId="01CFCCA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Cohort </w:t>
            </w:r>
          </w:p>
        </w:tc>
        <w:tc>
          <w:tcPr>
            <w:tcW w:w="621" w:type="pct"/>
            <w:shd w:val="clear" w:color="auto" w:fill="auto"/>
            <w:vAlign w:val="center"/>
          </w:tcPr>
          <w:p w14:paraId="1BEB127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24301303"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635611E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77F9FDD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323A2CF5" w14:textId="77777777" w:rsidTr="00E4281E">
        <w:trPr>
          <w:cantSplit/>
        </w:trPr>
        <w:tc>
          <w:tcPr>
            <w:tcW w:w="714" w:type="pct"/>
          </w:tcPr>
          <w:p w14:paraId="3B41F345" w14:textId="77777777" w:rsidR="00E4281E" w:rsidRPr="00055E91" w:rsidRDefault="00E4281E" w:rsidP="00E4281E">
            <w:pPr>
              <w:spacing w:before="40"/>
              <w:rPr>
                <w:rFonts w:ascii="Arial Narrow" w:hAnsi="Arial Narrow"/>
              </w:rPr>
            </w:pPr>
            <w:r w:rsidRPr="00055E91">
              <w:rPr>
                <w:rFonts w:ascii="Arial Narrow" w:hAnsi="Arial Narrow"/>
              </w:rPr>
              <w:t>Castillo et al. (2017)</w:t>
            </w:r>
          </w:p>
        </w:tc>
        <w:tc>
          <w:tcPr>
            <w:tcW w:w="466" w:type="pct"/>
            <w:shd w:val="clear" w:color="auto" w:fill="auto"/>
            <w:vAlign w:val="center"/>
          </w:tcPr>
          <w:p w14:paraId="6C1E645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63</w:t>
            </w:r>
          </w:p>
        </w:tc>
        <w:tc>
          <w:tcPr>
            <w:tcW w:w="782" w:type="pct"/>
            <w:shd w:val="clear" w:color="auto" w:fill="auto"/>
            <w:vAlign w:val="center"/>
          </w:tcPr>
          <w:p w14:paraId="64FC92B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cohort</w:t>
            </w:r>
          </w:p>
        </w:tc>
        <w:tc>
          <w:tcPr>
            <w:tcW w:w="621" w:type="pct"/>
            <w:shd w:val="clear" w:color="auto" w:fill="auto"/>
            <w:vAlign w:val="center"/>
          </w:tcPr>
          <w:p w14:paraId="489504A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Low</w:t>
            </w:r>
          </w:p>
        </w:tc>
        <w:tc>
          <w:tcPr>
            <w:tcW w:w="795" w:type="pct"/>
            <w:shd w:val="clear" w:color="auto" w:fill="auto"/>
            <w:vAlign w:val="center"/>
          </w:tcPr>
          <w:p w14:paraId="17DFEE15"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4BD61B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7059706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0CDE4C4" w14:textId="77777777" w:rsidTr="00E4281E">
        <w:trPr>
          <w:cantSplit/>
        </w:trPr>
        <w:tc>
          <w:tcPr>
            <w:tcW w:w="714" w:type="pct"/>
          </w:tcPr>
          <w:p w14:paraId="7CDB917C" w14:textId="77777777" w:rsidR="00E4281E" w:rsidRPr="00055E91" w:rsidRDefault="00E4281E" w:rsidP="00E4281E">
            <w:pPr>
              <w:spacing w:before="40"/>
              <w:rPr>
                <w:rFonts w:ascii="Arial Narrow" w:hAnsi="Arial Narrow"/>
              </w:rPr>
            </w:pPr>
            <w:r w:rsidRPr="00055E91">
              <w:rPr>
                <w:rFonts w:ascii="Arial Narrow" w:hAnsi="Arial Narrow"/>
              </w:rPr>
              <w:t>Coghlan et al. (2014)</w:t>
            </w:r>
          </w:p>
        </w:tc>
        <w:tc>
          <w:tcPr>
            <w:tcW w:w="466" w:type="pct"/>
            <w:shd w:val="clear" w:color="auto" w:fill="auto"/>
            <w:vAlign w:val="center"/>
          </w:tcPr>
          <w:p w14:paraId="0E69442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319</w:t>
            </w:r>
          </w:p>
        </w:tc>
        <w:tc>
          <w:tcPr>
            <w:tcW w:w="782" w:type="pct"/>
            <w:shd w:val="clear" w:color="auto" w:fill="auto"/>
            <w:vAlign w:val="center"/>
          </w:tcPr>
          <w:p w14:paraId="77673FB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Cohort </w:t>
            </w:r>
          </w:p>
        </w:tc>
        <w:tc>
          <w:tcPr>
            <w:tcW w:w="621" w:type="pct"/>
            <w:shd w:val="clear" w:color="auto" w:fill="auto"/>
            <w:vAlign w:val="center"/>
          </w:tcPr>
          <w:p w14:paraId="4F03286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Unclear</w:t>
            </w:r>
          </w:p>
        </w:tc>
        <w:tc>
          <w:tcPr>
            <w:tcW w:w="795" w:type="pct"/>
            <w:shd w:val="clear" w:color="auto" w:fill="auto"/>
            <w:vAlign w:val="center"/>
          </w:tcPr>
          <w:p w14:paraId="47315C12"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4BA5ECE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8" w:type="pct"/>
            <w:shd w:val="clear" w:color="auto" w:fill="auto"/>
            <w:vAlign w:val="center"/>
          </w:tcPr>
          <w:p w14:paraId="377EA6B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23552321" w14:textId="77777777" w:rsidTr="00E4281E">
        <w:trPr>
          <w:cantSplit/>
        </w:trPr>
        <w:tc>
          <w:tcPr>
            <w:tcW w:w="714" w:type="pct"/>
            <w:shd w:val="clear" w:color="auto" w:fill="auto"/>
            <w:vAlign w:val="center"/>
          </w:tcPr>
          <w:p w14:paraId="45CDEE79"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 (DETECT)</w:t>
            </w:r>
          </w:p>
        </w:tc>
        <w:tc>
          <w:tcPr>
            <w:tcW w:w="466" w:type="pct"/>
            <w:shd w:val="clear" w:color="auto" w:fill="auto"/>
            <w:vAlign w:val="center"/>
          </w:tcPr>
          <w:p w14:paraId="0842657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373</w:t>
            </w:r>
          </w:p>
        </w:tc>
        <w:tc>
          <w:tcPr>
            <w:tcW w:w="2882" w:type="pct"/>
            <w:gridSpan w:val="4"/>
            <w:shd w:val="clear" w:color="auto" w:fill="auto"/>
            <w:vAlign w:val="center"/>
          </w:tcPr>
          <w:p w14:paraId="763A261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Included: Bauer et al. (2021), Castillo et al. (2017), Coghlan et al. (2014) and</w:t>
            </w:r>
            <w:r w:rsidRPr="00055E91">
              <w:rPr>
                <w:rFonts w:ascii="Arial Narrow" w:hAnsi="Arial Narrow"/>
              </w:rPr>
              <w:t xml:space="preserve"> </w:t>
            </w:r>
            <w:r w:rsidRPr="00055E91">
              <w:rPr>
                <w:rFonts w:ascii="Arial Narrow" w:hAnsi="Arial Narrow"/>
                <w:lang w:val="en-US"/>
              </w:rPr>
              <w:t>Hao et al. (2015)</w:t>
            </w:r>
          </w:p>
        </w:tc>
        <w:tc>
          <w:tcPr>
            <w:tcW w:w="938" w:type="pct"/>
            <w:shd w:val="clear" w:color="auto" w:fill="auto"/>
            <w:vAlign w:val="center"/>
          </w:tcPr>
          <w:p w14:paraId="2FD5421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3FE45914" w14:textId="77777777" w:rsidTr="00E4281E">
        <w:trPr>
          <w:cantSplit/>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4317A5D"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 (ASIG)</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92FFF4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76</w:t>
            </w:r>
          </w:p>
        </w:tc>
        <w:tc>
          <w:tcPr>
            <w:tcW w:w="2882" w:type="pct"/>
            <w:gridSpan w:val="4"/>
            <w:shd w:val="clear" w:color="auto" w:fill="auto"/>
            <w:vAlign w:val="center"/>
          </w:tcPr>
          <w:p w14:paraId="51620BA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Included: Thakkar et al. (2013) and</w:t>
            </w:r>
            <w:r w:rsidRPr="00055E91">
              <w:rPr>
                <w:rFonts w:ascii="Arial Narrow" w:hAnsi="Arial Narrow"/>
              </w:rPr>
              <w:t xml:space="preserve"> </w:t>
            </w:r>
            <w:r w:rsidRPr="00055E91">
              <w:rPr>
                <w:rFonts w:ascii="Arial Narrow" w:hAnsi="Arial Narrow"/>
                <w:lang w:val="en-US"/>
              </w:rPr>
              <w:t>Hao et al. (2015)</w:t>
            </w:r>
          </w:p>
        </w:tc>
        <w:tc>
          <w:tcPr>
            <w:tcW w:w="938" w:type="pct"/>
            <w:shd w:val="clear" w:color="auto" w:fill="auto"/>
            <w:vAlign w:val="center"/>
          </w:tcPr>
          <w:p w14:paraId="396702D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0E12B458" w14:textId="77777777" w:rsidTr="00E4281E">
        <w:trPr>
          <w:cantSplit/>
        </w:trPr>
        <w:tc>
          <w:tcPr>
            <w:tcW w:w="714" w:type="pct"/>
            <w:shd w:val="clear" w:color="auto" w:fill="auto"/>
            <w:vAlign w:val="center"/>
          </w:tcPr>
          <w:p w14:paraId="363A3AD8"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 (ESC/ERS)</w:t>
            </w:r>
          </w:p>
        </w:tc>
        <w:tc>
          <w:tcPr>
            <w:tcW w:w="466" w:type="pct"/>
            <w:shd w:val="clear" w:color="auto" w:fill="auto"/>
            <w:vAlign w:val="center"/>
          </w:tcPr>
          <w:p w14:paraId="72F03D7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156</w:t>
            </w:r>
          </w:p>
        </w:tc>
        <w:tc>
          <w:tcPr>
            <w:tcW w:w="2882" w:type="pct"/>
            <w:gridSpan w:val="4"/>
            <w:shd w:val="clear" w:color="auto" w:fill="auto"/>
            <w:vAlign w:val="center"/>
          </w:tcPr>
          <w:p w14:paraId="0574007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Included: Castillo et al. (2017), Thakkar et al. (2013) and</w:t>
            </w:r>
            <w:r w:rsidRPr="00055E91">
              <w:rPr>
                <w:rFonts w:ascii="Arial Narrow" w:hAnsi="Arial Narrow"/>
              </w:rPr>
              <w:t xml:space="preserve"> </w:t>
            </w:r>
            <w:r w:rsidRPr="00055E91">
              <w:rPr>
                <w:rFonts w:ascii="Arial Narrow" w:hAnsi="Arial Narrow"/>
                <w:lang w:val="en-US"/>
              </w:rPr>
              <w:t>Hao et al. (2015)</w:t>
            </w:r>
          </w:p>
        </w:tc>
        <w:tc>
          <w:tcPr>
            <w:tcW w:w="938" w:type="pct"/>
            <w:shd w:val="clear" w:color="auto" w:fill="auto"/>
            <w:vAlign w:val="center"/>
          </w:tcPr>
          <w:p w14:paraId="4E437CA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4126357" w14:textId="77777777" w:rsidTr="00E4281E">
        <w:trPr>
          <w:cantSplit/>
        </w:trPr>
        <w:tc>
          <w:tcPr>
            <w:tcW w:w="5000" w:type="pct"/>
            <w:gridSpan w:val="7"/>
            <w:shd w:val="clear" w:color="auto" w:fill="auto"/>
            <w:vAlign w:val="center"/>
          </w:tcPr>
          <w:p w14:paraId="7E9D4FFC" w14:textId="77777777" w:rsidR="00E4281E" w:rsidRPr="00055E91" w:rsidRDefault="00E4281E" w:rsidP="00E4281E">
            <w:pPr>
              <w:keepNext/>
              <w:spacing w:before="40"/>
              <w:rPr>
                <w:rFonts w:ascii="Arial Narrow" w:eastAsiaTheme="majorEastAsia" w:hAnsi="Arial Narrow"/>
                <w:b/>
                <w:szCs w:val="24"/>
                <w:lang w:val="en-US"/>
              </w:rPr>
            </w:pPr>
            <w:r w:rsidRPr="00055E91">
              <w:rPr>
                <w:rFonts w:ascii="Arial Narrow" w:eastAsiaTheme="majorEastAsia" w:hAnsi="Arial Narrow"/>
                <w:b/>
                <w:szCs w:val="24"/>
                <w:lang w:val="en-US"/>
              </w:rPr>
              <w:t>Ability of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-based algorithms to predict mortality</w:t>
            </w:r>
          </w:p>
        </w:tc>
      </w:tr>
      <w:tr w:rsidR="00E4281E" w:rsidRPr="00055E91" w14:paraId="55D26D25" w14:textId="77777777" w:rsidTr="00E4281E">
        <w:trPr>
          <w:cantSplit/>
        </w:trPr>
        <w:tc>
          <w:tcPr>
            <w:tcW w:w="714" w:type="pct"/>
          </w:tcPr>
          <w:p w14:paraId="0079F6EC" w14:textId="77777777" w:rsidR="00E4281E" w:rsidRPr="00055E91" w:rsidRDefault="00E4281E" w:rsidP="00E4281E">
            <w:pPr>
              <w:spacing w:before="40"/>
              <w:rPr>
                <w:rFonts w:ascii="Arial Narrow" w:hAnsi="Arial Narrow"/>
              </w:rPr>
            </w:pPr>
            <w:r w:rsidRPr="00055E91">
              <w:rPr>
                <w:rFonts w:ascii="Arial Narrow" w:hAnsi="Arial Narrow"/>
              </w:rPr>
              <w:t>Williams et al. (2006)</w:t>
            </w:r>
          </w:p>
        </w:tc>
        <w:tc>
          <w:tcPr>
            <w:tcW w:w="466" w:type="pct"/>
            <w:shd w:val="clear" w:color="auto" w:fill="auto"/>
            <w:vAlign w:val="center"/>
          </w:tcPr>
          <w:p w14:paraId="6202680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109</w:t>
            </w:r>
          </w:p>
        </w:tc>
        <w:tc>
          <w:tcPr>
            <w:tcW w:w="782" w:type="pct"/>
            <w:shd w:val="clear" w:color="auto" w:fill="auto"/>
            <w:vAlign w:val="center"/>
          </w:tcPr>
          <w:p w14:paraId="115D48B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Longitudinal</w:t>
            </w:r>
          </w:p>
        </w:tc>
        <w:tc>
          <w:tcPr>
            <w:tcW w:w="621" w:type="pct"/>
            <w:shd w:val="clear" w:color="auto" w:fill="auto"/>
            <w:vAlign w:val="center"/>
          </w:tcPr>
          <w:p w14:paraId="42BB123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795" w:type="pct"/>
            <w:shd w:val="clear" w:color="auto" w:fill="auto"/>
            <w:vAlign w:val="center"/>
          </w:tcPr>
          <w:p w14:paraId="1DB75068"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1C9459A2"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Risk of death</w:t>
            </w:r>
          </w:p>
        </w:tc>
        <w:tc>
          <w:tcPr>
            <w:tcW w:w="938" w:type="pct"/>
            <w:shd w:val="clear" w:color="auto" w:fill="auto"/>
            <w:vAlign w:val="center"/>
          </w:tcPr>
          <w:p w14:paraId="023F6A02"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148B95A" w14:textId="77777777" w:rsidTr="00E4281E">
        <w:trPr>
          <w:cantSplit/>
        </w:trPr>
        <w:tc>
          <w:tcPr>
            <w:tcW w:w="714" w:type="pct"/>
          </w:tcPr>
          <w:p w14:paraId="04B21AE9" w14:textId="77777777" w:rsidR="00E4281E" w:rsidRPr="00055E91" w:rsidRDefault="00E4281E" w:rsidP="00E4281E">
            <w:pPr>
              <w:spacing w:before="40"/>
              <w:rPr>
                <w:rFonts w:ascii="Arial Narrow" w:hAnsi="Arial Narrow"/>
              </w:rPr>
            </w:pPr>
            <w:r w:rsidRPr="00055E91">
              <w:rPr>
                <w:rFonts w:ascii="Arial Narrow" w:hAnsi="Arial Narrow"/>
              </w:rPr>
              <w:t>Mathai et al. (2010)</w:t>
            </w:r>
          </w:p>
        </w:tc>
        <w:tc>
          <w:tcPr>
            <w:tcW w:w="466" w:type="pct"/>
            <w:shd w:val="clear" w:color="auto" w:fill="auto"/>
            <w:vAlign w:val="center"/>
          </w:tcPr>
          <w:p w14:paraId="3FBF076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98</w:t>
            </w:r>
          </w:p>
        </w:tc>
        <w:tc>
          <w:tcPr>
            <w:tcW w:w="782" w:type="pct"/>
            <w:shd w:val="clear" w:color="auto" w:fill="auto"/>
            <w:vAlign w:val="center"/>
          </w:tcPr>
          <w:p w14:paraId="1E8CD5F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Longitudinal</w:t>
            </w:r>
          </w:p>
        </w:tc>
        <w:tc>
          <w:tcPr>
            <w:tcW w:w="621" w:type="pct"/>
            <w:shd w:val="clear" w:color="auto" w:fill="auto"/>
            <w:vAlign w:val="center"/>
          </w:tcPr>
          <w:p w14:paraId="1BF81CE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795" w:type="pct"/>
            <w:shd w:val="clear" w:color="auto" w:fill="auto"/>
            <w:vAlign w:val="center"/>
          </w:tcPr>
          <w:p w14:paraId="18796CB0"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54B5A3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Risk of death</w:t>
            </w:r>
          </w:p>
        </w:tc>
        <w:tc>
          <w:tcPr>
            <w:tcW w:w="938" w:type="pct"/>
            <w:shd w:val="clear" w:color="auto" w:fill="auto"/>
            <w:vAlign w:val="center"/>
          </w:tcPr>
          <w:p w14:paraId="36D0548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EBD6C24" w14:textId="77777777" w:rsidTr="00E4281E">
        <w:trPr>
          <w:cantSplit/>
        </w:trPr>
        <w:tc>
          <w:tcPr>
            <w:tcW w:w="714" w:type="pct"/>
          </w:tcPr>
          <w:p w14:paraId="0DFBB5DF" w14:textId="77777777" w:rsidR="00E4281E" w:rsidRPr="00055E91" w:rsidRDefault="00E4281E" w:rsidP="00E4281E">
            <w:pPr>
              <w:spacing w:before="40"/>
              <w:rPr>
                <w:rFonts w:ascii="Arial Narrow" w:hAnsi="Arial Narrow"/>
              </w:rPr>
            </w:pPr>
            <w:proofErr w:type="spellStart"/>
            <w:r w:rsidRPr="00055E91">
              <w:rPr>
                <w:rFonts w:ascii="Arial Narrow" w:hAnsi="Arial Narrow"/>
              </w:rPr>
              <w:t>Allanore</w:t>
            </w:r>
            <w:proofErr w:type="spellEnd"/>
            <w:r w:rsidRPr="00055E91">
              <w:rPr>
                <w:rFonts w:ascii="Arial Narrow" w:hAnsi="Arial Narrow"/>
              </w:rPr>
              <w:t xml:space="preserve"> et al. (2008)</w:t>
            </w:r>
          </w:p>
        </w:tc>
        <w:tc>
          <w:tcPr>
            <w:tcW w:w="466" w:type="pct"/>
            <w:shd w:val="clear" w:color="auto" w:fill="auto"/>
            <w:vAlign w:val="center"/>
          </w:tcPr>
          <w:p w14:paraId="0C7CEF6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101</w:t>
            </w:r>
          </w:p>
        </w:tc>
        <w:tc>
          <w:tcPr>
            <w:tcW w:w="782" w:type="pct"/>
            <w:shd w:val="clear" w:color="auto" w:fill="auto"/>
            <w:vAlign w:val="center"/>
          </w:tcPr>
          <w:p w14:paraId="2FF7F4A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Longitudinal</w:t>
            </w:r>
          </w:p>
        </w:tc>
        <w:tc>
          <w:tcPr>
            <w:tcW w:w="621" w:type="pct"/>
            <w:shd w:val="clear" w:color="auto" w:fill="auto"/>
            <w:vAlign w:val="center"/>
          </w:tcPr>
          <w:p w14:paraId="5671FFD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done</w:t>
            </w:r>
          </w:p>
        </w:tc>
        <w:tc>
          <w:tcPr>
            <w:tcW w:w="795" w:type="pct"/>
            <w:shd w:val="clear" w:color="auto" w:fill="auto"/>
            <w:vAlign w:val="center"/>
          </w:tcPr>
          <w:p w14:paraId="6E70AC07"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738468F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Risk of death</w:t>
            </w:r>
          </w:p>
        </w:tc>
        <w:tc>
          <w:tcPr>
            <w:tcW w:w="938" w:type="pct"/>
            <w:shd w:val="clear" w:color="auto" w:fill="auto"/>
            <w:vAlign w:val="center"/>
          </w:tcPr>
          <w:p w14:paraId="39BC0FF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0B8B7628" w14:textId="77777777" w:rsidTr="00E4281E">
        <w:trPr>
          <w:cantSplit/>
        </w:trPr>
        <w:tc>
          <w:tcPr>
            <w:tcW w:w="714" w:type="pct"/>
          </w:tcPr>
          <w:p w14:paraId="43EA931E" w14:textId="77777777" w:rsidR="00E4281E" w:rsidRPr="00055E91" w:rsidRDefault="00E4281E" w:rsidP="00E4281E">
            <w:pPr>
              <w:spacing w:before="40"/>
              <w:rPr>
                <w:rFonts w:ascii="Arial Narrow" w:hAnsi="Arial Narrow"/>
              </w:rPr>
            </w:pPr>
            <w:proofErr w:type="spellStart"/>
            <w:r w:rsidRPr="00055E91">
              <w:rPr>
                <w:rFonts w:ascii="Arial Narrow" w:hAnsi="Arial Narrow"/>
              </w:rPr>
              <w:t>Költő</w:t>
            </w:r>
            <w:proofErr w:type="spellEnd"/>
            <w:r w:rsidRPr="00055E91">
              <w:rPr>
                <w:rFonts w:ascii="Arial Narrow" w:hAnsi="Arial Narrow"/>
              </w:rPr>
              <w:t xml:space="preserve"> et al. (2014)</w:t>
            </w:r>
          </w:p>
        </w:tc>
        <w:tc>
          <w:tcPr>
            <w:tcW w:w="466" w:type="pct"/>
            <w:shd w:val="clear" w:color="auto" w:fill="auto"/>
            <w:vAlign w:val="center"/>
          </w:tcPr>
          <w:p w14:paraId="191AD16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144</w:t>
            </w:r>
          </w:p>
        </w:tc>
        <w:tc>
          <w:tcPr>
            <w:tcW w:w="782" w:type="pct"/>
            <w:shd w:val="clear" w:color="auto" w:fill="auto"/>
            <w:vAlign w:val="center"/>
          </w:tcPr>
          <w:p w14:paraId="34E0E8D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Longitudinal</w:t>
            </w:r>
          </w:p>
        </w:tc>
        <w:tc>
          <w:tcPr>
            <w:tcW w:w="621" w:type="pct"/>
            <w:shd w:val="clear" w:color="auto" w:fill="auto"/>
            <w:vAlign w:val="center"/>
          </w:tcPr>
          <w:p w14:paraId="33503F7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done</w:t>
            </w:r>
          </w:p>
        </w:tc>
        <w:tc>
          <w:tcPr>
            <w:tcW w:w="795" w:type="pct"/>
            <w:shd w:val="clear" w:color="auto" w:fill="auto"/>
            <w:vAlign w:val="center"/>
          </w:tcPr>
          <w:p w14:paraId="289F9225" w14:textId="77777777" w:rsidR="00E4281E" w:rsidRPr="00055E91" w:rsidRDefault="00E4281E" w:rsidP="00E4281E">
            <w:pPr>
              <w:spacing w:before="40"/>
              <w:jc w:val="center"/>
              <w:rPr>
                <w:rFonts w:ascii="Arial Narrow" w:hAnsi="Arial Narrow"/>
                <w:lang w:val="en-US"/>
              </w:rPr>
            </w:pPr>
            <w:proofErr w:type="spellStart"/>
            <w:r w:rsidRPr="00055E91">
              <w:rPr>
                <w:rFonts w:ascii="Arial Narrow" w:hAnsi="Arial Narrow"/>
                <w:lang w:val="en-US"/>
              </w:rPr>
              <w:t>SSc</w:t>
            </w:r>
            <w:proofErr w:type="spellEnd"/>
            <w:r w:rsidRPr="00055E91">
              <w:rPr>
                <w:rFonts w:ascii="Arial Narrow" w:hAnsi="Arial Narrow"/>
                <w:lang w:val="en-US"/>
              </w:rPr>
              <w:t xml:space="preserve"> patients</w:t>
            </w:r>
          </w:p>
        </w:tc>
        <w:tc>
          <w:tcPr>
            <w:tcW w:w="684" w:type="pct"/>
            <w:shd w:val="clear" w:color="auto" w:fill="auto"/>
            <w:vAlign w:val="center"/>
          </w:tcPr>
          <w:p w14:paraId="0CB66E1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Risk of death</w:t>
            </w:r>
          </w:p>
        </w:tc>
        <w:tc>
          <w:tcPr>
            <w:tcW w:w="938" w:type="pct"/>
            <w:shd w:val="clear" w:color="auto" w:fill="auto"/>
            <w:vAlign w:val="center"/>
          </w:tcPr>
          <w:p w14:paraId="4DA9F0E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bl>
    <w:p w14:paraId="0040A4C4" w14:textId="77777777" w:rsidR="00E4281E" w:rsidRPr="00055E91" w:rsidRDefault="00E4281E" w:rsidP="00E4281E">
      <w:pPr>
        <w:pStyle w:val="TableNotes2"/>
        <w:rPr>
          <w:snapToGrid w:val="0"/>
          <w:sz w:val="20"/>
        </w:rPr>
      </w:pPr>
      <w:r w:rsidRPr="00055E91">
        <w:rPr>
          <w:snapToGrid w:val="0"/>
        </w:rPr>
        <w:t xml:space="preserve">ASIG = Australian Scleroderma Interest Group </w:t>
      </w:r>
      <w:r w:rsidRPr="0082089F">
        <w:rPr>
          <w:snapToGrid w:val="0"/>
        </w:rPr>
        <w:t>testing</w:t>
      </w:r>
      <w:r w:rsidRPr="00055E91">
        <w:rPr>
          <w:snapToGrid w:val="0"/>
        </w:rPr>
        <w:t xml:space="preserve"> algorithm; DETECT = Evidence-Based Detection of Pulmonary Arterial Hypertension in Systemic Sclerosis </w:t>
      </w:r>
      <w:r w:rsidRPr="0082089F">
        <w:rPr>
          <w:snapToGrid w:val="0"/>
        </w:rPr>
        <w:t>testing</w:t>
      </w:r>
      <w:r w:rsidRPr="00055E91">
        <w:rPr>
          <w:snapToGrid w:val="0"/>
        </w:rPr>
        <w:t xml:space="preserve"> algorithm; ESC/ERS = European Society of Cardiology / European Respiratory Society guidelines; NT-</w:t>
      </w:r>
      <w:proofErr w:type="spellStart"/>
      <w:r w:rsidRPr="00055E91">
        <w:rPr>
          <w:snapToGrid w:val="0"/>
        </w:rPr>
        <w:t>proBNP</w:t>
      </w:r>
      <w:proofErr w:type="spellEnd"/>
      <w:r w:rsidRPr="00055E91">
        <w:rPr>
          <w:snapToGrid w:val="0"/>
        </w:rPr>
        <w:t xml:space="preserve"> = N-terminal pro-brain natriuretic peptide; PAH = pulmonary arterial hypertension; RHC = right heart catheterisation; </w:t>
      </w:r>
      <w:proofErr w:type="spellStart"/>
      <w:r w:rsidRPr="00055E91">
        <w:rPr>
          <w:snapToGrid w:val="0"/>
        </w:rPr>
        <w:t>SSc</w:t>
      </w:r>
      <w:proofErr w:type="spellEnd"/>
      <w:r w:rsidRPr="00055E91">
        <w:rPr>
          <w:snapToGrid w:val="0"/>
        </w:rPr>
        <w:t xml:space="preserve"> = systemic sclerosis</w:t>
      </w:r>
    </w:p>
    <w:p w14:paraId="4AFDAA93" w14:textId="0502BD24" w:rsidR="00E4281E" w:rsidRPr="00055E91" w:rsidRDefault="00E4281E" w:rsidP="00E4281E">
      <w:pPr>
        <w:pStyle w:val="TableHeading0"/>
        <w:rPr>
          <w:sz w:val="16"/>
          <w:szCs w:val="16"/>
        </w:rPr>
      </w:pPr>
      <w:r>
        <w:t xml:space="preserve">Table </w:t>
      </w:r>
      <w:r>
        <w:fldChar w:fldCharType="begin"/>
      </w:r>
      <w:r>
        <w:instrText>SEQ Table_CES \* ARABIC</w:instrText>
      </w:r>
      <w:r>
        <w:fldChar w:fldCharType="separate"/>
      </w:r>
      <w:r w:rsidR="00D270D9">
        <w:rPr>
          <w:noProof/>
        </w:rPr>
        <w:t>4</w:t>
      </w:r>
      <w:r>
        <w:fldChar w:fldCharType="end"/>
      </w:r>
      <w:r w:rsidRPr="00055E91">
        <w:tab/>
        <w:t>Key features of all included evidence</w:t>
      </w:r>
    </w:p>
    <w:tbl>
      <w:tblPr>
        <w:tblStyle w:val="TableGrid1"/>
        <w:tblW w:w="5000" w:type="pct"/>
        <w:tblLook w:val="04A0" w:firstRow="1" w:lastRow="0" w:firstColumn="1" w:lastColumn="0" w:noHBand="0" w:noVBand="1"/>
      </w:tblPr>
      <w:tblGrid>
        <w:gridCol w:w="1816"/>
        <w:gridCol w:w="3325"/>
        <w:gridCol w:w="2084"/>
        <w:gridCol w:w="1791"/>
      </w:tblGrid>
      <w:tr w:rsidR="00E4281E" w:rsidRPr="00055E91" w14:paraId="3896064E" w14:textId="77777777" w:rsidTr="00E4281E">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0085AC2A" w14:textId="77777777" w:rsidR="00E4281E" w:rsidRPr="00055E91" w:rsidRDefault="00E4281E" w:rsidP="00E4281E">
            <w:pPr>
              <w:keepNext/>
              <w:spacing w:before="40"/>
              <w:rPr>
                <w:rFonts w:ascii="Arial Narrow" w:hAnsi="Arial Narrow"/>
                <w:b/>
              </w:rPr>
            </w:pPr>
            <w:r w:rsidRPr="00055E91">
              <w:rPr>
                <w:rFonts w:ascii="Arial Narrow" w:hAnsi="Arial Narrow"/>
                <w:b/>
              </w:rPr>
              <w:lastRenderedPageBreak/>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232A7232" w14:textId="77777777" w:rsidR="00E4281E" w:rsidRPr="00055E91" w:rsidRDefault="00E4281E" w:rsidP="00E4281E">
            <w:pPr>
              <w:keepNext/>
              <w:spacing w:before="40"/>
              <w:rPr>
                <w:rFonts w:ascii="Arial Narrow" w:hAnsi="Arial Narrow"/>
                <w:b/>
              </w:rPr>
            </w:pPr>
            <w:r w:rsidRPr="00055E91">
              <w:rPr>
                <w:rFonts w:ascii="Arial Narrow" w:hAnsi="Arial Narrow"/>
                <w:b/>
              </w:rPr>
              <w:t>Type of evidence supplied</w:t>
            </w:r>
          </w:p>
        </w:tc>
        <w:tc>
          <w:tcPr>
            <w:tcW w:w="1156" w:type="pct"/>
            <w:tcBorders>
              <w:top w:val="single" w:sz="4" w:space="0" w:color="auto"/>
              <w:left w:val="single" w:sz="4" w:space="0" w:color="auto"/>
              <w:bottom w:val="single" w:sz="4" w:space="0" w:color="auto"/>
              <w:right w:val="single" w:sz="4" w:space="0" w:color="auto"/>
            </w:tcBorders>
            <w:vAlign w:val="bottom"/>
            <w:hideMark/>
          </w:tcPr>
          <w:p w14:paraId="2E6B9EB7" w14:textId="77777777" w:rsidR="00E4281E" w:rsidRPr="00055E91" w:rsidRDefault="00E4281E" w:rsidP="00E4281E">
            <w:pPr>
              <w:keepNext/>
              <w:spacing w:before="40"/>
              <w:rPr>
                <w:rFonts w:ascii="Arial Narrow" w:hAnsi="Arial Narrow"/>
                <w:b/>
              </w:rPr>
            </w:pPr>
            <w:r w:rsidRPr="00055E91">
              <w:rPr>
                <w:rFonts w:ascii="Arial Narrow" w:hAnsi="Arial Narrow"/>
                <w:b/>
              </w:rPr>
              <w:t>Extent of evidence supplied</w:t>
            </w:r>
          </w:p>
        </w:tc>
        <w:tc>
          <w:tcPr>
            <w:tcW w:w="993" w:type="pct"/>
            <w:tcBorders>
              <w:top w:val="single" w:sz="4" w:space="0" w:color="auto"/>
              <w:left w:val="single" w:sz="4" w:space="0" w:color="auto"/>
              <w:bottom w:val="single" w:sz="4" w:space="0" w:color="auto"/>
              <w:right w:val="single" w:sz="4" w:space="0" w:color="auto"/>
            </w:tcBorders>
            <w:vAlign w:val="bottom"/>
            <w:hideMark/>
          </w:tcPr>
          <w:p w14:paraId="71B49A72" w14:textId="77777777" w:rsidR="00E4281E" w:rsidRPr="00055E91" w:rsidRDefault="00E4281E" w:rsidP="00E4281E">
            <w:pPr>
              <w:keepNext/>
              <w:spacing w:before="40"/>
              <w:rPr>
                <w:rFonts w:ascii="Arial Narrow" w:hAnsi="Arial Narrow"/>
                <w:b/>
              </w:rPr>
            </w:pPr>
            <w:r w:rsidRPr="00055E91">
              <w:rPr>
                <w:rFonts w:ascii="Arial Narrow" w:hAnsi="Arial Narrow"/>
                <w:b/>
              </w:rPr>
              <w:t>Overall risk of bias in evidence base</w:t>
            </w:r>
          </w:p>
        </w:tc>
      </w:tr>
      <w:tr w:rsidR="00E4281E" w:rsidRPr="00055E91" w14:paraId="36A0C5D5"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6E7CBC5E" w14:textId="77777777" w:rsidR="00E4281E" w:rsidRPr="00055E91" w:rsidRDefault="00E4281E" w:rsidP="00E4281E">
            <w:pPr>
              <w:keepNext/>
              <w:spacing w:before="40"/>
              <w:rPr>
                <w:rFonts w:ascii="Arial Narrow" w:hAnsi="Arial Narrow"/>
              </w:rPr>
            </w:pPr>
            <w:r w:rsidRPr="00055E91">
              <w:rPr>
                <w:rFonts w:ascii="Arial Narrow" w:hAnsi="Arial Narrow"/>
              </w:rPr>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425360C7" w14:textId="7B8A463F" w:rsidR="00E4281E" w:rsidRPr="00055E91" w:rsidRDefault="00E4281E" w:rsidP="00E4281E">
            <w:pPr>
              <w:keepNext/>
              <w:spacing w:before="40"/>
              <w:rPr>
                <w:rFonts w:ascii="Arial Narrow" w:hAnsi="Arial Narrow"/>
              </w:rPr>
            </w:pPr>
            <w:r w:rsidRPr="5F7EA55D">
              <w:rPr>
                <w:rFonts w:ascii="Arial Narrow" w:hAnsi="Arial Narrow"/>
              </w:rPr>
              <w:t>A study of test accuracy: an independent comparison with a valid reference standard among consecutive or randomly selected persons with a defined clinical presentation</w:t>
            </w:r>
          </w:p>
        </w:tc>
        <w:tc>
          <w:tcPr>
            <w:tcW w:w="1156" w:type="pct"/>
            <w:tcBorders>
              <w:top w:val="single" w:sz="4" w:space="0" w:color="auto"/>
              <w:left w:val="single" w:sz="4" w:space="0" w:color="auto"/>
              <w:bottom w:val="single" w:sz="4" w:space="0" w:color="auto"/>
              <w:right w:val="single" w:sz="4" w:space="0" w:color="auto"/>
            </w:tcBorders>
            <w:hideMark/>
          </w:tcPr>
          <w:p w14:paraId="13B48B3C"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269709199"/>
                <w14:checkbox>
                  <w14:checked w14:val="1"/>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k=17</w:t>
            </w:r>
            <w:r w:rsidR="00E4281E" w:rsidRPr="00055E91">
              <w:rPr>
                <w:rFonts w:ascii="Arial Narrow" w:hAnsi="Arial Narrow"/>
              </w:rPr>
              <w:tab/>
              <w:t>n=2,225</w:t>
            </w:r>
          </w:p>
        </w:tc>
        <w:tc>
          <w:tcPr>
            <w:tcW w:w="993" w:type="pct"/>
            <w:tcBorders>
              <w:top w:val="single" w:sz="4" w:space="0" w:color="auto"/>
              <w:left w:val="single" w:sz="4" w:space="0" w:color="auto"/>
              <w:bottom w:val="single" w:sz="4" w:space="0" w:color="auto"/>
              <w:right w:val="single" w:sz="4" w:space="0" w:color="auto"/>
            </w:tcBorders>
            <w:hideMark/>
          </w:tcPr>
          <w:p w14:paraId="104E4794" w14:textId="77777777" w:rsidR="00E4281E" w:rsidRPr="00055E91" w:rsidRDefault="00E4281E" w:rsidP="00E4281E">
            <w:pPr>
              <w:keepNext/>
              <w:spacing w:before="40"/>
              <w:rPr>
                <w:rFonts w:ascii="Arial Narrow" w:hAnsi="Arial Narrow"/>
              </w:rPr>
            </w:pPr>
            <w:r w:rsidRPr="00055E91">
              <w:rPr>
                <w:rFonts w:ascii="Arial Narrow" w:hAnsi="Arial Narrow"/>
              </w:rPr>
              <w:t>k=9 low</w:t>
            </w:r>
            <w:r w:rsidRPr="00055E91">
              <w:rPr>
                <w:rFonts w:ascii="Arial Narrow" w:hAnsi="Arial Narrow"/>
              </w:rPr>
              <w:br/>
              <w:t>k=1 high</w:t>
            </w:r>
          </w:p>
          <w:p w14:paraId="261CB6E2" w14:textId="77777777" w:rsidR="00E4281E" w:rsidRPr="00055E91" w:rsidRDefault="00E4281E" w:rsidP="00E4281E">
            <w:pPr>
              <w:keepNext/>
              <w:spacing w:before="40"/>
              <w:rPr>
                <w:rFonts w:ascii="Arial Narrow" w:hAnsi="Arial Narrow"/>
              </w:rPr>
            </w:pPr>
            <w:r w:rsidRPr="00055E91">
              <w:rPr>
                <w:rFonts w:ascii="Arial Narrow" w:hAnsi="Arial Narrow"/>
              </w:rPr>
              <w:t>k=7 unclear</w:t>
            </w:r>
          </w:p>
        </w:tc>
      </w:tr>
      <w:tr w:rsidR="00E4281E" w:rsidRPr="00055E91" w14:paraId="5A4AD03B"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50D24C07" w14:textId="77777777" w:rsidR="00E4281E" w:rsidRPr="00055E91" w:rsidRDefault="00E4281E" w:rsidP="00E4281E">
            <w:pPr>
              <w:keepNext/>
              <w:spacing w:before="40"/>
              <w:rPr>
                <w:rFonts w:ascii="Arial Narrow" w:hAnsi="Arial Narrow"/>
              </w:rPr>
            </w:pPr>
            <w:r w:rsidRPr="00055E91">
              <w:rPr>
                <w:rFonts w:ascii="Arial Narrow" w:hAnsi="Arial Narrow"/>
              </w:rPr>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2EBB859B" w14:textId="77777777" w:rsidR="00E4281E" w:rsidRPr="00055E91" w:rsidRDefault="00E4281E" w:rsidP="00E4281E">
            <w:pPr>
              <w:keepNext/>
              <w:spacing w:before="40"/>
              <w:rPr>
                <w:rFonts w:ascii="Arial Narrow" w:hAnsi="Arial Narrow"/>
              </w:rPr>
            </w:pPr>
            <w:r w:rsidRPr="00055E91">
              <w:rPr>
                <w:rFonts w:ascii="Arial Narrow" w:hAnsi="Arial Narrow"/>
              </w:rPr>
              <w:t xml:space="preserve">Comparison of outcomes in patients receiving </w:t>
            </w:r>
            <w:r w:rsidRPr="00055E91">
              <w:rPr>
                <w:rFonts w:ascii="Arial Narrow" w:hAnsi="Arial Narrow"/>
                <w:i/>
                <w:iCs/>
              </w:rPr>
              <w:t>usual care</w:t>
            </w:r>
            <w:r w:rsidRPr="00055E91">
              <w:rPr>
                <w:rFonts w:ascii="Arial Narrow" w:hAnsi="Arial Narrow"/>
                <w:u w:val="single"/>
              </w:rPr>
              <w:t>,</w:t>
            </w:r>
            <w:r w:rsidRPr="00055E91">
              <w:rPr>
                <w:rFonts w:ascii="Arial Narrow" w:hAnsi="Arial Narrow"/>
              </w:rPr>
              <w:t xml:space="preserve"> conditioned on the presence or absence of biomarker-positive status</w:t>
            </w:r>
          </w:p>
        </w:tc>
        <w:tc>
          <w:tcPr>
            <w:tcW w:w="1156" w:type="pct"/>
            <w:tcBorders>
              <w:top w:val="single" w:sz="4" w:space="0" w:color="auto"/>
              <w:left w:val="single" w:sz="4" w:space="0" w:color="auto"/>
              <w:bottom w:val="single" w:sz="4" w:space="0" w:color="auto"/>
              <w:right w:val="single" w:sz="4" w:space="0" w:color="auto"/>
            </w:tcBorders>
            <w:hideMark/>
          </w:tcPr>
          <w:p w14:paraId="6B0155B6"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1560706880"/>
                <w14:checkbox>
                  <w14:checked w14:val="1"/>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k=4</w:t>
            </w:r>
            <w:r w:rsidR="00E4281E" w:rsidRPr="00055E91">
              <w:rPr>
                <w:rFonts w:ascii="Arial Narrow" w:hAnsi="Arial Narrow"/>
              </w:rPr>
              <w:tab/>
              <w:t>n=452</w:t>
            </w:r>
          </w:p>
        </w:tc>
        <w:tc>
          <w:tcPr>
            <w:tcW w:w="993" w:type="pct"/>
            <w:tcBorders>
              <w:top w:val="single" w:sz="4" w:space="0" w:color="auto"/>
              <w:left w:val="single" w:sz="4" w:space="0" w:color="auto"/>
              <w:bottom w:val="single" w:sz="4" w:space="0" w:color="auto"/>
              <w:right w:val="single" w:sz="4" w:space="0" w:color="auto"/>
            </w:tcBorders>
            <w:hideMark/>
          </w:tcPr>
          <w:p w14:paraId="2D420F1E" w14:textId="77777777" w:rsidR="00E4281E" w:rsidRPr="00055E91" w:rsidRDefault="00E4281E" w:rsidP="00E4281E">
            <w:pPr>
              <w:keepNext/>
              <w:spacing w:before="40"/>
              <w:rPr>
                <w:rFonts w:ascii="Arial Narrow" w:hAnsi="Arial Narrow"/>
              </w:rPr>
            </w:pPr>
            <w:r w:rsidRPr="00055E91">
              <w:rPr>
                <w:rFonts w:ascii="Arial Narrow" w:hAnsi="Arial Narrow"/>
              </w:rPr>
              <w:t>Moderate</w:t>
            </w:r>
          </w:p>
        </w:tc>
      </w:tr>
      <w:tr w:rsidR="00E4281E" w:rsidRPr="00055E91" w14:paraId="551C6588"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03235B94" w14:textId="77777777" w:rsidR="00E4281E" w:rsidRPr="00055E91" w:rsidRDefault="00E4281E" w:rsidP="00E4281E">
            <w:pPr>
              <w:keepNext/>
              <w:spacing w:before="40"/>
              <w:rPr>
                <w:rFonts w:ascii="Arial Narrow" w:hAnsi="Arial Narrow"/>
              </w:rPr>
            </w:pPr>
            <w:r w:rsidRPr="00055E91">
              <w:rPr>
                <w:rFonts w:ascii="Arial Narrow" w:hAnsi="Arial Narrow"/>
              </w:rPr>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7E7CDEB4" w14:textId="77777777" w:rsidR="00E4281E" w:rsidRPr="00055E91" w:rsidRDefault="00E4281E" w:rsidP="00E4281E">
            <w:pPr>
              <w:keepNext/>
              <w:spacing w:before="40"/>
              <w:rPr>
                <w:rFonts w:ascii="Arial Narrow" w:hAnsi="Arial Narrow"/>
              </w:rPr>
            </w:pPr>
            <w:r w:rsidRPr="00055E91">
              <w:rPr>
                <w:rFonts w:ascii="Arial Narrow" w:hAnsi="Arial Narrow"/>
              </w:rPr>
              <w:t>Evidence to show that test result guides decisions about treatment</w:t>
            </w:r>
          </w:p>
        </w:tc>
        <w:tc>
          <w:tcPr>
            <w:tcW w:w="1156" w:type="pct"/>
            <w:tcBorders>
              <w:top w:val="single" w:sz="4" w:space="0" w:color="auto"/>
              <w:left w:val="single" w:sz="4" w:space="0" w:color="auto"/>
              <w:bottom w:val="single" w:sz="4" w:space="0" w:color="auto"/>
              <w:right w:val="single" w:sz="4" w:space="0" w:color="auto"/>
            </w:tcBorders>
            <w:hideMark/>
          </w:tcPr>
          <w:p w14:paraId="1778AA76"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1668554771"/>
                <w14:checkbox>
                  <w14:checked w14:val="1"/>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k=3</w:t>
            </w:r>
            <w:r w:rsidR="00E4281E" w:rsidRPr="00055E91">
              <w:rPr>
                <w:rFonts w:ascii="Arial Narrow" w:hAnsi="Arial Narrow"/>
              </w:rPr>
              <w:tab/>
              <w:t>n=458</w:t>
            </w:r>
          </w:p>
        </w:tc>
        <w:tc>
          <w:tcPr>
            <w:tcW w:w="993" w:type="pct"/>
            <w:tcBorders>
              <w:top w:val="single" w:sz="4" w:space="0" w:color="auto"/>
              <w:left w:val="single" w:sz="4" w:space="0" w:color="auto"/>
              <w:bottom w:val="single" w:sz="4" w:space="0" w:color="auto"/>
              <w:right w:val="single" w:sz="4" w:space="0" w:color="auto"/>
            </w:tcBorders>
            <w:hideMark/>
          </w:tcPr>
          <w:p w14:paraId="0B304038" w14:textId="59B73736" w:rsidR="00E4281E" w:rsidRPr="00055E91" w:rsidRDefault="00E4281E" w:rsidP="00E4281E">
            <w:pPr>
              <w:keepNext/>
              <w:spacing w:before="40"/>
              <w:rPr>
                <w:rFonts w:ascii="Arial Narrow" w:hAnsi="Arial Narrow"/>
              </w:rPr>
            </w:pPr>
            <w:r w:rsidRPr="56FEECB3">
              <w:rPr>
                <w:rFonts w:ascii="Arial Narrow" w:hAnsi="Arial Narrow"/>
              </w:rPr>
              <w:t>NR</w:t>
            </w:r>
          </w:p>
        </w:tc>
      </w:tr>
      <w:tr w:rsidR="00E4281E" w:rsidRPr="00055E91" w14:paraId="3CED4E4C" w14:textId="77777777" w:rsidTr="00E4281E">
        <w:tc>
          <w:tcPr>
            <w:tcW w:w="1007" w:type="pct"/>
            <w:tcBorders>
              <w:top w:val="single" w:sz="4" w:space="0" w:color="auto"/>
              <w:left w:val="single" w:sz="4" w:space="0" w:color="auto"/>
              <w:bottom w:val="nil"/>
              <w:right w:val="single" w:sz="4" w:space="0" w:color="auto"/>
            </w:tcBorders>
            <w:hideMark/>
          </w:tcPr>
          <w:p w14:paraId="3D6FED4B" w14:textId="77777777" w:rsidR="00E4281E" w:rsidRPr="00055E91" w:rsidRDefault="00E4281E" w:rsidP="00E4281E">
            <w:pPr>
              <w:keepNext/>
              <w:spacing w:before="40"/>
              <w:rPr>
                <w:rFonts w:ascii="Arial Narrow" w:hAnsi="Arial Narrow"/>
              </w:rPr>
            </w:pPr>
            <w:r w:rsidRPr="00055E91">
              <w:rPr>
                <w:rFonts w:ascii="Arial Narrow" w:hAnsi="Arial Narrow"/>
              </w:rPr>
              <w:t xml:space="preserve">Health outcomes  </w:t>
            </w:r>
          </w:p>
        </w:tc>
        <w:tc>
          <w:tcPr>
            <w:tcW w:w="1844" w:type="pct"/>
            <w:tcBorders>
              <w:top w:val="single" w:sz="4" w:space="0" w:color="auto"/>
              <w:left w:val="single" w:sz="4" w:space="0" w:color="auto"/>
              <w:bottom w:val="nil"/>
              <w:right w:val="single" w:sz="4" w:space="0" w:color="auto"/>
            </w:tcBorders>
          </w:tcPr>
          <w:p w14:paraId="09EF3CC0"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156" w:type="pct"/>
            <w:tcBorders>
              <w:top w:val="single" w:sz="4" w:space="0" w:color="auto"/>
              <w:left w:val="single" w:sz="4" w:space="0" w:color="auto"/>
              <w:bottom w:val="nil"/>
              <w:right w:val="single" w:sz="4" w:space="0" w:color="auto"/>
            </w:tcBorders>
          </w:tcPr>
          <w:p w14:paraId="39FA57CF"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469823038"/>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k=0</w:t>
            </w:r>
            <w:r w:rsidR="00E4281E" w:rsidRPr="00055E91">
              <w:rPr>
                <w:rFonts w:ascii="Arial Narrow" w:hAnsi="Arial Narrow"/>
              </w:rPr>
              <w:tab/>
              <w:t>n=0</w:t>
            </w:r>
          </w:p>
        </w:tc>
        <w:tc>
          <w:tcPr>
            <w:tcW w:w="993" w:type="pct"/>
            <w:tcBorders>
              <w:top w:val="single" w:sz="4" w:space="0" w:color="auto"/>
              <w:left w:val="single" w:sz="4" w:space="0" w:color="auto"/>
              <w:bottom w:val="nil"/>
              <w:right w:val="single" w:sz="4" w:space="0" w:color="auto"/>
            </w:tcBorders>
          </w:tcPr>
          <w:p w14:paraId="540773AB" w14:textId="77777777" w:rsidR="00E4281E" w:rsidRPr="00055E91" w:rsidRDefault="00E4281E" w:rsidP="00E4281E">
            <w:pPr>
              <w:keepNext/>
              <w:spacing w:before="40"/>
              <w:rPr>
                <w:rFonts w:ascii="Arial Narrow" w:hAnsi="Arial Narrow"/>
              </w:rPr>
            </w:pPr>
          </w:p>
        </w:tc>
      </w:tr>
      <w:tr w:rsidR="00E4281E" w:rsidRPr="00055E91" w14:paraId="634AAFFB" w14:textId="77777777" w:rsidTr="00E4281E">
        <w:tc>
          <w:tcPr>
            <w:tcW w:w="1007" w:type="pct"/>
            <w:tcBorders>
              <w:top w:val="nil"/>
              <w:left w:val="single" w:sz="4" w:space="0" w:color="auto"/>
              <w:bottom w:val="nil"/>
              <w:right w:val="single" w:sz="4" w:space="0" w:color="auto"/>
            </w:tcBorders>
          </w:tcPr>
          <w:p w14:paraId="76E19804" w14:textId="77777777" w:rsidR="00E4281E" w:rsidRPr="00055E91" w:rsidRDefault="00E4281E" w:rsidP="00E4281E">
            <w:pPr>
              <w:keepNext/>
              <w:spacing w:before="40"/>
              <w:rPr>
                <w:rFonts w:ascii="Arial Narrow" w:hAnsi="Arial Narrow"/>
              </w:rPr>
            </w:pPr>
            <w:r w:rsidRPr="00055E91">
              <w:rPr>
                <w:rFonts w:ascii="Arial Narrow" w:hAnsi="Arial Narrow"/>
              </w:rPr>
              <w:t>Predictive effect</w:t>
            </w:r>
          </w:p>
        </w:tc>
        <w:tc>
          <w:tcPr>
            <w:tcW w:w="1844" w:type="pct"/>
            <w:tcBorders>
              <w:top w:val="nil"/>
              <w:left w:val="single" w:sz="4" w:space="0" w:color="auto"/>
              <w:bottom w:val="nil"/>
              <w:right w:val="single" w:sz="4" w:space="0" w:color="auto"/>
            </w:tcBorders>
          </w:tcPr>
          <w:p w14:paraId="4791CC8F"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156" w:type="pct"/>
            <w:tcBorders>
              <w:top w:val="nil"/>
              <w:left w:val="single" w:sz="4" w:space="0" w:color="auto"/>
              <w:bottom w:val="nil"/>
              <w:right w:val="single" w:sz="4" w:space="0" w:color="auto"/>
            </w:tcBorders>
          </w:tcPr>
          <w:p w14:paraId="3F617493"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1955313466"/>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k=0</w:t>
            </w:r>
            <w:r w:rsidR="00E4281E" w:rsidRPr="00055E91">
              <w:rPr>
                <w:rFonts w:ascii="Arial Narrow" w:hAnsi="Arial Narrow"/>
              </w:rPr>
              <w:tab/>
              <w:t>n=0</w:t>
            </w:r>
          </w:p>
        </w:tc>
        <w:tc>
          <w:tcPr>
            <w:tcW w:w="993" w:type="pct"/>
            <w:tcBorders>
              <w:top w:val="nil"/>
              <w:left w:val="single" w:sz="4" w:space="0" w:color="auto"/>
              <w:bottom w:val="nil"/>
              <w:right w:val="single" w:sz="4" w:space="0" w:color="auto"/>
            </w:tcBorders>
          </w:tcPr>
          <w:p w14:paraId="18C1F117" w14:textId="77777777" w:rsidR="00E4281E" w:rsidRPr="00055E91" w:rsidRDefault="00E4281E" w:rsidP="00E4281E">
            <w:pPr>
              <w:keepNext/>
              <w:spacing w:before="40"/>
              <w:rPr>
                <w:rFonts w:ascii="Arial Narrow" w:hAnsi="Arial Narrow"/>
              </w:rPr>
            </w:pPr>
          </w:p>
        </w:tc>
      </w:tr>
      <w:tr w:rsidR="00E4281E" w:rsidRPr="00055E91" w14:paraId="077001C1"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434E2BF7" w14:textId="77777777" w:rsidR="00E4281E" w:rsidRPr="00055E91" w:rsidRDefault="00E4281E" w:rsidP="00E4281E">
            <w:pPr>
              <w:keepNext/>
              <w:spacing w:before="40"/>
              <w:rPr>
                <w:rFonts w:ascii="Arial Narrow" w:hAnsi="Arial Narrow"/>
              </w:rPr>
            </w:pPr>
            <w:r w:rsidRPr="00055E91">
              <w:rPr>
                <w:rFonts w:ascii="Arial Narrow" w:hAnsi="Arial Narrow"/>
              </w:rPr>
              <w:t>Other</w:t>
            </w:r>
          </w:p>
        </w:tc>
        <w:tc>
          <w:tcPr>
            <w:tcW w:w="1844" w:type="pct"/>
            <w:tcBorders>
              <w:top w:val="single" w:sz="4" w:space="0" w:color="auto"/>
              <w:left w:val="single" w:sz="4" w:space="0" w:color="auto"/>
              <w:bottom w:val="single" w:sz="4" w:space="0" w:color="auto"/>
              <w:right w:val="single" w:sz="4" w:space="0" w:color="auto"/>
            </w:tcBorders>
          </w:tcPr>
          <w:p w14:paraId="28F97F45"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156" w:type="pct"/>
            <w:tcBorders>
              <w:top w:val="single" w:sz="4" w:space="0" w:color="auto"/>
              <w:left w:val="single" w:sz="4" w:space="0" w:color="auto"/>
              <w:bottom w:val="single" w:sz="4" w:space="0" w:color="auto"/>
              <w:right w:val="single" w:sz="4" w:space="0" w:color="auto"/>
            </w:tcBorders>
            <w:hideMark/>
          </w:tcPr>
          <w:p w14:paraId="06943A0F" w14:textId="77777777" w:rsidR="00E4281E" w:rsidRPr="00055E91" w:rsidRDefault="00016377" w:rsidP="00E4281E">
            <w:pPr>
              <w:keepNext/>
              <w:tabs>
                <w:tab w:val="left" w:pos="506"/>
                <w:tab w:val="left" w:pos="1070"/>
              </w:tabs>
              <w:spacing w:before="40"/>
              <w:rPr>
                <w:rFonts w:ascii="Arial Narrow" w:hAnsi="Arial Narrow"/>
              </w:rPr>
            </w:pPr>
            <w:sdt>
              <w:sdtPr>
                <w:rPr>
                  <w:rFonts w:ascii="Arial Narrow" w:hAnsi="Arial Narrow"/>
                  <w:color w:val="2B579A"/>
                  <w:shd w:val="clear" w:color="auto" w:fill="E6E6E6"/>
                </w:rPr>
                <w:id w:val="440881320"/>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k=0</w:t>
            </w:r>
            <w:r w:rsidR="00E4281E" w:rsidRPr="00055E91">
              <w:rPr>
                <w:rFonts w:ascii="Arial Narrow" w:hAnsi="Arial Narrow"/>
              </w:rPr>
              <w:tab/>
              <w:t>n=0</w:t>
            </w:r>
          </w:p>
        </w:tc>
        <w:tc>
          <w:tcPr>
            <w:tcW w:w="993" w:type="pct"/>
            <w:tcBorders>
              <w:top w:val="single" w:sz="4" w:space="0" w:color="auto"/>
              <w:left w:val="single" w:sz="4" w:space="0" w:color="auto"/>
              <w:bottom w:val="single" w:sz="4" w:space="0" w:color="auto"/>
              <w:right w:val="single" w:sz="4" w:space="0" w:color="auto"/>
            </w:tcBorders>
          </w:tcPr>
          <w:p w14:paraId="7F840991" w14:textId="77777777" w:rsidR="00E4281E" w:rsidRPr="00055E91" w:rsidRDefault="00E4281E" w:rsidP="00E4281E">
            <w:pPr>
              <w:keepNext/>
              <w:spacing w:before="40"/>
              <w:rPr>
                <w:rFonts w:ascii="Arial Narrow" w:hAnsi="Arial Narrow"/>
              </w:rPr>
            </w:pPr>
          </w:p>
        </w:tc>
      </w:tr>
    </w:tbl>
    <w:p w14:paraId="6F00092D" w14:textId="02B5DFD8" w:rsidR="00E4281E" w:rsidRPr="00055E91" w:rsidRDefault="00E4281E" w:rsidP="00E4281E">
      <w:pPr>
        <w:pStyle w:val="TableNotes2"/>
      </w:pPr>
      <w:r w:rsidRPr="00055E91">
        <w:rPr>
          <w:snapToGrid w:val="0"/>
        </w:rPr>
        <w:t>k=number of studies, n=number of patients; NR = not reported</w:t>
      </w:r>
    </w:p>
    <w:p w14:paraId="72FB2AD8" w14:textId="5AF73E68" w:rsidR="005A3600" w:rsidRPr="00006582" w:rsidRDefault="00E4281E" w:rsidP="00006582">
      <w:r w:rsidRPr="00055E91">
        <w:t>Summary of the included evidence for Population 2.</w:t>
      </w:r>
      <w:bookmarkStart w:id="24" w:name="_Ref69725651"/>
      <w:r w:rsidR="005A3600">
        <w:br w:type="page"/>
      </w:r>
    </w:p>
    <w:p w14:paraId="6D12846E" w14:textId="22EF49F8" w:rsidR="00E4281E" w:rsidRPr="00055E91" w:rsidRDefault="00E4281E" w:rsidP="00E4281E">
      <w:pPr>
        <w:pStyle w:val="TableHeading0"/>
      </w:pPr>
      <w:r>
        <w:lastRenderedPageBreak/>
        <w:t xml:space="preserve">Table </w:t>
      </w:r>
      <w:r>
        <w:fldChar w:fldCharType="begin"/>
      </w:r>
      <w:r>
        <w:instrText>SEQ Table_CES \* ARABIC</w:instrText>
      </w:r>
      <w:r>
        <w:fldChar w:fldCharType="separate"/>
      </w:r>
      <w:r w:rsidR="00D270D9">
        <w:rPr>
          <w:noProof/>
        </w:rPr>
        <w:t>5</w:t>
      </w:r>
      <w:r>
        <w:fldChar w:fldCharType="end"/>
      </w:r>
      <w:bookmarkEnd w:id="24"/>
      <w:r w:rsidRPr="00055E91">
        <w:tab/>
        <w:t>Key features of the key included evidence</w:t>
      </w:r>
    </w:p>
    <w:tbl>
      <w:tblPr>
        <w:tblStyle w:val="TableGrid1"/>
        <w:tblW w:w="5000" w:type="pct"/>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E4281E" w:rsidRPr="00055E91" w14:paraId="6579B983" w14:textId="77777777" w:rsidTr="00E4281E">
        <w:trPr>
          <w:cnfStyle w:val="100000000000" w:firstRow="1" w:lastRow="0" w:firstColumn="0" w:lastColumn="0" w:oddVBand="0" w:evenVBand="0" w:oddHBand="0" w:evenHBand="0" w:firstRowFirstColumn="0" w:firstRowLastColumn="0" w:lastRowFirstColumn="0" w:lastRowLastColumn="0"/>
          <w:cantSplit/>
          <w:tblHeader/>
        </w:trPr>
        <w:tc>
          <w:tcPr>
            <w:tcW w:w="713" w:type="pct"/>
            <w:shd w:val="clear" w:color="auto" w:fill="auto"/>
            <w:vAlign w:val="center"/>
          </w:tcPr>
          <w:p w14:paraId="7A6F509D" w14:textId="77777777" w:rsidR="00E4281E" w:rsidRPr="00055E91" w:rsidRDefault="00E4281E" w:rsidP="00E4281E">
            <w:pPr>
              <w:keepNext/>
              <w:spacing w:before="0" w:after="0"/>
              <w:rPr>
                <w:rFonts w:ascii="Arial Narrow" w:eastAsiaTheme="majorEastAsia" w:hAnsi="Arial Narrow"/>
                <w:b/>
                <w:szCs w:val="24"/>
                <w:lang w:val="en-US"/>
              </w:rPr>
            </w:pPr>
            <w:bookmarkStart w:id="25" w:name="ColumnTitle_Table3"/>
            <w:bookmarkStart w:id="26" w:name="_Hlk68276112"/>
            <w:bookmarkEnd w:id="25"/>
            <w:r w:rsidRPr="00055E91">
              <w:rPr>
                <w:rFonts w:ascii="Arial Narrow" w:eastAsiaTheme="majorEastAsia" w:hAnsi="Arial Narrow"/>
                <w:b/>
                <w:szCs w:val="24"/>
                <w:lang w:val="en-US"/>
              </w:rPr>
              <w:t>References</w:t>
            </w:r>
          </w:p>
        </w:tc>
        <w:tc>
          <w:tcPr>
            <w:tcW w:w="466" w:type="pct"/>
            <w:shd w:val="clear" w:color="auto" w:fill="auto"/>
            <w:vAlign w:val="center"/>
          </w:tcPr>
          <w:p w14:paraId="1B74A387"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N</w:t>
            </w:r>
          </w:p>
        </w:tc>
        <w:tc>
          <w:tcPr>
            <w:tcW w:w="782" w:type="pct"/>
            <w:shd w:val="clear" w:color="auto" w:fill="auto"/>
            <w:vAlign w:val="center"/>
          </w:tcPr>
          <w:p w14:paraId="64B23BB2"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Study Design</w:t>
            </w:r>
          </w:p>
        </w:tc>
        <w:tc>
          <w:tcPr>
            <w:tcW w:w="621" w:type="pct"/>
            <w:shd w:val="clear" w:color="auto" w:fill="auto"/>
            <w:vAlign w:val="center"/>
          </w:tcPr>
          <w:p w14:paraId="24A90AB6"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Risk of bias</w:t>
            </w:r>
          </w:p>
        </w:tc>
        <w:tc>
          <w:tcPr>
            <w:tcW w:w="857" w:type="pct"/>
            <w:shd w:val="clear" w:color="auto" w:fill="auto"/>
            <w:vAlign w:val="center"/>
          </w:tcPr>
          <w:p w14:paraId="040CA2F1"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Patient population</w:t>
            </w:r>
          </w:p>
        </w:tc>
        <w:tc>
          <w:tcPr>
            <w:tcW w:w="622" w:type="pct"/>
            <w:shd w:val="clear" w:color="auto" w:fill="auto"/>
            <w:vAlign w:val="center"/>
          </w:tcPr>
          <w:p w14:paraId="73D39B37"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Outcome(s)</w:t>
            </w:r>
          </w:p>
        </w:tc>
        <w:tc>
          <w:tcPr>
            <w:tcW w:w="939" w:type="pct"/>
            <w:shd w:val="clear" w:color="auto" w:fill="auto"/>
            <w:vAlign w:val="center"/>
          </w:tcPr>
          <w:p w14:paraId="17F67881" w14:textId="77777777" w:rsidR="00E4281E" w:rsidRPr="00055E91" w:rsidRDefault="00E4281E" w:rsidP="00E4281E">
            <w:pPr>
              <w:keepNext/>
              <w:spacing w:before="0" w:after="0"/>
              <w:jc w:val="center"/>
              <w:rPr>
                <w:rFonts w:ascii="Arial Narrow" w:eastAsiaTheme="majorEastAsia" w:hAnsi="Arial Narrow"/>
                <w:b/>
                <w:szCs w:val="24"/>
                <w:lang w:val="en-US"/>
              </w:rPr>
            </w:pPr>
            <w:r w:rsidRPr="00055E91">
              <w:rPr>
                <w:rFonts w:ascii="Arial Narrow" w:eastAsiaTheme="majorEastAsia" w:hAnsi="Arial Narrow"/>
                <w:b/>
                <w:szCs w:val="24"/>
                <w:lang w:val="en-US"/>
              </w:rPr>
              <w:t>Use in modelled evaluation</w:t>
            </w:r>
          </w:p>
        </w:tc>
      </w:tr>
      <w:tr w:rsidR="00E4281E" w:rsidRPr="00055E91" w14:paraId="5E07A772" w14:textId="77777777" w:rsidTr="00E4281E">
        <w:trPr>
          <w:cantSplit/>
        </w:trPr>
        <w:tc>
          <w:tcPr>
            <w:tcW w:w="5000" w:type="pct"/>
            <w:gridSpan w:val="7"/>
            <w:shd w:val="clear" w:color="auto" w:fill="auto"/>
            <w:vAlign w:val="center"/>
          </w:tcPr>
          <w:p w14:paraId="09CECFD4" w14:textId="77777777" w:rsidR="00E4281E" w:rsidRPr="00055E91" w:rsidRDefault="00E4281E" w:rsidP="00E4281E">
            <w:pPr>
              <w:keepNext/>
              <w:spacing w:before="0" w:after="0"/>
              <w:rPr>
                <w:rFonts w:ascii="Arial Narrow" w:eastAsiaTheme="majorEastAsia" w:hAnsi="Arial Narrow"/>
                <w:b/>
                <w:szCs w:val="24"/>
                <w:lang w:val="en-US"/>
              </w:rPr>
            </w:pPr>
            <w:r w:rsidRPr="00055E91">
              <w:rPr>
                <w:rFonts w:ascii="Arial Narrow" w:eastAsiaTheme="majorEastAsia" w:hAnsi="Arial Narrow"/>
                <w:b/>
                <w:szCs w:val="24"/>
                <w:lang w:val="en-US"/>
              </w:rPr>
              <w:t>Accuracy of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 xml:space="preserve"> levels in predicting mortality or RVSD as an early indicator of mortality</w:t>
            </w:r>
          </w:p>
        </w:tc>
      </w:tr>
      <w:tr w:rsidR="00E4281E" w:rsidRPr="00055E91" w14:paraId="54072452" w14:textId="77777777" w:rsidTr="00E4281E">
        <w:trPr>
          <w:cantSplit/>
        </w:trPr>
        <w:tc>
          <w:tcPr>
            <w:tcW w:w="713" w:type="pct"/>
          </w:tcPr>
          <w:p w14:paraId="66AF996D" w14:textId="77777777" w:rsidR="00E4281E" w:rsidRPr="00055E91" w:rsidRDefault="00E4281E" w:rsidP="00E4281E">
            <w:pPr>
              <w:keepNext/>
              <w:spacing w:before="40"/>
              <w:rPr>
                <w:rFonts w:ascii="Arial Narrow" w:hAnsi="Arial Narrow"/>
                <w:bCs/>
              </w:rPr>
            </w:pPr>
            <w:r w:rsidRPr="00055E91">
              <w:rPr>
                <w:rFonts w:ascii="Arial Narrow" w:hAnsi="Arial Narrow"/>
                <w:bCs/>
              </w:rPr>
              <w:t xml:space="preserve">Van </w:t>
            </w:r>
            <w:proofErr w:type="spellStart"/>
            <w:r w:rsidRPr="00055E91">
              <w:rPr>
                <w:rFonts w:ascii="Arial Narrow" w:hAnsi="Arial Narrow"/>
                <w:bCs/>
              </w:rPr>
              <w:t>Albada</w:t>
            </w:r>
            <w:proofErr w:type="spellEnd"/>
            <w:r w:rsidRPr="00055E91">
              <w:rPr>
                <w:rFonts w:ascii="Arial Narrow" w:hAnsi="Arial Narrow"/>
                <w:bCs/>
              </w:rPr>
              <w:t xml:space="preserve"> et al. (2008)</w:t>
            </w:r>
          </w:p>
        </w:tc>
        <w:tc>
          <w:tcPr>
            <w:tcW w:w="466" w:type="pct"/>
            <w:shd w:val="clear" w:color="auto" w:fill="auto"/>
            <w:vAlign w:val="center"/>
          </w:tcPr>
          <w:p w14:paraId="799DE2B4"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24</w:t>
            </w:r>
          </w:p>
        </w:tc>
        <w:tc>
          <w:tcPr>
            <w:tcW w:w="782" w:type="pct"/>
            <w:shd w:val="clear" w:color="auto" w:fill="auto"/>
            <w:vAlign w:val="center"/>
          </w:tcPr>
          <w:p w14:paraId="390F1A1D"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Cohort</w:t>
            </w:r>
          </w:p>
        </w:tc>
        <w:tc>
          <w:tcPr>
            <w:tcW w:w="621" w:type="pct"/>
            <w:shd w:val="clear" w:color="auto" w:fill="auto"/>
            <w:vAlign w:val="center"/>
          </w:tcPr>
          <w:p w14:paraId="136994CB"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NR</w:t>
            </w:r>
          </w:p>
        </w:tc>
        <w:tc>
          <w:tcPr>
            <w:tcW w:w="857" w:type="pct"/>
            <w:shd w:val="clear" w:color="auto" w:fill="auto"/>
            <w:vAlign w:val="center"/>
          </w:tcPr>
          <w:p w14:paraId="547DE372"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Children with PAH</w:t>
            </w:r>
          </w:p>
        </w:tc>
        <w:tc>
          <w:tcPr>
            <w:tcW w:w="622" w:type="pct"/>
            <w:shd w:val="clear" w:color="auto" w:fill="auto"/>
            <w:vAlign w:val="center"/>
          </w:tcPr>
          <w:p w14:paraId="7C8B72FD"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Sensitivity Specificity</w:t>
            </w:r>
          </w:p>
        </w:tc>
        <w:tc>
          <w:tcPr>
            <w:tcW w:w="939" w:type="pct"/>
            <w:shd w:val="clear" w:color="auto" w:fill="auto"/>
            <w:vAlign w:val="center"/>
          </w:tcPr>
          <w:p w14:paraId="0CC7474E" w14:textId="77777777" w:rsidR="00E4281E" w:rsidRPr="00055E91" w:rsidRDefault="00E4281E" w:rsidP="00E4281E">
            <w:pPr>
              <w:keepNext/>
              <w:spacing w:before="40"/>
              <w:jc w:val="center"/>
              <w:rPr>
                <w:rFonts w:ascii="Arial Narrow" w:hAnsi="Arial Narrow"/>
                <w:lang w:val="en-US"/>
              </w:rPr>
            </w:pPr>
            <w:r w:rsidRPr="00055E91">
              <w:rPr>
                <w:rFonts w:ascii="Arial Narrow" w:hAnsi="Arial Narrow"/>
                <w:lang w:val="en-US"/>
              </w:rPr>
              <w:t>Not used</w:t>
            </w:r>
          </w:p>
        </w:tc>
      </w:tr>
      <w:tr w:rsidR="00E4281E" w:rsidRPr="00055E91" w14:paraId="7993E97C" w14:textId="77777777" w:rsidTr="00E4281E">
        <w:trPr>
          <w:cantSplit/>
        </w:trPr>
        <w:tc>
          <w:tcPr>
            <w:tcW w:w="713" w:type="pct"/>
          </w:tcPr>
          <w:p w14:paraId="31094557" w14:textId="77777777" w:rsidR="00E4281E" w:rsidRPr="00055E91" w:rsidRDefault="00E4281E" w:rsidP="00E4281E">
            <w:pPr>
              <w:spacing w:before="40"/>
              <w:rPr>
                <w:rFonts w:ascii="Arial Narrow" w:hAnsi="Arial Narrow"/>
                <w:bCs/>
              </w:rPr>
            </w:pPr>
            <w:proofErr w:type="spellStart"/>
            <w:r w:rsidRPr="00055E91">
              <w:rPr>
                <w:rFonts w:ascii="Arial Narrow" w:hAnsi="Arial Narrow"/>
                <w:bCs/>
              </w:rPr>
              <w:t>Fijalkowska</w:t>
            </w:r>
            <w:proofErr w:type="spellEnd"/>
            <w:r w:rsidRPr="00055E91">
              <w:rPr>
                <w:rFonts w:ascii="Arial Narrow" w:hAnsi="Arial Narrow"/>
                <w:bCs/>
              </w:rPr>
              <w:t xml:space="preserve"> et al. (2006)</w:t>
            </w:r>
          </w:p>
        </w:tc>
        <w:tc>
          <w:tcPr>
            <w:tcW w:w="466" w:type="pct"/>
            <w:shd w:val="clear" w:color="auto" w:fill="auto"/>
            <w:vAlign w:val="center"/>
          </w:tcPr>
          <w:p w14:paraId="4BB5F57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36</w:t>
            </w:r>
          </w:p>
        </w:tc>
        <w:tc>
          <w:tcPr>
            <w:tcW w:w="782" w:type="pct"/>
            <w:shd w:val="clear" w:color="auto" w:fill="auto"/>
            <w:vAlign w:val="center"/>
          </w:tcPr>
          <w:p w14:paraId="1E97C94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40116ED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NR</w:t>
            </w:r>
          </w:p>
        </w:tc>
        <w:tc>
          <w:tcPr>
            <w:tcW w:w="857" w:type="pct"/>
            <w:shd w:val="clear" w:color="auto" w:fill="auto"/>
            <w:vAlign w:val="center"/>
          </w:tcPr>
          <w:p w14:paraId="77D674A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Severe PH patients</w:t>
            </w:r>
          </w:p>
        </w:tc>
        <w:tc>
          <w:tcPr>
            <w:tcW w:w="622" w:type="pct"/>
            <w:shd w:val="clear" w:color="auto" w:fill="auto"/>
            <w:vAlign w:val="center"/>
          </w:tcPr>
          <w:p w14:paraId="794684E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9" w:type="pct"/>
            <w:shd w:val="clear" w:color="auto" w:fill="auto"/>
            <w:vAlign w:val="center"/>
          </w:tcPr>
          <w:p w14:paraId="2166A35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5DD5291B" w14:textId="77777777" w:rsidTr="00E4281E">
        <w:trPr>
          <w:cantSplit/>
        </w:trPr>
        <w:tc>
          <w:tcPr>
            <w:tcW w:w="713" w:type="pct"/>
          </w:tcPr>
          <w:p w14:paraId="3A712771" w14:textId="77777777" w:rsidR="00E4281E" w:rsidRPr="00055E91" w:rsidRDefault="00E4281E" w:rsidP="00E4281E">
            <w:pPr>
              <w:spacing w:before="40"/>
              <w:rPr>
                <w:rFonts w:ascii="Arial Narrow" w:hAnsi="Arial Narrow"/>
                <w:bCs/>
              </w:rPr>
            </w:pPr>
            <w:proofErr w:type="spellStart"/>
            <w:r w:rsidRPr="00055E91">
              <w:rPr>
                <w:rFonts w:ascii="Arial Narrow" w:hAnsi="Arial Narrow"/>
                <w:bCs/>
              </w:rPr>
              <w:t>Padervinskiene</w:t>
            </w:r>
            <w:proofErr w:type="spellEnd"/>
            <w:r w:rsidRPr="00055E91">
              <w:rPr>
                <w:rFonts w:ascii="Arial Narrow" w:hAnsi="Arial Narrow"/>
                <w:bCs/>
              </w:rPr>
              <w:t xml:space="preserve"> et al. (2020)</w:t>
            </w:r>
          </w:p>
        </w:tc>
        <w:tc>
          <w:tcPr>
            <w:tcW w:w="466" w:type="pct"/>
            <w:shd w:val="clear" w:color="auto" w:fill="auto"/>
            <w:vAlign w:val="center"/>
          </w:tcPr>
          <w:p w14:paraId="2202FB6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47</w:t>
            </w:r>
          </w:p>
        </w:tc>
        <w:tc>
          <w:tcPr>
            <w:tcW w:w="782" w:type="pct"/>
            <w:shd w:val="clear" w:color="auto" w:fill="auto"/>
            <w:vAlign w:val="center"/>
          </w:tcPr>
          <w:p w14:paraId="6772B69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36D2BBF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NR</w:t>
            </w:r>
          </w:p>
        </w:tc>
        <w:tc>
          <w:tcPr>
            <w:tcW w:w="857" w:type="pct"/>
            <w:shd w:val="clear" w:color="auto" w:fill="auto"/>
            <w:vAlign w:val="center"/>
          </w:tcPr>
          <w:p w14:paraId="4D81735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Precapillary PH patients</w:t>
            </w:r>
          </w:p>
        </w:tc>
        <w:tc>
          <w:tcPr>
            <w:tcW w:w="622" w:type="pct"/>
            <w:shd w:val="clear" w:color="auto" w:fill="auto"/>
            <w:vAlign w:val="center"/>
          </w:tcPr>
          <w:p w14:paraId="7A3248B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9" w:type="pct"/>
            <w:shd w:val="clear" w:color="auto" w:fill="auto"/>
            <w:vAlign w:val="center"/>
          </w:tcPr>
          <w:p w14:paraId="761D51B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321821C" w14:textId="77777777" w:rsidTr="00E4281E">
        <w:trPr>
          <w:cantSplit/>
        </w:trPr>
        <w:tc>
          <w:tcPr>
            <w:tcW w:w="713" w:type="pct"/>
          </w:tcPr>
          <w:p w14:paraId="5596D73C"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lang w:val="en-US"/>
              </w:rPr>
              <w:t>Leuchte</w:t>
            </w:r>
            <w:proofErr w:type="spellEnd"/>
            <w:r w:rsidRPr="00055E91">
              <w:rPr>
                <w:rFonts w:ascii="Arial Narrow" w:hAnsi="Arial Narrow"/>
                <w:lang w:val="en-US"/>
              </w:rPr>
              <w:t xml:space="preserve"> et al. (2007)</w:t>
            </w:r>
          </w:p>
        </w:tc>
        <w:tc>
          <w:tcPr>
            <w:tcW w:w="466" w:type="pct"/>
            <w:shd w:val="clear" w:color="auto" w:fill="auto"/>
            <w:vAlign w:val="center"/>
          </w:tcPr>
          <w:p w14:paraId="16CBFE4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118</w:t>
            </w:r>
          </w:p>
        </w:tc>
        <w:tc>
          <w:tcPr>
            <w:tcW w:w="782" w:type="pct"/>
            <w:shd w:val="clear" w:color="auto" w:fill="auto"/>
            <w:vAlign w:val="center"/>
          </w:tcPr>
          <w:p w14:paraId="2AE5B4D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495782E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NR</w:t>
            </w:r>
          </w:p>
        </w:tc>
        <w:tc>
          <w:tcPr>
            <w:tcW w:w="857" w:type="pct"/>
            <w:shd w:val="clear" w:color="auto" w:fill="auto"/>
            <w:vAlign w:val="center"/>
          </w:tcPr>
          <w:p w14:paraId="3D45E03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Patients with isolated PH </w:t>
            </w:r>
          </w:p>
        </w:tc>
        <w:tc>
          <w:tcPr>
            <w:tcW w:w="622" w:type="pct"/>
            <w:shd w:val="clear" w:color="auto" w:fill="auto"/>
            <w:vAlign w:val="center"/>
          </w:tcPr>
          <w:p w14:paraId="3CB760F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9" w:type="pct"/>
            <w:shd w:val="clear" w:color="auto" w:fill="auto"/>
            <w:vAlign w:val="center"/>
          </w:tcPr>
          <w:p w14:paraId="620FCC6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922BB2B" w14:textId="77777777" w:rsidTr="00E4281E">
        <w:trPr>
          <w:cantSplit/>
        </w:trPr>
        <w:tc>
          <w:tcPr>
            <w:tcW w:w="713" w:type="pct"/>
          </w:tcPr>
          <w:p w14:paraId="078914DD"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Blyth et al. (2007)</w:t>
            </w:r>
          </w:p>
        </w:tc>
        <w:tc>
          <w:tcPr>
            <w:tcW w:w="466" w:type="pct"/>
            <w:shd w:val="clear" w:color="auto" w:fill="auto"/>
            <w:vAlign w:val="center"/>
          </w:tcPr>
          <w:p w14:paraId="30F2079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25</w:t>
            </w:r>
          </w:p>
        </w:tc>
        <w:tc>
          <w:tcPr>
            <w:tcW w:w="782" w:type="pct"/>
            <w:shd w:val="clear" w:color="auto" w:fill="auto"/>
            <w:vAlign w:val="center"/>
          </w:tcPr>
          <w:p w14:paraId="501A63F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1F796CA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NR</w:t>
            </w:r>
          </w:p>
        </w:tc>
        <w:tc>
          <w:tcPr>
            <w:tcW w:w="857" w:type="pct"/>
            <w:shd w:val="clear" w:color="auto" w:fill="auto"/>
            <w:vAlign w:val="center"/>
          </w:tcPr>
          <w:p w14:paraId="1049CA1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PH patients</w:t>
            </w:r>
          </w:p>
        </w:tc>
        <w:tc>
          <w:tcPr>
            <w:tcW w:w="622" w:type="pct"/>
            <w:shd w:val="clear" w:color="auto" w:fill="auto"/>
            <w:vAlign w:val="center"/>
          </w:tcPr>
          <w:p w14:paraId="79DA872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Sensitivity Specificity</w:t>
            </w:r>
          </w:p>
        </w:tc>
        <w:tc>
          <w:tcPr>
            <w:tcW w:w="939" w:type="pct"/>
            <w:shd w:val="clear" w:color="auto" w:fill="auto"/>
            <w:vAlign w:val="center"/>
          </w:tcPr>
          <w:p w14:paraId="4F7FE93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5213B79" w14:textId="77777777" w:rsidTr="00E4281E">
        <w:trPr>
          <w:cantSplit/>
        </w:trPr>
        <w:tc>
          <w:tcPr>
            <w:tcW w:w="713" w:type="pct"/>
            <w:shd w:val="clear" w:color="auto" w:fill="auto"/>
            <w:vAlign w:val="center"/>
          </w:tcPr>
          <w:p w14:paraId="447358CE"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w:t>
            </w:r>
          </w:p>
        </w:tc>
        <w:tc>
          <w:tcPr>
            <w:tcW w:w="466" w:type="pct"/>
            <w:shd w:val="clear" w:color="auto" w:fill="auto"/>
            <w:vAlign w:val="center"/>
          </w:tcPr>
          <w:p w14:paraId="1822BE2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2,200</w:t>
            </w:r>
          </w:p>
        </w:tc>
        <w:tc>
          <w:tcPr>
            <w:tcW w:w="2882" w:type="pct"/>
            <w:gridSpan w:val="4"/>
            <w:shd w:val="clear" w:color="auto" w:fill="auto"/>
            <w:vAlign w:val="center"/>
          </w:tcPr>
          <w:p w14:paraId="07E6173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Included: Van Loon et al. (2010), Simpson et al. (2020), </w:t>
            </w:r>
            <w:proofErr w:type="spellStart"/>
            <w:r w:rsidRPr="00055E91">
              <w:rPr>
                <w:rFonts w:ascii="Arial Narrow" w:hAnsi="Arial Narrow"/>
                <w:lang w:val="en-US"/>
              </w:rPr>
              <w:t>Seyyedi</w:t>
            </w:r>
            <w:proofErr w:type="spellEnd"/>
            <w:r w:rsidRPr="00055E91">
              <w:rPr>
                <w:rFonts w:ascii="Arial Narrow" w:hAnsi="Arial Narrow"/>
                <w:lang w:val="en-US"/>
              </w:rPr>
              <w:t xml:space="preserve"> et al (2019), </w:t>
            </w:r>
            <w:proofErr w:type="spellStart"/>
            <w:r w:rsidRPr="00055E91">
              <w:rPr>
                <w:rFonts w:ascii="Arial Narrow" w:hAnsi="Arial Narrow"/>
                <w:lang w:val="en-US"/>
              </w:rPr>
              <w:t>Plácido</w:t>
            </w:r>
            <w:proofErr w:type="spellEnd"/>
            <w:r w:rsidRPr="00055E91">
              <w:rPr>
                <w:rFonts w:ascii="Arial Narrow" w:hAnsi="Arial Narrow"/>
                <w:lang w:val="en-US"/>
              </w:rPr>
              <w:t xml:space="preserve"> et al. (2017) and </w:t>
            </w:r>
            <w:proofErr w:type="spellStart"/>
            <w:r w:rsidRPr="00055E91">
              <w:rPr>
                <w:rFonts w:ascii="Arial Narrow" w:hAnsi="Arial Narrow"/>
                <w:lang w:val="en-US"/>
              </w:rPr>
              <w:t>Fijalkowska</w:t>
            </w:r>
            <w:proofErr w:type="spellEnd"/>
            <w:r w:rsidRPr="00055E91">
              <w:rPr>
                <w:rFonts w:ascii="Arial Narrow" w:hAnsi="Arial Narrow"/>
                <w:lang w:val="en-US"/>
              </w:rPr>
              <w:t xml:space="preserve"> et al. (2006)</w:t>
            </w:r>
          </w:p>
        </w:tc>
        <w:tc>
          <w:tcPr>
            <w:tcW w:w="939" w:type="pct"/>
            <w:shd w:val="clear" w:color="auto" w:fill="auto"/>
            <w:vAlign w:val="center"/>
          </w:tcPr>
          <w:p w14:paraId="2116720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9B59C67" w14:textId="77777777" w:rsidTr="00E4281E">
        <w:trPr>
          <w:cantSplit/>
        </w:trPr>
        <w:tc>
          <w:tcPr>
            <w:tcW w:w="5000" w:type="pct"/>
            <w:gridSpan w:val="7"/>
            <w:shd w:val="clear" w:color="auto" w:fill="auto"/>
            <w:vAlign w:val="center"/>
          </w:tcPr>
          <w:p w14:paraId="16F3955C" w14:textId="77777777" w:rsidR="00E4281E" w:rsidRPr="00055E91" w:rsidRDefault="00E4281E" w:rsidP="00E4281E">
            <w:pPr>
              <w:keepNext/>
              <w:spacing w:before="0" w:after="0"/>
              <w:rPr>
                <w:rFonts w:ascii="Arial Narrow" w:eastAsiaTheme="majorEastAsia" w:hAnsi="Arial Narrow"/>
                <w:b/>
                <w:szCs w:val="24"/>
                <w:lang w:val="en-US"/>
              </w:rPr>
            </w:pPr>
            <w:r w:rsidRPr="00055E91">
              <w:rPr>
                <w:rFonts w:ascii="Arial Narrow" w:eastAsiaTheme="majorEastAsia" w:hAnsi="Arial Narrow"/>
                <w:b/>
                <w:szCs w:val="24"/>
                <w:lang w:val="en-US"/>
              </w:rPr>
              <w:t>Ability of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 xml:space="preserve"> levels to predict mortality</w:t>
            </w:r>
          </w:p>
        </w:tc>
      </w:tr>
      <w:tr w:rsidR="00E4281E" w:rsidRPr="00055E91" w14:paraId="0ABE020D" w14:textId="77777777" w:rsidTr="00E4281E">
        <w:trPr>
          <w:cantSplit/>
        </w:trPr>
        <w:tc>
          <w:tcPr>
            <w:tcW w:w="713" w:type="pct"/>
          </w:tcPr>
          <w:p w14:paraId="673DD4D0" w14:textId="77777777" w:rsidR="00E4281E" w:rsidRPr="00055E91" w:rsidRDefault="00E4281E" w:rsidP="00E4281E">
            <w:pPr>
              <w:spacing w:before="40"/>
              <w:rPr>
                <w:rFonts w:ascii="Arial Narrow" w:hAnsi="Arial Narrow"/>
                <w:bCs/>
              </w:rPr>
            </w:pPr>
            <w:r w:rsidRPr="00055E91">
              <w:rPr>
                <w:rFonts w:ascii="Arial Narrow" w:hAnsi="Arial Narrow"/>
                <w:bCs/>
              </w:rPr>
              <w:t>Van Loon et al. (2010)</w:t>
            </w:r>
          </w:p>
        </w:tc>
        <w:tc>
          <w:tcPr>
            <w:tcW w:w="466" w:type="pct"/>
            <w:shd w:val="clear" w:color="auto" w:fill="auto"/>
            <w:vAlign w:val="center"/>
          </w:tcPr>
          <w:p w14:paraId="4A1A0EA5"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52</w:t>
            </w:r>
          </w:p>
        </w:tc>
        <w:tc>
          <w:tcPr>
            <w:tcW w:w="782" w:type="pct"/>
            <w:shd w:val="clear" w:color="auto" w:fill="auto"/>
            <w:vAlign w:val="center"/>
          </w:tcPr>
          <w:p w14:paraId="64B0BD0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Cohort</w:t>
            </w:r>
          </w:p>
        </w:tc>
        <w:tc>
          <w:tcPr>
            <w:tcW w:w="621" w:type="pct"/>
            <w:shd w:val="clear" w:color="auto" w:fill="auto"/>
            <w:vAlign w:val="center"/>
          </w:tcPr>
          <w:p w14:paraId="6B50EE1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1ACAD0C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Children with PAH</w:t>
            </w:r>
          </w:p>
        </w:tc>
        <w:tc>
          <w:tcPr>
            <w:tcW w:w="622" w:type="pct"/>
            <w:shd w:val="clear" w:color="auto" w:fill="auto"/>
            <w:vAlign w:val="center"/>
          </w:tcPr>
          <w:p w14:paraId="71B950C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6D5C588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270FBFDE" w14:textId="77777777" w:rsidTr="00E4281E">
        <w:trPr>
          <w:cantSplit/>
        </w:trPr>
        <w:tc>
          <w:tcPr>
            <w:tcW w:w="713" w:type="pct"/>
          </w:tcPr>
          <w:p w14:paraId="366164B2" w14:textId="77777777" w:rsidR="00E4281E" w:rsidRPr="00055E91" w:rsidRDefault="00E4281E" w:rsidP="00E4281E">
            <w:pPr>
              <w:spacing w:before="40"/>
              <w:rPr>
                <w:rFonts w:ascii="Arial Narrow" w:hAnsi="Arial Narrow"/>
                <w:bCs/>
              </w:rPr>
            </w:pPr>
            <w:r w:rsidRPr="00055E91">
              <w:rPr>
                <w:rFonts w:ascii="Arial Narrow" w:hAnsi="Arial Narrow"/>
                <w:bCs/>
              </w:rPr>
              <w:t>Simpson et al. (2020)</w:t>
            </w:r>
          </w:p>
        </w:tc>
        <w:tc>
          <w:tcPr>
            <w:tcW w:w="466" w:type="pct"/>
            <w:shd w:val="clear" w:color="auto" w:fill="auto"/>
            <w:vAlign w:val="center"/>
          </w:tcPr>
          <w:p w14:paraId="5160CE7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2,017</w:t>
            </w:r>
          </w:p>
        </w:tc>
        <w:tc>
          <w:tcPr>
            <w:tcW w:w="782" w:type="pct"/>
            <w:shd w:val="clear" w:color="auto" w:fill="auto"/>
            <w:vAlign w:val="center"/>
          </w:tcPr>
          <w:p w14:paraId="09DC8D5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Cohort</w:t>
            </w:r>
          </w:p>
        </w:tc>
        <w:tc>
          <w:tcPr>
            <w:tcW w:w="621" w:type="pct"/>
            <w:shd w:val="clear" w:color="auto" w:fill="auto"/>
            <w:vAlign w:val="center"/>
          </w:tcPr>
          <w:p w14:paraId="6D27C0C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291AD77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PAH patients</w:t>
            </w:r>
          </w:p>
        </w:tc>
        <w:tc>
          <w:tcPr>
            <w:tcW w:w="622" w:type="pct"/>
            <w:shd w:val="clear" w:color="auto" w:fill="auto"/>
            <w:vAlign w:val="center"/>
          </w:tcPr>
          <w:p w14:paraId="05C926A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10DDC65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066FDCF" w14:textId="77777777" w:rsidTr="00E4281E">
        <w:trPr>
          <w:cantSplit/>
        </w:trPr>
        <w:tc>
          <w:tcPr>
            <w:tcW w:w="713" w:type="pct"/>
          </w:tcPr>
          <w:p w14:paraId="22407893" w14:textId="77777777" w:rsidR="00E4281E" w:rsidRPr="00055E91" w:rsidRDefault="00E4281E" w:rsidP="00E4281E">
            <w:pPr>
              <w:spacing w:before="40"/>
              <w:rPr>
                <w:rFonts w:ascii="Arial Narrow" w:hAnsi="Arial Narrow"/>
                <w:bCs/>
              </w:rPr>
            </w:pPr>
            <w:proofErr w:type="spellStart"/>
            <w:r w:rsidRPr="00055E91">
              <w:rPr>
                <w:rFonts w:ascii="Arial Narrow" w:hAnsi="Arial Narrow"/>
                <w:bCs/>
              </w:rPr>
              <w:t>Seyyedi</w:t>
            </w:r>
            <w:proofErr w:type="spellEnd"/>
            <w:r w:rsidRPr="00055E91">
              <w:rPr>
                <w:rFonts w:ascii="Arial Narrow" w:hAnsi="Arial Narrow"/>
                <w:bCs/>
              </w:rPr>
              <w:t xml:space="preserve"> et al (2019)</w:t>
            </w:r>
          </w:p>
        </w:tc>
        <w:tc>
          <w:tcPr>
            <w:tcW w:w="466" w:type="pct"/>
            <w:shd w:val="clear" w:color="auto" w:fill="auto"/>
            <w:vAlign w:val="center"/>
          </w:tcPr>
          <w:p w14:paraId="1E5E597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52</w:t>
            </w:r>
          </w:p>
        </w:tc>
        <w:tc>
          <w:tcPr>
            <w:tcW w:w="782" w:type="pct"/>
            <w:shd w:val="clear" w:color="auto" w:fill="auto"/>
            <w:vAlign w:val="center"/>
          </w:tcPr>
          <w:p w14:paraId="249B480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742722E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1C7333D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Severe PH patients</w:t>
            </w:r>
          </w:p>
        </w:tc>
        <w:tc>
          <w:tcPr>
            <w:tcW w:w="622" w:type="pct"/>
            <w:shd w:val="clear" w:color="auto" w:fill="auto"/>
            <w:vAlign w:val="center"/>
          </w:tcPr>
          <w:p w14:paraId="0A9887D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18A0EB1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725C76B1" w14:textId="77777777" w:rsidTr="00E4281E">
        <w:trPr>
          <w:cantSplit/>
        </w:trPr>
        <w:tc>
          <w:tcPr>
            <w:tcW w:w="713" w:type="pct"/>
          </w:tcPr>
          <w:p w14:paraId="3A23DA19" w14:textId="77777777" w:rsidR="00E4281E" w:rsidRPr="00055E91" w:rsidRDefault="00E4281E" w:rsidP="00E4281E">
            <w:pPr>
              <w:spacing w:before="40"/>
              <w:rPr>
                <w:rFonts w:ascii="Arial Narrow" w:hAnsi="Arial Narrow"/>
                <w:bCs/>
              </w:rPr>
            </w:pPr>
            <w:proofErr w:type="spellStart"/>
            <w:r w:rsidRPr="00055E91">
              <w:rPr>
                <w:rFonts w:ascii="Arial Narrow" w:hAnsi="Arial Narrow"/>
                <w:bCs/>
              </w:rPr>
              <w:t>Plácido</w:t>
            </w:r>
            <w:proofErr w:type="spellEnd"/>
            <w:r w:rsidRPr="00055E91">
              <w:rPr>
                <w:rFonts w:ascii="Arial Narrow" w:hAnsi="Arial Narrow"/>
                <w:bCs/>
              </w:rPr>
              <w:t xml:space="preserve"> et al. (2017)</w:t>
            </w:r>
          </w:p>
        </w:tc>
        <w:tc>
          <w:tcPr>
            <w:tcW w:w="466" w:type="pct"/>
            <w:shd w:val="clear" w:color="auto" w:fill="auto"/>
            <w:vAlign w:val="center"/>
          </w:tcPr>
          <w:p w14:paraId="0C72BA2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43</w:t>
            </w:r>
          </w:p>
        </w:tc>
        <w:tc>
          <w:tcPr>
            <w:tcW w:w="782" w:type="pct"/>
            <w:shd w:val="clear" w:color="auto" w:fill="auto"/>
            <w:vAlign w:val="center"/>
          </w:tcPr>
          <w:p w14:paraId="285BAE6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603D74A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30B164C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PH patients</w:t>
            </w:r>
          </w:p>
        </w:tc>
        <w:tc>
          <w:tcPr>
            <w:tcW w:w="622" w:type="pct"/>
            <w:shd w:val="clear" w:color="auto" w:fill="auto"/>
            <w:vAlign w:val="center"/>
          </w:tcPr>
          <w:p w14:paraId="20747AB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2F94967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3F3A82C6" w14:textId="77777777" w:rsidTr="00E4281E">
        <w:trPr>
          <w:cantSplit/>
        </w:trPr>
        <w:tc>
          <w:tcPr>
            <w:tcW w:w="713" w:type="pct"/>
          </w:tcPr>
          <w:p w14:paraId="604257FD" w14:textId="77777777" w:rsidR="00E4281E" w:rsidRPr="00055E91" w:rsidRDefault="00E4281E" w:rsidP="00E4281E">
            <w:pPr>
              <w:spacing w:before="40"/>
              <w:rPr>
                <w:rFonts w:ascii="Arial Narrow" w:hAnsi="Arial Narrow"/>
                <w:bCs/>
              </w:rPr>
            </w:pPr>
            <w:proofErr w:type="spellStart"/>
            <w:r w:rsidRPr="00055E91">
              <w:rPr>
                <w:rFonts w:ascii="Arial Narrow" w:hAnsi="Arial Narrow"/>
                <w:bCs/>
              </w:rPr>
              <w:t>Fijalkowska</w:t>
            </w:r>
            <w:proofErr w:type="spellEnd"/>
            <w:r w:rsidRPr="00055E91">
              <w:rPr>
                <w:rFonts w:ascii="Arial Narrow" w:hAnsi="Arial Narrow"/>
                <w:bCs/>
              </w:rPr>
              <w:t xml:space="preserve"> et al. (2006)</w:t>
            </w:r>
          </w:p>
        </w:tc>
        <w:tc>
          <w:tcPr>
            <w:tcW w:w="466" w:type="pct"/>
            <w:shd w:val="clear" w:color="auto" w:fill="auto"/>
            <w:vAlign w:val="center"/>
          </w:tcPr>
          <w:p w14:paraId="6C36702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55</w:t>
            </w:r>
          </w:p>
        </w:tc>
        <w:tc>
          <w:tcPr>
            <w:tcW w:w="782" w:type="pct"/>
            <w:shd w:val="clear" w:color="auto" w:fill="auto"/>
            <w:vAlign w:val="center"/>
          </w:tcPr>
          <w:p w14:paraId="7F789F6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5188A86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02B1843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Severe PH patients</w:t>
            </w:r>
          </w:p>
        </w:tc>
        <w:tc>
          <w:tcPr>
            <w:tcW w:w="622" w:type="pct"/>
            <w:shd w:val="clear" w:color="auto" w:fill="auto"/>
            <w:vAlign w:val="center"/>
          </w:tcPr>
          <w:p w14:paraId="6F29CAB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3152595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26E4EB91" w14:textId="77777777" w:rsidTr="00E4281E">
        <w:trPr>
          <w:cantSplit/>
        </w:trPr>
        <w:tc>
          <w:tcPr>
            <w:tcW w:w="713" w:type="pct"/>
          </w:tcPr>
          <w:p w14:paraId="42B7BECB"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Chida et al. (2014)</w:t>
            </w:r>
          </w:p>
        </w:tc>
        <w:tc>
          <w:tcPr>
            <w:tcW w:w="466" w:type="pct"/>
            <w:shd w:val="clear" w:color="auto" w:fill="auto"/>
            <w:vAlign w:val="center"/>
          </w:tcPr>
          <w:p w14:paraId="1E1F5BEC"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59</w:t>
            </w:r>
          </w:p>
        </w:tc>
        <w:tc>
          <w:tcPr>
            <w:tcW w:w="782" w:type="pct"/>
            <w:shd w:val="clear" w:color="auto" w:fill="auto"/>
            <w:vAlign w:val="center"/>
          </w:tcPr>
          <w:p w14:paraId="34162EF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Cohort</w:t>
            </w:r>
          </w:p>
        </w:tc>
        <w:tc>
          <w:tcPr>
            <w:tcW w:w="621" w:type="pct"/>
            <w:shd w:val="clear" w:color="auto" w:fill="auto"/>
            <w:vAlign w:val="center"/>
          </w:tcPr>
          <w:p w14:paraId="5214CFD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037531B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Patients with IPAH/heritable PAH </w:t>
            </w:r>
          </w:p>
        </w:tc>
        <w:tc>
          <w:tcPr>
            <w:tcW w:w="622" w:type="pct"/>
            <w:shd w:val="clear" w:color="auto" w:fill="auto"/>
            <w:vAlign w:val="center"/>
          </w:tcPr>
          <w:p w14:paraId="4201C49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58E0107A"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EDD4132" w14:textId="77777777" w:rsidTr="00E4281E">
        <w:trPr>
          <w:cantSplit/>
        </w:trPr>
        <w:tc>
          <w:tcPr>
            <w:tcW w:w="713" w:type="pct"/>
            <w:shd w:val="clear" w:color="auto" w:fill="auto"/>
            <w:vAlign w:val="center"/>
          </w:tcPr>
          <w:p w14:paraId="372DEBF3"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w:t>
            </w:r>
          </w:p>
        </w:tc>
        <w:tc>
          <w:tcPr>
            <w:tcW w:w="466" w:type="pct"/>
            <w:shd w:val="clear" w:color="auto" w:fill="auto"/>
            <w:vAlign w:val="center"/>
          </w:tcPr>
          <w:p w14:paraId="77C18DA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2,200</w:t>
            </w:r>
          </w:p>
        </w:tc>
        <w:tc>
          <w:tcPr>
            <w:tcW w:w="2882" w:type="pct"/>
            <w:gridSpan w:val="4"/>
            <w:shd w:val="clear" w:color="auto" w:fill="auto"/>
            <w:vAlign w:val="center"/>
          </w:tcPr>
          <w:p w14:paraId="57656C8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Included: Van Loon et al. (2010), Simpson et al. (2020), </w:t>
            </w:r>
            <w:proofErr w:type="spellStart"/>
            <w:r w:rsidRPr="00055E91">
              <w:rPr>
                <w:rFonts w:ascii="Arial Narrow" w:hAnsi="Arial Narrow"/>
                <w:lang w:val="en-US"/>
              </w:rPr>
              <w:t>Seyyedi</w:t>
            </w:r>
            <w:proofErr w:type="spellEnd"/>
            <w:r w:rsidRPr="00055E91">
              <w:rPr>
                <w:rFonts w:ascii="Arial Narrow" w:hAnsi="Arial Narrow"/>
                <w:lang w:val="en-US"/>
              </w:rPr>
              <w:t xml:space="preserve"> et al (2019), </w:t>
            </w:r>
            <w:proofErr w:type="spellStart"/>
            <w:r w:rsidRPr="00055E91">
              <w:rPr>
                <w:rFonts w:ascii="Arial Narrow" w:hAnsi="Arial Narrow"/>
                <w:lang w:val="en-US"/>
              </w:rPr>
              <w:t>Plácido</w:t>
            </w:r>
            <w:proofErr w:type="spellEnd"/>
            <w:r w:rsidRPr="00055E91">
              <w:rPr>
                <w:rFonts w:ascii="Arial Narrow" w:hAnsi="Arial Narrow"/>
                <w:lang w:val="en-US"/>
              </w:rPr>
              <w:t xml:space="preserve"> et al. (2017) and </w:t>
            </w:r>
            <w:proofErr w:type="spellStart"/>
            <w:r w:rsidRPr="00055E91">
              <w:rPr>
                <w:rFonts w:ascii="Arial Narrow" w:hAnsi="Arial Narrow"/>
                <w:lang w:val="en-US"/>
              </w:rPr>
              <w:t>Fijalkowska</w:t>
            </w:r>
            <w:proofErr w:type="spellEnd"/>
            <w:r w:rsidRPr="00055E91">
              <w:rPr>
                <w:rFonts w:ascii="Arial Narrow" w:hAnsi="Arial Narrow"/>
                <w:lang w:val="en-US"/>
              </w:rPr>
              <w:t xml:space="preserve"> et al. (2006)</w:t>
            </w:r>
          </w:p>
        </w:tc>
        <w:tc>
          <w:tcPr>
            <w:tcW w:w="939" w:type="pct"/>
            <w:shd w:val="clear" w:color="auto" w:fill="auto"/>
            <w:vAlign w:val="center"/>
          </w:tcPr>
          <w:p w14:paraId="690278B2"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098F408A" w14:textId="77777777" w:rsidTr="00E4281E">
        <w:trPr>
          <w:cantSplit/>
        </w:trPr>
        <w:tc>
          <w:tcPr>
            <w:tcW w:w="5000" w:type="pct"/>
            <w:gridSpan w:val="7"/>
            <w:shd w:val="clear" w:color="auto" w:fill="auto"/>
            <w:vAlign w:val="center"/>
          </w:tcPr>
          <w:p w14:paraId="291AF0A9" w14:textId="77777777" w:rsidR="00E4281E" w:rsidRPr="00055E91" w:rsidRDefault="00E4281E" w:rsidP="00E4281E">
            <w:pPr>
              <w:keepNext/>
              <w:spacing w:before="40"/>
              <w:rPr>
                <w:rFonts w:ascii="Arial Narrow" w:eastAsiaTheme="majorEastAsia" w:hAnsi="Arial Narrow"/>
                <w:b/>
                <w:szCs w:val="24"/>
                <w:lang w:val="en-US"/>
              </w:rPr>
            </w:pPr>
            <w:r w:rsidRPr="00055E91">
              <w:rPr>
                <w:rFonts w:ascii="Arial Narrow" w:eastAsiaTheme="majorEastAsia" w:hAnsi="Arial Narrow"/>
                <w:b/>
                <w:szCs w:val="24"/>
                <w:lang w:val="en-US"/>
              </w:rPr>
              <w:t>Ability of NT-</w:t>
            </w:r>
            <w:proofErr w:type="spellStart"/>
            <w:r w:rsidRPr="00055E91">
              <w:rPr>
                <w:rFonts w:ascii="Arial Narrow" w:eastAsiaTheme="majorEastAsia" w:hAnsi="Arial Narrow"/>
                <w:b/>
                <w:szCs w:val="24"/>
                <w:lang w:val="en-US"/>
              </w:rPr>
              <w:t>proBNP</w:t>
            </w:r>
            <w:proofErr w:type="spellEnd"/>
            <w:r w:rsidRPr="00055E91">
              <w:rPr>
                <w:rFonts w:ascii="Arial Narrow" w:eastAsiaTheme="majorEastAsia" w:hAnsi="Arial Narrow"/>
                <w:b/>
                <w:szCs w:val="24"/>
                <w:lang w:val="en-US"/>
              </w:rPr>
              <w:t>-based risk assessment calculators to predict mortality</w:t>
            </w:r>
          </w:p>
        </w:tc>
      </w:tr>
      <w:tr w:rsidR="00E4281E" w:rsidRPr="00055E91" w14:paraId="296011F6" w14:textId="77777777" w:rsidTr="00E4281E">
        <w:trPr>
          <w:cantSplit/>
        </w:trPr>
        <w:tc>
          <w:tcPr>
            <w:tcW w:w="713" w:type="pct"/>
            <w:shd w:val="clear" w:color="auto" w:fill="auto"/>
            <w:vAlign w:val="center"/>
          </w:tcPr>
          <w:p w14:paraId="57ABAA00"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lang w:val="en-US"/>
              </w:rPr>
              <w:t>Dardi</w:t>
            </w:r>
            <w:proofErr w:type="spellEnd"/>
            <w:r w:rsidRPr="00055E91">
              <w:rPr>
                <w:rFonts w:ascii="Arial Narrow" w:hAnsi="Arial Narrow"/>
                <w:lang w:val="en-US"/>
              </w:rPr>
              <w:t xml:space="preserve"> et al. (2021)</w:t>
            </w:r>
          </w:p>
        </w:tc>
        <w:tc>
          <w:tcPr>
            <w:tcW w:w="466" w:type="pct"/>
            <w:shd w:val="clear" w:color="auto" w:fill="auto"/>
            <w:vAlign w:val="center"/>
          </w:tcPr>
          <w:p w14:paraId="6FA5A0D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576</w:t>
            </w:r>
          </w:p>
        </w:tc>
        <w:tc>
          <w:tcPr>
            <w:tcW w:w="782" w:type="pct"/>
            <w:shd w:val="clear" w:color="auto" w:fill="auto"/>
            <w:vAlign w:val="center"/>
          </w:tcPr>
          <w:p w14:paraId="4018F01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registry</w:t>
            </w:r>
          </w:p>
        </w:tc>
        <w:tc>
          <w:tcPr>
            <w:tcW w:w="621" w:type="pct"/>
            <w:shd w:val="clear" w:color="auto" w:fill="auto"/>
            <w:vAlign w:val="center"/>
          </w:tcPr>
          <w:p w14:paraId="17C05A6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495A1C4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Patients with IPAH/heritable/drug induced PAH </w:t>
            </w:r>
          </w:p>
        </w:tc>
        <w:tc>
          <w:tcPr>
            <w:tcW w:w="622" w:type="pct"/>
            <w:shd w:val="clear" w:color="auto" w:fill="auto"/>
            <w:vAlign w:val="center"/>
          </w:tcPr>
          <w:p w14:paraId="20FAD1D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5150F1F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3435D51D" w14:textId="77777777" w:rsidTr="00E4281E">
        <w:trPr>
          <w:cantSplit/>
        </w:trPr>
        <w:tc>
          <w:tcPr>
            <w:tcW w:w="713" w:type="pct"/>
            <w:shd w:val="clear" w:color="auto" w:fill="auto"/>
            <w:vAlign w:val="center"/>
          </w:tcPr>
          <w:p w14:paraId="659DD3CC"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lang w:val="en-US"/>
              </w:rPr>
              <w:t>Benza</w:t>
            </w:r>
            <w:proofErr w:type="spellEnd"/>
            <w:r w:rsidRPr="00055E91">
              <w:rPr>
                <w:rFonts w:ascii="Arial Narrow" w:hAnsi="Arial Narrow"/>
                <w:lang w:val="en-US"/>
              </w:rPr>
              <w:t xml:space="preserve"> et al. (2021)</w:t>
            </w:r>
          </w:p>
        </w:tc>
        <w:tc>
          <w:tcPr>
            <w:tcW w:w="466" w:type="pct"/>
            <w:shd w:val="clear" w:color="auto" w:fill="auto"/>
            <w:vAlign w:val="center"/>
          </w:tcPr>
          <w:p w14:paraId="72D3133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1,685</w:t>
            </w:r>
          </w:p>
        </w:tc>
        <w:tc>
          <w:tcPr>
            <w:tcW w:w="782" w:type="pct"/>
            <w:shd w:val="clear" w:color="auto" w:fill="auto"/>
            <w:vAlign w:val="center"/>
          </w:tcPr>
          <w:p w14:paraId="2696456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registry</w:t>
            </w:r>
          </w:p>
        </w:tc>
        <w:tc>
          <w:tcPr>
            <w:tcW w:w="621" w:type="pct"/>
            <w:shd w:val="clear" w:color="auto" w:fill="auto"/>
            <w:vAlign w:val="center"/>
          </w:tcPr>
          <w:p w14:paraId="6DF27C6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0A9A72E7"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PAH patients surviving ≥1 year</w:t>
            </w:r>
          </w:p>
        </w:tc>
        <w:tc>
          <w:tcPr>
            <w:tcW w:w="622" w:type="pct"/>
            <w:shd w:val="clear" w:color="auto" w:fill="auto"/>
            <w:vAlign w:val="center"/>
          </w:tcPr>
          <w:p w14:paraId="6236BD7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69105FB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598CC295" w14:textId="77777777" w:rsidTr="00E4281E">
        <w:trPr>
          <w:cantSplit/>
        </w:trPr>
        <w:tc>
          <w:tcPr>
            <w:tcW w:w="713" w:type="pct"/>
            <w:shd w:val="clear" w:color="auto" w:fill="auto"/>
            <w:vAlign w:val="center"/>
          </w:tcPr>
          <w:p w14:paraId="103D9241"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Siddiqui et al. (2018)</w:t>
            </w:r>
          </w:p>
        </w:tc>
        <w:tc>
          <w:tcPr>
            <w:tcW w:w="466" w:type="pct"/>
            <w:shd w:val="clear" w:color="auto" w:fill="auto"/>
            <w:vAlign w:val="center"/>
          </w:tcPr>
          <w:p w14:paraId="25207D7D"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98</w:t>
            </w:r>
          </w:p>
        </w:tc>
        <w:tc>
          <w:tcPr>
            <w:tcW w:w="782" w:type="pct"/>
            <w:shd w:val="clear" w:color="auto" w:fill="auto"/>
            <w:vAlign w:val="center"/>
          </w:tcPr>
          <w:p w14:paraId="6A7AEEE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092B697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6178A18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Precapillary PH patients</w:t>
            </w:r>
          </w:p>
        </w:tc>
        <w:tc>
          <w:tcPr>
            <w:tcW w:w="622" w:type="pct"/>
            <w:shd w:val="clear" w:color="auto" w:fill="auto"/>
            <w:vAlign w:val="center"/>
          </w:tcPr>
          <w:p w14:paraId="6BD9F94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243D2A4E"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4C0F3E9A" w14:textId="77777777" w:rsidTr="00E4281E">
        <w:trPr>
          <w:cantSplit/>
        </w:trPr>
        <w:tc>
          <w:tcPr>
            <w:tcW w:w="713" w:type="pct"/>
            <w:shd w:val="clear" w:color="auto" w:fill="auto"/>
            <w:vAlign w:val="center"/>
          </w:tcPr>
          <w:p w14:paraId="0811BC94" w14:textId="77777777" w:rsidR="00E4281E" w:rsidRPr="00055E91" w:rsidRDefault="00E4281E" w:rsidP="00E4281E">
            <w:pPr>
              <w:spacing w:before="40"/>
              <w:rPr>
                <w:rFonts w:ascii="Arial Narrow" w:hAnsi="Arial Narrow"/>
                <w:lang w:val="en-US"/>
              </w:rPr>
            </w:pPr>
            <w:proofErr w:type="spellStart"/>
            <w:r w:rsidRPr="00055E91">
              <w:rPr>
                <w:rFonts w:ascii="Arial Narrow" w:hAnsi="Arial Narrow"/>
                <w:lang w:val="en-US"/>
              </w:rPr>
              <w:t>Geenen</w:t>
            </w:r>
            <w:proofErr w:type="spellEnd"/>
            <w:r w:rsidRPr="00055E91">
              <w:rPr>
                <w:rFonts w:ascii="Arial Narrow" w:hAnsi="Arial Narrow"/>
                <w:lang w:val="en-US"/>
              </w:rPr>
              <w:t xml:space="preserve"> et al. (2019)</w:t>
            </w:r>
          </w:p>
        </w:tc>
        <w:tc>
          <w:tcPr>
            <w:tcW w:w="466" w:type="pct"/>
            <w:shd w:val="clear" w:color="auto" w:fill="auto"/>
            <w:vAlign w:val="center"/>
          </w:tcPr>
          <w:p w14:paraId="2B7C233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106</w:t>
            </w:r>
          </w:p>
        </w:tc>
        <w:tc>
          <w:tcPr>
            <w:tcW w:w="782" w:type="pct"/>
            <w:shd w:val="clear" w:color="auto" w:fill="auto"/>
            <w:vAlign w:val="center"/>
          </w:tcPr>
          <w:p w14:paraId="545F468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Prospective cohort</w:t>
            </w:r>
          </w:p>
        </w:tc>
        <w:tc>
          <w:tcPr>
            <w:tcW w:w="621" w:type="pct"/>
            <w:shd w:val="clear" w:color="auto" w:fill="auto"/>
            <w:vAlign w:val="center"/>
          </w:tcPr>
          <w:p w14:paraId="66216B3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2B1A92A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PH patients</w:t>
            </w:r>
          </w:p>
        </w:tc>
        <w:tc>
          <w:tcPr>
            <w:tcW w:w="622" w:type="pct"/>
            <w:shd w:val="clear" w:color="auto" w:fill="auto"/>
            <w:vAlign w:val="center"/>
          </w:tcPr>
          <w:p w14:paraId="357874DF"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692859F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1C834780" w14:textId="77777777" w:rsidTr="00E4281E">
        <w:trPr>
          <w:cantSplit/>
        </w:trPr>
        <w:tc>
          <w:tcPr>
            <w:tcW w:w="713" w:type="pct"/>
            <w:shd w:val="clear" w:color="auto" w:fill="auto"/>
            <w:vAlign w:val="center"/>
          </w:tcPr>
          <w:p w14:paraId="7FE181CB"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Deng et al. (2019)</w:t>
            </w:r>
          </w:p>
        </w:tc>
        <w:tc>
          <w:tcPr>
            <w:tcW w:w="466" w:type="pct"/>
            <w:shd w:val="clear" w:color="auto" w:fill="auto"/>
            <w:vAlign w:val="center"/>
          </w:tcPr>
          <w:p w14:paraId="093D3F8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80</w:t>
            </w:r>
          </w:p>
        </w:tc>
        <w:tc>
          <w:tcPr>
            <w:tcW w:w="782" w:type="pct"/>
            <w:shd w:val="clear" w:color="auto" w:fill="auto"/>
            <w:vAlign w:val="center"/>
          </w:tcPr>
          <w:p w14:paraId="0DBA3453"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Retrospective cohort</w:t>
            </w:r>
          </w:p>
        </w:tc>
        <w:tc>
          <w:tcPr>
            <w:tcW w:w="621" w:type="pct"/>
            <w:shd w:val="clear" w:color="auto" w:fill="auto"/>
            <w:vAlign w:val="center"/>
          </w:tcPr>
          <w:p w14:paraId="3B75FC5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Moderate</w:t>
            </w:r>
          </w:p>
        </w:tc>
        <w:tc>
          <w:tcPr>
            <w:tcW w:w="857" w:type="pct"/>
            <w:shd w:val="clear" w:color="auto" w:fill="auto"/>
            <w:vAlign w:val="center"/>
          </w:tcPr>
          <w:p w14:paraId="385D70B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PAH-CHD patients</w:t>
            </w:r>
          </w:p>
        </w:tc>
        <w:tc>
          <w:tcPr>
            <w:tcW w:w="622" w:type="pct"/>
            <w:shd w:val="clear" w:color="auto" w:fill="auto"/>
            <w:vAlign w:val="center"/>
          </w:tcPr>
          <w:p w14:paraId="73B8F1CB"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Mortality</w:t>
            </w:r>
          </w:p>
        </w:tc>
        <w:tc>
          <w:tcPr>
            <w:tcW w:w="939" w:type="pct"/>
            <w:shd w:val="clear" w:color="auto" w:fill="auto"/>
            <w:vAlign w:val="center"/>
          </w:tcPr>
          <w:p w14:paraId="1920DB21"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40FC973F" w14:textId="77777777" w:rsidTr="00E4281E">
        <w:trPr>
          <w:cantSplit/>
        </w:trPr>
        <w:tc>
          <w:tcPr>
            <w:tcW w:w="713" w:type="pct"/>
            <w:shd w:val="clear" w:color="auto" w:fill="auto"/>
            <w:vAlign w:val="center"/>
          </w:tcPr>
          <w:p w14:paraId="735AAA0D"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 (high vs low)</w:t>
            </w:r>
          </w:p>
        </w:tc>
        <w:tc>
          <w:tcPr>
            <w:tcW w:w="466" w:type="pct"/>
            <w:shd w:val="clear" w:color="auto" w:fill="auto"/>
            <w:vAlign w:val="center"/>
          </w:tcPr>
          <w:p w14:paraId="783AA988"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3,676</w:t>
            </w:r>
          </w:p>
        </w:tc>
        <w:tc>
          <w:tcPr>
            <w:tcW w:w="2882" w:type="pct"/>
            <w:gridSpan w:val="4"/>
            <w:shd w:val="clear" w:color="auto" w:fill="auto"/>
            <w:vAlign w:val="center"/>
          </w:tcPr>
          <w:p w14:paraId="7D86CD80"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 xml:space="preserve">Included: </w:t>
            </w:r>
            <w:proofErr w:type="spellStart"/>
            <w:r w:rsidRPr="00055E91">
              <w:rPr>
                <w:rFonts w:ascii="Arial Narrow" w:hAnsi="Arial Narrow"/>
                <w:lang w:val="en-US"/>
              </w:rPr>
              <w:t>Dardi</w:t>
            </w:r>
            <w:proofErr w:type="spellEnd"/>
            <w:r w:rsidRPr="00055E91">
              <w:rPr>
                <w:rFonts w:ascii="Arial Narrow" w:hAnsi="Arial Narrow"/>
                <w:lang w:val="en-US"/>
              </w:rPr>
              <w:t xml:space="preserve"> et al. (2021); </w:t>
            </w:r>
            <w:proofErr w:type="spellStart"/>
            <w:r w:rsidRPr="00055E91">
              <w:rPr>
                <w:rFonts w:ascii="Arial Narrow" w:hAnsi="Arial Narrow"/>
                <w:lang w:val="en-US"/>
              </w:rPr>
              <w:t>Benza</w:t>
            </w:r>
            <w:proofErr w:type="spellEnd"/>
            <w:r w:rsidRPr="00055E91">
              <w:rPr>
                <w:rFonts w:ascii="Arial Narrow" w:hAnsi="Arial Narrow"/>
                <w:lang w:val="en-US"/>
              </w:rPr>
              <w:t xml:space="preserve"> et al. (2021)</w:t>
            </w:r>
            <w:r w:rsidRPr="00055E91">
              <w:rPr>
                <w:rFonts w:ascii="Arial Narrow" w:hAnsi="Arial Narrow"/>
              </w:rPr>
              <w:t xml:space="preserve"> and </w:t>
            </w:r>
            <w:r w:rsidRPr="00055E91">
              <w:rPr>
                <w:rFonts w:ascii="Arial Narrow" w:hAnsi="Arial Narrow"/>
                <w:lang w:val="en-US"/>
              </w:rPr>
              <w:t>Deng et al. (2019)</w:t>
            </w:r>
          </w:p>
        </w:tc>
        <w:tc>
          <w:tcPr>
            <w:tcW w:w="939" w:type="pct"/>
            <w:shd w:val="clear" w:color="auto" w:fill="auto"/>
            <w:vAlign w:val="center"/>
          </w:tcPr>
          <w:p w14:paraId="3786948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r w:rsidR="00E4281E" w:rsidRPr="00055E91" w14:paraId="4465C430" w14:textId="77777777" w:rsidTr="00E4281E">
        <w:trPr>
          <w:cantSplit/>
        </w:trPr>
        <w:tc>
          <w:tcPr>
            <w:tcW w:w="713" w:type="pct"/>
            <w:shd w:val="clear" w:color="auto" w:fill="auto"/>
            <w:vAlign w:val="center"/>
          </w:tcPr>
          <w:p w14:paraId="35431910" w14:textId="77777777" w:rsidR="00E4281E" w:rsidRPr="00055E91" w:rsidRDefault="00E4281E" w:rsidP="00E4281E">
            <w:pPr>
              <w:spacing w:before="40"/>
              <w:rPr>
                <w:rFonts w:ascii="Arial Narrow" w:hAnsi="Arial Narrow"/>
                <w:lang w:val="en-US"/>
              </w:rPr>
            </w:pPr>
            <w:r w:rsidRPr="00055E91">
              <w:rPr>
                <w:rFonts w:ascii="Arial Narrow" w:hAnsi="Arial Narrow"/>
                <w:lang w:val="en-US"/>
              </w:rPr>
              <w:t>Meta-analysis (per increment)</w:t>
            </w:r>
          </w:p>
        </w:tc>
        <w:tc>
          <w:tcPr>
            <w:tcW w:w="466" w:type="pct"/>
            <w:shd w:val="clear" w:color="auto" w:fill="auto"/>
            <w:vAlign w:val="center"/>
          </w:tcPr>
          <w:p w14:paraId="6A255819"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204</w:t>
            </w:r>
          </w:p>
        </w:tc>
        <w:tc>
          <w:tcPr>
            <w:tcW w:w="2882" w:type="pct"/>
            <w:gridSpan w:val="4"/>
            <w:shd w:val="clear" w:color="auto" w:fill="auto"/>
            <w:vAlign w:val="center"/>
          </w:tcPr>
          <w:p w14:paraId="35B19664"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Included:</w:t>
            </w:r>
            <w:r w:rsidRPr="00055E91">
              <w:rPr>
                <w:rFonts w:ascii="Arial Narrow" w:hAnsi="Arial Narrow"/>
              </w:rPr>
              <w:t xml:space="preserve"> </w:t>
            </w:r>
            <w:r w:rsidRPr="00055E91">
              <w:rPr>
                <w:rFonts w:ascii="Arial Narrow" w:hAnsi="Arial Narrow"/>
                <w:lang w:val="en-US"/>
              </w:rPr>
              <w:t xml:space="preserve">Siddiqui et al. (2018) and </w:t>
            </w:r>
            <w:proofErr w:type="spellStart"/>
            <w:r w:rsidRPr="00055E91">
              <w:rPr>
                <w:rFonts w:ascii="Arial Narrow" w:hAnsi="Arial Narrow"/>
                <w:lang w:val="en-US"/>
              </w:rPr>
              <w:t>Geenen</w:t>
            </w:r>
            <w:proofErr w:type="spellEnd"/>
            <w:r w:rsidRPr="00055E91">
              <w:rPr>
                <w:rFonts w:ascii="Arial Narrow" w:hAnsi="Arial Narrow"/>
                <w:lang w:val="en-US"/>
              </w:rPr>
              <w:t xml:space="preserve"> et al. (2019)</w:t>
            </w:r>
          </w:p>
        </w:tc>
        <w:tc>
          <w:tcPr>
            <w:tcW w:w="939" w:type="pct"/>
            <w:shd w:val="clear" w:color="auto" w:fill="auto"/>
            <w:vAlign w:val="center"/>
          </w:tcPr>
          <w:p w14:paraId="78E355F6" w14:textId="77777777" w:rsidR="00E4281E" w:rsidRPr="00055E91" w:rsidRDefault="00E4281E" w:rsidP="00E4281E">
            <w:pPr>
              <w:spacing w:before="40"/>
              <w:jc w:val="center"/>
              <w:rPr>
                <w:rFonts w:ascii="Arial Narrow" w:hAnsi="Arial Narrow"/>
                <w:lang w:val="en-US"/>
              </w:rPr>
            </w:pPr>
            <w:r w:rsidRPr="00055E91">
              <w:rPr>
                <w:rFonts w:ascii="Arial Narrow" w:hAnsi="Arial Narrow"/>
                <w:lang w:val="en-US"/>
              </w:rPr>
              <w:t>Not used</w:t>
            </w:r>
          </w:p>
        </w:tc>
      </w:tr>
    </w:tbl>
    <w:p w14:paraId="0F244F2A" w14:textId="77777777" w:rsidR="00E4281E" w:rsidRPr="00055E91" w:rsidRDefault="00E4281E" w:rsidP="00E4281E">
      <w:pPr>
        <w:pStyle w:val="TableNotes2"/>
        <w:rPr>
          <w:snapToGrid w:val="0"/>
        </w:rPr>
      </w:pPr>
      <w:bookmarkStart w:id="27" w:name="_Hlk68276176"/>
      <w:bookmarkEnd w:id="26"/>
      <w:r w:rsidRPr="00055E91">
        <w:rPr>
          <w:snapToGrid w:val="0"/>
        </w:rPr>
        <w:t xml:space="preserve">CHD = congenital heart disease; IPAH = idiopathic pulmonary arterial hypertension; N= number of studies; NR = not reported; PAH = pulmonary arterial hypertension; PH = pulmonary hypertension; </w:t>
      </w:r>
      <w:r w:rsidRPr="00514796">
        <w:rPr>
          <w:snapToGrid w:val="0"/>
        </w:rPr>
        <w:t>RVSD = right ventricular systolic dysfunction</w:t>
      </w:r>
    </w:p>
    <w:p w14:paraId="7EFDBD0B" w14:textId="3B9C9F84" w:rsidR="00E4281E" w:rsidRPr="00055E91" w:rsidRDefault="00E4281E" w:rsidP="00006582">
      <w:pPr>
        <w:pStyle w:val="TableHeading0"/>
        <w:keepNext/>
        <w:keepLines/>
        <w:rPr>
          <w:sz w:val="16"/>
          <w:szCs w:val="16"/>
        </w:rPr>
      </w:pPr>
      <w:bookmarkStart w:id="28" w:name="_Ref69725659"/>
      <w:bookmarkEnd w:id="27"/>
      <w:r>
        <w:lastRenderedPageBreak/>
        <w:t xml:space="preserve">Table </w:t>
      </w:r>
      <w:r>
        <w:fldChar w:fldCharType="begin"/>
      </w:r>
      <w:r>
        <w:instrText>SEQ Table_CES \* ARABIC</w:instrText>
      </w:r>
      <w:r>
        <w:fldChar w:fldCharType="separate"/>
      </w:r>
      <w:r w:rsidR="00D270D9">
        <w:rPr>
          <w:noProof/>
        </w:rPr>
        <w:t>6</w:t>
      </w:r>
      <w:r>
        <w:fldChar w:fldCharType="end"/>
      </w:r>
      <w:bookmarkEnd w:id="28"/>
      <w:r w:rsidRPr="00055E91">
        <w:tab/>
        <w:t>Key features of the included evidence</w:t>
      </w:r>
    </w:p>
    <w:tbl>
      <w:tblPr>
        <w:tblStyle w:val="TableGrid1"/>
        <w:tblW w:w="5000" w:type="pct"/>
        <w:tblLook w:val="04A0" w:firstRow="1" w:lastRow="0" w:firstColumn="1" w:lastColumn="0" w:noHBand="0" w:noVBand="1"/>
      </w:tblPr>
      <w:tblGrid>
        <w:gridCol w:w="1816"/>
        <w:gridCol w:w="3325"/>
        <w:gridCol w:w="1938"/>
        <w:gridCol w:w="1937"/>
      </w:tblGrid>
      <w:tr w:rsidR="00E4281E" w:rsidRPr="00055E91" w14:paraId="7E255720" w14:textId="77777777" w:rsidTr="00E4281E">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674A5770" w14:textId="77777777" w:rsidR="00E4281E" w:rsidRPr="00055E91" w:rsidRDefault="00E4281E" w:rsidP="00006582">
            <w:pPr>
              <w:keepNext/>
              <w:keepLines/>
              <w:spacing w:before="40"/>
              <w:rPr>
                <w:rFonts w:ascii="Arial Narrow" w:hAnsi="Arial Narrow"/>
                <w:b/>
              </w:rPr>
            </w:pPr>
            <w:bookmarkStart w:id="29" w:name="ColumnTitle_Table4"/>
            <w:bookmarkStart w:id="30" w:name="_Hlk68276288"/>
            <w:bookmarkEnd w:id="29"/>
            <w:r w:rsidRPr="00055E91">
              <w:rPr>
                <w:rFonts w:ascii="Arial Narrow" w:hAnsi="Arial Narrow"/>
                <w:b/>
              </w:rPr>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2A095B0D" w14:textId="77777777" w:rsidR="00E4281E" w:rsidRPr="00055E91" w:rsidRDefault="00E4281E" w:rsidP="00006582">
            <w:pPr>
              <w:keepNext/>
              <w:keepLines/>
              <w:spacing w:before="40"/>
              <w:rPr>
                <w:rFonts w:ascii="Arial Narrow" w:hAnsi="Arial Narrow"/>
                <w:b/>
              </w:rPr>
            </w:pPr>
            <w:r w:rsidRPr="00055E91">
              <w:rPr>
                <w:rFonts w:ascii="Arial Narrow" w:hAnsi="Arial Narrow"/>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43F6C2C3" w14:textId="77777777" w:rsidR="00E4281E" w:rsidRPr="00055E91" w:rsidRDefault="00E4281E" w:rsidP="00006582">
            <w:pPr>
              <w:keepNext/>
              <w:keepLines/>
              <w:spacing w:before="40"/>
              <w:rPr>
                <w:rFonts w:ascii="Arial Narrow" w:hAnsi="Arial Narrow"/>
                <w:b/>
              </w:rPr>
            </w:pPr>
            <w:r w:rsidRPr="00055E91">
              <w:rPr>
                <w:rFonts w:ascii="Arial Narrow" w:hAnsi="Arial Narrow"/>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6C9A7FCA" w14:textId="77777777" w:rsidR="00E4281E" w:rsidRPr="00055E91" w:rsidRDefault="00E4281E" w:rsidP="00006582">
            <w:pPr>
              <w:keepNext/>
              <w:keepLines/>
              <w:spacing w:before="40"/>
              <w:rPr>
                <w:rFonts w:ascii="Arial Narrow" w:hAnsi="Arial Narrow"/>
                <w:b/>
              </w:rPr>
            </w:pPr>
            <w:r w:rsidRPr="00055E91">
              <w:rPr>
                <w:rFonts w:ascii="Arial Narrow" w:hAnsi="Arial Narrow"/>
                <w:b/>
              </w:rPr>
              <w:t>Overall risk of bias in evidence base</w:t>
            </w:r>
          </w:p>
        </w:tc>
      </w:tr>
      <w:tr w:rsidR="00E4281E" w:rsidRPr="00055E91" w14:paraId="64817380"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798C5272" w14:textId="77777777" w:rsidR="00E4281E" w:rsidRPr="00055E91" w:rsidRDefault="00E4281E" w:rsidP="00E4281E">
            <w:pPr>
              <w:keepNext/>
              <w:spacing w:before="40"/>
              <w:rPr>
                <w:rFonts w:ascii="Arial Narrow" w:hAnsi="Arial Narrow"/>
              </w:rPr>
            </w:pPr>
            <w:r w:rsidRPr="00055E91">
              <w:rPr>
                <w:rFonts w:ascii="Arial Narrow" w:hAnsi="Arial Narrow"/>
              </w:rPr>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1743C7F1" w14:textId="165905D0" w:rsidR="00E4281E" w:rsidRPr="00055E91" w:rsidRDefault="00E4281E" w:rsidP="00E4281E">
            <w:pPr>
              <w:keepNext/>
              <w:spacing w:before="40"/>
              <w:rPr>
                <w:rFonts w:ascii="Arial Narrow" w:hAnsi="Arial Narrow"/>
              </w:rPr>
            </w:pPr>
            <w:r w:rsidRPr="5F7EA55D">
              <w:rPr>
                <w:rFonts w:ascii="Arial Narrow" w:hAnsi="Arial Narrow"/>
              </w:rPr>
              <w:t>A study of test accuracy: an independent comparison with a valid reference standard among consecutive or randomly selected persons with a defined clinical presentation</w:t>
            </w:r>
          </w:p>
        </w:tc>
        <w:tc>
          <w:tcPr>
            <w:tcW w:w="1075" w:type="pct"/>
            <w:tcBorders>
              <w:top w:val="single" w:sz="4" w:space="0" w:color="auto"/>
              <w:left w:val="single" w:sz="4" w:space="0" w:color="auto"/>
              <w:bottom w:val="single" w:sz="4" w:space="0" w:color="auto"/>
              <w:right w:val="single" w:sz="4" w:space="0" w:color="auto"/>
            </w:tcBorders>
            <w:hideMark/>
          </w:tcPr>
          <w:p w14:paraId="1E5A2B04" w14:textId="77777777" w:rsidR="00E4281E" w:rsidRPr="00055E91" w:rsidRDefault="00016377" w:rsidP="00E4281E">
            <w:pPr>
              <w:keepNext/>
              <w:tabs>
                <w:tab w:val="left" w:pos="499"/>
                <w:tab w:val="left" w:pos="1087"/>
              </w:tabs>
              <w:spacing w:before="40"/>
              <w:rPr>
                <w:rFonts w:ascii="Arial Narrow" w:hAnsi="Arial Narrow"/>
              </w:rPr>
            </w:pPr>
            <w:sdt>
              <w:sdtPr>
                <w:rPr>
                  <w:rFonts w:ascii="Arial Narrow" w:hAnsi="Arial Narrow"/>
                  <w:color w:val="2B579A"/>
                  <w:shd w:val="clear" w:color="auto" w:fill="E6E6E6"/>
                </w:rPr>
                <w:id w:val="1454910707"/>
                <w14:checkbox>
                  <w14:checked w14:val="1"/>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k=9</w:t>
            </w:r>
            <w:r w:rsidR="00E4281E" w:rsidRPr="00055E91">
              <w:rPr>
                <w:rFonts w:ascii="Arial Narrow" w:hAnsi="Arial Narrow"/>
              </w:rPr>
              <w:tab/>
              <w:t>n=2,456</w:t>
            </w:r>
          </w:p>
        </w:tc>
        <w:tc>
          <w:tcPr>
            <w:tcW w:w="1074" w:type="pct"/>
            <w:tcBorders>
              <w:top w:val="single" w:sz="4" w:space="0" w:color="auto"/>
              <w:left w:val="single" w:sz="4" w:space="0" w:color="auto"/>
              <w:bottom w:val="single" w:sz="4" w:space="0" w:color="auto"/>
              <w:right w:val="single" w:sz="4" w:space="0" w:color="auto"/>
            </w:tcBorders>
            <w:hideMark/>
          </w:tcPr>
          <w:p w14:paraId="0430F05B" w14:textId="64CDE99B" w:rsidR="00E4281E" w:rsidRPr="00055E91" w:rsidRDefault="00E4281E" w:rsidP="00E4281E">
            <w:pPr>
              <w:keepNext/>
              <w:spacing w:before="40"/>
              <w:rPr>
                <w:rFonts w:ascii="Arial Narrow" w:hAnsi="Arial Narrow"/>
              </w:rPr>
            </w:pPr>
            <w:r w:rsidRPr="56FEECB3">
              <w:rPr>
                <w:rFonts w:ascii="Arial Narrow" w:hAnsi="Arial Narrow"/>
              </w:rPr>
              <w:t>NR</w:t>
            </w:r>
          </w:p>
        </w:tc>
      </w:tr>
      <w:tr w:rsidR="00E4281E" w:rsidRPr="00055E91" w14:paraId="6CB9D298"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5538E84A" w14:textId="77777777" w:rsidR="00E4281E" w:rsidRPr="00055E91" w:rsidRDefault="00E4281E" w:rsidP="00E4281E">
            <w:pPr>
              <w:keepNext/>
              <w:spacing w:before="40"/>
              <w:rPr>
                <w:rFonts w:ascii="Arial Narrow" w:hAnsi="Arial Narrow"/>
              </w:rPr>
            </w:pPr>
            <w:r w:rsidRPr="00055E91">
              <w:rPr>
                <w:rFonts w:ascii="Arial Narrow" w:hAnsi="Arial Narrow"/>
              </w:rPr>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03344337" w14:textId="77777777" w:rsidR="00E4281E" w:rsidRPr="00055E91" w:rsidRDefault="00E4281E" w:rsidP="00E4281E">
            <w:pPr>
              <w:keepNext/>
              <w:spacing w:before="40"/>
              <w:rPr>
                <w:rFonts w:ascii="Arial Narrow" w:hAnsi="Arial Narrow"/>
              </w:rPr>
            </w:pPr>
            <w:r w:rsidRPr="00055E91">
              <w:rPr>
                <w:rFonts w:ascii="Arial Narrow" w:hAnsi="Arial Narrow"/>
              </w:rPr>
              <w:t xml:space="preserve">Comparison of outcomes in patients receiving </w:t>
            </w:r>
            <w:r w:rsidRPr="00055E91">
              <w:rPr>
                <w:rFonts w:ascii="Arial Narrow" w:hAnsi="Arial Narrow"/>
                <w:i/>
                <w:iCs/>
              </w:rPr>
              <w:t>usual care</w:t>
            </w:r>
            <w:r w:rsidRPr="00055E91">
              <w:rPr>
                <w:rFonts w:ascii="Arial Narrow" w:hAnsi="Arial Narrow"/>
                <w:u w:val="single"/>
              </w:rPr>
              <w:t>,</w:t>
            </w:r>
            <w:r w:rsidRPr="00055E91">
              <w:rPr>
                <w:rFonts w:ascii="Arial Narrow" w:hAnsi="Arial Narrow"/>
              </w:rPr>
              <w:t xml:space="preserve"> conditioned on the presence or absence of biomarker-positive status</w:t>
            </w:r>
          </w:p>
        </w:tc>
        <w:tc>
          <w:tcPr>
            <w:tcW w:w="1075" w:type="pct"/>
            <w:tcBorders>
              <w:top w:val="single" w:sz="4" w:space="0" w:color="auto"/>
              <w:left w:val="single" w:sz="4" w:space="0" w:color="auto"/>
              <w:bottom w:val="single" w:sz="4" w:space="0" w:color="auto"/>
              <w:right w:val="single" w:sz="4" w:space="0" w:color="auto"/>
            </w:tcBorders>
            <w:hideMark/>
          </w:tcPr>
          <w:p w14:paraId="070350C7" w14:textId="77777777" w:rsidR="00E4281E" w:rsidRPr="00055E91" w:rsidRDefault="00016377" w:rsidP="00E4281E">
            <w:pPr>
              <w:keepNext/>
              <w:tabs>
                <w:tab w:val="left" w:pos="499"/>
                <w:tab w:val="left" w:pos="1087"/>
              </w:tabs>
              <w:spacing w:before="40"/>
              <w:rPr>
                <w:rFonts w:ascii="Arial Narrow" w:hAnsi="Arial Narrow"/>
              </w:rPr>
            </w:pPr>
            <w:sdt>
              <w:sdtPr>
                <w:rPr>
                  <w:rFonts w:ascii="Arial Narrow" w:hAnsi="Arial Narrow"/>
                  <w:color w:val="2B579A"/>
                  <w:shd w:val="clear" w:color="auto" w:fill="E6E6E6"/>
                </w:rPr>
                <w:id w:val="-1456874868"/>
                <w14:checkbox>
                  <w14:checked w14:val="1"/>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k=26</w:t>
            </w:r>
            <w:r w:rsidR="00E4281E" w:rsidRPr="00055E91">
              <w:rPr>
                <w:rFonts w:ascii="Arial Narrow" w:hAnsi="Arial Narrow"/>
              </w:rPr>
              <w:tab/>
              <w:t>n=9,629</w:t>
            </w:r>
          </w:p>
        </w:tc>
        <w:tc>
          <w:tcPr>
            <w:tcW w:w="1074" w:type="pct"/>
            <w:tcBorders>
              <w:top w:val="single" w:sz="4" w:space="0" w:color="auto"/>
              <w:left w:val="single" w:sz="4" w:space="0" w:color="auto"/>
              <w:bottom w:val="single" w:sz="4" w:space="0" w:color="auto"/>
              <w:right w:val="single" w:sz="4" w:space="0" w:color="auto"/>
            </w:tcBorders>
            <w:hideMark/>
          </w:tcPr>
          <w:p w14:paraId="253E93D3" w14:textId="77777777" w:rsidR="00E4281E" w:rsidRPr="00055E91" w:rsidRDefault="00E4281E" w:rsidP="00E4281E">
            <w:pPr>
              <w:keepNext/>
              <w:spacing w:before="40"/>
              <w:rPr>
                <w:rFonts w:ascii="Arial Narrow" w:hAnsi="Arial Narrow"/>
              </w:rPr>
            </w:pPr>
            <w:r w:rsidRPr="00055E91">
              <w:rPr>
                <w:rFonts w:ascii="Arial Narrow" w:hAnsi="Arial Narrow"/>
              </w:rPr>
              <w:t>Moderate risk of bias</w:t>
            </w:r>
          </w:p>
        </w:tc>
      </w:tr>
      <w:tr w:rsidR="00E4281E" w:rsidRPr="00055E91" w14:paraId="43393B9B"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2FD0F0B7" w14:textId="77777777" w:rsidR="00E4281E" w:rsidRPr="00055E91" w:rsidRDefault="00E4281E" w:rsidP="00E4281E">
            <w:pPr>
              <w:keepNext/>
              <w:spacing w:before="40"/>
              <w:rPr>
                <w:rFonts w:ascii="Arial Narrow" w:hAnsi="Arial Narrow"/>
              </w:rPr>
            </w:pPr>
            <w:r w:rsidRPr="00055E91">
              <w:rPr>
                <w:rFonts w:ascii="Arial Narrow" w:hAnsi="Arial Narrow"/>
              </w:rPr>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tcPr>
          <w:p w14:paraId="7DAF7677"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075" w:type="pct"/>
            <w:tcBorders>
              <w:top w:val="single" w:sz="4" w:space="0" w:color="auto"/>
              <w:left w:val="single" w:sz="4" w:space="0" w:color="auto"/>
              <w:bottom w:val="single" w:sz="4" w:space="0" w:color="auto"/>
              <w:right w:val="single" w:sz="4" w:space="0" w:color="auto"/>
            </w:tcBorders>
            <w:hideMark/>
          </w:tcPr>
          <w:p w14:paraId="4F60B934" w14:textId="77777777" w:rsidR="00E4281E" w:rsidRPr="00055E91" w:rsidRDefault="00016377" w:rsidP="00E4281E">
            <w:pPr>
              <w:keepNext/>
              <w:tabs>
                <w:tab w:val="left" w:pos="499"/>
                <w:tab w:val="left" w:pos="1087"/>
              </w:tabs>
              <w:spacing w:before="40"/>
              <w:rPr>
                <w:rFonts w:ascii="Arial Narrow" w:hAnsi="Arial Narrow"/>
              </w:rPr>
            </w:pPr>
            <w:sdt>
              <w:sdtPr>
                <w:rPr>
                  <w:rFonts w:ascii="Arial Narrow" w:hAnsi="Arial Narrow"/>
                  <w:color w:val="2B579A"/>
                  <w:shd w:val="clear" w:color="auto" w:fill="E6E6E6"/>
                </w:rPr>
                <w:id w:val="-1943214893"/>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k=0</w:t>
            </w:r>
            <w:r w:rsidR="00E4281E" w:rsidRPr="00055E91">
              <w:rPr>
                <w:rFonts w:ascii="Arial Narrow" w:hAnsi="Arial Narrow"/>
              </w:rPr>
              <w:tab/>
              <w:t>n=0</w:t>
            </w:r>
          </w:p>
        </w:tc>
        <w:tc>
          <w:tcPr>
            <w:tcW w:w="1074" w:type="pct"/>
            <w:tcBorders>
              <w:top w:val="single" w:sz="4" w:space="0" w:color="auto"/>
              <w:left w:val="single" w:sz="4" w:space="0" w:color="auto"/>
              <w:bottom w:val="single" w:sz="4" w:space="0" w:color="auto"/>
              <w:right w:val="single" w:sz="4" w:space="0" w:color="auto"/>
            </w:tcBorders>
            <w:hideMark/>
          </w:tcPr>
          <w:p w14:paraId="4CADD10A" w14:textId="77777777" w:rsidR="00E4281E" w:rsidRPr="00055E91" w:rsidRDefault="00E4281E" w:rsidP="00E4281E">
            <w:pPr>
              <w:keepNext/>
              <w:spacing w:before="40"/>
              <w:rPr>
                <w:rFonts w:ascii="Arial Narrow" w:hAnsi="Arial Narrow"/>
              </w:rPr>
            </w:pPr>
          </w:p>
        </w:tc>
      </w:tr>
      <w:tr w:rsidR="00E4281E" w:rsidRPr="00055E91" w14:paraId="46752997" w14:textId="77777777" w:rsidTr="00E4281E">
        <w:tc>
          <w:tcPr>
            <w:tcW w:w="1007" w:type="pct"/>
            <w:tcBorders>
              <w:top w:val="single" w:sz="4" w:space="0" w:color="auto"/>
              <w:left w:val="single" w:sz="4" w:space="0" w:color="auto"/>
              <w:bottom w:val="nil"/>
              <w:right w:val="single" w:sz="4" w:space="0" w:color="auto"/>
            </w:tcBorders>
            <w:hideMark/>
          </w:tcPr>
          <w:p w14:paraId="05B09463" w14:textId="77777777" w:rsidR="00E4281E" w:rsidRPr="00055E91" w:rsidRDefault="00E4281E" w:rsidP="00E4281E">
            <w:pPr>
              <w:keepNext/>
              <w:spacing w:before="40"/>
              <w:rPr>
                <w:rFonts w:ascii="Arial Narrow" w:hAnsi="Arial Narrow"/>
              </w:rPr>
            </w:pPr>
            <w:r w:rsidRPr="00055E91">
              <w:rPr>
                <w:rFonts w:ascii="Arial Narrow" w:hAnsi="Arial Narrow"/>
              </w:rPr>
              <w:t xml:space="preserve">Health outcomes  </w:t>
            </w:r>
          </w:p>
        </w:tc>
        <w:tc>
          <w:tcPr>
            <w:tcW w:w="1844" w:type="pct"/>
            <w:tcBorders>
              <w:top w:val="single" w:sz="4" w:space="0" w:color="auto"/>
              <w:left w:val="single" w:sz="4" w:space="0" w:color="auto"/>
              <w:bottom w:val="nil"/>
              <w:right w:val="single" w:sz="4" w:space="0" w:color="auto"/>
            </w:tcBorders>
          </w:tcPr>
          <w:p w14:paraId="62393CBB"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075" w:type="pct"/>
            <w:tcBorders>
              <w:top w:val="single" w:sz="4" w:space="0" w:color="auto"/>
              <w:left w:val="single" w:sz="4" w:space="0" w:color="auto"/>
              <w:bottom w:val="nil"/>
              <w:right w:val="single" w:sz="4" w:space="0" w:color="auto"/>
            </w:tcBorders>
          </w:tcPr>
          <w:p w14:paraId="48DBB690" w14:textId="77777777" w:rsidR="00E4281E" w:rsidRPr="00055E91" w:rsidRDefault="00016377" w:rsidP="00E4281E">
            <w:pPr>
              <w:keepNext/>
              <w:tabs>
                <w:tab w:val="left" w:pos="499"/>
                <w:tab w:val="left" w:pos="1087"/>
              </w:tabs>
              <w:spacing w:before="40"/>
              <w:rPr>
                <w:rFonts w:ascii="Arial Narrow" w:hAnsi="Arial Narrow"/>
              </w:rPr>
            </w:pPr>
            <w:sdt>
              <w:sdtPr>
                <w:rPr>
                  <w:rFonts w:ascii="Arial Narrow" w:hAnsi="Arial Narrow"/>
                  <w:color w:val="2B579A"/>
                  <w:shd w:val="clear" w:color="auto" w:fill="E6E6E6"/>
                </w:rPr>
                <w:id w:val="-605892943"/>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w:t>
            </w:r>
            <w:r w:rsidR="00E4281E" w:rsidRPr="00055E91">
              <w:rPr>
                <w:rFonts w:ascii="Arial Narrow" w:hAnsi="Arial Narrow"/>
              </w:rPr>
              <w:tab/>
              <w:t>n=</w:t>
            </w:r>
          </w:p>
        </w:tc>
        <w:tc>
          <w:tcPr>
            <w:tcW w:w="1074" w:type="pct"/>
            <w:tcBorders>
              <w:top w:val="single" w:sz="4" w:space="0" w:color="auto"/>
              <w:left w:val="single" w:sz="4" w:space="0" w:color="auto"/>
              <w:bottom w:val="nil"/>
              <w:right w:val="single" w:sz="4" w:space="0" w:color="auto"/>
            </w:tcBorders>
          </w:tcPr>
          <w:p w14:paraId="2FF789FB" w14:textId="77777777" w:rsidR="00E4281E" w:rsidRPr="00055E91" w:rsidRDefault="00E4281E" w:rsidP="00E4281E">
            <w:pPr>
              <w:keepNext/>
              <w:spacing w:before="40"/>
              <w:rPr>
                <w:rFonts w:ascii="Arial Narrow" w:hAnsi="Arial Narrow"/>
              </w:rPr>
            </w:pPr>
          </w:p>
        </w:tc>
      </w:tr>
      <w:tr w:rsidR="00E4281E" w:rsidRPr="00055E91" w14:paraId="6FC8A393" w14:textId="77777777" w:rsidTr="00E4281E">
        <w:tc>
          <w:tcPr>
            <w:tcW w:w="1007" w:type="pct"/>
            <w:tcBorders>
              <w:top w:val="nil"/>
              <w:left w:val="single" w:sz="4" w:space="0" w:color="auto"/>
              <w:bottom w:val="nil"/>
              <w:right w:val="single" w:sz="4" w:space="0" w:color="auto"/>
            </w:tcBorders>
          </w:tcPr>
          <w:p w14:paraId="17C963AB" w14:textId="77777777" w:rsidR="00E4281E" w:rsidRPr="00055E91" w:rsidRDefault="00E4281E" w:rsidP="00E4281E">
            <w:pPr>
              <w:keepNext/>
              <w:spacing w:before="40"/>
              <w:rPr>
                <w:rFonts w:ascii="Arial Narrow" w:hAnsi="Arial Narrow"/>
              </w:rPr>
            </w:pPr>
            <w:r w:rsidRPr="00055E91">
              <w:rPr>
                <w:rFonts w:ascii="Arial Narrow" w:hAnsi="Arial Narrow"/>
              </w:rPr>
              <w:t>Predictive effect</w:t>
            </w:r>
          </w:p>
        </w:tc>
        <w:tc>
          <w:tcPr>
            <w:tcW w:w="1844" w:type="pct"/>
            <w:tcBorders>
              <w:top w:val="nil"/>
              <w:left w:val="single" w:sz="4" w:space="0" w:color="auto"/>
              <w:bottom w:val="nil"/>
              <w:right w:val="single" w:sz="4" w:space="0" w:color="auto"/>
            </w:tcBorders>
          </w:tcPr>
          <w:p w14:paraId="24015A7C" w14:textId="77777777" w:rsidR="00E4281E" w:rsidRPr="00055E91" w:rsidRDefault="00E4281E" w:rsidP="00E4281E">
            <w:pPr>
              <w:keepNext/>
              <w:spacing w:before="40"/>
              <w:rPr>
                <w:rFonts w:ascii="Arial Narrow" w:hAnsi="Arial Narrow"/>
              </w:rPr>
            </w:pPr>
          </w:p>
        </w:tc>
        <w:tc>
          <w:tcPr>
            <w:tcW w:w="1075" w:type="pct"/>
            <w:tcBorders>
              <w:top w:val="nil"/>
              <w:left w:val="single" w:sz="4" w:space="0" w:color="auto"/>
              <w:bottom w:val="nil"/>
              <w:right w:val="single" w:sz="4" w:space="0" w:color="auto"/>
            </w:tcBorders>
          </w:tcPr>
          <w:p w14:paraId="62F905D6" w14:textId="77777777" w:rsidR="00E4281E" w:rsidRPr="00055E91" w:rsidRDefault="00016377" w:rsidP="00E4281E">
            <w:pPr>
              <w:keepNext/>
              <w:tabs>
                <w:tab w:val="left" w:pos="499"/>
                <w:tab w:val="left" w:pos="1087"/>
              </w:tabs>
              <w:spacing w:before="40"/>
              <w:rPr>
                <w:rFonts w:ascii="Arial Narrow" w:hAnsi="Arial Narrow"/>
              </w:rPr>
            </w:pPr>
            <w:sdt>
              <w:sdtPr>
                <w:rPr>
                  <w:rFonts w:ascii="Arial Narrow" w:hAnsi="Arial Narrow"/>
                  <w:color w:val="2B579A"/>
                  <w:shd w:val="clear" w:color="auto" w:fill="E6E6E6"/>
                </w:rPr>
                <w:id w:val="-1216044709"/>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w:t>
            </w:r>
            <w:r w:rsidR="00E4281E" w:rsidRPr="00055E91">
              <w:rPr>
                <w:rFonts w:ascii="Arial Narrow" w:hAnsi="Arial Narrow"/>
              </w:rPr>
              <w:tab/>
              <w:t>n=</w:t>
            </w:r>
          </w:p>
        </w:tc>
        <w:tc>
          <w:tcPr>
            <w:tcW w:w="1074" w:type="pct"/>
            <w:tcBorders>
              <w:top w:val="nil"/>
              <w:left w:val="single" w:sz="4" w:space="0" w:color="auto"/>
              <w:bottom w:val="nil"/>
              <w:right w:val="single" w:sz="4" w:space="0" w:color="auto"/>
            </w:tcBorders>
          </w:tcPr>
          <w:p w14:paraId="0661C4D4" w14:textId="77777777" w:rsidR="00E4281E" w:rsidRPr="00055E91" w:rsidRDefault="00E4281E" w:rsidP="00E4281E">
            <w:pPr>
              <w:keepNext/>
              <w:spacing w:before="40"/>
              <w:rPr>
                <w:rFonts w:ascii="Arial Narrow" w:hAnsi="Arial Narrow"/>
              </w:rPr>
            </w:pPr>
          </w:p>
        </w:tc>
      </w:tr>
      <w:tr w:rsidR="00E4281E" w:rsidRPr="00055E91" w14:paraId="3E7DCDE1" w14:textId="77777777" w:rsidTr="00E4281E">
        <w:tc>
          <w:tcPr>
            <w:tcW w:w="1007" w:type="pct"/>
            <w:tcBorders>
              <w:top w:val="single" w:sz="4" w:space="0" w:color="auto"/>
              <w:left w:val="single" w:sz="4" w:space="0" w:color="auto"/>
              <w:bottom w:val="single" w:sz="4" w:space="0" w:color="auto"/>
              <w:right w:val="single" w:sz="4" w:space="0" w:color="auto"/>
            </w:tcBorders>
            <w:hideMark/>
          </w:tcPr>
          <w:p w14:paraId="7F381ED5" w14:textId="77777777" w:rsidR="00E4281E" w:rsidRPr="00055E91" w:rsidRDefault="00E4281E" w:rsidP="00E4281E">
            <w:pPr>
              <w:keepNext/>
              <w:spacing w:before="40"/>
              <w:rPr>
                <w:rFonts w:ascii="Arial Narrow" w:hAnsi="Arial Narrow"/>
              </w:rPr>
            </w:pPr>
            <w:r w:rsidRPr="00055E91">
              <w:rPr>
                <w:rFonts w:ascii="Arial Narrow" w:hAnsi="Arial Narrow"/>
              </w:rPr>
              <w:t>Other</w:t>
            </w:r>
          </w:p>
        </w:tc>
        <w:tc>
          <w:tcPr>
            <w:tcW w:w="1844" w:type="pct"/>
            <w:tcBorders>
              <w:top w:val="single" w:sz="4" w:space="0" w:color="auto"/>
              <w:left w:val="single" w:sz="4" w:space="0" w:color="auto"/>
              <w:bottom w:val="single" w:sz="4" w:space="0" w:color="auto"/>
              <w:right w:val="single" w:sz="4" w:space="0" w:color="auto"/>
            </w:tcBorders>
          </w:tcPr>
          <w:p w14:paraId="2703C8E4" w14:textId="77777777" w:rsidR="00E4281E" w:rsidRPr="00055E91" w:rsidRDefault="00E4281E" w:rsidP="00E4281E">
            <w:pPr>
              <w:keepNext/>
              <w:spacing w:before="40"/>
              <w:rPr>
                <w:rFonts w:ascii="Arial Narrow" w:hAnsi="Arial Narrow"/>
              </w:rPr>
            </w:pPr>
            <w:r w:rsidRPr="00055E91">
              <w:rPr>
                <w:rFonts w:ascii="Arial Narrow" w:hAnsi="Arial Narrow"/>
              </w:rPr>
              <w:t>None</w:t>
            </w:r>
          </w:p>
        </w:tc>
        <w:tc>
          <w:tcPr>
            <w:tcW w:w="1075" w:type="pct"/>
            <w:tcBorders>
              <w:top w:val="single" w:sz="4" w:space="0" w:color="auto"/>
              <w:left w:val="single" w:sz="4" w:space="0" w:color="auto"/>
              <w:bottom w:val="single" w:sz="4" w:space="0" w:color="auto"/>
              <w:right w:val="single" w:sz="4" w:space="0" w:color="auto"/>
            </w:tcBorders>
            <w:hideMark/>
          </w:tcPr>
          <w:p w14:paraId="573EA1E0" w14:textId="77777777" w:rsidR="00E4281E" w:rsidRPr="00055E91" w:rsidRDefault="00016377" w:rsidP="00E4281E">
            <w:pPr>
              <w:keepNext/>
              <w:tabs>
                <w:tab w:val="left" w:pos="558"/>
                <w:tab w:val="left" w:pos="1125"/>
              </w:tabs>
              <w:spacing w:before="40"/>
              <w:rPr>
                <w:rFonts w:ascii="Arial Narrow" w:hAnsi="Arial Narrow"/>
              </w:rPr>
            </w:pPr>
            <w:sdt>
              <w:sdtPr>
                <w:rPr>
                  <w:rFonts w:ascii="Arial Narrow" w:hAnsi="Arial Narrow"/>
                  <w:color w:val="2B579A"/>
                  <w:shd w:val="clear" w:color="auto" w:fill="E6E6E6"/>
                </w:rPr>
                <w:id w:val="1915973532"/>
                <w14:checkbox>
                  <w14:checked w14:val="0"/>
                  <w14:checkedState w14:val="2612" w14:font="MS Gothic"/>
                  <w14:uncheckedState w14:val="2610" w14:font="MS Gothic"/>
                </w14:checkbox>
              </w:sdtPr>
              <w:sdtEndPr/>
              <w:sdtContent>
                <w:r w:rsidR="00E4281E" w:rsidRPr="00055E91">
                  <w:rPr>
                    <w:rFonts w:ascii="Segoe UI Symbol" w:hAnsi="Segoe UI Symbol" w:cs="Segoe UI Symbol"/>
                  </w:rPr>
                  <w:t>☐</w:t>
                </w:r>
              </w:sdtContent>
            </w:sdt>
            <w:r w:rsidR="00E4281E" w:rsidRPr="00055E91">
              <w:rPr>
                <w:rFonts w:ascii="Arial Narrow" w:hAnsi="Arial Narrow"/>
              </w:rPr>
              <w:tab/>
              <w:t>k=</w:t>
            </w:r>
            <w:r w:rsidR="00E4281E" w:rsidRPr="00055E91">
              <w:rPr>
                <w:rFonts w:ascii="Arial Narrow" w:hAnsi="Arial Narrow"/>
              </w:rPr>
              <w:tab/>
              <w:t>n=</w:t>
            </w:r>
          </w:p>
        </w:tc>
        <w:tc>
          <w:tcPr>
            <w:tcW w:w="1074" w:type="pct"/>
            <w:tcBorders>
              <w:top w:val="single" w:sz="4" w:space="0" w:color="auto"/>
              <w:left w:val="single" w:sz="4" w:space="0" w:color="auto"/>
              <w:bottom w:val="single" w:sz="4" w:space="0" w:color="auto"/>
              <w:right w:val="single" w:sz="4" w:space="0" w:color="auto"/>
            </w:tcBorders>
          </w:tcPr>
          <w:p w14:paraId="18D5006B" w14:textId="77777777" w:rsidR="00E4281E" w:rsidRPr="00055E91" w:rsidRDefault="00E4281E" w:rsidP="00E4281E">
            <w:pPr>
              <w:keepNext/>
              <w:spacing w:before="40"/>
              <w:rPr>
                <w:rFonts w:ascii="Arial Narrow" w:hAnsi="Arial Narrow"/>
              </w:rPr>
            </w:pPr>
          </w:p>
        </w:tc>
      </w:tr>
    </w:tbl>
    <w:p w14:paraId="7B5015BD" w14:textId="7040B3B6" w:rsidR="00E4281E" w:rsidRPr="00055E91" w:rsidRDefault="00E4281E" w:rsidP="00E4281E">
      <w:pPr>
        <w:pStyle w:val="TableNotes2"/>
        <w:rPr>
          <w:snapToGrid w:val="0"/>
        </w:rPr>
      </w:pPr>
      <w:bookmarkStart w:id="31" w:name="_Hlk68276301"/>
      <w:bookmarkEnd w:id="30"/>
      <w:r w:rsidRPr="00055E91">
        <w:rPr>
          <w:snapToGrid w:val="0"/>
        </w:rPr>
        <w:t xml:space="preserve">k=number of studies, n=number of patients; </w:t>
      </w:r>
      <w:r w:rsidR="56FEECB3">
        <w:t xml:space="preserve"> NR = not reported</w:t>
      </w:r>
      <w:r>
        <w:t>.</w:t>
      </w:r>
    </w:p>
    <w:p w14:paraId="4A5EEE2B" w14:textId="6AB0C01C" w:rsidR="00E4281E" w:rsidRPr="00055E91" w:rsidRDefault="009A5B31"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32" w:name="_Toc69491423"/>
      <w:bookmarkStart w:id="33" w:name="_Toc103161071"/>
      <w:bookmarkEnd w:id="31"/>
      <w:r>
        <w:rPr>
          <w:rFonts w:ascii="Franklin Gothic Medium" w:eastAsiaTheme="majorEastAsia" w:hAnsi="Franklin Gothic Medium" w:cstheme="majorBidi"/>
          <w:color w:val="000000" w:themeColor="text1"/>
          <w:sz w:val="32"/>
          <w:szCs w:val="26"/>
        </w:rPr>
        <w:t>11</w:t>
      </w:r>
      <w:r w:rsidR="00E4281E" w:rsidRPr="00055E91">
        <w:rPr>
          <w:rFonts w:ascii="Franklin Gothic Medium" w:eastAsiaTheme="majorEastAsia" w:hAnsi="Franklin Gothic Medium" w:cstheme="majorBidi"/>
          <w:color w:val="000000" w:themeColor="text1"/>
          <w:sz w:val="32"/>
          <w:szCs w:val="26"/>
        </w:rPr>
        <w:t>.</w:t>
      </w:r>
      <w:r w:rsidR="00E4281E" w:rsidRPr="00055E91">
        <w:rPr>
          <w:rFonts w:ascii="Franklin Gothic Medium" w:eastAsiaTheme="majorEastAsia" w:hAnsi="Franklin Gothic Medium" w:cstheme="majorBidi"/>
          <w:color w:val="000000" w:themeColor="text1"/>
          <w:sz w:val="32"/>
          <w:szCs w:val="26"/>
        </w:rPr>
        <w:tab/>
        <w:t>Comparative safety</w:t>
      </w:r>
      <w:bookmarkEnd w:id="32"/>
      <w:bookmarkEnd w:id="33"/>
    </w:p>
    <w:p w14:paraId="36E3C0DD" w14:textId="77777777" w:rsidR="00E4281E" w:rsidRPr="001F7A91" w:rsidRDefault="00E4281E" w:rsidP="00E4281E">
      <w:r w:rsidRPr="001F7A91">
        <w:t>The safety of the NT-</w:t>
      </w:r>
      <w:proofErr w:type="spellStart"/>
      <w:r w:rsidRPr="001F7A91">
        <w:t>proBNP</w:t>
      </w:r>
      <w:proofErr w:type="spellEnd"/>
      <w:r w:rsidRPr="001F7A91">
        <w:t xml:space="preserve"> test was not discussed in the ADAR. However, considering that the test requires a blood sample, it is a </w:t>
      </w:r>
      <w:r w:rsidRPr="001F7A91">
        <w:rPr>
          <w:i/>
        </w:rPr>
        <w:t>relatively</w:t>
      </w:r>
      <w:r>
        <w:rPr>
          <w:i/>
        </w:rPr>
        <w:t xml:space="preserve"> </w:t>
      </w:r>
      <w:r w:rsidRPr="001F7A91">
        <w:t>safe procedure.</w:t>
      </w:r>
    </w:p>
    <w:p w14:paraId="5A6A9E93" w14:textId="77777777" w:rsidR="00E4281E" w:rsidRPr="001F7A91" w:rsidRDefault="00E4281E" w:rsidP="00E4281E">
      <w:r w:rsidRPr="001F7A91">
        <w:t>In Population 1, the use of the NT-</w:t>
      </w:r>
      <w:proofErr w:type="spellStart"/>
      <w:r w:rsidRPr="001F7A91">
        <w:t>proBNP</w:t>
      </w:r>
      <w:proofErr w:type="spellEnd"/>
      <w:r w:rsidRPr="001F7A91">
        <w:t xml:space="preserve"> test, as part of the ASIG algorithm, may reduce the number of false positive results and hence the number of </w:t>
      </w:r>
      <w:proofErr w:type="spellStart"/>
      <w:r w:rsidRPr="001F7A91">
        <w:t>SSc</w:t>
      </w:r>
      <w:proofErr w:type="spellEnd"/>
      <w:r w:rsidRPr="001F7A91">
        <w:t xml:space="preserve"> patients requiring the invasive RHC procedure. These patients will avoid possible adverse safety outcomes from the RHC procedure. Thus, the ASIG algorithm may have a slightly superior safety profile compared with the current testing protocol.</w:t>
      </w:r>
    </w:p>
    <w:p w14:paraId="47524166" w14:textId="77777777" w:rsidR="00E4281E" w:rsidRPr="001F7A91" w:rsidRDefault="00E4281E" w:rsidP="00E4281E">
      <w:r w:rsidRPr="001F7A91">
        <w:t>In Population 2, the use of the NT-</w:t>
      </w:r>
      <w:proofErr w:type="spellStart"/>
      <w:r w:rsidRPr="001F7A91">
        <w:t>proBNP</w:t>
      </w:r>
      <w:proofErr w:type="spellEnd"/>
      <w:r w:rsidRPr="001F7A91">
        <w:t xml:space="preserve"> test, as part of the REVEAL Lite 2 risk calculator, may reduce the number of PAH patients requiring TTE, as both procedures are relatively safe, the REVEAL Lite 2 risk calculator has non-inferior safety compared with the current TTE-based risk stratification guidelines.</w:t>
      </w:r>
    </w:p>
    <w:p w14:paraId="39A3B149" w14:textId="7C3C8D5C" w:rsidR="00E4281E" w:rsidRPr="00055E91" w:rsidRDefault="00E4281E"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34" w:name="_Toc69491424"/>
      <w:bookmarkStart w:id="35" w:name="_Toc103161072"/>
      <w:r w:rsidRPr="00055E91">
        <w:rPr>
          <w:rFonts w:ascii="Franklin Gothic Medium" w:eastAsiaTheme="majorEastAsia" w:hAnsi="Franklin Gothic Medium" w:cstheme="majorBidi"/>
          <w:color w:val="000000" w:themeColor="text1"/>
          <w:sz w:val="32"/>
          <w:szCs w:val="26"/>
        </w:rPr>
        <w:t>1</w:t>
      </w:r>
      <w:r w:rsidR="009A5B31">
        <w:rPr>
          <w:rFonts w:ascii="Franklin Gothic Medium" w:eastAsiaTheme="majorEastAsia" w:hAnsi="Franklin Gothic Medium" w:cstheme="majorBidi"/>
          <w:color w:val="000000" w:themeColor="text1"/>
          <w:sz w:val="32"/>
          <w:szCs w:val="26"/>
        </w:rPr>
        <w:t>2</w:t>
      </w:r>
      <w:r w:rsidRPr="00055E91">
        <w:rPr>
          <w:rFonts w:ascii="Franklin Gothic Medium" w:eastAsiaTheme="majorEastAsia" w:hAnsi="Franklin Gothic Medium" w:cstheme="majorBidi"/>
          <w:color w:val="000000" w:themeColor="text1"/>
          <w:sz w:val="32"/>
          <w:szCs w:val="26"/>
        </w:rPr>
        <w:t>.</w:t>
      </w:r>
      <w:r w:rsidRPr="00055E91">
        <w:rPr>
          <w:rFonts w:ascii="Franklin Gothic Medium" w:eastAsiaTheme="majorEastAsia" w:hAnsi="Franklin Gothic Medium" w:cstheme="majorBidi"/>
          <w:color w:val="000000" w:themeColor="text1"/>
          <w:sz w:val="32"/>
          <w:szCs w:val="26"/>
        </w:rPr>
        <w:tab/>
        <w:t>Comparative effectiveness</w:t>
      </w:r>
      <w:bookmarkEnd w:id="34"/>
      <w:bookmarkEnd w:id="35"/>
    </w:p>
    <w:p w14:paraId="57D4FF15" w14:textId="77777777" w:rsidR="00E4281E" w:rsidRDefault="00E4281E" w:rsidP="00E4281E">
      <w:r>
        <w:t>The ADAR presented summaries of test performance across platforms. As</w:t>
      </w:r>
      <w:r w:rsidRPr="00AA1ED4">
        <w:t xml:space="preserve"> all five tests are subject to RCPA Quality Assurance Programs, their accuracy in the diagnostic laboratory should be satisfactory.</w:t>
      </w:r>
    </w:p>
    <w:p w14:paraId="214A9FFF" w14:textId="77777777" w:rsidR="00E4281E" w:rsidRPr="001F7A91" w:rsidRDefault="00E4281E" w:rsidP="00E4281E">
      <w:r w:rsidRPr="001F7A91">
        <w:t xml:space="preserve">The ADAR did not provide a reasonable analysis of the evidence base. All data for population 1 was extracted into a single </w:t>
      </w:r>
      <w:r w:rsidRPr="001F7A91">
        <w:rPr>
          <w:iCs/>
        </w:rPr>
        <w:t>t</w:t>
      </w:r>
      <w:r w:rsidRPr="001F7A91">
        <w:t>able with no attempt to group results according to the index test (NT-</w:t>
      </w:r>
      <w:proofErr w:type="spellStart"/>
      <w:r w:rsidRPr="001F7A91">
        <w:t>proBNP</w:t>
      </w:r>
      <w:proofErr w:type="spellEnd"/>
      <w:r w:rsidRPr="001F7A91">
        <w:t xml:space="preserve"> alone or as part of a testing algorithm), reference test (RHC or TTE) used and the disease diagnosed (PAH or PH). A similar approach was used for Population 2.</w:t>
      </w:r>
    </w:p>
    <w:p w14:paraId="46E8CB89" w14:textId="7F99D2D4" w:rsidR="00E4281E" w:rsidRPr="001F7A91" w:rsidRDefault="00E4281E" w:rsidP="00E4281E">
      <w:r w:rsidRPr="001F7A91">
        <w:t xml:space="preserve">The analysis below was conducted during </w:t>
      </w:r>
      <w:r w:rsidR="7B3B5281">
        <w:t xml:space="preserve">the </w:t>
      </w:r>
      <w:r w:rsidRPr="001F7A91">
        <w:t>evaluation</w:t>
      </w:r>
      <w:r w:rsidR="7B3B5281">
        <w:t>.</w:t>
      </w:r>
    </w:p>
    <w:p w14:paraId="6BD50EB3" w14:textId="77777777" w:rsidR="00E4281E" w:rsidRPr="00055E91"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36" w:name="_Toc103161073"/>
      <w:r w:rsidRPr="00055E91">
        <w:rPr>
          <w:rFonts w:ascii="Franklin Gothic Medium" w:eastAsiaTheme="majorEastAsia" w:hAnsi="Franklin Gothic Medium" w:cstheme="majorBidi"/>
          <w:sz w:val="24"/>
          <w:szCs w:val="24"/>
        </w:rPr>
        <w:lastRenderedPageBreak/>
        <w:t xml:space="preserve">Population 1 – The detection of PAH in </w:t>
      </w:r>
      <w:proofErr w:type="spellStart"/>
      <w:r w:rsidRPr="00055E91">
        <w:rPr>
          <w:rFonts w:ascii="Franklin Gothic Medium" w:eastAsiaTheme="majorEastAsia" w:hAnsi="Franklin Gothic Medium" w:cstheme="majorBidi"/>
          <w:sz w:val="24"/>
          <w:szCs w:val="24"/>
        </w:rPr>
        <w:t>SSc</w:t>
      </w:r>
      <w:proofErr w:type="spellEnd"/>
      <w:r w:rsidRPr="00055E91">
        <w:rPr>
          <w:rFonts w:ascii="Franklin Gothic Medium" w:eastAsiaTheme="majorEastAsia" w:hAnsi="Franklin Gothic Medium" w:cstheme="majorBidi"/>
          <w:sz w:val="24"/>
          <w:szCs w:val="24"/>
        </w:rPr>
        <w:t xml:space="preserve"> patients</w:t>
      </w:r>
      <w:bookmarkEnd w:id="36"/>
    </w:p>
    <w:p w14:paraId="67A1D140"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The accuracy and effectiveness of the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test compared to RHC</w:t>
      </w:r>
    </w:p>
    <w:p w14:paraId="45E57791" w14:textId="6FDA7477" w:rsidR="00E4281E" w:rsidRPr="001F7A91" w:rsidRDefault="00E4281E" w:rsidP="00E4281E">
      <w:r w:rsidRPr="001F7A91">
        <w:t>Ten studies investigated the accuracy of high NT-</w:t>
      </w:r>
      <w:proofErr w:type="spellStart"/>
      <w:r w:rsidRPr="001F7A91">
        <w:t>proBNP</w:t>
      </w:r>
      <w:proofErr w:type="spellEnd"/>
      <w:r w:rsidRPr="001F7A91">
        <w:t xml:space="preserve"> levels in detecting PAH (k=9) or PH (k=1) in SSC patients, however, the cut-off value for NT-</w:t>
      </w:r>
      <w:proofErr w:type="spellStart"/>
      <w:r w:rsidRPr="001F7A91">
        <w:t>proBNP</w:t>
      </w:r>
      <w:proofErr w:type="spellEnd"/>
      <w:r w:rsidRPr="001F7A91">
        <w:t xml:space="preserve"> level differed in nearly all studies. Meta-analysis of these studies showed evidence of a threshold effect (</w:t>
      </w:r>
      <w:r w:rsidR="003D1B2C">
        <w:rPr>
          <w:color w:val="2B579A"/>
          <w:shd w:val="clear" w:color="auto" w:fill="E6E6E6"/>
        </w:rPr>
        <w:fldChar w:fldCharType="begin"/>
      </w:r>
      <w:r w:rsidR="003D1B2C">
        <w:instrText xml:space="preserve"> REF _Ref100167060 \h </w:instrText>
      </w:r>
      <w:r w:rsidR="003D1B2C">
        <w:rPr>
          <w:color w:val="2B579A"/>
          <w:shd w:val="clear" w:color="auto" w:fill="E6E6E6"/>
        </w:rPr>
      </w:r>
      <w:r w:rsidR="003D1B2C">
        <w:rPr>
          <w:color w:val="2B579A"/>
          <w:shd w:val="clear" w:color="auto" w:fill="E6E6E6"/>
        </w:rPr>
        <w:fldChar w:fldCharType="separate"/>
      </w:r>
      <w:r w:rsidR="003D1B2C">
        <w:t xml:space="preserve">Figure </w:t>
      </w:r>
      <w:r w:rsidR="003D1B2C">
        <w:rPr>
          <w:noProof/>
        </w:rPr>
        <w:t>1</w:t>
      </w:r>
      <w:r w:rsidR="003D1B2C">
        <w:rPr>
          <w:color w:val="2B579A"/>
          <w:shd w:val="clear" w:color="auto" w:fill="E6E6E6"/>
        </w:rPr>
        <w:fldChar w:fldCharType="end"/>
      </w:r>
      <w:r w:rsidRPr="001F7A91">
        <w:rPr>
          <w:iCs/>
        </w:rPr>
        <w:t>).</w:t>
      </w:r>
      <w:r w:rsidRPr="001F7A91">
        <w:t xml:space="preserve"> As the NT-</w:t>
      </w:r>
      <w:proofErr w:type="spellStart"/>
      <w:r w:rsidRPr="001F7A91">
        <w:t>proBNP</w:t>
      </w:r>
      <w:proofErr w:type="spellEnd"/>
      <w:r w:rsidRPr="001F7A91">
        <w:t xml:space="preserve"> cut-off value increased, the sensitivity </w:t>
      </w:r>
      <w:r w:rsidR="0082673A" w:rsidRPr="001F7A91">
        <w:t>decreased,</w:t>
      </w:r>
      <w:r w:rsidRPr="001F7A91">
        <w:t xml:space="preserve"> and the specificity increased. This indicates that at low cut-off values, there is a larger proportion of false positive patients and a smaller proportion of false negative patients than at higher cut-off values. Thus, the usefulness of NT-</w:t>
      </w:r>
      <w:proofErr w:type="spellStart"/>
      <w:r w:rsidRPr="001F7A91">
        <w:t>proBNP</w:t>
      </w:r>
      <w:proofErr w:type="spellEnd"/>
      <w:r w:rsidRPr="001F7A91">
        <w:t xml:space="preserve"> testing alone to diagnose </w:t>
      </w:r>
      <w:proofErr w:type="spellStart"/>
      <w:r w:rsidRPr="001F7A91">
        <w:t>SSc</w:t>
      </w:r>
      <w:proofErr w:type="spellEnd"/>
      <w:r w:rsidRPr="001F7A91">
        <w:t>-PAH is very dependent on the chosen cut-off.</w:t>
      </w:r>
    </w:p>
    <w:p w14:paraId="0F28BE0F" w14:textId="77777777" w:rsidR="00E4281E" w:rsidRPr="001F7A91" w:rsidRDefault="00E4281E" w:rsidP="00E4281E">
      <w:r w:rsidRPr="001F7A91">
        <w:t>The results from the study by Chung et al. (2017) are of specific interest as the cut-off used in this study for NT-</w:t>
      </w:r>
      <w:proofErr w:type="spellStart"/>
      <w:r w:rsidRPr="001F7A91">
        <w:t>proBNP</w:t>
      </w:r>
      <w:proofErr w:type="spellEnd"/>
      <w:r w:rsidRPr="001F7A91">
        <w:t xml:space="preserve"> (210 </w:t>
      </w:r>
      <w:proofErr w:type="spellStart"/>
      <w:r w:rsidRPr="001F7A91">
        <w:t>pg</w:t>
      </w:r>
      <w:proofErr w:type="spellEnd"/>
      <w:r w:rsidRPr="001F7A91">
        <w:t>/ml) is the same as the proposed cut-off for elevated NT-</w:t>
      </w:r>
      <w:proofErr w:type="spellStart"/>
      <w:r w:rsidRPr="001F7A91">
        <w:t>proBNP</w:t>
      </w:r>
      <w:proofErr w:type="spellEnd"/>
      <w:r w:rsidRPr="001F7A91">
        <w:t xml:space="preserve"> levels in the ASIG algorithm. The authors found that the sensitivity of NT-</w:t>
      </w:r>
      <w:proofErr w:type="spellStart"/>
      <w:r w:rsidRPr="001F7A91">
        <w:t>proBNP</w:t>
      </w:r>
      <w:proofErr w:type="spellEnd"/>
      <w:r w:rsidRPr="001F7A91">
        <w:t xml:space="preserve"> levels ≥210 </w:t>
      </w:r>
      <w:proofErr w:type="spellStart"/>
      <w:r w:rsidRPr="001F7A91">
        <w:t>pg</w:t>
      </w:r>
      <w:proofErr w:type="spellEnd"/>
      <w:r w:rsidRPr="001F7A91">
        <w:t xml:space="preserve">/ml predicting PAH in </w:t>
      </w:r>
      <w:proofErr w:type="spellStart"/>
      <w:r w:rsidRPr="001F7A91">
        <w:t>SSc</w:t>
      </w:r>
      <w:proofErr w:type="spellEnd"/>
      <w:r w:rsidRPr="001F7A91">
        <w:t xml:space="preserve"> patients was 73% and the specificity was 78%. The prevalence of PAH in the Australian </w:t>
      </w:r>
      <w:proofErr w:type="spellStart"/>
      <w:r w:rsidRPr="001F7A91">
        <w:t>SSc</w:t>
      </w:r>
      <w:proofErr w:type="spellEnd"/>
      <w:r w:rsidRPr="001F7A91">
        <w:t xml:space="preserve"> population is 8–12% (section 1.4). Thus, the positive predictive value (PPV) is 22.4–31.2%, indicating that most patients with a positive test result will be falsely positive. Conversely, the negative predictive value (NPV) is 95.5–97.1%, indicating that only 3–5% of </w:t>
      </w:r>
      <w:proofErr w:type="spellStart"/>
      <w:r w:rsidRPr="001F7A91">
        <w:t>SSc</w:t>
      </w:r>
      <w:proofErr w:type="spellEnd"/>
      <w:r w:rsidRPr="001F7A91">
        <w:t xml:space="preserve"> patients with a negative test result will be falsely negative.</w:t>
      </w:r>
    </w:p>
    <w:p w14:paraId="29100AC2" w14:textId="77777777" w:rsidR="00E4281E" w:rsidRPr="001F7A91" w:rsidRDefault="00E4281E" w:rsidP="00E4281E">
      <w:r w:rsidRPr="001F7A91">
        <w:t>Four studies used univariate and/or multivariate regression analysis to evaluate the relationship between NT-</w:t>
      </w:r>
      <w:proofErr w:type="spellStart"/>
      <w:r w:rsidRPr="001F7A91">
        <w:t>proBNP</w:t>
      </w:r>
      <w:proofErr w:type="spellEnd"/>
      <w:r w:rsidRPr="001F7A91">
        <w:t xml:space="preserve"> levels and the development of PAH/PH in </w:t>
      </w:r>
      <w:proofErr w:type="spellStart"/>
      <w:r w:rsidRPr="001F7A91">
        <w:t>SSc</w:t>
      </w:r>
      <w:proofErr w:type="spellEnd"/>
      <w:r w:rsidRPr="001F7A91">
        <w:t xml:space="preserve"> patients. All four studies found a positive relationship between NT-</w:t>
      </w:r>
      <w:proofErr w:type="spellStart"/>
      <w:r w:rsidRPr="001F7A91">
        <w:t>proBNP</w:t>
      </w:r>
      <w:proofErr w:type="spellEnd"/>
      <w:r w:rsidRPr="001F7A91">
        <w:t xml:space="preserve"> levels and the likelihood of developing PAH/PH in </w:t>
      </w:r>
      <w:proofErr w:type="spellStart"/>
      <w:r w:rsidRPr="001F7A91">
        <w:t>SSc</w:t>
      </w:r>
      <w:proofErr w:type="spellEnd"/>
      <w:r w:rsidRPr="001F7A91">
        <w:t xml:space="preserve"> patients, but only two reached statistical significance.</w:t>
      </w:r>
    </w:p>
    <w:p w14:paraId="67798EFD" w14:textId="77777777" w:rsidR="00E4281E" w:rsidRPr="001F7A91" w:rsidRDefault="00E4281E" w:rsidP="00E4281E">
      <w:r w:rsidRPr="001F7A91">
        <w:t>Chung et al. (2017), which used the same cut-off for elevated NT-</w:t>
      </w:r>
      <w:proofErr w:type="spellStart"/>
      <w:r w:rsidRPr="001F7A91">
        <w:t>proBNP</w:t>
      </w:r>
      <w:proofErr w:type="spellEnd"/>
      <w:r w:rsidRPr="001F7A91">
        <w:t xml:space="preserve"> levels as proposed in the ASIG algorithm, found that at any particular time, 1.6 times as many patients with NT-</w:t>
      </w:r>
      <w:proofErr w:type="spellStart"/>
      <w:r w:rsidRPr="001F7A91">
        <w:t>proBNP</w:t>
      </w:r>
      <w:proofErr w:type="spellEnd"/>
      <w:r w:rsidRPr="001F7A91">
        <w:t xml:space="preserve"> levels ≥210 </w:t>
      </w:r>
      <w:proofErr w:type="spellStart"/>
      <w:r w:rsidRPr="001F7A91">
        <w:t>pg</w:t>
      </w:r>
      <w:proofErr w:type="spellEnd"/>
      <w:r w:rsidRPr="001F7A91">
        <w:t>/ml were likely to develop PAH than patients with NT-</w:t>
      </w:r>
      <w:proofErr w:type="spellStart"/>
      <w:r w:rsidRPr="001F7A91">
        <w:t>proBNP</w:t>
      </w:r>
      <w:proofErr w:type="spellEnd"/>
      <w:r w:rsidRPr="001F7A91">
        <w:t xml:space="preserve"> levels below 210 </w:t>
      </w:r>
      <w:proofErr w:type="spellStart"/>
      <w:r w:rsidRPr="001F7A91">
        <w:t>pg</w:t>
      </w:r>
      <w:proofErr w:type="spellEnd"/>
      <w:r w:rsidRPr="001F7A91">
        <w:t>/ml, although this did not reach statistical significance (HR = 1.6; 95% CI 0.2, 14.3; p=0.68).</w:t>
      </w:r>
    </w:p>
    <w:p w14:paraId="3D6F69EF" w14:textId="77777777" w:rsidR="00E4281E" w:rsidRPr="00055E91" w:rsidRDefault="00E4281E" w:rsidP="00E4281E">
      <w:pPr>
        <w:spacing w:before="360" w:after="40"/>
        <w:rPr>
          <w:i/>
        </w:rPr>
      </w:pPr>
      <w:r w:rsidRPr="00055E91">
        <w:rPr>
          <w:i/>
          <w:noProof/>
          <w:color w:val="2B579A"/>
          <w:shd w:val="clear" w:color="auto" w:fill="E6E6E6"/>
          <w:lang w:eastAsia="en-AU"/>
        </w:rPr>
        <w:drawing>
          <wp:inline distT="0" distB="0" distL="0" distR="0" wp14:anchorId="5834A5DF" wp14:editId="2ABCC3AF">
            <wp:extent cx="5109882" cy="2826679"/>
            <wp:effectExtent l="0" t="0" r="0" b="0"/>
            <wp:docPr id="30" name="Picture 1" descr="Forest plot of the accuracy of NT-proBNP in detecting patients with SSc-P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orest plot of the accuracy of NT-proBNP in detecting patients with SSc-PA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9003" cy="2875979"/>
                    </a:xfrm>
                    <a:prstGeom prst="rect">
                      <a:avLst/>
                    </a:prstGeom>
                    <a:noFill/>
                  </pic:spPr>
                </pic:pic>
              </a:graphicData>
            </a:graphic>
          </wp:inline>
        </w:drawing>
      </w:r>
    </w:p>
    <w:p w14:paraId="763FD07C" w14:textId="31828467" w:rsidR="00E4281E" w:rsidRPr="00055E91" w:rsidRDefault="003D1B2C" w:rsidP="003D1B2C">
      <w:pPr>
        <w:pStyle w:val="Caption"/>
      </w:pPr>
      <w:bookmarkStart w:id="37" w:name="_Ref100167060"/>
      <w:r>
        <w:t xml:space="preserve">Figure </w:t>
      </w:r>
      <w:fldSimple w:instr=" SEQ Figure \* ARABIC ">
        <w:r>
          <w:rPr>
            <w:noProof/>
          </w:rPr>
          <w:t>1</w:t>
        </w:r>
      </w:fldSimple>
      <w:bookmarkEnd w:id="37"/>
      <w:r>
        <w:t xml:space="preserve"> </w:t>
      </w:r>
      <w:r w:rsidR="00E4281E" w:rsidRPr="00055E91">
        <w:t>Forest plot of the accuracy of NT-</w:t>
      </w:r>
      <w:proofErr w:type="spellStart"/>
      <w:r w:rsidR="00E4281E" w:rsidRPr="00055E91">
        <w:t>proBNP</w:t>
      </w:r>
      <w:proofErr w:type="spellEnd"/>
      <w:r w:rsidR="00E4281E" w:rsidRPr="00055E91">
        <w:t xml:space="preserve"> in detecting patients with </w:t>
      </w:r>
      <w:proofErr w:type="spellStart"/>
      <w:r w:rsidR="00E4281E" w:rsidRPr="00055E91">
        <w:t>SSc</w:t>
      </w:r>
      <w:proofErr w:type="spellEnd"/>
      <w:r w:rsidR="00E4281E" w:rsidRPr="00055E91">
        <w:t>-PAH</w:t>
      </w:r>
    </w:p>
    <w:p w14:paraId="092E1D03" w14:textId="77777777" w:rsidR="00E4281E" w:rsidRPr="00055E91" w:rsidRDefault="00E4281E" w:rsidP="00E4281E">
      <w:pPr>
        <w:pStyle w:val="TableNotes2"/>
        <w:rPr>
          <w:snapToGrid w:val="0"/>
        </w:rPr>
      </w:pPr>
      <w:r w:rsidRPr="00055E91">
        <w:rPr>
          <w:snapToGrid w:val="0"/>
        </w:rPr>
        <w:t>The red dashed line represents the pooled sensitivity and specificity values</w:t>
      </w:r>
    </w:p>
    <w:p w14:paraId="491BA839" w14:textId="77777777" w:rsidR="00E4281E" w:rsidRPr="00055E91" w:rsidRDefault="00E4281E" w:rsidP="00E4281E">
      <w:pPr>
        <w:pStyle w:val="TableNotes2"/>
        <w:rPr>
          <w:snapToGrid w:val="0"/>
        </w:rPr>
      </w:pPr>
      <w:r w:rsidRPr="00055E91">
        <w:rPr>
          <w:snapToGrid w:val="0"/>
        </w:rPr>
        <w:t>CI = confidence interval; NT-</w:t>
      </w:r>
      <w:proofErr w:type="spellStart"/>
      <w:r w:rsidRPr="00055E91">
        <w:rPr>
          <w:snapToGrid w:val="0"/>
        </w:rPr>
        <w:t>proBNP</w:t>
      </w:r>
      <w:proofErr w:type="spellEnd"/>
      <w:r w:rsidRPr="00055E91">
        <w:rPr>
          <w:snapToGrid w:val="0"/>
        </w:rPr>
        <w:t xml:space="preserve"> = N-terminal pro-brain natriuretic peptide; PAH = pulmonary arterial hypertension; PH = pulmonary hypertension; </w:t>
      </w:r>
      <w:proofErr w:type="spellStart"/>
      <w:r w:rsidRPr="00055E91">
        <w:rPr>
          <w:snapToGrid w:val="0"/>
        </w:rPr>
        <w:t>SSc</w:t>
      </w:r>
      <w:proofErr w:type="spellEnd"/>
      <w:r w:rsidRPr="00055E91">
        <w:rPr>
          <w:snapToGrid w:val="0"/>
        </w:rPr>
        <w:t xml:space="preserve"> = systemic sclerosis</w:t>
      </w:r>
    </w:p>
    <w:p w14:paraId="45116C06"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lastRenderedPageBreak/>
        <w:t xml:space="preserve">The accuracy of </w:t>
      </w:r>
      <w:r w:rsidRPr="0082089F">
        <w:rPr>
          <w:rFonts w:ascii="Franklin Gothic Medium" w:eastAsiaTheme="majorEastAsia" w:hAnsi="Franklin Gothic Medium" w:cstheme="majorBidi"/>
          <w:i/>
          <w:sz w:val="24"/>
          <w:szCs w:val="24"/>
        </w:rPr>
        <w:t>testing</w:t>
      </w:r>
      <w:r w:rsidRPr="00055E91">
        <w:rPr>
          <w:rFonts w:ascii="Franklin Gothic Medium" w:eastAsiaTheme="majorEastAsia" w:hAnsi="Franklin Gothic Medium" w:cstheme="majorBidi"/>
          <w:i/>
          <w:sz w:val="24"/>
          <w:szCs w:val="24"/>
        </w:rPr>
        <w:t xml:space="preserve"> algorithms that include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testing</w:t>
      </w:r>
    </w:p>
    <w:p w14:paraId="4869E970" w14:textId="77777777" w:rsidR="00E4281E" w:rsidRPr="001F7A91" w:rsidRDefault="00E4281E" w:rsidP="00E4281E">
      <w:r w:rsidRPr="001F7A91">
        <w:t>Five studies reported on the accuracy of using a NT-</w:t>
      </w:r>
      <w:proofErr w:type="spellStart"/>
      <w:r w:rsidRPr="001F7A91">
        <w:t>proBNP</w:t>
      </w:r>
      <w:proofErr w:type="spellEnd"/>
      <w:r w:rsidRPr="001F7A91">
        <w:t xml:space="preserve">-based algorithm to detect </w:t>
      </w:r>
      <w:proofErr w:type="spellStart"/>
      <w:r w:rsidRPr="001F7A91">
        <w:t>SSc</w:t>
      </w:r>
      <w:proofErr w:type="spellEnd"/>
      <w:r w:rsidRPr="001F7A91">
        <w:t xml:space="preserve">-PAH and/or </w:t>
      </w:r>
      <w:proofErr w:type="spellStart"/>
      <w:r w:rsidRPr="001F7A91">
        <w:t>SSc</w:t>
      </w:r>
      <w:proofErr w:type="spellEnd"/>
      <w:r w:rsidRPr="001F7A91">
        <w:t>-PH. Two different algorithms were used. The two Australian studies used the ASIG algorithm, which uses both NT-</w:t>
      </w:r>
      <w:proofErr w:type="spellStart"/>
      <w:r w:rsidRPr="001F7A91">
        <w:t>proBNP</w:t>
      </w:r>
      <w:proofErr w:type="spellEnd"/>
      <w:r w:rsidRPr="001F7A91">
        <w:t xml:space="preserve"> serum levels and pulmonary function tests (PFTs) and is proposed in the ADAR for clinical use in testing Australian </w:t>
      </w:r>
      <w:proofErr w:type="spellStart"/>
      <w:r w:rsidRPr="001F7A91">
        <w:t>SSc</w:t>
      </w:r>
      <w:proofErr w:type="spellEnd"/>
      <w:r w:rsidRPr="001F7A91">
        <w:t xml:space="preserve"> patients. One of the Australian studies and the other three studies used the DETECT algorithm that was developed by the DETECT (Evidence-Based Detection of Pulmonary Arterial Hypertension in Systemic Sclerosis) study investigators. This algorithm combined eight variables (telangiectasia, anti-centromere antibody, NT-</w:t>
      </w:r>
      <w:proofErr w:type="spellStart"/>
      <w:r w:rsidRPr="001F7A91">
        <w:t>proBNP</w:t>
      </w:r>
      <w:proofErr w:type="spellEnd"/>
      <w:r w:rsidRPr="001F7A91">
        <w:t>, serum urate, FVC/DLCO on PFT, right axis deviation on electrocardiogram, right atrium area, and tricuspid regurgitant jet velocity on TTE) and uses a two-step decision tree.</w:t>
      </w:r>
    </w:p>
    <w:p w14:paraId="222D3D90" w14:textId="77777777" w:rsidR="00E4281E" w:rsidRPr="001F7A91" w:rsidRDefault="00E4281E" w:rsidP="00E4281E">
      <w:r w:rsidRPr="001F7A91">
        <w:t>Three studies compared the accuracy of NT-</w:t>
      </w:r>
      <w:proofErr w:type="spellStart"/>
      <w:r w:rsidRPr="001F7A91">
        <w:t>proBNP</w:t>
      </w:r>
      <w:proofErr w:type="spellEnd"/>
      <w:r w:rsidRPr="001F7A91">
        <w:t xml:space="preserve">-based algorithms with that of diagnosis according to the European Society of Cardiology/European Respiratory Society (ESC/ERS) guidelines. All three studies used RHC to confirm the presence of PH/PAH disease. The guidelines recommend diagnosis of </w:t>
      </w:r>
      <w:proofErr w:type="spellStart"/>
      <w:r w:rsidRPr="001F7A91">
        <w:t>SSc</w:t>
      </w:r>
      <w:proofErr w:type="spellEnd"/>
      <w:r w:rsidRPr="001F7A91">
        <w:t>-PAH based on symptoms and TTE. However, the symptoms of PAH are usually very mild and non-specific in the early stages, making it difficult to identify patients who are developing PAH.</w:t>
      </w:r>
    </w:p>
    <w:p w14:paraId="3C9F88EA" w14:textId="6CEAA53C" w:rsidR="00E4281E" w:rsidRPr="001F7A91" w:rsidRDefault="00E4281E" w:rsidP="00E4281E">
      <w:r w:rsidRPr="001F7A91">
        <w:t>Meta-analysis of the results from the studies reporting on the accuracy of NT-</w:t>
      </w:r>
      <w:proofErr w:type="spellStart"/>
      <w:r w:rsidRPr="001F7A91">
        <w:t>proBNP</w:t>
      </w:r>
      <w:proofErr w:type="spellEnd"/>
      <w:r w:rsidRPr="001F7A91">
        <w:t xml:space="preserve">-based algorithms (the intervention) and TTE-based guidelines (the comparator), both compared to RHC (the reference standard) was performed. As a minimum of four studies are required for meta-analysis, pooled sensitivity and specificity values could not be obtained for all groups. The median values and the range were reported for those groups with less than four studies. The pooled/median results are summarised in </w:t>
      </w:r>
      <w:r w:rsidRPr="001F7A91">
        <w:rPr>
          <w:color w:val="2B579A"/>
          <w:shd w:val="clear" w:color="auto" w:fill="E6E6E6"/>
        </w:rPr>
        <w:fldChar w:fldCharType="begin"/>
      </w:r>
      <w:r w:rsidRPr="001F7A91">
        <w:instrText xml:space="preserve"> REF _Ref99977382 \h  \* MERGEFORMAT </w:instrText>
      </w:r>
      <w:r w:rsidRPr="001F7A91">
        <w:rPr>
          <w:color w:val="2B579A"/>
          <w:shd w:val="clear" w:color="auto" w:fill="E6E6E6"/>
        </w:rPr>
      </w:r>
      <w:r w:rsidRPr="001F7A91">
        <w:rPr>
          <w:color w:val="2B579A"/>
          <w:shd w:val="clear" w:color="auto" w:fill="E6E6E6"/>
        </w:rPr>
        <w:fldChar w:fldCharType="separate"/>
      </w:r>
      <w:r w:rsidR="00D270D9">
        <w:t>Table 7</w:t>
      </w:r>
      <w:r w:rsidRPr="001F7A91">
        <w:rPr>
          <w:color w:val="2B579A"/>
          <w:shd w:val="clear" w:color="auto" w:fill="E6E6E6"/>
        </w:rPr>
        <w:fldChar w:fldCharType="end"/>
      </w:r>
      <w:r w:rsidRPr="001F7A91">
        <w:t xml:space="preserve">. </w:t>
      </w:r>
    </w:p>
    <w:p w14:paraId="4F545D69" w14:textId="77777777" w:rsidR="00E4281E" w:rsidRPr="001F7A91" w:rsidRDefault="00E4281E" w:rsidP="00E4281E">
      <w:r w:rsidRPr="001F7A91">
        <w:t xml:space="preserve">There was no true difference between the ASIG and DETECT algorithms in their ability to detect either </w:t>
      </w:r>
      <w:proofErr w:type="spellStart"/>
      <w:r w:rsidRPr="001F7A91">
        <w:t>SSc</w:t>
      </w:r>
      <w:proofErr w:type="spellEnd"/>
      <w:r w:rsidRPr="001F7A91">
        <w:t xml:space="preserve">-PAH or </w:t>
      </w:r>
      <w:proofErr w:type="spellStart"/>
      <w:r w:rsidRPr="001F7A91">
        <w:t>SSc</w:t>
      </w:r>
      <w:proofErr w:type="spellEnd"/>
      <w:r w:rsidRPr="001F7A91">
        <w:t>-PH when compared to RHC. The pooled/median sensitivity ranged from 95% to 98%, and the pooled/median specificity ranged from 45% to 55%.</w:t>
      </w:r>
    </w:p>
    <w:p w14:paraId="72906E44" w14:textId="7D3B31F8" w:rsidR="00E4281E" w:rsidRPr="001F7A91" w:rsidRDefault="00E4281E" w:rsidP="00E4281E">
      <w:r w:rsidRPr="001F7A91">
        <w:t xml:space="preserve">The ASIG and DETECT algorithms were as sensitive as the TTE-based ESC/ERS guideline recommendations for detecting either </w:t>
      </w:r>
      <w:proofErr w:type="spellStart"/>
      <w:r w:rsidRPr="001F7A91">
        <w:t>SSc</w:t>
      </w:r>
      <w:proofErr w:type="spellEnd"/>
      <w:r w:rsidRPr="001F7A91">
        <w:t xml:space="preserve">-PAH or </w:t>
      </w:r>
      <w:proofErr w:type="spellStart"/>
      <w:r w:rsidRPr="001F7A91">
        <w:t>SSc</w:t>
      </w:r>
      <w:proofErr w:type="spellEnd"/>
      <w:r w:rsidRPr="001F7A91">
        <w:t xml:space="preserve">-PH. However, the ESC/ERS guidelines appear to be less specific than the ASIG and DETECT algorithms, with a median specificity of 32%. Overall, these results </w:t>
      </w:r>
      <w:r w:rsidR="7B3B5281">
        <w:t>suggest</w:t>
      </w:r>
      <w:r w:rsidRPr="001F7A91">
        <w:t xml:space="preserve"> that the NT-</w:t>
      </w:r>
      <w:proofErr w:type="spellStart"/>
      <w:r w:rsidRPr="001F7A91">
        <w:t>proBNP</w:t>
      </w:r>
      <w:proofErr w:type="spellEnd"/>
      <w:r w:rsidRPr="001F7A91">
        <w:t xml:space="preserve">-based algorithms are at least as effective at diagnosing </w:t>
      </w:r>
      <w:proofErr w:type="spellStart"/>
      <w:r w:rsidRPr="001F7A91">
        <w:t>SSc</w:t>
      </w:r>
      <w:proofErr w:type="spellEnd"/>
      <w:r w:rsidRPr="001F7A91">
        <w:t xml:space="preserve"> patients with possible PAH as the ‘symptom plus TTE’-based approach recommended in the guidelines.</w:t>
      </w:r>
    </w:p>
    <w:p w14:paraId="29E320D7" w14:textId="363C2816" w:rsidR="00E4281E" w:rsidRPr="00055E91" w:rsidRDefault="00E4281E" w:rsidP="00E4281E">
      <w:pPr>
        <w:pStyle w:val="TableHeading0"/>
      </w:pPr>
      <w:bookmarkStart w:id="38" w:name="_Ref99977382"/>
      <w:r>
        <w:t xml:space="preserve">Table </w:t>
      </w:r>
      <w:r>
        <w:fldChar w:fldCharType="begin"/>
      </w:r>
      <w:r>
        <w:instrText>SEQ Table_CES \* ARABIC</w:instrText>
      </w:r>
      <w:r>
        <w:fldChar w:fldCharType="separate"/>
      </w:r>
      <w:r w:rsidR="00D270D9">
        <w:rPr>
          <w:noProof/>
        </w:rPr>
        <w:t>7</w:t>
      </w:r>
      <w:r>
        <w:fldChar w:fldCharType="end"/>
      </w:r>
      <w:bookmarkEnd w:id="38"/>
      <w:r w:rsidRPr="00055E91">
        <w:tab/>
        <w:t>Summary of the pooled/median accuracy of NT-</w:t>
      </w:r>
      <w:proofErr w:type="spellStart"/>
      <w:r w:rsidRPr="00055E91">
        <w:t>proBNP</w:t>
      </w:r>
      <w:proofErr w:type="spellEnd"/>
      <w:r w:rsidRPr="00055E91">
        <w:t xml:space="preserve"> based algorithms and TTE-based guidelines compared to RHC</w:t>
      </w:r>
    </w:p>
    <w:tbl>
      <w:tblPr>
        <w:tblStyle w:val="ASDTable2"/>
        <w:tblW w:w="9158" w:type="dxa"/>
        <w:tblLook w:val="04A0" w:firstRow="1" w:lastRow="0" w:firstColumn="1" w:lastColumn="0" w:noHBand="0" w:noVBand="1"/>
      </w:tblPr>
      <w:tblGrid>
        <w:gridCol w:w="3957"/>
        <w:gridCol w:w="2559"/>
        <w:gridCol w:w="2642"/>
      </w:tblGrid>
      <w:tr w:rsidR="00E4281E" w:rsidRPr="00055E91" w14:paraId="3622E59F" w14:textId="77777777" w:rsidTr="00566EFA">
        <w:trPr>
          <w:trHeight w:val="654"/>
        </w:trPr>
        <w:tc>
          <w:tcPr>
            <w:tcW w:w="3957" w:type="dxa"/>
          </w:tcPr>
          <w:p w14:paraId="096F8E95" w14:textId="77777777" w:rsidR="00E4281E" w:rsidRPr="001F7A91" w:rsidRDefault="00E4281E" w:rsidP="00E4281E">
            <w:pPr>
              <w:spacing w:before="40" w:after="40"/>
              <w:rPr>
                <w:rFonts w:ascii="Arial Narrow" w:hAnsi="Arial Narrow"/>
                <w:b/>
                <w:sz w:val="20"/>
              </w:rPr>
            </w:pPr>
            <w:r w:rsidRPr="001F7A91">
              <w:rPr>
                <w:rFonts w:ascii="Arial Narrow" w:hAnsi="Arial Narrow"/>
                <w:b/>
                <w:iCs/>
                <w:sz w:val="20"/>
                <w:szCs w:val="20"/>
              </w:rPr>
              <w:t>Algorithm</w:t>
            </w:r>
          </w:p>
        </w:tc>
        <w:tc>
          <w:tcPr>
            <w:tcW w:w="2559" w:type="dxa"/>
          </w:tcPr>
          <w:p w14:paraId="17BD9FA1" w14:textId="77777777" w:rsidR="00E4281E" w:rsidRPr="001F7A91" w:rsidRDefault="00E4281E" w:rsidP="00E4281E">
            <w:pPr>
              <w:spacing w:before="40" w:after="40"/>
              <w:rPr>
                <w:rFonts w:ascii="Arial Narrow" w:hAnsi="Arial Narrow"/>
                <w:b/>
                <w:sz w:val="20"/>
              </w:rPr>
            </w:pPr>
            <w:r w:rsidRPr="001F7A91">
              <w:rPr>
                <w:rFonts w:ascii="Arial Narrow" w:hAnsi="Arial Narrow"/>
                <w:b/>
                <w:sz w:val="20"/>
              </w:rPr>
              <w:t>Sensitivity (pooled or median)</w:t>
            </w:r>
          </w:p>
        </w:tc>
        <w:tc>
          <w:tcPr>
            <w:tcW w:w="2642" w:type="dxa"/>
          </w:tcPr>
          <w:p w14:paraId="60A1B17D" w14:textId="77777777" w:rsidR="00E4281E" w:rsidRPr="001F7A91" w:rsidRDefault="00E4281E" w:rsidP="00E4281E">
            <w:pPr>
              <w:spacing w:before="40" w:after="40"/>
              <w:rPr>
                <w:rFonts w:ascii="Arial Narrow" w:hAnsi="Arial Narrow"/>
                <w:b/>
                <w:sz w:val="20"/>
              </w:rPr>
            </w:pPr>
            <w:r w:rsidRPr="001F7A91">
              <w:rPr>
                <w:rFonts w:ascii="Arial Narrow" w:hAnsi="Arial Narrow"/>
                <w:b/>
                <w:sz w:val="20"/>
              </w:rPr>
              <w:t>Specificity (pooled or median)</w:t>
            </w:r>
          </w:p>
        </w:tc>
      </w:tr>
      <w:tr w:rsidR="00E4281E" w:rsidRPr="00055E91" w14:paraId="6E22604B" w14:textId="77777777" w:rsidTr="00E4281E">
        <w:tc>
          <w:tcPr>
            <w:tcW w:w="3957" w:type="dxa"/>
          </w:tcPr>
          <w:p w14:paraId="73CFDD19"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ASIG for </w:t>
            </w:r>
            <w:proofErr w:type="spellStart"/>
            <w:r w:rsidRPr="001F7A91">
              <w:rPr>
                <w:rFonts w:ascii="Arial Narrow" w:hAnsi="Arial Narrow"/>
                <w:sz w:val="20"/>
              </w:rPr>
              <w:t>SSc</w:t>
            </w:r>
            <w:proofErr w:type="spellEnd"/>
            <w:r w:rsidRPr="001F7A91">
              <w:rPr>
                <w:rFonts w:ascii="Arial Narrow" w:hAnsi="Arial Narrow"/>
                <w:sz w:val="20"/>
              </w:rPr>
              <w:t>-PAH (k=2)</w:t>
            </w:r>
          </w:p>
        </w:tc>
        <w:tc>
          <w:tcPr>
            <w:tcW w:w="2559" w:type="dxa"/>
          </w:tcPr>
          <w:p w14:paraId="08620E35"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97% (range 94–100)</w:t>
            </w:r>
          </w:p>
        </w:tc>
        <w:tc>
          <w:tcPr>
            <w:tcW w:w="2642" w:type="dxa"/>
          </w:tcPr>
          <w:p w14:paraId="34C7C020" w14:textId="4A87DB17" w:rsidR="00E4281E" w:rsidRPr="001F7A91" w:rsidRDefault="00E4281E" w:rsidP="00E4281E">
            <w:pPr>
              <w:spacing w:before="40" w:after="40"/>
              <w:rPr>
                <w:rFonts w:ascii="Arial Narrow" w:hAnsi="Arial Narrow"/>
                <w:sz w:val="20"/>
                <w:szCs w:val="20"/>
              </w:rPr>
            </w:pPr>
            <w:r w:rsidRPr="5F7EA55D">
              <w:rPr>
                <w:rFonts w:ascii="Arial Narrow" w:hAnsi="Arial Narrow"/>
                <w:sz w:val="20"/>
                <w:szCs w:val="20"/>
              </w:rPr>
              <w:t>55% (range 55–55)</w:t>
            </w:r>
          </w:p>
        </w:tc>
      </w:tr>
      <w:tr w:rsidR="00E4281E" w:rsidRPr="00055E91" w14:paraId="18886349" w14:textId="77777777" w:rsidTr="00E4281E">
        <w:tc>
          <w:tcPr>
            <w:tcW w:w="3957" w:type="dxa"/>
          </w:tcPr>
          <w:p w14:paraId="37D500D4"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DETECT for </w:t>
            </w:r>
            <w:proofErr w:type="spellStart"/>
            <w:r w:rsidRPr="001F7A91">
              <w:rPr>
                <w:rFonts w:ascii="Arial Narrow" w:hAnsi="Arial Narrow"/>
                <w:sz w:val="20"/>
              </w:rPr>
              <w:t>SSc</w:t>
            </w:r>
            <w:proofErr w:type="spellEnd"/>
            <w:r w:rsidRPr="001F7A91">
              <w:rPr>
                <w:rFonts w:ascii="Arial Narrow" w:hAnsi="Arial Narrow"/>
                <w:sz w:val="20"/>
              </w:rPr>
              <w:t>-PAH (k=5)</w:t>
            </w:r>
          </w:p>
        </w:tc>
        <w:tc>
          <w:tcPr>
            <w:tcW w:w="2559" w:type="dxa"/>
          </w:tcPr>
          <w:p w14:paraId="018D87EE"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95% (95% CI 74, 99)</w:t>
            </w:r>
          </w:p>
        </w:tc>
        <w:tc>
          <w:tcPr>
            <w:tcW w:w="2642" w:type="dxa"/>
          </w:tcPr>
          <w:p w14:paraId="2DA470CE"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54% (95% CI 39, 68)</w:t>
            </w:r>
          </w:p>
        </w:tc>
      </w:tr>
      <w:tr w:rsidR="00E4281E" w:rsidRPr="00055E91" w14:paraId="0AF6536F" w14:textId="77777777" w:rsidTr="00E4281E">
        <w:tc>
          <w:tcPr>
            <w:tcW w:w="3957" w:type="dxa"/>
          </w:tcPr>
          <w:p w14:paraId="43559B55"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ESC/ERS guidelines for detecting </w:t>
            </w:r>
            <w:proofErr w:type="spellStart"/>
            <w:r w:rsidRPr="001F7A91">
              <w:rPr>
                <w:rFonts w:ascii="Arial Narrow" w:hAnsi="Arial Narrow"/>
                <w:sz w:val="20"/>
              </w:rPr>
              <w:t>SSc</w:t>
            </w:r>
            <w:proofErr w:type="spellEnd"/>
            <w:r w:rsidRPr="001F7A91">
              <w:rPr>
                <w:rFonts w:ascii="Arial Narrow" w:hAnsi="Arial Narrow"/>
                <w:sz w:val="20"/>
              </w:rPr>
              <w:t>-PAH (k=3)</w:t>
            </w:r>
          </w:p>
        </w:tc>
        <w:tc>
          <w:tcPr>
            <w:tcW w:w="2559" w:type="dxa"/>
          </w:tcPr>
          <w:p w14:paraId="4634E9BA"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94.1% (range 91.4–96.3)</w:t>
            </w:r>
          </w:p>
        </w:tc>
        <w:tc>
          <w:tcPr>
            <w:tcW w:w="2642" w:type="dxa"/>
          </w:tcPr>
          <w:p w14:paraId="76F75EA2"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32.3% (range 31.8–85.7)</w:t>
            </w:r>
          </w:p>
        </w:tc>
      </w:tr>
      <w:tr w:rsidR="00E4281E" w:rsidRPr="00055E91" w14:paraId="5A909122" w14:textId="77777777" w:rsidTr="00E4281E">
        <w:tc>
          <w:tcPr>
            <w:tcW w:w="3957" w:type="dxa"/>
          </w:tcPr>
          <w:p w14:paraId="26EB7010"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ASIG for </w:t>
            </w:r>
            <w:proofErr w:type="spellStart"/>
            <w:r w:rsidRPr="001F7A91">
              <w:rPr>
                <w:rFonts w:ascii="Arial Narrow" w:hAnsi="Arial Narrow"/>
                <w:sz w:val="20"/>
              </w:rPr>
              <w:t>SSc</w:t>
            </w:r>
            <w:proofErr w:type="spellEnd"/>
            <w:r w:rsidRPr="001F7A91">
              <w:rPr>
                <w:rFonts w:ascii="Arial Narrow" w:hAnsi="Arial Narrow"/>
                <w:sz w:val="20"/>
              </w:rPr>
              <w:t>-PH (k=2)</w:t>
            </w:r>
          </w:p>
        </w:tc>
        <w:tc>
          <w:tcPr>
            <w:tcW w:w="2559" w:type="dxa"/>
          </w:tcPr>
          <w:p w14:paraId="3136EC22"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93% (range 89–98)</w:t>
            </w:r>
          </w:p>
        </w:tc>
        <w:tc>
          <w:tcPr>
            <w:tcW w:w="2642" w:type="dxa"/>
          </w:tcPr>
          <w:p w14:paraId="230D916C"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55% (range 55–55)</w:t>
            </w:r>
          </w:p>
        </w:tc>
      </w:tr>
      <w:tr w:rsidR="00E4281E" w:rsidRPr="00055E91" w14:paraId="19DBD84C" w14:textId="77777777" w:rsidTr="00E4281E">
        <w:tc>
          <w:tcPr>
            <w:tcW w:w="3957" w:type="dxa"/>
          </w:tcPr>
          <w:p w14:paraId="771CA854"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DETECT for </w:t>
            </w:r>
            <w:proofErr w:type="spellStart"/>
            <w:r w:rsidRPr="001F7A91">
              <w:rPr>
                <w:rFonts w:ascii="Arial Narrow" w:hAnsi="Arial Narrow"/>
                <w:sz w:val="20"/>
              </w:rPr>
              <w:t>SSc</w:t>
            </w:r>
            <w:proofErr w:type="spellEnd"/>
            <w:r w:rsidRPr="001F7A91">
              <w:rPr>
                <w:rFonts w:ascii="Arial Narrow" w:hAnsi="Arial Narrow"/>
                <w:sz w:val="20"/>
              </w:rPr>
              <w:t>-PH (k=1)</w:t>
            </w:r>
          </w:p>
        </w:tc>
        <w:tc>
          <w:tcPr>
            <w:tcW w:w="2559" w:type="dxa"/>
          </w:tcPr>
          <w:p w14:paraId="21729CB2"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98% (95% CI 90, 100)</w:t>
            </w:r>
          </w:p>
        </w:tc>
        <w:tc>
          <w:tcPr>
            <w:tcW w:w="2642" w:type="dxa"/>
          </w:tcPr>
          <w:p w14:paraId="44F22E02"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45% (95% CI 27, 64)</w:t>
            </w:r>
          </w:p>
        </w:tc>
      </w:tr>
      <w:tr w:rsidR="00E4281E" w:rsidRPr="00055E91" w14:paraId="2B61C40C" w14:textId="77777777" w:rsidTr="00E4281E">
        <w:tc>
          <w:tcPr>
            <w:tcW w:w="3957" w:type="dxa"/>
          </w:tcPr>
          <w:p w14:paraId="22059FB9"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 xml:space="preserve">ESC/ERS guidelines for detecting </w:t>
            </w:r>
            <w:proofErr w:type="spellStart"/>
            <w:r w:rsidRPr="001F7A91">
              <w:rPr>
                <w:rFonts w:ascii="Arial Narrow" w:hAnsi="Arial Narrow"/>
                <w:sz w:val="20"/>
              </w:rPr>
              <w:t>SSc</w:t>
            </w:r>
            <w:proofErr w:type="spellEnd"/>
            <w:r w:rsidRPr="001F7A91">
              <w:rPr>
                <w:rFonts w:ascii="Arial Narrow" w:hAnsi="Arial Narrow"/>
                <w:sz w:val="20"/>
              </w:rPr>
              <w:t>-PH (k=3)</w:t>
            </w:r>
          </w:p>
        </w:tc>
        <w:tc>
          <w:tcPr>
            <w:tcW w:w="2559" w:type="dxa"/>
          </w:tcPr>
          <w:p w14:paraId="4CCD33F4"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92.6% (range 80.8–97.4)</w:t>
            </w:r>
          </w:p>
        </w:tc>
        <w:tc>
          <w:tcPr>
            <w:tcW w:w="2642" w:type="dxa"/>
          </w:tcPr>
          <w:p w14:paraId="774EF6DF" w14:textId="77777777" w:rsidR="00E4281E" w:rsidRPr="001F7A91" w:rsidRDefault="00E4281E" w:rsidP="00E4281E">
            <w:pPr>
              <w:spacing w:before="40" w:after="40"/>
              <w:rPr>
                <w:rFonts w:ascii="Arial Narrow" w:hAnsi="Arial Narrow"/>
                <w:sz w:val="20"/>
              </w:rPr>
            </w:pPr>
            <w:r w:rsidRPr="001F7A91">
              <w:rPr>
                <w:rFonts w:ascii="Arial Narrow" w:hAnsi="Arial Narrow"/>
                <w:sz w:val="20"/>
              </w:rPr>
              <w:t>31.8% (range 25.8–87.1)</w:t>
            </w:r>
          </w:p>
        </w:tc>
      </w:tr>
    </w:tbl>
    <w:p w14:paraId="60AABDB9" w14:textId="77777777" w:rsidR="00E4281E" w:rsidRPr="00055E91" w:rsidRDefault="00E4281E" w:rsidP="00E4281E">
      <w:pPr>
        <w:pStyle w:val="TableNotes2"/>
        <w:rPr>
          <w:snapToGrid w:val="0"/>
        </w:rPr>
      </w:pPr>
      <w:r w:rsidRPr="00055E91">
        <w:rPr>
          <w:snapToGrid w:val="0"/>
        </w:rPr>
        <w:t>The ASIG and DETECT algorithms are NT-</w:t>
      </w:r>
      <w:proofErr w:type="spellStart"/>
      <w:r w:rsidRPr="00055E91">
        <w:rPr>
          <w:snapToGrid w:val="0"/>
        </w:rPr>
        <w:t>proBNP</w:t>
      </w:r>
      <w:proofErr w:type="spellEnd"/>
      <w:r w:rsidRPr="00055E91">
        <w:rPr>
          <w:snapToGrid w:val="0"/>
        </w:rPr>
        <w:t xml:space="preserve"> based, whereas the ESC/ERS guidelines are TTE-based.</w:t>
      </w:r>
    </w:p>
    <w:p w14:paraId="113D5959" w14:textId="77777777" w:rsidR="00E4281E" w:rsidRPr="00055E91" w:rsidRDefault="00E4281E" w:rsidP="00E4281E">
      <w:pPr>
        <w:pStyle w:val="TableNotes2"/>
        <w:rPr>
          <w:snapToGrid w:val="0"/>
        </w:rPr>
      </w:pPr>
      <w:r w:rsidRPr="00055E91">
        <w:rPr>
          <w:snapToGrid w:val="0"/>
        </w:rPr>
        <w:t>Pooled values presented with 95% CIs. Median values presented with the range of values.</w:t>
      </w:r>
    </w:p>
    <w:p w14:paraId="79995776" w14:textId="77777777" w:rsidR="00E4281E" w:rsidRPr="00055E91" w:rsidRDefault="00E4281E" w:rsidP="00E4281E">
      <w:pPr>
        <w:pStyle w:val="TableNotes2"/>
        <w:rPr>
          <w:snapToGrid w:val="0"/>
        </w:rPr>
      </w:pPr>
      <w:r w:rsidRPr="00055E91">
        <w:rPr>
          <w:snapToGrid w:val="0"/>
        </w:rPr>
        <w:t xml:space="preserve">ASIG = Australian Scleroderma Interest Group </w:t>
      </w:r>
      <w:r w:rsidRPr="0082089F">
        <w:rPr>
          <w:snapToGrid w:val="0"/>
        </w:rPr>
        <w:t>testing</w:t>
      </w:r>
      <w:r w:rsidRPr="00055E91">
        <w:rPr>
          <w:snapToGrid w:val="0"/>
        </w:rPr>
        <w:t xml:space="preserve"> algorithm; CI = confidence interval; DETECT = Evidence-Based Detection of Pulmonary Arterial Hypertension in Systemic Sclerosis </w:t>
      </w:r>
      <w:r w:rsidRPr="0082089F">
        <w:rPr>
          <w:snapToGrid w:val="0"/>
        </w:rPr>
        <w:t xml:space="preserve">testing </w:t>
      </w:r>
      <w:r w:rsidRPr="00055E91">
        <w:rPr>
          <w:snapToGrid w:val="0"/>
        </w:rPr>
        <w:t>algorithm; ESC/ERS = European Society of Cardiology / European Respiratory Society guidelines; NT-</w:t>
      </w:r>
      <w:proofErr w:type="spellStart"/>
      <w:r w:rsidRPr="00055E91">
        <w:rPr>
          <w:snapToGrid w:val="0"/>
        </w:rPr>
        <w:t>proBNP</w:t>
      </w:r>
      <w:proofErr w:type="spellEnd"/>
      <w:r w:rsidRPr="00055E91">
        <w:rPr>
          <w:snapToGrid w:val="0"/>
        </w:rPr>
        <w:t xml:space="preserve"> = N-terminal pro-brain natriuretic peptide; PAH = pulmonary arterial hypertension; PH = pulmonary hypertension; RHC = right heart catheterisation; </w:t>
      </w:r>
      <w:proofErr w:type="spellStart"/>
      <w:r w:rsidRPr="00055E91">
        <w:rPr>
          <w:snapToGrid w:val="0"/>
        </w:rPr>
        <w:t>SSc</w:t>
      </w:r>
      <w:proofErr w:type="spellEnd"/>
      <w:r w:rsidRPr="00055E91">
        <w:rPr>
          <w:snapToGrid w:val="0"/>
        </w:rPr>
        <w:t xml:space="preserve"> = systemic sclerosis</w:t>
      </w:r>
    </w:p>
    <w:p w14:paraId="60082187" w14:textId="62F8E3D0" w:rsidR="00E4281E" w:rsidRPr="001F7A91" w:rsidRDefault="00E4281E" w:rsidP="56FEECB3">
      <w:r w:rsidRPr="001F7A91">
        <w:lastRenderedPageBreak/>
        <w:t>Thus, by using the NT-</w:t>
      </w:r>
      <w:proofErr w:type="spellStart"/>
      <w:r w:rsidRPr="001F7A91">
        <w:t>proBNP</w:t>
      </w:r>
      <w:proofErr w:type="spellEnd"/>
      <w:r w:rsidRPr="001F7A91">
        <w:t xml:space="preserve">-based algorithms to triage patients for RHC, few patients with PAH are missed due to a false negative result. On the other hand, approximately half of the patients who are truly negative will get a false positive result. These patients will be required to undergo the more invasive RHC test to rule out PAH/PH disease. </w:t>
      </w:r>
    </w:p>
    <w:p w14:paraId="1ABB471E" w14:textId="56D553BD" w:rsidR="00E4281E" w:rsidRPr="001F7A91" w:rsidRDefault="00E4281E" w:rsidP="00E4281E">
      <w:r>
        <w:t xml:space="preserve">The commentary reported positive predictive value (PPV) and negative predictive value (NPV) based on the long-term prevalence of PAH in </w:t>
      </w:r>
      <w:proofErr w:type="spellStart"/>
      <w:r>
        <w:t>SSc</w:t>
      </w:r>
      <w:proofErr w:type="spellEnd"/>
      <w:r>
        <w:t>. ESC considered the results should be recalculated based on an annual prevalence of approximately 1%. Using the annual prevalence of 1%, the</w:t>
      </w:r>
      <w:r w:rsidRPr="001F7A91">
        <w:t xml:space="preserve"> PPV of the ASIG algorithm in detecting PAH is </w:t>
      </w:r>
      <w:r>
        <w:t>2</w:t>
      </w:r>
      <w:r w:rsidRPr="001F7A91">
        <w:t xml:space="preserve">%, indicating that </w:t>
      </w:r>
      <w:r>
        <w:t xml:space="preserve">almost all </w:t>
      </w:r>
      <w:r w:rsidRPr="001F7A91">
        <w:t>patients with a positive test result will be falsely positive. Conversely, the negative predictive value (NPV) is 99.</w:t>
      </w:r>
      <w:r>
        <w:t>9</w:t>
      </w:r>
      <w:r w:rsidRPr="001F7A91">
        <w:t xml:space="preserve">%, indicating that </w:t>
      </w:r>
      <w:r>
        <w:t>almost no</w:t>
      </w:r>
      <w:r w:rsidRPr="001F7A91">
        <w:t xml:space="preserve"> </w:t>
      </w:r>
      <w:proofErr w:type="spellStart"/>
      <w:r w:rsidRPr="001F7A91">
        <w:t>SSc</w:t>
      </w:r>
      <w:proofErr w:type="spellEnd"/>
      <w:r w:rsidRPr="001F7A91">
        <w:t xml:space="preserve"> patients with a negative test result will be falsely negative.</w:t>
      </w:r>
      <w:r w:rsidR="00566EFA">
        <w:t xml:space="preserve"> </w:t>
      </w:r>
      <w:r w:rsidRPr="001F7A91">
        <w:t xml:space="preserve">Nevertheless, this will still result in fewer patients having unnecessary RHC as testing according to the current ESC/ERS guidelines results in </w:t>
      </w:r>
      <w:r>
        <w:t>68</w:t>
      </w:r>
      <w:r w:rsidRPr="001F7A91">
        <w:t xml:space="preserve">% of patients without PAH undergoing RHC. The PPV for the ESC/ERS guidelines in detecting PAH is </w:t>
      </w:r>
      <w:r>
        <w:t>1</w:t>
      </w:r>
      <w:r w:rsidRPr="001F7A91">
        <w:t>%, and the NPV is 9</w:t>
      </w:r>
      <w:r>
        <w:t xml:space="preserve">9.8% based on 1% annual prevalence. </w:t>
      </w:r>
    </w:p>
    <w:p w14:paraId="1DA419C6" w14:textId="37F0C1A9" w:rsidR="00E4281E" w:rsidRPr="001118E9" w:rsidRDefault="00E4281E" w:rsidP="00E4281E">
      <w:r w:rsidRPr="001F7A91">
        <w:t xml:space="preserve">The number of </w:t>
      </w:r>
      <w:proofErr w:type="spellStart"/>
      <w:r w:rsidRPr="001F7A91">
        <w:t>SSc</w:t>
      </w:r>
      <w:proofErr w:type="spellEnd"/>
      <w:r w:rsidRPr="001F7A91">
        <w:t xml:space="preserve"> patients per 1,000 tested who would receive positive and negative test results for both the current (TTE-based ESC/ERS guidelines) and the proposed (ASIG algorithm) clinical management pathways are summarised in </w:t>
      </w:r>
      <w:r>
        <w:rPr>
          <w:color w:val="2B579A"/>
          <w:shd w:val="clear" w:color="auto" w:fill="E6E6E6"/>
        </w:rPr>
        <w:fldChar w:fldCharType="begin"/>
      </w:r>
      <w:r w:rsidRPr="001F7A91">
        <w:instrText xml:space="preserve"> REF _Ref100049544 \h  \* MERGEFORMAT </w:instrText>
      </w:r>
      <w:r>
        <w:rPr>
          <w:color w:val="2B579A"/>
          <w:shd w:val="clear" w:color="auto" w:fill="E6E6E6"/>
        </w:rPr>
      </w:r>
      <w:r>
        <w:rPr>
          <w:color w:val="2B579A"/>
          <w:shd w:val="clear" w:color="auto" w:fill="E6E6E6"/>
        </w:rPr>
        <w:fldChar w:fldCharType="separate"/>
      </w:r>
      <w:r w:rsidR="00D270D9">
        <w:t>Table 8</w:t>
      </w:r>
      <w:r>
        <w:rPr>
          <w:color w:val="2B579A"/>
          <w:shd w:val="clear" w:color="auto" w:fill="E6E6E6"/>
        </w:rPr>
        <w:fldChar w:fldCharType="end"/>
      </w:r>
      <w:r w:rsidRPr="001F7A91">
        <w:t xml:space="preserve">. Thus, per 1,000 </w:t>
      </w:r>
      <w:proofErr w:type="spellStart"/>
      <w:r w:rsidRPr="001F7A91">
        <w:t>SSc</w:t>
      </w:r>
      <w:proofErr w:type="spellEnd"/>
      <w:r w:rsidRPr="001F7A91">
        <w:t xml:space="preserve"> patients tested using the ASIG algorithm, 2</w:t>
      </w:r>
      <w:r w:rsidR="000B3437">
        <w:t>24</w:t>
      </w:r>
      <w:r w:rsidRPr="001F7A91">
        <w:t xml:space="preserve"> fewer patients would undergo an unnecessary RHC and</w:t>
      </w:r>
      <w:r w:rsidR="00566EFA">
        <w:t xml:space="preserve"> 1</w:t>
      </w:r>
      <w:r w:rsidRPr="001F7A91">
        <w:t xml:space="preserve"> </w:t>
      </w:r>
      <w:r w:rsidR="00566EFA">
        <w:t>patient</w:t>
      </w:r>
      <w:r w:rsidRPr="001118E9">
        <w:t xml:space="preserve"> would have </w:t>
      </w:r>
      <w:r w:rsidR="00566EFA">
        <w:t xml:space="preserve">avoided </w:t>
      </w:r>
      <w:r w:rsidRPr="001118E9">
        <w:t>a missed diagnosis of PAH</w:t>
      </w:r>
      <w:r w:rsidR="00566EFA" w:rsidRPr="00566EFA">
        <w:t xml:space="preserve"> </w:t>
      </w:r>
      <w:r w:rsidR="00566EFA">
        <w:t xml:space="preserve">compared with the </w:t>
      </w:r>
      <w:r w:rsidR="00566EFA" w:rsidRPr="00566EFA">
        <w:t>ESC/ERS guidelines</w:t>
      </w:r>
      <w:r w:rsidRPr="001118E9">
        <w:t>.</w:t>
      </w:r>
    </w:p>
    <w:p w14:paraId="3B7D8C88" w14:textId="3B417704" w:rsidR="00E4281E" w:rsidRPr="00055E91" w:rsidRDefault="00E4281E" w:rsidP="00E4281E">
      <w:pPr>
        <w:pStyle w:val="TableHeading0"/>
      </w:pPr>
      <w:bookmarkStart w:id="39" w:name="_Ref100049544"/>
      <w:r>
        <w:t xml:space="preserve">Table </w:t>
      </w:r>
      <w:r>
        <w:fldChar w:fldCharType="begin"/>
      </w:r>
      <w:r>
        <w:instrText>SEQ Table_CES \* ARABIC</w:instrText>
      </w:r>
      <w:r>
        <w:fldChar w:fldCharType="separate"/>
      </w:r>
      <w:r w:rsidR="00D270D9">
        <w:rPr>
          <w:noProof/>
        </w:rPr>
        <w:t>8</w:t>
      </w:r>
      <w:r>
        <w:fldChar w:fldCharType="end"/>
      </w:r>
      <w:bookmarkEnd w:id="39"/>
      <w:r w:rsidRPr="00055E91">
        <w:tab/>
        <w:t xml:space="preserve">Summary of the </w:t>
      </w:r>
      <w:r>
        <w:t>number per 1,000</w:t>
      </w:r>
      <w:r w:rsidRPr="00055E91">
        <w:t xml:space="preserve"> </w:t>
      </w:r>
      <w:proofErr w:type="spellStart"/>
      <w:r w:rsidRPr="00055E91">
        <w:t>SSc</w:t>
      </w:r>
      <w:proofErr w:type="spellEnd"/>
      <w:r w:rsidRPr="00055E91">
        <w:t xml:space="preserve"> patients who will be triaged to RHC, and the </w:t>
      </w:r>
      <w:r>
        <w:t>number</w:t>
      </w:r>
      <w:r w:rsidRPr="00055E91">
        <w:t xml:space="preserve"> misdiagnosed based on a PAH prevalence of 12%</w:t>
      </w:r>
    </w:p>
    <w:tbl>
      <w:tblPr>
        <w:tblStyle w:val="ASDTable2"/>
        <w:tblW w:w="9158" w:type="dxa"/>
        <w:tblLook w:val="04A0" w:firstRow="1" w:lastRow="0" w:firstColumn="1" w:lastColumn="0" w:noHBand="0" w:noVBand="1"/>
      </w:tblPr>
      <w:tblGrid>
        <w:gridCol w:w="5807"/>
        <w:gridCol w:w="1418"/>
        <w:gridCol w:w="1933"/>
      </w:tblGrid>
      <w:tr w:rsidR="00E4281E" w:rsidRPr="00E80A66" w14:paraId="02E5146D" w14:textId="77777777" w:rsidTr="00E4281E">
        <w:tc>
          <w:tcPr>
            <w:tcW w:w="5807" w:type="dxa"/>
          </w:tcPr>
          <w:p w14:paraId="5A8521CF" w14:textId="77777777" w:rsidR="00E4281E" w:rsidRPr="001118E9" w:rsidRDefault="00E4281E" w:rsidP="00E4281E">
            <w:pPr>
              <w:spacing w:before="40" w:after="40"/>
              <w:rPr>
                <w:rFonts w:ascii="Arial Narrow" w:hAnsi="Arial Narrow"/>
                <w:b/>
                <w:sz w:val="20"/>
              </w:rPr>
            </w:pPr>
            <w:r w:rsidRPr="001118E9">
              <w:rPr>
                <w:rFonts w:ascii="Arial Narrow" w:hAnsi="Arial Narrow"/>
                <w:b/>
                <w:sz w:val="20"/>
              </w:rPr>
              <w:t>Per 1,000 patients</w:t>
            </w:r>
          </w:p>
        </w:tc>
        <w:tc>
          <w:tcPr>
            <w:tcW w:w="1418" w:type="dxa"/>
          </w:tcPr>
          <w:p w14:paraId="406EEB53" w14:textId="77777777" w:rsidR="00E4281E" w:rsidRPr="001118E9" w:rsidRDefault="00E4281E" w:rsidP="00E4281E">
            <w:pPr>
              <w:spacing w:before="40" w:after="40"/>
              <w:jc w:val="center"/>
              <w:rPr>
                <w:rFonts w:ascii="Arial Narrow" w:hAnsi="Arial Narrow"/>
                <w:b/>
                <w:sz w:val="20"/>
              </w:rPr>
            </w:pPr>
            <w:r w:rsidRPr="001118E9">
              <w:rPr>
                <w:rFonts w:ascii="Arial Narrow" w:hAnsi="Arial Narrow"/>
                <w:b/>
                <w:sz w:val="20"/>
              </w:rPr>
              <w:t>ASIG algorithm</w:t>
            </w:r>
          </w:p>
        </w:tc>
        <w:tc>
          <w:tcPr>
            <w:tcW w:w="1933" w:type="dxa"/>
          </w:tcPr>
          <w:p w14:paraId="7A46A2EB" w14:textId="77777777" w:rsidR="00E4281E" w:rsidRPr="001118E9" w:rsidRDefault="00E4281E" w:rsidP="00E4281E">
            <w:pPr>
              <w:spacing w:before="40" w:after="40"/>
              <w:jc w:val="center"/>
              <w:rPr>
                <w:rFonts w:ascii="Arial Narrow" w:hAnsi="Arial Narrow"/>
                <w:b/>
                <w:sz w:val="20"/>
              </w:rPr>
            </w:pPr>
            <w:r w:rsidRPr="001118E9">
              <w:rPr>
                <w:rFonts w:ascii="Arial Narrow" w:hAnsi="Arial Narrow"/>
                <w:b/>
                <w:sz w:val="20"/>
              </w:rPr>
              <w:t>ESC/ERS guidelines</w:t>
            </w:r>
          </w:p>
        </w:tc>
      </w:tr>
      <w:tr w:rsidR="56FEECB3" w14:paraId="6C4C454C" w14:textId="77777777" w:rsidTr="56FEECB3">
        <w:tc>
          <w:tcPr>
            <w:tcW w:w="9158" w:type="dxa"/>
            <w:gridSpan w:val="3"/>
          </w:tcPr>
          <w:p w14:paraId="1467666E" w14:textId="79A418F1" w:rsidR="56FEECB3" w:rsidRPr="000B3437" w:rsidRDefault="00566EFA" w:rsidP="00566EFA">
            <w:pPr>
              <w:pStyle w:val="TableText"/>
              <w:rPr>
                <w:b/>
                <w:bCs/>
              </w:rPr>
            </w:pPr>
            <w:r w:rsidRPr="000B3437">
              <w:rPr>
                <w:b/>
                <w:bCs/>
              </w:rPr>
              <w:t>PAH prevalence of 12% (Commentary)</w:t>
            </w:r>
          </w:p>
        </w:tc>
      </w:tr>
      <w:tr w:rsidR="00E4281E" w:rsidRPr="00E80A66" w14:paraId="6DE88D3B" w14:textId="77777777" w:rsidTr="00E4281E">
        <w:tc>
          <w:tcPr>
            <w:tcW w:w="5807" w:type="dxa"/>
          </w:tcPr>
          <w:p w14:paraId="294D413D" w14:textId="77777777" w:rsidR="00E4281E" w:rsidRPr="001118E9" w:rsidRDefault="00E4281E" w:rsidP="00E4281E">
            <w:pPr>
              <w:spacing w:before="40" w:after="40"/>
              <w:rPr>
                <w:rFonts w:ascii="Arial Narrow" w:hAnsi="Arial Narrow"/>
                <w:sz w:val="20"/>
              </w:rPr>
            </w:pPr>
            <w:r w:rsidRPr="001118E9">
              <w:rPr>
                <w:rFonts w:ascii="Arial Narrow" w:hAnsi="Arial Narrow"/>
                <w:sz w:val="20"/>
              </w:rPr>
              <w:t>Total number of patients with PAH (</w:t>
            </w:r>
            <w:proofErr w:type="spellStart"/>
            <w:r w:rsidRPr="001118E9">
              <w:rPr>
                <w:rFonts w:ascii="Arial Narrow" w:hAnsi="Arial Narrow"/>
                <w:sz w:val="20"/>
              </w:rPr>
              <w:t>SSc</w:t>
            </w:r>
            <w:proofErr w:type="spellEnd"/>
            <w:r w:rsidRPr="001118E9">
              <w:rPr>
                <w:rFonts w:ascii="Arial Narrow" w:hAnsi="Arial Narrow"/>
                <w:sz w:val="20"/>
              </w:rPr>
              <w:t>-PAH)</w:t>
            </w:r>
          </w:p>
        </w:tc>
        <w:tc>
          <w:tcPr>
            <w:tcW w:w="1418" w:type="dxa"/>
          </w:tcPr>
          <w:p w14:paraId="13CC7803"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120</w:t>
            </w:r>
          </w:p>
        </w:tc>
        <w:tc>
          <w:tcPr>
            <w:tcW w:w="1933" w:type="dxa"/>
          </w:tcPr>
          <w:p w14:paraId="2624D412"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120</w:t>
            </w:r>
          </w:p>
        </w:tc>
      </w:tr>
      <w:tr w:rsidR="00E4281E" w:rsidRPr="00E80A66" w14:paraId="2B85DF65" w14:textId="77777777" w:rsidTr="00E4281E">
        <w:tc>
          <w:tcPr>
            <w:tcW w:w="5807" w:type="dxa"/>
          </w:tcPr>
          <w:p w14:paraId="0D7EF058" w14:textId="77777777" w:rsidR="00E4281E" w:rsidRPr="001118E9" w:rsidRDefault="00E4281E" w:rsidP="00E4281E">
            <w:pPr>
              <w:spacing w:before="40" w:after="40"/>
              <w:rPr>
                <w:rFonts w:ascii="Arial Narrow" w:hAnsi="Arial Narrow"/>
                <w:sz w:val="20"/>
                <w:szCs w:val="20"/>
              </w:rPr>
            </w:pPr>
            <w:r w:rsidRPr="5F7EA55D">
              <w:rPr>
                <w:rFonts w:ascii="Arial Narrow" w:hAnsi="Arial Narrow"/>
                <w:sz w:val="20"/>
                <w:szCs w:val="20"/>
              </w:rPr>
              <w:t xml:space="preserve">Number </w:t>
            </w:r>
            <w:proofErr w:type="spellStart"/>
            <w:r w:rsidRPr="5F7EA55D">
              <w:rPr>
                <w:rFonts w:ascii="Arial Narrow" w:hAnsi="Arial Narrow"/>
                <w:sz w:val="20"/>
                <w:szCs w:val="20"/>
              </w:rPr>
              <w:t>SSc</w:t>
            </w:r>
            <w:proofErr w:type="spellEnd"/>
            <w:r w:rsidRPr="5F7EA55D">
              <w:rPr>
                <w:rFonts w:ascii="Arial Narrow" w:hAnsi="Arial Narrow"/>
                <w:sz w:val="20"/>
                <w:szCs w:val="20"/>
              </w:rPr>
              <w:t>-PAH patients with a positive test result (TP)</w:t>
            </w:r>
          </w:p>
        </w:tc>
        <w:tc>
          <w:tcPr>
            <w:tcW w:w="1418" w:type="dxa"/>
          </w:tcPr>
          <w:p w14:paraId="59D726A0"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116</w:t>
            </w:r>
          </w:p>
        </w:tc>
        <w:tc>
          <w:tcPr>
            <w:tcW w:w="1933" w:type="dxa"/>
          </w:tcPr>
          <w:p w14:paraId="2DF1ACFB"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113</w:t>
            </w:r>
          </w:p>
        </w:tc>
      </w:tr>
      <w:tr w:rsidR="00E4281E" w:rsidRPr="00E80A66" w14:paraId="389AB612" w14:textId="77777777" w:rsidTr="00E4281E">
        <w:tc>
          <w:tcPr>
            <w:tcW w:w="5807" w:type="dxa"/>
          </w:tcPr>
          <w:p w14:paraId="49D7E0BC" w14:textId="77777777" w:rsidR="00E4281E" w:rsidRPr="001118E9" w:rsidRDefault="00E4281E" w:rsidP="00E4281E">
            <w:pPr>
              <w:spacing w:before="40" w:after="40"/>
              <w:rPr>
                <w:rFonts w:ascii="Arial Narrow" w:hAnsi="Arial Narrow"/>
                <w:sz w:val="20"/>
              </w:rPr>
            </w:pPr>
            <w:r w:rsidRPr="001118E9">
              <w:rPr>
                <w:rFonts w:ascii="Arial Narrow" w:hAnsi="Arial Narrow"/>
                <w:sz w:val="20"/>
              </w:rPr>
              <w:t xml:space="preserve">Number </w:t>
            </w:r>
            <w:proofErr w:type="spellStart"/>
            <w:r w:rsidRPr="001118E9">
              <w:rPr>
                <w:rFonts w:ascii="Arial Narrow" w:hAnsi="Arial Narrow"/>
                <w:sz w:val="20"/>
              </w:rPr>
              <w:t>SSc</w:t>
            </w:r>
            <w:proofErr w:type="spellEnd"/>
            <w:r w:rsidRPr="001118E9">
              <w:rPr>
                <w:rFonts w:ascii="Arial Narrow" w:hAnsi="Arial Narrow"/>
                <w:sz w:val="20"/>
              </w:rPr>
              <w:t>-PAH patients with a negative test result (FN: missed diagnosis)</w:t>
            </w:r>
          </w:p>
        </w:tc>
        <w:tc>
          <w:tcPr>
            <w:tcW w:w="1418" w:type="dxa"/>
          </w:tcPr>
          <w:p w14:paraId="79D56B3A"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4</w:t>
            </w:r>
          </w:p>
        </w:tc>
        <w:tc>
          <w:tcPr>
            <w:tcW w:w="1933" w:type="dxa"/>
          </w:tcPr>
          <w:p w14:paraId="0B7F9599"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7</w:t>
            </w:r>
          </w:p>
        </w:tc>
      </w:tr>
      <w:tr w:rsidR="00E4281E" w:rsidRPr="00E80A66" w14:paraId="279A2AE8" w14:textId="77777777" w:rsidTr="00E4281E">
        <w:tc>
          <w:tcPr>
            <w:tcW w:w="5807" w:type="dxa"/>
          </w:tcPr>
          <w:p w14:paraId="22479FD1" w14:textId="77777777" w:rsidR="00E4281E" w:rsidRPr="001118E9" w:rsidRDefault="00E4281E" w:rsidP="00E4281E">
            <w:pPr>
              <w:spacing w:before="40" w:after="40"/>
              <w:rPr>
                <w:rFonts w:ascii="Arial Narrow" w:hAnsi="Arial Narrow"/>
                <w:sz w:val="20"/>
              </w:rPr>
            </w:pPr>
            <w:r w:rsidRPr="001118E9">
              <w:rPr>
                <w:rFonts w:ascii="Arial Narrow" w:hAnsi="Arial Narrow"/>
                <w:sz w:val="20"/>
              </w:rPr>
              <w:t xml:space="preserve">Number </w:t>
            </w:r>
            <w:proofErr w:type="spellStart"/>
            <w:r w:rsidRPr="001118E9">
              <w:rPr>
                <w:rFonts w:ascii="Arial Narrow" w:hAnsi="Arial Narrow"/>
                <w:sz w:val="20"/>
              </w:rPr>
              <w:t>SSc</w:t>
            </w:r>
            <w:proofErr w:type="spellEnd"/>
            <w:r w:rsidRPr="001118E9">
              <w:rPr>
                <w:rFonts w:ascii="Arial Narrow" w:hAnsi="Arial Narrow"/>
                <w:sz w:val="20"/>
              </w:rPr>
              <w:t xml:space="preserve"> patients without PAH with a positive test result (FP)</w:t>
            </w:r>
          </w:p>
        </w:tc>
        <w:tc>
          <w:tcPr>
            <w:tcW w:w="1418" w:type="dxa"/>
          </w:tcPr>
          <w:p w14:paraId="30CACF25"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396</w:t>
            </w:r>
          </w:p>
        </w:tc>
        <w:tc>
          <w:tcPr>
            <w:tcW w:w="1933" w:type="dxa"/>
          </w:tcPr>
          <w:p w14:paraId="6F799D73"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596</w:t>
            </w:r>
          </w:p>
        </w:tc>
      </w:tr>
      <w:tr w:rsidR="00E4281E" w:rsidRPr="00E80A66" w14:paraId="2C8F2869" w14:textId="77777777" w:rsidTr="00E4281E">
        <w:tc>
          <w:tcPr>
            <w:tcW w:w="5807" w:type="dxa"/>
          </w:tcPr>
          <w:p w14:paraId="606CCFEF" w14:textId="77777777" w:rsidR="00E4281E" w:rsidRPr="001118E9" w:rsidRDefault="00E4281E" w:rsidP="00E4281E">
            <w:pPr>
              <w:spacing w:before="40" w:after="40"/>
              <w:rPr>
                <w:rFonts w:ascii="Arial Narrow" w:hAnsi="Arial Narrow"/>
                <w:sz w:val="20"/>
              </w:rPr>
            </w:pPr>
            <w:r w:rsidRPr="001118E9">
              <w:rPr>
                <w:rFonts w:ascii="Arial Narrow" w:hAnsi="Arial Narrow"/>
                <w:sz w:val="20"/>
              </w:rPr>
              <w:t>Number of patients with a positive test result who will undergo RHC (TP+FP)</w:t>
            </w:r>
          </w:p>
        </w:tc>
        <w:tc>
          <w:tcPr>
            <w:tcW w:w="1418" w:type="dxa"/>
          </w:tcPr>
          <w:p w14:paraId="4971F2DE"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512</w:t>
            </w:r>
          </w:p>
        </w:tc>
        <w:tc>
          <w:tcPr>
            <w:tcW w:w="1933" w:type="dxa"/>
          </w:tcPr>
          <w:p w14:paraId="337F0FD5" w14:textId="77777777" w:rsidR="00E4281E" w:rsidRPr="001118E9" w:rsidRDefault="00E4281E" w:rsidP="00E4281E">
            <w:pPr>
              <w:spacing w:before="40" w:after="40"/>
              <w:jc w:val="center"/>
              <w:rPr>
                <w:rFonts w:ascii="Arial Narrow" w:hAnsi="Arial Narrow"/>
                <w:sz w:val="20"/>
              </w:rPr>
            </w:pPr>
            <w:r w:rsidRPr="001118E9">
              <w:rPr>
                <w:rFonts w:ascii="Arial Narrow" w:hAnsi="Arial Narrow"/>
                <w:sz w:val="20"/>
              </w:rPr>
              <w:t>709</w:t>
            </w:r>
          </w:p>
        </w:tc>
      </w:tr>
      <w:tr w:rsidR="56FEECB3" w14:paraId="57704045" w14:textId="77777777" w:rsidTr="00566EFA">
        <w:tc>
          <w:tcPr>
            <w:tcW w:w="9158" w:type="dxa"/>
            <w:gridSpan w:val="3"/>
            <w:shd w:val="clear" w:color="auto" w:fill="FFFFFF" w:themeFill="background1"/>
          </w:tcPr>
          <w:p w14:paraId="0A29F5F9" w14:textId="5D59F4C7" w:rsidR="56FEECB3" w:rsidRPr="000B3437" w:rsidRDefault="00566EFA" w:rsidP="00566EFA">
            <w:pPr>
              <w:pStyle w:val="TableText"/>
              <w:rPr>
                <w:b/>
                <w:bCs/>
              </w:rPr>
            </w:pPr>
            <w:r w:rsidRPr="000B3437">
              <w:rPr>
                <w:b/>
                <w:bCs/>
              </w:rPr>
              <w:t>PAH incidence 1% per year (revised by ESC)</w:t>
            </w:r>
          </w:p>
        </w:tc>
      </w:tr>
      <w:tr w:rsidR="56FEECB3" w14:paraId="443CFE77" w14:textId="77777777" w:rsidTr="56FEECB3">
        <w:tc>
          <w:tcPr>
            <w:tcW w:w="5807" w:type="dxa"/>
          </w:tcPr>
          <w:p w14:paraId="4BEABC55" w14:textId="6387B193" w:rsidR="00E4281E" w:rsidRPr="00566EFA" w:rsidRDefault="00E4281E" w:rsidP="56FEECB3">
            <w:pPr>
              <w:spacing w:before="40" w:after="40"/>
              <w:rPr>
                <w:rFonts w:ascii="Arial Narrow" w:hAnsi="Arial Narrow"/>
                <w:sz w:val="20"/>
                <w:szCs w:val="20"/>
              </w:rPr>
            </w:pPr>
            <w:r w:rsidRPr="56FEECB3">
              <w:rPr>
                <w:rFonts w:ascii="Arial Narrow" w:hAnsi="Arial Narrow"/>
                <w:sz w:val="20"/>
                <w:szCs w:val="20"/>
              </w:rPr>
              <w:t>Total number of patients with PAH (</w:t>
            </w:r>
            <w:proofErr w:type="spellStart"/>
            <w:r w:rsidRPr="56FEECB3">
              <w:rPr>
                <w:rFonts w:ascii="Arial Narrow" w:hAnsi="Arial Narrow"/>
                <w:sz w:val="20"/>
                <w:szCs w:val="20"/>
              </w:rPr>
              <w:t>SSc</w:t>
            </w:r>
            <w:proofErr w:type="spellEnd"/>
            <w:r w:rsidRPr="56FEECB3">
              <w:rPr>
                <w:rFonts w:ascii="Arial Narrow" w:hAnsi="Arial Narrow"/>
                <w:sz w:val="20"/>
                <w:szCs w:val="20"/>
              </w:rPr>
              <w:t>-PAH)</w:t>
            </w:r>
          </w:p>
        </w:tc>
        <w:tc>
          <w:tcPr>
            <w:tcW w:w="1418" w:type="dxa"/>
          </w:tcPr>
          <w:p w14:paraId="76D636E4" w14:textId="7F90EA73" w:rsidR="56FEECB3" w:rsidRPr="00566EFA" w:rsidRDefault="00566EFA" w:rsidP="00566EFA">
            <w:pPr>
              <w:pStyle w:val="Tabletext0"/>
              <w:jc w:val="center"/>
              <w:rPr>
                <w:rFonts w:eastAsia="Arial Narrow"/>
              </w:rPr>
            </w:pPr>
            <w:r w:rsidRPr="56FEECB3">
              <w:rPr>
                <w:rFonts w:eastAsia="Arial Narrow" w:cs="Arial Narrow"/>
              </w:rPr>
              <w:t>10</w:t>
            </w:r>
          </w:p>
        </w:tc>
        <w:tc>
          <w:tcPr>
            <w:tcW w:w="1933" w:type="dxa"/>
          </w:tcPr>
          <w:p w14:paraId="36F9413B" w14:textId="00976EC5" w:rsidR="56FEECB3" w:rsidRPr="00566EFA" w:rsidRDefault="00566EFA" w:rsidP="00566EFA">
            <w:pPr>
              <w:pStyle w:val="Tabletext0"/>
              <w:jc w:val="center"/>
              <w:rPr>
                <w:rFonts w:eastAsia="Arial Narrow"/>
              </w:rPr>
            </w:pPr>
            <w:r w:rsidRPr="56FEECB3">
              <w:rPr>
                <w:rFonts w:eastAsia="Arial Narrow" w:cs="Arial Narrow"/>
              </w:rPr>
              <w:t>10</w:t>
            </w:r>
          </w:p>
        </w:tc>
      </w:tr>
      <w:tr w:rsidR="56FEECB3" w14:paraId="4A24A981" w14:textId="77777777" w:rsidTr="56FEECB3">
        <w:tc>
          <w:tcPr>
            <w:tcW w:w="5807" w:type="dxa"/>
          </w:tcPr>
          <w:p w14:paraId="061186A9" w14:textId="238DCE5C" w:rsidR="56FEECB3" w:rsidRPr="00566EFA" w:rsidRDefault="56FEECB3" w:rsidP="56FEECB3">
            <w:pPr>
              <w:rPr>
                <w:rFonts w:ascii="Arial Narrow" w:eastAsia="Arial Narrow" w:hAnsi="Arial Narrow" w:cs="Arial Narrow"/>
                <w:sz w:val="20"/>
                <w:szCs w:val="20"/>
              </w:rPr>
            </w:pPr>
            <w:r w:rsidRPr="56FEECB3">
              <w:rPr>
                <w:rFonts w:ascii="Arial Narrow" w:eastAsia="Arial Narrow" w:hAnsi="Arial Narrow" w:cs="Arial Narrow"/>
                <w:sz w:val="20"/>
                <w:szCs w:val="20"/>
              </w:rPr>
              <w:t xml:space="preserve">Number </w:t>
            </w:r>
            <w:proofErr w:type="spellStart"/>
            <w:r w:rsidRPr="56FEECB3">
              <w:rPr>
                <w:rFonts w:ascii="Arial Narrow" w:eastAsia="Arial Narrow" w:hAnsi="Arial Narrow" w:cs="Arial Narrow"/>
                <w:sz w:val="20"/>
                <w:szCs w:val="20"/>
              </w:rPr>
              <w:t>SSc</w:t>
            </w:r>
            <w:proofErr w:type="spellEnd"/>
            <w:r w:rsidRPr="56FEECB3">
              <w:rPr>
                <w:rFonts w:ascii="Arial Narrow" w:eastAsia="Arial Narrow" w:hAnsi="Arial Narrow" w:cs="Arial Narrow"/>
                <w:sz w:val="20"/>
                <w:szCs w:val="20"/>
              </w:rPr>
              <w:t xml:space="preserve">-PAH patients with a positive test result (TP)  </w:t>
            </w:r>
          </w:p>
        </w:tc>
        <w:tc>
          <w:tcPr>
            <w:tcW w:w="1418" w:type="dxa"/>
          </w:tcPr>
          <w:p w14:paraId="7808D9B7" w14:textId="674E0654"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10</w:t>
            </w:r>
          </w:p>
        </w:tc>
        <w:tc>
          <w:tcPr>
            <w:tcW w:w="1933" w:type="dxa"/>
          </w:tcPr>
          <w:p w14:paraId="55201082" w14:textId="4AD45DB1"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9</w:t>
            </w:r>
          </w:p>
        </w:tc>
      </w:tr>
      <w:tr w:rsidR="56FEECB3" w14:paraId="3A8DBDF4" w14:textId="77777777" w:rsidTr="56FEECB3">
        <w:tc>
          <w:tcPr>
            <w:tcW w:w="5807" w:type="dxa"/>
          </w:tcPr>
          <w:p w14:paraId="14484A48" w14:textId="1CAD9601" w:rsidR="56FEECB3" w:rsidRPr="00566EFA" w:rsidRDefault="56FEECB3" w:rsidP="56FEECB3">
            <w:pPr>
              <w:rPr>
                <w:rFonts w:ascii="Arial Narrow" w:eastAsia="Arial Narrow" w:hAnsi="Arial Narrow" w:cs="Arial Narrow"/>
                <w:sz w:val="20"/>
                <w:szCs w:val="20"/>
              </w:rPr>
            </w:pPr>
            <w:r w:rsidRPr="56FEECB3">
              <w:rPr>
                <w:rFonts w:ascii="Arial Narrow" w:eastAsia="Arial Narrow" w:hAnsi="Arial Narrow" w:cs="Arial Narrow"/>
                <w:sz w:val="20"/>
                <w:szCs w:val="20"/>
              </w:rPr>
              <w:t xml:space="preserve">Number </w:t>
            </w:r>
            <w:proofErr w:type="spellStart"/>
            <w:r w:rsidRPr="56FEECB3">
              <w:rPr>
                <w:rFonts w:ascii="Arial Narrow" w:eastAsia="Arial Narrow" w:hAnsi="Arial Narrow" w:cs="Arial Narrow"/>
                <w:sz w:val="20"/>
                <w:szCs w:val="20"/>
              </w:rPr>
              <w:t>SSc</w:t>
            </w:r>
            <w:proofErr w:type="spellEnd"/>
            <w:r w:rsidRPr="56FEECB3">
              <w:rPr>
                <w:rFonts w:ascii="Arial Narrow" w:eastAsia="Arial Narrow" w:hAnsi="Arial Narrow" w:cs="Arial Narrow"/>
                <w:sz w:val="20"/>
                <w:szCs w:val="20"/>
              </w:rPr>
              <w:t xml:space="preserve">-PAH patients with a negative test result (FN: missed diagnosis) </w:t>
            </w:r>
          </w:p>
        </w:tc>
        <w:tc>
          <w:tcPr>
            <w:tcW w:w="1418" w:type="dxa"/>
          </w:tcPr>
          <w:p w14:paraId="6BD88339" w14:textId="03622197"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0</w:t>
            </w:r>
          </w:p>
        </w:tc>
        <w:tc>
          <w:tcPr>
            <w:tcW w:w="1933" w:type="dxa"/>
          </w:tcPr>
          <w:p w14:paraId="366E63EC" w14:textId="6E5D6F0C"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1</w:t>
            </w:r>
          </w:p>
        </w:tc>
      </w:tr>
      <w:tr w:rsidR="56FEECB3" w14:paraId="2F490897" w14:textId="77777777" w:rsidTr="56FEECB3">
        <w:tc>
          <w:tcPr>
            <w:tcW w:w="5807" w:type="dxa"/>
          </w:tcPr>
          <w:p w14:paraId="32CAC716" w14:textId="6597EB1F" w:rsidR="00E4281E" w:rsidRDefault="00E4281E" w:rsidP="56FEECB3">
            <w:pPr>
              <w:spacing w:before="40" w:after="40"/>
              <w:rPr>
                <w:rFonts w:ascii="Arial Narrow" w:hAnsi="Arial Narrow"/>
                <w:sz w:val="20"/>
                <w:szCs w:val="20"/>
              </w:rPr>
            </w:pPr>
            <w:r w:rsidRPr="56FEECB3">
              <w:rPr>
                <w:rFonts w:ascii="Arial Narrow" w:hAnsi="Arial Narrow"/>
                <w:sz w:val="20"/>
                <w:szCs w:val="20"/>
              </w:rPr>
              <w:t xml:space="preserve">Number </w:t>
            </w:r>
            <w:proofErr w:type="spellStart"/>
            <w:r w:rsidRPr="56FEECB3">
              <w:rPr>
                <w:rFonts w:ascii="Arial Narrow" w:hAnsi="Arial Narrow"/>
                <w:sz w:val="20"/>
                <w:szCs w:val="20"/>
              </w:rPr>
              <w:t>SSc</w:t>
            </w:r>
            <w:proofErr w:type="spellEnd"/>
            <w:r w:rsidRPr="56FEECB3">
              <w:rPr>
                <w:rFonts w:ascii="Arial Narrow" w:hAnsi="Arial Narrow"/>
                <w:sz w:val="20"/>
                <w:szCs w:val="20"/>
              </w:rPr>
              <w:t xml:space="preserve"> patients without PAH with a positive test result (FP)</w:t>
            </w:r>
          </w:p>
        </w:tc>
        <w:tc>
          <w:tcPr>
            <w:tcW w:w="1418" w:type="dxa"/>
          </w:tcPr>
          <w:p w14:paraId="7B5BF727" w14:textId="6A8336E7"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446</w:t>
            </w:r>
          </w:p>
        </w:tc>
        <w:tc>
          <w:tcPr>
            <w:tcW w:w="1933" w:type="dxa"/>
          </w:tcPr>
          <w:p w14:paraId="20356479" w14:textId="372BE9EB"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670</w:t>
            </w:r>
          </w:p>
        </w:tc>
      </w:tr>
      <w:tr w:rsidR="56FEECB3" w14:paraId="16CCB5F4" w14:textId="77777777" w:rsidTr="56FEECB3">
        <w:tc>
          <w:tcPr>
            <w:tcW w:w="5807" w:type="dxa"/>
          </w:tcPr>
          <w:p w14:paraId="15755041" w14:textId="6A324842" w:rsidR="00E4281E" w:rsidRDefault="00E4281E" w:rsidP="56FEECB3">
            <w:pPr>
              <w:spacing w:before="40" w:after="40"/>
              <w:rPr>
                <w:rFonts w:ascii="Arial Narrow" w:hAnsi="Arial Narrow"/>
                <w:sz w:val="20"/>
                <w:szCs w:val="20"/>
              </w:rPr>
            </w:pPr>
            <w:r w:rsidRPr="56FEECB3">
              <w:rPr>
                <w:rFonts w:ascii="Arial Narrow" w:hAnsi="Arial Narrow"/>
                <w:sz w:val="20"/>
                <w:szCs w:val="20"/>
              </w:rPr>
              <w:t>Number of patients with a positive test result who will undergo RHC (TP+FP)</w:t>
            </w:r>
          </w:p>
        </w:tc>
        <w:tc>
          <w:tcPr>
            <w:tcW w:w="1418" w:type="dxa"/>
          </w:tcPr>
          <w:p w14:paraId="301020F4" w14:textId="18557D7D"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4</w:t>
            </w:r>
            <w:r w:rsidR="000B3437">
              <w:rPr>
                <w:rFonts w:ascii="Arial Narrow" w:eastAsia="Arial Narrow" w:hAnsi="Arial Narrow" w:cs="Arial Narrow"/>
                <w:sz w:val="20"/>
                <w:szCs w:val="20"/>
              </w:rPr>
              <w:t>5</w:t>
            </w:r>
            <w:r w:rsidRPr="56FEECB3">
              <w:rPr>
                <w:rFonts w:ascii="Arial Narrow" w:eastAsia="Arial Narrow" w:hAnsi="Arial Narrow" w:cs="Arial Narrow"/>
                <w:sz w:val="20"/>
                <w:szCs w:val="20"/>
              </w:rPr>
              <w:t>5</w:t>
            </w:r>
          </w:p>
        </w:tc>
        <w:tc>
          <w:tcPr>
            <w:tcW w:w="1933" w:type="dxa"/>
          </w:tcPr>
          <w:p w14:paraId="006FAB67" w14:textId="1DBB9ACD" w:rsidR="56FEECB3" w:rsidRPr="00566EFA" w:rsidRDefault="56FEECB3" w:rsidP="56FEECB3">
            <w:pPr>
              <w:jc w:val="center"/>
              <w:rPr>
                <w:rFonts w:ascii="Arial Narrow" w:eastAsia="Arial Narrow" w:hAnsi="Arial Narrow" w:cs="Arial Narrow"/>
                <w:sz w:val="20"/>
                <w:szCs w:val="20"/>
              </w:rPr>
            </w:pPr>
            <w:r w:rsidRPr="56FEECB3">
              <w:rPr>
                <w:rFonts w:ascii="Arial Narrow" w:eastAsia="Arial Narrow" w:hAnsi="Arial Narrow" w:cs="Arial Narrow"/>
                <w:sz w:val="20"/>
                <w:szCs w:val="20"/>
              </w:rPr>
              <w:t>680</w:t>
            </w:r>
          </w:p>
        </w:tc>
      </w:tr>
    </w:tbl>
    <w:p w14:paraId="3487C1EA" w14:textId="656B70F3" w:rsidR="00E4281E" w:rsidRPr="001118E9" w:rsidRDefault="00E4281E" w:rsidP="00E4281E">
      <w:pPr>
        <w:pStyle w:val="TableNotes2"/>
        <w:rPr>
          <w:i w:val="0"/>
        </w:rPr>
      </w:pPr>
      <w:r w:rsidRPr="001118E9">
        <w:rPr>
          <w:i w:val="0"/>
        </w:rPr>
        <w:t>The ASIG algorithm is NT-</w:t>
      </w:r>
      <w:proofErr w:type="spellStart"/>
      <w:r w:rsidRPr="001118E9">
        <w:rPr>
          <w:i w:val="0"/>
        </w:rPr>
        <w:t>proBNP</w:t>
      </w:r>
      <w:proofErr w:type="spellEnd"/>
      <w:r w:rsidRPr="001118E9">
        <w:rPr>
          <w:i w:val="0"/>
        </w:rPr>
        <w:t xml:space="preserve"> based, whereas the ESC/ERS guidelines are TTE-based.</w:t>
      </w:r>
      <w:r w:rsidR="000B3437">
        <w:rPr>
          <w:i w:val="0"/>
        </w:rPr>
        <w:t xml:space="preserve"> </w:t>
      </w:r>
      <w:r w:rsidRPr="001118E9">
        <w:rPr>
          <w:i w:val="0"/>
        </w:rPr>
        <w:t>The median sensitivity and specificity values used to calculate TP, FP and FN numbers for the ASIG algorithm and the ESC/ERS guidelines are taken from Table 7.</w:t>
      </w:r>
      <w:r w:rsidR="000B3437">
        <w:rPr>
          <w:i w:val="0"/>
        </w:rPr>
        <w:t xml:space="preserve"> Values are rounded and may not add up exactly. </w:t>
      </w:r>
    </w:p>
    <w:p w14:paraId="5726F9E9" w14:textId="77777777" w:rsidR="00E4281E" w:rsidRPr="001118E9" w:rsidRDefault="00E4281E" w:rsidP="00E4281E">
      <w:pPr>
        <w:pStyle w:val="TableNotes2"/>
        <w:rPr>
          <w:i w:val="0"/>
        </w:rPr>
      </w:pPr>
      <w:r w:rsidRPr="001118E9">
        <w:rPr>
          <w:i w:val="0"/>
        </w:rPr>
        <w:t>ASIG = Australian Scleroderma Interest Group testing algorithm; ESC/ERS = European Society of Cardiology / European Respiratory Society guidelines; FN = false negative; FP = false positive; NT-</w:t>
      </w:r>
      <w:proofErr w:type="spellStart"/>
      <w:r w:rsidRPr="001118E9">
        <w:rPr>
          <w:i w:val="0"/>
        </w:rPr>
        <w:t>proBNP</w:t>
      </w:r>
      <w:proofErr w:type="spellEnd"/>
      <w:r w:rsidRPr="001118E9">
        <w:rPr>
          <w:i w:val="0"/>
        </w:rPr>
        <w:t xml:space="preserve"> = N-terminal pro-brain natriuretic peptide; PAH = pulmonary arterial hypertension; RHC = right heart catheterisation; </w:t>
      </w:r>
      <w:proofErr w:type="spellStart"/>
      <w:r w:rsidRPr="001118E9">
        <w:rPr>
          <w:i w:val="0"/>
        </w:rPr>
        <w:t>SSc</w:t>
      </w:r>
      <w:proofErr w:type="spellEnd"/>
      <w:r w:rsidRPr="001118E9">
        <w:rPr>
          <w:i w:val="0"/>
        </w:rPr>
        <w:t xml:space="preserve"> = systemic sclerosis; TP = true positive</w:t>
      </w:r>
    </w:p>
    <w:p w14:paraId="0D4E3990"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Change in Management</w:t>
      </w:r>
    </w:p>
    <w:p w14:paraId="0D02FB98" w14:textId="77777777" w:rsidR="00E4281E" w:rsidRPr="001F7A91" w:rsidRDefault="00E4281E" w:rsidP="00E4281E">
      <w:r w:rsidRPr="001F7A91">
        <w:t>Three studies reported on change in management outcomes. Whereas the Australian study by Thakkar et al (2013) used the proposed ASIG testing algorithm, the other two studies by Castillo et al. (2017) and Coghlan et al. (2014) used the DETECT algorithm. These results were compared to the protocol in the ESC/ERS guidelines.</w:t>
      </w:r>
    </w:p>
    <w:p w14:paraId="467AA520" w14:textId="2AEB17F1" w:rsidR="00E4281E" w:rsidRDefault="00E4281E" w:rsidP="00566EFA">
      <w:pPr>
        <w:jc w:val="both"/>
      </w:pPr>
      <w:r w:rsidRPr="001F7A91">
        <w:t>Overall, the evidence suggests that the NT-</w:t>
      </w:r>
      <w:proofErr w:type="spellStart"/>
      <w:r w:rsidRPr="001F7A91">
        <w:t>proBNP</w:t>
      </w:r>
      <w:proofErr w:type="spellEnd"/>
      <w:r w:rsidRPr="001F7A91">
        <w:t xml:space="preserve">-based ASIG testing algorithm would reduce the number of false positive </w:t>
      </w:r>
      <w:proofErr w:type="spellStart"/>
      <w:r w:rsidRPr="001F7A91">
        <w:t>SSc</w:t>
      </w:r>
      <w:proofErr w:type="spellEnd"/>
      <w:r w:rsidRPr="001F7A91">
        <w:t xml:space="preserve"> patients (who do not have PAH) undergoing an unnecessary RHC, </w:t>
      </w:r>
      <w:r w:rsidRPr="001F7A91">
        <w:lastRenderedPageBreak/>
        <w:t xml:space="preserve">when compared with the current TTE-based </w:t>
      </w:r>
      <w:r w:rsidR="003125CB">
        <w:rPr>
          <w:rFonts w:eastAsia="Calibri" w:cs="Times New Roman"/>
          <w:iCs/>
        </w:rPr>
        <w:t>ERC/ERS</w:t>
      </w:r>
      <w:r w:rsidRPr="001F7A91">
        <w:t xml:space="preserve"> guidelines. The number of </w:t>
      </w:r>
      <w:proofErr w:type="spellStart"/>
      <w:r w:rsidRPr="001F7A91">
        <w:t>SSc</w:t>
      </w:r>
      <w:proofErr w:type="spellEnd"/>
      <w:r w:rsidRPr="001F7A91">
        <w:t xml:space="preserve"> patients with signs of PAH who will undergo a RHC is not expected to differ greatly between the current and proposed testing methods. Likewise, the number of </w:t>
      </w:r>
      <w:proofErr w:type="spellStart"/>
      <w:r w:rsidRPr="001F7A91">
        <w:t>SSc</w:t>
      </w:r>
      <w:proofErr w:type="spellEnd"/>
      <w:r w:rsidRPr="001F7A91">
        <w:t xml:space="preserve"> patients with a missed diagnosis of PAH is expected to be low (&lt;10%), which is similar to the number with a missed diagnosis using the current </w:t>
      </w:r>
      <w:r w:rsidR="003125CB">
        <w:rPr>
          <w:rFonts w:eastAsia="Calibri" w:cs="Times New Roman"/>
          <w:iCs/>
        </w:rPr>
        <w:t>ERC/ERS</w:t>
      </w:r>
      <w:r w:rsidRPr="001F7A91">
        <w:t xml:space="preserve"> guidelines.</w:t>
      </w:r>
    </w:p>
    <w:p w14:paraId="2AE8332A" w14:textId="15D57350" w:rsidR="00E4281E" w:rsidRPr="00566EFA" w:rsidRDefault="00566EFA" w:rsidP="00566EFA">
      <w:pPr>
        <w:keepNext/>
        <w:keepLines/>
        <w:tabs>
          <w:tab w:val="left" w:pos="851"/>
        </w:tabs>
        <w:spacing w:before="360" w:after="200" w:line="240" w:lineRule="auto"/>
        <w:outlineLvl w:val="3"/>
      </w:pPr>
      <w:r w:rsidRPr="00055E91">
        <w:rPr>
          <w:rFonts w:ascii="Franklin Gothic Medium" w:eastAsiaTheme="majorEastAsia" w:hAnsi="Franklin Gothic Medium" w:cstheme="majorBidi"/>
          <w:i/>
          <w:sz w:val="24"/>
          <w:szCs w:val="24"/>
        </w:rPr>
        <w:t>C</w:t>
      </w:r>
      <w:r>
        <w:rPr>
          <w:rFonts w:ascii="Franklin Gothic Medium" w:eastAsiaTheme="majorEastAsia" w:hAnsi="Franklin Gothic Medium" w:cstheme="majorBidi"/>
          <w:i/>
          <w:sz w:val="24"/>
          <w:szCs w:val="24"/>
        </w:rPr>
        <w:t xml:space="preserve">linical Management Algorithms for Population 1 </w:t>
      </w:r>
    </w:p>
    <w:p w14:paraId="286F680C" w14:textId="69975D94" w:rsidR="00E4281E" w:rsidRPr="00006582" w:rsidRDefault="00E4281E" w:rsidP="5A6E51F6">
      <w:pPr>
        <w:tabs>
          <w:tab w:val="left" w:pos="851"/>
        </w:tabs>
      </w:pPr>
      <w:r>
        <w:t xml:space="preserve">The ESC noted the proposed clinical management algorithm </w:t>
      </w:r>
      <w:r w:rsidR="5A6E51F6">
        <w:t>for population 1 with NT-</w:t>
      </w:r>
      <w:proofErr w:type="spellStart"/>
      <w:r w:rsidR="5A6E51F6">
        <w:t>proBNP</w:t>
      </w:r>
      <w:proofErr w:type="spellEnd"/>
      <w:r w:rsidR="5A6E51F6">
        <w:t xml:space="preserve"> testing in the PICO Confirmation for Application 1689 based on Australian Scleroderma Interest Group (</w:t>
      </w:r>
      <w:r w:rsidR="00EB27D4">
        <w:fldChar w:fldCharType="begin"/>
      </w:r>
      <w:r w:rsidR="00EB27D4">
        <w:instrText xml:space="preserve"> REF _Ref106804830 \h </w:instrText>
      </w:r>
      <w:r w:rsidR="00EB27D4">
        <w:fldChar w:fldCharType="separate"/>
      </w:r>
      <w:r w:rsidR="003D1B2C">
        <w:rPr>
          <w:b/>
          <w:bCs/>
          <w:lang w:val="en-US"/>
        </w:rPr>
        <w:fldChar w:fldCharType="begin"/>
      </w:r>
      <w:r w:rsidR="003D1B2C">
        <w:instrText xml:space="preserve"> REF _Ref110580854 \h </w:instrText>
      </w:r>
      <w:r w:rsidR="003D1B2C">
        <w:rPr>
          <w:b/>
          <w:bCs/>
          <w:lang w:val="en-US"/>
        </w:rPr>
      </w:r>
      <w:r w:rsidR="003D1B2C">
        <w:rPr>
          <w:b/>
          <w:bCs/>
          <w:lang w:val="en-US"/>
        </w:rPr>
        <w:fldChar w:fldCharType="separate"/>
      </w:r>
      <w:r w:rsidR="003D1B2C">
        <w:t xml:space="preserve">Figure </w:t>
      </w:r>
      <w:r w:rsidR="003D1B2C">
        <w:rPr>
          <w:noProof/>
        </w:rPr>
        <w:t>2</w:t>
      </w:r>
      <w:r w:rsidR="003D1B2C">
        <w:rPr>
          <w:b/>
          <w:bCs/>
          <w:lang w:val="en-US"/>
        </w:rPr>
        <w:fldChar w:fldCharType="end"/>
      </w:r>
      <w:r w:rsidR="00D270D9">
        <w:rPr>
          <w:b/>
          <w:bCs/>
          <w:lang w:val="en-US"/>
        </w:rPr>
        <w:t>.</w:t>
      </w:r>
      <w:r w:rsidR="00EB27D4">
        <w:fldChar w:fldCharType="end"/>
      </w:r>
      <w:r w:rsidR="00EB27D4">
        <w:t xml:space="preserve"> </w:t>
      </w:r>
      <w:r w:rsidR="5A6E51F6">
        <w:t>below).  ESC considered that this algorithm did not capture those patients who required a repeat screening in 6 months, due to borderline screening results or worsening symptoms.  It is estimated that this would occur in approximately 10% of patients (</w:t>
      </w:r>
      <w:r w:rsidR="003D1B2C">
        <w:fldChar w:fldCharType="begin"/>
      </w:r>
      <w:r w:rsidR="003D1B2C">
        <w:instrText xml:space="preserve"> REF _Ref106805263 \h </w:instrText>
      </w:r>
      <w:r w:rsidR="003D1B2C">
        <w:fldChar w:fldCharType="separate"/>
      </w:r>
      <w:r w:rsidR="003D1B2C" w:rsidRPr="003D1B2C">
        <w:rPr>
          <w:i/>
          <w:iCs/>
        </w:rPr>
        <w:t xml:space="preserve">Figure </w:t>
      </w:r>
      <w:r w:rsidR="003D1B2C" w:rsidRPr="003D1B2C">
        <w:rPr>
          <w:i/>
          <w:iCs/>
          <w:noProof/>
        </w:rPr>
        <w:t>3</w:t>
      </w:r>
      <w:r w:rsidR="003D1B2C">
        <w:fldChar w:fldCharType="end"/>
      </w:r>
      <w:r w:rsidR="5A6E51F6">
        <w:t>)</w:t>
      </w:r>
    </w:p>
    <w:p w14:paraId="3B43F5B0" w14:textId="77777777" w:rsidR="0080789C" w:rsidRDefault="5A6E51F6" w:rsidP="00566EFA">
      <w:pPr>
        <w:pStyle w:val="Caption"/>
      </w:pPr>
      <w:r>
        <w:rPr>
          <w:noProof/>
        </w:rPr>
        <w:drawing>
          <wp:inline distT="0" distB="0" distL="0" distR="0" wp14:anchorId="2C71962E" wp14:editId="68E11E74">
            <wp:extent cx="5762626" cy="3721695"/>
            <wp:effectExtent l="0" t="0" r="0" b="0"/>
            <wp:docPr id="863874878" name="Picture 2" descr="Proposed clinical management algorithm (population 1): Summary of the Australian Scleroderma Interest group (ASIG) algorithm, as proposed in th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74878" name="Picture 863874878" descr="Proposed clinical management algorithm (population 1): Summary of the Australian Scleroderma Interest group (ASIG) algorithm, as proposed in the application "/>
                    <pic:cNvPicPr/>
                  </pic:nvPicPr>
                  <pic:blipFill>
                    <a:blip r:embed="rId11">
                      <a:extLst>
                        <a:ext uri="{28A0092B-C50C-407E-A947-70E740481C1C}">
                          <a14:useLocalDpi xmlns:a14="http://schemas.microsoft.com/office/drawing/2010/main" val="0"/>
                        </a:ext>
                      </a:extLst>
                    </a:blip>
                    <a:stretch>
                      <a:fillRect/>
                    </a:stretch>
                  </pic:blipFill>
                  <pic:spPr>
                    <a:xfrm>
                      <a:off x="0" y="0"/>
                      <a:ext cx="5762626" cy="3721695"/>
                    </a:xfrm>
                    <a:prstGeom prst="rect">
                      <a:avLst/>
                    </a:prstGeom>
                  </pic:spPr>
                </pic:pic>
              </a:graphicData>
            </a:graphic>
          </wp:inline>
        </w:drawing>
      </w:r>
    </w:p>
    <w:p w14:paraId="1BDD222F" w14:textId="1561E247" w:rsidR="00E4281E" w:rsidRPr="00055E91" w:rsidRDefault="003D1B2C" w:rsidP="003D1B2C">
      <w:pPr>
        <w:pStyle w:val="Caption"/>
        <w:rPr>
          <w:rFonts w:eastAsiaTheme="minorEastAsia"/>
          <w:lang w:val="en-GB"/>
        </w:rPr>
      </w:pPr>
      <w:bookmarkStart w:id="40" w:name="_Ref110580854"/>
      <w:r>
        <w:t xml:space="preserve">Figure </w:t>
      </w:r>
      <w:fldSimple w:instr=" SEQ Figure \* ARABIC ">
        <w:r>
          <w:rPr>
            <w:noProof/>
          </w:rPr>
          <w:t>2</w:t>
        </w:r>
      </w:fldSimple>
      <w:bookmarkEnd w:id="40"/>
      <w:r w:rsidR="00F05EAE">
        <w:tab/>
      </w:r>
      <w:r w:rsidR="00EB27D4" w:rsidRPr="00C35A65">
        <w:t>Proposed clinical management algorithm (population 1): Summary of the Australian Scleroderma Interest group (ASIG) algorithm, as proposed in the application</w:t>
      </w:r>
      <w:r w:rsidR="5A6E51F6">
        <w:rPr>
          <w:rFonts w:eastAsiaTheme="minorEastAsia"/>
        </w:rPr>
        <w:t xml:space="preserve"> </w:t>
      </w:r>
    </w:p>
    <w:p w14:paraId="75FC6ED2" w14:textId="38F9D348" w:rsidR="00E4281E" w:rsidRPr="00055E91" w:rsidRDefault="5A6E51F6" w:rsidP="5A6E51F6">
      <w:pPr>
        <w:tabs>
          <w:tab w:val="left" w:pos="851"/>
        </w:tabs>
        <w:rPr>
          <w:rFonts w:eastAsia="Calibri" w:cs="Arial"/>
          <w:sz w:val="18"/>
          <w:szCs w:val="18"/>
        </w:rPr>
      </w:pPr>
      <w:r w:rsidRPr="5A6E51F6">
        <w:rPr>
          <w:rFonts w:ascii="Arial Narrow" w:eastAsia="Arial Narrow" w:hAnsi="Arial Narrow" w:cs="Arial Narrow"/>
          <w:sz w:val="18"/>
          <w:szCs w:val="18"/>
        </w:rPr>
        <w:t>ASIG= Australian Scleroderma Interest Group; NT-</w:t>
      </w:r>
      <w:proofErr w:type="spellStart"/>
      <w:r w:rsidRPr="5A6E51F6">
        <w:rPr>
          <w:rFonts w:ascii="Arial Narrow" w:eastAsia="Arial Narrow" w:hAnsi="Arial Narrow" w:cs="Arial Narrow"/>
          <w:sz w:val="18"/>
          <w:szCs w:val="18"/>
        </w:rPr>
        <w:t>proBNP</w:t>
      </w:r>
      <w:proofErr w:type="spellEnd"/>
      <w:r w:rsidRPr="5A6E51F6">
        <w:rPr>
          <w:rFonts w:ascii="Arial Narrow" w:eastAsia="Arial Narrow" w:hAnsi="Arial Narrow" w:cs="Arial Narrow"/>
          <w:sz w:val="18"/>
          <w:szCs w:val="18"/>
        </w:rPr>
        <w:t>= N-terminal pro-B-type natriuretic peptide; PFTs= pulmonary function tests; DLCO= diffusing capacity of lung for carbon monoxide; FVC= forced vital capacity; TTE= transthoracic echocardiography; RHC= right heart catheterisation; PAH= pulmonary arterial hypertension.</w:t>
      </w:r>
    </w:p>
    <w:p w14:paraId="1156004A" w14:textId="4E297C29" w:rsidR="00E4281E" w:rsidRPr="00055E91" w:rsidRDefault="5A6E51F6" w:rsidP="00B646E0">
      <w:pPr>
        <w:rPr>
          <w:rFonts w:ascii="Arial Narrow" w:eastAsia="Arial Narrow" w:hAnsi="Arial Narrow" w:cs="Arial Narrow"/>
          <w:sz w:val="18"/>
          <w:szCs w:val="18"/>
          <w:lang w:val="en-GB"/>
        </w:rPr>
      </w:pPr>
      <w:r w:rsidRPr="5A6E51F6">
        <w:rPr>
          <w:rFonts w:ascii="Arial Narrow" w:eastAsia="Arial Narrow" w:hAnsi="Arial Narrow" w:cs="Arial Narrow"/>
          <w:sz w:val="18"/>
          <w:szCs w:val="18"/>
          <w:lang w:val="en-GB"/>
        </w:rPr>
        <w:t>Note: The applicant suggested annual testing, but a maximum of 2 NT-</w:t>
      </w:r>
      <w:proofErr w:type="spellStart"/>
      <w:r w:rsidRPr="5A6E51F6">
        <w:rPr>
          <w:rFonts w:ascii="Arial Narrow" w:eastAsia="Arial Narrow" w:hAnsi="Arial Narrow" w:cs="Arial Narrow"/>
          <w:sz w:val="18"/>
          <w:szCs w:val="18"/>
          <w:lang w:val="en-GB"/>
        </w:rPr>
        <w:t>proBNP</w:t>
      </w:r>
      <w:proofErr w:type="spellEnd"/>
      <w:r w:rsidRPr="5A6E51F6">
        <w:rPr>
          <w:rFonts w:ascii="Arial Narrow" w:eastAsia="Arial Narrow" w:hAnsi="Arial Narrow" w:cs="Arial Narrow"/>
          <w:sz w:val="18"/>
          <w:szCs w:val="18"/>
          <w:lang w:val="en-GB"/>
        </w:rPr>
        <w:t xml:space="preserve"> tests per year could be requested if the results are borderline or there is worsening of symptoms.</w:t>
      </w:r>
    </w:p>
    <w:p w14:paraId="34E4D8C0" w14:textId="2D1762CB" w:rsidR="00E4281E" w:rsidRPr="00055E91" w:rsidRDefault="5A6E51F6" w:rsidP="00B646E0">
      <w:pPr>
        <w:rPr>
          <w:rFonts w:ascii="Calibri" w:eastAsia="Calibri" w:hAnsi="Calibri" w:cs="Calibri"/>
          <w:sz w:val="18"/>
          <w:szCs w:val="18"/>
        </w:rPr>
      </w:pPr>
      <w:r w:rsidRPr="5A6E51F6">
        <w:rPr>
          <w:rFonts w:ascii="Arial Narrow" w:eastAsia="Arial Narrow" w:hAnsi="Arial Narrow" w:cs="Arial Narrow"/>
          <w:sz w:val="18"/>
          <w:szCs w:val="18"/>
        </w:rPr>
        <w:t>Source: Figure compiled during the PICO preparation based on Figure 5, p28 of the application and (</w:t>
      </w:r>
      <w:proofErr w:type="spellStart"/>
      <w:r w:rsidR="0040106F">
        <w:fldChar w:fldCharType="begin"/>
      </w:r>
      <w:r w:rsidR="0040106F">
        <w:instrText xml:space="preserve"> HYPERLINK "https://auc-word-edit.officeapps.live.com/we/wordeditorframe.aspx?ui=en%2DGB&amp;rs=en%2DUS&amp;wopisrc=https%3A%2F%2Fhealthgov-my.sharepoint.com%2Fpersonal%2Fdinusha_vithanachchi_health_gov_au%2F_vti_bin%2Fwopi.ashx%2Ffiles%2F477bb483679741cda610c70d2e7d8151&amp;wdenableroaming=1&amp;mscc=1&amp;wdodb=1&amp;hid=006D49A0-10C9-1000-6BF5-D48D0C935007&amp;wdorigin=ItemsView&amp;wdhostclicktime=1655787696990&amp;jsapi=1&amp;jsapiver=v1&amp;newsession=1&amp;corrid=f50894dc-9efa-45a3-9aba-ce58025f325d&amp;usid=f50894dc-9efa-45a3-9aba-ce58025f325d&amp;sftc=1&amp;cac=1&amp;mtf=1&amp;sfp=1&amp;instantedit=1&amp;wopicomplete=1&amp;wdredirectionreason=Unified_SingleFlush&amp;rct=Medium&amp;ctp=LeastProtected" \l "_ENREF_71" </w:instrText>
      </w:r>
      <w:r w:rsidR="0040106F">
        <w:fldChar w:fldCharType="separate"/>
      </w:r>
      <w:r w:rsidRPr="5A6E51F6">
        <w:rPr>
          <w:rStyle w:val="Hyperlink"/>
          <w:rFonts w:ascii="Arial Narrow" w:eastAsia="Arial Narrow" w:hAnsi="Arial Narrow" w:cs="Arial Narrow"/>
          <w:sz w:val="18"/>
          <w:szCs w:val="18"/>
        </w:rPr>
        <w:t>Saygin</w:t>
      </w:r>
      <w:proofErr w:type="spellEnd"/>
      <w:r w:rsidRPr="5A6E51F6">
        <w:rPr>
          <w:rStyle w:val="Hyperlink"/>
          <w:rFonts w:ascii="Arial Narrow" w:eastAsia="Arial Narrow" w:hAnsi="Arial Narrow" w:cs="Arial Narrow"/>
          <w:sz w:val="18"/>
          <w:szCs w:val="18"/>
        </w:rPr>
        <w:t xml:space="preserve"> and </w:t>
      </w:r>
      <w:proofErr w:type="spellStart"/>
      <w:r w:rsidRPr="5A6E51F6">
        <w:rPr>
          <w:rStyle w:val="Hyperlink"/>
          <w:rFonts w:ascii="Arial Narrow" w:eastAsia="Arial Narrow" w:hAnsi="Arial Narrow" w:cs="Arial Narrow"/>
          <w:sz w:val="18"/>
          <w:szCs w:val="18"/>
        </w:rPr>
        <w:t>Domsic</w:t>
      </w:r>
      <w:proofErr w:type="spellEnd"/>
      <w:r w:rsidRPr="5A6E51F6">
        <w:rPr>
          <w:rStyle w:val="Hyperlink"/>
          <w:rFonts w:ascii="Arial Narrow" w:eastAsia="Arial Narrow" w:hAnsi="Arial Narrow" w:cs="Arial Narrow"/>
          <w:sz w:val="18"/>
          <w:szCs w:val="18"/>
        </w:rPr>
        <w:t>, 2019</w:t>
      </w:r>
      <w:r w:rsidR="0040106F">
        <w:rPr>
          <w:rStyle w:val="Hyperlink"/>
          <w:rFonts w:ascii="Arial Narrow" w:eastAsia="Arial Narrow" w:hAnsi="Arial Narrow" w:cs="Arial Narrow"/>
          <w:sz w:val="18"/>
          <w:szCs w:val="18"/>
        </w:rPr>
        <w:fldChar w:fldCharType="end"/>
      </w:r>
      <w:r w:rsidRPr="5A6E51F6">
        <w:rPr>
          <w:rFonts w:ascii="Arial Narrow" w:eastAsia="Arial Narrow" w:hAnsi="Arial Narrow" w:cs="Arial Narrow"/>
          <w:sz w:val="18"/>
          <w:szCs w:val="18"/>
        </w:rPr>
        <w:t>)</w:t>
      </w:r>
      <w:r w:rsidRPr="5A6E51F6">
        <w:rPr>
          <w:rFonts w:ascii="Calibri" w:eastAsia="Calibri" w:hAnsi="Calibri" w:cs="Calibri"/>
          <w:sz w:val="18"/>
          <w:szCs w:val="18"/>
        </w:rPr>
        <w:t>.</w:t>
      </w:r>
    </w:p>
    <w:p w14:paraId="3B4E89DE" w14:textId="6EEDEAE7" w:rsidR="00E4281E" w:rsidRPr="00055E91" w:rsidRDefault="5A6E51F6" w:rsidP="5A6E51F6">
      <w:pPr>
        <w:tabs>
          <w:tab w:val="left" w:pos="851"/>
        </w:tabs>
        <w:rPr>
          <w:rFonts w:eastAsia="Calibri" w:cs="Arial"/>
        </w:rPr>
      </w:pPr>
      <w:r w:rsidRPr="5A6E51F6">
        <w:rPr>
          <w:rFonts w:eastAsia="Calibri" w:cs="Arial"/>
        </w:rPr>
        <w:t>Below is the updated clinical management algorithm based on ESC considerations</w:t>
      </w:r>
      <w:r w:rsidR="003D1B2C">
        <w:rPr>
          <w:rFonts w:eastAsia="Calibri" w:cs="Arial"/>
        </w:rPr>
        <w:t>.</w:t>
      </w:r>
    </w:p>
    <w:p w14:paraId="478371F0" w14:textId="7552BC54" w:rsidR="00E4281E" w:rsidRDefault="511D2119" w:rsidP="5A6E51F6">
      <w:pPr>
        <w:keepNext/>
        <w:keepLines/>
        <w:tabs>
          <w:tab w:val="left" w:pos="851"/>
        </w:tabs>
      </w:pPr>
      <w:r>
        <w:rPr>
          <w:noProof/>
        </w:rPr>
        <w:lastRenderedPageBreak/>
        <w:drawing>
          <wp:inline distT="0" distB="0" distL="0" distR="0" wp14:anchorId="7D94D382" wp14:editId="0DFC3B26">
            <wp:extent cx="5715000" cy="3190875"/>
            <wp:effectExtent l="0" t="0" r="0" b="0"/>
            <wp:docPr id="1202279570" name="Picture 3" descr="Updated clinical management algorithm based on ESC consid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79570" name="Picture 1202279570" descr="Updated clinical management algorithm based on ESC considerations"/>
                    <pic:cNvPicPr/>
                  </pic:nvPicPr>
                  <pic:blipFill>
                    <a:blip r:embed="rId12">
                      <a:extLst>
                        <a:ext uri="{28A0092B-C50C-407E-A947-70E740481C1C}">
                          <a14:useLocalDpi xmlns:a14="http://schemas.microsoft.com/office/drawing/2010/main" val="0"/>
                        </a:ext>
                      </a:extLst>
                    </a:blip>
                    <a:stretch>
                      <a:fillRect/>
                    </a:stretch>
                  </pic:blipFill>
                  <pic:spPr>
                    <a:xfrm>
                      <a:off x="0" y="0"/>
                      <a:ext cx="5715000" cy="3190875"/>
                    </a:xfrm>
                    <a:prstGeom prst="rect">
                      <a:avLst/>
                    </a:prstGeom>
                  </pic:spPr>
                </pic:pic>
              </a:graphicData>
            </a:graphic>
          </wp:inline>
        </w:drawing>
      </w:r>
    </w:p>
    <w:p w14:paraId="5CA8685E" w14:textId="7351FA6D" w:rsidR="001F1589" w:rsidRPr="00566EFA" w:rsidRDefault="003D1B2C" w:rsidP="003D1B2C">
      <w:pPr>
        <w:pStyle w:val="Caption"/>
        <w:rPr>
          <w:i/>
          <w:iCs/>
        </w:rPr>
      </w:pPr>
      <w:bookmarkStart w:id="41" w:name="_Ref106805263"/>
      <w:r w:rsidRPr="003D1B2C">
        <w:rPr>
          <w:i/>
          <w:iCs/>
        </w:rPr>
        <w:t xml:space="preserve">Figure </w:t>
      </w:r>
      <w:r w:rsidRPr="003D1B2C">
        <w:rPr>
          <w:i/>
          <w:iCs/>
        </w:rPr>
        <w:fldChar w:fldCharType="begin"/>
      </w:r>
      <w:r w:rsidRPr="003D1B2C">
        <w:rPr>
          <w:i/>
          <w:iCs/>
        </w:rPr>
        <w:instrText xml:space="preserve"> SEQ Figure \* ARABIC </w:instrText>
      </w:r>
      <w:r w:rsidRPr="003D1B2C">
        <w:rPr>
          <w:i/>
          <w:iCs/>
        </w:rPr>
        <w:fldChar w:fldCharType="separate"/>
      </w:r>
      <w:r>
        <w:rPr>
          <w:i/>
          <w:iCs/>
          <w:noProof/>
        </w:rPr>
        <w:t>3</w:t>
      </w:r>
      <w:r w:rsidRPr="003D1B2C">
        <w:rPr>
          <w:i/>
          <w:iCs/>
        </w:rPr>
        <w:fldChar w:fldCharType="end"/>
      </w:r>
      <w:bookmarkEnd w:id="41"/>
      <w:r w:rsidR="00F05EAE" w:rsidRPr="00566EFA">
        <w:rPr>
          <w:i/>
          <w:iCs/>
        </w:rPr>
        <w:tab/>
      </w:r>
      <w:r w:rsidR="001F1589" w:rsidRPr="00566EFA">
        <w:rPr>
          <w:i/>
          <w:iCs/>
        </w:rPr>
        <w:t>Updated clinical management algorithm based on ESC considerations</w:t>
      </w:r>
    </w:p>
    <w:p w14:paraId="205CED2D" w14:textId="460F8685" w:rsidR="00E4281E" w:rsidRPr="00055E91" w:rsidRDefault="511D2119" w:rsidP="00566EFA">
      <w:pPr>
        <w:pStyle w:val="Caption"/>
        <w:spacing w:before="0" w:after="240"/>
        <w:rPr>
          <w:rFonts w:eastAsia="Calibri" w:cs="Arial"/>
          <w:sz w:val="18"/>
          <w:szCs w:val="18"/>
        </w:rPr>
      </w:pPr>
      <w:r w:rsidRPr="00994163">
        <w:rPr>
          <w:rFonts w:eastAsia="Arial Narrow" w:cs="Arial Narrow"/>
          <w:b w:val="0"/>
          <w:sz w:val="18"/>
          <w:szCs w:val="18"/>
        </w:rPr>
        <w:t>ASIG= Australian Scleroderma Interest Group; NT-</w:t>
      </w:r>
      <w:proofErr w:type="spellStart"/>
      <w:r w:rsidRPr="00994163">
        <w:rPr>
          <w:rFonts w:eastAsia="Arial Narrow" w:cs="Arial Narrow"/>
          <w:b w:val="0"/>
          <w:sz w:val="18"/>
          <w:szCs w:val="18"/>
        </w:rPr>
        <w:t>proBNP</w:t>
      </w:r>
      <w:proofErr w:type="spellEnd"/>
      <w:r w:rsidRPr="00994163">
        <w:rPr>
          <w:rFonts w:eastAsia="Arial Narrow" w:cs="Arial Narrow"/>
          <w:b w:val="0"/>
          <w:sz w:val="18"/>
          <w:szCs w:val="18"/>
        </w:rPr>
        <w:t>= N-terminal pro-B-type natriuretic peptide; PFTs= pulmonary function tests; DLCO= diffusing capacity of lung for carbon monoxide; FVC= forced vital capacity; TTE= transthoracic echocardiography; RHC= right heart catheterisation; PAH= pulmonary arterial hypertension.</w:t>
      </w:r>
      <w:r w:rsidR="749B75AB" w:rsidRPr="00994163">
        <w:rPr>
          <w:rFonts w:ascii="Franklin Gothic Medium" w:eastAsiaTheme="majorEastAsia" w:hAnsi="Franklin Gothic Medium" w:cstheme="majorBidi"/>
          <w:b w:val="0"/>
          <w:i/>
          <w:sz w:val="24"/>
          <w:szCs w:val="24"/>
        </w:rPr>
        <w:t xml:space="preserve"> </w:t>
      </w:r>
    </w:p>
    <w:p w14:paraId="6A1D8B39" w14:textId="657C3129" w:rsidR="00E4281E" w:rsidRPr="00055E91" w:rsidRDefault="00E4281E" w:rsidP="5A6E51F6">
      <w:pPr>
        <w:tabs>
          <w:tab w:val="left" w:pos="851"/>
        </w:tabs>
        <w:rPr>
          <w:rFonts w:eastAsia="Calibri" w:cs="Arial"/>
          <w:i/>
          <w:sz w:val="24"/>
          <w:szCs w:val="24"/>
        </w:rPr>
      </w:pPr>
      <w:r w:rsidRPr="00055E91">
        <w:rPr>
          <w:rFonts w:ascii="Franklin Gothic Medium" w:eastAsiaTheme="majorEastAsia" w:hAnsi="Franklin Gothic Medium" w:cstheme="majorBidi"/>
          <w:i/>
          <w:sz w:val="24"/>
          <w:szCs w:val="24"/>
        </w:rPr>
        <w:t>Clinical claim</w:t>
      </w:r>
    </w:p>
    <w:p w14:paraId="0A72F84E" w14:textId="755A8F14" w:rsidR="00E4281E" w:rsidRPr="001F7A91" w:rsidRDefault="00E4281E" w:rsidP="00E4281E">
      <w:r w:rsidRPr="001F7A91">
        <w:t>The use of the ASIG algorithm with annual NT-</w:t>
      </w:r>
      <w:proofErr w:type="spellStart"/>
      <w:r w:rsidRPr="001F7A91">
        <w:t>proBNP</w:t>
      </w:r>
      <w:proofErr w:type="spellEnd"/>
      <w:r w:rsidRPr="001F7A91">
        <w:t xml:space="preserve"> testing to triage </w:t>
      </w:r>
      <w:proofErr w:type="spellStart"/>
      <w:r w:rsidRPr="001F7A91">
        <w:t>SSc</w:t>
      </w:r>
      <w:proofErr w:type="spellEnd"/>
      <w:r w:rsidRPr="001F7A91">
        <w:t xml:space="preserve"> patients suspected of having PAH for RHC, would be non-inferior compared with the current TTE-based </w:t>
      </w:r>
      <w:r w:rsidR="003125CB">
        <w:rPr>
          <w:rFonts w:eastAsia="Calibri" w:cs="Times New Roman"/>
          <w:iCs/>
        </w:rPr>
        <w:t>ERC/ERS</w:t>
      </w:r>
      <w:r w:rsidRPr="001F7A91">
        <w:t xml:space="preserve"> guidelines.</w:t>
      </w:r>
    </w:p>
    <w:p w14:paraId="77AC7FB4" w14:textId="5B9780CA" w:rsidR="00E4281E" w:rsidRPr="001F7A91" w:rsidRDefault="00E4281E" w:rsidP="00E4281E">
      <w:r w:rsidRPr="001F7A91">
        <w:t xml:space="preserve">Although using the ASIG algorithm will result in fewer </w:t>
      </w:r>
      <w:proofErr w:type="spellStart"/>
      <w:r w:rsidRPr="001F7A91">
        <w:t>SSc</w:t>
      </w:r>
      <w:proofErr w:type="spellEnd"/>
      <w:r w:rsidRPr="001F7A91">
        <w:t xml:space="preserve"> patients with </w:t>
      </w:r>
      <w:r w:rsidR="00D45366">
        <w:t>a false positive test result</w:t>
      </w:r>
      <w:r w:rsidR="0080789C">
        <w:t xml:space="preserve"> </w:t>
      </w:r>
      <w:r w:rsidRPr="001F7A91">
        <w:t xml:space="preserve">undergoing RHC, the number of </w:t>
      </w:r>
      <w:r w:rsidR="00D45366">
        <w:t xml:space="preserve">true positive </w:t>
      </w:r>
      <w:proofErr w:type="spellStart"/>
      <w:r w:rsidRPr="001F7A91">
        <w:t>SSc</w:t>
      </w:r>
      <w:proofErr w:type="spellEnd"/>
      <w:r w:rsidRPr="001F7A91">
        <w:t xml:space="preserve"> patients who will undergo a RHC is not expected to differ greatly between the current and proposed testing methods. Likewise, the number of </w:t>
      </w:r>
      <w:proofErr w:type="spellStart"/>
      <w:r w:rsidRPr="001F7A91">
        <w:t>SSc</w:t>
      </w:r>
      <w:proofErr w:type="spellEnd"/>
      <w:r w:rsidRPr="001F7A91">
        <w:t xml:space="preserve"> patients with a missed diagnosis of PAH is expected to be </w:t>
      </w:r>
      <w:r>
        <w:t>close to zero</w:t>
      </w:r>
      <w:r w:rsidRPr="001F7A91">
        <w:t xml:space="preserve">, which is similar to the number with a missed diagnosis using the current </w:t>
      </w:r>
      <w:r w:rsidR="003125CB">
        <w:rPr>
          <w:rFonts w:eastAsia="Calibri" w:cs="Times New Roman"/>
          <w:iCs/>
        </w:rPr>
        <w:t>ERC/ERS</w:t>
      </w:r>
      <w:r w:rsidRPr="001F7A91">
        <w:t xml:space="preserve"> guidelines.</w:t>
      </w:r>
    </w:p>
    <w:p w14:paraId="2FAC2583" w14:textId="00C248D8" w:rsidR="00E4281E" w:rsidRPr="001F7A91" w:rsidRDefault="00E4281E" w:rsidP="00E4281E">
      <w:r w:rsidRPr="001F7A91">
        <w:t xml:space="preserve">The ASIG testing algorithm, if used annually, will not result in any downstream change in patient management. However, it would reduce the number of false positive </w:t>
      </w:r>
      <w:proofErr w:type="spellStart"/>
      <w:r w:rsidRPr="001F7A91">
        <w:t>SSc</w:t>
      </w:r>
      <w:proofErr w:type="spellEnd"/>
      <w:r w:rsidRPr="001F7A91">
        <w:t xml:space="preserve"> patients undergoing an unnecessary invasive RHC, when compared with the current TTE-based </w:t>
      </w:r>
      <w:r w:rsidR="003125CB">
        <w:rPr>
          <w:rFonts w:eastAsia="Calibri" w:cs="Times New Roman"/>
          <w:iCs/>
        </w:rPr>
        <w:t>ERC/ERS</w:t>
      </w:r>
      <w:r w:rsidRPr="001F7A91">
        <w:t xml:space="preserve"> guidelines. Thus, the ASIG algorithm may have a slightly superior safety profile. </w:t>
      </w:r>
    </w:p>
    <w:p w14:paraId="7A27D5A6" w14:textId="77777777" w:rsidR="00E4281E" w:rsidRPr="001F7A91" w:rsidRDefault="00E4281E" w:rsidP="00E4281E">
      <w:r w:rsidRPr="001F7A91">
        <w:t>However, no evidence was identified to determine the consequences of an additional NT-</w:t>
      </w:r>
      <w:proofErr w:type="spellStart"/>
      <w:r w:rsidRPr="001F7A91">
        <w:t>proBNP</w:t>
      </w:r>
      <w:proofErr w:type="spellEnd"/>
      <w:r w:rsidRPr="001F7A91">
        <w:t xml:space="preserve"> test per year on subsequent TTE and/or RHC use.</w:t>
      </w:r>
    </w:p>
    <w:p w14:paraId="653C30F2" w14:textId="77777777" w:rsidR="00E4281E" w:rsidRPr="00055E91" w:rsidRDefault="00E4281E" w:rsidP="00E4281E">
      <w:pPr>
        <w:keepNext/>
        <w:keepLines/>
        <w:tabs>
          <w:tab w:val="left" w:pos="851"/>
        </w:tabs>
        <w:spacing w:before="360" w:after="200" w:line="240" w:lineRule="auto"/>
        <w:outlineLvl w:val="2"/>
        <w:rPr>
          <w:rFonts w:ascii="Franklin Gothic Medium" w:eastAsiaTheme="majorEastAsia" w:hAnsi="Franklin Gothic Medium" w:cstheme="majorBidi"/>
          <w:sz w:val="24"/>
          <w:szCs w:val="24"/>
        </w:rPr>
      </w:pPr>
      <w:bookmarkStart w:id="42" w:name="_Toc103161074"/>
      <w:r w:rsidRPr="00055E91">
        <w:rPr>
          <w:rFonts w:ascii="Franklin Gothic Medium" w:eastAsiaTheme="majorEastAsia" w:hAnsi="Franklin Gothic Medium" w:cstheme="majorBidi"/>
          <w:sz w:val="24"/>
          <w:szCs w:val="24"/>
        </w:rPr>
        <w:t>Population 2 – The detection of worsening PAH in patients already diagnosed with PAH</w:t>
      </w:r>
      <w:bookmarkEnd w:id="42"/>
    </w:p>
    <w:p w14:paraId="512EA6A1"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The accuracy and effectiveness of the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test compared to RHC</w:t>
      </w:r>
    </w:p>
    <w:p w14:paraId="05BB4BDA" w14:textId="77777777" w:rsidR="00E4281E" w:rsidRPr="001F7A91" w:rsidRDefault="00E4281E" w:rsidP="00E4281E">
      <w:r w:rsidRPr="001F7A91">
        <w:t>Eight studies reported on the accuracy of NT-</w:t>
      </w:r>
      <w:proofErr w:type="spellStart"/>
      <w:r w:rsidRPr="001F7A91">
        <w:t>proBNP</w:t>
      </w:r>
      <w:proofErr w:type="spellEnd"/>
      <w:r w:rsidRPr="001F7A91">
        <w:t xml:space="preserve"> in predicting mortality/morbidity events using receiver operating characteristic (ROC) curve analysis. The optimum cut-off level for NT-</w:t>
      </w:r>
      <w:proofErr w:type="spellStart"/>
      <w:r w:rsidRPr="001F7A91">
        <w:t>proBNP</w:t>
      </w:r>
      <w:proofErr w:type="spellEnd"/>
      <w:r w:rsidRPr="001F7A91">
        <w:t xml:space="preserve">, which provides sensitivity and specificity estimates with the lowest false negative and false positive rates, was determined in six of these studies, and the area under the curve (AUC) </w:t>
      </w:r>
      <w:r w:rsidRPr="001F7A91">
        <w:lastRenderedPageBreak/>
        <w:t>was reported in seven. The AUC (range 0.746 to 0.94) indicates mostly moderate test performance (0.7–0.9). The AUC was above 0.9, indicating high-test performance, in only two of the seven studies. Thus, elevated NT-</w:t>
      </w:r>
      <w:proofErr w:type="spellStart"/>
      <w:r w:rsidRPr="001F7A91">
        <w:t>proBNP</w:t>
      </w:r>
      <w:proofErr w:type="spellEnd"/>
      <w:r w:rsidRPr="001F7A91">
        <w:t xml:space="preserve"> levels is a moderate predictor of mortality/morbidity events in PAH patients.</w:t>
      </w:r>
    </w:p>
    <w:p w14:paraId="7D59AA1B" w14:textId="28897CB3" w:rsidR="00E4281E" w:rsidRPr="001F7A91" w:rsidRDefault="00E4281E" w:rsidP="00E4281E">
      <w:r w:rsidRPr="001F7A91">
        <w:t>Five studies reported on the sensitivity and specificity of high NT-</w:t>
      </w:r>
      <w:proofErr w:type="spellStart"/>
      <w:r w:rsidRPr="001F7A91">
        <w:t>proBNP</w:t>
      </w:r>
      <w:proofErr w:type="spellEnd"/>
      <w:r w:rsidRPr="001F7A91">
        <w:t xml:space="preserve"> levels predicting mortality (k=4) or right ventricular systolic dysfunction (RVSD) as an early indicator of mortality (k=1). Meta-analysis of the results from these studies are shown as a Forest Plot (</w:t>
      </w:r>
      <w:r w:rsidR="003D1B2C">
        <w:rPr>
          <w:color w:val="2B579A"/>
          <w:shd w:val="clear" w:color="auto" w:fill="E6E6E6"/>
        </w:rPr>
        <w:fldChar w:fldCharType="begin"/>
      </w:r>
      <w:r w:rsidR="003D1B2C">
        <w:instrText xml:space="preserve"> REF _Ref99978871 \h </w:instrText>
      </w:r>
      <w:r w:rsidR="003D1B2C">
        <w:rPr>
          <w:color w:val="2B579A"/>
          <w:shd w:val="clear" w:color="auto" w:fill="E6E6E6"/>
        </w:rPr>
      </w:r>
      <w:r w:rsidR="003D1B2C">
        <w:rPr>
          <w:color w:val="2B579A"/>
          <w:shd w:val="clear" w:color="auto" w:fill="E6E6E6"/>
        </w:rPr>
        <w:fldChar w:fldCharType="separate"/>
      </w:r>
      <w:r w:rsidR="003D1B2C">
        <w:t xml:space="preserve">Figure </w:t>
      </w:r>
      <w:r w:rsidR="003D1B2C">
        <w:rPr>
          <w:noProof/>
        </w:rPr>
        <w:t>4</w:t>
      </w:r>
      <w:r w:rsidR="003D1B2C">
        <w:rPr>
          <w:color w:val="2B579A"/>
          <w:shd w:val="clear" w:color="auto" w:fill="E6E6E6"/>
        </w:rPr>
        <w:fldChar w:fldCharType="end"/>
      </w:r>
      <w:r w:rsidRPr="001F7A91">
        <w:rPr>
          <w:iCs/>
        </w:rPr>
        <w:t>).</w:t>
      </w:r>
      <w:r w:rsidRPr="001F7A91">
        <w:t xml:space="preserve"> There are insufficient studies to determine if there is a threshold effect caused by the varied NT-</w:t>
      </w:r>
      <w:proofErr w:type="spellStart"/>
      <w:r w:rsidRPr="001F7A91">
        <w:t>proBNP</w:t>
      </w:r>
      <w:proofErr w:type="spellEnd"/>
      <w:r w:rsidRPr="001F7A91">
        <w:t xml:space="preserve"> cut-off levels. However, high NT-</w:t>
      </w:r>
      <w:proofErr w:type="spellStart"/>
      <w:r w:rsidRPr="001F7A91">
        <w:t>proBNP</w:t>
      </w:r>
      <w:proofErr w:type="spellEnd"/>
      <w:r w:rsidRPr="001F7A91">
        <w:t xml:space="preserve"> levels appear to be highly sensitive as a predictor of death, but not very specific. </w:t>
      </w:r>
    </w:p>
    <w:p w14:paraId="73DFCBAF" w14:textId="77777777" w:rsidR="00E4281E" w:rsidRPr="00055E91" w:rsidRDefault="00E4281E" w:rsidP="00E4281E">
      <w:pPr>
        <w:spacing w:after="0" w:line="240" w:lineRule="auto"/>
        <w:rPr>
          <w:i/>
        </w:rPr>
      </w:pPr>
      <w:r w:rsidRPr="00055E91">
        <w:rPr>
          <w:i/>
          <w:noProof/>
          <w:color w:val="2B579A"/>
          <w:shd w:val="clear" w:color="auto" w:fill="E6E6E6"/>
          <w:lang w:eastAsia="en-AU"/>
        </w:rPr>
        <w:drawing>
          <wp:inline distT="0" distB="0" distL="0" distR="0" wp14:anchorId="17510ECC" wp14:editId="0FEEC49F">
            <wp:extent cx="5710662" cy="3230005"/>
            <wp:effectExtent l="0" t="0" r="0" b="0"/>
            <wp:docPr id="31" name="Picture 4" descr="Forest plot of the accuracy of NT-proBNP in predicting mortality or RVSD as an early indicator of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Forest plot of the accuracy of NT-proBNP in predicting mortality or RVSD as an early indicator of mortal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6796" cy="3244787"/>
                    </a:xfrm>
                    <a:prstGeom prst="rect">
                      <a:avLst/>
                    </a:prstGeom>
                    <a:noFill/>
                  </pic:spPr>
                </pic:pic>
              </a:graphicData>
            </a:graphic>
          </wp:inline>
        </w:drawing>
      </w:r>
    </w:p>
    <w:p w14:paraId="6B95FEC5" w14:textId="43DF9AE9" w:rsidR="00E4281E" w:rsidRPr="00055E91" w:rsidRDefault="003D1B2C" w:rsidP="003D1B2C">
      <w:pPr>
        <w:pStyle w:val="Caption"/>
      </w:pPr>
      <w:bookmarkStart w:id="43" w:name="_Ref99978871"/>
      <w:r>
        <w:t xml:space="preserve">Figure </w:t>
      </w:r>
      <w:fldSimple w:instr=" SEQ Figure \* ARABIC ">
        <w:r>
          <w:rPr>
            <w:noProof/>
          </w:rPr>
          <w:t>4</w:t>
        </w:r>
      </w:fldSimple>
      <w:bookmarkEnd w:id="43"/>
      <w:r w:rsidR="00E4281E">
        <w:tab/>
      </w:r>
      <w:r w:rsidR="00E4281E" w:rsidRPr="00055E91">
        <w:t>Forest plot of the accuracy of NT-</w:t>
      </w:r>
      <w:proofErr w:type="spellStart"/>
      <w:r w:rsidR="00E4281E" w:rsidRPr="00055E91">
        <w:t>proBNP</w:t>
      </w:r>
      <w:proofErr w:type="spellEnd"/>
      <w:r w:rsidR="00E4281E" w:rsidRPr="00055E91">
        <w:t xml:space="preserve"> in predicting mortality or RVSD as an early indicator of mortality</w:t>
      </w:r>
    </w:p>
    <w:p w14:paraId="745BB1B1" w14:textId="77777777" w:rsidR="00E4281E" w:rsidRPr="00055E91" w:rsidRDefault="00E4281E" w:rsidP="00E4281E">
      <w:pPr>
        <w:pStyle w:val="TableNotes2"/>
      </w:pPr>
      <w:r w:rsidRPr="00055E91">
        <w:t>CI = confidence interval; NT-</w:t>
      </w:r>
      <w:proofErr w:type="spellStart"/>
      <w:r w:rsidRPr="00055E91">
        <w:t>proBNP</w:t>
      </w:r>
      <w:proofErr w:type="spellEnd"/>
      <w:r w:rsidRPr="00055E91">
        <w:t xml:space="preserve"> = N-terminal pro-brain natriuretic peptide; RVSD = right ventricular systolic dysfunction</w:t>
      </w:r>
    </w:p>
    <w:p w14:paraId="7CBCC351"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The ability of the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test to predict mortality</w:t>
      </w:r>
    </w:p>
    <w:p w14:paraId="709DE98B" w14:textId="387148DB" w:rsidR="00E4281E" w:rsidRPr="001F7A91" w:rsidRDefault="00E4281E" w:rsidP="00E4281E">
      <w:r w:rsidRPr="001F7A91">
        <w:t>Eighteen studies investigated the association between NT-</w:t>
      </w:r>
      <w:proofErr w:type="spellStart"/>
      <w:r w:rsidRPr="001F7A91">
        <w:t>proBNP</w:t>
      </w:r>
      <w:proofErr w:type="spellEnd"/>
      <w:r w:rsidRPr="001F7A91">
        <w:t xml:space="preserve"> levels and various mortality/morbidity outcomes using regression analysis models with thirteen reporting HRs with 95% CIs. These studies used either different NT-</w:t>
      </w:r>
      <w:proofErr w:type="spellStart"/>
      <w:r w:rsidRPr="001F7A91">
        <w:t>proBNP</w:t>
      </w:r>
      <w:proofErr w:type="spellEnd"/>
      <w:r w:rsidRPr="001F7A91">
        <w:t xml:space="preserve"> cut-offs, or continuous data (normal or log-transformed) </w:t>
      </w:r>
      <w:r w:rsidR="7B3B5281">
        <w:t>and</w:t>
      </w:r>
      <w:r w:rsidR="00EF1944">
        <w:t xml:space="preserve"> </w:t>
      </w:r>
      <w:r w:rsidRPr="001F7A91">
        <w:t>all eighteen studies found that higher levels of NT-</w:t>
      </w:r>
      <w:proofErr w:type="spellStart"/>
      <w:r w:rsidRPr="001F7A91">
        <w:t>proBNP</w:t>
      </w:r>
      <w:proofErr w:type="spellEnd"/>
      <w:r w:rsidRPr="001F7A91">
        <w:t xml:space="preserve"> were associated with an increased risk of death, transplantation, hospitalisation for cardiac causes, or worsening of PAH requiring additional treatment.</w:t>
      </w:r>
    </w:p>
    <w:p w14:paraId="751561B8" w14:textId="5EBFF545" w:rsidR="00E4281E" w:rsidRPr="001F7A91" w:rsidRDefault="00E4281E" w:rsidP="00E4281E">
      <w:r w:rsidRPr="001F7A91">
        <w:t>Meta-analysis of the HRs for predicting cardiac morbidity and/or mortality was conducted. Ten studies reported on the likelihood of having a morbidity/mortality event for every unit increase in NT-</w:t>
      </w:r>
      <w:proofErr w:type="spellStart"/>
      <w:r w:rsidRPr="001F7A91">
        <w:t>proBNP</w:t>
      </w:r>
      <w:proofErr w:type="spellEnd"/>
      <w:r w:rsidRPr="001F7A91">
        <w:t xml:space="preserve"> level and three studies reported on the proportional increase among patients with high NT-</w:t>
      </w:r>
      <w:proofErr w:type="spellStart"/>
      <w:r w:rsidRPr="001F7A91">
        <w:t>proBNP</w:t>
      </w:r>
      <w:proofErr w:type="spellEnd"/>
      <w:r w:rsidRPr="001F7A91">
        <w:t xml:space="preserve"> levels compared with those with low levels. Each of the studies used a different incremental increase or a different cut-off value to represent high NT-</w:t>
      </w:r>
      <w:proofErr w:type="spellStart"/>
      <w:r w:rsidRPr="001F7A91">
        <w:t>proBNP</w:t>
      </w:r>
      <w:proofErr w:type="spellEnd"/>
      <w:r w:rsidRPr="001F7A91">
        <w:t xml:space="preserve"> levels (</w:t>
      </w:r>
      <w:r w:rsidR="003D1B2C">
        <w:rPr>
          <w:color w:val="2B579A"/>
          <w:shd w:val="clear" w:color="auto" w:fill="E6E6E6"/>
        </w:rPr>
        <w:fldChar w:fldCharType="begin"/>
      </w:r>
      <w:r w:rsidR="003D1B2C">
        <w:instrText xml:space="preserve"> REF _Ref100167310 \h </w:instrText>
      </w:r>
      <w:r w:rsidR="003D1B2C">
        <w:rPr>
          <w:color w:val="2B579A"/>
          <w:shd w:val="clear" w:color="auto" w:fill="E6E6E6"/>
        </w:rPr>
      </w:r>
      <w:r w:rsidR="003D1B2C">
        <w:rPr>
          <w:color w:val="2B579A"/>
          <w:shd w:val="clear" w:color="auto" w:fill="E6E6E6"/>
        </w:rPr>
        <w:fldChar w:fldCharType="separate"/>
      </w:r>
      <w:r w:rsidR="003D1B2C">
        <w:t xml:space="preserve">Figure </w:t>
      </w:r>
      <w:r w:rsidR="003D1B2C">
        <w:rPr>
          <w:noProof/>
        </w:rPr>
        <w:t>5</w:t>
      </w:r>
      <w:r w:rsidR="003D1B2C">
        <w:rPr>
          <w:color w:val="2B579A"/>
          <w:shd w:val="clear" w:color="auto" w:fill="E6E6E6"/>
        </w:rPr>
        <w:fldChar w:fldCharType="end"/>
      </w:r>
      <w:r w:rsidR="00006582" w:rsidRPr="00006582">
        <w:rPr>
          <w:color w:val="2B579A"/>
        </w:rPr>
        <w:t>)</w:t>
      </w:r>
      <w:r w:rsidRPr="001F7A91">
        <w:t>.</w:t>
      </w:r>
    </w:p>
    <w:p w14:paraId="5052C328" w14:textId="77777777" w:rsidR="00E4281E" w:rsidRPr="001F7A91" w:rsidRDefault="00E4281E" w:rsidP="00E4281E">
      <w:r w:rsidRPr="001F7A91">
        <w:t>For the studies reporting on the HR per incremental increase in NT-</w:t>
      </w:r>
      <w:proofErr w:type="spellStart"/>
      <w:r w:rsidRPr="001F7A91">
        <w:t>proBNP</w:t>
      </w:r>
      <w:proofErr w:type="spellEnd"/>
      <w:r w:rsidRPr="001F7A91">
        <w:t xml:space="preserve"> levels, there was considerable heterogeneity (90%) between the studies reporting on mortality as an outcome. This is likely due to chance in the five out of six studies enrolling less than 60 patients. Due to the </w:t>
      </w:r>
      <w:r w:rsidRPr="001F7A91">
        <w:lastRenderedPageBreak/>
        <w:t>wide CIs seen in four of the six studies, the pooled HR did not reach statistical significance. For the composite morbidity/mortality outcomes, there was less heterogeneity between studies, and narrower CIs for most studies and the pooled HRs for the composite outcomes reached statistical significance. However, at any given time, patients were 1.6–1.7 times more likely to have a morbidity/mortality event for every unit increase in NT-</w:t>
      </w:r>
      <w:proofErr w:type="spellStart"/>
      <w:r w:rsidRPr="001F7A91">
        <w:t>proBNP</w:t>
      </w:r>
      <w:proofErr w:type="spellEnd"/>
      <w:r w:rsidRPr="001F7A91">
        <w:t xml:space="preserve"> level.</w:t>
      </w:r>
    </w:p>
    <w:p w14:paraId="1215C45A" w14:textId="1690E16D" w:rsidR="00E4281E" w:rsidRPr="001F7A91" w:rsidRDefault="00E4281E" w:rsidP="00E4281E">
      <w:r w:rsidRPr="001F7A91">
        <w:t>All three studies reporting on the likelihood of an event occurring in patients with high NT-</w:t>
      </w:r>
      <w:proofErr w:type="spellStart"/>
      <w:r w:rsidRPr="001F7A91">
        <w:t>proBNP</w:t>
      </w:r>
      <w:proofErr w:type="spellEnd"/>
      <w:r w:rsidRPr="001F7A91">
        <w:t xml:space="preserve"> levels found that significantly more patients had an event compared to patients with lower NT-</w:t>
      </w:r>
      <w:proofErr w:type="spellStart"/>
      <w:r w:rsidRPr="001F7A91">
        <w:t>proBNP</w:t>
      </w:r>
      <w:proofErr w:type="spellEnd"/>
      <w:r w:rsidRPr="001F7A91">
        <w:t xml:space="preserve"> levels, at any given time point (</w:t>
      </w:r>
      <w:r w:rsidR="003D1B2C">
        <w:rPr>
          <w:color w:val="2B579A"/>
          <w:shd w:val="clear" w:color="auto" w:fill="E6E6E6"/>
        </w:rPr>
        <w:fldChar w:fldCharType="begin"/>
      </w:r>
      <w:r w:rsidR="003D1B2C">
        <w:instrText xml:space="preserve"> REF _Ref100167310 \h </w:instrText>
      </w:r>
      <w:r w:rsidR="003D1B2C">
        <w:rPr>
          <w:color w:val="2B579A"/>
          <w:shd w:val="clear" w:color="auto" w:fill="E6E6E6"/>
        </w:rPr>
      </w:r>
      <w:r w:rsidR="003D1B2C">
        <w:rPr>
          <w:color w:val="2B579A"/>
          <w:shd w:val="clear" w:color="auto" w:fill="E6E6E6"/>
        </w:rPr>
        <w:fldChar w:fldCharType="separate"/>
      </w:r>
      <w:r w:rsidR="003D1B2C">
        <w:t xml:space="preserve">Figure </w:t>
      </w:r>
      <w:r w:rsidR="003D1B2C">
        <w:rPr>
          <w:noProof/>
        </w:rPr>
        <w:t>5</w:t>
      </w:r>
      <w:r w:rsidR="003D1B2C">
        <w:rPr>
          <w:color w:val="2B579A"/>
          <w:shd w:val="clear" w:color="auto" w:fill="E6E6E6"/>
        </w:rPr>
        <w:fldChar w:fldCharType="end"/>
      </w:r>
      <w:r w:rsidRPr="001F7A91">
        <w:t>).</w:t>
      </w:r>
    </w:p>
    <w:p w14:paraId="681A7CF8" w14:textId="77777777" w:rsidR="00E4281E" w:rsidRPr="00055E91" w:rsidRDefault="00E4281E" w:rsidP="00E4281E">
      <w:pPr>
        <w:keepNext/>
        <w:spacing w:after="0"/>
        <w:jc w:val="center"/>
        <w:rPr>
          <w:i/>
        </w:rPr>
      </w:pPr>
      <w:r w:rsidRPr="00055E91">
        <w:rPr>
          <w:i/>
          <w:noProof/>
          <w:color w:val="2B579A"/>
          <w:shd w:val="clear" w:color="auto" w:fill="E6E6E6"/>
          <w:lang w:eastAsia="en-AU"/>
        </w:rPr>
        <w:drawing>
          <wp:inline distT="0" distB="0" distL="0" distR="0" wp14:anchorId="7D726267" wp14:editId="7F8A3E26">
            <wp:extent cx="5097438" cy="3838268"/>
            <wp:effectExtent l="0" t="0" r="8255" b="0"/>
            <wp:docPr id="32" name="Picture 5" descr="Forest plot of the likelihood that increasing NT-proBNP levels can predict mortality and/or cardiac morbidity in patients with P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orest plot of the likelihood that increasing NT-proBNP levels can predict mortality and/or cardiac morbidity in patients with PAH"/>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191620" cy="3909185"/>
                    </a:xfrm>
                    <a:prstGeom prst="rect">
                      <a:avLst/>
                    </a:prstGeom>
                    <a:noFill/>
                    <a:ln>
                      <a:noFill/>
                    </a:ln>
                    <a:extLst>
                      <a:ext uri="{53640926-AAD7-44D8-BBD7-CCE9431645EC}">
                        <a14:shadowObscured xmlns:a14="http://schemas.microsoft.com/office/drawing/2010/main"/>
                      </a:ext>
                    </a:extLst>
                  </pic:spPr>
                </pic:pic>
              </a:graphicData>
            </a:graphic>
          </wp:inline>
        </w:drawing>
      </w:r>
    </w:p>
    <w:p w14:paraId="5B3932D9" w14:textId="2D847E16" w:rsidR="00E4281E" w:rsidRPr="00055E91" w:rsidRDefault="003D1B2C" w:rsidP="003D1B2C">
      <w:pPr>
        <w:pStyle w:val="Caption"/>
      </w:pPr>
      <w:bookmarkStart w:id="44" w:name="_Ref100167310"/>
      <w:r>
        <w:t xml:space="preserve">Figure </w:t>
      </w:r>
      <w:fldSimple w:instr=" SEQ Figure \* ARABIC ">
        <w:r>
          <w:rPr>
            <w:noProof/>
          </w:rPr>
          <w:t>5</w:t>
        </w:r>
      </w:fldSimple>
      <w:bookmarkEnd w:id="44"/>
      <w:r w:rsidR="00E4281E" w:rsidRPr="00055E91">
        <w:tab/>
        <w:t>Forest plot of the likelihood that increasing NT-</w:t>
      </w:r>
      <w:proofErr w:type="spellStart"/>
      <w:r w:rsidR="00E4281E" w:rsidRPr="00055E91">
        <w:t>proBNP</w:t>
      </w:r>
      <w:proofErr w:type="spellEnd"/>
      <w:r w:rsidR="00E4281E" w:rsidRPr="00055E91">
        <w:t xml:space="preserve"> levels can predict mortality and/or cardiac morbidity in patients with PAH</w:t>
      </w:r>
    </w:p>
    <w:p w14:paraId="3C60993B" w14:textId="77777777" w:rsidR="00E4281E" w:rsidRPr="00055E91" w:rsidRDefault="00E4281E" w:rsidP="00E4281E">
      <w:pPr>
        <w:pStyle w:val="TableNotes2"/>
        <w:rPr>
          <w:snapToGrid w:val="0"/>
        </w:rPr>
      </w:pPr>
      <w:r w:rsidRPr="00055E91">
        <w:rPr>
          <w:snapToGrid w:val="0"/>
        </w:rPr>
        <w:t>CI = confidence interval; HR = hazard ratio; NT-</w:t>
      </w:r>
      <w:proofErr w:type="spellStart"/>
      <w:r w:rsidRPr="00055E91">
        <w:rPr>
          <w:snapToGrid w:val="0"/>
        </w:rPr>
        <w:t>proBNP</w:t>
      </w:r>
      <w:proofErr w:type="spellEnd"/>
      <w:r w:rsidRPr="00055E91">
        <w:rPr>
          <w:snapToGrid w:val="0"/>
        </w:rPr>
        <w:t xml:space="preserve"> = N-terminal pro-brain natriuretic peptide</w:t>
      </w:r>
    </w:p>
    <w:p w14:paraId="60E34393"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TTE in the prediction of mortality and/or morbidity</w:t>
      </w:r>
    </w:p>
    <w:p w14:paraId="09A441C3" w14:textId="77777777" w:rsidR="00E4281E" w:rsidRPr="001F7A91" w:rsidRDefault="00E4281E" w:rsidP="00E4281E">
      <w:r w:rsidRPr="001F7A91">
        <w:t>In the current management algorithm, TTE based algorithms are used to monitor worsening of PAH. Five studies included TTE parameters in their regression models to assess their ability to predict mortality and/or morbidity events.</w:t>
      </w:r>
    </w:p>
    <w:p w14:paraId="7D7B83C4" w14:textId="77777777" w:rsidR="00E4281E" w:rsidRPr="001F7A91" w:rsidRDefault="00E4281E" w:rsidP="00E4281E">
      <w:r w:rsidRPr="001F7A91">
        <w:t>All five studies found various TTE parameters to be predictive of mortality and/or morbidity events in univariate analysis. In the multivariate models, RV basal diameter, RA fractional area (</w:t>
      </w:r>
      <w:proofErr w:type="spellStart"/>
      <w:r w:rsidRPr="001F7A91">
        <w:t>Plácido</w:t>
      </w:r>
      <w:proofErr w:type="spellEnd"/>
      <w:r w:rsidRPr="001F7A91">
        <w:t xml:space="preserve"> et al. 2017), and tricuspid annular plane systolic excursion (TAPSE; </w:t>
      </w:r>
      <w:proofErr w:type="spellStart"/>
      <w:r w:rsidRPr="001F7A91">
        <w:t>Ploegstra</w:t>
      </w:r>
      <w:proofErr w:type="spellEnd"/>
      <w:r w:rsidRPr="001F7A91">
        <w:t xml:space="preserve"> et al. 2014) remained significantly associated with survival. Whereas, RV basal diameter (</w:t>
      </w:r>
      <w:proofErr w:type="spellStart"/>
      <w:r w:rsidRPr="001F7A91">
        <w:t>Plácido</w:t>
      </w:r>
      <w:proofErr w:type="spellEnd"/>
      <w:r w:rsidRPr="001F7A91">
        <w:t xml:space="preserve"> et al. 2017) and worsening right ventricular global longitudinal strain (RVGLS; Siddiqui et al. 2018) were independently predictive of death or hospitalisation.</w:t>
      </w:r>
    </w:p>
    <w:p w14:paraId="067B03AC" w14:textId="77777777" w:rsidR="00E4281E" w:rsidRPr="001F7A91" w:rsidRDefault="00E4281E" w:rsidP="00E4281E">
      <w:r w:rsidRPr="001F7A91">
        <w:lastRenderedPageBreak/>
        <w:t>Thus, while TTE has clinical value in diagnosing PAH, it is less useful in determining the prognosis of patients with PAH. None of the TTE parameters were consistently associated with the likelihood of having a cardiac-related mortality/morbidity event.</w:t>
      </w:r>
    </w:p>
    <w:p w14:paraId="38488E90"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Risk stratification calculators that include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in the prediction of mortality and/or morbidity</w:t>
      </w:r>
    </w:p>
    <w:p w14:paraId="5292032D" w14:textId="77777777" w:rsidR="00E4281E" w:rsidRPr="001F7A91" w:rsidRDefault="00E4281E" w:rsidP="00E4281E">
      <w:r w:rsidRPr="001F7A91">
        <w:t>Ten studies investigated the usefulness of various risk stratification calculators that included NT-</w:t>
      </w:r>
      <w:proofErr w:type="spellStart"/>
      <w:r w:rsidRPr="001F7A91">
        <w:t>proBNP</w:t>
      </w:r>
      <w:proofErr w:type="spellEnd"/>
      <w:r w:rsidRPr="001F7A91">
        <w:t xml:space="preserve"> testing in predicting mortality/morbidity events. All studies found that the risk of morbidity and or mortality was higher in the high risk and intermediate risk groups compared with the low risk group. The differences were statistically significant in all studies that provided p-values (k=7). </w:t>
      </w:r>
    </w:p>
    <w:p w14:paraId="4690BF85" w14:textId="2B1BB0AB" w:rsidR="00E4281E" w:rsidRPr="001F7A91" w:rsidRDefault="00E4281E" w:rsidP="00E4281E">
      <w:r w:rsidRPr="001F7A91">
        <w:t xml:space="preserve">The study by </w:t>
      </w:r>
      <w:proofErr w:type="spellStart"/>
      <w:r w:rsidRPr="001F7A91">
        <w:t>Benza</w:t>
      </w:r>
      <w:proofErr w:type="spellEnd"/>
      <w:r w:rsidRPr="001F7A91">
        <w:t xml:space="preserve"> et al. (2021), reported on the REVEAL Lite 2 risk stratification strategy, which is proposed by the ADAR to be implemented in Australia. Analysis using the Cox proportional hazard model found little difference in the ability of REVEAL Lite 2 strategy to predict mortality compared to the REVEAL 2,0 strategy. At any given time point, 2.3 times (REVEAL Lite 2) and 2.5 times (REVEAL 2,0) as many patients in the intermediate group are likely to die compared to those in the low risk groups. Similarly, when comparing the high risk and low risk groups, the high risk groups are 6.4 times (REVEAL Lite 2) and 7.1 times (REVEAL 2.0) </w:t>
      </w:r>
      <w:r w:rsidR="005938E4">
        <w:t>as many</w:t>
      </w:r>
      <w:r w:rsidR="005938E4" w:rsidRPr="001F7A91">
        <w:t xml:space="preserve"> </w:t>
      </w:r>
      <w:r w:rsidRPr="001F7A91">
        <w:t>patients are likely to die at any given time point. Thus, the REVEAL Lite 2 risk stratification strategy is likely to be useful in the clinical setting to predict a patient’s risk of death within the next 12 months.</w:t>
      </w:r>
    </w:p>
    <w:p w14:paraId="3A1039EB" w14:textId="17A683CA" w:rsidR="00E4281E" w:rsidRPr="001F7A91" w:rsidRDefault="00E4281E" w:rsidP="00E4281E">
      <w:r w:rsidRPr="001F7A91">
        <w:t>Meta-analysis of the results from the five studies reporting HRs was conducted (</w:t>
      </w:r>
      <w:r w:rsidR="003D1B2C">
        <w:rPr>
          <w:color w:val="2B579A"/>
          <w:shd w:val="clear" w:color="auto" w:fill="E6E6E6"/>
        </w:rPr>
        <w:fldChar w:fldCharType="begin"/>
      </w:r>
      <w:r w:rsidR="003D1B2C">
        <w:instrText xml:space="preserve"> REF _Ref99982285 \h </w:instrText>
      </w:r>
      <w:r w:rsidR="003D1B2C">
        <w:rPr>
          <w:color w:val="2B579A"/>
          <w:shd w:val="clear" w:color="auto" w:fill="E6E6E6"/>
        </w:rPr>
      </w:r>
      <w:r w:rsidR="003D1B2C">
        <w:rPr>
          <w:color w:val="2B579A"/>
          <w:shd w:val="clear" w:color="auto" w:fill="E6E6E6"/>
        </w:rPr>
        <w:fldChar w:fldCharType="separate"/>
      </w:r>
      <w:r w:rsidR="003D1B2C">
        <w:t xml:space="preserve">Figure </w:t>
      </w:r>
      <w:r w:rsidR="003D1B2C">
        <w:rPr>
          <w:noProof/>
        </w:rPr>
        <w:t>6</w:t>
      </w:r>
      <w:r w:rsidR="003D1B2C">
        <w:rPr>
          <w:color w:val="2B579A"/>
          <w:shd w:val="clear" w:color="auto" w:fill="E6E6E6"/>
        </w:rPr>
        <w:fldChar w:fldCharType="end"/>
      </w:r>
      <w:r w:rsidRPr="001F7A91">
        <w:rPr>
          <w:iCs/>
        </w:rPr>
        <w:t>).</w:t>
      </w:r>
      <w:r w:rsidRPr="001F7A91">
        <w:t xml:space="preserve"> There was no heterogeneity between the studies reporting on the same stratification differences. PAH patients stratified to the high-risk group, regardless of risk stratification calculator or morbidity/mortality outcome, were at least 6.7 times more likely to have a morbidity/mortality event at any time point, than those in the low-risk group. Patients in the intermediate group were at least twice as likely to have a morbidity/mortality event at any time point, than those in the low-risk group.</w:t>
      </w:r>
    </w:p>
    <w:p w14:paraId="1B8AB5BA" w14:textId="77777777" w:rsidR="00E4281E" w:rsidRPr="000B3437" w:rsidRDefault="00E4281E" w:rsidP="00E4281E">
      <w:pPr>
        <w:rPr>
          <w:iCs/>
        </w:rPr>
      </w:pPr>
      <w:r w:rsidRPr="001F7A91">
        <w:t>Two studies investigated the increased likelihood of having a morbidity/mortality event with increasing risk measured either per elevated biomarker or per one SD increase in risk score. The studies found that at any given time, patients were 1.3–1.</w:t>
      </w:r>
      <w:r w:rsidRPr="00055E91">
        <w:rPr>
          <w:i/>
        </w:rPr>
        <w:t xml:space="preserve">7 </w:t>
      </w:r>
      <w:r w:rsidRPr="000B3437">
        <w:rPr>
          <w:iCs/>
        </w:rPr>
        <w:t>times more likely to have a morbidity/mortality event for every unit of increased risk.</w:t>
      </w:r>
    </w:p>
    <w:p w14:paraId="336A73BE" w14:textId="77777777" w:rsidR="00E4281E" w:rsidRPr="00055E91" w:rsidRDefault="00E4281E" w:rsidP="00CE78B6">
      <w:pPr>
        <w:keepLines/>
        <w:spacing w:after="0" w:line="240" w:lineRule="auto"/>
        <w:rPr>
          <w:i/>
        </w:rPr>
      </w:pPr>
      <w:r w:rsidRPr="00055E91">
        <w:rPr>
          <w:i/>
          <w:noProof/>
          <w:color w:val="2B579A"/>
          <w:shd w:val="clear" w:color="auto" w:fill="E6E6E6"/>
          <w:lang w:eastAsia="en-AU"/>
        </w:rPr>
        <w:lastRenderedPageBreak/>
        <w:drawing>
          <wp:inline distT="0" distB="0" distL="0" distR="0" wp14:anchorId="3C21AA40" wp14:editId="0B1A52AD">
            <wp:extent cx="5713171" cy="3245874"/>
            <wp:effectExtent l="0" t="0" r="1905" b="0"/>
            <wp:docPr id="33" name="Picture 6" descr="Forest plot of the likelihood that risk stratification strategies can predict mortality and/or cardiac morbidity in patients with P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orest plot of the likelihood that risk stratification strategies can predict mortality and/or cardiac morbidity in patients with PAH"/>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51" t="4110" r="1466" b="783"/>
                    <a:stretch/>
                  </pic:blipFill>
                  <pic:spPr bwMode="auto">
                    <a:xfrm>
                      <a:off x="0" y="0"/>
                      <a:ext cx="5755729" cy="3270053"/>
                    </a:xfrm>
                    <a:prstGeom prst="rect">
                      <a:avLst/>
                    </a:prstGeom>
                    <a:noFill/>
                    <a:ln>
                      <a:noFill/>
                    </a:ln>
                    <a:extLst>
                      <a:ext uri="{53640926-AAD7-44D8-BBD7-CCE9431645EC}">
                        <a14:shadowObscured xmlns:a14="http://schemas.microsoft.com/office/drawing/2010/main"/>
                      </a:ext>
                    </a:extLst>
                  </pic:spPr>
                </pic:pic>
              </a:graphicData>
            </a:graphic>
          </wp:inline>
        </w:drawing>
      </w:r>
    </w:p>
    <w:p w14:paraId="15E70B54" w14:textId="0E6E11E3" w:rsidR="00E4281E" w:rsidRPr="00055E91" w:rsidRDefault="003D1B2C" w:rsidP="003D1B2C">
      <w:pPr>
        <w:pStyle w:val="Caption"/>
      </w:pPr>
      <w:bookmarkStart w:id="45" w:name="_Ref99982285"/>
      <w:r>
        <w:t xml:space="preserve">Figure </w:t>
      </w:r>
      <w:fldSimple w:instr=" SEQ Figure \* ARABIC ">
        <w:r>
          <w:rPr>
            <w:noProof/>
          </w:rPr>
          <w:t>6</w:t>
        </w:r>
      </w:fldSimple>
      <w:bookmarkEnd w:id="45"/>
      <w:r w:rsidR="00E4281E" w:rsidRPr="00055E91">
        <w:tab/>
        <w:t>Forest plot of the likelihood that risk stratification strategies can predict mortality and/or cardiac morbidity in patients with PAH</w:t>
      </w:r>
    </w:p>
    <w:p w14:paraId="5BAA5E0B" w14:textId="77777777" w:rsidR="00E4281E" w:rsidRPr="00055E91" w:rsidRDefault="00E4281E" w:rsidP="00CE78B6">
      <w:pPr>
        <w:pStyle w:val="TableNotes2"/>
        <w:keepLines/>
        <w:rPr>
          <w:snapToGrid w:val="0"/>
        </w:rPr>
      </w:pPr>
      <w:r w:rsidRPr="00055E91">
        <w:rPr>
          <w:snapToGrid w:val="0"/>
        </w:rPr>
        <w:t>CI = confidence interval; HR = hazard ratio; Int-med = intermediate; NT-</w:t>
      </w:r>
      <w:proofErr w:type="spellStart"/>
      <w:r w:rsidRPr="00055E91">
        <w:rPr>
          <w:snapToGrid w:val="0"/>
        </w:rPr>
        <w:t>proBNP</w:t>
      </w:r>
      <w:proofErr w:type="spellEnd"/>
      <w:r w:rsidRPr="00055E91">
        <w:rPr>
          <w:snapToGrid w:val="0"/>
        </w:rPr>
        <w:t xml:space="preserve"> = N-terminal pro-brain natriuretic peptide; PAH = pulmonary arterial hypertension; SD = standard deviation</w:t>
      </w:r>
    </w:p>
    <w:p w14:paraId="31E6C59B"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Pr>
          <w:rFonts w:ascii="Franklin Gothic Medium" w:eastAsiaTheme="majorEastAsia" w:hAnsi="Franklin Gothic Medium" w:cstheme="majorBidi"/>
          <w:i/>
          <w:sz w:val="24"/>
          <w:szCs w:val="24"/>
        </w:rPr>
        <w:t>Comparison of r</w:t>
      </w:r>
      <w:r w:rsidRPr="00055E91">
        <w:rPr>
          <w:rFonts w:ascii="Franklin Gothic Medium" w:eastAsiaTheme="majorEastAsia" w:hAnsi="Franklin Gothic Medium" w:cstheme="majorBidi"/>
          <w:i/>
          <w:sz w:val="24"/>
          <w:szCs w:val="24"/>
        </w:rPr>
        <w:t xml:space="preserve">isk stratification calculators that do </w:t>
      </w:r>
      <w:r>
        <w:rPr>
          <w:rFonts w:ascii="Franklin Gothic Medium" w:eastAsiaTheme="majorEastAsia" w:hAnsi="Franklin Gothic Medium" w:cstheme="majorBidi"/>
          <w:i/>
          <w:sz w:val="24"/>
          <w:szCs w:val="24"/>
        </w:rPr>
        <w:t xml:space="preserve">and do </w:t>
      </w:r>
      <w:r w:rsidRPr="00055E91">
        <w:rPr>
          <w:rFonts w:ascii="Franklin Gothic Medium" w:eastAsiaTheme="majorEastAsia" w:hAnsi="Franklin Gothic Medium" w:cstheme="majorBidi"/>
          <w:i/>
          <w:sz w:val="24"/>
          <w:szCs w:val="24"/>
        </w:rPr>
        <w:t>not include NT-</w:t>
      </w:r>
      <w:proofErr w:type="spellStart"/>
      <w:r w:rsidRPr="00055E91">
        <w:rPr>
          <w:rFonts w:ascii="Franklin Gothic Medium" w:eastAsiaTheme="majorEastAsia" w:hAnsi="Franklin Gothic Medium" w:cstheme="majorBidi"/>
          <w:i/>
          <w:sz w:val="24"/>
          <w:szCs w:val="24"/>
        </w:rPr>
        <w:t>proBNP</w:t>
      </w:r>
      <w:proofErr w:type="spellEnd"/>
      <w:r w:rsidRPr="00055E91">
        <w:rPr>
          <w:rFonts w:ascii="Franklin Gothic Medium" w:eastAsiaTheme="majorEastAsia" w:hAnsi="Franklin Gothic Medium" w:cstheme="majorBidi"/>
          <w:i/>
          <w:sz w:val="24"/>
          <w:szCs w:val="24"/>
        </w:rPr>
        <w:t xml:space="preserve"> in the prediction of mortality and/or morbidity</w:t>
      </w:r>
    </w:p>
    <w:p w14:paraId="7D379D94" w14:textId="6D04D0D9" w:rsidR="00E4281E" w:rsidRPr="001F7A91" w:rsidRDefault="00E4281E" w:rsidP="00E4281E">
      <w:r w:rsidRPr="001F7A91">
        <w:t xml:space="preserve">One study by </w:t>
      </w:r>
      <w:proofErr w:type="spellStart"/>
      <w:r w:rsidRPr="001F7A91">
        <w:t>Benza</w:t>
      </w:r>
      <w:proofErr w:type="spellEnd"/>
      <w:r w:rsidRPr="001F7A91">
        <w:t xml:space="preserve"> et al. (2021), examined the value of each of the six variables in the REVEAL Lite 2 calculator (that has been proposed for use in Australia). The authors found that the absence of NT-</w:t>
      </w:r>
      <w:proofErr w:type="spellStart"/>
      <w:r w:rsidRPr="001F7A91">
        <w:t>proBNP</w:t>
      </w:r>
      <w:proofErr w:type="spellEnd"/>
      <w:r w:rsidRPr="001F7A91">
        <w:t xml:space="preserve"> test results had the largest impact on the performance of the 6-variable REVEAL Lite 2 risk stratification calculator with the resultant risk calculation being less discriminatory (the C-index fell from 0.73 to 0.70). </w:t>
      </w:r>
    </w:p>
    <w:p w14:paraId="59A5218A" w14:textId="77777777" w:rsidR="00E4281E" w:rsidRPr="001F7A91" w:rsidRDefault="00E4281E" w:rsidP="00E4281E">
      <w:r w:rsidRPr="001F7A91">
        <w:t>Another three studies were identified that compared the ability of risk stratification calculators that do and do not include NT-</w:t>
      </w:r>
      <w:proofErr w:type="spellStart"/>
      <w:r w:rsidRPr="001F7A91">
        <w:t>proBNP</w:t>
      </w:r>
      <w:proofErr w:type="spellEnd"/>
      <w:r w:rsidRPr="001F7A91">
        <w:t xml:space="preserve"> to predict morbidity/mortality of PAH patients.</w:t>
      </w:r>
    </w:p>
    <w:p w14:paraId="2F047ED4" w14:textId="77618C85" w:rsidR="00E4281E" w:rsidRPr="001F7A91" w:rsidRDefault="00E4281E" w:rsidP="00E4281E">
      <w:proofErr w:type="spellStart"/>
      <w:r w:rsidRPr="001F7A91">
        <w:t>Benza</w:t>
      </w:r>
      <w:proofErr w:type="spellEnd"/>
      <w:r w:rsidRPr="001F7A91">
        <w:t xml:space="preserve"> et al. (2019) included the </w:t>
      </w:r>
      <w:r w:rsidR="7B3B5281">
        <w:t>French Pulmonary Hypertension Registry (</w:t>
      </w:r>
      <w:r w:rsidRPr="001F7A91">
        <w:t>FPHR</w:t>
      </w:r>
      <w:r w:rsidR="7B3B5281">
        <w:t>)</w:t>
      </w:r>
      <w:r w:rsidRPr="001F7A91">
        <w:t xml:space="preserve"> strategy, which assessed </w:t>
      </w:r>
      <w:r w:rsidR="005938E4">
        <w:t>a</w:t>
      </w:r>
      <w:r w:rsidR="00024F99">
        <w:t xml:space="preserve"> </w:t>
      </w:r>
      <w:r w:rsidRPr="001F7A91">
        <w:t>number of low</w:t>
      </w:r>
      <w:r w:rsidR="7B3B5281">
        <w:t>-</w:t>
      </w:r>
      <w:r w:rsidRPr="001F7A91">
        <w:t xml:space="preserve">risk variables: WHO FC, 6MWD, </w:t>
      </w:r>
      <w:r w:rsidR="7B3B5281">
        <w:t>right atrial pressure (</w:t>
      </w:r>
      <w:r w:rsidRPr="001F7A91">
        <w:t>RAP</w:t>
      </w:r>
      <w:r w:rsidR="7B3B5281">
        <w:t>),</w:t>
      </w:r>
      <w:r w:rsidRPr="001F7A91">
        <w:t xml:space="preserve"> and cardiac index according to thresholds prescribed by the 2015 ESC/ERS guidelines. </w:t>
      </w:r>
      <w:proofErr w:type="spellStart"/>
      <w:r w:rsidRPr="001F7A91">
        <w:t>Benza</w:t>
      </w:r>
      <w:proofErr w:type="spellEnd"/>
      <w:r w:rsidRPr="001F7A91">
        <w:t xml:space="preserve"> et al. (2019) found that the REVEAL 2.0 risk calculator demonstrated greater risk discrimination than the FPHR risk calculator in patients enrolled in the REVEAL registry.</w:t>
      </w:r>
    </w:p>
    <w:p w14:paraId="5A8260BB" w14:textId="77777777" w:rsidR="00E4281E" w:rsidRPr="001F7A91" w:rsidRDefault="00E4281E" w:rsidP="00E4281E">
      <w:r w:rsidRPr="001F7A91">
        <w:t xml:space="preserve">Another study by </w:t>
      </w:r>
      <w:proofErr w:type="spellStart"/>
      <w:r w:rsidRPr="001F7A91">
        <w:t>Sitbon</w:t>
      </w:r>
      <w:proofErr w:type="spellEnd"/>
      <w:r w:rsidRPr="001F7A91">
        <w:t xml:space="preserve"> et al (2015) identified during evaluation</w:t>
      </w:r>
      <w:r w:rsidRPr="001F7A91">
        <w:rPr>
          <w:vertAlign w:val="superscript"/>
        </w:rPr>
        <w:footnoteReference w:id="2"/>
      </w:r>
      <w:r w:rsidRPr="001F7A91">
        <w:t>, compared the REVEAL risk score calculator (including BNP/NT-</w:t>
      </w:r>
      <w:proofErr w:type="spellStart"/>
      <w:r w:rsidRPr="001F7A91">
        <w:t>proBNP</w:t>
      </w:r>
      <w:proofErr w:type="spellEnd"/>
      <w:r w:rsidRPr="001F7A91">
        <w:t xml:space="preserve">, TTE and RHC) and FPHN </w:t>
      </w:r>
      <w:proofErr w:type="spellStart"/>
      <w:r w:rsidRPr="001F7A91">
        <w:t>ItinérAIR</w:t>
      </w:r>
      <w:proofErr w:type="spellEnd"/>
      <w:r w:rsidRPr="001F7A91">
        <w:t xml:space="preserve">-HTAP predictive equation. PASC considered FPHN </w:t>
      </w:r>
      <w:proofErr w:type="spellStart"/>
      <w:r w:rsidRPr="001F7A91">
        <w:t>ItinérAIR</w:t>
      </w:r>
      <w:proofErr w:type="spellEnd"/>
      <w:r w:rsidRPr="001F7A91">
        <w:t xml:space="preserve">-HTAP predictive equation to be the most appropriate comparator for Population 2. The FPHN </w:t>
      </w:r>
      <w:proofErr w:type="spellStart"/>
      <w:r w:rsidRPr="001F7A91">
        <w:t>ItinérAIR</w:t>
      </w:r>
      <w:proofErr w:type="spellEnd"/>
      <w:r w:rsidRPr="001F7A91">
        <w:t>-HTAP is a three-term equation (including female sex, greater 6MWD and higher cardiac output) predicting survival at 3</w:t>
      </w:r>
      <w:r w:rsidRPr="001F7A91">
        <w:rPr>
          <w:rFonts w:ascii="Arial" w:hAnsi="Arial"/>
        </w:rPr>
        <w:t xml:space="preserve"> </w:t>
      </w:r>
      <w:r w:rsidRPr="001F7A91">
        <w:t xml:space="preserve">years from diagnosis. The </w:t>
      </w:r>
      <w:r w:rsidRPr="001F7A91">
        <w:lastRenderedPageBreak/>
        <w:t xml:space="preserve">authors found that the REVEAL risk score calculator and FPHN </w:t>
      </w:r>
      <w:proofErr w:type="spellStart"/>
      <w:r w:rsidRPr="001F7A91">
        <w:t>ItinérAIR</w:t>
      </w:r>
      <w:proofErr w:type="spellEnd"/>
      <w:r w:rsidRPr="001F7A91">
        <w:t>-HTAP predictive equation showed good discrimination and calibration for prediction of survival in the FPHN and REVEAL cohorts, respectively. The authors suggest that this indicates prognostic generalisability in geographically different PAH populations that may be useful in clinical practice.</w:t>
      </w:r>
    </w:p>
    <w:p w14:paraId="56C5DE58" w14:textId="77777777" w:rsidR="00E4281E" w:rsidRPr="001F7A91" w:rsidRDefault="00E4281E" w:rsidP="00E4281E">
      <w:proofErr w:type="spellStart"/>
      <w:r w:rsidRPr="001F7A91">
        <w:t>Dardi</w:t>
      </w:r>
      <w:proofErr w:type="spellEnd"/>
      <w:r w:rsidRPr="001F7A91">
        <w:t xml:space="preserve"> et al (2021) found that the C-index indicated that the risk discrimination of the Bologna simplified risk table was similar to the COMPERA strategy and only slightly inferior to the FPHR strategy (p=0.014).</w:t>
      </w:r>
    </w:p>
    <w:p w14:paraId="7FEFABD5" w14:textId="122891F8" w:rsidR="00E4281E" w:rsidRPr="001F7A91" w:rsidRDefault="00E4281E" w:rsidP="00E4281E">
      <w:r w:rsidRPr="001F7A91">
        <w:t>Overall, the evidence suggests that risk stratification calculators that included NT-</w:t>
      </w:r>
      <w:proofErr w:type="spellStart"/>
      <w:r w:rsidRPr="001F7A91">
        <w:t>proBNP</w:t>
      </w:r>
      <w:proofErr w:type="spellEnd"/>
      <w:r w:rsidRPr="001F7A91">
        <w:t xml:space="preserve"> were at least as effective as those that did not include NT-</w:t>
      </w:r>
      <w:proofErr w:type="spellStart"/>
      <w:r w:rsidRPr="001F7A91">
        <w:t>proBNP</w:t>
      </w:r>
      <w:proofErr w:type="spellEnd"/>
      <w:r w:rsidRPr="001F7A91">
        <w:t xml:space="preserve"> in identifying patients likely to die in the next year.</w:t>
      </w:r>
    </w:p>
    <w:p w14:paraId="28A010BA"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Change in Management</w:t>
      </w:r>
    </w:p>
    <w:p w14:paraId="1FAE7D46" w14:textId="77777777" w:rsidR="00E4281E" w:rsidRPr="001F7A91" w:rsidRDefault="00E4281E" w:rsidP="00E4281E">
      <w:r w:rsidRPr="001F7A91">
        <w:t>No evidence of change in management was identified for Population 2.</w:t>
      </w:r>
    </w:p>
    <w:p w14:paraId="0408A7C5" w14:textId="4D5DCFCB" w:rsidR="00E4281E" w:rsidRPr="001F7A91" w:rsidRDefault="00E4281E" w:rsidP="00E4281E">
      <w:r w:rsidRPr="001F7A91">
        <w:t xml:space="preserve">The </w:t>
      </w:r>
      <w:r w:rsidR="00883B9F">
        <w:t xml:space="preserve">commentary considered that </w:t>
      </w:r>
      <w:r w:rsidRPr="001F7A91">
        <w:t>limited evidence suggests that risk stratification calculators that included NT-</w:t>
      </w:r>
      <w:proofErr w:type="spellStart"/>
      <w:r w:rsidRPr="001F7A91">
        <w:t>proBNP</w:t>
      </w:r>
      <w:proofErr w:type="spellEnd"/>
      <w:r w:rsidRPr="001F7A91">
        <w:t xml:space="preserve"> were at least as effective as those that did not. Thus, the use of the REVEAL Lite 2 risk calculator, which incorporates the NT-</w:t>
      </w:r>
      <w:proofErr w:type="spellStart"/>
      <w:r w:rsidRPr="001F7A91">
        <w:t>proBNP</w:t>
      </w:r>
      <w:proofErr w:type="spellEnd"/>
      <w:r w:rsidRPr="001F7A91">
        <w:t xml:space="preserve"> result, to triage patients for RHC will not result in any downstream change in management. </w:t>
      </w:r>
      <w:r w:rsidR="00883B9F">
        <w:t>The commentary considered that i</w:t>
      </w:r>
      <w:r w:rsidRPr="001F7A91">
        <w:t>t will however, reduce the number of patients requiring TTE.</w:t>
      </w:r>
    </w:p>
    <w:p w14:paraId="5B18F307" w14:textId="77777777" w:rsidR="00E4281E" w:rsidRPr="00055E91" w:rsidRDefault="00E4281E" w:rsidP="00E4281E">
      <w:pPr>
        <w:keepNext/>
        <w:keepLines/>
        <w:tabs>
          <w:tab w:val="left" w:pos="851"/>
        </w:tabs>
        <w:spacing w:before="360" w:after="200" w:line="240" w:lineRule="auto"/>
        <w:outlineLvl w:val="3"/>
        <w:rPr>
          <w:rFonts w:ascii="Franklin Gothic Medium" w:eastAsiaTheme="majorEastAsia" w:hAnsi="Franklin Gothic Medium" w:cstheme="majorBidi"/>
          <w:i/>
          <w:sz w:val="24"/>
          <w:szCs w:val="24"/>
        </w:rPr>
      </w:pPr>
      <w:r w:rsidRPr="00055E91">
        <w:rPr>
          <w:rFonts w:ascii="Franklin Gothic Medium" w:eastAsiaTheme="majorEastAsia" w:hAnsi="Franklin Gothic Medium" w:cstheme="majorBidi"/>
          <w:i/>
          <w:sz w:val="24"/>
          <w:szCs w:val="24"/>
        </w:rPr>
        <w:t>Clinical claim</w:t>
      </w:r>
    </w:p>
    <w:p w14:paraId="673031CD" w14:textId="39748EEB" w:rsidR="00E4281E" w:rsidRPr="001F7A91" w:rsidRDefault="00E4281E" w:rsidP="00E4281E">
      <w:r w:rsidRPr="001F7A91">
        <w:t>Overall, the evidence suggests that REVEAL Lite 2 risk stratification calculator (which includes NT-</w:t>
      </w:r>
      <w:proofErr w:type="spellStart"/>
      <w:r w:rsidRPr="001F7A91">
        <w:t>proBNP</w:t>
      </w:r>
      <w:proofErr w:type="spellEnd"/>
      <w:r w:rsidRPr="001F7A91">
        <w:t xml:space="preserve"> results) was non-inferior to other risk stratification calculators, whether or not they included NT-</w:t>
      </w:r>
      <w:proofErr w:type="spellStart"/>
      <w:r w:rsidRPr="001F7A91">
        <w:t>proBNP</w:t>
      </w:r>
      <w:proofErr w:type="spellEnd"/>
      <w:r w:rsidRPr="001F7A91">
        <w:t xml:space="preserve"> results in identifying patients likely to die in the next year. </w:t>
      </w:r>
    </w:p>
    <w:p w14:paraId="3EF372A5" w14:textId="77777777" w:rsidR="00E4281E" w:rsidRPr="001F7A91" w:rsidRDefault="00E4281E" w:rsidP="00E4281E">
      <w:r w:rsidRPr="001F7A91">
        <w:t>The REVEAL Lite 2 risk stratification calculator will not result in any downstream change in patient management. It will however, reduce the number of patients requiring TTE compared to the current risk calculation strategy. The proportion of patients with stable disease who will not require TTE was not reported. As there are no safety concerns either for the NT-</w:t>
      </w:r>
      <w:proofErr w:type="spellStart"/>
      <w:r w:rsidRPr="001F7A91">
        <w:t>proBNP</w:t>
      </w:r>
      <w:proofErr w:type="spellEnd"/>
      <w:r w:rsidRPr="001F7A91">
        <w:t xml:space="preserve"> test or for TTE, the REVEAL Lite 2 risk stratification calculator has a non-inferior safety profile compared to other risk stratification calculators.</w:t>
      </w:r>
    </w:p>
    <w:p w14:paraId="1C81F05F" w14:textId="5FA18E26" w:rsidR="00E4281E" w:rsidRPr="00055E91" w:rsidRDefault="00E4281E"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46" w:name="_Toc69491425"/>
      <w:bookmarkStart w:id="47" w:name="_Toc103161075"/>
      <w:r w:rsidRPr="00055E91">
        <w:rPr>
          <w:rFonts w:ascii="Franklin Gothic Medium" w:eastAsiaTheme="majorEastAsia" w:hAnsi="Franklin Gothic Medium" w:cstheme="majorBidi"/>
          <w:color w:val="000000" w:themeColor="text1"/>
          <w:sz w:val="32"/>
          <w:szCs w:val="26"/>
        </w:rPr>
        <w:t>1</w:t>
      </w:r>
      <w:r w:rsidR="009A5B31">
        <w:rPr>
          <w:rFonts w:ascii="Franklin Gothic Medium" w:eastAsiaTheme="majorEastAsia" w:hAnsi="Franklin Gothic Medium" w:cstheme="majorBidi"/>
          <w:color w:val="000000" w:themeColor="text1"/>
          <w:sz w:val="32"/>
          <w:szCs w:val="26"/>
        </w:rPr>
        <w:t>3</w:t>
      </w:r>
      <w:r w:rsidRPr="00055E91">
        <w:rPr>
          <w:rFonts w:ascii="Franklin Gothic Medium" w:eastAsiaTheme="majorEastAsia" w:hAnsi="Franklin Gothic Medium" w:cstheme="majorBidi"/>
          <w:color w:val="000000" w:themeColor="text1"/>
          <w:sz w:val="32"/>
          <w:szCs w:val="26"/>
        </w:rPr>
        <w:t>.</w:t>
      </w:r>
      <w:r w:rsidRPr="00055E91">
        <w:rPr>
          <w:rFonts w:ascii="Franklin Gothic Medium" w:eastAsiaTheme="majorEastAsia" w:hAnsi="Franklin Gothic Medium" w:cstheme="majorBidi"/>
          <w:color w:val="000000" w:themeColor="text1"/>
          <w:sz w:val="32"/>
          <w:szCs w:val="26"/>
        </w:rPr>
        <w:tab/>
        <w:t>Economic evaluation</w:t>
      </w:r>
      <w:bookmarkEnd w:id="46"/>
      <w:bookmarkEnd w:id="47"/>
    </w:p>
    <w:p w14:paraId="3FEF2A7A" w14:textId="77777777" w:rsidR="00E4281E" w:rsidRPr="001270E9" w:rsidRDefault="00E4281E" w:rsidP="00E4281E">
      <w:pPr>
        <w:pStyle w:val="Instructionaltext"/>
        <w:rPr>
          <w:color w:val="auto"/>
        </w:rPr>
      </w:pPr>
      <w:r w:rsidRPr="001270E9">
        <w:rPr>
          <w:color w:val="auto"/>
        </w:rPr>
        <w:t xml:space="preserve">The </w:t>
      </w:r>
      <w:r>
        <w:rPr>
          <w:iCs/>
          <w:color w:val="auto"/>
        </w:rPr>
        <w:t>ADAR</w:t>
      </w:r>
      <w:r w:rsidRPr="001270E9">
        <w:rPr>
          <w:color w:val="auto"/>
        </w:rPr>
        <w:t xml:space="preserve"> adopted a cost-minimisation approach (CMA). The analysis was presented for each population separately, and then weighted by the expected distribution of use across the eligible populations. </w:t>
      </w:r>
    </w:p>
    <w:p w14:paraId="553D6C7A" w14:textId="4F562C36" w:rsidR="00E4281E" w:rsidRPr="004D6EDD" w:rsidRDefault="00E4281E" w:rsidP="00E4281E">
      <w:pPr>
        <w:pStyle w:val="Instructionaltext"/>
        <w:rPr>
          <w:i/>
          <w:iCs/>
          <w:color w:val="auto"/>
        </w:rPr>
      </w:pPr>
      <w:r w:rsidRPr="001270E9">
        <w:rPr>
          <w:color w:val="auto"/>
        </w:rPr>
        <w:t>The MBS fee requested was based on that for NT-</w:t>
      </w:r>
      <w:proofErr w:type="spellStart"/>
      <w:r w:rsidRPr="001270E9">
        <w:rPr>
          <w:color w:val="auto"/>
        </w:rPr>
        <w:t>proBNP</w:t>
      </w:r>
      <w:proofErr w:type="spellEnd"/>
      <w:r w:rsidRPr="001270E9">
        <w:rPr>
          <w:color w:val="auto"/>
        </w:rPr>
        <w:t xml:space="preserve"> testing (Fee: $58.50; MBS item code 66830) and was the same across Population 1 and 2. This </w:t>
      </w:r>
      <w:r w:rsidRPr="001270E9">
        <w:rPr>
          <w:color w:val="000000" w:themeColor="text1"/>
        </w:rPr>
        <w:t>is lower than the service fee most likely to be replaced in each algorithm i.e., TTE (Fee: $</w:t>
      </w:r>
      <w:r w:rsidR="002B7CB0" w:rsidRPr="005066BA">
        <w:rPr>
          <w:i/>
          <w:iCs/>
          <w:color w:val="000000" w:themeColor="text1"/>
        </w:rPr>
        <w:t>236.25</w:t>
      </w:r>
      <w:r w:rsidRPr="001270E9">
        <w:rPr>
          <w:color w:val="000000" w:themeColor="text1"/>
        </w:rPr>
        <w:t xml:space="preserve">; MBS item code </w:t>
      </w:r>
      <w:r w:rsidR="002B7CB0" w:rsidRPr="005066BA">
        <w:rPr>
          <w:i/>
          <w:iCs/>
          <w:color w:val="000000" w:themeColor="text1"/>
        </w:rPr>
        <w:t>55126/55129</w:t>
      </w:r>
      <w:r w:rsidRPr="001270E9">
        <w:rPr>
          <w:color w:val="000000" w:themeColor="text1"/>
        </w:rPr>
        <w:t>).</w:t>
      </w:r>
      <w:r w:rsidR="005066BA">
        <w:rPr>
          <w:color w:val="000000" w:themeColor="text1"/>
        </w:rPr>
        <w:t xml:space="preserve"> </w:t>
      </w:r>
      <w:r w:rsidR="005066BA">
        <w:rPr>
          <w:i/>
          <w:iCs/>
          <w:color w:val="000000" w:themeColor="text1"/>
        </w:rPr>
        <w:t xml:space="preserve">ESC noted that MBS item </w:t>
      </w:r>
      <w:r w:rsidR="00667663">
        <w:rPr>
          <w:i/>
          <w:iCs/>
          <w:color w:val="000000" w:themeColor="text1"/>
        </w:rPr>
        <w:t xml:space="preserve">55133 used in the ADAR is not for the investigation of PH/PAH. </w:t>
      </w:r>
      <w:r w:rsidR="004D6EDD">
        <w:rPr>
          <w:i/>
          <w:iCs/>
          <w:color w:val="000000" w:themeColor="text1"/>
        </w:rPr>
        <w:t xml:space="preserve">This was revised for the ESC report. </w:t>
      </w:r>
    </w:p>
    <w:p w14:paraId="6E195FED" w14:textId="37EAF94C" w:rsidR="00E4281E" w:rsidRPr="001270E9" w:rsidRDefault="00E4281E" w:rsidP="00E4281E">
      <w:pPr>
        <w:spacing w:before="240" w:after="240"/>
      </w:pPr>
      <w:r w:rsidRPr="001270E9">
        <w:t>In Population 1, the submission has assumed almost complete substitution of TTE by NT-</w:t>
      </w:r>
      <w:proofErr w:type="spellStart"/>
      <w:r w:rsidRPr="001270E9">
        <w:t>proBNP</w:t>
      </w:r>
      <w:proofErr w:type="spellEnd"/>
      <w:r w:rsidRPr="001270E9">
        <w:t xml:space="preserve"> (some TTE use following NT-</w:t>
      </w:r>
      <w:proofErr w:type="spellStart"/>
      <w:r w:rsidRPr="001270E9">
        <w:t>proBNP</w:t>
      </w:r>
      <w:proofErr w:type="spellEnd"/>
      <w:r w:rsidRPr="001270E9">
        <w:t xml:space="preserve"> was assumed in a small proportion of patients). </w:t>
      </w:r>
      <w:r w:rsidR="00DB7645">
        <w:rPr>
          <w:i/>
          <w:iCs/>
        </w:rPr>
        <w:t>ESC requested the t</w:t>
      </w:r>
      <w:r w:rsidR="00657803">
        <w:rPr>
          <w:i/>
          <w:iCs/>
        </w:rPr>
        <w:t>est performance parameters be calculated based on an annual incidence of 1% (</w:t>
      </w:r>
      <w:proofErr w:type="spellStart"/>
      <w:r w:rsidR="00657803">
        <w:rPr>
          <w:i/>
          <w:iCs/>
        </w:rPr>
        <w:t>Morrisroe</w:t>
      </w:r>
      <w:proofErr w:type="spellEnd"/>
      <w:r w:rsidR="00657803">
        <w:rPr>
          <w:i/>
          <w:iCs/>
        </w:rPr>
        <w:t xml:space="preserve"> 2017). </w:t>
      </w:r>
      <w:r w:rsidR="00D87D5F">
        <w:rPr>
          <w:i/>
          <w:iCs/>
        </w:rPr>
        <w:t xml:space="preserve">This would result in a screen positive rate of 46% for the ASIG algorithm. </w:t>
      </w:r>
      <w:r w:rsidR="0057662F">
        <w:rPr>
          <w:i/>
          <w:iCs/>
        </w:rPr>
        <w:t>NT</w:t>
      </w:r>
      <w:r w:rsidR="0057662F">
        <w:rPr>
          <w:i/>
          <w:iCs/>
        </w:rPr>
        <w:noBreakHyphen/>
      </w:r>
      <w:proofErr w:type="spellStart"/>
      <w:r w:rsidR="0057662F">
        <w:rPr>
          <w:i/>
          <w:iCs/>
        </w:rPr>
        <w:t>proBNP</w:t>
      </w:r>
      <w:proofErr w:type="spellEnd"/>
      <w:r w:rsidR="0057662F">
        <w:rPr>
          <w:i/>
          <w:iCs/>
        </w:rPr>
        <w:t xml:space="preserve"> remained cost saving </w:t>
      </w:r>
      <w:r w:rsidR="007E1F2C">
        <w:rPr>
          <w:i/>
          <w:iCs/>
        </w:rPr>
        <w:t xml:space="preserve">if </w:t>
      </w:r>
      <w:r w:rsidR="00BE7A64">
        <w:rPr>
          <w:i/>
          <w:iCs/>
        </w:rPr>
        <w:t xml:space="preserve">all screen positive patients receive a subsequent TTE. </w:t>
      </w:r>
      <w:r w:rsidRPr="001270E9">
        <w:t xml:space="preserve">The net </w:t>
      </w:r>
      <w:r w:rsidRPr="001270E9">
        <w:lastRenderedPageBreak/>
        <w:t>cost difference per patient (with NT-</w:t>
      </w:r>
      <w:proofErr w:type="spellStart"/>
      <w:r w:rsidRPr="001270E9">
        <w:t>proBNP</w:t>
      </w:r>
      <w:proofErr w:type="spellEnd"/>
      <w:r w:rsidRPr="001270E9">
        <w:t xml:space="preserve"> compared to TTE) presented for Population 1 was uncertain due to the inconsistencies in the submission for: </w:t>
      </w:r>
    </w:p>
    <w:p w14:paraId="5E81FEE8" w14:textId="3AA97CEE" w:rsidR="00E4281E" w:rsidRPr="001270E9" w:rsidRDefault="00E4281E" w:rsidP="00543A01">
      <w:pPr>
        <w:pStyle w:val="ListParagraph"/>
        <w:numPr>
          <w:ilvl w:val="0"/>
          <w:numId w:val="19"/>
        </w:numPr>
        <w:spacing w:before="240" w:after="240"/>
      </w:pPr>
      <w:r w:rsidRPr="001270E9">
        <w:t>The assumption for the proportion of patients and the test frequencies of TTE or NT-</w:t>
      </w:r>
      <w:proofErr w:type="spellStart"/>
      <w:r w:rsidRPr="001270E9">
        <w:t>proBNP</w:t>
      </w:r>
      <w:proofErr w:type="spellEnd"/>
      <w:r w:rsidRPr="001270E9">
        <w:t xml:space="preserve"> services per year (i.e. average of 1.1 tests per patient per year in each arm), and</w:t>
      </w:r>
    </w:p>
    <w:p w14:paraId="3C1CF534" w14:textId="25236CFD" w:rsidR="00E4281E" w:rsidRPr="001270E9" w:rsidRDefault="00E4281E" w:rsidP="00543A01">
      <w:pPr>
        <w:pStyle w:val="ListParagraph"/>
        <w:numPr>
          <w:ilvl w:val="0"/>
          <w:numId w:val="19"/>
        </w:numPr>
        <w:spacing w:before="240" w:after="240"/>
      </w:pPr>
      <w:r w:rsidRPr="001270E9">
        <w:t xml:space="preserve">The assumption that approximately 10% of </w:t>
      </w:r>
      <w:proofErr w:type="spellStart"/>
      <w:r w:rsidRPr="001270E9">
        <w:t>SSc</w:t>
      </w:r>
      <w:proofErr w:type="spellEnd"/>
      <w:r w:rsidRPr="001270E9">
        <w:t xml:space="preserve"> patients diagnosed with PAH (who test positive for NT-</w:t>
      </w:r>
      <w:proofErr w:type="spellStart"/>
      <w:r w:rsidRPr="001270E9">
        <w:t>proBNP</w:t>
      </w:r>
      <w:proofErr w:type="spellEnd"/>
      <w:r w:rsidRPr="001270E9">
        <w:t xml:space="preserve"> test) would undertake an additional TTE test was not consistent with </w:t>
      </w:r>
      <w:r w:rsidR="003B4F6F">
        <w:t>the screen positive rate</w:t>
      </w:r>
      <w:r w:rsidR="003134C2">
        <w:t xml:space="preserve"> for </w:t>
      </w:r>
      <w:r w:rsidRPr="001270E9">
        <w:t xml:space="preserve">the </w:t>
      </w:r>
      <w:r w:rsidR="003134C2">
        <w:t>ASIG</w:t>
      </w:r>
      <w:r w:rsidRPr="001270E9">
        <w:t xml:space="preserve"> algorithm. The extent of TTE use following NT-</w:t>
      </w:r>
      <w:proofErr w:type="spellStart"/>
      <w:r w:rsidRPr="001270E9">
        <w:t>proBNP</w:t>
      </w:r>
      <w:proofErr w:type="spellEnd"/>
      <w:r w:rsidRPr="001270E9">
        <w:t xml:space="preserve"> test</w:t>
      </w:r>
      <w:r w:rsidR="003134C2">
        <w:t>ing</w:t>
      </w:r>
      <w:r w:rsidRPr="001270E9">
        <w:t xml:space="preserve"> in the proposed intervention arm is uncertain</w:t>
      </w:r>
      <w:r w:rsidR="003134C2">
        <w:t>.</w:t>
      </w:r>
    </w:p>
    <w:p w14:paraId="3DF7AD73" w14:textId="5E34B865" w:rsidR="00E4281E" w:rsidRPr="00AB33FB" w:rsidRDefault="00E4281E" w:rsidP="00E4281E">
      <w:r w:rsidRPr="00AB33FB">
        <w:t>The CMA has not considered the implications for improved accuracy with NT-</w:t>
      </w:r>
      <w:proofErr w:type="spellStart"/>
      <w:r w:rsidRPr="00AB33FB">
        <w:t>proBNP</w:t>
      </w:r>
      <w:proofErr w:type="spellEnd"/>
      <w:r w:rsidRPr="00AB33FB">
        <w:t>. This may be conservative, as a net reduction in RHC costs and costs of repeat testing in those with false negative results may be expected assuming annual NT-</w:t>
      </w:r>
      <w:proofErr w:type="spellStart"/>
      <w:r w:rsidRPr="00AB33FB">
        <w:t>proBNP</w:t>
      </w:r>
      <w:proofErr w:type="spellEnd"/>
      <w:r w:rsidRPr="00AB33FB">
        <w:t xml:space="preserve"> testing. While the analysis does account for a second NT-</w:t>
      </w:r>
      <w:proofErr w:type="spellStart"/>
      <w:r w:rsidRPr="00AB33FB">
        <w:t>proBNP</w:t>
      </w:r>
      <w:proofErr w:type="spellEnd"/>
      <w:r w:rsidRPr="00AB33FB">
        <w:t xml:space="preserve"> test per year in a small proportion of patients (as the applicant had advised PASC that </w:t>
      </w:r>
      <w:r w:rsidR="005938E4">
        <w:t xml:space="preserve">a </w:t>
      </w:r>
      <w:r w:rsidRPr="00AB33FB">
        <w:t>second test would be performed for borderline results or for patients with worsening symptoms), the eligibility criteria was not defined in the MBS item descriptor. The implications of either (</w:t>
      </w:r>
      <w:proofErr w:type="spellStart"/>
      <w:r w:rsidRPr="00AB33FB">
        <w:t>i</w:t>
      </w:r>
      <w:proofErr w:type="spellEnd"/>
      <w:r w:rsidRPr="00AB33FB">
        <w:t>) use of NT-</w:t>
      </w:r>
      <w:proofErr w:type="spellStart"/>
      <w:r w:rsidRPr="00AB33FB">
        <w:t>proBNP</w:t>
      </w:r>
      <w:proofErr w:type="spellEnd"/>
      <w:r w:rsidRPr="00AB33FB">
        <w:t xml:space="preserve"> in a broader range of patients than </w:t>
      </w:r>
      <w:r w:rsidR="7B3B5281">
        <w:t>intended</w:t>
      </w:r>
      <w:r w:rsidRPr="00AB33FB">
        <w:t xml:space="preserve"> or (ii) subsequent TTE and/or RHC use were not considered in the analysis. There is a risk that the cost savings </w:t>
      </w:r>
      <w:r w:rsidRPr="00AB33FB">
        <w:rPr>
          <w:u w:val="single"/>
        </w:rPr>
        <w:t>estimated may not be realised should use of a second test per year be higher than expected though consequences may differ if there is more use of NT-</w:t>
      </w:r>
      <w:proofErr w:type="spellStart"/>
      <w:r w:rsidRPr="00AB33FB">
        <w:rPr>
          <w:u w:val="single"/>
        </w:rPr>
        <w:t>proBNP</w:t>
      </w:r>
      <w:proofErr w:type="spellEnd"/>
      <w:r w:rsidRPr="00AB33FB">
        <w:rPr>
          <w:u w:val="single"/>
        </w:rPr>
        <w:t xml:space="preserve"> compared to TTE that may result in more</w:t>
      </w:r>
      <w:r w:rsidRPr="00AB33FB">
        <w:t xml:space="preserve"> RHCs being performed (due to false positive results associated with the NT-</w:t>
      </w:r>
      <w:proofErr w:type="spellStart"/>
      <w:r w:rsidRPr="00AB33FB">
        <w:t>proBNP</w:t>
      </w:r>
      <w:proofErr w:type="spellEnd"/>
      <w:r w:rsidRPr="00AB33FB">
        <w:t xml:space="preserve"> test). MSAC may wish to consider if there is sufficient data to support two tests per year for some patients and defining eligibility criteria for patients to have two NT-</w:t>
      </w:r>
      <w:proofErr w:type="spellStart"/>
      <w:r w:rsidRPr="00AB33FB">
        <w:t>proBNP</w:t>
      </w:r>
      <w:proofErr w:type="spellEnd"/>
      <w:r w:rsidRPr="00AB33FB">
        <w:t xml:space="preserve"> tests. </w:t>
      </w:r>
    </w:p>
    <w:p w14:paraId="61C5DB48" w14:textId="19FCEA5E" w:rsidR="00E4281E" w:rsidRPr="001270E9" w:rsidRDefault="00E4281E" w:rsidP="00E4281E">
      <w:r w:rsidRPr="001270E9">
        <w:t xml:space="preserve">The </w:t>
      </w:r>
      <w:r w:rsidR="00B32B0B">
        <w:t>cost-minimisation analysis (</w:t>
      </w:r>
      <w:r w:rsidR="00B32B0B" w:rsidRPr="00566EFA">
        <w:rPr>
          <w:i/>
          <w:iCs/>
        </w:rPr>
        <w:t>revised post ESC</w:t>
      </w:r>
      <w:r w:rsidR="00B32B0B">
        <w:t xml:space="preserve">) and the </w:t>
      </w:r>
      <w:r w:rsidRPr="001270E9">
        <w:t xml:space="preserve">submission’s base case for Population 1 </w:t>
      </w:r>
      <w:r w:rsidR="00B32B0B">
        <w:t>is presented</w:t>
      </w:r>
      <w:r w:rsidRPr="001270E9">
        <w:t xml:space="preserve"> in the table below.</w:t>
      </w:r>
    </w:p>
    <w:p w14:paraId="7E7A566F" w14:textId="09AD9E56" w:rsidR="00E4281E" w:rsidRPr="00055E91" w:rsidRDefault="00E4281E" w:rsidP="00B32B0B">
      <w:pPr>
        <w:pStyle w:val="TableHeading0"/>
        <w:keepNext/>
      </w:pPr>
      <w:bookmarkStart w:id="48" w:name="_Ref69725820"/>
      <w:r w:rsidRPr="6AAD1894">
        <w:rPr>
          <w:rFonts w:eastAsia="Times New Roman" w:cs="Times New Roman"/>
        </w:rPr>
        <w:lastRenderedPageBreak/>
        <w:t xml:space="preserve">Table </w:t>
      </w:r>
      <w:r w:rsidRPr="6AAD1894">
        <w:rPr>
          <w:rFonts w:eastAsia="Times New Roman" w:cs="Times New Roman"/>
          <w:color w:val="2B579A"/>
        </w:rPr>
        <w:fldChar w:fldCharType="begin"/>
      </w:r>
      <w:r w:rsidRPr="6AAD1894">
        <w:rPr>
          <w:rFonts w:eastAsia="Times New Roman" w:cs="Times New Roman"/>
        </w:rPr>
        <w:instrText xml:space="preserve"> SEQ Table_CES \* ARABIC </w:instrText>
      </w:r>
      <w:r w:rsidRPr="6AAD1894">
        <w:rPr>
          <w:rFonts w:eastAsia="Times New Roman" w:cs="Times New Roman"/>
          <w:color w:val="2B579A"/>
        </w:rPr>
        <w:fldChar w:fldCharType="separate"/>
      </w:r>
      <w:r w:rsidR="00D270D9">
        <w:rPr>
          <w:rFonts w:eastAsia="Times New Roman" w:cs="Times New Roman"/>
          <w:noProof/>
        </w:rPr>
        <w:t>9</w:t>
      </w:r>
      <w:r w:rsidRPr="6AAD1894">
        <w:rPr>
          <w:rFonts w:eastAsia="Times New Roman" w:cs="Times New Roman"/>
          <w:color w:val="2B579A"/>
        </w:rPr>
        <w:fldChar w:fldCharType="end"/>
      </w:r>
      <w:bookmarkEnd w:id="48"/>
      <w:r>
        <w:tab/>
        <w:t xml:space="preserve">Total cost per patient per year </w:t>
      </w:r>
      <w:r w:rsidRPr="0019569C">
        <w:t xml:space="preserve">associated with </w:t>
      </w:r>
      <w:r w:rsidRPr="002B46C9">
        <w:t xml:space="preserve">testing </w:t>
      </w:r>
      <w:r>
        <w:t xml:space="preserve">algorithms without and with </w:t>
      </w:r>
      <w:r w:rsidRPr="0019569C">
        <w:t>NT-</w:t>
      </w:r>
      <w:proofErr w:type="spellStart"/>
      <w:r w:rsidRPr="0019569C">
        <w:t>proBNP</w:t>
      </w:r>
      <w:proofErr w:type="spellEnd"/>
      <w:r w:rsidRPr="0019569C">
        <w:t xml:space="preserve"> testing in </w:t>
      </w:r>
      <w:r>
        <w:t>P</w:t>
      </w:r>
      <w:r w:rsidRPr="0019569C">
        <w:t>opulation 1</w:t>
      </w:r>
      <w:r>
        <w:t xml:space="preserve"> (</w:t>
      </w:r>
      <w:r w:rsidRPr="00B32B0B">
        <w:rPr>
          <w:i/>
          <w:iCs/>
        </w:rPr>
        <w:t>revised post ESC meeting)</w:t>
      </w:r>
    </w:p>
    <w:tbl>
      <w:tblPr>
        <w:tblStyle w:val="TableGrid1"/>
        <w:tblW w:w="9067" w:type="dxa"/>
        <w:tblLook w:val="04A0" w:firstRow="1" w:lastRow="0" w:firstColumn="1" w:lastColumn="0" w:noHBand="0" w:noVBand="1"/>
        <w:tblCaption w:val="Summary of the inputs used in the economic evaluation "/>
        <w:tblDescription w:val="Summary of the inputs used in the economic evaluation "/>
      </w:tblPr>
      <w:tblGrid>
        <w:gridCol w:w="2821"/>
        <w:gridCol w:w="1699"/>
        <w:gridCol w:w="1721"/>
        <w:gridCol w:w="2826"/>
      </w:tblGrid>
      <w:tr w:rsidR="00E4281E" w:rsidRPr="00C134F9" w14:paraId="62805E07"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821" w:type="dxa"/>
            <w:tcBorders>
              <w:bottom w:val="single" w:sz="4" w:space="0" w:color="auto"/>
            </w:tcBorders>
            <w:shd w:val="clear" w:color="auto" w:fill="auto"/>
          </w:tcPr>
          <w:p w14:paraId="3652D523" w14:textId="77777777" w:rsidR="00E4281E" w:rsidRPr="00C134F9" w:rsidRDefault="00E4281E" w:rsidP="00E4281E">
            <w:pPr>
              <w:keepNext/>
              <w:spacing w:after="60"/>
              <w:jc w:val="center"/>
              <w:rPr>
                <w:rFonts w:ascii="Arial Narrow" w:hAnsi="Arial Narrow"/>
                <w:b/>
              </w:rPr>
            </w:pPr>
            <w:bookmarkStart w:id="49" w:name="Title_Table5"/>
            <w:bookmarkStart w:id="50" w:name="_Ref69725870"/>
            <w:bookmarkEnd w:id="49"/>
            <w:r w:rsidRPr="00C134F9">
              <w:rPr>
                <w:rFonts w:ascii="Arial Narrow" w:hAnsi="Arial Narrow"/>
                <w:b/>
              </w:rPr>
              <w:t>Parameter</w:t>
            </w:r>
          </w:p>
        </w:tc>
        <w:tc>
          <w:tcPr>
            <w:tcW w:w="1699" w:type="dxa"/>
            <w:tcBorders>
              <w:bottom w:val="single" w:sz="4" w:space="0" w:color="auto"/>
            </w:tcBorders>
            <w:shd w:val="clear" w:color="auto" w:fill="auto"/>
          </w:tcPr>
          <w:p w14:paraId="22C78073" w14:textId="77777777" w:rsidR="00E4281E" w:rsidRPr="00C134F9" w:rsidRDefault="00E4281E" w:rsidP="00E4281E">
            <w:pPr>
              <w:keepNext/>
              <w:spacing w:after="60"/>
              <w:jc w:val="center"/>
              <w:rPr>
                <w:rFonts w:ascii="Arial Narrow" w:hAnsi="Arial Narrow"/>
                <w:b/>
              </w:rPr>
            </w:pPr>
            <w:r w:rsidRPr="00C134F9">
              <w:rPr>
                <w:rFonts w:ascii="Arial Narrow" w:hAnsi="Arial Narrow"/>
                <w:b/>
              </w:rPr>
              <w:t>Current clinical management algorithm (without NT-</w:t>
            </w:r>
            <w:proofErr w:type="spellStart"/>
            <w:r w:rsidRPr="00C134F9">
              <w:rPr>
                <w:rFonts w:ascii="Arial Narrow" w:hAnsi="Arial Narrow"/>
                <w:b/>
              </w:rPr>
              <w:t>proBNP</w:t>
            </w:r>
            <w:proofErr w:type="spellEnd"/>
            <w:r w:rsidRPr="00C134F9">
              <w:rPr>
                <w:rFonts w:ascii="Arial Narrow" w:hAnsi="Arial Narrow"/>
                <w:b/>
              </w:rPr>
              <w:t>)</w:t>
            </w:r>
          </w:p>
        </w:tc>
        <w:tc>
          <w:tcPr>
            <w:tcW w:w="1721" w:type="dxa"/>
            <w:tcBorders>
              <w:bottom w:val="single" w:sz="4" w:space="0" w:color="auto"/>
            </w:tcBorders>
            <w:shd w:val="clear" w:color="auto" w:fill="auto"/>
          </w:tcPr>
          <w:p w14:paraId="5A97825C" w14:textId="77777777" w:rsidR="00E4281E" w:rsidRPr="00C134F9" w:rsidRDefault="00E4281E" w:rsidP="00E4281E">
            <w:pPr>
              <w:keepNext/>
              <w:spacing w:after="60"/>
              <w:jc w:val="center"/>
              <w:rPr>
                <w:rFonts w:ascii="Arial Narrow" w:hAnsi="Arial Narrow"/>
                <w:b/>
              </w:rPr>
            </w:pPr>
            <w:r w:rsidRPr="00C134F9">
              <w:rPr>
                <w:rFonts w:ascii="Arial Narrow" w:hAnsi="Arial Narrow"/>
                <w:b/>
              </w:rPr>
              <w:t>Proposed clinical management algorithm (with NT-</w:t>
            </w:r>
            <w:proofErr w:type="spellStart"/>
            <w:r w:rsidRPr="00C134F9">
              <w:rPr>
                <w:rFonts w:ascii="Arial Narrow" w:hAnsi="Arial Narrow"/>
                <w:b/>
              </w:rPr>
              <w:t>proBNP</w:t>
            </w:r>
            <w:proofErr w:type="spellEnd"/>
            <w:r w:rsidRPr="00C134F9">
              <w:rPr>
                <w:rFonts w:ascii="Arial Narrow" w:hAnsi="Arial Narrow"/>
                <w:b/>
              </w:rPr>
              <w:t>)</w:t>
            </w:r>
          </w:p>
        </w:tc>
        <w:tc>
          <w:tcPr>
            <w:tcW w:w="2826" w:type="dxa"/>
            <w:tcBorders>
              <w:bottom w:val="single" w:sz="4" w:space="0" w:color="auto"/>
            </w:tcBorders>
            <w:shd w:val="clear" w:color="auto" w:fill="auto"/>
          </w:tcPr>
          <w:p w14:paraId="0170E150" w14:textId="77777777" w:rsidR="00E4281E" w:rsidRPr="00C134F9" w:rsidRDefault="00E4281E" w:rsidP="00E4281E">
            <w:pPr>
              <w:keepNext/>
              <w:spacing w:after="60"/>
              <w:jc w:val="center"/>
              <w:rPr>
                <w:rFonts w:ascii="Arial Narrow" w:hAnsi="Arial Narrow"/>
                <w:b/>
              </w:rPr>
            </w:pPr>
            <w:r w:rsidRPr="00C134F9">
              <w:rPr>
                <w:rFonts w:ascii="Arial Narrow" w:hAnsi="Arial Narrow"/>
                <w:b/>
              </w:rPr>
              <w:t>Source/Notes</w:t>
            </w:r>
          </w:p>
        </w:tc>
      </w:tr>
      <w:tr w:rsidR="00E4281E" w:rsidRPr="00C134F9" w14:paraId="77B58268" w14:textId="77777777" w:rsidTr="00566EFA">
        <w:tc>
          <w:tcPr>
            <w:tcW w:w="2821" w:type="dxa"/>
            <w:tcBorders>
              <w:bottom w:val="single" w:sz="4" w:space="0" w:color="auto"/>
            </w:tcBorders>
          </w:tcPr>
          <w:p w14:paraId="71A41393" w14:textId="77777777" w:rsidR="00E4281E" w:rsidRPr="00C134F9" w:rsidRDefault="00E4281E" w:rsidP="00E4281E">
            <w:pPr>
              <w:keepNext/>
              <w:spacing w:before="40"/>
              <w:rPr>
                <w:rFonts w:ascii="Arial Narrow" w:hAnsi="Arial Narrow"/>
              </w:rPr>
            </w:pPr>
            <w:r w:rsidRPr="00C134F9">
              <w:rPr>
                <w:rFonts w:ascii="Arial Narrow" w:hAnsi="Arial Narrow"/>
              </w:rPr>
              <w:t>Proportion of patients undergoing two tests per year</w:t>
            </w:r>
          </w:p>
        </w:tc>
        <w:tc>
          <w:tcPr>
            <w:tcW w:w="1699" w:type="dxa"/>
            <w:tcBorders>
              <w:bottom w:val="single" w:sz="4" w:space="0" w:color="auto"/>
            </w:tcBorders>
            <w:vAlign w:val="center"/>
          </w:tcPr>
          <w:p w14:paraId="3E8FDC53" w14:textId="77777777" w:rsidR="00E4281E" w:rsidRPr="00C134F9" w:rsidRDefault="00E4281E" w:rsidP="00E4281E">
            <w:pPr>
              <w:keepNext/>
              <w:spacing w:before="40"/>
              <w:jc w:val="center"/>
              <w:rPr>
                <w:rFonts w:ascii="Arial Narrow" w:hAnsi="Arial Narrow"/>
              </w:rPr>
            </w:pPr>
            <w:r w:rsidRPr="00C134F9">
              <w:rPr>
                <w:rFonts w:ascii="Arial Narrow" w:hAnsi="Arial Narrow"/>
              </w:rPr>
              <w:t>10%</w:t>
            </w:r>
          </w:p>
        </w:tc>
        <w:tc>
          <w:tcPr>
            <w:tcW w:w="1721" w:type="dxa"/>
            <w:tcBorders>
              <w:bottom w:val="single" w:sz="4" w:space="0" w:color="auto"/>
            </w:tcBorders>
            <w:vAlign w:val="center"/>
          </w:tcPr>
          <w:p w14:paraId="3004219D" w14:textId="77777777" w:rsidR="00E4281E" w:rsidRPr="00C134F9" w:rsidRDefault="00E4281E" w:rsidP="00E4281E">
            <w:pPr>
              <w:keepNext/>
              <w:spacing w:before="40"/>
              <w:jc w:val="center"/>
              <w:rPr>
                <w:rFonts w:ascii="Arial Narrow" w:hAnsi="Arial Narrow"/>
              </w:rPr>
            </w:pPr>
            <w:r w:rsidRPr="00C134F9">
              <w:rPr>
                <w:rFonts w:ascii="Arial Narrow" w:hAnsi="Arial Narrow"/>
              </w:rPr>
              <w:t>10%</w:t>
            </w:r>
          </w:p>
        </w:tc>
        <w:tc>
          <w:tcPr>
            <w:tcW w:w="2826" w:type="dxa"/>
            <w:vMerge w:val="restart"/>
            <w:vAlign w:val="center"/>
          </w:tcPr>
          <w:p w14:paraId="38B0F50B" w14:textId="135E91A8" w:rsidR="00E4281E" w:rsidRPr="001C3EB2" w:rsidRDefault="00E4281E" w:rsidP="00E4281E">
            <w:pPr>
              <w:keepNext/>
              <w:spacing w:before="40"/>
              <w:rPr>
                <w:rFonts w:ascii="Arial Narrow" w:hAnsi="Arial Narrow"/>
                <w:i/>
                <w:iCs/>
              </w:rPr>
            </w:pPr>
            <w:r w:rsidRPr="00C134F9">
              <w:rPr>
                <w:rFonts w:ascii="Arial Narrow" w:hAnsi="Arial Narrow"/>
              </w:rPr>
              <w:t>Local clinician advice</w:t>
            </w:r>
            <w:r>
              <w:rPr>
                <w:rFonts w:ascii="Arial Narrow" w:hAnsi="Arial Narrow"/>
              </w:rPr>
              <w:t xml:space="preserve">. </w:t>
            </w:r>
            <w:r w:rsidR="002B6191">
              <w:rPr>
                <w:rFonts w:ascii="Arial Narrow" w:hAnsi="Arial Narrow"/>
                <w:i/>
                <w:iCs/>
              </w:rPr>
              <w:t>Consistent with ESC revisions to clinical algorithm</w:t>
            </w:r>
          </w:p>
        </w:tc>
      </w:tr>
      <w:tr w:rsidR="00E4281E" w:rsidRPr="00C134F9" w14:paraId="5625306F" w14:textId="77777777" w:rsidTr="00566EFA">
        <w:tc>
          <w:tcPr>
            <w:tcW w:w="2821" w:type="dxa"/>
            <w:tcBorders>
              <w:bottom w:val="single" w:sz="4" w:space="0" w:color="auto"/>
            </w:tcBorders>
          </w:tcPr>
          <w:p w14:paraId="0958C0B4" w14:textId="77777777" w:rsidR="00E4281E" w:rsidRPr="00C134F9" w:rsidRDefault="00E4281E" w:rsidP="00E4281E">
            <w:pPr>
              <w:keepNext/>
              <w:spacing w:before="40"/>
              <w:rPr>
                <w:rFonts w:ascii="Arial Narrow" w:hAnsi="Arial Narrow"/>
              </w:rPr>
            </w:pPr>
            <w:r w:rsidRPr="00C134F9">
              <w:rPr>
                <w:rFonts w:ascii="Arial Narrow" w:hAnsi="Arial Narrow"/>
              </w:rPr>
              <w:t xml:space="preserve">Proportion of patients undergoing one test per year </w:t>
            </w:r>
          </w:p>
        </w:tc>
        <w:tc>
          <w:tcPr>
            <w:tcW w:w="1699" w:type="dxa"/>
            <w:tcBorders>
              <w:bottom w:val="single" w:sz="4" w:space="0" w:color="auto"/>
            </w:tcBorders>
            <w:vAlign w:val="center"/>
          </w:tcPr>
          <w:p w14:paraId="2CE562AD" w14:textId="77777777" w:rsidR="00E4281E" w:rsidRPr="00C134F9" w:rsidRDefault="00E4281E" w:rsidP="00E4281E">
            <w:pPr>
              <w:keepNext/>
              <w:spacing w:before="40"/>
              <w:jc w:val="center"/>
              <w:rPr>
                <w:rFonts w:ascii="Arial Narrow" w:hAnsi="Arial Narrow"/>
              </w:rPr>
            </w:pPr>
            <w:r w:rsidRPr="00C134F9">
              <w:rPr>
                <w:rFonts w:ascii="Arial Narrow" w:hAnsi="Arial Narrow"/>
              </w:rPr>
              <w:t>90%</w:t>
            </w:r>
          </w:p>
        </w:tc>
        <w:tc>
          <w:tcPr>
            <w:tcW w:w="1721" w:type="dxa"/>
            <w:tcBorders>
              <w:bottom w:val="single" w:sz="4" w:space="0" w:color="auto"/>
            </w:tcBorders>
            <w:vAlign w:val="center"/>
          </w:tcPr>
          <w:p w14:paraId="770763E8" w14:textId="77777777" w:rsidR="00E4281E" w:rsidRPr="00C134F9" w:rsidRDefault="00E4281E" w:rsidP="00E4281E">
            <w:pPr>
              <w:keepNext/>
              <w:spacing w:before="40"/>
              <w:jc w:val="center"/>
              <w:rPr>
                <w:rFonts w:ascii="Arial Narrow" w:hAnsi="Arial Narrow"/>
              </w:rPr>
            </w:pPr>
            <w:r w:rsidRPr="00C134F9">
              <w:rPr>
                <w:rFonts w:ascii="Arial Narrow" w:hAnsi="Arial Narrow"/>
              </w:rPr>
              <w:t>90%</w:t>
            </w:r>
          </w:p>
        </w:tc>
        <w:tc>
          <w:tcPr>
            <w:tcW w:w="2826" w:type="dxa"/>
            <w:vMerge/>
          </w:tcPr>
          <w:p w14:paraId="7190AC0C" w14:textId="77777777" w:rsidR="00E4281E" w:rsidRPr="00C134F9" w:rsidRDefault="00E4281E" w:rsidP="00E4281E">
            <w:pPr>
              <w:keepNext/>
              <w:spacing w:before="40"/>
              <w:rPr>
                <w:rFonts w:ascii="Arial Narrow" w:hAnsi="Arial Narrow"/>
              </w:rPr>
            </w:pPr>
          </w:p>
        </w:tc>
      </w:tr>
      <w:tr w:rsidR="00E4281E" w:rsidRPr="00C134F9" w14:paraId="570A91F6" w14:textId="77777777" w:rsidTr="00566EFA">
        <w:tc>
          <w:tcPr>
            <w:tcW w:w="2821" w:type="dxa"/>
            <w:tcBorders>
              <w:bottom w:val="single" w:sz="4" w:space="0" w:color="auto"/>
            </w:tcBorders>
          </w:tcPr>
          <w:p w14:paraId="6BBFF7B3" w14:textId="77777777" w:rsidR="00E4281E" w:rsidRPr="00C134F9" w:rsidRDefault="00E4281E" w:rsidP="00E4281E">
            <w:pPr>
              <w:keepNext/>
              <w:spacing w:before="40"/>
              <w:rPr>
                <w:rFonts w:ascii="Arial Narrow" w:hAnsi="Arial Narrow"/>
              </w:rPr>
            </w:pPr>
            <w:r w:rsidRPr="00C134F9">
              <w:rPr>
                <w:rFonts w:ascii="Arial Narrow" w:hAnsi="Arial Narrow"/>
              </w:rPr>
              <w:t>NT-</w:t>
            </w:r>
            <w:proofErr w:type="spellStart"/>
            <w:r w:rsidRPr="00C134F9">
              <w:rPr>
                <w:rFonts w:ascii="Arial Narrow" w:hAnsi="Arial Narrow"/>
              </w:rPr>
              <w:t>proBNP</w:t>
            </w:r>
            <w:proofErr w:type="spellEnd"/>
            <w:r w:rsidRPr="00C134F9">
              <w:rPr>
                <w:rFonts w:ascii="Arial Narrow" w:hAnsi="Arial Narrow"/>
              </w:rPr>
              <w:t xml:space="preserve"> Test Fee</w:t>
            </w:r>
          </w:p>
        </w:tc>
        <w:tc>
          <w:tcPr>
            <w:tcW w:w="1699" w:type="dxa"/>
            <w:tcBorders>
              <w:bottom w:val="single" w:sz="4" w:space="0" w:color="auto"/>
            </w:tcBorders>
          </w:tcPr>
          <w:p w14:paraId="3E8E8504" w14:textId="77777777" w:rsidR="00E4281E" w:rsidRPr="00C134F9" w:rsidRDefault="00E4281E" w:rsidP="00E4281E">
            <w:pPr>
              <w:keepNext/>
              <w:spacing w:before="40"/>
              <w:jc w:val="center"/>
              <w:rPr>
                <w:rFonts w:ascii="Arial Narrow" w:hAnsi="Arial Narrow"/>
              </w:rPr>
            </w:pPr>
            <w:r w:rsidRPr="00C134F9">
              <w:rPr>
                <w:rFonts w:ascii="Arial Narrow" w:hAnsi="Arial Narrow"/>
              </w:rPr>
              <w:t>$58.50</w:t>
            </w:r>
          </w:p>
        </w:tc>
        <w:tc>
          <w:tcPr>
            <w:tcW w:w="1721" w:type="dxa"/>
            <w:tcBorders>
              <w:bottom w:val="single" w:sz="4" w:space="0" w:color="auto"/>
            </w:tcBorders>
          </w:tcPr>
          <w:p w14:paraId="7C91AF02" w14:textId="77777777" w:rsidR="00E4281E" w:rsidRPr="00C134F9" w:rsidRDefault="00E4281E" w:rsidP="00E4281E">
            <w:pPr>
              <w:keepNext/>
              <w:spacing w:before="40"/>
              <w:jc w:val="center"/>
              <w:rPr>
                <w:rFonts w:ascii="Arial Narrow" w:hAnsi="Arial Narrow"/>
              </w:rPr>
            </w:pPr>
            <w:r w:rsidRPr="00C134F9">
              <w:rPr>
                <w:rFonts w:ascii="Arial Narrow" w:hAnsi="Arial Narrow"/>
              </w:rPr>
              <w:t>$58.50</w:t>
            </w:r>
          </w:p>
        </w:tc>
        <w:tc>
          <w:tcPr>
            <w:tcW w:w="2826" w:type="dxa"/>
            <w:tcBorders>
              <w:bottom w:val="single" w:sz="4" w:space="0" w:color="auto"/>
            </w:tcBorders>
          </w:tcPr>
          <w:p w14:paraId="7BF3E7A5" w14:textId="77777777" w:rsidR="00E4281E" w:rsidRPr="00C134F9" w:rsidRDefault="00E4281E" w:rsidP="00E4281E">
            <w:pPr>
              <w:keepNext/>
              <w:spacing w:before="40"/>
              <w:rPr>
                <w:rFonts w:ascii="Arial Narrow" w:hAnsi="Arial Narrow"/>
              </w:rPr>
            </w:pPr>
            <w:r w:rsidRPr="00C134F9">
              <w:rPr>
                <w:rFonts w:ascii="Arial Narrow" w:hAnsi="Arial Narrow"/>
              </w:rPr>
              <w:t>MBS 66830</w:t>
            </w:r>
          </w:p>
        </w:tc>
      </w:tr>
      <w:tr w:rsidR="00DB09E2" w:rsidRPr="00C134F9" w14:paraId="42528795" w14:textId="77777777" w:rsidTr="00566EFA">
        <w:tc>
          <w:tcPr>
            <w:tcW w:w="2821" w:type="dxa"/>
            <w:tcBorders>
              <w:bottom w:val="single" w:sz="4" w:space="0" w:color="auto"/>
            </w:tcBorders>
          </w:tcPr>
          <w:p w14:paraId="45EF74AF" w14:textId="5780342B" w:rsidR="00DB09E2" w:rsidRPr="00C134F9" w:rsidRDefault="00DB09E2" w:rsidP="00E4281E">
            <w:pPr>
              <w:keepNext/>
              <w:spacing w:before="40"/>
              <w:rPr>
                <w:rFonts w:ascii="Arial Narrow" w:hAnsi="Arial Narrow"/>
              </w:rPr>
            </w:pPr>
            <w:r w:rsidRPr="00C134F9">
              <w:rPr>
                <w:rFonts w:ascii="Arial Narrow" w:hAnsi="Arial Narrow"/>
              </w:rPr>
              <w:t>TTE Test Fee</w:t>
            </w:r>
            <w:r>
              <w:rPr>
                <w:rFonts w:ascii="Arial Narrow" w:hAnsi="Arial Narrow"/>
              </w:rPr>
              <w:t xml:space="preserve"> (ADAR)</w:t>
            </w:r>
          </w:p>
        </w:tc>
        <w:tc>
          <w:tcPr>
            <w:tcW w:w="1699" w:type="dxa"/>
            <w:tcBorders>
              <w:bottom w:val="single" w:sz="4" w:space="0" w:color="auto"/>
            </w:tcBorders>
          </w:tcPr>
          <w:p w14:paraId="0E5C3FE2" w14:textId="731AC1D9" w:rsidR="00DB09E2" w:rsidRPr="00566EFA" w:rsidRDefault="00A264BB" w:rsidP="00E4281E">
            <w:pPr>
              <w:keepNext/>
              <w:spacing w:before="40"/>
              <w:jc w:val="center"/>
              <w:rPr>
                <w:rFonts w:ascii="Arial Narrow" w:hAnsi="Arial Narrow"/>
              </w:rPr>
            </w:pPr>
            <w:r w:rsidRPr="00566EFA">
              <w:rPr>
                <w:rFonts w:ascii="Arial Narrow" w:hAnsi="Arial Narrow"/>
              </w:rPr>
              <w:t>$212.65</w:t>
            </w:r>
          </w:p>
        </w:tc>
        <w:tc>
          <w:tcPr>
            <w:tcW w:w="1721" w:type="dxa"/>
            <w:tcBorders>
              <w:bottom w:val="single" w:sz="4" w:space="0" w:color="auto"/>
            </w:tcBorders>
          </w:tcPr>
          <w:p w14:paraId="040B8092" w14:textId="7CD66B24" w:rsidR="00DB09E2" w:rsidRPr="00566EFA" w:rsidRDefault="00A264BB" w:rsidP="00E4281E">
            <w:pPr>
              <w:keepNext/>
              <w:spacing w:before="40"/>
              <w:jc w:val="center"/>
              <w:rPr>
                <w:rFonts w:ascii="Arial Narrow" w:hAnsi="Arial Narrow"/>
              </w:rPr>
            </w:pPr>
            <w:r w:rsidRPr="00566EFA">
              <w:rPr>
                <w:rFonts w:ascii="Arial Narrow" w:hAnsi="Arial Narrow"/>
              </w:rPr>
              <w:t xml:space="preserve">$212.65 </w:t>
            </w:r>
          </w:p>
        </w:tc>
        <w:tc>
          <w:tcPr>
            <w:tcW w:w="2826" w:type="dxa"/>
            <w:tcBorders>
              <w:bottom w:val="single" w:sz="4" w:space="0" w:color="auto"/>
            </w:tcBorders>
          </w:tcPr>
          <w:p w14:paraId="48500EBF" w14:textId="66E0BE81" w:rsidR="00DB09E2" w:rsidRPr="00566EFA" w:rsidRDefault="00A264BB" w:rsidP="00E4281E">
            <w:pPr>
              <w:keepNext/>
              <w:spacing w:before="40"/>
              <w:rPr>
                <w:rFonts w:ascii="Arial Narrow" w:hAnsi="Arial Narrow"/>
              </w:rPr>
            </w:pPr>
            <w:r w:rsidRPr="00566EFA">
              <w:rPr>
                <w:rFonts w:ascii="Arial Narrow" w:hAnsi="Arial Narrow"/>
              </w:rPr>
              <w:t>MBS item 55133</w:t>
            </w:r>
            <w:r w:rsidRPr="00FD649C">
              <w:rPr>
                <w:rFonts w:ascii="Arial Narrow" w:hAnsi="Arial Narrow"/>
                <w:vertAlign w:val="superscript"/>
              </w:rPr>
              <w:t xml:space="preserve"> a</w:t>
            </w:r>
          </w:p>
        </w:tc>
      </w:tr>
      <w:tr w:rsidR="00E4281E" w:rsidRPr="00C134F9" w14:paraId="0801F395" w14:textId="77777777" w:rsidTr="00566EFA">
        <w:tc>
          <w:tcPr>
            <w:tcW w:w="2821" w:type="dxa"/>
            <w:tcBorders>
              <w:bottom w:val="single" w:sz="4" w:space="0" w:color="auto"/>
            </w:tcBorders>
          </w:tcPr>
          <w:p w14:paraId="4B8E6F4C" w14:textId="1D6E255F" w:rsidR="00E4281E" w:rsidRPr="00566EFA" w:rsidRDefault="00E4281E" w:rsidP="00E4281E">
            <w:pPr>
              <w:keepNext/>
              <w:spacing w:before="40"/>
              <w:rPr>
                <w:rFonts w:ascii="Arial Narrow" w:hAnsi="Arial Narrow"/>
                <w:i/>
                <w:iCs/>
              </w:rPr>
            </w:pPr>
            <w:r w:rsidRPr="00566EFA">
              <w:rPr>
                <w:rFonts w:ascii="Arial Narrow" w:hAnsi="Arial Narrow"/>
                <w:i/>
                <w:iCs/>
              </w:rPr>
              <w:t>TTE Test Fee</w:t>
            </w:r>
            <w:r w:rsidR="00DB09E2" w:rsidRPr="00566EFA">
              <w:rPr>
                <w:rFonts w:ascii="Arial Narrow" w:hAnsi="Arial Narrow"/>
                <w:i/>
                <w:iCs/>
              </w:rPr>
              <w:t xml:space="preserve"> (revised</w:t>
            </w:r>
            <w:r w:rsidR="00A264BB" w:rsidRPr="00566EFA">
              <w:rPr>
                <w:rFonts w:ascii="Arial Narrow" w:hAnsi="Arial Narrow"/>
                <w:i/>
                <w:iCs/>
              </w:rPr>
              <w:t>)</w:t>
            </w:r>
          </w:p>
        </w:tc>
        <w:tc>
          <w:tcPr>
            <w:tcW w:w="1699" w:type="dxa"/>
            <w:tcBorders>
              <w:bottom w:val="single" w:sz="4" w:space="0" w:color="auto"/>
            </w:tcBorders>
          </w:tcPr>
          <w:p w14:paraId="325083C9" w14:textId="2E0688A3" w:rsidR="00E4281E" w:rsidRPr="00566EFA" w:rsidRDefault="00E4281E" w:rsidP="00E4281E">
            <w:pPr>
              <w:keepNext/>
              <w:spacing w:before="40"/>
              <w:jc w:val="center"/>
              <w:rPr>
                <w:rFonts w:ascii="Arial Narrow" w:hAnsi="Arial Narrow"/>
                <w:i/>
                <w:iCs/>
              </w:rPr>
            </w:pPr>
            <w:r w:rsidRPr="00566EFA">
              <w:rPr>
                <w:rFonts w:ascii="Arial Narrow" w:hAnsi="Arial Narrow"/>
                <w:i/>
                <w:iCs/>
              </w:rPr>
              <w:t>$236.25</w:t>
            </w:r>
          </w:p>
        </w:tc>
        <w:tc>
          <w:tcPr>
            <w:tcW w:w="1721" w:type="dxa"/>
            <w:tcBorders>
              <w:bottom w:val="single" w:sz="4" w:space="0" w:color="auto"/>
            </w:tcBorders>
          </w:tcPr>
          <w:p w14:paraId="55DC934E" w14:textId="4BB4AE4E" w:rsidR="00E4281E" w:rsidRPr="00566EFA" w:rsidRDefault="00E4281E" w:rsidP="00E4281E">
            <w:pPr>
              <w:keepNext/>
              <w:spacing w:before="40"/>
              <w:jc w:val="center"/>
              <w:rPr>
                <w:rFonts w:eastAsia="Calibri" w:cs="Arial"/>
                <w:i/>
                <w:iCs/>
              </w:rPr>
            </w:pPr>
            <w:r w:rsidRPr="00566EFA">
              <w:rPr>
                <w:rFonts w:ascii="Arial Narrow" w:hAnsi="Arial Narrow"/>
                <w:i/>
                <w:iCs/>
              </w:rPr>
              <w:t>$236.25</w:t>
            </w:r>
          </w:p>
        </w:tc>
        <w:tc>
          <w:tcPr>
            <w:tcW w:w="2826" w:type="dxa"/>
            <w:tcBorders>
              <w:bottom w:val="single" w:sz="4" w:space="0" w:color="auto"/>
            </w:tcBorders>
          </w:tcPr>
          <w:p w14:paraId="0A0BF6A6" w14:textId="3EA131F6" w:rsidR="00E4281E" w:rsidRPr="00566EFA" w:rsidRDefault="00E4281E" w:rsidP="00E4281E">
            <w:pPr>
              <w:keepNext/>
              <w:spacing w:before="40"/>
              <w:rPr>
                <w:rFonts w:ascii="Arial Narrow" w:hAnsi="Arial Narrow"/>
                <w:i/>
                <w:iCs/>
              </w:rPr>
            </w:pPr>
            <w:r w:rsidRPr="00566EFA">
              <w:rPr>
                <w:rFonts w:ascii="Arial Narrow" w:hAnsi="Arial Narrow"/>
                <w:i/>
                <w:iCs/>
              </w:rPr>
              <w:t xml:space="preserve">MBS </w:t>
            </w:r>
            <w:r w:rsidR="3A8BCEBD" w:rsidRPr="00566EFA">
              <w:rPr>
                <w:rFonts w:ascii="Arial Narrow" w:hAnsi="Arial Narrow"/>
                <w:i/>
                <w:iCs/>
              </w:rPr>
              <w:t>55126</w:t>
            </w:r>
            <w:r w:rsidR="0073628A">
              <w:rPr>
                <w:rFonts w:ascii="Arial Narrow" w:hAnsi="Arial Narrow"/>
                <w:i/>
                <w:iCs/>
              </w:rPr>
              <w:t xml:space="preserve"> </w:t>
            </w:r>
            <w:r w:rsidRPr="00566EFA">
              <w:rPr>
                <w:rFonts w:ascii="Arial Narrow" w:hAnsi="Arial Narrow"/>
                <w:i/>
                <w:iCs/>
              </w:rPr>
              <w:t>/55129</w:t>
            </w:r>
          </w:p>
        </w:tc>
      </w:tr>
      <w:tr w:rsidR="0030412E" w:rsidRPr="00C134F9" w14:paraId="6F1616BE" w14:textId="77777777" w:rsidTr="00566EFA">
        <w:tc>
          <w:tcPr>
            <w:tcW w:w="2821" w:type="dxa"/>
            <w:tcBorders>
              <w:bottom w:val="single" w:sz="4" w:space="0" w:color="auto"/>
            </w:tcBorders>
            <w:vAlign w:val="center"/>
          </w:tcPr>
          <w:p w14:paraId="52569AB1" w14:textId="16B7D5AB" w:rsidR="0030412E" w:rsidRPr="00566EFA" w:rsidRDefault="0030412E" w:rsidP="00E4281E">
            <w:pPr>
              <w:keepNext/>
              <w:spacing w:before="40"/>
              <w:rPr>
                <w:rFonts w:ascii="Arial Narrow" w:hAnsi="Arial Narrow"/>
                <w:i/>
                <w:iCs/>
              </w:rPr>
            </w:pPr>
            <w:r w:rsidRPr="00566EFA">
              <w:rPr>
                <w:rFonts w:ascii="Arial Narrow" w:hAnsi="Arial Narrow"/>
                <w:i/>
                <w:iCs/>
              </w:rPr>
              <w:t xml:space="preserve">Proportion of patients screened positive for </w:t>
            </w:r>
            <w:proofErr w:type="spellStart"/>
            <w:r w:rsidRPr="00566EFA">
              <w:rPr>
                <w:rFonts w:ascii="Arial Narrow" w:hAnsi="Arial Narrow"/>
                <w:i/>
                <w:iCs/>
              </w:rPr>
              <w:t>SSc</w:t>
            </w:r>
            <w:proofErr w:type="spellEnd"/>
            <w:r w:rsidRPr="00566EFA">
              <w:rPr>
                <w:rFonts w:ascii="Arial Narrow" w:hAnsi="Arial Narrow"/>
                <w:i/>
                <w:iCs/>
              </w:rPr>
              <w:t xml:space="preserve">-PAH </w:t>
            </w:r>
          </w:p>
        </w:tc>
        <w:tc>
          <w:tcPr>
            <w:tcW w:w="1699" w:type="dxa"/>
            <w:tcBorders>
              <w:bottom w:val="single" w:sz="4" w:space="0" w:color="auto"/>
            </w:tcBorders>
            <w:vAlign w:val="center"/>
          </w:tcPr>
          <w:p w14:paraId="5F795E20" w14:textId="6C8D524A" w:rsidR="0030412E" w:rsidRPr="00566EFA" w:rsidRDefault="00C5376A" w:rsidP="00E4281E">
            <w:pPr>
              <w:keepNext/>
              <w:spacing w:before="40"/>
              <w:jc w:val="center"/>
              <w:rPr>
                <w:rFonts w:ascii="Arial Narrow" w:hAnsi="Arial Narrow"/>
                <w:i/>
                <w:iCs/>
              </w:rPr>
            </w:pPr>
            <w:r w:rsidRPr="00566EFA">
              <w:rPr>
                <w:rFonts w:ascii="Arial Narrow" w:hAnsi="Arial Narrow"/>
                <w:i/>
                <w:iCs/>
              </w:rPr>
              <w:t>68%</w:t>
            </w:r>
          </w:p>
        </w:tc>
        <w:tc>
          <w:tcPr>
            <w:tcW w:w="1721" w:type="dxa"/>
            <w:tcBorders>
              <w:bottom w:val="single" w:sz="4" w:space="0" w:color="auto"/>
            </w:tcBorders>
            <w:vAlign w:val="center"/>
          </w:tcPr>
          <w:p w14:paraId="4E1CEC0F" w14:textId="6A191449" w:rsidR="0030412E" w:rsidRPr="00566EFA" w:rsidRDefault="00C5376A" w:rsidP="00E4281E">
            <w:pPr>
              <w:keepNext/>
              <w:spacing w:before="40"/>
              <w:jc w:val="center"/>
              <w:rPr>
                <w:rFonts w:ascii="Arial Narrow" w:hAnsi="Arial Narrow"/>
                <w:i/>
                <w:iCs/>
              </w:rPr>
            </w:pPr>
            <w:r w:rsidRPr="00566EFA">
              <w:rPr>
                <w:rFonts w:ascii="Arial Narrow" w:hAnsi="Arial Narrow"/>
                <w:i/>
                <w:iCs/>
              </w:rPr>
              <w:t>46%</w:t>
            </w:r>
          </w:p>
        </w:tc>
        <w:tc>
          <w:tcPr>
            <w:tcW w:w="2826" w:type="dxa"/>
            <w:tcBorders>
              <w:bottom w:val="single" w:sz="4" w:space="0" w:color="auto"/>
            </w:tcBorders>
          </w:tcPr>
          <w:p w14:paraId="4698CDA5" w14:textId="3A263AB8" w:rsidR="0030412E" w:rsidRPr="00C134F9" w:rsidRDefault="00CB13AD" w:rsidP="00E4281E">
            <w:pPr>
              <w:keepNext/>
              <w:spacing w:before="40"/>
              <w:rPr>
                <w:rFonts w:ascii="Arial Narrow" w:hAnsi="Arial Narrow"/>
              </w:rPr>
            </w:pPr>
            <w:r>
              <w:rPr>
                <w:rFonts w:ascii="Arial Narrow" w:hAnsi="Arial Narrow"/>
                <w:i/>
                <w:iCs/>
              </w:rPr>
              <w:t xml:space="preserve">Recalculated based on </w:t>
            </w:r>
            <w:r w:rsidR="00C5376A" w:rsidRPr="00733321">
              <w:rPr>
                <w:rFonts w:ascii="Arial Narrow" w:hAnsi="Arial Narrow"/>
                <w:i/>
                <w:iCs/>
              </w:rPr>
              <w:t>1% annual incidence</w:t>
            </w:r>
            <w:r w:rsidR="00D86739">
              <w:rPr>
                <w:rFonts w:ascii="Arial Narrow" w:hAnsi="Arial Narrow"/>
                <w:i/>
                <w:iCs/>
              </w:rPr>
              <w:t xml:space="preserve">. </w:t>
            </w:r>
            <w:r w:rsidR="00D56EF0">
              <w:rPr>
                <w:rFonts w:ascii="Arial Narrow" w:hAnsi="Arial Narrow"/>
                <w:i/>
                <w:iCs/>
              </w:rPr>
              <w:t xml:space="preserve">Refer </w:t>
            </w:r>
            <w:r w:rsidR="00D56EF0" w:rsidRPr="00566EFA">
              <w:rPr>
                <w:rFonts w:ascii="Arial Narrow" w:hAnsi="Arial Narrow"/>
                <w:i/>
                <w:iCs/>
              </w:rPr>
              <w:t>to Table 8</w:t>
            </w:r>
          </w:p>
        </w:tc>
      </w:tr>
      <w:tr w:rsidR="00E4281E" w:rsidRPr="00C134F9" w14:paraId="1C3DF0FE" w14:textId="77777777" w:rsidTr="00566EFA">
        <w:tc>
          <w:tcPr>
            <w:tcW w:w="2821" w:type="dxa"/>
            <w:tcBorders>
              <w:bottom w:val="single" w:sz="4" w:space="0" w:color="auto"/>
            </w:tcBorders>
          </w:tcPr>
          <w:p w14:paraId="4B09CF1B" w14:textId="77777777" w:rsidR="00C37547" w:rsidRDefault="00E4281E" w:rsidP="00E4281E">
            <w:pPr>
              <w:keepNext/>
              <w:spacing w:before="40"/>
              <w:rPr>
                <w:rFonts w:ascii="Arial Narrow" w:hAnsi="Arial Narrow"/>
                <w:i/>
                <w:iCs/>
              </w:rPr>
            </w:pPr>
            <w:r w:rsidRPr="00566EFA">
              <w:rPr>
                <w:rFonts w:ascii="Arial Narrow" w:hAnsi="Arial Narrow"/>
                <w:i/>
                <w:iCs/>
              </w:rPr>
              <w:t xml:space="preserve">Proportion of patients tested positive for </w:t>
            </w:r>
            <w:proofErr w:type="spellStart"/>
            <w:r w:rsidRPr="00566EFA">
              <w:rPr>
                <w:rFonts w:ascii="Arial Narrow" w:hAnsi="Arial Narrow"/>
                <w:i/>
                <w:iCs/>
              </w:rPr>
              <w:t>SSc</w:t>
            </w:r>
            <w:proofErr w:type="spellEnd"/>
            <w:r w:rsidRPr="00566EFA">
              <w:rPr>
                <w:rFonts w:ascii="Arial Narrow" w:hAnsi="Arial Narrow"/>
                <w:i/>
                <w:iCs/>
              </w:rPr>
              <w:t xml:space="preserve">-PAH </w:t>
            </w:r>
          </w:p>
          <w:p w14:paraId="4DEA5439" w14:textId="14E25CAB" w:rsidR="00E4281E" w:rsidRPr="00566EFA" w:rsidRDefault="00C37547" w:rsidP="00E4281E">
            <w:pPr>
              <w:keepNext/>
              <w:spacing w:before="40"/>
              <w:rPr>
                <w:rFonts w:ascii="Arial Narrow" w:hAnsi="Arial Narrow"/>
                <w:i/>
                <w:iCs/>
              </w:rPr>
            </w:pPr>
            <w:r w:rsidRPr="00566EFA">
              <w:rPr>
                <w:rFonts w:ascii="Arial Narrow" w:hAnsi="Arial Narrow"/>
                <w:i/>
                <w:iCs/>
              </w:rPr>
              <w:t>(annual incidence)</w:t>
            </w:r>
          </w:p>
        </w:tc>
        <w:tc>
          <w:tcPr>
            <w:tcW w:w="1699" w:type="dxa"/>
            <w:tcBorders>
              <w:bottom w:val="single" w:sz="4" w:space="0" w:color="auto"/>
            </w:tcBorders>
          </w:tcPr>
          <w:p w14:paraId="31ADF848" w14:textId="490674EC" w:rsidR="00E4281E" w:rsidRPr="00566EFA" w:rsidRDefault="00E4281E" w:rsidP="00E4281E">
            <w:pPr>
              <w:keepNext/>
              <w:spacing w:before="40"/>
              <w:jc w:val="center"/>
              <w:rPr>
                <w:rFonts w:ascii="Arial Narrow" w:hAnsi="Arial Narrow"/>
                <w:i/>
                <w:iCs/>
              </w:rPr>
            </w:pPr>
            <w:r w:rsidRPr="00566EFA">
              <w:rPr>
                <w:rFonts w:ascii="Arial Narrow" w:hAnsi="Arial Narrow"/>
                <w:i/>
                <w:iCs/>
              </w:rPr>
              <w:t>1%</w:t>
            </w:r>
          </w:p>
        </w:tc>
        <w:tc>
          <w:tcPr>
            <w:tcW w:w="1721" w:type="dxa"/>
            <w:tcBorders>
              <w:bottom w:val="single" w:sz="4" w:space="0" w:color="auto"/>
            </w:tcBorders>
          </w:tcPr>
          <w:p w14:paraId="7A1AB95F" w14:textId="17C05150" w:rsidR="00E4281E" w:rsidRPr="00566EFA" w:rsidRDefault="00E4281E" w:rsidP="00E4281E">
            <w:pPr>
              <w:keepNext/>
              <w:spacing w:before="40"/>
              <w:jc w:val="center"/>
              <w:rPr>
                <w:rFonts w:eastAsia="Calibri" w:cs="Arial"/>
                <w:i/>
                <w:iCs/>
              </w:rPr>
            </w:pPr>
            <w:r w:rsidRPr="00566EFA">
              <w:rPr>
                <w:rFonts w:ascii="Arial Narrow" w:hAnsi="Arial Narrow"/>
                <w:i/>
                <w:iCs/>
              </w:rPr>
              <w:t>1%</w:t>
            </w:r>
          </w:p>
        </w:tc>
        <w:tc>
          <w:tcPr>
            <w:tcW w:w="2826" w:type="dxa"/>
            <w:tcBorders>
              <w:bottom w:val="single" w:sz="4" w:space="0" w:color="auto"/>
            </w:tcBorders>
          </w:tcPr>
          <w:p w14:paraId="6E465BD5" w14:textId="47FC19CB" w:rsidR="00E4281E" w:rsidRPr="00566EFA" w:rsidRDefault="00637789" w:rsidP="00E4281E">
            <w:pPr>
              <w:keepNext/>
              <w:spacing w:before="40"/>
              <w:rPr>
                <w:rFonts w:ascii="Arial Narrow" w:hAnsi="Arial Narrow"/>
                <w:i/>
                <w:iCs/>
              </w:rPr>
            </w:pPr>
            <w:proofErr w:type="spellStart"/>
            <w:r w:rsidRPr="00566EFA">
              <w:rPr>
                <w:rFonts w:ascii="Arial Narrow" w:hAnsi="Arial Narrow"/>
                <w:i/>
                <w:iCs/>
              </w:rPr>
              <w:t>Morrisroe</w:t>
            </w:r>
            <w:proofErr w:type="spellEnd"/>
            <w:r w:rsidRPr="00566EFA">
              <w:rPr>
                <w:rFonts w:ascii="Arial Narrow" w:hAnsi="Arial Narrow"/>
                <w:i/>
                <w:iCs/>
              </w:rPr>
              <w:t xml:space="preserve"> </w:t>
            </w:r>
            <w:r w:rsidR="002C737F" w:rsidRPr="00566EFA">
              <w:rPr>
                <w:rFonts w:ascii="Arial Narrow" w:hAnsi="Arial Narrow"/>
                <w:i/>
                <w:iCs/>
              </w:rPr>
              <w:t>(2017) annual incidence</w:t>
            </w:r>
          </w:p>
        </w:tc>
      </w:tr>
      <w:tr w:rsidR="00D96D17" w:rsidRPr="00C134F9" w14:paraId="2CFEE434" w14:textId="77777777" w:rsidTr="00566EFA">
        <w:tc>
          <w:tcPr>
            <w:tcW w:w="2821" w:type="dxa"/>
            <w:tcBorders>
              <w:bottom w:val="single" w:sz="4" w:space="0" w:color="auto"/>
            </w:tcBorders>
          </w:tcPr>
          <w:p w14:paraId="2B1A3D84" w14:textId="377EC1EC" w:rsidR="00D96D17" w:rsidRPr="00C134F9" w:rsidRDefault="00E26BBE" w:rsidP="00E4281E">
            <w:pPr>
              <w:keepNext/>
              <w:spacing w:before="40"/>
              <w:rPr>
                <w:rFonts w:ascii="Arial Narrow" w:hAnsi="Arial Narrow"/>
              </w:rPr>
            </w:pPr>
            <w:r w:rsidRPr="00E26BBE">
              <w:rPr>
                <w:rFonts w:ascii="Arial Narrow" w:hAnsi="Arial Narrow"/>
              </w:rPr>
              <w:t xml:space="preserve">Proportion of patients tested positive for </w:t>
            </w:r>
            <w:proofErr w:type="spellStart"/>
            <w:r w:rsidRPr="00E26BBE">
              <w:rPr>
                <w:rFonts w:ascii="Arial Narrow" w:hAnsi="Arial Narrow"/>
              </w:rPr>
              <w:t>SSc</w:t>
            </w:r>
            <w:proofErr w:type="spellEnd"/>
            <w:r w:rsidRPr="00E26BBE">
              <w:rPr>
                <w:rFonts w:ascii="Arial Narrow" w:hAnsi="Arial Narrow"/>
              </w:rPr>
              <w:t>-PAH</w:t>
            </w:r>
            <w:r w:rsidR="00C37547">
              <w:rPr>
                <w:rFonts w:ascii="Arial Narrow" w:hAnsi="Arial Narrow"/>
              </w:rPr>
              <w:t xml:space="preserve"> (ADAR)</w:t>
            </w:r>
          </w:p>
        </w:tc>
        <w:tc>
          <w:tcPr>
            <w:tcW w:w="1699" w:type="dxa"/>
            <w:tcBorders>
              <w:bottom w:val="single" w:sz="4" w:space="0" w:color="auto"/>
            </w:tcBorders>
          </w:tcPr>
          <w:p w14:paraId="28B6AB40" w14:textId="7F0708BF" w:rsidR="00D96D17" w:rsidRPr="00566EFA" w:rsidRDefault="00E26BBE" w:rsidP="00E4281E">
            <w:pPr>
              <w:keepNext/>
              <w:spacing w:before="40"/>
              <w:jc w:val="center"/>
              <w:rPr>
                <w:rFonts w:ascii="Arial Narrow" w:hAnsi="Arial Narrow"/>
              </w:rPr>
            </w:pPr>
            <w:r w:rsidRPr="00566EFA">
              <w:rPr>
                <w:rFonts w:ascii="Arial Narrow" w:hAnsi="Arial Narrow"/>
              </w:rPr>
              <w:t>10%</w:t>
            </w:r>
          </w:p>
        </w:tc>
        <w:tc>
          <w:tcPr>
            <w:tcW w:w="1721" w:type="dxa"/>
            <w:tcBorders>
              <w:bottom w:val="single" w:sz="4" w:space="0" w:color="auto"/>
            </w:tcBorders>
          </w:tcPr>
          <w:p w14:paraId="02D475DE" w14:textId="533FA631" w:rsidR="00D96D17" w:rsidRPr="00566EFA" w:rsidRDefault="00E26BBE" w:rsidP="00E4281E">
            <w:pPr>
              <w:keepNext/>
              <w:spacing w:before="40"/>
              <w:jc w:val="center"/>
              <w:rPr>
                <w:rFonts w:ascii="Arial Narrow" w:hAnsi="Arial Narrow"/>
              </w:rPr>
            </w:pPr>
            <w:r>
              <w:rPr>
                <w:rFonts w:ascii="Arial Narrow" w:hAnsi="Arial Narrow"/>
              </w:rPr>
              <w:t>10%</w:t>
            </w:r>
          </w:p>
        </w:tc>
        <w:tc>
          <w:tcPr>
            <w:tcW w:w="2826" w:type="dxa"/>
            <w:tcBorders>
              <w:bottom w:val="single" w:sz="4" w:space="0" w:color="auto"/>
            </w:tcBorders>
          </w:tcPr>
          <w:p w14:paraId="2BBA814B" w14:textId="48389529" w:rsidR="00D96D17" w:rsidRPr="00566EFA" w:rsidRDefault="00E26BBE" w:rsidP="00E4281E">
            <w:pPr>
              <w:keepNext/>
              <w:spacing w:before="40"/>
              <w:rPr>
                <w:rFonts w:ascii="Arial Narrow" w:hAnsi="Arial Narrow"/>
              </w:rPr>
            </w:pPr>
            <w:r w:rsidRPr="00566EFA">
              <w:rPr>
                <w:rFonts w:ascii="Arial Narrow" w:hAnsi="Arial Narrow"/>
              </w:rPr>
              <w:t>Australian Rheumatology Association</w:t>
            </w:r>
            <w:r>
              <w:rPr>
                <w:rFonts w:ascii="Arial Narrow" w:hAnsi="Arial Narrow"/>
              </w:rPr>
              <w:t xml:space="preserve">. </w:t>
            </w:r>
            <w:r w:rsidR="002E613E" w:rsidRPr="00566EFA">
              <w:rPr>
                <w:rFonts w:ascii="Arial Narrow" w:hAnsi="Arial Narrow"/>
                <w:i/>
                <w:iCs/>
              </w:rPr>
              <w:t>Prevalence and proportion of patients testing positive used interchangeably.</w:t>
            </w:r>
            <w:r w:rsidR="002E613E">
              <w:rPr>
                <w:rFonts w:ascii="Arial Narrow" w:hAnsi="Arial Narrow"/>
              </w:rPr>
              <w:t xml:space="preserve"> </w:t>
            </w:r>
          </w:p>
        </w:tc>
      </w:tr>
      <w:tr w:rsidR="00E4281E" w:rsidRPr="00C134F9" w14:paraId="612F29D2" w14:textId="77777777" w:rsidTr="00566EFA">
        <w:tc>
          <w:tcPr>
            <w:tcW w:w="2821" w:type="dxa"/>
            <w:tcBorders>
              <w:bottom w:val="single" w:sz="4" w:space="0" w:color="auto"/>
            </w:tcBorders>
          </w:tcPr>
          <w:p w14:paraId="0F53086F" w14:textId="77777777" w:rsidR="00E4281E" w:rsidRPr="00C134F9" w:rsidRDefault="00E4281E" w:rsidP="00E4281E">
            <w:pPr>
              <w:keepNext/>
              <w:spacing w:before="40"/>
              <w:rPr>
                <w:rFonts w:ascii="Arial Narrow" w:hAnsi="Arial Narrow"/>
              </w:rPr>
            </w:pPr>
            <w:r w:rsidRPr="00C134F9">
              <w:rPr>
                <w:rFonts w:ascii="Arial Narrow" w:hAnsi="Arial Narrow"/>
              </w:rPr>
              <w:t xml:space="preserve">TTE test/year for patient tested positive in </w:t>
            </w:r>
            <w:r>
              <w:rPr>
                <w:rFonts w:ascii="Arial Narrow" w:hAnsi="Arial Narrow"/>
              </w:rPr>
              <w:t xml:space="preserve">screening </w:t>
            </w:r>
            <w:r w:rsidRPr="00C134F9">
              <w:rPr>
                <w:rFonts w:ascii="Arial Narrow" w:hAnsi="Arial Narrow"/>
              </w:rPr>
              <w:t>test</w:t>
            </w:r>
          </w:p>
        </w:tc>
        <w:tc>
          <w:tcPr>
            <w:tcW w:w="1699" w:type="dxa"/>
            <w:tcBorders>
              <w:bottom w:val="single" w:sz="4" w:space="0" w:color="auto"/>
            </w:tcBorders>
          </w:tcPr>
          <w:p w14:paraId="7F773AB9" w14:textId="77777777" w:rsidR="00E4281E" w:rsidRPr="00C134F9" w:rsidRDefault="00E4281E" w:rsidP="00E4281E">
            <w:pPr>
              <w:keepNext/>
              <w:spacing w:before="40"/>
              <w:jc w:val="center"/>
              <w:rPr>
                <w:rFonts w:ascii="Arial Narrow" w:hAnsi="Arial Narrow"/>
              </w:rPr>
            </w:pPr>
            <w:r w:rsidRPr="00C134F9">
              <w:rPr>
                <w:rFonts w:ascii="Arial Narrow" w:hAnsi="Arial Narrow"/>
              </w:rPr>
              <w:t>0.0</w:t>
            </w:r>
          </w:p>
        </w:tc>
        <w:tc>
          <w:tcPr>
            <w:tcW w:w="1721" w:type="dxa"/>
            <w:tcBorders>
              <w:bottom w:val="single" w:sz="4" w:space="0" w:color="auto"/>
            </w:tcBorders>
          </w:tcPr>
          <w:p w14:paraId="07585212" w14:textId="2D764F46" w:rsidR="00E4281E" w:rsidRPr="00566EFA" w:rsidRDefault="00960B8C" w:rsidP="00E4281E">
            <w:pPr>
              <w:keepNext/>
              <w:spacing w:before="40"/>
              <w:jc w:val="center"/>
              <w:rPr>
                <w:rFonts w:ascii="Arial Narrow" w:hAnsi="Arial Narrow"/>
              </w:rPr>
            </w:pPr>
            <w:r w:rsidRPr="00566EFA">
              <w:rPr>
                <w:rFonts w:ascii="Arial Narrow" w:hAnsi="Arial Narrow"/>
              </w:rPr>
              <w:t>1</w:t>
            </w:r>
            <w:r w:rsidRPr="00E84C4B">
              <w:rPr>
                <w:rFonts w:ascii="Arial Narrow" w:hAnsi="Arial Narrow"/>
              </w:rPr>
              <w:t>.0</w:t>
            </w:r>
          </w:p>
          <w:p w14:paraId="1C14D873" w14:textId="7C4F4007" w:rsidR="00EF5451" w:rsidRPr="00566EFA" w:rsidRDefault="00EF5451" w:rsidP="00E4281E">
            <w:pPr>
              <w:keepNext/>
              <w:spacing w:before="40"/>
              <w:jc w:val="center"/>
              <w:rPr>
                <w:rFonts w:ascii="Arial Narrow" w:hAnsi="Arial Narrow"/>
                <w:i/>
                <w:iCs/>
              </w:rPr>
            </w:pPr>
          </w:p>
        </w:tc>
        <w:tc>
          <w:tcPr>
            <w:tcW w:w="2826" w:type="dxa"/>
            <w:tcBorders>
              <w:bottom w:val="single" w:sz="4" w:space="0" w:color="auto"/>
            </w:tcBorders>
          </w:tcPr>
          <w:p w14:paraId="008AA02A" w14:textId="44AC6992" w:rsidR="00E4281E" w:rsidRPr="00C134F9" w:rsidRDefault="00E4281E" w:rsidP="00E4281E">
            <w:pPr>
              <w:keepNext/>
              <w:spacing w:before="40"/>
              <w:rPr>
                <w:rFonts w:ascii="Arial Narrow" w:hAnsi="Arial Narrow"/>
              </w:rPr>
            </w:pPr>
            <w:r w:rsidRPr="00C134F9">
              <w:rPr>
                <w:rFonts w:ascii="Arial Narrow" w:hAnsi="Arial Narrow"/>
              </w:rPr>
              <w:t>Patients tested positive with NT-</w:t>
            </w:r>
            <w:proofErr w:type="spellStart"/>
            <w:r w:rsidRPr="00C134F9">
              <w:rPr>
                <w:rFonts w:ascii="Arial Narrow" w:hAnsi="Arial Narrow"/>
              </w:rPr>
              <w:t>proBNP</w:t>
            </w:r>
            <w:proofErr w:type="spellEnd"/>
            <w:r w:rsidRPr="00C134F9">
              <w:rPr>
                <w:rFonts w:ascii="Arial Narrow" w:hAnsi="Arial Narrow"/>
              </w:rPr>
              <w:t xml:space="preserve"> are recommended to undergo a TTE test</w:t>
            </w:r>
            <w:r w:rsidR="006D2E1F">
              <w:rPr>
                <w:rFonts w:ascii="Arial Narrow" w:hAnsi="Arial Narrow"/>
              </w:rPr>
              <w:t xml:space="preserve">. ADAR </w:t>
            </w:r>
            <w:r w:rsidR="00313BF8">
              <w:rPr>
                <w:rFonts w:ascii="Arial Narrow" w:hAnsi="Arial Narrow"/>
              </w:rPr>
              <w:t>assumed</w:t>
            </w:r>
            <w:r w:rsidR="006D2E1F">
              <w:rPr>
                <w:rFonts w:ascii="Arial Narrow" w:hAnsi="Arial Narrow"/>
              </w:rPr>
              <w:t xml:space="preserve"> 10% of patients would also receive TTE</w:t>
            </w:r>
            <w:r w:rsidR="00313BF8">
              <w:rPr>
                <w:rFonts w:ascii="Arial Narrow" w:hAnsi="Arial Narrow"/>
              </w:rPr>
              <w:t xml:space="preserve"> after positive </w:t>
            </w:r>
            <w:r w:rsidR="009A7FA3">
              <w:rPr>
                <w:rFonts w:ascii="Arial Narrow" w:hAnsi="Arial Narrow"/>
              </w:rPr>
              <w:t>NT</w:t>
            </w:r>
            <w:r w:rsidR="009A7FA3">
              <w:rPr>
                <w:rFonts w:ascii="Arial Narrow" w:hAnsi="Arial Narrow"/>
              </w:rPr>
              <w:noBreakHyphen/>
            </w:r>
            <w:proofErr w:type="spellStart"/>
            <w:r w:rsidR="009A7FA3">
              <w:rPr>
                <w:rFonts w:ascii="Arial Narrow" w:hAnsi="Arial Narrow"/>
              </w:rPr>
              <w:t>proBNP</w:t>
            </w:r>
            <w:proofErr w:type="spellEnd"/>
            <w:r w:rsidR="006D2E1F">
              <w:rPr>
                <w:rFonts w:ascii="Arial Narrow" w:hAnsi="Arial Narrow"/>
              </w:rPr>
              <w:t xml:space="preserve"> (</w:t>
            </w:r>
            <w:r w:rsidR="00DE4712">
              <w:rPr>
                <w:rFonts w:ascii="Arial Narrow" w:hAnsi="Arial Narrow"/>
              </w:rPr>
              <w:t xml:space="preserve">based on </w:t>
            </w:r>
            <w:r w:rsidR="00EF5451">
              <w:rPr>
                <w:rFonts w:ascii="Arial Narrow" w:hAnsi="Arial Narrow"/>
              </w:rPr>
              <w:t xml:space="preserve">10% </w:t>
            </w:r>
            <w:r w:rsidR="009A7FA3">
              <w:rPr>
                <w:rFonts w:ascii="Arial Narrow" w:hAnsi="Arial Narrow"/>
              </w:rPr>
              <w:t xml:space="preserve">PAH </w:t>
            </w:r>
            <w:r w:rsidR="00EF5451">
              <w:rPr>
                <w:rFonts w:ascii="Arial Narrow" w:hAnsi="Arial Narrow"/>
              </w:rPr>
              <w:t>prevalence</w:t>
            </w:r>
            <w:r w:rsidR="009A7FA3">
              <w:rPr>
                <w:rFonts w:ascii="Arial Narrow" w:hAnsi="Arial Narrow"/>
              </w:rPr>
              <w:t xml:space="preserve">). </w:t>
            </w:r>
            <w:r w:rsidR="00C87207">
              <w:rPr>
                <w:rFonts w:ascii="Arial Narrow" w:hAnsi="Arial Narrow"/>
                <w:i/>
                <w:iCs/>
              </w:rPr>
              <w:t xml:space="preserve">The </w:t>
            </w:r>
            <w:r w:rsidR="00CD1B5F">
              <w:rPr>
                <w:rFonts w:ascii="Arial Narrow" w:hAnsi="Arial Narrow"/>
                <w:i/>
                <w:iCs/>
              </w:rPr>
              <w:t>ASIG algorithm</w:t>
            </w:r>
            <w:r w:rsidR="00C4798E">
              <w:rPr>
                <w:rFonts w:ascii="Arial Narrow" w:hAnsi="Arial Narrow"/>
                <w:i/>
                <w:iCs/>
              </w:rPr>
              <w:t xml:space="preserve"> (Thakkar 201</w:t>
            </w:r>
            <w:r w:rsidR="00141C55">
              <w:rPr>
                <w:rFonts w:ascii="Arial Narrow" w:hAnsi="Arial Narrow"/>
                <w:i/>
                <w:iCs/>
              </w:rPr>
              <w:t>2</w:t>
            </w:r>
            <w:r w:rsidR="00C4798E">
              <w:rPr>
                <w:rFonts w:ascii="Arial Narrow" w:hAnsi="Arial Narrow"/>
                <w:i/>
                <w:iCs/>
              </w:rPr>
              <w:t>)</w:t>
            </w:r>
            <w:r w:rsidR="00CD1B5F">
              <w:rPr>
                <w:rFonts w:ascii="Arial Narrow" w:hAnsi="Arial Narrow"/>
                <w:i/>
                <w:iCs/>
              </w:rPr>
              <w:t xml:space="preserve"> </w:t>
            </w:r>
            <w:r w:rsidR="00C4798E">
              <w:rPr>
                <w:rFonts w:ascii="Arial Narrow" w:hAnsi="Arial Narrow"/>
                <w:i/>
                <w:iCs/>
              </w:rPr>
              <w:t xml:space="preserve">states </w:t>
            </w:r>
            <w:r w:rsidR="00C4798E" w:rsidRPr="00C4798E">
              <w:rPr>
                <w:rFonts w:ascii="Arial Narrow" w:hAnsi="Arial Narrow"/>
                <w:i/>
                <w:iCs/>
              </w:rPr>
              <w:t xml:space="preserve">screen positive </w:t>
            </w:r>
            <w:r w:rsidR="00141C55">
              <w:rPr>
                <w:rFonts w:ascii="Arial Narrow" w:hAnsi="Arial Narrow"/>
                <w:i/>
                <w:iCs/>
              </w:rPr>
              <w:t xml:space="preserve">patients </w:t>
            </w:r>
            <w:r w:rsidR="00C4798E" w:rsidRPr="00C4798E">
              <w:rPr>
                <w:rFonts w:ascii="Arial Narrow" w:hAnsi="Arial Narrow"/>
                <w:i/>
                <w:iCs/>
              </w:rPr>
              <w:t>should be referred for TTE and considered for additional investigations, such as HRCT or 6MWT, and RHC, if appropriate.</w:t>
            </w:r>
          </w:p>
        </w:tc>
      </w:tr>
      <w:tr w:rsidR="00E4281E" w:rsidRPr="00C134F9" w14:paraId="6410163A" w14:textId="77777777" w:rsidTr="00566EFA">
        <w:tc>
          <w:tcPr>
            <w:tcW w:w="2821" w:type="dxa"/>
            <w:tcBorders>
              <w:bottom w:val="single" w:sz="4" w:space="0" w:color="auto"/>
            </w:tcBorders>
          </w:tcPr>
          <w:p w14:paraId="696450D4" w14:textId="77777777" w:rsidR="00E4281E" w:rsidRPr="00566EFA" w:rsidRDefault="00E4281E" w:rsidP="00E4281E">
            <w:pPr>
              <w:keepNext/>
              <w:spacing w:before="40"/>
              <w:rPr>
                <w:rFonts w:ascii="Arial Narrow" w:hAnsi="Arial Narrow"/>
              </w:rPr>
            </w:pPr>
            <w:r w:rsidRPr="00566EFA">
              <w:rPr>
                <w:rFonts w:ascii="Arial Narrow" w:hAnsi="Arial Narrow"/>
              </w:rPr>
              <w:t>No. NT-</w:t>
            </w:r>
            <w:proofErr w:type="spellStart"/>
            <w:r w:rsidRPr="00566EFA">
              <w:rPr>
                <w:rFonts w:ascii="Arial Narrow" w:hAnsi="Arial Narrow"/>
              </w:rPr>
              <w:t>proBNP</w:t>
            </w:r>
            <w:proofErr w:type="spellEnd"/>
            <w:r w:rsidRPr="00566EFA">
              <w:rPr>
                <w:rFonts w:ascii="Arial Narrow" w:hAnsi="Arial Narrow"/>
              </w:rPr>
              <w:t xml:space="preserve"> tests/patient/year</w:t>
            </w:r>
          </w:p>
        </w:tc>
        <w:tc>
          <w:tcPr>
            <w:tcW w:w="1699" w:type="dxa"/>
            <w:tcBorders>
              <w:bottom w:val="single" w:sz="4" w:space="0" w:color="auto"/>
            </w:tcBorders>
          </w:tcPr>
          <w:p w14:paraId="487DBDC4" w14:textId="77777777" w:rsidR="00E4281E" w:rsidRPr="00566EFA" w:rsidRDefault="00E4281E" w:rsidP="00E4281E">
            <w:pPr>
              <w:keepNext/>
              <w:spacing w:before="40"/>
              <w:jc w:val="center"/>
              <w:rPr>
                <w:rFonts w:ascii="Arial Narrow" w:hAnsi="Arial Narrow"/>
              </w:rPr>
            </w:pPr>
            <w:r w:rsidRPr="00566EFA">
              <w:rPr>
                <w:rFonts w:ascii="Arial Narrow" w:hAnsi="Arial Narrow"/>
              </w:rPr>
              <w:t>−</w:t>
            </w:r>
          </w:p>
        </w:tc>
        <w:tc>
          <w:tcPr>
            <w:tcW w:w="1721" w:type="dxa"/>
            <w:tcBorders>
              <w:bottom w:val="single" w:sz="4" w:space="0" w:color="auto"/>
            </w:tcBorders>
          </w:tcPr>
          <w:p w14:paraId="1AE5DF7F" w14:textId="2B42C14A" w:rsidR="00E4281E" w:rsidRPr="00566EFA" w:rsidRDefault="00E4281E" w:rsidP="00E4281E">
            <w:pPr>
              <w:keepNext/>
              <w:spacing w:before="40"/>
              <w:jc w:val="center"/>
              <w:rPr>
                <w:rFonts w:ascii="Arial Narrow" w:hAnsi="Arial Narrow"/>
              </w:rPr>
            </w:pPr>
            <w:r w:rsidRPr="00566EFA">
              <w:rPr>
                <w:rFonts w:ascii="Arial Narrow" w:hAnsi="Arial Narrow"/>
              </w:rPr>
              <w:t xml:space="preserve">1.1 </w:t>
            </w:r>
          </w:p>
        </w:tc>
        <w:tc>
          <w:tcPr>
            <w:tcW w:w="2826" w:type="dxa"/>
            <w:tcBorders>
              <w:bottom w:val="single" w:sz="4" w:space="0" w:color="auto"/>
            </w:tcBorders>
          </w:tcPr>
          <w:p w14:paraId="7FBBD610" w14:textId="0AEF57A2" w:rsidR="00E4281E" w:rsidRPr="00B21B07" w:rsidRDefault="000A2F2F" w:rsidP="00E4281E">
            <w:pPr>
              <w:keepNext/>
              <w:spacing w:before="40"/>
              <w:rPr>
                <w:rFonts w:ascii="Arial Narrow" w:hAnsi="Arial Narrow"/>
                <w:color w:val="0070C0"/>
              </w:rPr>
            </w:pPr>
            <w:r>
              <w:rPr>
                <w:rFonts w:ascii="Arial Narrow" w:hAnsi="Arial Narrow"/>
                <w:color w:val="0070C0"/>
              </w:rPr>
              <w:t>-</w:t>
            </w:r>
          </w:p>
        </w:tc>
      </w:tr>
      <w:tr w:rsidR="00E4281E" w:rsidRPr="00C134F9" w14:paraId="569908C1" w14:textId="77777777" w:rsidTr="00566EFA">
        <w:tc>
          <w:tcPr>
            <w:tcW w:w="2821" w:type="dxa"/>
            <w:tcBorders>
              <w:bottom w:val="single" w:sz="4" w:space="0" w:color="auto"/>
            </w:tcBorders>
          </w:tcPr>
          <w:p w14:paraId="583196FF" w14:textId="77777777" w:rsidR="00E4281E" w:rsidRPr="00566EFA" w:rsidRDefault="00E4281E" w:rsidP="00E4281E">
            <w:pPr>
              <w:keepNext/>
              <w:spacing w:before="40"/>
              <w:rPr>
                <w:rFonts w:ascii="Arial Narrow" w:hAnsi="Arial Narrow"/>
              </w:rPr>
            </w:pPr>
            <w:r w:rsidRPr="00566EFA">
              <w:rPr>
                <w:rFonts w:ascii="Arial Narrow" w:hAnsi="Arial Narrow"/>
              </w:rPr>
              <w:t>No. TTE tests/patient/year</w:t>
            </w:r>
          </w:p>
        </w:tc>
        <w:tc>
          <w:tcPr>
            <w:tcW w:w="1699" w:type="dxa"/>
            <w:tcBorders>
              <w:bottom w:val="single" w:sz="4" w:space="0" w:color="auto"/>
            </w:tcBorders>
          </w:tcPr>
          <w:p w14:paraId="017A8C02" w14:textId="3DF1546F" w:rsidR="00E4281E" w:rsidRPr="00566EFA" w:rsidRDefault="00E4281E" w:rsidP="00E4281E">
            <w:pPr>
              <w:keepNext/>
              <w:spacing w:before="40"/>
              <w:jc w:val="center"/>
              <w:rPr>
                <w:rFonts w:ascii="Arial Narrow" w:hAnsi="Arial Narrow"/>
              </w:rPr>
            </w:pPr>
            <w:r w:rsidRPr="00566EFA">
              <w:rPr>
                <w:rFonts w:ascii="Arial Narrow" w:hAnsi="Arial Narrow"/>
              </w:rPr>
              <w:t xml:space="preserve">1.1 </w:t>
            </w:r>
          </w:p>
        </w:tc>
        <w:tc>
          <w:tcPr>
            <w:tcW w:w="1721" w:type="dxa"/>
            <w:tcBorders>
              <w:bottom w:val="single" w:sz="4" w:space="0" w:color="auto"/>
            </w:tcBorders>
          </w:tcPr>
          <w:p w14:paraId="5559D442" w14:textId="263F1140" w:rsidR="00E4281E" w:rsidRPr="00566EFA" w:rsidRDefault="00A10CFA" w:rsidP="00E4281E">
            <w:pPr>
              <w:keepNext/>
              <w:spacing w:before="40"/>
              <w:jc w:val="center"/>
              <w:rPr>
                <w:rFonts w:ascii="Arial Narrow" w:hAnsi="Arial Narrow"/>
              </w:rPr>
            </w:pPr>
            <w:r>
              <w:rPr>
                <w:rFonts w:ascii="Arial Narrow" w:hAnsi="Arial Narrow"/>
              </w:rPr>
              <w:t>0.0</w:t>
            </w:r>
          </w:p>
        </w:tc>
        <w:tc>
          <w:tcPr>
            <w:tcW w:w="2826" w:type="dxa"/>
            <w:tcBorders>
              <w:bottom w:val="single" w:sz="4" w:space="0" w:color="auto"/>
            </w:tcBorders>
          </w:tcPr>
          <w:p w14:paraId="7230D645" w14:textId="1B01975A" w:rsidR="00E4281E" w:rsidRPr="00B21B07" w:rsidRDefault="000A2F2F" w:rsidP="00E4281E">
            <w:pPr>
              <w:keepNext/>
              <w:spacing w:before="40"/>
              <w:rPr>
                <w:rFonts w:ascii="Arial Narrow" w:hAnsi="Arial Narrow"/>
                <w:color w:val="0070C0"/>
              </w:rPr>
            </w:pPr>
            <w:r>
              <w:rPr>
                <w:rFonts w:ascii="Arial Narrow" w:hAnsi="Arial Narrow"/>
                <w:color w:val="0070C0"/>
              </w:rPr>
              <w:t>-</w:t>
            </w:r>
          </w:p>
        </w:tc>
      </w:tr>
      <w:tr w:rsidR="00E4281E" w:rsidRPr="00C134F9" w14:paraId="33E3AC82" w14:textId="77777777" w:rsidTr="00566EFA">
        <w:tc>
          <w:tcPr>
            <w:tcW w:w="2821" w:type="dxa"/>
            <w:tcBorders>
              <w:bottom w:val="single" w:sz="4" w:space="0" w:color="auto"/>
            </w:tcBorders>
          </w:tcPr>
          <w:p w14:paraId="47F1BF56" w14:textId="77777777" w:rsidR="00E4281E" w:rsidRPr="00C134F9" w:rsidRDefault="00E4281E" w:rsidP="00E4281E">
            <w:pPr>
              <w:keepNext/>
              <w:spacing w:before="40"/>
              <w:rPr>
                <w:rFonts w:ascii="Arial Narrow" w:hAnsi="Arial Narrow"/>
              </w:rPr>
            </w:pPr>
            <w:r w:rsidRPr="00C134F9">
              <w:rPr>
                <w:rFonts w:ascii="Arial Narrow" w:hAnsi="Arial Narrow"/>
              </w:rPr>
              <w:t>Total NT-</w:t>
            </w:r>
            <w:proofErr w:type="spellStart"/>
            <w:r w:rsidRPr="00C134F9">
              <w:rPr>
                <w:rFonts w:ascii="Arial Narrow" w:hAnsi="Arial Narrow"/>
              </w:rPr>
              <w:t>proBNP</w:t>
            </w:r>
            <w:proofErr w:type="spellEnd"/>
            <w:r w:rsidRPr="00C134F9">
              <w:rPr>
                <w:rFonts w:ascii="Arial Narrow" w:hAnsi="Arial Narrow"/>
              </w:rPr>
              <w:t xml:space="preserve"> test cost/patient/year</w:t>
            </w:r>
          </w:p>
        </w:tc>
        <w:tc>
          <w:tcPr>
            <w:tcW w:w="1699" w:type="dxa"/>
            <w:tcBorders>
              <w:bottom w:val="single" w:sz="4" w:space="0" w:color="auto"/>
            </w:tcBorders>
          </w:tcPr>
          <w:p w14:paraId="20461D50" w14:textId="77777777" w:rsidR="00E4281E" w:rsidRPr="00C134F9" w:rsidRDefault="00E4281E" w:rsidP="00E4281E">
            <w:pPr>
              <w:keepNext/>
              <w:spacing w:before="40"/>
              <w:jc w:val="center"/>
              <w:rPr>
                <w:rFonts w:ascii="Arial Narrow" w:hAnsi="Arial Narrow"/>
              </w:rPr>
            </w:pPr>
            <w:r w:rsidRPr="00C134F9">
              <w:rPr>
                <w:rFonts w:ascii="Arial Narrow" w:hAnsi="Arial Narrow"/>
              </w:rPr>
              <w:t>$0.00</w:t>
            </w:r>
          </w:p>
        </w:tc>
        <w:tc>
          <w:tcPr>
            <w:tcW w:w="1721" w:type="dxa"/>
            <w:tcBorders>
              <w:bottom w:val="single" w:sz="4" w:space="0" w:color="auto"/>
            </w:tcBorders>
          </w:tcPr>
          <w:p w14:paraId="3CDF3C16" w14:textId="5235518E" w:rsidR="00E4281E" w:rsidRPr="00E81A22" w:rsidRDefault="00E4281E">
            <w:pPr>
              <w:keepNext/>
              <w:spacing w:before="40"/>
              <w:jc w:val="center"/>
              <w:rPr>
                <w:rFonts w:eastAsia="Calibri" w:cs="Arial"/>
                <w:i/>
                <w:vertAlign w:val="superscript"/>
              </w:rPr>
            </w:pPr>
            <w:r w:rsidRPr="000A2F2F">
              <w:rPr>
                <w:rFonts w:ascii="Arial Narrow" w:hAnsi="Arial Narrow"/>
              </w:rPr>
              <w:t xml:space="preserve">$64.35 </w:t>
            </w:r>
          </w:p>
        </w:tc>
        <w:tc>
          <w:tcPr>
            <w:tcW w:w="2826" w:type="dxa"/>
            <w:tcBorders>
              <w:bottom w:val="single" w:sz="4" w:space="0" w:color="auto"/>
            </w:tcBorders>
          </w:tcPr>
          <w:p w14:paraId="5B10F068" w14:textId="048D0F72" w:rsidR="00E4281E" w:rsidRPr="00566EFA" w:rsidRDefault="00835AEC" w:rsidP="00E4281E">
            <w:pPr>
              <w:keepNext/>
              <w:spacing w:before="40"/>
              <w:rPr>
                <w:rFonts w:ascii="Arial Narrow" w:hAnsi="Arial Narrow"/>
                <w:i/>
                <w:iCs/>
              </w:rPr>
            </w:pPr>
            <w:r>
              <w:rPr>
                <w:rFonts w:ascii="Arial Narrow" w:hAnsi="Arial Narrow"/>
                <w:i/>
                <w:iCs/>
              </w:rPr>
              <w:t>-</w:t>
            </w:r>
          </w:p>
        </w:tc>
      </w:tr>
      <w:tr w:rsidR="00E4281E" w:rsidRPr="00C134F9" w14:paraId="1216731D" w14:textId="77777777" w:rsidTr="00566EFA">
        <w:tc>
          <w:tcPr>
            <w:tcW w:w="2821" w:type="dxa"/>
            <w:tcBorders>
              <w:bottom w:val="single" w:sz="4" w:space="0" w:color="auto"/>
            </w:tcBorders>
          </w:tcPr>
          <w:p w14:paraId="405DD231" w14:textId="77777777" w:rsidR="00E4281E" w:rsidRPr="00C134F9" w:rsidRDefault="00E4281E" w:rsidP="00E4281E">
            <w:pPr>
              <w:keepNext/>
              <w:spacing w:before="40"/>
              <w:rPr>
                <w:rFonts w:ascii="Arial Narrow" w:hAnsi="Arial Narrow"/>
              </w:rPr>
            </w:pPr>
            <w:r w:rsidRPr="00C134F9">
              <w:rPr>
                <w:rFonts w:ascii="Arial Narrow" w:hAnsi="Arial Narrow"/>
              </w:rPr>
              <w:t>Total TTE test cost/patient/year</w:t>
            </w:r>
          </w:p>
        </w:tc>
        <w:tc>
          <w:tcPr>
            <w:tcW w:w="1699" w:type="dxa"/>
            <w:tcBorders>
              <w:bottom w:val="single" w:sz="4" w:space="0" w:color="auto"/>
            </w:tcBorders>
          </w:tcPr>
          <w:p w14:paraId="009D65F9" w14:textId="25312641" w:rsidR="00E4281E" w:rsidRDefault="00E4281E" w:rsidP="502AEC3D">
            <w:pPr>
              <w:keepNext/>
              <w:spacing w:before="40"/>
              <w:jc w:val="center"/>
              <w:rPr>
                <w:rFonts w:ascii="Arial Narrow" w:hAnsi="Arial Narrow"/>
                <w:i/>
              </w:rPr>
            </w:pPr>
            <w:r w:rsidRPr="00E81A22">
              <w:rPr>
                <w:rFonts w:ascii="Arial Narrow" w:hAnsi="Arial Narrow"/>
                <w:i/>
              </w:rPr>
              <w:t>$236.25</w:t>
            </w:r>
          </w:p>
          <w:p w14:paraId="6A5568E8" w14:textId="74B3B74E" w:rsidR="00AF4925" w:rsidRPr="00566EFA" w:rsidRDefault="00AF4925" w:rsidP="502AEC3D">
            <w:pPr>
              <w:keepNext/>
              <w:spacing w:before="40"/>
              <w:jc w:val="center"/>
              <w:rPr>
                <w:rFonts w:ascii="Arial Narrow" w:eastAsia="Calibri" w:hAnsi="Arial Narrow" w:cs="Arial"/>
                <w:iCs/>
              </w:rPr>
            </w:pPr>
            <w:r w:rsidRPr="00566EFA">
              <w:rPr>
                <w:rFonts w:ascii="Arial Narrow" w:hAnsi="Arial Narrow"/>
                <w:iCs/>
              </w:rPr>
              <w:t>(ADAR = $</w:t>
            </w:r>
            <w:r w:rsidR="00955F4A" w:rsidRPr="00566EFA">
              <w:rPr>
                <w:rFonts w:ascii="Arial Narrow" w:hAnsi="Arial Narrow"/>
                <w:iCs/>
              </w:rPr>
              <w:t>233.92)</w:t>
            </w:r>
          </w:p>
        </w:tc>
        <w:tc>
          <w:tcPr>
            <w:tcW w:w="1721" w:type="dxa"/>
            <w:tcBorders>
              <w:bottom w:val="single" w:sz="4" w:space="0" w:color="auto"/>
            </w:tcBorders>
          </w:tcPr>
          <w:p w14:paraId="78B17847" w14:textId="49D0E15B" w:rsidR="00E37B83" w:rsidRPr="00566EFA" w:rsidRDefault="00E37B83" w:rsidP="00E4281E">
            <w:pPr>
              <w:keepNext/>
              <w:spacing w:before="40"/>
              <w:jc w:val="center"/>
              <w:rPr>
                <w:rFonts w:ascii="Arial Narrow" w:hAnsi="Arial Narrow"/>
                <w:i/>
                <w:iCs/>
              </w:rPr>
            </w:pPr>
            <w:r w:rsidRPr="00566EFA">
              <w:rPr>
                <w:rFonts w:ascii="Arial Narrow" w:hAnsi="Arial Narrow"/>
                <w:i/>
                <w:iCs/>
              </w:rPr>
              <w:t>$</w:t>
            </w:r>
            <w:r w:rsidR="00AF4925">
              <w:rPr>
                <w:rFonts w:ascii="Arial Narrow" w:hAnsi="Arial Narrow"/>
                <w:i/>
                <w:iCs/>
              </w:rPr>
              <w:t>107.54</w:t>
            </w:r>
          </w:p>
          <w:p w14:paraId="69A67494" w14:textId="228F5850" w:rsidR="00E4281E" w:rsidRPr="00566EFA" w:rsidRDefault="00955F4A">
            <w:pPr>
              <w:keepNext/>
              <w:spacing w:before="40"/>
              <w:jc w:val="center"/>
              <w:rPr>
                <w:rFonts w:ascii="Arial Narrow" w:hAnsi="Arial Narrow"/>
                <w:i/>
                <w:iCs/>
              </w:rPr>
            </w:pPr>
            <w:r w:rsidRPr="00566EFA">
              <w:rPr>
                <w:rFonts w:ascii="Arial Narrow" w:hAnsi="Arial Narrow"/>
              </w:rPr>
              <w:t>(</w:t>
            </w:r>
            <w:r w:rsidR="00A86A64" w:rsidRPr="00566EFA">
              <w:rPr>
                <w:rFonts w:ascii="Arial Narrow" w:hAnsi="Arial Narrow"/>
              </w:rPr>
              <w:t xml:space="preserve">ADAR = </w:t>
            </w:r>
            <w:r w:rsidR="005C3253" w:rsidRPr="00566EFA">
              <w:rPr>
                <w:rFonts w:ascii="Arial Narrow" w:hAnsi="Arial Narrow"/>
              </w:rPr>
              <w:t>$</w:t>
            </w:r>
            <w:r w:rsidR="006F5119" w:rsidRPr="00566EFA">
              <w:rPr>
                <w:rFonts w:ascii="Arial Narrow" w:hAnsi="Arial Narrow"/>
              </w:rPr>
              <w:t>21.27</w:t>
            </w:r>
            <w:r w:rsidR="006F5119">
              <w:rPr>
                <w:rFonts w:ascii="Arial Narrow" w:hAnsi="Arial Narrow"/>
              </w:rPr>
              <w:t>)</w:t>
            </w:r>
          </w:p>
        </w:tc>
        <w:tc>
          <w:tcPr>
            <w:tcW w:w="2826" w:type="dxa"/>
            <w:tcBorders>
              <w:bottom w:val="single" w:sz="4" w:space="0" w:color="auto"/>
            </w:tcBorders>
          </w:tcPr>
          <w:p w14:paraId="31D34BFA" w14:textId="0462790E" w:rsidR="00E4281E" w:rsidRPr="00C134F9" w:rsidRDefault="00554BC7" w:rsidP="00E4281E">
            <w:pPr>
              <w:keepNext/>
              <w:spacing w:before="40"/>
              <w:rPr>
                <w:rFonts w:ascii="Arial Narrow" w:hAnsi="Arial Narrow"/>
              </w:rPr>
            </w:pPr>
            <w:r>
              <w:rPr>
                <w:rFonts w:ascii="Arial Narrow" w:hAnsi="Arial Narrow"/>
                <w:i/>
                <w:iCs/>
              </w:rPr>
              <w:t>Revised based on screen positive rate.</w:t>
            </w:r>
          </w:p>
        </w:tc>
      </w:tr>
      <w:tr w:rsidR="00E4281E" w:rsidRPr="00C134F9" w14:paraId="7EDDF567" w14:textId="77777777" w:rsidTr="00566EFA">
        <w:tc>
          <w:tcPr>
            <w:tcW w:w="2821" w:type="dxa"/>
            <w:tcBorders>
              <w:bottom w:val="single" w:sz="4" w:space="0" w:color="auto"/>
            </w:tcBorders>
          </w:tcPr>
          <w:p w14:paraId="024AE958" w14:textId="77777777" w:rsidR="00E4281E" w:rsidRPr="00C134F9" w:rsidRDefault="00E4281E" w:rsidP="00E4281E">
            <w:pPr>
              <w:keepNext/>
              <w:spacing w:before="40"/>
              <w:rPr>
                <w:rFonts w:ascii="Arial Narrow" w:hAnsi="Arial Narrow"/>
                <w:b/>
                <w:bCs/>
              </w:rPr>
            </w:pPr>
            <w:r w:rsidRPr="00C134F9">
              <w:rPr>
                <w:rFonts w:ascii="Arial Narrow" w:hAnsi="Arial Narrow"/>
                <w:b/>
                <w:bCs/>
              </w:rPr>
              <w:t>Total cost per patient</w:t>
            </w:r>
          </w:p>
        </w:tc>
        <w:tc>
          <w:tcPr>
            <w:tcW w:w="1699" w:type="dxa"/>
            <w:tcBorders>
              <w:bottom w:val="single" w:sz="4" w:space="0" w:color="auto"/>
            </w:tcBorders>
          </w:tcPr>
          <w:p w14:paraId="412149BA" w14:textId="71331853" w:rsidR="006F5119" w:rsidRPr="00B32B0B" w:rsidRDefault="00E4281E">
            <w:pPr>
              <w:keepNext/>
              <w:spacing w:before="40"/>
              <w:jc w:val="center"/>
              <w:rPr>
                <w:rFonts w:ascii="Arial Narrow" w:hAnsi="Arial Narrow"/>
                <w:b/>
                <w:bCs/>
                <w:i/>
                <w:iCs/>
              </w:rPr>
            </w:pPr>
            <w:r w:rsidRPr="00B32B0B">
              <w:rPr>
                <w:rFonts w:ascii="Arial Narrow" w:hAnsi="Arial Narrow"/>
                <w:b/>
                <w:bCs/>
                <w:i/>
                <w:iCs/>
              </w:rPr>
              <w:t>$259.88</w:t>
            </w:r>
          </w:p>
          <w:p w14:paraId="0EE6853A" w14:textId="76E84674" w:rsidR="00E4281E" w:rsidRPr="00E81A22" w:rsidRDefault="006F5119">
            <w:pPr>
              <w:keepNext/>
              <w:spacing w:before="40"/>
              <w:jc w:val="center"/>
              <w:rPr>
                <w:rFonts w:ascii="Arial Narrow" w:hAnsi="Arial Narrow"/>
                <w:b/>
                <w:i/>
              </w:rPr>
            </w:pPr>
            <w:r>
              <w:rPr>
                <w:rFonts w:ascii="Arial Narrow" w:hAnsi="Arial Narrow"/>
                <w:b/>
                <w:iCs/>
              </w:rPr>
              <w:t>(ADAR = $</w:t>
            </w:r>
            <w:r w:rsidR="00835AEC">
              <w:rPr>
                <w:rFonts w:ascii="Arial Narrow" w:hAnsi="Arial Narrow"/>
                <w:b/>
                <w:iCs/>
              </w:rPr>
              <w:t>233.92)</w:t>
            </w:r>
          </w:p>
        </w:tc>
        <w:tc>
          <w:tcPr>
            <w:tcW w:w="1721" w:type="dxa"/>
            <w:tcBorders>
              <w:bottom w:val="single" w:sz="4" w:space="0" w:color="auto"/>
            </w:tcBorders>
          </w:tcPr>
          <w:p w14:paraId="4098C88F" w14:textId="498C2B6C" w:rsidR="00835AEC" w:rsidRDefault="00E4281E" w:rsidP="19689069">
            <w:pPr>
              <w:keepNext/>
              <w:spacing w:before="40"/>
              <w:jc w:val="center"/>
              <w:rPr>
                <w:rFonts w:ascii="Arial Narrow" w:hAnsi="Arial Narrow"/>
                <w:b/>
                <w:bCs/>
                <w:i/>
                <w:iCs/>
              </w:rPr>
            </w:pPr>
            <w:r w:rsidRPr="00B32B0B">
              <w:rPr>
                <w:rFonts w:ascii="Arial Narrow" w:hAnsi="Arial Narrow"/>
                <w:b/>
                <w:bCs/>
                <w:i/>
                <w:iCs/>
              </w:rPr>
              <w:t xml:space="preserve"> $</w:t>
            </w:r>
            <w:r w:rsidR="00B83CA6" w:rsidRPr="00B32B0B">
              <w:rPr>
                <w:rFonts w:ascii="Arial Narrow" w:hAnsi="Arial Narrow"/>
                <w:b/>
                <w:bCs/>
                <w:i/>
                <w:iCs/>
              </w:rPr>
              <w:t>171.89</w:t>
            </w:r>
          </w:p>
          <w:p w14:paraId="3C91B4A6" w14:textId="4839CD3D" w:rsidR="00E4281E" w:rsidRPr="00C134F9" w:rsidRDefault="00835AEC">
            <w:pPr>
              <w:keepNext/>
              <w:spacing w:before="40"/>
              <w:jc w:val="center"/>
              <w:rPr>
                <w:rFonts w:ascii="Arial Narrow" w:eastAsia="Calibri" w:hAnsi="Arial Narrow" w:cs="Arial"/>
                <w:b/>
                <w:bCs/>
              </w:rPr>
            </w:pPr>
            <w:r>
              <w:rPr>
                <w:rFonts w:ascii="Arial Narrow" w:hAnsi="Arial Narrow"/>
                <w:b/>
                <w:i/>
              </w:rPr>
              <w:t>(ADAR = $85.62)</w:t>
            </w:r>
          </w:p>
        </w:tc>
        <w:tc>
          <w:tcPr>
            <w:tcW w:w="2826" w:type="dxa"/>
            <w:tcBorders>
              <w:bottom w:val="single" w:sz="4" w:space="0" w:color="auto"/>
            </w:tcBorders>
          </w:tcPr>
          <w:p w14:paraId="3CCC2616" w14:textId="32962F9A" w:rsidR="00E4281E" w:rsidRPr="00C134F9" w:rsidRDefault="00835AEC" w:rsidP="00E4281E">
            <w:pPr>
              <w:keepNext/>
              <w:spacing w:before="40"/>
              <w:rPr>
                <w:rFonts w:ascii="Arial Narrow" w:hAnsi="Arial Narrow"/>
              </w:rPr>
            </w:pPr>
            <w:r>
              <w:rPr>
                <w:rFonts w:ascii="Arial Narrow" w:hAnsi="Arial Narrow"/>
              </w:rPr>
              <w:t>-</w:t>
            </w:r>
          </w:p>
        </w:tc>
      </w:tr>
      <w:tr w:rsidR="00E4281E" w:rsidRPr="00C134F9" w14:paraId="573B2761" w14:textId="77777777" w:rsidTr="00566EFA">
        <w:tc>
          <w:tcPr>
            <w:tcW w:w="2821" w:type="dxa"/>
          </w:tcPr>
          <w:p w14:paraId="241C6156" w14:textId="6C8388C1" w:rsidR="00E4281E" w:rsidRPr="00C134F9" w:rsidRDefault="00E4281E" w:rsidP="00E4281E">
            <w:pPr>
              <w:keepNext/>
              <w:spacing w:before="40"/>
              <w:rPr>
                <w:rFonts w:ascii="Arial Narrow" w:hAnsi="Arial Narrow"/>
                <w:b/>
                <w:bCs/>
              </w:rPr>
            </w:pPr>
            <w:r w:rsidRPr="00C134F9">
              <w:rPr>
                <w:rFonts w:ascii="Arial Narrow" w:hAnsi="Arial Narrow"/>
                <w:b/>
                <w:bCs/>
              </w:rPr>
              <w:t xml:space="preserve">Net cost difference per patient </w:t>
            </w:r>
          </w:p>
        </w:tc>
        <w:tc>
          <w:tcPr>
            <w:tcW w:w="3420" w:type="dxa"/>
            <w:gridSpan w:val="2"/>
          </w:tcPr>
          <w:p w14:paraId="6FCEEFE3" w14:textId="78180408" w:rsidR="00E4281E" w:rsidRPr="00C134F9" w:rsidRDefault="00E4281E" w:rsidP="00E4281E">
            <w:pPr>
              <w:keepNext/>
              <w:spacing w:before="40"/>
              <w:jc w:val="center"/>
              <w:rPr>
                <w:rFonts w:ascii="Arial Narrow" w:hAnsi="Arial Narrow"/>
                <w:b/>
                <w:bCs/>
              </w:rPr>
            </w:pPr>
            <w:r w:rsidRPr="00B32B0B">
              <w:rPr>
                <w:rFonts w:ascii="Arial Narrow" w:hAnsi="Arial Narrow"/>
                <w:b/>
                <w:bCs/>
                <w:i/>
                <w:iCs/>
              </w:rPr>
              <w:t>-$</w:t>
            </w:r>
            <w:r w:rsidR="006A3E9B" w:rsidRPr="00B32B0B">
              <w:rPr>
                <w:rFonts w:ascii="Arial Narrow" w:hAnsi="Arial Narrow"/>
                <w:b/>
                <w:bCs/>
                <w:i/>
                <w:iCs/>
              </w:rPr>
              <w:t>87.98</w:t>
            </w:r>
            <w:r w:rsidR="006A3E9B">
              <w:rPr>
                <w:rFonts w:ascii="Arial Narrow" w:hAnsi="Arial Narrow"/>
                <w:b/>
                <w:bCs/>
              </w:rPr>
              <w:t xml:space="preserve"> (ADAR = -$148.30)</w:t>
            </w:r>
          </w:p>
        </w:tc>
        <w:tc>
          <w:tcPr>
            <w:tcW w:w="2826" w:type="dxa"/>
          </w:tcPr>
          <w:p w14:paraId="70D5DAE3" w14:textId="3694C738" w:rsidR="00E4281E" w:rsidRPr="00C134F9" w:rsidRDefault="001471BD" w:rsidP="00E4281E">
            <w:pPr>
              <w:keepNext/>
              <w:spacing w:before="40"/>
              <w:rPr>
                <w:rFonts w:ascii="Arial Narrow" w:hAnsi="Arial Narrow"/>
              </w:rPr>
            </w:pPr>
            <w:r>
              <w:rPr>
                <w:rFonts w:ascii="Arial Narrow" w:hAnsi="Arial Narrow"/>
              </w:rPr>
              <w:t>-</w:t>
            </w:r>
          </w:p>
        </w:tc>
      </w:tr>
    </w:tbl>
    <w:p w14:paraId="03B0ABC6" w14:textId="490DFFF6" w:rsidR="00E4281E" w:rsidRPr="00566EFA" w:rsidRDefault="00E4281E" w:rsidP="00CE78B6">
      <w:pPr>
        <w:pStyle w:val="TableNotes2"/>
        <w:spacing w:before="120"/>
        <w:rPr>
          <w:i w:val="0"/>
          <w:iCs w:val="0"/>
        </w:rPr>
      </w:pPr>
      <w:r w:rsidRPr="006B739A">
        <w:t xml:space="preserve">Source: </w:t>
      </w:r>
      <w:r w:rsidR="00C71D50">
        <w:t xml:space="preserve">Revised post ESC. </w:t>
      </w:r>
      <w:r w:rsidRPr="00566EFA">
        <w:rPr>
          <w:i w:val="0"/>
          <w:iCs w:val="0"/>
        </w:rPr>
        <w:t xml:space="preserve">Adapted from Table 28 of the ‘ADAR 1689 </w:t>
      </w:r>
      <w:proofErr w:type="spellStart"/>
      <w:r w:rsidRPr="00566EFA">
        <w:rPr>
          <w:i w:val="0"/>
          <w:iCs w:val="0"/>
        </w:rPr>
        <w:t>NTproBNP</w:t>
      </w:r>
      <w:proofErr w:type="spellEnd"/>
      <w:r w:rsidRPr="00566EFA">
        <w:rPr>
          <w:i w:val="0"/>
          <w:iCs w:val="0"/>
        </w:rPr>
        <w:t xml:space="preserve"> MSAC ADAR 1689 – FINAL’ using the Excel workbook ‘ADAR 1689 NT-</w:t>
      </w:r>
      <w:proofErr w:type="spellStart"/>
      <w:r w:rsidRPr="00566EFA">
        <w:rPr>
          <w:i w:val="0"/>
          <w:iCs w:val="0"/>
        </w:rPr>
        <w:t>proBNP</w:t>
      </w:r>
      <w:proofErr w:type="spellEnd"/>
      <w:r w:rsidRPr="00566EFA">
        <w:rPr>
          <w:i w:val="0"/>
          <w:iCs w:val="0"/>
        </w:rPr>
        <w:t xml:space="preserve"> MSAC </w:t>
      </w:r>
      <w:proofErr w:type="spellStart"/>
      <w:r w:rsidRPr="00566EFA">
        <w:rPr>
          <w:i w:val="0"/>
          <w:iCs w:val="0"/>
        </w:rPr>
        <w:t>SSc_PAH_Section</w:t>
      </w:r>
      <w:proofErr w:type="spellEnd"/>
      <w:r w:rsidRPr="00566EFA">
        <w:rPr>
          <w:i w:val="0"/>
          <w:iCs w:val="0"/>
        </w:rPr>
        <w:t xml:space="preserve"> 3B’</w:t>
      </w:r>
    </w:p>
    <w:p w14:paraId="2BBA7258" w14:textId="4C5FAE87" w:rsidR="00E4281E" w:rsidRPr="00566EFA" w:rsidRDefault="00E4281E" w:rsidP="00CE78B6">
      <w:pPr>
        <w:pStyle w:val="TableNotes2"/>
        <w:spacing w:before="120"/>
        <w:rPr>
          <w:i w:val="0"/>
          <w:iCs w:val="0"/>
        </w:rPr>
      </w:pPr>
      <w:r w:rsidRPr="00566EFA">
        <w:rPr>
          <w:i w:val="0"/>
          <w:iCs w:val="0"/>
        </w:rPr>
        <w:t xml:space="preserve">Abbreviations: </w:t>
      </w:r>
      <w:r w:rsidR="00141C55">
        <w:rPr>
          <w:i w:val="0"/>
          <w:iCs w:val="0"/>
        </w:rPr>
        <w:t xml:space="preserve">HRCT = high resolution computed tomography; </w:t>
      </w:r>
      <w:r w:rsidRPr="00566EFA">
        <w:rPr>
          <w:i w:val="0"/>
          <w:iCs w:val="0"/>
        </w:rPr>
        <w:t>MBS= Medicare Benefits Schedule; NT-</w:t>
      </w:r>
      <w:proofErr w:type="spellStart"/>
      <w:r w:rsidRPr="00566EFA">
        <w:rPr>
          <w:i w:val="0"/>
          <w:iCs w:val="0"/>
        </w:rPr>
        <w:t>proBNP</w:t>
      </w:r>
      <w:proofErr w:type="spellEnd"/>
      <w:r w:rsidRPr="00566EFA">
        <w:rPr>
          <w:i w:val="0"/>
          <w:iCs w:val="0"/>
        </w:rPr>
        <w:t xml:space="preserve">= N-terminal </w:t>
      </w:r>
      <w:proofErr w:type="spellStart"/>
      <w:r w:rsidRPr="00566EFA">
        <w:rPr>
          <w:i w:val="0"/>
          <w:iCs w:val="0"/>
        </w:rPr>
        <w:t>proB</w:t>
      </w:r>
      <w:proofErr w:type="spellEnd"/>
      <w:r w:rsidRPr="00566EFA">
        <w:rPr>
          <w:i w:val="0"/>
          <w:iCs w:val="0"/>
        </w:rPr>
        <w:t xml:space="preserve">-type natriuretic peptide; PAH = pulmonary arterial hypertension; </w:t>
      </w:r>
      <w:r w:rsidR="00086250">
        <w:rPr>
          <w:i w:val="0"/>
          <w:iCs w:val="0"/>
        </w:rPr>
        <w:t xml:space="preserve">RHC = right heart catheterisation; </w:t>
      </w:r>
      <w:proofErr w:type="spellStart"/>
      <w:r w:rsidRPr="00566EFA">
        <w:rPr>
          <w:i w:val="0"/>
          <w:iCs w:val="0"/>
        </w:rPr>
        <w:t>SSc</w:t>
      </w:r>
      <w:proofErr w:type="spellEnd"/>
      <w:r w:rsidRPr="00566EFA">
        <w:rPr>
          <w:i w:val="0"/>
          <w:iCs w:val="0"/>
        </w:rPr>
        <w:t xml:space="preserve"> = systemic sclerosis; TTE= Transthoracic Echocardiogram</w:t>
      </w:r>
      <w:r w:rsidR="008A2EEB">
        <w:rPr>
          <w:i w:val="0"/>
          <w:iCs w:val="0"/>
        </w:rPr>
        <w:t xml:space="preserve">; 6MWT = six-minute walk test. </w:t>
      </w:r>
    </w:p>
    <w:p w14:paraId="599D8E75" w14:textId="00A62285" w:rsidR="00C71D50" w:rsidRDefault="00E4281E" w:rsidP="00CE78B6">
      <w:pPr>
        <w:pStyle w:val="TableNotes2"/>
        <w:spacing w:before="120"/>
      </w:pPr>
      <w:r w:rsidRPr="006B739A">
        <w:rPr>
          <w:vertAlign w:val="superscript"/>
        </w:rPr>
        <w:t>a</w:t>
      </w:r>
      <w:r w:rsidRPr="006B739A">
        <w:t xml:space="preserve"> </w:t>
      </w:r>
      <w:r w:rsidR="00C71D50" w:rsidRPr="00C71D50">
        <w:t>ADAR used the fee for MBS item 55133 ($212.65) for patients with isolated pericardial effusion or pericarditis for patients using certain PBS medicines with cardiotoxic side effects.</w:t>
      </w:r>
      <w:r w:rsidR="00E24C87">
        <w:t xml:space="preserve"> MBS items 55126 and 55129 </w:t>
      </w:r>
      <w:r w:rsidR="00F0776B">
        <w:t>(</w:t>
      </w:r>
      <w:r w:rsidR="00F0776B" w:rsidRPr="00287280">
        <w:t>$</w:t>
      </w:r>
      <w:r w:rsidR="00F0776B" w:rsidRPr="00F24914">
        <w:t>236.25</w:t>
      </w:r>
      <w:r w:rsidR="00F0776B">
        <w:t xml:space="preserve">) can be used for investigation of PAH. </w:t>
      </w:r>
    </w:p>
    <w:p w14:paraId="2465C331" w14:textId="258CB978" w:rsidR="00E4281E" w:rsidRPr="001270E9" w:rsidRDefault="00E4281E" w:rsidP="00E4281E">
      <w:pPr>
        <w:pStyle w:val="Instructionaltext"/>
        <w:rPr>
          <w:color w:val="auto"/>
        </w:rPr>
      </w:pPr>
      <w:r w:rsidRPr="00C758B7">
        <w:rPr>
          <w:color w:val="auto"/>
        </w:rPr>
        <w:lastRenderedPageBreak/>
        <w:t xml:space="preserve">In </w:t>
      </w:r>
      <w:r w:rsidRPr="001270E9">
        <w:rPr>
          <w:color w:val="auto"/>
        </w:rPr>
        <w:t>Population 2, the submission has assumed complete substitution of TTE by NT-</w:t>
      </w:r>
      <w:proofErr w:type="spellStart"/>
      <w:r w:rsidRPr="001270E9">
        <w:rPr>
          <w:color w:val="auto"/>
        </w:rPr>
        <w:t>proBNP</w:t>
      </w:r>
      <w:proofErr w:type="spellEnd"/>
      <w:r w:rsidRPr="001270E9">
        <w:rPr>
          <w:color w:val="auto"/>
        </w:rPr>
        <w:t xml:space="preserve"> </w:t>
      </w:r>
      <w:r w:rsidR="00936724">
        <w:rPr>
          <w:color w:val="auto"/>
        </w:rPr>
        <w:br/>
      </w:r>
      <w:r w:rsidRPr="001270E9">
        <w:rPr>
          <w:color w:val="auto"/>
        </w:rPr>
        <w:t>(i.e. 2.15 tests/patient/year in each arm. Th</w:t>
      </w:r>
      <w:r w:rsidR="0061722D">
        <w:rPr>
          <w:color w:val="auto"/>
        </w:rPr>
        <w:t>e commentary considered that th</w:t>
      </w:r>
      <w:r w:rsidRPr="001270E9">
        <w:rPr>
          <w:color w:val="auto"/>
        </w:rPr>
        <w:t xml:space="preserve">is </w:t>
      </w:r>
      <w:r w:rsidR="0061722D">
        <w:rPr>
          <w:color w:val="auto"/>
        </w:rPr>
        <w:t>was</w:t>
      </w:r>
      <w:r w:rsidR="0061722D" w:rsidRPr="001270E9">
        <w:rPr>
          <w:color w:val="auto"/>
        </w:rPr>
        <w:t xml:space="preserve"> </w:t>
      </w:r>
      <w:r w:rsidRPr="001270E9">
        <w:rPr>
          <w:color w:val="auto"/>
        </w:rPr>
        <w:t>not reasonable as patients who are symptomatic or who are found to have worsening symptoms following NT-</w:t>
      </w:r>
      <w:proofErr w:type="spellStart"/>
      <w:r w:rsidRPr="001270E9">
        <w:rPr>
          <w:color w:val="auto"/>
        </w:rPr>
        <w:t>proBNP</w:t>
      </w:r>
      <w:proofErr w:type="spellEnd"/>
      <w:r w:rsidRPr="001270E9">
        <w:rPr>
          <w:color w:val="auto"/>
        </w:rPr>
        <w:t xml:space="preserve"> would likely still use TTE. No data are available to </w:t>
      </w:r>
      <w:r w:rsidR="00B60AC2">
        <w:rPr>
          <w:color w:val="auto"/>
        </w:rPr>
        <w:t xml:space="preserve">reliably </w:t>
      </w:r>
      <w:r w:rsidRPr="001270E9">
        <w:rPr>
          <w:color w:val="auto"/>
        </w:rPr>
        <w:t>estimate the proportion of patients in whom NT-</w:t>
      </w:r>
      <w:proofErr w:type="spellStart"/>
      <w:r w:rsidRPr="001270E9">
        <w:rPr>
          <w:color w:val="auto"/>
        </w:rPr>
        <w:t>proBNP</w:t>
      </w:r>
      <w:proofErr w:type="spellEnd"/>
      <w:r w:rsidRPr="001270E9">
        <w:rPr>
          <w:color w:val="auto"/>
        </w:rPr>
        <w:t xml:space="preserve"> would substitute TTE. </w:t>
      </w:r>
    </w:p>
    <w:p w14:paraId="6EFDE845" w14:textId="6CA42A8F" w:rsidR="00E4281E" w:rsidRPr="00055E91" w:rsidRDefault="00E4281E" w:rsidP="00E4281E">
      <w:pPr>
        <w:pStyle w:val="TableHeading0"/>
        <w:rPr>
          <w:rFonts w:eastAsia="Times New Roman" w:cs="Times New Roman"/>
        </w:rPr>
      </w:pPr>
      <w:r w:rsidRPr="5A6E51F6">
        <w:rPr>
          <w:rFonts w:eastAsia="Times New Roman" w:cs="Times New Roman"/>
        </w:rPr>
        <w:t xml:space="preserve">Table </w:t>
      </w:r>
      <w:r w:rsidRPr="5A6E51F6">
        <w:rPr>
          <w:rFonts w:eastAsia="Times New Roman" w:cs="Times New Roman"/>
          <w:b w:val="0"/>
          <w:color w:val="2B579A"/>
          <w:shd w:val="clear" w:color="auto" w:fill="E6E6E6"/>
        </w:rPr>
        <w:fldChar w:fldCharType="begin"/>
      </w:r>
      <w:r w:rsidRPr="5A6E51F6">
        <w:rPr>
          <w:rFonts w:eastAsia="Times New Roman" w:cs="Times New Roman"/>
        </w:rPr>
        <w:instrText xml:space="preserve"> SEQ Table_CES \* ARABIC </w:instrText>
      </w:r>
      <w:r w:rsidRPr="5A6E51F6">
        <w:rPr>
          <w:rFonts w:eastAsia="Times New Roman" w:cs="Times New Roman"/>
          <w:b w:val="0"/>
          <w:color w:val="2B579A"/>
          <w:shd w:val="clear" w:color="auto" w:fill="E6E6E6"/>
        </w:rPr>
        <w:fldChar w:fldCharType="separate"/>
      </w:r>
      <w:r w:rsidR="00D270D9">
        <w:rPr>
          <w:rFonts w:eastAsia="Times New Roman" w:cs="Times New Roman"/>
          <w:noProof/>
        </w:rPr>
        <w:t>10</w:t>
      </w:r>
      <w:r w:rsidRPr="5A6E51F6">
        <w:rPr>
          <w:rFonts w:eastAsia="Times New Roman" w:cs="Times New Roman"/>
          <w:b w:val="0"/>
          <w:color w:val="2B579A"/>
          <w:shd w:val="clear" w:color="auto" w:fill="E6E6E6"/>
        </w:rPr>
        <w:fldChar w:fldCharType="end"/>
      </w:r>
      <w:bookmarkEnd w:id="50"/>
      <w:r w:rsidRPr="5A6E51F6">
        <w:rPr>
          <w:rFonts w:eastAsia="Times New Roman" w:cs="Times New Roman"/>
        </w:rPr>
        <w:t xml:space="preserve"> </w:t>
      </w:r>
      <w:r>
        <w:tab/>
        <w:t xml:space="preserve">Total cost per patient per year </w:t>
      </w:r>
      <w:r w:rsidRPr="0019569C">
        <w:t xml:space="preserve">associated with </w:t>
      </w:r>
      <w:r w:rsidRPr="002B46C9">
        <w:t xml:space="preserve">testing </w:t>
      </w:r>
      <w:r>
        <w:t xml:space="preserve">algorithms without and with </w:t>
      </w:r>
      <w:r w:rsidRPr="0019569C">
        <w:t>NT-</w:t>
      </w:r>
      <w:proofErr w:type="spellStart"/>
      <w:r w:rsidRPr="0019569C">
        <w:t>proBNP</w:t>
      </w:r>
      <w:proofErr w:type="spellEnd"/>
      <w:r w:rsidRPr="0019569C">
        <w:t xml:space="preserve"> testing in </w:t>
      </w:r>
      <w:r>
        <w:t>P</w:t>
      </w:r>
      <w:r w:rsidRPr="0019569C">
        <w:t>opulation</w:t>
      </w:r>
      <w:r>
        <w:t xml:space="preserve"> 2 (</w:t>
      </w:r>
      <w:r w:rsidRPr="00566EFA">
        <w:rPr>
          <w:i/>
          <w:iCs/>
        </w:rPr>
        <w:t xml:space="preserve">revised </w:t>
      </w:r>
      <w:r w:rsidR="00EC6C9D" w:rsidRPr="00566EFA">
        <w:rPr>
          <w:i/>
          <w:iCs/>
        </w:rPr>
        <w:t>post</w:t>
      </w:r>
      <w:r w:rsidRPr="00566EFA">
        <w:rPr>
          <w:i/>
          <w:iCs/>
        </w:rPr>
        <w:t xml:space="preserve"> ESC</w:t>
      </w:r>
      <w:r w:rsidR="00ED5D4F" w:rsidRPr="00566EFA">
        <w:rPr>
          <w:i/>
          <w:iCs/>
        </w:rPr>
        <w:t xml:space="preserve"> meeting</w:t>
      </w:r>
      <w:r>
        <w:t>)</w:t>
      </w:r>
    </w:p>
    <w:tbl>
      <w:tblPr>
        <w:tblStyle w:val="TableGrid1"/>
        <w:tblW w:w="9067" w:type="dxa"/>
        <w:tblLook w:val="04A0" w:firstRow="1" w:lastRow="0" w:firstColumn="1" w:lastColumn="0" w:noHBand="0" w:noVBand="1"/>
        <w:tblCaption w:val="Summary of the inputs used in the economic evaluation "/>
        <w:tblDescription w:val="Summary of the inputs used in the economic evaluation "/>
      </w:tblPr>
      <w:tblGrid>
        <w:gridCol w:w="2952"/>
        <w:gridCol w:w="2005"/>
        <w:gridCol w:w="2268"/>
        <w:gridCol w:w="1842"/>
      </w:tblGrid>
      <w:tr w:rsidR="00E4281E" w:rsidRPr="00CE28E3" w14:paraId="0A621DA9"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952" w:type="dxa"/>
            <w:tcBorders>
              <w:bottom w:val="single" w:sz="4" w:space="0" w:color="auto"/>
            </w:tcBorders>
            <w:shd w:val="clear" w:color="auto" w:fill="auto"/>
          </w:tcPr>
          <w:p w14:paraId="1DC4851F" w14:textId="77777777" w:rsidR="00E4281E" w:rsidRPr="00CE28E3" w:rsidRDefault="00E4281E" w:rsidP="00E4281E">
            <w:pPr>
              <w:pStyle w:val="TableHeading"/>
              <w:jc w:val="center"/>
            </w:pPr>
            <w:bookmarkStart w:id="51" w:name="Title_Table6"/>
            <w:bookmarkStart w:id="52" w:name="_Ref69725876"/>
            <w:bookmarkEnd w:id="51"/>
            <w:r w:rsidRPr="00CE28E3">
              <w:t>Parameter</w:t>
            </w:r>
          </w:p>
        </w:tc>
        <w:tc>
          <w:tcPr>
            <w:tcW w:w="2005" w:type="dxa"/>
            <w:tcBorders>
              <w:bottom w:val="single" w:sz="4" w:space="0" w:color="auto"/>
            </w:tcBorders>
            <w:shd w:val="clear" w:color="auto" w:fill="auto"/>
          </w:tcPr>
          <w:p w14:paraId="1733B907" w14:textId="77777777" w:rsidR="00E4281E" w:rsidRPr="00CE28E3" w:rsidRDefault="00E4281E" w:rsidP="00E4281E">
            <w:pPr>
              <w:pStyle w:val="TableHeading"/>
              <w:jc w:val="center"/>
            </w:pPr>
            <w:r w:rsidRPr="0047022F">
              <w:t>Current clinical management algorithm (without NT-</w:t>
            </w:r>
            <w:proofErr w:type="spellStart"/>
            <w:r w:rsidRPr="0047022F">
              <w:t>proBNP</w:t>
            </w:r>
            <w:proofErr w:type="spellEnd"/>
            <w:r w:rsidRPr="0047022F">
              <w:t>)</w:t>
            </w:r>
          </w:p>
        </w:tc>
        <w:tc>
          <w:tcPr>
            <w:tcW w:w="2268" w:type="dxa"/>
            <w:tcBorders>
              <w:bottom w:val="single" w:sz="4" w:space="0" w:color="auto"/>
            </w:tcBorders>
            <w:shd w:val="clear" w:color="auto" w:fill="auto"/>
          </w:tcPr>
          <w:p w14:paraId="364DEEF3" w14:textId="77777777" w:rsidR="00E4281E" w:rsidRPr="00CE28E3" w:rsidRDefault="00E4281E" w:rsidP="00E4281E">
            <w:pPr>
              <w:pStyle w:val="TableHeading"/>
              <w:jc w:val="center"/>
            </w:pPr>
            <w:r w:rsidRPr="0047022F">
              <w:t>Proposed clinical management algorithm (with NT-</w:t>
            </w:r>
            <w:proofErr w:type="spellStart"/>
            <w:r w:rsidRPr="0047022F">
              <w:t>proBNP</w:t>
            </w:r>
            <w:proofErr w:type="spellEnd"/>
            <w:r w:rsidRPr="0047022F">
              <w:t>)</w:t>
            </w:r>
          </w:p>
        </w:tc>
        <w:tc>
          <w:tcPr>
            <w:tcW w:w="1842" w:type="dxa"/>
            <w:tcBorders>
              <w:bottom w:val="single" w:sz="4" w:space="0" w:color="auto"/>
            </w:tcBorders>
            <w:shd w:val="clear" w:color="auto" w:fill="auto"/>
          </w:tcPr>
          <w:p w14:paraId="66D4BCF6" w14:textId="77777777" w:rsidR="00E4281E" w:rsidRPr="00CE28E3" w:rsidRDefault="00E4281E" w:rsidP="00E4281E">
            <w:pPr>
              <w:pStyle w:val="TableHeading"/>
              <w:jc w:val="center"/>
            </w:pPr>
            <w:r w:rsidRPr="00CE28E3">
              <w:t>Source</w:t>
            </w:r>
            <w:r>
              <w:t>/Notes</w:t>
            </w:r>
          </w:p>
        </w:tc>
      </w:tr>
      <w:tr w:rsidR="00E4281E" w:rsidRPr="00CE28E3" w14:paraId="4908EED3"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952" w:type="dxa"/>
            <w:tcBorders>
              <w:bottom w:val="single" w:sz="4" w:space="0" w:color="auto"/>
            </w:tcBorders>
          </w:tcPr>
          <w:p w14:paraId="71188C45" w14:textId="77777777" w:rsidR="00E4281E" w:rsidRPr="00D54A19" w:rsidRDefault="00E4281E" w:rsidP="00E4281E">
            <w:pPr>
              <w:pStyle w:val="TableHeading"/>
              <w:rPr>
                <w:b w:val="0"/>
                <w:bCs/>
              </w:rPr>
            </w:pPr>
            <w:r w:rsidRPr="00D54A19">
              <w:rPr>
                <w:b w:val="0"/>
                <w:bCs/>
              </w:rPr>
              <w:t>Proportion of patients undergoing 4 risk assessments/year</w:t>
            </w:r>
          </w:p>
        </w:tc>
        <w:tc>
          <w:tcPr>
            <w:tcW w:w="2005" w:type="dxa"/>
            <w:tcBorders>
              <w:bottom w:val="single" w:sz="4" w:space="0" w:color="auto"/>
            </w:tcBorders>
          </w:tcPr>
          <w:p w14:paraId="55CA35E4" w14:textId="77777777" w:rsidR="00E4281E" w:rsidRPr="00D54A19" w:rsidRDefault="00E4281E" w:rsidP="00E4281E">
            <w:pPr>
              <w:pStyle w:val="TableHeading"/>
              <w:jc w:val="center"/>
              <w:rPr>
                <w:b w:val="0"/>
                <w:bCs/>
              </w:rPr>
            </w:pPr>
            <w:r w:rsidRPr="00D54A19">
              <w:rPr>
                <w:b w:val="0"/>
                <w:bCs/>
              </w:rPr>
              <w:t>5%</w:t>
            </w:r>
          </w:p>
        </w:tc>
        <w:tc>
          <w:tcPr>
            <w:tcW w:w="2268" w:type="dxa"/>
            <w:tcBorders>
              <w:bottom w:val="single" w:sz="4" w:space="0" w:color="auto"/>
            </w:tcBorders>
          </w:tcPr>
          <w:p w14:paraId="49824B5D" w14:textId="77777777" w:rsidR="00E4281E" w:rsidRPr="00D54A19" w:rsidRDefault="00E4281E" w:rsidP="00E4281E">
            <w:pPr>
              <w:pStyle w:val="TableHeading"/>
              <w:jc w:val="center"/>
              <w:rPr>
                <w:b w:val="0"/>
                <w:bCs/>
              </w:rPr>
            </w:pPr>
            <w:r w:rsidRPr="00D54A19">
              <w:rPr>
                <w:b w:val="0"/>
                <w:bCs/>
              </w:rPr>
              <w:t>5%</w:t>
            </w:r>
          </w:p>
        </w:tc>
        <w:tc>
          <w:tcPr>
            <w:tcW w:w="1842" w:type="dxa"/>
            <w:vMerge w:val="restart"/>
            <w:vAlign w:val="center"/>
          </w:tcPr>
          <w:p w14:paraId="2691F8F7" w14:textId="77777777" w:rsidR="00E4281E" w:rsidRPr="00D54A19" w:rsidRDefault="00E4281E" w:rsidP="00E4281E">
            <w:pPr>
              <w:pStyle w:val="TableHeading"/>
              <w:rPr>
                <w:b w:val="0"/>
                <w:bCs/>
              </w:rPr>
            </w:pPr>
            <w:r w:rsidRPr="00761865">
              <w:rPr>
                <w:b w:val="0"/>
                <w:bCs/>
              </w:rPr>
              <w:t>Local clinician advice</w:t>
            </w:r>
          </w:p>
        </w:tc>
      </w:tr>
      <w:tr w:rsidR="00E4281E" w:rsidRPr="00CE28E3" w14:paraId="048D697C"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952" w:type="dxa"/>
            <w:tcBorders>
              <w:bottom w:val="single" w:sz="4" w:space="0" w:color="auto"/>
            </w:tcBorders>
          </w:tcPr>
          <w:p w14:paraId="76BEFF59" w14:textId="77777777" w:rsidR="00E4281E" w:rsidRPr="00D54A19" w:rsidRDefault="00E4281E" w:rsidP="00E4281E">
            <w:pPr>
              <w:pStyle w:val="TableHeading"/>
              <w:rPr>
                <w:b w:val="0"/>
                <w:bCs/>
              </w:rPr>
            </w:pPr>
            <w:r w:rsidRPr="00D54A19">
              <w:rPr>
                <w:b w:val="0"/>
                <w:bCs/>
              </w:rPr>
              <w:t>Proportion of patients undergoing 3 risk assessments/year</w:t>
            </w:r>
          </w:p>
        </w:tc>
        <w:tc>
          <w:tcPr>
            <w:tcW w:w="2005" w:type="dxa"/>
            <w:tcBorders>
              <w:bottom w:val="single" w:sz="4" w:space="0" w:color="auto"/>
            </w:tcBorders>
          </w:tcPr>
          <w:p w14:paraId="1856EC5A" w14:textId="77777777" w:rsidR="00E4281E" w:rsidRPr="0047022F" w:rsidRDefault="00E4281E" w:rsidP="00E4281E">
            <w:pPr>
              <w:pStyle w:val="TableHeading"/>
              <w:jc w:val="center"/>
            </w:pPr>
            <w:r w:rsidRPr="00D54A19">
              <w:rPr>
                <w:b w:val="0"/>
                <w:bCs/>
              </w:rPr>
              <w:t>5%</w:t>
            </w:r>
          </w:p>
        </w:tc>
        <w:tc>
          <w:tcPr>
            <w:tcW w:w="2268" w:type="dxa"/>
            <w:tcBorders>
              <w:bottom w:val="single" w:sz="4" w:space="0" w:color="auto"/>
            </w:tcBorders>
          </w:tcPr>
          <w:p w14:paraId="59B5E547" w14:textId="77777777" w:rsidR="00E4281E" w:rsidRPr="0047022F" w:rsidRDefault="00E4281E" w:rsidP="00E4281E">
            <w:pPr>
              <w:pStyle w:val="TableHeading"/>
              <w:jc w:val="center"/>
            </w:pPr>
            <w:r w:rsidRPr="00D54A19">
              <w:rPr>
                <w:b w:val="0"/>
                <w:bCs/>
              </w:rPr>
              <w:t>5%</w:t>
            </w:r>
          </w:p>
        </w:tc>
        <w:tc>
          <w:tcPr>
            <w:tcW w:w="1842" w:type="dxa"/>
            <w:vMerge/>
          </w:tcPr>
          <w:p w14:paraId="3229B18E" w14:textId="77777777" w:rsidR="00E4281E" w:rsidRPr="00CE28E3" w:rsidRDefault="00E4281E" w:rsidP="00E4281E">
            <w:pPr>
              <w:pStyle w:val="TableHeading"/>
            </w:pPr>
          </w:p>
        </w:tc>
      </w:tr>
      <w:tr w:rsidR="00E4281E" w:rsidRPr="00CE28E3" w14:paraId="021BFC18"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952" w:type="dxa"/>
            <w:tcBorders>
              <w:bottom w:val="single" w:sz="4" w:space="0" w:color="auto"/>
            </w:tcBorders>
          </w:tcPr>
          <w:p w14:paraId="401465CE" w14:textId="77777777" w:rsidR="00E4281E" w:rsidRPr="00D54A19" w:rsidRDefault="00E4281E" w:rsidP="00E4281E">
            <w:pPr>
              <w:pStyle w:val="TableHeading"/>
              <w:rPr>
                <w:b w:val="0"/>
                <w:bCs/>
              </w:rPr>
            </w:pPr>
            <w:r w:rsidRPr="00D54A19">
              <w:rPr>
                <w:b w:val="0"/>
                <w:bCs/>
              </w:rPr>
              <w:t>Proportion of patients undergoing 2 risk assessments/year</w:t>
            </w:r>
          </w:p>
        </w:tc>
        <w:tc>
          <w:tcPr>
            <w:tcW w:w="2005" w:type="dxa"/>
            <w:tcBorders>
              <w:bottom w:val="single" w:sz="4" w:space="0" w:color="auto"/>
            </w:tcBorders>
          </w:tcPr>
          <w:p w14:paraId="69926CAB" w14:textId="77777777" w:rsidR="00E4281E" w:rsidRPr="0047022F" w:rsidRDefault="00E4281E" w:rsidP="00E4281E">
            <w:pPr>
              <w:pStyle w:val="TableHeading"/>
              <w:jc w:val="center"/>
            </w:pPr>
            <w:r>
              <w:rPr>
                <w:b w:val="0"/>
                <w:bCs/>
              </w:rPr>
              <w:t>90</w:t>
            </w:r>
            <w:r w:rsidRPr="00D54A19">
              <w:rPr>
                <w:b w:val="0"/>
                <w:bCs/>
              </w:rPr>
              <w:t>%</w:t>
            </w:r>
          </w:p>
        </w:tc>
        <w:tc>
          <w:tcPr>
            <w:tcW w:w="2268" w:type="dxa"/>
            <w:tcBorders>
              <w:bottom w:val="single" w:sz="4" w:space="0" w:color="auto"/>
            </w:tcBorders>
          </w:tcPr>
          <w:p w14:paraId="315FDE59" w14:textId="77777777" w:rsidR="00E4281E" w:rsidRPr="0047022F" w:rsidRDefault="00E4281E" w:rsidP="00E4281E">
            <w:pPr>
              <w:pStyle w:val="TableHeading"/>
              <w:jc w:val="center"/>
            </w:pPr>
            <w:r>
              <w:rPr>
                <w:b w:val="0"/>
                <w:bCs/>
              </w:rPr>
              <w:t>90</w:t>
            </w:r>
            <w:r w:rsidRPr="00D54A19">
              <w:rPr>
                <w:b w:val="0"/>
                <w:bCs/>
              </w:rPr>
              <w:t>%</w:t>
            </w:r>
          </w:p>
        </w:tc>
        <w:tc>
          <w:tcPr>
            <w:tcW w:w="1842" w:type="dxa"/>
            <w:vMerge/>
          </w:tcPr>
          <w:p w14:paraId="45E1CA55" w14:textId="77777777" w:rsidR="00E4281E" w:rsidRPr="00CE28E3" w:rsidRDefault="00E4281E" w:rsidP="00E4281E">
            <w:pPr>
              <w:pStyle w:val="TableHeading"/>
            </w:pPr>
          </w:p>
        </w:tc>
      </w:tr>
      <w:tr w:rsidR="00E4281E" w:rsidRPr="00CE28E3" w14:paraId="0B9AA55C" w14:textId="77777777" w:rsidTr="00566EFA">
        <w:tc>
          <w:tcPr>
            <w:tcW w:w="2952" w:type="dxa"/>
            <w:tcBorders>
              <w:bottom w:val="single" w:sz="4" w:space="0" w:color="auto"/>
            </w:tcBorders>
          </w:tcPr>
          <w:p w14:paraId="06A2D6B3" w14:textId="77777777" w:rsidR="00E4281E" w:rsidRPr="00640DBC" w:rsidRDefault="00E4281E" w:rsidP="00E4281E">
            <w:pPr>
              <w:pStyle w:val="TableText"/>
              <w:keepNext/>
            </w:pPr>
            <w:r w:rsidRPr="0025438E">
              <w:t>NT</w:t>
            </w:r>
            <w:r>
              <w:t>-</w:t>
            </w:r>
            <w:proofErr w:type="spellStart"/>
            <w:r w:rsidRPr="0025438E">
              <w:t>proBNP</w:t>
            </w:r>
            <w:proofErr w:type="spellEnd"/>
            <w:r w:rsidRPr="0025438E">
              <w:t xml:space="preserve"> Test Fee</w:t>
            </w:r>
          </w:p>
        </w:tc>
        <w:tc>
          <w:tcPr>
            <w:tcW w:w="2005" w:type="dxa"/>
            <w:tcBorders>
              <w:bottom w:val="single" w:sz="4" w:space="0" w:color="auto"/>
            </w:tcBorders>
          </w:tcPr>
          <w:p w14:paraId="30134A6D" w14:textId="77777777" w:rsidR="00E4281E" w:rsidRPr="003D4AEB" w:rsidRDefault="00E4281E" w:rsidP="00E4281E">
            <w:pPr>
              <w:pStyle w:val="TableText"/>
              <w:keepNext/>
              <w:jc w:val="center"/>
            </w:pPr>
            <w:r w:rsidRPr="00287280">
              <w:t>$58.50</w:t>
            </w:r>
          </w:p>
        </w:tc>
        <w:tc>
          <w:tcPr>
            <w:tcW w:w="2268" w:type="dxa"/>
            <w:tcBorders>
              <w:bottom w:val="single" w:sz="4" w:space="0" w:color="auto"/>
            </w:tcBorders>
          </w:tcPr>
          <w:p w14:paraId="6F1B074F" w14:textId="77777777" w:rsidR="00E4281E" w:rsidRPr="008B7CDE" w:rsidRDefault="00E4281E" w:rsidP="00E4281E">
            <w:pPr>
              <w:pStyle w:val="TableText"/>
              <w:keepNext/>
              <w:jc w:val="center"/>
            </w:pPr>
            <w:r w:rsidRPr="00287280">
              <w:t>$58.50</w:t>
            </w:r>
          </w:p>
        </w:tc>
        <w:tc>
          <w:tcPr>
            <w:tcW w:w="1842" w:type="dxa"/>
            <w:tcBorders>
              <w:bottom w:val="single" w:sz="4" w:space="0" w:color="auto"/>
            </w:tcBorders>
          </w:tcPr>
          <w:p w14:paraId="7AF45CD7" w14:textId="77777777" w:rsidR="00E4281E" w:rsidRPr="008B7CDE" w:rsidRDefault="00E4281E" w:rsidP="00E4281E">
            <w:pPr>
              <w:pStyle w:val="TableText"/>
              <w:keepNext/>
            </w:pPr>
            <w:r w:rsidRPr="008B7CDE">
              <w:t xml:space="preserve">MBS </w:t>
            </w:r>
            <w:r>
              <w:t>66830</w:t>
            </w:r>
          </w:p>
        </w:tc>
      </w:tr>
      <w:tr w:rsidR="00AF1D05" w:rsidRPr="00CE28E3" w14:paraId="37CC3B9B" w14:textId="77777777" w:rsidTr="00AF1D05">
        <w:tc>
          <w:tcPr>
            <w:tcW w:w="2952" w:type="dxa"/>
            <w:tcBorders>
              <w:bottom w:val="single" w:sz="4" w:space="0" w:color="auto"/>
            </w:tcBorders>
          </w:tcPr>
          <w:p w14:paraId="71DF21D2" w14:textId="27837810" w:rsidR="00AF1D05" w:rsidRPr="0025438E" w:rsidRDefault="00AF1D05" w:rsidP="00AF1D05">
            <w:pPr>
              <w:pStyle w:val="TableText"/>
              <w:keepNext/>
            </w:pPr>
            <w:r w:rsidRPr="00C134F9">
              <w:t>TTE Test Fee</w:t>
            </w:r>
            <w:r>
              <w:t xml:space="preserve"> (ADAR)</w:t>
            </w:r>
          </w:p>
        </w:tc>
        <w:tc>
          <w:tcPr>
            <w:tcW w:w="2005" w:type="dxa"/>
            <w:tcBorders>
              <w:bottom w:val="single" w:sz="4" w:space="0" w:color="auto"/>
            </w:tcBorders>
          </w:tcPr>
          <w:p w14:paraId="18215BDE" w14:textId="79A1CE48" w:rsidR="00AF1D05" w:rsidRPr="00287280" w:rsidRDefault="00AF1D05" w:rsidP="00AF1D05">
            <w:pPr>
              <w:pStyle w:val="TableText"/>
              <w:keepNext/>
              <w:jc w:val="center"/>
            </w:pPr>
            <w:r w:rsidRPr="00F24914">
              <w:t>$212.65</w:t>
            </w:r>
          </w:p>
        </w:tc>
        <w:tc>
          <w:tcPr>
            <w:tcW w:w="2268" w:type="dxa"/>
            <w:tcBorders>
              <w:bottom w:val="single" w:sz="4" w:space="0" w:color="auto"/>
            </w:tcBorders>
          </w:tcPr>
          <w:p w14:paraId="52CE20C0" w14:textId="4F73A381" w:rsidR="00AF1D05" w:rsidRPr="00287280" w:rsidRDefault="00AF1D05" w:rsidP="00AF1D05">
            <w:pPr>
              <w:pStyle w:val="TableText"/>
              <w:keepNext/>
              <w:jc w:val="center"/>
            </w:pPr>
            <w:r w:rsidRPr="00F24914">
              <w:t xml:space="preserve">$212.65 </w:t>
            </w:r>
          </w:p>
        </w:tc>
        <w:tc>
          <w:tcPr>
            <w:tcW w:w="1842" w:type="dxa"/>
            <w:tcBorders>
              <w:bottom w:val="single" w:sz="4" w:space="0" w:color="auto"/>
            </w:tcBorders>
          </w:tcPr>
          <w:p w14:paraId="48CB3C11" w14:textId="225475BD" w:rsidR="00AF1D05" w:rsidRPr="008B7CDE" w:rsidRDefault="00AF1D05" w:rsidP="00AF1D05">
            <w:pPr>
              <w:pStyle w:val="TableText"/>
              <w:keepNext/>
            </w:pPr>
            <w:r w:rsidRPr="00F24914">
              <w:t>MBS item 55133</w:t>
            </w:r>
            <w:r w:rsidRPr="00FD649C">
              <w:rPr>
                <w:vertAlign w:val="superscript"/>
              </w:rPr>
              <w:t xml:space="preserve"> </w:t>
            </w:r>
            <w:r w:rsidRPr="00566EFA">
              <w:rPr>
                <w:i/>
                <w:iCs/>
                <w:vertAlign w:val="superscript"/>
              </w:rPr>
              <w:t>a</w:t>
            </w:r>
          </w:p>
        </w:tc>
      </w:tr>
      <w:tr w:rsidR="00E4281E" w:rsidRPr="00CE28E3" w14:paraId="651A9633" w14:textId="77777777" w:rsidTr="00566EFA">
        <w:tc>
          <w:tcPr>
            <w:tcW w:w="2952" w:type="dxa"/>
            <w:tcBorders>
              <w:bottom w:val="single" w:sz="4" w:space="0" w:color="auto"/>
            </w:tcBorders>
          </w:tcPr>
          <w:p w14:paraId="46C67AA3" w14:textId="3293511B" w:rsidR="00E4281E" w:rsidRPr="00566EFA" w:rsidRDefault="00E4281E" w:rsidP="00E4281E">
            <w:pPr>
              <w:pStyle w:val="TableText"/>
              <w:keepNext/>
              <w:rPr>
                <w:i/>
                <w:iCs/>
              </w:rPr>
            </w:pPr>
            <w:r w:rsidRPr="00566EFA">
              <w:rPr>
                <w:i/>
                <w:iCs/>
              </w:rPr>
              <w:t>TTE Test Fee</w:t>
            </w:r>
            <w:r w:rsidR="00BC3390">
              <w:rPr>
                <w:i/>
                <w:iCs/>
              </w:rPr>
              <w:t xml:space="preserve"> (revised)</w:t>
            </w:r>
          </w:p>
        </w:tc>
        <w:tc>
          <w:tcPr>
            <w:tcW w:w="2005" w:type="dxa"/>
            <w:tcBorders>
              <w:bottom w:val="single" w:sz="4" w:space="0" w:color="auto"/>
            </w:tcBorders>
          </w:tcPr>
          <w:p w14:paraId="475B8C3E" w14:textId="28E1F12B" w:rsidR="00E4281E" w:rsidRPr="003D4AEB" w:rsidRDefault="00E4281E" w:rsidP="00E4281E">
            <w:pPr>
              <w:pStyle w:val="TableText"/>
              <w:keepNext/>
              <w:jc w:val="center"/>
            </w:pPr>
            <w:r w:rsidRPr="00287280">
              <w:t>$</w:t>
            </w:r>
            <w:r w:rsidR="00766611" w:rsidRPr="00566EFA">
              <w:rPr>
                <w:i/>
              </w:rPr>
              <w:t>236.25</w:t>
            </w:r>
          </w:p>
        </w:tc>
        <w:tc>
          <w:tcPr>
            <w:tcW w:w="2268" w:type="dxa"/>
            <w:tcBorders>
              <w:bottom w:val="single" w:sz="4" w:space="0" w:color="auto"/>
            </w:tcBorders>
          </w:tcPr>
          <w:p w14:paraId="1E1FF5E0" w14:textId="7EEDB517" w:rsidR="00E4281E" w:rsidRPr="008B7CDE" w:rsidRDefault="00E4281E" w:rsidP="00E4281E">
            <w:pPr>
              <w:pStyle w:val="TableText"/>
              <w:keepNext/>
              <w:jc w:val="center"/>
            </w:pPr>
            <w:r w:rsidRPr="00287280">
              <w:t>$</w:t>
            </w:r>
            <w:r w:rsidR="00766611" w:rsidRPr="00566EFA">
              <w:rPr>
                <w:i/>
              </w:rPr>
              <w:t>236.25</w:t>
            </w:r>
          </w:p>
        </w:tc>
        <w:tc>
          <w:tcPr>
            <w:tcW w:w="1842" w:type="dxa"/>
            <w:tcBorders>
              <w:bottom w:val="single" w:sz="4" w:space="0" w:color="auto"/>
            </w:tcBorders>
          </w:tcPr>
          <w:p w14:paraId="4B285390" w14:textId="2CEC7609" w:rsidR="00E4281E" w:rsidRPr="008B7CDE" w:rsidRDefault="00E4281E" w:rsidP="00E4281E">
            <w:pPr>
              <w:pStyle w:val="TableText"/>
              <w:keepNext/>
            </w:pPr>
            <w:r w:rsidRPr="008B7CDE">
              <w:t xml:space="preserve">MBS </w:t>
            </w:r>
            <w:r w:rsidR="003A35AF" w:rsidRPr="00566EFA">
              <w:rPr>
                <w:i/>
              </w:rPr>
              <w:t>55126</w:t>
            </w:r>
            <w:r w:rsidR="001B7E70" w:rsidRPr="00566EFA">
              <w:rPr>
                <w:i/>
              </w:rPr>
              <w:t>, 55129</w:t>
            </w:r>
            <w:r w:rsidR="00AF1D05" w:rsidRPr="00B205F0">
              <w:rPr>
                <w:i/>
                <w:vertAlign w:val="superscript"/>
              </w:rPr>
              <w:t xml:space="preserve"> </w:t>
            </w:r>
            <w:r w:rsidR="00F0776B">
              <w:rPr>
                <w:i/>
                <w:vertAlign w:val="superscript"/>
              </w:rPr>
              <w:t>a</w:t>
            </w:r>
          </w:p>
        </w:tc>
      </w:tr>
      <w:tr w:rsidR="00E4281E" w:rsidRPr="00CE28E3" w14:paraId="399A56CD" w14:textId="77777777" w:rsidTr="00566EFA">
        <w:tc>
          <w:tcPr>
            <w:tcW w:w="2952" w:type="dxa"/>
            <w:tcBorders>
              <w:bottom w:val="single" w:sz="4" w:space="0" w:color="auto"/>
            </w:tcBorders>
          </w:tcPr>
          <w:p w14:paraId="48010907" w14:textId="716CA159" w:rsidR="00E4281E" w:rsidRPr="00566EFA" w:rsidRDefault="00E4281E" w:rsidP="00E4281E">
            <w:pPr>
              <w:pStyle w:val="TableText"/>
              <w:keepNext/>
              <w:rPr>
                <w:vertAlign w:val="superscript"/>
              </w:rPr>
            </w:pPr>
            <w:r w:rsidRPr="00566EFA">
              <w:t>No. NT-</w:t>
            </w:r>
            <w:proofErr w:type="spellStart"/>
            <w:r w:rsidRPr="00566EFA">
              <w:t>proBNP</w:t>
            </w:r>
            <w:proofErr w:type="spellEnd"/>
            <w:r w:rsidRPr="00566EFA">
              <w:t xml:space="preserve"> tests/patient/year</w:t>
            </w:r>
            <w:r w:rsidR="006210C2">
              <w:t xml:space="preserve"> </w:t>
            </w:r>
            <w:r w:rsidR="006210C2">
              <w:rPr>
                <w:vertAlign w:val="superscript"/>
              </w:rPr>
              <w:t>b</w:t>
            </w:r>
          </w:p>
        </w:tc>
        <w:tc>
          <w:tcPr>
            <w:tcW w:w="2005" w:type="dxa"/>
            <w:tcBorders>
              <w:bottom w:val="single" w:sz="4" w:space="0" w:color="auto"/>
            </w:tcBorders>
          </w:tcPr>
          <w:p w14:paraId="6AC43DF6" w14:textId="77777777" w:rsidR="00E4281E" w:rsidRPr="00566EFA" w:rsidRDefault="00E4281E" w:rsidP="00E4281E">
            <w:pPr>
              <w:pStyle w:val="TableText"/>
              <w:keepNext/>
              <w:jc w:val="center"/>
            </w:pPr>
            <w:r w:rsidRPr="00566EFA">
              <w:t>−</w:t>
            </w:r>
          </w:p>
        </w:tc>
        <w:tc>
          <w:tcPr>
            <w:tcW w:w="2268" w:type="dxa"/>
            <w:tcBorders>
              <w:bottom w:val="single" w:sz="4" w:space="0" w:color="auto"/>
            </w:tcBorders>
          </w:tcPr>
          <w:p w14:paraId="058A0034" w14:textId="77777777" w:rsidR="00E4281E" w:rsidRPr="00566EFA" w:rsidRDefault="00E4281E" w:rsidP="00E4281E">
            <w:pPr>
              <w:pStyle w:val="TableText"/>
              <w:keepNext/>
              <w:jc w:val="center"/>
            </w:pPr>
            <w:r w:rsidRPr="00566EFA">
              <w:t>2.15</w:t>
            </w:r>
          </w:p>
        </w:tc>
        <w:tc>
          <w:tcPr>
            <w:tcW w:w="1842" w:type="dxa"/>
            <w:tcBorders>
              <w:bottom w:val="single" w:sz="4" w:space="0" w:color="auto"/>
            </w:tcBorders>
          </w:tcPr>
          <w:p w14:paraId="1A368BB5" w14:textId="77777777" w:rsidR="00E4281E" w:rsidRPr="00537EF1" w:rsidRDefault="00E4281E" w:rsidP="00E4281E">
            <w:pPr>
              <w:pStyle w:val="TableText"/>
              <w:keepNext/>
              <w:rPr>
                <w:color w:val="0070C0"/>
              </w:rPr>
            </w:pPr>
          </w:p>
        </w:tc>
      </w:tr>
      <w:tr w:rsidR="00E4281E" w:rsidRPr="00CE28E3" w14:paraId="01A22EB4" w14:textId="77777777" w:rsidTr="00566EFA">
        <w:tc>
          <w:tcPr>
            <w:tcW w:w="2952" w:type="dxa"/>
            <w:tcBorders>
              <w:bottom w:val="single" w:sz="4" w:space="0" w:color="auto"/>
            </w:tcBorders>
          </w:tcPr>
          <w:p w14:paraId="7100CB37" w14:textId="3C47C466" w:rsidR="00E4281E" w:rsidRPr="00566EFA" w:rsidRDefault="00E4281E" w:rsidP="00E4281E">
            <w:pPr>
              <w:pStyle w:val="TableText"/>
              <w:keepNext/>
              <w:rPr>
                <w:vertAlign w:val="superscript"/>
              </w:rPr>
            </w:pPr>
            <w:r w:rsidRPr="00566EFA">
              <w:t>No. TTE tests/patient/year</w:t>
            </w:r>
            <w:r w:rsidR="006210C2">
              <w:t xml:space="preserve"> </w:t>
            </w:r>
            <w:r w:rsidR="006210C2">
              <w:rPr>
                <w:vertAlign w:val="superscript"/>
              </w:rPr>
              <w:t>b</w:t>
            </w:r>
          </w:p>
        </w:tc>
        <w:tc>
          <w:tcPr>
            <w:tcW w:w="2005" w:type="dxa"/>
            <w:tcBorders>
              <w:bottom w:val="single" w:sz="4" w:space="0" w:color="auto"/>
            </w:tcBorders>
          </w:tcPr>
          <w:p w14:paraId="4680E787" w14:textId="77777777" w:rsidR="00E4281E" w:rsidRPr="00566EFA" w:rsidRDefault="00E4281E" w:rsidP="00E4281E">
            <w:pPr>
              <w:pStyle w:val="TableText"/>
              <w:keepNext/>
              <w:jc w:val="center"/>
            </w:pPr>
            <w:r w:rsidRPr="00566EFA">
              <w:t>2.15</w:t>
            </w:r>
          </w:p>
        </w:tc>
        <w:tc>
          <w:tcPr>
            <w:tcW w:w="2268" w:type="dxa"/>
            <w:tcBorders>
              <w:bottom w:val="single" w:sz="4" w:space="0" w:color="auto"/>
            </w:tcBorders>
          </w:tcPr>
          <w:p w14:paraId="5A3F0B45" w14:textId="77777777" w:rsidR="00E4281E" w:rsidRPr="00566EFA" w:rsidRDefault="00E4281E" w:rsidP="00E4281E">
            <w:pPr>
              <w:pStyle w:val="TableText"/>
              <w:keepNext/>
              <w:jc w:val="center"/>
            </w:pPr>
            <w:r w:rsidRPr="00566EFA">
              <w:t>−</w:t>
            </w:r>
          </w:p>
        </w:tc>
        <w:tc>
          <w:tcPr>
            <w:tcW w:w="1842" w:type="dxa"/>
            <w:tcBorders>
              <w:bottom w:val="single" w:sz="4" w:space="0" w:color="auto"/>
            </w:tcBorders>
          </w:tcPr>
          <w:p w14:paraId="3FA03F1E" w14:textId="77777777" w:rsidR="00E4281E" w:rsidRPr="00537EF1" w:rsidRDefault="00E4281E" w:rsidP="00E4281E">
            <w:pPr>
              <w:pStyle w:val="TableText"/>
              <w:keepNext/>
              <w:rPr>
                <w:color w:val="0070C0"/>
              </w:rPr>
            </w:pPr>
          </w:p>
        </w:tc>
      </w:tr>
      <w:tr w:rsidR="00E4281E" w:rsidRPr="00CE28E3" w14:paraId="4E75DEAD" w14:textId="77777777" w:rsidTr="00566EFA">
        <w:tc>
          <w:tcPr>
            <w:tcW w:w="2952" w:type="dxa"/>
            <w:tcBorders>
              <w:bottom w:val="single" w:sz="4" w:space="0" w:color="auto"/>
            </w:tcBorders>
          </w:tcPr>
          <w:p w14:paraId="45E669D6" w14:textId="77777777" w:rsidR="00E4281E" w:rsidRPr="0025438E" w:rsidRDefault="00E4281E" w:rsidP="00E4281E">
            <w:pPr>
              <w:pStyle w:val="TableText"/>
              <w:keepNext/>
            </w:pPr>
            <w:r w:rsidRPr="00D54A19">
              <w:t>Total NT-</w:t>
            </w:r>
            <w:proofErr w:type="spellStart"/>
            <w:r w:rsidRPr="00D54A19">
              <w:t>proBNP</w:t>
            </w:r>
            <w:proofErr w:type="spellEnd"/>
            <w:r w:rsidRPr="00D54A19">
              <w:t xml:space="preserve"> test cost/patient/year</w:t>
            </w:r>
          </w:p>
        </w:tc>
        <w:tc>
          <w:tcPr>
            <w:tcW w:w="2005" w:type="dxa"/>
            <w:tcBorders>
              <w:bottom w:val="single" w:sz="4" w:space="0" w:color="auto"/>
            </w:tcBorders>
          </w:tcPr>
          <w:p w14:paraId="3377044C" w14:textId="77777777" w:rsidR="00E4281E" w:rsidRPr="00287280" w:rsidRDefault="00E4281E" w:rsidP="00E4281E">
            <w:pPr>
              <w:pStyle w:val="TableText"/>
              <w:keepNext/>
              <w:jc w:val="center"/>
            </w:pPr>
            <w:r w:rsidRPr="00D54A19">
              <w:t>$</w:t>
            </w:r>
            <w:r>
              <w:t>0.00</w:t>
            </w:r>
          </w:p>
        </w:tc>
        <w:tc>
          <w:tcPr>
            <w:tcW w:w="2268" w:type="dxa"/>
            <w:tcBorders>
              <w:bottom w:val="single" w:sz="4" w:space="0" w:color="auto"/>
            </w:tcBorders>
          </w:tcPr>
          <w:p w14:paraId="77EC9679" w14:textId="0678FA2F" w:rsidR="00E4281E" w:rsidRPr="00287280" w:rsidRDefault="00E4281E" w:rsidP="00E4281E">
            <w:pPr>
              <w:pStyle w:val="TableText"/>
              <w:keepNext/>
              <w:jc w:val="center"/>
            </w:pPr>
            <w:r w:rsidRPr="00D54A19">
              <w:t>$125.78</w:t>
            </w:r>
            <w:r>
              <w:t xml:space="preserve"> </w:t>
            </w:r>
            <w:r w:rsidR="006210C2">
              <w:rPr>
                <w:vertAlign w:val="superscript"/>
              </w:rPr>
              <w:t>c</w:t>
            </w:r>
          </w:p>
        </w:tc>
        <w:tc>
          <w:tcPr>
            <w:tcW w:w="1842" w:type="dxa"/>
            <w:vMerge w:val="restart"/>
            <w:vAlign w:val="center"/>
          </w:tcPr>
          <w:p w14:paraId="4A558902" w14:textId="77777777" w:rsidR="00E4281E" w:rsidRPr="008B7CDE" w:rsidRDefault="00E4281E" w:rsidP="00E4281E">
            <w:pPr>
              <w:pStyle w:val="TableText"/>
              <w:keepNext/>
            </w:pPr>
          </w:p>
        </w:tc>
      </w:tr>
      <w:tr w:rsidR="00E4281E" w:rsidRPr="00CE28E3" w14:paraId="625E9255" w14:textId="77777777" w:rsidTr="00566EFA">
        <w:tc>
          <w:tcPr>
            <w:tcW w:w="2952" w:type="dxa"/>
            <w:tcBorders>
              <w:bottom w:val="single" w:sz="4" w:space="0" w:color="auto"/>
            </w:tcBorders>
          </w:tcPr>
          <w:p w14:paraId="1AEC8198" w14:textId="77777777" w:rsidR="00E4281E" w:rsidRPr="00640DBC" w:rsidRDefault="00E4281E" w:rsidP="00E4281E">
            <w:pPr>
              <w:pStyle w:val="TableText"/>
              <w:keepNext/>
            </w:pPr>
            <w:r w:rsidRPr="0025438E">
              <w:t xml:space="preserve">Total TTE Test </w:t>
            </w:r>
            <w:r>
              <w:t>cost</w:t>
            </w:r>
            <w:r w:rsidRPr="0025438E">
              <w:t>/patient/year</w:t>
            </w:r>
          </w:p>
        </w:tc>
        <w:tc>
          <w:tcPr>
            <w:tcW w:w="2005" w:type="dxa"/>
            <w:tcBorders>
              <w:bottom w:val="single" w:sz="4" w:space="0" w:color="auto"/>
            </w:tcBorders>
          </w:tcPr>
          <w:p w14:paraId="0135C60E" w14:textId="4C3E1551" w:rsidR="00E4281E" w:rsidRDefault="00E4281E" w:rsidP="00E4281E">
            <w:pPr>
              <w:pStyle w:val="TableText"/>
              <w:keepNext/>
              <w:jc w:val="center"/>
            </w:pPr>
            <w:r w:rsidRPr="00FE63E5">
              <w:t>$</w:t>
            </w:r>
            <w:r w:rsidR="00F144F3" w:rsidRPr="00566EFA">
              <w:rPr>
                <w:i/>
              </w:rPr>
              <w:t>507.94</w:t>
            </w:r>
            <w:r>
              <w:t xml:space="preserve"> </w:t>
            </w:r>
          </w:p>
          <w:p w14:paraId="7E346986" w14:textId="0CB03C5E" w:rsidR="007F606D" w:rsidRPr="003D4AEB" w:rsidRDefault="007F606D" w:rsidP="00E4281E">
            <w:pPr>
              <w:pStyle w:val="TableText"/>
              <w:keepNext/>
              <w:jc w:val="center"/>
            </w:pPr>
            <w:r>
              <w:t xml:space="preserve">(ADAR </w:t>
            </w:r>
            <w:r w:rsidR="000C236C">
              <w:t>= $457.20)</w:t>
            </w:r>
          </w:p>
        </w:tc>
        <w:tc>
          <w:tcPr>
            <w:tcW w:w="2268" w:type="dxa"/>
            <w:tcBorders>
              <w:bottom w:val="single" w:sz="4" w:space="0" w:color="auto"/>
            </w:tcBorders>
          </w:tcPr>
          <w:p w14:paraId="3BC13A8F" w14:textId="77777777" w:rsidR="00E4281E" w:rsidRPr="008B7CDE" w:rsidRDefault="00E4281E" w:rsidP="00E4281E">
            <w:pPr>
              <w:pStyle w:val="TableText"/>
              <w:keepNext/>
              <w:jc w:val="center"/>
            </w:pPr>
            <w:r w:rsidRPr="00FE63E5">
              <w:t>$0.00</w:t>
            </w:r>
          </w:p>
        </w:tc>
        <w:tc>
          <w:tcPr>
            <w:tcW w:w="1842" w:type="dxa"/>
            <w:vMerge/>
          </w:tcPr>
          <w:p w14:paraId="7EF0439B" w14:textId="77777777" w:rsidR="00E4281E" w:rsidRPr="008B7CDE" w:rsidRDefault="00E4281E" w:rsidP="00E4281E">
            <w:pPr>
              <w:pStyle w:val="TableText"/>
              <w:keepNext/>
            </w:pPr>
          </w:p>
        </w:tc>
      </w:tr>
      <w:tr w:rsidR="00E4281E" w:rsidRPr="00CE28E3" w14:paraId="35756DFE" w14:textId="77777777" w:rsidTr="00566EFA">
        <w:tc>
          <w:tcPr>
            <w:tcW w:w="2952" w:type="dxa"/>
            <w:tcBorders>
              <w:bottom w:val="single" w:sz="4" w:space="0" w:color="auto"/>
            </w:tcBorders>
          </w:tcPr>
          <w:p w14:paraId="6120BEFD" w14:textId="77777777" w:rsidR="00E4281E" w:rsidRPr="009F4D86" w:rsidRDefault="00E4281E" w:rsidP="00E4281E">
            <w:pPr>
              <w:pStyle w:val="TableText"/>
              <w:keepNext/>
              <w:rPr>
                <w:b/>
                <w:bCs/>
              </w:rPr>
            </w:pPr>
            <w:r w:rsidRPr="009F4D86">
              <w:rPr>
                <w:b/>
                <w:bCs/>
              </w:rPr>
              <w:t>Total cost per patient</w:t>
            </w:r>
          </w:p>
        </w:tc>
        <w:tc>
          <w:tcPr>
            <w:tcW w:w="2005" w:type="dxa"/>
            <w:tcBorders>
              <w:bottom w:val="single" w:sz="4" w:space="0" w:color="auto"/>
            </w:tcBorders>
          </w:tcPr>
          <w:p w14:paraId="40DD2123" w14:textId="04C4931B" w:rsidR="00E4281E" w:rsidRDefault="00E4281E" w:rsidP="00E4281E">
            <w:pPr>
              <w:pStyle w:val="TableText"/>
              <w:keepNext/>
              <w:jc w:val="center"/>
              <w:rPr>
                <w:b/>
                <w:i/>
              </w:rPr>
            </w:pPr>
            <w:r w:rsidRPr="009F3286">
              <w:rPr>
                <w:b/>
                <w:bCs/>
              </w:rPr>
              <w:t>$</w:t>
            </w:r>
            <w:r w:rsidR="004A275A" w:rsidRPr="00566EFA">
              <w:rPr>
                <w:b/>
                <w:i/>
              </w:rPr>
              <w:t>507.94</w:t>
            </w:r>
          </w:p>
          <w:p w14:paraId="404BD045" w14:textId="7E4D1540" w:rsidR="00DD49EF" w:rsidRPr="009F3286" w:rsidRDefault="00DD49EF" w:rsidP="00E4281E">
            <w:pPr>
              <w:pStyle w:val="TableText"/>
              <w:keepNext/>
              <w:jc w:val="center"/>
              <w:rPr>
                <w:b/>
                <w:bCs/>
              </w:rPr>
            </w:pPr>
            <w:r>
              <w:t>(ADAR = $457.20)</w:t>
            </w:r>
          </w:p>
        </w:tc>
        <w:tc>
          <w:tcPr>
            <w:tcW w:w="2268" w:type="dxa"/>
            <w:tcBorders>
              <w:bottom w:val="single" w:sz="4" w:space="0" w:color="auto"/>
            </w:tcBorders>
          </w:tcPr>
          <w:p w14:paraId="3781B12C" w14:textId="77777777" w:rsidR="00E4281E" w:rsidRPr="009F3286" w:rsidRDefault="00E4281E" w:rsidP="00E4281E">
            <w:pPr>
              <w:pStyle w:val="TableText"/>
              <w:keepNext/>
              <w:jc w:val="center"/>
              <w:rPr>
                <w:b/>
                <w:bCs/>
              </w:rPr>
            </w:pPr>
            <w:r w:rsidRPr="009F3286">
              <w:rPr>
                <w:b/>
                <w:bCs/>
              </w:rPr>
              <w:t>$125.78</w:t>
            </w:r>
          </w:p>
        </w:tc>
        <w:tc>
          <w:tcPr>
            <w:tcW w:w="1842" w:type="dxa"/>
            <w:tcBorders>
              <w:bottom w:val="single" w:sz="4" w:space="0" w:color="auto"/>
            </w:tcBorders>
          </w:tcPr>
          <w:p w14:paraId="0576B11E" w14:textId="77777777" w:rsidR="00E4281E" w:rsidRPr="008B7CDE" w:rsidRDefault="00E4281E" w:rsidP="00E4281E">
            <w:pPr>
              <w:pStyle w:val="TableText"/>
              <w:keepNext/>
            </w:pPr>
          </w:p>
        </w:tc>
      </w:tr>
      <w:tr w:rsidR="00E4281E" w:rsidRPr="00CE28E3" w14:paraId="25C09E57" w14:textId="77777777" w:rsidTr="00566EFA">
        <w:tc>
          <w:tcPr>
            <w:tcW w:w="2952" w:type="dxa"/>
          </w:tcPr>
          <w:p w14:paraId="7509758C" w14:textId="77777777" w:rsidR="00E4281E" w:rsidRPr="009F4D86" w:rsidRDefault="00E4281E" w:rsidP="00E4281E">
            <w:pPr>
              <w:pStyle w:val="TableText"/>
              <w:keepNext/>
              <w:rPr>
                <w:b/>
                <w:bCs/>
              </w:rPr>
            </w:pPr>
            <w:r w:rsidRPr="009F4D86">
              <w:rPr>
                <w:b/>
                <w:bCs/>
              </w:rPr>
              <w:t xml:space="preserve">Net cost difference per patient (with </w:t>
            </w:r>
            <w:proofErr w:type="spellStart"/>
            <w:r w:rsidRPr="009F4D86">
              <w:rPr>
                <w:b/>
                <w:bCs/>
              </w:rPr>
              <w:t>NTproBNP</w:t>
            </w:r>
            <w:proofErr w:type="spellEnd"/>
            <w:r w:rsidRPr="009F4D86">
              <w:rPr>
                <w:b/>
                <w:bCs/>
              </w:rPr>
              <w:t xml:space="preserve"> - with</w:t>
            </w:r>
            <w:r>
              <w:rPr>
                <w:b/>
                <w:bCs/>
              </w:rPr>
              <w:t>out</w:t>
            </w:r>
            <w:r w:rsidRPr="009F4D86">
              <w:rPr>
                <w:b/>
                <w:bCs/>
              </w:rPr>
              <w:t xml:space="preserve"> </w:t>
            </w:r>
            <w:proofErr w:type="spellStart"/>
            <w:r w:rsidRPr="009F4D86">
              <w:rPr>
                <w:b/>
                <w:bCs/>
              </w:rPr>
              <w:t>NTproBNP</w:t>
            </w:r>
            <w:proofErr w:type="spellEnd"/>
            <w:r w:rsidRPr="009F4D86">
              <w:rPr>
                <w:b/>
                <w:bCs/>
              </w:rPr>
              <w:t>)</w:t>
            </w:r>
          </w:p>
        </w:tc>
        <w:tc>
          <w:tcPr>
            <w:tcW w:w="4273" w:type="dxa"/>
            <w:gridSpan w:val="2"/>
            <w:vAlign w:val="center"/>
          </w:tcPr>
          <w:p w14:paraId="1538F662" w14:textId="044C1BA6" w:rsidR="00AD1DB4" w:rsidRDefault="00E4281E" w:rsidP="00E4281E">
            <w:pPr>
              <w:pStyle w:val="TableText"/>
              <w:keepNext/>
              <w:jc w:val="center"/>
              <w:rPr>
                <w:b/>
                <w:i/>
              </w:rPr>
            </w:pPr>
            <w:r>
              <w:rPr>
                <w:b/>
                <w:bCs/>
              </w:rPr>
              <w:t>-</w:t>
            </w:r>
            <w:r w:rsidRPr="00A61411">
              <w:rPr>
                <w:b/>
                <w:bCs/>
              </w:rPr>
              <w:t>$</w:t>
            </w:r>
            <w:r w:rsidR="006B6440" w:rsidRPr="00566EFA">
              <w:rPr>
                <w:b/>
                <w:i/>
              </w:rPr>
              <w:t>382.16</w:t>
            </w:r>
          </w:p>
          <w:p w14:paraId="06EF789E" w14:textId="46FD99EB" w:rsidR="00E4281E" w:rsidRPr="00A61411" w:rsidRDefault="00AD1DB4" w:rsidP="00E4281E">
            <w:pPr>
              <w:pStyle w:val="TableText"/>
              <w:keepNext/>
              <w:jc w:val="center"/>
              <w:rPr>
                <w:b/>
                <w:bCs/>
              </w:rPr>
            </w:pPr>
            <w:r>
              <w:rPr>
                <w:b/>
                <w:i/>
              </w:rPr>
              <w:t xml:space="preserve">(ADAR = </w:t>
            </w:r>
            <w:r w:rsidR="0080789C">
              <w:rPr>
                <w:b/>
                <w:i/>
              </w:rPr>
              <w:t>-</w:t>
            </w:r>
            <w:r>
              <w:rPr>
                <w:b/>
                <w:i/>
              </w:rPr>
              <w:t>$331.42)</w:t>
            </w:r>
          </w:p>
        </w:tc>
        <w:tc>
          <w:tcPr>
            <w:tcW w:w="1842" w:type="dxa"/>
          </w:tcPr>
          <w:p w14:paraId="2BF30983" w14:textId="77777777" w:rsidR="00E4281E" w:rsidRPr="00CE28E3" w:rsidRDefault="00E4281E" w:rsidP="00E4281E">
            <w:pPr>
              <w:pStyle w:val="TableText"/>
              <w:keepNext/>
            </w:pPr>
          </w:p>
        </w:tc>
      </w:tr>
      <w:tr w:rsidR="00D21F63" w:rsidRPr="00CE28E3" w14:paraId="68A53178" w14:textId="77777777" w:rsidTr="00AF1D05">
        <w:tc>
          <w:tcPr>
            <w:tcW w:w="2952" w:type="dxa"/>
            <w:tcBorders>
              <w:bottom w:val="single" w:sz="4" w:space="0" w:color="auto"/>
            </w:tcBorders>
          </w:tcPr>
          <w:p w14:paraId="0C9A1061" w14:textId="442A6D40" w:rsidR="00D21F63" w:rsidRPr="00566EFA" w:rsidRDefault="00FF4198" w:rsidP="00E4281E">
            <w:pPr>
              <w:pStyle w:val="TableText"/>
              <w:keepNext/>
              <w:rPr>
                <w:i/>
                <w:iCs/>
              </w:rPr>
            </w:pPr>
            <w:r w:rsidRPr="00566EFA">
              <w:rPr>
                <w:i/>
                <w:iCs/>
              </w:rPr>
              <w:t>Sensitivity analysis: All patients have annual TTE</w:t>
            </w:r>
          </w:p>
        </w:tc>
        <w:tc>
          <w:tcPr>
            <w:tcW w:w="4273" w:type="dxa"/>
            <w:gridSpan w:val="2"/>
            <w:tcBorders>
              <w:bottom w:val="single" w:sz="4" w:space="0" w:color="auto"/>
            </w:tcBorders>
            <w:vAlign w:val="center"/>
          </w:tcPr>
          <w:p w14:paraId="0D731BDA" w14:textId="095E4CC1" w:rsidR="00D21F63" w:rsidRPr="00566EFA" w:rsidRDefault="00FF4198" w:rsidP="00E4281E">
            <w:pPr>
              <w:pStyle w:val="TableText"/>
              <w:keepNext/>
              <w:jc w:val="center"/>
              <w:rPr>
                <w:i/>
                <w:iCs/>
              </w:rPr>
            </w:pPr>
            <w:r w:rsidRPr="00566EFA">
              <w:rPr>
                <w:i/>
                <w:iCs/>
              </w:rPr>
              <w:t>-$145.91</w:t>
            </w:r>
          </w:p>
        </w:tc>
        <w:tc>
          <w:tcPr>
            <w:tcW w:w="1842" w:type="dxa"/>
            <w:tcBorders>
              <w:bottom w:val="single" w:sz="4" w:space="0" w:color="auto"/>
            </w:tcBorders>
          </w:tcPr>
          <w:p w14:paraId="14004008" w14:textId="77777777" w:rsidR="00D21F63" w:rsidRPr="00CE28E3" w:rsidRDefault="00D21F63" w:rsidP="00E4281E">
            <w:pPr>
              <w:pStyle w:val="TableText"/>
              <w:keepNext/>
            </w:pPr>
          </w:p>
        </w:tc>
      </w:tr>
    </w:tbl>
    <w:p w14:paraId="69872879" w14:textId="3259F56B" w:rsidR="00E4281E" w:rsidRPr="00082D13" w:rsidRDefault="00E4281E" w:rsidP="00E4281E">
      <w:pPr>
        <w:pStyle w:val="TableNotes2"/>
      </w:pPr>
      <w:r w:rsidRPr="006B739A">
        <w:t xml:space="preserve">Source: </w:t>
      </w:r>
      <w:r w:rsidR="00C87AAE">
        <w:t xml:space="preserve">Revised post ESC. </w:t>
      </w:r>
      <w:r>
        <w:t xml:space="preserve">Adapted from </w:t>
      </w:r>
      <w:r w:rsidRPr="006B739A">
        <w:t>Table 2</w:t>
      </w:r>
      <w:r>
        <w:t>9</w:t>
      </w:r>
      <w:r w:rsidRPr="006B739A">
        <w:t xml:space="preserve"> of the </w:t>
      </w:r>
      <w:r>
        <w:t>‘</w:t>
      </w:r>
      <w:r w:rsidRPr="006B739A">
        <w:t xml:space="preserve">ADAR 1689 </w:t>
      </w:r>
      <w:proofErr w:type="spellStart"/>
      <w:r w:rsidRPr="006B739A">
        <w:t>NTproBNP</w:t>
      </w:r>
      <w:proofErr w:type="spellEnd"/>
      <w:r w:rsidRPr="006B739A">
        <w:t xml:space="preserve"> MSAC ADAR 1689 </w:t>
      </w:r>
      <w:r>
        <w:t>–</w:t>
      </w:r>
      <w:r w:rsidRPr="006B739A">
        <w:t xml:space="preserve"> FINAL</w:t>
      </w:r>
      <w:r>
        <w:t xml:space="preserve">’ using the </w:t>
      </w:r>
      <w:r w:rsidRPr="003A46D9">
        <w:t>Excel workbook ‘ADAR 1689 NT-</w:t>
      </w:r>
      <w:proofErr w:type="spellStart"/>
      <w:r w:rsidRPr="003A46D9">
        <w:t>proBNP</w:t>
      </w:r>
      <w:proofErr w:type="spellEnd"/>
      <w:r w:rsidRPr="003A46D9">
        <w:t xml:space="preserve"> MSAC </w:t>
      </w:r>
      <w:proofErr w:type="spellStart"/>
      <w:r w:rsidRPr="003A46D9">
        <w:t>SSc_PAH_Section</w:t>
      </w:r>
      <w:proofErr w:type="spellEnd"/>
      <w:r w:rsidRPr="003A46D9">
        <w:t xml:space="preserve"> 3B’</w:t>
      </w:r>
    </w:p>
    <w:p w14:paraId="0128A4FE" w14:textId="70375F70" w:rsidR="00E4281E" w:rsidRDefault="00E4281E" w:rsidP="00E4281E">
      <w:pPr>
        <w:pStyle w:val="TableNotes2"/>
      </w:pPr>
      <w:r w:rsidRPr="00BC4705">
        <w:t xml:space="preserve">Abbreviations: </w:t>
      </w:r>
      <w:r>
        <w:t xml:space="preserve">MBS= Medicare Benefits Schedule; </w:t>
      </w:r>
      <w:r w:rsidRPr="00BC4705">
        <w:t>NT-</w:t>
      </w:r>
      <w:proofErr w:type="spellStart"/>
      <w:r w:rsidRPr="00BC4705">
        <w:t>proBNP</w:t>
      </w:r>
      <w:proofErr w:type="spellEnd"/>
      <w:r>
        <w:t>=</w:t>
      </w:r>
      <w:r w:rsidRPr="00BC4705">
        <w:t xml:space="preserve"> N-terminal </w:t>
      </w:r>
      <w:proofErr w:type="spellStart"/>
      <w:r w:rsidRPr="00BC4705">
        <w:t>proB</w:t>
      </w:r>
      <w:proofErr w:type="spellEnd"/>
      <w:r w:rsidRPr="00BC4705">
        <w:t xml:space="preserve">-type natriuretic peptide; </w:t>
      </w:r>
      <w:r>
        <w:t xml:space="preserve">PAH = pulmonary arterial hypertension; </w:t>
      </w:r>
      <w:r w:rsidR="00936724">
        <w:br/>
      </w:r>
      <w:proofErr w:type="spellStart"/>
      <w:r>
        <w:t>SSc</w:t>
      </w:r>
      <w:proofErr w:type="spellEnd"/>
      <w:r>
        <w:t xml:space="preserve"> = </w:t>
      </w:r>
      <w:r w:rsidRPr="00CC72F0">
        <w:t>systemic sclerosis</w:t>
      </w:r>
      <w:r>
        <w:t xml:space="preserve">; </w:t>
      </w:r>
      <w:r w:rsidRPr="00BC4705">
        <w:t>TTE</w:t>
      </w:r>
      <w:r>
        <w:t>=</w:t>
      </w:r>
      <w:r w:rsidRPr="00BC4705">
        <w:t xml:space="preserve"> Transthoracic Echocardiogram.</w:t>
      </w:r>
    </w:p>
    <w:p w14:paraId="4BDEBD40" w14:textId="22B3FADA" w:rsidR="00AF1D05" w:rsidRDefault="00E4281E" w:rsidP="00E4281E">
      <w:pPr>
        <w:pStyle w:val="TableNotes2"/>
      </w:pPr>
      <w:r w:rsidRPr="003A46D9">
        <w:rPr>
          <w:vertAlign w:val="superscript"/>
        </w:rPr>
        <w:t>a</w:t>
      </w:r>
      <w:r w:rsidRPr="003A46D9">
        <w:t xml:space="preserve"> </w:t>
      </w:r>
      <w:r w:rsidR="00F0776B" w:rsidRPr="00C71D50">
        <w:t>ADAR used the fee for MBS item 55133 ($212.65) for patients with isolated pericardial effusion or pericarditis for patients using certain PBS medicines with cardiotoxic side effects.</w:t>
      </w:r>
      <w:r w:rsidR="00F0776B">
        <w:t xml:space="preserve"> MBS items 55126 and 55129 (</w:t>
      </w:r>
      <w:r w:rsidR="00F0776B" w:rsidRPr="00287280">
        <w:t>$</w:t>
      </w:r>
      <w:r w:rsidR="00F0776B" w:rsidRPr="00F24914">
        <w:t>236.25</w:t>
      </w:r>
      <w:r w:rsidR="00F0776B">
        <w:t>) can be used for investigation of PAH.</w:t>
      </w:r>
      <w:r w:rsidR="00AD1DB4" w:rsidRPr="00AD1DB4">
        <w:rPr>
          <w:i w:val="0"/>
          <w:szCs w:val="16"/>
        </w:rPr>
        <w:t xml:space="preserve"> </w:t>
      </w:r>
      <w:r w:rsidR="00AD1DB4" w:rsidRPr="00566EFA">
        <w:rPr>
          <w:iCs w:val="0"/>
          <w:szCs w:val="16"/>
        </w:rPr>
        <w:t>Item 55126 cannot be used more than once in a 24 month period</w:t>
      </w:r>
      <w:r w:rsidR="00AD1DB4" w:rsidRPr="00AD1DB4">
        <w:rPr>
          <w:szCs w:val="16"/>
        </w:rPr>
        <w:t>.</w:t>
      </w:r>
      <w:r w:rsidR="00AD1DB4" w:rsidRPr="00036A64">
        <w:rPr>
          <w:iCs w:val="0"/>
          <w:szCs w:val="16"/>
        </w:rPr>
        <w:t xml:space="preserve"> </w:t>
      </w:r>
      <w:r w:rsidR="00AD1DB4" w:rsidRPr="00566EFA">
        <w:rPr>
          <w:iCs w:val="0"/>
          <w:szCs w:val="16"/>
        </w:rPr>
        <w:t>Other TTE tests are claimed using MBS item 55129</w:t>
      </w:r>
    </w:p>
    <w:p w14:paraId="0F4E617E" w14:textId="5B7FA7C4" w:rsidR="00E4281E" w:rsidRPr="003A46D9" w:rsidRDefault="006210C2" w:rsidP="00E4281E">
      <w:pPr>
        <w:pStyle w:val="TableNotes2"/>
      </w:pPr>
      <w:r w:rsidRPr="003A46D9">
        <w:rPr>
          <w:vertAlign w:val="superscript"/>
        </w:rPr>
        <w:t>b</w:t>
      </w:r>
      <w:r w:rsidRPr="003A46D9">
        <w:t xml:space="preserve"> </w:t>
      </w:r>
      <w:r w:rsidR="00E4281E" w:rsidRPr="003A46D9">
        <w:t>This is calculated by weighting of proportion of patients undergoing two/three/four assessments per year (using TTE)</w:t>
      </w:r>
      <w:r w:rsidR="00936724">
        <w:t xml:space="preserve"> </w:t>
      </w:r>
      <w:r w:rsidR="00E4281E" w:rsidRPr="003A46D9">
        <w:t>= $</w:t>
      </w:r>
      <w:r w:rsidR="001F69C1" w:rsidRPr="003A46D9">
        <w:t>2</w:t>
      </w:r>
      <w:r w:rsidR="001F69C1">
        <w:t>36.25</w:t>
      </w:r>
      <w:r w:rsidR="00E4281E" w:rsidRPr="003A46D9">
        <w:t xml:space="preserve"> x [(5% x 4) + (5% x 3) + (90% x 2)]</w:t>
      </w:r>
    </w:p>
    <w:p w14:paraId="6D5D4DCF" w14:textId="4B53FDAB" w:rsidR="006210C2" w:rsidRDefault="006210C2" w:rsidP="00E4281E">
      <w:pPr>
        <w:pStyle w:val="TableNotes2"/>
      </w:pPr>
      <w:r>
        <w:rPr>
          <w:vertAlign w:val="superscript"/>
        </w:rPr>
        <w:t>c</w:t>
      </w:r>
      <w:r w:rsidRPr="003A46D9">
        <w:rPr>
          <w:vertAlign w:val="superscript"/>
        </w:rPr>
        <w:t xml:space="preserve"> </w:t>
      </w:r>
      <w:r w:rsidR="00E4281E" w:rsidRPr="003A46D9">
        <w:t>This is calculated by weighting of proportion of patients undergoing two/three/four assessments per year (using NT-</w:t>
      </w:r>
      <w:proofErr w:type="spellStart"/>
      <w:r w:rsidR="00E4281E" w:rsidRPr="003A46D9">
        <w:t>proBNP</w:t>
      </w:r>
      <w:proofErr w:type="spellEnd"/>
      <w:r w:rsidR="00E4281E" w:rsidRPr="003A46D9">
        <w:t>) = $58.50 x [(5% x 4) + (5% x 3) + (90% x 2)]</w:t>
      </w:r>
      <w:r w:rsidR="00E4281E">
        <w:t xml:space="preserve"> </w:t>
      </w:r>
    </w:p>
    <w:p w14:paraId="0C742304" w14:textId="6DEEF9CF" w:rsidR="004B668A" w:rsidRDefault="00E4281E" w:rsidP="00E4281E">
      <w:pPr>
        <w:pStyle w:val="Instructionaltext"/>
        <w:rPr>
          <w:i/>
          <w:iCs/>
          <w:color w:val="auto"/>
        </w:rPr>
      </w:pPr>
      <w:r w:rsidRPr="001270E9">
        <w:rPr>
          <w:color w:val="auto"/>
        </w:rPr>
        <w:t xml:space="preserve">Under the submission's assumption of 2.15 TTE per </w:t>
      </w:r>
      <w:r w:rsidR="7B3B5281" w:rsidRPr="5A6E51F6">
        <w:rPr>
          <w:color w:val="auto"/>
        </w:rPr>
        <w:t>patient</w:t>
      </w:r>
      <w:r w:rsidRPr="001270E9">
        <w:rPr>
          <w:color w:val="auto"/>
        </w:rPr>
        <w:t xml:space="preserve"> per year, substitution would need to occur in at least 2</w:t>
      </w:r>
      <w:r w:rsidR="004B668A">
        <w:rPr>
          <w:color w:val="auto"/>
        </w:rPr>
        <w:t>8</w:t>
      </w:r>
      <w:r w:rsidRPr="001270E9">
        <w:rPr>
          <w:color w:val="auto"/>
        </w:rPr>
        <w:t>% of patients for the conclusion of cost savings to remain (average 0.5</w:t>
      </w:r>
      <w:r w:rsidR="004B668A">
        <w:rPr>
          <w:color w:val="auto"/>
        </w:rPr>
        <w:t>9</w:t>
      </w:r>
      <w:r w:rsidRPr="001270E9">
        <w:rPr>
          <w:color w:val="auto"/>
        </w:rPr>
        <w:t xml:space="preserve"> TTE per patient per year substituted). </w:t>
      </w:r>
      <w:r w:rsidR="004B668A">
        <w:rPr>
          <w:i/>
          <w:iCs/>
          <w:color w:val="auto"/>
        </w:rPr>
        <w:t xml:space="preserve">Using the revised cost of TTE, </w:t>
      </w:r>
      <w:r w:rsidR="004B668A" w:rsidRPr="004B668A">
        <w:rPr>
          <w:i/>
          <w:iCs/>
          <w:color w:val="auto"/>
        </w:rPr>
        <w:t>substitution would need to occur in at least 2</w:t>
      </w:r>
      <w:r w:rsidR="004B668A">
        <w:rPr>
          <w:i/>
          <w:iCs/>
          <w:color w:val="auto"/>
        </w:rPr>
        <w:t>5</w:t>
      </w:r>
      <w:r w:rsidR="004B668A" w:rsidRPr="004B668A">
        <w:rPr>
          <w:i/>
          <w:iCs/>
          <w:color w:val="auto"/>
        </w:rPr>
        <w:t>% of patients for the conclusion of cost savings to remain (average 0.5</w:t>
      </w:r>
      <w:r w:rsidR="004B668A">
        <w:rPr>
          <w:i/>
          <w:iCs/>
          <w:color w:val="auto"/>
        </w:rPr>
        <w:t>3</w:t>
      </w:r>
      <w:r w:rsidR="004B668A" w:rsidRPr="004B668A">
        <w:rPr>
          <w:i/>
          <w:iCs/>
          <w:color w:val="auto"/>
        </w:rPr>
        <w:t xml:space="preserve"> TTE per patient per year substituted).</w:t>
      </w:r>
    </w:p>
    <w:p w14:paraId="58D97742" w14:textId="212B1292" w:rsidR="004B668A" w:rsidRDefault="008031EE" w:rsidP="00E4281E">
      <w:pPr>
        <w:pStyle w:val="Instructionaltext"/>
        <w:rPr>
          <w:i/>
          <w:iCs/>
          <w:color w:val="auto"/>
        </w:rPr>
      </w:pPr>
      <w:r>
        <w:rPr>
          <w:i/>
          <w:iCs/>
          <w:color w:val="auto"/>
        </w:rPr>
        <w:lastRenderedPageBreak/>
        <w:t>Risk assessment using NT-</w:t>
      </w:r>
      <w:proofErr w:type="spellStart"/>
      <w:r>
        <w:rPr>
          <w:i/>
          <w:iCs/>
          <w:color w:val="auto"/>
        </w:rPr>
        <w:t>proBNP</w:t>
      </w:r>
      <w:proofErr w:type="spellEnd"/>
      <w:r>
        <w:rPr>
          <w:i/>
          <w:iCs/>
          <w:color w:val="auto"/>
        </w:rPr>
        <w:t xml:space="preserve"> remained cost s</w:t>
      </w:r>
      <w:r w:rsidR="005A2BC1">
        <w:rPr>
          <w:i/>
          <w:iCs/>
          <w:color w:val="auto"/>
        </w:rPr>
        <w:t>aving if all patients had one TTE per year</w:t>
      </w:r>
      <w:r w:rsidR="006210C2">
        <w:rPr>
          <w:i/>
          <w:iCs/>
          <w:color w:val="auto"/>
        </w:rPr>
        <w:t xml:space="preserve"> in addition to </w:t>
      </w:r>
      <w:r w:rsidR="007A5A8D">
        <w:rPr>
          <w:i/>
          <w:iCs/>
          <w:color w:val="auto"/>
        </w:rPr>
        <w:t>NT-</w:t>
      </w:r>
      <w:proofErr w:type="spellStart"/>
      <w:r w:rsidR="007A5A8D">
        <w:rPr>
          <w:i/>
          <w:iCs/>
          <w:color w:val="auto"/>
        </w:rPr>
        <w:t>proBNP</w:t>
      </w:r>
      <w:proofErr w:type="spellEnd"/>
      <w:r w:rsidR="007A5A8D">
        <w:rPr>
          <w:i/>
          <w:iCs/>
          <w:color w:val="auto"/>
        </w:rPr>
        <w:t xml:space="preserve">. </w:t>
      </w:r>
    </w:p>
    <w:p w14:paraId="58FCE8E5" w14:textId="7DC03A92" w:rsidR="00E4281E" w:rsidRPr="00566EFA" w:rsidRDefault="00533B82" w:rsidP="00E4281E">
      <w:pPr>
        <w:pStyle w:val="Instructionaltext"/>
        <w:rPr>
          <w:i/>
          <w:color w:val="auto"/>
        </w:rPr>
      </w:pPr>
      <w:r w:rsidRPr="00566EFA">
        <w:rPr>
          <w:i/>
          <w:color w:val="auto"/>
        </w:rPr>
        <w:t>I</w:t>
      </w:r>
      <w:r w:rsidR="00E4281E" w:rsidRPr="00566EFA">
        <w:rPr>
          <w:i/>
          <w:color w:val="auto"/>
        </w:rPr>
        <w:t xml:space="preserve">n the </w:t>
      </w:r>
      <w:r w:rsidRPr="00566EFA">
        <w:rPr>
          <w:i/>
          <w:color w:val="auto"/>
        </w:rPr>
        <w:t xml:space="preserve">revised </w:t>
      </w:r>
      <w:r w:rsidR="00E4281E" w:rsidRPr="00566EFA">
        <w:rPr>
          <w:i/>
          <w:color w:val="auto"/>
        </w:rPr>
        <w:t xml:space="preserve">financial analysis, where a reduction in use of 1 TTE per patient per year was assumed, substitution would need to occur in </w:t>
      </w:r>
      <w:r w:rsidRPr="00566EFA">
        <w:rPr>
          <w:i/>
          <w:color w:val="auto"/>
        </w:rPr>
        <w:t>5</w:t>
      </w:r>
      <w:r w:rsidR="00362BCF">
        <w:rPr>
          <w:i/>
          <w:color w:val="auto"/>
        </w:rPr>
        <w:t>0</w:t>
      </w:r>
      <w:r w:rsidR="00E4281E" w:rsidRPr="00566EFA">
        <w:rPr>
          <w:i/>
          <w:color w:val="auto"/>
        </w:rPr>
        <w:t>% of patients for the conclusion of cost savings to remain. </w:t>
      </w:r>
    </w:p>
    <w:p w14:paraId="3A6AFF0E" w14:textId="6E3281DD" w:rsidR="00E4281E" w:rsidRPr="00055E91" w:rsidRDefault="00E4281E" w:rsidP="00E4281E">
      <w:pPr>
        <w:pStyle w:val="TableHeading0"/>
        <w:rPr>
          <w:rFonts w:eastAsia="Times New Roman" w:cs="Times New Roman"/>
          <w:bCs/>
          <w:szCs w:val="20"/>
        </w:rPr>
      </w:pPr>
      <w:r>
        <w:rPr>
          <w:rFonts w:eastAsia="Times New Roman" w:cs="Times New Roman"/>
          <w:bCs/>
          <w:szCs w:val="20"/>
        </w:rPr>
        <w:t xml:space="preserve">Table </w:t>
      </w:r>
      <w:r>
        <w:rPr>
          <w:rFonts w:eastAsia="Times New Roman" w:cs="Times New Roman"/>
          <w:color w:val="2B579A"/>
          <w:szCs w:val="20"/>
          <w:shd w:val="clear" w:color="auto" w:fill="E6E6E6"/>
        </w:rPr>
        <w:fldChar w:fldCharType="begin"/>
      </w:r>
      <w:r>
        <w:rPr>
          <w:rFonts w:eastAsia="Times New Roman" w:cs="Times New Roman"/>
          <w:bCs/>
          <w:szCs w:val="20"/>
        </w:rPr>
        <w:instrText xml:space="preserve"> SEQ Table_CES \* ARABIC </w:instrText>
      </w:r>
      <w:r>
        <w:rPr>
          <w:rFonts w:eastAsia="Times New Roman" w:cs="Times New Roman"/>
          <w:color w:val="2B579A"/>
          <w:szCs w:val="20"/>
          <w:shd w:val="clear" w:color="auto" w:fill="E6E6E6"/>
        </w:rPr>
        <w:fldChar w:fldCharType="separate"/>
      </w:r>
      <w:r w:rsidR="00D270D9">
        <w:rPr>
          <w:rFonts w:eastAsia="Times New Roman" w:cs="Times New Roman"/>
          <w:bCs/>
          <w:noProof/>
          <w:szCs w:val="20"/>
        </w:rPr>
        <w:t>11</w:t>
      </w:r>
      <w:r>
        <w:rPr>
          <w:rFonts w:eastAsia="Times New Roman" w:cs="Times New Roman"/>
          <w:color w:val="2B579A"/>
          <w:szCs w:val="20"/>
          <w:shd w:val="clear" w:color="auto" w:fill="E6E6E6"/>
        </w:rPr>
        <w:fldChar w:fldCharType="end"/>
      </w:r>
      <w:bookmarkEnd w:id="52"/>
      <w:r w:rsidRPr="00055E91">
        <w:rPr>
          <w:rFonts w:eastAsia="Times New Roman" w:cs="Times New Roman"/>
          <w:bCs/>
          <w:szCs w:val="20"/>
        </w:rPr>
        <w:t xml:space="preserve"> </w:t>
      </w:r>
      <w:r w:rsidRPr="00055E91">
        <w:rPr>
          <w:rFonts w:eastAsia="Times New Roman" w:cs="Times New Roman"/>
          <w:bCs/>
          <w:szCs w:val="20"/>
        </w:rPr>
        <w:tab/>
      </w:r>
      <w:r>
        <w:t xml:space="preserve">Total cost per patient per year </w:t>
      </w:r>
      <w:r w:rsidRPr="0019569C">
        <w:t xml:space="preserve">associated with </w:t>
      </w:r>
      <w:r w:rsidRPr="002B46C9">
        <w:t>testing</w:t>
      </w:r>
      <w:r>
        <w:t xml:space="preserve"> algorithms without and with </w:t>
      </w:r>
      <w:r w:rsidRPr="0019569C">
        <w:t>NT-</w:t>
      </w:r>
      <w:proofErr w:type="spellStart"/>
      <w:r w:rsidRPr="0019569C">
        <w:t>proBNP</w:t>
      </w:r>
      <w:proofErr w:type="spellEnd"/>
      <w:r w:rsidRPr="0019569C">
        <w:t xml:space="preserve"> testing</w:t>
      </w:r>
      <w:r>
        <w:t>:</w:t>
      </w:r>
      <w:r w:rsidRPr="0019569C">
        <w:t xml:space="preserve"> </w:t>
      </w:r>
      <w:r>
        <w:t>P</w:t>
      </w:r>
      <w:r w:rsidRPr="0019569C">
        <w:t xml:space="preserve">opulation </w:t>
      </w:r>
      <w:r>
        <w:t>1 and 2</w:t>
      </w:r>
      <w:r w:rsidR="00AA5C04">
        <w:t xml:space="preserve"> </w:t>
      </w:r>
      <w:r w:rsidR="00AA5C04" w:rsidRPr="00566EFA">
        <w:rPr>
          <w:i/>
        </w:rPr>
        <w:t xml:space="preserve">(revised post ESC using </w:t>
      </w:r>
      <w:r w:rsidR="00C2291F" w:rsidRPr="00566EFA">
        <w:rPr>
          <w:i/>
        </w:rPr>
        <w:t xml:space="preserve">fees for </w:t>
      </w:r>
      <w:r w:rsidR="00AA5C04" w:rsidRPr="00566EFA">
        <w:rPr>
          <w:i/>
        </w:rPr>
        <w:t>MBS</w:t>
      </w:r>
      <w:r w:rsidR="00B62A69" w:rsidRPr="00566EFA">
        <w:rPr>
          <w:i/>
        </w:rPr>
        <w:t xml:space="preserve"> item</w:t>
      </w:r>
      <w:r w:rsidR="00AA5C04" w:rsidRPr="00566EFA">
        <w:rPr>
          <w:i/>
        </w:rPr>
        <w:t xml:space="preserve"> numbers 55126</w:t>
      </w:r>
      <w:r w:rsidR="00D130C8" w:rsidRPr="00566EFA">
        <w:rPr>
          <w:i/>
        </w:rPr>
        <w:t>,55129)</w:t>
      </w:r>
    </w:p>
    <w:tbl>
      <w:tblPr>
        <w:tblStyle w:val="TableGrid1"/>
        <w:tblW w:w="5000" w:type="pct"/>
        <w:tblLook w:val="04A0" w:firstRow="1" w:lastRow="0" w:firstColumn="1" w:lastColumn="0" w:noHBand="0" w:noVBand="1"/>
        <w:tblCaption w:val="Summary of the inputs used in the economic evaluation "/>
        <w:tblDescription w:val="Summary of the inputs used in the economic evaluation "/>
      </w:tblPr>
      <w:tblGrid>
        <w:gridCol w:w="3769"/>
        <w:gridCol w:w="2647"/>
        <w:gridCol w:w="2600"/>
      </w:tblGrid>
      <w:tr w:rsidR="006D56C0" w:rsidRPr="00CE28E3" w14:paraId="45D8182A"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2090" w:type="pct"/>
            <w:tcBorders>
              <w:bottom w:val="single" w:sz="4" w:space="0" w:color="auto"/>
            </w:tcBorders>
            <w:shd w:val="clear" w:color="auto" w:fill="auto"/>
          </w:tcPr>
          <w:p w14:paraId="35C79314" w14:textId="77777777" w:rsidR="006D56C0" w:rsidRPr="00CE28E3" w:rsidRDefault="006D56C0" w:rsidP="00E4281E">
            <w:pPr>
              <w:pStyle w:val="TableHeading"/>
            </w:pPr>
            <w:bookmarkStart w:id="53" w:name="_Hlk68276562"/>
            <w:r w:rsidRPr="00CE28E3">
              <w:t>Parameter</w:t>
            </w:r>
          </w:p>
        </w:tc>
        <w:tc>
          <w:tcPr>
            <w:tcW w:w="1468" w:type="pct"/>
            <w:tcBorders>
              <w:bottom w:val="single" w:sz="4" w:space="0" w:color="auto"/>
            </w:tcBorders>
            <w:shd w:val="clear" w:color="auto" w:fill="auto"/>
          </w:tcPr>
          <w:p w14:paraId="44623BAF" w14:textId="77777777" w:rsidR="006D56C0" w:rsidRPr="00CE28E3" w:rsidRDefault="006D56C0" w:rsidP="00E4281E">
            <w:pPr>
              <w:pStyle w:val="TableHeading"/>
            </w:pPr>
            <w:r w:rsidRPr="0047022F">
              <w:t>Current clinical management algorithm (without NT-</w:t>
            </w:r>
            <w:proofErr w:type="spellStart"/>
            <w:r w:rsidRPr="0047022F">
              <w:t>proBNP</w:t>
            </w:r>
            <w:proofErr w:type="spellEnd"/>
            <w:r w:rsidRPr="0047022F">
              <w:t>)</w:t>
            </w:r>
          </w:p>
        </w:tc>
        <w:tc>
          <w:tcPr>
            <w:tcW w:w="1442" w:type="pct"/>
            <w:tcBorders>
              <w:bottom w:val="single" w:sz="4" w:space="0" w:color="auto"/>
            </w:tcBorders>
            <w:shd w:val="clear" w:color="auto" w:fill="auto"/>
          </w:tcPr>
          <w:p w14:paraId="0798851D" w14:textId="77777777" w:rsidR="006D56C0" w:rsidRPr="00CE28E3" w:rsidRDefault="006D56C0" w:rsidP="00E4281E">
            <w:pPr>
              <w:pStyle w:val="TableHeading"/>
            </w:pPr>
            <w:r w:rsidRPr="0047022F">
              <w:t>Proposed clinical management algorithm (with NT-</w:t>
            </w:r>
            <w:proofErr w:type="spellStart"/>
            <w:r w:rsidRPr="0047022F">
              <w:t>proBNP</w:t>
            </w:r>
            <w:proofErr w:type="spellEnd"/>
            <w:r w:rsidRPr="0047022F">
              <w:t>)</w:t>
            </w:r>
          </w:p>
        </w:tc>
      </w:tr>
      <w:tr w:rsidR="006D56C0" w:rsidRPr="00CE28E3" w14:paraId="3F81D65B" w14:textId="77777777" w:rsidTr="00566EFA">
        <w:tc>
          <w:tcPr>
            <w:tcW w:w="2090" w:type="pct"/>
            <w:tcBorders>
              <w:bottom w:val="single" w:sz="4" w:space="0" w:color="auto"/>
            </w:tcBorders>
          </w:tcPr>
          <w:p w14:paraId="0E23DEF9" w14:textId="20D0D9FB" w:rsidR="006D56C0" w:rsidRPr="00640DBC" w:rsidRDefault="006D56C0" w:rsidP="00E4281E">
            <w:pPr>
              <w:pStyle w:val="TableText"/>
              <w:keepNext/>
            </w:pPr>
            <w:r w:rsidRPr="00FB7CEB">
              <w:t>Total cost per patient-Population 1</w:t>
            </w:r>
            <w:r>
              <w:t xml:space="preserve"> (ADAR)</w:t>
            </w:r>
          </w:p>
        </w:tc>
        <w:tc>
          <w:tcPr>
            <w:tcW w:w="1468" w:type="pct"/>
            <w:tcBorders>
              <w:bottom w:val="single" w:sz="4" w:space="0" w:color="auto"/>
            </w:tcBorders>
          </w:tcPr>
          <w:p w14:paraId="112DC1FD" w14:textId="31D51868" w:rsidR="006D56C0" w:rsidRPr="003D4AEB" w:rsidRDefault="006D56C0" w:rsidP="00E4281E">
            <w:pPr>
              <w:pStyle w:val="TableText"/>
              <w:keepNext/>
              <w:jc w:val="center"/>
            </w:pPr>
            <w:r w:rsidRPr="00FB7CEB">
              <w:t>$</w:t>
            </w:r>
            <w:r>
              <w:t>259.88</w:t>
            </w:r>
          </w:p>
        </w:tc>
        <w:tc>
          <w:tcPr>
            <w:tcW w:w="1442" w:type="pct"/>
            <w:tcBorders>
              <w:bottom w:val="single" w:sz="4" w:space="0" w:color="auto"/>
            </w:tcBorders>
          </w:tcPr>
          <w:p w14:paraId="2377BDFC" w14:textId="5716163C" w:rsidR="006D56C0" w:rsidRPr="008B7CDE" w:rsidRDefault="006D56C0" w:rsidP="00E4281E">
            <w:pPr>
              <w:pStyle w:val="TableText"/>
              <w:keepNext/>
              <w:jc w:val="center"/>
            </w:pPr>
            <w:r w:rsidRPr="00FB7CEB">
              <w:t>$</w:t>
            </w:r>
            <w:r>
              <w:t>87.98</w:t>
            </w:r>
          </w:p>
        </w:tc>
      </w:tr>
      <w:tr w:rsidR="006D56C0" w:rsidRPr="00CE28E3" w14:paraId="42FDDABA" w14:textId="77777777" w:rsidTr="00566EFA">
        <w:tc>
          <w:tcPr>
            <w:tcW w:w="2090" w:type="pct"/>
            <w:tcBorders>
              <w:bottom w:val="single" w:sz="4" w:space="0" w:color="auto"/>
            </w:tcBorders>
          </w:tcPr>
          <w:p w14:paraId="73094144" w14:textId="20707CB7" w:rsidR="006D56C0" w:rsidRPr="006046B2" w:rsidRDefault="006D56C0" w:rsidP="00E4281E">
            <w:pPr>
              <w:pStyle w:val="TableText"/>
              <w:keepNext/>
              <w:rPr>
                <w:i/>
              </w:rPr>
            </w:pPr>
            <w:r w:rsidRPr="00FB7CEB">
              <w:t>Total cost per patient-Population 1</w:t>
            </w:r>
            <w:r>
              <w:t xml:space="preserve"> (</w:t>
            </w:r>
            <w:r>
              <w:rPr>
                <w:i/>
              </w:rPr>
              <w:t>Revised)</w:t>
            </w:r>
          </w:p>
        </w:tc>
        <w:tc>
          <w:tcPr>
            <w:tcW w:w="1468" w:type="pct"/>
            <w:tcBorders>
              <w:bottom w:val="single" w:sz="4" w:space="0" w:color="auto"/>
            </w:tcBorders>
          </w:tcPr>
          <w:p w14:paraId="4519B03C" w14:textId="725CC4FB" w:rsidR="006D56C0" w:rsidRPr="006046B2" w:rsidRDefault="006D56C0" w:rsidP="502AEC3D">
            <w:pPr>
              <w:pStyle w:val="TableText"/>
              <w:keepNext/>
              <w:jc w:val="center"/>
              <w:rPr>
                <w:i/>
                <w:iCs/>
              </w:rPr>
            </w:pPr>
            <w:r w:rsidRPr="00566EFA">
              <w:t>$259.88</w:t>
            </w:r>
            <w:r>
              <w:rPr>
                <w:i/>
                <w:iCs/>
              </w:rPr>
              <w:t xml:space="preserve"> </w:t>
            </w:r>
          </w:p>
        </w:tc>
        <w:tc>
          <w:tcPr>
            <w:tcW w:w="1442" w:type="pct"/>
            <w:tcBorders>
              <w:bottom w:val="single" w:sz="4" w:space="0" w:color="auto"/>
            </w:tcBorders>
          </w:tcPr>
          <w:p w14:paraId="058AC23F" w14:textId="118A520B" w:rsidR="006D56C0" w:rsidRPr="00FB7CEB" w:rsidRDefault="006D56C0" w:rsidP="00E4281E">
            <w:pPr>
              <w:pStyle w:val="TableText"/>
              <w:keepNext/>
              <w:jc w:val="center"/>
            </w:pPr>
            <w:r>
              <w:rPr>
                <w:i/>
              </w:rPr>
              <w:t>$</w:t>
            </w:r>
            <w:r w:rsidRPr="002D6B54">
              <w:rPr>
                <w:i/>
              </w:rPr>
              <w:t>171.89</w:t>
            </w:r>
            <w:r>
              <w:rPr>
                <w:i/>
              </w:rPr>
              <w:t xml:space="preserve"> </w:t>
            </w:r>
            <w:r w:rsidRPr="00C134F9">
              <w:rPr>
                <w:vertAlign w:val="superscript"/>
              </w:rPr>
              <w:t>a</w:t>
            </w:r>
          </w:p>
        </w:tc>
      </w:tr>
      <w:tr w:rsidR="006D56C0" w:rsidRPr="00CE28E3" w14:paraId="277E2717" w14:textId="77777777" w:rsidTr="00566EFA">
        <w:tc>
          <w:tcPr>
            <w:tcW w:w="2090" w:type="pct"/>
            <w:tcBorders>
              <w:bottom w:val="single" w:sz="4" w:space="0" w:color="auto"/>
            </w:tcBorders>
          </w:tcPr>
          <w:p w14:paraId="551D72F1" w14:textId="1DB6F3ED" w:rsidR="006D56C0" w:rsidRPr="00FB7CEB" w:rsidRDefault="006D56C0" w:rsidP="006D56C0">
            <w:pPr>
              <w:pStyle w:val="TableText"/>
              <w:keepNext/>
            </w:pPr>
            <w:r w:rsidRPr="00FB7CEB">
              <w:t>Total cost per patient-Population 2</w:t>
            </w:r>
            <w:r>
              <w:t xml:space="preserve"> (ADAR)</w:t>
            </w:r>
          </w:p>
        </w:tc>
        <w:tc>
          <w:tcPr>
            <w:tcW w:w="1468" w:type="pct"/>
            <w:tcBorders>
              <w:bottom w:val="single" w:sz="4" w:space="0" w:color="auto"/>
            </w:tcBorders>
          </w:tcPr>
          <w:p w14:paraId="65CF7AB7" w14:textId="020C677F" w:rsidR="006D56C0" w:rsidRPr="00FB7CEB" w:rsidRDefault="006D56C0" w:rsidP="006D56C0">
            <w:pPr>
              <w:pStyle w:val="TableText"/>
              <w:keepNext/>
              <w:jc w:val="center"/>
            </w:pPr>
            <w:r w:rsidRPr="00920A82">
              <w:t>$457.20</w:t>
            </w:r>
          </w:p>
        </w:tc>
        <w:tc>
          <w:tcPr>
            <w:tcW w:w="1442" w:type="pct"/>
            <w:tcBorders>
              <w:bottom w:val="single" w:sz="4" w:space="0" w:color="auto"/>
            </w:tcBorders>
          </w:tcPr>
          <w:p w14:paraId="63A39F49" w14:textId="30EB2F4E" w:rsidR="006D56C0" w:rsidRPr="00FB7CEB" w:rsidRDefault="006D56C0" w:rsidP="006D56C0">
            <w:pPr>
              <w:pStyle w:val="TableText"/>
              <w:keepNext/>
              <w:jc w:val="center"/>
            </w:pPr>
            <w:r w:rsidRPr="00920A82">
              <w:t>$125.78</w:t>
            </w:r>
          </w:p>
        </w:tc>
      </w:tr>
      <w:tr w:rsidR="006D56C0" w:rsidRPr="00CE28E3" w14:paraId="72053850" w14:textId="77777777" w:rsidTr="00566EFA">
        <w:tc>
          <w:tcPr>
            <w:tcW w:w="2090" w:type="pct"/>
            <w:tcBorders>
              <w:bottom w:val="single" w:sz="4" w:space="0" w:color="auto"/>
            </w:tcBorders>
          </w:tcPr>
          <w:p w14:paraId="1FBCEB30" w14:textId="027A1BD5" w:rsidR="006D56C0" w:rsidRPr="00640DBC" w:rsidRDefault="006D56C0" w:rsidP="00E4281E">
            <w:pPr>
              <w:pStyle w:val="TableText"/>
              <w:keepNext/>
            </w:pPr>
            <w:r w:rsidRPr="00FB7CEB">
              <w:t xml:space="preserve">Total cost per patient-Population </w:t>
            </w:r>
            <w:r>
              <w:t>2 (</w:t>
            </w:r>
            <w:r>
              <w:rPr>
                <w:i/>
              </w:rPr>
              <w:t>Revised)</w:t>
            </w:r>
          </w:p>
        </w:tc>
        <w:tc>
          <w:tcPr>
            <w:tcW w:w="1468" w:type="pct"/>
            <w:tcBorders>
              <w:bottom w:val="single" w:sz="4" w:space="0" w:color="auto"/>
            </w:tcBorders>
          </w:tcPr>
          <w:p w14:paraId="2D974D35" w14:textId="218A77D3" w:rsidR="006D56C0" w:rsidRPr="003D4AEB" w:rsidRDefault="006D56C0" w:rsidP="00E4281E">
            <w:pPr>
              <w:pStyle w:val="TableText"/>
              <w:keepNext/>
              <w:jc w:val="center"/>
            </w:pPr>
            <w:r w:rsidRPr="00FB7CEB">
              <w:t>$</w:t>
            </w:r>
            <w:r>
              <w:t>507.94</w:t>
            </w:r>
          </w:p>
        </w:tc>
        <w:tc>
          <w:tcPr>
            <w:tcW w:w="1442" w:type="pct"/>
            <w:tcBorders>
              <w:bottom w:val="single" w:sz="4" w:space="0" w:color="auto"/>
            </w:tcBorders>
          </w:tcPr>
          <w:p w14:paraId="2079A9A5" w14:textId="77777777" w:rsidR="006D56C0" w:rsidRPr="008B7CDE" w:rsidRDefault="006D56C0" w:rsidP="00E4281E">
            <w:pPr>
              <w:pStyle w:val="TableText"/>
              <w:keepNext/>
              <w:jc w:val="center"/>
            </w:pPr>
            <w:r w:rsidRPr="00FB7CEB">
              <w:t>$125.78</w:t>
            </w:r>
          </w:p>
        </w:tc>
      </w:tr>
      <w:tr w:rsidR="006D56C0" w:rsidRPr="00CE28E3" w14:paraId="7E2C21F4" w14:textId="77777777" w:rsidTr="00566EFA">
        <w:tc>
          <w:tcPr>
            <w:tcW w:w="2090" w:type="pct"/>
            <w:tcBorders>
              <w:bottom w:val="single" w:sz="4" w:space="0" w:color="auto"/>
            </w:tcBorders>
          </w:tcPr>
          <w:p w14:paraId="4D4E387E" w14:textId="77777777" w:rsidR="006D56C0" w:rsidRPr="00FB7CEB" w:rsidRDefault="006D56C0" w:rsidP="00E4281E">
            <w:pPr>
              <w:pStyle w:val="TableText"/>
              <w:keepNext/>
            </w:pPr>
            <w:r w:rsidRPr="007308FF">
              <w:t>Percentage of patients in Population 1</w:t>
            </w:r>
          </w:p>
        </w:tc>
        <w:tc>
          <w:tcPr>
            <w:tcW w:w="2910" w:type="pct"/>
            <w:gridSpan w:val="2"/>
            <w:tcBorders>
              <w:bottom w:val="single" w:sz="4" w:space="0" w:color="auto"/>
            </w:tcBorders>
            <w:vAlign w:val="center"/>
          </w:tcPr>
          <w:p w14:paraId="4CDA151C" w14:textId="77777777" w:rsidR="006D56C0" w:rsidRPr="00862DBC" w:rsidRDefault="006D56C0" w:rsidP="00E4281E">
            <w:pPr>
              <w:pStyle w:val="TableText"/>
              <w:keepNext/>
              <w:jc w:val="center"/>
              <w:rPr>
                <w:b/>
                <w:bCs/>
              </w:rPr>
            </w:pPr>
            <w:r w:rsidRPr="00862DBC">
              <w:rPr>
                <w:b/>
                <w:bCs/>
              </w:rPr>
              <w:t>70%</w:t>
            </w:r>
          </w:p>
        </w:tc>
      </w:tr>
      <w:tr w:rsidR="006D56C0" w:rsidRPr="00CE28E3" w14:paraId="4741658A" w14:textId="77777777" w:rsidTr="00566EFA">
        <w:tc>
          <w:tcPr>
            <w:tcW w:w="2090" w:type="pct"/>
            <w:tcBorders>
              <w:bottom w:val="single" w:sz="4" w:space="0" w:color="auto"/>
            </w:tcBorders>
          </w:tcPr>
          <w:p w14:paraId="7E1F89B8" w14:textId="77777777" w:rsidR="006D56C0" w:rsidRPr="00FB7CEB" w:rsidRDefault="006D56C0" w:rsidP="00E4281E">
            <w:pPr>
              <w:pStyle w:val="TableText"/>
              <w:keepNext/>
            </w:pPr>
            <w:r w:rsidRPr="007308FF">
              <w:t>Percentage of patients in Population 2</w:t>
            </w:r>
          </w:p>
        </w:tc>
        <w:tc>
          <w:tcPr>
            <w:tcW w:w="2910" w:type="pct"/>
            <w:gridSpan w:val="2"/>
            <w:tcBorders>
              <w:bottom w:val="single" w:sz="4" w:space="0" w:color="auto"/>
            </w:tcBorders>
          </w:tcPr>
          <w:p w14:paraId="1AF35042" w14:textId="77777777" w:rsidR="006D56C0" w:rsidRPr="00862DBC" w:rsidRDefault="006D56C0" w:rsidP="00E4281E">
            <w:pPr>
              <w:pStyle w:val="TableText"/>
              <w:keepNext/>
              <w:jc w:val="center"/>
              <w:rPr>
                <w:b/>
                <w:bCs/>
              </w:rPr>
            </w:pPr>
            <w:r w:rsidRPr="00862DBC">
              <w:rPr>
                <w:b/>
                <w:bCs/>
              </w:rPr>
              <w:t>30%</w:t>
            </w:r>
          </w:p>
        </w:tc>
      </w:tr>
      <w:tr w:rsidR="006D56C0" w:rsidRPr="00CE28E3" w14:paraId="16C8B18A" w14:textId="77777777" w:rsidTr="00566EFA">
        <w:tc>
          <w:tcPr>
            <w:tcW w:w="2090" w:type="pct"/>
            <w:tcBorders>
              <w:bottom w:val="single" w:sz="4" w:space="0" w:color="auto"/>
            </w:tcBorders>
          </w:tcPr>
          <w:p w14:paraId="32E128A3" w14:textId="77777777" w:rsidR="006D56C0" w:rsidRPr="009F4D86" w:rsidRDefault="006D56C0" w:rsidP="00E4281E">
            <w:pPr>
              <w:pStyle w:val="TableText"/>
              <w:keepNext/>
              <w:rPr>
                <w:b/>
                <w:bCs/>
              </w:rPr>
            </w:pPr>
            <w:r w:rsidRPr="001A14C7">
              <w:rPr>
                <w:b/>
                <w:bCs/>
              </w:rPr>
              <w:t>Weighted average cost per patient for Population 1 and 2</w:t>
            </w:r>
          </w:p>
        </w:tc>
        <w:tc>
          <w:tcPr>
            <w:tcW w:w="1468" w:type="pct"/>
            <w:tcBorders>
              <w:bottom w:val="single" w:sz="4" w:space="0" w:color="auto"/>
            </w:tcBorders>
          </w:tcPr>
          <w:p w14:paraId="02E0D653" w14:textId="2D4D9C25" w:rsidR="006D56C0" w:rsidRPr="001A14C7" w:rsidRDefault="006D56C0" w:rsidP="00E4281E">
            <w:pPr>
              <w:pStyle w:val="TableText"/>
              <w:keepNext/>
              <w:jc w:val="center"/>
              <w:rPr>
                <w:b/>
                <w:bCs/>
              </w:rPr>
            </w:pPr>
            <w:r w:rsidRPr="00566EFA">
              <w:rPr>
                <w:b/>
                <w:bCs/>
                <w:i/>
                <w:iCs/>
              </w:rPr>
              <w:t>$335.43</w:t>
            </w:r>
            <w:r>
              <w:br/>
            </w:r>
            <w:r w:rsidRPr="00566EFA">
              <w:rPr>
                <w:b/>
                <w:bCs/>
                <w:i/>
                <w:iCs/>
              </w:rPr>
              <w:t>(</w:t>
            </w:r>
            <w:r w:rsidR="00847A7E">
              <w:rPr>
                <w:b/>
                <w:bCs/>
                <w:i/>
                <w:iCs/>
              </w:rPr>
              <w:t>ADAR</w:t>
            </w:r>
            <w:r w:rsidRPr="00566EFA">
              <w:rPr>
                <w:b/>
                <w:bCs/>
                <w:i/>
                <w:iCs/>
              </w:rPr>
              <w:t xml:space="preserve"> </w:t>
            </w:r>
            <w:r>
              <w:rPr>
                <w:b/>
                <w:bCs/>
                <w:i/>
                <w:iCs/>
              </w:rPr>
              <w:t>$</w:t>
            </w:r>
            <w:r w:rsidR="004B547F" w:rsidRPr="004B547F">
              <w:rPr>
                <w:b/>
                <w:bCs/>
                <w:i/>
                <w:iCs/>
              </w:rPr>
              <w:t>301.92</w:t>
            </w:r>
            <w:r w:rsidRPr="00566EFA">
              <w:rPr>
                <w:b/>
                <w:bCs/>
                <w:i/>
                <w:iCs/>
              </w:rPr>
              <w:t>)</w:t>
            </w:r>
          </w:p>
        </w:tc>
        <w:tc>
          <w:tcPr>
            <w:tcW w:w="1442" w:type="pct"/>
            <w:tcBorders>
              <w:bottom w:val="single" w:sz="4" w:space="0" w:color="auto"/>
            </w:tcBorders>
          </w:tcPr>
          <w:p w14:paraId="068AF138" w14:textId="44969B3B" w:rsidR="006D56C0" w:rsidRPr="001A14C7" w:rsidRDefault="00304F2E" w:rsidP="00E4281E">
            <w:pPr>
              <w:pStyle w:val="TableText"/>
              <w:keepNext/>
              <w:jc w:val="center"/>
              <w:rPr>
                <w:b/>
                <w:bCs/>
              </w:rPr>
            </w:pPr>
            <w:r w:rsidRPr="00566EFA">
              <w:rPr>
                <w:b/>
                <w:bCs/>
                <w:i/>
                <w:iCs/>
              </w:rPr>
              <w:t>$157.85</w:t>
            </w:r>
            <w:r w:rsidR="006D56C0">
              <w:br/>
            </w:r>
            <w:r w:rsidR="006D56C0" w:rsidRPr="00566EFA">
              <w:rPr>
                <w:b/>
                <w:bCs/>
                <w:i/>
                <w:iCs/>
              </w:rPr>
              <w:t>(</w:t>
            </w:r>
            <w:bookmarkStart w:id="54" w:name="_Int_sJ6MXsSa"/>
            <w:r w:rsidR="004B547F">
              <w:rPr>
                <w:b/>
                <w:bCs/>
                <w:i/>
                <w:iCs/>
              </w:rPr>
              <w:t xml:space="preserve">ADAR </w:t>
            </w:r>
            <w:bookmarkEnd w:id="54"/>
            <w:r w:rsidR="004B547F" w:rsidRPr="004B547F">
              <w:rPr>
                <w:b/>
                <w:bCs/>
                <w:i/>
                <w:iCs/>
              </w:rPr>
              <w:t>$97.85</w:t>
            </w:r>
            <w:r w:rsidR="006D56C0" w:rsidRPr="00566EFA">
              <w:rPr>
                <w:b/>
                <w:bCs/>
                <w:i/>
                <w:iCs/>
              </w:rPr>
              <w:t>)</w:t>
            </w:r>
          </w:p>
        </w:tc>
      </w:tr>
      <w:tr w:rsidR="006D56C0" w:rsidRPr="00CE28E3" w14:paraId="0EAEB67C" w14:textId="77777777" w:rsidTr="00566EFA">
        <w:tc>
          <w:tcPr>
            <w:tcW w:w="2090" w:type="pct"/>
          </w:tcPr>
          <w:p w14:paraId="2C4FB23E" w14:textId="77777777" w:rsidR="006D56C0" w:rsidRPr="009F4D86" w:rsidRDefault="006D56C0" w:rsidP="00E4281E">
            <w:pPr>
              <w:pStyle w:val="TableText"/>
              <w:keepNext/>
              <w:rPr>
                <w:b/>
                <w:bCs/>
              </w:rPr>
            </w:pPr>
            <w:r w:rsidRPr="009F4D86">
              <w:rPr>
                <w:b/>
                <w:bCs/>
              </w:rPr>
              <w:t xml:space="preserve">Net cost difference per patient (with </w:t>
            </w:r>
            <w:proofErr w:type="spellStart"/>
            <w:r w:rsidRPr="009F4D86">
              <w:rPr>
                <w:b/>
                <w:bCs/>
              </w:rPr>
              <w:t>NTproBNP</w:t>
            </w:r>
            <w:proofErr w:type="spellEnd"/>
            <w:r w:rsidRPr="009F4D86">
              <w:rPr>
                <w:b/>
                <w:bCs/>
              </w:rPr>
              <w:t xml:space="preserve"> - with</w:t>
            </w:r>
            <w:r>
              <w:rPr>
                <w:b/>
                <w:bCs/>
              </w:rPr>
              <w:t>out</w:t>
            </w:r>
            <w:r w:rsidRPr="009F4D86">
              <w:rPr>
                <w:b/>
                <w:bCs/>
              </w:rPr>
              <w:t xml:space="preserve"> </w:t>
            </w:r>
            <w:proofErr w:type="spellStart"/>
            <w:r w:rsidRPr="009F4D86">
              <w:rPr>
                <w:b/>
                <w:bCs/>
              </w:rPr>
              <w:t>NTproBNP</w:t>
            </w:r>
            <w:proofErr w:type="spellEnd"/>
            <w:r w:rsidRPr="009F4D86">
              <w:rPr>
                <w:b/>
                <w:bCs/>
              </w:rPr>
              <w:t>)</w:t>
            </w:r>
          </w:p>
        </w:tc>
        <w:tc>
          <w:tcPr>
            <w:tcW w:w="2910" w:type="pct"/>
            <w:gridSpan w:val="2"/>
            <w:vAlign w:val="center"/>
          </w:tcPr>
          <w:p w14:paraId="0875D213" w14:textId="4E4783CC" w:rsidR="006D56C0" w:rsidRPr="00A61411" w:rsidRDefault="006D56C0" w:rsidP="00E4281E">
            <w:pPr>
              <w:pStyle w:val="TableText"/>
              <w:keepNext/>
              <w:jc w:val="center"/>
              <w:rPr>
                <w:b/>
                <w:bCs/>
              </w:rPr>
            </w:pPr>
            <w:r w:rsidRPr="004B668A">
              <w:rPr>
                <w:b/>
                <w:bCs/>
                <w:i/>
                <w:iCs/>
              </w:rPr>
              <w:t>-$</w:t>
            </w:r>
            <w:r w:rsidR="00F81D8C" w:rsidRPr="004B668A">
              <w:rPr>
                <w:b/>
                <w:bCs/>
                <w:i/>
                <w:iCs/>
              </w:rPr>
              <w:t>177.58</w:t>
            </w:r>
            <w:r w:rsidR="004B668A" w:rsidRPr="001D13E9">
              <w:rPr>
                <w:i/>
                <w:vertAlign w:val="superscript"/>
              </w:rPr>
              <w:t xml:space="preserve"> </w:t>
            </w:r>
            <w:r w:rsidR="00F81D8C">
              <w:rPr>
                <w:b/>
                <w:bCs/>
              </w:rPr>
              <w:t xml:space="preserve">(ADAR = </w:t>
            </w:r>
            <w:r w:rsidR="0080789C">
              <w:rPr>
                <w:b/>
                <w:bCs/>
              </w:rPr>
              <w:t>-</w:t>
            </w:r>
            <w:r w:rsidR="00B619A2" w:rsidRPr="00B619A2">
              <w:rPr>
                <w:b/>
                <w:bCs/>
              </w:rPr>
              <w:t>$204.07</w:t>
            </w:r>
            <w:r w:rsidR="00B619A2">
              <w:rPr>
                <w:b/>
                <w:bCs/>
              </w:rPr>
              <w:t>)</w:t>
            </w:r>
          </w:p>
        </w:tc>
      </w:tr>
      <w:tr w:rsidR="006D56C0" w:rsidRPr="00CE28E3" w14:paraId="55D556E8" w14:textId="77777777" w:rsidTr="00566EFA">
        <w:tc>
          <w:tcPr>
            <w:tcW w:w="2090" w:type="pct"/>
            <w:tcBorders>
              <w:bottom w:val="single" w:sz="4" w:space="0" w:color="auto"/>
            </w:tcBorders>
          </w:tcPr>
          <w:p w14:paraId="5F9B6D74" w14:textId="75A7AA51" w:rsidR="006D56C0" w:rsidRPr="009F4D86" w:rsidRDefault="006D56C0" w:rsidP="00E4281E">
            <w:pPr>
              <w:pStyle w:val="TableText"/>
              <w:keepNext/>
              <w:rPr>
                <w:b/>
                <w:bCs/>
              </w:rPr>
            </w:pPr>
            <w:r>
              <w:rPr>
                <w:i/>
              </w:rPr>
              <w:t xml:space="preserve">Revised </w:t>
            </w:r>
          </w:p>
        </w:tc>
        <w:tc>
          <w:tcPr>
            <w:tcW w:w="2910" w:type="pct"/>
            <w:gridSpan w:val="2"/>
            <w:tcBorders>
              <w:bottom w:val="single" w:sz="4" w:space="0" w:color="auto"/>
            </w:tcBorders>
            <w:vAlign w:val="center"/>
          </w:tcPr>
          <w:p w14:paraId="68C2D863" w14:textId="4266ADD1" w:rsidR="006D56C0" w:rsidRDefault="006D56C0" w:rsidP="00E4281E">
            <w:pPr>
              <w:pStyle w:val="TableText"/>
              <w:keepNext/>
              <w:jc w:val="center"/>
              <w:rPr>
                <w:b/>
                <w:bCs/>
              </w:rPr>
            </w:pPr>
            <w:r w:rsidRPr="502AEC3D">
              <w:rPr>
                <w:b/>
                <w:bCs/>
                <w:i/>
                <w:iCs/>
              </w:rPr>
              <w:t>-$</w:t>
            </w:r>
            <w:r>
              <w:rPr>
                <w:b/>
                <w:bCs/>
                <w:i/>
              </w:rPr>
              <w:t>238.36</w:t>
            </w:r>
          </w:p>
        </w:tc>
      </w:tr>
    </w:tbl>
    <w:p w14:paraId="7473F2AC" w14:textId="77777777" w:rsidR="00E4281E" w:rsidRPr="00082D13" w:rsidRDefault="00E4281E" w:rsidP="00E4281E">
      <w:pPr>
        <w:pStyle w:val="TableNotes2"/>
      </w:pPr>
      <w:r w:rsidRPr="006B739A">
        <w:t xml:space="preserve">Source: </w:t>
      </w:r>
      <w:r>
        <w:t xml:space="preserve">Adapted from </w:t>
      </w:r>
      <w:r w:rsidRPr="006B739A">
        <w:t xml:space="preserve">Table </w:t>
      </w:r>
      <w:r>
        <w:t xml:space="preserve">30 </w:t>
      </w:r>
      <w:r w:rsidRPr="006B739A">
        <w:t xml:space="preserve">of the </w:t>
      </w:r>
      <w:r>
        <w:t>‘</w:t>
      </w:r>
      <w:r w:rsidRPr="006B739A">
        <w:t xml:space="preserve">ADAR 1689 </w:t>
      </w:r>
      <w:proofErr w:type="spellStart"/>
      <w:r w:rsidRPr="006B739A">
        <w:t>NTproBNP</w:t>
      </w:r>
      <w:proofErr w:type="spellEnd"/>
      <w:r w:rsidRPr="006B739A">
        <w:t xml:space="preserve"> MSAC ADAR 1689 </w:t>
      </w:r>
      <w:r>
        <w:t>–</w:t>
      </w:r>
      <w:r w:rsidRPr="006B739A">
        <w:t xml:space="preserve"> FINAL</w:t>
      </w:r>
      <w:r>
        <w:t xml:space="preserve">’ using the </w:t>
      </w:r>
      <w:r w:rsidRPr="003A46D9">
        <w:t>Excel workbook ‘ADAR 1689 NT-</w:t>
      </w:r>
      <w:proofErr w:type="spellStart"/>
      <w:r w:rsidRPr="003A46D9">
        <w:t>proBNP</w:t>
      </w:r>
      <w:proofErr w:type="spellEnd"/>
      <w:r w:rsidRPr="003A46D9">
        <w:t xml:space="preserve"> MSAC </w:t>
      </w:r>
      <w:proofErr w:type="spellStart"/>
      <w:r w:rsidRPr="003A46D9">
        <w:t>SSc_PAH_Section</w:t>
      </w:r>
      <w:proofErr w:type="spellEnd"/>
      <w:r w:rsidRPr="003A46D9">
        <w:t xml:space="preserve"> 3B’</w:t>
      </w:r>
    </w:p>
    <w:p w14:paraId="1F319C02" w14:textId="7826FB9F" w:rsidR="00E4281E" w:rsidRDefault="00E4281E" w:rsidP="00E4281E">
      <w:pPr>
        <w:pStyle w:val="TableNotes2"/>
      </w:pPr>
      <w:r w:rsidRPr="00BC4705">
        <w:t>Abbreviations: NT-</w:t>
      </w:r>
      <w:proofErr w:type="spellStart"/>
      <w:r w:rsidRPr="00BC4705">
        <w:t>proBNP</w:t>
      </w:r>
      <w:proofErr w:type="spellEnd"/>
      <w:r>
        <w:t>=</w:t>
      </w:r>
      <w:r w:rsidRPr="00BC4705">
        <w:t xml:space="preserve"> N-terminal </w:t>
      </w:r>
      <w:proofErr w:type="spellStart"/>
      <w:r w:rsidRPr="00BC4705">
        <w:t>proB</w:t>
      </w:r>
      <w:proofErr w:type="spellEnd"/>
      <w:r w:rsidRPr="00BC4705">
        <w:t>-type natriuretic peptide.</w:t>
      </w:r>
    </w:p>
    <w:p w14:paraId="4D3AC561" w14:textId="4023A4DE" w:rsidR="00E4281E" w:rsidRDefault="00E4281E" w:rsidP="00E4281E">
      <w:pPr>
        <w:pStyle w:val="TableNotes2"/>
      </w:pPr>
      <w:proofErr w:type="spellStart"/>
      <w:r w:rsidRPr="00B41D18">
        <w:rPr>
          <w:vertAlign w:val="superscript"/>
        </w:rPr>
        <w:t>a</w:t>
      </w:r>
      <w:proofErr w:type="spellEnd"/>
      <w:r w:rsidRPr="00A73245">
        <w:t xml:space="preserve"> </w:t>
      </w:r>
      <w:r w:rsidRPr="00B41D18">
        <w:t>This is the total cost per patient in the current intervention (1 TTE test = $2</w:t>
      </w:r>
      <w:r w:rsidR="00C612CC">
        <w:t>36.25</w:t>
      </w:r>
      <w:r w:rsidRPr="00B41D18">
        <w:t xml:space="preserve"> and the total cost per patient in the proposed intervention (1 NT-</w:t>
      </w:r>
      <w:proofErr w:type="spellStart"/>
      <w:r w:rsidRPr="00B41D18">
        <w:t>proBNP</w:t>
      </w:r>
      <w:proofErr w:type="spellEnd"/>
      <w:r w:rsidRPr="00B41D18">
        <w:t xml:space="preserve"> test and 0.</w:t>
      </w:r>
      <w:r w:rsidR="002C40BD">
        <w:t>0</w:t>
      </w:r>
      <w:r w:rsidRPr="00B41D18">
        <w:t>1 TTE test) ($</w:t>
      </w:r>
      <w:r w:rsidR="00432AF6">
        <w:t>60.86</w:t>
      </w:r>
      <w:r w:rsidRPr="00B41D18">
        <w:t xml:space="preserve"> = $58.50 + $</w:t>
      </w:r>
      <w:r w:rsidR="008E5D20">
        <w:t>2</w:t>
      </w:r>
      <w:r w:rsidR="002C40BD">
        <w:t>.</w:t>
      </w:r>
      <w:r w:rsidR="008E5D20">
        <w:t>36</w:t>
      </w:r>
      <w:r w:rsidRPr="00B41D18">
        <w:t xml:space="preserve">). </w:t>
      </w:r>
    </w:p>
    <w:p w14:paraId="053F20F8" w14:textId="3D8EE306" w:rsidR="00E4281E" w:rsidRPr="00B41D18" w:rsidRDefault="00E4281E" w:rsidP="00E4281E">
      <w:pPr>
        <w:pStyle w:val="TableNotes2"/>
      </w:pPr>
      <w:r w:rsidRPr="006B739A">
        <w:t xml:space="preserve">Note: Estimates in italics text were revised </w:t>
      </w:r>
      <w:r w:rsidR="00B619A2">
        <w:t>after ESC</w:t>
      </w:r>
      <w:r w:rsidRPr="006B739A">
        <w:t xml:space="preserve"> to align use of testing with </w:t>
      </w:r>
      <w:r w:rsidR="00B619A2">
        <w:t>the revise</w:t>
      </w:r>
      <w:r w:rsidR="00E30F66">
        <w:t xml:space="preserve">d to reflect corrected TTE costs and 1-year incidence </w:t>
      </w:r>
      <w:r w:rsidR="004B668A">
        <w:t>for P</w:t>
      </w:r>
      <w:r w:rsidR="00E30F66">
        <w:t>opulation 1.</w:t>
      </w:r>
    </w:p>
    <w:p w14:paraId="7C1E7D21" w14:textId="66C291C7" w:rsidR="00E4281E" w:rsidRPr="00C758B7" w:rsidRDefault="00E4281E" w:rsidP="00E4281E">
      <w:pPr>
        <w:pStyle w:val="Instructionaltext"/>
        <w:rPr>
          <w:color w:val="auto"/>
        </w:rPr>
      </w:pPr>
      <w:r w:rsidRPr="00C758B7">
        <w:rPr>
          <w:color w:val="auto"/>
        </w:rPr>
        <w:t xml:space="preserve">While the weights used to calculate an overall cost difference were reasonable, the </w:t>
      </w:r>
      <w:r w:rsidR="00F1357C">
        <w:rPr>
          <w:color w:val="auto"/>
        </w:rPr>
        <w:t xml:space="preserve">commentary and ESC considered the </w:t>
      </w:r>
      <w:r w:rsidRPr="00C758B7">
        <w:rPr>
          <w:color w:val="auto"/>
        </w:rPr>
        <w:t>weighted net cost difference derived is highly uncertain, as the estimated cost savings in Population 1 are likely to be underestimated (as RHC and repeat testing costs have not been included</w:t>
      </w:r>
      <w:r w:rsidR="00F1357C" w:rsidRPr="00C758B7">
        <w:rPr>
          <w:color w:val="auto"/>
        </w:rPr>
        <w:t>)</w:t>
      </w:r>
      <w:r w:rsidR="00F1357C">
        <w:rPr>
          <w:color w:val="auto"/>
        </w:rPr>
        <w:t>. The commentary considered</w:t>
      </w:r>
      <w:r w:rsidRPr="00C758B7">
        <w:rPr>
          <w:color w:val="auto"/>
        </w:rPr>
        <w:t xml:space="preserve"> that the cost savings in Population 2 are likely to be overestimated.</w:t>
      </w:r>
    </w:p>
    <w:p w14:paraId="38B361B6" w14:textId="7F74A5A3" w:rsidR="00E4281E" w:rsidRPr="00055E91" w:rsidRDefault="00E4281E"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55" w:name="_Toc69491426"/>
      <w:bookmarkStart w:id="56" w:name="_Toc103161076"/>
      <w:bookmarkEnd w:id="53"/>
      <w:r w:rsidRPr="00055E91">
        <w:rPr>
          <w:rFonts w:ascii="Franklin Gothic Medium" w:eastAsiaTheme="majorEastAsia" w:hAnsi="Franklin Gothic Medium" w:cstheme="majorBidi"/>
          <w:color w:val="000000" w:themeColor="text1"/>
          <w:sz w:val="32"/>
          <w:szCs w:val="26"/>
        </w:rPr>
        <w:t>1</w:t>
      </w:r>
      <w:r w:rsidR="009A5B31">
        <w:rPr>
          <w:rFonts w:ascii="Franklin Gothic Medium" w:eastAsiaTheme="majorEastAsia" w:hAnsi="Franklin Gothic Medium" w:cstheme="majorBidi"/>
          <w:color w:val="000000" w:themeColor="text1"/>
          <w:sz w:val="32"/>
          <w:szCs w:val="26"/>
        </w:rPr>
        <w:t>4</w:t>
      </w:r>
      <w:r w:rsidRPr="00055E91">
        <w:rPr>
          <w:rFonts w:ascii="Franklin Gothic Medium" w:eastAsiaTheme="majorEastAsia" w:hAnsi="Franklin Gothic Medium" w:cstheme="majorBidi"/>
          <w:color w:val="000000" w:themeColor="text1"/>
          <w:sz w:val="32"/>
          <w:szCs w:val="26"/>
        </w:rPr>
        <w:t>.</w:t>
      </w:r>
      <w:r w:rsidRPr="00055E91">
        <w:rPr>
          <w:rFonts w:ascii="Franklin Gothic Medium" w:eastAsiaTheme="majorEastAsia" w:hAnsi="Franklin Gothic Medium" w:cstheme="majorBidi"/>
          <w:color w:val="000000" w:themeColor="text1"/>
          <w:sz w:val="32"/>
          <w:szCs w:val="26"/>
        </w:rPr>
        <w:tab/>
        <w:t>Financial/budgetary impacts</w:t>
      </w:r>
      <w:bookmarkEnd w:id="55"/>
      <w:bookmarkEnd w:id="56"/>
    </w:p>
    <w:p w14:paraId="39F88126" w14:textId="515F7A79" w:rsidR="00241EE3" w:rsidRPr="00AE2E69" w:rsidRDefault="00E4281E" w:rsidP="00E4281E">
      <w:pPr>
        <w:pStyle w:val="Instructionaltext"/>
        <w:rPr>
          <w:i/>
          <w:iCs/>
          <w:color w:val="auto"/>
          <w:szCs w:val="20"/>
        </w:rPr>
      </w:pPr>
      <w:r w:rsidRPr="00C758B7">
        <w:rPr>
          <w:color w:val="auto"/>
        </w:rPr>
        <w:t>An epidemiological approach was used to estimate the financial implications of proposed NT-</w:t>
      </w:r>
      <w:proofErr w:type="spellStart"/>
      <w:r w:rsidRPr="00C758B7">
        <w:rPr>
          <w:color w:val="auto"/>
        </w:rPr>
        <w:t>proBNP</w:t>
      </w:r>
      <w:proofErr w:type="spellEnd"/>
      <w:r w:rsidRPr="00C758B7">
        <w:rPr>
          <w:color w:val="auto"/>
        </w:rPr>
        <w:t xml:space="preserve"> testing in both Population 1 and Population 2.</w:t>
      </w:r>
      <w:r w:rsidR="00241EE3">
        <w:rPr>
          <w:color w:val="auto"/>
        </w:rPr>
        <w:t xml:space="preserve"> </w:t>
      </w:r>
    </w:p>
    <w:p w14:paraId="3F17A7EF" w14:textId="4619F052" w:rsidR="00C61437" w:rsidRDefault="00E4281E" w:rsidP="00241EE3">
      <w:pPr>
        <w:pStyle w:val="Instructionaltext"/>
        <w:rPr>
          <w:color w:val="000000" w:themeColor="text1"/>
        </w:rPr>
      </w:pPr>
      <w:r w:rsidRPr="00C758B7">
        <w:rPr>
          <w:color w:val="000000" w:themeColor="text1"/>
        </w:rPr>
        <w:t>The submission estimated a cost saving to the MBS of $794,208 in Year 1 increasing to $896,623 in Year 6</w:t>
      </w:r>
      <w:r w:rsidR="00B41CEA">
        <w:rPr>
          <w:color w:val="000000" w:themeColor="text1"/>
        </w:rPr>
        <w:t xml:space="preserve"> based on full MBS fee rather than the 85% rebate</w:t>
      </w:r>
      <w:r w:rsidRPr="00C758B7">
        <w:rPr>
          <w:color w:val="000000" w:themeColor="text1"/>
        </w:rPr>
        <w:t xml:space="preserve">. </w:t>
      </w:r>
      <w:r w:rsidR="00835197">
        <w:rPr>
          <w:color w:val="000000" w:themeColor="text1"/>
        </w:rPr>
        <w:t xml:space="preserve">The cost savings </w:t>
      </w:r>
      <w:r w:rsidR="00883B9F">
        <w:rPr>
          <w:color w:val="000000" w:themeColor="text1"/>
        </w:rPr>
        <w:t xml:space="preserve">were revised </w:t>
      </w:r>
      <w:r w:rsidR="00835197">
        <w:rPr>
          <w:color w:val="000000" w:themeColor="text1"/>
        </w:rPr>
        <w:t xml:space="preserve">to </w:t>
      </w:r>
      <w:r w:rsidR="007510AC">
        <w:rPr>
          <w:color w:val="000000" w:themeColor="text1"/>
        </w:rPr>
        <w:t>$</w:t>
      </w:r>
      <w:r w:rsidR="007510AC" w:rsidRPr="007510AC">
        <w:rPr>
          <w:color w:val="000000" w:themeColor="text1"/>
        </w:rPr>
        <w:t>906,859</w:t>
      </w:r>
      <w:r w:rsidR="007510AC">
        <w:rPr>
          <w:color w:val="000000" w:themeColor="text1"/>
        </w:rPr>
        <w:t xml:space="preserve"> in Year 1, increasing to </w:t>
      </w:r>
      <w:r w:rsidR="007510AC" w:rsidRPr="007510AC">
        <w:rPr>
          <w:color w:val="000000" w:themeColor="text1"/>
        </w:rPr>
        <w:t>$1,069,842</w:t>
      </w:r>
      <w:r w:rsidR="00DB67CD">
        <w:rPr>
          <w:color w:val="000000" w:themeColor="text1"/>
        </w:rPr>
        <w:t xml:space="preserve"> </w:t>
      </w:r>
      <w:r w:rsidR="00816B22">
        <w:rPr>
          <w:color w:val="000000" w:themeColor="text1"/>
        </w:rPr>
        <w:t xml:space="preserve">in Year </w:t>
      </w:r>
      <w:r w:rsidR="00B00002">
        <w:rPr>
          <w:color w:val="000000" w:themeColor="text1"/>
        </w:rPr>
        <w:t>6</w:t>
      </w:r>
      <w:r w:rsidR="00E32C6C">
        <w:rPr>
          <w:color w:val="000000" w:themeColor="text1"/>
        </w:rPr>
        <w:t xml:space="preserve">, when using the corrected MBS costs for TTE, the 85% rebate, and the revised population with PAH. </w:t>
      </w:r>
    </w:p>
    <w:p w14:paraId="3D7D0F93" w14:textId="46EE4D48" w:rsidR="00E4281E" w:rsidRPr="001270E9" w:rsidRDefault="00E4281E" w:rsidP="00566EFA">
      <w:pPr>
        <w:pStyle w:val="Instructionaltext"/>
        <w:rPr>
          <w:color w:val="auto"/>
        </w:rPr>
      </w:pPr>
      <w:r w:rsidRPr="00C758B7">
        <w:rPr>
          <w:color w:val="000000" w:themeColor="text1"/>
        </w:rPr>
        <w:t>The</w:t>
      </w:r>
      <w:r w:rsidRPr="00C758B7">
        <w:rPr>
          <w:color w:val="auto"/>
        </w:rPr>
        <w:t xml:space="preserve"> sensitivity </w:t>
      </w:r>
      <w:r w:rsidRPr="001270E9">
        <w:rPr>
          <w:color w:val="auto"/>
        </w:rPr>
        <w:t>analyses presented in the submission showed that all scenarios resulted in net financial savings. However, the estimated cost savings in Population 1 likely to be underestimated and in Population 2 the cost saving estimates are highly uncertain as the submission has assumed complete substitution of TTE with NT-</w:t>
      </w:r>
      <w:proofErr w:type="spellStart"/>
      <w:r w:rsidRPr="001270E9">
        <w:rPr>
          <w:color w:val="auto"/>
        </w:rPr>
        <w:t>proBNP</w:t>
      </w:r>
      <w:proofErr w:type="spellEnd"/>
      <w:r w:rsidRPr="001270E9">
        <w:rPr>
          <w:color w:val="auto"/>
        </w:rPr>
        <w:t>.</w:t>
      </w:r>
    </w:p>
    <w:p w14:paraId="01CB60FC" w14:textId="7943B3E9" w:rsidR="00E4281E" w:rsidRPr="00C758B7" w:rsidRDefault="00E4281E" w:rsidP="00E4281E">
      <w:pPr>
        <w:pStyle w:val="Instructionaltext-afterfiguretable"/>
        <w:rPr>
          <w:color w:val="auto"/>
        </w:rPr>
      </w:pPr>
      <w:r w:rsidRPr="00C758B7">
        <w:rPr>
          <w:color w:val="auto"/>
        </w:rPr>
        <w:lastRenderedPageBreak/>
        <w:t xml:space="preserve">The submission’s estimated cost-savings in Population 1 are uncertain due to the underestimated uptake rates, overestimated testing frequencies, and the uncertainty related to the additional use of TTE in the patients who </w:t>
      </w:r>
      <w:r w:rsidR="7B3B5281" w:rsidRPr="5F7EA55D">
        <w:rPr>
          <w:color w:val="auto"/>
        </w:rPr>
        <w:t xml:space="preserve">have </w:t>
      </w:r>
      <w:r w:rsidRPr="00C758B7">
        <w:rPr>
          <w:color w:val="auto"/>
        </w:rPr>
        <w:t>tested positive for NT-</w:t>
      </w:r>
      <w:proofErr w:type="spellStart"/>
      <w:r w:rsidRPr="00C758B7">
        <w:rPr>
          <w:color w:val="auto"/>
        </w:rPr>
        <w:t>proBNP</w:t>
      </w:r>
      <w:proofErr w:type="spellEnd"/>
      <w:r w:rsidRPr="00C758B7">
        <w:rPr>
          <w:color w:val="auto"/>
        </w:rPr>
        <w:t>. As for the economic analysis, the submission has not considered a change in use or cost of RHC or repeat testing in patients with false negative test results</w:t>
      </w:r>
      <w:r w:rsidR="7B3B5281" w:rsidRPr="5F7EA55D">
        <w:rPr>
          <w:color w:val="auto"/>
        </w:rPr>
        <w:t xml:space="preserve">. </w:t>
      </w:r>
      <w:r w:rsidR="002C0AB1">
        <w:rPr>
          <w:color w:val="auto"/>
        </w:rPr>
        <w:t>The commentary considered th</w:t>
      </w:r>
      <w:r w:rsidR="00B01574">
        <w:rPr>
          <w:color w:val="auto"/>
        </w:rPr>
        <w:t xml:space="preserve">at </w:t>
      </w:r>
      <w:r w:rsidR="00BB7F92">
        <w:rPr>
          <w:color w:val="auto"/>
        </w:rPr>
        <w:t>the o</w:t>
      </w:r>
      <w:r w:rsidR="7B3B5281" w:rsidRPr="5F7EA55D">
        <w:rPr>
          <w:color w:val="auto"/>
        </w:rPr>
        <w:t>verall</w:t>
      </w:r>
      <w:r w:rsidRPr="00C758B7">
        <w:rPr>
          <w:color w:val="auto"/>
        </w:rPr>
        <w:t xml:space="preserve"> estimated cost-savings appear to be underestimated.</w:t>
      </w:r>
    </w:p>
    <w:p w14:paraId="72544A35" w14:textId="0C9238FD" w:rsidR="00E4281E" w:rsidRPr="000276A0" w:rsidRDefault="00E4281E" w:rsidP="00E4281E">
      <w:pPr>
        <w:pStyle w:val="Instructionaltext-afterfiguretable"/>
        <w:rPr>
          <w:color w:val="auto"/>
        </w:rPr>
      </w:pPr>
      <w:r w:rsidRPr="001270E9">
        <w:rPr>
          <w:color w:val="auto"/>
        </w:rPr>
        <w:t>In Population 2, the high estimates for the number of PAH patients (based on 10% PBS script data that were used in submission’s sensitivity analysis) appear more reasonable as Year 1 estimates are lower than</w:t>
      </w:r>
      <w:r w:rsidRPr="00AE2E69">
        <w:t xml:space="preserve"> </w:t>
      </w:r>
      <w:r w:rsidRPr="001270E9">
        <w:rPr>
          <w:color w:val="auto"/>
        </w:rPr>
        <w:t>the number of patients treated with PBS subsidised PAH medicines in 2016). This population may be associated with an increase in costs to the MBS, as patients who are symptomatic or who are stable but have test results suggestive of worsening PAH would still undergo TTE.</w:t>
      </w:r>
      <w:r w:rsidRPr="00AE2E69">
        <w:rPr>
          <w:color w:val="auto"/>
        </w:rPr>
        <w:t xml:space="preserve"> </w:t>
      </w:r>
      <w:r w:rsidRPr="001270E9">
        <w:rPr>
          <w:color w:val="auto"/>
        </w:rPr>
        <w:t xml:space="preserve">No data are available to inform the proportion of patients in whom a reduction in TTE use is expected. Threshold analyses (Section 3) indicated that the conclusion of cost savings would not change if this proportion exceeded </w:t>
      </w:r>
      <w:r w:rsidR="00303D0E" w:rsidRPr="00362BCF">
        <w:rPr>
          <w:i/>
          <w:iCs/>
          <w:color w:val="auto"/>
        </w:rPr>
        <w:t>2</w:t>
      </w:r>
      <w:r w:rsidR="00303D0E">
        <w:rPr>
          <w:i/>
          <w:iCs/>
          <w:color w:val="auto"/>
        </w:rPr>
        <w:t>5</w:t>
      </w:r>
      <w:r w:rsidRPr="00362BCF">
        <w:rPr>
          <w:i/>
          <w:iCs/>
          <w:color w:val="auto"/>
        </w:rPr>
        <w:t>%</w:t>
      </w:r>
      <w:r w:rsidR="00362BCF">
        <w:rPr>
          <w:i/>
          <w:iCs/>
          <w:color w:val="auto"/>
        </w:rPr>
        <w:t xml:space="preserve"> (using the corrected cost of TTE)</w:t>
      </w:r>
      <w:r w:rsidRPr="001270E9">
        <w:rPr>
          <w:color w:val="auto"/>
        </w:rPr>
        <w:t xml:space="preserve">. That however was under the assumption of a reduction in use of 2.15 TTE tests per patient. The financial analysis assumes a reduction of 1 TTE per patient, and so the proportion </w:t>
      </w:r>
      <w:r w:rsidR="00C059F7">
        <w:rPr>
          <w:color w:val="auto"/>
        </w:rPr>
        <w:t xml:space="preserve">substitution </w:t>
      </w:r>
      <w:r w:rsidRPr="001270E9">
        <w:rPr>
          <w:color w:val="auto"/>
        </w:rPr>
        <w:t xml:space="preserve">required to maintain the conclusion of cost savings would need to </w:t>
      </w:r>
      <w:r w:rsidR="00C059F7">
        <w:rPr>
          <w:color w:val="auto"/>
        </w:rPr>
        <w:t>be at least</w:t>
      </w:r>
      <w:r w:rsidRPr="001270E9">
        <w:rPr>
          <w:color w:val="auto"/>
        </w:rPr>
        <w:t xml:space="preserve"> </w:t>
      </w:r>
      <w:r w:rsidRPr="00362BCF">
        <w:rPr>
          <w:i/>
          <w:iCs/>
          <w:color w:val="auto"/>
        </w:rPr>
        <w:t>5</w:t>
      </w:r>
      <w:r w:rsidR="00362BCF" w:rsidRPr="00362BCF">
        <w:rPr>
          <w:i/>
          <w:iCs/>
          <w:color w:val="auto"/>
        </w:rPr>
        <w:t>0</w:t>
      </w:r>
      <w:r w:rsidRPr="00362BCF">
        <w:rPr>
          <w:i/>
          <w:iCs/>
          <w:color w:val="auto"/>
        </w:rPr>
        <w:t>%</w:t>
      </w:r>
      <w:r w:rsidR="00BE446B">
        <w:rPr>
          <w:color w:val="auto"/>
        </w:rPr>
        <w:t xml:space="preserve"> </w:t>
      </w:r>
      <w:r w:rsidR="00BE446B" w:rsidRPr="00362BCF">
        <w:rPr>
          <w:i/>
          <w:iCs/>
          <w:color w:val="auto"/>
        </w:rPr>
        <w:t>(based on the revised analysis)</w:t>
      </w:r>
      <w:r w:rsidRPr="001270E9">
        <w:rPr>
          <w:color w:val="auto"/>
        </w:rPr>
        <w:t xml:space="preserve">. </w:t>
      </w:r>
      <w:r w:rsidR="00362BCF">
        <w:rPr>
          <w:color w:val="auto"/>
        </w:rPr>
        <w:t xml:space="preserve">The commentary noted that </w:t>
      </w:r>
      <w:r w:rsidRPr="001270E9">
        <w:rPr>
          <w:color w:val="auto"/>
        </w:rPr>
        <w:t>public consultation feedback</w:t>
      </w:r>
      <w:r w:rsidR="00362BCF" w:rsidRPr="00362BCF">
        <w:rPr>
          <w:color w:val="auto"/>
        </w:rPr>
        <w:t xml:space="preserve"> </w:t>
      </w:r>
      <w:r w:rsidR="00362BCF" w:rsidRPr="001270E9">
        <w:rPr>
          <w:color w:val="auto"/>
        </w:rPr>
        <w:t>patients may not receive the recommended number of TTEs</w:t>
      </w:r>
      <w:r w:rsidR="00362BCF" w:rsidRPr="00362BCF">
        <w:rPr>
          <w:color w:val="auto"/>
        </w:rPr>
        <w:t xml:space="preserve"> </w:t>
      </w:r>
      <w:r w:rsidR="00362BCF" w:rsidRPr="001270E9">
        <w:rPr>
          <w:color w:val="auto"/>
        </w:rPr>
        <w:t>in rural and remote areas</w:t>
      </w:r>
      <w:r w:rsidRPr="001270E9">
        <w:rPr>
          <w:color w:val="auto"/>
        </w:rPr>
        <w:t xml:space="preserve"> due to accessibility and acceptability issues for TTE. </w:t>
      </w:r>
      <w:r w:rsidR="00362BCF">
        <w:rPr>
          <w:color w:val="auto"/>
        </w:rPr>
        <w:t>The commentary queried w</w:t>
      </w:r>
      <w:r w:rsidRPr="001270E9">
        <w:rPr>
          <w:color w:val="auto"/>
        </w:rPr>
        <w:t>hether cost savings would be realised in this population.</w:t>
      </w:r>
    </w:p>
    <w:p w14:paraId="26AFC8F8" w14:textId="4350E6BD" w:rsidR="00E4281E" w:rsidRPr="00AE2E69" w:rsidRDefault="00E4281E" w:rsidP="00E4281E">
      <w:r w:rsidRPr="00C758B7">
        <w:t>The financial implications to the MBS resulting from the proposed listing of NT-</w:t>
      </w:r>
      <w:proofErr w:type="spellStart"/>
      <w:r w:rsidRPr="00C758B7">
        <w:t>proBNP</w:t>
      </w:r>
      <w:proofErr w:type="spellEnd"/>
      <w:r w:rsidRPr="00C758B7">
        <w:t xml:space="preserve"> are summarised in </w:t>
      </w:r>
      <w:r w:rsidRPr="00C758B7">
        <w:rPr>
          <w:color w:val="2B579A"/>
          <w:shd w:val="clear" w:color="auto" w:fill="E6E6E6"/>
        </w:rPr>
        <w:fldChar w:fldCharType="begin"/>
      </w:r>
      <w:r w:rsidRPr="00C758B7">
        <w:instrText xml:space="preserve"> REF _Ref69726382 \h  \* MERGEFORMAT </w:instrText>
      </w:r>
      <w:r w:rsidRPr="00C758B7">
        <w:rPr>
          <w:color w:val="2B579A"/>
          <w:shd w:val="clear" w:color="auto" w:fill="E6E6E6"/>
        </w:rPr>
      </w:r>
      <w:r w:rsidRPr="00C758B7">
        <w:rPr>
          <w:color w:val="2B579A"/>
          <w:shd w:val="clear" w:color="auto" w:fill="E6E6E6"/>
        </w:rPr>
        <w:fldChar w:fldCharType="separate"/>
      </w:r>
      <w:r w:rsidR="00D270D9" w:rsidRPr="00D270D9">
        <w:t>Table 12</w:t>
      </w:r>
      <w:r w:rsidRPr="00C758B7">
        <w:rPr>
          <w:color w:val="2B579A"/>
          <w:shd w:val="clear" w:color="auto" w:fill="E6E6E6"/>
        </w:rPr>
        <w:fldChar w:fldCharType="end"/>
      </w:r>
      <w:r w:rsidRPr="00C758B7">
        <w:t xml:space="preserve">. </w:t>
      </w:r>
    </w:p>
    <w:p w14:paraId="40BDAA49" w14:textId="5E171C6C" w:rsidR="00E4281E" w:rsidRPr="00055E91" w:rsidRDefault="00E4281E" w:rsidP="00DF5F0D">
      <w:pPr>
        <w:pStyle w:val="TableHeading0"/>
        <w:keepNext/>
      </w:pPr>
      <w:bookmarkStart w:id="57" w:name="_Ref69726382"/>
      <w:r w:rsidRPr="03BB4C26">
        <w:rPr>
          <w:rFonts w:eastAsia="Times New Roman" w:cs="Times New Roman"/>
        </w:rPr>
        <w:lastRenderedPageBreak/>
        <w:t>Table</w:t>
      </w:r>
      <w:r w:rsidR="00082CA2">
        <w:rPr>
          <w:rFonts w:eastAsia="Times New Roman" w:cs="Times New Roman"/>
        </w:rPr>
        <w:t xml:space="preserve"> </w:t>
      </w:r>
      <w:r w:rsidRPr="03BB4C26">
        <w:rPr>
          <w:rFonts w:eastAsia="Times New Roman" w:cs="Times New Roman"/>
          <w:color w:val="2B579A"/>
        </w:rPr>
        <w:fldChar w:fldCharType="begin"/>
      </w:r>
      <w:r w:rsidRPr="03BB4C26">
        <w:rPr>
          <w:rFonts w:eastAsia="Times New Roman" w:cs="Times New Roman"/>
        </w:rPr>
        <w:instrText xml:space="preserve"> SEQ Table_CES \* ARABIC </w:instrText>
      </w:r>
      <w:r w:rsidRPr="03BB4C26">
        <w:rPr>
          <w:rFonts w:eastAsia="Times New Roman" w:cs="Times New Roman"/>
          <w:color w:val="2B579A"/>
        </w:rPr>
        <w:fldChar w:fldCharType="separate"/>
      </w:r>
      <w:r w:rsidR="00D270D9">
        <w:rPr>
          <w:rFonts w:eastAsia="Times New Roman" w:cs="Times New Roman"/>
          <w:noProof/>
        </w:rPr>
        <w:t>12</w:t>
      </w:r>
      <w:r w:rsidRPr="03BB4C26">
        <w:rPr>
          <w:rFonts w:eastAsia="Times New Roman" w:cs="Times New Roman"/>
          <w:color w:val="2B579A"/>
        </w:rPr>
        <w:fldChar w:fldCharType="end"/>
      </w:r>
      <w:bookmarkEnd w:id="57"/>
      <w:r>
        <w:tab/>
      </w:r>
      <w:r w:rsidRPr="03BB4C26">
        <w:rPr>
          <w:rFonts w:eastAsia="Times New Roman" w:cs="Times New Roman"/>
        </w:rPr>
        <w:t xml:space="preserve">Net financial implications of </w:t>
      </w:r>
      <w:r w:rsidRPr="03BB4C26">
        <w:t>NT-</w:t>
      </w:r>
      <w:proofErr w:type="spellStart"/>
      <w:r w:rsidRPr="03BB4C26">
        <w:t>proBNP</w:t>
      </w:r>
      <w:proofErr w:type="spellEnd"/>
      <w:r w:rsidRPr="00D4687F">
        <w:t xml:space="preserve"> to the TTE</w:t>
      </w:r>
      <w:r>
        <w:t xml:space="preserve"> (</w:t>
      </w:r>
      <w:r w:rsidRPr="00D54897">
        <w:rPr>
          <w:i/>
          <w:iCs/>
        </w:rPr>
        <w:t>revised post ESC meeting</w:t>
      </w:r>
      <w:r>
        <w:t>)</w:t>
      </w:r>
    </w:p>
    <w:tbl>
      <w:tblPr>
        <w:tblStyle w:val="TableGrid1"/>
        <w:tblW w:w="0" w:type="auto"/>
        <w:tblLayout w:type="fixed"/>
        <w:tblCellMar>
          <w:left w:w="0" w:type="dxa"/>
          <w:right w:w="0" w:type="dxa"/>
        </w:tblCellMar>
        <w:tblLook w:val="04A0" w:firstRow="1" w:lastRow="0" w:firstColumn="1" w:lastColumn="0" w:noHBand="0" w:noVBand="1"/>
      </w:tblPr>
      <w:tblGrid>
        <w:gridCol w:w="1975"/>
        <w:gridCol w:w="1276"/>
        <w:gridCol w:w="1134"/>
        <w:gridCol w:w="1134"/>
        <w:gridCol w:w="1134"/>
        <w:gridCol w:w="1134"/>
        <w:gridCol w:w="1219"/>
      </w:tblGrid>
      <w:tr w:rsidR="00E4281E" w:rsidRPr="00CE28E3" w14:paraId="4D80CE2E" w14:textId="77777777" w:rsidTr="00566EFA">
        <w:trPr>
          <w:cnfStyle w:val="100000000000" w:firstRow="1" w:lastRow="0" w:firstColumn="0" w:lastColumn="0" w:oddVBand="0" w:evenVBand="0" w:oddHBand="0" w:evenHBand="0" w:firstRowFirstColumn="0" w:firstRowLastColumn="0" w:lastRowFirstColumn="0" w:lastRowLastColumn="0"/>
          <w:tblHeader/>
        </w:trPr>
        <w:tc>
          <w:tcPr>
            <w:tcW w:w="1975" w:type="dxa"/>
            <w:tcMar>
              <w:top w:w="0" w:type="dxa"/>
              <w:left w:w="108" w:type="dxa"/>
              <w:bottom w:w="0" w:type="dxa"/>
              <w:right w:w="108" w:type="dxa"/>
            </w:tcMar>
          </w:tcPr>
          <w:p w14:paraId="473A8457" w14:textId="77777777" w:rsidR="00E4281E" w:rsidRPr="00CE28E3" w:rsidRDefault="00E4281E" w:rsidP="00E4281E">
            <w:pPr>
              <w:pStyle w:val="TableText"/>
              <w:keepNext/>
              <w:rPr>
                <w:b/>
                <w:bCs/>
              </w:rPr>
            </w:pPr>
            <w:bookmarkStart w:id="58" w:name="Title_Table12" w:colFirst="0" w:colLast="0"/>
            <w:bookmarkStart w:id="59" w:name="_Hlk68276802"/>
            <w:bookmarkStart w:id="60" w:name="_Toc69491427"/>
            <w:r>
              <w:rPr>
                <w:b/>
                <w:bCs/>
              </w:rPr>
              <w:t xml:space="preserve">Parameter </w:t>
            </w:r>
          </w:p>
        </w:tc>
        <w:tc>
          <w:tcPr>
            <w:tcW w:w="1276" w:type="dxa"/>
            <w:tcMar>
              <w:top w:w="0" w:type="dxa"/>
              <w:left w:w="108" w:type="dxa"/>
              <w:bottom w:w="0" w:type="dxa"/>
              <w:right w:w="108" w:type="dxa"/>
            </w:tcMar>
            <w:vAlign w:val="center"/>
            <w:hideMark/>
          </w:tcPr>
          <w:p w14:paraId="2AF3E4EF" w14:textId="77777777" w:rsidR="00E4281E" w:rsidRPr="00CE28E3" w:rsidRDefault="00E4281E" w:rsidP="00566EFA">
            <w:pPr>
              <w:pStyle w:val="TableText"/>
              <w:keepNext/>
              <w:jc w:val="center"/>
              <w:rPr>
                <w:b/>
                <w:bCs/>
              </w:rPr>
            </w:pPr>
            <w:r w:rsidRPr="00CE28E3">
              <w:rPr>
                <w:b/>
                <w:bCs/>
              </w:rPr>
              <w:t>Year 1</w:t>
            </w:r>
          </w:p>
        </w:tc>
        <w:tc>
          <w:tcPr>
            <w:tcW w:w="1134" w:type="dxa"/>
            <w:tcMar>
              <w:top w:w="0" w:type="dxa"/>
              <w:left w:w="108" w:type="dxa"/>
              <w:bottom w:w="0" w:type="dxa"/>
              <w:right w:w="108" w:type="dxa"/>
            </w:tcMar>
            <w:vAlign w:val="center"/>
            <w:hideMark/>
          </w:tcPr>
          <w:p w14:paraId="69A26ACE" w14:textId="77777777" w:rsidR="00E4281E" w:rsidRPr="00CE28E3" w:rsidRDefault="00E4281E" w:rsidP="00566EFA">
            <w:pPr>
              <w:pStyle w:val="TableText"/>
              <w:keepNext/>
              <w:jc w:val="center"/>
              <w:rPr>
                <w:b/>
                <w:bCs/>
              </w:rPr>
            </w:pPr>
            <w:r w:rsidRPr="00CE28E3">
              <w:rPr>
                <w:b/>
                <w:bCs/>
              </w:rPr>
              <w:t>Year 2</w:t>
            </w:r>
          </w:p>
        </w:tc>
        <w:tc>
          <w:tcPr>
            <w:tcW w:w="1134" w:type="dxa"/>
            <w:tcMar>
              <w:top w:w="0" w:type="dxa"/>
              <w:left w:w="108" w:type="dxa"/>
              <w:bottom w:w="0" w:type="dxa"/>
              <w:right w:w="108" w:type="dxa"/>
            </w:tcMar>
            <w:vAlign w:val="center"/>
            <w:hideMark/>
          </w:tcPr>
          <w:p w14:paraId="16E853B4" w14:textId="77777777" w:rsidR="00E4281E" w:rsidRPr="00CE28E3" w:rsidRDefault="00E4281E" w:rsidP="00566EFA">
            <w:pPr>
              <w:pStyle w:val="TableText"/>
              <w:keepNext/>
              <w:jc w:val="center"/>
              <w:rPr>
                <w:b/>
                <w:bCs/>
              </w:rPr>
            </w:pPr>
            <w:r w:rsidRPr="00CE28E3">
              <w:rPr>
                <w:b/>
                <w:bCs/>
              </w:rPr>
              <w:t>Year 3</w:t>
            </w:r>
          </w:p>
        </w:tc>
        <w:tc>
          <w:tcPr>
            <w:tcW w:w="1134" w:type="dxa"/>
            <w:tcMar>
              <w:top w:w="0" w:type="dxa"/>
              <w:left w:w="108" w:type="dxa"/>
              <w:bottom w:w="0" w:type="dxa"/>
              <w:right w:w="108" w:type="dxa"/>
            </w:tcMar>
            <w:vAlign w:val="center"/>
            <w:hideMark/>
          </w:tcPr>
          <w:p w14:paraId="69DFE553" w14:textId="77777777" w:rsidR="00E4281E" w:rsidRPr="00CE28E3" w:rsidRDefault="00E4281E" w:rsidP="00566EFA">
            <w:pPr>
              <w:pStyle w:val="TableText"/>
              <w:keepNext/>
              <w:jc w:val="center"/>
              <w:rPr>
                <w:b/>
                <w:bCs/>
              </w:rPr>
            </w:pPr>
            <w:r w:rsidRPr="00CE28E3">
              <w:rPr>
                <w:b/>
                <w:bCs/>
              </w:rPr>
              <w:t>Year 4</w:t>
            </w:r>
          </w:p>
        </w:tc>
        <w:tc>
          <w:tcPr>
            <w:tcW w:w="1134" w:type="dxa"/>
            <w:tcMar>
              <w:top w:w="0" w:type="dxa"/>
              <w:left w:w="108" w:type="dxa"/>
              <w:bottom w:w="0" w:type="dxa"/>
              <w:right w:w="108" w:type="dxa"/>
            </w:tcMar>
            <w:vAlign w:val="center"/>
            <w:hideMark/>
          </w:tcPr>
          <w:p w14:paraId="4D6D7F30" w14:textId="77777777" w:rsidR="00E4281E" w:rsidRPr="00CE28E3" w:rsidRDefault="00E4281E" w:rsidP="00566EFA">
            <w:pPr>
              <w:pStyle w:val="TableText"/>
              <w:keepNext/>
              <w:jc w:val="center"/>
              <w:rPr>
                <w:b/>
                <w:bCs/>
              </w:rPr>
            </w:pPr>
            <w:r w:rsidRPr="00CE28E3">
              <w:rPr>
                <w:b/>
                <w:bCs/>
              </w:rPr>
              <w:t>Year 5</w:t>
            </w:r>
          </w:p>
        </w:tc>
        <w:tc>
          <w:tcPr>
            <w:tcW w:w="1219" w:type="dxa"/>
            <w:tcMar>
              <w:top w:w="0" w:type="dxa"/>
              <w:left w:w="108" w:type="dxa"/>
              <w:bottom w:w="0" w:type="dxa"/>
              <w:right w:w="108" w:type="dxa"/>
            </w:tcMar>
            <w:vAlign w:val="center"/>
            <w:hideMark/>
          </w:tcPr>
          <w:p w14:paraId="7CB52CB3" w14:textId="77777777" w:rsidR="00E4281E" w:rsidRPr="00CE28E3" w:rsidRDefault="00E4281E" w:rsidP="00566EFA">
            <w:pPr>
              <w:pStyle w:val="TableText"/>
              <w:keepNext/>
              <w:jc w:val="center"/>
              <w:rPr>
                <w:b/>
                <w:bCs/>
              </w:rPr>
            </w:pPr>
            <w:r w:rsidRPr="00CE28E3">
              <w:rPr>
                <w:b/>
                <w:bCs/>
              </w:rPr>
              <w:t>Year 6</w:t>
            </w:r>
          </w:p>
        </w:tc>
      </w:tr>
      <w:bookmarkEnd w:id="58"/>
      <w:tr w:rsidR="00E4281E" w:rsidRPr="00CE28E3" w14:paraId="0523E69A" w14:textId="77777777" w:rsidTr="00566EFA">
        <w:tc>
          <w:tcPr>
            <w:tcW w:w="9006" w:type="dxa"/>
            <w:gridSpan w:val="7"/>
            <w:tcMar>
              <w:top w:w="0" w:type="dxa"/>
              <w:left w:w="108" w:type="dxa"/>
              <w:bottom w:w="0" w:type="dxa"/>
              <w:right w:w="108" w:type="dxa"/>
            </w:tcMar>
            <w:hideMark/>
          </w:tcPr>
          <w:p w14:paraId="61729DFD" w14:textId="77777777" w:rsidR="00E4281E" w:rsidRPr="00CE28E3" w:rsidRDefault="00E4281E" w:rsidP="00E4281E">
            <w:pPr>
              <w:pStyle w:val="TableText"/>
              <w:keepNext/>
              <w:rPr>
                <w:b/>
                <w:bCs/>
              </w:rPr>
            </w:pPr>
            <w:r w:rsidRPr="00CE28E3">
              <w:rPr>
                <w:b/>
                <w:bCs/>
              </w:rPr>
              <w:t>Estimated use and cost of the proposed health technology</w:t>
            </w:r>
          </w:p>
        </w:tc>
      </w:tr>
      <w:tr w:rsidR="00E4281E" w:rsidRPr="00CE28E3" w14:paraId="28E310F2" w14:textId="77777777" w:rsidTr="00566EFA">
        <w:tc>
          <w:tcPr>
            <w:tcW w:w="1975" w:type="dxa"/>
            <w:tcMar>
              <w:top w:w="0" w:type="dxa"/>
              <w:left w:w="108" w:type="dxa"/>
              <w:bottom w:w="0" w:type="dxa"/>
              <w:right w:w="108" w:type="dxa"/>
            </w:tcMar>
            <w:hideMark/>
          </w:tcPr>
          <w:p w14:paraId="4D5266CE" w14:textId="77777777" w:rsidR="00E4281E" w:rsidRPr="00CE28E3" w:rsidRDefault="00E4281E" w:rsidP="00E4281E">
            <w:pPr>
              <w:pStyle w:val="TableText"/>
              <w:keepNext/>
            </w:pPr>
            <w:r w:rsidRPr="00CE28E3">
              <w:t xml:space="preserve">Number of people eligible for </w:t>
            </w:r>
            <w:r w:rsidRPr="00E44F97">
              <w:rPr>
                <w:rFonts w:cstheme="minorHAnsi"/>
              </w:rPr>
              <w:t>NT-</w:t>
            </w:r>
            <w:proofErr w:type="spellStart"/>
            <w:r w:rsidRPr="00E44F97">
              <w:rPr>
                <w:rFonts w:cstheme="minorHAnsi"/>
              </w:rPr>
              <w:t>proBNP</w:t>
            </w:r>
            <w:proofErr w:type="spellEnd"/>
            <w:r>
              <w:rPr>
                <w:rFonts w:cstheme="minorHAnsi"/>
              </w:rPr>
              <w:t xml:space="preserve"> test – population 1</w:t>
            </w:r>
          </w:p>
        </w:tc>
        <w:tc>
          <w:tcPr>
            <w:tcW w:w="1276" w:type="dxa"/>
            <w:tcMar>
              <w:top w:w="0" w:type="dxa"/>
              <w:left w:w="108" w:type="dxa"/>
              <w:bottom w:w="0" w:type="dxa"/>
              <w:right w:w="108" w:type="dxa"/>
            </w:tcMar>
            <w:vAlign w:val="center"/>
          </w:tcPr>
          <w:p w14:paraId="6D3EC3E6" w14:textId="77777777" w:rsidR="00E4281E" w:rsidRPr="00CE28E3" w:rsidRDefault="00E4281E" w:rsidP="00E4281E">
            <w:pPr>
              <w:pStyle w:val="TableText"/>
              <w:keepNext/>
              <w:jc w:val="center"/>
            </w:pPr>
            <w:r w:rsidRPr="00451C52">
              <w:t>5,345</w:t>
            </w:r>
          </w:p>
        </w:tc>
        <w:tc>
          <w:tcPr>
            <w:tcW w:w="1134" w:type="dxa"/>
            <w:tcMar>
              <w:top w:w="0" w:type="dxa"/>
              <w:left w:w="108" w:type="dxa"/>
              <w:bottom w:w="0" w:type="dxa"/>
              <w:right w:w="108" w:type="dxa"/>
            </w:tcMar>
            <w:vAlign w:val="center"/>
          </w:tcPr>
          <w:p w14:paraId="1BEE514F" w14:textId="77777777" w:rsidR="00E4281E" w:rsidRPr="00CE28E3" w:rsidRDefault="00E4281E" w:rsidP="00E4281E">
            <w:pPr>
              <w:pStyle w:val="TableText"/>
              <w:keepNext/>
              <w:jc w:val="center"/>
            </w:pPr>
            <w:r w:rsidRPr="00451C52">
              <w:t>5,429</w:t>
            </w:r>
          </w:p>
        </w:tc>
        <w:tc>
          <w:tcPr>
            <w:tcW w:w="1134" w:type="dxa"/>
            <w:tcMar>
              <w:top w:w="0" w:type="dxa"/>
              <w:left w:w="108" w:type="dxa"/>
              <w:bottom w:w="0" w:type="dxa"/>
              <w:right w:w="108" w:type="dxa"/>
            </w:tcMar>
            <w:vAlign w:val="center"/>
          </w:tcPr>
          <w:p w14:paraId="20B1F5D4" w14:textId="77777777" w:rsidR="00E4281E" w:rsidRPr="00CE28E3" w:rsidRDefault="00E4281E" w:rsidP="00E4281E">
            <w:pPr>
              <w:pStyle w:val="TableText"/>
              <w:keepNext/>
              <w:jc w:val="center"/>
            </w:pPr>
            <w:r w:rsidRPr="00451C52">
              <w:t>5,512</w:t>
            </w:r>
          </w:p>
        </w:tc>
        <w:tc>
          <w:tcPr>
            <w:tcW w:w="1134" w:type="dxa"/>
            <w:tcMar>
              <w:top w:w="0" w:type="dxa"/>
              <w:left w:w="108" w:type="dxa"/>
              <w:bottom w:w="0" w:type="dxa"/>
              <w:right w:w="108" w:type="dxa"/>
            </w:tcMar>
            <w:vAlign w:val="center"/>
          </w:tcPr>
          <w:p w14:paraId="66308D58" w14:textId="77777777" w:rsidR="00E4281E" w:rsidRPr="00CE28E3" w:rsidRDefault="00E4281E" w:rsidP="00E4281E">
            <w:pPr>
              <w:pStyle w:val="TableText"/>
              <w:keepNext/>
              <w:jc w:val="center"/>
            </w:pPr>
            <w:r w:rsidRPr="00451C52">
              <w:t>5,594</w:t>
            </w:r>
          </w:p>
        </w:tc>
        <w:tc>
          <w:tcPr>
            <w:tcW w:w="1134" w:type="dxa"/>
            <w:tcMar>
              <w:top w:w="0" w:type="dxa"/>
              <w:left w:w="108" w:type="dxa"/>
              <w:bottom w:w="0" w:type="dxa"/>
              <w:right w:w="108" w:type="dxa"/>
            </w:tcMar>
            <w:vAlign w:val="center"/>
          </w:tcPr>
          <w:p w14:paraId="6FAB662C" w14:textId="77777777" w:rsidR="00E4281E" w:rsidRPr="00CE28E3" w:rsidRDefault="00E4281E" w:rsidP="00E4281E">
            <w:pPr>
              <w:pStyle w:val="TableText"/>
              <w:keepNext/>
              <w:jc w:val="center"/>
            </w:pPr>
            <w:r w:rsidRPr="00451C52">
              <w:t>5,674</w:t>
            </w:r>
          </w:p>
        </w:tc>
        <w:tc>
          <w:tcPr>
            <w:tcW w:w="1219" w:type="dxa"/>
            <w:tcMar>
              <w:top w:w="0" w:type="dxa"/>
              <w:left w:w="108" w:type="dxa"/>
              <w:bottom w:w="0" w:type="dxa"/>
              <w:right w:w="108" w:type="dxa"/>
            </w:tcMar>
            <w:vAlign w:val="center"/>
          </w:tcPr>
          <w:p w14:paraId="1D7B93D5" w14:textId="77777777" w:rsidR="00E4281E" w:rsidRPr="00CE28E3" w:rsidRDefault="00E4281E" w:rsidP="00E4281E">
            <w:pPr>
              <w:pStyle w:val="TableText"/>
              <w:keepNext/>
              <w:jc w:val="center"/>
            </w:pPr>
            <w:r w:rsidRPr="00451C52">
              <w:t>5,753</w:t>
            </w:r>
          </w:p>
        </w:tc>
      </w:tr>
      <w:tr w:rsidR="00E4281E" w:rsidRPr="00CE28E3" w14:paraId="58E6656F" w14:textId="77777777" w:rsidTr="00566EFA">
        <w:tc>
          <w:tcPr>
            <w:tcW w:w="1975" w:type="dxa"/>
            <w:tcMar>
              <w:top w:w="0" w:type="dxa"/>
              <w:left w:w="108" w:type="dxa"/>
              <w:bottom w:w="0" w:type="dxa"/>
              <w:right w:w="108" w:type="dxa"/>
            </w:tcMar>
            <w:hideMark/>
          </w:tcPr>
          <w:p w14:paraId="2A0DE118" w14:textId="77777777" w:rsidR="00E4281E" w:rsidRPr="00CE28E3" w:rsidRDefault="00E4281E" w:rsidP="00E4281E">
            <w:pPr>
              <w:pStyle w:val="TableText"/>
              <w:keepNext/>
            </w:pPr>
            <w:r w:rsidRPr="00CE28E3">
              <w:t xml:space="preserve">Number of people who receive </w:t>
            </w:r>
            <w:r w:rsidRPr="00E44F97">
              <w:rPr>
                <w:rFonts w:cstheme="minorHAnsi"/>
              </w:rPr>
              <w:t>NT-</w:t>
            </w:r>
            <w:proofErr w:type="spellStart"/>
            <w:r w:rsidRPr="00E44F97">
              <w:rPr>
                <w:rFonts w:cstheme="minorHAnsi"/>
              </w:rPr>
              <w:t>proBNP</w:t>
            </w:r>
            <w:proofErr w:type="spellEnd"/>
            <w:r>
              <w:rPr>
                <w:rFonts w:cstheme="minorHAnsi"/>
              </w:rPr>
              <w:t xml:space="preserve"> test – population 1</w:t>
            </w:r>
          </w:p>
        </w:tc>
        <w:tc>
          <w:tcPr>
            <w:tcW w:w="1276" w:type="dxa"/>
            <w:tcMar>
              <w:top w:w="0" w:type="dxa"/>
              <w:left w:w="108" w:type="dxa"/>
              <w:bottom w:w="0" w:type="dxa"/>
              <w:right w:w="108" w:type="dxa"/>
            </w:tcMar>
            <w:vAlign w:val="center"/>
          </w:tcPr>
          <w:p w14:paraId="71810CA3" w14:textId="77777777" w:rsidR="00E4281E" w:rsidRPr="00CE28E3" w:rsidRDefault="00E4281E" w:rsidP="00E4281E">
            <w:pPr>
              <w:pStyle w:val="TableText"/>
              <w:keepNext/>
              <w:jc w:val="center"/>
            </w:pPr>
            <w:r w:rsidRPr="00451C52">
              <w:t>4,811</w:t>
            </w:r>
          </w:p>
        </w:tc>
        <w:tc>
          <w:tcPr>
            <w:tcW w:w="1134" w:type="dxa"/>
            <w:tcMar>
              <w:top w:w="0" w:type="dxa"/>
              <w:left w:w="108" w:type="dxa"/>
              <w:bottom w:w="0" w:type="dxa"/>
              <w:right w:w="108" w:type="dxa"/>
            </w:tcMar>
            <w:vAlign w:val="center"/>
          </w:tcPr>
          <w:p w14:paraId="7ECECEE2" w14:textId="77777777" w:rsidR="00E4281E" w:rsidRPr="00CE28E3" w:rsidRDefault="00E4281E" w:rsidP="00E4281E">
            <w:pPr>
              <w:pStyle w:val="TableText"/>
              <w:keepNext/>
              <w:jc w:val="center"/>
            </w:pPr>
            <w:r w:rsidRPr="00451C52">
              <w:t>4,886</w:t>
            </w:r>
          </w:p>
        </w:tc>
        <w:tc>
          <w:tcPr>
            <w:tcW w:w="1134" w:type="dxa"/>
            <w:tcMar>
              <w:top w:w="0" w:type="dxa"/>
              <w:left w:w="108" w:type="dxa"/>
              <w:bottom w:w="0" w:type="dxa"/>
              <w:right w:w="108" w:type="dxa"/>
            </w:tcMar>
            <w:vAlign w:val="center"/>
          </w:tcPr>
          <w:p w14:paraId="5EE3B61A" w14:textId="77777777" w:rsidR="00E4281E" w:rsidRPr="00CE28E3" w:rsidRDefault="00E4281E" w:rsidP="00E4281E">
            <w:pPr>
              <w:pStyle w:val="TableText"/>
              <w:keepNext/>
              <w:jc w:val="center"/>
            </w:pPr>
            <w:r w:rsidRPr="00451C52">
              <w:t>4,961</w:t>
            </w:r>
          </w:p>
        </w:tc>
        <w:tc>
          <w:tcPr>
            <w:tcW w:w="1134" w:type="dxa"/>
            <w:tcMar>
              <w:top w:w="0" w:type="dxa"/>
              <w:left w:w="108" w:type="dxa"/>
              <w:bottom w:w="0" w:type="dxa"/>
              <w:right w:w="108" w:type="dxa"/>
            </w:tcMar>
            <w:vAlign w:val="center"/>
          </w:tcPr>
          <w:p w14:paraId="60CDE2FA" w14:textId="77777777" w:rsidR="00E4281E" w:rsidRPr="00CE28E3" w:rsidRDefault="00E4281E" w:rsidP="00E4281E">
            <w:pPr>
              <w:pStyle w:val="TableText"/>
              <w:keepNext/>
              <w:jc w:val="center"/>
            </w:pPr>
            <w:r w:rsidRPr="00451C52">
              <w:t>5,035</w:t>
            </w:r>
          </w:p>
        </w:tc>
        <w:tc>
          <w:tcPr>
            <w:tcW w:w="1134" w:type="dxa"/>
            <w:tcMar>
              <w:top w:w="0" w:type="dxa"/>
              <w:left w:w="108" w:type="dxa"/>
              <w:bottom w:w="0" w:type="dxa"/>
              <w:right w:w="108" w:type="dxa"/>
            </w:tcMar>
            <w:vAlign w:val="center"/>
          </w:tcPr>
          <w:p w14:paraId="5589815D" w14:textId="77777777" w:rsidR="00E4281E" w:rsidRPr="00CE28E3" w:rsidRDefault="00E4281E" w:rsidP="00E4281E">
            <w:pPr>
              <w:pStyle w:val="TableText"/>
              <w:keepNext/>
              <w:jc w:val="center"/>
            </w:pPr>
            <w:r w:rsidRPr="00451C52">
              <w:t>5,107</w:t>
            </w:r>
          </w:p>
        </w:tc>
        <w:tc>
          <w:tcPr>
            <w:tcW w:w="1219" w:type="dxa"/>
            <w:tcMar>
              <w:top w:w="0" w:type="dxa"/>
              <w:left w:w="108" w:type="dxa"/>
              <w:bottom w:w="0" w:type="dxa"/>
              <w:right w:w="108" w:type="dxa"/>
            </w:tcMar>
            <w:vAlign w:val="center"/>
          </w:tcPr>
          <w:p w14:paraId="17349FE2" w14:textId="77777777" w:rsidR="00E4281E" w:rsidRPr="00CE28E3" w:rsidRDefault="00E4281E" w:rsidP="00E4281E">
            <w:pPr>
              <w:pStyle w:val="TableText"/>
              <w:keepNext/>
              <w:jc w:val="center"/>
            </w:pPr>
            <w:r w:rsidRPr="00451C52">
              <w:t>5,178</w:t>
            </w:r>
          </w:p>
        </w:tc>
      </w:tr>
      <w:tr w:rsidR="00E4281E" w:rsidRPr="00CE28E3" w14:paraId="59A34EE6" w14:textId="77777777" w:rsidTr="00566EFA">
        <w:tc>
          <w:tcPr>
            <w:tcW w:w="1975" w:type="dxa"/>
            <w:tcMar>
              <w:top w:w="0" w:type="dxa"/>
              <w:left w:w="108" w:type="dxa"/>
              <w:bottom w:w="0" w:type="dxa"/>
              <w:right w:w="108" w:type="dxa"/>
            </w:tcMar>
            <w:hideMark/>
          </w:tcPr>
          <w:p w14:paraId="19CE4658" w14:textId="56DF20BC" w:rsidR="00E4281E" w:rsidRPr="00CE28E3" w:rsidRDefault="00E4281E" w:rsidP="00E4281E">
            <w:pPr>
              <w:pStyle w:val="TableText"/>
              <w:keepNext/>
            </w:pPr>
            <w:r w:rsidRPr="00E44F97">
              <w:rPr>
                <w:rFonts w:cstheme="minorHAnsi"/>
              </w:rPr>
              <w:t>NT</w:t>
            </w:r>
            <w:r>
              <w:rPr>
                <w:rFonts w:cstheme="minorHAnsi"/>
              </w:rPr>
              <w:t>-</w:t>
            </w:r>
            <w:proofErr w:type="spellStart"/>
            <w:r w:rsidRPr="00E44F97">
              <w:rPr>
                <w:rFonts w:cstheme="minorHAnsi"/>
              </w:rPr>
              <w:t>proBNP</w:t>
            </w:r>
            <w:proofErr w:type="spellEnd"/>
            <w:r>
              <w:rPr>
                <w:rFonts w:cstheme="minorHAnsi"/>
              </w:rPr>
              <w:t xml:space="preserve"> </w:t>
            </w:r>
            <w:r w:rsidR="009E495E">
              <w:t>tests</w:t>
            </w:r>
            <w:r w:rsidR="008B4071">
              <w:rPr>
                <w:rFonts w:cstheme="minorHAnsi"/>
              </w:rPr>
              <w:t xml:space="preserve"> </w:t>
            </w:r>
            <w:r>
              <w:rPr>
                <w:rFonts w:cstheme="minorHAnsi"/>
              </w:rPr>
              <w:t>– population 1</w:t>
            </w:r>
            <w:r w:rsidR="00EF31E5">
              <w:rPr>
                <w:rFonts w:cstheme="minorHAnsi"/>
              </w:rPr>
              <w:t xml:space="preserve"> (1.1/</w:t>
            </w:r>
            <w:proofErr w:type="spellStart"/>
            <w:r w:rsidR="00EF31E5">
              <w:rPr>
                <w:rFonts w:cstheme="minorHAnsi"/>
              </w:rPr>
              <w:t>pt</w:t>
            </w:r>
            <w:proofErr w:type="spellEnd"/>
            <w:r w:rsidR="00EF31E5">
              <w:rPr>
                <w:rFonts w:cstheme="minorHAnsi"/>
              </w:rPr>
              <w:t>/</w:t>
            </w:r>
            <w:proofErr w:type="spellStart"/>
            <w:r w:rsidR="00EF31E5">
              <w:rPr>
                <w:rFonts w:cstheme="minorHAnsi"/>
              </w:rPr>
              <w:t>yr</w:t>
            </w:r>
            <w:proofErr w:type="spellEnd"/>
            <w:r w:rsidR="00EF31E5">
              <w:rPr>
                <w:rFonts w:cstheme="minorHAnsi"/>
              </w:rPr>
              <w:t>)</w:t>
            </w:r>
          </w:p>
        </w:tc>
        <w:tc>
          <w:tcPr>
            <w:tcW w:w="1276" w:type="dxa"/>
            <w:tcMar>
              <w:top w:w="0" w:type="dxa"/>
              <w:left w:w="108" w:type="dxa"/>
              <w:bottom w:w="0" w:type="dxa"/>
              <w:right w:w="108" w:type="dxa"/>
            </w:tcMar>
            <w:vAlign w:val="center"/>
          </w:tcPr>
          <w:p w14:paraId="196D4A7B" w14:textId="77777777" w:rsidR="00E4281E" w:rsidRPr="00CE28E3" w:rsidRDefault="00E4281E" w:rsidP="00C226D5">
            <w:pPr>
              <w:pStyle w:val="TableText"/>
              <w:keepNext/>
              <w:jc w:val="center"/>
            </w:pPr>
            <w:r w:rsidRPr="00613812">
              <w:t>5,292</w:t>
            </w:r>
          </w:p>
        </w:tc>
        <w:tc>
          <w:tcPr>
            <w:tcW w:w="1134" w:type="dxa"/>
            <w:tcMar>
              <w:top w:w="0" w:type="dxa"/>
              <w:left w:w="108" w:type="dxa"/>
              <w:bottom w:w="0" w:type="dxa"/>
              <w:right w:w="108" w:type="dxa"/>
            </w:tcMar>
            <w:vAlign w:val="center"/>
          </w:tcPr>
          <w:p w14:paraId="10CF001E" w14:textId="77777777" w:rsidR="00E4281E" w:rsidRPr="00CE28E3" w:rsidRDefault="00E4281E">
            <w:pPr>
              <w:pStyle w:val="TableText"/>
              <w:keepNext/>
              <w:jc w:val="center"/>
            </w:pPr>
            <w:r w:rsidRPr="00613812">
              <w:t>5,375</w:t>
            </w:r>
          </w:p>
        </w:tc>
        <w:tc>
          <w:tcPr>
            <w:tcW w:w="1134" w:type="dxa"/>
            <w:tcMar>
              <w:top w:w="0" w:type="dxa"/>
              <w:left w:w="108" w:type="dxa"/>
              <w:bottom w:w="0" w:type="dxa"/>
              <w:right w:w="108" w:type="dxa"/>
            </w:tcMar>
            <w:vAlign w:val="center"/>
          </w:tcPr>
          <w:p w14:paraId="7044318C" w14:textId="77777777" w:rsidR="00E4281E" w:rsidRPr="00CE28E3" w:rsidRDefault="00E4281E">
            <w:pPr>
              <w:pStyle w:val="TableText"/>
              <w:keepNext/>
              <w:jc w:val="center"/>
            </w:pPr>
            <w:r w:rsidRPr="00613812">
              <w:t>5,457</w:t>
            </w:r>
          </w:p>
        </w:tc>
        <w:tc>
          <w:tcPr>
            <w:tcW w:w="1134" w:type="dxa"/>
            <w:tcMar>
              <w:top w:w="0" w:type="dxa"/>
              <w:left w:w="108" w:type="dxa"/>
              <w:bottom w:w="0" w:type="dxa"/>
              <w:right w:w="108" w:type="dxa"/>
            </w:tcMar>
            <w:vAlign w:val="center"/>
          </w:tcPr>
          <w:p w14:paraId="032DBFF9" w14:textId="77777777" w:rsidR="00E4281E" w:rsidRPr="00CE28E3" w:rsidRDefault="00E4281E">
            <w:pPr>
              <w:pStyle w:val="TableText"/>
              <w:keepNext/>
              <w:jc w:val="center"/>
            </w:pPr>
            <w:r w:rsidRPr="00613812">
              <w:t>5,538</w:t>
            </w:r>
          </w:p>
        </w:tc>
        <w:tc>
          <w:tcPr>
            <w:tcW w:w="1134" w:type="dxa"/>
            <w:tcMar>
              <w:top w:w="0" w:type="dxa"/>
              <w:left w:w="108" w:type="dxa"/>
              <w:bottom w:w="0" w:type="dxa"/>
              <w:right w:w="108" w:type="dxa"/>
            </w:tcMar>
            <w:vAlign w:val="center"/>
          </w:tcPr>
          <w:p w14:paraId="0D2A6D88" w14:textId="77777777" w:rsidR="00E4281E" w:rsidRPr="00CE28E3" w:rsidRDefault="00E4281E">
            <w:pPr>
              <w:pStyle w:val="TableText"/>
              <w:keepNext/>
              <w:jc w:val="center"/>
            </w:pPr>
            <w:r w:rsidRPr="00613812">
              <w:t>5,618</w:t>
            </w:r>
          </w:p>
        </w:tc>
        <w:tc>
          <w:tcPr>
            <w:tcW w:w="1219" w:type="dxa"/>
            <w:tcMar>
              <w:top w:w="0" w:type="dxa"/>
              <w:left w:w="108" w:type="dxa"/>
              <w:bottom w:w="0" w:type="dxa"/>
              <w:right w:w="108" w:type="dxa"/>
            </w:tcMar>
            <w:vAlign w:val="center"/>
          </w:tcPr>
          <w:p w14:paraId="2FB8A51E" w14:textId="77777777" w:rsidR="00E4281E" w:rsidRPr="00CE28E3" w:rsidRDefault="00E4281E">
            <w:pPr>
              <w:pStyle w:val="TableText"/>
              <w:keepNext/>
              <w:jc w:val="center"/>
            </w:pPr>
            <w:r w:rsidRPr="00613812">
              <w:t>5,696</w:t>
            </w:r>
          </w:p>
        </w:tc>
      </w:tr>
      <w:tr w:rsidR="00E4281E" w:rsidRPr="00CE28E3" w14:paraId="3D4AACDC" w14:textId="77777777" w:rsidTr="00566EFA">
        <w:tc>
          <w:tcPr>
            <w:tcW w:w="1975" w:type="dxa"/>
            <w:tcMar>
              <w:top w:w="0" w:type="dxa"/>
              <w:left w:w="108" w:type="dxa"/>
              <w:bottom w:w="0" w:type="dxa"/>
              <w:right w:w="108" w:type="dxa"/>
            </w:tcMar>
            <w:hideMark/>
          </w:tcPr>
          <w:p w14:paraId="56CB8532" w14:textId="77777777" w:rsidR="00B11918" w:rsidRDefault="00E4281E" w:rsidP="00E4281E">
            <w:pPr>
              <w:pStyle w:val="TableText"/>
              <w:keepNext/>
              <w:rPr>
                <w:rFonts w:cstheme="minorHAnsi"/>
              </w:rPr>
            </w:pPr>
            <w:r w:rsidRPr="00CE28E3">
              <w:t xml:space="preserve">Cost to the </w:t>
            </w:r>
            <w:r>
              <w:rPr>
                <w:rFonts w:cstheme="minorHAnsi"/>
              </w:rPr>
              <w:t xml:space="preserve">MBS – population 1 </w:t>
            </w:r>
          </w:p>
          <w:p w14:paraId="7508A634" w14:textId="33797D5F" w:rsidR="00E4281E" w:rsidRPr="00CE28E3" w:rsidRDefault="00E4281E" w:rsidP="00E4281E">
            <w:pPr>
              <w:pStyle w:val="TableText"/>
              <w:keepNext/>
            </w:pPr>
            <w:r>
              <w:rPr>
                <w:rFonts w:cstheme="minorHAnsi"/>
              </w:rPr>
              <w:t>($58.50</w:t>
            </w:r>
            <w:r w:rsidR="00B11918">
              <w:rPr>
                <w:rFonts w:cstheme="minorHAnsi"/>
              </w:rPr>
              <w:t>, 100% fee</w:t>
            </w:r>
            <w:r>
              <w:rPr>
                <w:rFonts w:cstheme="minorHAnsi"/>
              </w:rPr>
              <w:t>)</w:t>
            </w:r>
          </w:p>
        </w:tc>
        <w:tc>
          <w:tcPr>
            <w:tcW w:w="1276" w:type="dxa"/>
            <w:tcMar>
              <w:top w:w="0" w:type="dxa"/>
              <w:left w:w="108" w:type="dxa"/>
              <w:bottom w:w="0" w:type="dxa"/>
              <w:right w:w="108" w:type="dxa"/>
            </w:tcMar>
            <w:vAlign w:val="center"/>
          </w:tcPr>
          <w:p w14:paraId="67DD0F20" w14:textId="77777777" w:rsidR="00E4281E" w:rsidRPr="00CE28E3" w:rsidRDefault="00E4281E" w:rsidP="00C226D5">
            <w:pPr>
              <w:pStyle w:val="TableText"/>
              <w:keepNext/>
              <w:jc w:val="center"/>
            </w:pPr>
            <w:r w:rsidRPr="00613812">
              <w:t>$309,579</w:t>
            </w:r>
          </w:p>
        </w:tc>
        <w:tc>
          <w:tcPr>
            <w:tcW w:w="1134" w:type="dxa"/>
            <w:tcMar>
              <w:top w:w="0" w:type="dxa"/>
              <w:left w:w="108" w:type="dxa"/>
              <w:bottom w:w="0" w:type="dxa"/>
              <w:right w:w="108" w:type="dxa"/>
            </w:tcMar>
            <w:vAlign w:val="center"/>
          </w:tcPr>
          <w:p w14:paraId="269A30BE" w14:textId="77777777" w:rsidR="00E4281E" w:rsidRPr="00CE28E3" w:rsidRDefault="00E4281E">
            <w:pPr>
              <w:pStyle w:val="TableText"/>
              <w:keepNext/>
              <w:jc w:val="center"/>
            </w:pPr>
            <w:r w:rsidRPr="00613812">
              <w:t>$314,446</w:t>
            </w:r>
          </w:p>
        </w:tc>
        <w:tc>
          <w:tcPr>
            <w:tcW w:w="1134" w:type="dxa"/>
            <w:tcMar>
              <w:top w:w="0" w:type="dxa"/>
              <w:left w:w="108" w:type="dxa"/>
              <w:bottom w:w="0" w:type="dxa"/>
              <w:right w:w="108" w:type="dxa"/>
            </w:tcMar>
            <w:vAlign w:val="center"/>
          </w:tcPr>
          <w:p w14:paraId="044CB501" w14:textId="77777777" w:rsidR="00E4281E" w:rsidRPr="00CE28E3" w:rsidRDefault="00E4281E">
            <w:pPr>
              <w:pStyle w:val="TableText"/>
              <w:keepNext/>
              <w:jc w:val="center"/>
            </w:pPr>
            <w:r w:rsidRPr="00613812">
              <w:t>$319,253</w:t>
            </w:r>
          </w:p>
        </w:tc>
        <w:tc>
          <w:tcPr>
            <w:tcW w:w="1134" w:type="dxa"/>
            <w:tcMar>
              <w:top w:w="0" w:type="dxa"/>
              <w:left w:w="108" w:type="dxa"/>
              <w:bottom w:w="0" w:type="dxa"/>
              <w:right w:w="108" w:type="dxa"/>
            </w:tcMar>
            <w:vAlign w:val="center"/>
          </w:tcPr>
          <w:p w14:paraId="0DC8A1E3" w14:textId="77777777" w:rsidR="00E4281E" w:rsidRPr="00CE28E3" w:rsidRDefault="00E4281E">
            <w:pPr>
              <w:pStyle w:val="TableText"/>
              <w:keepNext/>
              <w:jc w:val="center"/>
            </w:pPr>
            <w:r w:rsidRPr="00613812">
              <w:t>$323,982</w:t>
            </w:r>
          </w:p>
        </w:tc>
        <w:tc>
          <w:tcPr>
            <w:tcW w:w="1134" w:type="dxa"/>
            <w:tcMar>
              <w:top w:w="0" w:type="dxa"/>
              <w:left w:w="108" w:type="dxa"/>
              <w:bottom w:w="0" w:type="dxa"/>
              <w:right w:w="108" w:type="dxa"/>
            </w:tcMar>
            <w:vAlign w:val="center"/>
          </w:tcPr>
          <w:p w14:paraId="64F72F9E" w14:textId="77777777" w:rsidR="00E4281E" w:rsidRPr="00CE28E3" w:rsidRDefault="00E4281E">
            <w:pPr>
              <w:pStyle w:val="TableText"/>
              <w:keepNext/>
              <w:jc w:val="center"/>
            </w:pPr>
            <w:r w:rsidRPr="00613812">
              <w:t>$328,637</w:t>
            </w:r>
          </w:p>
        </w:tc>
        <w:tc>
          <w:tcPr>
            <w:tcW w:w="1219" w:type="dxa"/>
            <w:tcMar>
              <w:top w:w="0" w:type="dxa"/>
              <w:left w:w="108" w:type="dxa"/>
              <w:bottom w:w="0" w:type="dxa"/>
              <w:right w:w="108" w:type="dxa"/>
            </w:tcMar>
            <w:vAlign w:val="center"/>
          </w:tcPr>
          <w:p w14:paraId="79EABC67" w14:textId="77777777" w:rsidR="00E4281E" w:rsidRPr="00CE28E3" w:rsidRDefault="00E4281E">
            <w:pPr>
              <w:pStyle w:val="TableText"/>
              <w:keepNext/>
              <w:jc w:val="center"/>
            </w:pPr>
            <w:r w:rsidRPr="00613812">
              <w:t>$333,193</w:t>
            </w:r>
          </w:p>
        </w:tc>
      </w:tr>
      <w:tr w:rsidR="00E4281E" w:rsidRPr="00CE28E3" w14:paraId="6B0EF4FB" w14:textId="77777777" w:rsidTr="00566EFA">
        <w:tc>
          <w:tcPr>
            <w:tcW w:w="1975" w:type="dxa"/>
            <w:tcMar>
              <w:top w:w="0" w:type="dxa"/>
              <w:left w:w="108" w:type="dxa"/>
              <w:bottom w:w="0" w:type="dxa"/>
              <w:right w:w="108" w:type="dxa"/>
            </w:tcMar>
          </w:tcPr>
          <w:p w14:paraId="28A0A385" w14:textId="04A85D46" w:rsidR="004F7912" w:rsidRDefault="00B11918" w:rsidP="00E4281E">
            <w:pPr>
              <w:pStyle w:val="TableText"/>
              <w:keepNext/>
              <w:rPr>
                <w:i/>
              </w:rPr>
            </w:pPr>
            <w:r w:rsidRPr="00B11918">
              <w:rPr>
                <w:i/>
              </w:rPr>
              <w:t>Cost to the MBS – population 1</w:t>
            </w:r>
            <w:r w:rsidR="00E4281E" w:rsidRPr="009A56B5">
              <w:rPr>
                <w:i/>
              </w:rPr>
              <w:t xml:space="preserve"> </w:t>
            </w:r>
            <w:r w:rsidR="00CE78B6">
              <w:rPr>
                <w:i/>
                <w:vertAlign w:val="superscript"/>
              </w:rPr>
              <w:t>a</w:t>
            </w:r>
            <w:r w:rsidR="00E4281E" w:rsidRPr="009A56B5">
              <w:rPr>
                <w:i/>
              </w:rPr>
              <w:t xml:space="preserve"> </w:t>
            </w:r>
          </w:p>
          <w:p w14:paraId="74D64E0F" w14:textId="6CAC4A05" w:rsidR="00E4281E" w:rsidRPr="009A56B5" w:rsidRDefault="00E4281E" w:rsidP="00E4281E">
            <w:pPr>
              <w:pStyle w:val="TableText"/>
              <w:keepNext/>
              <w:rPr>
                <w:i/>
              </w:rPr>
            </w:pPr>
            <w:r w:rsidRPr="009A56B5">
              <w:rPr>
                <w:i/>
              </w:rPr>
              <w:t>($49.75</w:t>
            </w:r>
            <w:r w:rsidR="004F7912">
              <w:rPr>
                <w:i/>
              </w:rPr>
              <w:t>, 85% fee</w:t>
            </w:r>
            <w:r w:rsidRPr="009A56B5">
              <w:rPr>
                <w:i/>
              </w:rPr>
              <w:t>)</w:t>
            </w:r>
          </w:p>
        </w:tc>
        <w:tc>
          <w:tcPr>
            <w:tcW w:w="1276" w:type="dxa"/>
            <w:tcMar>
              <w:top w:w="0" w:type="dxa"/>
              <w:left w:w="108" w:type="dxa"/>
              <w:bottom w:w="0" w:type="dxa"/>
              <w:right w:w="108" w:type="dxa"/>
            </w:tcMar>
            <w:vAlign w:val="center"/>
          </w:tcPr>
          <w:p w14:paraId="353F8B43" w14:textId="5E90CB30" w:rsidR="00E4281E" w:rsidRDefault="00E4281E">
            <w:pPr>
              <w:pStyle w:val="TableText"/>
              <w:keepNext/>
              <w:jc w:val="center"/>
              <w:rPr>
                <w:i/>
              </w:rPr>
            </w:pPr>
          </w:p>
          <w:p w14:paraId="5C7D82FE" w14:textId="13B06253" w:rsidR="00E4281E" w:rsidRPr="009A56B5" w:rsidRDefault="00004B1A">
            <w:pPr>
              <w:pStyle w:val="TableText"/>
              <w:keepNext/>
              <w:jc w:val="center"/>
              <w:rPr>
                <w:i/>
              </w:rPr>
            </w:pPr>
            <w:r>
              <w:rPr>
                <w:i/>
              </w:rPr>
              <w:t>26</w:t>
            </w:r>
            <w:r w:rsidR="00EC10A1">
              <w:rPr>
                <w:i/>
              </w:rPr>
              <w:t>3,275</w:t>
            </w:r>
          </w:p>
        </w:tc>
        <w:tc>
          <w:tcPr>
            <w:tcW w:w="1134" w:type="dxa"/>
            <w:tcMar>
              <w:top w:w="0" w:type="dxa"/>
              <w:left w:w="108" w:type="dxa"/>
              <w:bottom w:w="0" w:type="dxa"/>
              <w:right w:w="108" w:type="dxa"/>
            </w:tcMar>
            <w:vAlign w:val="center"/>
          </w:tcPr>
          <w:p w14:paraId="7C498465" w14:textId="73CFE22D" w:rsidR="00004B1A" w:rsidRDefault="00004B1A">
            <w:pPr>
              <w:pStyle w:val="TableText"/>
              <w:keepNext/>
              <w:jc w:val="center"/>
              <w:rPr>
                <w:i/>
              </w:rPr>
            </w:pPr>
          </w:p>
          <w:p w14:paraId="561739B1" w14:textId="2498DD23" w:rsidR="00E4281E" w:rsidRPr="009A56B5" w:rsidRDefault="00EC10A1">
            <w:pPr>
              <w:pStyle w:val="TableText"/>
              <w:keepNext/>
              <w:jc w:val="center"/>
              <w:rPr>
                <w:i/>
              </w:rPr>
            </w:pPr>
            <w:r>
              <w:rPr>
                <w:i/>
              </w:rPr>
              <w:t>$267.413</w:t>
            </w:r>
          </w:p>
        </w:tc>
        <w:tc>
          <w:tcPr>
            <w:tcW w:w="1134" w:type="dxa"/>
            <w:tcMar>
              <w:top w:w="0" w:type="dxa"/>
              <w:left w:w="108" w:type="dxa"/>
              <w:bottom w:w="0" w:type="dxa"/>
              <w:right w:w="108" w:type="dxa"/>
            </w:tcMar>
            <w:vAlign w:val="center"/>
          </w:tcPr>
          <w:p w14:paraId="15CD4BCD" w14:textId="0924CE37" w:rsidR="00004B1A" w:rsidRDefault="00004B1A">
            <w:pPr>
              <w:pStyle w:val="TableText"/>
              <w:keepNext/>
              <w:jc w:val="center"/>
              <w:rPr>
                <w:i/>
              </w:rPr>
            </w:pPr>
          </w:p>
          <w:p w14:paraId="540D18F6" w14:textId="113D69C5" w:rsidR="00E4281E" w:rsidRPr="009A56B5" w:rsidRDefault="00EC10A1">
            <w:pPr>
              <w:pStyle w:val="TableText"/>
              <w:keepNext/>
              <w:jc w:val="center"/>
              <w:rPr>
                <w:i/>
              </w:rPr>
            </w:pPr>
            <w:r>
              <w:rPr>
                <w:i/>
              </w:rPr>
              <w:t>$271.501</w:t>
            </w:r>
          </w:p>
        </w:tc>
        <w:tc>
          <w:tcPr>
            <w:tcW w:w="1134" w:type="dxa"/>
            <w:tcMar>
              <w:top w:w="0" w:type="dxa"/>
              <w:left w:w="108" w:type="dxa"/>
              <w:bottom w:w="0" w:type="dxa"/>
              <w:right w:w="108" w:type="dxa"/>
            </w:tcMar>
            <w:vAlign w:val="center"/>
          </w:tcPr>
          <w:p w14:paraId="752D16F1" w14:textId="6407BCD1" w:rsidR="00004B1A" w:rsidRDefault="00004B1A">
            <w:pPr>
              <w:pStyle w:val="TableText"/>
              <w:keepNext/>
              <w:jc w:val="center"/>
              <w:rPr>
                <w:i/>
              </w:rPr>
            </w:pPr>
          </w:p>
          <w:p w14:paraId="15837128" w14:textId="4E4CF961" w:rsidR="00E4281E" w:rsidRPr="009A56B5" w:rsidRDefault="00EC10A1">
            <w:pPr>
              <w:pStyle w:val="TableText"/>
              <w:keepNext/>
              <w:jc w:val="center"/>
              <w:rPr>
                <w:i/>
              </w:rPr>
            </w:pPr>
            <w:r>
              <w:rPr>
                <w:i/>
              </w:rPr>
              <w:t>$275.523</w:t>
            </w:r>
          </w:p>
        </w:tc>
        <w:tc>
          <w:tcPr>
            <w:tcW w:w="1134" w:type="dxa"/>
            <w:tcMar>
              <w:top w:w="0" w:type="dxa"/>
              <w:left w:w="108" w:type="dxa"/>
              <w:bottom w:w="0" w:type="dxa"/>
              <w:right w:w="108" w:type="dxa"/>
            </w:tcMar>
            <w:vAlign w:val="center"/>
          </w:tcPr>
          <w:p w14:paraId="12040867" w14:textId="17E3778B" w:rsidR="00E4281E" w:rsidRDefault="00E4281E">
            <w:pPr>
              <w:pStyle w:val="TableText"/>
              <w:keepNext/>
              <w:jc w:val="center"/>
              <w:rPr>
                <w:i/>
              </w:rPr>
            </w:pPr>
          </w:p>
          <w:p w14:paraId="6E98D290" w14:textId="7C48B664" w:rsidR="00E4281E" w:rsidRPr="009A56B5" w:rsidRDefault="00EC10A1">
            <w:pPr>
              <w:pStyle w:val="TableText"/>
              <w:keepNext/>
              <w:jc w:val="center"/>
              <w:rPr>
                <w:i/>
              </w:rPr>
            </w:pPr>
            <w:r>
              <w:rPr>
                <w:i/>
              </w:rPr>
              <w:t>$279,481</w:t>
            </w:r>
          </w:p>
        </w:tc>
        <w:tc>
          <w:tcPr>
            <w:tcW w:w="1219" w:type="dxa"/>
            <w:tcMar>
              <w:top w:w="0" w:type="dxa"/>
              <w:left w:w="108" w:type="dxa"/>
              <w:bottom w:w="0" w:type="dxa"/>
              <w:right w:w="108" w:type="dxa"/>
            </w:tcMar>
            <w:vAlign w:val="center"/>
          </w:tcPr>
          <w:p w14:paraId="34176A4C" w14:textId="6B420C17" w:rsidR="00004B1A" w:rsidRDefault="00004B1A">
            <w:pPr>
              <w:pStyle w:val="TableText"/>
              <w:keepNext/>
              <w:jc w:val="center"/>
              <w:rPr>
                <w:i/>
              </w:rPr>
            </w:pPr>
          </w:p>
          <w:p w14:paraId="77D2BFA4" w14:textId="286C9C42" w:rsidR="00E4281E" w:rsidRPr="009A56B5" w:rsidRDefault="00910891">
            <w:pPr>
              <w:pStyle w:val="TableText"/>
              <w:keepNext/>
              <w:jc w:val="center"/>
              <w:rPr>
                <w:i/>
              </w:rPr>
            </w:pPr>
            <w:r>
              <w:rPr>
                <w:i/>
              </w:rPr>
              <w:t>$283,357</w:t>
            </w:r>
          </w:p>
        </w:tc>
      </w:tr>
      <w:tr w:rsidR="00E4281E" w:rsidRPr="00CE28E3" w14:paraId="63A39A22" w14:textId="77777777" w:rsidTr="00566EFA">
        <w:tc>
          <w:tcPr>
            <w:tcW w:w="1975" w:type="dxa"/>
            <w:tcMar>
              <w:top w:w="0" w:type="dxa"/>
              <w:left w:w="108" w:type="dxa"/>
              <w:bottom w:w="0" w:type="dxa"/>
              <w:right w:w="108" w:type="dxa"/>
            </w:tcMar>
          </w:tcPr>
          <w:p w14:paraId="37D92B82" w14:textId="77777777" w:rsidR="00E4281E" w:rsidRPr="00CE28E3" w:rsidRDefault="00E4281E" w:rsidP="00E4281E">
            <w:pPr>
              <w:pStyle w:val="TableText"/>
              <w:keepNext/>
            </w:pPr>
            <w:r w:rsidRPr="00CE28E3">
              <w:t xml:space="preserve">Number of people eligible for </w:t>
            </w:r>
            <w:r w:rsidRPr="00E44F97">
              <w:rPr>
                <w:rFonts w:cstheme="minorHAnsi"/>
              </w:rPr>
              <w:t>NT-</w:t>
            </w:r>
            <w:proofErr w:type="spellStart"/>
            <w:r w:rsidRPr="00E44F97">
              <w:rPr>
                <w:rFonts w:cstheme="minorHAnsi"/>
              </w:rPr>
              <w:t>proBNP</w:t>
            </w:r>
            <w:proofErr w:type="spellEnd"/>
            <w:r>
              <w:rPr>
                <w:rFonts w:cstheme="minorHAnsi"/>
              </w:rPr>
              <w:t xml:space="preserve"> test – population 2</w:t>
            </w:r>
          </w:p>
        </w:tc>
        <w:tc>
          <w:tcPr>
            <w:tcW w:w="1276" w:type="dxa"/>
            <w:tcMar>
              <w:top w:w="0" w:type="dxa"/>
              <w:left w:w="108" w:type="dxa"/>
              <w:bottom w:w="0" w:type="dxa"/>
              <w:right w:w="108" w:type="dxa"/>
            </w:tcMar>
            <w:vAlign w:val="center"/>
          </w:tcPr>
          <w:p w14:paraId="2166EA7A" w14:textId="77777777" w:rsidR="00E4281E" w:rsidRPr="00CE28E3" w:rsidRDefault="00E4281E" w:rsidP="00C226D5">
            <w:pPr>
              <w:pStyle w:val="TableText"/>
              <w:keepNext/>
              <w:jc w:val="center"/>
            </w:pPr>
            <w:r w:rsidRPr="00DD67BE">
              <w:t>2,341</w:t>
            </w:r>
          </w:p>
        </w:tc>
        <w:tc>
          <w:tcPr>
            <w:tcW w:w="1134" w:type="dxa"/>
            <w:tcMar>
              <w:top w:w="0" w:type="dxa"/>
              <w:left w:w="108" w:type="dxa"/>
              <w:bottom w:w="0" w:type="dxa"/>
              <w:right w:w="108" w:type="dxa"/>
            </w:tcMar>
            <w:vAlign w:val="center"/>
          </w:tcPr>
          <w:p w14:paraId="043E1268" w14:textId="77777777" w:rsidR="00E4281E" w:rsidRPr="00CE28E3" w:rsidRDefault="00E4281E">
            <w:pPr>
              <w:pStyle w:val="TableText"/>
              <w:keepNext/>
              <w:jc w:val="center"/>
            </w:pPr>
            <w:r w:rsidRPr="00DD67BE">
              <w:t>2,883</w:t>
            </w:r>
          </w:p>
        </w:tc>
        <w:tc>
          <w:tcPr>
            <w:tcW w:w="1134" w:type="dxa"/>
            <w:tcMar>
              <w:top w:w="0" w:type="dxa"/>
              <w:left w:w="108" w:type="dxa"/>
              <w:bottom w:w="0" w:type="dxa"/>
              <w:right w:w="108" w:type="dxa"/>
            </w:tcMar>
            <w:vAlign w:val="center"/>
          </w:tcPr>
          <w:p w14:paraId="5C54C937" w14:textId="77777777" w:rsidR="00E4281E" w:rsidRPr="00CE28E3" w:rsidRDefault="00E4281E">
            <w:pPr>
              <w:pStyle w:val="TableText"/>
              <w:keepNext/>
              <w:jc w:val="center"/>
            </w:pPr>
            <w:r w:rsidRPr="00DD67BE">
              <w:t>2,927</w:t>
            </w:r>
          </w:p>
        </w:tc>
        <w:tc>
          <w:tcPr>
            <w:tcW w:w="1134" w:type="dxa"/>
            <w:tcMar>
              <w:top w:w="0" w:type="dxa"/>
              <w:left w:w="108" w:type="dxa"/>
              <w:bottom w:w="0" w:type="dxa"/>
              <w:right w:w="108" w:type="dxa"/>
            </w:tcMar>
            <w:vAlign w:val="center"/>
          </w:tcPr>
          <w:p w14:paraId="3BB82DFB" w14:textId="77777777" w:rsidR="00E4281E" w:rsidRPr="00CE28E3" w:rsidRDefault="00E4281E">
            <w:pPr>
              <w:pStyle w:val="TableText"/>
              <w:keepNext/>
              <w:jc w:val="center"/>
            </w:pPr>
            <w:r w:rsidRPr="00DD67BE">
              <w:t>2,970</w:t>
            </w:r>
          </w:p>
        </w:tc>
        <w:tc>
          <w:tcPr>
            <w:tcW w:w="1134" w:type="dxa"/>
            <w:tcMar>
              <w:top w:w="0" w:type="dxa"/>
              <w:left w:w="108" w:type="dxa"/>
              <w:bottom w:w="0" w:type="dxa"/>
              <w:right w:w="108" w:type="dxa"/>
            </w:tcMar>
            <w:vAlign w:val="center"/>
          </w:tcPr>
          <w:p w14:paraId="23C8B859" w14:textId="77777777" w:rsidR="00E4281E" w:rsidRPr="00CE28E3" w:rsidRDefault="00E4281E">
            <w:pPr>
              <w:pStyle w:val="TableText"/>
              <w:keepNext/>
              <w:jc w:val="center"/>
            </w:pPr>
            <w:r w:rsidRPr="00DD67BE">
              <w:t>3,013</w:t>
            </w:r>
          </w:p>
        </w:tc>
        <w:tc>
          <w:tcPr>
            <w:tcW w:w="1219" w:type="dxa"/>
            <w:tcMar>
              <w:top w:w="0" w:type="dxa"/>
              <w:left w:w="108" w:type="dxa"/>
              <w:bottom w:w="0" w:type="dxa"/>
              <w:right w:w="108" w:type="dxa"/>
            </w:tcMar>
            <w:vAlign w:val="center"/>
          </w:tcPr>
          <w:p w14:paraId="6654F0B7" w14:textId="77777777" w:rsidR="00E4281E" w:rsidRPr="00CE28E3" w:rsidRDefault="00E4281E">
            <w:pPr>
              <w:pStyle w:val="TableText"/>
              <w:keepNext/>
              <w:jc w:val="center"/>
            </w:pPr>
            <w:r w:rsidRPr="00DD67BE">
              <w:t>3,055</w:t>
            </w:r>
          </w:p>
        </w:tc>
      </w:tr>
      <w:tr w:rsidR="00E4281E" w:rsidRPr="00CE28E3" w14:paraId="50156DCA" w14:textId="77777777" w:rsidTr="00566EFA">
        <w:tc>
          <w:tcPr>
            <w:tcW w:w="1975" w:type="dxa"/>
            <w:tcMar>
              <w:top w:w="0" w:type="dxa"/>
              <w:left w:w="108" w:type="dxa"/>
              <w:bottom w:w="0" w:type="dxa"/>
              <w:right w:w="108" w:type="dxa"/>
            </w:tcMar>
          </w:tcPr>
          <w:p w14:paraId="165CFBA5" w14:textId="132BA882" w:rsidR="00E4281E" w:rsidRPr="00CE28E3" w:rsidRDefault="00A929ED" w:rsidP="00E4281E">
            <w:pPr>
              <w:pStyle w:val="TableText"/>
              <w:keepNext/>
            </w:pPr>
            <w:r>
              <w:rPr>
                <w:i/>
              </w:rPr>
              <w:t xml:space="preserve">Eligible people </w:t>
            </w:r>
            <w:r w:rsidR="00681516">
              <w:rPr>
                <w:i/>
              </w:rPr>
              <w:t>–</w:t>
            </w:r>
            <w:r>
              <w:rPr>
                <w:i/>
              </w:rPr>
              <w:t xml:space="preserve"> popu</w:t>
            </w:r>
            <w:r w:rsidR="00681516">
              <w:rPr>
                <w:i/>
              </w:rPr>
              <w:t>lation 2 (</w:t>
            </w:r>
            <w:r w:rsidR="00E4281E" w:rsidRPr="00262B03">
              <w:rPr>
                <w:i/>
              </w:rPr>
              <w:t>Revised</w:t>
            </w:r>
            <w:r w:rsidR="00A277F3">
              <w:rPr>
                <w:i/>
              </w:rPr>
              <w:t> </w:t>
            </w:r>
            <w:r w:rsidR="00CE78B6">
              <w:rPr>
                <w:i/>
                <w:vertAlign w:val="superscript"/>
              </w:rPr>
              <w:t>b</w:t>
            </w:r>
            <w:r w:rsidR="00A277F3">
              <w:rPr>
                <w:i/>
                <w:vertAlign w:val="superscript"/>
              </w:rPr>
              <w:t> </w:t>
            </w:r>
            <w:r w:rsidR="00681516">
              <w:rPr>
                <w:i/>
              </w:rPr>
              <w:t>)</w:t>
            </w:r>
            <w:r w:rsidR="00E4281E">
              <w:rPr>
                <w:i/>
                <w:vertAlign w:val="superscript"/>
              </w:rPr>
              <w:t xml:space="preserve"> </w:t>
            </w:r>
          </w:p>
        </w:tc>
        <w:tc>
          <w:tcPr>
            <w:tcW w:w="1276" w:type="dxa"/>
            <w:tcMar>
              <w:top w:w="0" w:type="dxa"/>
              <w:left w:w="108" w:type="dxa"/>
              <w:bottom w:w="0" w:type="dxa"/>
              <w:right w:w="108" w:type="dxa"/>
            </w:tcMar>
            <w:vAlign w:val="center"/>
          </w:tcPr>
          <w:p w14:paraId="082EB4FF" w14:textId="77777777" w:rsidR="00E4281E" w:rsidRPr="00566EFA" w:rsidRDefault="00E4281E">
            <w:pPr>
              <w:pStyle w:val="TableText"/>
              <w:keepNext/>
              <w:jc w:val="center"/>
              <w:rPr>
                <w:i/>
                <w:iCs/>
              </w:rPr>
            </w:pPr>
            <w:r w:rsidRPr="00566EFA">
              <w:rPr>
                <w:i/>
                <w:iCs/>
              </w:rPr>
              <w:t>2,341</w:t>
            </w:r>
          </w:p>
        </w:tc>
        <w:tc>
          <w:tcPr>
            <w:tcW w:w="1134" w:type="dxa"/>
            <w:tcMar>
              <w:top w:w="0" w:type="dxa"/>
              <w:left w:w="108" w:type="dxa"/>
              <w:bottom w:w="0" w:type="dxa"/>
              <w:right w:w="108" w:type="dxa"/>
            </w:tcMar>
            <w:vAlign w:val="center"/>
          </w:tcPr>
          <w:p w14:paraId="02E25C21" w14:textId="77777777" w:rsidR="00E4281E" w:rsidRPr="00566EFA" w:rsidRDefault="00E4281E">
            <w:pPr>
              <w:pStyle w:val="TableText"/>
              <w:keepNext/>
              <w:jc w:val="center"/>
              <w:rPr>
                <w:i/>
                <w:iCs/>
              </w:rPr>
            </w:pPr>
            <w:r w:rsidRPr="00566EFA">
              <w:rPr>
                <w:i/>
                <w:iCs/>
              </w:rPr>
              <w:t>2,846</w:t>
            </w:r>
          </w:p>
        </w:tc>
        <w:tc>
          <w:tcPr>
            <w:tcW w:w="1134" w:type="dxa"/>
            <w:tcMar>
              <w:top w:w="0" w:type="dxa"/>
              <w:left w:w="108" w:type="dxa"/>
              <w:bottom w:w="0" w:type="dxa"/>
              <w:right w:w="108" w:type="dxa"/>
            </w:tcMar>
            <w:vAlign w:val="center"/>
          </w:tcPr>
          <w:p w14:paraId="40F50806" w14:textId="77777777" w:rsidR="00E4281E" w:rsidRPr="00566EFA" w:rsidRDefault="00E4281E">
            <w:pPr>
              <w:pStyle w:val="TableText"/>
              <w:keepNext/>
              <w:jc w:val="center"/>
              <w:rPr>
                <w:i/>
                <w:iCs/>
              </w:rPr>
            </w:pPr>
            <w:r w:rsidRPr="00566EFA">
              <w:rPr>
                <w:i/>
                <w:iCs/>
              </w:rPr>
              <w:t>3,396</w:t>
            </w:r>
          </w:p>
        </w:tc>
        <w:tc>
          <w:tcPr>
            <w:tcW w:w="1134" w:type="dxa"/>
            <w:tcMar>
              <w:top w:w="0" w:type="dxa"/>
              <w:left w:w="108" w:type="dxa"/>
              <w:bottom w:w="0" w:type="dxa"/>
              <w:right w:w="108" w:type="dxa"/>
            </w:tcMar>
            <w:vAlign w:val="center"/>
          </w:tcPr>
          <w:p w14:paraId="1341A434" w14:textId="77777777" w:rsidR="00E4281E" w:rsidRPr="00566EFA" w:rsidRDefault="00E4281E">
            <w:pPr>
              <w:pStyle w:val="TableText"/>
              <w:keepNext/>
              <w:jc w:val="center"/>
              <w:rPr>
                <w:i/>
                <w:iCs/>
              </w:rPr>
            </w:pPr>
            <w:r w:rsidRPr="00566EFA">
              <w:rPr>
                <w:i/>
                <w:iCs/>
              </w:rPr>
              <w:t>3,447</w:t>
            </w:r>
          </w:p>
        </w:tc>
        <w:tc>
          <w:tcPr>
            <w:tcW w:w="1134" w:type="dxa"/>
            <w:tcMar>
              <w:top w:w="0" w:type="dxa"/>
              <w:left w:w="108" w:type="dxa"/>
              <w:bottom w:w="0" w:type="dxa"/>
              <w:right w:w="108" w:type="dxa"/>
            </w:tcMar>
            <w:vAlign w:val="center"/>
          </w:tcPr>
          <w:p w14:paraId="58451716" w14:textId="77777777" w:rsidR="00E4281E" w:rsidRPr="00566EFA" w:rsidRDefault="00E4281E">
            <w:pPr>
              <w:pStyle w:val="TableText"/>
              <w:keepNext/>
              <w:jc w:val="center"/>
              <w:rPr>
                <w:i/>
                <w:iCs/>
              </w:rPr>
            </w:pPr>
            <w:r w:rsidRPr="00566EFA">
              <w:rPr>
                <w:i/>
                <w:iCs/>
              </w:rPr>
              <w:t>3,498</w:t>
            </w:r>
          </w:p>
        </w:tc>
        <w:tc>
          <w:tcPr>
            <w:tcW w:w="1219" w:type="dxa"/>
            <w:tcMar>
              <w:top w:w="0" w:type="dxa"/>
              <w:left w:w="108" w:type="dxa"/>
              <w:bottom w:w="0" w:type="dxa"/>
              <w:right w:w="108" w:type="dxa"/>
            </w:tcMar>
            <w:vAlign w:val="center"/>
          </w:tcPr>
          <w:p w14:paraId="6D9389AC" w14:textId="77777777" w:rsidR="00E4281E" w:rsidRPr="00566EFA" w:rsidRDefault="00E4281E">
            <w:pPr>
              <w:pStyle w:val="TableText"/>
              <w:keepNext/>
              <w:jc w:val="center"/>
              <w:rPr>
                <w:i/>
                <w:iCs/>
              </w:rPr>
            </w:pPr>
            <w:r w:rsidRPr="00566EFA">
              <w:rPr>
                <w:i/>
                <w:iCs/>
              </w:rPr>
              <w:t>3,548</w:t>
            </w:r>
          </w:p>
        </w:tc>
      </w:tr>
      <w:tr w:rsidR="00512E64" w:rsidRPr="00CE28E3" w14:paraId="60D9F4DA" w14:textId="77777777" w:rsidTr="00566EFA">
        <w:tc>
          <w:tcPr>
            <w:tcW w:w="1975" w:type="dxa"/>
            <w:tcMar>
              <w:top w:w="0" w:type="dxa"/>
              <w:left w:w="108" w:type="dxa"/>
              <w:bottom w:w="0" w:type="dxa"/>
              <w:right w:w="108" w:type="dxa"/>
            </w:tcMar>
          </w:tcPr>
          <w:p w14:paraId="6121C435" w14:textId="7DD49CA9" w:rsidR="00512E64" w:rsidRPr="00566EFA" w:rsidRDefault="00512E64" w:rsidP="00512E64">
            <w:pPr>
              <w:pStyle w:val="TableText"/>
              <w:keepNext/>
              <w:rPr>
                <w:i/>
                <w:iCs/>
              </w:rPr>
            </w:pPr>
            <w:r w:rsidRPr="00566EFA">
              <w:rPr>
                <w:i/>
                <w:iCs/>
              </w:rPr>
              <w:t>People tested</w:t>
            </w:r>
            <w:r w:rsidRPr="00566EFA">
              <w:rPr>
                <w:rFonts w:cstheme="minorHAnsi"/>
                <w:i/>
                <w:iCs/>
              </w:rPr>
              <w:t>– population 2 (revised)</w:t>
            </w:r>
          </w:p>
        </w:tc>
        <w:tc>
          <w:tcPr>
            <w:tcW w:w="1276" w:type="dxa"/>
            <w:tcMar>
              <w:top w:w="0" w:type="dxa"/>
              <w:left w:w="108" w:type="dxa"/>
              <w:bottom w:w="0" w:type="dxa"/>
              <w:right w:w="108" w:type="dxa"/>
            </w:tcMar>
            <w:vAlign w:val="center"/>
          </w:tcPr>
          <w:p w14:paraId="67711FAF" w14:textId="608B0CDC" w:rsidR="00512E64" w:rsidRPr="00566EFA" w:rsidRDefault="00512E64">
            <w:pPr>
              <w:pStyle w:val="TableText"/>
              <w:keepNext/>
              <w:jc w:val="center"/>
              <w:rPr>
                <w:i/>
                <w:iCs/>
              </w:rPr>
            </w:pPr>
            <w:r w:rsidRPr="00566EFA">
              <w:rPr>
                <w:i/>
                <w:iCs/>
              </w:rPr>
              <w:t xml:space="preserve">2,107 </w:t>
            </w:r>
          </w:p>
        </w:tc>
        <w:tc>
          <w:tcPr>
            <w:tcW w:w="1134" w:type="dxa"/>
            <w:tcMar>
              <w:top w:w="0" w:type="dxa"/>
              <w:left w:w="108" w:type="dxa"/>
              <w:bottom w:w="0" w:type="dxa"/>
              <w:right w:w="108" w:type="dxa"/>
            </w:tcMar>
            <w:vAlign w:val="center"/>
          </w:tcPr>
          <w:p w14:paraId="79D97521" w14:textId="51792B5D" w:rsidR="00512E64" w:rsidRPr="00566EFA" w:rsidRDefault="00512E64">
            <w:pPr>
              <w:pStyle w:val="TableText"/>
              <w:keepNext/>
              <w:jc w:val="center"/>
              <w:rPr>
                <w:i/>
                <w:iCs/>
              </w:rPr>
            </w:pPr>
            <w:r w:rsidRPr="00566EFA">
              <w:rPr>
                <w:i/>
                <w:iCs/>
              </w:rPr>
              <w:t xml:space="preserve">2,561 </w:t>
            </w:r>
          </w:p>
        </w:tc>
        <w:tc>
          <w:tcPr>
            <w:tcW w:w="1134" w:type="dxa"/>
            <w:tcMar>
              <w:top w:w="0" w:type="dxa"/>
              <w:left w:w="108" w:type="dxa"/>
              <w:bottom w:w="0" w:type="dxa"/>
              <w:right w:w="108" w:type="dxa"/>
            </w:tcMar>
            <w:vAlign w:val="center"/>
          </w:tcPr>
          <w:p w14:paraId="266F7D28" w14:textId="308167A7" w:rsidR="00512E64" w:rsidRPr="00566EFA" w:rsidRDefault="00512E64">
            <w:pPr>
              <w:pStyle w:val="TableText"/>
              <w:keepNext/>
              <w:jc w:val="center"/>
              <w:rPr>
                <w:i/>
                <w:iCs/>
              </w:rPr>
            </w:pPr>
            <w:r w:rsidRPr="00566EFA">
              <w:rPr>
                <w:i/>
                <w:iCs/>
              </w:rPr>
              <w:t xml:space="preserve">3,056 </w:t>
            </w:r>
          </w:p>
        </w:tc>
        <w:tc>
          <w:tcPr>
            <w:tcW w:w="1134" w:type="dxa"/>
            <w:tcMar>
              <w:top w:w="0" w:type="dxa"/>
              <w:left w:w="108" w:type="dxa"/>
              <w:bottom w:w="0" w:type="dxa"/>
              <w:right w:w="108" w:type="dxa"/>
            </w:tcMar>
            <w:vAlign w:val="center"/>
          </w:tcPr>
          <w:p w14:paraId="1E213F46" w14:textId="6F72357A" w:rsidR="00512E64" w:rsidRPr="00566EFA" w:rsidRDefault="00512E64">
            <w:pPr>
              <w:pStyle w:val="TableText"/>
              <w:keepNext/>
              <w:jc w:val="center"/>
              <w:rPr>
                <w:i/>
                <w:iCs/>
              </w:rPr>
            </w:pPr>
            <w:r w:rsidRPr="00566EFA">
              <w:rPr>
                <w:i/>
                <w:iCs/>
              </w:rPr>
              <w:t xml:space="preserve">3,102 </w:t>
            </w:r>
          </w:p>
        </w:tc>
        <w:tc>
          <w:tcPr>
            <w:tcW w:w="1134" w:type="dxa"/>
            <w:tcMar>
              <w:top w:w="0" w:type="dxa"/>
              <w:left w:w="108" w:type="dxa"/>
              <w:bottom w:w="0" w:type="dxa"/>
              <w:right w:w="108" w:type="dxa"/>
            </w:tcMar>
            <w:vAlign w:val="center"/>
          </w:tcPr>
          <w:p w14:paraId="7C852ECD" w14:textId="0B7A71EC" w:rsidR="00512E64" w:rsidRPr="00566EFA" w:rsidRDefault="00512E64">
            <w:pPr>
              <w:pStyle w:val="TableText"/>
              <w:keepNext/>
              <w:jc w:val="center"/>
              <w:rPr>
                <w:i/>
                <w:iCs/>
              </w:rPr>
            </w:pPr>
            <w:r w:rsidRPr="00566EFA">
              <w:rPr>
                <w:i/>
                <w:iCs/>
              </w:rPr>
              <w:t xml:space="preserve">3,148 </w:t>
            </w:r>
          </w:p>
        </w:tc>
        <w:tc>
          <w:tcPr>
            <w:tcW w:w="1219" w:type="dxa"/>
            <w:tcMar>
              <w:top w:w="0" w:type="dxa"/>
              <w:left w:w="108" w:type="dxa"/>
              <w:bottom w:w="0" w:type="dxa"/>
              <w:right w:w="108" w:type="dxa"/>
            </w:tcMar>
            <w:vAlign w:val="center"/>
          </w:tcPr>
          <w:p w14:paraId="1C616E87" w14:textId="73713416" w:rsidR="00512E64" w:rsidRPr="00566EFA" w:rsidRDefault="00512E64">
            <w:pPr>
              <w:pStyle w:val="TableText"/>
              <w:keepNext/>
              <w:jc w:val="center"/>
              <w:rPr>
                <w:i/>
                <w:iCs/>
              </w:rPr>
            </w:pPr>
            <w:r w:rsidRPr="00566EFA">
              <w:rPr>
                <w:i/>
                <w:iCs/>
              </w:rPr>
              <w:t xml:space="preserve">3,193 </w:t>
            </w:r>
          </w:p>
        </w:tc>
      </w:tr>
      <w:tr w:rsidR="00374399" w:rsidRPr="00CE28E3" w14:paraId="7C3C63FE" w14:textId="77777777" w:rsidTr="00566EFA">
        <w:tc>
          <w:tcPr>
            <w:tcW w:w="1975" w:type="dxa"/>
            <w:tcMar>
              <w:top w:w="0" w:type="dxa"/>
              <w:left w:w="108" w:type="dxa"/>
              <w:bottom w:w="0" w:type="dxa"/>
              <w:right w:w="108" w:type="dxa"/>
            </w:tcMar>
          </w:tcPr>
          <w:p w14:paraId="249337CC" w14:textId="40982E50" w:rsidR="00374399" w:rsidRPr="00566EFA" w:rsidRDefault="00374399" w:rsidP="00374399">
            <w:pPr>
              <w:pStyle w:val="TableText"/>
              <w:keepNext/>
              <w:rPr>
                <w:i/>
                <w:iCs/>
              </w:rPr>
            </w:pPr>
            <w:r w:rsidRPr="00566EFA">
              <w:rPr>
                <w:i/>
                <w:iCs/>
              </w:rPr>
              <w:t>NT-</w:t>
            </w:r>
            <w:proofErr w:type="spellStart"/>
            <w:r w:rsidRPr="00566EFA">
              <w:rPr>
                <w:i/>
                <w:iCs/>
              </w:rPr>
              <w:t>proBNP</w:t>
            </w:r>
            <w:proofErr w:type="spellEnd"/>
            <w:r w:rsidRPr="00566EFA">
              <w:rPr>
                <w:i/>
                <w:iCs/>
              </w:rPr>
              <w:t xml:space="preserve"> tests </w:t>
            </w:r>
            <w:r w:rsidRPr="00566EFA">
              <w:rPr>
                <w:rFonts w:cstheme="minorHAnsi"/>
                <w:i/>
                <w:iCs/>
              </w:rPr>
              <w:t>– population 2 (2/</w:t>
            </w:r>
            <w:proofErr w:type="spellStart"/>
            <w:r w:rsidRPr="00566EFA">
              <w:rPr>
                <w:rFonts w:cstheme="minorHAnsi"/>
                <w:i/>
                <w:iCs/>
              </w:rPr>
              <w:t>pt</w:t>
            </w:r>
            <w:proofErr w:type="spellEnd"/>
            <w:r w:rsidRPr="00566EFA">
              <w:rPr>
                <w:rFonts w:cstheme="minorHAnsi"/>
                <w:i/>
                <w:iCs/>
              </w:rPr>
              <w:t>/</w:t>
            </w:r>
            <w:proofErr w:type="spellStart"/>
            <w:r w:rsidRPr="00566EFA">
              <w:rPr>
                <w:rFonts w:cstheme="minorHAnsi"/>
                <w:i/>
                <w:iCs/>
              </w:rPr>
              <w:t>yr</w:t>
            </w:r>
            <w:proofErr w:type="spellEnd"/>
            <w:r w:rsidRPr="00566EFA">
              <w:rPr>
                <w:rFonts w:cstheme="minorHAnsi"/>
                <w:i/>
                <w:iCs/>
              </w:rPr>
              <w:t>)</w:t>
            </w:r>
          </w:p>
        </w:tc>
        <w:tc>
          <w:tcPr>
            <w:tcW w:w="1276" w:type="dxa"/>
            <w:tcMar>
              <w:top w:w="0" w:type="dxa"/>
              <w:left w:w="108" w:type="dxa"/>
              <w:bottom w:w="0" w:type="dxa"/>
              <w:right w:w="108" w:type="dxa"/>
            </w:tcMar>
            <w:vAlign w:val="center"/>
          </w:tcPr>
          <w:p w14:paraId="3ED05677" w14:textId="29358616" w:rsidR="00374399" w:rsidRPr="00566EFA" w:rsidRDefault="00374399">
            <w:pPr>
              <w:pStyle w:val="TableText"/>
              <w:keepNext/>
              <w:jc w:val="center"/>
              <w:rPr>
                <w:i/>
                <w:iCs/>
              </w:rPr>
            </w:pPr>
            <w:r w:rsidRPr="00566EFA">
              <w:rPr>
                <w:i/>
                <w:iCs/>
              </w:rPr>
              <w:t xml:space="preserve">4,214 </w:t>
            </w:r>
          </w:p>
        </w:tc>
        <w:tc>
          <w:tcPr>
            <w:tcW w:w="1134" w:type="dxa"/>
            <w:tcMar>
              <w:top w:w="0" w:type="dxa"/>
              <w:left w:w="108" w:type="dxa"/>
              <w:bottom w:w="0" w:type="dxa"/>
              <w:right w:w="108" w:type="dxa"/>
            </w:tcMar>
            <w:vAlign w:val="center"/>
          </w:tcPr>
          <w:p w14:paraId="5991E666" w14:textId="0565B75D" w:rsidR="00374399" w:rsidRPr="00566EFA" w:rsidRDefault="00374399">
            <w:pPr>
              <w:pStyle w:val="TableText"/>
              <w:keepNext/>
              <w:jc w:val="center"/>
              <w:rPr>
                <w:i/>
                <w:iCs/>
              </w:rPr>
            </w:pPr>
            <w:r w:rsidRPr="00566EFA">
              <w:rPr>
                <w:i/>
                <w:iCs/>
              </w:rPr>
              <w:t xml:space="preserve">5,123 </w:t>
            </w:r>
          </w:p>
        </w:tc>
        <w:tc>
          <w:tcPr>
            <w:tcW w:w="1134" w:type="dxa"/>
            <w:tcMar>
              <w:top w:w="0" w:type="dxa"/>
              <w:left w:w="108" w:type="dxa"/>
              <w:bottom w:w="0" w:type="dxa"/>
              <w:right w:w="108" w:type="dxa"/>
            </w:tcMar>
            <w:vAlign w:val="center"/>
          </w:tcPr>
          <w:p w14:paraId="4D40C8B8" w14:textId="2A381532" w:rsidR="00374399" w:rsidRPr="00566EFA" w:rsidRDefault="00374399">
            <w:pPr>
              <w:pStyle w:val="TableText"/>
              <w:keepNext/>
              <w:jc w:val="center"/>
              <w:rPr>
                <w:i/>
                <w:iCs/>
              </w:rPr>
            </w:pPr>
            <w:r w:rsidRPr="00566EFA">
              <w:rPr>
                <w:i/>
                <w:iCs/>
              </w:rPr>
              <w:t xml:space="preserve">6,113 </w:t>
            </w:r>
          </w:p>
        </w:tc>
        <w:tc>
          <w:tcPr>
            <w:tcW w:w="1134" w:type="dxa"/>
            <w:tcMar>
              <w:top w:w="0" w:type="dxa"/>
              <w:left w:w="108" w:type="dxa"/>
              <w:bottom w:w="0" w:type="dxa"/>
              <w:right w:w="108" w:type="dxa"/>
            </w:tcMar>
            <w:vAlign w:val="center"/>
          </w:tcPr>
          <w:p w14:paraId="496129BD" w14:textId="4491F1A9" w:rsidR="00374399" w:rsidRPr="00566EFA" w:rsidRDefault="00374399">
            <w:pPr>
              <w:pStyle w:val="TableText"/>
              <w:keepNext/>
              <w:jc w:val="center"/>
              <w:rPr>
                <w:i/>
                <w:iCs/>
              </w:rPr>
            </w:pPr>
            <w:r w:rsidRPr="00566EFA">
              <w:rPr>
                <w:i/>
                <w:iCs/>
              </w:rPr>
              <w:t xml:space="preserve">6,205 </w:t>
            </w:r>
          </w:p>
        </w:tc>
        <w:tc>
          <w:tcPr>
            <w:tcW w:w="1134" w:type="dxa"/>
            <w:tcMar>
              <w:top w:w="0" w:type="dxa"/>
              <w:left w:w="108" w:type="dxa"/>
              <w:bottom w:w="0" w:type="dxa"/>
              <w:right w:w="108" w:type="dxa"/>
            </w:tcMar>
            <w:vAlign w:val="center"/>
          </w:tcPr>
          <w:p w14:paraId="2F8B0AE8" w14:textId="2DF0B9B6" w:rsidR="00374399" w:rsidRPr="00566EFA" w:rsidRDefault="00374399">
            <w:pPr>
              <w:pStyle w:val="TableText"/>
              <w:keepNext/>
              <w:jc w:val="center"/>
              <w:rPr>
                <w:i/>
                <w:iCs/>
              </w:rPr>
            </w:pPr>
            <w:r w:rsidRPr="00566EFA">
              <w:rPr>
                <w:i/>
                <w:iCs/>
              </w:rPr>
              <w:t xml:space="preserve">6,296 </w:t>
            </w:r>
          </w:p>
        </w:tc>
        <w:tc>
          <w:tcPr>
            <w:tcW w:w="1219" w:type="dxa"/>
            <w:tcMar>
              <w:top w:w="0" w:type="dxa"/>
              <w:left w:w="108" w:type="dxa"/>
              <w:bottom w:w="0" w:type="dxa"/>
              <w:right w:w="108" w:type="dxa"/>
            </w:tcMar>
            <w:vAlign w:val="center"/>
          </w:tcPr>
          <w:p w14:paraId="042E388E" w14:textId="07114261" w:rsidR="00374399" w:rsidRPr="00566EFA" w:rsidRDefault="00374399">
            <w:pPr>
              <w:pStyle w:val="TableText"/>
              <w:keepNext/>
              <w:jc w:val="center"/>
              <w:rPr>
                <w:i/>
                <w:iCs/>
              </w:rPr>
            </w:pPr>
            <w:r w:rsidRPr="00566EFA">
              <w:rPr>
                <w:i/>
                <w:iCs/>
              </w:rPr>
              <w:t xml:space="preserve">6,386 </w:t>
            </w:r>
          </w:p>
        </w:tc>
      </w:tr>
      <w:tr w:rsidR="0026194F" w:rsidRPr="00CE28E3" w14:paraId="1AEB2C4F" w14:textId="77777777" w:rsidTr="00566EFA">
        <w:tc>
          <w:tcPr>
            <w:tcW w:w="1975" w:type="dxa"/>
            <w:tcMar>
              <w:top w:w="0" w:type="dxa"/>
              <w:left w:w="108" w:type="dxa"/>
              <w:bottom w:w="0" w:type="dxa"/>
              <w:right w:w="108" w:type="dxa"/>
            </w:tcMar>
          </w:tcPr>
          <w:p w14:paraId="6AEE1BED" w14:textId="77777777" w:rsidR="00BE446B" w:rsidRDefault="0026194F" w:rsidP="0026194F">
            <w:pPr>
              <w:pStyle w:val="TableText"/>
              <w:keepNext/>
              <w:rPr>
                <w:rFonts w:cstheme="minorHAnsi"/>
                <w:i/>
                <w:iCs/>
              </w:rPr>
            </w:pPr>
            <w:r w:rsidRPr="00566EFA">
              <w:rPr>
                <w:i/>
                <w:iCs/>
              </w:rPr>
              <w:t xml:space="preserve">Cost to the </w:t>
            </w:r>
            <w:r w:rsidRPr="00566EFA">
              <w:rPr>
                <w:rFonts w:cstheme="minorHAnsi"/>
                <w:i/>
                <w:iCs/>
              </w:rPr>
              <w:t xml:space="preserve">MBS – population 2 </w:t>
            </w:r>
          </w:p>
          <w:p w14:paraId="3E9EE6EE" w14:textId="6F996615" w:rsidR="0026194F" w:rsidRPr="00566EFA" w:rsidRDefault="0026194F" w:rsidP="0026194F">
            <w:pPr>
              <w:pStyle w:val="TableText"/>
              <w:keepNext/>
              <w:rPr>
                <w:i/>
                <w:iCs/>
              </w:rPr>
            </w:pPr>
            <w:r w:rsidRPr="00566EFA">
              <w:rPr>
                <w:rFonts w:cstheme="minorHAnsi"/>
                <w:i/>
                <w:iCs/>
              </w:rPr>
              <w:t>($58.50</w:t>
            </w:r>
            <w:r w:rsidR="004C4810" w:rsidRPr="00566EFA">
              <w:rPr>
                <w:rFonts w:cstheme="minorHAnsi"/>
                <w:i/>
                <w:iCs/>
              </w:rPr>
              <w:t>, 100% fee</w:t>
            </w:r>
            <w:r w:rsidRPr="00566EFA">
              <w:rPr>
                <w:rFonts w:cstheme="minorHAnsi"/>
                <w:i/>
                <w:iCs/>
              </w:rPr>
              <w:t>)</w:t>
            </w:r>
          </w:p>
        </w:tc>
        <w:tc>
          <w:tcPr>
            <w:tcW w:w="1276" w:type="dxa"/>
            <w:tcMar>
              <w:top w:w="0" w:type="dxa"/>
              <w:left w:w="108" w:type="dxa"/>
              <w:bottom w:w="0" w:type="dxa"/>
              <w:right w:w="108" w:type="dxa"/>
            </w:tcMar>
            <w:vAlign w:val="center"/>
          </w:tcPr>
          <w:p w14:paraId="710E1FC9" w14:textId="3C2C2CC0" w:rsidR="0026194F" w:rsidRPr="00566EFA" w:rsidRDefault="0026194F">
            <w:pPr>
              <w:pStyle w:val="TableText"/>
              <w:keepNext/>
              <w:jc w:val="center"/>
              <w:rPr>
                <w:i/>
                <w:iCs/>
              </w:rPr>
            </w:pPr>
            <w:r w:rsidRPr="00566EFA">
              <w:rPr>
                <w:i/>
                <w:iCs/>
              </w:rPr>
              <w:t>$246,634</w:t>
            </w:r>
          </w:p>
        </w:tc>
        <w:tc>
          <w:tcPr>
            <w:tcW w:w="1134" w:type="dxa"/>
            <w:tcMar>
              <w:top w:w="0" w:type="dxa"/>
              <w:left w:w="108" w:type="dxa"/>
              <w:bottom w:w="0" w:type="dxa"/>
              <w:right w:w="108" w:type="dxa"/>
            </w:tcMar>
            <w:vAlign w:val="center"/>
          </w:tcPr>
          <w:p w14:paraId="45E64E5E" w14:textId="05BD8D5B" w:rsidR="0026194F" w:rsidRPr="00566EFA" w:rsidRDefault="0026194F">
            <w:pPr>
              <w:pStyle w:val="TableText"/>
              <w:keepNext/>
              <w:jc w:val="center"/>
              <w:rPr>
                <w:i/>
                <w:iCs/>
              </w:rPr>
            </w:pPr>
            <w:r w:rsidRPr="00566EFA">
              <w:rPr>
                <w:i/>
                <w:iCs/>
              </w:rPr>
              <w:t>$299,837</w:t>
            </w:r>
          </w:p>
        </w:tc>
        <w:tc>
          <w:tcPr>
            <w:tcW w:w="1134" w:type="dxa"/>
            <w:tcMar>
              <w:top w:w="0" w:type="dxa"/>
              <w:left w:w="108" w:type="dxa"/>
              <w:bottom w:w="0" w:type="dxa"/>
              <w:right w:w="108" w:type="dxa"/>
            </w:tcMar>
            <w:vAlign w:val="center"/>
          </w:tcPr>
          <w:p w14:paraId="2F5938CD" w14:textId="53E49A19" w:rsidR="0026194F" w:rsidRPr="00566EFA" w:rsidRDefault="0026194F">
            <w:pPr>
              <w:pStyle w:val="TableText"/>
              <w:keepNext/>
              <w:jc w:val="center"/>
              <w:rPr>
                <w:i/>
                <w:iCs/>
              </w:rPr>
            </w:pPr>
            <w:r w:rsidRPr="00566EFA">
              <w:rPr>
                <w:i/>
                <w:iCs/>
              </w:rPr>
              <w:t>$357,782</w:t>
            </w:r>
          </w:p>
        </w:tc>
        <w:tc>
          <w:tcPr>
            <w:tcW w:w="1134" w:type="dxa"/>
            <w:tcMar>
              <w:top w:w="0" w:type="dxa"/>
              <w:left w:w="108" w:type="dxa"/>
              <w:bottom w:w="0" w:type="dxa"/>
              <w:right w:w="108" w:type="dxa"/>
            </w:tcMar>
            <w:vAlign w:val="center"/>
          </w:tcPr>
          <w:p w14:paraId="0CE4E359" w14:textId="03F89A36" w:rsidR="0026194F" w:rsidRPr="00566EFA" w:rsidRDefault="0026194F">
            <w:pPr>
              <w:pStyle w:val="TableText"/>
              <w:keepNext/>
              <w:jc w:val="center"/>
              <w:rPr>
                <w:i/>
                <w:iCs/>
              </w:rPr>
            </w:pPr>
            <w:r w:rsidRPr="00566EFA">
              <w:rPr>
                <w:i/>
                <w:iCs/>
              </w:rPr>
              <w:t>$363,155</w:t>
            </w:r>
          </w:p>
        </w:tc>
        <w:tc>
          <w:tcPr>
            <w:tcW w:w="1134" w:type="dxa"/>
            <w:tcMar>
              <w:top w:w="0" w:type="dxa"/>
              <w:left w:w="108" w:type="dxa"/>
              <w:bottom w:w="0" w:type="dxa"/>
              <w:right w:w="108" w:type="dxa"/>
            </w:tcMar>
            <w:vAlign w:val="center"/>
          </w:tcPr>
          <w:p w14:paraId="43F27CC3" w14:textId="7340B705" w:rsidR="0026194F" w:rsidRPr="00566EFA" w:rsidRDefault="0026194F">
            <w:pPr>
              <w:pStyle w:val="TableText"/>
              <w:keepNext/>
              <w:jc w:val="center"/>
              <w:rPr>
                <w:i/>
                <w:iCs/>
              </w:rPr>
            </w:pPr>
            <w:r w:rsidRPr="00566EFA">
              <w:rPr>
                <w:i/>
                <w:iCs/>
              </w:rPr>
              <w:t>$368,528</w:t>
            </w:r>
          </w:p>
        </w:tc>
        <w:tc>
          <w:tcPr>
            <w:tcW w:w="1219" w:type="dxa"/>
            <w:tcMar>
              <w:top w:w="0" w:type="dxa"/>
              <w:left w:w="108" w:type="dxa"/>
              <w:bottom w:w="0" w:type="dxa"/>
              <w:right w:w="108" w:type="dxa"/>
            </w:tcMar>
            <w:vAlign w:val="center"/>
          </w:tcPr>
          <w:p w14:paraId="48A91DDB" w14:textId="14BA3DDE" w:rsidR="0026194F" w:rsidRPr="00566EFA" w:rsidRDefault="0026194F">
            <w:pPr>
              <w:pStyle w:val="TableText"/>
              <w:keepNext/>
              <w:jc w:val="center"/>
              <w:rPr>
                <w:i/>
                <w:iCs/>
              </w:rPr>
            </w:pPr>
            <w:r w:rsidRPr="00566EFA">
              <w:rPr>
                <w:i/>
                <w:iCs/>
              </w:rPr>
              <w:t>$373,796</w:t>
            </w:r>
          </w:p>
        </w:tc>
      </w:tr>
      <w:tr w:rsidR="004C4810" w:rsidRPr="00CE28E3" w14:paraId="1A74B65B" w14:textId="77777777" w:rsidTr="00566EFA">
        <w:tc>
          <w:tcPr>
            <w:tcW w:w="1975" w:type="dxa"/>
            <w:tcMar>
              <w:top w:w="0" w:type="dxa"/>
              <w:left w:w="108" w:type="dxa"/>
              <w:bottom w:w="0" w:type="dxa"/>
              <w:right w:w="108" w:type="dxa"/>
            </w:tcMar>
          </w:tcPr>
          <w:p w14:paraId="124C8D12" w14:textId="77777777" w:rsidR="00BE446B" w:rsidRDefault="004C4810" w:rsidP="004C4810">
            <w:pPr>
              <w:pStyle w:val="TableText"/>
              <w:keepNext/>
              <w:rPr>
                <w:i/>
              </w:rPr>
            </w:pPr>
            <w:r w:rsidRPr="004C4810">
              <w:rPr>
                <w:i/>
              </w:rPr>
              <w:t xml:space="preserve">Cost to the MBS – population 2 </w:t>
            </w:r>
          </w:p>
          <w:p w14:paraId="4B0F8CB2" w14:textId="4BB24D4E" w:rsidR="004C4810" w:rsidRPr="00CE28E3" w:rsidRDefault="004C4810" w:rsidP="004C4810">
            <w:pPr>
              <w:pStyle w:val="TableText"/>
              <w:keepNext/>
            </w:pPr>
            <w:r w:rsidRPr="004C4810">
              <w:rPr>
                <w:i/>
              </w:rPr>
              <w:t>($</w:t>
            </w:r>
            <w:r>
              <w:rPr>
                <w:i/>
              </w:rPr>
              <w:t>49.75</w:t>
            </w:r>
            <w:r w:rsidRPr="004C4810">
              <w:rPr>
                <w:i/>
              </w:rPr>
              <w:t xml:space="preserve">, </w:t>
            </w:r>
            <w:r>
              <w:rPr>
                <w:i/>
              </w:rPr>
              <w:t>85</w:t>
            </w:r>
            <w:r w:rsidRPr="004C4810">
              <w:rPr>
                <w:i/>
              </w:rPr>
              <w:t>% fee)</w:t>
            </w:r>
            <w:r w:rsidRPr="004C4810" w:rsidDel="004C4810">
              <w:rPr>
                <w:i/>
              </w:rPr>
              <w:t xml:space="preserve"> </w:t>
            </w:r>
          </w:p>
        </w:tc>
        <w:tc>
          <w:tcPr>
            <w:tcW w:w="1276" w:type="dxa"/>
            <w:tcMar>
              <w:top w:w="0" w:type="dxa"/>
              <w:left w:w="108" w:type="dxa"/>
              <w:bottom w:w="0" w:type="dxa"/>
              <w:right w:w="108" w:type="dxa"/>
            </w:tcMar>
            <w:vAlign w:val="center"/>
          </w:tcPr>
          <w:p w14:paraId="2E9552C5" w14:textId="218CE3D0" w:rsidR="004C4810" w:rsidRPr="00566EFA" w:rsidRDefault="004C4810">
            <w:pPr>
              <w:pStyle w:val="TableText"/>
              <w:keepNext/>
              <w:jc w:val="center"/>
              <w:rPr>
                <w:i/>
                <w:iCs/>
              </w:rPr>
            </w:pPr>
            <w:r w:rsidRPr="00566EFA">
              <w:rPr>
                <w:i/>
                <w:iCs/>
              </w:rPr>
              <w:t>$209,637</w:t>
            </w:r>
          </w:p>
        </w:tc>
        <w:tc>
          <w:tcPr>
            <w:tcW w:w="1134" w:type="dxa"/>
            <w:tcMar>
              <w:top w:w="0" w:type="dxa"/>
              <w:left w:w="108" w:type="dxa"/>
              <w:bottom w:w="0" w:type="dxa"/>
              <w:right w:w="108" w:type="dxa"/>
            </w:tcMar>
            <w:vAlign w:val="center"/>
          </w:tcPr>
          <w:p w14:paraId="31951BB2" w14:textId="350C5E22" w:rsidR="004C4810" w:rsidRPr="00566EFA" w:rsidRDefault="004C4810">
            <w:pPr>
              <w:pStyle w:val="TableText"/>
              <w:keepNext/>
              <w:jc w:val="center"/>
              <w:rPr>
                <w:i/>
                <w:iCs/>
              </w:rPr>
            </w:pPr>
            <w:r w:rsidRPr="00566EFA">
              <w:rPr>
                <w:i/>
                <w:iCs/>
              </w:rPr>
              <w:t>$254,859</w:t>
            </w:r>
          </w:p>
        </w:tc>
        <w:tc>
          <w:tcPr>
            <w:tcW w:w="1134" w:type="dxa"/>
            <w:tcMar>
              <w:top w:w="0" w:type="dxa"/>
              <w:left w:w="108" w:type="dxa"/>
              <w:bottom w:w="0" w:type="dxa"/>
              <w:right w:w="108" w:type="dxa"/>
            </w:tcMar>
            <w:vAlign w:val="center"/>
          </w:tcPr>
          <w:p w14:paraId="4054441F" w14:textId="36840157" w:rsidR="004C4810" w:rsidRPr="00566EFA" w:rsidRDefault="004C4810">
            <w:pPr>
              <w:pStyle w:val="TableText"/>
              <w:keepNext/>
              <w:jc w:val="center"/>
              <w:rPr>
                <w:i/>
                <w:iCs/>
              </w:rPr>
            </w:pPr>
            <w:r w:rsidRPr="00566EFA">
              <w:rPr>
                <w:i/>
                <w:iCs/>
              </w:rPr>
              <w:t>$304,112</w:t>
            </w:r>
          </w:p>
        </w:tc>
        <w:tc>
          <w:tcPr>
            <w:tcW w:w="1134" w:type="dxa"/>
            <w:tcMar>
              <w:top w:w="0" w:type="dxa"/>
              <w:left w:w="108" w:type="dxa"/>
              <w:bottom w:w="0" w:type="dxa"/>
              <w:right w:w="108" w:type="dxa"/>
            </w:tcMar>
            <w:vAlign w:val="center"/>
          </w:tcPr>
          <w:p w14:paraId="7BC62589" w14:textId="013428EC" w:rsidR="004C4810" w:rsidRPr="00566EFA" w:rsidRDefault="004C4810">
            <w:pPr>
              <w:pStyle w:val="TableText"/>
              <w:keepNext/>
              <w:jc w:val="center"/>
              <w:rPr>
                <w:i/>
                <w:iCs/>
              </w:rPr>
            </w:pPr>
            <w:r w:rsidRPr="00566EFA">
              <w:rPr>
                <w:i/>
                <w:iCs/>
              </w:rPr>
              <w:t>$308,679</w:t>
            </w:r>
          </w:p>
        </w:tc>
        <w:tc>
          <w:tcPr>
            <w:tcW w:w="1134" w:type="dxa"/>
            <w:tcMar>
              <w:top w:w="0" w:type="dxa"/>
              <w:left w:w="108" w:type="dxa"/>
              <w:bottom w:w="0" w:type="dxa"/>
              <w:right w:w="108" w:type="dxa"/>
            </w:tcMar>
            <w:vAlign w:val="center"/>
          </w:tcPr>
          <w:p w14:paraId="7B9AF586" w14:textId="681F6EB6" w:rsidR="004C4810" w:rsidRPr="00566EFA" w:rsidRDefault="004C4810">
            <w:pPr>
              <w:pStyle w:val="TableText"/>
              <w:keepNext/>
              <w:jc w:val="center"/>
              <w:rPr>
                <w:i/>
                <w:iCs/>
              </w:rPr>
            </w:pPr>
            <w:r w:rsidRPr="00566EFA">
              <w:rPr>
                <w:i/>
                <w:iCs/>
              </w:rPr>
              <w:t>$313,246</w:t>
            </w:r>
          </w:p>
        </w:tc>
        <w:tc>
          <w:tcPr>
            <w:tcW w:w="1219" w:type="dxa"/>
            <w:tcMar>
              <w:top w:w="0" w:type="dxa"/>
              <w:left w:w="108" w:type="dxa"/>
              <w:bottom w:w="0" w:type="dxa"/>
              <w:right w:w="108" w:type="dxa"/>
            </w:tcMar>
            <w:vAlign w:val="center"/>
          </w:tcPr>
          <w:p w14:paraId="02CA0028" w14:textId="18E739A0" w:rsidR="004C4810" w:rsidRPr="00566EFA" w:rsidRDefault="004C4810">
            <w:pPr>
              <w:pStyle w:val="TableText"/>
              <w:keepNext/>
              <w:jc w:val="center"/>
              <w:rPr>
                <w:i/>
                <w:iCs/>
              </w:rPr>
            </w:pPr>
            <w:r w:rsidRPr="00566EFA">
              <w:rPr>
                <w:i/>
                <w:iCs/>
              </w:rPr>
              <w:t>$317,723</w:t>
            </w:r>
          </w:p>
        </w:tc>
      </w:tr>
      <w:tr w:rsidR="006860C7" w:rsidRPr="00CE28E3" w14:paraId="4740E773" w14:textId="77777777" w:rsidTr="00566EFA">
        <w:tc>
          <w:tcPr>
            <w:tcW w:w="1975" w:type="dxa"/>
            <w:tcMar>
              <w:top w:w="0" w:type="dxa"/>
              <w:left w:w="108" w:type="dxa"/>
              <w:bottom w:w="0" w:type="dxa"/>
              <w:right w:w="108" w:type="dxa"/>
            </w:tcMar>
          </w:tcPr>
          <w:p w14:paraId="0A8480E7" w14:textId="41288F08" w:rsidR="006860C7" w:rsidRPr="00566EFA" w:rsidRDefault="006860C7" w:rsidP="006860C7">
            <w:pPr>
              <w:pStyle w:val="TableText"/>
              <w:keepNext/>
              <w:rPr>
                <w:i/>
                <w:iCs/>
              </w:rPr>
            </w:pPr>
            <w:r w:rsidRPr="00566EFA">
              <w:rPr>
                <w:i/>
                <w:iCs/>
              </w:rPr>
              <w:t xml:space="preserve">Total </w:t>
            </w:r>
            <w:proofErr w:type="spellStart"/>
            <w:r w:rsidRPr="00566EFA">
              <w:rPr>
                <w:i/>
                <w:iCs/>
              </w:rPr>
              <w:t>NTproBNP</w:t>
            </w:r>
            <w:proofErr w:type="spellEnd"/>
            <w:r w:rsidRPr="00566EFA">
              <w:rPr>
                <w:i/>
                <w:iCs/>
              </w:rPr>
              <w:t xml:space="preserve"> cost to MBS (85% fee)</w:t>
            </w:r>
          </w:p>
        </w:tc>
        <w:tc>
          <w:tcPr>
            <w:tcW w:w="1276" w:type="dxa"/>
            <w:tcMar>
              <w:top w:w="0" w:type="dxa"/>
              <w:left w:w="108" w:type="dxa"/>
              <w:bottom w:w="0" w:type="dxa"/>
              <w:right w:w="108" w:type="dxa"/>
            </w:tcMar>
            <w:vAlign w:val="center"/>
          </w:tcPr>
          <w:p w14:paraId="1851DF1C" w14:textId="799A6C1D" w:rsidR="006860C7" w:rsidRPr="00566EFA" w:rsidRDefault="006860C7">
            <w:pPr>
              <w:pStyle w:val="TableText"/>
              <w:keepNext/>
              <w:jc w:val="center"/>
              <w:rPr>
                <w:i/>
                <w:iCs/>
              </w:rPr>
            </w:pPr>
            <w:r w:rsidRPr="00566EFA">
              <w:rPr>
                <w:i/>
                <w:iCs/>
              </w:rPr>
              <w:t>$472,911</w:t>
            </w:r>
          </w:p>
        </w:tc>
        <w:tc>
          <w:tcPr>
            <w:tcW w:w="1134" w:type="dxa"/>
            <w:tcMar>
              <w:top w:w="0" w:type="dxa"/>
              <w:left w:w="108" w:type="dxa"/>
              <w:bottom w:w="0" w:type="dxa"/>
              <w:right w:w="108" w:type="dxa"/>
            </w:tcMar>
            <w:vAlign w:val="center"/>
          </w:tcPr>
          <w:p w14:paraId="17E8E9B3" w14:textId="34328F32" w:rsidR="006860C7" w:rsidRPr="00566EFA" w:rsidRDefault="006860C7">
            <w:pPr>
              <w:pStyle w:val="TableText"/>
              <w:keepNext/>
              <w:jc w:val="center"/>
              <w:rPr>
                <w:i/>
                <w:iCs/>
              </w:rPr>
            </w:pPr>
            <w:r w:rsidRPr="00566EFA">
              <w:rPr>
                <w:i/>
                <w:iCs/>
              </w:rPr>
              <w:t>$522,273</w:t>
            </w:r>
          </w:p>
        </w:tc>
        <w:tc>
          <w:tcPr>
            <w:tcW w:w="1134" w:type="dxa"/>
            <w:tcMar>
              <w:top w:w="0" w:type="dxa"/>
              <w:left w:w="108" w:type="dxa"/>
              <w:bottom w:w="0" w:type="dxa"/>
              <w:right w:w="108" w:type="dxa"/>
            </w:tcMar>
            <w:vAlign w:val="center"/>
          </w:tcPr>
          <w:p w14:paraId="5D5A382A" w14:textId="12AC31FB" w:rsidR="006860C7" w:rsidRPr="00566EFA" w:rsidRDefault="006860C7">
            <w:pPr>
              <w:pStyle w:val="TableText"/>
              <w:keepNext/>
              <w:jc w:val="center"/>
              <w:rPr>
                <w:i/>
                <w:iCs/>
              </w:rPr>
            </w:pPr>
            <w:r w:rsidRPr="00566EFA">
              <w:rPr>
                <w:i/>
                <w:iCs/>
              </w:rPr>
              <w:t>$575,613</w:t>
            </w:r>
          </w:p>
        </w:tc>
        <w:tc>
          <w:tcPr>
            <w:tcW w:w="1134" w:type="dxa"/>
            <w:tcMar>
              <w:top w:w="0" w:type="dxa"/>
              <w:left w:w="108" w:type="dxa"/>
              <w:bottom w:w="0" w:type="dxa"/>
              <w:right w:w="108" w:type="dxa"/>
            </w:tcMar>
            <w:vAlign w:val="center"/>
          </w:tcPr>
          <w:p w14:paraId="69298FAD" w14:textId="7306223A" w:rsidR="006860C7" w:rsidRPr="00566EFA" w:rsidRDefault="006860C7">
            <w:pPr>
              <w:pStyle w:val="TableText"/>
              <w:keepNext/>
              <w:jc w:val="center"/>
              <w:rPr>
                <w:i/>
                <w:iCs/>
              </w:rPr>
            </w:pPr>
            <w:r w:rsidRPr="00566EFA">
              <w:rPr>
                <w:i/>
                <w:iCs/>
              </w:rPr>
              <w:t>$584,202</w:t>
            </w:r>
          </w:p>
        </w:tc>
        <w:tc>
          <w:tcPr>
            <w:tcW w:w="1134" w:type="dxa"/>
            <w:tcMar>
              <w:top w:w="0" w:type="dxa"/>
              <w:left w:w="108" w:type="dxa"/>
              <w:bottom w:w="0" w:type="dxa"/>
              <w:right w:w="108" w:type="dxa"/>
            </w:tcMar>
            <w:vAlign w:val="center"/>
          </w:tcPr>
          <w:p w14:paraId="7A79D9AE" w14:textId="4D5C062D" w:rsidR="006860C7" w:rsidRPr="00566EFA" w:rsidRDefault="006860C7">
            <w:pPr>
              <w:pStyle w:val="TableText"/>
              <w:keepNext/>
              <w:jc w:val="center"/>
              <w:rPr>
                <w:i/>
                <w:iCs/>
              </w:rPr>
            </w:pPr>
            <w:r w:rsidRPr="00566EFA">
              <w:rPr>
                <w:i/>
                <w:iCs/>
              </w:rPr>
              <w:t>$592,727</w:t>
            </w:r>
          </w:p>
        </w:tc>
        <w:tc>
          <w:tcPr>
            <w:tcW w:w="1219" w:type="dxa"/>
            <w:tcMar>
              <w:top w:w="0" w:type="dxa"/>
              <w:left w:w="108" w:type="dxa"/>
              <w:bottom w:w="0" w:type="dxa"/>
              <w:right w:w="108" w:type="dxa"/>
            </w:tcMar>
            <w:vAlign w:val="center"/>
          </w:tcPr>
          <w:p w14:paraId="2FA0CF63" w14:textId="5E65D6F8" w:rsidR="006860C7" w:rsidRPr="00566EFA" w:rsidRDefault="006860C7">
            <w:pPr>
              <w:pStyle w:val="TableText"/>
              <w:keepNext/>
              <w:jc w:val="center"/>
              <w:rPr>
                <w:i/>
                <w:iCs/>
              </w:rPr>
            </w:pPr>
            <w:r w:rsidRPr="00566EFA">
              <w:rPr>
                <w:i/>
                <w:iCs/>
              </w:rPr>
              <w:t>$601,080</w:t>
            </w:r>
          </w:p>
        </w:tc>
      </w:tr>
      <w:tr w:rsidR="00E4281E" w:rsidRPr="00CE28E3" w14:paraId="1B95B9EA" w14:textId="77777777" w:rsidTr="00566EFA">
        <w:tc>
          <w:tcPr>
            <w:tcW w:w="9006" w:type="dxa"/>
            <w:gridSpan w:val="7"/>
            <w:tcMar>
              <w:top w:w="0" w:type="dxa"/>
              <w:left w:w="108" w:type="dxa"/>
              <w:bottom w:w="0" w:type="dxa"/>
              <w:right w:w="108" w:type="dxa"/>
            </w:tcMar>
            <w:hideMark/>
          </w:tcPr>
          <w:p w14:paraId="545352A0" w14:textId="77777777" w:rsidR="00E4281E" w:rsidRPr="00CE28E3" w:rsidRDefault="00E4281E" w:rsidP="00E4281E">
            <w:pPr>
              <w:pStyle w:val="TableText"/>
              <w:keepNext/>
              <w:rPr>
                <w:b/>
                <w:bCs/>
              </w:rPr>
            </w:pPr>
            <w:r w:rsidRPr="00CE28E3">
              <w:rPr>
                <w:b/>
                <w:bCs/>
              </w:rPr>
              <w:t>Change in use and cost of other health technologies</w:t>
            </w:r>
          </w:p>
        </w:tc>
      </w:tr>
      <w:tr w:rsidR="00745270" w:rsidRPr="00CE28E3" w14:paraId="57A5575A" w14:textId="77777777" w:rsidTr="00566EFA">
        <w:tc>
          <w:tcPr>
            <w:tcW w:w="1975" w:type="dxa"/>
            <w:tcMar>
              <w:top w:w="0" w:type="dxa"/>
              <w:left w:w="108" w:type="dxa"/>
              <w:bottom w:w="0" w:type="dxa"/>
              <w:right w:w="108" w:type="dxa"/>
            </w:tcMar>
            <w:hideMark/>
          </w:tcPr>
          <w:p w14:paraId="5A0A0E2A" w14:textId="49011883" w:rsidR="00745270" w:rsidRPr="000B6909" w:rsidRDefault="00745270" w:rsidP="00745270">
            <w:pPr>
              <w:pStyle w:val="TableText"/>
              <w:keepNext/>
            </w:pPr>
            <w:r w:rsidRPr="00CE28E3">
              <w:t xml:space="preserve">Change in use of </w:t>
            </w:r>
            <w:r>
              <w:t>TTE</w:t>
            </w:r>
            <w:r w:rsidRPr="00262B03">
              <w:rPr>
                <w:i/>
              </w:rPr>
              <w:t xml:space="preserve"> </w:t>
            </w:r>
            <w:r>
              <w:rPr>
                <w:i/>
              </w:rPr>
              <w:t>(</w:t>
            </w:r>
            <w:r w:rsidRPr="00262B03">
              <w:rPr>
                <w:i/>
              </w:rPr>
              <w:t>Revised</w:t>
            </w:r>
            <w:r>
              <w:rPr>
                <w:i/>
              </w:rPr>
              <w:t xml:space="preserve"> </w:t>
            </w:r>
            <w:r w:rsidR="00CE78B6">
              <w:rPr>
                <w:i/>
                <w:vertAlign w:val="superscript"/>
              </w:rPr>
              <w:t>c</w:t>
            </w:r>
            <w:r>
              <w:rPr>
                <w:i/>
              </w:rPr>
              <w:t>)</w:t>
            </w:r>
            <w:r>
              <w:rPr>
                <w:i/>
                <w:vertAlign w:val="superscript"/>
              </w:rPr>
              <w:t xml:space="preserve">   </w:t>
            </w:r>
          </w:p>
        </w:tc>
        <w:tc>
          <w:tcPr>
            <w:tcW w:w="1276" w:type="dxa"/>
            <w:tcMar>
              <w:top w:w="0" w:type="dxa"/>
              <w:left w:w="108" w:type="dxa"/>
              <w:bottom w:w="0" w:type="dxa"/>
              <w:right w:w="108" w:type="dxa"/>
            </w:tcMar>
            <w:vAlign w:val="center"/>
          </w:tcPr>
          <w:p w14:paraId="4ECE3806" w14:textId="03F4D425" w:rsidR="00745270" w:rsidRPr="00CE28E3" w:rsidRDefault="00745270">
            <w:pPr>
              <w:pStyle w:val="TableText"/>
              <w:keepNext/>
              <w:jc w:val="center"/>
            </w:pPr>
            <w:r>
              <w:t>-</w:t>
            </w:r>
            <w:r w:rsidRPr="004B7FD3">
              <w:t>6,918</w:t>
            </w:r>
          </w:p>
        </w:tc>
        <w:tc>
          <w:tcPr>
            <w:tcW w:w="1134" w:type="dxa"/>
            <w:tcMar>
              <w:top w:w="0" w:type="dxa"/>
              <w:left w:w="108" w:type="dxa"/>
              <w:bottom w:w="0" w:type="dxa"/>
              <w:right w:w="108" w:type="dxa"/>
            </w:tcMar>
            <w:vAlign w:val="center"/>
          </w:tcPr>
          <w:p w14:paraId="5848250E" w14:textId="627B4011" w:rsidR="00745270" w:rsidRPr="00CE28E3" w:rsidRDefault="00745270">
            <w:pPr>
              <w:pStyle w:val="TableText"/>
              <w:keepNext/>
              <w:jc w:val="center"/>
            </w:pPr>
            <w:r>
              <w:t>-</w:t>
            </w:r>
            <w:r w:rsidRPr="004B7FD3">
              <w:t>7,448</w:t>
            </w:r>
          </w:p>
        </w:tc>
        <w:tc>
          <w:tcPr>
            <w:tcW w:w="1134" w:type="dxa"/>
            <w:tcMar>
              <w:top w:w="0" w:type="dxa"/>
              <w:left w:w="108" w:type="dxa"/>
              <w:bottom w:w="0" w:type="dxa"/>
              <w:right w:w="108" w:type="dxa"/>
            </w:tcMar>
            <w:vAlign w:val="center"/>
          </w:tcPr>
          <w:p w14:paraId="62C272FC" w14:textId="2D55C7F5" w:rsidR="00745270" w:rsidRPr="00CE28E3" w:rsidRDefault="00745270">
            <w:pPr>
              <w:pStyle w:val="TableText"/>
              <w:keepNext/>
              <w:jc w:val="center"/>
            </w:pPr>
            <w:r>
              <w:t>-</w:t>
            </w:r>
            <w:r w:rsidRPr="004B7FD3">
              <w:t>8,018</w:t>
            </w:r>
          </w:p>
        </w:tc>
        <w:tc>
          <w:tcPr>
            <w:tcW w:w="1134" w:type="dxa"/>
            <w:tcMar>
              <w:top w:w="0" w:type="dxa"/>
              <w:left w:w="108" w:type="dxa"/>
              <w:bottom w:w="0" w:type="dxa"/>
              <w:right w:w="108" w:type="dxa"/>
            </w:tcMar>
            <w:vAlign w:val="center"/>
          </w:tcPr>
          <w:p w14:paraId="58C212C6" w14:textId="4EE4DE8A" w:rsidR="00745270" w:rsidRPr="00CE28E3" w:rsidRDefault="00745270">
            <w:pPr>
              <w:pStyle w:val="TableText"/>
              <w:keepNext/>
              <w:jc w:val="center"/>
            </w:pPr>
            <w:r>
              <w:t>-</w:t>
            </w:r>
            <w:r w:rsidRPr="004B7FD3">
              <w:t>8,137</w:t>
            </w:r>
          </w:p>
        </w:tc>
        <w:tc>
          <w:tcPr>
            <w:tcW w:w="1134" w:type="dxa"/>
            <w:tcMar>
              <w:top w:w="0" w:type="dxa"/>
              <w:left w:w="108" w:type="dxa"/>
              <w:bottom w:w="0" w:type="dxa"/>
              <w:right w:w="108" w:type="dxa"/>
            </w:tcMar>
            <w:vAlign w:val="center"/>
          </w:tcPr>
          <w:p w14:paraId="28571EFB" w14:textId="3D3A3A7C" w:rsidR="00745270" w:rsidRPr="00CE28E3" w:rsidRDefault="00745270">
            <w:pPr>
              <w:pStyle w:val="TableText"/>
              <w:keepNext/>
              <w:jc w:val="center"/>
            </w:pPr>
            <w:r>
              <w:t>-</w:t>
            </w:r>
            <w:r w:rsidRPr="004B7FD3">
              <w:t>8,255</w:t>
            </w:r>
          </w:p>
        </w:tc>
        <w:tc>
          <w:tcPr>
            <w:tcW w:w="1219" w:type="dxa"/>
            <w:tcMar>
              <w:top w:w="0" w:type="dxa"/>
              <w:left w:w="108" w:type="dxa"/>
              <w:bottom w:w="0" w:type="dxa"/>
              <w:right w:w="108" w:type="dxa"/>
            </w:tcMar>
            <w:vAlign w:val="center"/>
          </w:tcPr>
          <w:p w14:paraId="314C4FFC" w14:textId="7DE28587" w:rsidR="00745270" w:rsidRPr="00CE28E3" w:rsidRDefault="00745270">
            <w:pPr>
              <w:pStyle w:val="TableText"/>
              <w:keepNext/>
              <w:jc w:val="center"/>
            </w:pPr>
            <w:r>
              <w:t>-</w:t>
            </w:r>
            <w:r w:rsidRPr="004B7FD3">
              <w:t>8,371</w:t>
            </w:r>
          </w:p>
        </w:tc>
      </w:tr>
      <w:tr w:rsidR="00DC6A44" w:rsidRPr="00CE28E3" w14:paraId="77F8977D" w14:textId="77777777" w:rsidTr="00566EFA">
        <w:tc>
          <w:tcPr>
            <w:tcW w:w="1975" w:type="dxa"/>
            <w:tcMar>
              <w:top w:w="0" w:type="dxa"/>
              <w:left w:w="108" w:type="dxa"/>
              <w:bottom w:w="0" w:type="dxa"/>
              <w:right w:w="108" w:type="dxa"/>
            </w:tcMar>
            <w:hideMark/>
          </w:tcPr>
          <w:p w14:paraId="55FFAB86" w14:textId="4A1635AD" w:rsidR="002F4FE1" w:rsidRDefault="00DC6A44" w:rsidP="00DC6A44">
            <w:pPr>
              <w:pStyle w:val="TableText"/>
              <w:keepNext/>
            </w:pPr>
            <w:r w:rsidRPr="00CE28E3">
              <w:t xml:space="preserve">Net change in costs to the </w:t>
            </w:r>
            <w:r>
              <w:t xml:space="preserve">MBS </w:t>
            </w:r>
            <w:r w:rsidR="00CE78B6">
              <w:t xml:space="preserve"> </w:t>
            </w:r>
          </w:p>
          <w:p w14:paraId="6818057B" w14:textId="46BECA93" w:rsidR="00DC6A44" w:rsidRPr="00CE78B6" w:rsidRDefault="00DC6A44" w:rsidP="00DC6A44">
            <w:pPr>
              <w:pStyle w:val="TableText"/>
              <w:keepNext/>
              <w:rPr>
                <w:vertAlign w:val="superscript"/>
              </w:rPr>
            </w:pPr>
            <w:r w:rsidRPr="00566EFA">
              <w:rPr>
                <w:i/>
              </w:rPr>
              <w:t>($</w:t>
            </w:r>
            <w:r w:rsidR="002F4FE1" w:rsidRPr="002F4FE1">
              <w:rPr>
                <w:i/>
              </w:rPr>
              <w:t>200.85</w:t>
            </w:r>
            <w:r w:rsidR="002F4FE1">
              <w:rPr>
                <w:i/>
              </w:rPr>
              <w:t>, 85% fee</w:t>
            </w:r>
            <w:r w:rsidRPr="00566EFA">
              <w:rPr>
                <w:i/>
              </w:rPr>
              <w:t>)</w:t>
            </w:r>
            <w:r w:rsidR="00CE78B6">
              <w:rPr>
                <w:i/>
              </w:rPr>
              <w:t xml:space="preserve"> </w:t>
            </w:r>
            <w:r w:rsidR="00CE78B6">
              <w:rPr>
                <w:i/>
                <w:vertAlign w:val="superscript"/>
              </w:rPr>
              <w:t>d</w:t>
            </w:r>
          </w:p>
        </w:tc>
        <w:tc>
          <w:tcPr>
            <w:tcW w:w="1276" w:type="dxa"/>
            <w:tcMar>
              <w:top w:w="0" w:type="dxa"/>
              <w:left w:w="108" w:type="dxa"/>
              <w:bottom w:w="0" w:type="dxa"/>
              <w:right w:w="108" w:type="dxa"/>
            </w:tcMar>
            <w:vAlign w:val="center"/>
          </w:tcPr>
          <w:p w14:paraId="7C97359E" w14:textId="0A63BA21" w:rsidR="00DC6A44" w:rsidRPr="00566EFA" w:rsidRDefault="00DC6A44">
            <w:pPr>
              <w:pStyle w:val="TableText"/>
              <w:keepNext/>
              <w:jc w:val="center"/>
              <w:rPr>
                <w:i/>
                <w:iCs/>
              </w:rPr>
            </w:pPr>
            <w:r w:rsidRPr="00566EFA">
              <w:rPr>
                <w:i/>
                <w:iCs/>
              </w:rPr>
              <w:t>-$1,379,770</w:t>
            </w:r>
          </w:p>
        </w:tc>
        <w:tc>
          <w:tcPr>
            <w:tcW w:w="1134" w:type="dxa"/>
            <w:tcMar>
              <w:top w:w="0" w:type="dxa"/>
              <w:left w:w="108" w:type="dxa"/>
              <w:bottom w:w="0" w:type="dxa"/>
              <w:right w:w="108" w:type="dxa"/>
            </w:tcMar>
            <w:vAlign w:val="center"/>
          </w:tcPr>
          <w:p w14:paraId="4FF0EADB" w14:textId="43A0D02D" w:rsidR="00DC6A44" w:rsidRPr="00566EFA" w:rsidRDefault="00DC6A44">
            <w:pPr>
              <w:pStyle w:val="TableText"/>
              <w:keepNext/>
              <w:jc w:val="center"/>
              <w:rPr>
                <w:i/>
                <w:iCs/>
              </w:rPr>
            </w:pPr>
            <w:r w:rsidRPr="00566EFA">
              <w:rPr>
                <w:i/>
                <w:iCs/>
              </w:rPr>
              <w:t>-$1,486,095</w:t>
            </w:r>
          </w:p>
        </w:tc>
        <w:tc>
          <w:tcPr>
            <w:tcW w:w="1134" w:type="dxa"/>
            <w:tcMar>
              <w:top w:w="0" w:type="dxa"/>
              <w:left w:w="108" w:type="dxa"/>
              <w:bottom w:w="0" w:type="dxa"/>
              <w:right w:w="108" w:type="dxa"/>
            </w:tcMar>
            <w:vAlign w:val="center"/>
          </w:tcPr>
          <w:p w14:paraId="686EA228" w14:textId="7AC387C7" w:rsidR="00DC6A44" w:rsidRPr="00566EFA" w:rsidRDefault="00DC6A44">
            <w:pPr>
              <w:pStyle w:val="TableText"/>
              <w:keepNext/>
              <w:jc w:val="center"/>
              <w:rPr>
                <w:i/>
                <w:iCs/>
              </w:rPr>
            </w:pPr>
            <w:r w:rsidRPr="00566EFA">
              <w:rPr>
                <w:i/>
                <w:iCs/>
              </w:rPr>
              <w:t>-$1,600,369</w:t>
            </w:r>
          </w:p>
        </w:tc>
        <w:tc>
          <w:tcPr>
            <w:tcW w:w="1134" w:type="dxa"/>
            <w:tcMar>
              <w:top w:w="0" w:type="dxa"/>
              <w:left w:w="108" w:type="dxa"/>
              <w:bottom w:w="0" w:type="dxa"/>
              <w:right w:w="108" w:type="dxa"/>
            </w:tcMar>
            <w:vAlign w:val="center"/>
          </w:tcPr>
          <w:p w14:paraId="774FC71F" w14:textId="6B03D746" w:rsidR="00DC6A44" w:rsidRPr="00566EFA" w:rsidRDefault="00DC6A44">
            <w:pPr>
              <w:pStyle w:val="TableText"/>
              <w:keepNext/>
              <w:jc w:val="center"/>
              <w:rPr>
                <w:i/>
                <w:iCs/>
              </w:rPr>
            </w:pPr>
            <w:r w:rsidRPr="00566EFA">
              <w:rPr>
                <w:i/>
                <w:iCs/>
              </w:rPr>
              <w:t>-$1,624,200</w:t>
            </w:r>
          </w:p>
        </w:tc>
        <w:tc>
          <w:tcPr>
            <w:tcW w:w="1134" w:type="dxa"/>
            <w:tcMar>
              <w:top w:w="0" w:type="dxa"/>
              <w:left w:w="108" w:type="dxa"/>
              <w:bottom w:w="0" w:type="dxa"/>
              <w:right w:w="108" w:type="dxa"/>
            </w:tcMar>
            <w:vAlign w:val="center"/>
          </w:tcPr>
          <w:p w14:paraId="4A96F45C" w14:textId="1F4E57B9" w:rsidR="00DC6A44" w:rsidRPr="00566EFA" w:rsidRDefault="00DC6A44">
            <w:pPr>
              <w:pStyle w:val="TableText"/>
              <w:keepNext/>
              <w:jc w:val="center"/>
              <w:rPr>
                <w:i/>
                <w:iCs/>
              </w:rPr>
            </w:pPr>
            <w:r w:rsidRPr="00566EFA">
              <w:rPr>
                <w:i/>
                <w:iCs/>
              </w:rPr>
              <w:t>-$1,647,803</w:t>
            </w:r>
          </w:p>
        </w:tc>
        <w:tc>
          <w:tcPr>
            <w:tcW w:w="1219" w:type="dxa"/>
            <w:tcMar>
              <w:top w:w="0" w:type="dxa"/>
              <w:left w:w="108" w:type="dxa"/>
              <w:bottom w:w="0" w:type="dxa"/>
              <w:right w:w="108" w:type="dxa"/>
            </w:tcMar>
            <w:vAlign w:val="center"/>
          </w:tcPr>
          <w:p w14:paraId="1C295041" w14:textId="095EBA01" w:rsidR="00DC6A44" w:rsidRPr="00566EFA" w:rsidRDefault="00DC6A44">
            <w:pPr>
              <w:pStyle w:val="TableText"/>
              <w:keepNext/>
              <w:jc w:val="center"/>
              <w:rPr>
                <w:i/>
                <w:iCs/>
              </w:rPr>
            </w:pPr>
            <w:r w:rsidRPr="00566EFA">
              <w:rPr>
                <w:i/>
                <w:iCs/>
              </w:rPr>
              <w:t>-$1,670,922</w:t>
            </w:r>
          </w:p>
        </w:tc>
      </w:tr>
      <w:tr w:rsidR="00166524" w:rsidRPr="00CE28E3" w14:paraId="53C99CFC" w14:textId="77777777" w:rsidTr="00566EFA">
        <w:tc>
          <w:tcPr>
            <w:tcW w:w="1975" w:type="dxa"/>
            <w:tcMar>
              <w:top w:w="0" w:type="dxa"/>
              <w:left w:w="108" w:type="dxa"/>
              <w:bottom w:w="0" w:type="dxa"/>
              <w:right w:w="108" w:type="dxa"/>
            </w:tcMar>
            <w:hideMark/>
          </w:tcPr>
          <w:p w14:paraId="781F83F9" w14:textId="77777777" w:rsidR="00166524" w:rsidRPr="00CE28E3" w:rsidRDefault="00166524" w:rsidP="00166524">
            <w:pPr>
              <w:pStyle w:val="TableText"/>
              <w:keepNext/>
              <w:rPr>
                <w:b/>
                <w:bCs/>
              </w:rPr>
            </w:pPr>
            <w:r w:rsidRPr="00CE28E3">
              <w:rPr>
                <w:b/>
                <w:bCs/>
              </w:rPr>
              <w:t xml:space="preserve">Net financial impact to the </w:t>
            </w:r>
            <w:r>
              <w:rPr>
                <w:b/>
                <w:bCs/>
              </w:rPr>
              <w:t>MBS</w:t>
            </w:r>
          </w:p>
        </w:tc>
        <w:tc>
          <w:tcPr>
            <w:tcW w:w="1276" w:type="dxa"/>
            <w:tcMar>
              <w:top w:w="0" w:type="dxa"/>
              <w:left w:w="108" w:type="dxa"/>
              <w:bottom w:w="0" w:type="dxa"/>
              <w:right w:w="108" w:type="dxa"/>
            </w:tcMar>
            <w:vAlign w:val="center"/>
          </w:tcPr>
          <w:p w14:paraId="6C16ECE7" w14:textId="121277E8" w:rsidR="00166524" w:rsidRPr="00566EFA" w:rsidRDefault="00166524">
            <w:pPr>
              <w:pStyle w:val="TableText"/>
              <w:keepNext/>
              <w:jc w:val="center"/>
              <w:rPr>
                <w:b/>
                <w:bCs/>
                <w:i/>
                <w:iCs/>
              </w:rPr>
            </w:pPr>
            <w:r w:rsidRPr="00566EFA">
              <w:rPr>
                <w:i/>
                <w:iCs/>
              </w:rPr>
              <w:t>-$906,859</w:t>
            </w:r>
          </w:p>
        </w:tc>
        <w:tc>
          <w:tcPr>
            <w:tcW w:w="1134" w:type="dxa"/>
            <w:tcMar>
              <w:top w:w="0" w:type="dxa"/>
              <w:left w:w="108" w:type="dxa"/>
              <w:bottom w:w="0" w:type="dxa"/>
              <w:right w:w="108" w:type="dxa"/>
            </w:tcMar>
            <w:vAlign w:val="center"/>
          </w:tcPr>
          <w:p w14:paraId="468B4717" w14:textId="698EB3F4" w:rsidR="00166524" w:rsidRPr="00566EFA" w:rsidRDefault="00166524">
            <w:pPr>
              <w:pStyle w:val="TableText"/>
              <w:keepNext/>
              <w:jc w:val="center"/>
              <w:rPr>
                <w:b/>
                <w:bCs/>
                <w:i/>
                <w:iCs/>
              </w:rPr>
            </w:pPr>
            <w:r w:rsidRPr="00566EFA">
              <w:rPr>
                <w:i/>
                <w:iCs/>
              </w:rPr>
              <w:t>-$963,823</w:t>
            </w:r>
          </w:p>
        </w:tc>
        <w:tc>
          <w:tcPr>
            <w:tcW w:w="1134" w:type="dxa"/>
            <w:tcMar>
              <w:top w:w="0" w:type="dxa"/>
              <w:left w:w="108" w:type="dxa"/>
              <w:bottom w:w="0" w:type="dxa"/>
              <w:right w:w="108" w:type="dxa"/>
            </w:tcMar>
            <w:vAlign w:val="center"/>
          </w:tcPr>
          <w:p w14:paraId="683309DB" w14:textId="229A8C15" w:rsidR="00166524" w:rsidRPr="00566EFA" w:rsidRDefault="00166524">
            <w:pPr>
              <w:pStyle w:val="TableText"/>
              <w:keepNext/>
              <w:jc w:val="center"/>
              <w:rPr>
                <w:b/>
                <w:bCs/>
                <w:i/>
                <w:iCs/>
              </w:rPr>
            </w:pPr>
            <w:r w:rsidRPr="00566EFA">
              <w:rPr>
                <w:i/>
                <w:iCs/>
              </w:rPr>
              <w:t>-$1,024,756</w:t>
            </w:r>
          </w:p>
        </w:tc>
        <w:tc>
          <w:tcPr>
            <w:tcW w:w="1134" w:type="dxa"/>
            <w:tcMar>
              <w:top w:w="0" w:type="dxa"/>
              <w:left w:w="108" w:type="dxa"/>
              <w:bottom w:w="0" w:type="dxa"/>
              <w:right w:w="108" w:type="dxa"/>
            </w:tcMar>
            <w:vAlign w:val="center"/>
          </w:tcPr>
          <w:p w14:paraId="090E01DC" w14:textId="1DFCBF72" w:rsidR="00166524" w:rsidRPr="00566EFA" w:rsidRDefault="00166524">
            <w:pPr>
              <w:pStyle w:val="TableText"/>
              <w:keepNext/>
              <w:jc w:val="center"/>
              <w:rPr>
                <w:b/>
                <w:bCs/>
                <w:i/>
                <w:iCs/>
              </w:rPr>
            </w:pPr>
            <w:r w:rsidRPr="00566EFA">
              <w:rPr>
                <w:i/>
                <w:iCs/>
              </w:rPr>
              <w:t>-$1,039,998</w:t>
            </w:r>
          </w:p>
        </w:tc>
        <w:tc>
          <w:tcPr>
            <w:tcW w:w="1134" w:type="dxa"/>
            <w:tcMar>
              <w:top w:w="0" w:type="dxa"/>
              <w:left w:w="108" w:type="dxa"/>
              <w:bottom w:w="0" w:type="dxa"/>
              <w:right w:w="108" w:type="dxa"/>
            </w:tcMar>
            <w:vAlign w:val="center"/>
          </w:tcPr>
          <w:p w14:paraId="796A0C97" w14:textId="04494CA3" w:rsidR="00166524" w:rsidRPr="00566EFA" w:rsidRDefault="00166524">
            <w:pPr>
              <w:pStyle w:val="TableText"/>
              <w:keepNext/>
              <w:jc w:val="center"/>
              <w:rPr>
                <w:b/>
                <w:bCs/>
                <w:i/>
                <w:iCs/>
              </w:rPr>
            </w:pPr>
            <w:r w:rsidRPr="00566EFA">
              <w:rPr>
                <w:i/>
                <w:iCs/>
              </w:rPr>
              <w:t>-$1,055,075</w:t>
            </w:r>
          </w:p>
        </w:tc>
        <w:tc>
          <w:tcPr>
            <w:tcW w:w="1219" w:type="dxa"/>
            <w:tcMar>
              <w:top w:w="0" w:type="dxa"/>
              <w:left w:w="108" w:type="dxa"/>
              <w:bottom w:w="0" w:type="dxa"/>
              <w:right w:w="108" w:type="dxa"/>
            </w:tcMar>
            <w:vAlign w:val="center"/>
          </w:tcPr>
          <w:p w14:paraId="7471FB7B" w14:textId="14161FAA" w:rsidR="00166524" w:rsidRPr="00566EFA" w:rsidRDefault="00166524">
            <w:pPr>
              <w:pStyle w:val="TableText"/>
              <w:keepNext/>
              <w:jc w:val="center"/>
              <w:rPr>
                <w:b/>
                <w:bCs/>
                <w:i/>
                <w:iCs/>
              </w:rPr>
            </w:pPr>
            <w:r w:rsidRPr="00566EFA">
              <w:rPr>
                <w:i/>
                <w:iCs/>
              </w:rPr>
              <w:t>-$1,069,842</w:t>
            </w:r>
          </w:p>
        </w:tc>
      </w:tr>
    </w:tbl>
    <w:bookmarkEnd w:id="59"/>
    <w:p w14:paraId="6B8904EA" w14:textId="77777777" w:rsidR="00E4281E" w:rsidRPr="0078733E" w:rsidRDefault="00E4281E" w:rsidP="00E4281E">
      <w:pPr>
        <w:pStyle w:val="Tablenotes0"/>
        <w:rPr>
          <w:i/>
        </w:rPr>
      </w:pPr>
      <w:r w:rsidRPr="0078733E">
        <w:rPr>
          <w:i/>
        </w:rPr>
        <w:t xml:space="preserve">Source: Adapted from Table 41 of the ‘ADAR 1689 </w:t>
      </w:r>
      <w:proofErr w:type="spellStart"/>
      <w:r w:rsidRPr="0078733E">
        <w:rPr>
          <w:i/>
        </w:rPr>
        <w:t>NTproBNP</w:t>
      </w:r>
      <w:proofErr w:type="spellEnd"/>
      <w:r w:rsidRPr="0078733E">
        <w:rPr>
          <w:i/>
        </w:rPr>
        <w:t xml:space="preserve"> MSAC ADAR 1689 – FINAL’ using</w:t>
      </w:r>
      <w:r>
        <w:rPr>
          <w:i/>
        </w:rPr>
        <w:t xml:space="preserve"> </w:t>
      </w:r>
      <w:r w:rsidRPr="00086F5F">
        <w:rPr>
          <w:i/>
        </w:rPr>
        <w:t xml:space="preserve">the Excel workbook ‘ADAR 1689 </w:t>
      </w:r>
      <w:r>
        <w:rPr>
          <w:i/>
        </w:rPr>
        <w:t>NT-</w:t>
      </w:r>
      <w:proofErr w:type="spellStart"/>
      <w:r>
        <w:rPr>
          <w:i/>
        </w:rPr>
        <w:t>proBNP</w:t>
      </w:r>
      <w:proofErr w:type="spellEnd"/>
      <w:r>
        <w:rPr>
          <w:i/>
        </w:rPr>
        <w:t xml:space="preserve"> MSAC </w:t>
      </w:r>
      <w:proofErr w:type="spellStart"/>
      <w:r>
        <w:rPr>
          <w:i/>
        </w:rPr>
        <w:t>SSc_PAH_Section</w:t>
      </w:r>
      <w:proofErr w:type="spellEnd"/>
      <w:r>
        <w:rPr>
          <w:i/>
        </w:rPr>
        <w:t xml:space="preserve"> 4</w:t>
      </w:r>
      <w:r w:rsidRPr="00086F5F">
        <w:rPr>
          <w:i/>
        </w:rPr>
        <w:t>’</w:t>
      </w:r>
      <w:r w:rsidRPr="0078733E">
        <w:rPr>
          <w:i/>
        </w:rPr>
        <w:t xml:space="preserve"> </w:t>
      </w:r>
    </w:p>
    <w:p w14:paraId="028E8032" w14:textId="17552F1F" w:rsidR="00E4281E" w:rsidRPr="0078733E" w:rsidRDefault="00E4281E" w:rsidP="00E4281E">
      <w:pPr>
        <w:pStyle w:val="Tablenotes0"/>
        <w:rPr>
          <w:i/>
        </w:rPr>
      </w:pPr>
      <w:r w:rsidRPr="0078733E">
        <w:rPr>
          <w:i/>
        </w:rPr>
        <w:t>MBS = Medicare Benefits Schedule; NT-</w:t>
      </w:r>
      <w:proofErr w:type="spellStart"/>
      <w:r w:rsidRPr="0078733E">
        <w:rPr>
          <w:i/>
        </w:rPr>
        <w:t>proBNP</w:t>
      </w:r>
      <w:proofErr w:type="spellEnd"/>
      <w:r w:rsidRPr="0078733E" w:rsidDel="00E4612A">
        <w:rPr>
          <w:i/>
        </w:rPr>
        <w:t xml:space="preserve"> </w:t>
      </w:r>
      <w:r w:rsidRPr="0078733E">
        <w:rPr>
          <w:i/>
        </w:rPr>
        <w:t xml:space="preserve">N-terminal pro-brain natriuretic peptide; PAH = pulmonary arterial hypertension; </w:t>
      </w:r>
      <w:r w:rsidR="00936724">
        <w:rPr>
          <w:i/>
        </w:rPr>
        <w:br/>
      </w:r>
      <w:proofErr w:type="spellStart"/>
      <w:r w:rsidRPr="0078733E">
        <w:rPr>
          <w:i/>
        </w:rPr>
        <w:t>SSc</w:t>
      </w:r>
      <w:proofErr w:type="spellEnd"/>
      <w:r w:rsidRPr="0078733E">
        <w:rPr>
          <w:i/>
        </w:rPr>
        <w:t xml:space="preserve"> = systemic sclerosis; TTE = Transthoracic Echocardiogram</w:t>
      </w:r>
    </w:p>
    <w:p w14:paraId="24F04B9A" w14:textId="3D1A197F" w:rsidR="00E4281E" w:rsidRDefault="00CE78B6" w:rsidP="00E4281E">
      <w:pPr>
        <w:pStyle w:val="Tablenotes0"/>
        <w:rPr>
          <w:i/>
          <w:iCs/>
        </w:rPr>
      </w:pPr>
      <w:proofErr w:type="spellStart"/>
      <w:r>
        <w:rPr>
          <w:i/>
          <w:iCs/>
          <w:vertAlign w:val="superscript"/>
        </w:rPr>
        <w:t>a</w:t>
      </w:r>
      <w:proofErr w:type="spellEnd"/>
      <w:r w:rsidR="00E4281E">
        <w:rPr>
          <w:i/>
          <w:iCs/>
        </w:rPr>
        <w:t xml:space="preserve"> The cost to the MBS is revised by multiplying the ‘Number of services of NT-</w:t>
      </w:r>
      <w:proofErr w:type="spellStart"/>
      <w:r w:rsidR="00E4281E">
        <w:rPr>
          <w:i/>
          <w:iCs/>
        </w:rPr>
        <w:t>proBNP</w:t>
      </w:r>
      <w:proofErr w:type="spellEnd"/>
      <w:r w:rsidR="00E4281E">
        <w:rPr>
          <w:i/>
          <w:iCs/>
        </w:rPr>
        <w:t xml:space="preserve"> in Population 1’, by the 85% benefit for MBS item </w:t>
      </w:r>
      <w:r w:rsidR="00E4281E" w:rsidRPr="001A5266">
        <w:rPr>
          <w:i/>
          <w:iCs/>
        </w:rPr>
        <w:t>66830</w:t>
      </w:r>
      <w:r w:rsidR="00E4281E">
        <w:rPr>
          <w:i/>
          <w:iCs/>
        </w:rPr>
        <w:t xml:space="preserve"> (=$49.75).</w:t>
      </w:r>
    </w:p>
    <w:p w14:paraId="31911F13" w14:textId="5E5CF927" w:rsidR="00E4281E" w:rsidRDefault="00CE78B6" w:rsidP="00E4281E">
      <w:pPr>
        <w:pStyle w:val="Tablenotes0"/>
        <w:rPr>
          <w:i/>
        </w:rPr>
      </w:pPr>
      <w:r>
        <w:rPr>
          <w:i/>
          <w:vertAlign w:val="superscript"/>
        </w:rPr>
        <w:t>b</w:t>
      </w:r>
      <w:r w:rsidR="00E4281E">
        <w:rPr>
          <w:i/>
        </w:rPr>
        <w:t xml:space="preserve"> </w:t>
      </w:r>
      <w:r w:rsidR="00E4281E" w:rsidRPr="00F222A3">
        <w:rPr>
          <w:i/>
        </w:rPr>
        <w:t xml:space="preserve">The “Total patients with PAH” is revised </w:t>
      </w:r>
      <w:r w:rsidR="00E4281E" w:rsidRPr="00AC3653">
        <w:rPr>
          <w:i/>
        </w:rPr>
        <w:t>by adding the “Total patients with PAH” in Year (n) and “Inci</w:t>
      </w:r>
      <w:r w:rsidR="0024322D">
        <w:rPr>
          <w:i/>
        </w:rPr>
        <w:t>d</w:t>
      </w:r>
      <w:r w:rsidR="00E4281E" w:rsidRPr="00AC3653">
        <w:rPr>
          <w:i/>
        </w:rPr>
        <w:t>ent number of PAH patients” in Year (n+1)</w:t>
      </w:r>
      <w:r w:rsidR="00E4281E">
        <w:rPr>
          <w:i/>
        </w:rPr>
        <w:t xml:space="preserve"> (see</w:t>
      </w:r>
      <w:r w:rsidR="00E4281E" w:rsidRPr="00F222A3">
        <w:rPr>
          <w:i/>
        </w:rPr>
        <w:t xml:space="preserve"> last row of Table 35</w:t>
      </w:r>
      <w:r w:rsidR="00E4281E">
        <w:rPr>
          <w:i/>
        </w:rPr>
        <w:t>)</w:t>
      </w:r>
    </w:p>
    <w:p w14:paraId="331DCE6C" w14:textId="04477E7E" w:rsidR="00E4281E" w:rsidRDefault="00CE78B6" w:rsidP="00E4281E">
      <w:pPr>
        <w:pStyle w:val="Tablenotes0"/>
        <w:rPr>
          <w:i/>
        </w:rPr>
      </w:pPr>
      <w:r>
        <w:rPr>
          <w:i/>
          <w:vertAlign w:val="superscript"/>
        </w:rPr>
        <w:lastRenderedPageBreak/>
        <w:t xml:space="preserve">c </w:t>
      </w:r>
      <w:r w:rsidR="00E4281E">
        <w:rPr>
          <w:i/>
        </w:rPr>
        <w:t>This figure is the total number of TTE tests affected from the proposed intervention, and equals to the sum of net TTE changes in Population 1 (Row (C – E) and Row J in Table 40. It includes change in the number of TTE tests in Population 1 and patient number changes in Population 2</w:t>
      </w:r>
      <w:r>
        <w:rPr>
          <w:i/>
        </w:rPr>
        <w:t xml:space="preserve"> (as revised in the commentary)</w:t>
      </w:r>
    </w:p>
    <w:p w14:paraId="1984C959" w14:textId="3E5BF29F" w:rsidR="00E4281E" w:rsidRDefault="00CE78B6" w:rsidP="00E4281E">
      <w:pPr>
        <w:pStyle w:val="Tablenotes0"/>
        <w:rPr>
          <w:i/>
          <w:iCs/>
        </w:rPr>
      </w:pPr>
      <w:r>
        <w:rPr>
          <w:i/>
          <w:vertAlign w:val="superscript"/>
        </w:rPr>
        <w:t>d</w:t>
      </w:r>
      <w:r w:rsidR="00E4281E">
        <w:rPr>
          <w:i/>
        </w:rPr>
        <w:t xml:space="preserve"> Net change in costs </w:t>
      </w:r>
      <w:r w:rsidR="00E4281E">
        <w:rPr>
          <w:i/>
          <w:iCs/>
        </w:rPr>
        <w:t xml:space="preserve">to the MBS is revised by multiplying the ‘Change in use of TTE’ in Row J, by the 85% benefit for MBS </w:t>
      </w:r>
      <w:r w:rsidR="00E4281E" w:rsidRPr="399397FA">
        <w:rPr>
          <w:i/>
          <w:iCs/>
        </w:rPr>
        <w:t xml:space="preserve">items 55126 </w:t>
      </w:r>
      <w:r w:rsidR="00E4281E" w:rsidRPr="42C59077">
        <w:rPr>
          <w:i/>
          <w:iCs/>
        </w:rPr>
        <w:t xml:space="preserve">/ </w:t>
      </w:r>
      <w:r w:rsidR="00E4281E" w:rsidRPr="399397FA">
        <w:rPr>
          <w:i/>
          <w:iCs/>
        </w:rPr>
        <w:t>55129</w:t>
      </w:r>
      <w:r w:rsidR="00E4281E">
        <w:rPr>
          <w:i/>
          <w:iCs/>
        </w:rPr>
        <w:t xml:space="preserve"> (=</w:t>
      </w:r>
      <w:r w:rsidR="00E4281E" w:rsidRPr="56857C45">
        <w:rPr>
          <w:i/>
          <w:iCs/>
        </w:rPr>
        <w:t>$200.85</w:t>
      </w:r>
      <w:r w:rsidR="00E4281E">
        <w:rPr>
          <w:i/>
          <w:iCs/>
        </w:rPr>
        <w:t>).</w:t>
      </w:r>
    </w:p>
    <w:p w14:paraId="162D1315" w14:textId="77777777" w:rsidR="00E4281E" w:rsidRDefault="00E4281E" w:rsidP="00E4281E">
      <w:pPr>
        <w:pStyle w:val="Tablenotes0"/>
        <w:rPr>
          <w:i/>
        </w:rPr>
      </w:pPr>
      <w:r>
        <w:rPr>
          <w:i/>
          <w:iCs/>
        </w:rPr>
        <w:t xml:space="preserve">Note: </w:t>
      </w:r>
      <w:r w:rsidRPr="006932BD">
        <w:rPr>
          <w:i/>
        </w:rPr>
        <w:t>Revised</w:t>
      </w:r>
      <w:r>
        <w:rPr>
          <w:i/>
        </w:rPr>
        <w:t xml:space="preserve"> figures in italics are calculated during evaluation.</w:t>
      </w:r>
    </w:p>
    <w:p w14:paraId="5A41C580" w14:textId="4E84007C" w:rsidR="00E4281E" w:rsidRPr="00055E91" w:rsidRDefault="00E4281E" w:rsidP="00E4281E">
      <w:pPr>
        <w:keepNext/>
        <w:keepLines/>
        <w:spacing w:before="360" w:after="240" w:line="240" w:lineRule="auto"/>
        <w:outlineLvl w:val="1"/>
        <w:rPr>
          <w:rFonts w:ascii="Franklin Gothic Medium" w:eastAsiaTheme="majorEastAsia" w:hAnsi="Franklin Gothic Medium" w:cstheme="majorBidi"/>
          <w:color w:val="000000" w:themeColor="text1"/>
          <w:sz w:val="32"/>
          <w:szCs w:val="26"/>
        </w:rPr>
      </w:pPr>
      <w:bookmarkStart w:id="61" w:name="_Toc103161077"/>
      <w:r w:rsidRPr="00055E91">
        <w:rPr>
          <w:rFonts w:ascii="Franklin Gothic Medium" w:eastAsiaTheme="majorEastAsia" w:hAnsi="Franklin Gothic Medium" w:cstheme="majorBidi"/>
          <w:color w:val="000000" w:themeColor="text1"/>
          <w:sz w:val="32"/>
          <w:szCs w:val="26"/>
        </w:rPr>
        <w:t>1</w:t>
      </w:r>
      <w:r w:rsidR="009A5B31">
        <w:rPr>
          <w:rFonts w:ascii="Franklin Gothic Medium" w:eastAsiaTheme="majorEastAsia" w:hAnsi="Franklin Gothic Medium" w:cstheme="majorBidi"/>
          <w:color w:val="000000" w:themeColor="text1"/>
          <w:sz w:val="32"/>
          <w:szCs w:val="26"/>
        </w:rPr>
        <w:t>5</w:t>
      </w:r>
      <w:r w:rsidRPr="00055E91">
        <w:rPr>
          <w:rFonts w:ascii="Franklin Gothic Medium" w:eastAsiaTheme="majorEastAsia" w:hAnsi="Franklin Gothic Medium" w:cstheme="majorBidi"/>
          <w:color w:val="000000" w:themeColor="text1"/>
          <w:sz w:val="32"/>
          <w:szCs w:val="26"/>
        </w:rPr>
        <w:t>.</w:t>
      </w:r>
      <w:r w:rsidRPr="00055E91">
        <w:rPr>
          <w:rFonts w:ascii="Franklin Gothic Medium" w:eastAsiaTheme="majorEastAsia" w:hAnsi="Franklin Gothic Medium" w:cstheme="majorBidi"/>
          <w:color w:val="000000" w:themeColor="text1"/>
          <w:sz w:val="32"/>
          <w:szCs w:val="26"/>
        </w:rPr>
        <w:tab/>
        <w:t xml:space="preserve">Other relevant </w:t>
      </w:r>
      <w:bookmarkEnd w:id="60"/>
      <w:r w:rsidRPr="00055E91">
        <w:rPr>
          <w:rFonts w:ascii="Franklin Gothic Medium" w:eastAsiaTheme="majorEastAsia" w:hAnsi="Franklin Gothic Medium" w:cstheme="majorBidi"/>
          <w:color w:val="000000" w:themeColor="text1"/>
          <w:sz w:val="32"/>
          <w:szCs w:val="26"/>
        </w:rPr>
        <w:t>information</w:t>
      </w:r>
      <w:bookmarkEnd w:id="61"/>
    </w:p>
    <w:p w14:paraId="2842942C" w14:textId="0D15D5A9" w:rsidR="00E4281E" w:rsidRPr="00AF7330" w:rsidRDefault="00ED7DE9" w:rsidP="00E4281E">
      <w:bookmarkStart w:id="62" w:name="_Toc69491428"/>
      <w:r>
        <w:t xml:space="preserve">ESC considered </w:t>
      </w:r>
      <w:r w:rsidRPr="00ED7DE9">
        <w:t>NT-</w:t>
      </w:r>
      <w:proofErr w:type="spellStart"/>
      <w:r w:rsidRPr="00ED7DE9">
        <w:t>proBNP</w:t>
      </w:r>
      <w:proofErr w:type="spellEnd"/>
      <w:r w:rsidRPr="00ED7DE9">
        <w:t xml:space="preserve"> would be a more accessible test than TTE, particularly for people who live in rural and remote areas</w:t>
      </w:r>
      <w:r>
        <w:t xml:space="preserve">. </w:t>
      </w:r>
      <w:r w:rsidRPr="00ED7DE9">
        <w:t>The value of knowing could be a relevant consideration as NT</w:t>
      </w:r>
      <w:r w:rsidR="006B4B09">
        <w:noBreakHyphen/>
      </w:r>
      <w:proofErr w:type="spellStart"/>
      <w:r w:rsidRPr="00ED7DE9">
        <w:t>proBNP</w:t>
      </w:r>
      <w:proofErr w:type="spellEnd"/>
      <w:r w:rsidRPr="00ED7DE9">
        <w:t xml:space="preserve"> may result in a subsequent diagnosis of PAH for population 1 and provide prognostic information for Population 2.</w:t>
      </w:r>
    </w:p>
    <w:bookmarkEnd w:id="3"/>
    <w:bookmarkEnd w:id="62"/>
    <w:p w14:paraId="63E4AA8C" w14:textId="2B0D51A9" w:rsidR="009A5B31" w:rsidRDefault="009A5B31" w:rsidP="009A5B31">
      <w:pPr>
        <w:pStyle w:val="Heading2"/>
        <w:numPr>
          <w:ilvl w:val="0"/>
          <w:numId w:val="0"/>
        </w:numPr>
      </w:pPr>
      <w:r>
        <w:t>16.</w:t>
      </w:r>
      <w:r>
        <w:tab/>
        <w:t>Key issues from ESC to MSAC</w:t>
      </w:r>
    </w:p>
    <w:tbl>
      <w:tblPr>
        <w:tblStyle w:val="TableGrid"/>
        <w:tblW w:w="9209" w:type="dxa"/>
        <w:tblInd w:w="-147" w:type="dxa"/>
        <w:tblLook w:val="04A0" w:firstRow="1" w:lastRow="0" w:firstColumn="1" w:lastColumn="0" w:noHBand="0" w:noVBand="1"/>
      </w:tblPr>
      <w:tblGrid>
        <w:gridCol w:w="9209"/>
      </w:tblGrid>
      <w:tr w:rsidR="009A5B31" w:rsidRPr="00CE28E3" w14:paraId="64B4C583" w14:textId="77777777" w:rsidTr="1A8DD5EE">
        <w:tc>
          <w:tcPr>
            <w:tcW w:w="9209" w:type="dxa"/>
          </w:tcPr>
          <w:p w14:paraId="17655724" w14:textId="77777777" w:rsidR="009A5B31" w:rsidRDefault="009A5B31" w:rsidP="003D1B2C">
            <w:pPr>
              <w:spacing w:before="240" w:after="240"/>
              <w:rPr>
                <w:b/>
                <w:bCs/>
                <w:sz w:val="24"/>
                <w:szCs w:val="24"/>
              </w:rPr>
            </w:pPr>
            <w:r w:rsidRPr="004C5DF6">
              <w:rPr>
                <w:b/>
                <w:bCs/>
                <w:sz w:val="24"/>
                <w:szCs w:val="24"/>
              </w:rPr>
              <w:t xml:space="preserve">Main issues for MSAC consideration </w:t>
            </w:r>
          </w:p>
          <w:p w14:paraId="25CCC517" w14:textId="77777777" w:rsidR="009A5B31" w:rsidRPr="009A5B31" w:rsidRDefault="009A5B31" w:rsidP="003D1B2C">
            <w:pPr>
              <w:pStyle w:val="Bullet"/>
              <w:numPr>
                <w:ilvl w:val="0"/>
                <w:numId w:val="0"/>
              </w:numPr>
              <w:rPr>
                <w:rFonts w:ascii="Franklin Gothic Book" w:hAnsi="Franklin Gothic Book"/>
                <w:b/>
                <w:bCs/>
              </w:rPr>
            </w:pPr>
            <w:r w:rsidRPr="009A5B31">
              <w:rPr>
                <w:rFonts w:ascii="Franklin Gothic Book" w:hAnsi="Franklin Gothic Book"/>
                <w:b/>
                <w:bCs/>
              </w:rPr>
              <w:t>Clinical issues:</w:t>
            </w:r>
          </w:p>
          <w:p w14:paraId="3BB1C1FF"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t>The clinical management algorithms would have been benefited from further detail:</w:t>
            </w:r>
          </w:p>
          <w:p w14:paraId="2D6C27C8" w14:textId="77777777" w:rsidR="009A5B31" w:rsidRPr="009A5B31" w:rsidRDefault="009A5B31" w:rsidP="003D1B2C">
            <w:pPr>
              <w:pStyle w:val="Bullet"/>
              <w:numPr>
                <w:ilvl w:val="0"/>
                <w:numId w:val="20"/>
              </w:numPr>
              <w:rPr>
                <w:rFonts w:ascii="Franklin Gothic Book" w:hAnsi="Franklin Gothic Book"/>
              </w:rPr>
            </w:pPr>
            <w:r w:rsidRPr="009A5B31">
              <w:rPr>
                <w:rFonts w:ascii="Franklin Gothic Book" w:hAnsi="Franklin Gothic Book"/>
              </w:rPr>
              <w:t>For population 1 (patients with systemic sclerosis): The algorithm and item descriptor need to detail the characteristics of those patients with “indeterminate’’ results or whose symptoms are worsening, who may need a second NT-</w:t>
            </w:r>
            <w:proofErr w:type="spellStart"/>
            <w:r w:rsidRPr="009A5B31">
              <w:rPr>
                <w:rFonts w:ascii="Franklin Gothic Book" w:hAnsi="Franklin Gothic Book"/>
              </w:rPr>
              <w:t>proBNP</w:t>
            </w:r>
            <w:proofErr w:type="spellEnd"/>
            <w:r w:rsidRPr="009A5B31">
              <w:rPr>
                <w:rFonts w:ascii="Franklin Gothic Book" w:hAnsi="Franklin Gothic Book"/>
              </w:rPr>
              <w:t xml:space="preserve"> test and pulmonary function test within the next 6 months. It could be assumed that this would apply to 10% of patients. </w:t>
            </w:r>
          </w:p>
          <w:p w14:paraId="293EFCD3" w14:textId="77777777" w:rsidR="009A5B31" w:rsidRPr="009A5B31" w:rsidRDefault="009A5B31" w:rsidP="003D1B2C">
            <w:pPr>
              <w:pStyle w:val="Bullet"/>
              <w:numPr>
                <w:ilvl w:val="0"/>
                <w:numId w:val="20"/>
              </w:numPr>
              <w:rPr>
                <w:rFonts w:ascii="Franklin Gothic Book" w:hAnsi="Franklin Gothic Book"/>
              </w:rPr>
            </w:pPr>
            <w:r w:rsidRPr="009A5B31">
              <w:rPr>
                <w:rFonts w:ascii="Franklin Gothic Book" w:hAnsi="Franklin Gothic Book"/>
              </w:rPr>
              <w:t>For population 2 (patients diagnosed with pulmonary arterial hypertension): The degree of NT-</w:t>
            </w:r>
            <w:proofErr w:type="spellStart"/>
            <w:r w:rsidRPr="009A5B31">
              <w:rPr>
                <w:rFonts w:ascii="Franklin Gothic Book" w:hAnsi="Franklin Gothic Book"/>
              </w:rPr>
              <w:t>proBNP</w:t>
            </w:r>
            <w:proofErr w:type="spellEnd"/>
            <w:r w:rsidRPr="009A5B31">
              <w:rPr>
                <w:rFonts w:ascii="Franklin Gothic Book" w:hAnsi="Franklin Gothic Book"/>
              </w:rPr>
              <w:t xml:space="preserve"> level change to trigger change in therapy or need for a right heart catheterisation (RHC) is unclear. It is unclear whether using a risk assessment tool that includes NT-</w:t>
            </w:r>
            <w:proofErr w:type="spellStart"/>
            <w:r w:rsidRPr="009A5B31">
              <w:rPr>
                <w:rFonts w:ascii="Franklin Gothic Book" w:hAnsi="Franklin Gothic Book"/>
              </w:rPr>
              <w:t>proBNP</w:t>
            </w:r>
            <w:proofErr w:type="spellEnd"/>
            <w:r w:rsidRPr="009A5B31">
              <w:rPr>
                <w:rFonts w:ascii="Franklin Gothic Book" w:hAnsi="Franklin Gothic Book"/>
              </w:rPr>
              <w:t xml:space="preserve"> levels will change patients’ risk assessment. </w:t>
            </w:r>
          </w:p>
          <w:p w14:paraId="7075E3F8"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t>The frequency of testing proposed needs further consideration based on the response from the applicant on the clinical algorithm. However, the proposed frequency in the item descriptors is likely reasonable. It may be reasonable to limit requestors to specialists who manage patients with systemic sclerosis (</w:t>
            </w:r>
            <w:proofErr w:type="spellStart"/>
            <w:r w:rsidRPr="009A5B31">
              <w:rPr>
                <w:rFonts w:ascii="Franklin Gothic Book" w:hAnsi="Franklin Gothic Book"/>
              </w:rPr>
              <w:t>SSc</w:t>
            </w:r>
            <w:proofErr w:type="spellEnd"/>
            <w:r w:rsidRPr="009A5B31">
              <w:rPr>
                <w:rFonts w:ascii="Franklin Gothic Book" w:hAnsi="Franklin Gothic Book"/>
              </w:rPr>
              <w:t xml:space="preserve">) and pulmonary arterial hypertension (PAH) to reduce the risk of leakage, however risks reducing accessibility. </w:t>
            </w:r>
          </w:p>
          <w:p w14:paraId="75B79F92" w14:textId="2792F3ED" w:rsidR="009A5B31" w:rsidRPr="009A5B31" w:rsidRDefault="009A5B31" w:rsidP="003D1B2C">
            <w:pPr>
              <w:pStyle w:val="Bullet"/>
              <w:ind w:left="360"/>
              <w:rPr>
                <w:rFonts w:ascii="Franklin Gothic Book" w:hAnsi="Franklin Gothic Book"/>
              </w:rPr>
            </w:pPr>
            <w:r w:rsidRPr="009A5B31">
              <w:rPr>
                <w:rFonts w:ascii="Franklin Gothic Book" w:hAnsi="Franklin Gothic Book"/>
              </w:rPr>
              <w:t xml:space="preserve">Predictive value of testing for Population 1 is based on a high prevalence of PAH (12%) among patients with </w:t>
            </w:r>
            <w:proofErr w:type="spellStart"/>
            <w:r w:rsidRPr="009A5B31">
              <w:rPr>
                <w:rFonts w:ascii="Franklin Gothic Book" w:hAnsi="Franklin Gothic Book"/>
              </w:rPr>
              <w:t>SSc</w:t>
            </w:r>
            <w:proofErr w:type="spellEnd"/>
            <w:r w:rsidRPr="009A5B31">
              <w:rPr>
                <w:rFonts w:ascii="Franklin Gothic Book" w:hAnsi="Franklin Gothic Book"/>
              </w:rPr>
              <w:t xml:space="preserve"> that reflects long term incidence rather than 1 year incidence. ESC considered that this should be recalculated based on an annual incidence of 1% to reflect annual screening. ESC considered a lower prevalence (1% annual incidence) would mean false positives will be higher for both arms. Screening using the NT-</w:t>
            </w:r>
            <w:proofErr w:type="spellStart"/>
            <w:r w:rsidRPr="009A5B31">
              <w:rPr>
                <w:rFonts w:ascii="Franklin Gothic Book" w:hAnsi="Franklin Gothic Book"/>
              </w:rPr>
              <w:t>proBNP</w:t>
            </w:r>
            <w:proofErr w:type="spellEnd"/>
            <w:r w:rsidRPr="009A5B31">
              <w:rPr>
                <w:rFonts w:ascii="Franklin Gothic Book" w:hAnsi="Franklin Gothic Book"/>
              </w:rPr>
              <w:t xml:space="preserve">-based algorithm such as the Australian Scleroderma Interest Group (ASIG) algorithm has </w:t>
            </w:r>
            <w:r w:rsidRPr="009A5B31">
              <w:rPr>
                <w:rFonts w:ascii="Franklin Gothic Book" w:eastAsia="Calibri" w:hAnsi="Franklin Gothic Book" w:cs="Times New Roman"/>
                <w:iCs/>
              </w:rPr>
              <w:t>more specificity than the comparator TTE and pulmonary function test (PFT), leading to reduced numbers of referrals for RHC compared to transthoracic echocardiogram (TTE) and PFT for false positives.</w:t>
            </w:r>
          </w:p>
          <w:p w14:paraId="20719542" w14:textId="4BA4A0E4" w:rsidR="009A5B31" w:rsidRPr="009A5B31" w:rsidRDefault="009A5B31" w:rsidP="003D1B2C">
            <w:pPr>
              <w:pStyle w:val="Bullet"/>
              <w:ind w:left="360"/>
              <w:rPr>
                <w:rFonts w:ascii="Franklin Gothic Book" w:hAnsi="Franklin Gothic Book"/>
              </w:rPr>
            </w:pPr>
            <w:r w:rsidRPr="009A5B31">
              <w:rPr>
                <w:rFonts w:ascii="Franklin Gothic Book" w:hAnsi="Franklin Gothic Book"/>
              </w:rPr>
              <w:t>The evidence to support the non-inferiority of NT-</w:t>
            </w:r>
            <w:proofErr w:type="spellStart"/>
            <w:r w:rsidRPr="009A5B31">
              <w:rPr>
                <w:rFonts w:ascii="Franklin Gothic Book" w:hAnsi="Franklin Gothic Book"/>
              </w:rPr>
              <w:t>proBNP</w:t>
            </w:r>
            <w:proofErr w:type="spellEnd"/>
            <w:r w:rsidRPr="009A5B31">
              <w:rPr>
                <w:rFonts w:ascii="Franklin Gothic Book" w:hAnsi="Franklin Gothic Book"/>
              </w:rPr>
              <w:t>-based risk assessment was not strong, however, the evidence suggested that it was unlikely to be inferior to risk assessment without NT-</w:t>
            </w:r>
            <w:proofErr w:type="spellStart"/>
            <w:r w:rsidRPr="009A5B31">
              <w:rPr>
                <w:rFonts w:ascii="Franklin Gothic Book" w:hAnsi="Franklin Gothic Book"/>
              </w:rPr>
              <w:t>proBNP</w:t>
            </w:r>
            <w:proofErr w:type="spellEnd"/>
            <w:r w:rsidRPr="009A5B31">
              <w:rPr>
                <w:rFonts w:ascii="Franklin Gothic Book" w:hAnsi="Franklin Gothic Book"/>
              </w:rPr>
              <w:t>. The evidence to support change in clinical management was not strong for Population 2. Patients may still undergo TTE for a variety of reasons including annual screening, rising NT-</w:t>
            </w:r>
            <w:proofErr w:type="spellStart"/>
            <w:r w:rsidRPr="009A5B31">
              <w:rPr>
                <w:rFonts w:ascii="Franklin Gothic Book" w:hAnsi="Franklin Gothic Book"/>
              </w:rPr>
              <w:t>proBNP</w:t>
            </w:r>
            <w:proofErr w:type="spellEnd"/>
            <w:r w:rsidRPr="009A5B31">
              <w:rPr>
                <w:rFonts w:ascii="Franklin Gothic Book" w:hAnsi="Franklin Gothic Book"/>
              </w:rPr>
              <w:t xml:space="preserve"> levels (irrespective of overall risk assessment) or if their clinical status deteriorates. </w:t>
            </w:r>
          </w:p>
          <w:p w14:paraId="4077CA23"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lastRenderedPageBreak/>
              <w:t>The evidence base did not strongly support a claim of non-inferiority, however the evidence suggested that NT-</w:t>
            </w:r>
            <w:proofErr w:type="spellStart"/>
            <w:r w:rsidRPr="009A5B31">
              <w:rPr>
                <w:rFonts w:ascii="Franklin Gothic Book" w:hAnsi="Franklin Gothic Book"/>
              </w:rPr>
              <w:t>proBNP</w:t>
            </w:r>
            <w:proofErr w:type="spellEnd"/>
            <w:r w:rsidRPr="009A5B31">
              <w:rPr>
                <w:rFonts w:ascii="Franklin Gothic Book" w:hAnsi="Franklin Gothic Book"/>
              </w:rPr>
              <w:t xml:space="preserve"> was unlikely to be inferior and unlikely to cause harm. MSAC may wish to consider whether the clinical evidence is sufficient in the context of likely cost savings and greater accessibility of NT-</w:t>
            </w:r>
            <w:proofErr w:type="spellStart"/>
            <w:r w:rsidRPr="009A5B31">
              <w:rPr>
                <w:rFonts w:ascii="Franklin Gothic Book" w:hAnsi="Franklin Gothic Book"/>
              </w:rPr>
              <w:t>proBNP</w:t>
            </w:r>
            <w:proofErr w:type="spellEnd"/>
            <w:r w:rsidRPr="009A5B31">
              <w:rPr>
                <w:rFonts w:ascii="Franklin Gothic Book" w:hAnsi="Franklin Gothic Book"/>
              </w:rPr>
              <w:t xml:space="preserve"> testing.    </w:t>
            </w:r>
          </w:p>
          <w:p w14:paraId="4E926D4A" w14:textId="77777777" w:rsidR="009A5B31" w:rsidRPr="009A5B31" w:rsidRDefault="009A5B31" w:rsidP="003D1B2C">
            <w:pPr>
              <w:spacing w:after="160" w:line="259" w:lineRule="auto"/>
              <w:rPr>
                <w:rFonts w:eastAsia="Calibri" w:cs="Times New Roman"/>
                <w:b/>
              </w:rPr>
            </w:pPr>
            <w:r w:rsidRPr="009A5B31">
              <w:rPr>
                <w:rFonts w:eastAsia="Calibri" w:cs="Times New Roman"/>
                <w:b/>
              </w:rPr>
              <w:t>Economic issues:</w:t>
            </w:r>
          </w:p>
          <w:p w14:paraId="6277A226"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t>The cost minimisation approach was appropriate and assumed the intervention was clinically equivalent. The assumptions underlying the economic evaluation for Population 1 are conservative, as the cost savings for RHC avoided were not included. In addition, applying the correct TTE fee to the model would further increase net cost savings. NT-</w:t>
            </w:r>
            <w:proofErr w:type="spellStart"/>
            <w:r w:rsidRPr="009A5B31">
              <w:rPr>
                <w:rFonts w:ascii="Franklin Gothic Book" w:hAnsi="Franklin Gothic Book"/>
              </w:rPr>
              <w:t>proBNP</w:t>
            </w:r>
            <w:proofErr w:type="spellEnd"/>
            <w:r w:rsidRPr="009A5B31">
              <w:rPr>
                <w:rFonts w:ascii="Franklin Gothic Book" w:hAnsi="Franklin Gothic Book"/>
              </w:rPr>
              <w:t xml:space="preserve"> was cost saving in most clinically plausible sensitivity analyses because it is likely that NT-</w:t>
            </w:r>
            <w:proofErr w:type="spellStart"/>
            <w:r w:rsidRPr="009A5B31">
              <w:rPr>
                <w:rFonts w:ascii="Franklin Gothic Book" w:hAnsi="Franklin Gothic Book"/>
              </w:rPr>
              <w:t>proBNP</w:t>
            </w:r>
            <w:proofErr w:type="spellEnd"/>
            <w:r w:rsidRPr="009A5B31">
              <w:rPr>
                <w:rFonts w:ascii="Franklin Gothic Book" w:hAnsi="Franklin Gothic Book"/>
              </w:rPr>
              <w:t xml:space="preserve"> will replace at least some TTEs. </w:t>
            </w:r>
          </w:p>
          <w:p w14:paraId="229465B9" w14:textId="77777777" w:rsidR="009A5B31" w:rsidRPr="009A5B31" w:rsidRDefault="009A5B31" w:rsidP="003D1B2C">
            <w:pPr>
              <w:keepNext/>
              <w:spacing w:after="160" w:line="259" w:lineRule="auto"/>
              <w:rPr>
                <w:rFonts w:eastAsia="Calibri" w:cs="Times New Roman"/>
                <w:b/>
              </w:rPr>
            </w:pPr>
            <w:r w:rsidRPr="009A5B31">
              <w:rPr>
                <w:rFonts w:eastAsia="Calibri" w:cs="Times New Roman"/>
                <w:b/>
              </w:rPr>
              <w:t>Financial issues:</w:t>
            </w:r>
          </w:p>
          <w:p w14:paraId="320F1C7C"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t xml:space="preserve">For both populations, </w:t>
            </w:r>
            <w:r w:rsidRPr="009A5B31" w:rsidDel="005026B7">
              <w:rPr>
                <w:rFonts w:ascii="Franklin Gothic Book" w:hAnsi="Franklin Gothic Book"/>
              </w:rPr>
              <w:t xml:space="preserve">there is a risk that </w:t>
            </w:r>
            <w:r w:rsidRPr="009A5B31">
              <w:rPr>
                <w:rFonts w:ascii="Franklin Gothic Book" w:hAnsi="Franklin Gothic Book"/>
              </w:rPr>
              <w:t xml:space="preserve">the cost savings </w:t>
            </w:r>
            <w:r w:rsidRPr="009A5B31" w:rsidDel="00E1015D">
              <w:rPr>
                <w:rFonts w:ascii="Franklin Gothic Book" w:hAnsi="Franklin Gothic Book"/>
              </w:rPr>
              <w:t xml:space="preserve">estimated may be smaller or not be realised if </w:t>
            </w:r>
            <w:r w:rsidRPr="009A5B31">
              <w:rPr>
                <w:rFonts w:ascii="Franklin Gothic Book" w:hAnsi="Franklin Gothic Book"/>
              </w:rPr>
              <w:t>the rate of substitution of TTE is substantially lower than expected and/or the number of</w:t>
            </w:r>
            <w:r w:rsidRPr="009A5B31" w:rsidDel="00E1015D">
              <w:rPr>
                <w:rFonts w:ascii="Franklin Gothic Book" w:hAnsi="Franklin Gothic Book"/>
              </w:rPr>
              <w:t xml:space="preserve"> test</w:t>
            </w:r>
            <w:r w:rsidRPr="009A5B31">
              <w:rPr>
                <w:rFonts w:ascii="Franklin Gothic Book" w:hAnsi="Franklin Gothic Book"/>
              </w:rPr>
              <w:t>s</w:t>
            </w:r>
            <w:r w:rsidRPr="009A5B31" w:rsidDel="00E1015D">
              <w:rPr>
                <w:rFonts w:ascii="Franklin Gothic Book" w:hAnsi="Franklin Gothic Book"/>
              </w:rPr>
              <w:t xml:space="preserve"> per year </w:t>
            </w:r>
            <w:r w:rsidRPr="009A5B31">
              <w:rPr>
                <w:rFonts w:ascii="Franklin Gothic Book" w:hAnsi="Franklin Gothic Book"/>
              </w:rPr>
              <w:t>is</w:t>
            </w:r>
            <w:r w:rsidRPr="009A5B31" w:rsidDel="00E1015D">
              <w:rPr>
                <w:rFonts w:ascii="Franklin Gothic Book" w:hAnsi="Franklin Gothic Book"/>
              </w:rPr>
              <w:t xml:space="preserve"> higher than expected</w:t>
            </w:r>
            <w:r w:rsidRPr="009A5B31">
              <w:rPr>
                <w:rFonts w:ascii="Franklin Gothic Book" w:hAnsi="Franklin Gothic Book"/>
              </w:rPr>
              <w:t>. However, ESC considered that it was highly likely that substantial substitution of TTE would occur. Sensitivity analysis suggests the economic and financial results are robust to plausible variations in key assumptions with the worst case tested resulting in a small net cost for Government.</w:t>
            </w:r>
          </w:p>
          <w:p w14:paraId="08C49652"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bCs/>
              </w:rPr>
              <w:t>There is potential for leakage into other populations as NT-</w:t>
            </w:r>
            <w:proofErr w:type="spellStart"/>
            <w:r w:rsidRPr="009A5B31">
              <w:rPr>
                <w:rFonts w:ascii="Franklin Gothic Book" w:hAnsi="Franklin Gothic Book"/>
                <w:bCs/>
              </w:rPr>
              <w:t>proBNP</w:t>
            </w:r>
            <w:proofErr w:type="spellEnd"/>
            <w:r w:rsidRPr="009A5B31">
              <w:rPr>
                <w:rFonts w:ascii="Franklin Gothic Book" w:hAnsi="Franklin Gothic Book"/>
                <w:bCs/>
              </w:rPr>
              <w:t xml:space="preserve"> can be used in other clinical situations including </w:t>
            </w:r>
            <w:r w:rsidRPr="009A5B31">
              <w:rPr>
                <w:rFonts w:ascii="Franklin Gothic Book" w:hAnsi="Franklin Gothic Book"/>
              </w:rPr>
              <w:t>post-capillary pulmonary hypertension due to left heart disease.</w:t>
            </w:r>
          </w:p>
          <w:p w14:paraId="78C77006" w14:textId="77777777" w:rsidR="009A5B31" w:rsidRPr="009A5B31" w:rsidRDefault="009A5B31" w:rsidP="003D1B2C">
            <w:pPr>
              <w:keepNext/>
              <w:rPr>
                <w:rFonts w:eastAsia="Calibri" w:cs="Times New Roman"/>
                <w:b/>
              </w:rPr>
            </w:pPr>
            <w:r w:rsidRPr="009A5B31">
              <w:rPr>
                <w:rFonts w:eastAsia="Calibri" w:cs="Times New Roman"/>
                <w:b/>
              </w:rPr>
              <w:t>Other relevant considerations:</w:t>
            </w:r>
          </w:p>
          <w:p w14:paraId="162184C7" w14:textId="77777777" w:rsidR="009A5B31" w:rsidRPr="009A5B31" w:rsidRDefault="009A5B31" w:rsidP="003D1B2C">
            <w:pPr>
              <w:pStyle w:val="Bullet"/>
              <w:ind w:left="360"/>
              <w:rPr>
                <w:rFonts w:ascii="Franklin Gothic Book" w:hAnsi="Franklin Gothic Book"/>
              </w:rPr>
            </w:pPr>
            <w:r w:rsidRPr="009A5B31">
              <w:rPr>
                <w:rFonts w:ascii="Franklin Gothic Book" w:hAnsi="Franklin Gothic Book"/>
              </w:rPr>
              <w:t>The value of knowing could be a relevant consideration as NT-</w:t>
            </w:r>
            <w:proofErr w:type="spellStart"/>
            <w:r w:rsidRPr="009A5B31">
              <w:rPr>
                <w:rFonts w:ascii="Franklin Gothic Book" w:hAnsi="Franklin Gothic Book"/>
              </w:rPr>
              <w:t>proBNP</w:t>
            </w:r>
            <w:proofErr w:type="spellEnd"/>
            <w:r w:rsidRPr="009A5B31">
              <w:rPr>
                <w:rFonts w:ascii="Franklin Gothic Book" w:hAnsi="Franklin Gothic Book"/>
              </w:rPr>
              <w:t xml:space="preserve"> may result in a subsequent diagnosis of PAH for population 1 and provide prognostic information for Population 2.</w:t>
            </w:r>
          </w:p>
          <w:p w14:paraId="1EEF7DAB" w14:textId="77777777" w:rsidR="009A5B31" w:rsidRPr="0070319A" w:rsidRDefault="009A5B31" w:rsidP="003D1B2C">
            <w:pPr>
              <w:pStyle w:val="Bullet"/>
              <w:ind w:left="360"/>
            </w:pPr>
            <w:r w:rsidRPr="009A5B31">
              <w:rPr>
                <w:rFonts w:ascii="Franklin Gothic Book" w:hAnsi="Franklin Gothic Book"/>
              </w:rPr>
              <w:t>NT-</w:t>
            </w:r>
            <w:proofErr w:type="spellStart"/>
            <w:r w:rsidRPr="009A5B31">
              <w:rPr>
                <w:rFonts w:ascii="Franklin Gothic Book" w:hAnsi="Franklin Gothic Book"/>
              </w:rPr>
              <w:t>proBNP</w:t>
            </w:r>
            <w:proofErr w:type="spellEnd"/>
            <w:r w:rsidRPr="009A5B31">
              <w:rPr>
                <w:rFonts w:ascii="Franklin Gothic Book" w:hAnsi="Franklin Gothic Book"/>
              </w:rPr>
              <w:t xml:space="preserve"> would be a more accessible test than TTE, particularly for people who live in rural and remote areas.</w:t>
            </w:r>
            <w:r>
              <w:t xml:space="preserve"> </w:t>
            </w:r>
          </w:p>
        </w:tc>
      </w:tr>
    </w:tbl>
    <w:p w14:paraId="060A1BDE" w14:textId="77777777" w:rsidR="009A5B31" w:rsidRPr="009A5B31" w:rsidRDefault="009A5B31" w:rsidP="009A5B31">
      <w:pPr>
        <w:keepNext/>
        <w:keepLines/>
        <w:spacing w:before="360" w:after="240" w:line="240" w:lineRule="auto"/>
        <w:outlineLvl w:val="1"/>
        <w:rPr>
          <w:rFonts w:ascii="Franklin Gothic Medium" w:eastAsia="SimSun" w:hAnsi="Franklin Gothic Medium" w:cs="Times New Roman"/>
          <w:b/>
          <w:bCs/>
          <w:color w:val="000000"/>
        </w:rPr>
      </w:pPr>
      <w:r w:rsidRPr="009A5B31">
        <w:rPr>
          <w:rFonts w:ascii="Franklin Gothic Medium" w:eastAsia="SimSun" w:hAnsi="Franklin Gothic Medium" w:cs="Times New Roman"/>
          <w:b/>
          <w:bCs/>
          <w:color w:val="000000"/>
        </w:rPr>
        <w:lastRenderedPageBreak/>
        <w:t>ESC discussion</w:t>
      </w:r>
    </w:p>
    <w:p w14:paraId="4CDBCEFE" w14:textId="39FD6D3D" w:rsidR="009A5B31" w:rsidRDefault="009A5B31" w:rsidP="009A5B31">
      <w:pPr>
        <w:rPr>
          <w:rFonts w:eastAsia="Calibri" w:cs="Times New Roman"/>
          <w:iCs/>
        </w:rPr>
      </w:pPr>
      <w:r>
        <w:rPr>
          <w:rFonts w:eastAsia="Calibri" w:cs="Times New Roman"/>
          <w:iCs/>
        </w:rPr>
        <w:t>ESC noted that this is</w:t>
      </w:r>
      <w:r w:rsidRPr="00C21C8B">
        <w:rPr>
          <w:rFonts w:eastAsia="Calibri" w:cs="Times New Roman"/>
          <w:iCs/>
        </w:rPr>
        <w:t xml:space="preserve"> application requesting Medicare Benefits Schedule (MBS) listing of </w:t>
      </w:r>
      <w:r w:rsidR="00936724">
        <w:rPr>
          <w:rFonts w:eastAsia="Calibri" w:cs="Times New Roman"/>
          <w:iCs/>
        </w:rPr>
        <w:br/>
      </w:r>
      <w:r w:rsidRPr="00C21C8B">
        <w:rPr>
          <w:rFonts w:eastAsia="Calibri" w:cs="Times New Roman"/>
          <w:iCs/>
        </w:rPr>
        <w:t>N-terminal pro B-type natriuretic peptide (NT-</w:t>
      </w:r>
      <w:proofErr w:type="spellStart"/>
      <w:r w:rsidRPr="00C21C8B">
        <w:rPr>
          <w:rFonts w:eastAsia="Calibri" w:cs="Times New Roman"/>
          <w:iCs/>
        </w:rPr>
        <w:t>proBNP</w:t>
      </w:r>
      <w:proofErr w:type="spellEnd"/>
      <w:r w:rsidRPr="00C21C8B">
        <w:rPr>
          <w:rFonts w:eastAsia="Calibri" w:cs="Times New Roman"/>
          <w:iCs/>
        </w:rPr>
        <w:t>) biomarker assay for (1) detection of pulmonary arterial hypertension (PAH) in patients with systemic sclerosis (</w:t>
      </w:r>
      <w:proofErr w:type="spellStart"/>
      <w:r w:rsidRPr="00C21C8B">
        <w:rPr>
          <w:rFonts w:eastAsia="Calibri" w:cs="Times New Roman"/>
          <w:iCs/>
        </w:rPr>
        <w:t>SSc</w:t>
      </w:r>
      <w:proofErr w:type="spellEnd"/>
      <w:r w:rsidRPr="00C21C8B">
        <w:rPr>
          <w:rFonts w:eastAsia="Calibri" w:cs="Times New Roman"/>
          <w:iCs/>
        </w:rPr>
        <w:t>) or (2) risk assessment of patients diagnosed with PAH</w:t>
      </w:r>
      <w:r>
        <w:rPr>
          <w:rFonts w:eastAsia="Calibri" w:cs="Times New Roman"/>
          <w:iCs/>
        </w:rPr>
        <w:t>.  The application</w:t>
      </w:r>
      <w:r w:rsidRPr="00C21C8B">
        <w:rPr>
          <w:rFonts w:eastAsia="Calibri" w:cs="Times New Roman"/>
          <w:iCs/>
        </w:rPr>
        <w:t xml:space="preserve"> was received from Janssen-</w:t>
      </w:r>
      <w:proofErr w:type="spellStart"/>
      <w:r w:rsidRPr="00C21C8B">
        <w:rPr>
          <w:rFonts w:eastAsia="Calibri" w:cs="Times New Roman"/>
          <w:iCs/>
        </w:rPr>
        <w:t>Cilag</w:t>
      </w:r>
      <w:proofErr w:type="spellEnd"/>
      <w:r w:rsidRPr="00C21C8B">
        <w:rPr>
          <w:rFonts w:eastAsia="Calibri" w:cs="Times New Roman"/>
          <w:iCs/>
        </w:rPr>
        <w:t xml:space="preserve"> Australia Pty Ltd.</w:t>
      </w:r>
    </w:p>
    <w:p w14:paraId="27A0BAB8" w14:textId="77777777" w:rsidR="009A5B31" w:rsidRDefault="009A5B31" w:rsidP="009A5B31">
      <w:pPr>
        <w:rPr>
          <w:rFonts w:eastAsia="Calibri" w:cs="Times New Roman"/>
          <w:iCs/>
        </w:rPr>
      </w:pPr>
      <w:r>
        <w:rPr>
          <w:rFonts w:eastAsia="Calibri" w:cs="Times New Roman"/>
          <w:iCs/>
        </w:rPr>
        <w:t xml:space="preserve">ESC noted that </w:t>
      </w:r>
      <w:r w:rsidRPr="00C21C8B">
        <w:rPr>
          <w:rFonts w:eastAsia="Calibri" w:cs="Times New Roman"/>
          <w:iCs/>
        </w:rPr>
        <w:t>NT-</w:t>
      </w:r>
      <w:proofErr w:type="spellStart"/>
      <w:r w:rsidRPr="00C21C8B">
        <w:rPr>
          <w:rFonts w:eastAsia="Calibri" w:cs="Times New Roman"/>
          <w:iCs/>
        </w:rPr>
        <w:t>proBNP</w:t>
      </w:r>
      <w:proofErr w:type="spellEnd"/>
      <w:r w:rsidRPr="00C21C8B">
        <w:rPr>
          <w:rFonts w:eastAsia="Calibri" w:cs="Times New Roman"/>
          <w:iCs/>
        </w:rPr>
        <w:t xml:space="preserve"> tests are </w:t>
      </w:r>
      <w:r>
        <w:rPr>
          <w:rFonts w:eastAsia="Calibri" w:cs="Times New Roman"/>
          <w:iCs/>
        </w:rPr>
        <w:t>approved by the Therapeutic Goods Administration (</w:t>
      </w:r>
      <w:r w:rsidRPr="00C21C8B">
        <w:rPr>
          <w:rFonts w:eastAsia="Calibri" w:cs="Times New Roman"/>
          <w:iCs/>
        </w:rPr>
        <w:t>TGA</w:t>
      </w:r>
      <w:r>
        <w:rPr>
          <w:rFonts w:eastAsia="Calibri" w:cs="Times New Roman"/>
          <w:iCs/>
        </w:rPr>
        <w:t>)</w:t>
      </w:r>
      <w:r w:rsidRPr="00C21C8B">
        <w:rPr>
          <w:rFonts w:eastAsia="Calibri" w:cs="Times New Roman"/>
          <w:iCs/>
        </w:rPr>
        <w:t>. There are five companies offering seven assays</w:t>
      </w:r>
      <w:r>
        <w:rPr>
          <w:rFonts w:eastAsia="Calibri" w:cs="Times New Roman"/>
          <w:iCs/>
        </w:rPr>
        <w:t>.</w:t>
      </w:r>
      <w:r w:rsidRPr="00C21C8B">
        <w:rPr>
          <w:rFonts w:eastAsia="Calibri" w:cs="Times New Roman"/>
          <w:iCs/>
        </w:rPr>
        <w:t xml:space="preserve"> </w:t>
      </w:r>
      <w:r>
        <w:rPr>
          <w:rFonts w:eastAsia="Calibri" w:cs="Times New Roman"/>
          <w:iCs/>
        </w:rPr>
        <w:t>The</w:t>
      </w:r>
      <w:r w:rsidRPr="00C21C8B">
        <w:rPr>
          <w:rFonts w:eastAsia="Calibri" w:cs="Times New Roman"/>
          <w:iCs/>
        </w:rPr>
        <w:t xml:space="preserve"> </w:t>
      </w:r>
      <w:r w:rsidRPr="003A79ED">
        <w:rPr>
          <w:rFonts w:eastAsia="Calibri" w:cs="Times New Roman"/>
          <w:iCs/>
        </w:rPr>
        <w:t>Royal College of Pathologists of Australasia</w:t>
      </w:r>
      <w:r>
        <w:rPr>
          <w:rFonts w:eastAsia="Calibri" w:cs="Times New Roman"/>
          <w:iCs/>
        </w:rPr>
        <w:t xml:space="preserve"> (</w:t>
      </w:r>
      <w:r w:rsidRPr="00C21C8B">
        <w:rPr>
          <w:rFonts w:eastAsia="Calibri" w:cs="Times New Roman"/>
          <w:iCs/>
        </w:rPr>
        <w:t>RCPA</w:t>
      </w:r>
      <w:r>
        <w:rPr>
          <w:rFonts w:eastAsia="Calibri" w:cs="Times New Roman"/>
          <w:iCs/>
        </w:rPr>
        <w:t>)</w:t>
      </w:r>
      <w:r w:rsidRPr="00C21C8B">
        <w:rPr>
          <w:rFonts w:eastAsia="Calibri" w:cs="Times New Roman"/>
          <w:iCs/>
        </w:rPr>
        <w:t xml:space="preserve"> Quality Assurance Programs</w:t>
      </w:r>
      <w:r>
        <w:rPr>
          <w:rFonts w:eastAsia="Calibri" w:cs="Times New Roman"/>
          <w:iCs/>
        </w:rPr>
        <w:t xml:space="preserve"> include NT-</w:t>
      </w:r>
      <w:proofErr w:type="spellStart"/>
      <w:r>
        <w:rPr>
          <w:rFonts w:eastAsia="Calibri" w:cs="Times New Roman"/>
          <w:iCs/>
        </w:rPr>
        <w:t>proBNP</w:t>
      </w:r>
      <w:proofErr w:type="spellEnd"/>
      <w:r>
        <w:rPr>
          <w:rFonts w:eastAsia="Calibri" w:cs="Times New Roman"/>
          <w:iCs/>
        </w:rPr>
        <w:t xml:space="preserve"> testing</w:t>
      </w:r>
      <w:r w:rsidRPr="00C21C8B">
        <w:rPr>
          <w:rFonts w:eastAsia="Calibri" w:cs="Times New Roman"/>
          <w:iCs/>
        </w:rPr>
        <w:t>.</w:t>
      </w:r>
    </w:p>
    <w:p w14:paraId="5C27F384" w14:textId="77777777" w:rsidR="009A5B31" w:rsidRPr="00053D22" w:rsidRDefault="009A5B31" w:rsidP="009A5B31">
      <w:pPr>
        <w:rPr>
          <w:rFonts w:eastAsia="Calibri" w:cs="Times New Roman"/>
          <w:iCs/>
        </w:rPr>
      </w:pPr>
      <w:r>
        <w:rPr>
          <w:rFonts w:eastAsia="Calibri" w:cs="Times New Roman"/>
          <w:iCs/>
        </w:rPr>
        <w:t>ESC noted that, for Population 1, the test will be used as a</w:t>
      </w:r>
      <w:r w:rsidRPr="00053D22">
        <w:rPr>
          <w:rFonts w:eastAsia="Calibri" w:cs="Times New Roman"/>
          <w:iCs/>
        </w:rPr>
        <w:t xml:space="preserve"> screening test</w:t>
      </w:r>
      <w:r>
        <w:rPr>
          <w:rFonts w:eastAsia="Calibri" w:cs="Times New Roman"/>
          <w:iCs/>
        </w:rPr>
        <w:t xml:space="preserve"> for PAH in patients with </w:t>
      </w:r>
      <w:proofErr w:type="spellStart"/>
      <w:r>
        <w:rPr>
          <w:rFonts w:eastAsia="Calibri" w:cs="Times New Roman"/>
          <w:iCs/>
        </w:rPr>
        <w:t>SSc</w:t>
      </w:r>
      <w:proofErr w:type="spellEnd"/>
      <w:r>
        <w:rPr>
          <w:rFonts w:eastAsia="Calibri" w:cs="Times New Roman"/>
          <w:iCs/>
        </w:rPr>
        <w:t xml:space="preserve">. For </w:t>
      </w:r>
      <w:r w:rsidRPr="00053D22">
        <w:rPr>
          <w:rFonts w:eastAsia="Calibri" w:cs="Times New Roman"/>
          <w:iCs/>
        </w:rPr>
        <w:t>Pop</w:t>
      </w:r>
      <w:r>
        <w:rPr>
          <w:rFonts w:eastAsia="Calibri" w:cs="Times New Roman"/>
          <w:iCs/>
        </w:rPr>
        <w:t>ulation</w:t>
      </w:r>
      <w:r w:rsidRPr="00053D22">
        <w:rPr>
          <w:rFonts w:eastAsia="Calibri" w:cs="Times New Roman"/>
          <w:iCs/>
        </w:rPr>
        <w:t xml:space="preserve"> 2</w:t>
      </w:r>
      <w:r>
        <w:rPr>
          <w:rFonts w:eastAsia="Calibri" w:cs="Times New Roman"/>
          <w:iCs/>
        </w:rPr>
        <w:t>,</w:t>
      </w:r>
      <w:r w:rsidRPr="00053D22">
        <w:rPr>
          <w:rFonts w:eastAsia="Calibri" w:cs="Times New Roman"/>
          <w:iCs/>
        </w:rPr>
        <w:t xml:space="preserve"> </w:t>
      </w:r>
      <w:r>
        <w:rPr>
          <w:rFonts w:eastAsia="Calibri" w:cs="Times New Roman"/>
          <w:iCs/>
        </w:rPr>
        <w:t xml:space="preserve">the test </w:t>
      </w:r>
      <w:r w:rsidRPr="00254DC9">
        <w:rPr>
          <w:rFonts w:eastAsia="Calibri" w:cs="Times New Roman"/>
          <w:iCs/>
        </w:rPr>
        <w:t>aims to determine risk of death</w:t>
      </w:r>
      <w:r>
        <w:rPr>
          <w:rFonts w:eastAsia="Calibri" w:cs="Times New Roman"/>
          <w:iCs/>
        </w:rPr>
        <w:t xml:space="preserve"> and/or adverse clinical outcome as part of a</w:t>
      </w:r>
      <w:r w:rsidRPr="00254DC9">
        <w:rPr>
          <w:rFonts w:eastAsia="Calibri" w:cs="Times New Roman"/>
          <w:iCs/>
        </w:rPr>
        <w:t xml:space="preserve"> multiparameter assessment </w:t>
      </w:r>
      <w:r>
        <w:rPr>
          <w:rFonts w:eastAsia="Calibri" w:cs="Times New Roman"/>
          <w:iCs/>
        </w:rPr>
        <w:t>for patients with PAH</w:t>
      </w:r>
      <w:r w:rsidRPr="00053D22">
        <w:rPr>
          <w:rFonts w:eastAsia="Calibri" w:cs="Times New Roman"/>
          <w:iCs/>
        </w:rPr>
        <w:t xml:space="preserve">. </w:t>
      </w:r>
      <w:r>
        <w:rPr>
          <w:rFonts w:eastAsia="Calibri" w:cs="Times New Roman"/>
          <w:iCs/>
        </w:rPr>
        <w:t xml:space="preserve">ESC considered the current treatment paradigm for PAH was to achieve a low-risk status.  </w:t>
      </w:r>
    </w:p>
    <w:p w14:paraId="03B60485" w14:textId="77777777" w:rsidR="009A5B31" w:rsidRPr="00053D22" w:rsidRDefault="009A5B31" w:rsidP="009A5B31">
      <w:pPr>
        <w:rPr>
          <w:rFonts w:eastAsia="Calibri" w:cs="Times New Roman"/>
          <w:iCs/>
        </w:rPr>
      </w:pPr>
      <w:r>
        <w:rPr>
          <w:rFonts w:eastAsia="Calibri" w:cs="Times New Roman"/>
          <w:iCs/>
        </w:rPr>
        <w:t>ESC noted that the item descriptor for each population had a different limit on the number of tests that could be repeated and that this was likely appropriate.</w:t>
      </w:r>
      <w:r w:rsidRPr="00B378BA">
        <w:t xml:space="preserve"> </w:t>
      </w:r>
      <w:r>
        <w:t>ESC considered the MBS item descriptor should clarify that</w:t>
      </w:r>
      <w:r w:rsidRPr="002E7B4B">
        <w:t xml:space="preserve"> </w:t>
      </w:r>
      <w:r>
        <w:t>the</w:t>
      </w:r>
      <w:r w:rsidRPr="002E7B4B">
        <w:t xml:space="preserve"> item </w:t>
      </w:r>
      <w:r>
        <w:t xml:space="preserve">for Population 2 </w:t>
      </w:r>
      <w:r w:rsidRPr="002E7B4B">
        <w:t xml:space="preserve">is </w:t>
      </w:r>
      <w:r>
        <w:t xml:space="preserve">solely </w:t>
      </w:r>
      <w:r w:rsidRPr="002E7B4B">
        <w:t xml:space="preserve">for patients with pulmonary </w:t>
      </w:r>
      <w:r w:rsidRPr="00566EFA">
        <w:rPr>
          <w:u w:val="single"/>
        </w:rPr>
        <w:t>arterial</w:t>
      </w:r>
      <w:r w:rsidRPr="002E7B4B">
        <w:t xml:space="preserve"> hypertension</w:t>
      </w:r>
      <w:r>
        <w:t xml:space="preserve"> to prevent use for post-capillary pulmonary hypertension. ESC considered </w:t>
      </w:r>
      <w:r>
        <w:lastRenderedPageBreak/>
        <w:t xml:space="preserve">that it may be appropriate to limit requesting practitioners to specialists who manage SSC and PAH.  </w:t>
      </w:r>
    </w:p>
    <w:p w14:paraId="78D81590" w14:textId="05BD23D9" w:rsidR="009A5B31" w:rsidRDefault="009A5B31" w:rsidP="009A5B31">
      <w:pPr>
        <w:rPr>
          <w:rFonts w:eastAsia="Calibri" w:cs="Times New Roman"/>
          <w:iCs/>
        </w:rPr>
      </w:pPr>
      <w:r>
        <w:rPr>
          <w:rFonts w:eastAsia="Calibri" w:cs="Times New Roman"/>
          <w:iCs/>
        </w:rPr>
        <w:t>ESC noted that the proposed clinical management algorithm for Population 1 should include detail on patients with borderline screening results or whose symptoms are worsening (</w:t>
      </w:r>
      <w:r w:rsidRPr="00053D22">
        <w:rPr>
          <w:rFonts w:eastAsia="Calibri" w:cs="Times New Roman"/>
          <w:iCs/>
        </w:rPr>
        <w:t>10</w:t>
      </w:r>
      <w:r>
        <w:rPr>
          <w:rFonts w:eastAsia="Calibri" w:cs="Times New Roman"/>
          <w:iCs/>
        </w:rPr>
        <w:t>% of patients), who would</w:t>
      </w:r>
      <w:r w:rsidRPr="00053D22">
        <w:rPr>
          <w:rFonts w:eastAsia="Calibri" w:cs="Times New Roman"/>
          <w:iCs/>
        </w:rPr>
        <w:t xml:space="preserve"> </w:t>
      </w:r>
      <w:r>
        <w:rPr>
          <w:rFonts w:eastAsia="Calibri" w:cs="Times New Roman"/>
          <w:iCs/>
        </w:rPr>
        <w:t>require</w:t>
      </w:r>
      <w:r w:rsidRPr="00053D22">
        <w:rPr>
          <w:rFonts w:eastAsia="Calibri" w:cs="Times New Roman"/>
          <w:iCs/>
        </w:rPr>
        <w:t xml:space="preserve"> </w:t>
      </w:r>
      <w:r>
        <w:rPr>
          <w:rFonts w:eastAsia="Calibri" w:cs="Times New Roman"/>
          <w:iCs/>
        </w:rPr>
        <w:t xml:space="preserve">a </w:t>
      </w:r>
      <w:r w:rsidRPr="00053D22">
        <w:rPr>
          <w:rFonts w:eastAsia="Calibri" w:cs="Times New Roman"/>
          <w:iCs/>
        </w:rPr>
        <w:t>repeat</w:t>
      </w:r>
      <w:r>
        <w:rPr>
          <w:rFonts w:eastAsia="Calibri" w:cs="Times New Roman"/>
          <w:iCs/>
        </w:rPr>
        <w:t xml:space="preserve"> screen within 6 months</w:t>
      </w:r>
      <w:r w:rsidRPr="00053D22">
        <w:rPr>
          <w:rFonts w:eastAsia="Calibri" w:cs="Times New Roman"/>
          <w:iCs/>
        </w:rPr>
        <w:t xml:space="preserve"> </w:t>
      </w:r>
      <w:r>
        <w:rPr>
          <w:rFonts w:eastAsia="Calibri" w:cs="Times New Roman"/>
          <w:iCs/>
        </w:rPr>
        <w:t xml:space="preserve">(refer to Figure </w:t>
      </w:r>
      <w:r>
        <w:rPr>
          <w:noProof/>
        </w:rPr>
        <w:t xml:space="preserve">3 </w:t>
      </w:r>
      <w:r>
        <w:rPr>
          <w:rFonts w:eastAsia="Calibri" w:cs="Times New Roman"/>
          <w:iCs/>
        </w:rPr>
        <w:t>for the revised clinical management algorithm for Population 1 following the ESC meeting).</w:t>
      </w:r>
    </w:p>
    <w:p w14:paraId="14C03ECF" w14:textId="10C95678" w:rsidR="009A5B31" w:rsidRDefault="009A5B31" w:rsidP="009A5B31">
      <w:pPr>
        <w:rPr>
          <w:rFonts w:eastAsia="Calibri" w:cs="Times New Roman"/>
          <w:iCs/>
        </w:rPr>
      </w:pPr>
      <w:r>
        <w:rPr>
          <w:rFonts w:eastAsia="Calibri" w:cs="Times New Roman"/>
          <w:iCs/>
        </w:rPr>
        <w:t>ESC noted the consultation feedback was supportive. ESC noted that e</w:t>
      </w:r>
      <w:r w:rsidRPr="00053D22">
        <w:rPr>
          <w:rFonts w:eastAsia="Calibri" w:cs="Times New Roman"/>
          <w:iCs/>
        </w:rPr>
        <w:t>q</w:t>
      </w:r>
      <w:r>
        <w:rPr>
          <w:rFonts w:eastAsia="Calibri" w:cs="Times New Roman"/>
          <w:iCs/>
        </w:rPr>
        <w:t>u</w:t>
      </w:r>
      <w:r w:rsidRPr="00053D22">
        <w:rPr>
          <w:rFonts w:eastAsia="Calibri" w:cs="Times New Roman"/>
          <w:iCs/>
        </w:rPr>
        <w:t>ity of access</w:t>
      </w:r>
      <w:r>
        <w:rPr>
          <w:rFonts w:eastAsia="Calibri" w:cs="Times New Roman"/>
          <w:iCs/>
        </w:rPr>
        <w:t xml:space="preserve"> was raised as an issue. The proposed intervention</w:t>
      </w:r>
      <w:r w:rsidRPr="00053D22">
        <w:rPr>
          <w:rFonts w:eastAsia="Calibri" w:cs="Times New Roman"/>
          <w:iCs/>
        </w:rPr>
        <w:t xml:space="preserve"> </w:t>
      </w:r>
      <w:r>
        <w:rPr>
          <w:rFonts w:eastAsia="Calibri" w:cs="Times New Roman"/>
          <w:iCs/>
        </w:rPr>
        <w:t xml:space="preserve">would address this issue by </w:t>
      </w:r>
      <w:r w:rsidRPr="00053D22">
        <w:rPr>
          <w:rFonts w:eastAsia="Calibri" w:cs="Times New Roman"/>
          <w:iCs/>
        </w:rPr>
        <w:t>reduc</w:t>
      </w:r>
      <w:r>
        <w:rPr>
          <w:rFonts w:eastAsia="Calibri" w:cs="Times New Roman"/>
          <w:iCs/>
        </w:rPr>
        <w:t>ing the</w:t>
      </w:r>
      <w:r w:rsidRPr="00053D22">
        <w:rPr>
          <w:rFonts w:eastAsia="Calibri" w:cs="Times New Roman"/>
          <w:iCs/>
        </w:rPr>
        <w:t xml:space="preserve"> need for </w:t>
      </w:r>
      <w:r>
        <w:rPr>
          <w:rFonts w:eastAsia="Calibri" w:cs="Times New Roman"/>
          <w:iCs/>
        </w:rPr>
        <w:t xml:space="preserve">people to </w:t>
      </w:r>
      <w:r w:rsidRPr="00053D22">
        <w:rPr>
          <w:rFonts w:eastAsia="Calibri" w:cs="Times New Roman"/>
          <w:iCs/>
        </w:rPr>
        <w:t>travel and</w:t>
      </w:r>
      <w:r>
        <w:rPr>
          <w:rFonts w:eastAsia="Calibri" w:cs="Times New Roman"/>
          <w:iCs/>
        </w:rPr>
        <w:t xml:space="preserve"> the associated costs</w:t>
      </w:r>
      <w:r w:rsidRPr="00053D22">
        <w:rPr>
          <w:rFonts w:eastAsia="Calibri" w:cs="Times New Roman"/>
          <w:iCs/>
        </w:rPr>
        <w:t xml:space="preserve"> </w:t>
      </w:r>
      <w:r>
        <w:rPr>
          <w:rFonts w:eastAsia="Calibri" w:cs="Times New Roman"/>
          <w:iCs/>
        </w:rPr>
        <w:t>(and discomfort) of</w:t>
      </w:r>
      <w:r w:rsidRPr="00053D22">
        <w:rPr>
          <w:rFonts w:eastAsia="Calibri" w:cs="Times New Roman"/>
          <w:iCs/>
        </w:rPr>
        <w:t xml:space="preserve"> </w:t>
      </w:r>
      <w:r>
        <w:rPr>
          <w:rFonts w:eastAsia="Calibri" w:cs="Times New Roman"/>
          <w:iCs/>
        </w:rPr>
        <w:t>an echocardiogram</w:t>
      </w:r>
      <w:r w:rsidRPr="00053D22">
        <w:rPr>
          <w:rFonts w:eastAsia="Calibri" w:cs="Times New Roman"/>
          <w:iCs/>
        </w:rPr>
        <w:t>.</w:t>
      </w:r>
      <w:r>
        <w:rPr>
          <w:rFonts w:eastAsia="Calibri" w:cs="Times New Roman"/>
          <w:iCs/>
        </w:rPr>
        <w:t xml:space="preserve"> ESC noted that TTE would not detect PAH in a meaningful proportion of Population 1 due to </w:t>
      </w:r>
      <w:r w:rsidRPr="00565C58">
        <w:rPr>
          <w:rFonts w:eastAsia="Calibri" w:cs="Times New Roman"/>
          <w:iCs/>
        </w:rPr>
        <w:t>inadequate tricuspid regurgitation</w:t>
      </w:r>
      <w:r>
        <w:rPr>
          <w:rFonts w:eastAsia="Calibri" w:cs="Times New Roman"/>
          <w:iCs/>
        </w:rPr>
        <w:t>. ESC noted that increased access to NT-</w:t>
      </w:r>
      <w:proofErr w:type="spellStart"/>
      <w:r>
        <w:rPr>
          <w:rFonts w:eastAsia="Calibri" w:cs="Times New Roman"/>
          <w:iCs/>
        </w:rPr>
        <w:t>proBNP</w:t>
      </w:r>
      <w:proofErr w:type="spellEnd"/>
      <w:r>
        <w:rPr>
          <w:rFonts w:eastAsia="Calibri" w:cs="Times New Roman"/>
          <w:iCs/>
        </w:rPr>
        <w:t xml:space="preserve"> could result in patient benefits through earlier diagnosis and treatment. ESC considered MBS funding could enable more PAH screening through, address</w:t>
      </w:r>
      <w:r w:rsidR="00DB0D21">
        <w:rPr>
          <w:rFonts w:eastAsia="Calibri" w:cs="Times New Roman"/>
          <w:iCs/>
        </w:rPr>
        <w:t>ing</w:t>
      </w:r>
      <w:r>
        <w:rPr>
          <w:rFonts w:eastAsia="Calibri" w:cs="Times New Roman"/>
          <w:iCs/>
        </w:rPr>
        <w:t xml:space="preserve"> the backlog of screening that did not occur during COVID</w:t>
      </w:r>
      <w:r>
        <w:rPr>
          <w:rFonts w:eastAsia="Calibri" w:cs="Times New Roman"/>
          <w:iCs/>
        </w:rPr>
        <w:noBreakHyphen/>
        <w:t xml:space="preserve">19 lockdowns and future-proof provision in potential future pandemic lockdowns. </w:t>
      </w:r>
    </w:p>
    <w:p w14:paraId="2E364AAA" w14:textId="77777777" w:rsidR="009A5B31" w:rsidRPr="00C21C8B" w:rsidRDefault="009A5B31" w:rsidP="009A5B31">
      <w:pPr>
        <w:rPr>
          <w:rFonts w:eastAsia="Calibri" w:cs="Times New Roman"/>
          <w:iCs/>
        </w:rPr>
      </w:pPr>
      <w:r>
        <w:rPr>
          <w:rFonts w:eastAsia="Calibri" w:cs="Times New Roman"/>
          <w:iCs/>
        </w:rPr>
        <w:t>ESC noted that t</w:t>
      </w:r>
      <w:r w:rsidRPr="00C21C8B">
        <w:rPr>
          <w:rFonts w:eastAsia="Calibri" w:cs="Times New Roman"/>
          <w:iCs/>
        </w:rPr>
        <w:t>he safety of the NT-</w:t>
      </w:r>
      <w:proofErr w:type="spellStart"/>
      <w:r w:rsidRPr="00C21C8B">
        <w:rPr>
          <w:rFonts w:eastAsia="Calibri" w:cs="Times New Roman"/>
          <w:iCs/>
        </w:rPr>
        <w:t>proBNP</w:t>
      </w:r>
      <w:proofErr w:type="spellEnd"/>
      <w:r w:rsidRPr="00C21C8B">
        <w:rPr>
          <w:rFonts w:eastAsia="Calibri" w:cs="Times New Roman"/>
          <w:iCs/>
        </w:rPr>
        <w:t xml:space="preserve"> test was not discussed in the</w:t>
      </w:r>
      <w:r>
        <w:rPr>
          <w:rFonts w:eastAsia="Calibri" w:cs="Times New Roman"/>
          <w:iCs/>
        </w:rPr>
        <w:t xml:space="preserve"> applicant-developed assessment report (</w:t>
      </w:r>
      <w:r w:rsidRPr="00C21C8B">
        <w:rPr>
          <w:rFonts w:eastAsia="Calibri" w:cs="Times New Roman"/>
          <w:iCs/>
        </w:rPr>
        <w:t>ADAR</w:t>
      </w:r>
      <w:r>
        <w:rPr>
          <w:rFonts w:eastAsia="Calibri" w:cs="Times New Roman"/>
          <w:iCs/>
        </w:rPr>
        <w:t>)</w:t>
      </w:r>
      <w:r w:rsidRPr="00C21C8B">
        <w:rPr>
          <w:rFonts w:eastAsia="Calibri" w:cs="Times New Roman"/>
          <w:iCs/>
        </w:rPr>
        <w:t>. However, considering that the test requires a blood sample, it is a relatively safe procedure.</w:t>
      </w:r>
      <w:r>
        <w:rPr>
          <w:rFonts w:eastAsia="Calibri" w:cs="Times New Roman"/>
          <w:iCs/>
        </w:rPr>
        <w:t xml:space="preserve"> For Population 1, ESC noted that screening using NT-</w:t>
      </w:r>
      <w:proofErr w:type="spellStart"/>
      <w:r>
        <w:rPr>
          <w:rFonts w:eastAsia="Calibri" w:cs="Times New Roman"/>
          <w:iCs/>
        </w:rPr>
        <w:t>proBNP</w:t>
      </w:r>
      <w:proofErr w:type="spellEnd"/>
      <w:r>
        <w:rPr>
          <w:rFonts w:eastAsia="Calibri" w:cs="Times New Roman"/>
          <w:iCs/>
        </w:rPr>
        <w:t xml:space="preserve"> may</w:t>
      </w:r>
      <w:r w:rsidRPr="00C21C8B">
        <w:rPr>
          <w:rFonts w:eastAsia="Calibri" w:cs="Times New Roman"/>
          <w:iCs/>
        </w:rPr>
        <w:t xml:space="preserve"> </w:t>
      </w:r>
      <w:r>
        <w:rPr>
          <w:rFonts w:eastAsia="Calibri" w:cs="Times New Roman"/>
          <w:iCs/>
        </w:rPr>
        <w:t>result in</w:t>
      </w:r>
      <w:r w:rsidRPr="00C21C8B">
        <w:rPr>
          <w:rFonts w:eastAsia="Calibri" w:cs="Times New Roman"/>
          <w:iCs/>
        </w:rPr>
        <w:t xml:space="preserve"> a slightly superior safety profile compared with the current testing protocol</w:t>
      </w:r>
      <w:r>
        <w:rPr>
          <w:rFonts w:eastAsia="Calibri" w:cs="Times New Roman"/>
          <w:iCs/>
        </w:rPr>
        <w:t>, as it</w:t>
      </w:r>
      <w:r w:rsidRPr="00C21C8B">
        <w:rPr>
          <w:rFonts w:eastAsia="Calibri" w:cs="Times New Roman"/>
          <w:iCs/>
        </w:rPr>
        <w:t xml:space="preserve"> </w:t>
      </w:r>
      <w:r>
        <w:rPr>
          <w:rFonts w:eastAsia="Calibri" w:cs="Times New Roman"/>
          <w:iCs/>
        </w:rPr>
        <w:t>reduces</w:t>
      </w:r>
      <w:r w:rsidRPr="00C21C8B">
        <w:rPr>
          <w:rFonts w:eastAsia="Calibri" w:cs="Times New Roman"/>
          <w:iCs/>
        </w:rPr>
        <w:t xml:space="preserve"> the number of </w:t>
      </w:r>
      <w:proofErr w:type="spellStart"/>
      <w:r w:rsidRPr="00C21C8B">
        <w:rPr>
          <w:rFonts w:eastAsia="Calibri" w:cs="Times New Roman"/>
          <w:iCs/>
        </w:rPr>
        <w:t>SSc</w:t>
      </w:r>
      <w:proofErr w:type="spellEnd"/>
      <w:r w:rsidRPr="00C21C8B">
        <w:rPr>
          <w:rFonts w:eastAsia="Calibri" w:cs="Times New Roman"/>
          <w:iCs/>
        </w:rPr>
        <w:t xml:space="preserve"> patients requiring the invasive procedure.</w:t>
      </w:r>
      <w:r w:rsidRPr="00F210B6">
        <w:rPr>
          <w:rFonts w:eastAsia="Calibri" w:cs="Times New Roman"/>
          <w:iCs/>
        </w:rPr>
        <w:t xml:space="preserve"> </w:t>
      </w:r>
      <w:r w:rsidRPr="00C21C8B">
        <w:rPr>
          <w:rFonts w:eastAsia="Calibri" w:cs="Times New Roman"/>
          <w:iCs/>
        </w:rPr>
        <w:t>These patients will avoid possible adverse safety outcomes from the RHC procedure.</w:t>
      </w:r>
    </w:p>
    <w:p w14:paraId="73DB2FD3" w14:textId="77777777" w:rsidR="009A5B31" w:rsidRDefault="009A5B31" w:rsidP="009A5B31">
      <w:r>
        <w:rPr>
          <w:rFonts w:eastAsia="Calibri" w:cs="Times New Roman"/>
          <w:iCs/>
        </w:rPr>
        <w:t>For Population 1, ESC noted that the d</w:t>
      </w:r>
      <w:r w:rsidRPr="00A35305">
        <w:rPr>
          <w:rFonts w:eastAsia="Calibri" w:cs="Times New Roman"/>
          <w:iCs/>
        </w:rPr>
        <w:t>iagnostic performance of NT-</w:t>
      </w:r>
      <w:proofErr w:type="spellStart"/>
      <w:r w:rsidRPr="5658F724">
        <w:rPr>
          <w:rFonts w:eastAsia="Calibri" w:cs="Times New Roman"/>
        </w:rPr>
        <w:t>proBNP</w:t>
      </w:r>
      <w:proofErr w:type="spellEnd"/>
      <w:r w:rsidRPr="00A35305">
        <w:rPr>
          <w:rFonts w:eastAsia="Calibri" w:cs="Times New Roman"/>
          <w:iCs/>
        </w:rPr>
        <w:t xml:space="preserve"> and </w:t>
      </w:r>
      <w:r>
        <w:rPr>
          <w:rFonts w:eastAsia="Calibri" w:cs="Times New Roman"/>
          <w:iCs/>
        </w:rPr>
        <w:t>pulmonary function test (</w:t>
      </w:r>
      <w:r w:rsidRPr="00A35305">
        <w:rPr>
          <w:rFonts w:eastAsia="Calibri" w:cs="Times New Roman"/>
          <w:iCs/>
        </w:rPr>
        <w:t>PFT</w:t>
      </w:r>
      <w:r>
        <w:rPr>
          <w:rFonts w:eastAsia="Calibri" w:cs="Times New Roman"/>
          <w:iCs/>
        </w:rPr>
        <w:t>)</w:t>
      </w:r>
      <w:r w:rsidRPr="00A35305">
        <w:rPr>
          <w:rFonts w:eastAsia="Calibri" w:cs="Times New Roman"/>
          <w:iCs/>
        </w:rPr>
        <w:t xml:space="preserve"> </w:t>
      </w:r>
      <w:r w:rsidRPr="00C21C8B">
        <w:rPr>
          <w:rFonts w:eastAsia="Calibri" w:cs="Times New Roman"/>
          <w:iCs/>
        </w:rPr>
        <w:t>as part of the</w:t>
      </w:r>
      <w:r w:rsidRPr="00877479">
        <w:t xml:space="preserve"> </w:t>
      </w:r>
      <w:r w:rsidRPr="00877479">
        <w:rPr>
          <w:rFonts w:eastAsia="Calibri" w:cs="Times New Roman"/>
          <w:iCs/>
        </w:rPr>
        <w:t>Australian Scleroderma Interest Group</w:t>
      </w:r>
      <w:r w:rsidRPr="00C21C8B">
        <w:rPr>
          <w:rFonts w:eastAsia="Calibri" w:cs="Times New Roman"/>
          <w:iCs/>
        </w:rPr>
        <w:t xml:space="preserve"> </w:t>
      </w:r>
      <w:r>
        <w:rPr>
          <w:rFonts w:eastAsia="Calibri" w:cs="Times New Roman"/>
          <w:iCs/>
        </w:rPr>
        <w:t>(</w:t>
      </w:r>
      <w:r w:rsidRPr="00C21C8B">
        <w:rPr>
          <w:rFonts w:eastAsia="Calibri" w:cs="Times New Roman"/>
          <w:iCs/>
        </w:rPr>
        <w:t>ASIG</w:t>
      </w:r>
      <w:r>
        <w:rPr>
          <w:rFonts w:eastAsia="Calibri" w:cs="Times New Roman"/>
          <w:iCs/>
        </w:rPr>
        <w:t>)</w:t>
      </w:r>
      <w:r w:rsidRPr="00C21C8B">
        <w:rPr>
          <w:rFonts w:eastAsia="Calibri" w:cs="Times New Roman"/>
          <w:iCs/>
        </w:rPr>
        <w:t xml:space="preserve"> algorithm</w:t>
      </w:r>
      <w:r w:rsidRPr="007F1842">
        <w:rPr>
          <w:rFonts w:eastAsia="Calibri" w:cs="Times New Roman"/>
          <w:iCs/>
        </w:rPr>
        <w:t xml:space="preserve"> </w:t>
      </w:r>
      <w:r w:rsidRPr="00A35305">
        <w:rPr>
          <w:rFonts w:eastAsia="Calibri" w:cs="Times New Roman"/>
          <w:iCs/>
        </w:rPr>
        <w:t>has more specificity than</w:t>
      </w:r>
      <w:r>
        <w:rPr>
          <w:rFonts w:eastAsia="Calibri" w:cs="Times New Roman"/>
          <w:iCs/>
        </w:rPr>
        <w:t xml:space="preserve"> TTE</w:t>
      </w:r>
      <w:r w:rsidRPr="00A35305">
        <w:rPr>
          <w:rFonts w:eastAsia="Calibri" w:cs="Times New Roman"/>
          <w:iCs/>
        </w:rPr>
        <w:t xml:space="preserve"> and PFT</w:t>
      </w:r>
      <w:r>
        <w:rPr>
          <w:rFonts w:eastAsia="Calibri" w:cs="Times New Roman"/>
          <w:iCs/>
        </w:rPr>
        <w:t xml:space="preserve"> (ESC/ERC guidelines) and</w:t>
      </w:r>
      <w:r w:rsidRPr="004A0957">
        <w:rPr>
          <w:rFonts w:eastAsia="Calibri" w:cs="Times New Roman"/>
          <w:iCs/>
        </w:rPr>
        <w:t xml:space="preserve"> </w:t>
      </w:r>
      <w:r w:rsidRPr="00C21C8B">
        <w:rPr>
          <w:rFonts w:eastAsia="Calibri" w:cs="Times New Roman"/>
          <w:iCs/>
        </w:rPr>
        <w:t>may reduce the number of false positive results</w:t>
      </w:r>
      <w:r>
        <w:rPr>
          <w:rFonts w:eastAsia="Calibri" w:cs="Times New Roman"/>
          <w:iCs/>
        </w:rPr>
        <w:t xml:space="preserve">. This may </w:t>
      </w:r>
      <w:r w:rsidRPr="00A35305">
        <w:rPr>
          <w:rFonts w:eastAsia="Calibri" w:cs="Times New Roman"/>
          <w:iCs/>
        </w:rPr>
        <w:t>reduce</w:t>
      </w:r>
      <w:r>
        <w:rPr>
          <w:rFonts w:eastAsia="Calibri" w:cs="Times New Roman"/>
          <w:iCs/>
        </w:rPr>
        <w:t xml:space="preserve"> the</w:t>
      </w:r>
      <w:r w:rsidRPr="00A35305">
        <w:rPr>
          <w:rFonts w:eastAsia="Calibri" w:cs="Times New Roman"/>
          <w:iCs/>
        </w:rPr>
        <w:t xml:space="preserve"> need for </w:t>
      </w:r>
      <w:r>
        <w:rPr>
          <w:rFonts w:eastAsia="Calibri" w:cs="Times New Roman"/>
          <w:iCs/>
        </w:rPr>
        <w:t xml:space="preserve">an invasive </w:t>
      </w:r>
      <w:r w:rsidRPr="00F62014">
        <w:rPr>
          <w:rFonts w:eastAsia="Calibri" w:cs="Times New Roman"/>
          <w:iCs/>
        </w:rPr>
        <w:t>right heart catheterisation</w:t>
      </w:r>
      <w:r>
        <w:rPr>
          <w:rFonts w:eastAsia="Calibri" w:cs="Times New Roman"/>
          <w:iCs/>
        </w:rPr>
        <w:t xml:space="preserve"> </w:t>
      </w:r>
      <w:r w:rsidRPr="00F62014">
        <w:rPr>
          <w:rFonts w:eastAsia="Calibri" w:cs="Times New Roman"/>
          <w:iCs/>
        </w:rPr>
        <w:t>(RHC)</w:t>
      </w:r>
      <w:r>
        <w:rPr>
          <w:rFonts w:eastAsia="Calibri" w:cs="Times New Roman"/>
          <w:iCs/>
        </w:rPr>
        <w:t xml:space="preserve"> procedure to diagnose PAH. ESC noted the p</w:t>
      </w:r>
      <w:r w:rsidRPr="00024F63">
        <w:rPr>
          <w:rFonts w:eastAsia="Calibri" w:cs="Times New Roman"/>
          <w:iCs/>
        </w:rPr>
        <w:t xml:space="preserve">redictive value testing for Population 1 is based on a high prevalence of PAH (12%) among patients with </w:t>
      </w:r>
      <w:proofErr w:type="spellStart"/>
      <w:r w:rsidRPr="00024F63">
        <w:rPr>
          <w:rFonts w:eastAsia="Calibri" w:cs="Times New Roman"/>
          <w:iCs/>
        </w:rPr>
        <w:t>SSc</w:t>
      </w:r>
      <w:proofErr w:type="spellEnd"/>
      <w:r w:rsidRPr="00024F63">
        <w:rPr>
          <w:rFonts w:eastAsia="Calibri" w:cs="Times New Roman"/>
          <w:iCs/>
        </w:rPr>
        <w:t xml:space="preserve"> that reflects long</w:t>
      </w:r>
      <w:r>
        <w:rPr>
          <w:rFonts w:eastAsia="Calibri" w:cs="Times New Roman"/>
          <w:iCs/>
        </w:rPr>
        <w:t>-</w:t>
      </w:r>
      <w:r w:rsidRPr="00024F63">
        <w:rPr>
          <w:rFonts w:eastAsia="Calibri" w:cs="Times New Roman"/>
          <w:iCs/>
        </w:rPr>
        <w:t>term incidence rather than 1 year incidence</w:t>
      </w:r>
      <w:r>
        <w:rPr>
          <w:rFonts w:eastAsia="Calibri" w:cs="Times New Roman"/>
          <w:iCs/>
        </w:rPr>
        <w:t xml:space="preserve">. </w:t>
      </w:r>
      <w:r w:rsidRPr="00024F63">
        <w:rPr>
          <w:rFonts w:eastAsia="Calibri" w:cs="Times New Roman"/>
          <w:iCs/>
        </w:rPr>
        <w:t xml:space="preserve">ESC considered the </w:t>
      </w:r>
      <w:r>
        <w:rPr>
          <w:rFonts w:eastAsia="Calibri" w:cs="Times New Roman"/>
          <w:iCs/>
        </w:rPr>
        <w:t xml:space="preserve">predictive value of testing should </w:t>
      </w:r>
      <w:r w:rsidRPr="00024F63">
        <w:rPr>
          <w:rFonts w:eastAsia="Calibri" w:cs="Times New Roman"/>
          <w:iCs/>
        </w:rPr>
        <w:t>be recalculated based on an annual incidence of 1% to reflect annual screening</w:t>
      </w:r>
      <w:r>
        <w:rPr>
          <w:rFonts w:eastAsia="Calibri" w:cs="Times New Roman"/>
          <w:iCs/>
        </w:rPr>
        <w:t>. ESC noted this would affect both the intervention and comparator. Based on the recalculated figures, the</w:t>
      </w:r>
      <w:r w:rsidRPr="00F965ED">
        <w:rPr>
          <w:rFonts w:eastAsia="Calibri" w:cs="Times New Roman"/>
          <w:iCs/>
        </w:rPr>
        <w:t xml:space="preserve"> number of </w:t>
      </w:r>
      <w:proofErr w:type="spellStart"/>
      <w:r w:rsidRPr="00F965ED">
        <w:rPr>
          <w:rFonts w:eastAsia="Calibri" w:cs="Times New Roman"/>
          <w:iCs/>
        </w:rPr>
        <w:t>SSc</w:t>
      </w:r>
      <w:proofErr w:type="spellEnd"/>
      <w:r w:rsidRPr="00F965ED">
        <w:rPr>
          <w:rFonts w:eastAsia="Calibri" w:cs="Times New Roman"/>
          <w:iCs/>
        </w:rPr>
        <w:t xml:space="preserve"> patients with a missed diagnosis of PAH is expected to be </w:t>
      </w:r>
      <w:r>
        <w:rPr>
          <w:rFonts w:eastAsia="Calibri" w:cs="Times New Roman"/>
          <w:iCs/>
        </w:rPr>
        <w:t xml:space="preserve">close to zero, </w:t>
      </w:r>
      <w:r w:rsidRPr="00F965ED">
        <w:rPr>
          <w:rFonts w:eastAsia="Calibri" w:cs="Times New Roman"/>
          <w:iCs/>
        </w:rPr>
        <w:t xml:space="preserve">which is similar </w:t>
      </w:r>
      <w:r>
        <w:rPr>
          <w:rFonts w:eastAsia="Calibri" w:cs="Times New Roman"/>
          <w:iCs/>
        </w:rPr>
        <w:t xml:space="preserve">to </w:t>
      </w:r>
      <w:r w:rsidRPr="00F965ED">
        <w:rPr>
          <w:rFonts w:eastAsia="Calibri" w:cs="Times New Roman"/>
          <w:iCs/>
        </w:rPr>
        <w:t xml:space="preserve">the current </w:t>
      </w:r>
      <w:r>
        <w:rPr>
          <w:rFonts w:eastAsia="Calibri" w:cs="Times New Roman"/>
          <w:iCs/>
        </w:rPr>
        <w:t>ERC/ERS</w:t>
      </w:r>
      <w:r w:rsidRPr="00F965ED">
        <w:rPr>
          <w:rFonts w:eastAsia="Calibri" w:cs="Times New Roman"/>
          <w:iCs/>
        </w:rPr>
        <w:t xml:space="preserve"> guidelines.</w:t>
      </w:r>
      <w:r w:rsidRPr="00024F63">
        <w:t xml:space="preserve"> </w:t>
      </w:r>
      <w:r>
        <w:t xml:space="preserve">ESC considered the evidence for change in clinical management for Population 1 was not strong, other than fewer referrals for RHC.  </w:t>
      </w:r>
    </w:p>
    <w:p w14:paraId="3AC6AA36" w14:textId="77777777" w:rsidR="009A5B31" w:rsidRDefault="009A5B31" w:rsidP="009A5B31">
      <w:pPr>
        <w:rPr>
          <w:rFonts w:eastAsia="Calibri" w:cs="Times New Roman"/>
          <w:iCs/>
        </w:rPr>
      </w:pPr>
      <w:r>
        <w:rPr>
          <w:rFonts w:eastAsia="Calibri" w:cs="Times New Roman"/>
          <w:iCs/>
        </w:rPr>
        <w:t>A</w:t>
      </w:r>
      <w:r w:rsidRPr="00C21C8B">
        <w:rPr>
          <w:rFonts w:eastAsia="Calibri" w:cs="Times New Roman"/>
          <w:iCs/>
        </w:rPr>
        <w:t xml:space="preserve">s both procedures are relatively safe, </w:t>
      </w:r>
      <w:r>
        <w:rPr>
          <w:rFonts w:eastAsia="Calibri" w:cs="Times New Roman"/>
          <w:iCs/>
        </w:rPr>
        <w:t xml:space="preserve">a </w:t>
      </w:r>
      <w:r w:rsidRPr="00C54CA9">
        <w:rPr>
          <w:rFonts w:eastAsia="Calibri" w:cs="Times New Roman"/>
          <w:iCs/>
        </w:rPr>
        <w:t>risk stratification assessment that included NT-</w:t>
      </w:r>
      <w:proofErr w:type="spellStart"/>
      <w:r w:rsidRPr="00C54CA9">
        <w:rPr>
          <w:rFonts w:eastAsia="Calibri" w:cs="Times New Roman"/>
          <w:iCs/>
        </w:rPr>
        <w:t>proBNP</w:t>
      </w:r>
      <w:proofErr w:type="spellEnd"/>
      <w:r w:rsidRPr="00C54CA9">
        <w:rPr>
          <w:rFonts w:eastAsia="Calibri" w:cs="Times New Roman"/>
          <w:iCs/>
        </w:rPr>
        <w:t xml:space="preserve"> </w:t>
      </w:r>
      <w:r>
        <w:rPr>
          <w:rFonts w:eastAsia="Calibri" w:cs="Times New Roman"/>
          <w:iCs/>
        </w:rPr>
        <w:t xml:space="preserve">such as </w:t>
      </w:r>
      <w:r w:rsidRPr="00C21C8B">
        <w:rPr>
          <w:rFonts w:eastAsia="Calibri" w:cs="Times New Roman"/>
          <w:iCs/>
        </w:rPr>
        <w:t>the REVEAL Lite 2 risk calculator has non-inferior safety compared with the current TTE-based risk stratification guidelines.</w:t>
      </w:r>
    </w:p>
    <w:p w14:paraId="727CBD7E" w14:textId="77777777" w:rsidR="009A5B31" w:rsidRDefault="009A5B31" w:rsidP="009A5B31">
      <w:pPr>
        <w:rPr>
          <w:rFonts w:eastAsia="Calibri" w:cs="Times New Roman"/>
          <w:iCs/>
        </w:rPr>
      </w:pPr>
      <w:r>
        <w:rPr>
          <w:rFonts w:eastAsia="Calibri" w:cs="Times New Roman"/>
          <w:iCs/>
        </w:rPr>
        <w:t xml:space="preserve">For Population 2, ESC considered that there was </w:t>
      </w:r>
      <w:r w:rsidRPr="00F965ED">
        <w:rPr>
          <w:rFonts w:eastAsia="Calibri" w:cs="Times New Roman"/>
          <w:iCs/>
        </w:rPr>
        <w:t xml:space="preserve">limited evidence </w:t>
      </w:r>
      <w:r>
        <w:rPr>
          <w:rFonts w:eastAsia="Calibri" w:cs="Times New Roman"/>
          <w:iCs/>
        </w:rPr>
        <w:t xml:space="preserve">to suggest </w:t>
      </w:r>
      <w:r w:rsidRPr="00F965ED">
        <w:rPr>
          <w:rFonts w:eastAsia="Calibri" w:cs="Times New Roman"/>
          <w:iCs/>
        </w:rPr>
        <w:t xml:space="preserve">that risk stratification </w:t>
      </w:r>
      <w:r>
        <w:rPr>
          <w:rFonts w:eastAsia="Calibri" w:cs="Times New Roman"/>
          <w:iCs/>
        </w:rPr>
        <w:t xml:space="preserve">assessment </w:t>
      </w:r>
      <w:r w:rsidRPr="00F965ED">
        <w:rPr>
          <w:rFonts w:eastAsia="Calibri" w:cs="Times New Roman"/>
          <w:iCs/>
        </w:rPr>
        <w:t>that included NT-</w:t>
      </w:r>
      <w:proofErr w:type="spellStart"/>
      <w:r w:rsidRPr="00F965ED">
        <w:rPr>
          <w:rFonts w:eastAsia="Calibri" w:cs="Times New Roman"/>
          <w:iCs/>
        </w:rPr>
        <w:t>proBNP</w:t>
      </w:r>
      <w:proofErr w:type="spellEnd"/>
      <w:r w:rsidRPr="00F965ED">
        <w:rPr>
          <w:rFonts w:eastAsia="Calibri" w:cs="Times New Roman"/>
          <w:iCs/>
        </w:rPr>
        <w:t xml:space="preserve"> were at least as effective as those that did not.</w:t>
      </w:r>
      <w:r>
        <w:rPr>
          <w:rFonts w:eastAsia="Calibri" w:cs="Times New Roman"/>
          <w:iCs/>
        </w:rPr>
        <w:t xml:space="preserve"> ESC noted that</w:t>
      </w:r>
      <w:r w:rsidRPr="00AE05F9">
        <w:rPr>
          <w:rFonts w:eastAsia="Calibri" w:cs="Times New Roman"/>
          <w:iCs/>
        </w:rPr>
        <w:t xml:space="preserve"> the evidence suggests that REVEAL Lite 2 risk stratification calculator (which includes NT-</w:t>
      </w:r>
      <w:proofErr w:type="spellStart"/>
      <w:r w:rsidRPr="00AE05F9">
        <w:rPr>
          <w:rFonts w:eastAsia="Calibri" w:cs="Times New Roman"/>
          <w:iCs/>
        </w:rPr>
        <w:t>proBNP</w:t>
      </w:r>
      <w:proofErr w:type="spellEnd"/>
      <w:r w:rsidRPr="00AE05F9">
        <w:rPr>
          <w:rFonts w:eastAsia="Calibri" w:cs="Times New Roman"/>
          <w:iCs/>
        </w:rPr>
        <w:t xml:space="preserve"> results) was non-inferior to other risk stratification calculators in identifying patients likely to die in the next year.</w:t>
      </w:r>
      <w:r w:rsidRPr="00EE047D">
        <w:rPr>
          <w:rFonts w:eastAsia="Calibri" w:cs="Times New Roman"/>
          <w:iCs/>
        </w:rPr>
        <w:t xml:space="preserve"> </w:t>
      </w:r>
      <w:r>
        <w:rPr>
          <w:rFonts w:eastAsia="Calibri" w:cs="Times New Roman"/>
          <w:iCs/>
        </w:rPr>
        <w:t xml:space="preserve">ESC noted that </w:t>
      </w:r>
      <w:r w:rsidRPr="00C21C8B">
        <w:rPr>
          <w:rFonts w:eastAsia="Calibri" w:cs="Times New Roman"/>
          <w:iCs/>
        </w:rPr>
        <w:t>the use of the NT-</w:t>
      </w:r>
      <w:proofErr w:type="spellStart"/>
      <w:r w:rsidRPr="00C21C8B">
        <w:rPr>
          <w:rFonts w:eastAsia="Calibri" w:cs="Times New Roman"/>
          <w:iCs/>
        </w:rPr>
        <w:t>proBNP</w:t>
      </w:r>
      <w:proofErr w:type="spellEnd"/>
      <w:r w:rsidRPr="00C21C8B">
        <w:rPr>
          <w:rFonts w:eastAsia="Calibri" w:cs="Times New Roman"/>
          <w:iCs/>
        </w:rPr>
        <w:t xml:space="preserve"> test, as part of the REVEAL Lite 2 risk calculator</w:t>
      </w:r>
      <w:r>
        <w:rPr>
          <w:rFonts w:eastAsia="Calibri" w:cs="Times New Roman"/>
          <w:iCs/>
        </w:rPr>
        <w:t xml:space="preserve"> could</w:t>
      </w:r>
      <w:r w:rsidRPr="00AE05F9">
        <w:rPr>
          <w:rFonts w:eastAsia="Calibri" w:cs="Times New Roman"/>
          <w:iCs/>
        </w:rPr>
        <w:t xml:space="preserve"> reduce the number of patients requiring TTE compared to the current risk calculation </w:t>
      </w:r>
      <w:r>
        <w:rPr>
          <w:rFonts w:eastAsia="Calibri" w:cs="Times New Roman"/>
          <w:iCs/>
        </w:rPr>
        <w:t xml:space="preserve">assessment </w:t>
      </w:r>
      <w:r w:rsidRPr="00AE05F9">
        <w:rPr>
          <w:rFonts w:eastAsia="Calibri" w:cs="Times New Roman"/>
          <w:iCs/>
        </w:rPr>
        <w:t>strategy</w:t>
      </w:r>
      <w:r>
        <w:rPr>
          <w:rFonts w:eastAsia="Calibri" w:cs="Times New Roman"/>
          <w:iCs/>
        </w:rPr>
        <w:t>, however, ESC considered patients may still undergo TTE annually following recommendation from a multidisciplinary team</w:t>
      </w:r>
      <w:r w:rsidRPr="00AE05F9">
        <w:rPr>
          <w:rFonts w:eastAsia="Calibri" w:cs="Times New Roman"/>
          <w:iCs/>
        </w:rPr>
        <w:t xml:space="preserve">. </w:t>
      </w:r>
      <w:r>
        <w:rPr>
          <w:rFonts w:eastAsia="Calibri" w:cs="Times New Roman"/>
          <w:iCs/>
        </w:rPr>
        <w:t xml:space="preserve">ESC noted that the </w:t>
      </w:r>
      <w:r w:rsidRPr="00AE05F9">
        <w:rPr>
          <w:rFonts w:eastAsia="Calibri" w:cs="Times New Roman"/>
          <w:iCs/>
        </w:rPr>
        <w:t>proportion of patients with stable disease who will not require TTE was not reported.</w:t>
      </w:r>
      <w:r>
        <w:rPr>
          <w:rFonts w:eastAsia="Calibri" w:cs="Times New Roman"/>
          <w:iCs/>
        </w:rPr>
        <w:t xml:space="preserve"> ESC noted that there was n</w:t>
      </w:r>
      <w:r w:rsidRPr="00F965ED">
        <w:rPr>
          <w:rFonts w:eastAsia="Calibri" w:cs="Times New Roman"/>
          <w:iCs/>
        </w:rPr>
        <w:t xml:space="preserve">o </w:t>
      </w:r>
      <w:r>
        <w:rPr>
          <w:rFonts w:eastAsia="Calibri" w:cs="Times New Roman"/>
          <w:iCs/>
        </w:rPr>
        <w:t xml:space="preserve">convincing </w:t>
      </w:r>
      <w:r w:rsidRPr="00F965ED">
        <w:rPr>
          <w:rFonts w:eastAsia="Calibri" w:cs="Times New Roman"/>
          <w:iCs/>
        </w:rPr>
        <w:t xml:space="preserve">evidence </w:t>
      </w:r>
      <w:r>
        <w:rPr>
          <w:rFonts w:eastAsia="Calibri" w:cs="Times New Roman"/>
          <w:iCs/>
        </w:rPr>
        <w:t>regarding</w:t>
      </w:r>
      <w:r w:rsidRPr="00F965ED">
        <w:rPr>
          <w:rFonts w:eastAsia="Calibri" w:cs="Times New Roman"/>
          <w:iCs/>
        </w:rPr>
        <w:t xml:space="preserve"> change in management for Population 2.</w:t>
      </w:r>
      <w:r>
        <w:rPr>
          <w:rFonts w:eastAsia="Calibri" w:cs="Times New Roman"/>
          <w:iCs/>
        </w:rPr>
        <w:t xml:space="preserve"> ESC considered rising NT-</w:t>
      </w:r>
      <w:proofErr w:type="spellStart"/>
      <w:r>
        <w:rPr>
          <w:rFonts w:eastAsia="Calibri" w:cs="Times New Roman"/>
          <w:iCs/>
        </w:rPr>
        <w:t>proBNP</w:t>
      </w:r>
      <w:proofErr w:type="spellEnd"/>
      <w:r>
        <w:rPr>
          <w:rFonts w:eastAsia="Calibri" w:cs="Times New Roman"/>
          <w:iCs/>
        </w:rPr>
        <w:t xml:space="preserve">, irrespective of the subsequent risk assessment may trigger referral for TTE. ESC considered that it was unclear how the use of a risk assessment tool that includes </w:t>
      </w:r>
      <w:r>
        <w:rPr>
          <w:rFonts w:eastAsia="Calibri" w:cs="Times New Roman"/>
          <w:iCs/>
        </w:rPr>
        <w:lastRenderedPageBreak/>
        <w:t>NT-</w:t>
      </w:r>
      <w:proofErr w:type="spellStart"/>
      <w:r>
        <w:rPr>
          <w:rFonts w:eastAsia="Calibri" w:cs="Times New Roman"/>
          <w:iCs/>
        </w:rPr>
        <w:t>proBNP</w:t>
      </w:r>
      <w:proofErr w:type="spellEnd"/>
      <w:r>
        <w:rPr>
          <w:rFonts w:eastAsia="Calibri" w:cs="Times New Roman"/>
          <w:iCs/>
        </w:rPr>
        <w:t xml:space="preserve"> influences decisions regarding which patients require RHC and how patients’ risk assessment classification might change.</w:t>
      </w:r>
    </w:p>
    <w:p w14:paraId="367E8FD9" w14:textId="6FEC20CA" w:rsidR="009A5B31" w:rsidRPr="00936724" w:rsidRDefault="009A5B31" w:rsidP="00936724">
      <w:pPr>
        <w:rPr>
          <w:rFonts w:eastAsia="Calibri" w:cs="Times New Roman"/>
          <w:iCs/>
        </w:rPr>
      </w:pPr>
      <w:r w:rsidRPr="00936724">
        <w:rPr>
          <w:rFonts w:eastAsia="Calibri" w:cs="Times New Roman"/>
          <w:iCs/>
        </w:rPr>
        <w:t>Overall, ESC considered that the evidence base for both populations did not strongly support a claim of non-inferiority, however the evidence presented suggested that NT-</w:t>
      </w:r>
      <w:proofErr w:type="spellStart"/>
      <w:r w:rsidRPr="00936724">
        <w:rPr>
          <w:rFonts w:eastAsia="Calibri" w:cs="Times New Roman"/>
          <w:iCs/>
        </w:rPr>
        <w:t>proBNP</w:t>
      </w:r>
      <w:proofErr w:type="spellEnd"/>
      <w:r w:rsidRPr="00936724">
        <w:rPr>
          <w:rFonts w:eastAsia="Calibri" w:cs="Times New Roman"/>
          <w:iCs/>
        </w:rPr>
        <w:t xml:space="preserve"> was unlikely to be inferior and unlikely to cause harm. MSAC may wish to consider whether the clinical evidence is sufficient in the context of likely cost savings and greater accessibility of NT-</w:t>
      </w:r>
      <w:proofErr w:type="spellStart"/>
      <w:r w:rsidRPr="00936724">
        <w:rPr>
          <w:rFonts w:eastAsia="Calibri" w:cs="Times New Roman"/>
          <w:iCs/>
        </w:rPr>
        <w:t>proBNP</w:t>
      </w:r>
      <w:proofErr w:type="spellEnd"/>
      <w:r w:rsidRPr="00936724">
        <w:rPr>
          <w:rFonts w:eastAsia="Calibri" w:cs="Times New Roman"/>
          <w:iCs/>
        </w:rPr>
        <w:t xml:space="preserve"> testing.</w:t>
      </w:r>
    </w:p>
    <w:p w14:paraId="30614216" w14:textId="77777777" w:rsidR="009A5B31" w:rsidRDefault="009A5B31" w:rsidP="009A5B31">
      <w:pPr>
        <w:rPr>
          <w:rFonts w:eastAsia="Calibri" w:cs="Times New Roman"/>
          <w:iCs/>
        </w:rPr>
      </w:pPr>
      <w:r>
        <w:rPr>
          <w:rFonts w:eastAsia="Calibri" w:cs="Times New Roman"/>
          <w:iCs/>
        </w:rPr>
        <w:t>ESC noted that that a c</w:t>
      </w:r>
      <w:r w:rsidRPr="00860862">
        <w:rPr>
          <w:rFonts w:eastAsia="Calibri" w:cs="Times New Roman"/>
          <w:iCs/>
        </w:rPr>
        <w:t>ost</w:t>
      </w:r>
      <w:r>
        <w:rPr>
          <w:rFonts w:eastAsia="Calibri" w:cs="Times New Roman"/>
          <w:iCs/>
        </w:rPr>
        <w:t>-</w:t>
      </w:r>
      <w:r w:rsidRPr="00860862">
        <w:rPr>
          <w:rFonts w:eastAsia="Calibri" w:cs="Times New Roman"/>
          <w:iCs/>
        </w:rPr>
        <w:t xml:space="preserve">minimisation analysis </w:t>
      </w:r>
      <w:r>
        <w:rPr>
          <w:rFonts w:eastAsia="Calibri" w:cs="Times New Roman"/>
          <w:iCs/>
        </w:rPr>
        <w:t xml:space="preserve">was used for the economic analysis, </w:t>
      </w:r>
      <w:r w:rsidRPr="00860862">
        <w:rPr>
          <w:rFonts w:eastAsia="Calibri" w:cs="Times New Roman"/>
          <w:iCs/>
        </w:rPr>
        <w:t xml:space="preserve">based on </w:t>
      </w:r>
      <w:r>
        <w:rPr>
          <w:rFonts w:eastAsia="Calibri" w:cs="Times New Roman"/>
          <w:iCs/>
        </w:rPr>
        <w:t xml:space="preserve">a clinical claim of </w:t>
      </w:r>
      <w:r w:rsidRPr="00860862">
        <w:rPr>
          <w:rFonts w:eastAsia="Calibri" w:cs="Times New Roman"/>
          <w:iCs/>
        </w:rPr>
        <w:t>non-inferiority</w:t>
      </w:r>
      <w:r>
        <w:rPr>
          <w:rFonts w:eastAsia="Calibri" w:cs="Times New Roman"/>
          <w:iCs/>
        </w:rPr>
        <w:t xml:space="preserve"> and clinical equivalence. ESC noted that the analysis a</w:t>
      </w:r>
      <w:r w:rsidRPr="00860862">
        <w:rPr>
          <w:rFonts w:eastAsia="Calibri" w:cs="Times New Roman"/>
          <w:iCs/>
        </w:rPr>
        <w:t>ssess</w:t>
      </w:r>
      <w:r>
        <w:rPr>
          <w:rFonts w:eastAsia="Calibri" w:cs="Times New Roman"/>
          <w:iCs/>
        </w:rPr>
        <w:t>ed</w:t>
      </w:r>
      <w:r w:rsidRPr="00860862">
        <w:rPr>
          <w:rFonts w:eastAsia="Calibri" w:cs="Times New Roman"/>
          <w:iCs/>
        </w:rPr>
        <w:t xml:space="preserve"> and compare</w:t>
      </w:r>
      <w:r>
        <w:rPr>
          <w:rFonts w:eastAsia="Calibri" w:cs="Times New Roman"/>
          <w:iCs/>
        </w:rPr>
        <w:t>d</w:t>
      </w:r>
      <w:r w:rsidRPr="00860862">
        <w:rPr>
          <w:rFonts w:eastAsia="Calibri" w:cs="Times New Roman"/>
          <w:iCs/>
        </w:rPr>
        <w:t xml:space="preserve"> the average cost per patient per year under current care patterns and that proposed by the intervention.</w:t>
      </w:r>
      <w:r>
        <w:rPr>
          <w:rFonts w:eastAsia="Calibri" w:cs="Times New Roman"/>
          <w:iCs/>
        </w:rPr>
        <w:t xml:space="preserve"> From this, it is e</w:t>
      </w:r>
      <w:r w:rsidRPr="00860862">
        <w:rPr>
          <w:rFonts w:eastAsia="Calibri" w:cs="Times New Roman"/>
          <w:iCs/>
        </w:rPr>
        <w:t>stimate</w:t>
      </w:r>
      <w:r>
        <w:rPr>
          <w:rFonts w:eastAsia="Calibri" w:cs="Times New Roman"/>
          <w:iCs/>
        </w:rPr>
        <w:t>d that the</w:t>
      </w:r>
      <w:r w:rsidRPr="00860862">
        <w:rPr>
          <w:rFonts w:eastAsia="Calibri" w:cs="Times New Roman"/>
          <w:iCs/>
        </w:rPr>
        <w:t xml:space="preserve"> intervention </w:t>
      </w:r>
      <w:r>
        <w:rPr>
          <w:rFonts w:eastAsia="Calibri" w:cs="Times New Roman"/>
          <w:iCs/>
        </w:rPr>
        <w:t>will</w:t>
      </w:r>
      <w:r w:rsidRPr="00860862">
        <w:rPr>
          <w:rFonts w:eastAsia="Calibri" w:cs="Times New Roman"/>
          <w:iCs/>
        </w:rPr>
        <w:t xml:space="preserve"> be cost saving overall for both populations.</w:t>
      </w:r>
      <w:r>
        <w:rPr>
          <w:rFonts w:eastAsia="Calibri" w:cs="Times New Roman"/>
          <w:iCs/>
        </w:rPr>
        <w:t xml:space="preserve"> ESC noted the ADAR used the incorrect MBS fee for TTE and considered a higher fee of $236.25 (for MBS items 55126 and 55129) should be used instead. ESC noted this would favour NT-</w:t>
      </w:r>
      <w:proofErr w:type="spellStart"/>
      <w:r>
        <w:rPr>
          <w:rFonts w:eastAsia="Calibri" w:cs="Times New Roman"/>
          <w:iCs/>
        </w:rPr>
        <w:t>proBNP</w:t>
      </w:r>
      <w:proofErr w:type="spellEnd"/>
      <w:r>
        <w:rPr>
          <w:rFonts w:eastAsia="Calibri" w:cs="Times New Roman"/>
          <w:iCs/>
        </w:rPr>
        <w:t xml:space="preserve">. </w:t>
      </w:r>
    </w:p>
    <w:p w14:paraId="1E31200F" w14:textId="77777777" w:rsidR="009A5B31" w:rsidRDefault="009A5B31" w:rsidP="009A5B31">
      <w:pPr>
        <w:rPr>
          <w:rFonts w:eastAsia="Calibri" w:cs="Times New Roman"/>
          <w:iCs/>
        </w:rPr>
      </w:pPr>
      <w:r>
        <w:rPr>
          <w:rFonts w:eastAsia="Calibri" w:cs="Times New Roman"/>
          <w:iCs/>
        </w:rPr>
        <w:t>For Population 1, ESC noted that the intervention resulted in an e</w:t>
      </w:r>
      <w:r w:rsidRPr="00860862">
        <w:rPr>
          <w:rFonts w:eastAsia="Calibri" w:cs="Times New Roman"/>
          <w:iCs/>
        </w:rPr>
        <w:t xml:space="preserve">stimated savings </w:t>
      </w:r>
      <w:r>
        <w:rPr>
          <w:rFonts w:eastAsia="Calibri" w:cs="Times New Roman"/>
          <w:iCs/>
        </w:rPr>
        <w:t>of</w:t>
      </w:r>
      <w:r w:rsidRPr="00860862">
        <w:rPr>
          <w:rFonts w:eastAsia="Calibri" w:cs="Times New Roman"/>
          <w:iCs/>
        </w:rPr>
        <w:t xml:space="preserve"> </w:t>
      </w:r>
      <w:r>
        <w:rPr>
          <w:rFonts w:eastAsia="Calibri" w:cs="Times New Roman"/>
          <w:iCs/>
        </w:rPr>
        <w:t>$</w:t>
      </w:r>
      <w:r w:rsidRPr="009A6719">
        <w:rPr>
          <w:rFonts w:eastAsia="Calibri" w:cs="Times New Roman"/>
          <w:iCs/>
        </w:rPr>
        <w:t>148</w:t>
      </w:r>
      <w:r w:rsidRPr="00860862" w:rsidDel="009A6719">
        <w:rPr>
          <w:rFonts w:eastAsia="Calibri" w:cs="Times New Roman"/>
          <w:iCs/>
        </w:rPr>
        <w:t xml:space="preserve"> </w:t>
      </w:r>
      <w:r w:rsidRPr="00860862">
        <w:rPr>
          <w:rFonts w:eastAsia="Calibri" w:cs="Times New Roman"/>
          <w:iCs/>
        </w:rPr>
        <w:t xml:space="preserve">per patient per year </w:t>
      </w:r>
      <w:r>
        <w:rPr>
          <w:rFonts w:eastAsia="Calibri" w:cs="Times New Roman"/>
          <w:iCs/>
        </w:rPr>
        <w:t>in the ADAR. This reduced to savings of $88 per patient per year when an annual incidence of 1% was used and the cost of TTE was attributed to all test positive patients (46% using the ASIG algorithm [with NT-</w:t>
      </w:r>
      <w:proofErr w:type="spellStart"/>
      <w:r>
        <w:rPr>
          <w:rFonts w:eastAsia="Calibri" w:cs="Times New Roman"/>
          <w:iCs/>
        </w:rPr>
        <w:t>proBNP</w:t>
      </w:r>
      <w:proofErr w:type="spellEnd"/>
      <w:r>
        <w:rPr>
          <w:rFonts w:eastAsia="Calibri" w:cs="Times New Roman"/>
          <w:iCs/>
        </w:rPr>
        <w:t xml:space="preserve">] and 68% using the ESC/ERC algorithm). </w:t>
      </w:r>
      <w:r w:rsidRPr="00FA07A3">
        <w:rPr>
          <w:rFonts w:eastAsia="Calibri" w:cs="Times New Roman"/>
          <w:iCs/>
        </w:rPr>
        <w:t xml:space="preserve"> </w:t>
      </w:r>
      <w:r>
        <w:rPr>
          <w:rFonts w:eastAsia="Calibri" w:cs="Times New Roman"/>
          <w:iCs/>
        </w:rPr>
        <w:t>ESC noted the sensitivity analyses for Population 1 suggested screening using the ASIG algorithm would remain cost saving across a range of plausible assumptions. ESC considered the a</w:t>
      </w:r>
      <w:r w:rsidRPr="00860862">
        <w:rPr>
          <w:rFonts w:eastAsia="Calibri" w:cs="Times New Roman"/>
          <w:iCs/>
        </w:rPr>
        <w:t xml:space="preserve">ssumptions </w:t>
      </w:r>
      <w:r w:rsidRPr="343C73D1">
        <w:rPr>
          <w:rFonts w:eastAsia="Calibri" w:cs="Times New Roman"/>
        </w:rPr>
        <w:t>were</w:t>
      </w:r>
      <w:r>
        <w:rPr>
          <w:rFonts w:eastAsia="Calibri" w:cs="Times New Roman"/>
          <w:iCs/>
        </w:rPr>
        <w:t xml:space="preserve"> </w:t>
      </w:r>
      <w:r w:rsidRPr="00860862">
        <w:rPr>
          <w:rFonts w:eastAsia="Calibri" w:cs="Times New Roman"/>
          <w:iCs/>
        </w:rPr>
        <w:t xml:space="preserve">generally conservative </w:t>
      </w:r>
      <w:r>
        <w:rPr>
          <w:rFonts w:eastAsia="Calibri" w:cs="Times New Roman"/>
          <w:iCs/>
        </w:rPr>
        <w:t>as the c</w:t>
      </w:r>
      <w:r w:rsidRPr="00860862">
        <w:rPr>
          <w:rFonts w:eastAsia="Calibri" w:cs="Times New Roman"/>
          <w:iCs/>
        </w:rPr>
        <w:t xml:space="preserve">osts of RHC </w:t>
      </w:r>
      <w:r>
        <w:rPr>
          <w:rFonts w:eastAsia="Calibri" w:cs="Times New Roman"/>
          <w:iCs/>
        </w:rPr>
        <w:t xml:space="preserve">were </w:t>
      </w:r>
      <w:r w:rsidRPr="00860862">
        <w:rPr>
          <w:rFonts w:eastAsia="Calibri" w:cs="Times New Roman"/>
          <w:iCs/>
        </w:rPr>
        <w:t>not included (</w:t>
      </w:r>
      <w:r>
        <w:rPr>
          <w:rFonts w:eastAsia="Calibri" w:cs="Times New Roman"/>
          <w:iCs/>
        </w:rPr>
        <w:t xml:space="preserve">and are </w:t>
      </w:r>
      <w:r w:rsidRPr="00860862">
        <w:rPr>
          <w:rFonts w:eastAsia="Calibri" w:cs="Times New Roman"/>
          <w:iCs/>
        </w:rPr>
        <w:t xml:space="preserve">likely to </w:t>
      </w:r>
      <w:r>
        <w:rPr>
          <w:rFonts w:eastAsia="Calibri" w:cs="Times New Roman"/>
          <w:iCs/>
        </w:rPr>
        <w:t xml:space="preserve">further </w:t>
      </w:r>
      <w:r w:rsidRPr="00860862">
        <w:rPr>
          <w:rFonts w:eastAsia="Calibri" w:cs="Times New Roman"/>
          <w:iCs/>
        </w:rPr>
        <w:t>increase cost savings) and avoided repeat testing in (a small number) of false negatives</w:t>
      </w:r>
      <w:r>
        <w:rPr>
          <w:rFonts w:eastAsia="Calibri" w:cs="Times New Roman"/>
          <w:iCs/>
        </w:rPr>
        <w:t>.</w:t>
      </w:r>
    </w:p>
    <w:p w14:paraId="5DA79FA9" w14:textId="77777777" w:rsidR="009A5B31" w:rsidRDefault="009A5B31" w:rsidP="009A5B31">
      <w:pPr>
        <w:rPr>
          <w:rFonts w:eastAsia="Calibri" w:cs="Times New Roman"/>
          <w:iCs/>
        </w:rPr>
      </w:pPr>
      <w:r>
        <w:rPr>
          <w:rFonts w:eastAsia="Calibri" w:cs="Times New Roman"/>
          <w:iCs/>
        </w:rPr>
        <w:t xml:space="preserve">ESC noted that for </w:t>
      </w:r>
      <w:r w:rsidRPr="00860862">
        <w:rPr>
          <w:rFonts w:eastAsia="Calibri" w:cs="Times New Roman"/>
          <w:iCs/>
        </w:rPr>
        <w:t>Population 2</w:t>
      </w:r>
      <w:r>
        <w:rPr>
          <w:rFonts w:eastAsia="Calibri" w:cs="Times New Roman"/>
          <w:iCs/>
        </w:rPr>
        <w:t>, the e</w:t>
      </w:r>
      <w:r w:rsidRPr="00860862">
        <w:rPr>
          <w:rFonts w:eastAsia="Calibri" w:cs="Times New Roman"/>
          <w:iCs/>
        </w:rPr>
        <w:t>stimate</w:t>
      </w:r>
      <w:r>
        <w:rPr>
          <w:rFonts w:eastAsia="Calibri" w:cs="Times New Roman"/>
          <w:iCs/>
        </w:rPr>
        <w:t>d</w:t>
      </w:r>
      <w:r w:rsidRPr="00860862">
        <w:rPr>
          <w:rFonts w:eastAsia="Calibri" w:cs="Times New Roman"/>
          <w:iCs/>
        </w:rPr>
        <w:t xml:space="preserve"> cost savings </w:t>
      </w:r>
      <w:r>
        <w:rPr>
          <w:rFonts w:eastAsia="Calibri" w:cs="Times New Roman"/>
          <w:iCs/>
        </w:rPr>
        <w:t>were</w:t>
      </w:r>
      <w:r w:rsidRPr="00860862">
        <w:rPr>
          <w:rFonts w:eastAsia="Calibri" w:cs="Times New Roman"/>
          <w:iCs/>
        </w:rPr>
        <w:t xml:space="preserve"> $331 per patient per year</w:t>
      </w:r>
      <w:r>
        <w:rPr>
          <w:rFonts w:eastAsia="Calibri" w:cs="Times New Roman"/>
          <w:iCs/>
        </w:rPr>
        <w:t xml:space="preserve"> in the ADAR ($323.16 using corrected TTE costs). ESC considered</w:t>
      </w:r>
      <w:r w:rsidRPr="00860862">
        <w:rPr>
          <w:rFonts w:eastAsia="Calibri" w:cs="Times New Roman"/>
          <w:iCs/>
        </w:rPr>
        <w:t xml:space="preserve"> </w:t>
      </w:r>
      <w:r>
        <w:rPr>
          <w:rFonts w:eastAsia="Calibri" w:cs="Times New Roman"/>
          <w:iCs/>
        </w:rPr>
        <w:t>this but that these</w:t>
      </w:r>
      <w:r w:rsidRPr="00860862">
        <w:rPr>
          <w:rFonts w:eastAsia="Calibri" w:cs="Times New Roman"/>
          <w:iCs/>
        </w:rPr>
        <w:t xml:space="preserve"> results are more uncertain</w:t>
      </w:r>
      <w:r>
        <w:rPr>
          <w:rFonts w:eastAsia="Calibri" w:cs="Times New Roman"/>
          <w:iCs/>
        </w:rPr>
        <w:t xml:space="preserve"> because of the uncertainty around the extent of substitution of TTE in this population. ESC noted that the s</w:t>
      </w:r>
      <w:r w:rsidRPr="00860862">
        <w:rPr>
          <w:rFonts w:eastAsia="Calibri" w:cs="Times New Roman"/>
          <w:iCs/>
        </w:rPr>
        <w:t>ensitivity analysis suggests</w:t>
      </w:r>
      <w:r>
        <w:rPr>
          <w:rFonts w:eastAsia="Calibri" w:cs="Times New Roman"/>
          <w:iCs/>
        </w:rPr>
        <w:t xml:space="preserve"> that</w:t>
      </w:r>
      <w:r w:rsidRPr="00860862">
        <w:rPr>
          <w:rFonts w:eastAsia="Calibri" w:cs="Times New Roman"/>
          <w:iCs/>
        </w:rPr>
        <w:t xml:space="preserve"> the results are robust over plausible scenarios</w:t>
      </w:r>
      <w:r>
        <w:rPr>
          <w:rFonts w:eastAsia="Calibri" w:cs="Times New Roman"/>
          <w:iCs/>
        </w:rPr>
        <w:t xml:space="preserve"> (due to the higher cost of TTE), including if all patients had an annual TTE. </w:t>
      </w:r>
    </w:p>
    <w:p w14:paraId="02A509CA" w14:textId="77777777" w:rsidR="009A5B31" w:rsidRDefault="009A5B31" w:rsidP="009A5B31">
      <w:pPr>
        <w:rPr>
          <w:rFonts w:eastAsia="Calibri" w:cs="Times New Roman"/>
          <w:iCs/>
        </w:rPr>
      </w:pPr>
      <w:r>
        <w:rPr>
          <w:rFonts w:eastAsia="Calibri" w:cs="Times New Roman"/>
          <w:iCs/>
        </w:rPr>
        <w:t>ESC noted that the ADAR based its cost estimates to the MBS on 100% rebate of the test fees for NT-</w:t>
      </w:r>
      <w:proofErr w:type="spellStart"/>
      <w:r>
        <w:rPr>
          <w:rFonts w:eastAsia="Calibri" w:cs="Times New Roman"/>
          <w:iCs/>
        </w:rPr>
        <w:t>proBNP</w:t>
      </w:r>
      <w:proofErr w:type="spellEnd"/>
      <w:r>
        <w:rPr>
          <w:rFonts w:eastAsia="Calibri" w:cs="Times New Roman"/>
          <w:iCs/>
        </w:rPr>
        <w:t xml:space="preserve"> and TTE, and noted the revised calculations based on 85% rebate in the Commentary. </w:t>
      </w:r>
    </w:p>
    <w:p w14:paraId="1075335F" w14:textId="77777777" w:rsidR="009A5B31" w:rsidRDefault="009A5B31" w:rsidP="009A5B31">
      <w:r>
        <w:rPr>
          <w:rFonts w:eastAsia="Calibri" w:cs="Times New Roman"/>
          <w:iCs/>
        </w:rPr>
        <w:t xml:space="preserve">ESC noted the estimated </w:t>
      </w:r>
      <w:r w:rsidRPr="003A6B90">
        <w:rPr>
          <w:rFonts w:eastAsia="Calibri" w:cs="Times New Roman"/>
          <w:iCs/>
        </w:rPr>
        <w:t>net saving</w:t>
      </w:r>
      <w:r>
        <w:rPr>
          <w:rFonts w:eastAsia="Calibri" w:cs="Times New Roman"/>
          <w:iCs/>
        </w:rPr>
        <w:t>s</w:t>
      </w:r>
      <w:r w:rsidRPr="003A6B90">
        <w:rPr>
          <w:rFonts w:eastAsia="Calibri" w:cs="Times New Roman"/>
          <w:iCs/>
        </w:rPr>
        <w:t xml:space="preserve"> to the MBS of </w:t>
      </w:r>
      <w:r>
        <w:rPr>
          <w:rFonts w:eastAsia="Calibri" w:cs="Times New Roman"/>
          <w:iCs/>
        </w:rPr>
        <w:t>approximately</w:t>
      </w:r>
      <w:r w:rsidRPr="003A6B90">
        <w:rPr>
          <w:rFonts w:eastAsia="Calibri" w:cs="Times New Roman"/>
          <w:iCs/>
        </w:rPr>
        <w:t xml:space="preserve"> $4</w:t>
      </w:r>
      <w:r>
        <w:rPr>
          <w:rFonts w:eastAsia="Calibri" w:cs="Times New Roman"/>
          <w:iCs/>
        </w:rPr>
        <w:t>,650,000</w:t>
      </w:r>
      <w:r w:rsidRPr="003A6B90">
        <w:rPr>
          <w:rFonts w:eastAsia="Calibri" w:cs="Times New Roman"/>
          <w:iCs/>
        </w:rPr>
        <w:t xml:space="preserve"> over 6 years.</w:t>
      </w:r>
      <w:r>
        <w:rPr>
          <w:rFonts w:eastAsia="Calibri" w:cs="Times New Roman"/>
          <w:iCs/>
        </w:rPr>
        <w:t xml:space="preserve"> This increased to net savings of </w:t>
      </w:r>
      <w:r w:rsidRPr="00811742">
        <w:rPr>
          <w:rFonts w:eastAsia="Calibri" w:cs="Times New Roman"/>
          <w:iCs/>
        </w:rPr>
        <w:t>approximately $</w:t>
      </w:r>
      <w:r w:rsidRPr="00811742">
        <w:t>6 million (over 6 years) using the commentary’s revised eligible population, higher MBS fee for TTE (corrected), and 85% MBS rebate</w:t>
      </w:r>
      <w:r>
        <w:t xml:space="preserve"> </w:t>
      </w:r>
    </w:p>
    <w:p w14:paraId="7B4084B3" w14:textId="4414E737" w:rsidR="009A5B31" w:rsidRDefault="009A5B31" w:rsidP="009A5B31">
      <w:pPr>
        <w:rPr>
          <w:rFonts w:eastAsia="Calibri" w:cs="Times New Roman"/>
          <w:iCs/>
        </w:rPr>
      </w:pPr>
      <w:r w:rsidRPr="00294D4D">
        <w:t>ESC</w:t>
      </w:r>
      <w:r>
        <w:rPr>
          <w:rFonts w:eastAsia="Calibri" w:cs="Times New Roman"/>
          <w:iCs/>
        </w:rPr>
        <w:t xml:space="preserve"> noted that financial impact estimates </w:t>
      </w:r>
      <w:r w:rsidRPr="00053D22">
        <w:rPr>
          <w:rFonts w:eastAsia="Calibri" w:cs="Times New Roman"/>
          <w:iCs/>
        </w:rPr>
        <w:t xml:space="preserve">depend on </w:t>
      </w:r>
      <w:r>
        <w:rPr>
          <w:rFonts w:eastAsia="Calibri" w:cs="Times New Roman"/>
          <w:iCs/>
        </w:rPr>
        <w:t>the extent</w:t>
      </w:r>
      <w:r w:rsidRPr="00053D22">
        <w:rPr>
          <w:rFonts w:eastAsia="Calibri" w:cs="Times New Roman"/>
          <w:iCs/>
        </w:rPr>
        <w:t xml:space="preserve"> </w:t>
      </w:r>
      <w:r>
        <w:rPr>
          <w:rFonts w:eastAsia="Calibri" w:cs="Times New Roman"/>
          <w:iCs/>
        </w:rPr>
        <w:t>of substitution of TTE</w:t>
      </w:r>
      <w:r w:rsidRPr="00053D22">
        <w:rPr>
          <w:rFonts w:eastAsia="Calibri" w:cs="Times New Roman"/>
          <w:iCs/>
        </w:rPr>
        <w:t>.</w:t>
      </w:r>
      <w:r w:rsidRPr="00D4664D">
        <w:t xml:space="preserve"> </w:t>
      </w:r>
      <w:r>
        <w:t>A</w:t>
      </w:r>
      <w:r w:rsidRPr="00D4664D">
        <w:rPr>
          <w:rFonts w:eastAsia="Calibri" w:cs="Times New Roman"/>
          <w:iCs/>
        </w:rPr>
        <w:t>dditional NT</w:t>
      </w:r>
      <w:r>
        <w:rPr>
          <w:rFonts w:eastAsia="Calibri" w:cs="Times New Roman"/>
          <w:iCs/>
        </w:rPr>
        <w:noBreakHyphen/>
      </w:r>
      <w:proofErr w:type="spellStart"/>
      <w:r w:rsidRPr="00D4664D">
        <w:rPr>
          <w:rFonts w:eastAsia="Calibri" w:cs="Times New Roman"/>
          <w:iCs/>
        </w:rPr>
        <w:t>proBNP</w:t>
      </w:r>
      <w:proofErr w:type="spellEnd"/>
      <w:r w:rsidRPr="00D4664D">
        <w:rPr>
          <w:rFonts w:eastAsia="Calibri" w:cs="Times New Roman"/>
          <w:iCs/>
        </w:rPr>
        <w:t xml:space="preserve"> testing in those from Population 1 who undergo more than yearly NT-</w:t>
      </w:r>
      <w:proofErr w:type="spellStart"/>
      <w:r w:rsidRPr="00D4664D">
        <w:rPr>
          <w:rFonts w:eastAsia="Calibri" w:cs="Times New Roman"/>
          <w:iCs/>
        </w:rPr>
        <w:t>proBNP</w:t>
      </w:r>
      <w:proofErr w:type="spellEnd"/>
      <w:r w:rsidRPr="00D4664D">
        <w:rPr>
          <w:rFonts w:eastAsia="Calibri" w:cs="Times New Roman"/>
          <w:iCs/>
        </w:rPr>
        <w:t xml:space="preserve"> testing (10%) was not incorporated as part of the </w:t>
      </w:r>
      <w:r>
        <w:rPr>
          <w:rFonts w:eastAsia="Calibri" w:cs="Times New Roman"/>
          <w:iCs/>
        </w:rPr>
        <w:t xml:space="preserve">commentary’s </w:t>
      </w:r>
      <w:r w:rsidRPr="00D4664D">
        <w:rPr>
          <w:rFonts w:eastAsia="Calibri" w:cs="Times New Roman"/>
          <w:iCs/>
        </w:rPr>
        <w:t>financial impact evaluation. The actual utilisation of the proposed service may therefore be higher than estimated, noting the uncertainty of this assumption.</w:t>
      </w:r>
      <w:r>
        <w:rPr>
          <w:rFonts w:eastAsia="Calibri" w:cs="Times New Roman"/>
          <w:iCs/>
        </w:rPr>
        <w:t xml:space="preserve"> However, ESC noted that there is confidence that NT-</w:t>
      </w:r>
      <w:proofErr w:type="spellStart"/>
      <w:r>
        <w:rPr>
          <w:rFonts w:eastAsia="Calibri" w:cs="Times New Roman"/>
          <w:iCs/>
        </w:rPr>
        <w:t>proBNP</w:t>
      </w:r>
      <w:proofErr w:type="spellEnd"/>
      <w:r>
        <w:rPr>
          <w:rFonts w:eastAsia="Calibri" w:cs="Times New Roman"/>
          <w:iCs/>
        </w:rPr>
        <w:t xml:space="preserve"> will substitute for TTE in Population 1 and cost savings will occur in most plausible scenarios due to the difference in cost between NT-</w:t>
      </w:r>
      <w:proofErr w:type="spellStart"/>
      <w:r>
        <w:rPr>
          <w:rFonts w:eastAsia="Calibri" w:cs="Times New Roman"/>
          <w:iCs/>
        </w:rPr>
        <w:t>proBNP</w:t>
      </w:r>
      <w:proofErr w:type="spellEnd"/>
      <w:r>
        <w:rPr>
          <w:rFonts w:eastAsia="Calibri" w:cs="Times New Roman"/>
          <w:iCs/>
        </w:rPr>
        <w:t xml:space="preserve"> and TTE. </w:t>
      </w:r>
    </w:p>
    <w:p w14:paraId="752FB8EA" w14:textId="77777777" w:rsidR="009A5B31" w:rsidRDefault="009A5B31" w:rsidP="009A5B31">
      <w:pPr>
        <w:rPr>
          <w:rFonts w:eastAsia="Calibri" w:cs="Times New Roman"/>
          <w:iCs/>
        </w:rPr>
      </w:pPr>
      <w:r>
        <w:rPr>
          <w:rFonts w:eastAsia="Calibri" w:cs="Times New Roman"/>
          <w:iCs/>
        </w:rPr>
        <w:t>ESC noted that t</w:t>
      </w:r>
      <w:r w:rsidRPr="00D4664D">
        <w:rPr>
          <w:rFonts w:eastAsia="Calibri" w:cs="Times New Roman"/>
          <w:iCs/>
        </w:rPr>
        <w:t>here is a risk that the cost-savings in Population 2 may not be realised, as NT-</w:t>
      </w:r>
      <w:proofErr w:type="spellStart"/>
      <w:r w:rsidRPr="00D4664D">
        <w:rPr>
          <w:rFonts w:eastAsia="Calibri" w:cs="Times New Roman"/>
          <w:iCs/>
        </w:rPr>
        <w:t>proBNP</w:t>
      </w:r>
      <w:proofErr w:type="spellEnd"/>
      <w:r w:rsidRPr="00D4664D">
        <w:rPr>
          <w:rFonts w:eastAsia="Calibri" w:cs="Times New Roman"/>
          <w:iCs/>
        </w:rPr>
        <w:t xml:space="preserve"> has the potential to become an add-on test rather than a replacement prognostic/monitoring test, as some clinicians might still request both TTE and NT-</w:t>
      </w:r>
      <w:proofErr w:type="spellStart"/>
      <w:r w:rsidRPr="00D4664D">
        <w:rPr>
          <w:rFonts w:eastAsia="Calibri" w:cs="Times New Roman"/>
          <w:iCs/>
        </w:rPr>
        <w:t>proBNP</w:t>
      </w:r>
      <w:proofErr w:type="spellEnd"/>
      <w:r w:rsidRPr="00D4664D">
        <w:rPr>
          <w:rFonts w:eastAsia="Calibri" w:cs="Times New Roman"/>
          <w:iCs/>
        </w:rPr>
        <w:t xml:space="preserve"> testing</w:t>
      </w:r>
      <w:r>
        <w:rPr>
          <w:rFonts w:eastAsia="Calibri" w:cs="Times New Roman"/>
          <w:iCs/>
        </w:rPr>
        <w:t>. However, ESC also noted that for Population 2 NT-</w:t>
      </w:r>
      <w:proofErr w:type="spellStart"/>
      <w:r>
        <w:rPr>
          <w:rFonts w:eastAsia="Calibri" w:cs="Times New Roman"/>
          <w:iCs/>
        </w:rPr>
        <w:t>proBNP</w:t>
      </w:r>
      <w:proofErr w:type="spellEnd"/>
      <w:r w:rsidRPr="00053D22">
        <w:rPr>
          <w:rFonts w:eastAsia="Calibri" w:cs="Times New Roman"/>
          <w:iCs/>
        </w:rPr>
        <w:t xml:space="preserve"> it </w:t>
      </w:r>
      <w:r>
        <w:rPr>
          <w:rFonts w:eastAsia="Calibri" w:cs="Times New Roman"/>
          <w:iCs/>
        </w:rPr>
        <w:t>would</w:t>
      </w:r>
      <w:r w:rsidRPr="00053D22">
        <w:rPr>
          <w:rFonts w:eastAsia="Calibri" w:cs="Times New Roman"/>
          <w:iCs/>
        </w:rPr>
        <w:t xml:space="preserve"> </w:t>
      </w:r>
      <w:r>
        <w:rPr>
          <w:rFonts w:eastAsia="Calibri" w:cs="Times New Roman"/>
          <w:iCs/>
        </w:rPr>
        <w:t xml:space="preserve">remain </w:t>
      </w:r>
      <w:r w:rsidRPr="00053D22">
        <w:rPr>
          <w:rFonts w:eastAsia="Calibri" w:cs="Times New Roman"/>
          <w:iCs/>
        </w:rPr>
        <w:t xml:space="preserve">cost saving or </w:t>
      </w:r>
      <w:r>
        <w:rPr>
          <w:rFonts w:eastAsia="Calibri" w:cs="Times New Roman"/>
          <w:iCs/>
        </w:rPr>
        <w:t>result in a negligible</w:t>
      </w:r>
      <w:r w:rsidRPr="00053D22">
        <w:rPr>
          <w:rFonts w:eastAsia="Calibri" w:cs="Times New Roman"/>
          <w:iCs/>
        </w:rPr>
        <w:t xml:space="preserve"> cost</w:t>
      </w:r>
      <w:r>
        <w:rPr>
          <w:rFonts w:eastAsia="Calibri" w:cs="Times New Roman"/>
          <w:iCs/>
        </w:rPr>
        <w:t xml:space="preserve"> across plausible sensitivity analyses</w:t>
      </w:r>
      <w:r w:rsidRPr="00053D22">
        <w:rPr>
          <w:rFonts w:eastAsia="Calibri" w:cs="Times New Roman"/>
          <w:iCs/>
        </w:rPr>
        <w:t xml:space="preserve">. </w:t>
      </w:r>
      <w:r>
        <w:rPr>
          <w:rFonts w:eastAsia="Calibri" w:cs="Times New Roman"/>
          <w:iCs/>
        </w:rPr>
        <w:t>The model appropriately tested</w:t>
      </w:r>
      <w:r w:rsidRPr="00053D22">
        <w:rPr>
          <w:rFonts w:eastAsia="Calibri" w:cs="Times New Roman"/>
          <w:iCs/>
        </w:rPr>
        <w:t xml:space="preserve"> the </w:t>
      </w:r>
      <w:r>
        <w:rPr>
          <w:rFonts w:eastAsia="Calibri" w:cs="Times New Roman"/>
          <w:iCs/>
        </w:rPr>
        <w:t xml:space="preserve">relevant </w:t>
      </w:r>
      <w:r w:rsidRPr="00053D22">
        <w:rPr>
          <w:rFonts w:eastAsia="Calibri" w:cs="Times New Roman"/>
          <w:iCs/>
        </w:rPr>
        <w:t>assumptions</w:t>
      </w:r>
      <w:r>
        <w:rPr>
          <w:rFonts w:eastAsia="Calibri" w:cs="Times New Roman"/>
          <w:iCs/>
        </w:rPr>
        <w:t>, so</w:t>
      </w:r>
      <w:r w:rsidRPr="00053D22">
        <w:rPr>
          <w:rFonts w:eastAsia="Calibri" w:cs="Times New Roman"/>
          <w:iCs/>
        </w:rPr>
        <w:t xml:space="preserve"> </w:t>
      </w:r>
      <w:r>
        <w:rPr>
          <w:rFonts w:eastAsia="Calibri" w:cs="Times New Roman"/>
          <w:iCs/>
        </w:rPr>
        <w:t xml:space="preserve">ESC did not consider that a </w:t>
      </w:r>
      <w:r w:rsidRPr="00053D22">
        <w:rPr>
          <w:rFonts w:eastAsia="Calibri" w:cs="Times New Roman"/>
          <w:iCs/>
        </w:rPr>
        <w:t xml:space="preserve">reanalysis </w:t>
      </w:r>
      <w:r>
        <w:rPr>
          <w:rFonts w:eastAsia="Calibri" w:cs="Times New Roman"/>
          <w:iCs/>
        </w:rPr>
        <w:t>would be</w:t>
      </w:r>
      <w:r w:rsidRPr="00053D22">
        <w:rPr>
          <w:rFonts w:eastAsia="Calibri" w:cs="Times New Roman"/>
          <w:iCs/>
        </w:rPr>
        <w:t xml:space="preserve"> required.</w:t>
      </w:r>
    </w:p>
    <w:p w14:paraId="42D5ECCF" w14:textId="77777777" w:rsidR="009A5B31" w:rsidRDefault="009A5B31" w:rsidP="009A5B31">
      <w:pPr>
        <w:rPr>
          <w:rFonts w:eastAsia="Calibri" w:cs="Times New Roman"/>
          <w:iCs/>
        </w:rPr>
      </w:pPr>
      <w:r>
        <w:rPr>
          <w:rFonts w:eastAsia="Calibri" w:cs="Times New Roman"/>
          <w:iCs/>
        </w:rPr>
        <w:lastRenderedPageBreak/>
        <w:t>ESC considered that there may be a risk of leakage into other populations as NT-</w:t>
      </w:r>
      <w:proofErr w:type="spellStart"/>
      <w:r>
        <w:rPr>
          <w:rFonts w:eastAsia="Calibri" w:cs="Times New Roman"/>
          <w:iCs/>
        </w:rPr>
        <w:t>proBNP</w:t>
      </w:r>
      <w:proofErr w:type="spellEnd"/>
      <w:r>
        <w:rPr>
          <w:rFonts w:eastAsia="Calibri" w:cs="Times New Roman"/>
          <w:iCs/>
        </w:rPr>
        <w:t xml:space="preserve"> can be used in other clinical situations. </w:t>
      </w:r>
      <w:r w:rsidRPr="00883B9F">
        <w:rPr>
          <w:rFonts w:eastAsia="Calibri" w:cs="Times New Roman"/>
          <w:iCs/>
        </w:rPr>
        <w:t>ESC noted MBS utilisation data suggested this may be already occurring for MBS item 66830 for the quantification of BNP or NT-</w:t>
      </w:r>
      <w:proofErr w:type="spellStart"/>
      <w:r w:rsidRPr="00883B9F">
        <w:rPr>
          <w:rFonts w:eastAsia="Calibri" w:cs="Times New Roman"/>
          <w:iCs/>
        </w:rPr>
        <w:t>proBNP</w:t>
      </w:r>
      <w:proofErr w:type="spellEnd"/>
      <w:r w:rsidRPr="00883B9F">
        <w:rPr>
          <w:rFonts w:eastAsia="Calibri" w:cs="Times New Roman"/>
          <w:iCs/>
        </w:rPr>
        <w:t xml:space="preserve"> for the diagnosis of heart failure in patients presenting with dyspnoea to a hospital emergency department</w:t>
      </w:r>
      <w:r>
        <w:rPr>
          <w:rFonts w:eastAsia="Calibri" w:cs="Times New Roman"/>
          <w:iCs/>
        </w:rPr>
        <w:t xml:space="preserve">. </w:t>
      </w:r>
    </w:p>
    <w:p w14:paraId="0248AEBC" w14:textId="77777777" w:rsidR="009A5B31" w:rsidRDefault="009A5B31" w:rsidP="009A5B31">
      <w:pPr>
        <w:pStyle w:val="Heading2"/>
        <w:numPr>
          <w:ilvl w:val="0"/>
          <w:numId w:val="0"/>
        </w:numPr>
      </w:pPr>
      <w:r>
        <w:t>17.</w:t>
      </w:r>
      <w:r>
        <w:tab/>
        <w:t>Applicant comments on MSAC’s Public Summary Document</w:t>
      </w:r>
    </w:p>
    <w:p w14:paraId="50E5799B" w14:textId="77777777" w:rsidR="00193A58" w:rsidRPr="00193A58" w:rsidRDefault="00193A58" w:rsidP="00193A58">
      <w:pPr>
        <w:spacing w:after="0"/>
        <w:rPr>
          <w:rFonts w:eastAsia="Calibri" w:cs="Times New Roman"/>
          <w:iCs/>
        </w:rPr>
      </w:pPr>
      <w:r w:rsidRPr="00193A58">
        <w:rPr>
          <w:rFonts w:eastAsia="Calibri" w:cs="Times New Roman"/>
          <w:iCs/>
        </w:rPr>
        <w:t>Janssen welcomes the MSAC’s advice to support the MBS listing of NT-</w:t>
      </w:r>
      <w:proofErr w:type="spellStart"/>
      <w:r w:rsidRPr="00193A58">
        <w:rPr>
          <w:rFonts w:eastAsia="Calibri" w:cs="Times New Roman"/>
          <w:iCs/>
        </w:rPr>
        <w:t>proBNP</w:t>
      </w:r>
      <w:proofErr w:type="spellEnd"/>
      <w:r w:rsidRPr="00193A58">
        <w:rPr>
          <w:rFonts w:eastAsia="Calibri" w:cs="Times New Roman"/>
          <w:iCs/>
        </w:rPr>
        <w:t xml:space="preserve"> testing in patients with systemic sclerosis to detect pulmonary arterial hypertension (Population 1). However, Janssen is disappointed with the MSAC decision in relation to MBS listing of NT-</w:t>
      </w:r>
      <w:proofErr w:type="spellStart"/>
      <w:r w:rsidRPr="00193A58">
        <w:rPr>
          <w:rFonts w:eastAsia="Calibri" w:cs="Times New Roman"/>
          <w:iCs/>
        </w:rPr>
        <w:t>proBNP</w:t>
      </w:r>
      <w:proofErr w:type="spellEnd"/>
      <w:r w:rsidRPr="00193A58">
        <w:rPr>
          <w:rFonts w:eastAsia="Calibri" w:cs="Times New Roman"/>
          <w:iCs/>
        </w:rPr>
        <w:t xml:space="preserve"> testing for risk-assessment in patients already diagnosed with pulmonary arterial hypertension (Population 2). The recent release of ESC/ERS Guidelines highlights the importance of NT-</w:t>
      </w:r>
      <w:proofErr w:type="spellStart"/>
      <w:r w:rsidRPr="00193A58">
        <w:rPr>
          <w:rFonts w:eastAsia="Calibri" w:cs="Times New Roman"/>
          <w:iCs/>
        </w:rPr>
        <w:t>proBNP</w:t>
      </w:r>
      <w:proofErr w:type="spellEnd"/>
      <w:r w:rsidRPr="00193A58">
        <w:rPr>
          <w:rFonts w:eastAsia="Calibri" w:cs="Times New Roman"/>
          <w:iCs/>
        </w:rPr>
        <w:t xml:space="preserve"> as part of routine risk assessment and provides greater clarity on the role of NT-</w:t>
      </w:r>
      <w:proofErr w:type="spellStart"/>
      <w:r w:rsidRPr="00193A58">
        <w:rPr>
          <w:rFonts w:eastAsia="Calibri" w:cs="Times New Roman"/>
          <w:iCs/>
        </w:rPr>
        <w:t>proBNP</w:t>
      </w:r>
      <w:proofErr w:type="spellEnd"/>
      <w:r w:rsidRPr="00193A58">
        <w:rPr>
          <w:rFonts w:eastAsia="Calibri" w:cs="Times New Roman"/>
          <w:iCs/>
        </w:rPr>
        <w:t xml:space="preserve"> testing in this population. Janssen will review the details of the MSAC’s advice and will continue to work with the Department and stakeholders to ensure funded access NT-</w:t>
      </w:r>
      <w:proofErr w:type="spellStart"/>
      <w:r w:rsidRPr="00193A58">
        <w:rPr>
          <w:rFonts w:eastAsia="Calibri" w:cs="Times New Roman"/>
          <w:iCs/>
        </w:rPr>
        <w:t>proBNP</w:t>
      </w:r>
      <w:proofErr w:type="spellEnd"/>
      <w:r w:rsidRPr="00193A58">
        <w:rPr>
          <w:rFonts w:eastAsia="Calibri" w:cs="Times New Roman"/>
          <w:iCs/>
        </w:rPr>
        <w:t xml:space="preserve"> testing in patients diagnosed with PAH. </w:t>
      </w:r>
    </w:p>
    <w:p w14:paraId="516A4A2B" w14:textId="77777777" w:rsidR="009A5B31" w:rsidRDefault="009A5B31" w:rsidP="009A5B31">
      <w:pPr>
        <w:pStyle w:val="Heading2"/>
        <w:numPr>
          <w:ilvl w:val="0"/>
          <w:numId w:val="0"/>
        </w:numPr>
      </w:pPr>
      <w:r>
        <w:t>18.</w:t>
      </w:r>
      <w:r>
        <w:tab/>
        <w:t>Further information on MSAC</w:t>
      </w:r>
    </w:p>
    <w:p w14:paraId="45D855EE" w14:textId="4055A7C8" w:rsidR="009A5B31" w:rsidRPr="009A5B31" w:rsidRDefault="009A5B31" w:rsidP="009A5B31">
      <w:pPr>
        <w:pStyle w:val="BodyText"/>
        <w:rPr>
          <w:rFonts w:ascii="Franklin Gothic Book" w:hAnsi="Franklin Gothic Book" w:cstheme="minorBidi"/>
          <w:b w:val="0"/>
          <w:bCs/>
          <w:i w:val="0"/>
          <w:iCs/>
          <w:sz w:val="22"/>
        </w:rPr>
      </w:pPr>
      <w:r w:rsidRPr="009A5B31">
        <w:rPr>
          <w:rFonts w:ascii="Franklin Gothic Book" w:hAnsi="Franklin Gothic Book"/>
          <w:b w:val="0"/>
          <w:bCs/>
          <w:i w:val="0"/>
          <w:iCs/>
          <w:sz w:val="22"/>
        </w:rPr>
        <w:t xml:space="preserve">MSAC Terms of Reference and other information are available on the MSAC Website: </w:t>
      </w:r>
      <w:hyperlink r:id="rId16" w:tooltip="Link to the MSAC website" w:history="1">
        <w:r w:rsidRPr="009A5B31">
          <w:rPr>
            <w:rStyle w:val="Hyperlink"/>
            <w:rFonts w:ascii="Franklin Gothic Book" w:hAnsi="Franklin Gothic Book"/>
            <w:b w:val="0"/>
            <w:bCs/>
            <w:i w:val="0"/>
            <w:iCs/>
            <w:sz w:val="22"/>
          </w:rPr>
          <w:t>visit the MSAC website</w:t>
        </w:r>
      </w:hyperlink>
    </w:p>
    <w:sectPr w:rsidR="009A5B31" w:rsidRPr="009A5B31" w:rsidSect="003D1E13">
      <w:headerReference w:type="even" r:id="rId17"/>
      <w:headerReference w:type="default" r:id="rId18"/>
      <w:footerReference w:type="even" r:id="rId19"/>
      <w:footerReference w:type="default" r:id="rId20"/>
      <w:headerReference w:type="first" r:id="rId21"/>
      <w:footerReference w:type="first" r:id="rId2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BF81" w14:textId="77777777" w:rsidR="00EE4923" w:rsidRDefault="00EE4923" w:rsidP="00B62DF2">
      <w:pPr>
        <w:spacing w:after="0" w:line="240" w:lineRule="auto"/>
      </w:pPr>
      <w:r>
        <w:separator/>
      </w:r>
    </w:p>
  </w:endnote>
  <w:endnote w:type="continuationSeparator" w:id="0">
    <w:p w14:paraId="1C2E1DD4" w14:textId="77777777" w:rsidR="00EE4923" w:rsidRDefault="00EE4923" w:rsidP="00B62DF2">
      <w:pPr>
        <w:spacing w:after="0" w:line="240" w:lineRule="auto"/>
      </w:pPr>
      <w:r>
        <w:continuationSeparator/>
      </w:r>
    </w:p>
  </w:endnote>
  <w:endnote w:type="continuationNotice" w:id="1">
    <w:p w14:paraId="64C038E8" w14:textId="77777777" w:rsidR="00EE4923" w:rsidRDefault="00EE49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096A" w14:textId="77777777" w:rsidR="0099429B" w:rsidRDefault="0099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1B9A" w14:textId="77777777" w:rsidR="0099429B" w:rsidRDefault="0099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E16" w14:textId="77777777" w:rsidR="0099429B" w:rsidRDefault="0099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187A" w14:textId="77777777" w:rsidR="00EE4923" w:rsidRDefault="00EE4923" w:rsidP="00B62DF2">
      <w:pPr>
        <w:spacing w:after="0" w:line="240" w:lineRule="auto"/>
      </w:pPr>
      <w:r>
        <w:separator/>
      </w:r>
    </w:p>
  </w:footnote>
  <w:footnote w:type="continuationSeparator" w:id="0">
    <w:p w14:paraId="49B30680" w14:textId="77777777" w:rsidR="00EE4923" w:rsidRDefault="00EE4923" w:rsidP="00B62DF2">
      <w:pPr>
        <w:spacing w:after="0" w:line="240" w:lineRule="auto"/>
      </w:pPr>
      <w:r>
        <w:continuationSeparator/>
      </w:r>
    </w:p>
  </w:footnote>
  <w:footnote w:type="continuationNotice" w:id="1">
    <w:p w14:paraId="38D3A5D3" w14:textId="77777777" w:rsidR="00EE4923" w:rsidRDefault="00EE4923">
      <w:pPr>
        <w:spacing w:before="0" w:after="0" w:line="240" w:lineRule="auto"/>
      </w:pPr>
    </w:p>
  </w:footnote>
  <w:footnote w:id="2">
    <w:p w14:paraId="46F5DE42" w14:textId="77777777" w:rsidR="00B34C85" w:rsidRDefault="00B34C85" w:rsidP="00E4281E">
      <w:pPr>
        <w:pStyle w:val="FootnoteText"/>
      </w:pPr>
      <w:r>
        <w:rPr>
          <w:rStyle w:val="FootnoteReference"/>
        </w:rPr>
        <w:footnoteRef/>
      </w:r>
      <w:r>
        <w:t xml:space="preserve"> Sitbon O, Benza RL, Badesch DB, Barst RJ, Elliott CG, Gressin V, Lemarié JC, Miller DP, Muros-Le Rouzic E, Simonneau G, Frost AE, Farber HW, Humbert M, McGoon MD. (2015) Validation of two predictive models for survival in pulmonary arterial hypertension. Eur Respir J. 46(1):152-64.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90D5" w14:textId="77777777" w:rsidR="0099429B" w:rsidRDefault="00994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EBD3" w14:textId="77777777" w:rsidR="0099429B" w:rsidRDefault="00994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CBC0" w14:textId="77777777" w:rsidR="0099429B" w:rsidRDefault="0099429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F0IpWGe" int2:invalidationBookmarkName="" int2:hashCode="C3Q6dLUmjFZ49A" int2:id="4vpkT4to">
      <int2:state int2:value="Rejected" int2:type="LegacyProofing"/>
    </int2:bookmark>
    <int2:bookmark int2:bookmarkName="_Int_ZIV9iel9" int2:invalidationBookmarkName="" int2:hashCode="C3Q6dLUmjFZ49A" int2:id="JaWJ5QNH">
      <int2:state int2:value="Rejected" int2:type="LegacyProofing"/>
    </int2:bookmark>
    <int2:bookmark int2:bookmarkName="_Int_1wLm6v8I" int2:invalidationBookmarkName="" int2:hashCode="C3Q6dLUmjFZ49A" int2:id="K96RiDdP">
      <int2:state int2:value="Rejected" int2:type="LegacyProofing"/>
    </int2:bookmark>
    <int2:bookmark int2:bookmarkName="_Int_9rgddYOy" int2:invalidationBookmarkName="" int2:hashCode="C3Q6dLUmjFZ49A" int2:id="MiODY2Jf">
      <int2:state int2:value="Rejected" int2:type="LegacyProofing"/>
    </int2:bookmark>
    <int2:bookmark int2:bookmarkName="_Int_sJ6MXsSa" int2:invalidationBookmarkName="" int2:hashCode="C3Q6dLUmjFZ49A" int2:id="az4kiIO9">
      <int2:state int2:value="Rejected" int2:type="LegacyProofing"/>
    </int2:bookmark>
    <int2:bookmark int2:bookmarkName="_Int_JgM1CiRl" int2:invalidationBookmarkName="" int2:hashCode="C3Q6dLUmjFZ49A" int2:id="oXweyCOk">
      <int2:state int2:value="Rejected" int2:type="LegacyProofing"/>
    </int2:bookmark>
    <int2:bookmark int2:bookmarkName="_Int_pUZd0RO6" int2:invalidationBookmarkName="" int2:hashCode="C3Q6dLUmjFZ49A" int2:id="pnMGSi9V">
      <int2:state int2:value="Rejected" int2:type="LegacyProofing"/>
    </int2:bookmark>
    <int2:bookmark int2:bookmarkName="_Int_VgJOGDH2" int2:invalidationBookmarkName="" int2:hashCode="C3Q6dLUmjFZ49A" int2:id="qY7uynZ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45D"/>
    <w:multiLevelType w:val="hybridMultilevel"/>
    <w:tmpl w:val="8F74D3EE"/>
    <w:lvl w:ilvl="0" w:tplc="70641146">
      <w:start w:val="1"/>
      <w:numFmt w:val="upperLetter"/>
      <w:pStyle w:val="AppendixHeader1"/>
      <w:lvlText w:val="Appendix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608F9"/>
    <w:multiLevelType w:val="hybridMultilevel"/>
    <w:tmpl w:val="A07C4EB6"/>
    <w:lvl w:ilvl="0" w:tplc="0C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6A6EF6"/>
    <w:multiLevelType w:val="multilevel"/>
    <w:tmpl w:val="B6A68150"/>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0A07EC"/>
    <w:multiLevelType w:val="singleLevel"/>
    <w:tmpl w:val="FC24B238"/>
    <w:lvl w:ilvl="0">
      <w:start w:val="1"/>
      <w:numFmt w:val="decimal"/>
      <w:pStyle w:val="ESNumberedSectionHeading"/>
      <w:lvlText w:val="A.%1"/>
      <w:lvlJc w:val="left"/>
      <w:pPr>
        <w:ind w:left="360" w:hanging="360"/>
      </w:pPr>
      <w:rPr>
        <w:rFonts w:ascii="Calibri" w:hAnsi="Calibri" w:hint="default"/>
        <w:b/>
        <w:i w:val="0"/>
        <w:color w:val="auto"/>
        <w:sz w:val="24"/>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712DC3"/>
    <w:multiLevelType w:val="hybridMultilevel"/>
    <w:tmpl w:val="AEC408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370C05"/>
    <w:multiLevelType w:val="multilevel"/>
    <w:tmpl w:val="901878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cene3d>
          <w14:camera w14:prst="orthographicFront"/>
          <w14:lightRig w14:rig="threePt" w14:dir="t">
            <w14:rot w14:lat="0" w14:lon="0" w14:rev="0"/>
          </w14:lightRig>
        </w14:scene3d>
      </w:rPr>
    </w:lvl>
  </w:abstractNum>
  <w:abstractNum w:abstractNumId="12" w15:restartNumberingAfterBreak="0">
    <w:nsid w:val="381B1244"/>
    <w:multiLevelType w:val="hybridMultilevel"/>
    <w:tmpl w:val="D5387BA0"/>
    <w:lvl w:ilvl="0" w:tplc="1542F0E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F4A0B"/>
    <w:multiLevelType w:val="hybridMultilevel"/>
    <w:tmpl w:val="8230ED46"/>
    <w:lvl w:ilvl="0" w:tplc="37762F46">
      <w:numFmt w:val="decimal"/>
      <w:pStyle w:val="TableBullet"/>
      <w:lvlText w:val=""/>
      <w:lvlJc w:val="left"/>
    </w:lvl>
    <w:lvl w:ilvl="1" w:tplc="0C090003">
      <w:numFmt w:val="decimal"/>
      <w:lvlText w:val=""/>
      <w:lvlJc w:val="left"/>
    </w:lvl>
    <w:lvl w:ilvl="2" w:tplc="0C090005">
      <w:numFmt w:val="none"/>
      <w:lvlText w:val=""/>
      <w:lvlJc w:val="left"/>
      <w:pPr>
        <w:tabs>
          <w:tab w:val="num" w:pos="360"/>
        </w:tabs>
      </w:pPr>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none"/>
      <w:lvlText w:val=""/>
      <w:lvlJc w:val="left"/>
      <w:pPr>
        <w:tabs>
          <w:tab w:val="num" w:pos="360"/>
        </w:tabs>
      </w:pPr>
    </w:lvl>
    <w:lvl w:ilvl="7" w:tplc="0C090003">
      <w:numFmt w:val="decimal"/>
      <w:lvlText w:val=""/>
      <w:lvlJc w:val="left"/>
    </w:lvl>
    <w:lvl w:ilvl="8" w:tplc="0C090005">
      <w:numFmt w:val="decimal"/>
      <w:lvlText w:val=""/>
      <w:lvlJc w:val="left"/>
    </w:lvl>
  </w:abstractNum>
  <w:abstractNum w:abstractNumId="14" w15:restartNumberingAfterBreak="0">
    <w:nsid w:val="47095746"/>
    <w:multiLevelType w:val="hybridMultilevel"/>
    <w:tmpl w:val="28BC0FCE"/>
    <w:lvl w:ilvl="0" w:tplc="A26EFB64">
      <w:numFmt w:val="decimal"/>
      <w:pStyle w:val="Instructionaltex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none"/>
      <w:lvlText w:val=""/>
      <w:lvlJc w:val="left"/>
      <w:pPr>
        <w:tabs>
          <w:tab w:val="num" w:pos="360"/>
        </w:tabs>
      </w:pPr>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5" w15:restartNumberingAfterBreak="0">
    <w:nsid w:val="5A28026F"/>
    <w:multiLevelType w:val="hybridMultilevel"/>
    <w:tmpl w:val="FF703236"/>
    <w:lvl w:ilvl="0" w:tplc="0C090003">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BB32BE"/>
    <w:multiLevelType w:val="hybridMultilevel"/>
    <w:tmpl w:val="2788D6C6"/>
    <w:lvl w:ilvl="0" w:tplc="B0DA2C7E">
      <w:numFmt w:val="decimal"/>
      <w:pStyle w:val="MainBodySectionHeading-numbered"/>
      <w:lvlText w:val=""/>
      <w:lvlJc w:val="left"/>
    </w:lvl>
    <w:lvl w:ilvl="1" w:tplc="3412F0B6">
      <w:numFmt w:val="decimal"/>
      <w:lvlText w:val=""/>
      <w:lvlJc w:val="left"/>
    </w:lvl>
    <w:lvl w:ilvl="2" w:tplc="0A2C92E8">
      <w:numFmt w:val="decimal"/>
      <w:lvlText w:val=""/>
      <w:lvlJc w:val="left"/>
    </w:lvl>
    <w:lvl w:ilvl="3" w:tplc="51E06328">
      <w:numFmt w:val="decimal"/>
      <w:lvlText w:val=""/>
      <w:lvlJc w:val="left"/>
    </w:lvl>
    <w:lvl w:ilvl="4" w:tplc="55121EB0">
      <w:numFmt w:val="decimal"/>
      <w:lvlText w:val=""/>
      <w:lvlJc w:val="left"/>
    </w:lvl>
    <w:lvl w:ilvl="5" w:tplc="C0BC6618">
      <w:numFmt w:val="decimal"/>
      <w:lvlText w:val=""/>
      <w:lvlJc w:val="left"/>
    </w:lvl>
    <w:lvl w:ilvl="6" w:tplc="2C762004">
      <w:numFmt w:val="decimal"/>
      <w:lvlText w:val=""/>
      <w:lvlJc w:val="left"/>
    </w:lvl>
    <w:lvl w:ilvl="7" w:tplc="AAE0D5E4">
      <w:numFmt w:val="decimal"/>
      <w:lvlText w:val=""/>
      <w:lvlJc w:val="left"/>
    </w:lvl>
    <w:lvl w:ilvl="8" w:tplc="37CCD67A">
      <w:numFmt w:val="decimal"/>
      <w:lvlText w:val=""/>
      <w:lvlJc w:val="left"/>
    </w:lvl>
  </w:abstractNum>
  <w:abstractNum w:abstractNumId="17" w15:restartNumberingAfterBreak="0">
    <w:nsid w:val="6DA63A7A"/>
    <w:multiLevelType w:val="multilevel"/>
    <w:tmpl w:val="5036828C"/>
    <w:lvl w:ilvl="0">
      <w:numFmt w:val="decimal"/>
      <w:pStyle w:val="AppendixHead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A55757"/>
    <w:multiLevelType w:val="multilevel"/>
    <w:tmpl w:val="9D14836C"/>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E240D"/>
    <w:multiLevelType w:val="hybridMultilevel"/>
    <w:tmpl w:val="8610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200C70"/>
    <w:multiLevelType w:val="multilevel"/>
    <w:tmpl w:val="37B0CA18"/>
    <w:lvl w:ilvl="0">
      <w:numFmt w:val="decimal"/>
      <w:pStyle w:val="ESSectionHeading-numbered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abstractNumId w:val="11"/>
  </w:num>
  <w:num w:numId="2">
    <w:abstractNumId w:val="22"/>
  </w:num>
  <w:num w:numId="3">
    <w:abstractNumId w:val="1"/>
  </w:num>
  <w:num w:numId="4">
    <w:abstractNumId w:val="5"/>
  </w:num>
  <w:num w:numId="5">
    <w:abstractNumId w:val="19"/>
  </w:num>
  <w:num w:numId="6">
    <w:abstractNumId w:val="6"/>
  </w:num>
  <w:num w:numId="7">
    <w:abstractNumId w:val="8"/>
  </w:num>
  <w:num w:numId="8">
    <w:abstractNumId w:val="10"/>
  </w:num>
  <w:num w:numId="9">
    <w:abstractNumId w:val="14"/>
  </w:num>
  <w:num w:numId="10">
    <w:abstractNumId w:val="16"/>
  </w:num>
  <w:num w:numId="11">
    <w:abstractNumId w:val="21"/>
  </w:num>
  <w:num w:numId="12">
    <w:abstractNumId w:val="4"/>
  </w:num>
  <w:num w:numId="13">
    <w:abstractNumId w:val="17"/>
  </w:num>
  <w:num w:numId="14">
    <w:abstractNumId w:val="0"/>
    <w:lvlOverride w:ilvl="0">
      <w:startOverride w:val="1"/>
    </w:lvlOverride>
  </w:num>
  <w:num w:numId="15">
    <w:abstractNumId w:val="13"/>
  </w:num>
  <w:num w:numId="16">
    <w:abstractNumId w:val="18"/>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2"/>
  </w:num>
  <w:num w:numId="22">
    <w:abstractNumId w:val="0"/>
  </w:num>
  <w:num w:numId="23">
    <w:abstractNumId w:val="7"/>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oNotDisplayPageBoundarie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7Y0NjEzNDW2NDRU0lEKTi0uzszPAykwqQUAO17KkiwAAAA="/>
    <w:docVar w:name="EN.InstantFormat" w:val="&lt;ENInstantFormat&gt;&lt;Enabled&gt;1&lt;/Enabled&gt;&lt;ScanUnformatted&gt;1&lt;/ScanUnformatted&gt;&lt;ScanChanges&gt;1&lt;/ScanChanges&gt;&lt;Suspended&gt;1&lt;/Suspended&gt;&lt;/ENInstantFormat&gt;"/>
    <w:docVar w:name="EN.Layout" w:val="&lt;ENLayout&gt;&lt;Style&gt;APA 6th Copy&lt;/Style&gt;&lt;LeftDelim&gt;{&lt;/LeftDelim&gt;&lt;RightDelim&gt;}&lt;/RightDelim&gt;&lt;FontName&gt;Franklin Gothic Book&lt;/FontName&gt;&lt;FontSize&gt;11&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rdxe5zsrb92za8ef02mvr0rivzvpwp5ffwaw&quot;&gt;DCAR 1671&lt;record-ids&gt;&lt;item&gt;2&lt;/item&gt;&lt;item&gt;4&lt;/item&gt;&lt;item&gt;24&lt;/item&gt;&lt;item&gt;35&lt;/item&gt;&lt;item&gt;45&lt;/item&gt;&lt;item&gt;46&lt;/item&gt;&lt;item&gt;48&lt;/item&gt;&lt;item&gt;50&lt;/item&gt;&lt;item&gt;52&lt;/item&gt;&lt;item&gt;56&lt;/item&gt;&lt;item&gt;58&lt;/item&gt;&lt;item&gt;87&lt;/item&gt;&lt;item&gt;116&lt;/item&gt;&lt;item&gt;126&lt;/item&gt;&lt;item&gt;130&lt;/item&gt;&lt;item&gt;142&lt;/item&gt;&lt;item&gt;156&lt;/item&gt;&lt;item&gt;175&lt;/item&gt;&lt;item&gt;176&lt;/item&gt;&lt;/record-ids&gt;&lt;/item&gt;&lt;/Libraries&gt;"/>
  </w:docVars>
  <w:rsids>
    <w:rsidRoot w:val="008157F1"/>
    <w:rsid w:val="000005DE"/>
    <w:rsid w:val="000006DC"/>
    <w:rsid w:val="00000B04"/>
    <w:rsid w:val="00000C18"/>
    <w:rsid w:val="0000109A"/>
    <w:rsid w:val="00001775"/>
    <w:rsid w:val="0000179D"/>
    <w:rsid w:val="00001AE6"/>
    <w:rsid w:val="00001BBB"/>
    <w:rsid w:val="00002441"/>
    <w:rsid w:val="00002796"/>
    <w:rsid w:val="000029EA"/>
    <w:rsid w:val="00002F49"/>
    <w:rsid w:val="000038DA"/>
    <w:rsid w:val="00003AD1"/>
    <w:rsid w:val="00003B78"/>
    <w:rsid w:val="00003CF7"/>
    <w:rsid w:val="000042E3"/>
    <w:rsid w:val="0000471F"/>
    <w:rsid w:val="00004A78"/>
    <w:rsid w:val="00004B1A"/>
    <w:rsid w:val="00004C2C"/>
    <w:rsid w:val="00004CE8"/>
    <w:rsid w:val="00004D69"/>
    <w:rsid w:val="00004F7F"/>
    <w:rsid w:val="000054C9"/>
    <w:rsid w:val="000057F4"/>
    <w:rsid w:val="00005CDA"/>
    <w:rsid w:val="00005D57"/>
    <w:rsid w:val="00005DD2"/>
    <w:rsid w:val="000061B8"/>
    <w:rsid w:val="00006317"/>
    <w:rsid w:val="000063B4"/>
    <w:rsid w:val="00006582"/>
    <w:rsid w:val="00007370"/>
    <w:rsid w:val="000079FB"/>
    <w:rsid w:val="00010779"/>
    <w:rsid w:val="00010936"/>
    <w:rsid w:val="00010E88"/>
    <w:rsid w:val="00011568"/>
    <w:rsid w:val="00011A59"/>
    <w:rsid w:val="00011D63"/>
    <w:rsid w:val="00011DFE"/>
    <w:rsid w:val="00012F3F"/>
    <w:rsid w:val="00014974"/>
    <w:rsid w:val="00014D3C"/>
    <w:rsid w:val="00015C82"/>
    <w:rsid w:val="00015CF6"/>
    <w:rsid w:val="00015D7C"/>
    <w:rsid w:val="00016067"/>
    <w:rsid w:val="000162DA"/>
    <w:rsid w:val="00016377"/>
    <w:rsid w:val="00016697"/>
    <w:rsid w:val="00016868"/>
    <w:rsid w:val="000171AC"/>
    <w:rsid w:val="0001724C"/>
    <w:rsid w:val="0001752B"/>
    <w:rsid w:val="00017E8C"/>
    <w:rsid w:val="00021EE0"/>
    <w:rsid w:val="0002230F"/>
    <w:rsid w:val="00022360"/>
    <w:rsid w:val="000228B8"/>
    <w:rsid w:val="00022939"/>
    <w:rsid w:val="00022DBB"/>
    <w:rsid w:val="00022EC9"/>
    <w:rsid w:val="0002381B"/>
    <w:rsid w:val="0002429F"/>
    <w:rsid w:val="00024642"/>
    <w:rsid w:val="00024A06"/>
    <w:rsid w:val="00024C03"/>
    <w:rsid w:val="00024EA5"/>
    <w:rsid w:val="00024F63"/>
    <w:rsid w:val="00024F99"/>
    <w:rsid w:val="00025979"/>
    <w:rsid w:val="00026A9B"/>
    <w:rsid w:val="00026F82"/>
    <w:rsid w:val="0002755F"/>
    <w:rsid w:val="000276A0"/>
    <w:rsid w:val="0003010F"/>
    <w:rsid w:val="000304E6"/>
    <w:rsid w:val="00030DB7"/>
    <w:rsid w:val="00031283"/>
    <w:rsid w:val="0003138F"/>
    <w:rsid w:val="000314DD"/>
    <w:rsid w:val="000318E9"/>
    <w:rsid w:val="00032101"/>
    <w:rsid w:val="0003211C"/>
    <w:rsid w:val="00032482"/>
    <w:rsid w:val="0003298A"/>
    <w:rsid w:val="00032BAF"/>
    <w:rsid w:val="0003340D"/>
    <w:rsid w:val="000336F4"/>
    <w:rsid w:val="0003399C"/>
    <w:rsid w:val="00033B5D"/>
    <w:rsid w:val="0003423A"/>
    <w:rsid w:val="0003437E"/>
    <w:rsid w:val="0003477F"/>
    <w:rsid w:val="0003498B"/>
    <w:rsid w:val="00034A96"/>
    <w:rsid w:val="000351D4"/>
    <w:rsid w:val="000354A6"/>
    <w:rsid w:val="000357C7"/>
    <w:rsid w:val="0003595F"/>
    <w:rsid w:val="000361C7"/>
    <w:rsid w:val="00036867"/>
    <w:rsid w:val="00036A64"/>
    <w:rsid w:val="00036AD8"/>
    <w:rsid w:val="00036CE1"/>
    <w:rsid w:val="00036EF7"/>
    <w:rsid w:val="00037037"/>
    <w:rsid w:val="00037302"/>
    <w:rsid w:val="00037A77"/>
    <w:rsid w:val="00037B97"/>
    <w:rsid w:val="00037F71"/>
    <w:rsid w:val="00040000"/>
    <w:rsid w:val="0004005D"/>
    <w:rsid w:val="00040530"/>
    <w:rsid w:val="00040573"/>
    <w:rsid w:val="00040690"/>
    <w:rsid w:val="00040897"/>
    <w:rsid w:val="00040ADF"/>
    <w:rsid w:val="00040B5A"/>
    <w:rsid w:val="00040DC4"/>
    <w:rsid w:val="00040FB4"/>
    <w:rsid w:val="00041091"/>
    <w:rsid w:val="0004178C"/>
    <w:rsid w:val="00041834"/>
    <w:rsid w:val="00041F5D"/>
    <w:rsid w:val="0004257E"/>
    <w:rsid w:val="0004335A"/>
    <w:rsid w:val="00043D8D"/>
    <w:rsid w:val="000442DA"/>
    <w:rsid w:val="000443A6"/>
    <w:rsid w:val="000449D1"/>
    <w:rsid w:val="00044D16"/>
    <w:rsid w:val="00045401"/>
    <w:rsid w:val="00045B8D"/>
    <w:rsid w:val="00045CC5"/>
    <w:rsid w:val="00045FAF"/>
    <w:rsid w:val="00045FD4"/>
    <w:rsid w:val="00046698"/>
    <w:rsid w:val="00046A2E"/>
    <w:rsid w:val="00046B6A"/>
    <w:rsid w:val="00046E92"/>
    <w:rsid w:val="000472D4"/>
    <w:rsid w:val="0004759A"/>
    <w:rsid w:val="000475D4"/>
    <w:rsid w:val="00050140"/>
    <w:rsid w:val="00051148"/>
    <w:rsid w:val="00051461"/>
    <w:rsid w:val="00051592"/>
    <w:rsid w:val="00051653"/>
    <w:rsid w:val="00051940"/>
    <w:rsid w:val="00051A74"/>
    <w:rsid w:val="000524EB"/>
    <w:rsid w:val="00052532"/>
    <w:rsid w:val="00052DD3"/>
    <w:rsid w:val="0005326D"/>
    <w:rsid w:val="000536AF"/>
    <w:rsid w:val="000537E0"/>
    <w:rsid w:val="00053E81"/>
    <w:rsid w:val="00053EA7"/>
    <w:rsid w:val="00053F6C"/>
    <w:rsid w:val="000542A8"/>
    <w:rsid w:val="00054401"/>
    <w:rsid w:val="00054CF8"/>
    <w:rsid w:val="00055014"/>
    <w:rsid w:val="000562A7"/>
    <w:rsid w:val="000569BD"/>
    <w:rsid w:val="000569CF"/>
    <w:rsid w:val="0005724F"/>
    <w:rsid w:val="00057334"/>
    <w:rsid w:val="000573B0"/>
    <w:rsid w:val="00060116"/>
    <w:rsid w:val="000611F6"/>
    <w:rsid w:val="000614CE"/>
    <w:rsid w:val="00061D71"/>
    <w:rsid w:val="00061EFD"/>
    <w:rsid w:val="00062208"/>
    <w:rsid w:val="00062712"/>
    <w:rsid w:val="000628AE"/>
    <w:rsid w:val="00062E26"/>
    <w:rsid w:val="00063190"/>
    <w:rsid w:val="0006339C"/>
    <w:rsid w:val="000638B7"/>
    <w:rsid w:val="00063C69"/>
    <w:rsid w:val="00063F81"/>
    <w:rsid w:val="000644C9"/>
    <w:rsid w:val="00064770"/>
    <w:rsid w:val="00064783"/>
    <w:rsid w:val="000647C2"/>
    <w:rsid w:val="000649F0"/>
    <w:rsid w:val="000654D7"/>
    <w:rsid w:val="00065EE2"/>
    <w:rsid w:val="00066244"/>
    <w:rsid w:val="000664C9"/>
    <w:rsid w:val="0006783B"/>
    <w:rsid w:val="00067D76"/>
    <w:rsid w:val="0007021F"/>
    <w:rsid w:val="000709A0"/>
    <w:rsid w:val="00070FCB"/>
    <w:rsid w:val="00071D27"/>
    <w:rsid w:val="00072652"/>
    <w:rsid w:val="000726AF"/>
    <w:rsid w:val="00072DB1"/>
    <w:rsid w:val="0007389E"/>
    <w:rsid w:val="0007397D"/>
    <w:rsid w:val="00073F88"/>
    <w:rsid w:val="00074199"/>
    <w:rsid w:val="00074758"/>
    <w:rsid w:val="00074816"/>
    <w:rsid w:val="000749C9"/>
    <w:rsid w:val="00075059"/>
    <w:rsid w:val="00075203"/>
    <w:rsid w:val="0007543E"/>
    <w:rsid w:val="00075C01"/>
    <w:rsid w:val="00076AA8"/>
    <w:rsid w:val="00076E2F"/>
    <w:rsid w:val="00077FEC"/>
    <w:rsid w:val="0008004A"/>
    <w:rsid w:val="00080241"/>
    <w:rsid w:val="00081778"/>
    <w:rsid w:val="00081C26"/>
    <w:rsid w:val="00082754"/>
    <w:rsid w:val="00082CA2"/>
    <w:rsid w:val="0008350D"/>
    <w:rsid w:val="00083651"/>
    <w:rsid w:val="00084C8F"/>
    <w:rsid w:val="00084FA6"/>
    <w:rsid w:val="00086250"/>
    <w:rsid w:val="000869CD"/>
    <w:rsid w:val="00086AC6"/>
    <w:rsid w:val="000870B6"/>
    <w:rsid w:val="00090613"/>
    <w:rsid w:val="00090BD1"/>
    <w:rsid w:val="000913CD"/>
    <w:rsid w:val="00091857"/>
    <w:rsid w:val="00091914"/>
    <w:rsid w:val="00091A53"/>
    <w:rsid w:val="00091C59"/>
    <w:rsid w:val="0009288A"/>
    <w:rsid w:val="00092981"/>
    <w:rsid w:val="00092A21"/>
    <w:rsid w:val="00092BA4"/>
    <w:rsid w:val="00092D89"/>
    <w:rsid w:val="00092F59"/>
    <w:rsid w:val="00093299"/>
    <w:rsid w:val="000934BA"/>
    <w:rsid w:val="00093873"/>
    <w:rsid w:val="00093D9A"/>
    <w:rsid w:val="00093E20"/>
    <w:rsid w:val="000940A8"/>
    <w:rsid w:val="00094656"/>
    <w:rsid w:val="00094953"/>
    <w:rsid w:val="00094ED7"/>
    <w:rsid w:val="00095FBA"/>
    <w:rsid w:val="00096253"/>
    <w:rsid w:val="0009669D"/>
    <w:rsid w:val="0009685D"/>
    <w:rsid w:val="000969E9"/>
    <w:rsid w:val="00096B52"/>
    <w:rsid w:val="00096C56"/>
    <w:rsid w:val="000974B4"/>
    <w:rsid w:val="000976A5"/>
    <w:rsid w:val="00097BE8"/>
    <w:rsid w:val="000A08BD"/>
    <w:rsid w:val="000A0D27"/>
    <w:rsid w:val="000A0E68"/>
    <w:rsid w:val="000A10BF"/>
    <w:rsid w:val="000A1544"/>
    <w:rsid w:val="000A2ACD"/>
    <w:rsid w:val="000A2B65"/>
    <w:rsid w:val="000A2CD6"/>
    <w:rsid w:val="000A2DA8"/>
    <w:rsid w:val="000A2F2F"/>
    <w:rsid w:val="000A3089"/>
    <w:rsid w:val="000A323B"/>
    <w:rsid w:val="000A3888"/>
    <w:rsid w:val="000A3F21"/>
    <w:rsid w:val="000A4153"/>
    <w:rsid w:val="000A4864"/>
    <w:rsid w:val="000A50EA"/>
    <w:rsid w:val="000A5649"/>
    <w:rsid w:val="000A56D3"/>
    <w:rsid w:val="000A5C47"/>
    <w:rsid w:val="000A6014"/>
    <w:rsid w:val="000A6185"/>
    <w:rsid w:val="000A629E"/>
    <w:rsid w:val="000A65B2"/>
    <w:rsid w:val="000A6B30"/>
    <w:rsid w:val="000A6DA8"/>
    <w:rsid w:val="000A6E56"/>
    <w:rsid w:val="000A6ECF"/>
    <w:rsid w:val="000A7213"/>
    <w:rsid w:val="000A73F0"/>
    <w:rsid w:val="000B0533"/>
    <w:rsid w:val="000B0847"/>
    <w:rsid w:val="000B0E98"/>
    <w:rsid w:val="000B1F52"/>
    <w:rsid w:val="000B2190"/>
    <w:rsid w:val="000B31B4"/>
    <w:rsid w:val="000B3330"/>
    <w:rsid w:val="000B3437"/>
    <w:rsid w:val="000B39D7"/>
    <w:rsid w:val="000B3B15"/>
    <w:rsid w:val="000B485D"/>
    <w:rsid w:val="000B4EF2"/>
    <w:rsid w:val="000B4F06"/>
    <w:rsid w:val="000B50E6"/>
    <w:rsid w:val="000B5693"/>
    <w:rsid w:val="000B5E74"/>
    <w:rsid w:val="000B5FC5"/>
    <w:rsid w:val="000B61C7"/>
    <w:rsid w:val="000B6650"/>
    <w:rsid w:val="000B670B"/>
    <w:rsid w:val="000B6909"/>
    <w:rsid w:val="000B6CF0"/>
    <w:rsid w:val="000B720C"/>
    <w:rsid w:val="000B73A4"/>
    <w:rsid w:val="000B74CF"/>
    <w:rsid w:val="000B7665"/>
    <w:rsid w:val="000B7D29"/>
    <w:rsid w:val="000B7EE1"/>
    <w:rsid w:val="000C0887"/>
    <w:rsid w:val="000C127C"/>
    <w:rsid w:val="000C1A41"/>
    <w:rsid w:val="000C1C88"/>
    <w:rsid w:val="000C22A9"/>
    <w:rsid w:val="000C236C"/>
    <w:rsid w:val="000C274D"/>
    <w:rsid w:val="000C2DDC"/>
    <w:rsid w:val="000C3C29"/>
    <w:rsid w:val="000C44B7"/>
    <w:rsid w:val="000C4C8F"/>
    <w:rsid w:val="000C62A4"/>
    <w:rsid w:val="000C643F"/>
    <w:rsid w:val="000C653C"/>
    <w:rsid w:val="000C6A50"/>
    <w:rsid w:val="000C70B2"/>
    <w:rsid w:val="000C77DA"/>
    <w:rsid w:val="000C79A7"/>
    <w:rsid w:val="000C79DB"/>
    <w:rsid w:val="000C7A3E"/>
    <w:rsid w:val="000C7B1D"/>
    <w:rsid w:val="000C7C46"/>
    <w:rsid w:val="000D05AF"/>
    <w:rsid w:val="000D0896"/>
    <w:rsid w:val="000D0CC0"/>
    <w:rsid w:val="000D1997"/>
    <w:rsid w:val="000D1B52"/>
    <w:rsid w:val="000D1D32"/>
    <w:rsid w:val="000D1F12"/>
    <w:rsid w:val="000D23DF"/>
    <w:rsid w:val="000D2661"/>
    <w:rsid w:val="000D2BA1"/>
    <w:rsid w:val="000D2D2B"/>
    <w:rsid w:val="000D2D37"/>
    <w:rsid w:val="000D2FB2"/>
    <w:rsid w:val="000D3A52"/>
    <w:rsid w:val="000D4C1B"/>
    <w:rsid w:val="000D5523"/>
    <w:rsid w:val="000D56BC"/>
    <w:rsid w:val="000D5BE3"/>
    <w:rsid w:val="000D6043"/>
    <w:rsid w:val="000D6099"/>
    <w:rsid w:val="000D63EA"/>
    <w:rsid w:val="000D63FE"/>
    <w:rsid w:val="000D64BF"/>
    <w:rsid w:val="000D67F5"/>
    <w:rsid w:val="000D7032"/>
    <w:rsid w:val="000D774F"/>
    <w:rsid w:val="000D7924"/>
    <w:rsid w:val="000D7EF6"/>
    <w:rsid w:val="000E0274"/>
    <w:rsid w:val="000E03DC"/>
    <w:rsid w:val="000E0631"/>
    <w:rsid w:val="000E06B6"/>
    <w:rsid w:val="000E0FEE"/>
    <w:rsid w:val="000E109F"/>
    <w:rsid w:val="000E1124"/>
    <w:rsid w:val="000E11C5"/>
    <w:rsid w:val="000E1331"/>
    <w:rsid w:val="000E1E68"/>
    <w:rsid w:val="000E1E7B"/>
    <w:rsid w:val="000E204E"/>
    <w:rsid w:val="000E2106"/>
    <w:rsid w:val="000E319C"/>
    <w:rsid w:val="000E33A0"/>
    <w:rsid w:val="000E34EC"/>
    <w:rsid w:val="000E3E5A"/>
    <w:rsid w:val="000E40E2"/>
    <w:rsid w:val="000E5531"/>
    <w:rsid w:val="000E5CB3"/>
    <w:rsid w:val="000E6186"/>
    <w:rsid w:val="000E6410"/>
    <w:rsid w:val="000E678B"/>
    <w:rsid w:val="000E680F"/>
    <w:rsid w:val="000E6AB7"/>
    <w:rsid w:val="000E756E"/>
    <w:rsid w:val="000E78C0"/>
    <w:rsid w:val="000E7E17"/>
    <w:rsid w:val="000E7EDE"/>
    <w:rsid w:val="000F0096"/>
    <w:rsid w:val="000F05F8"/>
    <w:rsid w:val="000F1368"/>
    <w:rsid w:val="000F1C60"/>
    <w:rsid w:val="000F2BA6"/>
    <w:rsid w:val="000F2E01"/>
    <w:rsid w:val="000F312B"/>
    <w:rsid w:val="000F35BE"/>
    <w:rsid w:val="000F36A0"/>
    <w:rsid w:val="000F3750"/>
    <w:rsid w:val="000F4429"/>
    <w:rsid w:val="000F44A1"/>
    <w:rsid w:val="000F45D9"/>
    <w:rsid w:val="000F47C2"/>
    <w:rsid w:val="000F49CE"/>
    <w:rsid w:val="000F4F40"/>
    <w:rsid w:val="000F5634"/>
    <w:rsid w:val="000F5A54"/>
    <w:rsid w:val="000F5EEA"/>
    <w:rsid w:val="000F60B2"/>
    <w:rsid w:val="000F7442"/>
    <w:rsid w:val="000F74B9"/>
    <w:rsid w:val="000F7773"/>
    <w:rsid w:val="000F7987"/>
    <w:rsid w:val="000F7A50"/>
    <w:rsid w:val="00100073"/>
    <w:rsid w:val="0010051C"/>
    <w:rsid w:val="00100DB4"/>
    <w:rsid w:val="00100F2A"/>
    <w:rsid w:val="00101171"/>
    <w:rsid w:val="00101418"/>
    <w:rsid w:val="0010151C"/>
    <w:rsid w:val="00102286"/>
    <w:rsid w:val="00102388"/>
    <w:rsid w:val="00102833"/>
    <w:rsid w:val="00102D3B"/>
    <w:rsid w:val="00103413"/>
    <w:rsid w:val="00103828"/>
    <w:rsid w:val="00103BDF"/>
    <w:rsid w:val="0010448B"/>
    <w:rsid w:val="0010465C"/>
    <w:rsid w:val="0010521F"/>
    <w:rsid w:val="0010589A"/>
    <w:rsid w:val="0010597B"/>
    <w:rsid w:val="00105BED"/>
    <w:rsid w:val="0010625A"/>
    <w:rsid w:val="00106FCC"/>
    <w:rsid w:val="001071EF"/>
    <w:rsid w:val="00107524"/>
    <w:rsid w:val="00107663"/>
    <w:rsid w:val="00107B74"/>
    <w:rsid w:val="00107DCD"/>
    <w:rsid w:val="00107EF0"/>
    <w:rsid w:val="00107EF6"/>
    <w:rsid w:val="0011005A"/>
    <w:rsid w:val="00110BD1"/>
    <w:rsid w:val="00110E49"/>
    <w:rsid w:val="00111417"/>
    <w:rsid w:val="00111AFF"/>
    <w:rsid w:val="00112014"/>
    <w:rsid w:val="001123E7"/>
    <w:rsid w:val="0011246A"/>
    <w:rsid w:val="00112DB3"/>
    <w:rsid w:val="00112E67"/>
    <w:rsid w:val="00113C60"/>
    <w:rsid w:val="001142E8"/>
    <w:rsid w:val="001147ED"/>
    <w:rsid w:val="00114C3B"/>
    <w:rsid w:val="00114D62"/>
    <w:rsid w:val="00114DCB"/>
    <w:rsid w:val="001154DD"/>
    <w:rsid w:val="00115599"/>
    <w:rsid w:val="00115691"/>
    <w:rsid w:val="00115857"/>
    <w:rsid w:val="00115A06"/>
    <w:rsid w:val="00115AFA"/>
    <w:rsid w:val="00116BBD"/>
    <w:rsid w:val="00116FB2"/>
    <w:rsid w:val="00117039"/>
    <w:rsid w:val="00117761"/>
    <w:rsid w:val="00117A49"/>
    <w:rsid w:val="00117F04"/>
    <w:rsid w:val="00117F37"/>
    <w:rsid w:val="00120280"/>
    <w:rsid w:val="00120FB1"/>
    <w:rsid w:val="00121056"/>
    <w:rsid w:val="00121116"/>
    <w:rsid w:val="00121836"/>
    <w:rsid w:val="001220B3"/>
    <w:rsid w:val="0012256C"/>
    <w:rsid w:val="00122AE3"/>
    <w:rsid w:val="00122CDD"/>
    <w:rsid w:val="00122EE1"/>
    <w:rsid w:val="00122F06"/>
    <w:rsid w:val="0012334E"/>
    <w:rsid w:val="00123658"/>
    <w:rsid w:val="00123782"/>
    <w:rsid w:val="001237AF"/>
    <w:rsid w:val="001242B9"/>
    <w:rsid w:val="001247EB"/>
    <w:rsid w:val="00124D5E"/>
    <w:rsid w:val="00124F3C"/>
    <w:rsid w:val="00125030"/>
    <w:rsid w:val="001252F8"/>
    <w:rsid w:val="001254DB"/>
    <w:rsid w:val="00125B61"/>
    <w:rsid w:val="00125D9B"/>
    <w:rsid w:val="00125F0F"/>
    <w:rsid w:val="00126122"/>
    <w:rsid w:val="001266BD"/>
    <w:rsid w:val="001267E8"/>
    <w:rsid w:val="0012694E"/>
    <w:rsid w:val="00126A14"/>
    <w:rsid w:val="00126AB1"/>
    <w:rsid w:val="00126B7B"/>
    <w:rsid w:val="00127D9B"/>
    <w:rsid w:val="0013087C"/>
    <w:rsid w:val="00131089"/>
    <w:rsid w:val="0013180A"/>
    <w:rsid w:val="00131B49"/>
    <w:rsid w:val="00131CE5"/>
    <w:rsid w:val="00131D45"/>
    <w:rsid w:val="001320F0"/>
    <w:rsid w:val="00132351"/>
    <w:rsid w:val="001336E0"/>
    <w:rsid w:val="00133C15"/>
    <w:rsid w:val="00133E44"/>
    <w:rsid w:val="00133F34"/>
    <w:rsid w:val="0013413D"/>
    <w:rsid w:val="001343D6"/>
    <w:rsid w:val="0013447D"/>
    <w:rsid w:val="00134608"/>
    <w:rsid w:val="00134DC3"/>
    <w:rsid w:val="001350D3"/>
    <w:rsid w:val="00135227"/>
    <w:rsid w:val="00135273"/>
    <w:rsid w:val="001356FF"/>
    <w:rsid w:val="00135FC9"/>
    <w:rsid w:val="001368BF"/>
    <w:rsid w:val="00136E96"/>
    <w:rsid w:val="001376A3"/>
    <w:rsid w:val="00137D9C"/>
    <w:rsid w:val="00137FC5"/>
    <w:rsid w:val="00140B23"/>
    <w:rsid w:val="00140C6C"/>
    <w:rsid w:val="0014196E"/>
    <w:rsid w:val="00141C04"/>
    <w:rsid w:val="00141C55"/>
    <w:rsid w:val="00141CFE"/>
    <w:rsid w:val="00142384"/>
    <w:rsid w:val="00142A17"/>
    <w:rsid w:val="00142AAA"/>
    <w:rsid w:val="00142E23"/>
    <w:rsid w:val="00143015"/>
    <w:rsid w:val="00143478"/>
    <w:rsid w:val="0014387E"/>
    <w:rsid w:val="00143F2F"/>
    <w:rsid w:val="001440CB"/>
    <w:rsid w:val="001444B1"/>
    <w:rsid w:val="00144950"/>
    <w:rsid w:val="001449D0"/>
    <w:rsid w:val="00145A60"/>
    <w:rsid w:val="00145B8E"/>
    <w:rsid w:val="00146624"/>
    <w:rsid w:val="001471BD"/>
    <w:rsid w:val="001472DE"/>
    <w:rsid w:val="00147B46"/>
    <w:rsid w:val="00150376"/>
    <w:rsid w:val="001512A2"/>
    <w:rsid w:val="0015148F"/>
    <w:rsid w:val="001514D9"/>
    <w:rsid w:val="00151675"/>
    <w:rsid w:val="00151DBD"/>
    <w:rsid w:val="001521D2"/>
    <w:rsid w:val="00152572"/>
    <w:rsid w:val="001525D4"/>
    <w:rsid w:val="00152B70"/>
    <w:rsid w:val="001531D6"/>
    <w:rsid w:val="00153472"/>
    <w:rsid w:val="00153560"/>
    <w:rsid w:val="00153E99"/>
    <w:rsid w:val="00153EA1"/>
    <w:rsid w:val="00154B2A"/>
    <w:rsid w:val="00154C3F"/>
    <w:rsid w:val="001553D8"/>
    <w:rsid w:val="00155434"/>
    <w:rsid w:val="00155741"/>
    <w:rsid w:val="001558B4"/>
    <w:rsid w:val="00155BDA"/>
    <w:rsid w:val="001560FB"/>
    <w:rsid w:val="001565B3"/>
    <w:rsid w:val="00156CD6"/>
    <w:rsid w:val="00156FA7"/>
    <w:rsid w:val="00157EA9"/>
    <w:rsid w:val="0016023A"/>
    <w:rsid w:val="0016049C"/>
    <w:rsid w:val="00160AC8"/>
    <w:rsid w:val="00160CC1"/>
    <w:rsid w:val="001619E8"/>
    <w:rsid w:val="00161EBB"/>
    <w:rsid w:val="00162337"/>
    <w:rsid w:val="001627BD"/>
    <w:rsid w:val="00162913"/>
    <w:rsid w:val="00162DBF"/>
    <w:rsid w:val="001639D0"/>
    <w:rsid w:val="00164A86"/>
    <w:rsid w:val="00164CDC"/>
    <w:rsid w:val="00164CF8"/>
    <w:rsid w:val="00164FF2"/>
    <w:rsid w:val="00165114"/>
    <w:rsid w:val="00165307"/>
    <w:rsid w:val="001653AE"/>
    <w:rsid w:val="00165E43"/>
    <w:rsid w:val="00165E6D"/>
    <w:rsid w:val="001664B2"/>
    <w:rsid w:val="00166524"/>
    <w:rsid w:val="00166E3E"/>
    <w:rsid w:val="00166F5E"/>
    <w:rsid w:val="0016774E"/>
    <w:rsid w:val="00167DA3"/>
    <w:rsid w:val="001701C0"/>
    <w:rsid w:val="001701E7"/>
    <w:rsid w:val="00170874"/>
    <w:rsid w:val="00170D5B"/>
    <w:rsid w:val="00171859"/>
    <w:rsid w:val="00171970"/>
    <w:rsid w:val="00171BCA"/>
    <w:rsid w:val="00172648"/>
    <w:rsid w:val="00172B8F"/>
    <w:rsid w:val="00172CA2"/>
    <w:rsid w:val="00172DC4"/>
    <w:rsid w:val="00172F2F"/>
    <w:rsid w:val="0017369A"/>
    <w:rsid w:val="001736F8"/>
    <w:rsid w:val="00173CF5"/>
    <w:rsid w:val="00173D85"/>
    <w:rsid w:val="00173EC6"/>
    <w:rsid w:val="00173F6D"/>
    <w:rsid w:val="00174F40"/>
    <w:rsid w:val="00174FD4"/>
    <w:rsid w:val="00175E88"/>
    <w:rsid w:val="00175F1D"/>
    <w:rsid w:val="00176329"/>
    <w:rsid w:val="001771AD"/>
    <w:rsid w:val="00177543"/>
    <w:rsid w:val="001775C5"/>
    <w:rsid w:val="00177806"/>
    <w:rsid w:val="0018038A"/>
    <w:rsid w:val="00180668"/>
    <w:rsid w:val="00180C00"/>
    <w:rsid w:val="00182567"/>
    <w:rsid w:val="001828DE"/>
    <w:rsid w:val="00182FBD"/>
    <w:rsid w:val="0018338A"/>
    <w:rsid w:val="00183692"/>
    <w:rsid w:val="001838D9"/>
    <w:rsid w:val="00183D76"/>
    <w:rsid w:val="00184651"/>
    <w:rsid w:val="00184778"/>
    <w:rsid w:val="00184BAE"/>
    <w:rsid w:val="00184CC1"/>
    <w:rsid w:val="00184CD2"/>
    <w:rsid w:val="00184D74"/>
    <w:rsid w:val="00185328"/>
    <w:rsid w:val="00185AAB"/>
    <w:rsid w:val="00185CD9"/>
    <w:rsid w:val="00185D5B"/>
    <w:rsid w:val="001903C3"/>
    <w:rsid w:val="00190733"/>
    <w:rsid w:val="00190BE4"/>
    <w:rsid w:val="00191857"/>
    <w:rsid w:val="00192130"/>
    <w:rsid w:val="00192219"/>
    <w:rsid w:val="001923DD"/>
    <w:rsid w:val="00192CD1"/>
    <w:rsid w:val="001934CB"/>
    <w:rsid w:val="0019362A"/>
    <w:rsid w:val="001937DB"/>
    <w:rsid w:val="001938EF"/>
    <w:rsid w:val="00193A58"/>
    <w:rsid w:val="00193AE3"/>
    <w:rsid w:val="0019465C"/>
    <w:rsid w:val="0019474E"/>
    <w:rsid w:val="00194F15"/>
    <w:rsid w:val="0019505F"/>
    <w:rsid w:val="001950DA"/>
    <w:rsid w:val="00195728"/>
    <w:rsid w:val="00195FA7"/>
    <w:rsid w:val="001960D8"/>
    <w:rsid w:val="00196153"/>
    <w:rsid w:val="001969C8"/>
    <w:rsid w:val="00196BE5"/>
    <w:rsid w:val="001970C0"/>
    <w:rsid w:val="00197318"/>
    <w:rsid w:val="001975D9"/>
    <w:rsid w:val="001A023A"/>
    <w:rsid w:val="001A11D2"/>
    <w:rsid w:val="001A17CF"/>
    <w:rsid w:val="001A1A04"/>
    <w:rsid w:val="001A1CAD"/>
    <w:rsid w:val="001A1CB7"/>
    <w:rsid w:val="001A1E01"/>
    <w:rsid w:val="001A275B"/>
    <w:rsid w:val="001A2A62"/>
    <w:rsid w:val="001A31C2"/>
    <w:rsid w:val="001A3E45"/>
    <w:rsid w:val="001A3F19"/>
    <w:rsid w:val="001A420B"/>
    <w:rsid w:val="001A44F7"/>
    <w:rsid w:val="001A4B97"/>
    <w:rsid w:val="001A4E96"/>
    <w:rsid w:val="001A4F7D"/>
    <w:rsid w:val="001A5030"/>
    <w:rsid w:val="001A591E"/>
    <w:rsid w:val="001A59C3"/>
    <w:rsid w:val="001A6D88"/>
    <w:rsid w:val="001A71F2"/>
    <w:rsid w:val="001A7B42"/>
    <w:rsid w:val="001A7D8F"/>
    <w:rsid w:val="001A7DCD"/>
    <w:rsid w:val="001B02B4"/>
    <w:rsid w:val="001B0D4B"/>
    <w:rsid w:val="001B1087"/>
    <w:rsid w:val="001B12E9"/>
    <w:rsid w:val="001B1668"/>
    <w:rsid w:val="001B250F"/>
    <w:rsid w:val="001B264C"/>
    <w:rsid w:val="001B2A97"/>
    <w:rsid w:val="001B2CD4"/>
    <w:rsid w:val="001B2E40"/>
    <w:rsid w:val="001B36AF"/>
    <w:rsid w:val="001B3F20"/>
    <w:rsid w:val="001B45A5"/>
    <w:rsid w:val="001B46C1"/>
    <w:rsid w:val="001B4E3D"/>
    <w:rsid w:val="001B5470"/>
    <w:rsid w:val="001B564F"/>
    <w:rsid w:val="001B58B2"/>
    <w:rsid w:val="001B5F70"/>
    <w:rsid w:val="001B6345"/>
    <w:rsid w:val="001B6839"/>
    <w:rsid w:val="001B7329"/>
    <w:rsid w:val="001B7380"/>
    <w:rsid w:val="001B74CB"/>
    <w:rsid w:val="001B76E9"/>
    <w:rsid w:val="001B7E70"/>
    <w:rsid w:val="001C00FB"/>
    <w:rsid w:val="001C03B8"/>
    <w:rsid w:val="001C0E70"/>
    <w:rsid w:val="001C174A"/>
    <w:rsid w:val="001C1C9E"/>
    <w:rsid w:val="001C1D05"/>
    <w:rsid w:val="001C1D4C"/>
    <w:rsid w:val="001C2A48"/>
    <w:rsid w:val="001C362A"/>
    <w:rsid w:val="001C3817"/>
    <w:rsid w:val="001C3C87"/>
    <w:rsid w:val="001C40A9"/>
    <w:rsid w:val="001C4FAB"/>
    <w:rsid w:val="001C5081"/>
    <w:rsid w:val="001C570A"/>
    <w:rsid w:val="001C5873"/>
    <w:rsid w:val="001C59DF"/>
    <w:rsid w:val="001C69E3"/>
    <w:rsid w:val="001C6DFD"/>
    <w:rsid w:val="001C7741"/>
    <w:rsid w:val="001C7B33"/>
    <w:rsid w:val="001D0C93"/>
    <w:rsid w:val="001D0D2C"/>
    <w:rsid w:val="001D186B"/>
    <w:rsid w:val="001D1B60"/>
    <w:rsid w:val="001D1C73"/>
    <w:rsid w:val="001D21D2"/>
    <w:rsid w:val="001D224F"/>
    <w:rsid w:val="001D26E0"/>
    <w:rsid w:val="001D32C0"/>
    <w:rsid w:val="001D3A48"/>
    <w:rsid w:val="001D3A64"/>
    <w:rsid w:val="001D3A70"/>
    <w:rsid w:val="001D3CF7"/>
    <w:rsid w:val="001D4800"/>
    <w:rsid w:val="001D483E"/>
    <w:rsid w:val="001D4FEC"/>
    <w:rsid w:val="001D5793"/>
    <w:rsid w:val="001D5F7F"/>
    <w:rsid w:val="001D63D0"/>
    <w:rsid w:val="001D6B25"/>
    <w:rsid w:val="001D74A7"/>
    <w:rsid w:val="001D77B7"/>
    <w:rsid w:val="001D7A9D"/>
    <w:rsid w:val="001D7CA1"/>
    <w:rsid w:val="001D7D24"/>
    <w:rsid w:val="001D7EB0"/>
    <w:rsid w:val="001E13F0"/>
    <w:rsid w:val="001E14E9"/>
    <w:rsid w:val="001E15F2"/>
    <w:rsid w:val="001E22A9"/>
    <w:rsid w:val="001E22F7"/>
    <w:rsid w:val="001E281D"/>
    <w:rsid w:val="001E2E57"/>
    <w:rsid w:val="001E35D1"/>
    <w:rsid w:val="001E3AB2"/>
    <w:rsid w:val="001E436E"/>
    <w:rsid w:val="001E465F"/>
    <w:rsid w:val="001E472A"/>
    <w:rsid w:val="001E4738"/>
    <w:rsid w:val="001E546A"/>
    <w:rsid w:val="001E563B"/>
    <w:rsid w:val="001E56E5"/>
    <w:rsid w:val="001E6149"/>
    <w:rsid w:val="001E6272"/>
    <w:rsid w:val="001E646F"/>
    <w:rsid w:val="001E67C9"/>
    <w:rsid w:val="001E680D"/>
    <w:rsid w:val="001E693A"/>
    <w:rsid w:val="001E6D19"/>
    <w:rsid w:val="001E6E42"/>
    <w:rsid w:val="001E72F4"/>
    <w:rsid w:val="001E771F"/>
    <w:rsid w:val="001E7D19"/>
    <w:rsid w:val="001F03B2"/>
    <w:rsid w:val="001F0704"/>
    <w:rsid w:val="001F0B96"/>
    <w:rsid w:val="001F0BE7"/>
    <w:rsid w:val="001F1227"/>
    <w:rsid w:val="001F1589"/>
    <w:rsid w:val="001F2107"/>
    <w:rsid w:val="001F23EE"/>
    <w:rsid w:val="001F2902"/>
    <w:rsid w:val="001F2F4C"/>
    <w:rsid w:val="001F35E9"/>
    <w:rsid w:val="001F3F36"/>
    <w:rsid w:val="001F5103"/>
    <w:rsid w:val="001F516F"/>
    <w:rsid w:val="001F51B6"/>
    <w:rsid w:val="001F5347"/>
    <w:rsid w:val="001F53F5"/>
    <w:rsid w:val="001F6412"/>
    <w:rsid w:val="001F64FB"/>
    <w:rsid w:val="001F658C"/>
    <w:rsid w:val="001F675C"/>
    <w:rsid w:val="001F69C1"/>
    <w:rsid w:val="001F6F44"/>
    <w:rsid w:val="001F7393"/>
    <w:rsid w:val="001F7563"/>
    <w:rsid w:val="00200774"/>
    <w:rsid w:val="00200CA3"/>
    <w:rsid w:val="00201162"/>
    <w:rsid w:val="00202714"/>
    <w:rsid w:val="00202A6F"/>
    <w:rsid w:val="00202C0F"/>
    <w:rsid w:val="00202C1E"/>
    <w:rsid w:val="00202CA8"/>
    <w:rsid w:val="00202CCF"/>
    <w:rsid w:val="00202CF8"/>
    <w:rsid w:val="00202D61"/>
    <w:rsid w:val="00203A01"/>
    <w:rsid w:val="00203AD4"/>
    <w:rsid w:val="00203EDF"/>
    <w:rsid w:val="00204AAB"/>
    <w:rsid w:val="002055A9"/>
    <w:rsid w:val="00205D7A"/>
    <w:rsid w:val="002063BD"/>
    <w:rsid w:val="00206812"/>
    <w:rsid w:val="00206C4C"/>
    <w:rsid w:val="002076A8"/>
    <w:rsid w:val="00207A7A"/>
    <w:rsid w:val="00207F59"/>
    <w:rsid w:val="0021019E"/>
    <w:rsid w:val="00210BA0"/>
    <w:rsid w:val="00211DC3"/>
    <w:rsid w:val="00212376"/>
    <w:rsid w:val="002127C6"/>
    <w:rsid w:val="002130D7"/>
    <w:rsid w:val="002141B2"/>
    <w:rsid w:val="00214842"/>
    <w:rsid w:val="00214BE0"/>
    <w:rsid w:val="00214D0E"/>
    <w:rsid w:val="0021519B"/>
    <w:rsid w:val="00215525"/>
    <w:rsid w:val="0021554A"/>
    <w:rsid w:val="002155B6"/>
    <w:rsid w:val="002157E4"/>
    <w:rsid w:val="0021589C"/>
    <w:rsid w:val="00215AFB"/>
    <w:rsid w:val="00215C73"/>
    <w:rsid w:val="00215DEA"/>
    <w:rsid w:val="00216D1C"/>
    <w:rsid w:val="0021783E"/>
    <w:rsid w:val="00217AD6"/>
    <w:rsid w:val="00217C76"/>
    <w:rsid w:val="002200D8"/>
    <w:rsid w:val="00220169"/>
    <w:rsid w:val="00220703"/>
    <w:rsid w:val="0022091D"/>
    <w:rsid w:val="00220E4D"/>
    <w:rsid w:val="00221C79"/>
    <w:rsid w:val="0022207B"/>
    <w:rsid w:val="002221F2"/>
    <w:rsid w:val="0022230C"/>
    <w:rsid w:val="002225BD"/>
    <w:rsid w:val="00223664"/>
    <w:rsid w:val="00223A56"/>
    <w:rsid w:val="00223DA4"/>
    <w:rsid w:val="00223F76"/>
    <w:rsid w:val="0022410B"/>
    <w:rsid w:val="002246E4"/>
    <w:rsid w:val="00224F8F"/>
    <w:rsid w:val="00225222"/>
    <w:rsid w:val="00225459"/>
    <w:rsid w:val="00225833"/>
    <w:rsid w:val="002258C9"/>
    <w:rsid w:val="00225B1B"/>
    <w:rsid w:val="00225DD4"/>
    <w:rsid w:val="00226095"/>
    <w:rsid w:val="00226183"/>
    <w:rsid w:val="002262A3"/>
    <w:rsid w:val="00226353"/>
    <w:rsid w:val="002276FD"/>
    <w:rsid w:val="0022794D"/>
    <w:rsid w:val="00227B89"/>
    <w:rsid w:val="00227E8A"/>
    <w:rsid w:val="00227F43"/>
    <w:rsid w:val="00230283"/>
    <w:rsid w:val="002308B4"/>
    <w:rsid w:val="00231169"/>
    <w:rsid w:val="00231CB7"/>
    <w:rsid w:val="00231EC1"/>
    <w:rsid w:val="00232F14"/>
    <w:rsid w:val="00234408"/>
    <w:rsid w:val="00234640"/>
    <w:rsid w:val="002348F8"/>
    <w:rsid w:val="00235039"/>
    <w:rsid w:val="00235668"/>
    <w:rsid w:val="00237317"/>
    <w:rsid w:val="0023750A"/>
    <w:rsid w:val="00240106"/>
    <w:rsid w:val="002403AC"/>
    <w:rsid w:val="002408F9"/>
    <w:rsid w:val="002411C7"/>
    <w:rsid w:val="00241EE3"/>
    <w:rsid w:val="00241FBB"/>
    <w:rsid w:val="00242162"/>
    <w:rsid w:val="002422BA"/>
    <w:rsid w:val="00242F4E"/>
    <w:rsid w:val="00243183"/>
    <w:rsid w:val="0024322D"/>
    <w:rsid w:val="002434B9"/>
    <w:rsid w:val="00243662"/>
    <w:rsid w:val="002438B1"/>
    <w:rsid w:val="00243A0B"/>
    <w:rsid w:val="002447B0"/>
    <w:rsid w:val="0024488C"/>
    <w:rsid w:val="002450F7"/>
    <w:rsid w:val="002452A0"/>
    <w:rsid w:val="0024562B"/>
    <w:rsid w:val="00245B26"/>
    <w:rsid w:val="00245D91"/>
    <w:rsid w:val="00246315"/>
    <w:rsid w:val="002463A6"/>
    <w:rsid w:val="00246711"/>
    <w:rsid w:val="00246ADB"/>
    <w:rsid w:val="0025003A"/>
    <w:rsid w:val="00250D88"/>
    <w:rsid w:val="002511F2"/>
    <w:rsid w:val="002517A5"/>
    <w:rsid w:val="002518CE"/>
    <w:rsid w:val="00251E66"/>
    <w:rsid w:val="00251F6C"/>
    <w:rsid w:val="0025222F"/>
    <w:rsid w:val="0025249C"/>
    <w:rsid w:val="00252652"/>
    <w:rsid w:val="002529A0"/>
    <w:rsid w:val="00253303"/>
    <w:rsid w:val="00253638"/>
    <w:rsid w:val="002539ED"/>
    <w:rsid w:val="00253AA4"/>
    <w:rsid w:val="00253C85"/>
    <w:rsid w:val="00253FE8"/>
    <w:rsid w:val="002541B9"/>
    <w:rsid w:val="0025440D"/>
    <w:rsid w:val="0025450E"/>
    <w:rsid w:val="00255152"/>
    <w:rsid w:val="00255178"/>
    <w:rsid w:val="00255224"/>
    <w:rsid w:val="00255241"/>
    <w:rsid w:val="0025548D"/>
    <w:rsid w:val="0025554E"/>
    <w:rsid w:val="00255767"/>
    <w:rsid w:val="00256229"/>
    <w:rsid w:val="0025683C"/>
    <w:rsid w:val="00256B06"/>
    <w:rsid w:val="00256BD8"/>
    <w:rsid w:val="00256DE1"/>
    <w:rsid w:val="0025737A"/>
    <w:rsid w:val="002574A4"/>
    <w:rsid w:val="00257608"/>
    <w:rsid w:val="00257BF4"/>
    <w:rsid w:val="00257EAD"/>
    <w:rsid w:val="0026043E"/>
    <w:rsid w:val="00260547"/>
    <w:rsid w:val="00260751"/>
    <w:rsid w:val="00260804"/>
    <w:rsid w:val="00260FF2"/>
    <w:rsid w:val="002614B2"/>
    <w:rsid w:val="0026194F"/>
    <w:rsid w:val="00261A55"/>
    <w:rsid w:val="00261B73"/>
    <w:rsid w:val="00261C7A"/>
    <w:rsid w:val="00261EF4"/>
    <w:rsid w:val="00262430"/>
    <w:rsid w:val="002633BD"/>
    <w:rsid w:val="002636BD"/>
    <w:rsid w:val="002637EF"/>
    <w:rsid w:val="002638F4"/>
    <w:rsid w:val="002640C1"/>
    <w:rsid w:val="00264A60"/>
    <w:rsid w:val="00265CF3"/>
    <w:rsid w:val="0026613F"/>
    <w:rsid w:val="0026638D"/>
    <w:rsid w:val="00267267"/>
    <w:rsid w:val="00270A54"/>
    <w:rsid w:val="00270F79"/>
    <w:rsid w:val="0027160C"/>
    <w:rsid w:val="002727E9"/>
    <w:rsid w:val="00273608"/>
    <w:rsid w:val="002751D1"/>
    <w:rsid w:val="00275209"/>
    <w:rsid w:val="002760C8"/>
    <w:rsid w:val="00277183"/>
    <w:rsid w:val="002771E8"/>
    <w:rsid w:val="00277B0B"/>
    <w:rsid w:val="00277B54"/>
    <w:rsid w:val="00277B5B"/>
    <w:rsid w:val="0028116D"/>
    <w:rsid w:val="00281282"/>
    <w:rsid w:val="00283A0C"/>
    <w:rsid w:val="00284340"/>
    <w:rsid w:val="00285620"/>
    <w:rsid w:val="0028590F"/>
    <w:rsid w:val="00285BBD"/>
    <w:rsid w:val="00285BFE"/>
    <w:rsid w:val="00285DC3"/>
    <w:rsid w:val="00286CD9"/>
    <w:rsid w:val="00287293"/>
    <w:rsid w:val="00287359"/>
    <w:rsid w:val="00287717"/>
    <w:rsid w:val="002878D2"/>
    <w:rsid w:val="00287B90"/>
    <w:rsid w:val="00287E78"/>
    <w:rsid w:val="00290676"/>
    <w:rsid w:val="00290934"/>
    <w:rsid w:val="00290B8B"/>
    <w:rsid w:val="00291346"/>
    <w:rsid w:val="00291462"/>
    <w:rsid w:val="00291509"/>
    <w:rsid w:val="00291572"/>
    <w:rsid w:val="0029186E"/>
    <w:rsid w:val="00291A52"/>
    <w:rsid w:val="00291B6F"/>
    <w:rsid w:val="00291FA7"/>
    <w:rsid w:val="00292198"/>
    <w:rsid w:val="0029364B"/>
    <w:rsid w:val="00293867"/>
    <w:rsid w:val="0029401C"/>
    <w:rsid w:val="00294D4D"/>
    <w:rsid w:val="00294F37"/>
    <w:rsid w:val="00295A50"/>
    <w:rsid w:val="0029784A"/>
    <w:rsid w:val="002A0218"/>
    <w:rsid w:val="002A0224"/>
    <w:rsid w:val="002A04B4"/>
    <w:rsid w:val="002A0D60"/>
    <w:rsid w:val="002A0EE1"/>
    <w:rsid w:val="002A1270"/>
    <w:rsid w:val="002A145B"/>
    <w:rsid w:val="002A1831"/>
    <w:rsid w:val="002A18BE"/>
    <w:rsid w:val="002A1E14"/>
    <w:rsid w:val="002A1FB0"/>
    <w:rsid w:val="002A2B9E"/>
    <w:rsid w:val="002A2CE8"/>
    <w:rsid w:val="002A314E"/>
    <w:rsid w:val="002A36F6"/>
    <w:rsid w:val="002A3AB4"/>
    <w:rsid w:val="002A4084"/>
    <w:rsid w:val="002A440B"/>
    <w:rsid w:val="002A4624"/>
    <w:rsid w:val="002A4AD6"/>
    <w:rsid w:val="002A4E01"/>
    <w:rsid w:val="002A54BB"/>
    <w:rsid w:val="002A57D7"/>
    <w:rsid w:val="002A6086"/>
    <w:rsid w:val="002A63E6"/>
    <w:rsid w:val="002A6AA2"/>
    <w:rsid w:val="002A7196"/>
    <w:rsid w:val="002A76AE"/>
    <w:rsid w:val="002A76EB"/>
    <w:rsid w:val="002A797E"/>
    <w:rsid w:val="002A79B9"/>
    <w:rsid w:val="002A7BF7"/>
    <w:rsid w:val="002A7E54"/>
    <w:rsid w:val="002B020D"/>
    <w:rsid w:val="002B0A60"/>
    <w:rsid w:val="002B0BAE"/>
    <w:rsid w:val="002B0CF6"/>
    <w:rsid w:val="002B0E5E"/>
    <w:rsid w:val="002B1384"/>
    <w:rsid w:val="002B17A5"/>
    <w:rsid w:val="002B1BB1"/>
    <w:rsid w:val="002B295C"/>
    <w:rsid w:val="002B29D5"/>
    <w:rsid w:val="002B34E4"/>
    <w:rsid w:val="002B3681"/>
    <w:rsid w:val="002B36B7"/>
    <w:rsid w:val="002B3960"/>
    <w:rsid w:val="002B3FD0"/>
    <w:rsid w:val="002B43AC"/>
    <w:rsid w:val="002B48F1"/>
    <w:rsid w:val="002B4DDF"/>
    <w:rsid w:val="002B57BA"/>
    <w:rsid w:val="002B5ED2"/>
    <w:rsid w:val="002B6191"/>
    <w:rsid w:val="002B629C"/>
    <w:rsid w:val="002B62F2"/>
    <w:rsid w:val="002B650E"/>
    <w:rsid w:val="002B667C"/>
    <w:rsid w:val="002B6A12"/>
    <w:rsid w:val="002B6F18"/>
    <w:rsid w:val="002B757C"/>
    <w:rsid w:val="002B79BA"/>
    <w:rsid w:val="002B7B3D"/>
    <w:rsid w:val="002B7BEA"/>
    <w:rsid w:val="002B7CB0"/>
    <w:rsid w:val="002B7F3C"/>
    <w:rsid w:val="002B7F4D"/>
    <w:rsid w:val="002C0140"/>
    <w:rsid w:val="002C0AB1"/>
    <w:rsid w:val="002C0FC8"/>
    <w:rsid w:val="002C11CA"/>
    <w:rsid w:val="002C1685"/>
    <w:rsid w:val="002C1BA5"/>
    <w:rsid w:val="002C1E20"/>
    <w:rsid w:val="002C1EAC"/>
    <w:rsid w:val="002C2D55"/>
    <w:rsid w:val="002C2E9F"/>
    <w:rsid w:val="002C3165"/>
    <w:rsid w:val="002C3934"/>
    <w:rsid w:val="002C40BD"/>
    <w:rsid w:val="002C45E8"/>
    <w:rsid w:val="002C4A07"/>
    <w:rsid w:val="002C4A2E"/>
    <w:rsid w:val="002C4DB8"/>
    <w:rsid w:val="002C532F"/>
    <w:rsid w:val="002C5645"/>
    <w:rsid w:val="002C57B9"/>
    <w:rsid w:val="002C64FC"/>
    <w:rsid w:val="002C6B61"/>
    <w:rsid w:val="002C6FCF"/>
    <w:rsid w:val="002C70CE"/>
    <w:rsid w:val="002C717C"/>
    <w:rsid w:val="002C737F"/>
    <w:rsid w:val="002C7653"/>
    <w:rsid w:val="002C7753"/>
    <w:rsid w:val="002C7F4A"/>
    <w:rsid w:val="002D0C0A"/>
    <w:rsid w:val="002D0F1F"/>
    <w:rsid w:val="002D138F"/>
    <w:rsid w:val="002D1691"/>
    <w:rsid w:val="002D2644"/>
    <w:rsid w:val="002D271D"/>
    <w:rsid w:val="002D2D02"/>
    <w:rsid w:val="002D2D1F"/>
    <w:rsid w:val="002D3049"/>
    <w:rsid w:val="002D36F2"/>
    <w:rsid w:val="002D376B"/>
    <w:rsid w:val="002D37E6"/>
    <w:rsid w:val="002D3A23"/>
    <w:rsid w:val="002D454E"/>
    <w:rsid w:val="002D48E9"/>
    <w:rsid w:val="002D4CC5"/>
    <w:rsid w:val="002D5097"/>
    <w:rsid w:val="002D55E4"/>
    <w:rsid w:val="002D568D"/>
    <w:rsid w:val="002D57AF"/>
    <w:rsid w:val="002D5BE2"/>
    <w:rsid w:val="002D5C7B"/>
    <w:rsid w:val="002D639D"/>
    <w:rsid w:val="002D690D"/>
    <w:rsid w:val="002D6A87"/>
    <w:rsid w:val="002D6B54"/>
    <w:rsid w:val="002D70DC"/>
    <w:rsid w:val="002D719C"/>
    <w:rsid w:val="002D74CB"/>
    <w:rsid w:val="002D763A"/>
    <w:rsid w:val="002E00A8"/>
    <w:rsid w:val="002E1B36"/>
    <w:rsid w:val="002E31A5"/>
    <w:rsid w:val="002E3BCC"/>
    <w:rsid w:val="002E3D17"/>
    <w:rsid w:val="002E3FDC"/>
    <w:rsid w:val="002E463F"/>
    <w:rsid w:val="002E4826"/>
    <w:rsid w:val="002E4DBB"/>
    <w:rsid w:val="002E4DDA"/>
    <w:rsid w:val="002E5199"/>
    <w:rsid w:val="002E55FE"/>
    <w:rsid w:val="002E58DE"/>
    <w:rsid w:val="002E613E"/>
    <w:rsid w:val="002E6B42"/>
    <w:rsid w:val="002E6BCA"/>
    <w:rsid w:val="002E6FE3"/>
    <w:rsid w:val="002E72A1"/>
    <w:rsid w:val="002E7775"/>
    <w:rsid w:val="002E78E4"/>
    <w:rsid w:val="002E7AD2"/>
    <w:rsid w:val="002E7BD6"/>
    <w:rsid w:val="002E7C8E"/>
    <w:rsid w:val="002E7EF3"/>
    <w:rsid w:val="002F0083"/>
    <w:rsid w:val="002F04FA"/>
    <w:rsid w:val="002F0696"/>
    <w:rsid w:val="002F07A1"/>
    <w:rsid w:val="002F0C48"/>
    <w:rsid w:val="002F0C7C"/>
    <w:rsid w:val="002F1399"/>
    <w:rsid w:val="002F1692"/>
    <w:rsid w:val="002F1AD5"/>
    <w:rsid w:val="002F1F6C"/>
    <w:rsid w:val="002F294A"/>
    <w:rsid w:val="002F2D1B"/>
    <w:rsid w:val="002F32FB"/>
    <w:rsid w:val="002F3B1D"/>
    <w:rsid w:val="002F3B24"/>
    <w:rsid w:val="002F4453"/>
    <w:rsid w:val="002F4BCD"/>
    <w:rsid w:val="002F4E73"/>
    <w:rsid w:val="002F4FE1"/>
    <w:rsid w:val="002F5611"/>
    <w:rsid w:val="002F590E"/>
    <w:rsid w:val="002F5A1A"/>
    <w:rsid w:val="002F5F5E"/>
    <w:rsid w:val="002F5F85"/>
    <w:rsid w:val="002F6145"/>
    <w:rsid w:val="002F693F"/>
    <w:rsid w:val="002F6F94"/>
    <w:rsid w:val="002F76E5"/>
    <w:rsid w:val="002F7D7E"/>
    <w:rsid w:val="002F7F47"/>
    <w:rsid w:val="003008CC"/>
    <w:rsid w:val="00301763"/>
    <w:rsid w:val="003017BD"/>
    <w:rsid w:val="0030194D"/>
    <w:rsid w:val="00301F3A"/>
    <w:rsid w:val="00302252"/>
    <w:rsid w:val="00303102"/>
    <w:rsid w:val="00303C60"/>
    <w:rsid w:val="00303D0E"/>
    <w:rsid w:val="0030412E"/>
    <w:rsid w:val="00304623"/>
    <w:rsid w:val="00304CB8"/>
    <w:rsid w:val="00304D79"/>
    <w:rsid w:val="00304F2E"/>
    <w:rsid w:val="00304FB8"/>
    <w:rsid w:val="00305549"/>
    <w:rsid w:val="00305EF8"/>
    <w:rsid w:val="00305FF5"/>
    <w:rsid w:val="003064E4"/>
    <w:rsid w:val="00306766"/>
    <w:rsid w:val="00307211"/>
    <w:rsid w:val="00307299"/>
    <w:rsid w:val="003075DC"/>
    <w:rsid w:val="003100DB"/>
    <w:rsid w:val="003100F6"/>
    <w:rsid w:val="003106A6"/>
    <w:rsid w:val="0031072D"/>
    <w:rsid w:val="00310B9B"/>
    <w:rsid w:val="00310C3F"/>
    <w:rsid w:val="00310DD8"/>
    <w:rsid w:val="003112CE"/>
    <w:rsid w:val="0031142D"/>
    <w:rsid w:val="003116AC"/>
    <w:rsid w:val="00311CEC"/>
    <w:rsid w:val="0031257F"/>
    <w:rsid w:val="003125CB"/>
    <w:rsid w:val="0031267B"/>
    <w:rsid w:val="00312AB2"/>
    <w:rsid w:val="003134C2"/>
    <w:rsid w:val="0031362B"/>
    <w:rsid w:val="00313944"/>
    <w:rsid w:val="00313BF8"/>
    <w:rsid w:val="003140D2"/>
    <w:rsid w:val="003151D2"/>
    <w:rsid w:val="00315421"/>
    <w:rsid w:val="00315848"/>
    <w:rsid w:val="0031589A"/>
    <w:rsid w:val="00315A83"/>
    <w:rsid w:val="00316784"/>
    <w:rsid w:val="00316819"/>
    <w:rsid w:val="0031760B"/>
    <w:rsid w:val="00317714"/>
    <w:rsid w:val="003179D8"/>
    <w:rsid w:val="00317AB8"/>
    <w:rsid w:val="00317B80"/>
    <w:rsid w:val="00317FC6"/>
    <w:rsid w:val="003200A2"/>
    <w:rsid w:val="0032021F"/>
    <w:rsid w:val="0032059A"/>
    <w:rsid w:val="003208AC"/>
    <w:rsid w:val="00320A17"/>
    <w:rsid w:val="00320F60"/>
    <w:rsid w:val="00320F69"/>
    <w:rsid w:val="00321116"/>
    <w:rsid w:val="003213DC"/>
    <w:rsid w:val="003218BE"/>
    <w:rsid w:val="003218CD"/>
    <w:rsid w:val="003219BF"/>
    <w:rsid w:val="0032250B"/>
    <w:rsid w:val="00322A61"/>
    <w:rsid w:val="00322DA9"/>
    <w:rsid w:val="0032343F"/>
    <w:rsid w:val="003234B1"/>
    <w:rsid w:val="00323AF6"/>
    <w:rsid w:val="00323F69"/>
    <w:rsid w:val="00324270"/>
    <w:rsid w:val="00324435"/>
    <w:rsid w:val="00324532"/>
    <w:rsid w:val="00324A9B"/>
    <w:rsid w:val="003251C2"/>
    <w:rsid w:val="003255A4"/>
    <w:rsid w:val="00325696"/>
    <w:rsid w:val="00325A1B"/>
    <w:rsid w:val="00325FA0"/>
    <w:rsid w:val="00326803"/>
    <w:rsid w:val="00326C37"/>
    <w:rsid w:val="00326F1C"/>
    <w:rsid w:val="00327162"/>
    <w:rsid w:val="00327378"/>
    <w:rsid w:val="0032747B"/>
    <w:rsid w:val="003274E0"/>
    <w:rsid w:val="00327859"/>
    <w:rsid w:val="00330A0A"/>
    <w:rsid w:val="00331BF3"/>
    <w:rsid w:val="00331D66"/>
    <w:rsid w:val="00332005"/>
    <w:rsid w:val="003328A9"/>
    <w:rsid w:val="003328FC"/>
    <w:rsid w:val="00333DDB"/>
    <w:rsid w:val="00334063"/>
    <w:rsid w:val="0033487A"/>
    <w:rsid w:val="00335256"/>
    <w:rsid w:val="00335AC9"/>
    <w:rsid w:val="00335DD0"/>
    <w:rsid w:val="00336864"/>
    <w:rsid w:val="00336C23"/>
    <w:rsid w:val="00336E20"/>
    <w:rsid w:val="003371B5"/>
    <w:rsid w:val="0033723F"/>
    <w:rsid w:val="003374B5"/>
    <w:rsid w:val="0033794D"/>
    <w:rsid w:val="00337B72"/>
    <w:rsid w:val="00337BAF"/>
    <w:rsid w:val="00337D79"/>
    <w:rsid w:val="00340341"/>
    <w:rsid w:val="003407A2"/>
    <w:rsid w:val="00340803"/>
    <w:rsid w:val="00340A68"/>
    <w:rsid w:val="00340B2F"/>
    <w:rsid w:val="00340CAF"/>
    <w:rsid w:val="00341043"/>
    <w:rsid w:val="00341236"/>
    <w:rsid w:val="00341652"/>
    <w:rsid w:val="003417CB"/>
    <w:rsid w:val="00342446"/>
    <w:rsid w:val="003431F1"/>
    <w:rsid w:val="003435A9"/>
    <w:rsid w:val="0034395B"/>
    <w:rsid w:val="003444F7"/>
    <w:rsid w:val="00344649"/>
    <w:rsid w:val="00344791"/>
    <w:rsid w:val="0034480B"/>
    <w:rsid w:val="00344FF6"/>
    <w:rsid w:val="00345496"/>
    <w:rsid w:val="003454F7"/>
    <w:rsid w:val="00345897"/>
    <w:rsid w:val="00345BCF"/>
    <w:rsid w:val="00346164"/>
    <w:rsid w:val="00346312"/>
    <w:rsid w:val="003466F9"/>
    <w:rsid w:val="00346D2D"/>
    <w:rsid w:val="003474C8"/>
    <w:rsid w:val="00347E65"/>
    <w:rsid w:val="00350092"/>
    <w:rsid w:val="0035018D"/>
    <w:rsid w:val="003503A0"/>
    <w:rsid w:val="00350A0B"/>
    <w:rsid w:val="00350A0D"/>
    <w:rsid w:val="00350E73"/>
    <w:rsid w:val="00351778"/>
    <w:rsid w:val="00351871"/>
    <w:rsid w:val="003519AD"/>
    <w:rsid w:val="00351E0E"/>
    <w:rsid w:val="00351E13"/>
    <w:rsid w:val="00351E6D"/>
    <w:rsid w:val="003520D6"/>
    <w:rsid w:val="0035210B"/>
    <w:rsid w:val="00352148"/>
    <w:rsid w:val="00352307"/>
    <w:rsid w:val="00352810"/>
    <w:rsid w:val="00352E72"/>
    <w:rsid w:val="003534D8"/>
    <w:rsid w:val="00353A80"/>
    <w:rsid w:val="00354BD9"/>
    <w:rsid w:val="00354EB4"/>
    <w:rsid w:val="00355D31"/>
    <w:rsid w:val="00356291"/>
    <w:rsid w:val="00356D29"/>
    <w:rsid w:val="003571C2"/>
    <w:rsid w:val="003574AC"/>
    <w:rsid w:val="003579BD"/>
    <w:rsid w:val="00357E8F"/>
    <w:rsid w:val="00360A49"/>
    <w:rsid w:val="0036165D"/>
    <w:rsid w:val="00361AF6"/>
    <w:rsid w:val="00361C0C"/>
    <w:rsid w:val="003620A7"/>
    <w:rsid w:val="00362998"/>
    <w:rsid w:val="00362BCF"/>
    <w:rsid w:val="00362FB6"/>
    <w:rsid w:val="00363512"/>
    <w:rsid w:val="00363A9A"/>
    <w:rsid w:val="003640A7"/>
    <w:rsid w:val="003648A6"/>
    <w:rsid w:val="00364B61"/>
    <w:rsid w:val="00364E1F"/>
    <w:rsid w:val="00364E6C"/>
    <w:rsid w:val="0036505E"/>
    <w:rsid w:val="00365447"/>
    <w:rsid w:val="00365637"/>
    <w:rsid w:val="00365BE0"/>
    <w:rsid w:val="00366763"/>
    <w:rsid w:val="00367570"/>
    <w:rsid w:val="0036794E"/>
    <w:rsid w:val="00370A73"/>
    <w:rsid w:val="00370B7D"/>
    <w:rsid w:val="00371098"/>
    <w:rsid w:val="0037184B"/>
    <w:rsid w:val="003724BD"/>
    <w:rsid w:val="00372A32"/>
    <w:rsid w:val="0037382F"/>
    <w:rsid w:val="00373A23"/>
    <w:rsid w:val="00373C86"/>
    <w:rsid w:val="00373D6A"/>
    <w:rsid w:val="00374399"/>
    <w:rsid w:val="00375648"/>
    <w:rsid w:val="00375E17"/>
    <w:rsid w:val="00375E2E"/>
    <w:rsid w:val="0037684F"/>
    <w:rsid w:val="00376B78"/>
    <w:rsid w:val="00377732"/>
    <w:rsid w:val="00377B92"/>
    <w:rsid w:val="00377C9B"/>
    <w:rsid w:val="00377E52"/>
    <w:rsid w:val="00377EB0"/>
    <w:rsid w:val="003807C8"/>
    <w:rsid w:val="00380931"/>
    <w:rsid w:val="00380C3B"/>
    <w:rsid w:val="003811FD"/>
    <w:rsid w:val="0038146C"/>
    <w:rsid w:val="003818A2"/>
    <w:rsid w:val="003818AE"/>
    <w:rsid w:val="00381EC3"/>
    <w:rsid w:val="003822B0"/>
    <w:rsid w:val="00382609"/>
    <w:rsid w:val="00382CDF"/>
    <w:rsid w:val="003831B1"/>
    <w:rsid w:val="0038392F"/>
    <w:rsid w:val="00383C5D"/>
    <w:rsid w:val="0038433B"/>
    <w:rsid w:val="0038435B"/>
    <w:rsid w:val="00384807"/>
    <w:rsid w:val="00384B93"/>
    <w:rsid w:val="003851ED"/>
    <w:rsid w:val="00385C7A"/>
    <w:rsid w:val="00385D4D"/>
    <w:rsid w:val="00385DF4"/>
    <w:rsid w:val="00386124"/>
    <w:rsid w:val="003864D5"/>
    <w:rsid w:val="003869D5"/>
    <w:rsid w:val="00386AE5"/>
    <w:rsid w:val="00386CDA"/>
    <w:rsid w:val="0038767A"/>
    <w:rsid w:val="00387A4D"/>
    <w:rsid w:val="00390536"/>
    <w:rsid w:val="00390567"/>
    <w:rsid w:val="00390756"/>
    <w:rsid w:val="00391329"/>
    <w:rsid w:val="00392B0E"/>
    <w:rsid w:val="00392C07"/>
    <w:rsid w:val="00392EF3"/>
    <w:rsid w:val="00393715"/>
    <w:rsid w:val="00393B4D"/>
    <w:rsid w:val="0039464A"/>
    <w:rsid w:val="00394701"/>
    <w:rsid w:val="00394CBA"/>
    <w:rsid w:val="003952F4"/>
    <w:rsid w:val="003954E9"/>
    <w:rsid w:val="00395F3E"/>
    <w:rsid w:val="003966F6"/>
    <w:rsid w:val="0039677D"/>
    <w:rsid w:val="00396BA4"/>
    <w:rsid w:val="00397018"/>
    <w:rsid w:val="00397A72"/>
    <w:rsid w:val="003A0389"/>
    <w:rsid w:val="003A03BA"/>
    <w:rsid w:val="003A0546"/>
    <w:rsid w:val="003A0660"/>
    <w:rsid w:val="003A0D52"/>
    <w:rsid w:val="003A0E2D"/>
    <w:rsid w:val="003A0EDF"/>
    <w:rsid w:val="003A1B2A"/>
    <w:rsid w:val="003A20B5"/>
    <w:rsid w:val="003A29BF"/>
    <w:rsid w:val="003A2B48"/>
    <w:rsid w:val="003A2D20"/>
    <w:rsid w:val="003A2DDA"/>
    <w:rsid w:val="003A2ED1"/>
    <w:rsid w:val="003A353E"/>
    <w:rsid w:val="003A35AF"/>
    <w:rsid w:val="003A3661"/>
    <w:rsid w:val="003A3740"/>
    <w:rsid w:val="003A3925"/>
    <w:rsid w:val="003A3D14"/>
    <w:rsid w:val="003A4676"/>
    <w:rsid w:val="003A467A"/>
    <w:rsid w:val="003A4689"/>
    <w:rsid w:val="003A4C47"/>
    <w:rsid w:val="003A4CFD"/>
    <w:rsid w:val="003A4DDE"/>
    <w:rsid w:val="003A524E"/>
    <w:rsid w:val="003A59BB"/>
    <w:rsid w:val="003A6724"/>
    <w:rsid w:val="003A68AC"/>
    <w:rsid w:val="003A6E1A"/>
    <w:rsid w:val="003A73A3"/>
    <w:rsid w:val="003A7BAF"/>
    <w:rsid w:val="003A7DA1"/>
    <w:rsid w:val="003B0AD7"/>
    <w:rsid w:val="003B0BA1"/>
    <w:rsid w:val="003B17B9"/>
    <w:rsid w:val="003B1E45"/>
    <w:rsid w:val="003B26D9"/>
    <w:rsid w:val="003B2D9F"/>
    <w:rsid w:val="003B3080"/>
    <w:rsid w:val="003B39DB"/>
    <w:rsid w:val="003B3AB3"/>
    <w:rsid w:val="003B3BF3"/>
    <w:rsid w:val="003B3F46"/>
    <w:rsid w:val="003B40D1"/>
    <w:rsid w:val="003B4599"/>
    <w:rsid w:val="003B4D96"/>
    <w:rsid w:val="003B4F6F"/>
    <w:rsid w:val="003B5270"/>
    <w:rsid w:val="003B532B"/>
    <w:rsid w:val="003B61B7"/>
    <w:rsid w:val="003B7243"/>
    <w:rsid w:val="003C05C3"/>
    <w:rsid w:val="003C05DA"/>
    <w:rsid w:val="003C127E"/>
    <w:rsid w:val="003C12D6"/>
    <w:rsid w:val="003C1AE2"/>
    <w:rsid w:val="003C21BB"/>
    <w:rsid w:val="003C2D59"/>
    <w:rsid w:val="003C30F5"/>
    <w:rsid w:val="003C3369"/>
    <w:rsid w:val="003C3682"/>
    <w:rsid w:val="003C3FFE"/>
    <w:rsid w:val="003C4046"/>
    <w:rsid w:val="003C40CD"/>
    <w:rsid w:val="003C44EC"/>
    <w:rsid w:val="003C4B38"/>
    <w:rsid w:val="003C4C91"/>
    <w:rsid w:val="003C4F8F"/>
    <w:rsid w:val="003C5058"/>
    <w:rsid w:val="003C5FBA"/>
    <w:rsid w:val="003C60B6"/>
    <w:rsid w:val="003C64FA"/>
    <w:rsid w:val="003C6826"/>
    <w:rsid w:val="003C6B59"/>
    <w:rsid w:val="003C6F14"/>
    <w:rsid w:val="003C7093"/>
    <w:rsid w:val="003C7104"/>
    <w:rsid w:val="003C7208"/>
    <w:rsid w:val="003C72FD"/>
    <w:rsid w:val="003C780D"/>
    <w:rsid w:val="003C7A5A"/>
    <w:rsid w:val="003D0052"/>
    <w:rsid w:val="003D0A37"/>
    <w:rsid w:val="003D0FD9"/>
    <w:rsid w:val="003D14CF"/>
    <w:rsid w:val="003D1B2C"/>
    <w:rsid w:val="003D1E13"/>
    <w:rsid w:val="003D299E"/>
    <w:rsid w:val="003D2C10"/>
    <w:rsid w:val="003D2D54"/>
    <w:rsid w:val="003D348E"/>
    <w:rsid w:val="003D3751"/>
    <w:rsid w:val="003D3EE2"/>
    <w:rsid w:val="003D3F8C"/>
    <w:rsid w:val="003D407E"/>
    <w:rsid w:val="003D4295"/>
    <w:rsid w:val="003D45E8"/>
    <w:rsid w:val="003D5233"/>
    <w:rsid w:val="003D55D8"/>
    <w:rsid w:val="003D55E1"/>
    <w:rsid w:val="003D626D"/>
    <w:rsid w:val="003D641A"/>
    <w:rsid w:val="003D6646"/>
    <w:rsid w:val="003D6FF4"/>
    <w:rsid w:val="003D71EB"/>
    <w:rsid w:val="003D7625"/>
    <w:rsid w:val="003D77F4"/>
    <w:rsid w:val="003E05EB"/>
    <w:rsid w:val="003E1E63"/>
    <w:rsid w:val="003E22CB"/>
    <w:rsid w:val="003E2343"/>
    <w:rsid w:val="003E2417"/>
    <w:rsid w:val="003E2BEC"/>
    <w:rsid w:val="003E2C31"/>
    <w:rsid w:val="003E2E1B"/>
    <w:rsid w:val="003E308B"/>
    <w:rsid w:val="003E3A0B"/>
    <w:rsid w:val="003E3F05"/>
    <w:rsid w:val="003E3FC9"/>
    <w:rsid w:val="003E4056"/>
    <w:rsid w:val="003E406B"/>
    <w:rsid w:val="003E4228"/>
    <w:rsid w:val="003E4540"/>
    <w:rsid w:val="003E4AFA"/>
    <w:rsid w:val="003E4B1A"/>
    <w:rsid w:val="003E4DB0"/>
    <w:rsid w:val="003E4E52"/>
    <w:rsid w:val="003E4F96"/>
    <w:rsid w:val="003E518E"/>
    <w:rsid w:val="003E5BB5"/>
    <w:rsid w:val="003E5CCA"/>
    <w:rsid w:val="003E6B10"/>
    <w:rsid w:val="003E6BE8"/>
    <w:rsid w:val="003E6BE9"/>
    <w:rsid w:val="003E6F85"/>
    <w:rsid w:val="003E70AD"/>
    <w:rsid w:val="003E7773"/>
    <w:rsid w:val="003E7E30"/>
    <w:rsid w:val="003F0055"/>
    <w:rsid w:val="003F005D"/>
    <w:rsid w:val="003F0171"/>
    <w:rsid w:val="003F095D"/>
    <w:rsid w:val="003F115E"/>
    <w:rsid w:val="003F14C2"/>
    <w:rsid w:val="003F18B8"/>
    <w:rsid w:val="003F1B33"/>
    <w:rsid w:val="003F1CB1"/>
    <w:rsid w:val="003F1F34"/>
    <w:rsid w:val="003F2210"/>
    <w:rsid w:val="003F2EF8"/>
    <w:rsid w:val="003F34FC"/>
    <w:rsid w:val="003F3777"/>
    <w:rsid w:val="003F3CD1"/>
    <w:rsid w:val="003F401D"/>
    <w:rsid w:val="003F4FD2"/>
    <w:rsid w:val="003F535C"/>
    <w:rsid w:val="003F5434"/>
    <w:rsid w:val="003F5EC9"/>
    <w:rsid w:val="003F60F4"/>
    <w:rsid w:val="003F6FA1"/>
    <w:rsid w:val="003F7146"/>
    <w:rsid w:val="003F7196"/>
    <w:rsid w:val="003F7C3F"/>
    <w:rsid w:val="00400278"/>
    <w:rsid w:val="004002F1"/>
    <w:rsid w:val="004008AF"/>
    <w:rsid w:val="00400AFF"/>
    <w:rsid w:val="00400B5F"/>
    <w:rsid w:val="0040106F"/>
    <w:rsid w:val="00401DBF"/>
    <w:rsid w:val="00401DCC"/>
    <w:rsid w:val="00402457"/>
    <w:rsid w:val="004033D9"/>
    <w:rsid w:val="0040347C"/>
    <w:rsid w:val="00403912"/>
    <w:rsid w:val="00404A03"/>
    <w:rsid w:val="00404A94"/>
    <w:rsid w:val="0040551F"/>
    <w:rsid w:val="004059EF"/>
    <w:rsid w:val="00405DE0"/>
    <w:rsid w:val="00406594"/>
    <w:rsid w:val="00406CF8"/>
    <w:rsid w:val="00406DF9"/>
    <w:rsid w:val="0040771F"/>
    <w:rsid w:val="00407DEE"/>
    <w:rsid w:val="0041019E"/>
    <w:rsid w:val="00410649"/>
    <w:rsid w:val="00410D61"/>
    <w:rsid w:val="00410EB9"/>
    <w:rsid w:val="004111F7"/>
    <w:rsid w:val="00411659"/>
    <w:rsid w:val="00411AB0"/>
    <w:rsid w:val="00411D63"/>
    <w:rsid w:val="0041217D"/>
    <w:rsid w:val="004125C6"/>
    <w:rsid w:val="0041275F"/>
    <w:rsid w:val="00412BBC"/>
    <w:rsid w:val="00413470"/>
    <w:rsid w:val="00413F76"/>
    <w:rsid w:val="00414E13"/>
    <w:rsid w:val="004153E8"/>
    <w:rsid w:val="0041635D"/>
    <w:rsid w:val="004167F2"/>
    <w:rsid w:val="00416C26"/>
    <w:rsid w:val="00416D5A"/>
    <w:rsid w:val="0041788A"/>
    <w:rsid w:val="00420397"/>
    <w:rsid w:val="004203CB"/>
    <w:rsid w:val="0042107B"/>
    <w:rsid w:val="00421A89"/>
    <w:rsid w:val="00421D27"/>
    <w:rsid w:val="00421D85"/>
    <w:rsid w:val="00421EBC"/>
    <w:rsid w:val="00421F09"/>
    <w:rsid w:val="004229CB"/>
    <w:rsid w:val="00422A12"/>
    <w:rsid w:val="00422FFA"/>
    <w:rsid w:val="0042304B"/>
    <w:rsid w:val="004237BE"/>
    <w:rsid w:val="00424032"/>
    <w:rsid w:val="00424084"/>
    <w:rsid w:val="00424249"/>
    <w:rsid w:val="0042425D"/>
    <w:rsid w:val="00424334"/>
    <w:rsid w:val="00424352"/>
    <w:rsid w:val="004248EF"/>
    <w:rsid w:val="00425DC9"/>
    <w:rsid w:val="004262B5"/>
    <w:rsid w:val="00426387"/>
    <w:rsid w:val="004266E7"/>
    <w:rsid w:val="00426C11"/>
    <w:rsid w:val="00426F72"/>
    <w:rsid w:val="0042712B"/>
    <w:rsid w:val="004273AD"/>
    <w:rsid w:val="004273F8"/>
    <w:rsid w:val="00430236"/>
    <w:rsid w:val="00430340"/>
    <w:rsid w:val="00430474"/>
    <w:rsid w:val="004305AE"/>
    <w:rsid w:val="00430B2A"/>
    <w:rsid w:val="0043162F"/>
    <w:rsid w:val="00431800"/>
    <w:rsid w:val="0043197A"/>
    <w:rsid w:val="004319C1"/>
    <w:rsid w:val="00431A6D"/>
    <w:rsid w:val="004321A0"/>
    <w:rsid w:val="00432309"/>
    <w:rsid w:val="00432AF6"/>
    <w:rsid w:val="00432F3A"/>
    <w:rsid w:val="004331CD"/>
    <w:rsid w:val="0043339B"/>
    <w:rsid w:val="00433541"/>
    <w:rsid w:val="00433695"/>
    <w:rsid w:val="00434751"/>
    <w:rsid w:val="00434830"/>
    <w:rsid w:val="00435304"/>
    <w:rsid w:val="0043548B"/>
    <w:rsid w:val="004355BE"/>
    <w:rsid w:val="00435F21"/>
    <w:rsid w:val="00436240"/>
    <w:rsid w:val="00436514"/>
    <w:rsid w:val="004365A1"/>
    <w:rsid w:val="00436E5C"/>
    <w:rsid w:val="00436EF0"/>
    <w:rsid w:val="004376B1"/>
    <w:rsid w:val="00437FB8"/>
    <w:rsid w:val="0044044F"/>
    <w:rsid w:val="00440815"/>
    <w:rsid w:val="00440C15"/>
    <w:rsid w:val="00440D70"/>
    <w:rsid w:val="0044113A"/>
    <w:rsid w:val="00441EAB"/>
    <w:rsid w:val="0044213A"/>
    <w:rsid w:val="004422B8"/>
    <w:rsid w:val="004423F7"/>
    <w:rsid w:val="00442A49"/>
    <w:rsid w:val="00443944"/>
    <w:rsid w:val="00443A41"/>
    <w:rsid w:val="0044451B"/>
    <w:rsid w:val="0044463E"/>
    <w:rsid w:val="0044504E"/>
    <w:rsid w:val="00445129"/>
    <w:rsid w:val="0044690B"/>
    <w:rsid w:val="00446BBE"/>
    <w:rsid w:val="00447158"/>
    <w:rsid w:val="00447685"/>
    <w:rsid w:val="0044782C"/>
    <w:rsid w:val="00447986"/>
    <w:rsid w:val="00450500"/>
    <w:rsid w:val="0045093D"/>
    <w:rsid w:val="004510A2"/>
    <w:rsid w:val="004511FF"/>
    <w:rsid w:val="004512D6"/>
    <w:rsid w:val="004515D8"/>
    <w:rsid w:val="0045160A"/>
    <w:rsid w:val="00451645"/>
    <w:rsid w:val="00451B4F"/>
    <w:rsid w:val="0045235F"/>
    <w:rsid w:val="00452705"/>
    <w:rsid w:val="0045278E"/>
    <w:rsid w:val="00452F31"/>
    <w:rsid w:val="004539AA"/>
    <w:rsid w:val="00453FA1"/>
    <w:rsid w:val="004544DC"/>
    <w:rsid w:val="004546BF"/>
    <w:rsid w:val="00454878"/>
    <w:rsid w:val="00454B0D"/>
    <w:rsid w:val="00454C9E"/>
    <w:rsid w:val="00454CD5"/>
    <w:rsid w:val="00454F8E"/>
    <w:rsid w:val="004557D9"/>
    <w:rsid w:val="00455811"/>
    <w:rsid w:val="00456A01"/>
    <w:rsid w:val="00456BF1"/>
    <w:rsid w:val="0045705C"/>
    <w:rsid w:val="00457159"/>
    <w:rsid w:val="004573E6"/>
    <w:rsid w:val="00457552"/>
    <w:rsid w:val="0045790C"/>
    <w:rsid w:val="004579B6"/>
    <w:rsid w:val="00457A5D"/>
    <w:rsid w:val="00457D70"/>
    <w:rsid w:val="004601F3"/>
    <w:rsid w:val="00460703"/>
    <w:rsid w:val="00460793"/>
    <w:rsid w:val="00460A34"/>
    <w:rsid w:val="00460EC0"/>
    <w:rsid w:val="004613F2"/>
    <w:rsid w:val="00461C3C"/>
    <w:rsid w:val="00461F60"/>
    <w:rsid w:val="00461FD6"/>
    <w:rsid w:val="004623C6"/>
    <w:rsid w:val="00462778"/>
    <w:rsid w:val="00462C40"/>
    <w:rsid w:val="00463039"/>
    <w:rsid w:val="0046370C"/>
    <w:rsid w:val="00463CC9"/>
    <w:rsid w:val="00463D06"/>
    <w:rsid w:val="004640E7"/>
    <w:rsid w:val="0046435E"/>
    <w:rsid w:val="00464507"/>
    <w:rsid w:val="00464F6C"/>
    <w:rsid w:val="00464FB4"/>
    <w:rsid w:val="00465886"/>
    <w:rsid w:val="00465A75"/>
    <w:rsid w:val="00465FD6"/>
    <w:rsid w:val="004660AF"/>
    <w:rsid w:val="00466599"/>
    <w:rsid w:val="00466722"/>
    <w:rsid w:val="00470249"/>
    <w:rsid w:val="00470979"/>
    <w:rsid w:val="00470BFC"/>
    <w:rsid w:val="00471686"/>
    <w:rsid w:val="00471745"/>
    <w:rsid w:val="00471A1E"/>
    <w:rsid w:val="00471D0D"/>
    <w:rsid w:val="00471E05"/>
    <w:rsid w:val="004725A3"/>
    <w:rsid w:val="0047340F"/>
    <w:rsid w:val="00473B37"/>
    <w:rsid w:val="0047465B"/>
    <w:rsid w:val="004747E6"/>
    <w:rsid w:val="0047498F"/>
    <w:rsid w:val="00474A88"/>
    <w:rsid w:val="00474E01"/>
    <w:rsid w:val="00474E72"/>
    <w:rsid w:val="0047631E"/>
    <w:rsid w:val="00476567"/>
    <w:rsid w:val="00476914"/>
    <w:rsid w:val="00477A3C"/>
    <w:rsid w:val="00477EA2"/>
    <w:rsid w:val="004809D1"/>
    <w:rsid w:val="00480EA0"/>
    <w:rsid w:val="004810FB"/>
    <w:rsid w:val="00481B17"/>
    <w:rsid w:val="00482067"/>
    <w:rsid w:val="0048249D"/>
    <w:rsid w:val="00482804"/>
    <w:rsid w:val="00482B47"/>
    <w:rsid w:val="00482FA7"/>
    <w:rsid w:val="0048323E"/>
    <w:rsid w:val="00483BAD"/>
    <w:rsid w:val="00483FBF"/>
    <w:rsid w:val="004842C2"/>
    <w:rsid w:val="00484322"/>
    <w:rsid w:val="00484960"/>
    <w:rsid w:val="00484DC5"/>
    <w:rsid w:val="004853B1"/>
    <w:rsid w:val="00485675"/>
    <w:rsid w:val="00485BA7"/>
    <w:rsid w:val="00485CF6"/>
    <w:rsid w:val="00485F31"/>
    <w:rsid w:val="0048683D"/>
    <w:rsid w:val="004870E2"/>
    <w:rsid w:val="004872B3"/>
    <w:rsid w:val="00487C85"/>
    <w:rsid w:val="00487FC0"/>
    <w:rsid w:val="0049007E"/>
    <w:rsid w:val="00490B76"/>
    <w:rsid w:val="00490B93"/>
    <w:rsid w:val="00490C1B"/>
    <w:rsid w:val="00490D60"/>
    <w:rsid w:val="00490DC4"/>
    <w:rsid w:val="00491531"/>
    <w:rsid w:val="00491F12"/>
    <w:rsid w:val="00492193"/>
    <w:rsid w:val="004923A0"/>
    <w:rsid w:val="0049247F"/>
    <w:rsid w:val="004926F9"/>
    <w:rsid w:val="00492D0B"/>
    <w:rsid w:val="00492E93"/>
    <w:rsid w:val="00493AB8"/>
    <w:rsid w:val="00493D09"/>
    <w:rsid w:val="0049441D"/>
    <w:rsid w:val="00494BCB"/>
    <w:rsid w:val="00494F64"/>
    <w:rsid w:val="004952D5"/>
    <w:rsid w:val="00495523"/>
    <w:rsid w:val="004962BF"/>
    <w:rsid w:val="0049683A"/>
    <w:rsid w:val="004968D4"/>
    <w:rsid w:val="0049700D"/>
    <w:rsid w:val="00497423"/>
    <w:rsid w:val="00497517"/>
    <w:rsid w:val="00497858"/>
    <w:rsid w:val="00497B9F"/>
    <w:rsid w:val="004A0669"/>
    <w:rsid w:val="004A0957"/>
    <w:rsid w:val="004A0C0E"/>
    <w:rsid w:val="004A2084"/>
    <w:rsid w:val="004A2304"/>
    <w:rsid w:val="004A275A"/>
    <w:rsid w:val="004A27AD"/>
    <w:rsid w:val="004A37FD"/>
    <w:rsid w:val="004A3B23"/>
    <w:rsid w:val="004A3CE9"/>
    <w:rsid w:val="004A4430"/>
    <w:rsid w:val="004A4653"/>
    <w:rsid w:val="004A4899"/>
    <w:rsid w:val="004A4B10"/>
    <w:rsid w:val="004A4FDF"/>
    <w:rsid w:val="004A5014"/>
    <w:rsid w:val="004A5489"/>
    <w:rsid w:val="004A569C"/>
    <w:rsid w:val="004A58E4"/>
    <w:rsid w:val="004A5AF5"/>
    <w:rsid w:val="004A5E73"/>
    <w:rsid w:val="004A5F45"/>
    <w:rsid w:val="004A6087"/>
    <w:rsid w:val="004A64E5"/>
    <w:rsid w:val="004A68D1"/>
    <w:rsid w:val="004A6B5A"/>
    <w:rsid w:val="004A6D49"/>
    <w:rsid w:val="004A7148"/>
    <w:rsid w:val="004A7156"/>
    <w:rsid w:val="004A7313"/>
    <w:rsid w:val="004A73EF"/>
    <w:rsid w:val="004A7718"/>
    <w:rsid w:val="004A7A52"/>
    <w:rsid w:val="004A7FA1"/>
    <w:rsid w:val="004B015D"/>
    <w:rsid w:val="004B06C4"/>
    <w:rsid w:val="004B0AAA"/>
    <w:rsid w:val="004B0CEE"/>
    <w:rsid w:val="004B19FE"/>
    <w:rsid w:val="004B2350"/>
    <w:rsid w:val="004B245B"/>
    <w:rsid w:val="004B2A4D"/>
    <w:rsid w:val="004B2F45"/>
    <w:rsid w:val="004B33C2"/>
    <w:rsid w:val="004B3BE3"/>
    <w:rsid w:val="004B4214"/>
    <w:rsid w:val="004B4342"/>
    <w:rsid w:val="004B4769"/>
    <w:rsid w:val="004B4B89"/>
    <w:rsid w:val="004B4D09"/>
    <w:rsid w:val="004B4E43"/>
    <w:rsid w:val="004B547F"/>
    <w:rsid w:val="004B581C"/>
    <w:rsid w:val="004B5BB4"/>
    <w:rsid w:val="004B668A"/>
    <w:rsid w:val="004B66D1"/>
    <w:rsid w:val="004B689D"/>
    <w:rsid w:val="004B68F3"/>
    <w:rsid w:val="004B70E1"/>
    <w:rsid w:val="004B7103"/>
    <w:rsid w:val="004B7E70"/>
    <w:rsid w:val="004C0A08"/>
    <w:rsid w:val="004C0CEF"/>
    <w:rsid w:val="004C0D94"/>
    <w:rsid w:val="004C0E97"/>
    <w:rsid w:val="004C0FEC"/>
    <w:rsid w:val="004C1EEF"/>
    <w:rsid w:val="004C2BA2"/>
    <w:rsid w:val="004C2D8E"/>
    <w:rsid w:val="004C2E9E"/>
    <w:rsid w:val="004C338D"/>
    <w:rsid w:val="004C37A5"/>
    <w:rsid w:val="004C3C56"/>
    <w:rsid w:val="004C3D52"/>
    <w:rsid w:val="004C4431"/>
    <w:rsid w:val="004C4810"/>
    <w:rsid w:val="004C48C8"/>
    <w:rsid w:val="004C4B87"/>
    <w:rsid w:val="004C4F56"/>
    <w:rsid w:val="004C544F"/>
    <w:rsid w:val="004C592D"/>
    <w:rsid w:val="004C5936"/>
    <w:rsid w:val="004C594B"/>
    <w:rsid w:val="004C598D"/>
    <w:rsid w:val="004C59AC"/>
    <w:rsid w:val="004C5A7B"/>
    <w:rsid w:val="004C5B09"/>
    <w:rsid w:val="004C5BD5"/>
    <w:rsid w:val="004C5F5F"/>
    <w:rsid w:val="004C77F2"/>
    <w:rsid w:val="004C7C2F"/>
    <w:rsid w:val="004C7C8C"/>
    <w:rsid w:val="004C7E1F"/>
    <w:rsid w:val="004C7F56"/>
    <w:rsid w:val="004D08FB"/>
    <w:rsid w:val="004D0E1B"/>
    <w:rsid w:val="004D1146"/>
    <w:rsid w:val="004D18A0"/>
    <w:rsid w:val="004D19CC"/>
    <w:rsid w:val="004D2CA4"/>
    <w:rsid w:val="004D3308"/>
    <w:rsid w:val="004D3324"/>
    <w:rsid w:val="004D362D"/>
    <w:rsid w:val="004D3841"/>
    <w:rsid w:val="004D3897"/>
    <w:rsid w:val="004D39F9"/>
    <w:rsid w:val="004D3B93"/>
    <w:rsid w:val="004D3D61"/>
    <w:rsid w:val="004D3F96"/>
    <w:rsid w:val="004D4425"/>
    <w:rsid w:val="004D49E9"/>
    <w:rsid w:val="004D5FCF"/>
    <w:rsid w:val="004D6094"/>
    <w:rsid w:val="004D62C6"/>
    <w:rsid w:val="004D62DD"/>
    <w:rsid w:val="004D6387"/>
    <w:rsid w:val="004D67D6"/>
    <w:rsid w:val="004D6817"/>
    <w:rsid w:val="004D6C76"/>
    <w:rsid w:val="004D6EDD"/>
    <w:rsid w:val="004D71F5"/>
    <w:rsid w:val="004D7993"/>
    <w:rsid w:val="004E02BE"/>
    <w:rsid w:val="004E1E91"/>
    <w:rsid w:val="004E2A9D"/>
    <w:rsid w:val="004E2BD6"/>
    <w:rsid w:val="004E3094"/>
    <w:rsid w:val="004E369F"/>
    <w:rsid w:val="004E59BD"/>
    <w:rsid w:val="004E602C"/>
    <w:rsid w:val="004E6152"/>
    <w:rsid w:val="004E7A86"/>
    <w:rsid w:val="004E7C67"/>
    <w:rsid w:val="004F005C"/>
    <w:rsid w:val="004F039E"/>
    <w:rsid w:val="004F064A"/>
    <w:rsid w:val="004F0C82"/>
    <w:rsid w:val="004F1C62"/>
    <w:rsid w:val="004F1CEF"/>
    <w:rsid w:val="004F1DCB"/>
    <w:rsid w:val="004F2CC1"/>
    <w:rsid w:val="004F2D91"/>
    <w:rsid w:val="004F2F41"/>
    <w:rsid w:val="004F3013"/>
    <w:rsid w:val="004F3683"/>
    <w:rsid w:val="004F3D0C"/>
    <w:rsid w:val="004F3F6E"/>
    <w:rsid w:val="004F407F"/>
    <w:rsid w:val="004F4807"/>
    <w:rsid w:val="004F486D"/>
    <w:rsid w:val="004F5912"/>
    <w:rsid w:val="004F5B2E"/>
    <w:rsid w:val="004F5C4E"/>
    <w:rsid w:val="004F5DC5"/>
    <w:rsid w:val="004F6733"/>
    <w:rsid w:val="004F6AD3"/>
    <w:rsid w:val="004F7912"/>
    <w:rsid w:val="004F7E3C"/>
    <w:rsid w:val="0050035E"/>
    <w:rsid w:val="00500F96"/>
    <w:rsid w:val="005011D9"/>
    <w:rsid w:val="00501386"/>
    <w:rsid w:val="00501653"/>
    <w:rsid w:val="00501A13"/>
    <w:rsid w:val="00501B66"/>
    <w:rsid w:val="00501BD9"/>
    <w:rsid w:val="00501C25"/>
    <w:rsid w:val="00501C2B"/>
    <w:rsid w:val="0050209D"/>
    <w:rsid w:val="005026B7"/>
    <w:rsid w:val="005027A6"/>
    <w:rsid w:val="00502DAE"/>
    <w:rsid w:val="00502FFB"/>
    <w:rsid w:val="005038A0"/>
    <w:rsid w:val="00503E5A"/>
    <w:rsid w:val="005041E8"/>
    <w:rsid w:val="0050454C"/>
    <w:rsid w:val="00504A82"/>
    <w:rsid w:val="00504C0D"/>
    <w:rsid w:val="00504CA3"/>
    <w:rsid w:val="00504FE7"/>
    <w:rsid w:val="0050517F"/>
    <w:rsid w:val="005058A1"/>
    <w:rsid w:val="00505B84"/>
    <w:rsid w:val="00505E19"/>
    <w:rsid w:val="00505E27"/>
    <w:rsid w:val="00506551"/>
    <w:rsid w:val="005066BA"/>
    <w:rsid w:val="00507570"/>
    <w:rsid w:val="0050771C"/>
    <w:rsid w:val="00507889"/>
    <w:rsid w:val="0050791B"/>
    <w:rsid w:val="00507EA4"/>
    <w:rsid w:val="00507FC4"/>
    <w:rsid w:val="0051010E"/>
    <w:rsid w:val="005103C5"/>
    <w:rsid w:val="00511877"/>
    <w:rsid w:val="00512339"/>
    <w:rsid w:val="00512A6E"/>
    <w:rsid w:val="00512B8B"/>
    <w:rsid w:val="00512E64"/>
    <w:rsid w:val="005131CE"/>
    <w:rsid w:val="005131D3"/>
    <w:rsid w:val="0051352C"/>
    <w:rsid w:val="00513EB6"/>
    <w:rsid w:val="00514ECE"/>
    <w:rsid w:val="00514FC2"/>
    <w:rsid w:val="00515136"/>
    <w:rsid w:val="00515743"/>
    <w:rsid w:val="00515BFA"/>
    <w:rsid w:val="00515CFA"/>
    <w:rsid w:val="00515EAB"/>
    <w:rsid w:val="005162DA"/>
    <w:rsid w:val="005166B7"/>
    <w:rsid w:val="00516891"/>
    <w:rsid w:val="00516A23"/>
    <w:rsid w:val="00516AD4"/>
    <w:rsid w:val="00516BBB"/>
    <w:rsid w:val="00516BD8"/>
    <w:rsid w:val="00516D61"/>
    <w:rsid w:val="00516E54"/>
    <w:rsid w:val="00517A86"/>
    <w:rsid w:val="005201E3"/>
    <w:rsid w:val="00520462"/>
    <w:rsid w:val="0052066B"/>
    <w:rsid w:val="00520AF2"/>
    <w:rsid w:val="00520BF4"/>
    <w:rsid w:val="00520F71"/>
    <w:rsid w:val="00521476"/>
    <w:rsid w:val="005214E9"/>
    <w:rsid w:val="0052349D"/>
    <w:rsid w:val="0052349F"/>
    <w:rsid w:val="00523615"/>
    <w:rsid w:val="00523A90"/>
    <w:rsid w:val="00523E92"/>
    <w:rsid w:val="00524B70"/>
    <w:rsid w:val="00524BE8"/>
    <w:rsid w:val="0052575D"/>
    <w:rsid w:val="00525A98"/>
    <w:rsid w:val="00525D71"/>
    <w:rsid w:val="005261C2"/>
    <w:rsid w:val="005261DB"/>
    <w:rsid w:val="00526300"/>
    <w:rsid w:val="005264B4"/>
    <w:rsid w:val="00526C2C"/>
    <w:rsid w:val="00526C92"/>
    <w:rsid w:val="00526CA7"/>
    <w:rsid w:val="005275FC"/>
    <w:rsid w:val="0052768C"/>
    <w:rsid w:val="005279F0"/>
    <w:rsid w:val="00527EA9"/>
    <w:rsid w:val="00530896"/>
    <w:rsid w:val="005310AF"/>
    <w:rsid w:val="005313C8"/>
    <w:rsid w:val="005314FA"/>
    <w:rsid w:val="005318E4"/>
    <w:rsid w:val="00531BB6"/>
    <w:rsid w:val="005324EE"/>
    <w:rsid w:val="00533B82"/>
    <w:rsid w:val="00533D96"/>
    <w:rsid w:val="005342C3"/>
    <w:rsid w:val="00534521"/>
    <w:rsid w:val="00534B4D"/>
    <w:rsid w:val="00534BA9"/>
    <w:rsid w:val="0053551F"/>
    <w:rsid w:val="0053562F"/>
    <w:rsid w:val="00535BDF"/>
    <w:rsid w:val="005362F5"/>
    <w:rsid w:val="0053725B"/>
    <w:rsid w:val="00537263"/>
    <w:rsid w:val="005376F6"/>
    <w:rsid w:val="005377D1"/>
    <w:rsid w:val="00540734"/>
    <w:rsid w:val="0054073C"/>
    <w:rsid w:val="00540C49"/>
    <w:rsid w:val="00540C57"/>
    <w:rsid w:val="00541170"/>
    <w:rsid w:val="00541243"/>
    <w:rsid w:val="00541384"/>
    <w:rsid w:val="00541789"/>
    <w:rsid w:val="00541DD7"/>
    <w:rsid w:val="00541E1A"/>
    <w:rsid w:val="0054237C"/>
    <w:rsid w:val="005429EE"/>
    <w:rsid w:val="00543009"/>
    <w:rsid w:val="0054350F"/>
    <w:rsid w:val="00543A01"/>
    <w:rsid w:val="00543C3D"/>
    <w:rsid w:val="00543DE5"/>
    <w:rsid w:val="00544312"/>
    <w:rsid w:val="00544753"/>
    <w:rsid w:val="00544D88"/>
    <w:rsid w:val="00544F1F"/>
    <w:rsid w:val="00545085"/>
    <w:rsid w:val="005453E1"/>
    <w:rsid w:val="00545DEF"/>
    <w:rsid w:val="005462BA"/>
    <w:rsid w:val="00546EE0"/>
    <w:rsid w:val="0054722D"/>
    <w:rsid w:val="0054778E"/>
    <w:rsid w:val="00547DB3"/>
    <w:rsid w:val="00550943"/>
    <w:rsid w:val="00550D24"/>
    <w:rsid w:val="00550DCA"/>
    <w:rsid w:val="00550EF7"/>
    <w:rsid w:val="005510E3"/>
    <w:rsid w:val="005512DE"/>
    <w:rsid w:val="00551554"/>
    <w:rsid w:val="0055170A"/>
    <w:rsid w:val="00551D8E"/>
    <w:rsid w:val="0055233D"/>
    <w:rsid w:val="00552564"/>
    <w:rsid w:val="005529BC"/>
    <w:rsid w:val="00552AA2"/>
    <w:rsid w:val="00552D7D"/>
    <w:rsid w:val="00552ED5"/>
    <w:rsid w:val="005531BD"/>
    <w:rsid w:val="005531CE"/>
    <w:rsid w:val="005533FD"/>
    <w:rsid w:val="005534B9"/>
    <w:rsid w:val="00553787"/>
    <w:rsid w:val="00554495"/>
    <w:rsid w:val="00554BC7"/>
    <w:rsid w:val="0055631F"/>
    <w:rsid w:val="00556609"/>
    <w:rsid w:val="005567B2"/>
    <w:rsid w:val="00556987"/>
    <w:rsid w:val="00557583"/>
    <w:rsid w:val="00557680"/>
    <w:rsid w:val="00557870"/>
    <w:rsid w:val="00557888"/>
    <w:rsid w:val="00560097"/>
    <w:rsid w:val="00560277"/>
    <w:rsid w:val="00560454"/>
    <w:rsid w:val="0056090C"/>
    <w:rsid w:val="00560938"/>
    <w:rsid w:val="00560AF1"/>
    <w:rsid w:val="00561554"/>
    <w:rsid w:val="00561562"/>
    <w:rsid w:val="0056201F"/>
    <w:rsid w:val="00562131"/>
    <w:rsid w:val="0056257F"/>
    <w:rsid w:val="00562E54"/>
    <w:rsid w:val="005632AC"/>
    <w:rsid w:val="00563DE6"/>
    <w:rsid w:val="005642C1"/>
    <w:rsid w:val="0056479B"/>
    <w:rsid w:val="005647B5"/>
    <w:rsid w:val="00564F7C"/>
    <w:rsid w:val="0056528D"/>
    <w:rsid w:val="005652E8"/>
    <w:rsid w:val="005653AB"/>
    <w:rsid w:val="00565C58"/>
    <w:rsid w:val="0056601B"/>
    <w:rsid w:val="0056628B"/>
    <w:rsid w:val="00566298"/>
    <w:rsid w:val="005668F1"/>
    <w:rsid w:val="005669B4"/>
    <w:rsid w:val="00566EFA"/>
    <w:rsid w:val="00567066"/>
    <w:rsid w:val="005672E7"/>
    <w:rsid w:val="005677D9"/>
    <w:rsid w:val="00567B3E"/>
    <w:rsid w:val="0057032B"/>
    <w:rsid w:val="005705C9"/>
    <w:rsid w:val="0057091E"/>
    <w:rsid w:val="00570BAE"/>
    <w:rsid w:val="005710DE"/>
    <w:rsid w:val="00571A7F"/>
    <w:rsid w:val="00571DF2"/>
    <w:rsid w:val="005723D6"/>
    <w:rsid w:val="005735B1"/>
    <w:rsid w:val="005737AD"/>
    <w:rsid w:val="00573C3C"/>
    <w:rsid w:val="00573F62"/>
    <w:rsid w:val="00574571"/>
    <w:rsid w:val="005745FB"/>
    <w:rsid w:val="0057481F"/>
    <w:rsid w:val="00574A6E"/>
    <w:rsid w:val="0057546C"/>
    <w:rsid w:val="00575F83"/>
    <w:rsid w:val="0057662F"/>
    <w:rsid w:val="00576AA2"/>
    <w:rsid w:val="00577145"/>
    <w:rsid w:val="005773BE"/>
    <w:rsid w:val="0057751F"/>
    <w:rsid w:val="005775CA"/>
    <w:rsid w:val="005775D5"/>
    <w:rsid w:val="00577679"/>
    <w:rsid w:val="00577B29"/>
    <w:rsid w:val="00577DD7"/>
    <w:rsid w:val="00577DDB"/>
    <w:rsid w:val="00580915"/>
    <w:rsid w:val="00580A3E"/>
    <w:rsid w:val="00580A96"/>
    <w:rsid w:val="00580EC6"/>
    <w:rsid w:val="00581FEA"/>
    <w:rsid w:val="00582184"/>
    <w:rsid w:val="00582217"/>
    <w:rsid w:val="00582365"/>
    <w:rsid w:val="00582449"/>
    <w:rsid w:val="00582C63"/>
    <w:rsid w:val="00582EC7"/>
    <w:rsid w:val="00583500"/>
    <w:rsid w:val="00583B5D"/>
    <w:rsid w:val="00583CBF"/>
    <w:rsid w:val="005850B8"/>
    <w:rsid w:val="0058511C"/>
    <w:rsid w:val="0058546C"/>
    <w:rsid w:val="00585AA6"/>
    <w:rsid w:val="00585C1B"/>
    <w:rsid w:val="00585E6D"/>
    <w:rsid w:val="005863B0"/>
    <w:rsid w:val="0058667E"/>
    <w:rsid w:val="0058683F"/>
    <w:rsid w:val="00586E82"/>
    <w:rsid w:val="0058718D"/>
    <w:rsid w:val="00587639"/>
    <w:rsid w:val="00590881"/>
    <w:rsid w:val="00590A4E"/>
    <w:rsid w:val="00590EC9"/>
    <w:rsid w:val="00590FF0"/>
    <w:rsid w:val="005914B5"/>
    <w:rsid w:val="00592392"/>
    <w:rsid w:val="0059253D"/>
    <w:rsid w:val="00592638"/>
    <w:rsid w:val="005928D4"/>
    <w:rsid w:val="00592945"/>
    <w:rsid w:val="00593138"/>
    <w:rsid w:val="00593265"/>
    <w:rsid w:val="00593547"/>
    <w:rsid w:val="005938E4"/>
    <w:rsid w:val="00593A33"/>
    <w:rsid w:val="005947B5"/>
    <w:rsid w:val="00595444"/>
    <w:rsid w:val="00595B67"/>
    <w:rsid w:val="00595B6D"/>
    <w:rsid w:val="00595C87"/>
    <w:rsid w:val="00595DFA"/>
    <w:rsid w:val="005960BB"/>
    <w:rsid w:val="005968BA"/>
    <w:rsid w:val="00596C22"/>
    <w:rsid w:val="00597407"/>
    <w:rsid w:val="00597D91"/>
    <w:rsid w:val="00597F37"/>
    <w:rsid w:val="005A0496"/>
    <w:rsid w:val="005A0A03"/>
    <w:rsid w:val="005A0A13"/>
    <w:rsid w:val="005A1501"/>
    <w:rsid w:val="005A2063"/>
    <w:rsid w:val="005A2616"/>
    <w:rsid w:val="005A268A"/>
    <w:rsid w:val="005A28E9"/>
    <w:rsid w:val="005A290E"/>
    <w:rsid w:val="005A29F4"/>
    <w:rsid w:val="005A2BC1"/>
    <w:rsid w:val="005A2F83"/>
    <w:rsid w:val="005A3600"/>
    <w:rsid w:val="005A3AA7"/>
    <w:rsid w:val="005A3F8E"/>
    <w:rsid w:val="005A4047"/>
    <w:rsid w:val="005A4384"/>
    <w:rsid w:val="005A476D"/>
    <w:rsid w:val="005A4ACB"/>
    <w:rsid w:val="005A5114"/>
    <w:rsid w:val="005A51ED"/>
    <w:rsid w:val="005A535F"/>
    <w:rsid w:val="005A5CA7"/>
    <w:rsid w:val="005A6046"/>
    <w:rsid w:val="005A6742"/>
    <w:rsid w:val="005A6F89"/>
    <w:rsid w:val="005A7012"/>
    <w:rsid w:val="005A76B1"/>
    <w:rsid w:val="005A77B0"/>
    <w:rsid w:val="005A7A5E"/>
    <w:rsid w:val="005A7BE0"/>
    <w:rsid w:val="005A7D5E"/>
    <w:rsid w:val="005B0321"/>
    <w:rsid w:val="005B0C87"/>
    <w:rsid w:val="005B1749"/>
    <w:rsid w:val="005B1949"/>
    <w:rsid w:val="005B1C07"/>
    <w:rsid w:val="005B1C2B"/>
    <w:rsid w:val="005B20D2"/>
    <w:rsid w:val="005B2180"/>
    <w:rsid w:val="005B2978"/>
    <w:rsid w:val="005B2A21"/>
    <w:rsid w:val="005B2DDF"/>
    <w:rsid w:val="005B3111"/>
    <w:rsid w:val="005B3284"/>
    <w:rsid w:val="005B335A"/>
    <w:rsid w:val="005B3432"/>
    <w:rsid w:val="005B3618"/>
    <w:rsid w:val="005B3BD6"/>
    <w:rsid w:val="005B4831"/>
    <w:rsid w:val="005B4E2D"/>
    <w:rsid w:val="005B5EA6"/>
    <w:rsid w:val="005B608B"/>
    <w:rsid w:val="005B668F"/>
    <w:rsid w:val="005B7326"/>
    <w:rsid w:val="005B7AB7"/>
    <w:rsid w:val="005B7D2D"/>
    <w:rsid w:val="005B7D6C"/>
    <w:rsid w:val="005B7E4B"/>
    <w:rsid w:val="005C005A"/>
    <w:rsid w:val="005C0323"/>
    <w:rsid w:val="005C05DB"/>
    <w:rsid w:val="005C07B3"/>
    <w:rsid w:val="005C1CB4"/>
    <w:rsid w:val="005C1D26"/>
    <w:rsid w:val="005C253A"/>
    <w:rsid w:val="005C3253"/>
    <w:rsid w:val="005C358C"/>
    <w:rsid w:val="005C385F"/>
    <w:rsid w:val="005C4256"/>
    <w:rsid w:val="005C4811"/>
    <w:rsid w:val="005C4971"/>
    <w:rsid w:val="005C49A5"/>
    <w:rsid w:val="005C49B6"/>
    <w:rsid w:val="005C5657"/>
    <w:rsid w:val="005C6714"/>
    <w:rsid w:val="005C6C64"/>
    <w:rsid w:val="005C6D64"/>
    <w:rsid w:val="005C714B"/>
    <w:rsid w:val="005C7161"/>
    <w:rsid w:val="005C7215"/>
    <w:rsid w:val="005C73C4"/>
    <w:rsid w:val="005D00EA"/>
    <w:rsid w:val="005D023B"/>
    <w:rsid w:val="005D06B5"/>
    <w:rsid w:val="005D0AD8"/>
    <w:rsid w:val="005D1833"/>
    <w:rsid w:val="005D1CCB"/>
    <w:rsid w:val="005D20F6"/>
    <w:rsid w:val="005D2283"/>
    <w:rsid w:val="005D2304"/>
    <w:rsid w:val="005D231B"/>
    <w:rsid w:val="005D2FFB"/>
    <w:rsid w:val="005D385A"/>
    <w:rsid w:val="005D3A04"/>
    <w:rsid w:val="005D3A4E"/>
    <w:rsid w:val="005D3E67"/>
    <w:rsid w:val="005D3E9F"/>
    <w:rsid w:val="005D414C"/>
    <w:rsid w:val="005D42D9"/>
    <w:rsid w:val="005D48FE"/>
    <w:rsid w:val="005D4CF3"/>
    <w:rsid w:val="005D4F7E"/>
    <w:rsid w:val="005D5B37"/>
    <w:rsid w:val="005D5E57"/>
    <w:rsid w:val="005D5E91"/>
    <w:rsid w:val="005D70E9"/>
    <w:rsid w:val="005D7445"/>
    <w:rsid w:val="005D7471"/>
    <w:rsid w:val="005D749D"/>
    <w:rsid w:val="005D790E"/>
    <w:rsid w:val="005E04FB"/>
    <w:rsid w:val="005E1F4B"/>
    <w:rsid w:val="005E207A"/>
    <w:rsid w:val="005E2702"/>
    <w:rsid w:val="005E288E"/>
    <w:rsid w:val="005E34F5"/>
    <w:rsid w:val="005E3BA3"/>
    <w:rsid w:val="005E3FB1"/>
    <w:rsid w:val="005E5874"/>
    <w:rsid w:val="005E58B2"/>
    <w:rsid w:val="005E5BE0"/>
    <w:rsid w:val="005E604D"/>
    <w:rsid w:val="005E6E52"/>
    <w:rsid w:val="005E6F1C"/>
    <w:rsid w:val="005E7315"/>
    <w:rsid w:val="005E75D5"/>
    <w:rsid w:val="005E77D9"/>
    <w:rsid w:val="005E7E08"/>
    <w:rsid w:val="005E7E18"/>
    <w:rsid w:val="005F0232"/>
    <w:rsid w:val="005F061A"/>
    <w:rsid w:val="005F0645"/>
    <w:rsid w:val="005F06A7"/>
    <w:rsid w:val="005F0A1C"/>
    <w:rsid w:val="005F0A76"/>
    <w:rsid w:val="005F1555"/>
    <w:rsid w:val="005F18A4"/>
    <w:rsid w:val="005F1A24"/>
    <w:rsid w:val="005F1C6C"/>
    <w:rsid w:val="005F2978"/>
    <w:rsid w:val="005F2BCD"/>
    <w:rsid w:val="005F2CFB"/>
    <w:rsid w:val="005F2D60"/>
    <w:rsid w:val="005F3040"/>
    <w:rsid w:val="005F305D"/>
    <w:rsid w:val="005F317E"/>
    <w:rsid w:val="005F3347"/>
    <w:rsid w:val="005F3AAC"/>
    <w:rsid w:val="005F42EF"/>
    <w:rsid w:val="005F4721"/>
    <w:rsid w:val="005F4BA8"/>
    <w:rsid w:val="005F4C0E"/>
    <w:rsid w:val="005F5353"/>
    <w:rsid w:val="005F5908"/>
    <w:rsid w:val="005F720A"/>
    <w:rsid w:val="005F782C"/>
    <w:rsid w:val="005F7B1D"/>
    <w:rsid w:val="005F7C0D"/>
    <w:rsid w:val="005F7C90"/>
    <w:rsid w:val="005F7C9F"/>
    <w:rsid w:val="005F7D4F"/>
    <w:rsid w:val="00600061"/>
    <w:rsid w:val="0060059B"/>
    <w:rsid w:val="00600BE2"/>
    <w:rsid w:val="006011DC"/>
    <w:rsid w:val="006025C4"/>
    <w:rsid w:val="0060297E"/>
    <w:rsid w:val="00602F43"/>
    <w:rsid w:val="00603563"/>
    <w:rsid w:val="006035CB"/>
    <w:rsid w:val="00603B08"/>
    <w:rsid w:val="0060403B"/>
    <w:rsid w:val="00604EAE"/>
    <w:rsid w:val="00604FF9"/>
    <w:rsid w:val="0060525C"/>
    <w:rsid w:val="0060553E"/>
    <w:rsid w:val="00605776"/>
    <w:rsid w:val="006061A6"/>
    <w:rsid w:val="0060671E"/>
    <w:rsid w:val="00606A66"/>
    <w:rsid w:val="00606F99"/>
    <w:rsid w:val="006071E6"/>
    <w:rsid w:val="0060737C"/>
    <w:rsid w:val="00610162"/>
    <w:rsid w:val="00610240"/>
    <w:rsid w:val="0061098F"/>
    <w:rsid w:val="00610ABA"/>
    <w:rsid w:val="00610CC3"/>
    <w:rsid w:val="00610D87"/>
    <w:rsid w:val="00611188"/>
    <w:rsid w:val="00611677"/>
    <w:rsid w:val="00611A93"/>
    <w:rsid w:val="006121DF"/>
    <w:rsid w:val="0061234F"/>
    <w:rsid w:val="006129B5"/>
    <w:rsid w:val="006129F8"/>
    <w:rsid w:val="00613037"/>
    <w:rsid w:val="0061314B"/>
    <w:rsid w:val="006135AB"/>
    <w:rsid w:val="006138E4"/>
    <w:rsid w:val="00613F4D"/>
    <w:rsid w:val="006141DF"/>
    <w:rsid w:val="006144F6"/>
    <w:rsid w:val="006148C3"/>
    <w:rsid w:val="00614C8A"/>
    <w:rsid w:val="00615040"/>
    <w:rsid w:val="00615376"/>
    <w:rsid w:val="00615397"/>
    <w:rsid w:val="006154F4"/>
    <w:rsid w:val="00615D76"/>
    <w:rsid w:val="006160EC"/>
    <w:rsid w:val="0061631A"/>
    <w:rsid w:val="00616407"/>
    <w:rsid w:val="00616958"/>
    <w:rsid w:val="00617025"/>
    <w:rsid w:val="0061720B"/>
    <w:rsid w:val="0061722D"/>
    <w:rsid w:val="006209C3"/>
    <w:rsid w:val="00620CD1"/>
    <w:rsid w:val="00620E5A"/>
    <w:rsid w:val="006210C2"/>
    <w:rsid w:val="006211F1"/>
    <w:rsid w:val="0062185B"/>
    <w:rsid w:val="00621AF6"/>
    <w:rsid w:val="00621B3F"/>
    <w:rsid w:val="00621E81"/>
    <w:rsid w:val="006222DD"/>
    <w:rsid w:val="006228B8"/>
    <w:rsid w:val="006228CA"/>
    <w:rsid w:val="00623940"/>
    <w:rsid w:val="00623F4B"/>
    <w:rsid w:val="00623FBA"/>
    <w:rsid w:val="00624068"/>
    <w:rsid w:val="00624A97"/>
    <w:rsid w:val="006250E9"/>
    <w:rsid w:val="006256A3"/>
    <w:rsid w:val="0062597B"/>
    <w:rsid w:val="00626629"/>
    <w:rsid w:val="00626DEC"/>
    <w:rsid w:val="0062750D"/>
    <w:rsid w:val="00627B74"/>
    <w:rsid w:val="00627CAC"/>
    <w:rsid w:val="00630054"/>
    <w:rsid w:val="0063089E"/>
    <w:rsid w:val="00630E22"/>
    <w:rsid w:val="00631A99"/>
    <w:rsid w:val="0063208A"/>
    <w:rsid w:val="00633B2F"/>
    <w:rsid w:val="006345AC"/>
    <w:rsid w:val="00635AE2"/>
    <w:rsid w:val="006361A0"/>
    <w:rsid w:val="006361BE"/>
    <w:rsid w:val="00636A52"/>
    <w:rsid w:val="00636CCB"/>
    <w:rsid w:val="00637470"/>
    <w:rsid w:val="00637789"/>
    <w:rsid w:val="00637FCB"/>
    <w:rsid w:val="006401C8"/>
    <w:rsid w:val="00640C31"/>
    <w:rsid w:val="00641064"/>
    <w:rsid w:val="00641A99"/>
    <w:rsid w:val="00641B08"/>
    <w:rsid w:val="00642ACC"/>
    <w:rsid w:val="00643226"/>
    <w:rsid w:val="00643B68"/>
    <w:rsid w:val="0064463E"/>
    <w:rsid w:val="00644874"/>
    <w:rsid w:val="0064492E"/>
    <w:rsid w:val="00645285"/>
    <w:rsid w:val="006459EF"/>
    <w:rsid w:val="00645D82"/>
    <w:rsid w:val="006460D9"/>
    <w:rsid w:val="006460FB"/>
    <w:rsid w:val="006462C9"/>
    <w:rsid w:val="00646423"/>
    <w:rsid w:val="006465F3"/>
    <w:rsid w:val="006466D1"/>
    <w:rsid w:val="00646ABA"/>
    <w:rsid w:val="00646AE4"/>
    <w:rsid w:val="00646D95"/>
    <w:rsid w:val="00646DAC"/>
    <w:rsid w:val="0064726D"/>
    <w:rsid w:val="00647782"/>
    <w:rsid w:val="0064793B"/>
    <w:rsid w:val="00647D31"/>
    <w:rsid w:val="00650F5C"/>
    <w:rsid w:val="00650F85"/>
    <w:rsid w:val="00651B3A"/>
    <w:rsid w:val="00651F9C"/>
    <w:rsid w:val="00652614"/>
    <w:rsid w:val="00652CB1"/>
    <w:rsid w:val="00653104"/>
    <w:rsid w:val="00653205"/>
    <w:rsid w:val="0065345B"/>
    <w:rsid w:val="006534BF"/>
    <w:rsid w:val="006537D7"/>
    <w:rsid w:val="0065444A"/>
    <w:rsid w:val="00654682"/>
    <w:rsid w:val="00654C8F"/>
    <w:rsid w:val="00654EA9"/>
    <w:rsid w:val="00654F68"/>
    <w:rsid w:val="00655907"/>
    <w:rsid w:val="00655CF9"/>
    <w:rsid w:val="00655D45"/>
    <w:rsid w:val="0065637A"/>
    <w:rsid w:val="00656956"/>
    <w:rsid w:val="00656DE2"/>
    <w:rsid w:val="0065714C"/>
    <w:rsid w:val="0065718C"/>
    <w:rsid w:val="00657803"/>
    <w:rsid w:val="006578F9"/>
    <w:rsid w:val="0066015C"/>
    <w:rsid w:val="00660774"/>
    <w:rsid w:val="00660A74"/>
    <w:rsid w:val="00660AD0"/>
    <w:rsid w:val="00661071"/>
    <w:rsid w:val="00661DFE"/>
    <w:rsid w:val="00662B68"/>
    <w:rsid w:val="00662E5F"/>
    <w:rsid w:val="006637A3"/>
    <w:rsid w:val="00663D80"/>
    <w:rsid w:val="00664434"/>
    <w:rsid w:val="00664C6B"/>
    <w:rsid w:val="00664CD3"/>
    <w:rsid w:val="006652EB"/>
    <w:rsid w:val="0066561F"/>
    <w:rsid w:val="0066630B"/>
    <w:rsid w:val="0066680D"/>
    <w:rsid w:val="00666A58"/>
    <w:rsid w:val="00667663"/>
    <w:rsid w:val="006678E6"/>
    <w:rsid w:val="006678F5"/>
    <w:rsid w:val="00667E14"/>
    <w:rsid w:val="00667E65"/>
    <w:rsid w:val="006701F2"/>
    <w:rsid w:val="00670650"/>
    <w:rsid w:val="00670AEC"/>
    <w:rsid w:val="00670D35"/>
    <w:rsid w:val="00670F72"/>
    <w:rsid w:val="006711AF"/>
    <w:rsid w:val="006712C0"/>
    <w:rsid w:val="0067160B"/>
    <w:rsid w:val="00671900"/>
    <w:rsid w:val="006721FB"/>
    <w:rsid w:val="00672D4F"/>
    <w:rsid w:val="00674243"/>
    <w:rsid w:val="006744AC"/>
    <w:rsid w:val="0067468F"/>
    <w:rsid w:val="00674C7D"/>
    <w:rsid w:val="00674D89"/>
    <w:rsid w:val="00674FC2"/>
    <w:rsid w:val="0067549E"/>
    <w:rsid w:val="00675638"/>
    <w:rsid w:val="00675D27"/>
    <w:rsid w:val="0067681C"/>
    <w:rsid w:val="00680118"/>
    <w:rsid w:val="0068027F"/>
    <w:rsid w:val="006809A4"/>
    <w:rsid w:val="00680B40"/>
    <w:rsid w:val="00681516"/>
    <w:rsid w:val="0068194C"/>
    <w:rsid w:val="00681EC9"/>
    <w:rsid w:val="006822FA"/>
    <w:rsid w:val="0068288C"/>
    <w:rsid w:val="00682A75"/>
    <w:rsid w:val="0068308E"/>
    <w:rsid w:val="00683096"/>
    <w:rsid w:val="00683F36"/>
    <w:rsid w:val="006844E7"/>
    <w:rsid w:val="00684B94"/>
    <w:rsid w:val="00685433"/>
    <w:rsid w:val="00685589"/>
    <w:rsid w:val="00685D17"/>
    <w:rsid w:val="006860C7"/>
    <w:rsid w:val="00686618"/>
    <w:rsid w:val="0068682C"/>
    <w:rsid w:val="00686C81"/>
    <w:rsid w:val="006870BC"/>
    <w:rsid w:val="00687720"/>
    <w:rsid w:val="0069051A"/>
    <w:rsid w:val="00690565"/>
    <w:rsid w:val="00690C64"/>
    <w:rsid w:val="00690DC5"/>
    <w:rsid w:val="00691B67"/>
    <w:rsid w:val="00692314"/>
    <w:rsid w:val="00692FAA"/>
    <w:rsid w:val="006938AA"/>
    <w:rsid w:val="00693E60"/>
    <w:rsid w:val="00693F4F"/>
    <w:rsid w:val="006943D6"/>
    <w:rsid w:val="006944CC"/>
    <w:rsid w:val="00694512"/>
    <w:rsid w:val="00694594"/>
    <w:rsid w:val="0069474B"/>
    <w:rsid w:val="0069475D"/>
    <w:rsid w:val="00694AA4"/>
    <w:rsid w:val="0069530E"/>
    <w:rsid w:val="00696264"/>
    <w:rsid w:val="0069668C"/>
    <w:rsid w:val="006966C5"/>
    <w:rsid w:val="006968CC"/>
    <w:rsid w:val="006968F1"/>
    <w:rsid w:val="00696AE8"/>
    <w:rsid w:val="00696C7E"/>
    <w:rsid w:val="00697966"/>
    <w:rsid w:val="00697F97"/>
    <w:rsid w:val="006A08CC"/>
    <w:rsid w:val="006A1070"/>
    <w:rsid w:val="006A120A"/>
    <w:rsid w:val="006A127D"/>
    <w:rsid w:val="006A1612"/>
    <w:rsid w:val="006A2C52"/>
    <w:rsid w:val="006A304A"/>
    <w:rsid w:val="006A33F3"/>
    <w:rsid w:val="006A3649"/>
    <w:rsid w:val="006A3A2B"/>
    <w:rsid w:val="006A3E9B"/>
    <w:rsid w:val="006A3FF8"/>
    <w:rsid w:val="006A467A"/>
    <w:rsid w:val="006A4CBF"/>
    <w:rsid w:val="006A51A3"/>
    <w:rsid w:val="006A5272"/>
    <w:rsid w:val="006A5809"/>
    <w:rsid w:val="006A5BFD"/>
    <w:rsid w:val="006A5D30"/>
    <w:rsid w:val="006A5F8D"/>
    <w:rsid w:val="006A66AC"/>
    <w:rsid w:val="006A692B"/>
    <w:rsid w:val="006A6B63"/>
    <w:rsid w:val="006A6BD4"/>
    <w:rsid w:val="006A6BF1"/>
    <w:rsid w:val="006A733D"/>
    <w:rsid w:val="006A76DD"/>
    <w:rsid w:val="006B0AF7"/>
    <w:rsid w:val="006B0D4F"/>
    <w:rsid w:val="006B15EA"/>
    <w:rsid w:val="006B19B3"/>
    <w:rsid w:val="006B1A36"/>
    <w:rsid w:val="006B1CC8"/>
    <w:rsid w:val="006B294C"/>
    <w:rsid w:val="006B2E2A"/>
    <w:rsid w:val="006B3032"/>
    <w:rsid w:val="006B3039"/>
    <w:rsid w:val="006B37F6"/>
    <w:rsid w:val="006B424E"/>
    <w:rsid w:val="006B42C9"/>
    <w:rsid w:val="006B49A1"/>
    <w:rsid w:val="006B4B09"/>
    <w:rsid w:val="006B4B4A"/>
    <w:rsid w:val="006B4EF1"/>
    <w:rsid w:val="006B5563"/>
    <w:rsid w:val="006B5C6E"/>
    <w:rsid w:val="006B61E0"/>
    <w:rsid w:val="006B6440"/>
    <w:rsid w:val="006B66AF"/>
    <w:rsid w:val="006B6985"/>
    <w:rsid w:val="006B6C3A"/>
    <w:rsid w:val="006B6E36"/>
    <w:rsid w:val="006B75C6"/>
    <w:rsid w:val="006B789A"/>
    <w:rsid w:val="006C049A"/>
    <w:rsid w:val="006C052B"/>
    <w:rsid w:val="006C093D"/>
    <w:rsid w:val="006C0B0C"/>
    <w:rsid w:val="006C0E21"/>
    <w:rsid w:val="006C169B"/>
    <w:rsid w:val="006C18C0"/>
    <w:rsid w:val="006C2475"/>
    <w:rsid w:val="006C282F"/>
    <w:rsid w:val="006C354C"/>
    <w:rsid w:val="006C3577"/>
    <w:rsid w:val="006C35F7"/>
    <w:rsid w:val="006C394E"/>
    <w:rsid w:val="006C3B42"/>
    <w:rsid w:val="006C3B76"/>
    <w:rsid w:val="006C4572"/>
    <w:rsid w:val="006C45BA"/>
    <w:rsid w:val="006C4D58"/>
    <w:rsid w:val="006C4E20"/>
    <w:rsid w:val="006C56A8"/>
    <w:rsid w:val="006C5AAE"/>
    <w:rsid w:val="006C5B86"/>
    <w:rsid w:val="006C5EC7"/>
    <w:rsid w:val="006C5FB4"/>
    <w:rsid w:val="006C6732"/>
    <w:rsid w:val="006C6F73"/>
    <w:rsid w:val="006C71FD"/>
    <w:rsid w:val="006C7264"/>
    <w:rsid w:val="006C7570"/>
    <w:rsid w:val="006C77E9"/>
    <w:rsid w:val="006C7913"/>
    <w:rsid w:val="006C7B03"/>
    <w:rsid w:val="006C7E02"/>
    <w:rsid w:val="006D00FA"/>
    <w:rsid w:val="006D0613"/>
    <w:rsid w:val="006D0E1B"/>
    <w:rsid w:val="006D0EC2"/>
    <w:rsid w:val="006D0ED4"/>
    <w:rsid w:val="006D112E"/>
    <w:rsid w:val="006D147F"/>
    <w:rsid w:val="006D148A"/>
    <w:rsid w:val="006D1C17"/>
    <w:rsid w:val="006D2243"/>
    <w:rsid w:val="006D26BE"/>
    <w:rsid w:val="006D2786"/>
    <w:rsid w:val="006D2C89"/>
    <w:rsid w:val="006D2E1F"/>
    <w:rsid w:val="006D2F3B"/>
    <w:rsid w:val="006D306B"/>
    <w:rsid w:val="006D4233"/>
    <w:rsid w:val="006D4482"/>
    <w:rsid w:val="006D4C04"/>
    <w:rsid w:val="006D4C72"/>
    <w:rsid w:val="006D4E4C"/>
    <w:rsid w:val="006D5585"/>
    <w:rsid w:val="006D56C0"/>
    <w:rsid w:val="006D5B01"/>
    <w:rsid w:val="006D5E14"/>
    <w:rsid w:val="006D5F76"/>
    <w:rsid w:val="006D6000"/>
    <w:rsid w:val="006D639B"/>
    <w:rsid w:val="006D64F0"/>
    <w:rsid w:val="006D65DF"/>
    <w:rsid w:val="006D6D96"/>
    <w:rsid w:val="006D6E64"/>
    <w:rsid w:val="006D7031"/>
    <w:rsid w:val="006D7211"/>
    <w:rsid w:val="006D7598"/>
    <w:rsid w:val="006D75C8"/>
    <w:rsid w:val="006E06E6"/>
    <w:rsid w:val="006E0D2C"/>
    <w:rsid w:val="006E0F63"/>
    <w:rsid w:val="006E15D4"/>
    <w:rsid w:val="006E1816"/>
    <w:rsid w:val="006E22B0"/>
    <w:rsid w:val="006E260D"/>
    <w:rsid w:val="006E2E3C"/>
    <w:rsid w:val="006E301A"/>
    <w:rsid w:val="006E320C"/>
    <w:rsid w:val="006E3E62"/>
    <w:rsid w:val="006E3FF2"/>
    <w:rsid w:val="006E486A"/>
    <w:rsid w:val="006E528C"/>
    <w:rsid w:val="006E5D0E"/>
    <w:rsid w:val="006E6025"/>
    <w:rsid w:val="006E60BF"/>
    <w:rsid w:val="006E6481"/>
    <w:rsid w:val="006E659F"/>
    <w:rsid w:val="006E6936"/>
    <w:rsid w:val="006E6DC9"/>
    <w:rsid w:val="006E72DE"/>
    <w:rsid w:val="006E7822"/>
    <w:rsid w:val="006F0257"/>
    <w:rsid w:val="006F0C5B"/>
    <w:rsid w:val="006F0D46"/>
    <w:rsid w:val="006F125A"/>
    <w:rsid w:val="006F12B7"/>
    <w:rsid w:val="006F1357"/>
    <w:rsid w:val="006F16AA"/>
    <w:rsid w:val="006F1BD9"/>
    <w:rsid w:val="006F1D32"/>
    <w:rsid w:val="006F23DD"/>
    <w:rsid w:val="006F2F5B"/>
    <w:rsid w:val="006F3359"/>
    <w:rsid w:val="006F3362"/>
    <w:rsid w:val="006F3CFF"/>
    <w:rsid w:val="006F44BE"/>
    <w:rsid w:val="006F494B"/>
    <w:rsid w:val="006F5119"/>
    <w:rsid w:val="006F5158"/>
    <w:rsid w:val="006F51FC"/>
    <w:rsid w:val="006F5842"/>
    <w:rsid w:val="006F5C2C"/>
    <w:rsid w:val="006F6302"/>
    <w:rsid w:val="006F632E"/>
    <w:rsid w:val="006F63A4"/>
    <w:rsid w:val="006F6D68"/>
    <w:rsid w:val="006F7062"/>
    <w:rsid w:val="006F7441"/>
    <w:rsid w:val="00700132"/>
    <w:rsid w:val="00700950"/>
    <w:rsid w:val="00701136"/>
    <w:rsid w:val="00701154"/>
    <w:rsid w:val="00701833"/>
    <w:rsid w:val="0070191C"/>
    <w:rsid w:val="007024D3"/>
    <w:rsid w:val="00702CC0"/>
    <w:rsid w:val="00702FCD"/>
    <w:rsid w:val="0070319A"/>
    <w:rsid w:val="00703359"/>
    <w:rsid w:val="00703405"/>
    <w:rsid w:val="007034AD"/>
    <w:rsid w:val="00703605"/>
    <w:rsid w:val="00703C2E"/>
    <w:rsid w:val="00703CB4"/>
    <w:rsid w:val="00704A14"/>
    <w:rsid w:val="00705242"/>
    <w:rsid w:val="00705335"/>
    <w:rsid w:val="00705470"/>
    <w:rsid w:val="0070581F"/>
    <w:rsid w:val="0070599C"/>
    <w:rsid w:val="00705E5E"/>
    <w:rsid w:val="00707138"/>
    <w:rsid w:val="0070755D"/>
    <w:rsid w:val="00707C18"/>
    <w:rsid w:val="007103A9"/>
    <w:rsid w:val="007111F7"/>
    <w:rsid w:val="0071189F"/>
    <w:rsid w:val="00711F0B"/>
    <w:rsid w:val="0071202E"/>
    <w:rsid w:val="00712121"/>
    <w:rsid w:val="00712334"/>
    <w:rsid w:val="007125D4"/>
    <w:rsid w:val="00712E72"/>
    <w:rsid w:val="00712FD4"/>
    <w:rsid w:val="0071327B"/>
    <w:rsid w:val="00713C33"/>
    <w:rsid w:val="007144D5"/>
    <w:rsid w:val="0071560E"/>
    <w:rsid w:val="00715D8F"/>
    <w:rsid w:val="007165AD"/>
    <w:rsid w:val="00716687"/>
    <w:rsid w:val="00716AD2"/>
    <w:rsid w:val="00717475"/>
    <w:rsid w:val="0071773E"/>
    <w:rsid w:val="00717D6F"/>
    <w:rsid w:val="00720232"/>
    <w:rsid w:val="007203CA"/>
    <w:rsid w:val="00720718"/>
    <w:rsid w:val="00720BFA"/>
    <w:rsid w:val="0072244B"/>
    <w:rsid w:val="007226F5"/>
    <w:rsid w:val="007227A5"/>
    <w:rsid w:val="007227E8"/>
    <w:rsid w:val="00722862"/>
    <w:rsid w:val="0072316B"/>
    <w:rsid w:val="00723949"/>
    <w:rsid w:val="00723A0A"/>
    <w:rsid w:val="00723B2C"/>
    <w:rsid w:val="00723F1A"/>
    <w:rsid w:val="007242ED"/>
    <w:rsid w:val="0072430B"/>
    <w:rsid w:val="00724552"/>
    <w:rsid w:val="00724E99"/>
    <w:rsid w:val="00724ED0"/>
    <w:rsid w:val="00724F92"/>
    <w:rsid w:val="00725176"/>
    <w:rsid w:val="007253D6"/>
    <w:rsid w:val="0072578A"/>
    <w:rsid w:val="0072597A"/>
    <w:rsid w:val="00726055"/>
    <w:rsid w:val="007260D6"/>
    <w:rsid w:val="00726209"/>
    <w:rsid w:val="007266FA"/>
    <w:rsid w:val="007269B7"/>
    <w:rsid w:val="00726DC9"/>
    <w:rsid w:val="00726E54"/>
    <w:rsid w:val="00727481"/>
    <w:rsid w:val="00727700"/>
    <w:rsid w:val="00727DFC"/>
    <w:rsid w:val="0073018E"/>
    <w:rsid w:val="007302CE"/>
    <w:rsid w:val="007308D4"/>
    <w:rsid w:val="00731BC6"/>
    <w:rsid w:val="00733132"/>
    <w:rsid w:val="00733303"/>
    <w:rsid w:val="007339F7"/>
    <w:rsid w:val="00734216"/>
    <w:rsid w:val="00734279"/>
    <w:rsid w:val="007344E1"/>
    <w:rsid w:val="00734F7E"/>
    <w:rsid w:val="00735975"/>
    <w:rsid w:val="00735F43"/>
    <w:rsid w:val="0073628A"/>
    <w:rsid w:val="0073651C"/>
    <w:rsid w:val="0073679C"/>
    <w:rsid w:val="0073792C"/>
    <w:rsid w:val="00737B04"/>
    <w:rsid w:val="00740332"/>
    <w:rsid w:val="00740DBA"/>
    <w:rsid w:val="007411DD"/>
    <w:rsid w:val="00741EE2"/>
    <w:rsid w:val="0074257A"/>
    <w:rsid w:val="0074300E"/>
    <w:rsid w:val="0074342E"/>
    <w:rsid w:val="007447AF"/>
    <w:rsid w:val="00744AE1"/>
    <w:rsid w:val="00744D60"/>
    <w:rsid w:val="00745270"/>
    <w:rsid w:val="007456D5"/>
    <w:rsid w:val="007469B2"/>
    <w:rsid w:val="00747434"/>
    <w:rsid w:val="00747712"/>
    <w:rsid w:val="0074773F"/>
    <w:rsid w:val="0074776E"/>
    <w:rsid w:val="0074788B"/>
    <w:rsid w:val="00747D2F"/>
    <w:rsid w:val="00747FFB"/>
    <w:rsid w:val="007500C5"/>
    <w:rsid w:val="00750EA8"/>
    <w:rsid w:val="00751047"/>
    <w:rsid w:val="007510AC"/>
    <w:rsid w:val="0075131F"/>
    <w:rsid w:val="0075137C"/>
    <w:rsid w:val="00751A2F"/>
    <w:rsid w:val="00751D36"/>
    <w:rsid w:val="007521FB"/>
    <w:rsid w:val="0075255C"/>
    <w:rsid w:val="0075257A"/>
    <w:rsid w:val="00752B96"/>
    <w:rsid w:val="00752E46"/>
    <w:rsid w:val="0075336C"/>
    <w:rsid w:val="0075364D"/>
    <w:rsid w:val="0075418A"/>
    <w:rsid w:val="00754A8F"/>
    <w:rsid w:val="00754AF8"/>
    <w:rsid w:val="00755405"/>
    <w:rsid w:val="007556E4"/>
    <w:rsid w:val="00755FFE"/>
    <w:rsid w:val="0075697A"/>
    <w:rsid w:val="00757702"/>
    <w:rsid w:val="007579E8"/>
    <w:rsid w:val="00760B14"/>
    <w:rsid w:val="00760C02"/>
    <w:rsid w:val="00760DB7"/>
    <w:rsid w:val="0076159D"/>
    <w:rsid w:val="00761A01"/>
    <w:rsid w:val="00761B44"/>
    <w:rsid w:val="00761B89"/>
    <w:rsid w:val="00761FED"/>
    <w:rsid w:val="00762423"/>
    <w:rsid w:val="0076260D"/>
    <w:rsid w:val="00762ABA"/>
    <w:rsid w:val="00762C4E"/>
    <w:rsid w:val="00763B77"/>
    <w:rsid w:val="00764688"/>
    <w:rsid w:val="007648DB"/>
    <w:rsid w:val="00764ADF"/>
    <w:rsid w:val="00765DCE"/>
    <w:rsid w:val="00765FE5"/>
    <w:rsid w:val="00766053"/>
    <w:rsid w:val="00766179"/>
    <w:rsid w:val="00766242"/>
    <w:rsid w:val="00766487"/>
    <w:rsid w:val="00766611"/>
    <w:rsid w:val="00766725"/>
    <w:rsid w:val="0076684F"/>
    <w:rsid w:val="00766C14"/>
    <w:rsid w:val="0076702C"/>
    <w:rsid w:val="00767218"/>
    <w:rsid w:val="00767CA7"/>
    <w:rsid w:val="00767F67"/>
    <w:rsid w:val="00767F6C"/>
    <w:rsid w:val="007704B3"/>
    <w:rsid w:val="00770C44"/>
    <w:rsid w:val="00770CEC"/>
    <w:rsid w:val="007714BA"/>
    <w:rsid w:val="007715D3"/>
    <w:rsid w:val="00771CBB"/>
    <w:rsid w:val="0077235F"/>
    <w:rsid w:val="007723A2"/>
    <w:rsid w:val="00772500"/>
    <w:rsid w:val="007727BB"/>
    <w:rsid w:val="00772829"/>
    <w:rsid w:val="007730C2"/>
    <w:rsid w:val="007730E9"/>
    <w:rsid w:val="00773823"/>
    <w:rsid w:val="00775562"/>
    <w:rsid w:val="00775696"/>
    <w:rsid w:val="00775716"/>
    <w:rsid w:val="007757B7"/>
    <w:rsid w:val="00776780"/>
    <w:rsid w:val="00776D37"/>
    <w:rsid w:val="00777522"/>
    <w:rsid w:val="00777848"/>
    <w:rsid w:val="00777893"/>
    <w:rsid w:val="00777DAF"/>
    <w:rsid w:val="00780178"/>
    <w:rsid w:val="007802CE"/>
    <w:rsid w:val="00780332"/>
    <w:rsid w:val="00780588"/>
    <w:rsid w:val="007809C3"/>
    <w:rsid w:val="00781574"/>
    <w:rsid w:val="00782120"/>
    <w:rsid w:val="007829CB"/>
    <w:rsid w:val="00783DD9"/>
    <w:rsid w:val="007852E9"/>
    <w:rsid w:val="0078595A"/>
    <w:rsid w:val="00785B27"/>
    <w:rsid w:val="007871EF"/>
    <w:rsid w:val="0078786C"/>
    <w:rsid w:val="00790B15"/>
    <w:rsid w:val="00790EEE"/>
    <w:rsid w:val="00790F49"/>
    <w:rsid w:val="007913F6"/>
    <w:rsid w:val="007914AC"/>
    <w:rsid w:val="0079202A"/>
    <w:rsid w:val="00792A42"/>
    <w:rsid w:val="007931CB"/>
    <w:rsid w:val="0079435F"/>
    <w:rsid w:val="007947E2"/>
    <w:rsid w:val="0079482E"/>
    <w:rsid w:val="00794844"/>
    <w:rsid w:val="007949E0"/>
    <w:rsid w:val="00794C70"/>
    <w:rsid w:val="007951D4"/>
    <w:rsid w:val="007956E5"/>
    <w:rsid w:val="00795782"/>
    <w:rsid w:val="007960D2"/>
    <w:rsid w:val="00796107"/>
    <w:rsid w:val="00796BD0"/>
    <w:rsid w:val="007970CC"/>
    <w:rsid w:val="007972E4"/>
    <w:rsid w:val="0079757A"/>
    <w:rsid w:val="007976D7"/>
    <w:rsid w:val="00797798"/>
    <w:rsid w:val="0079795D"/>
    <w:rsid w:val="00797B23"/>
    <w:rsid w:val="00797C46"/>
    <w:rsid w:val="007A0AB7"/>
    <w:rsid w:val="007A169B"/>
    <w:rsid w:val="007A192B"/>
    <w:rsid w:val="007A19F6"/>
    <w:rsid w:val="007A1B62"/>
    <w:rsid w:val="007A2368"/>
    <w:rsid w:val="007A2B65"/>
    <w:rsid w:val="007A30D6"/>
    <w:rsid w:val="007A3130"/>
    <w:rsid w:val="007A35F7"/>
    <w:rsid w:val="007A419D"/>
    <w:rsid w:val="007A45AB"/>
    <w:rsid w:val="007A4E17"/>
    <w:rsid w:val="007A5117"/>
    <w:rsid w:val="007A5465"/>
    <w:rsid w:val="007A5617"/>
    <w:rsid w:val="007A570F"/>
    <w:rsid w:val="007A5A8D"/>
    <w:rsid w:val="007A5F31"/>
    <w:rsid w:val="007A61BD"/>
    <w:rsid w:val="007A6324"/>
    <w:rsid w:val="007A698B"/>
    <w:rsid w:val="007A6A23"/>
    <w:rsid w:val="007A6CD1"/>
    <w:rsid w:val="007A7DDB"/>
    <w:rsid w:val="007A7E8A"/>
    <w:rsid w:val="007A7F3F"/>
    <w:rsid w:val="007B0245"/>
    <w:rsid w:val="007B0325"/>
    <w:rsid w:val="007B06DC"/>
    <w:rsid w:val="007B0703"/>
    <w:rsid w:val="007B083F"/>
    <w:rsid w:val="007B0880"/>
    <w:rsid w:val="007B0CF2"/>
    <w:rsid w:val="007B0D01"/>
    <w:rsid w:val="007B1007"/>
    <w:rsid w:val="007B1C4B"/>
    <w:rsid w:val="007B1CD5"/>
    <w:rsid w:val="007B1DEF"/>
    <w:rsid w:val="007B2085"/>
    <w:rsid w:val="007B23FF"/>
    <w:rsid w:val="007B270D"/>
    <w:rsid w:val="007B276D"/>
    <w:rsid w:val="007B27FF"/>
    <w:rsid w:val="007B2904"/>
    <w:rsid w:val="007B29F7"/>
    <w:rsid w:val="007B2C79"/>
    <w:rsid w:val="007B2EEA"/>
    <w:rsid w:val="007B2FDC"/>
    <w:rsid w:val="007B3272"/>
    <w:rsid w:val="007B38A0"/>
    <w:rsid w:val="007B38B7"/>
    <w:rsid w:val="007B3B83"/>
    <w:rsid w:val="007B4510"/>
    <w:rsid w:val="007B4F7B"/>
    <w:rsid w:val="007B5373"/>
    <w:rsid w:val="007B57CA"/>
    <w:rsid w:val="007B583D"/>
    <w:rsid w:val="007B6684"/>
    <w:rsid w:val="007B673D"/>
    <w:rsid w:val="007B6B21"/>
    <w:rsid w:val="007B7024"/>
    <w:rsid w:val="007B77D8"/>
    <w:rsid w:val="007B7AE2"/>
    <w:rsid w:val="007B7C61"/>
    <w:rsid w:val="007C0390"/>
    <w:rsid w:val="007C07DD"/>
    <w:rsid w:val="007C0A22"/>
    <w:rsid w:val="007C0E24"/>
    <w:rsid w:val="007C1020"/>
    <w:rsid w:val="007C12E6"/>
    <w:rsid w:val="007C14A2"/>
    <w:rsid w:val="007C189D"/>
    <w:rsid w:val="007C1CEE"/>
    <w:rsid w:val="007C1E9A"/>
    <w:rsid w:val="007C2089"/>
    <w:rsid w:val="007C2215"/>
    <w:rsid w:val="007C24AB"/>
    <w:rsid w:val="007C2515"/>
    <w:rsid w:val="007C300E"/>
    <w:rsid w:val="007C328D"/>
    <w:rsid w:val="007C336F"/>
    <w:rsid w:val="007C33AC"/>
    <w:rsid w:val="007C35E1"/>
    <w:rsid w:val="007C41B1"/>
    <w:rsid w:val="007C4712"/>
    <w:rsid w:val="007C50FB"/>
    <w:rsid w:val="007C5651"/>
    <w:rsid w:val="007C57B6"/>
    <w:rsid w:val="007C6494"/>
    <w:rsid w:val="007C6909"/>
    <w:rsid w:val="007C693A"/>
    <w:rsid w:val="007C70AB"/>
    <w:rsid w:val="007D052F"/>
    <w:rsid w:val="007D0582"/>
    <w:rsid w:val="007D0CD5"/>
    <w:rsid w:val="007D0E9A"/>
    <w:rsid w:val="007D1683"/>
    <w:rsid w:val="007D16F1"/>
    <w:rsid w:val="007D17BD"/>
    <w:rsid w:val="007D1864"/>
    <w:rsid w:val="007D1A6D"/>
    <w:rsid w:val="007D2A39"/>
    <w:rsid w:val="007D30B7"/>
    <w:rsid w:val="007D3243"/>
    <w:rsid w:val="007D3827"/>
    <w:rsid w:val="007D3947"/>
    <w:rsid w:val="007D4164"/>
    <w:rsid w:val="007D4B68"/>
    <w:rsid w:val="007D4F3D"/>
    <w:rsid w:val="007D4F6A"/>
    <w:rsid w:val="007D531C"/>
    <w:rsid w:val="007D5498"/>
    <w:rsid w:val="007D56B2"/>
    <w:rsid w:val="007D60E1"/>
    <w:rsid w:val="007D66EB"/>
    <w:rsid w:val="007D74A9"/>
    <w:rsid w:val="007D7B34"/>
    <w:rsid w:val="007E07B2"/>
    <w:rsid w:val="007E0D0C"/>
    <w:rsid w:val="007E12AB"/>
    <w:rsid w:val="007E15AD"/>
    <w:rsid w:val="007E1F2C"/>
    <w:rsid w:val="007E203C"/>
    <w:rsid w:val="007E2467"/>
    <w:rsid w:val="007E25ED"/>
    <w:rsid w:val="007E293E"/>
    <w:rsid w:val="007E2BC0"/>
    <w:rsid w:val="007E3118"/>
    <w:rsid w:val="007E3151"/>
    <w:rsid w:val="007E35F6"/>
    <w:rsid w:val="007E3CE2"/>
    <w:rsid w:val="007E4942"/>
    <w:rsid w:val="007E4A7A"/>
    <w:rsid w:val="007E4B19"/>
    <w:rsid w:val="007E68B6"/>
    <w:rsid w:val="007E7313"/>
    <w:rsid w:val="007E7912"/>
    <w:rsid w:val="007F0844"/>
    <w:rsid w:val="007F0A15"/>
    <w:rsid w:val="007F0C91"/>
    <w:rsid w:val="007F1842"/>
    <w:rsid w:val="007F26DB"/>
    <w:rsid w:val="007F2848"/>
    <w:rsid w:val="007F2F72"/>
    <w:rsid w:val="007F3607"/>
    <w:rsid w:val="007F4375"/>
    <w:rsid w:val="007F49E1"/>
    <w:rsid w:val="007F5BC7"/>
    <w:rsid w:val="007F606D"/>
    <w:rsid w:val="007F60A8"/>
    <w:rsid w:val="007F67E9"/>
    <w:rsid w:val="007F695E"/>
    <w:rsid w:val="007F735D"/>
    <w:rsid w:val="007F7521"/>
    <w:rsid w:val="007F77B9"/>
    <w:rsid w:val="007F7C7B"/>
    <w:rsid w:val="007F7EAD"/>
    <w:rsid w:val="008003A2"/>
    <w:rsid w:val="0080051A"/>
    <w:rsid w:val="00800F7B"/>
    <w:rsid w:val="008013E3"/>
    <w:rsid w:val="008019A6"/>
    <w:rsid w:val="00801CD5"/>
    <w:rsid w:val="00801F38"/>
    <w:rsid w:val="008024C1"/>
    <w:rsid w:val="00802A34"/>
    <w:rsid w:val="0080306F"/>
    <w:rsid w:val="008031EE"/>
    <w:rsid w:val="008040A2"/>
    <w:rsid w:val="00804381"/>
    <w:rsid w:val="00804632"/>
    <w:rsid w:val="00804D9C"/>
    <w:rsid w:val="00805229"/>
    <w:rsid w:val="008054D9"/>
    <w:rsid w:val="008060D9"/>
    <w:rsid w:val="0080667A"/>
    <w:rsid w:val="00806688"/>
    <w:rsid w:val="00806C59"/>
    <w:rsid w:val="00807001"/>
    <w:rsid w:val="008074E7"/>
    <w:rsid w:val="008077EF"/>
    <w:rsid w:val="0080789C"/>
    <w:rsid w:val="00807A3E"/>
    <w:rsid w:val="00810338"/>
    <w:rsid w:val="00810937"/>
    <w:rsid w:val="00810A1D"/>
    <w:rsid w:val="00810E99"/>
    <w:rsid w:val="008115C7"/>
    <w:rsid w:val="008116C0"/>
    <w:rsid w:val="00811742"/>
    <w:rsid w:val="00811EF8"/>
    <w:rsid w:val="00812106"/>
    <w:rsid w:val="00812282"/>
    <w:rsid w:val="008126D2"/>
    <w:rsid w:val="008126DF"/>
    <w:rsid w:val="00813F58"/>
    <w:rsid w:val="008143FB"/>
    <w:rsid w:val="008148E4"/>
    <w:rsid w:val="008152AC"/>
    <w:rsid w:val="008157F1"/>
    <w:rsid w:val="0081672F"/>
    <w:rsid w:val="00816B22"/>
    <w:rsid w:val="00816C50"/>
    <w:rsid w:val="00816D77"/>
    <w:rsid w:val="00816EC2"/>
    <w:rsid w:val="0082051F"/>
    <w:rsid w:val="00820891"/>
    <w:rsid w:val="00820EE5"/>
    <w:rsid w:val="0082165F"/>
    <w:rsid w:val="0082198A"/>
    <w:rsid w:val="0082255B"/>
    <w:rsid w:val="0082258C"/>
    <w:rsid w:val="008226AE"/>
    <w:rsid w:val="008226FD"/>
    <w:rsid w:val="00822727"/>
    <w:rsid w:val="0082318F"/>
    <w:rsid w:val="008236E1"/>
    <w:rsid w:val="008243CA"/>
    <w:rsid w:val="00824458"/>
    <w:rsid w:val="0082461B"/>
    <w:rsid w:val="008248F5"/>
    <w:rsid w:val="008249F7"/>
    <w:rsid w:val="00824B74"/>
    <w:rsid w:val="00825223"/>
    <w:rsid w:val="00825800"/>
    <w:rsid w:val="00826594"/>
    <w:rsid w:val="0082664C"/>
    <w:rsid w:val="0082673A"/>
    <w:rsid w:val="00826993"/>
    <w:rsid w:val="00827027"/>
    <w:rsid w:val="0082732A"/>
    <w:rsid w:val="00827762"/>
    <w:rsid w:val="00827E4D"/>
    <w:rsid w:val="00830396"/>
    <w:rsid w:val="00830536"/>
    <w:rsid w:val="00830B88"/>
    <w:rsid w:val="008316E5"/>
    <w:rsid w:val="00832601"/>
    <w:rsid w:val="008331C1"/>
    <w:rsid w:val="008333C5"/>
    <w:rsid w:val="008333F4"/>
    <w:rsid w:val="008336A3"/>
    <w:rsid w:val="00835197"/>
    <w:rsid w:val="008355A9"/>
    <w:rsid w:val="00835AEC"/>
    <w:rsid w:val="00835DF6"/>
    <w:rsid w:val="00835EC9"/>
    <w:rsid w:val="008364CE"/>
    <w:rsid w:val="008368F1"/>
    <w:rsid w:val="008379C3"/>
    <w:rsid w:val="00840157"/>
    <w:rsid w:val="008402BD"/>
    <w:rsid w:val="008411FB"/>
    <w:rsid w:val="00841388"/>
    <w:rsid w:val="00841560"/>
    <w:rsid w:val="00841DA2"/>
    <w:rsid w:val="00841EFB"/>
    <w:rsid w:val="00841F44"/>
    <w:rsid w:val="008420AA"/>
    <w:rsid w:val="008428C0"/>
    <w:rsid w:val="00842C82"/>
    <w:rsid w:val="008431FF"/>
    <w:rsid w:val="00843222"/>
    <w:rsid w:val="00843644"/>
    <w:rsid w:val="008436D7"/>
    <w:rsid w:val="00843A35"/>
    <w:rsid w:val="00843B9C"/>
    <w:rsid w:val="008440FE"/>
    <w:rsid w:val="00844263"/>
    <w:rsid w:val="00844A36"/>
    <w:rsid w:val="00844C06"/>
    <w:rsid w:val="00845077"/>
    <w:rsid w:val="008454E5"/>
    <w:rsid w:val="00845CCF"/>
    <w:rsid w:val="00845F07"/>
    <w:rsid w:val="00846119"/>
    <w:rsid w:val="00846594"/>
    <w:rsid w:val="00846C2D"/>
    <w:rsid w:val="00847174"/>
    <w:rsid w:val="008474E3"/>
    <w:rsid w:val="00847A7E"/>
    <w:rsid w:val="00847B86"/>
    <w:rsid w:val="00850446"/>
    <w:rsid w:val="00850C0D"/>
    <w:rsid w:val="008523F9"/>
    <w:rsid w:val="008526C2"/>
    <w:rsid w:val="008526CF"/>
    <w:rsid w:val="008527ED"/>
    <w:rsid w:val="0085280F"/>
    <w:rsid w:val="008533B3"/>
    <w:rsid w:val="008534FF"/>
    <w:rsid w:val="008537F7"/>
    <w:rsid w:val="00854521"/>
    <w:rsid w:val="008546BE"/>
    <w:rsid w:val="00854834"/>
    <w:rsid w:val="00854F39"/>
    <w:rsid w:val="00856032"/>
    <w:rsid w:val="00856074"/>
    <w:rsid w:val="00856C15"/>
    <w:rsid w:val="00856DB6"/>
    <w:rsid w:val="00856F44"/>
    <w:rsid w:val="00857949"/>
    <w:rsid w:val="00857C38"/>
    <w:rsid w:val="00857EC2"/>
    <w:rsid w:val="00857FAA"/>
    <w:rsid w:val="0086145D"/>
    <w:rsid w:val="008617EF"/>
    <w:rsid w:val="00862131"/>
    <w:rsid w:val="00863221"/>
    <w:rsid w:val="0086362C"/>
    <w:rsid w:val="00863651"/>
    <w:rsid w:val="008636CA"/>
    <w:rsid w:val="008636CF"/>
    <w:rsid w:val="00863BBF"/>
    <w:rsid w:val="00863C42"/>
    <w:rsid w:val="00863DC2"/>
    <w:rsid w:val="00863F8B"/>
    <w:rsid w:val="00864062"/>
    <w:rsid w:val="00864735"/>
    <w:rsid w:val="008652DE"/>
    <w:rsid w:val="00866050"/>
    <w:rsid w:val="00866580"/>
    <w:rsid w:val="00866A41"/>
    <w:rsid w:val="00867A31"/>
    <w:rsid w:val="0087005E"/>
    <w:rsid w:val="008703AA"/>
    <w:rsid w:val="00870ADB"/>
    <w:rsid w:val="0087132A"/>
    <w:rsid w:val="008719A6"/>
    <w:rsid w:val="00871DC2"/>
    <w:rsid w:val="00871E10"/>
    <w:rsid w:val="00871E2D"/>
    <w:rsid w:val="00872598"/>
    <w:rsid w:val="00872640"/>
    <w:rsid w:val="0087277A"/>
    <w:rsid w:val="00872916"/>
    <w:rsid w:val="00872A47"/>
    <w:rsid w:val="00872C67"/>
    <w:rsid w:val="0087309F"/>
    <w:rsid w:val="0087350F"/>
    <w:rsid w:val="0087366F"/>
    <w:rsid w:val="00873694"/>
    <w:rsid w:val="008736E2"/>
    <w:rsid w:val="00873EC2"/>
    <w:rsid w:val="00873F0E"/>
    <w:rsid w:val="008741FF"/>
    <w:rsid w:val="00874565"/>
    <w:rsid w:val="00874719"/>
    <w:rsid w:val="008747FE"/>
    <w:rsid w:val="00874E6F"/>
    <w:rsid w:val="00875166"/>
    <w:rsid w:val="00875285"/>
    <w:rsid w:val="0087531D"/>
    <w:rsid w:val="00875BE9"/>
    <w:rsid w:val="00876284"/>
    <w:rsid w:val="0087664A"/>
    <w:rsid w:val="00877247"/>
    <w:rsid w:val="008801AE"/>
    <w:rsid w:val="00880AA3"/>
    <w:rsid w:val="008817CA"/>
    <w:rsid w:val="0088259C"/>
    <w:rsid w:val="00882ADB"/>
    <w:rsid w:val="0088318F"/>
    <w:rsid w:val="00883214"/>
    <w:rsid w:val="008838BC"/>
    <w:rsid w:val="00883966"/>
    <w:rsid w:val="00883B9F"/>
    <w:rsid w:val="00883D74"/>
    <w:rsid w:val="00883E64"/>
    <w:rsid w:val="0088421C"/>
    <w:rsid w:val="0088437D"/>
    <w:rsid w:val="0088445B"/>
    <w:rsid w:val="00884529"/>
    <w:rsid w:val="008849BD"/>
    <w:rsid w:val="00884DB8"/>
    <w:rsid w:val="008850C9"/>
    <w:rsid w:val="00885119"/>
    <w:rsid w:val="00885920"/>
    <w:rsid w:val="00885AEA"/>
    <w:rsid w:val="00885E9F"/>
    <w:rsid w:val="0088618E"/>
    <w:rsid w:val="008861B3"/>
    <w:rsid w:val="0088646F"/>
    <w:rsid w:val="0088775D"/>
    <w:rsid w:val="00887886"/>
    <w:rsid w:val="00887D22"/>
    <w:rsid w:val="00887EE6"/>
    <w:rsid w:val="008905D9"/>
    <w:rsid w:val="00890B62"/>
    <w:rsid w:val="0089144F"/>
    <w:rsid w:val="0089170C"/>
    <w:rsid w:val="008918AF"/>
    <w:rsid w:val="00891AF6"/>
    <w:rsid w:val="00891BC3"/>
    <w:rsid w:val="00891BD4"/>
    <w:rsid w:val="008929E6"/>
    <w:rsid w:val="00892F2D"/>
    <w:rsid w:val="008937C8"/>
    <w:rsid w:val="00893A75"/>
    <w:rsid w:val="0089411A"/>
    <w:rsid w:val="0089478E"/>
    <w:rsid w:val="00894976"/>
    <w:rsid w:val="00894B8E"/>
    <w:rsid w:val="00894EE2"/>
    <w:rsid w:val="008950DE"/>
    <w:rsid w:val="0089516C"/>
    <w:rsid w:val="008952F8"/>
    <w:rsid w:val="008967C4"/>
    <w:rsid w:val="00896820"/>
    <w:rsid w:val="00896D62"/>
    <w:rsid w:val="008A0001"/>
    <w:rsid w:val="008A0191"/>
    <w:rsid w:val="008A020D"/>
    <w:rsid w:val="008A058D"/>
    <w:rsid w:val="008A07D1"/>
    <w:rsid w:val="008A0D2A"/>
    <w:rsid w:val="008A151E"/>
    <w:rsid w:val="008A152A"/>
    <w:rsid w:val="008A155B"/>
    <w:rsid w:val="008A1693"/>
    <w:rsid w:val="008A1EC4"/>
    <w:rsid w:val="008A254F"/>
    <w:rsid w:val="008A2630"/>
    <w:rsid w:val="008A2D9E"/>
    <w:rsid w:val="008A2EEB"/>
    <w:rsid w:val="008A3458"/>
    <w:rsid w:val="008A3AFB"/>
    <w:rsid w:val="008A42B4"/>
    <w:rsid w:val="008A46FC"/>
    <w:rsid w:val="008A4A0A"/>
    <w:rsid w:val="008A4A27"/>
    <w:rsid w:val="008A4D1E"/>
    <w:rsid w:val="008A5399"/>
    <w:rsid w:val="008A5833"/>
    <w:rsid w:val="008A5B3F"/>
    <w:rsid w:val="008A65D5"/>
    <w:rsid w:val="008A723E"/>
    <w:rsid w:val="008A7A27"/>
    <w:rsid w:val="008B0679"/>
    <w:rsid w:val="008B0DFC"/>
    <w:rsid w:val="008B1238"/>
    <w:rsid w:val="008B1391"/>
    <w:rsid w:val="008B232F"/>
    <w:rsid w:val="008B2781"/>
    <w:rsid w:val="008B2834"/>
    <w:rsid w:val="008B2D21"/>
    <w:rsid w:val="008B320F"/>
    <w:rsid w:val="008B34B6"/>
    <w:rsid w:val="008B3A08"/>
    <w:rsid w:val="008B3A88"/>
    <w:rsid w:val="008B4071"/>
    <w:rsid w:val="008B4665"/>
    <w:rsid w:val="008B4AD9"/>
    <w:rsid w:val="008B4BFC"/>
    <w:rsid w:val="008B4E4E"/>
    <w:rsid w:val="008B4EB6"/>
    <w:rsid w:val="008B51B4"/>
    <w:rsid w:val="008B53F8"/>
    <w:rsid w:val="008B5968"/>
    <w:rsid w:val="008B5B67"/>
    <w:rsid w:val="008B5D7A"/>
    <w:rsid w:val="008B65F0"/>
    <w:rsid w:val="008B66E3"/>
    <w:rsid w:val="008B6D3D"/>
    <w:rsid w:val="008B7353"/>
    <w:rsid w:val="008B74A7"/>
    <w:rsid w:val="008B7848"/>
    <w:rsid w:val="008B79F7"/>
    <w:rsid w:val="008B7BF0"/>
    <w:rsid w:val="008B7D5C"/>
    <w:rsid w:val="008C049A"/>
    <w:rsid w:val="008C0F57"/>
    <w:rsid w:val="008C10F6"/>
    <w:rsid w:val="008C1450"/>
    <w:rsid w:val="008C188A"/>
    <w:rsid w:val="008C1A06"/>
    <w:rsid w:val="008C1E05"/>
    <w:rsid w:val="008C216E"/>
    <w:rsid w:val="008C34BB"/>
    <w:rsid w:val="008C45E2"/>
    <w:rsid w:val="008C5126"/>
    <w:rsid w:val="008C5205"/>
    <w:rsid w:val="008C5308"/>
    <w:rsid w:val="008C5885"/>
    <w:rsid w:val="008C5A18"/>
    <w:rsid w:val="008C5A1C"/>
    <w:rsid w:val="008C5CDC"/>
    <w:rsid w:val="008C5E61"/>
    <w:rsid w:val="008C7D97"/>
    <w:rsid w:val="008D00C6"/>
    <w:rsid w:val="008D08EF"/>
    <w:rsid w:val="008D0A5A"/>
    <w:rsid w:val="008D19A7"/>
    <w:rsid w:val="008D1D4A"/>
    <w:rsid w:val="008D1F84"/>
    <w:rsid w:val="008D2876"/>
    <w:rsid w:val="008D2D82"/>
    <w:rsid w:val="008D3084"/>
    <w:rsid w:val="008D3726"/>
    <w:rsid w:val="008D3C12"/>
    <w:rsid w:val="008D3DEA"/>
    <w:rsid w:val="008D3E14"/>
    <w:rsid w:val="008D3E41"/>
    <w:rsid w:val="008D3EFA"/>
    <w:rsid w:val="008D3EFB"/>
    <w:rsid w:val="008D441C"/>
    <w:rsid w:val="008D457A"/>
    <w:rsid w:val="008D4A00"/>
    <w:rsid w:val="008D4CB0"/>
    <w:rsid w:val="008D4CC5"/>
    <w:rsid w:val="008D4E28"/>
    <w:rsid w:val="008D5134"/>
    <w:rsid w:val="008D52E7"/>
    <w:rsid w:val="008D5436"/>
    <w:rsid w:val="008D6119"/>
    <w:rsid w:val="008D61F9"/>
    <w:rsid w:val="008D6397"/>
    <w:rsid w:val="008D66A0"/>
    <w:rsid w:val="008D6ABC"/>
    <w:rsid w:val="008D6D17"/>
    <w:rsid w:val="008D7241"/>
    <w:rsid w:val="008D73C9"/>
    <w:rsid w:val="008D7ECA"/>
    <w:rsid w:val="008E16BF"/>
    <w:rsid w:val="008E1C7E"/>
    <w:rsid w:val="008E2A44"/>
    <w:rsid w:val="008E2EDC"/>
    <w:rsid w:val="008E3049"/>
    <w:rsid w:val="008E3461"/>
    <w:rsid w:val="008E34A7"/>
    <w:rsid w:val="008E35A3"/>
    <w:rsid w:val="008E3FAA"/>
    <w:rsid w:val="008E42B0"/>
    <w:rsid w:val="008E4E6C"/>
    <w:rsid w:val="008E5080"/>
    <w:rsid w:val="008E5100"/>
    <w:rsid w:val="008E5D20"/>
    <w:rsid w:val="008E6040"/>
    <w:rsid w:val="008E62CC"/>
    <w:rsid w:val="008E65AA"/>
    <w:rsid w:val="008E67C1"/>
    <w:rsid w:val="008E6DD4"/>
    <w:rsid w:val="008E6FEB"/>
    <w:rsid w:val="008E7274"/>
    <w:rsid w:val="008F0562"/>
    <w:rsid w:val="008F0641"/>
    <w:rsid w:val="008F07EC"/>
    <w:rsid w:val="008F087F"/>
    <w:rsid w:val="008F173C"/>
    <w:rsid w:val="008F260B"/>
    <w:rsid w:val="008F293C"/>
    <w:rsid w:val="008F2BA9"/>
    <w:rsid w:val="008F2E85"/>
    <w:rsid w:val="008F30BB"/>
    <w:rsid w:val="008F32F6"/>
    <w:rsid w:val="008F394F"/>
    <w:rsid w:val="008F47D1"/>
    <w:rsid w:val="008F4A36"/>
    <w:rsid w:val="008F5828"/>
    <w:rsid w:val="008F6884"/>
    <w:rsid w:val="008F6C77"/>
    <w:rsid w:val="008F6EBF"/>
    <w:rsid w:val="008F7CB9"/>
    <w:rsid w:val="00900D5B"/>
    <w:rsid w:val="00900DFF"/>
    <w:rsid w:val="0090122B"/>
    <w:rsid w:val="00901670"/>
    <w:rsid w:val="00901C67"/>
    <w:rsid w:val="00902CEE"/>
    <w:rsid w:val="00903416"/>
    <w:rsid w:val="009041FB"/>
    <w:rsid w:val="0090434B"/>
    <w:rsid w:val="00905B1F"/>
    <w:rsid w:val="00905C69"/>
    <w:rsid w:val="00906BF9"/>
    <w:rsid w:val="00906D6D"/>
    <w:rsid w:val="00906E65"/>
    <w:rsid w:val="00907670"/>
    <w:rsid w:val="009107CD"/>
    <w:rsid w:val="00910891"/>
    <w:rsid w:val="00910CF6"/>
    <w:rsid w:val="00911189"/>
    <w:rsid w:val="00911C3B"/>
    <w:rsid w:val="00911C44"/>
    <w:rsid w:val="009127D5"/>
    <w:rsid w:val="00912B1B"/>
    <w:rsid w:val="00913CCE"/>
    <w:rsid w:val="009144D5"/>
    <w:rsid w:val="00914825"/>
    <w:rsid w:val="00914949"/>
    <w:rsid w:val="0091496B"/>
    <w:rsid w:val="00915039"/>
    <w:rsid w:val="00915488"/>
    <w:rsid w:val="00915A4A"/>
    <w:rsid w:val="00915ECE"/>
    <w:rsid w:val="00915F98"/>
    <w:rsid w:val="00915FA3"/>
    <w:rsid w:val="009161C7"/>
    <w:rsid w:val="009163B7"/>
    <w:rsid w:val="00917980"/>
    <w:rsid w:val="00917C3F"/>
    <w:rsid w:val="00920123"/>
    <w:rsid w:val="00920AC5"/>
    <w:rsid w:val="009217F8"/>
    <w:rsid w:val="0092189E"/>
    <w:rsid w:val="00921B90"/>
    <w:rsid w:val="009222FE"/>
    <w:rsid w:val="00922EF3"/>
    <w:rsid w:val="009230DA"/>
    <w:rsid w:val="00923585"/>
    <w:rsid w:val="009236FA"/>
    <w:rsid w:val="00923CF0"/>
    <w:rsid w:val="009245D7"/>
    <w:rsid w:val="0092470E"/>
    <w:rsid w:val="00925187"/>
    <w:rsid w:val="009254F3"/>
    <w:rsid w:val="00925972"/>
    <w:rsid w:val="00925A93"/>
    <w:rsid w:val="00925C96"/>
    <w:rsid w:val="00925D02"/>
    <w:rsid w:val="00925D88"/>
    <w:rsid w:val="00926231"/>
    <w:rsid w:val="00926909"/>
    <w:rsid w:val="0092709C"/>
    <w:rsid w:val="0092717F"/>
    <w:rsid w:val="00927744"/>
    <w:rsid w:val="00927862"/>
    <w:rsid w:val="00927B05"/>
    <w:rsid w:val="00927EC6"/>
    <w:rsid w:val="009305AF"/>
    <w:rsid w:val="009307A0"/>
    <w:rsid w:val="00930F4E"/>
    <w:rsid w:val="00931434"/>
    <w:rsid w:val="00931B6D"/>
    <w:rsid w:val="00931E3E"/>
    <w:rsid w:val="009323A3"/>
    <w:rsid w:val="00932890"/>
    <w:rsid w:val="00933674"/>
    <w:rsid w:val="00933BC8"/>
    <w:rsid w:val="00933BED"/>
    <w:rsid w:val="00933C3C"/>
    <w:rsid w:val="00933DC1"/>
    <w:rsid w:val="0093437D"/>
    <w:rsid w:val="00934747"/>
    <w:rsid w:val="00934F6B"/>
    <w:rsid w:val="009359EF"/>
    <w:rsid w:val="00935F1E"/>
    <w:rsid w:val="00936062"/>
    <w:rsid w:val="00936094"/>
    <w:rsid w:val="00936724"/>
    <w:rsid w:val="00936E8A"/>
    <w:rsid w:val="00936EF3"/>
    <w:rsid w:val="00937CBE"/>
    <w:rsid w:val="00937DA9"/>
    <w:rsid w:val="00937F41"/>
    <w:rsid w:val="009400D1"/>
    <w:rsid w:val="0094069F"/>
    <w:rsid w:val="00941839"/>
    <w:rsid w:val="00942D6D"/>
    <w:rsid w:val="009432FC"/>
    <w:rsid w:val="00943BE1"/>
    <w:rsid w:val="00943C2A"/>
    <w:rsid w:val="00943FCB"/>
    <w:rsid w:val="00944087"/>
    <w:rsid w:val="009442A1"/>
    <w:rsid w:val="00944350"/>
    <w:rsid w:val="009444D2"/>
    <w:rsid w:val="009444FD"/>
    <w:rsid w:val="0094451F"/>
    <w:rsid w:val="00944850"/>
    <w:rsid w:val="00944A90"/>
    <w:rsid w:val="00944E74"/>
    <w:rsid w:val="00944E97"/>
    <w:rsid w:val="00944FC1"/>
    <w:rsid w:val="009450F6"/>
    <w:rsid w:val="0094553B"/>
    <w:rsid w:val="009459E4"/>
    <w:rsid w:val="00945C10"/>
    <w:rsid w:val="00946695"/>
    <w:rsid w:val="00946835"/>
    <w:rsid w:val="00946AAA"/>
    <w:rsid w:val="0094769E"/>
    <w:rsid w:val="00947E0B"/>
    <w:rsid w:val="0095011E"/>
    <w:rsid w:val="0095012E"/>
    <w:rsid w:val="009502A0"/>
    <w:rsid w:val="0095051D"/>
    <w:rsid w:val="009506C7"/>
    <w:rsid w:val="00950F2D"/>
    <w:rsid w:val="009514FB"/>
    <w:rsid w:val="00951934"/>
    <w:rsid w:val="00951DDC"/>
    <w:rsid w:val="00951EA9"/>
    <w:rsid w:val="00951EBA"/>
    <w:rsid w:val="00951FFA"/>
    <w:rsid w:val="0095207B"/>
    <w:rsid w:val="0095263D"/>
    <w:rsid w:val="00952683"/>
    <w:rsid w:val="00952D8C"/>
    <w:rsid w:val="009532C7"/>
    <w:rsid w:val="00953607"/>
    <w:rsid w:val="00953817"/>
    <w:rsid w:val="00953A03"/>
    <w:rsid w:val="00954324"/>
    <w:rsid w:val="00954C8C"/>
    <w:rsid w:val="009550FB"/>
    <w:rsid w:val="00955617"/>
    <w:rsid w:val="00955723"/>
    <w:rsid w:val="00955851"/>
    <w:rsid w:val="00955DE1"/>
    <w:rsid w:val="00955F4A"/>
    <w:rsid w:val="00955FB8"/>
    <w:rsid w:val="009561DD"/>
    <w:rsid w:val="00956ACE"/>
    <w:rsid w:val="00956EEF"/>
    <w:rsid w:val="0095708B"/>
    <w:rsid w:val="009570E6"/>
    <w:rsid w:val="009572A0"/>
    <w:rsid w:val="009572E3"/>
    <w:rsid w:val="00957D24"/>
    <w:rsid w:val="00957FB6"/>
    <w:rsid w:val="0096024E"/>
    <w:rsid w:val="00960B8C"/>
    <w:rsid w:val="00960CBC"/>
    <w:rsid w:val="00960DCF"/>
    <w:rsid w:val="00960E09"/>
    <w:rsid w:val="009615CB"/>
    <w:rsid w:val="00961683"/>
    <w:rsid w:val="00961896"/>
    <w:rsid w:val="00961B53"/>
    <w:rsid w:val="009624D4"/>
    <w:rsid w:val="009627A5"/>
    <w:rsid w:val="00962A6D"/>
    <w:rsid w:val="00963264"/>
    <w:rsid w:val="0096358C"/>
    <w:rsid w:val="00963783"/>
    <w:rsid w:val="0096389D"/>
    <w:rsid w:val="00964BD3"/>
    <w:rsid w:val="0096544E"/>
    <w:rsid w:val="0096549F"/>
    <w:rsid w:val="00965716"/>
    <w:rsid w:val="00965862"/>
    <w:rsid w:val="009659AE"/>
    <w:rsid w:val="0096631D"/>
    <w:rsid w:val="00966A4B"/>
    <w:rsid w:val="009672AD"/>
    <w:rsid w:val="009674FC"/>
    <w:rsid w:val="00967549"/>
    <w:rsid w:val="009676C0"/>
    <w:rsid w:val="009678C4"/>
    <w:rsid w:val="00967F66"/>
    <w:rsid w:val="00970372"/>
    <w:rsid w:val="009707D8"/>
    <w:rsid w:val="009707E2"/>
    <w:rsid w:val="00970E7E"/>
    <w:rsid w:val="009710EB"/>
    <w:rsid w:val="0097144D"/>
    <w:rsid w:val="00971C27"/>
    <w:rsid w:val="009732D0"/>
    <w:rsid w:val="00973330"/>
    <w:rsid w:val="0097335D"/>
    <w:rsid w:val="00973494"/>
    <w:rsid w:val="00973A6F"/>
    <w:rsid w:val="00973B28"/>
    <w:rsid w:val="00973E81"/>
    <w:rsid w:val="009745AC"/>
    <w:rsid w:val="009750F3"/>
    <w:rsid w:val="00975E03"/>
    <w:rsid w:val="00976641"/>
    <w:rsid w:val="00976691"/>
    <w:rsid w:val="00976759"/>
    <w:rsid w:val="009803A9"/>
    <w:rsid w:val="009803CB"/>
    <w:rsid w:val="009803D4"/>
    <w:rsid w:val="009807A2"/>
    <w:rsid w:val="00980C76"/>
    <w:rsid w:val="00980EE6"/>
    <w:rsid w:val="009818B3"/>
    <w:rsid w:val="0098199C"/>
    <w:rsid w:val="0098241E"/>
    <w:rsid w:val="0098268D"/>
    <w:rsid w:val="009829C6"/>
    <w:rsid w:val="00982E6C"/>
    <w:rsid w:val="00983BDD"/>
    <w:rsid w:val="00983CE0"/>
    <w:rsid w:val="00983E90"/>
    <w:rsid w:val="009843CC"/>
    <w:rsid w:val="00985CEE"/>
    <w:rsid w:val="00986354"/>
    <w:rsid w:val="00986CEC"/>
    <w:rsid w:val="00986F7E"/>
    <w:rsid w:val="0098713B"/>
    <w:rsid w:val="009873F3"/>
    <w:rsid w:val="0099070F"/>
    <w:rsid w:val="00990A34"/>
    <w:rsid w:val="00990A7B"/>
    <w:rsid w:val="00990D35"/>
    <w:rsid w:val="009917CA"/>
    <w:rsid w:val="009917D7"/>
    <w:rsid w:val="0099295E"/>
    <w:rsid w:val="00992A12"/>
    <w:rsid w:val="00992FC1"/>
    <w:rsid w:val="009933EF"/>
    <w:rsid w:val="009934B3"/>
    <w:rsid w:val="00993512"/>
    <w:rsid w:val="00993CD4"/>
    <w:rsid w:val="00993ECE"/>
    <w:rsid w:val="00994163"/>
    <w:rsid w:val="00994167"/>
    <w:rsid w:val="0099429B"/>
    <w:rsid w:val="009950E8"/>
    <w:rsid w:val="00995CDB"/>
    <w:rsid w:val="00995E98"/>
    <w:rsid w:val="00995F1F"/>
    <w:rsid w:val="009962E2"/>
    <w:rsid w:val="009962F9"/>
    <w:rsid w:val="009964DD"/>
    <w:rsid w:val="00996F15"/>
    <w:rsid w:val="009971AA"/>
    <w:rsid w:val="009977D7"/>
    <w:rsid w:val="00997862"/>
    <w:rsid w:val="00997BA8"/>
    <w:rsid w:val="00997E1F"/>
    <w:rsid w:val="00997F78"/>
    <w:rsid w:val="009A00A5"/>
    <w:rsid w:val="009A0353"/>
    <w:rsid w:val="009A06F4"/>
    <w:rsid w:val="009A0817"/>
    <w:rsid w:val="009A0F72"/>
    <w:rsid w:val="009A1D1B"/>
    <w:rsid w:val="009A251A"/>
    <w:rsid w:val="009A2AD3"/>
    <w:rsid w:val="009A2AF8"/>
    <w:rsid w:val="009A2DDC"/>
    <w:rsid w:val="009A3778"/>
    <w:rsid w:val="009A3E2E"/>
    <w:rsid w:val="009A4054"/>
    <w:rsid w:val="009A40C0"/>
    <w:rsid w:val="009A432C"/>
    <w:rsid w:val="009A4355"/>
    <w:rsid w:val="009A485E"/>
    <w:rsid w:val="009A4D79"/>
    <w:rsid w:val="009A5168"/>
    <w:rsid w:val="009A5220"/>
    <w:rsid w:val="009A5761"/>
    <w:rsid w:val="009A593A"/>
    <w:rsid w:val="009A598A"/>
    <w:rsid w:val="009A59B0"/>
    <w:rsid w:val="009A5B31"/>
    <w:rsid w:val="009A5B3F"/>
    <w:rsid w:val="009A5FA7"/>
    <w:rsid w:val="009A6719"/>
    <w:rsid w:val="009A7494"/>
    <w:rsid w:val="009A74AF"/>
    <w:rsid w:val="009A780C"/>
    <w:rsid w:val="009A7E1E"/>
    <w:rsid w:val="009A7E2B"/>
    <w:rsid w:val="009A7F34"/>
    <w:rsid w:val="009A7FA3"/>
    <w:rsid w:val="009B0055"/>
    <w:rsid w:val="009B0523"/>
    <w:rsid w:val="009B15F4"/>
    <w:rsid w:val="009B1A80"/>
    <w:rsid w:val="009B1F8B"/>
    <w:rsid w:val="009B21AC"/>
    <w:rsid w:val="009B2245"/>
    <w:rsid w:val="009B229A"/>
    <w:rsid w:val="009B258E"/>
    <w:rsid w:val="009B271E"/>
    <w:rsid w:val="009B365C"/>
    <w:rsid w:val="009B38A7"/>
    <w:rsid w:val="009B4292"/>
    <w:rsid w:val="009B4542"/>
    <w:rsid w:val="009B4CEF"/>
    <w:rsid w:val="009B54E9"/>
    <w:rsid w:val="009B5997"/>
    <w:rsid w:val="009B5B70"/>
    <w:rsid w:val="009B6060"/>
    <w:rsid w:val="009B633E"/>
    <w:rsid w:val="009B6B23"/>
    <w:rsid w:val="009B6FAA"/>
    <w:rsid w:val="009B6FED"/>
    <w:rsid w:val="009B7179"/>
    <w:rsid w:val="009B74DB"/>
    <w:rsid w:val="009B79F3"/>
    <w:rsid w:val="009B7A07"/>
    <w:rsid w:val="009B7ABD"/>
    <w:rsid w:val="009B7BEC"/>
    <w:rsid w:val="009C1AA7"/>
    <w:rsid w:val="009C1BA9"/>
    <w:rsid w:val="009C1D27"/>
    <w:rsid w:val="009C1EBA"/>
    <w:rsid w:val="009C21F0"/>
    <w:rsid w:val="009C236B"/>
    <w:rsid w:val="009C2733"/>
    <w:rsid w:val="009C2803"/>
    <w:rsid w:val="009C2896"/>
    <w:rsid w:val="009C3310"/>
    <w:rsid w:val="009C34D0"/>
    <w:rsid w:val="009C3644"/>
    <w:rsid w:val="009C37E6"/>
    <w:rsid w:val="009C3841"/>
    <w:rsid w:val="009C38DD"/>
    <w:rsid w:val="009C3A50"/>
    <w:rsid w:val="009C3BD9"/>
    <w:rsid w:val="009C3F72"/>
    <w:rsid w:val="009C4A8F"/>
    <w:rsid w:val="009C4C0D"/>
    <w:rsid w:val="009C5B82"/>
    <w:rsid w:val="009C6CD6"/>
    <w:rsid w:val="009C6DB8"/>
    <w:rsid w:val="009C756E"/>
    <w:rsid w:val="009C7730"/>
    <w:rsid w:val="009C778D"/>
    <w:rsid w:val="009C79B3"/>
    <w:rsid w:val="009C7A4A"/>
    <w:rsid w:val="009C7F4F"/>
    <w:rsid w:val="009D01AA"/>
    <w:rsid w:val="009D0934"/>
    <w:rsid w:val="009D1DE0"/>
    <w:rsid w:val="009D21BE"/>
    <w:rsid w:val="009D3213"/>
    <w:rsid w:val="009D3798"/>
    <w:rsid w:val="009D3C3D"/>
    <w:rsid w:val="009D415F"/>
    <w:rsid w:val="009D46D5"/>
    <w:rsid w:val="009D4759"/>
    <w:rsid w:val="009D5288"/>
    <w:rsid w:val="009D577E"/>
    <w:rsid w:val="009D6003"/>
    <w:rsid w:val="009D6520"/>
    <w:rsid w:val="009D6981"/>
    <w:rsid w:val="009D6A6D"/>
    <w:rsid w:val="009D6B2C"/>
    <w:rsid w:val="009D6B4F"/>
    <w:rsid w:val="009E0243"/>
    <w:rsid w:val="009E1C5F"/>
    <w:rsid w:val="009E1ECB"/>
    <w:rsid w:val="009E2050"/>
    <w:rsid w:val="009E27E0"/>
    <w:rsid w:val="009E2883"/>
    <w:rsid w:val="009E2AD3"/>
    <w:rsid w:val="009E2D2B"/>
    <w:rsid w:val="009E2F31"/>
    <w:rsid w:val="009E3074"/>
    <w:rsid w:val="009E330F"/>
    <w:rsid w:val="009E3AFA"/>
    <w:rsid w:val="009E3CA8"/>
    <w:rsid w:val="009E47E5"/>
    <w:rsid w:val="009E495E"/>
    <w:rsid w:val="009E5BFD"/>
    <w:rsid w:val="009E6440"/>
    <w:rsid w:val="009E7715"/>
    <w:rsid w:val="009E7D42"/>
    <w:rsid w:val="009F0324"/>
    <w:rsid w:val="009F05DC"/>
    <w:rsid w:val="009F0A02"/>
    <w:rsid w:val="009F106E"/>
    <w:rsid w:val="009F146F"/>
    <w:rsid w:val="009F1BF0"/>
    <w:rsid w:val="009F1C17"/>
    <w:rsid w:val="009F1E57"/>
    <w:rsid w:val="009F1E97"/>
    <w:rsid w:val="009F2CD3"/>
    <w:rsid w:val="009F30C1"/>
    <w:rsid w:val="009F368B"/>
    <w:rsid w:val="009F3C75"/>
    <w:rsid w:val="009F3D6A"/>
    <w:rsid w:val="009F471F"/>
    <w:rsid w:val="009F52C9"/>
    <w:rsid w:val="009F586C"/>
    <w:rsid w:val="009F59AC"/>
    <w:rsid w:val="009F5DED"/>
    <w:rsid w:val="009F6414"/>
    <w:rsid w:val="009F64C0"/>
    <w:rsid w:val="009F7042"/>
    <w:rsid w:val="009F7DF2"/>
    <w:rsid w:val="00A001FD"/>
    <w:rsid w:val="00A002E0"/>
    <w:rsid w:val="00A0037E"/>
    <w:rsid w:val="00A0069F"/>
    <w:rsid w:val="00A00F98"/>
    <w:rsid w:val="00A01303"/>
    <w:rsid w:val="00A01715"/>
    <w:rsid w:val="00A0175C"/>
    <w:rsid w:val="00A0191C"/>
    <w:rsid w:val="00A0264D"/>
    <w:rsid w:val="00A02C4F"/>
    <w:rsid w:val="00A02C96"/>
    <w:rsid w:val="00A0355F"/>
    <w:rsid w:val="00A0409F"/>
    <w:rsid w:val="00A046FB"/>
    <w:rsid w:val="00A04971"/>
    <w:rsid w:val="00A04A09"/>
    <w:rsid w:val="00A04C7D"/>
    <w:rsid w:val="00A05821"/>
    <w:rsid w:val="00A058F2"/>
    <w:rsid w:val="00A05D1D"/>
    <w:rsid w:val="00A05EA2"/>
    <w:rsid w:val="00A0647A"/>
    <w:rsid w:val="00A06589"/>
    <w:rsid w:val="00A0658A"/>
    <w:rsid w:val="00A06620"/>
    <w:rsid w:val="00A068EB"/>
    <w:rsid w:val="00A06F1E"/>
    <w:rsid w:val="00A07346"/>
    <w:rsid w:val="00A07376"/>
    <w:rsid w:val="00A075CC"/>
    <w:rsid w:val="00A076CC"/>
    <w:rsid w:val="00A102E9"/>
    <w:rsid w:val="00A107B9"/>
    <w:rsid w:val="00A10A86"/>
    <w:rsid w:val="00A10CFA"/>
    <w:rsid w:val="00A111CB"/>
    <w:rsid w:val="00A113FD"/>
    <w:rsid w:val="00A11626"/>
    <w:rsid w:val="00A1165C"/>
    <w:rsid w:val="00A116EE"/>
    <w:rsid w:val="00A11927"/>
    <w:rsid w:val="00A11E7E"/>
    <w:rsid w:val="00A125D6"/>
    <w:rsid w:val="00A12C49"/>
    <w:rsid w:val="00A12E78"/>
    <w:rsid w:val="00A140C9"/>
    <w:rsid w:val="00A14E53"/>
    <w:rsid w:val="00A15580"/>
    <w:rsid w:val="00A1572C"/>
    <w:rsid w:val="00A15853"/>
    <w:rsid w:val="00A16449"/>
    <w:rsid w:val="00A16576"/>
    <w:rsid w:val="00A16798"/>
    <w:rsid w:val="00A16C19"/>
    <w:rsid w:val="00A17652"/>
    <w:rsid w:val="00A2016C"/>
    <w:rsid w:val="00A21227"/>
    <w:rsid w:val="00A213AD"/>
    <w:rsid w:val="00A21525"/>
    <w:rsid w:val="00A215A6"/>
    <w:rsid w:val="00A21C48"/>
    <w:rsid w:val="00A21D1E"/>
    <w:rsid w:val="00A22719"/>
    <w:rsid w:val="00A22EFC"/>
    <w:rsid w:val="00A22F12"/>
    <w:rsid w:val="00A230A4"/>
    <w:rsid w:val="00A23148"/>
    <w:rsid w:val="00A2372D"/>
    <w:rsid w:val="00A23783"/>
    <w:rsid w:val="00A23A29"/>
    <w:rsid w:val="00A24CE8"/>
    <w:rsid w:val="00A25166"/>
    <w:rsid w:val="00A25D65"/>
    <w:rsid w:val="00A25D66"/>
    <w:rsid w:val="00A25D84"/>
    <w:rsid w:val="00A2621C"/>
    <w:rsid w:val="00A26389"/>
    <w:rsid w:val="00A264BB"/>
    <w:rsid w:val="00A268BB"/>
    <w:rsid w:val="00A27175"/>
    <w:rsid w:val="00A2766D"/>
    <w:rsid w:val="00A277F3"/>
    <w:rsid w:val="00A27C22"/>
    <w:rsid w:val="00A3029F"/>
    <w:rsid w:val="00A303B8"/>
    <w:rsid w:val="00A304A7"/>
    <w:rsid w:val="00A304E3"/>
    <w:rsid w:val="00A30FF9"/>
    <w:rsid w:val="00A3117E"/>
    <w:rsid w:val="00A31183"/>
    <w:rsid w:val="00A31B2A"/>
    <w:rsid w:val="00A323AA"/>
    <w:rsid w:val="00A32D5A"/>
    <w:rsid w:val="00A32E76"/>
    <w:rsid w:val="00A34235"/>
    <w:rsid w:val="00A34401"/>
    <w:rsid w:val="00A3449E"/>
    <w:rsid w:val="00A34E58"/>
    <w:rsid w:val="00A350BE"/>
    <w:rsid w:val="00A35394"/>
    <w:rsid w:val="00A35409"/>
    <w:rsid w:val="00A35F10"/>
    <w:rsid w:val="00A361C3"/>
    <w:rsid w:val="00A36802"/>
    <w:rsid w:val="00A3722A"/>
    <w:rsid w:val="00A37433"/>
    <w:rsid w:val="00A378AE"/>
    <w:rsid w:val="00A3790D"/>
    <w:rsid w:val="00A37D9C"/>
    <w:rsid w:val="00A37F2B"/>
    <w:rsid w:val="00A407AC"/>
    <w:rsid w:val="00A41082"/>
    <w:rsid w:val="00A411FA"/>
    <w:rsid w:val="00A41AEF"/>
    <w:rsid w:val="00A41D10"/>
    <w:rsid w:val="00A41D65"/>
    <w:rsid w:val="00A41D6D"/>
    <w:rsid w:val="00A420B1"/>
    <w:rsid w:val="00A42574"/>
    <w:rsid w:val="00A42B74"/>
    <w:rsid w:val="00A42D28"/>
    <w:rsid w:val="00A433B8"/>
    <w:rsid w:val="00A43EC5"/>
    <w:rsid w:val="00A44D0D"/>
    <w:rsid w:val="00A44EA2"/>
    <w:rsid w:val="00A44EC1"/>
    <w:rsid w:val="00A44F75"/>
    <w:rsid w:val="00A45114"/>
    <w:rsid w:val="00A454B3"/>
    <w:rsid w:val="00A45670"/>
    <w:rsid w:val="00A45E52"/>
    <w:rsid w:val="00A46366"/>
    <w:rsid w:val="00A46652"/>
    <w:rsid w:val="00A469DC"/>
    <w:rsid w:val="00A46D15"/>
    <w:rsid w:val="00A4713D"/>
    <w:rsid w:val="00A47781"/>
    <w:rsid w:val="00A477BF"/>
    <w:rsid w:val="00A50928"/>
    <w:rsid w:val="00A51415"/>
    <w:rsid w:val="00A523E0"/>
    <w:rsid w:val="00A5323B"/>
    <w:rsid w:val="00A535BB"/>
    <w:rsid w:val="00A543A6"/>
    <w:rsid w:val="00A543CB"/>
    <w:rsid w:val="00A5451F"/>
    <w:rsid w:val="00A54A59"/>
    <w:rsid w:val="00A54AAC"/>
    <w:rsid w:val="00A54FB4"/>
    <w:rsid w:val="00A55089"/>
    <w:rsid w:val="00A55816"/>
    <w:rsid w:val="00A55939"/>
    <w:rsid w:val="00A55BAA"/>
    <w:rsid w:val="00A55F41"/>
    <w:rsid w:val="00A5620E"/>
    <w:rsid w:val="00A56D07"/>
    <w:rsid w:val="00A56DE0"/>
    <w:rsid w:val="00A577D5"/>
    <w:rsid w:val="00A57DDA"/>
    <w:rsid w:val="00A603D6"/>
    <w:rsid w:val="00A608AD"/>
    <w:rsid w:val="00A610F4"/>
    <w:rsid w:val="00A6130E"/>
    <w:rsid w:val="00A61D5E"/>
    <w:rsid w:val="00A63391"/>
    <w:rsid w:val="00A6375B"/>
    <w:rsid w:val="00A63C17"/>
    <w:rsid w:val="00A63C18"/>
    <w:rsid w:val="00A646FC"/>
    <w:rsid w:val="00A64913"/>
    <w:rsid w:val="00A64A78"/>
    <w:rsid w:val="00A64B04"/>
    <w:rsid w:val="00A64B20"/>
    <w:rsid w:val="00A65015"/>
    <w:rsid w:val="00A65309"/>
    <w:rsid w:val="00A662DC"/>
    <w:rsid w:val="00A66707"/>
    <w:rsid w:val="00A6741B"/>
    <w:rsid w:val="00A6770C"/>
    <w:rsid w:val="00A67A3A"/>
    <w:rsid w:val="00A67EE3"/>
    <w:rsid w:val="00A70352"/>
    <w:rsid w:val="00A70BCC"/>
    <w:rsid w:val="00A714FC"/>
    <w:rsid w:val="00A71C5A"/>
    <w:rsid w:val="00A72145"/>
    <w:rsid w:val="00A727BB"/>
    <w:rsid w:val="00A727E1"/>
    <w:rsid w:val="00A73902"/>
    <w:rsid w:val="00A74124"/>
    <w:rsid w:val="00A74226"/>
    <w:rsid w:val="00A742E9"/>
    <w:rsid w:val="00A746B7"/>
    <w:rsid w:val="00A75358"/>
    <w:rsid w:val="00A7573D"/>
    <w:rsid w:val="00A757B0"/>
    <w:rsid w:val="00A75C37"/>
    <w:rsid w:val="00A75E0F"/>
    <w:rsid w:val="00A75F96"/>
    <w:rsid w:val="00A7620B"/>
    <w:rsid w:val="00A76A36"/>
    <w:rsid w:val="00A76D5D"/>
    <w:rsid w:val="00A76E7B"/>
    <w:rsid w:val="00A776A4"/>
    <w:rsid w:val="00A77FA7"/>
    <w:rsid w:val="00A77FCA"/>
    <w:rsid w:val="00A801AC"/>
    <w:rsid w:val="00A80236"/>
    <w:rsid w:val="00A8049D"/>
    <w:rsid w:val="00A8092F"/>
    <w:rsid w:val="00A80BDA"/>
    <w:rsid w:val="00A80CC7"/>
    <w:rsid w:val="00A80E5D"/>
    <w:rsid w:val="00A80EFC"/>
    <w:rsid w:val="00A81157"/>
    <w:rsid w:val="00A8121C"/>
    <w:rsid w:val="00A81289"/>
    <w:rsid w:val="00A818F5"/>
    <w:rsid w:val="00A81D23"/>
    <w:rsid w:val="00A822C2"/>
    <w:rsid w:val="00A824A4"/>
    <w:rsid w:val="00A82990"/>
    <w:rsid w:val="00A82D38"/>
    <w:rsid w:val="00A838E8"/>
    <w:rsid w:val="00A83A2C"/>
    <w:rsid w:val="00A83D7D"/>
    <w:rsid w:val="00A84A2A"/>
    <w:rsid w:val="00A84DE9"/>
    <w:rsid w:val="00A84E4C"/>
    <w:rsid w:val="00A85A41"/>
    <w:rsid w:val="00A85BAB"/>
    <w:rsid w:val="00A86A64"/>
    <w:rsid w:val="00A86DDA"/>
    <w:rsid w:val="00A87045"/>
    <w:rsid w:val="00A90281"/>
    <w:rsid w:val="00A90401"/>
    <w:rsid w:val="00A90C7D"/>
    <w:rsid w:val="00A91104"/>
    <w:rsid w:val="00A921E3"/>
    <w:rsid w:val="00A921F2"/>
    <w:rsid w:val="00A9288B"/>
    <w:rsid w:val="00A929ED"/>
    <w:rsid w:val="00A92BBC"/>
    <w:rsid w:val="00A92D46"/>
    <w:rsid w:val="00A92E4F"/>
    <w:rsid w:val="00A92FEA"/>
    <w:rsid w:val="00A93974"/>
    <w:rsid w:val="00A93BE5"/>
    <w:rsid w:val="00A93C7F"/>
    <w:rsid w:val="00A943E3"/>
    <w:rsid w:val="00A9453F"/>
    <w:rsid w:val="00A94581"/>
    <w:rsid w:val="00A9490C"/>
    <w:rsid w:val="00A94A89"/>
    <w:rsid w:val="00A94C14"/>
    <w:rsid w:val="00A94D20"/>
    <w:rsid w:val="00A95503"/>
    <w:rsid w:val="00A959F6"/>
    <w:rsid w:val="00A9634A"/>
    <w:rsid w:val="00A96924"/>
    <w:rsid w:val="00A9699A"/>
    <w:rsid w:val="00A969FB"/>
    <w:rsid w:val="00A96B7A"/>
    <w:rsid w:val="00A96E43"/>
    <w:rsid w:val="00A9752B"/>
    <w:rsid w:val="00AA01AA"/>
    <w:rsid w:val="00AA01E8"/>
    <w:rsid w:val="00AA0DF5"/>
    <w:rsid w:val="00AA108A"/>
    <w:rsid w:val="00AA1B9D"/>
    <w:rsid w:val="00AA2017"/>
    <w:rsid w:val="00AA211B"/>
    <w:rsid w:val="00AA2418"/>
    <w:rsid w:val="00AA2461"/>
    <w:rsid w:val="00AA26DA"/>
    <w:rsid w:val="00AA2865"/>
    <w:rsid w:val="00AA34AD"/>
    <w:rsid w:val="00AA3A36"/>
    <w:rsid w:val="00AA3A9B"/>
    <w:rsid w:val="00AA3AE5"/>
    <w:rsid w:val="00AA3BF1"/>
    <w:rsid w:val="00AA3C66"/>
    <w:rsid w:val="00AA43A9"/>
    <w:rsid w:val="00AA4C79"/>
    <w:rsid w:val="00AA5235"/>
    <w:rsid w:val="00AA5399"/>
    <w:rsid w:val="00AA5410"/>
    <w:rsid w:val="00AA5C04"/>
    <w:rsid w:val="00AA60E5"/>
    <w:rsid w:val="00AA645A"/>
    <w:rsid w:val="00AA72F4"/>
    <w:rsid w:val="00AA76D0"/>
    <w:rsid w:val="00AA7DFE"/>
    <w:rsid w:val="00AB0484"/>
    <w:rsid w:val="00AB0F46"/>
    <w:rsid w:val="00AB1BE3"/>
    <w:rsid w:val="00AB1D3A"/>
    <w:rsid w:val="00AB217D"/>
    <w:rsid w:val="00AB21C6"/>
    <w:rsid w:val="00AB2561"/>
    <w:rsid w:val="00AB278A"/>
    <w:rsid w:val="00AB2841"/>
    <w:rsid w:val="00AB2993"/>
    <w:rsid w:val="00AB2D1F"/>
    <w:rsid w:val="00AB2D21"/>
    <w:rsid w:val="00AB31EF"/>
    <w:rsid w:val="00AB383E"/>
    <w:rsid w:val="00AB4C5B"/>
    <w:rsid w:val="00AB502D"/>
    <w:rsid w:val="00AB565B"/>
    <w:rsid w:val="00AB56DF"/>
    <w:rsid w:val="00AB5A34"/>
    <w:rsid w:val="00AB5E43"/>
    <w:rsid w:val="00AB5F8E"/>
    <w:rsid w:val="00AB64EB"/>
    <w:rsid w:val="00AB6F24"/>
    <w:rsid w:val="00AB7E3D"/>
    <w:rsid w:val="00AC0594"/>
    <w:rsid w:val="00AC0FDD"/>
    <w:rsid w:val="00AC13D4"/>
    <w:rsid w:val="00AC1891"/>
    <w:rsid w:val="00AC1F15"/>
    <w:rsid w:val="00AC2344"/>
    <w:rsid w:val="00AC26B2"/>
    <w:rsid w:val="00AC27AB"/>
    <w:rsid w:val="00AC3929"/>
    <w:rsid w:val="00AC3AF0"/>
    <w:rsid w:val="00AC3CC5"/>
    <w:rsid w:val="00AC3DB2"/>
    <w:rsid w:val="00AC3E79"/>
    <w:rsid w:val="00AC41B3"/>
    <w:rsid w:val="00AC4265"/>
    <w:rsid w:val="00AC4654"/>
    <w:rsid w:val="00AC473C"/>
    <w:rsid w:val="00AC59A4"/>
    <w:rsid w:val="00AC5C40"/>
    <w:rsid w:val="00AC5CDC"/>
    <w:rsid w:val="00AC5F5D"/>
    <w:rsid w:val="00AC6533"/>
    <w:rsid w:val="00AC68A6"/>
    <w:rsid w:val="00AC6A28"/>
    <w:rsid w:val="00AC6DC4"/>
    <w:rsid w:val="00AC6F7D"/>
    <w:rsid w:val="00AC720A"/>
    <w:rsid w:val="00AC79B1"/>
    <w:rsid w:val="00AC7B6B"/>
    <w:rsid w:val="00AD05BC"/>
    <w:rsid w:val="00AD0A50"/>
    <w:rsid w:val="00AD0AC1"/>
    <w:rsid w:val="00AD0C69"/>
    <w:rsid w:val="00AD0F18"/>
    <w:rsid w:val="00AD0F71"/>
    <w:rsid w:val="00AD1134"/>
    <w:rsid w:val="00AD15FF"/>
    <w:rsid w:val="00AD16DE"/>
    <w:rsid w:val="00AD1763"/>
    <w:rsid w:val="00AD1862"/>
    <w:rsid w:val="00AD1B4A"/>
    <w:rsid w:val="00AD1BD4"/>
    <w:rsid w:val="00AD1DB4"/>
    <w:rsid w:val="00AD2701"/>
    <w:rsid w:val="00AD295A"/>
    <w:rsid w:val="00AD3193"/>
    <w:rsid w:val="00AD3BED"/>
    <w:rsid w:val="00AD444A"/>
    <w:rsid w:val="00AD4892"/>
    <w:rsid w:val="00AD4C8B"/>
    <w:rsid w:val="00AD5087"/>
    <w:rsid w:val="00AD571F"/>
    <w:rsid w:val="00AD5741"/>
    <w:rsid w:val="00AD5FE6"/>
    <w:rsid w:val="00AD60EA"/>
    <w:rsid w:val="00AD6503"/>
    <w:rsid w:val="00AD67D4"/>
    <w:rsid w:val="00AD6BE5"/>
    <w:rsid w:val="00AD7AE1"/>
    <w:rsid w:val="00AD7DC7"/>
    <w:rsid w:val="00AE0523"/>
    <w:rsid w:val="00AE0E00"/>
    <w:rsid w:val="00AE1927"/>
    <w:rsid w:val="00AE1B73"/>
    <w:rsid w:val="00AE1E9B"/>
    <w:rsid w:val="00AE21EB"/>
    <w:rsid w:val="00AE2268"/>
    <w:rsid w:val="00AE26E2"/>
    <w:rsid w:val="00AE3546"/>
    <w:rsid w:val="00AE3577"/>
    <w:rsid w:val="00AE4331"/>
    <w:rsid w:val="00AE50F0"/>
    <w:rsid w:val="00AE5691"/>
    <w:rsid w:val="00AE57B0"/>
    <w:rsid w:val="00AE5E3A"/>
    <w:rsid w:val="00AE614D"/>
    <w:rsid w:val="00AE6CD7"/>
    <w:rsid w:val="00AE7159"/>
    <w:rsid w:val="00AE7849"/>
    <w:rsid w:val="00AE7977"/>
    <w:rsid w:val="00AF04D8"/>
    <w:rsid w:val="00AF0A6B"/>
    <w:rsid w:val="00AF0B45"/>
    <w:rsid w:val="00AF170F"/>
    <w:rsid w:val="00AF1D05"/>
    <w:rsid w:val="00AF1F10"/>
    <w:rsid w:val="00AF2157"/>
    <w:rsid w:val="00AF24A4"/>
    <w:rsid w:val="00AF32CB"/>
    <w:rsid w:val="00AF3D39"/>
    <w:rsid w:val="00AF4090"/>
    <w:rsid w:val="00AF4348"/>
    <w:rsid w:val="00AF4925"/>
    <w:rsid w:val="00AF497B"/>
    <w:rsid w:val="00AF4DFB"/>
    <w:rsid w:val="00AF5083"/>
    <w:rsid w:val="00AF60E2"/>
    <w:rsid w:val="00AF635E"/>
    <w:rsid w:val="00AF6905"/>
    <w:rsid w:val="00AF6A4C"/>
    <w:rsid w:val="00AF722E"/>
    <w:rsid w:val="00AF735D"/>
    <w:rsid w:val="00AF7510"/>
    <w:rsid w:val="00AF7715"/>
    <w:rsid w:val="00B00002"/>
    <w:rsid w:val="00B005D4"/>
    <w:rsid w:val="00B006B9"/>
    <w:rsid w:val="00B00AF7"/>
    <w:rsid w:val="00B00DC8"/>
    <w:rsid w:val="00B00E1C"/>
    <w:rsid w:val="00B01034"/>
    <w:rsid w:val="00B01574"/>
    <w:rsid w:val="00B01F6E"/>
    <w:rsid w:val="00B02183"/>
    <w:rsid w:val="00B03071"/>
    <w:rsid w:val="00B0374C"/>
    <w:rsid w:val="00B04037"/>
    <w:rsid w:val="00B041A7"/>
    <w:rsid w:val="00B047C2"/>
    <w:rsid w:val="00B049F3"/>
    <w:rsid w:val="00B04CB1"/>
    <w:rsid w:val="00B051CE"/>
    <w:rsid w:val="00B05290"/>
    <w:rsid w:val="00B05635"/>
    <w:rsid w:val="00B0592C"/>
    <w:rsid w:val="00B059F2"/>
    <w:rsid w:val="00B06725"/>
    <w:rsid w:val="00B0719C"/>
    <w:rsid w:val="00B07620"/>
    <w:rsid w:val="00B07A11"/>
    <w:rsid w:val="00B07B00"/>
    <w:rsid w:val="00B07B3C"/>
    <w:rsid w:val="00B1010D"/>
    <w:rsid w:val="00B10E98"/>
    <w:rsid w:val="00B1116F"/>
    <w:rsid w:val="00B11918"/>
    <w:rsid w:val="00B12614"/>
    <w:rsid w:val="00B12865"/>
    <w:rsid w:val="00B1287D"/>
    <w:rsid w:val="00B128D4"/>
    <w:rsid w:val="00B1314F"/>
    <w:rsid w:val="00B137E1"/>
    <w:rsid w:val="00B138CA"/>
    <w:rsid w:val="00B14385"/>
    <w:rsid w:val="00B14567"/>
    <w:rsid w:val="00B146B8"/>
    <w:rsid w:val="00B14D9E"/>
    <w:rsid w:val="00B151CF"/>
    <w:rsid w:val="00B16003"/>
    <w:rsid w:val="00B162F1"/>
    <w:rsid w:val="00B16E91"/>
    <w:rsid w:val="00B172AF"/>
    <w:rsid w:val="00B179AD"/>
    <w:rsid w:val="00B206DB"/>
    <w:rsid w:val="00B20BF1"/>
    <w:rsid w:val="00B2160E"/>
    <w:rsid w:val="00B216EB"/>
    <w:rsid w:val="00B2189D"/>
    <w:rsid w:val="00B2292E"/>
    <w:rsid w:val="00B229FD"/>
    <w:rsid w:val="00B22AB8"/>
    <w:rsid w:val="00B22EC0"/>
    <w:rsid w:val="00B236B0"/>
    <w:rsid w:val="00B236CA"/>
    <w:rsid w:val="00B240F3"/>
    <w:rsid w:val="00B247AD"/>
    <w:rsid w:val="00B25132"/>
    <w:rsid w:val="00B251A4"/>
    <w:rsid w:val="00B25834"/>
    <w:rsid w:val="00B25D05"/>
    <w:rsid w:val="00B25DA8"/>
    <w:rsid w:val="00B2612A"/>
    <w:rsid w:val="00B2624F"/>
    <w:rsid w:val="00B26622"/>
    <w:rsid w:val="00B26669"/>
    <w:rsid w:val="00B266D6"/>
    <w:rsid w:val="00B26747"/>
    <w:rsid w:val="00B26C06"/>
    <w:rsid w:val="00B27029"/>
    <w:rsid w:val="00B276B4"/>
    <w:rsid w:val="00B278E2"/>
    <w:rsid w:val="00B279ED"/>
    <w:rsid w:val="00B27A5D"/>
    <w:rsid w:val="00B2E508"/>
    <w:rsid w:val="00B3030F"/>
    <w:rsid w:val="00B303F6"/>
    <w:rsid w:val="00B304D2"/>
    <w:rsid w:val="00B307B7"/>
    <w:rsid w:val="00B3089D"/>
    <w:rsid w:val="00B30AEF"/>
    <w:rsid w:val="00B31C31"/>
    <w:rsid w:val="00B32471"/>
    <w:rsid w:val="00B32B0B"/>
    <w:rsid w:val="00B3324F"/>
    <w:rsid w:val="00B33459"/>
    <w:rsid w:val="00B33702"/>
    <w:rsid w:val="00B340F5"/>
    <w:rsid w:val="00B341C8"/>
    <w:rsid w:val="00B34466"/>
    <w:rsid w:val="00B34771"/>
    <w:rsid w:val="00B34BF6"/>
    <w:rsid w:val="00B34C85"/>
    <w:rsid w:val="00B351EA"/>
    <w:rsid w:val="00B35DD1"/>
    <w:rsid w:val="00B35FF5"/>
    <w:rsid w:val="00B36028"/>
    <w:rsid w:val="00B36C36"/>
    <w:rsid w:val="00B36E4E"/>
    <w:rsid w:val="00B371CA"/>
    <w:rsid w:val="00B3775C"/>
    <w:rsid w:val="00B378BA"/>
    <w:rsid w:val="00B37A33"/>
    <w:rsid w:val="00B37CC5"/>
    <w:rsid w:val="00B37DBE"/>
    <w:rsid w:val="00B37EE6"/>
    <w:rsid w:val="00B40064"/>
    <w:rsid w:val="00B40370"/>
    <w:rsid w:val="00B41579"/>
    <w:rsid w:val="00B41CEA"/>
    <w:rsid w:val="00B41D64"/>
    <w:rsid w:val="00B41E2C"/>
    <w:rsid w:val="00B42934"/>
    <w:rsid w:val="00B431E7"/>
    <w:rsid w:val="00B437B4"/>
    <w:rsid w:val="00B43944"/>
    <w:rsid w:val="00B44A10"/>
    <w:rsid w:val="00B44E8A"/>
    <w:rsid w:val="00B45331"/>
    <w:rsid w:val="00B4566E"/>
    <w:rsid w:val="00B45C17"/>
    <w:rsid w:val="00B45D17"/>
    <w:rsid w:val="00B466A3"/>
    <w:rsid w:val="00B4708C"/>
    <w:rsid w:val="00B473D0"/>
    <w:rsid w:val="00B474B0"/>
    <w:rsid w:val="00B4777B"/>
    <w:rsid w:val="00B47EC5"/>
    <w:rsid w:val="00B504D5"/>
    <w:rsid w:val="00B50A44"/>
    <w:rsid w:val="00B50D63"/>
    <w:rsid w:val="00B51665"/>
    <w:rsid w:val="00B517A6"/>
    <w:rsid w:val="00B51963"/>
    <w:rsid w:val="00B51A32"/>
    <w:rsid w:val="00B51A43"/>
    <w:rsid w:val="00B51B89"/>
    <w:rsid w:val="00B538A1"/>
    <w:rsid w:val="00B53B91"/>
    <w:rsid w:val="00B53DAB"/>
    <w:rsid w:val="00B5472E"/>
    <w:rsid w:val="00B54F75"/>
    <w:rsid w:val="00B55022"/>
    <w:rsid w:val="00B55391"/>
    <w:rsid w:val="00B55524"/>
    <w:rsid w:val="00B55930"/>
    <w:rsid w:val="00B55DD8"/>
    <w:rsid w:val="00B56769"/>
    <w:rsid w:val="00B56A9D"/>
    <w:rsid w:val="00B56B94"/>
    <w:rsid w:val="00B56CAD"/>
    <w:rsid w:val="00B56D21"/>
    <w:rsid w:val="00B56E5C"/>
    <w:rsid w:val="00B56EA8"/>
    <w:rsid w:val="00B57083"/>
    <w:rsid w:val="00B575BF"/>
    <w:rsid w:val="00B6013B"/>
    <w:rsid w:val="00B60AC2"/>
    <w:rsid w:val="00B60D2A"/>
    <w:rsid w:val="00B60F01"/>
    <w:rsid w:val="00B60FE5"/>
    <w:rsid w:val="00B61294"/>
    <w:rsid w:val="00B612EA"/>
    <w:rsid w:val="00B61539"/>
    <w:rsid w:val="00B619A2"/>
    <w:rsid w:val="00B61C66"/>
    <w:rsid w:val="00B62604"/>
    <w:rsid w:val="00B62A69"/>
    <w:rsid w:val="00B62BE3"/>
    <w:rsid w:val="00B62D62"/>
    <w:rsid w:val="00B62DF2"/>
    <w:rsid w:val="00B6374C"/>
    <w:rsid w:val="00B63ADC"/>
    <w:rsid w:val="00B63B51"/>
    <w:rsid w:val="00B640A8"/>
    <w:rsid w:val="00B64146"/>
    <w:rsid w:val="00B646E0"/>
    <w:rsid w:val="00B6488A"/>
    <w:rsid w:val="00B64DB8"/>
    <w:rsid w:val="00B6528D"/>
    <w:rsid w:val="00B6531C"/>
    <w:rsid w:val="00B65B53"/>
    <w:rsid w:val="00B65F3B"/>
    <w:rsid w:val="00B6607A"/>
    <w:rsid w:val="00B6607E"/>
    <w:rsid w:val="00B66A87"/>
    <w:rsid w:val="00B673C9"/>
    <w:rsid w:val="00B67A20"/>
    <w:rsid w:val="00B67CD9"/>
    <w:rsid w:val="00B707AF"/>
    <w:rsid w:val="00B711C5"/>
    <w:rsid w:val="00B7126D"/>
    <w:rsid w:val="00B712D0"/>
    <w:rsid w:val="00B717C5"/>
    <w:rsid w:val="00B72027"/>
    <w:rsid w:val="00B72051"/>
    <w:rsid w:val="00B72171"/>
    <w:rsid w:val="00B72510"/>
    <w:rsid w:val="00B72B4C"/>
    <w:rsid w:val="00B72CBE"/>
    <w:rsid w:val="00B73207"/>
    <w:rsid w:val="00B74101"/>
    <w:rsid w:val="00B742BB"/>
    <w:rsid w:val="00B74410"/>
    <w:rsid w:val="00B746DC"/>
    <w:rsid w:val="00B74C5F"/>
    <w:rsid w:val="00B757E5"/>
    <w:rsid w:val="00B7594C"/>
    <w:rsid w:val="00B75F11"/>
    <w:rsid w:val="00B762B1"/>
    <w:rsid w:val="00B80230"/>
    <w:rsid w:val="00B814C7"/>
    <w:rsid w:val="00B81F38"/>
    <w:rsid w:val="00B824AE"/>
    <w:rsid w:val="00B82CAF"/>
    <w:rsid w:val="00B831B9"/>
    <w:rsid w:val="00B83B62"/>
    <w:rsid w:val="00B83CA6"/>
    <w:rsid w:val="00B84227"/>
    <w:rsid w:val="00B84CC7"/>
    <w:rsid w:val="00B84EFB"/>
    <w:rsid w:val="00B8535F"/>
    <w:rsid w:val="00B8550C"/>
    <w:rsid w:val="00B85CE1"/>
    <w:rsid w:val="00B85F4C"/>
    <w:rsid w:val="00B860A6"/>
    <w:rsid w:val="00B862C5"/>
    <w:rsid w:val="00B86589"/>
    <w:rsid w:val="00B86958"/>
    <w:rsid w:val="00B878CD"/>
    <w:rsid w:val="00B90AD0"/>
    <w:rsid w:val="00B90C26"/>
    <w:rsid w:val="00B91C51"/>
    <w:rsid w:val="00B91CB1"/>
    <w:rsid w:val="00B91D21"/>
    <w:rsid w:val="00B921B0"/>
    <w:rsid w:val="00B922E5"/>
    <w:rsid w:val="00B9249B"/>
    <w:rsid w:val="00B928F0"/>
    <w:rsid w:val="00B9296D"/>
    <w:rsid w:val="00B92A7A"/>
    <w:rsid w:val="00B9303A"/>
    <w:rsid w:val="00B93D8E"/>
    <w:rsid w:val="00B94791"/>
    <w:rsid w:val="00B9536C"/>
    <w:rsid w:val="00B957EE"/>
    <w:rsid w:val="00B961EA"/>
    <w:rsid w:val="00B962C3"/>
    <w:rsid w:val="00B9637F"/>
    <w:rsid w:val="00B965A8"/>
    <w:rsid w:val="00B968E0"/>
    <w:rsid w:val="00B977F7"/>
    <w:rsid w:val="00B97E00"/>
    <w:rsid w:val="00BA0502"/>
    <w:rsid w:val="00BA06E9"/>
    <w:rsid w:val="00BA080B"/>
    <w:rsid w:val="00BA0D3A"/>
    <w:rsid w:val="00BA0FA5"/>
    <w:rsid w:val="00BA1412"/>
    <w:rsid w:val="00BA14FF"/>
    <w:rsid w:val="00BA158D"/>
    <w:rsid w:val="00BA1728"/>
    <w:rsid w:val="00BA1C7E"/>
    <w:rsid w:val="00BA1D0B"/>
    <w:rsid w:val="00BA1FFB"/>
    <w:rsid w:val="00BA2022"/>
    <w:rsid w:val="00BA2094"/>
    <w:rsid w:val="00BA2384"/>
    <w:rsid w:val="00BA265C"/>
    <w:rsid w:val="00BA26E6"/>
    <w:rsid w:val="00BA2B3F"/>
    <w:rsid w:val="00BA37DC"/>
    <w:rsid w:val="00BA3841"/>
    <w:rsid w:val="00BA47BA"/>
    <w:rsid w:val="00BA4CA8"/>
    <w:rsid w:val="00BA4E45"/>
    <w:rsid w:val="00BA5242"/>
    <w:rsid w:val="00BA57A1"/>
    <w:rsid w:val="00BA5992"/>
    <w:rsid w:val="00BA59FB"/>
    <w:rsid w:val="00BA6030"/>
    <w:rsid w:val="00BA61AA"/>
    <w:rsid w:val="00BA630E"/>
    <w:rsid w:val="00BA64CB"/>
    <w:rsid w:val="00BA7040"/>
    <w:rsid w:val="00BA76F6"/>
    <w:rsid w:val="00BB14A3"/>
    <w:rsid w:val="00BB1A59"/>
    <w:rsid w:val="00BB211A"/>
    <w:rsid w:val="00BB2F2B"/>
    <w:rsid w:val="00BB3C15"/>
    <w:rsid w:val="00BB3E50"/>
    <w:rsid w:val="00BB3E78"/>
    <w:rsid w:val="00BB4BD7"/>
    <w:rsid w:val="00BB543F"/>
    <w:rsid w:val="00BB57E2"/>
    <w:rsid w:val="00BB5BE5"/>
    <w:rsid w:val="00BB5EE3"/>
    <w:rsid w:val="00BB6182"/>
    <w:rsid w:val="00BB6437"/>
    <w:rsid w:val="00BB6897"/>
    <w:rsid w:val="00BB6A29"/>
    <w:rsid w:val="00BB6F11"/>
    <w:rsid w:val="00BB70A0"/>
    <w:rsid w:val="00BB78FA"/>
    <w:rsid w:val="00BB7E32"/>
    <w:rsid w:val="00BB7EDC"/>
    <w:rsid w:val="00BB7F92"/>
    <w:rsid w:val="00BC0B4A"/>
    <w:rsid w:val="00BC0D5E"/>
    <w:rsid w:val="00BC1021"/>
    <w:rsid w:val="00BC15DE"/>
    <w:rsid w:val="00BC17C8"/>
    <w:rsid w:val="00BC18F8"/>
    <w:rsid w:val="00BC1D56"/>
    <w:rsid w:val="00BC29BE"/>
    <w:rsid w:val="00BC3390"/>
    <w:rsid w:val="00BC369C"/>
    <w:rsid w:val="00BC3792"/>
    <w:rsid w:val="00BC3969"/>
    <w:rsid w:val="00BC3CEA"/>
    <w:rsid w:val="00BC3F04"/>
    <w:rsid w:val="00BC3FB6"/>
    <w:rsid w:val="00BC4972"/>
    <w:rsid w:val="00BC49B7"/>
    <w:rsid w:val="00BC4FD2"/>
    <w:rsid w:val="00BC5172"/>
    <w:rsid w:val="00BC53C3"/>
    <w:rsid w:val="00BC5554"/>
    <w:rsid w:val="00BC6897"/>
    <w:rsid w:val="00BC7068"/>
    <w:rsid w:val="00BC758B"/>
    <w:rsid w:val="00BD105D"/>
    <w:rsid w:val="00BD1656"/>
    <w:rsid w:val="00BD1928"/>
    <w:rsid w:val="00BD1987"/>
    <w:rsid w:val="00BD1C22"/>
    <w:rsid w:val="00BD2BE8"/>
    <w:rsid w:val="00BD2F3E"/>
    <w:rsid w:val="00BD31EC"/>
    <w:rsid w:val="00BD33D4"/>
    <w:rsid w:val="00BD40B1"/>
    <w:rsid w:val="00BD481E"/>
    <w:rsid w:val="00BD4EB5"/>
    <w:rsid w:val="00BD5971"/>
    <w:rsid w:val="00BD6B80"/>
    <w:rsid w:val="00BD7736"/>
    <w:rsid w:val="00BD7935"/>
    <w:rsid w:val="00BD7E8C"/>
    <w:rsid w:val="00BE0888"/>
    <w:rsid w:val="00BE0D0D"/>
    <w:rsid w:val="00BE29DA"/>
    <w:rsid w:val="00BE2C20"/>
    <w:rsid w:val="00BE30E4"/>
    <w:rsid w:val="00BE3C73"/>
    <w:rsid w:val="00BE3EB0"/>
    <w:rsid w:val="00BE4057"/>
    <w:rsid w:val="00BE40AF"/>
    <w:rsid w:val="00BE446B"/>
    <w:rsid w:val="00BE464D"/>
    <w:rsid w:val="00BE4795"/>
    <w:rsid w:val="00BE47BF"/>
    <w:rsid w:val="00BE4C8D"/>
    <w:rsid w:val="00BE4FBF"/>
    <w:rsid w:val="00BE5374"/>
    <w:rsid w:val="00BE5F6A"/>
    <w:rsid w:val="00BE5FDC"/>
    <w:rsid w:val="00BE627A"/>
    <w:rsid w:val="00BE69DD"/>
    <w:rsid w:val="00BE6CE8"/>
    <w:rsid w:val="00BE70D0"/>
    <w:rsid w:val="00BE7853"/>
    <w:rsid w:val="00BE7A64"/>
    <w:rsid w:val="00BE7B5F"/>
    <w:rsid w:val="00BE7C2D"/>
    <w:rsid w:val="00BE7EFA"/>
    <w:rsid w:val="00BF00D4"/>
    <w:rsid w:val="00BF083C"/>
    <w:rsid w:val="00BF11F5"/>
    <w:rsid w:val="00BF1268"/>
    <w:rsid w:val="00BF1A88"/>
    <w:rsid w:val="00BF1C85"/>
    <w:rsid w:val="00BF21F6"/>
    <w:rsid w:val="00BF31C9"/>
    <w:rsid w:val="00BF32F7"/>
    <w:rsid w:val="00BF3D9D"/>
    <w:rsid w:val="00BF3E0B"/>
    <w:rsid w:val="00BF3F80"/>
    <w:rsid w:val="00BF45D5"/>
    <w:rsid w:val="00BF4ECB"/>
    <w:rsid w:val="00BF512F"/>
    <w:rsid w:val="00BF5CF5"/>
    <w:rsid w:val="00BF5E4F"/>
    <w:rsid w:val="00BF5F74"/>
    <w:rsid w:val="00BF6063"/>
    <w:rsid w:val="00BF60B1"/>
    <w:rsid w:val="00BF6391"/>
    <w:rsid w:val="00BF6816"/>
    <w:rsid w:val="00BF6B91"/>
    <w:rsid w:val="00BF6C17"/>
    <w:rsid w:val="00BF6F04"/>
    <w:rsid w:val="00BF7C54"/>
    <w:rsid w:val="00BF7EF9"/>
    <w:rsid w:val="00C001A4"/>
    <w:rsid w:val="00C0066C"/>
    <w:rsid w:val="00C0117D"/>
    <w:rsid w:val="00C01CAD"/>
    <w:rsid w:val="00C01D5F"/>
    <w:rsid w:val="00C01E65"/>
    <w:rsid w:val="00C01FF7"/>
    <w:rsid w:val="00C02380"/>
    <w:rsid w:val="00C02592"/>
    <w:rsid w:val="00C0299C"/>
    <w:rsid w:val="00C02E2C"/>
    <w:rsid w:val="00C03033"/>
    <w:rsid w:val="00C033B8"/>
    <w:rsid w:val="00C0345A"/>
    <w:rsid w:val="00C03511"/>
    <w:rsid w:val="00C0374F"/>
    <w:rsid w:val="00C039B1"/>
    <w:rsid w:val="00C03D1C"/>
    <w:rsid w:val="00C04362"/>
    <w:rsid w:val="00C04C3A"/>
    <w:rsid w:val="00C04C7D"/>
    <w:rsid w:val="00C0537F"/>
    <w:rsid w:val="00C05700"/>
    <w:rsid w:val="00C05911"/>
    <w:rsid w:val="00C059F7"/>
    <w:rsid w:val="00C059F9"/>
    <w:rsid w:val="00C05F65"/>
    <w:rsid w:val="00C065CC"/>
    <w:rsid w:val="00C068C9"/>
    <w:rsid w:val="00C06B22"/>
    <w:rsid w:val="00C06CA5"/>
    <w:rsid w:val="00C06CC0"/>
    <w:rsid w:val="00C06EAC"/>
    <w:rsid w:val="00C06F53"/>
    <w:rsid w:val="00C074CD"/>
    <w:rsid w:val="00C07E79"/>
    <w:rsid w:val="00C1024E"/>
    <w:rsid w:val="00C107C3"/>
    <w:rsid w:val="00C10834"/>
    <w:rsid w:val="00C109B5"/>
    <w:rsid w:val="00C110B0"/>
    <w:rsid w:val="00C1116D"/>
    <w:rsid w:val="00C11216"/>
    <w:rsid w:val="00C115AC"/>
    <w:rsid w:val="00C11741"/>
    <w:rsid w:val="00C11A77"/>
    <w:rsid w:val="00C12433"/>
    <w:rsid w:val="00C1249A"/>
    <w:rsid w:val="00C12929"/>
    <w:rsid w:val="00C12B66"/>
    <w:rsid w:val="00C12FE1"/>
    <w:rsid w:val="00C130DA"/>
    <w:rsid w:val="00C13520"/>
    <w:rsid w:val="00C13B58"/>
    <w:rsid w:val="00C142A3"/>
    <w:rsid w:val="00C14B2B"/>
    <w:rsid w:val="00C14E55"/>
    <w:rsid w:val="00C14F9B"/>
    <w:rsid w:val="00C14FAB"/>
    <w:rsid w:val="00C15619"/>
    <w:rsid w:val="00C15F42"/>
    <w:rsid w:val="00C1610B"/>
    <w:rsid w:val="00C1611D"/>
    <w:rsid w:val="00C16473"/>
    <w:rsid w:val="00C16BA6"/>
    <w:rsid w:val="00C16C9A"/>
    <w:rsid w:val="00C17332"/>
    <w:rsid w:val="00C175E4"/>
    <w:rsid w:val="00C17826"/>
    <w:rsid w:val="00C17A6F"/>
    <w:rsid w:val="00C2017E"/>
    <w:rsid w:val="00C2025D"/>
    <w:rsid w:val="00C20EE7"/>
    <w:rsid w:val="00C20F6C"/>
    <w:rsid w:val="00C2136E"/>
    <w:rsid w:val="00C21B34"/>
    <w:rsid w:val="00C21B55"/>
    <w:rsid w:val="00C21EC2"/>
    <w:rsid w:val="00C2229D"/>
    <w:rsid w:val="00C226D5"/>
    <w:rsid w:val="00C2291F"/>
    <w:rsid w:val="00C22D3A"/>
    <w:rsid w:val="00C232E0"/>
    <w:rsid w:val="00C23AB6"/>
    <w:rsid w:val="00C242D2"/>
    <w:rsid w:val="00C24B5E"/>
    <w:rsid w:val="00C24BF5"/>
    <w:rsid w:val="00C2534F"/>
    <w:rsid w:val="00C26E0A"/>
    <w:rsid w:val="00C27759"/>
    <w:rsid w:val="00C30058"/>
    <w:rsid w:val="00C30460"/>
    <w:rsid w:val="00C30D9F"/>
    <w:rsid w:val="00C30DA3"/>
    <w:rsid w:val="00C312AB"/>
    <w:rsid w:val="00C31680"/>
    <w:rsid w:val="00C317A2"/>
    <w:rsid w:val="00C31845"/>
    <w:rsid w:val="00C321EA"/>
    <w:rsid w:val="00C32AD6"/>
    <w:rsid w:val="00C32D52"/>
    <w:rsid w:val="00C32DC0"/>
    <w:rsid w:val="00C33044"/>
    <w:rsid w:val="00C3306B"/>
    <w:rsid w:val="00C33AFD"/>
    <w:rsid w:val="00C33B72"/>
    <w:rsid w:val="00C34312"/>
    <w:rsid w:val="00C343F1"/>
    <w:rsid w:val="00C343FC"/>
    <w:rsid w:val="00C34ADB"/>
    <w:rsid w:val="00C34E8D"/>
    <w:rsid w:val="00C35430"/>
    <w:rsid w:val="00C358A2"/>
    <w:rsid w:val="00C35AB0"/>
    <w:rsid w:val="00C3651F"/>
    <w:rsid w:val="00C36633"/>
    <w:rsid w:val="00C36BE2"/>
    <w:rsid w:val="00C36E9D"/>
    <w:rsid w:val="00C36F65"/>
    <w:rsid w:val="00C3701D"/>
    <w:rsid w:val="00C37388"/>
    <w:rsid w:val="00C374E0"/>
    <w:rsid w:val="00C37547"/>
    <w:rsid w:val="00C3780A"/>
    <w:rsid w:val="00C37C6C"/>
    <w:rsid w:val="00C37C86"/>
    <w:rsid w:val="00C37C8C"/>
    <w:rsid w:val="00C37E0B"/>
    <w:rsid w:val="00C40593"/>
    <w:rsid w:val="00C405AC"/>
    <w:rsid w:val="00C40757"/>
    <w:rsid w:val="00C412B1"/>
    <w:rsid w:val="00C41440"/>
    <w:rsid w:val="00C41751"/>
    <w:rsid w:val="00C417B2"/>
    <w:rsid w:val="00C41A9F"/>
    <w:rsid w:val="00C4260F"/>
    <w:rsid w:val="00C42A65"/>
    <w:rsid w:val="00C42DE1"/>
    <w:rsid w:val="00C43000"/>
    <w:rsid w:val="00C434C2"/>
    <w:rsid w:val="00C4382F"/>
    <w:rsid w:val="00C43E27"/>
    <w:rsid w:val="00C4436C"/>
    <w:rsid w:val="00C44A31"/>
    <w:rsid w:val="00C44BD6"/>
    <w:rsid w:val="00C458D2"/>
    <w:rsid w:val="00C45904"/>
    <w:rsid w:val="00C45A27"/>
    <w:rsid w:val="00C461B2"/>
    <w:rsid w:val="00C46461"/>
    <w:rsid w:val="00C465C4"/>
    <w:rsid w:val="00C467B6"/>
    <w:rsid w:val="00C46AAB"/>
    <w:rsid w:val="00C46BE6"/>
    <w:rsid w:val="00C47644"/>
    <w:rsid w:val="00C4798E"/>
    <w:rsid w:val="00C47C8E"/>
    <w:rsid w:val="00C5057C"/>
    <w:rsid w:val="00C506E1"/>
    <w:rsid w:val="00C510BD"/>
    <w:rsid w:val="00C51D4A"/>
    <w:rsid w:val="00C51F0D"/>
    <w:rsid w:val="00C525C3"/>
    <w:rsid w:val="00C52667"/>
    <w:rsid w:val="00C526CC"/>
    <w:rsid w:val="00C52733"/>
    <w:rsid w:val="00C5275D"/>
    <w:rsid w:val="00C52FD1"/>
    <w:rsid w:val="00C5359B"/>
    <w:rsid w:val="00C5376A"/>
    <w:rsid w:val="00C53AF7"/>
    <w:rsid w:val="00C54287"/>
    <w:rsid w:val="00C5442A"/>
    <w:rsid w:val="00C54CA9"/>
    <w:rsid w:val="00C54EA8"/>
    <w:rsid w:val="00C554B5"/>
    <w:rsid w:val="00C55568"/>
    <w:rsid w:val="00C559A5"/>
    <w:rsid w:val="00C559C0"/>
    <w:rsid w:val="00C55F32"/>
    <w:rsid w:val="00C56430"/>
    <w:rsid w:val="00C566FD"/>
    <w:rsid w:val="00C56EF2"/>
    <w:rsid w:val="00C570A6"/>
    <w:rsid w:val="00C579F3"/>
    <w:rsid w:val="00C57BA9"/>
    <w:rsid w:val="00C57F3F"/>
    <w:rsid w:val="00C600B3"/>
    <w:rsid w:val="00C6094F"/>
    <w:rsid w:val="00C60E62"/>
    <w:rsid w:val="00C60E9A"/>
    <w:rsid w:val="00C612CC"/>
    <w:rsid w:val="00C61312"/>
    <w:rsid w:val="00C61437"/>
    <w:rsid w:val="00C61464"/>
    <w:rsid w:val="00C61876"/>
    <w:rsid w:val="00C62402"/>
    <w:rsid w:val="00C62609"/>
    <w:rsid w:val="00C6271D"/>
    <w:rsid w:val="00C62749"/>
    <w:rsid w:val="00C62EA8"/>
    <w:rsid w:val="00C630B3"/>
    <w:rsid w:val="00C631E0"/>
    <w:rsid w:val="00C63CC8"/>
    <w:rsid w:val="00C63DC8"/>
    <w:rsid w:val="00C643F8"/>
    <w:rsid w:val="00C64B6F"/>
    <w:rsid w:val="00C659A4"/>
    <w:rsid w:val="00C66069"/>
    <w:rsid w:val="00C660A7"/>
    <w:rsid w:val="00C660C3"/>
    <w:rsid w:val="00C66F3C"/>
    <w:rsid w:val="00C6734A"/>
    <w:rsid w:val="00C677D0"/>
    <w:rsid w:val="00C6799A"/>
    <w:rsid w:val="00C67E1F"/>
    <w:rsid w:val="00C67E8E"/>
    <w:rsid w:val="00C70B42"/>
    <w:rsid w:val="00C70F7C"/>
    <w:rsid w:val="00C7179C"/>
    <w:rsid w:val="00C71D50"/>
    <w:rsid w:val="00C72092"/>
    <w:rsid w:val="00C72177"/>
    <w:rsid w:val="00C72289"/>
    <w:rsid w:val="00C727FB"/>
    <w:rsid w:val="00C7385D"/>
    <w:rsid w:val="00C73C79"/>
    <w:rsid w:val="00C7444D"/>
    <w:rsid w:val="00C74B8C"/>
    <w:rsid w:val="00C75345"/>
    <w:rsid w:val="00C75E4A"/>
    <w:rsid w:val="00C76D0B"/>
    <w:rsid w:val="00C77781"/>
    <w:rsid w:val="00C77DEB"/>
    <w:rsid w:val="00C77E9D"/>
    <w:rsid w:val="00C80D54"/>
    <w:rsid w:val="00C80F7F"/>
    <w:rsid w:val="00C81767"/>
    <w:rsid w:val="00C818BD"/>
    <w:rsid w:val="00C818CE"/>
    <w:rsid w:val="00C81A9F"/>
    <w:rsid w:val="00C8268F"/>
    <w:rsid w:val="00C83535"/>
    <w:rsid w:val="00C836AA"/>
    <w:rsid w:val="00C8370B"/>
    <w:rsid w:val="00C8379B"/>
    <w:rsid w:val="00C83A25"/>
    <w:rsid w:val="00C83B2A"/>
    <w:rsid w:val="00C83D84"/>
    <w:rsid w:val="00C84085"/>
    <w:rsid w:val="00C842FB"/>
    <w:rsid w:val="00C84E27"/>
    <w:rsid w:val="00C85980"/>
    <w:rsid w:val="00C85CB6"/>
    <w:rsid w:val="00C85D24"/>
    <w:rsid w:val="00C85DEB"/>
    <w:rsid w:val="00C862D3"/>
    <w:rsid w:val="00C866C2"/>
    <w:rsid w:val="00C86BFA"/>
    <w:rsid w:val="00C86D92"/>
    <w:rsid w:val="00C87207"/>
    <w:rsid w:val="00C87436"/>
    <w:rsid w:val="00C87AAE"/>
    <w:rsid w:val="00C87B9B"/>
    <w:rsid w:val="00C9088F"/>
    <w:rsid w:val="00C90FF4"/>
    <w:rsid w:val="00C910C5"/>
    <w:rsid w:val="00C91651"/>
    <w:rsid w:val="00C917A4"/>
    <w:rsid w:val="00C919DC"/>
    <w:rsid w:val="00C922A2"/>
    <w:rsid w:val="00C926B2"/>
    <w:rsid w:val="00C92B57"/>
    <w:rsid w:val="00C92EAD"/>
    <w:rsid w:val="00C933F8"/>
    <w:rsid w:val="00C93578"/>
    <w:rsid w:val="00C93DE6"/>
    <w:rsid w:val="00C97CEE"/>
    <w:rsid w:val="00C97D4E"/>
    <w:rsid w:val="00C97F0F"/>
    <w:rsid w:val="00CA0206"/>
    <w:rsid w:val="00CA06F3"/>
    <w:rsid w:val="00CA080F"/>
    <w:rsid w:val="00CA0E2D"/>
    <w:rsid w:val="00CA11D3"/>
    <w:rsid w:val="00CA149D"/>
    <w:rsid w:val="00CA1A26"/>
    <w:rsid w:val="00CA26EA"/>
    <w:rsid w:val="00CA2824"/>
    <w:rsid w:val="00CA2EEE"/>
    <w:rsid w:val="00CA2EFE"/>
    <w:rsid w:val="00CA2FB2"/>
    <w:rsid w:val="00CA30C1"/>
    <w:rsid w:val="00CA3D3A"/>
    <w:rsid w:val="00CA42D6"/>
    <w:rsid w:val="00CA44D8"/>
    <w:rsid w:val="00CA528A"/>
    <w:rsid w:val="00CA5852"/>
    <w:rsid w:val="00CA5D20"/>
    <w:rsid w:val="00CA5D8E"/>
    <w:rsid w:val="00CA6638"/>
    <w:rsid w:val="00CA6F55"/>
    <w:rsid w:val="00CA73E9"/>
    <w:rsid w:val="00CB102F"/>
    <w:rsid w:val="00CB13AD"/>
    <w:rsid w:val="00CB1519"/>
    <w:rsid w:val="00CB15E9"/>
    <w:rsid w:val="00CB17CE"/>
    <w:rsid w:val="00CB1AED"/>
    <w:rsid w:val="00CB28D4"/>
    <w:rsid w:val="00CB28E3"/>
    <w:rsid w:val="00CB2A61"/>
    <w:rsid w:val="00CB2BD5"/>
    <w:rsid w:val="00CB2EB6"/>
    <w:rsid w:val="00CB2F8F"/>
    <w:rsid w:val="00CB3240"/>
    <w:rsid w:val="00CB33AD"/>
    <w:rsid w:val="00CB3A2A"/>
    <w:rsid w:val="00CB3D2D"/>
    <w:rsid w:val="00CB3E8B"/>
    <w:rsid w:val="00CB3FD4"/>
    <w:rsid w:val="00CB5026"/>
    <w:rsid w:val="00CB539F"/>
    <w:rsid w:val="00CB5651"/>
    <w:rsid w:val="00CB58B2"/>
    <w:rsid w:val="00CB5AA1"/>
    <w:rsid w:val="00CB5B77"/>
    <w:rsid w:val="00CB5C55"/>
    <w:rsid w:val="00CB5DB2"/>
    <w:rsid w:val="00CB5E40"/>
    <w:rsid w:val="00CB60A7"/>
    <w:rsid w:val="00CB6162"/>
    <w:rsid w:val="00CB6469"/>
    <w:rsid w:val="00CB6867"/>
    <w:rsid w:val="00CB687F"/>
    <w:rsid w:val="00CB7241"/>
    <w:rsid w:val="00CB73A7"/>
    <w:rsid w:val="00CC00DE"/>
    <w:rsid w:val="00CC0527"/>
    <w:rsid w:val="00CC0FF1"/>
    <w:rsid w:val="00CC10CE"/>
    <w:rsid w:val="00CC11BB"/>
    <w:rsid w:val="00CC150C"/>
    <w:rsid w:val="00CC164A"/>
    <w:rsid w:val="00CC1781"/>
    <w:rsid w:val="00CC1C92"/>
    <w:rsid w:val="00CC1D1A"/>
    <w:rsid w:val="00CC24F6"/>
    <w:rsid w:val="00CC253F"/>
    <w:rsid w:val="00CC2BB9"/>
    <w:rsid w:val="00CC3EE2"/>
    <w:rsid w:val="00CC40CE"/>
    <w:rsid w:val="00CC415E"/>
    <w:rsid w:val="00CC47EA"/>
    <w:rsid w:val="00CC5BB4"/>
    <w:rsid w:val="00CC5EC9"/>
    <w:rsid w:val="00CC6202"/>
    <w:rsid w:val="00CC6260"/>
    <w:rsid w:val="00CC6899"/>
    <w:rsid w:val="00CC6DA2"/>
    <w:rsid w:val="00CC6ECC"/>
    <w:rsid w:val="00CC6FB8"/>
    <w:rsid w:val="00CC70C3"/>
    <w:rsid w:val="00CC71B0"/>
    <w:rsid w:val="00CC78DA"/>
    <w:rsid w:val="00CC7A31"/>
    <w:rsid w:val="00CD0408"/>
    <w:rsid w:val="00CD06D1"/>
    <w:rsid w:val="00CD06DD"/>
    <w:rsid w:val="00CD0F61"/>
    <w:rsid w:val="00CD1404"/>
    <w:rsid w:val="00CD1B5F"/>
    <w:rsid w:val="00CD2050"/>
    <w:rsid w:val="00CD295C"/>
    <w:rsid w:val="00CD2A26"/>
    <w:rsid w:val="00CD3026"/>
    <w:rsid w:val="00CD3119"/>
    <w:rsid w:val="00CD38F1"/>
    <w:rsid w:val="00CD4C6C"/>
    <w:rsid w:val="00CD58A0"/>
    <w:rsid w:val="00CD5A33"/>
    <w:rsid w:val="00CD5CF8"/>
    <w:rsid w:val="00CD770D"/>
    <w:rsid w:val="00CD79C0"/>
    <w:rsid w:val="00CD7D43"/>
    <w:rsid w:val="00CE088E"/>
    <w:rsid w:val="00CE0A15"/>
    <w:rsid w:val="00CE0FAA"/>
    <w:rsid w:val="00CE158F"/>
    <w:rsid w:val="00CE1FBB"/>
    <w:rsid w:val="00CE20F4"/>
    <w:rsid w:val="00CE28E3"/>
    <w:rsid w:val="00CE3A35"/>
    <w:rsid w:val="00CE434E"/>
    <w:rsid w:val="00CE4E53"/>
    <w:rsid w:val="00CE4F05"/>
    <w:rsid w:val="00CE4F25"/>
    <w:rsid w:val="00CE545C"/>
    <w:rsid w:val="00CE61C1"/>
    <w:rsid w:val="00CE62EC"/>
    <w:rsid w:val="00CE6A05"/>
    <w:rsid w:val="00CE6AD0"/>
    <w:rsid w:val="00CE6AD2"/>
    <w:rsid w:val="00CE72BB"/>
    <w:rsid w:val="00CE7883"/>
    <w:rsid w:val="00CE78B6"/>
    <w:rsid w:val="00CE7AC1"/>
    <w:rsid w:val="00CF018F"/>
    <w:rsid w:val="00CF0323"/>
    <w:rsid w:val="00CF0646"/>
    <w:rsid w:val="00CF072D"/>
    <w:rsid w:val="00CF0EB4"/>
    <w:rsid w:val="00CF14DB"/>
    <w:rsid w:val="00CF1A2D"/>
    <w:rsid w:val="00CF1C3E"/>
    <w:rsid w:val="00CF2547"/>
    <w:rsid w:val="00CF25DD"/>
    <w:rsid w:val="00CF2810"/>
    <w:rsid w:val="00CF2913"/>
    <w:rsid w:val="00CF3C59"/>
    <w:rsid w:val="00CF40FE"/>
    <w:rsid w:val="00CF439F"/>
    <w:rsid w:val="00CF4686"/>
    <w:rsid w:val="00CF4E6C"/>
    <w:rsid w:val="00CF59BD"/>
    <w:rsid w:val="00CF5CA5"/>
    <w:rsid w:val="00CF5DE2"/>
    <w:rsid w:val="00CF6CA7"/>
    <w:rsid w:val="00CF6F56"/>
    <w:rsid w:val="00CF7120"/>
    <w:rsid w:val="00CF724C"/>
    <w:rsid w:val="00D001B4"/>
    <w:rsid w:val="00D003B7"/>
    <w:rsid w:val="00D009CF"/>
    <w:rsid w:val="00D00E36"/>
    <w:rsid w:val="00D0166D"/>
    <w:rsid w:val="00D01D48"/>
    <w:rsid w:val="00D02524"/>
    <w:rsid w:val="00D02A74"/>
    <w:rsid w:val="00D02E72"/>
    <w:rsid w:val="00D02F4F"/>
    <w:rsid w:val="00D030B6"/>
    <w:rsid w:val="00D0318A"/>
    <w:rsid w:val="00D04538"/>
    <w:rsid w:val="00D04CB3"/>
    <w:rsid w:val="00D05378"/>
    <w:rsid w:val="00D0543F"/>
    <w:rsid w:val="00D056BF"/>
    <w:rsid w:val="00D0679E"/>
    <w:rsid w:val="00D06B8C"/>
    <w:rsid w:val="00D0721D"/>
    <w:rsid w:val="00D10289"/>
    <w:rsid w:val="00D104DE"/>
    <w:rsid w:val="00D107A9"/>
    <w:rsid w:val="00D10951"/>
    <w:rsid w:val="00D11044"/>
    <w:rsid w:val="00D11A46"/>
    <w:rsid w:val="00D12C4B"/>
    <w:rsid w:val="00D130C8"/>
    <w:rsid w:val="00D13490"/>
    <w:rsid w:val="00D13638"/>
    <w:rsid w:val="00D13824"/>
    <w:rsid w:val="00D13865"/>
    <w:rsid w:val="00D141BD"/>
    <w:rsid w:val="00D14301"/>
    <w:rsid w:val="00D14644"/>
    <w:rsid w:val="00D14E59"/>
    <w:rsid w:val="00D14EF1"/>
    <w:rsid w:val="00D14F39"/>
    <w:rsid w:val="00D15DFD"/>
    <w:rsid w:val="00D16256"/>
    <w:rsid w:val="00D162C7"/>
    <w:rsid w:val="00D16411"/>
    <w:rsid w:val="00D16D96"/>
    <w:rsid w:val="00D17523"/>
    <w:rsid w:val="00D17A7A"/>
    <w:rsid w:val="00D20031"/>
    <w:rsid w:val="00D20F0E"/>
    <w:rsid w:val="00D21075"/>
    <w:rsid w:val="00D21F63"/>
    <w:rsid w:val="00D22906"/>
    <w:rsid w:val="00D22B5C"/>
    <w:rsid w:val="00D231BB"/>
    <w:rsid w:val="00D236D3"/>
    <w:rsid w:val="00D239E7"/>
    <w:rsid w:val="00D23CF7"/>
    <w:rsid w:val="00D24E64"/>
    <w:rsid w:val="00D24F12"/>
    <w:rsid w:val="00D2522F"/>
    <w:rsid w:val="00D252E6"/>
    <w:rsid w:val="00D2538D"/>
    <w:rsid w:val="00D2560A"/>
    <w:rsid w:val="00D25822"/>
    <w:rsid w:val="00D258D7"/>
    <w:rsid w:val="00D25993"/>
    <w:rsid w:val="00D26561"/>
    <w:rsid w:val="00D2669D"/>
    <w:rsid w:val="00D26DAF"/>
    <w:rsid w:val="00D26DF9"/>
    <w:rsid w:val="00D270D9"/>
    <w:rsid w:val="00D271E1"/>
    <w:rsid w:val="00D2787C"/>
    <w:rsid w:val="00D30F72"/>
    <w:rsid w:val="00D313B3"/>
    <w:rsid w:val="00D314E2"/>
    <w:rsid w:val="00D317F1"/>
    <w:rsid w:val="00D32394"/>
    <w:rsid w:val="00D3292B"/>
    <w:rsid w:val="00D32931"/>
    <w:rsid w:val="00D32C5D"/>
    <w:rsid w:val="00D32C7B"/>
    <w:rsid w:val="00D33161"/>
    <w:rsid w:val="00D3376B"/>
    <w:rsid w:val="00D339C2"/>
    <w:rsid w:val="00D33DFA"/>
    <w:rsid w:val="00D33F02"/>
    <w:rsid w:val="00D34039"/>
    <w:rsid w:val="00D34505"/>
    <w:rsid w:val="00D34568"/>
    <w:rsid w:val="00D34862"/>
    <w:rsid w:val="00D35101"/>
    <w:rsid w:val="00D351BE"/>
    <w:rsid w:val="00D352F8"/>
    <w:rsid w:val="00D35499"/>
    <w:rsid w:val="00D357AC"/>
    <w:rsid w:val="00D358F7"/>
    <w:rsid w:val="00D35FAE"/>
    <w:rsid w:val="00D360A8"/>
    <w:rsid w:val="00D36376"/>
    <w:rsid w:val="00D366E3"/>
    <w:rsid w:val="00D36D14"/>
    <w:rsid w:val="00D36D82"/>
    <w:rsid w:val="00D36E67"/>
    <w:rsid w:val="00D37815"/>
    <w:rsid w:val="00D37AF1"/>
    <w:rsid w:val="00D37B69"/>
    <w:rsid w:val="00D37D56"/>
    <w:rsid w:val="00D37EF5"/>
    <w:rsid w:val="00D400DC"/>
    <w:rsid w:val="00D403C5"/>
    <w:rsid w:val="00D40829"/>
    <w:rsid w:val="00D41316"/>
    <w:rsid w:val="00D41764"/>
    <w:rsid w:val="00D419C9"/>
    <w:rsid w:val="00D428B9"/>
    <w:rsid w:val="00D42AF6"/>
    <w:rsid w:val="00D42E97"/>
    <w:rsid w:val="00D42F30"/>
    <w:rsid w:val="00D43246"/>
    <w:rsid w:val="00D43292"/>
    <w:rsid w:val="00D43845"/>
    <w:rsid w:val="00D439C4"/>
    <w:rsid w:val="00D43A17"/>
    <w:rsid w:val="00D43DF1"/>
    <w:rsid w:val="00D44978"/>
    <w:rsid w:val="00D44C79"/>
    <w:rsid w:val="00D45366"/>
    <w:rsid w:val="00D45750"/>
    <w:rsid w:val="00D457EA"/>
    <w:rsid w:val="00D45C42"/>
    <w:rsid w:val="00D45DA1"/>
    <w:rsid w:val="00D45FD9"/>
    <w:rsid w:val="00D4645A"/>
    <w:rsid w:val="00D4712E"/>
    <w:rsid w:val="00D47470"/>
    <w:rsid w:val="00D47891"/>
    <w:rsid w:val="00D50143"/>
    <w:rsid w:val="00D507E1"/>
    <w:rsid w:val="00D51947"/>
    <w:rsid w:val="00D51C71"/>
    <w:rsid w:val="00D52429"/>
    <w:rsid w:val="00D527AF"/>
    <w:rsid w:val="00D52B06"/>
    <w:rsid w:val="00D52D8D"/>
    <w:rsid w:val="00D52E54"/>
    <w:rsid w:val="00D52EA3"/>
    <w:rsid w:val="00D52FF5"/>
    <w:rsid w:val="00D539C1"/>
    <w:rsid w:val="00D54897"/>
    <w:rsid w:val="00D54954"/>
    <w:rsid w:val="00D54A93"/>
    <w:rsid w:val="00D5560F"/>
    <w:rsid w:val="00D55F6E"/>
    <w:rsid w:val="00D56063"/>
    <w:rsid w:val="00D56156"/>
    <w:rsid w:val="00D5646D"/>
    <w:rsid w:val="00D56CCE"/>
    <w:rsid w:val="00D56D28"/>
    <w:rsid w:val="00D56DFA"/>
    <w:rsid w:val="00D56EF0"/>
    <w:rsid w:val="00D57647"/>
    <w:rsid w:val="00D57C13"/>
    <w:rsid w:val="00D57FD0"/>
    <w:rsid w:val="00D60220"/>
    <w:rsid w:val="00D604F1"/>
    <w:rsid w:val="00D60AFB"/>
    <w:rsid w:val="00D60E22"/>
    <w:rsid w:val="00D61302"/>
    <w:rsid w:val="00D6167E"/>
    <w:rsid w:val="00D61A73"/>
    <w:rsid w:val="00D61BD3"/>
    <w:rsid w:val="00D625C1"/>
    <w:rsid w:val="00D62736"/>
    <w:rsid w:val="00D6283A"/>
    <w:rsid w:val="00D62D00"/>
    <w:rsid w:val="00D62D3C"/>
    <w:rsid w:val="00D62F4D"/>
    <w:rsid w:val="00D63A22"/>
    <w:rsid w:val="00D63BA6"/>
    <w:rsid w:val="00D64337"/>
    <w:rsid w:val="00D64751"/>
    <w:rsid w:val="00D6511C"/>
    <w:rsid w:val="00D652D9"/>
    <w:rsid w:val="00D6544C"/>
    <w:rsid w:val="00D6568B"/>
    <w:rsid w:val="00D65785"/>
    <w:rsid w:val="00D65CEF"/>
    <w:rsid w:val="00D65E89"/>
    <w:rsid w:val="00D66C81"/>
    <w:rsid w:val="00D67274"/>
    <w:rsid w:val="00D6755B"/>
    <w:rsid w:val="00D67DA5"/>
    <w:rsid w:val="00D70110"/>
    <w:rsid w:val="00D7021E"/>
    <w:rsid w:val="00D7028B"/>
    <w:rsid w:val="00D707B3"/>
    <w:rsid w:val="00D70C8F"/>
    <w:rsid w:val="00D70CDF"/>
    <w:rsid w:val="00D70DDA"/>
    <w:rsid w:val="00D71795"/>
    <w:rsid w:val="00D71EE7"/>
    <w:rsid w:val="00D71F0E"/>
    <w:rsid w:val="00D720A4"/>
    <w:rsid w:val="00D72D26"/>
    <w:rsid w:val="00D735C5"/>
    <w:rsid w:val="00D73AD9"/>
    <w:rsid w:val="00D73E28"/>
    <w:rsid w:val="00D7450A"/>
    <w:rsid w:val="00D745A2"/>
    <w:rsid w:val="00D748C6"/>
    <w:rsid w:val="00D74BED"/>
    <w:rsid w:val="00D74CE4"/>
    <w:rsid w:val="00D74EC9"/>
    <w:rsid w:val="00D753F0"/>
    <w:rsid w:val="00D75789"/>
    <w:rsid w:val="00D7580B"/>
    <w:rsid w:val="00D76658"/>
    <w:rsid w:val="00D76C2C"/>
    <w:rsid w:val="00D76F1B"/>
    <w:rsid w:val="00D77262"/>
    <w:rsid w:val="00D80C29"/>
    <w:rsid w:val="00D80E50"/>
    <w:rsid w:val="00D80EE6"/>
    <w:rsid w:val="00D81E5F"/>
    <w:rsid w:val="00D81EF1"/>
    <w:rsid w:val="00D8251F"/>
    <w:rsid w:val="00D826AE"/>
    <w:rsid w:val="00D8272B"/>
    <w:rsid w:val="00D829E6"/>
    <w:rsid w:val="00D8316D"/>
    <w:rsid w:val="00D83A77"/>
    <w:rsid w:val="00D83B51"/>
    <w:rsid w:val="00D83BBA"/>
    <w:rsid w:val="00D83C78"/>
    <w:rsid w:val="00D84ECA"/>
    <w:rsid w:val="00D8525E"/>
    <w:rsid w:val="00D85DF5"/>
    <w:rsid w:val="00D86739"/>
    <w:rsid w:val="00D8686D"/>
    <w:rsid w:val="00D8690C"/>
    <w:rsid w:val="00D86E0C"/>
    <w:rsid w:val="00D86FDB"/>
    <w:rsid w:val="00D87030"/>
    <w:rsid w:val="00D87377"/>
    <w:rsid w:val="00D873DD"/>
    <w:rsid w:val="00D876F5"/>
    <w:rsid w:val="00D87D5F"/>
    <w:rsid w:val="00D9041B"/>
    <w:rsid w:val="00D90721"/>
    <w:rsid w:val="00D90DBB"/>
    <w:rsid w:val="00D90E3B"/>
    <w:rsid w:val="00D91345"/>
    <w:rsid w:val="00D91353"/>
    <w:rsid w:val="00D9141D"/>
    <w:rsid w:val="00D9186D"/>
    <w:rsid w:val="00D91979"/>
    <w:rsid w:val="00D92EB9"/>
    <w:rsid w:val="00D92EC0"/>
    <w:rsid w:val="00D92FF8"/>
    <w:rsid w:val="00D932BD"/>
    <w:rsid w:val="00D9415C"/>
    <w:rsid w:val="00D946C9"/>
    <w:rsid w:val="00D94CF3"/>
    <w:rsid w:val="00D94DF0"/>
    <w:rsid w:val="00D95028"/>
    <w:rsid w:val="00D95BF4"/>
    <w:rsid w:val="00D95EAC"/>
    <w:rsid w:val="00D965EA"/>
    <w:rsid w:val="00D967A8"/>
    <w:rsid w:val="00D969F9"/>
    <w:rsid w:val="00D96D17"/>
    <w:rsid w:val="00D96FAD"/>
    <w:rsid w:val="00D96FD2"/>
    <w:rsid w:val="00D97B27"/>
    <w:rsid w:val="00D97E59"/>
    <w:rsid w:val="00DA058E"/>
    <w:rsid w:val="00DA0CE3"/>
    <w:rsid w:val="00DA0EC2"/>
    <w:rsid w:val="00DA1177"/>
    <w:rsid w:val="00DA1922"/>
    <w:rsid w:val="00DA1A7A"/>
    <w:rsid w:val="00DA29CD"/>
    <w:rsid w:val="00DA2B88"/>
    <w:rsid w:val="00DA3BD4"/>
    <w:rsid w:val="00DA40E9"/>
    <w:rsid w:val="00DA4CB9"/>
    <w:rsid w:val="00DA4D4E"/>
    <w:rsid w:val="00DA512C"/>
    <w:rsid w:val="00DA64C7"/>
    <w:rsid w:val="00DA6765"/>
    <w:rsid w:val="00DA68FE"/>
    <w:rsid w:val="00DA691C"/>
    <w:rsid w:val="00DA7858"/>
    <w:rsid w:val="00DA7AE8"/>
    <w:rsid w:val="00DA7B70"/>
    <w:rsid w:val="00DA7EB1"/>
    <w:rsid w:val="00DA7F0D"/>
    <w:rsid w:val="00DB003C"/>
    <w:rsid w:val="00DB012F"/>
    <w:rsid w:val="00DB0293"/>
    <w:rsid w:val="00DB09E2"/>
    <w:rsid w:val="00DB0A06"/>
    <w:rsid w:val="00DB0D21"/>
    <w:rsid w:val="00DB112C"/>
    <w:rsid w:val="00DB11D1"/>
    <w:rsid w:val="00DB1321"/>
    <w:rsid w:val="00DB15A5"/>
    <w:rsid w:val="00DB15B4"/>
    <w:rsid w:val="00DB1603"/>
    <w:rsid w:val="00DB19BA"/>
    <w:rsid w:val="00DB1E91"/>
    <w:rsid w:val="00DB22B8"/>
    <w:rsid w:val="00DB2C7C"/>
    <w:rsid w:val="00DB2CC5"/>
    <w:rsid w:val="00DB3FCF"/>
    <w:rsid w:val="00DB4410"/>
    <w:rsid w:val="00DB5117"/>
    <w:rsid w:val="00DB5291"/>
    <w:rsid w:val="00DB5489"/>
    <w:rsid w:val="00DB6031"/>
    <w:rsid w:val="00DB664A"/>
    <w:rsid w:val="00DB671A"/>
    <w:rsid w:val="00DB67CD"/>
    <w:rsid w:val="00DB701A"/>
    <w:rsid w:val="00DB7463"/>
    <w:rsid w:val="00DB749C"/>
    <w:rsid w:val="00DB7645"/>
    <w:rsid w:val="00DB7689"/>
    <w:rsid w:val="00DB786A"/>
    <w:rsid w:val="00DB7977"/>
    <w:rsid w:val="00DB7B68"/>
    <w:rsid w:val="00DC0CB0"/>
    <w:rsid w:val="00DC0E0F"/>
    <w:rsid w:val="00DC14AF"/>
    <w:rsid w:val="00DC155C"/>
    <w:rsid w:val="00DC15BB"/>
    <w:rsid w:val="00DC1720"/>
    <w:rsid w:val="00DC17A8"/>
    <w:rsid w:val="00DC1893"/>
    <w:rsid w:val="00DC1F8D"/>
    <w:rsid w:val="00DC2027"/>
    <w:rsid w:val="00DC2392"/>
    <w:rsid w:val="00DC25B5"/>
    <w:rsid w:val="00DC32A8"/>
    <w:rsid w:val="00DC3633"/>
    <w:rsid w:val="00DC3976"/>
    <w:rsid w:val="00DC4108"/>
    <w:rsid w:val="00DC4263"/>
    <w:rsid w:val="00DC43AB"/>
    <w:rsid w:val="00DC4584"/>
    <w:rsid w:val="00DC4A11"/>
    <w:rsid w:val="00DC4EC7"/>
    <w:rsid w:val="00DC4F64"/>
    <w:rsid w:val="00DC50C5"/>
    <w:rsid w:val="00DC5521"/>
    <w:rsid w:val="00DC57BD"/>
    <w:rsid w:val="00DC5E53"/>
    <w:rsid w:val="00DC64A7"/>
    <w:rsid w:val="00DC6690"/>
    <w:rsid w:val="00DC6765"/>
    <w:rsid w:val="00DC6A44"/>
    <w:rsid w:val="00DC6BC2"/>
    <w:rsid w:val="00DC729E"/>
    <w:rsid w:val="00DD0953"/>
    <w:rsid w:val="00DD0A4F"/>
    <w:rsid w:val="00DD1A95"/>
    <w:rsid w:val="00DD1AE2"/>
    <w:rsid w:val="00DD1E26"/>
    <w:rsid w:val="00DD256B"/>
    <w:rsid w:val="00DD294D"/>
    <w:rsid w:val="00DD2C81"/>
    <w:rsid w:val="00DD357A"/>
    <w:rsid w:val="00DD41AF"/>
    <w:rsid w:val="00DD4673"/>
    <w:rsid w:val="00DD49EF"/>
    <w:rsid w:val="00DD4A78"/>
    <w:rsid w:val="00DD5220"/>
    <w:rsid w:val="00DD54F8"/>
    <w:rsid w:val="00DD59BF"/>
    <w:rsid w:val="00DD5AE1"/>
    <w:rsid w:val="00DD5C8A"/>
    <w:rsid w:val="00DD5EFD"/>
    <w:rsid w:val="00DD6118"/>
    <w:rsid w:val="00DD690A"/>
    <w:rsid w:val="00DD6989"/>
    <w:rsid w:val="00DD6BC2"/>
    <w:rsid w:val="00DD6DCC"/>
    <w:rsid w:val="00DD720F"/>
    <w:rsid w:val="00DD7312"/>
    <w:rsid w:val="00DD7624"/>
    <w:rsid w:val="00DD7715"/>
    <w:rsid w:val="00DD77EB"/>
    <w:rsid w:val="00DD7B57"/>
    <w:rsid w:val="00DE14EB"/>
    <w:rsid w:val="00DE1775"/>
    <w:rsid w:val="00DE1BA0"/>
    <w:rsid w:val="00DE1C68"/>
    <w:rsid w:val="00DE2496"/>
    <w:rsid w:val="00DE26B1"/>
    <w:rsid w:val="00DE2876"/>
    <w:rsid w:val="00DE28F7"/>
    <w:rsid w:val="00DE34BA"/>
    <w:rsid w:val="00DE3720"/>
    <w:rsid w:val="00DE3A0B"/>
    <w:rsid w:val="00DE4712"/>
    <w:rsid w:val="00DE4ABC"/>
    <w:rsid w:val="00DE5486"/>
    <w:rsid w:val="00DE54C0"/>
    <w:rsid w:val="00DE561E"/>
    <w:rsid w:val="00DE57A1"/>
    <w:rsid w:val="00DE5A26"/>
    <w:rsid w:val="00DE5AF1"/>
    <w:rsid w:val="00DE5B80"/>
    <w:rsid w:val="00DE602F"/>
    <w:rsid w:val="00DE6518"/>
    <w:rsid w:val="00DE6ADA"/>
    <w:rsid w:val="00DE6DA4"/>
    <w:rsid w:val="00DE7099"/>
    <w:rsid w:val="00DE7641"/>
    <w:rsid w:val="00DE77F5"/>
    <w:rsid w:val="00DE7D3F"/>
    <w:rsid w:val="00DF0181"/>
    <w:rsid w:val="00DF034C"/>
    <w:rsid w:val="00DF0C8C"/>
    <w:rsid w:val="00DF0FAA"/>
    <w:rsid w:val="00DF127A"/>
    <w:rsid w:val="00DF1A5E"/>
    <w:rsid w:val="00DF1FA9"/>
    <w:rsid w:val="00DF208D"/>
    <w:rsid w:val="00DF23C6"/>
    <w:rsid w:val="00DF2E2B"/>
    <w:rsid w:val="00DF2EEC"/>
    <w:rsid w:val="00DF32F1"/>
    <w:rsid w:val="00DF3300"/>
    <w:rsid w:val="00DF341B"/>
    <w:rsid w:val="00DF39E9"/>
    <w:rsid w:val="00DF431B"/>
    <w:rsid w:val="00DF45BB"/>
    <w:rsid w:val="00DF50AF"/>
    <w:rsid w:val="00DF58B0"/>
    <w:rsid w:val="00DF5D21"/>
    <w:rsid w:val="00DF5F0D"/>
    <w:rsid w:val="00DF62EE"/>
    <w:rsid w:val="00DF65CB"/>
    <w:rsid w:val="00DF74D9"/>
    <w:rsid w:val="00DF7E8A"/>
    <w:rsid w:val="00E00481"/>
    <w:rsid w:val="00E00539"/>
    <w:rsid w:val="00E01178"/>
    <w:rsid w:val="00E01271"/>
    <w:rsid w:val="00E01280"/>
    <w:rsid w:val="00E014FB"/>
    <w:rsid w:val="00E016EB"/>
    <w:rsid w:val="00E01825"/>
    <w:rsid w:val="00E01B0B"/>
    <w:rsid w:val="00E01D64"/>
    <w:rsid w:val="00E022B6"/>
    <w:rsid w:val="00E026A8"/>
    <w:rsid w:val="00E0360B"/>
    <w:rsid w:val="00E036FD"/>
    <w:rsid w:val="00E0380F"/>
    <w:rsid w:val="00E039E4"/>
    <w:rsid w:val="00E03A96"/>
    <w:rsid w:val="00E042D3"/>
    <w:rsid w:val="00E0466B"/>
    <w:rsid w:val="00E04A35"/>
    <w:rsid w:val="00E0503E"/>
    <w:rsid w:val="00E053CC"/>
    <w:rsid w:val="00E0579C"/>
    <w:rsid w:val="00E05C27"/>
    <w:rsid w:val="00E05D56"/>
    <w:rsid w:val="00E066E1"/>
    <w:rsid w:val="00E068DC"/>
    <w:rsid w:val="00E06A22"/>
    <w:rsid w:val="00E06D16"/>
    <w:rsid w:val="00E0757E"/>
    <w:rsid w:val="00E07630"/>
    <w:rsid w:val="00E079B8"/>
    <w:rsid w:val="00E1015D"/>
    <w:rsid w:val="00E1032D"/>
    <w:rsid w:val="00E10348"/>
    <w:rsid w:val="00E105A9"/>
    <w:rsid w:val="00E11695"/>
    <w:rsid w:val="00E116A7"/>
    <w:rsid w:val="00E1194E"/>
    <w:rsid w:val="00E11F34"/>
    <w:rsid w:val="00E12150"/>
    <w:rsid w:val="00E1264F"/>
    <w:rsid w:val="00E12676"/>
    <w:rsid w:val="00E1278D"/>
    <w:rsid w:val="00E1279A"/>
    <w:rsid w:val="00E1376C"/>
    <w:rsid w:val="00E15056"/>
    <w:rsid w:val="00E15151"/>
    <w:rsid w:val="00E152E3"/>
    <w:rsid w:val="00E15DB1"/>
    <w:rsid w:val="00E16433"/>
    <w:rsid w:val="00E166C0"/>
    <w:rsid w:val="00E16C86"/>
    <w:rsid w:val="00E17552"/>
    <w:rsid w:val="00E17AD5"/>
    <w:rsid w:val="00E20333"/>
    <w:rsid w:val="00E205E0"/>
    <w:rsid w:val="00E207F9"/>
    <w:rsid w:val="00E20B3D"/>
    <w:rsid w:val="00E215FB"/>
    <w:rsid w:val="00E219C1"/>
    <w:rsid w:val="00E21B03"/>
    <w:rsid w:val="00E21FCC"/>
    <w:rsid w:val="00E22445"/>
    <w:rsid w:val="00E22569"/>
    <w:rsid w:val="00E22A2A"/>
    <w:rsid w:val="00E22BB2"/>
    <w:rsid w:val="00E22C5E"/>
    <w:rsid w:val="00E22DE3"/>
    <w:rsid w:val="00E22E56"/>
    <w:rsid w:val="00E23429"/>
    <w:rsid w:val="00E23A28"/>
    <w:rsid w:val="00E24716"/>
    <w:rsid w:val="00E24C87"/>
    <w:rsid w:val="00E25141"/>
    <w:rsid w:val="00E25563"/>
    <w:rsid w:val="00E260A3"/>
    <w:rsid w:val="00E26BBE"/>
    <w:rsid w:val="00E26D15"/>
    <w:rsid w:val="00E26DB2"/>
    <w:rsid w:val="00E270D7"/>
    <w:rsid w:val="00E27DDB"/>
    <w:rsid w:val="00E27F6E"/>
    <w:rsid w:val="00E307A4"/>
    <w:rsid w:val="00E30F66"/>
    <w:rsid w:val="00E3122A"/>
    <w:rsid w:val="00E316C0"/>
    <w:rsid w:val="00E31702"/>
    <w:rsid w:val="00E31B75"/>
    <w:rsid w:val="00E31D3E"/>
    <w:rsid w:val="00E3242E"/>
    <w:rsid w:val="00E32819"/>
    <w:rsid w:val="00E32A88"/>
    <w:rsid w:val="00E32C6C"/>
    <w:rsid w:val="00E330C9"/>
    <w:rsid w:val="00E3330E"/>
    <w:rsid w:val="00E3351F"/>
    <w:rsid w:val="00E33992"/>
    <w:rsid w:val="00E345FE"/>
    <w:rsid w:val="00E34826"/>
    <w:rsid w:val="00E348B3"/>
    <w:rsid w:val="00E349B3"/>
    <w:rsid w:val="00E349C6"/>
    <w:rsid w:val="00E34CB1"/>
    <w:rsid w:val="00E3550C"/>
    <w:rsid w:val="00E35DD0"/>
    <w:rsid w:val="00E35EA1"/>
    <w:rsid w:val="00E35F4B"/>
    <w:rsid w:val="00E362B6"/>
    <w:rsid w:val="00E37781"/>
    <w:rsid w:val="00E378D4"/>
    <w:rsid w:val="00E37B7C"/>
    <w:rsid w:val="00E37B83"/>
    <w:rsid w:val="00E402C2"/>
    <w:rsid w:val="00E406B7"/>
    <w:rsid w:val="00E40DAE"/>
    <w:rsid w:val="00E40E1C"/>
    <w:rsid w:val="00E40F62"/>
    <w:rsid w:val="00E40FC9"/>
    <w:rsid w:val="00E4100F"/>
    <w:rsid w:val="00E41050"/>
    <w:rsid w:val="00E41458"/>
    <w:rsid w:val="00E41826"/>
    <w:rsid w:val="00E41DEB"/>
    <w:rsid w:val="00E42317"/>
    <w:rsid w:val="00E426E2"/>
    <w:rsid w:val="00E4281E"/>
    <w:rsid w:val="00E42F19"/>
    <w:rsid w:val="00E43182"/>
    <w:rsid w:val="00E43249"/>
    <w:rsid w:val="00E4367D"/>
    <w:rsid w:val="00E4367E"/>
    <w:rsid w:val="00E436A2"/>
    <w:rsid w:val="00E43A6B"/>
    <w:rsid w:val="00E43B82"/>
    <w:rsid w:val="00E44DEF"/>
    <w:rsid w:val="00E4530E"/>
    <w:rsid w:val="00E458D8"/>
    <w:rsid w:val="00E463ED"/>
    <w:rsid w:val="00E46B1A"/>
    <w:rsid w:val="00E46C92"/>
    <w:rsid w:val="00E473AE"/>
    <w:rsid w:val="00E475B8"/>
    <w:rsid w:val="00E47ABC"/>
    <w:rsid w:val="00E506C4"/>
    <w:rsid w:val="00E50DE4"/>
    <w:rsid w:val="00E50E3B"/>
    <w:rsid w:val="00E50F5B"/>
    <w:rsid w:val="00E50F6D"/>
    <w:rsid w:val="00E51006"/>
    <w:rsid w:val="00E51467"/>
    <w:rsid w:val="00E518A7"/>
    <w:rsid w:val="00E5203F"/>
    <w:rsid w:val="00E524E9"/>
    <w:rsid w:val="00E529F5"/>
    <w:rsid w:val="00E52D28"/>
    <w:rsid w:val="00E532E4"/>
    <w:rsid w:val="00E533D0"/>
    <w:rsid w:val="00E5356B"/>
    <w:rsid w:val="00E5397B"/>
    <w:rsid w:val="00E53E00"/>
    <w:rsid w:val="00E53FD1"/>
    <w:rsid w:val="00E54221"/>
    <w:rsid w:val="00E54DAA"/>
    <w:rsid w:val="00E54F5C"/>
    <w:rsid w:val="00E550E9"/>
    <w:rsid w:val="00E55223"/>
    <w:rsid w:val="00E55379"/>
    <w:rsid w:val="00E553A0"/>
    <w:rsid w:val="00E5604D"/>
    <w:rsid w:val="00E56132"/>
    <w:rsid w:val="00E5650A"/>
    <w:rsid w:val="00E566A7"/>
    <w:rsid w:val="00E5739C"/>
    <w:rsid w:val="00E574A4"/>
    <w:rsid w:val="00E574EC"/>
    <w:rsid w:val="00E57EAC"/>
    <w:rsid w:val="00E57F5C"/>
    <w:rsid w:val="00E57F9C"/>
    <w:rsid w:val="00E603B9"/>
    <w:rsid w:val="00E60AC5"/>
    <w:rsid w:val="00E60B65"/>
    <w:rsid w:val="00E615F9"/>
    <w:rsid w:val="00E6168B"/>
    <w:rsid w:val="00E6193C"/>
    <w:rsid w:val="00E61DC3"/>
    <w:rsid w:val="00E62002"/>
    <w:rsid w:val="00E62556"/>
    <w:rsid w:val="00E629D9"/>
    <w:rsid w:val="00E62BC2"/>
    <w:rsid w:val="00E62E86"/>
    <w:rsid w:val="00E636D5"/>
    <w:rsid w:val="00E6377E"/>
    <w:rsid w:val="00E63DAA"/>
    <w:rsid w:val="00E63F7A"/>
    <w:rsid w:val="00E640A1"/>
    <w:rsid w:val="00E6439A"/>
    <w:rsid w:val="00E643BE"/>
    <w:rsid w:val="00E64567"/>
    <w:rsid w:val="00E645B4"/>
    <w:rsid w:val="00E64BE5"/>
    <w:rsid w:val="00E6606D"/>
    <w:rsid w:val="00E666A6"/>
    <w:rsid w:val="00E668CC"/>
    <w:rsid w:val="00E66EF6"/>
    <w:rsid w:val="00E67404"/>
    <w:rsid w:val="00E67520"/>
    <w:rsid w:val="00E702DE"/>
    <w:rsid w:val="00E705F5"/>
    <w:rsid w:val="00E7092C"/>
    <w:rsid w:val="00E70E00"/>
    <w:rsid w:val="00E71292"/>
    <w:rsid w:val="00E71875"/>
    <w:rsid w:val="00E718EC"/>
    <w:rsid w:val="00E71D8A"/>
    <w:rsid w:val="00E71E6C"/>
    <w:rsid w:val="00E7218D"/>
    <w:rsid w:val="00E7221D"/>
    <w:rsid w:val="00E72F27"/>
    <w:rsid w:val="00E7325A"/>
    <w:rsid w:val="00E73919"/>
    <w:rsid w:val="00E73EBE"/>
    <w:rsid w:val="00E7437D"/>
    <w:rsid w:val="00E74B29"/>
    <w:rsid w:val="00E74F48"/>
    <w:rsid w:val="00E757B2"/>
    <w:rsid w:val="00E75916"/>
    <w:rsid w:val="00E75EA2"/>
    <w:rsid w:val="00E75EC7"/>
    <w:rsid w:val="00E76101"/>
    <w:rsid w:val="00E7615F"/>
    <w:rsid w:val="00E769E4"/>
    <w:rsid w:val="00E76AE0"/>
    <w:rsid w:val="00E76DCC"/>
    <w:rsid w:val="00E77561"/>
    <w:rsid w:val="00E7772E"/>
    <w:rsid w:val="00E7788D"/>
    <w:rsid w:val="00E8048C"/>
    <w:rsid w:val="00E81413"/>
    <w:rsid w:val="00E8158B"/>
    <w:rsid w:val="00E81A22"/>
    <w:rsid w:val="00E81A87"/>
    <w:rsid w:val="00E82B11"/>
    <w:rsid w:val="00E82D02"/>
    <w:rsid w:val="00E82D26"/>
    <w:rsid w:val="00E82E23"/>
    <w:rsid w:val="00E83948"/>
    <w:rsid w:val="00E83CF9"/>
    <w:rsid w:val="00E8422E"/>
    <w:rsid w:val="00E8442C"/>
    <w:rsid w:val="00E84531"/>
    <w:rsid w:val="00E84C4B"/>
    <w:rsid w:val="00E85D68"/>
    <w:rsid w:val="00E86065"/>
    <w:rsid w:val="00E86318"/>
    <w:rsid w:val="00E86A0A"/>
    <w:rsid w:val="00E87296"/>
    <w:rsid w:val="00E90292"/>
    <w:rsid w:val="00E90703"/>
    <w:rsid w:val="00E90A14"/>
    <w:rsid w:val="00E9103A"/>
    <w:rsid w:val="00E91144"/>
    <w:rsid w:val="00E927C7"/>
    <w:rsid w:val="00E92854"/>
    <w:rsid w:val="00E92974"/>
    <w:rsid w:val="00E92F21"/>
    <w:rsid w:val="00E92F98"/>
    <w:rsid w:val="00E9331D"/>
    <w:rsid w:val="00E934FD"/>
    <w:rsid w:val="00E95322"/>
    <w:rsid w:val="00E95490"/>
    <w:rsid w:val="00E95D71"/>
    <w:rsid w:val="00E968C1"/>
    <w:rsid w:val="00E96B0A"/>
    <w:rsid w:val="00E971F6"/>
    <w:rsid w:val="00E97456"/>
    <w:rsid w:val="00E97AE2"/>
    <w:rsid w:val="00E97DDC"/>
    <w:rsid w:val="00E97FBA"/>
    <w:rsid w:val="00EA0E54"/>
    <w:rsid w:val="00EA1769"/>
    <w:rsid w:val="00EA19C7"/>
    <w:rsid w:val="00EA2450"/>
    <w:rsid w:val="00EA3671"/>
    <w:rsid w:val="00EA3949"/>
    <w:rsid w:val="00EA3964"/>
    <w:rsid w:val="00EA3BC1"/>
    <w:rsid w:val="00EA4196"/>
    <w:rsid w:val="00EA454D"/>
    <w:rsid w:val="00EA4A50"/>
    <w:rsid w:val="00EA4C03"/>
    <w:rsid w:val="00EA6672"/>
    <w:rsid w:val="00EA6AEC"/>
    <w:rsid w:val="00EA7204"/>
    <w:rsid w:val="00EA7D8F"/>
    <w:rsid w:val="00EA7E47"/>
    <w:rsid w:val="00EB03B7"/>
    <w:rsid w:val="00EB0436"/>
    <w:rsid w:val="00EB0CAC"/>
    <w:rsid w:val="00EB0CB6"/>
    <w:rsid w:val="00EB0DEA"/>
    <w:rsid w:val="00EB0ED1"/>
    <w:rsid w:val="00EB0F7F"/>
    <w:rsid w:val="00EB1AF3"/>
    <w:rsid w:val="00EB1F63"/>
    <w:rsid w:val="00EB249F"/>
    <w:rsid w:val="00EB2558"/>
    <w:rsid w:val="00EB27BC"/>
    <w:rsid w:val="00EB27D4"/>
    <w:rsid w:val="00EB2CCE"/>
    <w:rsid w:val="00EB4407"/>
    <w:rsid w:val="00EB5669"/>
    <w:rsid w:val="00EB666A"/>
    <w:rsid w:val="00EB68CE"/>
    <w:rsid w:val="00EB68F6"/>
    <w:rsid w:val="00EB6A32"/>
    <w:rsid w:val="00EB743B"/>
    <w:rsid w:val="00EB7B83"/>
    <w:rsid w:val="00EC0784"/>
    <w:rsid w:val="00EC084F"/>
    <w:rsid w:val="00EC0A72"/>
    <w:rsid w:val="00EC0BDC"/>
    <w:rsid w:val="00EC10A1"/>
    <w:rsid w:val="00EC1350"/>
    <w:rsid w:val="00EC1914"/>
    <w:rsid w:val="00EC19D2"/>
    <w:rsid w:val="00EC1F77"/>
    <w:rsid w:val="00EC22C6"/>
    <w:rsid w:val="00EC245E"/>
    <w:rsid w:val="00EC2AA4"/>
    <w:rsid w:val="00EC32B3"/>
    <w:rsid w:val="00EC33A0"/>
    <w:rsid w:val="00EC350A"/>
    <w:rsid w:val="00EC3E99"/>
    <w:rsid w:val="00EC3F7F"/>
    <w:rsid w:val="00EC443C"/>
    <w:rsid w:val="00EC4524"/>
    <w:rsid w:val="00EC4742"/>
    <w:rsid w:val="00EC4836"/>
    <w:rsid w:val="00EC4F31"/>
    <w:rsid w:val="00EC5088"/>
    <w:rsid w:val="00EC5187"/>
    <w:rsid w:val="00EC52AE"/>
    <w:rsid w:val="00EC52C6"/>
    <w:rsid w:val="00EC54C0"/>
    <w:rsid w:val="00EC633C"/>
    <w:rsid w:val="00EC6718"/>
    <w:rsid w:val="00EC67DB"/>
    <w:rsid w:val="00EC692F"/>
    <w:rsid w:val="00EC6C9D"/>
    <w:rsid w:val="00EC7400"/>
    <w:rsid w:val="00EC74F2"/>
    <w:rsid w:val="00EC7EBB"/>
    <w:rsid w:val="00ED1080"/>
    <w:rsid w:val="00ED1CA7"/>
    <w:rsid w:val="00ED1DA8"/>
    <w:rsid w:val="00ED2427"/>
    <w:rsid w:val="00ED2CA1"/>
    <w:rsid w:val="00ED30FB"/>
    <w:rsid w:val="00ED41B8"/>
    <w:rsid w:val="00ED45A8"/>
    <w:rsid w:val="00ED46A0"/>
    <w:rsid w:val="00ED5228"/>
    <w:rsid w:val="00ED523B"/>
    <w:rsid w:val="00ED53E3"/>
    <w:rsid w:val="00ED5480"/>
    <w:rsid w:val="00ED5D4F"/>
    <w:rsid w:val="00ED5E38"/>
    <w:rsid w:val="00ED7351"/>
    <w:rsid w:val="00ED76F4"/>
    <w:rsid w:val="00ED7DE4"/>
    <w:rsid w:val="00ED7DE9"/>
    <w:rsid w:val="00ED7F7B"/>
    <w:rsid w:val="00EE047D"/>
    <w:rsid w:val="00EE0BEF"/>
    <w:rsid w:val="00EE1091"/>
    <w:rsid w:val="00EE10C6"/>
    <w:rsid w:val="00EE1800"/>
    <w:rsid w:val="00EE205C"/>
    <w:rsid w:val="00EE2B48"/>
    <w:rsid w:val="00EE30E3"/>
    <w:rsid w:val="00EE351C"/>
    <w:rsid w:val="00EE3551"/>
    <w:rsid w:val="00EE4490"/>
    <w:rsid w:val="00EE4923"/>
    <w:rsid w:val="00EE4E39"/>
    <w:rsid w:val="00EE4EBE"/>
    <w:rsid w:val="00EE4EEF"/>
    <w:rsid w:val="00EE50A6"/>
    <w:rsid w:val="00EE513F"/>
    <w:rsid w:val="00EE58DE"/>
    <w:rsid w:val="00EE5B5F"/>
    <w:rsid w:val="00EE5BE6"/>
    <w:rsid w:val="00EE6832"/>
    <w:rsid w:val="00EE6F01"/>
    <w:rsid w:val="00EE7462"/>
    <w:rsid w:val="00EE79FB"/>
    <w:rsid w:val="00EE7F69"/>
    <w:rsid w:val="00EF0275"/>
    <w:rsid w:val="00EF0C1F"/>
    <w:rsid w:val="00EF138A"/>
    <w:rsid w:val="00EF169F"/>
    <w:rsid w:val="00EF1755"/>
    <w:rsid w:val="00EF1944"/>
    <w:rsid w:val="00EF2358"/>
    <w:rsid w:val="00EF29E8"/>
    <w:rsid w:val="00EF3098"/>
    <w:rsid w:val="00EF310F"/>
    <w:rsid w:val="00EF31E5"/>
    <w:rsid w:val="00EF3507"/>
    <w:rsid w:val="00EF3907"/>
    <w:rsid w:val="00EF3D58"/>
    <w:rsid w:val="00EF3E63"/>
    <w:rsid w:val="00EF475B"/>
    <w:rsid w:val="00EF4A61"/>
    <w:rsid w:val="00EF5451"/>
    <w:rsid w:val="00EF621D"/>
    <w:rsid w:val="00EF679D"/>
    <w:rsid w:val="00EF6B7B"/>
    <w:rsid w:val="00EF6D11"/>
    <w:rsid w:val="00EF6D6C"/>
    <w:rsid w:val="00EF6D80"/>
    <w:rsid w:val="00EF7063"/>
    <w:rsid w:val="00EF7084"/>
    <w:rsid w:val="00EF7123"/>
    <w:rsid w:val="00EF788B"/>
    <w:rsid w:val="00F0007E"/>
    <w:rsid w:val="00F00802"/>
    <w:rsid w:val="00F00A7A"/>
    <w:rsid w:val="00F00AC4"/>
    <w:rsid w:val="00F01389"/>
    <w:rsid w:val="00F015AE"/>
    <w:rsid w:val="00F0195A"/>
    <w:rsid w:val="00F01D64"/>
    <w:rsid w:val="00F0225E"/>
    <w:rsid w:val="00F02402"/>
    <w:rsid w:val="00F02BF3"/>
    <w:rsid w:val="00F037B4"/>
    <w:rsid w:val="00F038B3"/>
    <w:rsid w:val="00F03B2B"/>
    <w:rsid w:val="00F03B39"/>
    <w:rsid w:val="00F04052"/>
    <w:rsid w:val="00F043DF"/>
    <w:rsid w:val="00F04B4F"/>
    <w:rsid w:val="00F04D69"/>
    <w:rsid w:val="00F04FED"/>
    <w:rsid w:val="00F057D9"/>
    <w:rsid w:val="00F05940"/>
    <w:rsid w:val="00F05D58"/>
    <w:rsid w:val="00F05D65"/>
    <w:rsid w:val="00F05EAE"/>
    <w:rsid w:val="00F06673"/>
    <w:rsid w:val="00F06961"/>
    <w:rsid w:val="00F07377"/>
    <w:rsid w:val="00F0776B"/>
    <w:rsid w:val="00F07B29"/>
    <w:rsid w:val="00F07D94"/>
    <w:rsid w:val="00F101E6"/>
    <w:rsid w:val="00F1066F"/>
    <w:rsid w:val="00F10C3C"/>
    <w:rsid w:val="00F10FC6"/>
    <w:rsid w:val="00F10FED"/>
    <w:rsid w:val="00F11ACF"/>
    <w:rsid w:val="00F12973"/>
    <w:rsid w:val="00F13314"/>
    <w:rsid w:val="00F1357C"/>
    <w:rsid w:val="00F137CB"/>
    <w:rsid w:val="00F13CC8"/>
    <w:rsid w:val="00F1415F"/>
    <w:rsid w:val="00F14201"/>
    <w:rsid w:val="00F144F3"/>
    <w:rsid w:val="00F1491D"/>
    <w:rsid w:val="00F1508C"/>
    <w:rsid w:val="00F15509"/>
    <w:rsid w:val="00F1578E"/>
    <w:rsid w:val="00F16615"/>
    <w:rsid w:val="00F16728"/>
    <w:rsid w:val="00F1672F"/>
    <w:rsid w:val="00F16A35"/>
    <w:rsid w:val="00F16D25"/>
    <w:rsid w:val="00F17DF0"/>
    <w:rsid w:val="00F20763"/>
    <w:rsid w:val="00F2088B"/>
    <w:rsid w:val="00F2094B"/>
    <w:rsid w:val="00F210B6"/>
    <w:rsid w:val="00F2158C"/>
    <w:rsid w:val="00F217CD"/>
    <w:rsid w:val="00F21B2A"/>
    <w:rsid w:val="00F22286"/>
    <w:rsid w:val="00F22606"/>
    <w:rsid w:val="00F227C8"/>
    <w:rsid w:val="00F22BC2"/>
    <w:rsid w:val="00F23996"/>
    <w:rsid w:val="00F23CB7"/>
    <w:rsid w:val="00F2430F"/>
    <w:rsid w:val="00F2469A"/>
    <w:rsid w:val="00F24B9A"/>
    <w:rsid w:val="00F251CC"/>
    <w:rsid w:val="00F25378"/>
    <w:rsid w:val="00F256AD"/>
    <w:rsid w:val="00F257B5"/>
    <w:rsid w:val="00F25B4F"/>
    <w:rsid w:val="00F25B76"/>
    <w:rsid w:val="00F25E96"/>
    <w:rsid w:val="00F25EEC"/>
    <w:rsid w:val="00F26107"/>
    <w:rsid w:val="00F266DE"/>
    <w:rsid w:val="00F26AD4"/>
    <w:rsid w:val="00F26C5C"/>
    <w:rsid w:val="00F26E39"/>
    <w:rsid w:val="00F2720E"/>
    <w:rsid w:val="00F272A2"/>
    <w:rsid w:val="00F2776D"/>
    <w:rsid w:val="00F27946"/>
    <w:rsid w:val="00F30990"/>
    <w:rsid w:val="00F32C4E"/>
    <w:rsid w:val="00F330EC"/>
    <w:rsid w:val="00F333F1"/>
    <w:rsid w:val="00F33DE5"/>
    <w:rsid w:val="00F34092"/>
    <w:rsid w:val="00F342FA"/>
    <w:rsid w:val="00F346E6"/>
    <w:rsid w:val="00F34A65"/>
    <w:rsid w:val="00F34EAD"/>
    <w:rsid w:val="00F367FD"/>
    <w:rsid w:val="00F370A5"/>
    <w:rsid w:val="00F3766B"/>
    <w:rsid w:val="00F376B9"/>
    <w:rsid w:val="00F376C9"/>
    <w:rsid w:val="00F37A37"/>
    <w:rsid w:val="00F37C2F"/>
    <w:rsid w:val="00F40172"/>
    <w:rsid w:val="00F40639"/>
    <w:rsid w:val="00F406F7"/>
    <w:rsid w:val="00F40715"/>
    <w:rsid w:val="00F40864"/>
    <w:rsid w:val="00F40AE8"/>
    <w:rsid w:val="00F40C34"/>
    <w:rsid w:val="00F411D2"/>
    <w:rsid w:val="00F41302"/>
    <w:rsid w:val="00F41AD8"/>
    <w:rsid w:val="00F41E7D"/>
    <w:rsid w:val="00F422E0"/>
    <w:rsid w:val="00F42799"/>
    <w:rsid w:val="00F432BF"/>
    <w:rsid w:val="00F43586"/>
    <w:rsid w:val="00F44895"/>
    <w:rsid w:val="00F44AD1"/>
    <w:rsid w:val="00F44CDC"/>
    <w:rsid w:val="00F4567D"/>
    <w:rsid w:val="00F45B55"/>
    <w:rsid w:val="00F4649C"/>
    <w:rsid w:val="00F465D0"/>
    <w:rsid w:val="00F46948"/>
    <w:rsid w:val="00F46F76"/>
    <w:rsid w:val="00F47338"/>
    <w:rsid w:val="00F47E20"/>
    <w:rsid w:val="00F50585"/>
    <w:rsid w:val="00F5094C"/>
    <w:rsid w:val="00F50D46"/>
    <w:rsid w:val="00F516E3"/>
    <w:rsid w:val="00F51EFB"/>
    <w:rsid w:val="00F5235F"/>
    <w:rsid w:val="00F52365"/>
    <w:rsid w:val="00F5257A"/>
    <w:rsid w:val="00F5258D"/>
    <w:rsid w:val="00F5268A"/>
    <w:rsid w:val="00F533BA"/>
    <w:rsid w:val="00F54832"/>
    <w:rsid w:val="00F549DB"/>
    <w:rsid w:val="00F54FB4"/>
    <w:rsid w:val="00F5522F"/>
    <w:rsid w:val="00F553E4"/>
    <w:rsid w:val="00F558F7"/>
    <w:rsid w:val="00F55EF4"/>
    <w:rsid w:val="00F55F28"/>
    <w:rsid w:val="00F5636A"/>
    <w:rsid w:val="00F56CD3"/>
    <w:rsid w:val="00F56E3B"/>
    <w:rsid w:val="00F56EAE"/>
    <w:rsid w:val="00F57885"/>
    <w:rsid w:val="00F57DB4"/>
    <w:rsid w:val="00F60EFA"/>
    <w:rsid w:val="00F61346"/>
    <w:rsid w:val="00F61F2D"/>
    <w:rsid w:val="00F62014"/>
    <w:rsid w:val="00F62DFF"/>
    <w:rsid w:val="00F64B80"/>
    <w:rsid w:val="00F64F05"/>
    <w:rsid w:val="00F64F33"/>
    <w:rsid w:val="00F65050"/>
    <w:rsid w:val="00F65B72"/>
    <w:rsid w:val="00F66144"/>
    <w:rsid w:val="00F6668F"/>
    <w:rsid w:val="00F668A3"/>
    <w:rsid w:val="00F66B36"/>
    <w:rsid w:val="00F6713F"/>
    <w:rsid w:val="00F6716D"/>
    <w:rsid w:val="00F6757B"/>
    <w:rsid w:val="00F70F58"/>
    <w:rsid w:val="00F71556"/>
    <w:rsid w:val="00F71F6C"/>
    <w:rsid w:val="00F72A11"/>
    <w:rsid w:val="00F72B10"/>
    <w:rsid w:val="00F72CB9"/>
    <w:rsid w:val="00F7399B"/>
    <w:rsid w:val="00F73CFC"/>
    <w:rsid w:val="00F73EAC"/>
    <w:rsid w:val="00F74B51"/>
    <w:rsid w:val="00F755BC"/>
    <w:rsid w:val="00F75B4B"/>
    <w:rsid w:val="00F75F49"/>
    <w:rsid w:val="00F761A4"/>
    <w:rsid w:val="00F763EF"/>
    <w:rsid w:val="00F80151"/>
    <w:rsid w:val="00F80347"/>
    <w:rsid w:val="00F80443"/>
    <w:rsid w:val="00F80635"/>
    <w:rsid w:val="00F80C19"/>
    <w:rsid w:val="00F811BC"/>
    <w:rsid w:val="00F81362"/>
    <w:rsid w:val="00F8188A"/>
    <w:rsid w:val="00F81AF3"/>
    <w:rsid w:val="00F81C57"/>
    <w:rsid w:val="00F81D8C"/>
    <w:rsid w:val="00F82038"/>
    <w:rsid w:val="00F829FC"/>
    <w:rsid w:val="00F8350F"/>
    <w:rsid w:val="00F838DD"/>
    <w:rsid w:val="00F842CA"/>
    <w:rsid w:val="00F84FE5"/>
    <w:rsid w:val="00F854EE"/>
    <w:rsid w:val="00F85906"/>
    <w:rsid w:val="00F867A6"/>
    <w:rsid w:val="00F8688B"/>
    <w:rsid w:val="00F8714F"/>
    <w:rsid w:val="00F90197"/>
    <w:rsid w:val="00F9078B"/>
    <w:rsid w:val="00F90A68"/>
    <w:rsid w:val="00F90AF3"/>
    <w:rsid w:val="00F90E77"/>
    <w:rsid w:val="00F9110E"/>
    <w:rsid w:val="00F91353"/>
    <w:rsid w:val="00F9187A"/>
    <w:rsid w:val="00F91A71"/>
    <w:rsid w:val="00F91BD2"/>
    <w:rsid w:val="00F9240A"/>
    <w:rsid w:val="00F926EF"/>
    <w:rsid w:val="00F931CE"/>
    <w:rsid w:val="00F932F1"/>
    <w:rsid w:val="00F9333A"/>
    <w:rsid w:val="00F93E0C"/>
    <w:rsid w:val="00F93E8F"/>
    <w:rsid w:val="00F941B4"/>
    <w:rsid w:val="00F943A1"/>
    <w:rsid w:val="00F94403"/>
    <w:rsid w:val="00F95120"/>
    <w:rsid w:val="00F9594E"/>
    <w:rsid w:val="00F96119"/>
    <w:rsid w:val="00F9684A"/>
    <w:rsid w:val="00F9685E"/>
    <w:rsid w:val="00F96C2B"/>
    <w:rsid w:val="00F971F9"/>
    <w:rsid w:val="00F97405"/>
    <w:rsid w:val="00F97500"/>
    <w:rsid w:val="00F97C7F"/>
    <w:rsid w:val="00FA04F1"/>
    <w:rsid w:val="00FA07A3"/>
    <w:rsid w:val="00FA0825"/>
    <w:rsid w:val="00FA08AD"/>
    <w:rsid w:val="00FA14E0"/>
    <w:rsid w:val="00FA14E4"/>
    <w:rsid w:val="00FA1A06"/>
    <w:rsid w:val="00FA1BA6"/>
    <w:rsid w:val="00FA1CC0"/>
    <w:rsid w:val="00FA281C"/>
    <w:rsid w:val="00FA2952"/>
    <w:rsid w:val="00FA2AD9"/>
    <w:rsid w:val="00FA2B71"/>
    <w:rsid w:val="00FA2F27"/>
    <w:rsid w:val="00FA4150"/>
    <w:rsid w:val="00FA5766"/>
    <w:rsid w:val="00FA5D4C"/>
    <w:rsid w:val="00FA5FCE"/>
    <w:rsid w:val="00FA6140"/>
    <w:rsid w:val="00FA61DB"/>
    <w:rsid w:val="00FA7248"/>
    <w:rsid w:val="00FA7635"/>
    <w:rsid w:val="00FA7C9D"/>
    <w:rsid w:val="00FA7D7D"/>
    <w:rsid w:val="00FB0801"/>
    <w:rsid w:val="00FB0A0B"/>
    <w:rsid w:val="00FB0F94"/>
    <w:rsid w:val="00FB1C75"/>
    <w:rsid w:val="00FB266E"/>
    <w:rsid w:val="00FB296E"/>
    <w:rsid w:val="00FB31EE"/>
    <w:rsid w:val="00FB3409"/>
    <w:rsid w:val="00FB48C4"/>
    <w:rsid w:val="00FB4AAF"/>
    <w:rsid w:val="00FB4D62"/>
    <w:rsid w:val="00FB50F6"/>
    <w:rsid w:val="00FB52C9"/>
    <w:rsid w:val="00FB5B0B"/>
    <w:rsid w:val="00FB620D"/>
    <w:rsid w:val="00FB6F67"/>
    <w:rsid w:val="00FB7138"/>
    <w:rsid w:val="00FB7EAF"/>
    <w:rsid w:val="00FC0120"/>
    <w:rsid w:val="00FC0493"/>
    <w:rsid w:val="00FC0AD7"/>
    <w:rsid w:val="00FC0B07"/>
    <w:rsid w:val="00FC10DE"/>
    <w:rsid w:val="00FC1141"/>
    <w:rsid w:val="00FC1419"/>
    <w:rsid w:val="00FC1F80"/>
    <w:rsid w:val="00FC24A8"/>
    <w:rsid w:val="00FC2D5F"/>
    <w:rsid w:val="00FC3632"/>
    <w:rsid w:val="00FC3A98"/>
    <w:rsid w:val="00FC4D54"/>
    <w:rsid w:val="00FC4FC4"/>
    <w:rsid w:val="00FC515D"/>
    <w:rsid w:val="00FC5603"/>
    <w:rsid w:val="00FC6176"/>
    <w:rsid w:val="00FC6A0B"/>
    <w:rsid w:val="00FC708E"/>
    <w:rsid w:val="00FC7199"/>
    <w:rsid w:val="00FC746F"/>
    <w:rsid w:val="00FC7C40"/>
    <w:rsid w:val="00FD0813"/>
    <w:rsid w:val="00FD0B28"/>
    <w:rsid w:val="00FD0EE6"/>
    <w:rsid w:val="00FD17BA"/>
    <w:rsid w:val="00FD19DE"/>
    <w:rsid w:val="00FD2A21"/>
    <w:rsid w:val="00FD2C9D"/>
    <w:rsid w:val="00FD2E91"/>
    <w:rsid w:val="00FD2ECE"/>
    <w:rsid w:val="00FD2F74"/>
    <w:rsid w:val="00FD365F"/>
    <w:rsid w:val="00FD3970"/>
    <w:rsid w:val="00FD3B94"/>
    <w:rsid w:val="00FD40DD"/>
    <w:rsid w:val="00FD43B3"/>
    <w:rsid w:val="00FD46DB"/>
    <w:rsid w:val="00FD5C77"/>
    <w:rsid w:val="00FD5DDB"/>
    <w:rsid w:val="00FD6295"/>
    <w:rsid w:val="00FD639F"/>
    <w:rsid w:val="00FD6E48"/>
    <w:rsid w:val="00FD74C7"/>
    <w:rsid w:val="00FD79B7"/>
    <w:rsid w:val="00FD7FCB"/>
    <w:rsid w:val="00FE00CE"/>
    <w:rsid w:val="00FE01A4"/>
    <w:rsid w:val="00FE1023"/>
    <w:rsid w:val="00FE1118"/>
    <w:rsid w:val="00FE15C7"/>
    <w:rsid w:val="00FE1F54"/>
    <w:rsid w:val="00FE24E1"/>
    <w:rsid w:val="00FE2839"/>
    <w:rsid w:val="00FE28E1"/>
    <w:rsid w:val="00FE2A26"/>
    <w:rsid w:val="00FE2CA5"/>
    <w:rsid w:val="00FE323E"/>
    <w:rsid w:val="00FE34E9"/>
    <w:rsid w:val="00FE4062"/>
    <w:rsid w:val="00FE40E5"/>
    <w:rsid w:val="00FE4739"/>
    <w:rsid w:val="00FE478E"/>
    <w:rsid w:val="00FE48CE"/>
    <w:rsid w:val="00FE4DB2"/>
    <w:rsid w:val="00FE51E2"/>
    <w:rsid w:val="00FE5257"/>
    <w:rsid w:val="00FE5586"/>
    <w:rsid w:val="00FE5729"/>
    <w:rsid w:val="00FE5769"/>
    <w:rsid w:val="00FE59C8"/>
    <w:rsid w:val="00FE5A71"/>
    <w:rsid w:val="00FE5B21"/>
    <w:rsid w:val="00FE6578"/>
    <w:rsid w:val="00FE657F"/>
    <w:rsid w:val="00FE681D"/>
    <w:rsid w:val="00FE69ED"/>
    <w:rsid w:val="00FE6BB2"/>
    <w:rsid w:val="00FE6ECD"/>
    <w:rsid w:val="00FE70C2"/>
    <w:rsid w:val="00FE724C"/>
    <w:rsid w:val="00FE739D"/>
    <w:rsid w:val="00FE74DF"/>
    <w:rsid w:val="00FE7FB3"/>
    <w:rsid w:val="00FF0353"/>
    <w:rsid w:val="00FF09AB"/>
    <w:rsid w:val="00FF0DB7"/>
    <w:rsid w:val="00FF0DBD"/>
    <w:rsid w:val="00FF10C2"/>
    <w:rsid w:val="00FF12C7"/>
    <w:rsid w:val="00FF17FD"/>
    <w:rsid w:val="00FF1C0A"/>
    <w:rsid w:val="00FF203E"/>
    <w:rsid w:val="00FF2100"/>
    <w:rsid w:val="00FF2698"/>
    <w:rsid w:val="00FF2C51"/>
    <w:rsid w:val="00FF3A07"/>
    <w:rsid w:val="00FF3FEA"/>
    <w:rsid w:val="00FF4198"/>
    <w:rsid w:val="00FF43AB"/>
    <w:rsid w:val="00FF4978"/>
    <w:rsid w:val="00FF4AB6"/>
    <w:rsid w:val="00FF4C68"/>
    <w:rsid w:val="00FF50E8"/>
    <w:rsid w:val="00FF5B2A"/>
    <w:rsid w:val="00FF5D3B"/>
    <w:rsid w:val="00FF6583"/>
    <w:rsid w:val="00FF6620"/>
    <w:rsid w:val="00FF6945"/>
    <w:rsid w:val="00FF6EBC"/>
    <w:rsid w:val="00FF714E"/>
    <w:rsid w:val="00FF719C"/>
    <w:rsid w:val="00FF7938"/>
    <w:rsid w:val="00FF7D57"/>
    <w:rsid w:val="00FFC97D"/>
    <w:rsid w:val="01045C09"/>
    <w:rsid w:val="01BDB6B8"/>
    <w:rsid w:val="02104A3F"/>
    <w:rsid w:val="023A3B50"/>
    <w:rsid w:val="025FF040"/>
    <w:rsid w:val="02870508"/>
    <w:rsid w:val="028B74E8"/>
    <w:rsid w:val="02B7BD82"/>
    <w:rsid w:val="02CA4BBA"/>
    <w:rsid w:val="02D4A38E"/>
    <w:rsid w:val="02EE71A5"/>
    <w:rsid w:val="02FC1F58"/>
    <w:rsid w:val="03715D09"/>
    <w:rsid w:val="03BB4C26"/>
    <w:rsid w:val="03C8CC07"/>
    <w:rsid w:val="0451AC25"/>
    <w:rsid w:val="045C1594"/>
    <w:rsid w:val="046FDD3D"/>
    <w:rsid w:val="04B87E9B"/>
    <w:rsid w:val="04D09FF6"/>
    <w:rsid w:val="0501240D"/>
    <w:rsid w:val="050B8A7F"/>
    <w:rsid w:val="05494CC2"/>
    <w:rsid w:val="055E1DB2"/>
    <w:rsid w:val="0566F698"/>
    <w:rsid w:val="057DD228"/>
    <w:rsid w:val="05D1AF70"/>
    <w:rsid w:val="0619CFBE"/>
    <w:rsid w:val="06906CE6"/>
    <w:rsid w:val="0696B41A"/>
    <w:rsid w:val="069AA126"/>
    <w:rsid w:val="06A66E15"/>
    <w:rsid w:val="072155FA"/>
    <w:rsid w:val="0747E00E"/>
    <w:rsid w:val="0766D997"/>
    <w:rsid w:val="07A21D93"/>
    <w:rsid w:val="07D95B73"/>
    <w:rsid w:val="0811035F"/>
    <w:rsid w:val="0844EA6B"/>
    <w:rsid w:val="08519222"/>
    <w:rsid w:val="0895BE74"/>
    <w:rsid w:val="089BA599"/>
    <w:rsid w:val="09021280"/>
    <w:rsid w:val="098AC0CE"/>
    <w:rsid w:val="098D431B"/>
    <w:rsid w:val="09948203"/>
    <w:rsid w:val="09A00153"/>
    <w:rsid w:val="09B79D1A"/>
    <w:rsid w:val="09F581DF"/>
    <w:rsid w:val="0A22E503"/>
    <w:rsid w:val="0A26E017"/>
    <w:rsid w:val="0A44A276"/>
    <w:rsid w:val="0A45F229"/>
    <w:rsid w:val="0AB696E7"/>
    <w:rsid w:val="0AFA2ECF"/>
    <w:rsid w:val="0B2488CE"/>
    <w:rsid w:val="0B3830AD"/>
    <w:rsid w:val="0B3DF3A3"/>
    <w:rsid w:val="0B51E80E"/>
    <w:rsid w:val="0B625C80"/>
    <w:rsid w:val="0B905621"/>
    <w:rsid w:val="0BA4FEC4"/>
    <w:rsid w:val="0BB5DD1B"/>
    <w:rsid w:val="0C331152"/>
    <w:rsid w:val="0C805C2D"/>
    <w:rsid w:val="0C956CCB"/>
    <w:rsid w:val="0CA9AF75"/>
    <w:rsid w:val="0D096CF0"/>
    <w:rsid w:val="0D50073A"/>
    <w:rsid w:val="0D67EFE8"/>
    <w:rsid w:val="0D801C26"/>
    <w:rsid w:val="0D8B29A3"/>
    <w:rsid w:val="0DB93232"/>
    <w:rsid w:val="0DDA8DDF"/>
    <w:rsid w:val="0DEB1944"/>
    <w:rsid w:val="0DFB6FF6"/>
    <w:rsid w:val="0E1E7BCD"/>
    <w:rsid w:val="0E67B3FE"/>
    <w:rsid w:val="0F41C6CC"/>
    <w:rsid w:val="0F42036C"/>
    <w:rsid w:val="0F5CEC3A"/>
    <w:rsid w:val="0F6F21F4"/>
    <w:rsid w:val="0F7CEA05"/>
    <w:rsid w:val="0FF0E6D7"/>
    <w:rsid w:val="105E9C45"/>
    <w:rsid w:val="109B83FB"/>
    <w:rsid w:val="10D588E4"/>
    <w:rsid w:val="1133DA06"/>
    <w:rsid w:val="113977F4"/>
    <w:rsid w:val="1172814A"/>
    <w:rsid w:val="11A9EB49"/>
    <w:rsid w:val="11C09A8E"/>
    <w:rsid w:val="11C9C2D5"/>
    <w:rsid w:val="11E9EA0A"/>
    <w:rsid w:val="12AA99DC"/>
    <w:rsid w:val="12D757A0"/>
    <w:rsid w:val="12DA4622"/>
    <w:rsid w:val="130B4BC6"/>
    <w:rsid w:val="134740D5"/>
    <w:rsid w:val="13631962"/>
    <w:rsid w:val="1367680A"/>
    <w:rsid w:val="13DBDD7C"/>
    <w:rsid w:val="13F03906"/>
    <w:rsid w:val="13F2C76D"/>
    <w:rsid w:val="145547C3"/>
    <w:rsid w:val="1490382B"/>
    <w:rsid w:val="1496800C"/>
    <w:rsid w:val="14CCFEAB"/>
    <w:rsid w:val="14D55D2F"/>
    <w:rsid w:val="150E9B9B"/>
    <w:rsid w:val="1528439D"/>
    <w:rsid w:val="157025F9"/>
    <w:rsid w:val="157E0406"/>
    <w:rsid w:val="158BA004"/>
    <w:rsid w:val="15A0115D"/>
    <w:rsid w:val="1620A816"/>
    <w:rsid w:val="16779E87"/>
    <w:rsid w:val="16F99B48"/>
    <w:rsid w:val="17353F21"/>
    <w:rsid w:val="176EA647"/>
    <w:rsid w:val="177F6014"/>
    <w:rsid w:val="1787CEA4"/>
    <w:rsid w:val="178F0618"/>
    <w:rsid w:val="1813CFF8"/>
    <w:rsid w:val="1814652E"/>
    <w:rsid w:val="18156E59"/>
    <w:rsid w:val="181A0829"/>
    <w:rsid w:val="181B83AC"/>
    <w:rsid w:val="1851858E"/>
    <w:rsid w:val="1903B382"/>
    <w:rsid w:val="19689069"/>
    <w:rsid w:val="198BAF9D"/>
    <w:rsid w:val="19C54078"/>
    <w:rsid w:val="19D383C9"/>
    <w:rsid w:val="19E7AA6C"/>
    <w:rsid w:val="19E91DED"/>
    <w:rsid w:val="1A1C4908"/>
    <w:rsid w:val="1A432AFF"/>
    <w:rsid w:val="1A4EE653"/>
    <w:rsid w:val="1A6D7FD5"/>
    <w:rsid w:val="1A715622"/>
    <w:rsid w:val="1A8DD5EE"/>
    <w:rsid w:val="1AAB72F8"/>
    <w:rsid w:val="1ADACE5A"/>
    <w:rsid w:val="1B64429F"/>
    <w:rsid w:val="1B65DC6E"/>
    <w:rsid w:val="1BBBB0D1"/>
    <w:rsid w:val="1BC6F0E0"/>
    <w:rsid w:val="1BEFF253"/>
    <w:rsid w:val="1BFBF376"/>
    <w:rsid w:val="1C12035A"/>
    <w:rsid w:val="1C5AA2C4"/>
    <w:rsid w:val="1C7E7C91"/>
    <w:rsid w:val="1CB64182"/>
    <w:rsid w:val="1CEABFE1"/>
    <w:rsid w:val="1CFB1C67"/>
    <w:rsid w:val="1D2BA092"/>
    <w:rsid w:val="1D760664"/>
    <w:rsid w:val="1D89D2CC"/>
    <w:rsid w:val="1D909BDE"/>
    <w:rsid w:val="1D9964C0"/>
    <w:rsid w:val="1DC9DA4A"/>
    <w:rsid w:val="1E090FBD"/>
    <w:rsid w:val="1E20797F"/>
    <w:rsid w:val="1E652854"/>
    <w:rsid w:val="1E756D44"/>
    <w:rsid w:val="1ED5400B"/>
    <w:rsid w:val="1EF34B8B"/>
    <w:rsid w:val="1F28628A"/>
    <w:rsid w:val="1F36821A"/>
    <w:rsid w:val="1F7540D8"/>
    <w:rsid w:val="1FA3E3FF"/>
    <w:rsid w:val="1FD9B217"/>
    <w:rsid w:val="2015A450"/>
    <w:rsid w:val="20369508"/>
    <w:rsid w:val="2037B9FA"/>
    <w:rsid w:val="2039FDA9"/>
    <w:rsid w:val="203CEC3D"/>
    <w:rsid w:val="20431610"/>
    <w:rsid w:val="20A71B61"/>
    <w:rsid w:val="20C432EB"/>
    <w:rsid w:val="210F28BF"/>
    <w:rsid w:val="213E6D9D"/>
    <w:rsid w:val="21A54982"/>
    <w:rsid w:val="21C57DF6"/>
    <w:rsid w:val="21C7A63A"/>
    <w:rsid w:val="21E3F890"/>
    <w:rsid w:val="22F582C3"/>
    <w:rsid w:val="2304704D"/>
    <w:rsid w:val="230DDF18"/>
    <w:rsid w:val="2327BEB5"/>
    <w:rsid w:val="232D923F"/>
    <w:rsid w:val="23501380"/>
    <w:rsid w:val="235CDC8E"/>
    <w:rsid w:val="236153E2"/>
    <w:rsid w:val="236CCAAD"/>
    <w:rsid w:val="23B276DC"/>
    <w:rsid w:val="23B8AF0D"/>
    <w:rsid w:val="23D7D482"/>
    <w:rsid w:val="244A24CF"/>
    <w:rsid w:val="244E82BA"/>
    <w:rsid w:val="24505D49"/>
    <w:rsid w:val="249EAA08"/>
    <w:rsid w:val="252E931B"/>
    <w:rsid w:val="253B132D"/>
    <w:rsid w:val="2553C8F2"/>
    <w:rsid w:val="25998680"/>
    <w:rsid w:val="25B51FF9"/>
    <w:rsid w:val="25CE3EB7"/>
    <w:rsid w:val="261D7C45"/>
    <w:rsid w:val="26217FDE"/>
    <w:rsid w:val="26300510"/>
    <w:rsid w:val="2637D0D8"/>
    <w:rsid w:val="26A1810D"/>
    <w:rsid w:val="26B1915A"/>
    <w:rsid w:val="27258D70"/>
    <w:rsid w:val="28088C41"/>
    <w:rsid w:val="281E1A52"/>
    <w:rsid w:val="2830EEF8"/>
    <w:rsid w:val="2855C34F"/>
    <w:rsid w:val="28615855"/>
    <w:rsid w:val="2873E676"/>
    <w:rsid w:val="28A2FBC0"/>
    <w:rsid w:val="2913F6CC"/>
    <w:rsid w:val="291FFE6A"/>
    <w:rsid w:val="295F9181"/>
    <w:rsid w:val="296315E2"/>
    <w:rsid w:val="2985D770"/>
    <w:rsid w:val="29F7448C"/>
    <w:rsid w:val="2A78A2D4"/>
    <w:rsid w:val="2B0C70EB"/>
    <w:rsid w:val="2B22CE82"/>
    <w:rsid w:val="2B5053E8"/>
    <w:rsid w:val="2B6C65C7"/>
    <w:rsid w:val="2B81B0FD"/>
    <w:rsid w:val="2B86D287"/>
    <w:rsid w:val="2B9817F7"/>
    <w:rsid w:val="2BA5069F"/>
    <w:rsid w:val="2BD6164D"/>
    <w:rsid w:val="2BD699F8"/>
    <w:rsid w:val="2CA797C6"/>
    <w:rsid w:val="2CAD397A"/>
    <w:rsid w:val="2CBCE0BA"/>
    <w:rsid w:val="2CD2FAB0"/>
    <w:rsid w:val="2CD7FADA"/>
    <w:rsid w:val="2CDAFEFB"/>
    <w:rsid w:val="2D001141"/>
    <w:rsid w:val="2D421A4E"/>
    <w:rsid w:val="2D8E01A9"/>
    <w:rsid w:val="2DA0406C"/>
    <w:rsid w:val="2DECB0F7"/>
    <w:rsid w:val="2DF603EC"/>
    <w:rsid w:val="2E2A39C4"/>
    <w:rsid w:val="2E437A35"/>
    <w:rsid w:val="2E890E22"/>
    <w:rsid w:val="2EFE243B"/>
    <w:rsid w:val="2F090290"/>
    <w:rsid w:val="2F45B578"/>
    <w:rsid w:val="2F4A703D"/>
    <w:rsid w:val="2F57DB5B"/>
    <w:rsid w:val="2F8F41AD"/>
    <w:rsid w:val="3005175F"/>
    <w:rsid w:val="3008CA4B"/>
    <w:rsid w:val="300ABD73"/>
    <w:rsid w:val="300EB8CA"/>
    <w:rsid w:val="3012D3DD"/>
    <w:rsid w:val="301E1CC5"/>
    <w:rsid w:val="303F7AC0"/>
    <w:rsid w:val="30712F97"/>
    <w:rsid w:val="30722759"/>
    <w:rsid w:val="307D0D99"/>
    <w:rsid w:val="30955E31"/>
    <w:rsid w:val="30E35D54"/>
    <w:rsid w:val="310BC84A"/>
    <w:rsid w:val="317A837F"/>
    <w:rsid w:val="31DAC09F"/>
    <w:rsid w:val="31E4F00C"/>
    <w:rsid w:val="3261D0F8"/>
    <w:rsid w:val="3277A5D1"/>
    <w:rsid w:val="328DDFF6"/>
    <w:rsid w:val="32AAEB34"/>
    <w:rsid w:val="33361915"/>
    <w:rsid w:val="335E4F4F"/>
    <w:rsid w:val="337C523B"/>
    <w:rsid w:val="3384FE75"/>
    <w:rsid w:val="33974706"/>
    <w:rsid w:val="33AC4B1B"/>
    <w:rsid w:val="33D4921F"/>
    <w:rsid w:val="3422375E"/>
    <w:rsid w:val="343C73D1"/>
    <w:rsid w:val="34718E08"/>
    <w:rsid w:val="34BEC516"/>
    <w:rsid w:val="35129214"/>
    <w:rsid w:val="35222074"/>
    <w:rsid w:val="353D18D6"/>
    <w:rsid w:val="35437755"/>
    <w:rsid w:val="35789353"/>
    <w:rsid w:val="359C8D01"/>
    <w:rsid w:val="359E1B6C"/>
    <w:rsid w:val="35ED3B08"/>
    <w:rsid w:val="3611CD27"/>
    <w:rsid w:val="362E6D44"/>
    <w:rsid w:val="36581409"/>
    <w:rsid w:val="3670B46F"/>
    <w:rsid w:val="368268F5"/>
    <w:rsid w:val="36A4C729"/>
    <w:rsid w:val="36BB6959"/>
    <w:rsid w:val="36C278C9"/>
    <w:rsid w:val="36CEB88E"/>
    <w:rsid w:val="36E3038B"/>
    <w:rsid w:val="37212817"/>
    <w:rsid w:val="37273C7A"/>
    <w:rsid w:val="37860990"/>
    <w:rsid w:val="37CE9EFC"/>
    <w:rsid w:val="3858416C"/>
    <w:rsid w:val="385887AE"/>
    <w:rsid w:val="3859C136"/>
    <w:rsid w:val="387AAB1A"/>
    <w:rsid w:val="38CE22AF"/>
    <w:rsid w:val="39384BF4"/>
    <w:rsid w:val="399397FA"/>
    <w:rsid w:val="39D234FA"/>
    <w:rsid w:val="39F83260"/>
    <w:rsid w:val="39FB85E4"/>
    <w:rsid w:val="3A260D72"/>
    <w:rsid w:val="3A8BCEBD"/>
    <w:rsid w:val="3AD7A5B3"/>
    <w:rsid w:val="3B09EBBC"/>
    <w:rsid w:val="3B4C51FA"/>
    <w:rsid w:val="3B5135F1"/>
    <w:rsid w:val="3B696134"/>
    <w:rsid w:val="3B828991"/>
    <w:rsid w:val="3C94BA1D"/>
    <w:rsid w:val="3CE17CD4"/>
    <w:rsid w:val="3D5677B0"/>
    <w:rsid w:val="3D9515AB"/>
    <w:rsid w:val="3D9814E9"/>
    <w:rsid w:val="3DAA9DDB"/>
    <w:rsid w:val="3DAA9F2A"/>
    <w:rsid w:val="3E036C39"/>
    <w:rsid w:val="3E1134FD"/>
    <w:rsid w:val="3E6457A9"/>
    <w:rsid w:val="3EA5E71D"/>
    <w:rsid w:val="3F3D6433"/>
    <w:rsid w:val="3F508820"/>
    <w:rsid w:val="3F9C93D5"/>
    <w:rsid w:val="3FA708AB"/>
    <w:rsid w:val="3FD60DD2"/>
    <w:rsid w:val="4011310B"/>
    <w:rsid w:val="4048F77A"/>
    <w:rsid w:val="406F1269"/>
    <w:rsid w:val="407945A8"/>
    <w:rsid w:val="40AA28A9"/>
    <w:rsid w:val="40B0D939"/>
    <w:rsid w:val="40CCD730"/>
    <w:rsid w:val="40E0A511"/>
    <w:rsid w:val="4117CEB9"/>
    <w:rsid w:val="411B2703"/>
    <w:rsid w:val="41CCF787"/>
    <w:rsid w:val="41D8A2B8"/>
    <w:rsid w:val="41DA6395"/>
    <w:rsid w:val="4209277F"/>
    <w:rsid w:val="4235D1B6"/>
    <w:rsid w:val="42791AD9"/>
    <w:rsid w:val="4294A8F4"/>
    <w:rsid w:val="42C59077"/>
    <w:rsid w:val="42E17B5B"/>
    <w:rsid w:val="42E69E5E"/>
    <w:rsid w:val="4313710B"/>
    <w:rsid w:val="431387A9"/>
    <w:rsid w:val="431B612D"/>
    <w:rsid w:val="43B7F91F"/>
    <w:rsid w:val="43BC4DEE"/>
    <w:rsid w:val="43C7D96B"/>
    <w:rsid w:val="43FC95FF"/>
    <w:rsid w:val="43FDB80D"/>
    <w:rsid w:val="441B426F"/>
    <w:rsid w:val="4441274C"/>
    <w:rsid w:val="44549D55"/>
    <w:rsid w:val="44727530"/>
    <w:rsid w:val="448B2C94"/>
    <w:rsid w:val="44D6EBE8"/>
    <w:rsid w:val="45202823"/>
    <w:rsid w:val="45392E4F"/>
    <w:rsid w:val="45A3E68D"/>
    <w:rsid w:val="45C059A6"/>
    <w:rsid w:val="45C296C3"/>
    <w:rsid w:val="45D92E6F"/>
    <w:rsid w:val="45E0847D"/>
    <w:rsid w:val="45EADE10"/>
    <w:rsid w:val="462AF33F"/>
    <w:rsid w:val="463656DC"/>
    <w:rsid w:val="46745440"/>
    <w:rsid w:val="468ECA65"/>
    <w:rsid w:val="46AE0789"/>
    <w:rsid w:val="471BB3E4"/>
    <w:rsid w:val="47594E33"/>
    <w:rsid w:val="4788D12A"/>
    <w:rsid w:val="47E99505"/>
    <w:rsid w:val="47FA2F1E"/>
    <w:rsid w:val="4806637F"/>
    <w:rsid w:val="48295A7A"/>
    <w:rsid w:val="4837E112"/>
    <w:rsid w:val="4839CC03"/>
    <w:rsid w:val="48B78445"/>
    <w:rsid w:val="4930DCF6"/>
    <w:rsid w:val="4938689A"/>
    <w:rsid w:val="49390012"/>
    <w:rsid w:val="49431482"/>
    <w:rsid w:val="496BD677"/>
    <w:rsid w:val="498ED475"/>
    <w:rsid w:val="4995FF7F"/>
    <w:rsid w:val="4A1EC138"/>
    <w:rsid w:val="4A7D6985"/>
    <w:rsid w:val="4ABE4F33"/>
    <w:rsid w:val="4B284412"/>
    <w:rsid w:val="4B3ECD8F"/>
    <w:rsid w:val="4B58F6DE"/>
    <w:rsid w:val="4B5AB170"/>
    <w:rsid w:val="4B784422"/>
    <w:rsid w:val="4BA10B10"/>
    <w:rsid w:val="4BBB8320"/>
    <w:rsid w:val="4C4B35CE"/>
    <w:rsid w:val="4C65A5BB"/>
    <w:rsid w:val="4C9F1FFB"/>
    <w:rsid w:val="4CC0BE53"/>
    <w:rsid w:val="4D213AE2"/>
    <w:rsid w:val="4D2342E5"/>
    <w:rsid w:val="4D251D84"/>
    <w:rsid w:val="4D71E73C"/>
    <w:rsid w:val="4DD49914"/>
    <w:rsid w:val="4DDE8FEB"/>
    <w:rsid w:val="4DF9DBE1"/>
    <w:rsid w:val="4E0A803B"/>
    <w:rsid w:val="4E0B3B2B"/>
    <w:rsid w:val="4E3F3872"/>
    <w:rsid w:val="4E54A12E"/>
    <w:rsid w:val="4E7CD953"/>
    <w:rsid w:val="4E8B1156"/>
    <w:rsid w:val="4EB113D4"/>
    <w:rsid w:val="4EBF1346"/>
    <w:rsid w:val="4EE885E3"/>
    <w:rsid w:val="4F072E7F"/>
    <w:rsid w:val="4F152E6E"/>
    <w:rsid w:val="4F1DA724"/>
    <w:rsid w:val="4FCC2AE1"/>
    <w:rsid w:val="4FEFD8C8"/>
    <w:rsid w:val="4FFAF08A"/>
    <w:rsid w:val="502AEC3D"/>
    <w:rsid w:val="502D9CB6"/>
    <w:rsid w:val="50385F95"/>
    <w:rsid w:val="5086ED87"/>
    <w:rsid w:val="5115ECC9"/>
    <w:rsid w:val="511D2119"/>
    <w:rsid w:val="512E1FD9"/>
    <w:rsid w:val="51418985"/>
    <w:rsid w:val="51DAC494"/>
    <w:rsid w:val="51FF9822"/>
    <w:rsid w:val="5205F116"/>
    <w:rsid w:val="525A118F"/>
    <w:rsid w:val="52664C84"/>
    <w:rsid w:val="52837FA5"/>
    <w:rsid w:val="52A4E309"/>
    <w:rsid w:val="52B8EAFF"/>
    <w:rsid w:val="52D0B911"/>
    <w:rsid w:val="52DBDA1C"/>
    <w:rsid w:val="536B72DE"/>
    <w:rsid w:val="53CEDFBC"/>
    <w:rsid w:val="5419458E"/>
    <w:rsid w:val="54817DD7"/>
    <w:rsid w:val="549AE2FE"/>
    <w:rsid w:val="54F1CB40"/>
    <w:rsid w:val="550DECCD"/>
    <w:rsid w:val="551BAAC9"/>
    <w:rsid w:val="55215878"/>
    <w:rsid w:val="5545337E"/>
    <w:rsid w:val="55A40CEE"/>
    <w:rsid w:val="563B42F6"/>
    <w:rsid w:val="5658F724"/>
    <w:rsid w:val="56857C45"/>
    <w:rsid w:val="56FEECB3"/>
    <w:rsid w:val="5758B3D7"/>
    <w:rsid w:val="57A008A6"/>
    <w:rsid w:val="583EB3FB"/>
    <w:rsid w:val="586B4CD6"/>
    <w:rsid w:val="58D31F15"/>
    <w:rsid w:val="59D0724D"/>
    <w:rsid w:val="59F774A8"/>
    <w:rsid w:val="5A312656"/>
    <w:rsid w:val="5A4C78CD"/>
    <w:rsid w:val="5A559543"/>
    <w:rsid w:val="5A6E51F6"/>
    <w:rsid w:val="5A946514"/>
    <w:rsid w:val="5AA08FA7"/>
    <w:rsid w:val="5AAF7738"/>
    <w:rsid w:val="5AC1E800"/>
    <w:rsid w:val="5AC83288"/>
    <w:rsid w:val="5AE316C3"/>
    <w:rsid w:val="5B45D96E"/>
    <w:rsid w:val="5B4F73C1"/>
    <w:rsid w:val="5BBE2EF6"/>
    <w:rsid w:val="5C015F7D"/>
    <w:rsid w:val="5C64982D"/>
    <w:rsid w:val="5C765A59"/>
    <w:rsid w:val="5C9BF993"/>
    <w:rsid w:val="5CEDAC9A"/>
    <w:rsid w:val="5CEF152D"/>
    <w:rsid w:val="5CF43710"/>
    <w:rsid w:val="5D4D1F71"/>
    <w:rsid w:val="5D817C5D"/>
    <w:rsid w:val="5D859FAA"/>
    <w:rsid w:val="5D8FF61C"/>
    <w:rsid w:val="5DA3EE74"/>
    <w:rsid w:val="5E378844"/>
    <w:rsid w:val="5EADFB0A"/>
    <w:rsid w:val="5F7EA55D"/>
    <w:rsid w:val="5F91231B"/>
    <w:rsid w:val="5FA40C33"/>
    <w:rsid w:val="6007D55C"/>
    <w:rsid w:val="6024B5E4"/>
    <w:rsid w:val="6030CD89"/>
    <w:rsid w:val="60913B72"/>
    <w:rsid w:val="60954745"/>
    <w:rsid w:val="609B4AE9"/>
    <w:rsid w:val="60F7180F"/>
    <w:rsid w:val="6107F8F0"/>
    <w:rsid w:val="6198BBEB"/>
    <w:rsid w:val="61CCF975"/>
    <w:rsid w:val="62119F1A"/>
    <w:rsid w:val="621390DD"/>
    <w:rsid w:val="6246B57D"/>
    <w:rsid w:val="62891004"/>
    <w:rsid w:val="628A85B6"/>
    <w:rsid w:val="62A37256"/>
    <w:rsid w:val="62B1D94A"/>
    <w:rsid w:val="62BD31E2"/>
    <w:rsid w:val="62F7C603"/>
    <w:rsid w:val="63027ABF"/>
    <w:rsid w:val="63598987"/>
    <w:rsid w:val="636D5768"/>
    <w:rsid w:val="637341E6"/>
    <w:rsid w:val="63F6506B"/>
    <w:rsid w:val="63FB084C"/>
    <w:rsid w:val="6483FC94"/>
    <w:rsid w:val="648BB02E"/>
    <w:rsid w:val="64E20DC4"/>
    <w:rsid w:val="6535C7E8"/>
    <w:rsid w:val="654063CC"/>
    <w:rsid w:val="65649F9F"/>
    <w:rsid w:val="65D728CE"/>
    <w:rsid w:val="665A2640"/>
    <w:rsid w:val="66C02AA1"/>
    <w:rsid w:val="6729280A"/>
    <w:rsid w:val="6768F671"/>
    <w:rsid w:val="67A78E45"/>
    <w:rsid w:val="67C8F91F"/>
    <w:rsid w:val="67DDA4E4"/>
    <w:rsid w:val="67EA3962"/>
    <w:rsid w:val="67F18E75"/>
    <w:rsid w:val="682731B8"/>
    <w:rsid w:val="68293C04"/>
    <w:rsid w:val="68BF0405"/>
    <w:rsid w:val="68D24591"/>
    <w:rsid w:val="68EB6DEE"/>
    <w:rsid w:val="691DFB16"/>
    <w:rsid w:val="69293A2A"/>
    <w:rsid w:val="69431B35"/>
    <w:rsid w:val="6956AE61"/>
    <w:rsid w:val="69828BF6"/>
    <w:rsid w:val="69CB6559"/>
    <w:rsid w:val="69D6E94C"/>
    <w:rsid w:val="6A1F5E94"/>
    <w:rsid w:val="6A5B9417"/>
    <w:rsid w:val="6A6E6163"/>
    <w:rsid w:val="6A8A5E07"/>
    <w:rsid w:val="6AA32873"/>
    <w:rsid w:val="6AA9271D"/>
    <w:rsid w:val="6AAD1894"/>
    <w:rsid w:val="6AEC4691"/>
    <w:rsid w:val="6B528F08"/>
    <w:rsid w:val="6B9EF45C"/>
    <w:rsid w:val="6BAA6039"/>
    <w:rsid w:val="6BDF07A0"/>
    <w:rsid w:val="6BE847FB"/>
    <w:rsid w:val="6C158427"/>
    <w:rsid w:val="6C51C423"/>
    <w:rsid w:val="6C804023"/>
    <w:rsid w:val="6C81620C"/>
    <w:rsid w:val="6C96695A"/>
    <w:rsid w:val="6CE750C2"/>
    <w:rsid w:val="6D20761F"/>
    <w:rsid w:val="6D425C51"/>
    <w:rsid w:val="6D66A6AF"/>
    <w:rsid w:val="6E2A250F"/>
    <w:rsid w:val="6E4D3EB8"/>
    <w:rsid w:val="6E589F8A"/>
    <w:rsid w:val="6E7F0D3D"/>
    <w:rsid w:val="6EDA5EA5"/>
    <w:rsid w:val="6EF8ED79"/>
    <w:rsid w:val="6F201D89"/>
    <w:rsid w:val="6F3C67A9"/>
    <w:rsid w:val="6F404712"/>
    <w:rsid w:val="6FBA3A1C"/>
    <w:rsid w:val="6FBF193B"/>
    <w:rsid w:val="6FEF7444"/>
    <w:rsid w:val="6FF09512"/>
    <w:rsid w:val="7044390D"/>
    <w:rsid w:val="704F3A64"/>
    <w:rsid w:val="705CBB38"/>
    <w:rsid w:val="707FEB9B"/>
    <w:rsid w:val="70E48670"/>
    <w:rsid w:val="71A6B5E6"/>
    <w:rsid w:val="71BF0436"/>
    <w:rsid w:val="71C0FC74"/>
    <w:rsid w:val="71FD1BCC"/>
    <w:rsid w:val="7216C735"/>
    <w:rsid w:val="7246A547"/>
    <w:rsid w:val="724C9A8F"/>
    <w:rsid w:val="7288A7D9"/>
    <w:rsid w:val="729A4757"/>
    <w:rsid w:val="72A2CB46"/>
    <w:rsid w:val="72A55C0B"/>
    <w:rsid w:val="72A57CCE"/>
    <w:rsid w:val="72AAD2A2"/>
    <w:rsid w:val="72E4C354"/>
    <w:rsid w:val="72FD9632"/>
    <w:rsid w:val="730BCC89"/>
    <w:rsid w:val="73855CAB"/>
    <w:rsid w:val="73E1AF01"/>
    <w:rsid w:val="746DA389"/>
    <w:rsid w:val="749B75AB"/>
    <w:rsid w:val="74F63F56"/>
    <w:rsid w:val="75010B0E"/>
    <w:rsid w:val="752C90CB"/>
    <w:rsid w:val="752D09A6"/>
    <w:rsid w:val="7539E692"/>
    <w:rsid w:val="753EACEA"/>
    <w:rsid w:val="753F1042"/>
    <w:rsid w:val="75D94F83"/>
    <w:rsid w:val="75ED8128"/>
    <w:rsid w:val="7603E354"/>
    <w:rsid w:val="76194DFB"/>
    <w:rsid w:val="761BC8D8"/>
    <w:rsid w:val="76388DC6"/>
    <w:rsid w:val="7638CF4C"/>
    <w:rsid w:val="763F09B1"/>
    <w:rsid w:val="764377E3"/>
    <w:rsid w:val="766D6462"/>
    <w:rsid w:val="76711E39"/>
    <w:rsid w:val="76A1D74D"/>
    <w:rsid w:val="7713BD76"/>
    <w:rsid w:val="77229A19"/>
    <w:rsid w:val="772C6F1E"/>
    <w:rsid w:val="7741FAFB"/>
    <w:rsid w:val="776E4FF2"/>
    <w:rsid w:val="7844AA95"/>
    <w:rsid w:val="785ACF2E"/>
    <w:rsid w:val="78A4147C"/>
    <w:rsid w:val="78B704A8"/>
    <w:rsid w:val="78BA7903"/>
    <w:rsid w:val="78C99190"/>
    <w:rsid w:val="791E317E"/>
    <w:rsid w:val="79249863"/>
    <w:rsid w:val="7927A817"/>
    <w:rsid w:val="79804A1F"/>
    <w:rsid w:val="7A0A0070"/>
    <w:rsid w:val="7A3B7314"/>
    <w:rsid w:val="7A609AA9"/>
    <w:rsid w:val="7A83B452"/>
    <w:rsid w:val="7AAAF217"/>
    <w:rsid w:val="7AFBF0A4"/>
    <w:rsid w:val="7B1F07C1"/>
    <w:rsid w:val="7B232BAF"/>
    <w:rsid w:val="7B38B629"/>
    <w:rsid w:val="7B3B5281"/>
    <w:rsid w:val="7B4E0747"/>
    <w:rsid w:val="7BC887B4"/>
    <w:rsid w:val="7C00D43D"/>
    <w:rsid w:val="7C5F3119"/>
    <w:rsid w:val="7C6F44FC"/>
    <w:rsid w:val="7C711C77"/>
    <w:rsid w:val="7C72BAA6"/>
    <w:rsid w:val="7C7E98A8"/>
    <w:rsid w:val="7CC6A949"/>
    <w:rsid w:val="7CCB177B"/>
    <w:rsid w:val="7CD5378F"/>
    <w:rsid w:val="7D5DD5EF"/>
    <w:rsid w:val="7D7FA230"/>
    <w:rsid w:val="7D8009EB"/>
    <w:rsid w:val="7DB093F4"/>
    <w:rsid w:val="7DBB1BC8"/>
    <w:rsid w:val="7DCE81AE"/>
    <w:rsid w:val="7DE86E24"/>
    <w:rsid w:val="7E10516F"/>
    <w:rsid w:val="7E1B754B"/>
    <w:rsid w:val="7E4D253C"/>
    <w:rsid w:val="7E72C5DE"/>
    <w:rsid w:val="7F2DC70F"/>
    <w:rsid w:val="7F6385FD"/>
    <w:rsid w:val="7FF18D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FA"/>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9F30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9F30C1"/>
    <w:pPr>
      <w:keepNext/>
      <w:spacing w:before="0" w:after="240" w:line="312" w:lineRule="auto"/>
      <w:outlineLvl w:val="5"/>
    </w:pPr>
    <w:rPr>
      <w:rFonts w:ascii="Calibri" w:eastAsia="Times New Roman" w:hAnsi="Calibri" w:cs="Tahoma"/>
      <w:u w:val="single"/>
      <w:lang w:eastAsia="en-AU"/>
    </w:rPr>
  </w:style>
  <w:style w:type="paragraph" w:styleId="Heading7">
    <w:name w:val="heading 7"/>
    <w:basedOn w:val="Normal"/>
    <w:next w:val="Normal"/>
    <w:link w:val="Heading7Char"/>
    <w:rsid w:val="009F30C1"/>
    <w:pPr>
      <w:keepNext/>
      <w:spacing w:before="0" w:after="240" w:line="312" w:lineRule="auto"/>
      <w:outlineLvl w:val="6"/>
    </w:pPr>
    <w:rPr>
      <w:rFonts w:ascii="Calibri" w:eastAsia="Times New Roman" w:hAnsi="Calibri" w:cs="Tahoma"/>
      <w:i/>
      <w:lang w:eastAsia="en-AU"/>
    </w:rPr>
  </w:style>
  <w:style w:type="paragraph" w:styleId="Heading8">
    <w:name w:val="heading 8"/>
    <w:basedOn w:val="Normal"/>
    <w:next w:val="Normal"/>
    <w:link w:val="Heading8Char"/>
    <w:rsid w:val="009F30C1"/>
    <w:pPr>
      <w:keepNext/>
      <w:spacing w:before="0" w:after="240" w:line="312" w:lineRule="auto"/>
      <w:outlineLvl w:val="7"/>
    </w:pPr>
    <w:rPr>
      <w:rFonts w:ascii="Calibri" w:eastAsia="Times New Roman" w:hAnsi="Calibri" w:cs="Tahoma"/>
      <w:u w:val="single"/>
      <w:lang w:eastAsia="en-AU"/>
    </w:rPr>
  </w:style>
  <w:style w:type="paragraph" w:styleId="Heading9">
    <w:name w:val="heading 9"/>
    <w:basedOn w:val="Normal"/>
    <w:next w:val="Normal"/>
    <w:link w:val="Heading9Char"/>
    <w:rsid w:val="009F30C1"/>
    <w:pPr>
      <w:keepNext/>
      <w:spacing w:before="0" w:after="240" w:line="312" w:lineRule="auto"/>
      <w:outlineLvl w:val="8"/>
    </w:pPr>
    <w:rPr>
      <w:rFonts w:ascii="Calibri" w:eastAsia="Times New Roman" w:hAnsi="Calibri" w:cs="Tahom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Source table_,NICE instructions,Header Table"/>
    <w:basedOn w:val="TableNormal"/>
    <w:uiPriority w:val="3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Numbered para,BulletPoints,Section heading,Bullet point,List Paragraph1,List Paragraph11,Recommendation"/>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link w:val="TableNameChar"/>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qFormat/>
    <w:rsid w:val="00E1194E"/>
    <w:pPr>
      <w:tabs>
        <w:tab w:val="left" w:pos="992"/>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qFormat/>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qFormat/>
    <w:rsid w:val="00324435"/>
    <w:pPr>
      <w:tabs>
        <w:tab w:val="left" w:pos="1540"/>
        <w:tab w:val="right" w:leader="dot" w:pos="9016"/>
      </w:tabs>
      <w:spacing w:after="100" w:line="240" w:lineRule="auto"/>
      <w:ind w:left="720"/>
    </w:pPr>
    <w:rPr>
      <w:rFonts w:asciiTheme="minorHAnsi" w:hAnsiTheme="minorHAnsi"/>
    </w:rPr>
  </w:style>
  <w:style w:type="character" w:styleId="FollowedHyperlink">
    <w:name w:val="FollowedHyperlink"/>
    <w:basedOn w:val="DefaultParagraphFont"/>
    <w:uiPriority w:val="99"/>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Numbered para Char,BulletPoints Char,Section heading Char,Bullet point Char,List Paragraph1 Char,List Paragraph11 Char,Recommendation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G Times" w:hAnsi="CG Time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G Times" w:hAnsi="CG Time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G Times" w:hAnsi="CG Time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0">
    <w:name w:val="Unresolved Mention30"/>
    <w:basedOn w:val="DefaultParagraphFont"/>
    <w:uiPriority w:val="99"/>
    <w:semiHidden/>
    <w:unhideWhenUsed/>
    <w:rsid w:val="00AB5F8E"/>
    <w:rPr>
      <w:color w:val="605E5C"/>
      <w:shd w:val="clear" w:color="auto" w:fill="E1DFDD"/>
    </w:rPr>
  </w:style>
  <w:style w:type="paragraph" w:customStyle="1" w:styleId="EndNoteBibliographyTitle">
    <w:name w:val="EndNote Bibliography Title"/>
    <w:basedOn w:val="Normal"/>
    <w:link w:val="EndNoteBibliographyTitleChar"/>
    <w:rsid w:val="00EA3949"/>
    <w:pPr>
      <w:spacing w:after="0"/>
      <w:jc w:val="center"/>
    </w:pPr>
    <w:rPr>
      <w:noProof/>
      <w:lang w:val="en-US"/>
    </w:rPr>
  </w:style>
  <w:style w:type="character" w:customStyle="1" w:styleId="EndNoteBibliographyTitleChar">
    <w:name w:val="EndNote Bibliography Title Char"/>
    <w:basedOn w:val="TableTextChar"/>
    <w:link w:val="EndNoteBibliographyTitle"/>
    <w:rsid w:val="00EA3949"/>
    <w:rPr>
      <w:rFonts w:ascii="Franklin Gothic Book" w:hAnsi="Franklin Gothic Book"/>
      <w:noProof/>
      <w:sz w:val="20"/>
      <w:lang w:val="en-US"/>
    </w:rPr>
  </w:style>
  <w:style w:type="paragraph" w:customStyle="1" w:styleId="EndNoteBibliography">
    <w:name w:val="EndNote Bibliography"/>
    <w:basedOn w:val="Normal"/>
    <w:link w:val="EndNoteBibliographyChar"/>
    <w:rsid w:val="00EA3949"/>
    <w:pPr>
      <w:spacing w:line="240" w:lineRule="auto"/>
    </w:pPr>
    <w:rPr>
      <w:noProof/>
      <w:lang w:val="en-US"/>
    </w:rPr>
  </w:style>
  <w:style w:type="character" w:customStyle="1" w:styleId="EndNoteBibliographyChar">
    <w:name w:val="EndNote Bibliography Char"/>
    <w:basedOn w:val="TableTextChar"/>
    <w:link w:val="EndNoteBibliography"/>
    <w:rsid w:val="00EA3949"/>
    <w:rPr>
      <w:rFonts w:ascii="Franklin Gothic Book" w:hAnsi="Franklin Gothic Book"/>
      <w:noProof/>
      <w:sz w:val="20"/>
      <w:lang w:val="en-US"/>
    </w:rPr>
  </w:style>
  <w:style w:type="character" w:customStyle="1" w:styleId="Heading5Char">
    <w:name w:val="Heading 5 Char"/>
    <w:basedOn w:val="DefaultParagraphFont"/>
    <w:link w:val="Heading5"/>
    <w:uiPriority w:val="9"/>
    <w:rsid w:val="009F30C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F30C1"/>
    <w:rPr>
      <w:rFonts w:ascii="Calibri" w:eastAsia="Times New Roman" w:hAnsi="Calibri" w:cs="Tahoma"/>
      <w:u w:val="single"/>
      <w:lang w:eastAsia="en-AU"/>
    </w:rPr>
  </w:style>
  <w:style w:type="character" w:customStyle="1" w:styleId="Heading7Char">
    <w:name w:val="Heading 7 Char"/>
    <w:basedOn w:val="DefaultParagraphFont"/>
    <w:link w:val="Heading7"/>
    <w:rsid w:val="009F30C1"/>
    <w:rPr>
      <w:rFonts w:ascii="Calibri" w:eastAsia="Times New Roman" w:hAnsi="Calibri" w:cs="Tahoma"/>
      <w:i/>
      <w:lang w:eastAsia="en-AU"/>
    </w:rPr>
  </w:style>
  <w:style w:type="character" w:customStyle="1" w:styleId="Heading8Char">
    <w:name w:val="Heading 8 Char"/>
    <w:basedOn w:val="DefaultParagraphFont"/>
    <w:link w:val="Heading8"/>
    <w:rsid w:val="009F30C1"/>
    <w:rPr>
      <w:rFonts w:ascii="Calibri" w:eastAsia="Times New Roman" w:hAnsi="Calibri" w:cs="Tahoma"/>
      <w:u w:val="single"/>
      <w:lang w:eastAsia="en-AU"/>
    </w:rPr>
  </w:style>
  <w:style w:type="character" w:customStyle="1" w:styleId="Heading9Char">
    <w:name w:val="Heading 9 Char"/>
    <w:basedOn w:val="DefaultParagraphFont"/>
    <w:link w:val="Heading9"/>
    <w:rsid w:val="009F30C1"/>
    <w:rPr>
      <w:rFonts w:ascii="Calibri" w:eastAsia="Times New Roman" w:hAnsi="Calibri" w:cs="Tahoma"/>
      <w:lang w:eastAsia="en-AU"/>
    </w:rPr>
  </w:style>
  <w:style w:type="paragraph" w:customStyle="1" w:styleId="Summaryboxtext">
    <w:name w:val="Summary box text"/>
    <w:basedOn w:val="Normal"/>
    <w:rsid w:val="009F30C1"/>
    <w:pPr>
      <w:spacing w:before="0" w:after="100" w:afterAutospacing="1" w:line="312" w:lineRule="auto"/>
    </w:pPr>
    <w:rPr>
      <w:rFonts w:ascii="Arial Narrow" w:eastAsia="Times New Roman" w:hAnsi="Arial Narrow" w:cs="Tahoma"/>
      <w:lang w:eastAsia="en-AU"/>
    </w:rPr>
  </w:style>
  <w:style w:type="paragraph" w:customStyle="1" w:styleId="Heading2a">
    <w:name w:val="Heading 2a"/>
    <w:basedOn w:val="Heading2"/>
    <w:rsid w:val="009F30C1"/>
    <w:pPr>
      <w:keepLines w:val="0"/>
      <w:numPr>
        <w:ilvl w:val="0"/>
        <w:numId w:val="0"/>
      </w:numPr>
      <w:spacing w:before="240" w:line="312" w:lineRule="auto"/>
      <w:outlineLvl w:val="9"/>
    </w:pPr>
    <w:rPr>
      <w:rFonts w:ascii="Calibri" w:eastAsia="Times New Roman" w:hAnsi="Calibri" w:cs="Tahoma"/>
      <w:b/>
      <w:smallCaps/>
      <w:color w:val="auto"/>
      <w:sz w:val="22"/>
      <w:szCs w:val="22"/>
      <w:lang w:eastAsia="en-AU"/>
    </w:rPr>
  </w:style>
  <w:style w:type="character" w:styleId="PageNumber">
    <w:name w:val="page number"/>
    <w:rsid w:val="009F30C1"/>
    <w:rPr>
      <w:rFonts w:ascii="Tahoma" w:hAnsi="Tahoma"/>
      <w:b/>
      <w:sz w:val="18"/>
    </w:rPr>
  </w:style>
  <w:style w:type="paragraph" w:styleId="TableofFigures">
    <w:name w:val="table of figures"/>
    <w:basedOn w:val="Normal"/>
    <w:next w:val="Normal"/>
    <w:uiPriority w:val="99"/>
    <w:rsid w:val="009F30C1"/>
    <w:pPr>
      <w:tabs>
        <w:tab w:val="left" w:pos="1800"/>
        <w:tab w:val="right" w:leader="dot" w:pos="9017"/>
      </w:tabs>
      <w:spacing w:before="0" w:after="120" w:line="312" w:lineRule="auto"/>
      <w:ind w:left="1800" w:right="720" w:hanging="1080"/>
    </w:pPr>
    <w:rPr>
      <w:rFonts w:ascii="Calibri" w:eastAsia="Times New Roman" w:hAnsi="Calibri" w:cs="Tahoma"/>
      <w:noProof/>
      <w:lang w:eastAsia="en-AU"/>
    </w:rPr>
  </w:style>
  <w:style w:type="character" w:customStyle="1" w:styleId="TableNameChar">
    <w:name w:val="TableName Char"/>
    <w:link w:val="TableName"/>
    <w:rsid w:val="009F30C1"/>
    <w:rPr>
      <w:rFonts w:ascii="Franklin Gothic Medium" w:hAnsi="Franklin Gothic Medium"/>
    </w:rPr>
  </w:style>
  <w:style w:type="paragraph" w:customStyle="1" w:styleId="TableNotes1">
    <w:name w:val="TableNotes"/>
    <w:basedOn w:val="TableText1"/>
    <w:link w:val="TableNotesChar1"/>
    <w:rsid w:val="009F30C1"/>
    <w:pPr>
      <w:keepNext w:val="0"/>
      <w:keepLines/>
      <w:spacing w:before="0" w:after="360" w:line="312" w:lineRule="auto"/>
      <w:ind w:left="720"/>
      <w:contextualSpacing/>
      <w:jc w:val="left"/>
    </w:pPr>
    <w:rPr>
      <w:sz w:val="16"/>
    </w:rPr>
  </w:style>
  <w:style w:type="character" w:customStyle="1" w:styleId="TableNotesChar1">
    <w:name w:val="TableNotes Char"/>
    <w:link w:val="TableNotes1"/>
    <w:rsid w:val="009F30C1"/>
    <w:rPr>
      <w:rFonts w:ascii="Arial Narrow" w:eastAsia="Times New Roman" w:hAnsi="Arial Narrow" w:cs="Tahoma"/>
      <w:sz w:val="16"/>
      <w:lang w:eastAsia="en-AU"/>
    </w:rPr>
  </w:style>
  <w:style w:type="paragraph" w:styleId="Quote">
    <w:name w:val="Quote"/>
    <w:basedOn w:val="Normal"/>
    <w:link w:val="QuoteChar"/>
    <w:rsid w:val="009F30C1"/>
    <w:pPr>
      <w:keepLines/>
      <w:spacing w:before="0" w:after="240" w:line="312" w:lineRule="auto"/>
      <w:ind w:left="1440" w:right="720"/>
    </w:pPr>
    <w:rPr>
      <w:rFonts w:ascii="Calibri" w:eastAsia="Times New Roman" w:hAnsi="Calibri" w:cs="Tahoma"/>
      <w:lang w:eastAsia="en-AU"/>
    </w:rPr>
  </w:style>
  <w:style w:type="character" w:customStyle="1" w:styleId="QuoteChar">
    <w:name w:val="Quote Char"/>
    <w:basedOn w:val="DefaultParagraphFont"/>
    <w:link w:val="Quote"/>
    <w:rsid w:val="009F30C1"/>
    <w:rPr>
      <w:rFonts w:ascii="Calibri" w:eastAsia="Times New Roman" w:hAnsi="Calibri" w:cs="Tahoma"/>
      <w:lang w:eastAsia="en-AU"/>
    </w:rPr>
  </w:style>
  <w:style w:type="paragraph" w:styleId="BodyText">
    <w:name w:val="Body Text"/>
    <w:basedOn w:val="Normal"/>
    <w:link w:val="BodyTextChar"/>
    <w:rsid w:val="009F30C1"/>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9F30C1"/>
    <w:rPr>
      <w:rFonts w:ascii="Helv" w:eastAsia="Times New Roman" w:hAnsi="Helv" w:cs="Tahoma"/>
      <w:b/>
      <w:i/>
      <w:snapToGrid w:val="0"/>
      <w:color w:val="000000"/>
      <w:sz w:val="28"/>
    </w:rPr>
  </w:style>
  <w:style w:type="paragraph" w:customStyle="1" w:styleId="Boxname0">
    <w:name w:val="Box name"/>
    <w:basedOn w:val="TableName"/>
    <w:link w:val="BoxnameChar"/>
    <w:rsid w:val="009F30C1"/>
    <w:pPr>
      <w:spacing w:before="40" w:after="40" w:line="312" w:lineRule="auto"/>
      <w:ind w:left="1440" w:hanging="720"/>
    </w:pPr>
    <w:rPr>
      <w:rFonts w:ascii="Arial Narrow" w:eastAsia="Times New Roman" w:hAnsi="Arial Narrow" w:cs="Tahoma"/>
      <w:b/>
      <w:sz w:val="20"/>
      <w:lang w:eastAsia="en-AU"/>
    </w:rPr>
  </w:style>
  <w:style w:type="character" w:customStyle="1" w:styleId="BoxnameChar">
    <w:name w:val="Box name Char"/>
    <w:basedOn w:val="TableNameChar"/>
    <w:link w:val="Boxname0"/>
    <w:rsid w:val="009F30C1"/>
    <w:rPr>
      <w:rFonts w:ascii="Arial Narrow" w:eastAsia="Times New Roman" w:hAnsi="Arial Narrow" w:cs="Tahoma"/>
      <w:b/>
      <w:sz w:val="20"/>
      <w:lang w:eastAsia="en-AU"/>
    </w:rPr>
  </w:style>
  <w:style w:type="paragraph" w:customStyle="1" w:styleId="StyleTableTextArialNarrowFirstline045cm">
    <w:name w:val="Style Table Text + Arial Narrow First line:  0.45 cm"/>
    <w:basedOn w:val="TableText"/>
    <w:rsid w:val="009F30C1"/>
    <w:pPr>
      <w:keepNext/>
      <w:spacing w:after="360"/>
      <w:ind w:firstLine="720"/>
    </w:pPr>
    <w:rPr>
      <w:rFonts w:eastAsia="Times New Roman" w:cs="Tahoma"/>
    </w:rPr>
  </w:style>
  <w:style w:type="paragraph" w:customStyle="1" w:styleId="TableNamea">
    <w:name w:val="Table Name(a)"/>
    <w:basedOn w:val="Normal"/>
    <w:rsid w:val="009F30C1"/>
    <w:pPr>
      <w:keepNext/>
      <w:spacing w:after="120" w:line="312" w:lineRule="auto"/>
      <w:ind w:left="1077" w:hanging="1077"/>
    </w:pPr>
    <w:rPr>
      <w:rFonts w:ascii="Arial" w:eastAsia="Times New Roman" w:hAnsi="Arial" w:cs="Tahoma"/>
      <w:b/>
      <w:sz w:val="20"/>
    </w:rPr>
  </w:style>
  <w:style w:type="paragraph" w:styleId="DocumentMap">
    <w:name w:val="Document Map"/>
    <w:basedOn w:val="Normal"/>
    <w:link w:val="DocumentMapChar"/>
    <w:rsid w:val="009F30C1"/>
    <w:pPr>
      <w:spacing w:before="0" w:after="240" w:line="312" w:lineRule="auto"/>
    </w:pPr>
    <w:rPr>
      <w:rFonts w:ascii="Calibri" w:eastAsia="Times New Roman" w:hAnsi="Calibri" w:cs="Tahoma"/>
      <w:sz w:val="16"/>
      <w:szCs w:val="16"/>
      <w:lang w:eastAsia="en-AU"/>
    </w:rPr>
  </w:style>
  <w:style w:type="character" w:customStyle="1" w:styleId="DocumentMapChar">
    <w:name w:val="Document Map Char"/>
    <w:basedOn w:val="DefaultParagraphFont"/>
    <w:link w:val="DocumentMap"/>
    <w:rsid w:val="009F30C1"/>
    <w:rPr>
      <w:rFonts w:ascii="Calibri" w:eastAsia="Times New Roman" w:hAnsi="Calibri" w:cs="Tahoma"/>
      <w:sz w:val="16"/>
      <w:szCs w:val="16"/>
      <w:lang w:eastAsia="en-AU"/>
    </w:rPr>
  </w:style>
  <w:style w:type="paragraph" w:customStyle="1" w:styleId="figureheading">
    <w:name w:val="figure heading"/>
    <w:basedOn w:val="Normal"/>
    <w:rsid w:val="009F30C1"/>
    <w:pPr>
      <w:keepNext/>
      <w:spacing w:after="120" w:line="312" w:lineRule="auto"/>
      <w:ind w:left="1077" w:hanging="1077"/>
    </w:pPr>
    <w:rPr>
      <w:rFonts w:ascii="Arial" w:eastAsia="Times New Roman" w:hAnsi="Arial" w:cs="Tahoma"/>
      <w:b/>
      <w:sz w:val="20"/>
    </w:rPr>
  </w:style>
  <w:style w:type="paragraph" w:customStyle="1" w:styleId="Figure">
    <w:name w:val="Figure"/>
    <w:basedOn w:val="TableName"/>
    <w:rsid w:val="009F30C1"/>
    <w:pPr>
      <w:spacing w:after="120" w:line="312" w:lineRule="auto"/>
      <w:ind w:left="1800" w:hanging="1080"/>
    </w:pPr>
    <w:rPr>
      <w:rFonts w:ascii="Arial Narrow" w:eastAsia="Times New Roman" w:hAnsi="Arial Narrow" w:cs="Tahoma"/>
      <w:b/>
      <w:sz w:val="20"/>
      <w:lang w:eastAsia="en-AU"/>
    </w:rPr>
  </w:style>
  <w:style w:type="paragraph" w:styleId="NormalWeb">
    <w:name w:val="Normal (Web)"/>
    <w:basedOn w:val="Normal"/>
    <w:uiPriority w:val="99"/>
    <w:rsid w:val="009F30C1"/>
    <w:pPr>
      <w:spacing w:before="100" w:beforeAutospacing="1" w:after="100" w:afterAutospacing="1" w:line="312" w:lineRule="auto"/>
    </w:pPr>
    <w:rPr>
      <w:rFonts w:ascii="Times New Roman" w:eastAsia="Times New Roman" w:hAnsi="Times New Roman" w:cs="Tahoma"/>
      <w:color w:val="000000"/>
      <w:szCs w:val="24"/>
      <w:lang w:val="en-US"/>
    </w:rPr>
  </w:style>
  <w:style w:type="paragraph" w:customStyle="1" w:styleId="Equation">
    <w:name w:val="Equation"/>
    <w:basedOn w:val="Header"/>
    <w:rsid w:val="009F30C1"/>
    <w:pPr>
      <w:tabs>
        <w:tab w:val="clear" w:pos="4513"/>
        <w:tab w:val="clear" w:pos="9026"/>
      </w:tabs>
      <w:spacing w:before="0" w:after="240" w:line="312" w:lineRule="auto"/>
    </w:pPr>
    <w:rPr>
      <w:rFonts w:ascii="Arial Narrow" w:eastAsia="Times New Roman" w:hAnsi="Arial Narrow" w:cs="Tahoma"/>
      <w:sz w:val="20"/>
      <w:lang w:eastAsia="en-AU"/>
    </w:rPr>
  </w:style>
  <w:style w:type="paragraph" w:customStyle="1" w:styleId="AHTAaddresslines">
    <w:name w:val="AHTA address lines"/>
    <w:basedOn w:val="PlainText"/>
    <w:rsid w:val="009F30C1"/>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9F30C1"/>
    <w:pPr>
      <w:spacing w:before="0" w:after="0" w:line="312"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9F30C1"/>
    <w:rPr>
      <w:rFonts w:ascii="Courier New" w:eastAsia="Times New Roman" w:hAnsi="Courier New" w:cs="Courier New"/>
      <w:sz w:val="20"/>
    </w:rPr>
  </w:style>
  <w:style w:type="character" w:customStyle="1" w:styleId="regulartext">
    <w:name w:val="regulartext"/>
    <w:basedOn w:val="DefaultParagraphFont"/>
    <w:rsid w:val="009F30C1"/>
  </w:style>
  <w:style w:type="paragraph" w:customStyle="1" w:styleId="bodytext0">
    <w:name w:val="bodytext"/>
    <w:basedOn w:val="Normal"/>
    <w:rsid w:val="009F30C1"/>
    <w:pPr>
      <w:spacing w:before="100" w:beforeAutospacing="1" w:after="100" w:afterAutospacing="1" w:line="312" w:lineRule="auto"/>
    </w:pPr>
    <w:rPr>
      <w:rFonts w:ascii="Times New Roman" w:eastAsia="Times New Roman" w:hAnsi="Times New Roman" w:cs="Tahoma"/>
      <w:szCs w:val="24"/>
      <w:lang w:eastAsia="en-AU"/>
    </w:rPr>
  </w:style>
  <w:style w:type="character" w:customStyle="1" w:styleId="mainsubheader1">
    <w:name w:val="mainsubheader1"/>
    <w:rsid w:val="009F30C1"/>
    <w:rPr>
      <w:b/>
      <w:bCs/>
    </w:rPr>
  </w:style>
  <w:style w:type="paragraph" w:customStyle="1" w:styleId="Bullet12">
    <w:name w:val="Bullet+12"/>
    <w:basedOn w:val="Normal"/>
    <w:rsid w:val="009F30C1"/>
    <w:pPr>
      <w:tabs>
        <w:tab w:val="num" w:pos="357"/>
      </w:tabs>
      <w:spacing w:before="0" w:after="240" w:line="312" w:lineRule="auto"/>
      <w:ind w:left="357" w:hanging="357"/>
    </w:pPr>
    <w:rPr>
      <w:rFonts w:ascii="Times New Roman" w:eastAsia="Times New Roman" w:hAnsi="Times New Roman" w:cs="Tahoma"/>
    </w:rPr>
  </w:style>
  <w:style w:type="paragraph" w:customStyle="1" w:styleId="Bullet6">
    <w:name w:val="Bullet+6"/>
    <w:basedOn w:val="Normal"/>
    <w:rsid w:val="009F30C1"/>
    <w:pPr>
      <w:tabs>
        <w:tab w:val="num" w:pos="578"/>
      </w:tabs>
      <w:spacing w:before="0" w:after="0" w:line="312" w:lineRule="auto"/>
      <w:ind w:left="578" w:hanging="360"/>
    </w:pPr>
    <w:rPr>
      <w:rFonts w:ascii="Times New Roman" w:eastAsia="Times New Roman" w:hAnsi="Times New Roman" w:cs="Tahoma"/>
      <w:szCs w:val="24"/>
      <w:lang w:eastAsia="en-AU"/>
    </w:rPr>
  </w:style>
  <w:style w:type="paragraph" w:customStyle="1" w:styleId="Default">
    <w:name w:val="Default"/>
    <w:rsid w:val="009F30C1"/>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table" w:styleId="TableClassic1">
    <w:name w:val="Table Classic 1"/>
    <w:basedOn w:val="TableNormal"/>
    <w:rsid w:val="009F30C1"/>
    <w:pPr>
      <w:spacing w:after="240" w:line="312"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9F30C1"/>
    <w:pPr>
      <w:spacing w:before="0"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9F30C1"/>
    <w:rPr>
      <w:rFonts w:ascii="Times New Roman" w:eastAsia="Times New Roman" w:hAnsi="Times New Roman" w:cs="Times New Roman"/>
      <w:sz w:val="20"/>
      <w:szCs w:val="20"/>
    </w:rPr>
  </w:style>
  <w:style w:type="paragraph" w:customStyle="1" w:styleId="Style1">
    <w:name w:val="Style1"/>
    <w:basedOn w:val="Normal"/>
    <w:rsid w:val="009F30C1"/>
    <w:pPr>
      <w:tabs>
        <w:tab w:val="left" w:pos="720"/>
      </w:tabs>
      <w:spacing w:before="0" w:after="0" w:line="240" w:lineRule="auto"/>
    </w:pPr>
    <w:rPr>
      <w:rFonts w:ascii="Bookman Old Style" w:eastAsia="Times New Roman" w:hAnsi="Bookman Old Style" w:cs="Times New Roman"/>
      <w:sz w:val="20"/>
      <w:szCs w:val="20"/>
      <w:lang w:val="en-US"/>
    </w:rPr>
  </w:style>
  <w:style w:type="character" w:customStyle="1" w:styleId="st1">
    <w:name w:val="st1"/>
    <w:basedOn w:val="DefaultParagraphFont"/>
    <w:rsid w:val="009F30C1"/>
  </w:style>
  <w:style w:type="paragraph" w:customStyle="1" w:styleId="desc">
    <w:name w:val="desc"/>
    <w:basedOn w:val="Normal"/>
    <w:rsid w:val="009F30C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tails">
    <w:name w:val="details"/>
    <w:basedOn w:val="Normal"/>
    <w:rsid w:val="009F30C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jrnl">
    <w:name w:val="jrnl"/>
    <w:basedOn w:val="DefaultParagraphFont"/>
    <w:rsid w:val="009F30C1"/>
  </w:style>
  <w:style w:type="character" w:customStyle="1" w:styleId="A5">
    <w:name w:val="A5"/>
    <w:uiPriority w:val="99"/>
    <w:rsid w:val="009F30C1"/>
    <w:rPr>
      <w:rFonts w:cs="Humanist 77 7 BT"/>
      <w:color w:val="000000"/>
      <w:sz w:val="11"/>
      <w:szCs w:val="11"/>
    </w:rPr>
  </w:style>
  <w:style w:type="character" w:customStyle="1" w:styleId="highlight">
    <w:name w:val="highlight"/>
    <w:basedOn w:val="DefaultParagraphFont"/>
    <w:rsid w:val="009F30C1"/>
  </w:style>
  <w:style w:type="paragraph" w:customStyle="1" w:styleId="ESSectionHeading-numbered0">
    <w:name w:val="ES. Section Heading - numbered"/>
    <w:basedOn w:val="Heading3"/>
    <w:link w:val="ESSectionHeading-numberedChar"/>
    <w:rsid w:val="009F30C1"/>
    <w:pPr>
      <w:keepLines w:val="0"/>
      <w:numPr>
        <w:numId w:val="11"/>
      </w:numPr>
      <w:tabs>
        <w:tab w:val="clear" w:pos="851"/>
      </w:tabs>
      <w:spacing w:before="240" w:after="120" w:line="312" w:lineRule="auto"/>
    </w:pPr>
    <w:rPr>
      <w:rFonts w:ascii="Calibri" w:eastAsia="Times New Roman" w:hAnsi="Calibri" w:cs="Tahoma"/>
      <w:b/>
      <w:smallCaps/>
      <w:lang w:eastAsia="en-AU"/>
    </w:rPr>
  </w:style>
  <w:style w:type="paragraph" w:customStyle="1" w:styleId="MainBodySectionHeading-numbered">
    <w:name w:val="Main Body Section Heading - numbered"/>
    <w:basedOn w:val="Heading2"/>
    <w:link w:val="MainBodySectionHeading-numberedChar"/>
    <w:rsid w:val="009F30C1"/>
    <w:pPr>
      <w:keepLines w:val="0"/>
      <w:numPr>
        <w:ilvl w:val="0"/>
        <w:numId w:val="10"/>
      </w:numPr>
      <w:spacing w:before="240" w:line="312" w:lineRule="auto"/>
    </w:pPr>
    <w:rPr>
      <w:rFonts w:ascii="Calibri" w:eastAsia="Times New Roman" w:hAnsi="Calibri" w:cs="Tahoma"/>
      <w:b/>
      <w:smallCaps/>
      <w:sz w:val="28"/>
      <w:lang w:eastAsia="en-AU"/>
    </w:rPr>
  </w:style>
  <w:style w:type="character" w:customStyle="1" w:styleId="ESSectionHeading-numberedChar">
    <w:name w:val="ES. Section Heading - numbered Char"/>
    <w:basedOn w:val="Heading3Char"/>
    <w:link w:val="ESSectionHeading-numbered0"/>
    <w:rsid w:val="009F30C1"/>
    <w:rPr>
      <w:rFonts w:ascii="Calibri" w:eastAsia="Times New Roman" w:hAnsi="Calibri" w:cs="Tahoma"/>
      <w:b/>
      <w:smallCaps/>
      <w:sz w:val="24"/>
      <w:szCs w:val="24"/>
      <w:lang w:eastAsia="en-AU"/>
    </w:rPr>
  </w:style>
  <w:style w:type="character" w:customStyle="1" w:styleId="MainBodySectionHeading-numberedChar">
    <w:name w:val="Main Body Section Heading - numbered Char"/>
    <w:basedOn w:val="Heading2Char"/>
    <w:link w:val="MainBodySectionHeading-numbered"/>
    <w:rsid w:val="009F30C1"/>
    <w:rPr>
      <w:rFonts w:ascii="Calibri" w:eastAsia="Times New Roman" w:hAnsi="Calibri" w:cs="Tahoma"/>
      <w:b/>
      <w:smallCaps/>
      <w:color w:val="000000" w:themeColor="text1"/>
      <w:sz w:val="28"/>
      <w:szCs w:val="26"/>
      <w:lang w:eastAsia="en-AU"/>
    </w:rPr>
  </w:style>
  <w:style w:type="paragraph" w:customStyle="1" w:styleId="ESNumberedSectionHeading">
    <w:name w:val="ES Numbered Section Heading"/>
    <w:basedOn w:val="ESSectionHeading-numbered0"/>
    <w:link w:val="ESNumberedSectionHeadingChar"/>
    <w:qFormat/>
    <w:rsid w:val="009F30C1"/>
    <w:pPr>
      <w:numPr>
        <w:numId w:val="12"/>
      </w:numPr>
    </w:pPr>
  </w:style>
  <w:style w:type="character" w:customStyle="1" w:styleId="ESNumberedSectionHeadingChar">
    <w:name w:val="ES Numbered Section Heading Char"/>
    <w:basedOn w:val="ESSectionHeading-numberedChar"/>
    <w:link w:val="ESNumberedSectionHeading"/>
    <w:rsid w:val="009F30C1"/>
    <w:rPr>
      <w:rFonts w:ascii="Calibri" w:eastAsia="Times New Roman" w:hAnsi="Calibri" w:cs="Tahoma"/>
      <w:b/>
      <w:smallCaps/>
      <w:sz w:val="24"/>
      <w:szCs w:val="24"/>
      <w:lang w:eastAsia="en-AU"/>
    </w:rPr>
  </w:style>
  <w:style w:type="paragraph" w:customStyle="1" w:styleId="TableNotes18">
    <w:name w:val="TableNotes+18"/>
    <w:basedOn w:val="TableText1"/>
    <w:uiPriority w:val="99"/>
    <w:rsid w:val="009F30C1"/>
    <w:pPr>
      <w:keepNext w:val="0"/>
      <w:keepLines/>
      <w:spacing w:before="0" w:after="360" w:line="240" w:lineRule="auto"/>
      <w:ind w:left="720"/>
      <w:jc w:val="left"/>
    </w:pPr>
    <w:rPr>
      <w:rFonts w:cs="Times New Roman"/>
      <w:color w:val="000000"/>
      <w:szCs w:val="21"/>
    </w:rPr>
  </w:style>
  <w:style w:type="paragraph" w:customStyle="1" w:styleId="TableNotes00">
    <w:name w:val="TableNotes+0"/>
    <w:basedOn w:val="TableNotes18"/>
    <w:uiPriority w:val="99"/>
    <w:rsid w:val="009F30C1"/>
    <w:pPr>
      <w:keepNext/>
      <w:spacing w:after="0"/>
    </w:pPr>
  </w:style>
  <w:style w:type="paragraph" w:customStyle="1" w:styleId="TFAbbrevs0">
    <w:name w:val="TFAbbrevs+0"/>
    <w:basedOn w:val="Normal"/>
    <w:qFormat/>
    <w:rsid w:val="009F30C1"/>
    <w:pPr>
      <w:keepNext/>
      <w:keepLines/>
      <w:spacing w:before="0" w:after="0" w:line="240" w:lineRule="auto"/>
    </w:pPr>
    <w:rPr>
      <w:rFonts w:ascii="Arial Narrow" w:eastAsia="Times New Roman" w:hAnsi="Arial Narrow" w:cs="Times New Roman"/>
      <w:color w:val="000000"/>
      <w:sz w:val="18"/>
      <w:szCs w:val="18"/>
      <w:lang w:eastAsia="en-AU"/>
    </w:rPr>
  </w:style>
  <w:style w:type="paragraph" w:customStyle="1" w:styleId="TFAbbrevs18">
    <w:name w:val="TFAbbrevs+18"/>
    <w:basedOn w:val="TFAbbrevs0"/>
    <w:next w:val="Normal"/>
    <w:qFormat/>
    <w:rsid w:val="009F30C1"/>
    <w:pPr>
      <w:spacing w:after="360"/>
    </w:pPr>
  </w:style>
  <w:style w:type="character" w:customStyle="1" w:styleId="TabletextChar10">
    <w:name w:val="Table text Char1"/>
    <w:basedOn w:val="DefaultParagraphFont"/>
    <w:rsid w:val="009F30C1"/>
    <w:rPr>
      <w:rFonts w:ascii="Arial" w:eastAsia="Times New Roman" w:hAnsi="Arial" w:cs="Times New Roman"/>
      <w:sz w:val="20"/>
      <w:szCs w:val="20"/>
      <w:lang w:eastAsia="en-US"/>
    </w:rPr>
  </w:style>
  <w:style w:type="paragraph" w:customStyle="1" w:styleId="BoxName1">
    <w:name w:val="BoxName"/>
    <w:basedOn w:val="Normal"/>
    <w:rsid w:val="009F30C1"/>
    <w:pPr>
      <w:keepNext/>
      <w:pBdr>
        <w:top w:val="single" w:sz="4" w:space="4" w:color="000000"/>
        <w:left w:val="single" w:sz="4" w:space="4" w:color="000000"/>
        <w:bottom w:val="single" w:sz="4" w:space="4" w:color="000000"/>
        <w:right w:val="single" w:sz="4" w:space="4" w:color="000000"/>
      </w:pBdr>
      <w:spacing w:before="180" w:after="120" w:line="240" w:lineRule="auto"/>
      <w:ind w:left="1886" w:right="58" w:hanging="1080"/>
    </w:pPr>
    <w:rPr>
      <w:rFonts w:ascii="Arial Narrow" w:eastAsia="Times New Roman" w:hAnsi="Arial Narrow" w:cs="Times New Roman"/>
      <w:b/>
      <w:bCs/>
      <w:color w:val="000000"/>
      <w:szCs w:val="20"/>
      <w:lang w:eastAsia="en-AU"/>
    </w:rPr>
  </w:style>
  <w:style w:type="character" w:styleId="IntenseReference">
    <w:name w:val="Intense Reference"/>
    <w:uiPriority w:val="32"/>
    <w:qFormat/>
    <w:rsid w:val="009F30C1"/>
    <w:rPr>
      <w:b/>
      <w:bCs/>
      <w:smallCaps/>
    </w:rPr>
  </w:style>
  <w:style w:type="table" w:customStyle="1" w:styleId="TableGrid3">
    <w:name w:val="Table Grid3"/>
    <w:basedOn w:val="TableNormal"/>
    <w:next w:val="TableGrid"/>
    <w:uiPriority w:val="59"/>
    <w:rsid w:val="009F30C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30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it-disclaimer">
    <w:name w:val="exit-disclaimer"/>
    <w:basedOn w:val="DefaultParagraphFont"/>
    <w:rsid w:val="009F30C1"/>
  </w:style>
  <w:style w:type="character" w:customStyle="1" w:styleId="UnresolvedMention3">
    <w:name w:val="Unresolved Mention3"/>
    <w:basedOn w:val="DefaultParagraphFont"/>
    <w:uiPriority w:val="99"/>
    <w:semiHidden/>
    <w:unhideWhenUsed/>
    <w:rsid w:val="009F30C1"/>
    <w:rPr>
      <w:color w:val="605E5C"/>
      <w:shd w:val="clear" w:color="auto" w:fill="E1DFDD"/>
    </w:rPr>
  </w:style>
  <w:style w:type="character" w:styleId="PlaceholderText">
    <w:name w:val="Placeholder Text"/>
    <w:basedOn w:val="DefaultParagraphFont"/>
    <w:uiPriority w:val="99"/>
    <w:semiHidden/>
    <w:rsid w:val="009F30C1"/>
    <w:rPr>
      <w:color w:val="808080"/>
    </w:rPr>
  </w:style>
  <w:style w:type="character" w:customStyle="1" w:styleId="UnresolvedMention4">
    <w:name w:val="Unresolved Mention4"/>
    <w:basedOn w:val="DefaultParagraphFont"/>
    <w:uiPriority w:val="99"/>
    <w:semiHidden/>
    <w:unhideWhenUsed/>
    <w:rsid w:val="009F30C1"/>
    <w:rPr>
      <w:color w:val="605E5C"/>
      <w:shd w:val="clear" w:color="auto" w:fill="E1DFDD"/>
    </w:rPr>
  </w:style>
  <w:style w:type="character" w:styleId="EndnoteReference">
    <w:name w:val="endnote reference"/>
    <w:basedOn w:val="DefaultParagraphFont"/>
    <w:semiHidden/>
    <w:unhideWhenUsed/>
    <w:rsid w:val="009F30C1"/>
    <w:rPr>
      <w:vertAlign w:val="superscript"/>
    </w:rPr>
  </w:style>
  <w:style w:type="table" w:customStyle="1" w:styleId="TableGrid5">
    <w:name w:val="Table Grid5"/>
    <w:basedOn w:val="TableNormal"/>
    <w:next w:val="TableGrid"/>
    <w:uiPriority w:val="39"/>
    <w:rsid w:val="009F30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Heading1"/>
    <w:qFormat/>
    <w:rsid w:val="009F30C1"/>
    <w:pPr>
      <w:keepLines w:val="0"/>
      <w:pageBreakBefore/>
      <w:numPr>
        <w:numId w:val="13"/>
      </w:numPr>
      <w:spacing w:before="0" w:after="360" w:line="312" w:lineRule="auto"/>
      <w:jc w:val="both"/>
    </w:pPr>
    <w:rPr>
      <w:rFonts w:ascii="Calibri" w:eastAsia="Times New Roman" w:hAnsi="Calibri" w:cs="Tahoma"/>
      <w:b/>
      <w:smallCaps/>
      <w:szCs w:val="22"/>
      <w:lang w:eastAsia="en-AU"/>
    </w:rPr>
  </w:style>
  <w:style w:type="paragraph" w:customStyle="1" w:styleId="pf0">
    <w:name w:val="pf0"/>
    <w:basedOn w:val="Normal"/>
    <w:rsid w:val="009F30C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F30C1"/>
    <w:rPr>
      <w:rFonts w:ascii="Segoe UI" w:hAnsi="Segoe UI" w:cs="Segoe UI" w:hint="default"/>
      <w:sz w:val="18"/>
      <w:szCs w:val="18"/>
    </w:rPr>
  </w:style>
  <w:style w:type="paragraph" w:customStyle="1" w:styleId="msonormal0">
    <w:name w:val="msonormal"/>
    <w:basedOn w:val="Normal"/>
    <w:rsid w:val="00D2538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D2538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3">
    <w:name w:val="xl73"/>
    <w:basedOn w:val="Normal"/>
    <w:rsid w:val="00D253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4">
    <w:name w:val="xl74"/>
    <w:basedOn w:val="Normal"/>
    <w:rsid w:val="00D2538D"/>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5">
    <w:name w:val="xl75"/>
    <w:basedOn w:val="Normal"/>
    <w:rsid w:val="00D2538D"/>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76">
    <w:name w:val="xl76"/>
    <w:basedOn w:val="Normal"/>
    <w:rsid w:val="00D2538D"/>
    <w:pPr>
      <w:pBdr>
        <w:lef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77">
    <w:name w:val="xl77"/>
    <w:basedOn w:val="Normal"/>
    <w:rsid w:val="00D2538D"/>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8">
    <w:name w:val="xl78"/>
    <w:basedOn w:val="Normal"/>
    <w:rsid w:val="00D2538D"/>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9">
    <w:name w:val="xl79"/>
    <w:basedOn w:val="Normal"/>
    <w:rsid w:val="00D2538D"/>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0">
    <w:name w:val="xl80"/>
    <w:basedOn w:val="Normal"/>
    <w:rsid w:val="00D2538D"/>
    <w:pPr>
      <w:pBdr>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1">
    <w:name w:val="xl81"/>
    <w:basedOn w:val="Normal"/>
    <w:rsid w:val="00D2538D"/>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2">
    <w:name w:val="xl82"/>
    <w:basedOn w:val="Normal"/>
    <w:rsid w:val="00D2538D"/>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83">
    <w:name w:val="xl83"/>
    <w:basedOn w:val="Normal"/>
    <w:rsid w:val="00D2538D"/>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4">
    <w:name w:val="xl84"/>
    <w:basedOn w:val="Normal"/>
    <w:rsid w:val="00D253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85">
    <w:name w:val="xl85"/>
    <w:basedOn w:val="Normal"/>
    <w:rsid w:val="00D2538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6">
    <w:name w:val="xl86"/>
    <w:basedOn w:val="Normal"/>
    <w:rsid w:val="00D2538D"/>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7">
    <w:name w:val="xl87"/>
    <w:basedOn w:val="Normal"/>
    <w:rsid w:val="00D2538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8">
    <w:name w:val="xl88"/>
    <w:basedOn w:val="Normal"/>
    <w:rsid w:val="00D2538D"/>
    <w:pPr>
      <w:pBdr>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9">
    <w:name w:val="xl89"/>
    <w:basedOn w:val="Normal"/>
    <w:rsid w:val="00D2538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90">
    <w:name w:val="xl90"/>
    <w:basedOn w:val="Normal"/>
    <w:rsid w:val="00D2538D"/>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1">
    <w:name w:val="xl91"/>
    <w:basedOn w:val="Normal"/>
    <w:rsid w:val="00D2538D"/>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2">
    <w:name w:val="xl92"/>
    <w:basedOn w:val="Normal"/>
    <w:rsid w:val="00D2538D"/>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3">
    <w:name w:val="xl93"/>
    <w:basedOn w:val="Normal"/>
    <w:rsid w:val="00D2538D"/>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4">
    <w:name w:val="xl94"/>
    <w:basedOn w:val="Normal"/>
    <w:rsid w:val="00D2538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95">
    <w:name w:val="xl95"/>
    <w:basedOn w:val="Normal"/>
    <w:rsid w:val="00D2538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6">
    <w:name w:val="xl96"/>
    <w:basedOn w:val="Normal"/>
    <w:rsid w:val="00D2538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97">
    <w:name w:val="xl97"/>
    <w:basedOn w:val="Normal"/>
    <w:rsid w:val="00D2538D"/>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8">
    <w:name w:val="xl98"/>
    <w:basedOn w:val="Normal"/>
    <w:rsid w:val="00D2538D"/>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9">
    <w:name w:val="xl99"/>
    <w:basedOn w:val="Normal"/>
    <w:rsid w:val="00D253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00">
    <w:name w:val="xl100"/>
    <w:basedOn w:val="Normal"/>
    <w:rsid w:val="00D253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01">
    <w:name w:val="xl101"/>
    <w:basedOn w:val="Normal"/>
    <w:rsid w:val="00D2538D"/>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2">
    <w:name w:val="xl102"/>
    <w:basedOn w:val="Normal"/>
    <w:rsid w:val="00D2538D"/>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3">
    <w:name w:val="xl103"/>
    <w:basedOn w:val="Normal"/>
    <w:rsid w:val="00D2538D"/>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4">
    <w:name w:val="xl104"/>
    <w:basedOn w:val="Normal"/>
    <w:rsid w:val="00D2538D"/>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5">
    <w:name w:val="xl105"/>
    <w:basedOn w:val="Normal"/>
    <w:rsid w:val="00D2538D"/>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6">
    <w:name w:val="xl106"/>
    <w:basedOn w:val="Normal"/>
    <w:rsid w:val="00D2538D"/>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7">
    <w:name w:val="xl107"/>
    <w:basedOn w:val="Normal"/>
    <w:rsid w:val="00D2538D"/>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8">
    <w:name w:val="xl108"/>
    <w:basedOn w:val="Normal"/>
    <w:rsid w:val="00D2538D"/>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109">
    <w:name w:val="xl109"/>
    <w:basedOn w:val="Normal"/>
    <w:rsid w:val="00D2538D"/>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110">
    <w:name w:val="xl110"/>
    <w:basedOn w:val="Normal"/>
    <w:rsid w:val="00D2538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11">
    <w:name w:val="xl111"/>
    <w:basedOn w:val="Normal"/>
    <w:rsid w:val="00D2538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12">
    <w:name w:val="xl112"/>
    <w:basedOn w:val="Normal"/>
    <w:rsid w:val="00D2538D"/>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13">
    <w:name w:val="xl113"/>
    <w:basedOn w:val="Normal"/>
    <w:rsid w:val="00D2538D"/>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TableHEADER">
    <w:name w:val="Table HEADER"/>
    <w:basedOn w:val="Normal"/>
    <w:qFormat/>
    <w:rsid w:val="00CE0FAA"/>
    <w:pPr>
      <w:spacing w:after="120" w:line="240" w:lineRule="auto"/>
      <w:ind w:right="82"/>
    </w:pPr>
    <w:rPr>
      <w:rFonts w:ascii="Calibri" w:hAnsi="Calibri" w:cs="Tahoma"/>
      <w:b/>
      <w:sz w:val="20"/>
      <w:szCs w:val="20"/>
      <w:lang w:eastAsia="en-AU"/>
    </w:rPr>
  </w:style>
  <w:style w:type="paragraph" w:customStyle="1" w:styleId="AppendixHeader1">
    <w:name w:val="Appendix Header 1"/>
    <w:basedOn w:val="Heading1"/>
    <w:link w:val="AppendixHeader1Char"/>
    <w:qFormat/>
    <w:rsid w:val="00CE0FAA"/>
    <w:pPr>
      <w:numPr>
        <w:numId w:val="14"/>
      </w:numPr>
      <w:tabs>
        <w:tab w:val="left" w:pos="2835"/>
      </w:tabs>
    </w:pPr>
  </w:style>
  <w:style w:type="character" w:customStyle="1" w:styleId="AppendixHeader1Char">
    <w:name w:val="Appendix Header 1 Char"/>
    <w:basedOn w:val="Heading1Char"/>
    <w:link w:val="AppendixHeader1"/>
    <w:rsid w:val="00CE0FAA"/>
    <w:rPr>
      <w:rFonts w:ascii="Franklin Gothic Medium" w:eastAsiaTheme="majorEastAsia" w:hAnsi="Franklin Gothic Medium" w:cstheme="majorBidi"/>
      <w:sz w:val="44"/>
      <w:szCs w:val="32"/>
    </w:rPr>
  </w:style>
  <w:style w:type="character" w:customStyle="1" w:styleId="Mention1">
    <w:name w:val="Mention1"/>
    <w:basedOn w:val="DefaultParagraphFont"/>
    <w:uiPriority w:val="99"/>
    <w:unhideWhenUsed/>
    <w:rsid w:val="00F9333A"/>
    <w:rPr>
      <w:color w:val="2B579A"/>
      <w:shd w:val="clear" w:color="auto" w:fill="E1DFDD"/>
    </w:rPr>
  </w:style>
  <w:style w:type="character" w:styleId="UnresolvedMention">
    <w:name w:val="Unresolved Mention"/>
    <w:basedOn w:val="DefaultParagraphFont"/>
    <w:uiPriority w:val="99"/>
    <w:semiHidden/>
    <w:unhideWhenUsed/>
    <w:rsid w:val="004579B6"/>
    <w:rPr>
      <w:color w:val="605E5C"/>
      <w:shd w:val="clear" w:color="auto" w:fill="E1DFDD"/>
    </w:rPr>
  </w:style>
  <w:style w:type="paragraph" w:customStyle="1" w:styleId="TableBullet">
    <w:name w:val="TableBullet"/>
    <w:basedOn w:val="TableText1"/>
    <w:rsid w:val="003D1E13"/>
    <w:pPr>
      <w:numPr>
        <w:numId w:val="15"/>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3D1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E4281E"/>
    <w:pPr>
      <w:numPr>
        <w:numId w:val="16"/>
      </w:numPr>
    </w:pPr>
  </w:style>
  <w:style w:type="paragraph" w:customStyle="1" w:styleId="TableNotes2">
    <w:name w:val="Table Notes"/>
    <w:basedOn w:val="Normal"/>
    <w:next w:val="Normal"/>
    <w:link w:val="TableNotesChar2"/>
    <w:autoRedefine/>
    <w:qFormat/>
    <w:rsid w:val="00E4281E"/>
    <w:pPr>
      <w:widowControl w:val="0"/>
      <w:spacing w:before="0" w:after="360" w:line="240" w:lineRule="auto"/>
      <w:contextualSpacing/>
    </w:pPr>
    <w:rPr>
      <w:rFonts w:ascii="Arial Narrow" w:hAnsi="Arial Narrow" w:cs="Arial"/>
      <w:i/>
      <w:iCs/>
      <w:sz w:val="16"/>
      <w:szCs w:val="24"/>
      <w:lang w:eastAsia="en-AU"/>
    </w:rPr>
  </w:style>
  <w:style w:type="character" w:customStyle="1" w:styleId="TableNotesChar2">
    <w:name w:val="Table Notes Char"/>
    <w:basedOn w:val="DefaultParagraphFont"/>
    <w:link w:val="TableNotes2"/>
    <w:locked/>
    <w:rsid w:val="00E4281E"/>
    <w:rPr>
      <w:rFonts w:ascii="Arial Narrow" w:hAnsi="Arial Narrow" w:cs="Arial"/>
      <w:i/>
      <w:iCs/>
      <w:sz w:val="16"/>
      <w:szCs w:val="24"/>
      <w:lang w:eastAsia="en-AU"/>
    </w:rPr>
  </w:style>
  <w:style w:type="numbering" w:customStyle="1" w:styleId="CurrentList2">
    <w:name w:val="Current List2"/>
    <w:uiPriority w:val="99"/>
    <w:rsid w:val="00E4281E"/>
    <w:pPr>
      <w:numPr>
        <w:numId w:val="17"/>
      </w:numPr>
    </w:pPr>
  </w:style>
  <w:style w:type="paragraph" w:styleId="NoSpacing">
    <w:name w:val="No Spacing"/>
    <w:uiPriority w:val="1"/>
    <w:qFormat/>
    <w:rsid w:val="00E4281E"/>
    <w:pPr>
      <w:spacing w:after="0" w:line="240" w:lineRule="auto"/>
    </w:pPr>
    <w:rPr>
      <w:rFonts w:ascii="Calibri" w:eastAsia="Calibri" w:hAnsi="Calibri" w:cs="Times New Roman"/>
    </w:rPr>
  </w:style>
  <w:style w:type="table" w:customStyle="1" w:styleId="ASDTable1">
    <w:name w:val="ASD Table1"/>
    <w:basedOn w:val="TableNormal"/>
    <w:next w:val="TableGrid"/>
    <w:uiPriority w:val="59"/>
    <w:rsid w:val="00E4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locked/>
    <w:rsid w:val="00E4281E"/>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ASDTable2">
    <w:name w:val="ASD Table2"/>
    <w:basedOn w:val="TableNormal"/>
    <w:next w:val="TableGrid"/>
    <w:uiPriority w:val="59"/>
    <w:rsid w:val="00E4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E4281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PBACTableStyle1">
    <w:name w:val="PBAC Table Style1"/>
    <w:basedOn w:val="TableGrid10"/>
    <w:uiPriority w:val="99"/>
    <w:rsid w:val="00E4281E"/>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G Times" w:hAnsi="CG Time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G Times" w:hAnsi="CG Time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G Times" w:hAnsi="CG Time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E428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21"/>
    <w:basedOn w:val="TableNormal"/>
    <w:next w:val="TableGrid"/>
    <w:uiPriority w:val="59"/>
    <w:rsid w:val="00E4281E"/>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E680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8654009">
      <w:bodyDiv w:val="1"/>
      <w:marLeft w:val="0"/>
      <w:marRight w:val="0"/>
      <w:marTop w:val="0"/>
      <w:marBottom w:val="0"/>
      <w:divBdr>
        <w:top w:val="none" w:sz="0" w:space="0" w:color="auto"/>
        <w:left w:val="none" w:sz="0" w:space="0" w:color="auto"/>
        <w:bottom w:val="none" w:sz="0" w:space="0" w:color="auto"/>
        <w:right w:val="none" w:sz="0" w:space="0" w:color="auto"/>
      </w:divBdr>
    </w:div>
    <w:div w:id="51001800">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1927150">
      <w:bodyDiv w:val="1"/>
      <w:marLeft w:val="0"/>
      <w:marRight w:val="0"/>
      <w:marTop w:val="0"/>
      <w:marBottom w:val="0"/>
      <w:divBdr>
        <w:top w:val="none" w:sz="0" w:space="0" w:color="auto"/>
        <w:left w:val="none" w:sz="0" w:space="0" w:color="auto"/>
        <w:bottom w:val="none" w:sz="0" w:space="0" w:color="auto"/>
        <w:right w:val="none" w:sz="0" w:space="0" w:color="auto"/>
      </w:divBdr>
    </w:div>
    <w:div w:id="170145221">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09726076">
      <w:bodyDiv w:val="1"/>
      <w:marLeft w:val="0"/>
      <w:marRight w:val="0"/>
      <w:marTop w:val="0"/>
      <w:marBottom w:val="0"/>
      <w:divBdr>
        <w:top w:val="none" w:sz="0" w:space="0" w:color="auto"/>
        <w:left w:val="none" w:sz="0" w:space="0" w:color="auto"/>
        <w:bottom w:val="none" w:sz="0" w:space="0" w:color="auto"/>
        <w:right w:val="none" w:sz="0" w:space="0" w:color="auto"/>
      </w:divBdr>
    </w:div>
    <w:div w:id="224723694">
      <w:bodyDiv w:val="1"/>
      <w:marLeft w:val="0"/>
      <w:marRight w:val="0"/>
      <w:marTop w:val="0"/>
      <w:marBottom w:val="0"/>
      <w:divBdr>
        <w:top w:val="none" w:sz="0" w:space="0" w:color="auto"/>
        <w:left w:val="none" w:sz="0" w:space="0" w:color="auto"/>
        <w:bottom w:val="none" w:sz="0" w:space="0" w:color="auto"/>
        <w:right w:val="none" w:sz="0" w:space="0" w:color="auto"/>
      </w:divBdr>
    </w:div>
    <w:div w:id="225409899">
      <w:bodyDiv w:val="1"/>
      <w:marLeft w:val="0"/>
      <w:marRight w:val="0"/>
      <w:marTop w:val="0"/>
      <w:marBottom w:val="0"/>
      <w:divBdr>
        <w:top w:val="none" w:sz="0" w:space="0" w:color="auto"/>
        <w:left w:val="none" w:sz="0" w:space="0" w:color="auto"/>
        <w:bottom w:val="none" w:sz="0" w:space="0" w:color="auto"/>
        <w:right w:val="none" w:sz="0" w:space="0" w:color="auto"/>
      </w:divBdr>
    </w:div>
    <w:div w:id="236601105">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6812406">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6106842">
      <w:bodyDiv w:val="1"/>
      <w:marLeft w:val="0"/>
      <w:marRight w:val="0"/>
      <w:marTop w:val="0"/>
      <w:marBottom w:val="0"/>
      <w:divBdr>
        <w:top w:val="none" w:sz="0" w:space="0" w:color="auto"/>
        <w:left w:val="none" w:sz="0" w:space="0" w:color="auto"/>
        <w:bottom w:val="none" w:sz="0" w:space="0" w:color="auto"/>
        <w:right w:val="none" w:sz="0" w:space="0" w:color="auto"/>
      </w:divBdr>
    </w:div>
    <w:div w:id="279848206">
      <w:bodyDiv w:val="1"/>
      <w:marLeft w:val="0"/>
      <w:marRight w:val="0"/>
      <w:marTop w:val="0"/>
      <w:marBottom w:val="0"/>
      <w:divBdr>
        <w:top w:val="none" w:sz="0" w:space="0" w:color="auto"/>
        <w:left w:val="none" w:sz="0" w:space="0" w:color="auto"/>
        <w:bottom w:val="none" w:sz="0" w:space="0" w:color="auto"/>
        <w:right w:val="none" w:sz="0" w:space="0" w:color="auto"/>
      </w:divBdr>
    </w:div>
    <w:div w:id="303705070">
      <w:bodyDiv w:val="1"/>
      <w:marLeft w:val="0"/>
      <w:marRight w:val="0"/>
      <w:marTop w:val="0"/>
      <w:marBottom w:val="0"/>
      <w:divBdr>
        <w:top w:val="none" w:sz="0" w:space="0" w:color="auto"/>
        <w:left w:val="none" w:sz="0" w:space="0" w:color="auto"/>
        <w:bottom w:val="none" w:sz="0" w:space="0" w:color="auto"/>
        <w:right w:val="none" w:sz="0" w:space="0" w:color="auto"/>
      </w:divBdr>
    </w:div>
    <w:div w:id="354498271">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396828852">
      <w:bodyDiv w:val="1"/>
      <w:marLeft w:val="0"/>
      <w:marRight w:val="0"/>
      <w:marTop w:val="0"/>
      <w:marBottom w:val="0"/>
      <w:divBdr>
        <w:top w:val="none" w:sz="0" w:space="0" w:color="auto"/>
        <w:left w:val="none" w:sz="0" w:space="0" w:color="auto"/>
        <w:bottom w:val="none" w:sz="0" w:space="0" w:color="auto"/>
        <w:right w:val="none" w:sz="0" w:space="0" w:color="auto"/>
      </w:divBdr>
    </w:div>
    <w:div w:id="40687840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29929236">
      <w:bodyDiv w:val="1"/>
      <w:marLeft w:val="0"/>
      <w:marRight w:val="0"/>
      <w:marTop w:val="0"/>
      <w:marBottom w:val="0"/>
      <w:divBdr>
        <w:top w:val="none" w:sz="0" w:space="0" w:color="auto"/>
        <w:left w:val="none" w:sz="0" w:space="0" w:color="auto"/>
        <w:bottom w:val="none" w:sz="0" w:space="0" w:color="auto"/>
        <w:right w:val="none" w:sz="0" w:space="0" w:color="auto"/>
      </w:divBdr>
    </w:div>
    <w:div w:id="44180710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7648883">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5750233">
      <w:bodyDiv w:val="1"/>
      <w:marLeft w:val="0"/>
      <w:marRight w:val="0"/>
      <w:marTop w:val="0"/>
      <w:marBottom w:val="0"/>
      <w:divBdr>
        <w:top w:val="none" w:sz="0" w:space="0" w:color="auto"/>
        <w:left w:val="none" w:sz="0" w:space="0" w:color="auto"/>
        <w:bottom w:val="none" w:sz="0" w:space="0" w:color="auto"/>
        <w:right w:val="none" w:sz="0" w:space="0" w:color="auto"/>
      </w:divBdr>
    </w:div>
    <w:div w:id="507135291">
      <w:bodyDiv w:val="1"/>
      <w:marLeft w:val="0"/>
      <w:marRight w:val="0"/>
      <w:marTop w:val="0"/>
      <w:marBottom w:val="0"/>
      <w:divBdr>
        <w:top w:val="none" w:sz="0" w:space="0" w:color="auto"/>
        <w:left w:val="none" w:sz="0" w:space="0" w:color="auto"/>
        <w:bottom w:val="none" w:sz="0" w:space="0" w:color="auto"/>
        <w:right w:val="none" w:sz="0" w:space="0" w:color="auto"/>
      </w:divBdr>
    </w:div>
    <w:div w:id="511919838">
      <w:bodyDiv w:val="1"/>
      <w:marLeft w:val="0"/>
      <w:marRight w:val="0"/>
      <w:marTop w:val="0"/>
      <w:marBottom w:val="0"/>
      <w:divBdr>
        <w:top w:val="none" w:sz="0" w:space="0" w:color="auto"/>
        <w:left w:val="none" w:sz="0" w:space="0" w:color="auto"/>
        <w:bottom w:val="none" w:sz="0" w:space="0" w:color="auto"/>
        <w:right w:val="none" w:sz="0" w:space="0" w:color="auto"/>
      </w:divBdr>
    </w:div>
    <w:div w:id="512233428">
      <w:bodyDiv w:val="1"/>
      <w:marLeft w:val="0"/>
      <w:marRight w:val="0"/>
      <w:marTop w:val="0"/>
      <w:marBottom w:val="0"/>
      <w:divBdr>
        <w:top w:val="none" w:sz="0" w:space="0" w:color="auto"/>
        <w:left w:val="none" w:sz="0" w:space="0" w:color="auto"/>
        <w:bottom w:val="none" w:sz="0" w:space="0" w:color="auto"/>
        <w:right w:val="none" w:sz="0" w:space="0" w:color="auto"/>
      </w:divBdr>
    </w:div>
    <w:div w:id="519049986">
      <w:bodyDiv w:val="1"/>
      <w:marLeft w:val="0"/>
      <w:marRight w:val="0"/>
      <w:marTop w:val="0"/>
      <w:marBottom w:val="0"/>
      <w:divBdr>
        <w:top w:val="none" w:sz="0" w:space="0" w:color="auto"/>
        <w:left w:val="none" w:sz="0" w:space="0" w:color="auto"/>
        <w:bottom w:val="none" w:sz="0" w:space="0" w:color="auto"/>
        <w:right w:val="none" w:sz="0" w:space="0" w:color="auto"/>
      </w:divBdr>
    </w:div>
    <w:div w:id="546071396">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77715005">
      <w:bodyDiv w:val="1"/>
      <w:marLeft w:val="0"/>
      <w:marRight w:val="0"/>
      <w:marTop w:val="0"/>
      <w:marBottom w:val="0"/>
      <w:divBdr>
        <w:top w:val="none" w:sz="0" w:space="0" w:color="auto"/>
        <w:left w:val="none" w:sz="0" w:space="0" w:color="auto"/>
        <w:bottom w:val="none" w:sz="0" w:space="0" w:color="auto"/>
        <w:right w:val="none" w:sz="0" w:space="0" w:color="auto"/>
      </w:divBdr>
    </w:div>
    <w:div w:id="582221945">
      <w:bodyDiv w:val="1"/>
      <w:marLeft w:val="0"/>
      <w:marRight w:val="0"/>
      <w:marTop w:val="0"/>
      <w:marBottom w:val="0"/>
      <w:divBdr>
        <w:top w:val="none" w:sz="0" w:space="0" w:color="auto"/>
        <w:left w:val="none" w:sz="0" w:space="0" w:color="auto"/>
        <w:bottom w:val="none" w:sz="0" w:space="0" w:color="auto"/>
        <w:right w:val="none" w:sz="0" w:space="0" w:color="auto"/>
      </w:divBdr>
    </w:div>
    <w:div w:id="587811296">
      <w:bodyDiv w:val="1"/>
      <w:marLeft w:val="0"/>
      <w:marRight w:val="0"/>
      <w:marTop w:val="0"/>
      <w:marBottom w:val="0"/>
      <w:divBdr>
        <w:top w:val="none" w:sz="0" w:space="0" w:color="auto"/>
        <w:left w:val="none" w:sz="0" w:space="0" w:color="auto"/>
        <w:bottom w:val="none" w:sz="0" w:space="0" w:color="auto"/>
        <w:right w:val="none" w:sz="0" w:space="0" w:color="auto"/>
      </w:divBdr>
    </w:div>
    <w:div w:id="603539200">
      <w:bodyDiv w:val="1"/>
      <w:marLeft w:val="0"/>
      <w:marRight w:val="0"/>
      <w:marTop w:val="0"/>
      <w:marBottom w:val="0"/>
      <w:divBdr>
        <w:top w:val="none" w:sz="0" w:space="0" w:color="auto"/>
        <w:left w:val="none" w:sz="0" w:space="0" w:color="auto"/>
        <w:bottom w:val="none" w:sz="0" w:space="0" w:color="auto"/>
        <w:right w:val="none" w:sz="0" w:space="0" w:color="auto"/>
      </w:divBdr>
    </w:div>
    <w:div w:id="627316658">
      <w:bodyDiv w:val="1"/>
      <w:marLeft w:val="0"/>
      <w:marRight w:val="0"/>
      <w:marTop w:val="0"/>
      <w:marBottom w:val="0"/>
      <w:divBdr>
        <w:top w:val="none" w:sz="0" w:space="0" w:color="auto"/>
        <w:left w:val="none" w:sz="0" w:space="0" w:color="auto"/>
        <w:bottom w:val="none" w:sz="0" w:space="0" w:color="auto"/>
        <w:right w:val="none" w:sz="0" w:space="0" w:color="auto"/>
      </w:divBdr>
    </w:div>
    <w:div w:id="633682285">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1350910">
      <w:bodyDiv w:val="1"/>
      <w:marLeft w:val="0"/>
      <w:marRight w:val="0"/>
      <w:marTop w:val="0"/>
      <w:marBottom w:val="0"/>
      <w:divBdr>
        <w:top w:val="none" w:sz="0" w:space="0" w:color="auto"/>
        <w:left w:val="none" w:sz="0" w:space="0" w:color="auto"/>
        <w:bottom w:val="none" w:sz="0" w:space="0" w:color="auto"/>
        <w:right w:val="none" w:sz="0" w:space="0" w:color="auto"/>
      </w:divBdr>
    </w:div>
    <w:div w:id="644698764">
      <w:bodyDiv w:val="1"/>
      <w:marLeft w:val="0"/>
      <w:marRight w:val="0"/>
      <w:marTop w:val="0"/>
      <w:marBottom w:val="0"/>
      <w:divBdr>
        <w:top w:val="none" w:sz="0" w:space="0" w:color="auto"/>
        <w:left w:val="none" w:sz="0" w:space="0" w:color="auto"/>
        <w:bottom w:val="none" w:sz="0" w:space="0" w:color="auto"/>
        <w:right w:val="none" w:sz="0" w:space="0" w:color="auto"/>
      </w:divBdr>
    </w:div>
    <w:div w:id="646323829">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5590373">
      <w:bodyDiv w:val="1"/>
      <w:marLeft w:val="0"/>
      <w:marRight w:val="0"/>
      <w:marTop w:val="0"/>
      <w:marBottom w:val="0"/>
      <w:divBdr>
        <w:top w:val="none" w:sz="0" w:space="0" w:color="auto"/>
        <w:left w:val="none" w:sz="0" w:space="0" w:color="auto"/>
        <w:bottom w:val="none" w:sz="0" w:space="0" w:color="auto"/>
        <w:right w:val="none" w:sz="0" w:space="0" w:color="auto"/>
      </w:divBdr>
    </w:div>
    <w:div w:id="681904167">
      <w:bodyDiv w:val="1"/>
      <w:marLeft w:val="0"/>
      <w:marRight w:val="0"/>
      <w:marTop w:val="0"/>
      <w:marBottom w:val="0"/>
      <w:divBdr>
        <w:top w:val="none" w:sz="0" w:space="0" w:color="auto"/>
        <w:left w:val="none" w:sz="0" w:space="0" w:color="auto"/>
        <w:bottom w:val="none" w:sz="0" w:space="0" w:color="auto"/>
        <w:right w:val="none" w:sz="0" w:space="0" w:color="auto"/>
      </w:divBdr>
    </w:div>
    <w:div w:id="707072613">
      <w:bodyDiv w:val="1"/>
      <w:marLeft w:val="0"/>
      <w:marRight w:val="0"/>
      <w:marTop w:val="0"/>
      <w:marBottom w:val="0"/>
      <w:divBdr>
        <w:top w:val="none" w:sz="0" w:space="0" w:color="auto"/>
        <w:left w:val="none" w:sz="0" w:space="0" w:color="auto"/>
        <w:bottom w:val="none" w:sz="0" w:space="0" w:color="auto"/>
        <w:right w:val="none" w:sz="0" w:space="0" w:color="auto"/>
      </w:divBdr>
    </w:div>
    <w:div w:id="715350856">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34863378">
      <w:bodyDiv w:val="1"/>
      <w:marLeft w:val="0"/>
      <w:marRight w:val="0"/>
      <w:marTop w:val="0"/>
      <w:marBottom w:val="0"/>
      <w:divBdr>
        <w:top w:val="none" w:sz="0" w:space="0" w:color="auto"/>
        <w:left w:val="none" w:sz="0" w:space="0" w:color="auto"/>
        <w:bottom w:val="none" w:sz="0" w:space="0" w:color="auto"/>
        <w:right w:val="none" w:sz="0" w:space="0" w:color="auto"/>
      </w:divBdr>
    </w:div>
    <w:div w:id="742488433">
      <w:bodyDiv w:val="1"/>
      <w:marLeft w:val="0"/>
      <w:marRight w:val="0"/>
      <w:marTop w:val="0"/>
      <w:marBottom w:val="0"/>
      <w:divBdr>
        <w:top w:val="none" w:sz="0" w:space="0" w:color="auto"/>
        <w:left w:val="none" w:sz="0" w:space="0" w:color="auto"/>
        <w:bottom w:val="none" w:sz="0" w:space="0" w:color="auto"/>
        <w:right w:val="none" w:sz="0" w:space="0" w:color="auto"/>
      </w:divBdr>
    </w:div>
    <w:div w:id="750155332">
      <w:bodyDiv w:val="1"/>
      <w:marLeft w:val="0"/>
      <w:marRight w:val="0"/>
      <w:marTop w:val="0"/>
      <w:marBottom w:val="0"/>
      <w:divBdr>
        <w:top w:val="none" w:sz="0" w:space="0" w:color="auto"/>
        <w:left w:val="none" w:sz="0" w:space="0" w:color="auto"/>
        <w:bottom w:val="none" w:sz="0" w:space="0" w:color="auto"/>
        <w:right w:val="none" w:sz="0" w:space="0" w:color="auto"/>
      </w:divBdr>
    </w:div>
    <w:div w:id="784039540">
      <w:bodyDiv w:val="1"/>
      <w:marLeft w:val="0"/>
      <w:marRight w:val="0"/>
      <w:marTop w:val="0"/>
      <w:marBottom w:val="0"/>
      <w:divBdr>
        <w:top w:val="none" w:sz="0" w:space="0" w:color="auto"/>
        <w:left w:val="none" w:sz="0" w:space="0" w:color="auto"/>
        <w:bottom w:val="none" w:sz="0" w:space="0" w:color="auto"/>
        <w:right w:val="none" w:sz="0" w:space="0" w:color="auto"/>
      </w:divBdr>
    </w:div>
    <w:div w:id="792478696">
      <w:bodyDiv w:val="1"/>
      <w:marLeft w:val="0"/>
      <w:marRight w:val="0"/>
      <w:marTop w:val="0"/>
      <w:marBottom w:val="0"/>
      <w:divBdr>
        <w:top w:val="none" w:sz="0" w:space="0" w:color="auto"/>
        <w:left w:val="none" w:sz="0" w:space="0" w:color="auto"/>
        <w:bottom w:val="none" w:sz="0" w:space="0" w:color="auto"/>
        <w:right w:val="none" w:sz="0" w:space="0" w:color="auto"/>
      </w:divBdr>
    </w:div>
    <w:div w:id="80439169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36964843">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5754359">
      <w:bodyDiv w:val="1"/>
      <w:marLeft w:val="0"/>
      <w:marRight w:val="0"/>
      <w:marTop w:val="0"/>
      <w:marBottom w:val="0"/>
      <w:divBdr>
        <w:top w:val="none" w:sz="0" w:space="0" w:color="auto"/>
        <w:left w:val="none" w:sz="0" w:space="0" w:color="auto"/>
        <w:bottom w:val="none" w:sz="0" w:space="0" w:color="auto"/>
        <w:right w:val="none" w:sz="0" w:space="0" w:color="auto"/>
      </w:divBdr>
    </w:div>
    <w:div w:id="874922775">
      <w:bodyDiv w:val="1"/>
      <w:marLeft w:val="0"/>
      <w:marRight w:val="0"/>
      <w:marTop w:val="0"/>
      <w:marBottom w:val="0"/>
      <w:divBdr>
        <w:top w:val="none" w:sz="0" w:space="0" w:color="auto"/>
        <w:left w:val="none" w:sz="0" w:space="0" w:color="auto"/>
        <w:bottom w:val="none" w:sz="0" w:space="0" w:color="auto"/>
        <w:right w:val="none" w:sz="0" w:space="0" w:color="auto"/>
      </w:divBdr>
    </w:div>
    <w:div w:id="876314002">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9116804">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19020781">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4650814">
      <w:bodyDiv w:val="1"/>
      <w:marLeft w:val="0"/>
      <w:marRight w:val="0"/>
      <w:marTop w:val="0"/>
      <w:marBottom w:val="0"/>
      <w:divBdr>
        <w:top w:val="none" w:sz="0" w:space="0" w:color="auto"/>
        <w:left w:val="none" w:sz="0" w:space="0" w:color="auto"/>
        <w:bottom w:val="none" w:sz="0" w:space="0" w:color="auto"/>
        <w:right w:val="none" w:sz="0" w:space="0" w:color="auto"/>
      </w:divBdr>
      <w:divsChild>
        <w:div w:id="980379076">
          <w:marLeft w:val="0"/>
          <w:marRight w:val="0"/>
          <w:marTop w:val="0"/>
          <w:marBottom w:val="0"/>
          <w:divBdr>
            <w:top w:val="none" w:sz="0" w:space="0" w:color="auto"/>
            <w:left w:val="none" w:sz="0" w:space="0" w:color="auto"/>
            <w:bottom w:val="none" w:sz="0" w:space="0" w:color="auto"/>
            <w:right w:val="none" w:sz="0" w:space="0" w:color="auto"/>
          </w:divBdr>
        </w:div>
      </w:divsChild>
    </w:div>
    <w:div w:id="938878788">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9284745">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6515104">
      <w:bodyDiv w:val="1"/>
      <w:marLeft w:val="0"/>
      <w:marRight w:val="0"/>
      <w:marTop w:val="0"/>
      <w:marBottom w:val="0"/>
      <w:divBdr>
        <w:top w:val="none" w:sz="0" w:space="0" w:color="auto"/>
        <w:left w:val="none" w:sz="0" w:space="0" w:color="auto"/>
        <w:bottom w:val="none" w:sz="0" w:space="0" w:color="auto"/>
        <w:right w:val="none" w:sz="0" w:space="0" w:color="auto"/>
      </w:divBdr>
    </w:div>
    <w:div w:id="110743402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3694071">
      <w:bodyDiv w:val="1"/>
      <w:marLeft w:val="0"/>
      <w:marRight w:val="0"/>
      <w:marTop w:val="0"/>
      <w:marBottom w:val="0"/>
      <w:divBdr>
        <w:top w:val="none" w:sz="0" w:space="0" w:color="auto"/>
        <w:left w:val="none" w:sz="0" w:space="0" w:color="auto"/>
        <w:bottom w:val="none" w:sz="0" w:space="0" w:color="auto"/>
        <w:right w:val="none" w:sz="0" w:space="0" w:color="auto"/>
      </w:divBdr>
    </w:div>
    <w:div w:id="1136601064">
      <w:bodyDiv w:val="1"/>
      <w:marLeft w:val="0"/>
      <w:marRight w:val="0"/>
      <w:marTop w:val="0"/>
      <w:marBottom w:val="0"/>
      <w:divBdr>
        <w:top w:val="none" w:sz="0" w:space="0" w:color="auto"/>
        <w:left w:val="none" w:sz="0" w:space="0" w:color="auto"/>
        <w:bottom w:val="none" w:sz="0" w:space="0" w:color="auto"/>
        <w:right w:val="none" w:sz="0" w:space="0" w:color="auto"/>
      </w:divBdr>
    </w:div>
    <w:div w:id="113864830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4814578">
      <w:bodyDiv w:val="1"/>
      <w:marLeft w:val="0"/>
      <w:marRight w:val="0"/>
      <w:marTop w:val="0"/>
      <w:marBottom w:val="0"/>
      <w:divBdr>
        <w:top w:val="none" w:sz="0" w:space="0" w:color="auto"/>
        <w:left w:val="none" w:sz="0" w:space="0" w:color="auto"/>
        <w:bottom w:val="none" w:sz="0" w:space="0" w:color="auto"/>
        <w:right w:val="none" w:sz="0" w:space="0" w:color="auto"/>
      </w:divBdr>
    </w:div>
    <w:div w:id="1159730441">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2014588">
      <w:bodyDiv w:val="1"/>
      <w:marLeft w:val="0"/>
      <w:marRight w:val="0"/>
      <w:marTop w:val="0"/>
      <w:marBottom w:val="0"/>
      <w:divBdr>
        <w:top w:val="none" w:sz="0" w:space="0" w:color="auto"/>
        <w:left w:val="none" w:sz="0" w:space="0" w:color="auto"/>
        <w:bottom w:val="none" w:sz="0" w:space="0" w:color="auto"/>
        <w:right w:val="none" w:sz="0" w:space="0" w:color="auto"/>
      </w:divBdr>
    </w:div>
    <w:div w:id="1208296869">
      <w:bodyDiv w:val="1"/>
      <w:marLeft w:val="0"/>
      <w:marRight w:val="0"/>
      <w:marTop w:val="0"/>
      <w:marBottom w:val="0"/>
      <w:divBdr>
        <w:top w:val="none" w:sz="0" w:space="0" w:color="auto"/>
        <w:left w:val="none" w:sz="0" w:space="0" w:color="auto"/>
        <w:bottom w:val="none" w:sz="0" w:space="0" w:color="auto"/>
        <w:right w:val="none" w:sz="0" w:space="0" w:color="auto"/>
      </w:divBdr>
    </w:div>
    <w:div w:id="1209562321">
      <w:bodyDiv w:val="1"/>
      <w:marLeft w:val="0"/>
      <w:marRight w:val="0"/>
      <w:marTop w:val="0"/>
      <w:marBottom w:val="0"/>
      <w:divBdr>
        <w:top w:val="none" w:sz="0" w:space="0" w:color="auto"/>
        <w:left w:val="none" w:sz="0" w:space="0" w:color="auto"/>
        <w:bottom w:val="none" w:sz="0" w:space="0" w:color="auto"/>
        <w:right w:val="none" w:sz="0" w:space="0" w:color="auto"/>
      </w:divBdr>
    </w:div>
    <w:div w:id="1221670500">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4968397">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2173813">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2626482">
      <w:bodyDiv w:val="1"/>
      <w:marLeft w:val="0"/>
      <w:marRight w:val="0"/>
      <w:marTop w:val="0"/>
      <w:marBottom w:val="0"/>
      <w:divBdr>
        <w:top w:val="none" w:sz="0" w:space="0" w:color="auto"/>
        <w:left w:val="none" w:sz="0" w:space="0" w:color="auto"/>
        <w:bottom w:val="none" w:sz="0" w:space="0" w:color="auto"/>
        <w:right w:val="none" w:sz="0" w:space="0" w:color="auto"/>
      </w:divBdr>
    </w:div>
    <w:div w:id="138202374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1214123">
      <w:bodyDiv w:val="1"/>
      <w:marLeft w:val="0"/>
      <w:marRight w:val="0"/>
      <w:marTop w:val="0"/>
      <w:marBottom w:val="0"/>
      <w:divBdr>
        <w:top w:val="none" w:sz="0" w:space="0" w:color="auto"/>
        <w:left w:val="none" w:sz="0" w:space="0" w:color="auto"/>
        <w:bottom w:val="none" w:sz="0" w:space="0" w:color="auto"/>
        <w:right w:val="none" w:sz="0" w:space="0" w:color="auto"/>
      </w:divBdr>
    </w:div>
    <w:div w:id="1431243104">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71232455">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0700324">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0235618">
      <w:bodyDiv w:val="1"/>
      <w:marLeft w:val="0"/>
      <w:marRight w:val="0"/>
      <w:marTop w:val="0"/>
      <w:marBottom w:val="0"/>
      <w:divBdr>
        <w:top w:val="none" w:sz="0" w:space="0" w:color="auto"/>
        <w:left w:val="none" w:sz="0" w:space="0" w:color="auto"/>
        <w:bottom w:val="none" w:sz="0" w:space="0" w:color="auto"/>
        <w:right w:val="none" w:sz="0" w:space="0" w:color="auto"/>
      </w:divBdr>
    </w:div>
    <w:div w:id="1632007545">
      <w:bodyDiv w:val="1"/>
      <w:marLeft w:val="0"/>
      <w:marRight w:val="0"/>
      <w:marTop w:val="0"/>
      <w:marBottom w:val="0"/>
      <w:divBdr>
        <w:top w:val="none" w:sz="0" w:space="0" w:color="auto"/>
        <w:left w:val="none" w:sz="0" w:space="0" w:color="auto"/>
        <w:bottom w:val="none" w:sz="0" w:space="0" w:color="auto"/>
        <w:right w:val="none" w:sz="0" w:space="0" w:color="auto"/>
      </w:divBdr>
    </w:div>
    <w:div w:id="164766086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70255376">
      <w:bodyDiv w:val="1"/>
      <w:marLeft w:val="0"/>
      <w:marRight w:val="0"/>
      <w:marTop w:val="0"/>
      <w:marBottom w:val="0"/>
      <w:divBdr>
        <w:top w:val="none" w:sz="0" w:space="0" w:color="auto"/>
        <w:left w:val="none" w:sz="0" w:space="0" w:color="auto"/>
        <w:bottom w:val="none" w:sz="0" w:space="0" w:color="auto"/>
        <w:right w:val="none" w:sz="0" w:space="0" w:color="auto"/>
      </w:divBdr>
    </w:div>
    <w:div w:id="1676960433">
      <w:bodyDiv w:val="1"/>
      <w:marLeft w:val="0"/>
      <w:marRight w:val="0"/>
      <w:marTop w:val="0"/>
      <w:marBottom w:val="0"/>
      <w:divBdr>
        <w:top w:val="none" w:sz="0" w:space="0" w:color="auto"/>
        <w:left w:val="none" w:sz="0" w:space="0" w:color="auto"/>
        <w:bottom w:val="none" w:sz="0" w:space="0" w:color="auto"/>
        <w:right w:val="none" w:sz="0" w:space="0" w:color="auto"/>
      </w:divBdr>
    </w:div>
    <w:div w:id="1725059512">
      <w:bodyDiv w:val="1"/>
      <w:marLeft w:val="0"/>
      <w:marRight w:val="0"/>
      <w:marTop w:val="0"/>
      <w:marBottom w:val="0"/>
      <w:divBdr>
        <w:top w:val="none" w:sz="0" w:space="0" w:color="auto"/>
        <w:left w:val="none" w:sz="0" w:space="0" w:color="auto"/>
        <w:bottom w:val="none" w:sz="0" w:space="0" w:color="auto"/>
        <w:right w:val="none" w:sz="0" w:space="0" w:color="auto"/>
      </w:divBdr>
    </w:div>
    <w:div w:id="1741057256">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56114570">
      <w:bodyDiv w:val="1"/>
      <w:marLeft w:val="0"/>
      <w:marRight w:val="0"/>
      <w:marTop w:val="0"/>
      <w:marBottom w:val="0"/>
      <w:divBdr>
        <w:top w:val="none" w:sz="0" w:space="0" w:color="auto"/>
        <w:left w:val="none" w:sz="0" w:space="0" w:color="auto"/>
        <w:bottom w:val="none" w:sz="0" w:space="0" w:color="auto"/>
        <w:right w:val="none" w:sz="0" w:space="0" w:color="auto"/>
      </w:divBdr>
    </w:div>
    <w:div w:id="1867331629">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8109111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112570">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2663233">
      <w:bodyDiv w:val="1"/>
      <w:marLeft w:val="0"/>
      <w:marRight w:val="0"/>
      <w:marTop w:val="0"/>
      <w:marBottom w:val="0"/>
      <w:divBdr>
        <w:top w:val="none" w:sz="0" w:space="0" w:color="auto"/>
        <w:left w:val="none" w:sz="0" w:space="0" w:color="auto"/>
        <w:bottom w:val="none" w:sz="0" w:space="0" w:color="auto"/>
        <w:right w:val="none" w:sz="0" w:space="0" w:color="auto"/>
      </w:divBdr>
    </w:div>
    <w:div w:id="2031103448">
      <w:bodyDiv w:val="1"/>
      <w:marLeft w:val="0"/>
      <w:marRight w:val="0"/>
      <w:marTop w:val="0"/>
      <w:marBottom w:val="0"/>
      <w:divBdr>
        <w:top w:val="none" w:sz="0" w:space="0" w:color="auto"/>
        <w:left w:val="none" w:sz="0" w:space="0" w:color="auto"/>
        <w:bottom w:val="none" w:sz="0" w:space="0" w:color="auto"/>
        <w:right w:val="none" w:sz="0" w:space="0" w:color="auto"/>
      </w:divBdr>
    </w:div>
    <w:div w:id="2062318457">
      <w:bodyDiv w:val="1"/>
      <w:marLeft w:val="0"/>
      <w:marRight w:val="0"/>
      <w:marTop w:val="0"/>
      <w:marBottom w:val="0"/>
      <w:divBdr>
        <w:top w:val="none" w:sz="0" w:space="0" w:color="auto"/>
        <w:left w:val="none" w:sz="0" w:space="0" w:color="auto"/>
        <w:bottom w:val="none" w:sz="0" w:space="0" w:color="auto"/>
        <w:right w:val="none" w:sz="0" w:space="0" w:color="auto"/>
      </w:divBdr>
    </w:div>
    <w:div w:id="2064136740">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80856332">
      <w:bodyDiv w:val="1"/>
      <w:marLeft w:val="0"/>
      <w:marRight w:val="0"/>
      <w:marTop w:val="0"/>
      <w:marBottom w:val="0"/>
      <w:divBdr>
        <w:top w:val="none" w:sz="0" w:space="0" w:color="auto"/>
        <w:left w:val="none" w:sz="0" w:space="0" w:color="auto"/>
        <w:bottom w:val="none" w:sz="0" w:space="0" w:color="auto"/>
        <w:right w:val="none" w:sz="0" w:space="0" w:color="auto"/>
      </w:divBdr>
    </w:div>
    <w:div w:id="2099012912">
      <w:bodyDiv w:val="1"/>
      <w:marLeft w:val="0"/>
      <w:marRight w:val="0"/>
      <w:marTop w:val="0"/>
      <w:marBottom w:val="0"/>
      <w:divBdr>
        <w:top w:val="none" w:sz="0" w:space="0" w:color="auto"/>
        <w:left w:val="none" w:sz="0" w:space="0" w:color="auto"/>
        <w:bottom w:val="none" w:sz="0" w:space="0" w:color="auto"/>
        <w:right w:val="none" w:sz="0" w:space="0" w:color="auto"/>
      </w:divBdr>
    </w:div>
    <w:div w:id="2104715503">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04759775">
      <w:bodyDiv w:val="1"/>
      <w:marLeft w:val="0"/>
      <w:marRight w:val="0"/>
      <w:marTop w:val="0"/>
      <w:marBottom w:val="0"/>
      <w:divBdr>
        <w:top w:val="none" w:sz="0" w:space="0" w:color="auto"/>
        <w:left w:val="none" w:sz="0" w:space="0" w:color="auto"/>
        <w:bottom w:val="none" w:sz="0" w:space="0" w:color="auto"/>
        <w:right w:val="none" w:sz="0" w:space="0" w:color="auto"/>
      </w:divBdr>
    </w:div>
    <w:div w:id="2125922327">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15686</Words>
  <Characters>89411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104888</CharactersWithSpaces>
  <SharedDoc>false</SharedDoc>
  <HLinks>
    <vt:vector size="18" baseType="variant">
      <vt:variant>
        <vt:i4>6684716</vt:i4>
      </vt:variant>
      <vt:variant>
        <vt:i4>93</vt:i4>
      </vt:variant>
      <vt:variant>
        <vt:i4>0</vt:i4>
      </vt:variant>
      <vt:variant>
        <vt:i4>5</vt:i4>
      </vt:variant>
      <vt:variant>
        <vt:lpwstr>http://msac.gov.au/internet/msac/publishing.nsf/Content/Home-1</vt:lpwstr>
      </vt:variant>
      <vt:variant>
        <vt:lpwstr/>
      </vt:variant>
      <vt:variant>
        <vt:i4>5111884</vt:i4>
      </vt:variant>
      <vt:variant>
        <vt:i4>51</vt:i4>
      </vt:variant>
      <vt:variant>
        <vt:i4>0</vt:i4>
      </vt:variant>
      <vt:variant>
        <vt:i4>5</vt:i4>
      </vt:variant>
      <vt:variant>
        <vt:lpwstr>https://auc-word-edit.officeapps.live.com/we/wordeditorframe.aspx?ui=en%2DGB&amp;rs=en%2DUS&amp;wopisrc=https%3A%2F%2Fhealthgov-my.sharepoint.com%2Fpersonal%2Fdinusha_vithanachchi_health_gov_au%2F_vti_bin%2Fwopi.ashx%2Ffiles%2F477bb483679741cda610c70d2e7d8151&amp;wdenableroaming=1&amp;mscc=1&amp;wdodb=1&amp;hid=006D49A0-10C9-1000-6BF5-D48D0C935007&amp;wdorigin=ItemsView&amp;wdhostclicktime=1655787696990&amp;jsapi=1&amp;jsapiver=v1&amp;newsession=1&amp;corrid=f50894dc-9efa-45a3-9aba-ce58025f325d&amp;usid=f50894dc-9efa-45a3-9aba-ce58025f325d&amp;sftc=1&amp;cac=1&amp;mtf=1&amp;sfp=1&amp;instantedit=1&amp;wopicomplete=1&amp;wdredirectionreason=Unified_SingleFlush&amp;rct=Medium&amp;ctp=LeastProtected</vt:lpwstr>
      </vt:variant>
      <vt:variant>
        <vt:lpwstr>_ENREF_71</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2022-10-27T01:54:00Z</dcterms:created>
  <dcterms:modified xsi:type="dcterms:W3CDTF">2022-10-27T01:54:00Z</dcterms:modified>
</cp:coreProperties>
</file>