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8AA54" w14:textId="4D0A4D78" w:rsidR="00C93C2F" w:rsidRDefault="00C93C2F" w:rsidP="00C93C2F">
      <w:pPr>
        <w:pStyle w:val="Heading1"/>
        <w:numPr>
          <w:ilvl w:val="0"/>
          <w:numId w:val="0"/>
        </w:numPr>
        <w:pBdr>
          <w:bottom w:val="none" w:sz="0" w:space="0" w:color="auto"/>
        </w:pBdr>
        <w:spacing w:before="0" w:after="0"/>
        <w:ind w:left="788"/>
        <w:jc w:val="center"/>
        <w:rPr>
          <w:rFonts w:ascii="Arial" w:hAnsi="Arial" w:cs="Arial"/>
          <w:b/>
          <w:bCs/>
          <w:color w:val="000080"/>
          <w:sz w:val="36"/>
          <w:szCs w:val="36"/>
        </w:rPr>
      </w:pPr>
      <w:r>
        <w:rPr>
          <w:rFonts w:ascii="Arial" w:hAnsi="Arial" w:cs="Arial"/>
          <w:b/>
          <w:bCs/>
          <w:color w:val="000080"/>
          <w:sz w:val="36"/>
          <w:szCs w:val="36"/>
        </w:rPr>
        <w:t>Medical Services Advisory Committee (MSAC)</w:t>
      </w:r>
      <w:r>
        <w:rPr>
          <w:rFonts w:ascii="Arial" w:hAnsi="Arial" w:cs="Arial"/>
          <w:b/>
          <w:bCs/>
          <w:color w:val="000080"/>
          <w:sz w:val="36"/>
          <w:szCs w:val="36"/>
        </w:rPr>
        <w:br/>
      </w:r>
      <w:r w:rsidR="00840EF5" w:rsidRPr="00F76D74">
        <w:rPr>
          <w:rFonts w:ascii="Arial" w:hAnsi="Arial" w:cs="Arial"/>
          <w:b/>
          <w:bCs/>
          <w:color w:val="000080"/>
          <w:sz w:val="36"/>
          <w:szCs w:val="36"/>
        </w:rPr>
        <w:t>Public Summary Document</w:t>
      </w:r>
    </w:p>
    <w:p w14:paraId="01A566EB" w14:textId="77777777" w:rsidR="00C93C2F" w:rsidRPr="001A4B85" w:rsidRDefault="00C93C2F" w:rsidP="00840EF5">
      <w:pPr>
        <w:spacing w:before="360" w:after="240" w:line="240" w:lineRule="auto"/>
        <w:jc w:val="center"/>
        <w:rPr>
          <w:rFonts w:ascii="Arial" w:eastAsia="Times New Roman" w:hAnsi="Arial" w:cs="Arial"/>
          <w:b/>
          <w:bCs/>
          <w:i/>
          <w:color w:val="000080"/>
          <w:sz w:val="28"/>
          <w:szCs w:val="28"/>
          <w:lang w:eastAsia="en-AU"/>
        </w:rPr>
      </w:pPr>
      <w:r w:rsidRPr="001A4B85">
        <w:rPr>
          <w:rFonts w:ascii="Arial" w:eastAsia="Times New Roman" w:hAnsi="Arial" w:cs="Arial"/>
          <w:b/>
          <w:bCs/>
          <w:i/>
          <w:color w:val="000080"/>
          <w:sz w:val="28"/>
          <w:szCs w:val="28"/>
          <w:lang w:eastAsia="en-AU"/>
        </w:rPr>
        <w:t>Application No. 1689.1 – Quantification of NT-</w:t>
      </w:r>
      <w:proofErr w:type="spellStart"/>
      <w:r w:rsidRPr="001A4B85">
        <w:rPr>
          <w:rFonts w:ascii="Arial" w:eastAsia="Times New Roman" w:hAnsi="Arial" w:cs="Arial"/>
          <w:b/>
          <w:bCs/>
          <w:i/>
          <w:color w:val="000080"/>
          <w:sz w:val="28"/>
          <w:szCs w:val="28"/>
          <w:lang w:eastAsia="en-AU"/>
        </w:rPr>
        <w:t>proBNP</w:t>
      </w:r>
      <w:proofErr w:type="spellEnd"/>
      <w:r w:rsidRPr="001A4B85">
        <w:rPr>
          <w:rFonts w:ascii="Arial" w:eastAsia="Times New Roman" w:hAnsi="Arial" w:cs="Arial"/>
          <w:b/>
          <w:bCs/>
          <w:i/>
          <w:color w:val="000080"/>
          <w:sz w:val="28"/>
          <w:szCs w:val="28"/>
          <w:lang w:eastAsia="en-AU"/>
        </w:rPr>
        <w:t xml:space="preserve"> for risk assessment in patients with previously diagnosed pulmonary arterial hypertension (PAH)</w:t>
      </w:r>
    </w:p>
    <w:p w14:paraId="6AB30305" w14:textId="58127494" w:rsidR="00C93C2F" w:rsidRDefault="00C93C2F" w:rsidP="00C93C2F">
      <w:pPr>
        <w:spacing w:after="240"/>
        <w:ind w:left="3402" w:hanging="3402"/>
        <w:rPr>
          <w:rFonts w:ascii="Arial" w:hAnsi="Arial" w:cs="Arial"/>
          <w:b/>
          <w:szCs w:val="24"/>
        </w:rPr>
      </w:pPr>
      <w:r w:rsidRPr="001A4B85">
        <w:rPr>
          <w:rFonts w:ascii="Arial" w:hAnsi="Arial" w:cs="Arial"/>
          <w:b/>
          <w:szCs w:val="24"/>
        </w:rPr>
        <w:t>Applicant:</w:t>
      </w:r>
      <w:r w:rsidRPr="001A4B85">
        <w:rPr>
          <w:rFonts w:ascii="Arial" w:hAnsi="Arial" w:cs="Arial"/>
          <w:b/>
          <w:szCs w:val="24"/>
        </w:rPr>
        <w:tab/>
        <w:t>Janssen-</w:t>
      </w:r>
      <w:proofErr w:type="spellStart"/>
      <w:r w:rsidRPr="001A4B85">
        <w:rPr>
          <w:rFonts w:ascii="Arial" w:hAnsi="Arial" w:cs="Arial"/>
          <w:b/>
          <w:szCs w:val="24"/>
        </w:rPr>
        <w:t>Cilag</w:t>
      </w:r>
      <w:proofErr w:type="spellEnd"/>
      <w:r w:rsidRPr="001A4B85">
        <w:rPr>
          <w:rFonts w:ascii="Arial" w:hAnsi="Arial" w:cs="Arial"/>
          <w:b/>
          <w:szCs w:val="24"/>
        </w:rPr>
        <w:t xml:space="preserve"> Pty Ltd</w:t>
      </w:r>
    </w:p>
    <w:p w14:paraId="023612A4" w14:textId="0C10DD3C" w:rsidR="00A00566" w:rsidRDefault="00A00566" w:rsidP="00840EF5">
      <w:pPr>
        <w:tabs>
          <w:tab w:val="left" w:pos="3402"/>
        </w:tabs>
        <w:spacing w:before="320" w:after="240"/>
        <w:rPr>
          <w:rFonts w:ascii="Arial" w:eastAsia="Times New Roman" w:hAnsi="Arial" w:cs="Arial"/>
          <w:b/>
          <w:bCs/>
          <w:color w:val="000000"/>
          <w:szCs w:val="20"/>
          <w:lang w:eastAsia="en-AU"/>
        </w:rPr>
      </w:pPr>
      <w:r w:rsidRPr="00A00566">
        <w:rPr>
          <w:rFonts w:ascii="Arial" w:eastAsia="Times New Roman" w:hAnsi="Arial" w:cs="Arial"/>
          <w:b/>
          <w:bCs/>
          <w:color w:val="000000"/>
          <w:szCs w:val="20"/>
          <w:lang w:eastAsia="en-AU"/>
        </w:rPr>
        <w:t xml:space="preserve">Date of </w:t>
      </w:r>
      <w:r w:rsidR="00840EF5">
        <w:rPr>
          <w:rFonts w:ascii="Arial" w:eastAsia="Times New Roman" w:hAnsi="Arial" w:cs="Arial"/>
          <w:b/>
          <w:bCs/>
          <w:color w:val="000000"/>
          <w:szCs w:val="20"/>
          <w:lang w:eastAsia="en-AU"/>
        </w:rPr>
        <w:t>MSAC</w:t>
      </w:r>
      <w:r w:rsidRPr="00A00566">
        <w:rPr>
          <w:rFonts w:ascii="Arial" w:eastAsia="Times New Roman" w:hAnsi="Arial" w:cs="Arial"/>
          <w:b/>
          <w:bCs/>
          <w:color w:val="000000"/>
          <w:szCs w:val="20"/>
          <w:lang w:eastAsia="en-AU"/>
        </w:rPr>
        <w:t xml:space="preserve"> consideration:</w:t>
      </w:r>
      <w:r w:rsidR="00840EF5">
        <w:rPr>
          <w:rFonts w:ascii="Arial" w:eastAsia="Times New Roman" w:hAnsi="Arial" w:cs="Arial"/>
          <w:b/>
          <w:bCs/>
          <w:color w:val="000000"/>
          <w:szCs w:val="20"/>
          <w:lang w:eastAsia="en-AU"/>
        </w:rPr>
        <w:tab/>
        <w:t>27 July</w:t>
      </w:r>
      <w:r w:rsidRPr="00A00566">
        <w:rPr>
          <w:rFonts w:ascii="Arial" w:eastAsia="Times New Roman" w:hAnsi="Arial" w:cs="Arial"/>
          <w:b/>
          <w:bCs/>
          <w:color w:val="000000"/>
          <w:szCs w:val="20"/>
          <w:lang w:eastAsia="en-AU"/>
        </w:rPr>
        <w:t xml:space="preserve"> 2023</w:t>
      </w:r>
    </w:p>
    <w:p w14:paraId="1EE258D1" w14:textId="77777777" w:rsidR="00840EF5" w:rsidRPr="00775E8C" w:rsidRDefault="00840EF5" w:rsidP="00840EF5">
      <w:pPr>
        <w:spacing w:after="24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19D63DA9" w14:textId="77777777" w:rsidR="00055E91" w:rsidRPr="00361DA0" w:rsidRDefault="00055E91" w:rsidP="00361DA0">
      <w:pPr>
        <w:pStyle w:val="ESHeading1"/>
      </w:pPr>
      <w:bookmarkStart w:id="0" w:name="_Toc69491415"/>
      <w:bookmarkStart w:id="1" w:name="_Toc131604305"/>
      <w:bookmarkStart w:id="2" w:name="_Hlk69734226"/>
      <w:r w:rsidRPr="00361DA0">
        <w:t>1.</w:t>
      </w:r>
      <w:r w:rsidRPr="00361DA0">
        <w:tab/>
        <w:t>Purpose of application</w:t>
      </w:r>
      <w:bookmarkEnd w:id="0"/>
      <w:bookmarkEnd w:id="1"/>
    </w:p>
    <w:p w14:paraId="4B084633" w14:textId="502D5A11" w:rsidR="00055E91" w:rsidRDefault="00055E91" w:rsidP="00055E91">
      <w:pPr>
        <w:spacing w:after="240"/>
        <w:rPr>
          <w:iCs/>
        </w:rPr>
      </w:pPr>
      <w:bookmarkStart w:id="3" w:name="_Hlk69734469"/>
      <w:r w:rsidRPr="001A4B85">
        <w:rPr>
          <w:iCs/>
        </w:rPr>
        <w:t xml:space="preserve">A </w:t>
      </w:r>
      <w:r w:rsidR="000E4F6A">
        <w:rPr>
          <w:iCs/>
        </w:rPr>
        <w:t>resubmission</w:t>
      </w:r>
      <w:r w:rsidR="000E4F6A" w:rsidRPr="001A4B85">
        <w:rPr>
          <w:iCs/>
        </w:rPr>
        <w:t xml:space="preserve"> </w:t>
      </w:r>
      <w:r w:rsidRPr="001A4B85">
        <w:rPr>
          <w:iCs/>
        </w:rPr>
        <w:t>requesting Medicare Benefits Schedule (MBS) listing of N-terminal pro B-type natriuretic peptide (NT-</w:t>
      </w:r>
      <w:proofErr w:type="spellStart"/>
      <w:r w:rsidRPr="001A4B85">
        <w:rPr>
          <w:iCs/>
        </w:rPr>
        <w:t>proBNP</w:t>
      </w:r>
      <w:proofErr w:type="spellEnd"/>
      <w:r w:rsidRPr="001A4B85">
        <w:rPr>
          <w:iCs/>
        </w:rPr>
        <w:t xml:space="preserve">) biomarker assay for risk assessment of patients diagnosed with </w:t>
      </w:r>
      <w:r w:rsidR="00C434BD" w:rsidRPr="001A4B85">
        <w:rPr>
          <w:iCs/>
        </w:rPr>
        <w:t xml:space="preserve">pulmonary arterial hypertension (PAH) </w:t>
      </w:r>
      <w:r w:rsidRPr="001A4B85">
        <w:rPr>
          <w:iCs/>
        </w:rPr>
        <w:t>was received from Janssen-</w:t>
      </w:r>
      <w:proofErr w:type="spellStart"/>
      <w:r w:rsidRPr="001A4B85">
        <w:rPr>
          <w:iCs/>
        </w:rPr>
        <w:t>Cilag</w:t>
      </w:r>
      <w:proofErr w:type="spellEnd"/>
      <w:r w:rsidRPr="001A4B85">
        <w:rPr>
          <w:iCs/>
        </w:rPr>
        <w:t xml:space="preserve"> Australia Pty Ltd by the Department of Health</w:t>
      </w:r>
      <w:r w:rsidR="000E4F6A">
        <w:rPr>
          <w:iCs/>
        </w:rPr>
        <w:t xml:space="preserve"> and Aged Care</w:t>
      </w:r>
      <w:r w:rsidRPr="001A4B85">
        <w:rPr>
          <w:iCs/>
        </w:rPr>
        <w:t>.</w:t>
      </w:r>
    </w:p>
    <w:p w14:paraId="34ACEC9F" w14:textId="615165EA" w:rsidR="001A4B85" w:rsidRDefault="001A4B85" w:rsidP="00055E91">
      <w:pPr>
        <w:spacing w:after="240"/>
        <w:rPr>
          <w:iCs/>
        </w:rPr>
      </w:pPr>
      <w:r w:rsidRPr="001A4B85">
        <w:rPr>
          <w:iCs/>
        </w:rPr>
        <w:t xml:space="preserve">The population that is proposed to be eligible for the proposed </w:t>
      </w:r>
      <w:r w:rsidR="00E413FE">
        <w:rPr>
          <w:iCs/>
        </w:rPr>
        <w:t>NT</w:t>
      </w:r>
      <w:r w:rsidR="00720417">
        <w:rPr>
          <w:iCs/>
        </w:rPr>
        <w:t>-</w:t>
      </w:r>
      <w:proofErr w:type="spellStart"/>
      <w:r w:rsidR="00E413FE">
        <w:rPr>
          <w:iCs/>
        </w:rPr>
        <w:t>proBNP</w:t>
      </w:r>
      <w:proofErr w:type="spellEnd"/>
      <w:r w:rsidR="00E413FE">
        <w:rPr>
          <w:iCs/>
        </w:rPr>
        <w:t xml:space="preserve"> test</w:t>
      </w:r>
      <w:r w:rsidRPr="001A4B85">
        <w:rPr>
          <w:iCs/>
        </w:rPr>
        <w:t xml:space="preserve"> is unchanged from the initial submission (ADAR 1689). </w:t>
      </w:r>
      <w:r w:rsidR="00E413FE">
        <w:rPr>
          <w:iCs/>
        </w:rPr>
        <w:t>All p</w:t>
      </w:r>
      <w:r w:rsidRPr="001A4B85">
        <w:rPr>
          <w:iCs/>
        </w:rPr>
        <w:t xml:space="preserve">atients who have received a diagnosis of PAH are </w:t>
      </w:r>
      <w:r w:rsidR="000E4F6A">
        <w:rPr>
          <w:iCs/>
        </w:rPr>
        <w:t xml:space="preserve">proposed to be </w:t>
      </w:r>
      <w:r w:rsidRPr="001A4B85">
        <w:rPr>
          <w:iCs/>
        </w:rPr>
        <w:t>eligible for NT-</w:t>
      </w:r>
      <w:proofErr w:type="spellStart"/>
      <w:r w:rsidRPr="001A4B85">
        <w:rPr>
          <w:iCs/>
        </w:rPr>
        <w:t>proBNP</w:t>
      </w:r>
      <w:proofErr w:type="spellEnd"/>
      <w:r w:rsidRPr="001A4B85">
        <w:rPr>
          <w:iCs/>
        </w:rPr>
        <w:t xml:space="preserve"> </w:t>
      </w:r>
      <w:r w:rsidR="00E413FE">
        <w:rPr>
          <w:iCs/>
        </w:rPr>
        <w:t xml:space="preserve">testing </w:t>
      </w:r>
      <w:r w:rsidRPr="001A4B85">
        <w:rPr>
          <w:iCs/>
        </w:rPr>
        <w:t>at the time of routine, recurring follow-up assessments</w:t>
      </w:r>
      <w:r w:rsidR="00273721">
        <w:rPr>
          <w:iCs/>
        </w:rPr>
        <w:t>, i.e. every 3–6 months</w:t>
      </w:r>
      <w:r w:rsidRPr="001A4B85">
        <w:rPr>
          <w:iCs/>
        </w:rPr>
        <w:t>.</w:t>
      </w:r>
    </w:p>
    <w:p w14:paraId="04C1C89F" w14:textId="4FFAADC6" w:rsidR="00753DA1" w:rsidRDefault="00753DA1" w:rsidP="00753DA1">
      <w:r w:rsidRPr="00720417">
        <w:t xml:space="preserve">The main change from the initial submission appraised by MSAC in July 2022 (ADAR 1689) and the current report, is the release of the 2022 </w:t>
      </w:r>
      <w:r w:rsidR="00F55BF6" w:rsidRPr="00F55BF6">
        <w:t>European Society of Cardiology and the European Respiratory Society (ESC/ESR)</w:t>
      </w:r>
      <w:r w:rsidR="00F55BF6">
        <w:t xml:space="preserve"> </w:t>
      </w:r>
      <w:r w:rsidRPr="00720417">
        <w:t>guidelines</w:t>
      </w:r>
      <w:r w:rsidR="004100A1">
        <w:rPr>
          <w:rStyle w:val="FootnoteReference"/>
        </w:rPr>
        <w:footnoteReference w:id="2"/>
      </w:r>
      <w:r w:rsidRPr="00720417">
        <w:t xml:space="preserve"> in August 2022, detailing updated recommendations for the management of PAH. </w:t>
      </w:r>
    </w:p>
    <w:p w14:paraId="45B51F18" w14:textId="6D208DEA" w:rsidR="00753DA1" w:rsidRDefault="00753DA1" w:rsidP="00753DA1">
      <w:r>
        <w:t>The guidelines recommend that i</w:t>
      </w:r>
      <w:r w:rsidRPr="001A4B85">
        <w:t>nitially patients would have a clinical assessment</w:t>
      </w:r>
      <w:r>
        <w:t xml:space="preserve"> using a multi-parameter 3-stratum risk classification tool.</w:t>
      </w:r>
      <w:r w:rsidRPr="00CB1C4F">
        <w:t xml:space="preserve"> </w:t>
      </w:r>
      <w:r>
        <w:t>Follow-up assessments</w:t>
      </w:r>
      <w:r w:rsidRPr="00720417">
        <w:t xml:space="preserve"> </w:t>
      </w:r>
      <w:r>
        <w:t>would use a 4</w:t>
      </w:r>
      <w:r w:rsidRPr="00720417">
        <w:t>-strat</w:t>
      </w:r>
      <w:r>
        <w:t>um</w:t>
      </w:r>
      <w:r w:rsidRPr="00720417">
        <w:t xml:space="preserve"> model </w:t>
      </w:r>
      <w:r>
        <w:t xml:space="preserve">for </w:t>
      </w:r>
      <w:r w:rsidRPr="00720417">
        <w:t>risk-stratification</w:t>
      </w:r>
      <w:r>
        <w:t xml:space="preserve"> </w:t>
      </w:r>
      <w:r w:rsidRPr="00720417">
        <w:t>(</w:t>
      </w:r>
      <w:r w:rsidR="00273721">
        <w:fldChar w:fldCharType="begin"/>
      </w:r>
      <w:r w:rsidR="00273721">
        <w:instrText xml:space="preserve"> REF _Ref131152530 \h </w:instrText>
      </w:r>
      <w:r w:rsidR="00273721">
        <w:fldChar w:fldCharType="separate"/>
      </w:r>
      <w:r w:rsidR="00273721">
        <w:t xml:space="preserve">Table </w:t>
      </w:r>
      <w:r w:rsidR="00273721">
        <w:rPr>
          <w:noProof/>
        </w:rPr>
        <w:t>1</w:t>
      </w:r>
      <w:r w:rsidR="00273721">
        <w:fldChar w:fldCharType="end"/>
      </w:r>
      <w:r w:rsidRPr="00720417">
        <w:t>).</w:t>
      </w:r>
      <w:r w:rsidRPr="00CB1C4F">
        <w:rPr>
          <w:iCs/>
        </w:rPr>
        <w:t xml:space="preserve"> </w:t>
      </w:r>
      <w:r>
        <w:rPr>
          <w:iCs/>
        </w:rPr>
        <w:t>This tool includes only three</w:t>
      </w:r>
      <w:r w:rsidRPr="00E413FE">
        <w:rPr>
          <w:iCs/>
        </w:rPr>
        <w:t xml:space="preserve"> non-invasive tests</w:t>
      </w:r>
      <w:r>
        <w:rPr>
          <w:iCs/>
        </w:rPr>
        <w:t xml:space="preserve"> (WHO functional class </w:t>
      </w:r>
      <w:r w:rsidR="00742860">
        <w:rPr>
          <w:iCs/>
        </w:rPr>
        <w:t>[</w:t>
      </w:r>
      <w:r>
        <w:rPr>
          <w:iCs/>
        </w:rPr>
        <w:t>FC</w:t>
      </w:r>
      <w:r w:rsidR="00742860">
        <w:rPr>
          <w:iCs/>
        </w:rPr>
        <w:t xml:space="preserve">], </w:t>
      </w:r>
      <w:r>
        <w:rPr>
          <w:iCs/>
        </w:rPr>
        <w:t xml:space="preserve">6-minute walking distance </w:t>
      </w:r>
      <w:r w:rsidR="00742860">
        <w:rPr>
          <w:iCs/>
        </w:rPr>
        <w:t>[</w:t>
      </w:r>
      <w:r>
        <w:rPr>
          <w:iCs/>
        </w:rPr>
        <w:t>6MWD</w:t>
      </w:r>
      <w:r w:rsidR="00742860">
        <w:rPr>
          <w:iCs/>
        </w:rPr>
        <w:t>]</w:t>
      </w:r>
      <w:r w:rsidR="00742860" w:rsidRPr="00E413FE">
        <w:rPr>
          <w:iCs/>
        </w:rPr>
        <w:t>,</w:t>
      </w:r>
      <w:r w:rsidR="00742860">
        <w:rPr>
          <w:iCs/>
        </w:rPr>
        <w:t xml:space="preserve"> </w:t>
      </w:r>
      <w:r>
        <w:rPr>
          <w:iCs/>
        </w:rPr>
        <w:t>and NT-</w:t>
      </w:r>
      <w:proofErr w:type="spellStart"/>
      <w:r>
        <w:rPr>
          <w:iCs/>
        </w:rPr>
        <w:t>proBNP</w:t>
      </w:r>
      <w:proofErr w:type="spellEnd"/>
      <w:r>
        <w:rPr>
          <w:iCs/>
        </w:rPr>
        <w:t xml:space="preserve"> levels)</w:t>
      </w:r>
      <w:r w:rsidRPr="00086A67">
        <w:t xml:space="preserve"> </w:t>
      </w:r>
      <w:r w:rsidRPr="00086A67">
        <w:rPr>
          <w:iCs/>
        </w:rPr>
        <w:t xml:space="preserve">with additional </w:t>
      </w:r>
      <w:r>
        <w:rPr>
          <w:iCs/>
        </w:rPr>
        <w:t xml:space="preserve">parameters (such as </w:t>
      </w:r>
      <w:r w:rsidR="007D70BE">
        <w:rPr>
          <w:iCs/>
        </w:rPr>
        <w:t xml:space="preserve">transthoracic echocardiogram </w:t>
      </w:r>
      <w:r w:rsidR="00742860">
        <w:rPr>
          <w:iCs/>
        </w:rPr>
        <w:t>[</w:t>
      </w:r>
      <w:r>
        <w:rPr>
          <w:iCs/>
        </w:rPr>
        <w:t>TTE</w:t>
      </w:r>
      <w:r w:rsidR="00742860">
        <w:rPr>
          <w:iCs/>
        </w:rPr>
        <w:t>])</w:t>
      </w:r>
      <w:r w:rsidR="00742860" w:rsidRPr="00086A67">
        <w:rPr>
          <w:iCs/>
        </w:rPr>
        <w:t xml:space="preserve"> </w:t>
      </w:r>
      <w:r w:rsidRPr="00086A67">
        <w:rPr>
          <w:iCs/>
        </w:rPr>
        <w:t>to be considered as needed</w:t>
      </w:r>
      <w:r w:rsidRPr="00E413FE">
        <w:rPr>
          <w:iCs/>
        </w:rPr>
        <w:t xml:space="preserve">. The </w:t>
      </w:r>
      <w:r>
        <w:rPr>
          <w:iCs/>
        </w:rPr>
        <w:t xml:space="preserve">guidelines consider that the </w:t>
      </w:r>
      <w:r w:rsidRPr="00E413FE">
        <w:rPr>
          <w:iCs/>
        </w:rPr>
        <w:t>main advantage of the four-</w:t>
      </w:r>
      <w:r w:rsidR="00D67C9B">
        <w:rPr>
          <w:iCs/>
        </w:rPr>
        <w:t>stratum</w:t>
      </w:r>
      <w:r w:rsidRPr="00E413FE">
        <w:rPr>
          <w:iCs/>
        </w:rPr>
        <w:t xml:space="preserve"> model over the three-</w:t>
      </w:r>
      <w:r w:rsidR="00D67C9B">
        <w:rPr>
          <w:iCs/>
        </w:rPr>
        <w:t>stratum</w:t>
      </w:r>
      <w:r w:rsidRPr="00E413FE">
        <w:rPr>
          <w:iCs/>
        </w:rPr>
        <w:t xml:space="preserve"> model is better discrimination within the </w:t>
      </w:r>
      <w:r>
        <w:rPr>
          <w:iCs/>
        </w:rPr>
        <w:t xml:space="preserve">large </w:t>
      </w:r>
      <w:r w:rsidRPr="00E413FE">
        <w:rPr>
          <w:iCs/>
        </w:rPr>
        <w:t>intermediate-risk group, which helps guide therapeutic decision-making.</w:t>
      </w:r>
    </w:p>
    <w:p w14:paraId="5076C4FE" w14:textId="36D26FFF" w:rsidR="00753DA1" w:rsidRPr="00086A67" w:rsidRDefault="00273721" w:rsidP="00273721">
      <w:pPr>
        <w:pStyle w:val="TableHeading0"/>
      </w:pPr>
      <w:bookmarkStart w:id="4" w:name="_Ref131152530"/>
      <w:bookmarkStart w:id="5" w:name="_Toc126748014"/>
      <w:r>
        <w:lastRenderedPageBreak/>
        <w:t xml:space="preserve">Table </w:t>
      </w:r>
      <w:r w:rsidR="00DD62DD">
        <w:fldChar w:fldCharType="begin"/>
      </w:r>
      <w:r w:rsidR="00DD62DD">
        <w:instrText xml:space="preserve"> SEQ Table \* ARABIC </w:instrText>
      </w:r>
      <w:r w:rsidR="00DD62DD">
        <w:fldChar w:fldCharType="separate"/>
      </w:r>
      <w:r w:rsidR="00AA0686">
        <w:rPr>
          <w:noProof/>
        </w:rPr>
        <w:t>1</w:t>
      </w:r>
      <w:r w:rsidR="00DD62DD">
        <w:rPr>
          <w:noProof/>
        </w:rPr>
        <w:fldChar w:fldCharType="end"/>
      </w:r>
      <w:bookmarkEnd w:id="4"/>
      <w:r w:rsidR="00753DA1" w:rsidRPr="00086A67">
        <w:tab/>
        <w:t>Variables used to calculate the four-</w:t>
      </w:r>
      <w:r w:rsidR="00D67C9B">
        <w:t>stratum</w:t>
      </w:r>
      <w:r w:rsidR="00753DA1" w:rsidRPr="00086A67">
        <w:t xml:space="preserve"> risk-assessment tool</w:t>
      </w:r>
      <w:bookmarkEnd w:id="5"/>
    </w:p>
    <w:p w14:paraId="777025FA" w14:textId="77777777" w:rsidR="00753DA1" w:rsidRPr="00086A67" w:rsidRDefault="00753DA1" w:rsidP="00753DA1">
      <w:pPr>
        <w:keepNext/>
        <w:spacing w:after="0" w:line="240" w:lineRule="auto"/>
      </w:pPr>
      <w:r w:rsidRPr="00086A67">
        <w:rPr>
          <w:noProof/>
        </w:rPr>
        <w:drawing>
          <wp:inline distT="0" distB="0" distL="0" distR="0" wp14:anchorId="6F594F02" wp14:editId="3E9BE78A">
            <wp:extent cx="5731510" cy="1016000"/>
            <wp:effectExtent l="0" t="0" r="2540" b="0"/>
            <wp:docPr id="5" name="Picture 5" descr="This table lists the determinants of prognosis for the 4-stratum risk assessment model and the appropriate cut-offs for low, intermediate-low, intermediate0high and high risk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016000"/>
                    </a:xfrm>
                    <a:prstGeom prst="rect">
                      <a:avLst/>
                    </a:prstGeom>
                  </pic:spPr>
                </pic:pic>
              </a:graphicData>
            </a:graphic>
          </wp:inline>
        </w:drawing>
      </w:r>
    </w:p>
    <w:p w14:paraId="269C093D" w14:textId="77777777" w:rsidR="00753DA1" w:rsidRPr="00086A67" w:rsidRDefault="00753DA1" w:rsidP="00AA0686">
      <w:pPr>
        <w:pStyle w:val="TableFooter"/>
      </w:pPr>
      <w:r>
        <w:t>6</w:t>
      </w:r>
      <w:r w:rsidRPr="00086A67">
        <w:t>MWD</w:t>
      </w:r>
      <w:r>
        <w:t xml:space="preserve"> =</w:t>
      </w:r>
      <w:r w:rsidRPr="00086A67">
        <w:t xml:space="preserve"> 6-minute walking distance; BNP</w:t>
      </w:r>
      <w:r>
        <w:t xml:space="preserve"> =</w:t>
      </w:r>
      <w:r w:rsidRPr="00086A67">
        <w:t xml:space="preserve"> brain natriuretic peptide; NT-</w:t>
      </w:r>
      <w:proofErr w:type="spellStart"/>
      <w:r w:rsidRPr="00086A67">
        <w:t>proBNP</w:t>
      </w:r>
      <w:proofErr w:type="spellEnd"/>
      <w:r>
        <w:t xml:space="preserve"> =</w:t>
      </w:r>
      <w:r w:rsidRPr="00086A67">
        <w:t xml:space="preserve"> N-terminal pro-brain natriuretic peptide; WHO-FC</w:t>
      </w:r>
      <w:r>
        <w:t xml:space="preserve"> =</w:t>
      </w:r>
      <w:r w:rsidRPr="00086A67">
        <w:t xml:space="preserve"> World Health Organization functional class.</w:t>
      </w:r>
    </w:p>
    <w:p w14:paraId="7942A171" w14:textId="77777777" w:rsidR="009F4E02" w:rsidRDefault="00753DA1" w:rsidP="00AA0686">
      <w:pPr>
        <w:pStyle w:val="TableFooter"/>
      </w:pPr>
      <w:r w:rsidRPr="00086A67">
        <w:t>Risk is calculated by dividing the sum of all grades by the number of variables and rounding to the next integer.</w:t>
      </w:r>
      <w:r w:rsidR="009F4E02" w:rsidRPr="009F4E02">
        <w:t xml:space="preserve"> </w:t>
      </w:r>
    </w:p>
    <w:p w14:paraId="48D872B2" w14:textId="644D0195" w:rsidR="009F4E02" w:rsidRPr="00086A67" w:rsidRDefault="009F4E02" w:rsidP="00AA0686">
      <w:pPr>
        <w:pStyle w:val="TableFooter"/>
      </w:pPr>
      <w:r w:rsidRPr="00086A67">
        <w:t xml:space="preserve">Source: Table 18, </w:t>
      </w:r>
      <w:r>
        <w:t>in the 2022 ESC/ERS Guidelines (Humbert et al 2022)</w:t>
      </w:r>
    </w:p>
    <w:p w14:paraId="0E3ED9DA" w14:textId="77777777" w:rsidR="00840EF5" w:rsidRDefault="00055E91" w:rsidP="00840EF5">
      <w:pPr>
        <w:pStyle w:val="Heading2"/>
        <w:numPr>
          <w:ilvl w:val="1"/>
          <w:numId w:val="0"/>
        </w:numPr>
      </w:pPr>
      <w:bookmarkStart w:id="6" w:name="_Toc69491416"/>
      <w:bookmarkStart w:id="7" w:name="_Toc131604306"/>
      <w:bookmarkEnd w:id="3"/>
      <w:r w:rsidRPr="001A4B85">
        <w:t>2.</w:t>
      </w:r>
      <w:r w:rsidRPr="001A4B85">
        <w:tab/>
      </w:r>
      <w:r w:rsidR="00840EF5">
        <w:t>MSAC’s advice to the Minister</w:t>
      </w:r>
    </w:p>
    <w:p w14:paraId="583CE271" w14:textId="270CDB8F" w:rsidR="005F19C7" w:rsidRDefault="00840EF5" w:rsidP="005F19C7">
      <w:r w:rsidRPr="00D81A81">
        <w:t>After considering the strength of the available evidence in relation to comparative safety, clinical effectiveness</w:t>
      </w:r>
      <w:r>
        <w:t xml:space="preserve">, </w:t>
      </w:r>
      <w:r w:rsidRPr="00D81A81">
        <w:t>cost-effectiveness</w:t>
      </w:r>
      <w:r>
        <w:t xml:space="preserve"> and total cost</w:t>
      </w:r>
      <w:r w:rsidRPr="00D81A81">
        <w:t xml:space="preserve">, </w:t>
      </w:r>
      <w:r w:rsidRPr="793AC0E7">
        <w:rPr>
          <w:rFonts w:eastAsia="Franklin Gothic Book" w:cs="Franklin Gothic Book"/>
        </w:rPr>
        <w:t>MSAC</w:t>
      </w:r>
      <w:r w:rsidR="005F19C7" w:rsidRPr="793AC0E7">
        <w:rPr>
          <w:rFonts w:eastAsia="Franklin Gothic Book" w:cs="Franklin Gothic Book"/>
        </w:rPr>
        <w:t xml:space="preserve"> supported the incorporation of a new MBS item for the quantification of NT-</w:t>
      </w:r>
      <w:proofErr w:type="spellStart"/>
      <w:r w:rsidR="005F19C7" w:rsidRPr="793AC0E7">
        <w:rPr>
          <w:rFonts w:eastAsia="Franklin Gothic Book" w:cs="Franklin Gothic Book"/>
        </w:rPr>
        <w:t>proBNP</w:t>
      </w:r>
      <w:proofErr w:type="spellEnd"/>
      <w:r w:rsidR="005F19C7" w:rsidRPr="793AC0E7">
        <w:rPr>
          <w:rFonts w:eastAsia="Franklin Gothic Book" w:cs="Franklin Gothic Book"/>
        </w:rPr>
        <w:t xml:space="preserve"> for ongoing risk assessment in patients with previously diagnosed pulmonary arterial hypertension (PAH). This expands on MSAC’s support in July 2022 for a new MBS item for quantification of NT-</w:t>
      </w:r>
      <w:proofErr w:type="spellStart"/>
      <w:r w:rsidR="005F19C7" w:rsidRPr="793AC0E7">
        <w:rPr>
          <w:rFonts w:eastAsia="Franklin Gothic Book" w:cs="Franklin Gothic Book"/>
        </w:rPr>
        <w:t>proBNP</w:t>
      </w:r>
      <w:proofErr w:type="spellEnd"/>
      <w:r w:rsidR="005F19C7" w:rsidRPr="793AC0E7">
        <w:rPr>
          <w:rFonts w:eastAsia="Franklin Gothic Book" w:cs="Franklin Gothic Book"/>
        </w:rPr>
        <w:t xml:space="preserve"> in patients with systemic sclerosis for diagnosis of PAH. MSAC also supported extending such funding to cover BNP testing for patients with previously diagnosed PAH to ensure consistency with other MBS items. </w:t>
      </w:r>
    </w:p>
    <w:p w14:paraId="32C7E45A" w14:textId="4A076762" w:rsidR="005F19C7" w:rsidRDefault="005F19C7" w:rsidP="005F19C7">
      <w:r w:rsidRPr="79066B6B">
        <w:t xml:space="preserve">MSAC noted that the clinical evidence demonstrates non-inferior safety and effectiveness of </w:t>
      </w:r>
      <w:r>
        <w:t>NT-</w:t>
      </w:r>
      <w:proofErr w:type="spellStart"/>
      <w:r>
        <w:t>proBNP</w:t>
      </w:r>
      <w:proofErr w:type="spellEnd"/>
      <w:r>
        <w:t xml:space="preserve"> </w:t>
      </w:r>
      <w:r w:rsidRPr="79066B6B">
        <w:t xml:space="preserve">testing as a component of a 4-stratum risk classification </w:t>
      </w:r>
      <w:r>
        <w:t xml:space="preserve">tool </w:t>
      </w:r>
      <w:r w:rsidRPr="79066B6B">
        <w:t xml:space="preserve">relative to 3-stratum risk classification tools that include </w:t>
      </w:r>
      <w:r>
        <w:t>TTE</w:t>
      </w:r>
      <w:r w:rsidRPr="79066B6B">
        <w:t xml:space="preserve">, which are currently used in Australian clinical practice. MSAC considered that </w:t>
      </w:r>
      <w:r w:rsidR="007D70BE" w:rsidRPr="79066B6B">
        <w:t>NT-</w:t>
      </w:r>
      <w:proofErr w:type="spellStart"/>
      <w:r w:rsidR="007D70BE" w:rsidRPr="79066B6B">
        <w:t>proBNP</w:t>
      </w:r>
      <w:proofErr w:type="spellEnd"/>
      <w:r w:rsidR="007D70BE" w:rsidRPr="79066B6B">
        <w:t xml:space="preserve"> testing</w:t>
      </w:r>
      <w:r w:rsidR="007D70BE">
        <w:t>,</w:t>
      </w:r>
      <w:r w:rsidR="007D70BE" w:rsidRPr="79066B6B">
        <w:t xml:space="preserve"> </w:t>
      </w:r>
      <w:r w:rsidRPr="79066B6B">
        <w:t>as a component of a 4-stratum risk classification</w:t>
      </w:r>
      <w:r>
        <w:t xml:space="preserve"> tool</w:t>
      </w:r>
      <w:r w:rsidRPr="79066B6B">
        <w:t>, provides better discrimination between risk groups to guide patient management. MSAC noted that it was appropriate to support public funding of this test given that it is recommended by the most recent international clinical guidelines and that NT-</w:t>
      </w:r>
      <w:proofErr w:type="spellStart"/>
      <w:r w:rsidRPr="79066B6B">
        <w:t>proBNP</w:t>
      </w:r>
      <w:proofErr w:type="spellEnd"/>
      <w:r w:rsidRPr="79066B6B">
        <w:t xml:space="preserve"> testing </w:t>
      </w:r>
      <w:r>
        <w:t xml:space="preserve">is </w:t>
      </w:r>
      <w:r w:rsidRPr="79066B6B">
        <w:t xml:space="preserve">more accessible than </w:t>
      </w:r>
      <w:r>
        <w:t>TTE.</w:t>
      </w:r>
      <w:r w:rsidRPr="79066B6B">
        <w:t xml:space="preserve"> MSAC noted that these considerations also extended to BNP testing in general as a substitute for </w:t>
      </w:r>
      <w:r>
        <w:t>TTE</w:t>
      </w:r>
      <w:r w:rsidRPr="79066B6B">
        <w:t xml:space="preserve"> for ongoing risk assessment in patients with previously diagnosed PAH. </w:t>
      </w:r>
    </w:p>
    <w:p w14:paraId="39902404" w14:textId="17FE5FEC" w:rsidR="005F19C7" w:rsidRDefault="005F19C7" w:rsidP="005F19C7">
      <w:r>
        <w:t>MSAC noted that although there is currently a lack of evidence that NT-</w:t>
      </w:r>
      <w:proofErr w:type="spellStart"/>
      <w:r>
        <w:t>proBNP</w:t>
      </w:r>
      <w:proofErr w:type="spellEnd"/>
      <w:r>
        <w:t xml:space="preserve"> testing </w:t>
      </w:r>
      <w:r w:rsidRPr="00323630">
        <w:t xml:space="preserve">leads to a change in </w:t>
      </w:r>
      <w:r>
        <w:t>patient management, this may be attributable to reduced compliance with guidelines rather than the utility of the test. MSAC considered that improving clinician compliance with existing clinical guidelines for patients with PAH is required to ensure patients are managed optimally.</w:t>
      </w:r>
    </w:p>
    <w:p w14:paraId="1C383E3D" w14:textId="69C286B1" w:rsidR="00840EF5" w:rsidRDefault="005F19C7" w:rsidP="00840EF5">
      <w:pPr>
        <w:rPr>
          <w:szCs w:val="24"/>
        </w:rPr>
      </w:pPr>
      <w:r w:rsidRPr="1F681ECD">
        <w:t>MSAC considered that while the cost</w:t>
      </w:r>
      <w:r w:rsidRPr="1F681ECD">
        <w:rPr>
          <w:rFonts w:ascii="Cambria Math" w:hAnsi="Cambria Math" w:cs="Cambria Math"/>
        </w:rPr>
        <w:t>‑</w:t>
      </w:r>
      <w:r w:rsidRPr="1F681ECD">
        <w:t>effectiveness and total financial impact of the service may be uncertain, listing was still likely</w:t>
      </w:r>
      <w:r>
        <w:t xml:space="preserve"> to</w:t>
      </w:r>
      <w:r w:rsidRPr="1F681ECD">
        <w:t xml:space="preserve"> result in cost savings to the MBS or at worst a small net cost. MSAC recommended that to manage the risk of leakage and potential for greater than expected use of NT-</w:t>
      </w:r>
      <w:proofErr w:type="spellStart"/>
      <w:r w:rsidRPr="1F681ECD">
        <w:t>proBNP</w:t>
      </w:r>
      <w:proofErr w:type="spellEnd"/>
      <w:r w:rsidRPr="1F681ECD">
        <w:t xml:space="preserve"> testing, it is reasonable to monitor utilisation of the MBS item after listing and assess whether TTE utilisation is reduced as a result of listing. MSAC proposed a review period of no earlier than two years after listing to allow sufficient time for initial change in clinical practice.</w:t>
      </w:r>
    </w:p>
    <w:p w14:paraId="5F260D4D" w14:textId="1B8F6529" w:rsidR="00F701B3" w:rsidRPr="002A17D9" w:rsidRDefault="00F701B3" w:rsidP="00F701B3">
      <w:pPr>
        <w:spacing w:before="0" w:after="0" w:line="240" w:lineRule="auto"/>
        <w:textAlignment w:val="baseline"/>
        <w:rPr>
          <w:rFonts w:ascii="Segoe UI" w:eastAsia="Times New Roman" w:hAnsi="Segoe UI" w:cs="Segoe UI"/>
          <w:sz w:val="18"/>
          <w:szCs w:val="18"/>
          <w:lang w:eastAsia="ja-JP"/>
        </w:rPr>
      </w:pPr>
      <w:r>
        <w:rPr>
          <w:rFonts w:eastAsia="Times New Roman" w:cs="Segoe UI"/>
          <w:lang w:eastAsia="ja-JP"/>
        </w:rPr>
        <w:t>MSAC proposed a</w:t>
      </w:r>
      <w:r w:rsidRPr="002A17D9">
        <w:rPr>
          <w:rFonts w:eastAsia="Times New Roman" w:cs="Segoe UI"/>
          <w:lang w:eastAsia="ja-JP"/>
        </w:rPr>
        <w:t xml:space="preserve"> MBS item descriptor for NT-</w:t>
      </w:r>
      <w:proofErr w:type="spellStart"/>
      <w:r w:rsidRPr="002A17D9">
        <w:rPr>
          <w:rFonts w:eastAsia="Times New Roman" w:cs="Segoe UI"/>
          <w:lang w:eastAsia="ja-JP"/>
        </w:rPr>
        <w:t>proBNP</w:t>
      </w:r>
      <w:proofErr w:type="spellEnd"/>
      <w:r w:rsidRPr="002A17D9">
        <w:rPr>
          <w:rFonts w:eastAsia="Times New Roman" w:cs="Segoe UI"/>
          <w:lang w:eastAsia="ja-JP"/>
        </w:rPr>
        <w:t xml:space="preserve"> testing of patients diagnosed with PAH. The proposed fee and benefit are the same as for the current MBS Item 66830 (BNP/NT-</w:t>
      </w:r>
      <w:proofErr w:type="spellStart"/>
      <w:r w:rsidRPr="002A17D9">
        <w:rPr>
          <w:rFonts w:eastAsia="Times New Roman" w:cs="Segoe UI"/>
          <w:lang w:eastAsia="ja-JP"/>
        </w:rPr>
        <w:t>proBNP</w:t>
      </w:r>
      <w:proofErr w:type="spellEnd"/>
      <w:r w:rsidRPr="002A17D9">
        <w:rPr>
          <w:rFonts w:eastAsia="Times New Roman" w:cs="Segoe UI"/>
          <w:lang w:eastAsia="ja-JP"/>
        </w:rPr>
        <w:t xml:space="preserve"> testing for the detection of heart failure).</w:t>
      </w:r>
    </w:p>
    <w:tbl>
      <w:tblPr>
        <w:tblStyle w:val="TableGrid1"/>
        <w:tblW w:w="901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10"/>
      </w:tblGrid>
      <w:tr w:rsidR="00F701B3" w:rsidRPr="002A17D9" w14:paraId="7690E0D2" w14:textId="77777777" w:rsidTr="00653F2B">
        <w:trPr>
          <w:cnfStyle w:val="100000000000" w:firstRow="1" w:lastRow="0" w:firstColumn="0" w:lastColumn="0" w:oddVBand="0" w:evenVBand="0" w:oddHBand="0" w:evenHBand="0" w:firstRowFirstColumn="0" w:firstRowLastColumn="0" w:lastRowFirstColumn="0" w:lastRowLastColumn="0"/>
          <w:trHeight w:val="345"/>
          <w:tblHeader/>
        </w:trPr>
        <w:tc>
          <w:tcPr>
            <w:tcW w:w="9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EA72EC" w14:textId="77777777" w:rsidR="00F701B3" w:rsidRPr="002A17D9" w:rsidRDefault="00F701B3" w:rsidP="00E9167B">
            <w:pPr>
              <w:spacing w:before="0" w:after="0"/>
              <w:jc w:val="right"/>
              <w:textAlignment w:val="baseline"/>
              <w:rPr>
                <w:rFonts w:ascii="Times New Roman" w:hAnsi="Times New Roman"/>
                <w:sz w:val="24"/>
                <w:szCs w:val="24"/>
                <w:lang w:eastAsia="ja-JP"/>
              </w:rPr>
            </w:pPr>
            <w:r w:rsidRPr="002A17D9">
              <w:rPr>
                <w:rFonts w:ascii="Arial Narrow" w:hAnsi="Arial Narrow"/>
                <w:lang w:eastAsia="ja-JP"/>
              </w:rPr>
              <w:lastRenderedPageBreak/>
              <w:t>Category 6 - PATHOLOGY SERVICES – (proposed category description) </w:t>
            </w:r>
          </w:p>
          <w:p w14:paraId="5E477643" w14:textId="77777777" w:rsidR="00F701B3" w:rsidRPr="002A17D9" w:rsidRDefault="00F701B3" w:rsidP="00E9167B">
            <w:pPr>
              <w:spacing w:before="0" w:after="0"/>
              <w:jc w:val="right"/>
              <w:textAlignment w:val="baseline"/>
              <w:rPr>
                <w:rFonts w:ascii="Times New Roman" w:hAnsi="Times New Roman"/>
                <w:sz w:val="24"/>
                <w:szCs w:val="24"/>
                <w:lang w:eastAsia="ja-JP"/>
              </w:rPr>
            </w:pPr>
            <w:r w:rsidRPr="002A17D9">
              <w:rPr>
                <w:rFonts w:ascii="Arial Narrow" w:hAnsi="Arial Narrow"/>
                <w:lang w:eastAsia="ja-JP"/>
              </w:rPr>
              <w:t>Group P2 – Chemical (proposed group description) </w:t>
            </w:r>
          </w:p>
        </w:tc>
      </w:tr>
      <w:tr w:rsidR="00F701B3" w:rsidRPr="002A17D9" w14:paraId="47EAB687" w14:textId="77777777" w:rsidTr="00653F2B">
        <w:trPr>
          <w:cnfStyle w:val="100000000000" w:firstRow="1" w:lastRow="0" w:firstColumn="0" w:lastColumn="0" w:oddVBand="0" w:evenVBand="0" w:oddHBand="0" w:evenHBand="0" w:firstRowFirstColumn="0" w:firstRowLastColumn="0" w:lastRowFirstColumn="0" w:lastRowLastColumn="0"/>
          <w:trHeight w:val="300"/>
          <w:tblHeader/>
        </w:trPr>
        <w:tc>
          <w:tcPr>
            <w:tcW w:w="9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0DDB7D" w14:textId="77777777" w:rsidR="00F701B3" w:rsidRPr="002A17D9" w:rsidRDefault="00F701B3" w:rsidP="00E9167B">
            <w:pPr>
              <w:spacing w:before="0" w:after="0"/>
              <w:textAlignment w:val="baseline"/>
              <w:rPr>
                <w:rFonts w:ascii="Times New Roman" w:hAnsi="Times New Roman"/>
                <w:sz w:val="24"/>
                <w:szCs w:val="24"/>
                <w:lang w:eastAsia="ja-JP"/>
              </w:rPr>
            </w:pPr>
            <w:r w:rsidRPr="002A17D9">
              <w:rPr>
                <w:rFonts w:ascii="Arial Narrow" w:hAnsi="Arial Narrow"/>
                <w:lang w:eastAsia="ja-JP"/>
              </w:rPr>
              <w:t>Proposed item descriptor:  </w:t>
            </w:r>
          </w:p>
          <w:p w14:paraId="41AA2659" w14:textId="5E22089C" w:rsidR="00F701B3" w:rsidRPr="002A17D9" w:rsidRDefault="00F701B3" w:rsidP="00E9167B">
            <w:pPr>
              <w:spacing w:before="0" w:after="0"/>
              <w:textAlignment w:val="baseline"/>
              <w:rPr>
                <w:rFonts w:ascii="Times New Roman" w:hAnsi="Times New Roman"/>
                <w:sz w:val="24"/>
                <w:szCs w:val="24"/>
                <w:lang w:eastAsia="ja-JP"/>
              </w:rPr>
            </w:pPr>
            <w:r w:rsidRPr="002A17D9">
              <w:rPr>
                <w:rFonts w:ascii="Arial Narrow" w:hAnsi="Arial Narrow"/>
                <w:lang w:eastAsia="ja-JP"/>
              </w:rPr>
              <w:t xml:space="preserve">Quantification of laboratory-based </w:t>
            </w:r>
            <w:r w:rsidR="5246D3CA" w:rsidRPr="00944D62">
              <w:rPr>
                <w:rFonts w:ascii="Arial Narrow" w:hAnsi="Arial Narrow"/>
                <w:color w:val="FF0000"/>
                <w:lang w:eastAsia="ja-JP"/>
              </w:rPr>
              <w:t xml:space="preserve">BNP or </w:t>
            </w:r>
            <w:r w:rsidRPr="002A17D9">
              <w:rPr>
                <w:rFonts w:ascii="Arial Narrow" w:hAnsi="Arial Narrow"/>
                <w:lang w:eastAsia="ja-JP"/>
              </w:rPr>
              <w:t xml:space="preserve">NT </w:t>
            </w:r>
            <w:proofErr w:type="spellStart"/>
            <w:r w:rsidRPr="002A17D9">
              <w:rPr>
                <w:rFonts w:ascii="Arial Narrow" w:hAnsi="Arial Narrow"/>
                <w:lang w:eastAsia="ja-JP"/>
              </w:rPr>
              <w:t>proBNP</w:t>
            </w:r>
            <w:proofErr w:type="spellEnd"/>
            <w:r w:rsidRPr="00781C1B">
              <w:rPr>
                <w:rFonts w:ascii="Arial Narrow" w:hAnsi="Arial Narrow"/>
                <w:color w:val="FF0000"/>
                <w:lang w:eastAsia="ja-JP"/>
              </w:rPr>
              <w:t xml:space="preserve"> </w:t>
            </w:r>
            <w:r w:rsidRPr="002A17D9">
              <w:rPr>
                <w:rFonts w:ascii="Arial Narrow" w:hAnsi="Arial Narrow"/>
                <w:lang w:eastAsia="ja-JP"/>
              </w:rPr>
              <w:t xml:space="preserve">testing in </w:t>
            </w:r>
            <w:r w:rsidR="3F029E30" w:rsidRPr="3F8268FA">
              <w:rPr>
                <w:rFonts w:ascii="Arial Narrow" w:hAnsi="Arial Narrow"/>
                <w:lang w:eastAsia="ja-JP"/>
              </w:rPr>
              <w:t xml:space="preserve">a </w:t>
            </w:r>
            <w:r w:rsidRPr="3F8268FA">
              <w:rPr>
                <w:rFonts w:ascii="Arial Narrow" w:hAnsi="Arial Narrow"/>
                <w:lang w:eastAsia="ja-JP"/>
              </w:rPr>
              <w:t>patient</w:t>
            </w:r>
            <w:r w:rsidRPr="002A17D9">
              <w:rPr>
                <w:rFonts w:ascii="Arial Narrow" w:hAnsi="Arial Narrow"/>
                <w:lang w:eastAsia="ja-JP"/>
              </w:rPr>
              <w:t xml:space="preserve"> with diagnosed pulmonary arterial hypertension for risk assessment. </w:t>
            </w:r>
          </w:p>
          <w:p w14:paraId="378DF94D" w14:textId="77777777" w:rsidR="00F701B3" w:rsidRPr="002A17D9" w:rsidRDefault="00F701B3" w:rsidP="00E9167B">
            <w:pPr>
              <w:spacing w:before="0" w:after="0"/>
              <w:textAlignment w:val="baseline"/>
              <w:rPr>
                <w:rFonts w:ascii="Times New Roman" w:hAnsi="Times New Roman"/>
                <w:sz w:val="24"/>
                <w:szCs w:val="24"/>
                <w:lang w:eastAsia="ja-JP"/>
              </w:rPr>
            </w:pPr>
            <w:r w:rsidRPr="002A17D9">
              <w:rPr>
                <w:rFonts w:ascii="Arial Narrow" w:hAnsi="Arial Narrow"/>
                <w:lang w:eastAsia="ja-JP"/>
              </w:rPr>
              <w:t xml:space="preserve">Maximum of </w:t>
            </w:r>
            <w:r w:rsidRPr="002A17D9">
              <w:rPr>
                <w:rFonts w:ascii="Arial Narrow" w:hAnsi="Arial Narrow"/>
                <w:strike/>
                <w:lang w:eastAsia="ja-JP"/>
              </w:rPr>
              <w:t>4 tests per patient in any one year</w:t>
            </w:r>
            <w:r>
              <w:rPr>
                <w:rFonts w:ascii="Arial Narrow" w:hAnsi="Arial Narrow"/>
                <w:strike/>
                <w:lang w:eastAsia="ja-JP"/>
              </w:rPr>
              <w:t xml:space="preserve"> </w:t>
            </w:r>
            <w:r w:rsidRPr="00781C1B">
              <w:rPr>
                <w:rFonts w:ascii="Arial Narrow" w:hAnsi="Arial Narrow"/>
                <w:color w:val="FF0000"/>
                <w:lang w:eastAsia="ja-JP"/>
              </w:rPr>
              <w:t>four tests in a 12-month period</w:t>
            </w:r>
            <w:r w:rsidRPr="002A17D9">
              <w:rPr>
                <w:rFonts w:ascii="Arial Narrow" w:hAnsi="Arial Narrow"/>
                <w:lang w:eastAsia="ja-JP"/>
              </w:rPr>
              <w:t>. </w:t>
            </w:r>
          </w:p>
          <w:p w14:paraId="5CA1D810" w14:textId="77777777" w:rsidR="00F701B3" w:rsidRPr="002A17D9" w:rsidRDefault="00F701B3" w:rsidP="00E9167B">
            <w:pPr>
              <w:spacing w:before="0" w:after="0"/>
              <w:textAlignment w:val="baseline"/>
              <w:rPr>
                <w:rFonts w:ascii="Times New Roman" w:hAnsi="Times New Roman"/>
                <w:sz w:val="24"/>
                <w:szCs w:val="24"/>
                <w:lang w:eastAsia="ja-JP"/>
              </w:rPr>
            </w:pPr>
            <w:r w:rsidRPr="002A17D9">
              <w:rPr>
                <w:rFonts w:ascii="Arial Narrow" w:hAnsi="Arial Narrow"/>
                <w:lang w:eastAsia="ja-JP"/>
              </w:rPr>
              <w:t>Fee: $58.50 Benefit: 75% = $43.90 85% = $49.75 </w:t>
            </w:r>
          </w:p>
        </w:tc>
      </w:tr>
    </w:tbl>
    <w:p w14:paraId="12693548" w14:textId="77777777" w:rsidR="00F701B3" w:rsidRPr="00033176" w:rsidRDefault="00F701B3" w:rsidP="00F701B3">
      <w:pPr>
        <w:spacing w:before="0" w:after="0" w:line="240" w:lineRule="auto"/>
        <w:textAlignment w:val="baseline"/>
        <w:rPr>
          <w:rFonts w:ascii="Arial Narrow" w:eastAsia="Times New Roman" w:hAnsi="Arial Narrow" w:cs="Times New Roman"/>
          <w:b/>
          <w:bCs/>
          <w:sz w:val="20"/>
          <w:szCs w:val="20"/>
          <w:lang w:eastAsia="ja-JP"/>
        </w:rPr>
      </w:pPr>
      <w:r w:rsidRPr="00033176">
        <w:rPr>
          <w:rFonts w:ascii="Arial Narrow" w:eastAsia="Times New Roman" w:hAnsi="Arial Narrow" w:cs="Times New Roman"/>
          <w:b/>
          <w:bCs/>
          <w:sz w:val="20"/>
          <w:szCs w:val="20"/>
          <w:lang w:eastAsia="ja-JP"/>
        </w:rPr>
        <w:t xml:space="preserve">Explanatory note </w:t>
      </w:r>
      <w:r w:rsidRPr="00033176">
        <w:rPr>
          <w:rFonts w:ascii="Arial" w:eastAsia="Times New Roman" w:hAnsi="Arial" w:cs="Arial"/>
          <w:b/>
          <w:bCs/>
          <w:sz w:val="20"/>
          <w:szCs w:val="20"/>
          <w:lang w:eastAsia="ja-JP"/>
        </w:rPr>
        <w:t>​</w:t>
      </w:r>
    </w:p>
    <w:p w14:paraId="692DD5A2" w14:textId="77777777" w:rsidR="00F701B3" w:rsidRPr="00033176" w:rsidRDefault="00F701B3" w:rsidP="00F701B3">
      <w:pPr>
        <w:spacing w:before="0" w:after="0" w:line="240" w:lineRule="auto"/>
        <w:textAlignment w:val="baseline"/>
        <w:rPr>
          <w:rFonts w:ascii="Arial Narrow" w:eastAsia="Times New Roman" w:hAnsi="Arial Narrow" w:cs="Times New Roman"/>
          <w:sz w:val="20"/>
          <w:szCs w:val="20"/>
          <w:lang w:eastAsia="ja-JP"/>
        </w:rPr>
      </w:pPr>
      <w:r w:rsidRPr="00033176">
        <w:rPr>
          <w:rFonts w:ascii="Arial Narrow" w:eastAsia="Times New Roman" w:hAnsi="Arial Narrow" w:cs="Times New Roman"/>
          <w:sz w:val="20"/>
          <w:szCs w:val="20"/>
          <w:lang w:eastAsia="ja-JP"/>
        </w:rPr>
        <w:t>NT-</w:t>
      </w:r>
      <w:proofErr w:type="spellStart"/>
      <w:r w:rsidRPr="00033176">
        <w:rPr>
          <w:rFonts w:ascii="Arial Narrow" w:eastAsia="Times New Roman" w:hAnsi="Arial Narrow" w:cs="Times New Roman"/>
          <w:sz w:val="20"/>
          <w:szCs w:val="20"/>
          <w:lang w:eastAsia="ja-JP"/>
        </w:rPr>
        <w:t>proBNP</w:t>
      </w:r>
      <w:proofErr w:type="spellEnd"/>
      <w:r w:rsidRPr="00033176">
        <w:rPr>
          <w:rFonts w:ascii="Arial Narrow" w:eastAsia="Times New Roman" w:hAnsi="Arial Narrow" w:cs="Times New Roman"/>
          <w:sz w:val="20"/>
          <w:szCs w:val="20"/>
          <w:lang w:eastAsia="ja-JP"/>
        </w:rPr>
        <w:t xml:space="preserve"> (and BNP) testing in patients with pulmonary arterial hypertension - MBS item XXXX</w:t>
      </w:r>
      <w:r w:rsidRPr="00033176">
        <w:rPr>
          <w:rFonts w:ascii="Arial" w:eastAsia="Times New Roman" w:hAnsi="Arial" w:cs="Arial"/>
          <w:sz w:val="20"/>
          <w:szCs w:val="20"/>
          <w:lang w:eastAsia="ja-JP"/>
        </w:rPr>
        <w:t>​</w:t>
      </w:r>
    </w:p>
    <w:p w14:paraId="1E6996D3" w14:textId="77777777" w:rsidR="00F701B3" w:rsidRPr="00033176" w:rsidRDefault="00F701B3" w:rsidP="00653F2B">
      <w:pPr>
        <w:spacing w:before="0" w:after="240" w:line="240" w:lineRule="auto"/>
        <w:textAlignment w:val="baseline"/>
        <w:rPr>
          <w:rFonts w:ascii="Arial Narrow" w:eastAsia="Times New Roman" w:hAnsi="Arial Narrow" w:cs="Times New Roman"/>
          <w:sz w:val="20"/>
          <w:szCs w:val="20"/>
          <w:lang w:eastAsia="ja-JP"/>
        </w:rPr>
      </w:pPr>
      <w:r w:rsidRPr="00033176">
        <w:rPr>
          <w:rFonts w:ascii="Arial Narrow" w:eastAsia="Times New Roman" w:hAnsi="Arial Narrow" w:cs="Times New Roman"/>
          <w:sz w:val="20"/>
          <w:szCs w:val="20"/>
          <w:lang w:eastAsia="ja-JP"/>
        </w:rPr>
        <w:t>A medical practitioner (other than a specialist or consultant physician) requesting the service should only do so in consultation with a specialist or consultant physician who manages the treatment of the patient.</w:t>
      </w:r>
      <w:r w:rsidRPr="00033176">
        <w:rPr>
          <w:rFonts w:ascii="Arial" w:eastAsia="Times New Roman" w:hAnsi="Arial" w:cs="Arial"/>
          <w:sz w:val="20"/>
          <w:szCs w:val="20"/>
          <w:lang w:eastAsia="ja-JP"/>
        </w:rPr>
        <w:t>​</w:t>
      </w:r>
    </w:p>
    <w:tbl>
      <w:tblPr>
        <w:tblStyle w:val="TableGrid"/>
        <w:tblW w:w="0" w:type="auto"/>
        <w:tblLook w:val="04A0" w:firstRow="1" w:lastRow="0" w:firstColumn="1" w:lastColumn="0" w:noHBand="0" w:noVBand="1"/>
        <w:tblDescription w:val="Consumer summary of MSAC consideration"/>
      </w:tblPr>
      <w:tblGrid>
        <w:gridCol w:w="9016"/>
      </w:tblGrid>
      <w:tr w:rsidR="00840EF5" w:rsidRPr="00AF46D8" w14:paraId="4370CA8D" w14:textId="77777777" w:rsidTr="00ED5960">
        <w:trPr>
          <w:tblHeader/>
        </w:trPr>
        <w:tc>
          <w:tcPr>
            <w:tcW w:w="9016" w:type="dxa"/>
          </w:tcPr>
          <w:p w14:paraId="22376D82" w14:textId="77777777" w:rsidR="00840EF5" w:rsidRPr="00AF46D8" w:rsidRDefault="00840EF5" w:rsidP="00ED5960">
            <w:pPr>
              <w:pStyle w:val="Heading3"/>
              <w:spacing w:before="120"/>
              <w:ind w:left="720" w:hanging="720"/>
              <w:rPr>
                <w:iCs/>
              </w:rPr>
            </w:pPr>
            <w:r w:rsidRPr="00AF46D8">
              <w:t>Consumer summary</w:t>
            </w:r>
          </w:p>
        </w:tc>
      </w:tr>
      <w:tr w:rsidR="00840EF5" w:rsidRPr="00AF46D8" w14:paraId="3C20BCD3" w14:textId="77777777" w:rsidTr="00ED5960">
        <w:tc>
          <w:tcPr>
            <w:tcW w:w="9016" w:type="dxa"/>
          </w:tcPr>
          <w:p w14:paraId="71216C1D" w14:textId="2C8ACA92" w:rsidR="00A95F8F" w:rsidRDefault="00A95F8F" w:rsidP="00A95F8F">
            <w:r>
              <w:t>This is an application from Janssen-</w:t>
            </w:r>
            <w:proofErr w:type="spellStart"/>
            <w:r>
              <w:t>Cilag</w:t>
            </w:r>
            <w:proofErr w:type="spellEnd"/>
            <w:r>
              <w:t xml:space="preserve"> Australia Pty Ltd requesting Medicare Benefits Schedule (MBS) listing of a </w:t>
            </w:r>
            <w:r w:rsidR="007C3290">
              <w:t xml:space="preserve">blood </w:t>
            </w:r>
            <w:r>
              <w:t>test to measure N-terminal pro B-type natriuretic peptide (NT-</w:t>
            </w:r>
            <w:proofErr w:type="spellStart"/>
            <w:r>
              <w:t>proBNP</w:t>
            </w:r>
            <w:proofErr w:type="spellEnd"/>
            <w:r>
              <w:t>)</w:t>
            </w:r>
            <w:r w:rsidR="007C3290">
              <w:t xml:space="preserve"> levels</w:t>
            </w:r>
            <w:r>
              <w:t xml:space="preserve"> to assess the risk to patients who have been diagnosed with pulmonary arterial hypertension (PAH).</w:t>
            </w:r>
          </w:p>
          <w:p w14:paraId="2A3D8155" w14:textId="1E1289E1" w:rsidR="00A95F8F" w:rsidRDefault="00A95F8F" w:rsidP="00A95F8F">
            <w:r>
              <w:t>PAH is a condition where there is high pressure in the blood vessels</w:t>
            </w:r>
            <w:r w:rsidR="004D1AA9">
              <w:t xml:space="preserve"> that carry blood</w:t>
            </w:r>
            <w:r>
              <w:t xml:space="preserve"> </w:t>
            </w:r>
            <w:r w:rsidR="0095788A">
              <w:t xml:space="preserve">from </w:t>
            </w:r>
            <w:r>
              <w:t xml:space="preserve">the heart </w:t>
            </w:r>
            <w:r w:rsidR="0095788A">
              <w:t xml:space="preserve">to the </w:t>
            </w:r>
            <w:r>
              <w:t>lungs. Patients with PAH can have shortness of breath, chest pain and fainting. It gets worse over time if not treated and can lead to heart failure. There is no cure for PAH, but it can be managed with a range of medications. Early diagnosis and treatment are important to slow down disease progression.</w:t>
            </w:r>
          </w:p>
          <w:p w14:paraId="149769D5" w14:textId="046141EF" w:rsidR="00A95F8F" w:rsidRDefault="00A95F8F" w:rsidP="00A95F8F">
            <w:r>
              <w:t>NT-</w:t>
            </w:r>
            <w:proofErr w:type="spellStart"/>
            <w:r>
              <w:t>proBNP</w:t>
            </w:r>
            <w:proofErr w:type="spellEnd"/>
            <w:r>
              <w:t xml:space="preserve"> is a hormone that is released by the heart as pressure </w:t>
            </w:r>
            <w:r w:rsidR="00D27CF4">
              <w:t xml:space="preserve">in the heart </w:t>
            </w:r>
            <w:r>
              <w:t>increases. Higher levels of NT-</w:t>
            </w:r>
            <w:proofErr w:type="spellStart"/>
            <w:r>
              <w:t>proBNP</w:t>
            </w:r>
            <w:proofErr w:type="spellEnd"/>
            <w:r>
              <w:t xml:space="preserve"> in the bloodstream may indicate problems with the heart, such as PAH. NT-</w:t>
            </w:r>
            <w:proofErr w:type="spellStart"/>
            <w:r>
              <w:t>proBNP</w:t>
            </w:r>
            <w:proofErr w:type="spellEnd"/>
            <w:r>
              <w:t xml:space="preserve"> can be measured with a blood test.</w:t>
            </w:r>
            <w:r w:rsidR="001245DC">
              <w:t xml:space="preserve"> The NT-</w:t>
            </w:r>
            <w:proofErr w:type="spellStart"/>
            <w:r w:rsidR="001245DC">
              <w:t>proBNP</w:t>
            </w:r>
            <w:proofErr w:type="spellEnd"/>
            <w:r w:rsidR="001245DC">
              <w:t xml:space="preserve"> results can be combined with </w:t>
            </w:r>
            <w:r w:rsidR="009C4DAF">
              <w:t xml:space="preserve">the results of other </w:t>
            </w:r>
            <w:r w:rsidR="00910E7F">
              <w:t>tests (</w:t>
            </w:r>
            <w:proofErr w:type="spellStart"/>
            <w:r w:rsidR="00910E7F">
              <w:t>eg.</w:t>
            </w:r>
            <w:proofErr w:type="spellEnd"/>
            <w:r w:rsidR="00910E7F">
              <w:t xml:space="preserve"> </w:t>
            </w:r>
            <w:r w:rsidR="00576A14">
              <w:t>6-minute</w:t>
            </w:r>
            <w:r w:rsidR="00910E7F">
              <w:t xml:space="preserve"> walk test and </w:t>
            </w:r>
            <w:r w:rsidR="00BF5B4F" w:rsidRPr="00576A14">
              <w:t>t</w:t>
            </w:r>
            <w:r w:rsidR="00BF5B4F" w:rsidRPr="00576A14">
              <w:rPr>
                <w:rStyle w:val="normaltextrun"/>
                <w:bdr w:val="none" w:sz="0" w:space="0" w:color="auto" w:frame="1"/>
              </w:rPr>
              <w:t>he severity of a patient's symptoms and how these impact on their day-to-day functioning, as rated using the World Health Organisation Functional classification</w:t>
            </w:r>
            <w:r w:rsidR="009C4DAF" w:rsidRPr="00576A14">
              <w:t xml:space="preserve">) </w:t>
            </w:r>
            <w:r w:rsidR="009C4DAF">
              <w:t xml:space="preserve">to work out </w:t>
            </w:r>
            <w:r w:rsidR="00A37656">
              <w:t xml:space="preserve">whether </w:t>
            </w:r>
            <w:r w:rsidR="009C4DAF">
              <w:t>a patient</w:t>
            </w:r>
            <w:r w:rsidR="00247144">
              <w:t xml:space="preserve"> with PAH</w:t>
            </w:r>
            <w:r w:rsidR="00A37656">
              <w:t xml:space="preserve"> has a </w:t>
            </w:r>
            <w:r w:rsidR="005A21FD">
              <w:t xml:space="preserve">low, intermediate or </w:t>
            </w:r>
            <w:r w:rsidR="00A37656">
              <w:t xml:space="preserve">high risk of </w:t>
            </w:r>
            <w:r w:rsidR="003E5F47">
              <w:t>death</w:t>
            </w:r>
            <w:r w:rsidR="0039141C">
              <w:t xml:space="preserve"> within the next year. </w:t>
            </w:r>
            <w:r w:rsidR="00247144">
              <w:t>If a patient’s doctor has this information</w:t>
            </w:r>
            <w:r w:rsidR="00A37656">
              <w:t xml:space="preserve">, </w:t>
            </w:r>
            <w:r w:rsidR="00A701E5">
              <w:t xml:space="preserve">it can help them to </w:t>
            </w:r>
            <w:r w:rsidR="009E1828">
              <w:t>decide which treatment</w:t>
            </w:r>
            <w:r w:rsidR="003129E2">
              <w:t>(</w:t>
            </w:r>
            <w:r w:rsidR="009E1828">
              <w:t>s</w:t>
            </w:r>
            <w:r w:rsidR="003129E2">
              <w:t>)</w:t>
            </w:r>
            <w:r w:rsidR="009E1828">
              <w:t xml:space="preserve"> </w:t>
            </w:r>
            <w:r w:rsidR="00AF63C6">
              <w:t xml:space="preserve">a patient should have to manage their PAH. </w:t>
            </w:r>
          </w:p>
          <w:p w14:paraId="0FC3BC97" w14:textId="1909196F" w:rsidR="00A95F8F" w:rsidRDefault="00A95F8F" w:rsidP="00A95F8F">
            <w:r>
              <w:t xml:space="preserve">People with PAH are usually monitored regularly </w:t>
            </w:r>
            <w:r w:rsidR="00AA1ECE">
              <w:t xml:space="preserve">using </w:t>
            </w:r>
            <w:r>
              <w:t>transthoracic echocardiograms (TTEs)</w:t>
            </w:r>
            <w:r w:rsidR="002F183D">
              <w:t>, along with tests like the 6 minute walk test</w:t>
            </w:r>
            <w:r>
              <w:t xml:space="preserve">. A TTE is an ultrasound test of the heart, and is done by a trained sonographer or cardiologist with specialised ultrasound equipment, and it takes about one hour. </w:t>
            </w:r>
          </w:p>
          <w:p w14:paraId="5CD8E36D" w14:textId="2F9DB6FD" w:rsidR="00A95F8F" w:rsidRDefault="00A95F8F" w:rsidP="00A95F8F">
            <w:r>
              <w:t>If</w:t>
            </w:r>
            <w:r w:rsidR="00754679">
              <w:t xml:space="preserve"> a patient’s NT-</w:t>
            </w:r>
            <w:proofErr w:type="spellStart"/>
            <w:r w:rsidR="00754679">
              <w:t>proBNP</w:t>
            </w:r>
            <w:proofErr w:type="spellEnd"/>
            <w:r w:rsidR="00754679">
              <w:t xml:space="preserve"> level </w:t>
            </w:r>
            <w:r w:rsidR="0022682D">
              <w:t xml:space="preserve">is </w:t>
            </w:r>
            <w:r w:rsidR="005C5CBE">
              <w:t>low</w:t>
            </w:r>
            <w:r w:rsidR="001D6DD4">
              <w:t>, the results of their other tests are</w:t>
            </w:r>
            <w:r w:rsidR="00BF7C99">
              <w:t xml:space="preserve"> within</w:t>
            </w:r>
            <w:r w:rsidR="001D6DD4">
              <w:t xml:space="preserve"> </w:t>
            </w:r>
            <w:r w:rsidR="00BF7C99">
              <w:t xml:space="preserve">the </w:t>
            </w:r>
            <w:r w:rsidR="001D6DD4">
              <w:t>normal</w:t>
            </w:r>
            <w:r w:rsidR="00BF7C99">
              <w:t xml:space="preserve"> range</w:t>
            </w:r>
            <w:r w:rsidR="0057447E">
              <w:t>, they are otherwise stable</w:t>
            </w:r>
            <w:r w:rsidR="005E7191">
              <w:t xml:space="preserve"> and they are found to be at </w:t>
            </w:r>
            <w:r w:rsidR="002F0B88">
              <w:t>low</w:t>
            </w:r>
            <w:r w:rsidR="005E7191">
              <w:t xml:space="preserve"> risk of death within the next year, </w:t>
            </w:r>
            <w:r w:rsidR="0022682D">
              <w:t>they may not need to have a TTE.</w:t>
            </w:r>
            <w:r w:rsidR="0057447E">
              <w:t xml:space="preserve"> </w:t>
            </w:r>
            <w:r w:rsidR="00ED2294">
              <w:t>P</w:t>
            </w:r>
            <w:r w:rsidR="00A303D8">
              <w:t>atient</w:t>
            </w:r>
            <w:r w:rsidR="00ED2294">
              <w:t>s</w:t>
            </w:r>
            <w:r w:rsidR="00A303D8">
              <w:t xml:space="preserve"> found </w:t>
            </w:r>
            <w:r w:rsidR="00AC6D31">
              <w:t>to be at high risk of death within the next year</w:t>
            </w:r>
            <w:r w:rsidR="00601766">
              <w:t xml:space="preserve"> </w:t>
            </w:r>
            <w:r w:rsidR="00E57F1D">
              <w:t>or who</w:t>
            </w:r>
            <w:r w:rsidR="006A736D">
              <w:t xml:space="preserve"> have worsening of their medical condition </w:t>
            </w:r>
            <w:r>
              <w:t xml:space="preserve">could </w:t>
            </w:r>
            <w:r w:rsidR="003B2319">
              <w:t xml:space="preserve">be referred for a </w:t>
            </w:r>
            <w:r>
              <w:t xml:space="preserve">TTE and other tests to further assess </w:t>
            </w:r>
            <w:r w:rsidR="00601766">
              <w:t xml:space="preserve">the patient’s </w:t>
            </w:r>
            <w:r>
              <w:t xml:space="preserve">PAH </w:t>
            </w:r>
            <w:r w:rsidR="00601766">
              <w:t xml:space="preserve">severity </w:t>
            </w:r>
            <w:r>
              <w:t xml:space="preserve">or other problems. </w:t>
            </w:r>
          </w:p>
          <w:p w14:paraId="4DAC597D" w14:textId="06D41110" w:rsidR="00843A5A" w:rsidRDefault="00843A5A" w:rsidP="00A95F8F">
            <w:r>
              <w:t>MSAC noted that the NT-</w:t>
            </w:r>
            <w:proofErr w:type="spellStart"/>
            <w:r>
              <w:t>proBNP</w:t>
            </w:r>
            <w:proofErr w:type="spellEnd"/>
            <w:r>
              <w:t xml:space="preserve"> blood test would be more accessible, particularly for people in rural and remote communities, compared to a TTE, which is only offered in certain healthcare facilities.</w:t>
            </w:r>
          </w:p>
          <w:p w14:paraId="0799C337" w14:textId="40B5CF4E" w:rsidR="00A95F8F" w:rsidRDefault="00A95F8F" w:rsidP="00A95F8F">
            <w:r>
              <w:t>MSAC noted that NT-</w:t>
            </w:r>
            <w:proofErr w:type="spellStart"/>
            <w:r>
              <w:t>proBNP</w:t>
            </w:r>
            <w:proofErr w:type="spellEnd"/>
            <w:r>
              <w:t xml:space="preserve"> testing is safe and at least as effective as TTE. </w:t>
            </w:r>
          </w:p>
          <w:p w14:paraId="30E2B6B3" w14:textId="28BAFDE9" w:rsidR="00A95F8F" w:rsidRDefault="00A95F8F" w:rsidP="00A95F8F">
            <w:r>
              <w:t xml:space="preserve">MSAC noted that </w:t>
            </w:r>
            <w:r w:rsidR="005178B8">
              <w:t>the introduction of NT-</w:t>
            </w:r>
            <w:proofErr w:type="spellStart"/>
            <w:r w:rsidR="005178B8">
              <w:t>proBNP</w:t>
            </w:r>
            <w:proofErr w:type="spellEnd"/>
            <w:r w:rsidR="005178B8">
              <w:t xml:space="preserve"> testing </w:t>
            </w:r>
            <w:r>
              <w:t xml:space="preserve">may </w:t>
            </w:r>
            <w:r w:rsidR="005178B8">
              <w:t>lead to</w:t>
            </w:r>
            <w:r>
              <w:t xml:space="preserve"> cost savings to the </w:t>
            </w:r>
            <w:r w:rsidR="005178B8">
              <w:t>MBS</w:t>
            </w:r>
            <w:r>
              <w:t>, although they are not likely to be significant.</w:t>
            </w:r>
          </w:p>
          <w:p w14:paraId="59175126" w14:textId="2FCE8A86" w:rsidR="00840EF5" w:rsidRDefault="00A95F8F" w:rsidP="00A95F8F">
            <w:r>
              <w:t>MSAC noted that new guidelines in Europe recently recommended NT-</w:t>
            </w:r>
            <w:proofErr w:type="spellStart"/>
            <w:r>
              <w:t>proBNP</w:t>
            </w:r>
            <w:proofErr w:type="spellEnd"/>
            <w:r>
              <w:t xml:space="preserve"> testing as part of clinical practice. </w:t>
            </w:r>
          </w:p>
          <w:p w14:paraId="6E90F50B" w14:textId="77777777" w:rsidR="00840EF5" w:rsidRPr="00AF46D8" w:rsidRDefault="00840EF5" w:rsidP="00653F2B">
            <w:pPr>
              <w:pStyle w:val="Heading3"/>
              <w:spacing w:before="120"/>
              <w:ind w:left="720" w:hanging="720"/>
            </w:pPr>
            <w:r w:rsidRPr="00AF46D8">
              <w:lastRenderedPageBreak/>
              <w:t>MSAC’s advice to the Commonwealth Minister for Health</w:t>
            </w:r>
            <w:r>
              <w:t xml:space="preserve"> and Aged Care</w:t>
            </w:r>
          </w:p>
          <w:p w14:paraId="4A15A9D2" w14:textId="595CB7BE" w:rsidR="00840EF5" w:rsidRPr="00AF46D8" w:rsidRDefault="00804737" w:rsidP="00ED5960">
            <w:pPr>
              <w:spacing w:after="120"/>
            </w:pPr>
            <w:r w:rsidRPr="000369A5">
              <w:t xml:space="preserve">MSAC supported </w:t>
            </w:r>
            <w:r w:rsidR="004A0361">
              <w:t>the</w:t>
            </w:r>
            <w:r w:rsidRPr="000369A5">
              <w:t xml:space="preserve"> decision</w:t>
            </w:r>
            <w:r w:rsidRPr="00DB3D54">
              <w:t xml:space="preserve"> to list NT-</w:t>
            </w:r>
            <w:proofErr w:type="spellStart"/>
            <w:r w:rsidRPr="00DB3D54">
              <w:t>proBNP</w:t>
            </w:r>
            <w:proofErr w:type="spellEnd"/>
            <w:r w:rsidRPr="00DB3D54">
              <w:t xml:space="preserve"> </w:t>
            </w:r>
            <w:r w:rsidR="005178B8">
              <w:t xml:space="preserve">testing </w:t>
            </w:r>
            <w:r w:rsidRPr="00DB3D54">
              <w:t xml:space="preserve">on the MBS to assess PAH. MSAC considered the test to be safe, effective and </w:t>
            </w:r>
            <w:r>
              <w:t>good value for money, and possibly represented a cost saving</w:t>
            </w:r>
            <w:r w:rsidRPr="00DB3D54">
              <w:t>. MSAC recognised that this test will be easier to access for people living in rural and regional areas</w:t>
            </w:r>
            <w:r>
              <w:t xml:space="preserve"> compared to TTE</w:t>
            </w:r>
            <w:r w:rsidRPr="00DB3D54">
              <w:t>.</w:t>
            </w:r>
          </w:p>
        </w:tc>
      </w:tr>
    </w:tbl>
    <w:p w14:paraId="4EF8B4D5" w14:textId="77777777" w:rsidR="00840EF5" w:rsidRDefault="00840EF5" w:rsidP="00840EF5">
      <w:pPr>
        <w:pStyle w:val="Heading2"/>
        <w:numPr>
          <w:ilvl w:val="1"/>
          <w:numId w:val="0"/>
        </w:numPr>
      </w:pPr>
      <w:r>
        <w:lastRenderedPageBreak/>
        <w:t>3.</w:t>
      </w:r>
      <w:r>
        <w:tab/>
        <w:t>Summary of consideration and rationale for MSAC’s advice</w:t>
      </w:r>
    </w:p>
    <w:p w14:paraId="23834FEE" w14:textId="793E934F" w:rsidR="00BB6794" w:rsidRDefault="00BB6794" w:rsidP="00BB6794">
      <w:pPr>
        <w:rPr>
          <w:lang w:eastAsia="en-AU"/>
        </w:rPr>
      </w:pPr>
      <w:r>
        <w:t>MSAC</w:t>
      </w:r>
      <w:r w:rsidRPr="00FF7F89">
        <w:t xml:space="preserve"> noted that </w:t>
      </w:r>
      <w:r w:rsidR="000023BF">
        <w:t xml:space="preserve">this application from </w:t>
      </w:r>
      <w:r>
        <w:t>Janssen-</w:t>
      </w:r>
      <w:proofErr w:type="spellStart"/>
      <w:r>
        <w:t>Cilag</w:t>
      </w:r>
      <w:proofErr w:type="spellEnd"/>
      <w:r>
        <w:t xml:space="preserve"> Australia Pty Ltd </w:t>
      </w:r>
      <w:r w:rsidR="000023BF">
        <w:t>was for</w:t>
      </w:r>
      <w:r w:rsidRPr="00FF7F89">
        <w:t xml:space="preserve"> MBS-funding of N-terminal pro B-type natriuretic peptide (NT-</w:t>
      </w:r>
      <w:proofErr w:type="spellStart"/>
      <w:r w:rsidRPr="00FF7F89">
        <w:t>proBNP</w:t>
      </w:r>
      <w:proofErr w:type="spellEnd"/>
      <w:r w:rsidRPr="00FF7F89">
        <w:t xml:space="preserve">) bioassay testing for the risk assessment and monitoring of patients with diagnosed pulmonary arterial hypertension (PAH). </w:t>
      </w:r>
      <w:r>
        <w:rPr>
          <w:lang w:eastAsia="en-AU"/>
        </w:rPr>
        <w:t>MSAC</w:t>
      </w:r>
      <w:r w:rsidRPr="00B02A80">
        <w:rPr>
          <w:lang w:eastAsia="en-AU"/>
        </w:rPr>
        <w:t xml:space="preserve"> noted that this application is a</w:t>
      </w:r>
      <w:r w:rsidR="004172F9">
        <w:rPr>
          <w:lang w:eastAsia="en-AU"/>
        </w:rPr>
        <w:t xml:space="preserve">n expedited </w:t>
      </w:r>
      <w:r w:rsidRPr="00B02A80">
        <w:rPr>
          <w:lang w:eastAsia="en-AU"/>
        </w:rPr>
        <w:t>resubmission</w:t>
      </w:r>
      <w:r w:rsidR="004172F9">
        <w:rPr>
          <w:lang w:eastAsia="en-AU"/>
        </w:rPr>
        <w:t xml:space="preserve"> (bypassing PASC)</w:t>
      </w:r>
      <w:r w:rsidRPr="00B02A80">
        <w:rPr>
          <w:lang w:eastAsia="en-AU"/>
        </w:rPr>
        <w:t>. In July 2022, MSAC did not support public funding of NT-</w:t>
      </w:r>
      <w:proofErr w:type="spellStart"/>
      <w:r w:rsidRPr="00B02A80">
        <w:rPr>
          <w:lang w:eastAsia="en-AU"/>
        </w:rPr>
        <w:t>proBNP</w:t>
      </w:r>
      <w:proofErr w:type="spellEnd"/>
      <w:r w:rsidRPr="00B02A80">
        <w:rPr>
          <w:lang w:eastAsia="en-AU"/>
        </w:rPr>
        <w:t xml:space="preserve"> for </w:t>
      </w:r>
      <w:r>
        <w:rPr>
          <w:lang w:eastAsia="en-AU"/>
        </w:rPr>
        <w:t>p</w:t>
      </w:r>
      <w:r w:rsidRPr="00B02A80">
        <w:rPr>
          <w:lang w:eastAsia="en-AU"/>
        </w:rPr>
        <w:t>opulation</w:t>
      </w:r>
      <w:r>
        <w:rPr>
          <w:lang w:eastAsia="en-AU"/>
        </w:rPr>
        <w:t> </w:t>
      </w:r>
      <w:r w:rsidRPr="00B02A80">
        <w:rPr>
          <w:lang w:eastAsia="en-AU"/>
        </w:rPr>
        <w:t xml:space="preserve">2 </w:t>
      </w:r>
      <w:r w:rsidR="00940A89">
        <w:rPr>
          <w:lang w:eastAsia="en-AU"/>
        </w:rPr>
        <w:t>(</w:t>
      </w:r>
      <w:r w:rsidR="00940A89" w:rsidRPr="001A4B85">
        <w:rPr>
          <w:iCs/>
        </w:rPr>
        <w:t>patients who have been diagnosed with PAH</w:t>
      </w:r>
      <w:r w:rsidR="00940A89">
        <w:rPr>
          <w:lang w:eastAsia="en-AU"/>
        </w:rPr>
        <w:t xml:space="preserve">) </w:t>
      </w:r>
      <w:r w:rsidRPr="00B02A80">
        <w:rPr>
          <w:lang w:eastAsia="en-AU"/>
        </w:rPr>
        <w:t>of MSAC Application 1689</w:t>
      </w:r>
      <w:r w:rsidR="00E47FF7">
        <w:rPr>
          <w:lang w:eastAsia="en-AU"/>
        </w:rPr>
        <w:t xml:space="preserve"> (the defined sole target population in this application)</w:t>
      </w:r>
      <w:r w:rsidRPr="00B02A80">
        <w:rPr>
          <w:lang w:eastAsia="en-AU"/>
        </w:rPr>
        <w:t xml:space="preserve"> because of uncertainty in the estimated cost-effectiveness and the total financial implications. </w:t>
      </w:r>
    </w:p>
    <w:p w14:paraId="7F9E125B" w14:textId="63CF9A2A" w:rsidR="00BB6794" w:rsidRDefault="00BB6794" w:rsidP="00BB6794">
      <w:r>
        <w:t>MSAC noted</w:t>
      </w:r>
      <w:r w:rsidR="00F86362">
        <w:t xml:space="preserve"> that in</w:t>
      </w:r>
      <w:r>
        <w:t xml:space="preserve"> the </w:t>
      </w:r>
      <w:r w:rsidR="00F86362">
        <w:t xml:space="preserve">proposed </w:t>
      </w:r>
      <w:r w:rsidRPr="00DF3BBC">
        <w:t>clinical management algorithm</w:t>
      </w:r>
      <w:r w:rsidR="00F86362">
        <w:t xml:space="preserve">, </w:t>
      </w:r>
      <w:r w:rsidRPr="00B02A80">
        <w:t>NT-</w:t>
      </w:r>
      <w:proofErr w:type="spellStart"/>
      <w:r w:rsidRPr="00B02A80">
        <w:t>proBNP</w:t>
      </w:r>
      <w:proofErr w:type="spellEnd"/>
      <w:r w:rsidRPr="00B02A80">
        <w:t xml:space="preserve"> </w:t>
      </w:r>
      <w:r>
        <w:t>would</w:t>
      </w:r>
      <w:r w:rsidRPr="00B02A80">
        <w:t xml:space="preserve"> be used alongside </w:t>
      </w:r>
      <w:r w:rsidR="00AD085E">
        <w:t xml:space="preserve">the 6 minute walk test and </w:t>
      </w:r>
      <w:r w:rsidR="00333221">
        <w:t xml:space="preserve">WHO Functional class </w:t>
      </w:r>
      <w:r w:rsidR="00840C0F">
        <w:t xml:space="preserve">as part of a risk assessment tool for follow-up </w:t>
      </w:r>
      <w:r w:rsidRPr="00B02A80">
        <w:t xml:space="preserve">assessments </w:t>
      </w:r>
      <w:r w:rsidR="00840C0F">
        <w:t>of</w:t>
      </w:r>
      <w:r w:rsidR="00E921C0">
        <w:t xml:space="preserve"> patients with PAH</w:t>
      </w:r>
      <w:r w:rsidR="00273FB5">
        <w:t xml:space="preserve"> to assess</w:t>
      </w:r>
      <w:r w:rsidR="00840C0F">
        <w:t xml:space="preserve"> </w:t>
      </w:r>
      <w:r w:rsidRPr="00B02A80">
        <w:t>risk of death or clinical worsening</w:t>
      </w:r>
      <w:r w:rsidR="00BA4AF6">
        <w:t>.</w:t>
      </w:r>
      <w:r w:rsidRPr="00B02A80">
        <w:t xml:space="preserve"> </w:t>
      </w:r>
    </w:p>
    <w:p w14:paraId="6E333666" w14:textId="18969EA1" w:rsidR="00BB6794" w:rsidRDefault="00BB6794" w:rsidP="00BB6794">
      <w:r>
        <w:t xml:space="preserve">MSAC noted </w:t>
      </w:r>
      <w:r w:rsidRPr="00970C7D">
        <w:t xml:space="preserve">the release of the 2022 European Society of Cardiology and the European Respiratory Society (ESC/ESR) guidelines in August 2022, </w:t>
      </w:r>
      <w:r>
        <w:t xml:space="preserve">which </w:t>
      </w:r>
      <w:r w:rsidRPr="00970C7D">
        <w:t>recommend that</w:t>
      </w:r>
      <w:r w:rsidR="00BC5618">
        <w:t xml:space="preserve"> f</w:t>
      </w:r>
      <w:r w:rsidRPr="00970C7D">
        <w:t>ollow-up assessments would use a four-</w:t>
      </w:r>
      <w:r w:rsidR="00D67C9B">
        <w:t>stratum</w:t>
      </w:r>
      <w:r w:rsidRPr="00970C7D">
        <w:t xml:space="preserve"> model for risk-stratification</w:t>
      </w:r>
      <w:r w:rsidR="00BC5618">
        <w:t xml:space="preserve"> rather than the three-</w:t>
      </w:r>
      <w:r w:rsidR="00D67C9B">
        <w:t>stratum</w:t>
      </w:r>
      <w:r w:rsidR="00BC5618">
        <w:t xml:space="preserve"> model proposed in the previous submission (1689)</w:t>
      </w:r>
      <w:r w:rsidRPr="00970C7D">
        <w:t xml:space="preserve">. This tool includes three non-invasive tests (WHO functional class [FC], 6-minute walking distance [6MWD] and </w:t>
      </w:r>
      <w:r w:rsidR="00E17704">
        <w:t xml:space="preserve">BNP or </w:t>
      </w:r>
      <w:r w:rsidRPr="00970C7D">
        <w:t>NT-</w:t>
      </w:r>
      <w:proofErr w:type="spellStart"/>
      <w:r w:rsidRPr="00970C7D">
        <w:t>proBNP</w:t>
      </w:r>
      <w:proofErr w:type="spellEnd"/>
      <w:r w:rsidRPr="00970C7D">
        <w:t xml:space="preserve"> levels) with additional parameters (such as TTE</w:t>
      </w:r>
      <w:r w:rsidR="000819EE">
        <w:t xml:space="preserve"> and right heart cathe</w:t>
      </w:r>
      <w:r w:rsidR="00F65BD6">
        <w:t>terisation</w:t>
      </w:r>
      <w:r w:rsidRPr="00970C7D">
        <w:t xml:space="preserve">) to be considered as needed. </w:t>
      </w:r>
      <w:r w:rsidR="007E785B">
        <w:t>Using the results of the tool</w:t>
      </w:r>
      <w:r w:rsidR="003A7D77">
        <w:t xml:space="preserve"> </w:t>
      </w:r>
      <w:r w:rsidR="007E785B">
        <w:t>p</w:t>
      </w:r>
      <w:r w:rsidR="00562987">
        <w:t xml:space="preserve">atients are </w:t>
      </w:r>
      <w:r w:rsidR="00B90AE3">
        <w:t xml:space="preserve">stratified </w:t>
      </w:r>
      <w:r w:rsidR="007E785B">
        <w:t xml:space="preserve">into </w:t>
      </w:r>
      <w:r w:rsidR="00B113DE">
        <w:t xml:space="preserve">one of the following </w:t>
      </w:r>
      <w:r w:rsidR="007E785B">
        <w:t xml:space="preserve">four </w:t>
      </w:r>
      <w:r w:rsidR="00D67C9B">
        <w:t>stratum</w:t>
      </w:r>
      <w:r w:rsidR="00B113DE">
        <w:t xml:space="preserve"> according to their risk of mortality within the next year: low, </w:t>
      </w:r>
      <w:r w:rsidR="00B90AE3">
        <w:t>intermediate-low, intermediate-high or high risk</w:t>
      </w:r>
      <w:r w:rsidR="003A7D77">
        <w:t>.</w:t>
      </w:r>
    </w:p>
    <w:p w14:paraId="3DBAE54F" w14:textId="380BF165" w:rsidR="00BB6794" w:rsidRDefault="00BB6794" w:rsidP="00BB6794">
      <w:pPr>
        <w:rPr>
          <w:rFonts w:ascii="Arial" w:hAnsi="Arial" w:cs="Arial"/>
        </w:rPr>
      </w:pPr>
      <w:r>
        <w:t>MSAC noted that</w:t>
      </w:r>
      <w:r w:rsidR="00282EB3">
        <w:t xml:space="preserve"> </w:t>
      </w:r>
      <w:r w:rsidRPr="009A4EAC">
        <w:t>both the intervention and the comparator were considered to be relatively safe</w:t>
      </w:r>
      <w:r w:rsidR="00535B4D">
        <w:t xml:space="preserve"> tests </w:t>
      </w:r>
      <w:r w:rsidRPr="009A4EAC">
        <w:t>whether used as part of a risk classification tool or not</w:t>
      </w:r>
      <w:r w:rsidR="00282EB3">
        <w:t xml:space="preserve">. Therefore </w:t>
      </w:r>
      <w:r w:rsidRPr="009A4EAC">
        <w:t>safety was not discussed further in the resubmitted ADAR</w:t>
      </w:r>
      <w:r w:rsidR="00E7773D">
        <w:t xml:space="preserve"> and </w:t>
      </w:r>
      <w:r w:rsidR="00282EB3">
        <w:t xml:space="preserve">MSAC considered that </w:t>
      </w:r>
      <w:r w:rsidR="00E7773D">
        <w:t>this was appropriate</w:t>
      </w:r>
      <w:r w:rsidRPr="009A4EAC">
        <w:t xml:space="preserve">. </w:t>
      </w:r>
      <w:r w:rsidRPr="009A4EAC">
        <w:rPr>
          <w:rFonts w:ascii="Arial" w:hAnsi="Arial" w:cs="Arial"/>
        </w:rPr>
        <w:t>​</w:t>
      </w:r>
    </w:p>
    <w:p w14:paraId="7B02F0A4" w14:textId="11CD9209" w:rsidR="00BF440F" w:rsidRDefault="00BB6794" w:rsidP="00BB6794">
      <w:r>
        <w:t>In terms of clinical effectiveness</w:t>
      </w:r>
      <w:r w:rsidR="005E4E0C">
        <w:t xml:space="preserve"> in test accuracy</w:t>
      </w:r>
      <w:r>
        <w:t>, MSAC</w:t>
      </w:r>
      <w:r w:rsidR="000B370B">
        <w:t xml:space="preserve"> agreed with the commentary that it was </w:t>
      </w:r>
      <w:r w:rsidR="000B370B" w:rsidRPr="000B370B">
        <w:t>not necessary to re-evaluate the effectiveness of NT-</w:t>
      </w:r>
      <w:proofErr w:type="spellStart"/>
      <w:r w:rsidR="000B370B" w:rsidRPr="000B370B">
        <w:t>proBNP</w:t>
      </w:r>
      <w:proofErr w:type="spellEnd"/>
      <w:r w:rsidR="000B370B" w:rsidRPr="000B370B">
        <w:t xml:space="preserve"> testing compared to TTE</w:t>
      </w:r>
      <w:r w:rsidR="000B370B">
        <w:t xml:space="preserve"> as the non-inferiority of a 3-stratum model </w:t>
      </w:r>
      <w:r w:rsidR="00BD2C69">
        <w:t xml:space="preserve">including </w:t>
      </w:r>
      <w:r w:rsidRPr="00AE1E76">
        <w:t>NT-</w:t>
      </w:r>
      <w:proofErr w:type="spellStart"/>
      <w:r w:rsidRPr="00AE1E76">
        <w:t>proBNP</w:t>
      </w:r>
      <w:proofErr w:type="spellEnd"/>
      <w:r>
        <w:t>,</w:t>
      </w:r>
      <w:r w:rsidRPr="00AE1E76">
        <w:t xml:space="preserve"> to other 3-stratum models </w:t>
      </w:r>
      <w:r>
        <w:t>that</w:t>
      </w:r>
      <w:r w:rsidRPr="00AE1E76">
        <w:t xml:space="preserve"> use TTE instead of NT-</w:t>
      </w:r>
      <w:proofErr w:type="spellStart"/>
      <w:r w:rsidRPr="00AE1E76">
        <w:t>proBNP</w:t>
      </w:r>
      <w:proofErr w:type="spellEnd"/>
      <w:r w:rsidR="00BD2C69">
        <w:t xml:space="preserve"> had already been established in the previous application (1689)</w:t>
      </w:r>
      <w:r w:rsidRPr="00AE1E76">
        <w:t>.</w:t>
      </w:r>
      <w:r>
        <w:t xml:space="preserve"> </w:t>
      </w:r>
      <w:r w:rsidR="0044169B">
        <w:t xml:space="preserve">Hence it was only necessary to evaluate the effectiveness of a </w:t>
      </w:r>
      <w:r w:rsidR="001C67BA">
        <w:t>4-stratum NT-</w:t>
      </w:r>
      <w:proofErr w:type="spellStart"/>
      <w:r w:rsidR="001C67BA">
        <w:t>proBNP</w:t>
      </w:r>
      <w:proofErr w:type="spellEnd"/>
      <w:r w:rsidR="001C67BA">
        <w:t xml:space="preserve"> </w:t>
      </w:r>
      <w:r w:rsidR="00BF440F">
        <w:t>based risk classification model against a 3-stratum NT-</w:t>
      </w:r>
      <w:proofErr w:type="spellStart"/>
      <w:r w:rsidR="00BF440F">
        <w:t>proBNP</w:t>
      </w:r>
      <w:proofErr w:type="spellEnd"/>
      <w:r w:rsidR="00BF440F">
        <w:t xml:space="preserve"> based risk classification model. </w:t>
      </w:r>
      <w:r w:rsidR="00C82DEF">
        <w:t xml:space="preserve">MSAC noted the </w:t>
      </w:r>
      <w:r w:rsidR="00FD0E71">
        <w:t xml:space="preserve">evidence </w:t>
      </w:r>
      <w:r w:rsidR="00FB4FDF">
        <w:t xml:space="preserve">provided by the commentary for the non-inferiority of the </w:t>
      </w:r>
      <w:r w:rsidR="00FD0E71">
        <w:t>4-stratum NT-</w:t>
      </w:r>
      <w:proofErr w:type="spellStart"/>
      <w:r w:rsidR="00FD0E71">
        <w:t>proBNP</w:t>
      </w:r>
      <w:proofErr w:type="spellEnd"/>
      <w:r w:rsidR="00FD0E71">
        <w:t xml:space="preserve"> based risk classification model </w:t>
      </w:r>
      <w:r w:rsidR="00FB4FDF">
        <w:t xml:space="preserve">in </w:t>
      </w:r>
      <w:r w:rsidR="00C82DEF" w:rsidRPr="00C82DEF">
        <w:t>predict</w:t>
      </w:r>
      <w:r w:rsidR="00FB4FDF">
        <w:t>ing</w:t>
      </w:r>
      <w:r w:rsidR="00C82DEF" w:rsidRPr="00C82DEF">
        <w:t xml:space="preserve"> mortality outcomes in </w:t>
      </w:r>
      <w:r w:rsidR="00FB4FDF">
        <w:t xml:space="preserve">PAH </w:t>
      </w:r>
      <w:r w:rsidR="00C82DEF" w:rsidRPr="00C82DEF">
        <w:t>patients irrespective of the presence of comorbidities</w:t>
      </w:r>
      <w:r w:rsidR="00C70E1F">
        <w:t>, compared to the 3-stratum NT-</w:t>
      </w:r>
      <w:proofErr w:type="spellStart"/>
      <w:r w:rsidR="00C70E1F">
        <w:t>proBNP</w:t>
      </w:r>
      <w:proofErr w:type="spellEnd"/>
      <w:r w:rsidR="00C70E1F">
        <w:t xml:space="preserve"> based risk classification model</w:t>
      </w:r>
      <w:r w:rsidR="00FB4FDF">
        <w:t xml:space="preserve">. </w:t>
      </w:r>
    </w:p>
    <w:p w14:paraId="45FBE416" w14:textId="516C9122" w:rsidR="00BB6794" w:rsidRDefault="009A6271" w:rsidP="00BB6794">
      <w:r>
        <w:t>I</w:t>
      </w:r>
      <w:r w:rsidR="00FB4FDF">
        <w:t xml:space="preserve">n terms of other measures of clinical effectiveness, </w:t>
      </w:r>
      <w:r w:rsidR="00B07867">
        <w:t xml:space="preserve">MSAC noted that </w:t>
      </w:r>
      <w:r w:rsidR="00BB6794">
        <w:t xml:space="preserve">neither </w:t>
      </w:r>
      <w:r w:rsidR="00BB6794" w:rsidRPr="00AE1E76">
        <w:t xml:space="preserve">the ADAR </w:t>
      </w:r>
      <w:r w:rsidR="00BB6794">
        <w:t>n</w:t>
      </w:r>
      <w:r w:rsidR="00BB6794" w:rsidRPr="00AE1E76">
        <w:t xml:space="preserve">or the commentary </w:t>
      </w:r>
      <w:r w:rsidR="00BB6794">
        <w:t>identified any</w:t>
      </w:r>
      <w:r w:rsidR="00BB6794" w:rsidRPr="00AE1E76">
        <w:t xml:space="preserve"> </w:t>
      </w:r>
      <w:r w:rsidR="00BB6794">
        <w:t>evidence</w:t>
      </w:r>
      <w:r w:rsidR="00BB6794" w:rsidRPr="00AE1E76">
        <w:t xml:space="preserve"> to suggest any differences </w:t>
      </w:r>
      <w:r w:rsidR="00195F8F">
        <w:t>to</w:t>
      </w:r>
      <w:r w:rsidR="00BB6794" w:rsidRPr="00AE1E76">
        <w:t xml:space="preserve"> changes in management that result from a 4-stratum rather than a 3-stratum NT-</w:t>
      </w:r>
      <w:proofErr w:type="spellStart"/>
      <w:r w:rsidR="00BB6794" w:rsidRPr="00AE1E76">
        <w:t>proBNP</w:t>
      </w:r>
      <w:proofErr w:type="spellEnd"/>
      <w:r w:rsidR="00BB6794" w:rsidRPr="00AE1E76">
        <w:t>-based risk classification model.</w:t>
      </w:r>
    </w:p>
    <w:p w14:paraId="1CC27061" w14:textId="311261BD" w:rsidR="004A1529" w:rsidRDefault="004A1529" w:rsidP="00F265FC">
      <w:r>
        <w:lastRenderedPageBreak/>
        <w:t xml:space="preserve">MSAC </w:t>
      </w:r>
      <w:r w:rsidR="00461FEE">
        <w:t xml:space="preserve">considered the question of whether </w:t>
      </w:r>
      <w:r w:rsidR="00D6468C">
        <w:t>u</w:t>
      </w:r>
      <w:r w:rsidR="00D6468C" w:rsidRPr="00D6468C">
        <w:t>sing NT-</w:t>
      </w:r>
      <w:proofErr w:type="spellStart"/>
      <w:r w:rsidR="00D6468C" w:rsidRPr="00D6468C">
        <w:t>proBNP</w:t>
      </w:r>
      <w:proofErr w:type="spellEnd"/>
      <w:r w:rsidR="00D6468C" w:rsidRPr="00D6468C">
        <w:t xml:space="preserve"> </w:t>
      </w:r>
      <w:r w:rsidR="00D6468C">
        <w:t xml:space="preserve">was </w:t>
      </w:r>
      <w:r w:rsidR="00D6468C" w:rsidRPr="00D6468C">
        <w:t>expected to reduce the number of patients requiring TTE</w:t>
      </w:r>
      <w:r w:rsidR="00EC1C0B">
        <w:t>,</w:t>
      </w:r>
      <w:r w:rsidR="00D6468C" w:rsidRPr="00D6468C">
        <w:t xml:space="preserve"> </w:t>
      </w:r>
      <w:r w:rsidR="00D6468C">
        <w:t xml:space="preserve">noting that </w:t>
      </w:r>
      <w:r w:rsidR="006477F7">
        <w:t xml:space="preserve">the ESC/ESR </w:t>
      </w:r>
      <w:r w:rsidR="00312829">
        <w:t xml:space="preserve">guidelines </w:t>
      </w:r>
      <w:r w:rsidR="00312829" w:rsidRPr="00312829">
        <w:t>recommend TTE</w:t>
      </w:r>
      <w:r w:rsidR="00833717">
        <w:t xml:space="preserve"> </w:t>
      </w:r>
      <w:r w:rsidR="00312829" w:rsidRPr="00312829">
        <w:t xml:space="preserve">3-6 months </w:t>
      </w:r>
      <w:r w:rsidR="00312829" w:rsidRPr="00151C9E">
        <w:rPr>
          <w:bCs/>
        </w:rPr>
        <w:t>after a change in therapy</w:t>
      </w:r>
      <w:r w:rsidR="00097C21" w:rsidRPr="00151C9E">
        <w:rPr>
          <w:bCs/>
        </w:rPr>
        <w:t xml:space="preserve">, every 3-6 months </w:t>
      </w:r>
      <w:r w:rsidR="00312829" w:rsidRPr="00151C9E">
        <w:rPr>
          <w:bCs/>
        </w:rPr>
        <w:t>in case</w:t>
      </w:r>
      <w:r w:rsidR="00B0530E" w:rsidRPr="00151C9E">
        <w:rPr>
          <w:bCs/>
        </w:rPr>
        <w:t>s</w:t>
      </w:r>
      <w:r w:rsidR="00312829" w:rsidRPr="00151C9E">
        <w:rPr>
          <w:bCs/>
        </w:rPr>
        <w:t xml:space="preserve"> of clinical worsening</w:t>
      </w:r>
      <w:r w:rsidR="00EC1C0B" w:rsidRPr="00151C9E">
        <w:rPr>
          <w:bCs/>
        </w:rPr>
        <w:t>,</w:t>
      </w:r>
      <w:r w:rsidR="00312829" w:rsidRPr="00151C9E">
        <w:rPr>
          <w:bCs/>
        </w:rPr>
        <w:t xml:space="preserve"> and may</w:t>
      </w:r>
      <w:r w:rsidR="00312829" w:rsidRPr="00312829">
        <w:t xml:space="preserve"> be considered </w:t>
      </w:r>
      <w:r w:rsidR="00AC6047" w:rsidRPr="00312829">
        <w:t>every 3-6 months</w:t>
      </w:r>
      <w:r w:rsidR="00312829" w:rsidRPr="00312829">
        <w:t xml:space="preserve"> in patients with stable disease </w:t>
      </w:r>
      <w:r w:rsidR="009F623C">
        <w:t xml:space="preserve">(with these intervals to be </w:t>
      </w:r>
      <w:r w:rsidR="009F623C" w:rsidRPr="009F623C">
        <w:t>adjusted according to patient needs, PAH aetiology, risk category, demographics, and comorbidities</w:t>
      </w:r>
      <w:r w:rsidR="009F623C">
        <w:t xml:space="preserve">). MSAC noted that the commentary </w:t>
      </w:r>
      <w:r w:rsidR="007541B2">
        <w:t xml:space="preserve">identified patient groups who may be </w:t>
      </w:r>
      <w:r w:rsidR="00F265FC">
        <w:t xml:space="preserve">considered for an additional TTE and based on this estimated that </w:t>
      </w:r>
      <w:r w:rsidR="00A467F1">
        <w:t xml:space="preserve">73.4% of patients would require an additional TTE under the 4-stratum model compared to </w:t>
      </w:r>
      <w:r w:rsidR="002D5D26">
        <w:t xml:space="preserve">69% under the 3-stratum model. </w:t>
      </w:r>
    </w:p>
    <w:p w14:paraId="67D27BEB" w14:textId="293C52B9" w:rsidR="005E4E0C" w:rsidRDefault="005E4E0C" w:rsidP="00F265FC">
      <w:r>
        <w:t>MSAC noted that</w:t>
      </w:r>
      <w:r w:rsidR="00F3579F">
        <w:t xml:space="preserve"> while</w:t>
      </w:r>
      <w:r>
        <w:t xml:space="preserve"> the guidelines consider the main advantage of the four-stratum over the three-stratum model is </w:t>
      </w:r>
      <w:r w:rsidRPr="0022113F">
        <w:t>better discrimination within the large intermediate-risk group which helps guide therapeutic decision-making</w:t>
      </w:r>
      <w:r w:rsidR="00F3579F">
        <w:t xml:space="preserve">, </w:t>
      </w:r>
      <w:r w:rsidR="00EF3763">
        <w:t xml:space="preserve">evidence from the </w:t>
      </w:r>
      <w:r w:rsidR="00EF3763" w:rsidRPr="00EF3763">
        <w:t xml:space="preserve">COMPERA and FRENCH PAH registries </w:t>
      </w:r>
      <w:r w:rsidR="00EF3763">
        <w:t xml:space="preserve">indicated that </w:t>
      </w:r>
      <w:r w:rsidR="00EF3763" w:rsidRPr="00EF3763">
        <w:t>the extent to which a change in risk profile leads to a change in medication is uncertain</w:t>
      </w:r>
      <w:r w:rsidR="00FF1E9B">
        <w:t xml:space="preserve"> and </w:t>
      </w:r>
      <w:r w:rsidR="00FF1E9B" w:rsidRPr="00FF1E9B">
        <w:t>prescribed drugs did not necessarily follow the treatments recommended for each risk category</w:t>
      </w:r>
      <w:r w:rsidR="00945E16">
        <w:t>,</w:t>
      </w:r>
      <w:r w:rsidR="001367BC">
        <w:t xml:space="preserve"> i.e. there was no evidence so fa</w:t>
      </w:r>
      <w:r w:rsidR="00577F9E">
        <w:t>r</w:t>
      </w:r>
      <w:r w:rsidR="001367BC">
        <w:t xml:space="preserve"> that </w:t>
      </w:r>
      <w:r w:rsidR="001367BC" w:rsidRPr="001367BC">
        <w:t>the stratification tool is actually being used for selecting therapy</w:t>
      </w:r>
      <w:r w:rsidR="001367BC">
        <w:t xml:space="preserve">. </w:t>
      </w:r>
    </w:p>
    <w:p w14:paraId="6C207BD4" w14:textId="1309239E" w:rsidR="001360CF" w:rsidRDefault="00BB6794" w:rsidP="00BB6794">
      <w:r>
        <w:t xml:space="preserve">MSAC noted that </w:t>
      </w:r>
      <w:r w:rsidR="00F5574E">
        <w:t xml:space="preserve">undertaking a </w:t>
      </w:r>
      <w:r>
        <w:t xml:space="preserve">cost-minimisation analysis </w:t>
      </w:r>
      <w:r w:rsidR="00B86B61">
        <w:t xml:space="preserve">for the economic evaluation </w:t>
      </w:r>
      <w:r>
        <w:t xml:space="preserve">was </w:t>
      </w:r>
      <w:r w:rsidRPr="00525DA0">
        <w:t>appropriate</w:t>
      </w:r>
      <w:r w:rsidR="00F5574E">
        <w:t xml:space="preserve"> given the clinical claim of non-inferiority</w:t>
      </w:r>
      <w:r>
        <w:t>.</w:t>
      </w:r>
      <w:r w:rsidR="0044725A" w:rsidRPr="0044725A">
        <w:t xml:space="preserve"> </w:t>
      </w:r>
      <w:r w:rsidR="0044725A">
        <w:t>MSAC noted that t</w:t>
      </w:r>
      <w:r w:rsidR="0044725A" w:rsidRPr="0044725A">
        <w:t>he proposed 4-stratum-model with NT-</w:t>
      </w:r>
      <w:proofErr w:type="spellStart"/>
      <w:r w:rsidR="0044725A" w:rsidRPr="0044725A">
        <w:t>proBNP</w:t>
      </w:r>
      <w:proofErr w:type="spellEnd"/>
      <w:r w:rsidR="0044725A" w:rsidRPr="0044725A">
        <w:t xml:space="preserve"> testing </w:t>
      </w:r>
      <w:r w:rsidR="0044725A">
        <w:t xml:space="preserve">resulted in </w:t>
      </w:r>
      <w:r w:rsidR="0044725A" w:rsidRPr="0044725A">
        <w:t>4.0 NT-</w:t>
      </w:r>
      <w:proofErr w:type="spellStart"/>
      <w:r w:rsidR="0044725A" w:rsidRPr="0044725A">
        <w:t>proBNP</w:t>
      </w:r>
      <w:r w:rsidR="0044725A">
        <w:t>s</w:t>
      </w:r>
      <w:proofErr w:type="spellEnd"/>
      <w:r w:rsidR="0044725A">
        <w:t xml:space="preserve"> and </w:t>
      </w:r>
      <w:r w:rsidR="0044725A" w:rsidRPr="0044725A">
        <w:t>2.5 TTE</w:t>
      </w:r>
      <w:r w:rsidR="0044725A">
        <w:t xml:space="preserve">s per </w:t>
      </w:r>
      <w:r w:rsidR="0044725A" w:rsidRPr="0044725A">
        <w:t>patient</w:t>
      </w:r>
      <w:r w:rsidR="0044725A">
        <w:t xml:space="preserve"> per </w:t>
      </w:r>
      <w:r w:rsidR="0044725A" w:rsidRPr="0044725A">
        <w:t>year compared to 4 TTE</w:t>
      </w:r>
      <w:r w:rsidR="0044725A">
        <w:t>s per p</w:t>
      </w:r>
      <w:r w:rsidR="0044725A" w:rsidRPr="0044725A">
        <w:t>atient</w:t>
      </w:r>
      <w:r w:rsidR="0044725A">
        <w:t xml:space="preserve"> per </w:t>
      </w:r>
      <w:r w:rsidR="0044725A" w:rsidRPr="0044725A">
        <w:t>year</w:t>
      </w:r>
      <w:r w:rsidR="00C20AB6">
        <w:t xml:space="preserve"> under</w:t>
      </w:r>
      <w:r w:rsidR="0044725A" w:rsidRPr="0044725A">
        <w:t xml:space="preserve"> the current 3-stratum model with TTE</w:t>
      </w:r>
      <w:r w:rsidR="00C20AB6">
        <w:t xml:space="preserve"> which is a </w:t>
      </w:r>
      <w:r w:rsidR="0044725A" w:rsidRPr="0044725A">
        <w:t>reduction of 0.38 TTEs per NT-</w:t>
      </w:r>
      <w:proofErr w:type="spellStart"/>
      <w:r w:rsidR="0044725A" w:rsidRPr="0044725A">
        <w:t>proBNP</w:t>
      </w:r>
      <w:proofErr w:type="spellEnd"/>
      <w:r w:rsidR="0044725A" w:rsidRPr="0044725A">
        <w:t xml:space="preserve"> test performed.</w:t>
      </w:r>
      <w:r w:rsidR="00D00FC7" w:rsidRPr="00D00FC7">
        <w:t xml:space="preserve"> However, </w:t>
      </w:r>
      <w:r w:rsidR="002968D2">
        <w:t>MSAC noted</w:t>
      </w:r>
      <w:r w:rsidR="001360CF">
        <w:t xml:space="preserve"> the following areas of uncertainty in the cost comparison which generated </w:t>
      </w:r>
      <w:r w:rsidR="00A111B9">
        <w:t>a</w:t>
      </w:r>
      <w:r w:rsidR="001360CF">
        <w:t xml:space="preserve"> </w:t>
      </w:r>
      <w:r w:rsidR="00D00FC7" w:rsidRPr="00D00FC7">
        <w:t>cost saving</w:t>
      </w:r>
      <w:r w:rsidR="002968D2">
        <w:t xml:space="preserve"> </w:t>
      </w:r>
      <w:r w:rsidR="001360CF">
        <w:t>estimated</w:t>
      </w:r>
      <w:r w:rsidR="00AE3C9E">
        <w:t xml:space="preserve"> </w:t>
      </w:r>
      <w:r w:rsidR="009973F2">
        <w:t>to be</w:t>
      </w:r>
      <w:r w:rsidR="00AE3C9E">
        <w:t xml:space="preserve"> $126</w:t>
      </w:r>
      <w:r w:rsidR="00BB020D">
        <w:t>.08 per patient</w:t>
      </w:r>
      <w:r w:rsidR="001360CF">
        <w:t>:</w:t>
      </w:r>
    </w:p>
    <w:p w14:paraId="3F6EE1EE" w14:textId="4151C850" w:rsidR="001360CF" w:rsidRDefault="001360CF" w:rsidP="001360CF">
      <w:pPr>
        <w:pStyle w:val="ListParagraph"/>
        <w:numPr>
          <w:ilvl w:val="0"/>
          <w:numId w:val="36"/>
        </w:numPr>
      </w:pPr>
      <w:r w:rsidRPr="00D00FC7">
        <w:t xml:space="preserve">the </w:t>
      </w:r>
      <w:r w:rsidR="009973F2">
        <w:t xml:space="preserve">current </w:t>
      </w:r>
      <w:r w:rsidRPr="00D00FC7">
        <w:t>frequency of assessment of NT-</w:t>
      </w:r>
      <w:proofErr w:type="spellStart"/>
      <w:r w:rsidRPr="00D00FC7">
        <w:t>proBNP</w:t>
      </w:r>
      <w:proofErr w:type="spellEnd"/>
      <w:r w:rsidRPr="00D00FC7">
        <w:t xml:space="preserve"> and TTE (both assumed to be every 3</w:t>
      </w:r>
      <w:r w:rsidR="00653F2B">
        <w:t> </w:t>
      </w:r>
      <w:r w:rsidRPr="00D00FC7">
        <w:t>months</w:t>
      </w:r>
      <w:r w:rsidR="00343533">
        <w:t xml:space="preserve"> whereas </w:t>
      </w:r>
      <w:r w:rsidR="005301D2">
        <w:t xml:space="preserve">it is unclear whether this is </w:t>
      </w:r>
      <w:r w:rsidR="007325FA">
        <w:t>currently reflective of standard clinical p</w:t>
      </w:r>
      <w:r w:rsidR="000376C7">
        <w:t>ractice</w:t>
      </w:r>
      <w:r w:rsidRPr="00D00FC7">
        <w:t>)</w:t>
      </w:r>
    </w:p>
    <w:p w14:paraId="7EBF62D0" w14:textId="77777777" w:rsidR="00AE3C9E" w:rsidRDefault="00AE3C9E" w:rsidP="001360CF">
      <w:pPr>
        <w:pStyle w:val="ListParagraph"/>
        <w:numPr>
          <w:ilvl w:val="0"/>
          <w:numId w:val="36"/>
        </w:numPr>
      </w:pPr>
      <w:r>
        <w:t>t</w:t>
      </w:r>
      <w:r w:rsidR="001360CF">
        <w:t xml:space="preserve">he </w:t>
      </w:r>
      <w:r w:rsidR="001360CF" w:rsidRPr="00D00FC7">
        <w:t xml:space="preserve">proportion of patients who can </w:t>
      </w:r>
      <w:r w:rsidR="00374332">
        <w:t>replace some of their</w:t>
      </w:r>
      <w:r w:rsidR="001360CF" w:rsidRPr="00D00FC7">
        <w:t xml:space="preserve"> TTE</w:t>
      </w:r>
      <w:r w:rsidR="00374332">
        <w:t xml:space="preserve">s with </w:t>
      </w:r>
      <w:r>
        <w:t>NT-</w:t>
      </w:r>
      <w:proofErr w:type="spellStart"/>
      <w:r>
        <w:t>proBNP</w:t>
      </w:r>
      <w:proofErr w:type="spellEnd"/>
      <w:r>
        <w:t xml:space="preserve"> testing</w:t>
      </w:r>
      <w:r w:rsidR="001360CF" w:rsidRPr="00D00FC7">
        <w:t xml:space="preserve"> (</w:t>
      </w:r>
      <w:r>
        <w:t xml:space="preserve">assumed to be </w:t>
      </w:r>
      <w:r w:rsidR="001360CF" w:rsidRPr="00D00FC7">
        <w:t xml:space="preserve">75%) and </w:t>
      </w:r>
    </w:p>
    <w:p w14:paraId="3F0ED3F5" w14:textId="1355E6C3" w:rsidR="001360CF" w:rsidRDefault="001360CF" w:rsidP="007254DC">
      <w:pPr>
        <w:pStyle w:val="ListParagraph"/>
        <w:numPr>
          <w:ilvl w:val="0"/>
          <w:numId w:val="36"/>
        </w:numPr>
      </w:pPr>
      <w:r w:rsidRPr="00D00FC7">
        <w:t>extent of TTE reduction in these patients (</w:t>
      </w:r>
      <w:r w:rsidR="00AE3C9E">
        <w:t xml:space="preserve">assumed to be </w:t>
      </w:r>
      <w:r w:rsidRPr="00D00FC7">
        <w:t xml:space="preserve">2 per </w:t>
      </w:r>
      <w:r w:rsidR="006C5A91">
        <w:t xml:space="preserve">patient per </w:t>
      </w:r>
      <w:r w:rsidRPr="00D00FC7">
        <w:t>year).</w:t>
      </w:r>
    </w:p>
    <w:p w14:paraId="095E8790" w14:textId="6E3F805F" w:rsidR="00283296" w:rsidRDefault="00311A44" w:rsidP="00BB6794">
      <w:r>
        <w:t>MSAC noted the scenario</w:t>
      </w:r>
      <w:r w:rsidR="00A02B7A">
        <w:t xml:space="preserve"> and sensitivity </w:t>
      </w:r>
      <w:r>
        <w:t xml:space="preserve">analyses undertaken in the commentary around varying the </w:t>
      </w:r>
      <w:r w:rsidR="00F9089A">
        <w:t xml:space="preserve">follow up intervals to </w:t>
      </w:r>
      <w:r w:rsidR="00BB732F">
        <w:t>5-6 months</w:t>
      </w:r>
      <w:r w:rsidR="00A02B7A">
        <w:t xml:space="preserve"> and the rates of clinical worsening above the base case rate of </w:t>
      </w:r>
      <w:r w:rsidR="00C166B2">
        <w:t xml:space="preserve">25% suggested that </w:t>
      </w:r>
      <w:r w:rsidR="006A5A7A">
        <w:t xml:space="preserve">the </w:t>
      </w:r>
      <w:r w:rsidR="00601773" w:rsidRPr="00601773">
        <w:t>cost saving estimates for the scenario and sensitivity analyses presented in the ADAR</w:t>
      </w:r>
      <w:r w:rsidR="0023545C">
        <w:t xml:space="preserve"> </w:t>
      </w:r>
      <w:r w:rsidR="00601773" w:rsidRPr="00601773">
        <w:t>appear to be uncertain, and likely to be overestimated</w:t>
      </w:r>
      <w:r w:rsidR="00B9650D">
        <w:t xml:space="preserve">. </w:t>
      </w:r>
    </w:p>
    <w:p w14:paraId="5B6B9482" w14:textId="4E66B0FC" w:rsidR="00BB6794" w:rsidRDefault="00EC50BF" w:rsidP="00BB6794">
      <w:r>
        <w:t>MSAC noted that t</w:t>
      </w:r>
      <w:r w:rsidRPr="0064351B">
        <w:t>he resubmission estimated a cost saving to the MBS of $232,674 in Year 1 increasing to $351,359 in Year 6</w:t>
      </w:r>
      <w:r w:rsidR="00E32F48">
        <w:t>,</w:t>
      </w:r>
      <w:r w:rsidR="00244A06">
        <w:t xml:space="preserve"> </w:t>
      </w:r>
      <w:r w:rsidR="00EB35A9">
        <w:t>al</w:t>
      </w:r>
      <w:r w:rsidR="00244A06">
        <w:t xml:space="preserve">though again these financial estimates are subject to the </w:t>
      </w:r>
      <w:r w:rsidR="00AE5080">
        <w:t xml:space="preserve">same </w:t>
      </w:r>
      <w:r w:rsidR="00244A06">
        <w:t xml:space="preserve">uncertainties noted previously for the cost comparison analysis. </w:t>
      </w:r>
      <w:r w:rsidR="004C5C27">
        <w:t xml:space="preserve">MSAC noted the sensitivity analyses conducted around the financial estimates by varying </w:t>
      </w:r>
      <w:r w:rsidR="00F10FF3">
        <w:t xml:space="preserve">follow-up intervals, rates of clinical worsening, </w:t>
      </w:r>
      <w:r w:rsidR="00E6327F">
        <w:t xml:space="preserve">number of PAH patients and </w:t>
      </w:r>
      <w:r w:rsidR="00A41C41">
        <w:t xml:space="preserve">uptake rates.  </w:t>
      </w:r>
      <w:r w:rsidR="00D00FC7" w:rsidRPr="00D00FC7">
        <w:t>However, MSAC noted that even if the savings are overestimated, the financial impact is not likely to be significant.</w:t>
      </w:r>
      <w:r w:rsidR="00441AFE">
        <w:t xml:space="preserve"> </w:t>
      </w:r>
    </w:p>
    <w:p w14:paraId="492D1A44" w14:textId="6D777C6B" w:rsidR="00BB6794" w:rsidRDefault="00BB6794" w:rsidP="00786EDF">
      <w:r>
        <w:t xml:space="preserve">MSAC </w:t>
      </w:r>
      <w:r w:rsidR="00EC5465">
        <w:t>acknowledged</w:t>
      </w:r>
      <w:r>
        <w:t xml:space="preserve"> </w:t>
      </w:r>
      <w:r w:rsidRPr="00A315E8">
        <w:t xml:space="preserve">consultation feedback </w:t>
      </w:r>
      <w:r w:rsidR="001A0193">
        <w:rPr>
          <w:rStyle w:val="normaltextrun"/>
          <w:rFonts w:cs="Calibri"/>
        </w:rPr>
        <w:t>was again supportive of MBS funded NT-</w:t>
      </w:r>
      <w:proofErr w:type="spellStart"/>
      <w:r w:rsidR="001A0193">
        <w:rPr>
          <w:rStyle w:val="normaltextrun"/>
          <w:rFonts w:cs="Calibri"/>
        </w:rPr>
        <w:t>proBNP</w:t>
      </w:r>
      <w:proofErr w:type="spellEnd"/>
      <w:r w:rsidR="001A0193">
        <w:rPr>
          <w:rStyle w:val="normaltextrun"/>
          <w:rFonts w:cs="Calibri"/>
        </w:rPr>
        <w:t xml:space="preserve"> test</w:t>
      </w:r>
      <w:r w:rsidR="00FC7199">
        <w:rPr>
          <w:rStyle w:val="normaltextrun"/>
          <w:rFonts w:cs="Calibri"/>
        </w:rPr>
        <w:t>ing</w:t>
      </w:r>
      <w:r w:rsidR="00C56796">
        <w:rPr>
          <w:rStyle w:val="normaltextrun"/>
          <w:rFonts w:cs="Calibri"/>
        </w:rPr>
        <w:t>, noting</w:t>
      </w:r>
      <w:r w:rsidRPr="00A315E8">
        <w:t xml:space="preserve"> that patients face frequent barriers in accessing TTEs and right heart catheterisation in hospitals</w:t>
      </w:r>
      <w:r>
        <w:t>,</w:t>
      </w:r>
      <w:r w:rsidRPr="00A315E8">
        <w:t xml:space="preserve"> including long</w:t>
      </w:r>
      <w:r>
        <w:t>-</w:t>
      </w:r>
      <w:r w:rsidRPr="00A315E8">
        <w:t>distance travel and inability to drive, especially for those living in rural, remote and regional areas.</w:t>
      </w:r>
      <w:r>
        <w:t xml:space="preserve"> </w:t>
      </w:r>
    </w:p>
    <w:p w14:paraId="5C7187B9" w14:textId="080A2784" w:rsidR="005C5A04" w:rsidRDefault="005C5A04" w:rsidP="00E9167B">
      <w:r>
        <w:t xml:space="preserve">MSAC considered that overall, despite the uncertainty of the economic and financial analysis, </w:t>
      </w:r>
      <w:r w:rsidR="00DF76E2" w:rsidRPr="000245A3">
        <w:t>listing</w:t>
      </w:r>
      <w:r w:rsidR="00DF76E2">
        <w:t xml:space="preserve"> of NT-</w:t>
      </w:r>
      <w:proofErr w:type="spellStart"/>
      <w:r w:rsidR="00DF76E2">
        <w:t>proBNP</w:t>
      </w:r>
      <w:proofErr w:type="spellEnd"/>
      <w:r w:rsidR="00DF76E2">
        <w:t xml:space="preserve"> on the MBS</w:t>
      </w:r>
      <w:r w:rsidR="00DF76E2" w:rsidRPr="000245A3">
        <w:t xml:space="preserve"> will still likely result in cost savings to the MBS (or at worst a small incremental cost).</w:t>
      </w:r>
      <w:r w:rsidR="00BD039E">
        <w:t xml:space="preserve"> Additionally, </w:t>
      </w:r>
      <w:r>
        <w:t xml:space="preserve">there was a case for listing the proposed test because it has been recommended as part of international clinical guidelines and because </w:t>
      </w:r>
      <w:r w:rsidRPr="0064351B">
        <w:t>NT-</w:t>
      </w:r>
      <w:proofErr w:type="spellStart"/>
      <w:r w:rsidRPr="0064351B">
        <w:t>proBNP</w:t>
      </w:r>
      <w:proofErr w:type="spellEnd"/>
      <w:r w:rsidRPr="0064351B">
        <w:t xml:space="preserve"> would be a more accessible test</w:t>
      </w:r>
      <w:r>
        <w:t xml:space="preserve"> (particularly for patients in rural and remote areas) than TTE.</w:t>
      </w:r>
    </w:p>
    <w:p w14:paraId="03158262" w14:textId="6326A414" w:rsidR="00E9167B" w:rsidRDefault="00BB6794" w:rsidP="00E9167B">
      <w:r>
        <w:lastRenderedPageBreak/>
        <w:t>MSAC noted that, t</w:t>
      </w:r>
      <w:r w:rsidRPr="0076770C">
        <w:t>o manage the risk of leakage and potential for greater than expected use of NT-</w:t>
      </w:r>
      <w:proofErr w:type="spellStart"/>
      <w:r w:rsidRPr="0076770C">
        <w:t>proBNP</w:t>
      </w:r>
      <w:proofErr w:type="spellEnd"/>
      <w:r w:rsidRPr="0076770C">
        <w:t xml:space="preserve"> testing, it is reasonable to monitor utilisation of the MBS item after listing and assess whether </w:t>
      </w:r>
      <w:r>
        <w:t>TTE</w:t>
      </w:r>
      <w:r w:rsidRPr="0076770C">
        <w:t xml:space="preserve"> utilisation is reduced</w:t>
      </w:r>
      <w:r>
        <w:t>. MSAC recommended that this should be at no sooner than 2 years, to</w:t>
      </w:r>
      <w:r w:rsidRPr="0076770C">
        <w:t xml:space="preserve"> cover the period of initial change in practice habits</w:t>
      </w:r>
      <w:r>
        <w:t>.</w:t>
      </w:r>
      <w:r w:rsidR="00E9167B">
        <w:t xml:space="preserve"> </w:t>
      </w:r>
      <w:r w:rsidR="00E9167B" w:rsidRPr="793AC0E7">
        <w:rPr>
          <w:rFonts w:eastAsia="Franklin Gothic Book" w:cs="Franklin Gothic Book"/>
        </w:rPr>
        <w:t xml:space="preserve">MSAC also supported extending such funding to cover BNP testing for patients with previously diagnosed PAH to ensure consistency with other MBS items. </w:t>
      </w:r>
    </w:p>
    <w:p w14:paraId="02D4667A" w14:textId="77777777" w:rsidR="00BB6794" w:rsidRPr="00BB6794" w:rsidRDefault="00BB6794" w:rsidP="00BB6794">
      <w:pPr>
        <w:pStyle w:val="Heading2"/>
        <w:numPr>
          <w:ilvl w:val="0"/>
          <w:numId w:val="0"/>
        </w:numPr>
        <w:rPr>
          <w:sz w:val="24"/>
          <w:szCs w:val="24"/>
        </w:rPr>
      </w:pPr>
      <w:r w:rsidRPr="00BB6794">
        <w:rPr>
          <w:sz w:val="24"/>
          <w:szCs w:val="24"/>
        </w:rPr>
        <w:t>Other discussion</w:t>
      </w:r>
    </w:p>
    <w:p w14:paraId="363E227A" w14:textId="4DBDAF38" w:rsidR="00840EF5" w:rsidRPr="00F76D74" w:rsidRDefault="00BB6794" w:rsidP="00840EF5">
      <w:r>
        <w:t xml:space="preserve">MSAC </w:t>
      </w:r>
      <w:r w:rsidR="002D69EE">
        <w:t>requested</w:t>
      </w:r>
      <w:r>
        <w:t xml:space="preserve"> that the Department write to the Cardiac Society of Australia and New Zealand to inform them of the background to the MBS listing NT-</w:t>
      </w:r>
      <w:proofErr w:type="spellStart"/>
      <w:r>
        <w:t>proBNP</w:t>
      </w:r>
      <w:proofErr w:type="spellEnd"/>
      <w:r>
        <w:t>, to encourage them to set up a registry to monitor the appropriate use of the item and to implement a quality assurance program</w:t>
      </w:r>
      <w:r w:rsidR="00EE2043">
        <w:t xml:space="preserve"> to monitor compliance with guidelines regarding </w:t>
      </w:r>
      <w:r w:rsidR="00221032">
        <w:t>optimal use of therapeutic agents in PAH</w:t>
      </w:r>
      <w:r>
        <w:t>. A review after 2 years might also look at uptake by postcode to ensure that there is penetration in relevant parts of Australia.</w:t>
      </w:r>
    </w:p>
    <w:p w14:paraId="1779E926" w14:textId="41269B27" w:rsidR="00055E91" w:rsidRPr="001A4B85" w:rsidRDefault="00840EF5" w:rsidP="00361DA0">
      <w:pPr>
        <w:pStyle w:val="ESHeading1"/>
      </w:pPr>
      <w:r>
        <w:t>4.</w:t>
      </w:r>
      <w:r>
        <w:tab/>
      </w:r>
      <w:r w:rsidR="00055E91" w:rsidRPr="001A4B85">
        <w:t>Background</w:t>
      </w:r>
      <w:bookmarkEnd w:id="6"/>
      <w:bookmarkEnd w:id="7"/>
    </w:p>
    <w:p w14:paraId="76CA1CD8" w14:textId="1C818B77" w:rsidR="00C434BD" w:rsidRPr="001A4B85" w:rsidRDefault="00C434BD" w:rsidP="00C434BD">
      <w:pPr>
        <w:spacing w:after="240"/>
        <w:rPr>
          <w:iCs/>
        </w:rPr>
      </w:pPr>
      <w:bookmarkStart w:id="8" w:name="_Toc69491417"/>
      <w:r w:rsidRPr="001A4B85">
        <w:rPr>
          <w:iCs/>
        </w:rPr>
        <w:t>This is a resubmission of MSAC Application 1689 for population 2 (patients who have been diagnosed with PAH)</w:t>
      </w:r>
      <w:r w:rsidR="00831BF2" w:rsidRPr="001A4B85">
        <w:rPr>
          <w:iCs/>
        </w:rPr>
        <w:t>, which was considered by MSAC in July 2022.</w:t>
      </w:r>
    </w:p>
    <w:p w14:paraId="30D01977" w14:textId="2941F90A" w:rsidR="00831BF2" w:rsidRPr="001A4B85" w:rsidRDefault="00831BF2" w:rsidP="00C434BD">
      <w:pPr>
        <w:spacing w:after="240"/>
        <w:rPr>
          <w:iCs/>
        </w:rPr>
      </w:pPr>
      <w:r w:rsidRPr="001A4B85">
        <w:rPr>
          <w:iCs/>
        </w:rPr>
        <w:t>A summary of the key matters of concern in relation to Population 2 that were identified by MSAC and how the current ADAR addresses these concerns is outlined in</w:t>
      </w:r>
      <w:r w:rsidR="0055553E">
        <w:rPr>
          <w:iCs/>
        </w:rPr>
        <w:t xml:space="preserve"> </w:t>
      </w:r>
      <w:r w:rsidR="0055553E">
        <w:rPr>
          <w:iCs/>
        </w:rPr>
        <w:fldChar w:fldCharType="begin"/>
      </w:r>
      <w:r w:rsidR="0055553E">
        <w:rPr>
          <w:iCs/>
        </w:rPr>
        <w:instrText xml:space="preserve"> REF _Ref142484441 \h </w:instrText>
      </w:r>
      <w:r w:rsidR="0055553E">
        <w:rPr>
          <w:iCs/>
        </w:rPr>
      </w:r>
      <w:r w:rsidR="0055553E">
        <w:rPr>
          <w:iCs/>
        </w:rPr>
        <w:fldChar w:fldCharType="separate"/>
      </w:r>
      <w:r w:rsidR="0055553E">
        <w:t xml:space="preserve">Table </w:t>
      </w:r>
      <w:r w:rsidR="0055553E">
        <w:rPr>
          <w:noProof/>
        </w:rPr>
        <w:t>2</w:t>
      </w:r>
      <w:r w:rsidR="0055553E">
        <w:rPr>
          <w:iCs/>
        </w:rPr>
        <w:fldChar w:fldCharType="end"/>
      </w:r>
      <w:r w:rsidRPr="001A4B85">
        <w:rPr>
          <w:iCs/>
        </w:rPr>
        <w:t>.</w:t>
      </w:r>
    </w:p>
    <w:p w14:paraId="12C337C0" w14:textId="0FF2ED97" w:rsidR="00831BF2" w:rsidRPr="001A4B85" w:rsidRDefault="00273721" w:rsidP="00273721">
      <w:pPr>
        <w:pStyle w:val="TableHeading0"/>
      </w:pPr>
      <w:bookmarkStart w:id="9" w:name="_Ref142484441"/>
      <w:bookmarkStart w:id="10" w:name="_Toc126748012"/>
      <w:r>
        <w:lastRenderedPageBreak/>
        <w:t xml:space="preserve">Table </w:t>
      </w:r>
      <w:r w:rsidR="00DD62DD">
        <w:fldChar w:fldCharType="begin"/>
      </w:r>
      <w:r w:rsidR="00DD62DD">
        <w:instrText xml:space="preserve"> SEQ Table \* ARABIC </w:instrText>
      </w:r>
      <w:r w:rsidR="00DD62DD">
        <w:fldChar w:fldCharType="separate"/>
      </w:r>
      <w:r w:rsidR="00AA0686">
        <w:rPr>
          <w:noProof/>
        </w:rPr>
        <w:t>2</w:t>
      </w:r>
      <w:r w:rsidR="00DD62DD">
        <w:rPr>
          <w:noProof/>
        </w:rPr>
        <w:fldChar w:fldCharType="end"/>
      </w:r>
      <w:bookmarkEnd w:id="9"/>
      <w:r w:rsidR="00831BF2" w:rsidRPr="001A4B85">
        <w:tab/>
        <w:t>Summary of key matters of concern</w:t>
      </w:r>
      <w:bookmarkEnd w:id="10"/>
      <w:r w:rsidR="00831BF2" w:rsidRPr="001A4B85">
        <w:t xml:space="preserve"> to MSAC</w:t>
      </w:r>
    </w:p>
    <w:tbl>
      <w:tblPr>
        <w:tblStyle w:val="TableGrid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685"/>
        <w:gridCol w:w="3969"/>
      </w:tblGrid>
      <w:tr w:rsidR="00831BF2" w:rsidRPr="001A4B85" w14:paraId="57856429" w14:textId="77777777" w:rsidTr="00831BF2">
        <w:trPr>
          <w:cnfStyle w:val="100000000000" w:firstRow="1" w:lastRow="0" w:firstColumn="0" w:lastColumn="0" w:oddVBand="0" w:evenVBand="0" w:oddHBand="0" w:evenHBand="0" w:firstRowFirstColumn="0" w:firstRowLastColumn="0" w:lastRowFirstColumn="0" w:lastRowLastColumn="0"/>
          <w:cantSplit/>
          <w:trHeight w:val="292"/>
          <w:tblHeader/>
        </w:trPr>
        <w:tc>
          <w:tcPr>
            <w:tcW w:w="1560" w:type="dxa"/>
            <w:tcBorders>
              <w:top w:val="single" w:sz="4" w:space="0" w:color="auto"/>
              <w:left w:val="single" w:sz="4" w:space="0" w:color="auto"/>
              <w:bottom w:val="single" w:sz="4" w:space="0" w:color="auto"/>
              <w:right w:val="single" w:sz="4" w:space="0" w:color="auto"/>
            </w:tcBorders>
          </w:tcPr>
          <w:p w14:paraId="663E6F94" w14:textId="77777777" w:rsidR="00831BF2" w:rsidRPr="001A4B85" w:rsidRDefault="00831BF2" w:rsidP="00BB4168">
            <w:pPr>
              <w:pStyle w:val="TableText"/>
              <w:rPr>
                <w:b/>
                <w:bCs/>
              </w:rPr>
            </w:pPr>
            <w:r w:rsidRPr="001A4B85">
              <w:rPr>
                <w:b/>
                <w:bCs/>
              </w:rPr>
              <w:t>Component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44B6EC4" w14:textId="77777777" w:rsidR="00831BF2" w:rsidRPr="001A4B85" w:rsidRDefault="00831BF2" w:rsidP="00BB4168">
            <w:pPr>
              <w:pStyle w:val="TableText"/>
              <w:rPr>
                <w:b/>
                <w:bCs/>
              </w:rPr>
            </w:pPr>
            <w:r w:rsidRPr="001A4B85">
              <w:rPr>
                <w:b/>
                <w:bCs/>
              </w:rPr>
              <w:t>Matter of concern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CE4FB31" w14:textId="4D93E1C5" w:rsidR="00831BF2" w:rsidRPr="001A4B85" w:rsidRDefault="00831BF2" w:rsidP="00BB4168">
            <w:pPr>
              <w:pStyle w:val="TableText"/>
              <w:rPr>
                <w:b/>
                <w:bCs/>
              </w:rPr>
            </w:pPr>
            <w:r w:rsidRPr="001A4B85">
              <w:rPr>
                <w:b/>
                <w:bCs/>
              </w:rPr>
              <w:t xml:space="preserve">How the current </w:t>
            </w:r>
            <w:r w:rsidR="000A515E" w:rsidRPr="001A4B85">
              <w:rPr>
                <w:b/>
                <w:bCs/>
              </w:rPr>
              <w:t>ADAR</w:t>
            </w:r>
            <w:r w:rsidRPr="001A4B85">
              <w:rPr>
                <w:b/>
                <w:bCs/>
              </w:rPr>
              <w:t xml:space="preserve"> addresse</w:t>
            </w:r>
            <w:r w:rsidR="000A515E" w:rsidRPr="001A4B85">
              <w:rPr>
                <w:b/>
                <w:bCs/>
              </w:rPr>
              <w:t>d the concern</w:t>
            </w:r>
          </w:p>
        </w:tc>
      </w:tr>
      <w:tr w:rsidR="00831BF2" w:rsidRPr="001A4B85" w14:paraId="03155DBA" w14:textId="77777777" w:rsidTr="00831BF2">
        <w:trPr>
          <w:trHeight w:val="7910"/>
        </w:trPr>
        <w:tc>
          <w:tcPr>
            <w:tcW w:w="1560" w:type="dxa"/>
            <w:tcBorders>
              <w:top w:val="single" w:sz="4" w:space="0" w:color="auto"/>
              <w:left w:val="single" w:sz="4" w:space="0" w:color="auto"/>
              <w:right w:val="single" w:sz="4" w:space="0" w:color="auto"/>
            </w:tcBorders>
          </w:tcPr>
          <w:p w14:paraId="33605F2C" w14:textId="77777777" w:rsidR="00831BF2" w:rsidRPr="001A4B85" w:rsidRDefault="00831BF2" w:rsidP="00BB4168">
            <w:pPr>
              <w:pStyle w:val="TableText"/>
            </w:pPr>
            <w:r w:rsidRPr="001A4B85">
              <w:t>Clinical evaluation</w:t>
            </w:r>
          </w:p>
        </w:tc>
        <w:tc>
          <w:tcPr>
            <w:tcW w:w="3685" w:type="dxa"/>
            <w:tcBorders>
              <w:top w:val="single" w:sz="4" w:space="0" w:color="auto"/>
              <w:left w:val="single" w:sz="4" w:space="0" w:color="auto"/>
              <w:right w:val="single" w:sz="4" w:space="0" w:color="auto"/>
            </w:tcBorders>
            <w:shd w:val="clear" w:color="auto" w:fill="auto"/>
          </w:tcPr>
          <w:p w14:paraId="33D77A6D" w14:textId="77777777" w:rsidR="000A515E" w:rsidRPr="001A4B85" w:rsidRDefault="00831BF2" w:rsidP="00BB4168">
            <w:pPr>
              <w:pStyle w:val="TableText"/>
              <w:rPr>
                <w:b/>
                <w:bCs/>
              </w:rPr>
            </w:pPr>
            <w:r w:rsidRPr="001A4B85">
              <w:rPr>
                <w:b/>
                <w:bCs/>
              </w:rPr>
              <w:t>MSAC considered the extent to which NT-</w:t>
            </w:r>
            <w:proofErr w:type="spellStart"/>
            <w:r w:rsidRPr="001A4B85">
              <w:rPr>
                <w:b/>
                <w:bCs/>
              </w:rPr>
              <w:t>proBNP</w:t>
            </w:r>
            <w:proofErr w:type="spellEnd"/>
            <w:r w:rsidRPr="001A4B85">
              <w:rPr>
                <w:b/>
                <w:bCs/>
              </w:rPr>
              <w:t xml:space="preserve"> would reduce TTE is unclear. </w:t>
            </w:r>
          </w:p>
          <w:p w14:paraId="1557C0E0" w14:textId="77777777" w:rsidR="000A515E" w:rsidRPr="001A4B85" w:rsidRDefault="00831BF2" w:rsidP="00300ACB">
            <w:pPr>
              <w:pStyle w:val="TableText"/>
              <w:numPr>
                <w:ilvl w:val="0"/>
                <w:numId w:val="12"/>
              </w:numPr>
              <w:ind w:left="316" w:hanging="284"/>
            </w:pPr>
            <w:r w:rsidRPr="001A4B85">
              <w:t xml:space="preserve">MSAC noted that the proportion of patients with stable PAH who would not require TTE was not reported. </w:t>
            </w:r>
          </w:p>
          <w:p w14:paraId="132FF281" w14:textId="6C806962" w:rsidR="00831BF2" w:rsidRPr="001A4B85" w:rsidRDefault="00831BF2" w:rsidP="00300ACB">
            <w:pPr>
              <w:pStyle w:val="TableText"/>
              <w:numPr>
                <w:ilvl w:val="0"/>
                <w:numId w:val="12"/>
              </w:numPr>
              <w:ind w:left="316" w:hanging="284"/>
            </w:pPr>
            <w:r w:rsidRPr="001A4B85">
              <w:t>MSAC noted that patients with worsening symptoms would also undergo TTE; therefore, the value of NT-</w:t>
            </w:r>
            <w:proofErr w:type="spellStart"/>
            <w:r w:rsidRPr="001A4B85">
              <w:t>proBNP</w:t>
            </w:r>
            <w:proofErr w:type="spellEnd"/>
            <w:r w:rsidRPr="001A4B85">
              <w:t xml:space="preserve"> testing for this group of patients was uncertain.</w:t>
            </w:r>
          </w:p>
          <w:p w14:paraId="750D256F" w14:textId="0D2488FA" w:rsidR="00831BF2" w:rsidRPr="001A4B85" w:rsidRDefault="00831BF2" w:rsidP="00300ACB">
            <w:pPr>
              <w:pStyle w:val="TableText"/>
              <w:numPr>
                <w:ilvl w:val="0"/>
                <w:numId w:val="12"/>
              </w:numPr>
              <w:ind w:left="316" w:hanging="284"/>
            </w:pPr>
            <w:r w:rsidRPr="001A4B85">
              <w:t>MSAC also considered the proportion of patients who will have TTE despite “normal” NT-</w:t>
            </w:r>
            <w:proofErr w:type="spellStart"/>
            <w:r w:rsidRPr="001A4B85">
              <w:t>proBNP</w:t>
            </w:r>
            <w:proofErr w:type="spellEnd"/>
            <w:r w:rsidRPr="001A4B85">
              <w:t xml:space="preserve"> (such as patients with ongoing symptoms, or to guide therapy) is uncertain. </w:t>
            </w:r>
          </w:p>
        </w:tc>
        <w:tc>
          <w:tcPr>
            <w:tcW w:w="3969" w:type="dxa"/>
            <w:tcBorders>
              <w:top w:val="single" w:sz="4" w:space="0" w:color="auto"/>
              <w:left w:val="single" w:sz="4" w:space="0" w:color="auto"/>
              <w:right w:val="single" w:sz="4" w:space="0" w:color="auto"/>
            </w:tcBorders>
            <w:shd w:val="clear" w:color="auto" w:fill="auto"/>
          </w:tcPr>
          <w:p w14:paraId="4E7CF0CD" w14:textId="4EB140EA" w:rsidR="000A515E" w:rsidRPr="001A4B85" w:rsidRDefault="00831BF2" w:rsidP="00BB4168">
            <w:pPr>
              <w:pStyle w:val="TableText"/>
            </w:pPr>
            <w:r w:rsidRPr="001A4B85">
              <w:t xml:space="preserve">The current </w:t>
            </w:r>
            <w:r w:rsidR="000A515E" w:rsidRPr="001A4B85">
              <w:t>ADAR</w:t>
            </w:r>
            <w:r w:rsidRPr="001A4B85">
              <w:t xml:space="preserve"> presents an updated clinical management algorithm </w:t>
            </w:r>
            <w:r w:rsidR="005535C9" w:rsidRPr="001A4B85">
              <w:t xml:space="preserve">incorporating a 4-stratum risk calculator </w:t>
            </w:r>
            <w:r w:rsidRPr="001A4B85">
              <w:t xml:space="preserve">based on the </w:t>
            </w:r>
            <w:r w:rsidR="000A515E" w:rsidRPr="001A4B85">
              <w:t xml:space="preserve">2022 ESC/ERS </w:t>
            </w:r>
            <w:r w:rsidRPr="001A4B85">
              <w:t>guidelines</w:t>
            </w:r>
            <w:r w:rsidR="005535C9" w:rsidRPr="001A4B85">
              <w:rPr>
                <w:rStyle w:val="FootnoteReference"/>
              </w:rPr>
              <w:footnoteReference w:id="3"/>
            </w:r>
            <w:r w:rsidR="000A515E" w:rsidRPr="001A4B85">
              <w:t>.</w:t>
            </w:r>
          </w:p>
          <w:p w14:paraId="44BBD2E8" w14:textId="77777777" w:rsidR="000A515E" w:rsidRPr="001A4B85" w:rsidRDefault="000A515E" w:rsidP="000A515E">
            <w:pPr>
              <w:pStyle w:val="TableText"/>
            </w:pPr>
            <w:r w:rsidRPr="001A4B85">
              <w:t>The ADAR reports that TTE would only be used in:</w:t>
            </w:r>
          </w:p>
          <w:p w14:paraId="2EFD2460" w14:textId="50D73D16" w:rsidR="000A515E" w:rsidRPr="001A4B85" w:rsidRDefault="000A515E" w:rsidP="00300ACB">
            <w:pPr>
              <w:pStyle w:val="TableText"/>
              <w:numPr>
                <w:ilvl w:val="0"/>
                <w:numId w:val="16"/>
              </w:numPr>
              <w:ind w:left="317" w:hanging="283"/>
            </w:pPr>
            <w:r w:rsidRPr="001A4B85">
              <w:t>Patients with clinical worsening</w:t>
            </w:r>
          </w:p>
          <w:p w14:paraId="00177E01" w14:textId="634ACDF3" w:rsidR="000A515E" w:rsidRPr="001A4B85" w:rsidRDefault="000A515E" w:rsidP="00300ACB">
            <w:pPr>
              <w:pStyle w:val="TableText"/>
              <w:numPr>
                <w:ilvl w:val="0"/>
                <w:numId w:val="16"/>
              </w:numPr>
              <w:ind w:left="317" w:hanging="283"/>
            </w:pPr>
            <w:r w:rsidRPr="001A4B85">
              <w:t>Patients who have had a change in therapy</w:t>
            </w:r>
          </w:p>
          <w:p w14:paraId="47CBDC36" w14:textId="215D8CBE" w:rsidR="000A515E" w:rsidRPr="008774CF" w:rsidRDefault="000A515E" w:rsidP="000A515E">
            <w:pPr>
              <w:pStyle w:val="TableText"/>
            </w:pPr>
            <w:bookmarkStart w:id="11" w:name="_Hlk128657967"/>
            <w:r w:rsidRPr="008774CF">
              <w:t xml:space="preserve">However, the guidelines clearly state that patients with stable disease may be considered for TTE </w:t>
            </w:r>
            <w:r w:rsidR="005535C9" w:rsidRPr="008774CF">
              <w:t xml:space="preserve">or </w:t>
            </w:r>
            <w:proofErr w:type="spellStart"/>
            <w:r w:rsidR="005535C9" w:rsidRPr="008774CF">
              <w:t>cMRI</w:t>
            </w:r>
            <w:proofErr w:type="spellEnd"/>
            <w:r w:rsidR="005535C9" w:rsidRPr="008774CF">
              <w:t xml:space="preserve"> </w:t>
            </w:r>
            <w:r w:rsidRPr="008774CF">
              <w:t>every 3-6 months</w:t>
            </w:r>
            <w:r w:rsidR="005535C9" w:rsidRPr="008774CF">
              <w:t xml:space="preserve"> (Table 17 in the guidelines).</w:t>
            </w:r>
          </w:p>
          <w:p w14:paraId="6F164A24" w14:textId="34F49C83" w:rsidR="005535C9" w:rsidRPr="008774CF" w:rsidRDefault="005535C9" w:rsidP="00A46ECC">
            <w:pPr>
              <w:pStyle w:val="TableText"/>
            </w:pPr>
            <w:bookmarkStart w:id="12" w:name="_Hlk128657777"/>
            <w:bookmarkEnd w:id="11"/>
            <w:r w:rsidRPr="008774CF">
              <w:t>The reasons for considering right heart imaging in patients with stable disease were not explained. Logically, it would be expected that imaging would mostly occur in</w:t>
            </w:r>
            <w:r w:rsidR="00A46ECC" w:rsidRPr="008774CF">
              <w:t xml:space="preserve"> patients</w:t>
            </w:r>
            <w:r w:rsidRPr="008774CF">
              <w:t xml:space="preserve"> in the higher risk categories (intermediate-high or high)</w:t>
            </w:r>
            <w:r w:rsidR="00BA2AA9" w:rsidRPr="008774CF">
              <w:t xml:space="preserve">, </w:t>
            </w:r>
            <w:r w:rsidR="00A46ECC" w:rsidRPr="008774CF">
              <w:t>those with co-morbidities (such as hypertension, diabetes, obesity and coronary heart disease), or in those with connective tissue disease-associated PAH and interstitial lung disease (who have a greater risk of mortality compared to patients with idiopathic PAH)</w:t>
            </w:r>
          </w:p>
          <w:bookmarkEnd w:id="12"/>
          <w:p w14:paraId="57066F19" w14:textId="77777777" w:rsidR="00831BF2" w:rsidRPr="001A4B85" w:rsidRDefault="00831BF2" w:rsidP="00BB4168">
            <w:pPr>
              <w:pStyle w:val="TableText"/>
            </w:pPr>
          </w:p>
          <w:p w14:paraId="2CE0F178" w14:textId="77777777" w:rsidR="00831BF2" w:rsidRPr="001A4B85" w:rsidRDefault="00831BF2" w:rsidP="00BB4168">
            <w:pPr>
              <w:pStyle w:val="TableText"/>
            </w:pPr>
            <w:r w:rsidRPr="001A4B85">
              <w:t xml:space="preserve">Janssen commissioned an analysis of the PHSANZ registry data to estimate the proportion of patients with: </w:t>
            </w:r>
          </w:p>
          <w:p w14:paraId="4C9C44D6" w14:textId="77777777" w:rsidR="00831BF2" w:rsidRPr="001A4B85" w:rsidRDefault="00831BF2" w:rsidP="00300ACB">
            <w:pPr>
              <w:pStyle w:val="TableText"/>
              <w:numPr>
                <w:ilvl w:val="0"/>
                <w:numId w:val="15"/>
              </w:numPr>
              <w:ind w:left="250" w:hanging="250"/>
            </w:pPr>
            <w:r w:rsidRPr="001A4B85">
              <w:t xml:space="preserve">stable or improved PAH who would not require subsequent TTE and/or RHC, and </w:t>
            </w:r>
          </w:p>
          <w:p w14:paraId="2209A115" w14:textId="77777777" w:rsidR="00831BF2" w:rsidRPr="001A4B85" w:rsidRDefault="00831BF2" w:rsidP="00300ACB">
            <w:pPr>
              <w:pStyle w:val="TableText"/>
              <w:numPr>
                <w:ilvl w:val="0"/>
                <w:numId w:val="15"/>
              </w:numPr>
              <w:ind w:left="250" w:hanging="250"/>
            </w:pPr>
            <w:r w:rsidRPr="001A4B85">
              <w:t>deterioration of symptoms who would undergo NT-</w:t>
            </w:r>
            <w:proofErr w:type="spellStart"/>
            <w:r w:rsidRPr="001A4B85">
              <w:t>proBNP</w:t>
            </w:r>
            <w:proofErr w:type="spellEnd"/>
            <w:r w:rsidRPr="001A4B85">
              <w:t xml:space="preserve"> in addition to TTE and/or RHC.</w:t>
            </w:r>
          </w:p>
          <w:p w14:paraId="4ACF0591" w14:textId="1E4B44EA" w:rsidR="00831BF2" w:rsidRPr="008774CF" w:rsidRDefault="00831BF2" w:rsidP="00BB4168">
            <w:pPr>
              <w:pStyle w:val="TableText"/>
            </w:pPr>
            <w:r w:rsidRPr="008774CF">
              <w:t xml:space="preserve">The results of this analysis </w:t>
            </w:r>
            <w:r w:rsidR="00A46ECC" w:rsidRPr="008774CF">
              <w:t>we</w:t>
            </w:r>
            <w:r w:rsidRPr="008774CF">
              <w:t xml:space="preserve">re included in the </w:t>
            </w:r>
            <w:r w:rsidR="00A46ECC" w:rsidRPr="008774CF">
              <w:t>ADAR</w:t>
            </w:r>
            <w:r w:rsidRPr="008774CF">
              <w:t xml:space="preserve"> </w:t>
            </w:r>
            <w:r w:rsidR="00A46ECC" w:rsidRPr="008774CF">
              <w:t>to estimate</w:t>
            </w:r>
            <w:r w:rsidRPr="008774CF">
              <w:t xml:space="preserve"> the extent that NT-</w:t>
            </w:r>
            <w:proofErr w:type="spellStart"/>
            <w:r w:rsidRPr="008774CF">
              <w:t>proBNP</w:t>
            </w:r>
            <w:proofErr w:type="spellEnd"/>
            <w:r w:rsidRPr="008774CF">
              <w:t xml:space="preserve"> testing will reduce TTE in clinical practice. </w:t>
            </w:r>
          </w:p>
        </w:tc>
      </w:tr>
      <w:tr w:rsidR="00831BF2" w:rsidRPr="001A4B85" w14:paraId="3D0F5053" w14:textId="77777777" w:rsidTr="00831BF2">
        <w:trPr>
          <w:trHeight w:val="292"/>
        </w:trPr>
        <w:tc>
          <w:tcPr>
            <w:tcW w:w="1560" w:type="dxa"/>
            <w:tcBorders>
              <w:top w:val="single" w:sz="4" w:space="0" w:color="auto"/>
              <w:left w:val="single" w:sz="4" w:space="0" w:color="auto"/>
              <w:bottom w:val="single" w:sz="4" w:space="0" w:color="auto"/>
              <w:right w:val="single" w:sz="4" w:space="0" w:color="auto"/>
            </w:tcBorders>
          </w:tcPr>
          <w:p w14:paraId="65B95813" w14:textId="6FDBE09F" w:rsidR="00831BF2" w:rsidRPr="001A4B85" w:rsidRDefault="00E96D4A" w:rsidP="00BB4168">
            <w:pPr>
              <w:pStyle w:val="TableText"/>
            </w:pPr>
            <w:bookmarkStart w:id="13" w:name="_Hlk128650548"/>
            <w:r>
              <w:t>Clinical evaluation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1B2D919" w14:textId="77777777" w:rsidR="00831BF2" w:rsidRPr="001A4B85" w:rsidRDefault="00831BF2" w:rsidP="00BB4168">
            <w:pPr>
              <w:pStyle w:val="TableText"/>
            </w:pPr>
            <w:bookmarkStart w:id="14" w:name="_Hlk128577221"/>
            <w:r w:rsidRPr="001A4B85">
              <w:t>MSAC considered that the REVEAL Lite 2 risk stratification calculator (which includes NT-</w:t>
            </w:r>
            <w:proofErr w:type="spellStart"/>
            <w:r w:rsidRPr="001A4B85">
              <w:t>proBNP</w:t>
            </w:r>
            <w:proofErr w:type="spellEnd"/>
            <w:r w:rsidRPr="001A4B85">
              <w:t xml:space="preserve"> results) was non-inferior to other calculators in identifying patients who were likely to die in the next year.  </w:t>
            </w:r>
            <w:bookmarkEnd w:id="14"/>
          </w:p>
          <w:p w14:paraId="653F4562" w14:textId="77777777" w:rsidR="00831BF2" w:rsidRPr="001A4B85" w:rsidRDefault="00831BF2" w:rsidP="00BB4168">
            <w:pPr>
              <w:pStyle w:val="TableText"/>
            </w:pPr>
            <w:r w:rsidRPr="001A4B85">
              <w:t>MSAC also noted that there was limited evidence which suggested that risk stratification calculators that included NT-</w:t>
            </w:r>
            <w:proofErr w:type="spellStart"/>
            <w:r w:rsidRPr="001A4B85">
              <w:t>proBNP</w:t>
            </w:r>
            <w:proofErr w:type="spellEnd"/>
            <w:r w:rsidRPr="001A4B85">
              <w:t xml:space="preserve"> were at least as effective as those that did not.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B6A4FC" w14:textId="108F2D45" w:rsidR="00831BF2" w:rsidRPr="008774CF" w:rsidRDefault="00C36021" w:rsidP="00BB4168">
            <w:pPr>
              <w:pStyle w:val="TableText"/>
            </w:pPr>
            <w:r w:rsidRPr="008774CF">
              <w:t xml:space="preserve">Although </w:t>
            </w:r>
            <w:r w:rsidR="006B7937" w:rsidRPr="008774CF">
              <w:t>MSAC had no concerns about the clinical effectiveness of the intervention in the original ADAR.</w:t>
            </w:r>
            <w:r w:rsidR="000C2D9B">
              <w:t>, t</w:t>
            </w:r>
            <w:r w:rsidR="006B7937" w:rsidRPr="008774CF">
              <w:t xml:space="preserve">he intervention in the resubmission proposes a new </w:t>
            </w:r>
            <w:r w:rsidR="00776CD2">
              <w:t xml:space="preserve">4-stratum </w:t>
            </w:r>
            <w:r w:rsidR="006B7937" w:rsidRPr="008774CF">
              <w:t>risk stratification tool that requires reassessment of clinical effectiveness</w:t>
            </w:r>
            <w:r w:rsidR="00776CD2">
              <w:t xml:space="preserve"> compared to a 3-stratum tool</w:t>
            </w:r>
            <w:r w:rsidR="006B7937" w:rsidRPr="008774CF">
              <w:t>.</w:t>
            </w:r>
          </w:p>
          <w:p w14:paraId="7BF58BDF" w14:textId="1AEEB178" w:rsidR="00776CD2" w:rsidRDefault="00776CD2" w:rsidP="00BB4168">
            <w:pPr>
              <w:pStyle w:val="TableText"/>
            </w:pPr>
            <w:r>
              <w:t>The ADAR did not include a</w:t>
            </w:r>
            <w:r w:rsidR="00FD09FC">
              <w:t>n</w:t>
            </w:r>
            <w:r>
              <w:t xml:space="preserve"> analysis of the 4-stratum versus the 3-stratum risk classification tools. This was provided by the commentary</w:t>
            </w:r>
            <w:r w:rsidR="00F81E71">
              <w:t>.</w:t>
            </w:r>
          </w:p>
          <w:p w14:paraId="4755AE5F" w14:textId="5A8EFE3B" w:rsidR="00D02932" w:rsidRPr="001A4B85" w:rsidRDefault="00D02932" w:rsidP="00BB4168">
            <w:pPr>
              <w:pStyle w:val="TableText"/>
              <w:rPr>
                <w:i/>
              </w:rPr>
            </w:pPr>
            <w:r w:rsidRPr="008774CF">
              <w:t>However, reassessment of the clinical effectiveness of the NT-</w:t>
            </w:r>
            <w:proofErr w:type="spellStart"/>
            <w:r w:rsidRPr="008774CF">
              <w:t>proBNP</w:t>
            </w:r>
            <w:proofErr w:type="spellEnd"/>
            <w:r w:rsidRPr="008774CF">
              <w:t xml:space="preserve"> test </w:t>
            </w:r>
            <w:r w:rsidR="00776CD2">
              <w:t>sh</w:t>
            </w:r>
            <w:r w:rsidR="00776CD2" w:rsidRPr="008774CF">
              <w:t xml:space="preserve">ould </w:t>
            </w:r>
            <w:r w:rsidRPr="008774CF">
              <w:t>not be required.</w:t>
            </w:r>
          </w:p>
        </w:tc>
      </w:tr>
      <w:bookmarkEnd w:id="13"/>
      <w:tr w:rsidR="00831BF2" w:rsidRPr="001A4B85" w14:paraId="30555061" w14:textId="77777777" w:rsidTr="00831BF2">
        <w:trPr>
          <w:trHeight w:val="292"/>
        </w:trPr>
        <w:tc>
          <w:tcPr>
            <w:tcW w:w="1560" w:type="dxa"/>
            <w:tcBorders>
              <w:top w:val="single" w:sz="4" w:space="0" w:color="auto"/>
              <w:left w:val="single" w:sz="4" w:space="0" w:color="auto"/>
              <w:bottom w:val="single" w:sz="4" w:space="0" w:color="auto"/>
              <w:right w:val="single" w:sz="4" w:space="0" w:color="auto"/>
            </w:tcBorders>
          </w:tcPr>
          <w:p w14:paraId="0F894384" w14:textId="77777777" w:rsidR="00831BF2" w:rsidRPr="001A4B85" w:rsidRDefault="00831BF2" w:rsidP="00BB4168">
            <w:pPr>
              <w:pStyle w:val="TableText"/>
            </w:pPr>
            <w:r w:rsidRPr="001A4B85">
              <w:t>Economic evaluation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FEFDDBF" w14:textId="77777777" w:rsidR="00831BF2" w:rsidRPr="00663DB0" w:rsidRDefault="00831BF2" w:rsidP="00BB4168">
            <w:pPr>
              <w:pStyle w:val="TableText"/>
            </w:pPr>
            <w:r w:rsidRPr="00663DB0">
              <w:t>MSAC advised that the extent of substitution of TTE is uncertain resulting in uncertainty in the cost-effectiveness and financial impact (MSAC PSD for Application 1689, p.1 &amp; 4)</w:t>
            </w:r>
          </w:p>
          <w:p w14:paraId="501AA41B" w14:textId="5FC870F4" w:rsidR="00831BF2" w:rsidRPr="00663DB0" w:rsidRDefault="00831BF2" w:rsidP="00BB4168">
            <w:pPr>
              <w:pStyle w:val="TableText"/>
            </w:pPr>
            <w:r w:rsidRPr="00663DB0">
              <w:t>For</w:t>
            </w:r>
            <w:r w:rsidR="0022789E">
              <w:t xml:space="preserve"> </w:t>
            </w:r>
            <w:r w:rsidR="0022789E" w:rsidRPr="0022789E">
              <w:t>patients who have been diagnosed with PAH</w:t>
            </w:r>
            <w:r w:rsidRPr="00663DB0">
              <w:t xml:space="preserve"> </w:t>
            </w:r>
            <w:r w:rsidR="0021244B">
              <w:t>(referred as P</w:t>
            </w:r>
            <w:r w:rsidRPr="00663DB0">
              <w:t>opulation 2</w:t>
            </w:r>
            <w:r w:rsidR="0021244B">
              <w:t xml:space="preserve"> in initial </w:t>
            </w:r>
            <w:r w:rsidR="0021244B">
              <w:lastRenderedPageBreak/>
              <w:t>submission)</w:t>
            </w:r>
            <w:r w:rsidRPr="00663DB0">
              <w:t xml:space="preserve">, </w:t>
            </w:r>
            <w:r w:rsidRPr="00663DB0">
              <w:rPr>
                <w:b/>
                <w:bCs/>
              </w:rPr>
              <w:t>MSAC considered NT-</w:t>
            </w:r>
            <w:proofErr w:type="spellStart"/>
            <w:r w:rsidRPr="00663DB0">
              <w:rPr>
                <w:b/>
                <w:bCs/>
              </w:rPr>
              <w:t>proBNP</w:t>
            </w:r>
            <w:proofErr w:type="spellEnd"/>
            <w:r w:rsidRPr="00663DB0">
              <w:rPr>
                <w:b/>
                <w:bCs/>
              </w:rPr>
              <w:t xml:space="preserve"> may decrease the use of TTE, although MSAC considered the estimated substitution of TTE in the ADAR to be uncertain.</w:t>
            </w:r>
            <w:r w:rsidRPr="00663DB0">
              <w:t xml:space="preserve"> For population 2, NT-</w:t>
            </w:r>
            <w:proofErr w:type="spellStart"/>
            <w:r w:rsidRPr="00663DB0">
              <w:t>proBNP</w:t>
            </w:r>
            <w:proofErr w:type="spellEnd"/>
            <w:r w:rsidRPr="00663DB0">
              <w:t xml:space="preserve"> is not expected to effect downstream management or improve outcomes, leading to uncertain clinical utility and cost-effectiveness. MSAC considered that, for population 2 to be reconsidered, the applicant may need to identify a PAH population where NT-</w:t>
            </w:r>
            <w:proofErr w:type="spellStart"/>
            <w:r w:rsidRPr="00663DB0">
              <w:t>proBNP</w:t>
            </w:r>
            <w:proofErr w:type="spellEnd"/>
            <w:r w:rsidRPr="00663DB0">
              <w:t xml:space="preserve"> could substitute TTE. MSAC advised a future application for this population would also need to demonstrate that monitoring using NT-</w:t>
            </w:r>
            <w:proofErr w:type="spellStart"/>
            <w:r w:rsidRPr="00663DB0">
              <w:t>proBNP</w:t>
            </w:r>
            <w:proofErr w:type="spellEnd"/>
            <w:r w:rsidRPr="00663DB0">
              <w:t xml:space="preserve"> would decrease TTE frequency (using a cost-minimisation analysis) or improve clinical outcomes (using a cost-effectiveness analysis) (MSAC PSD for Application 1689, p.6).</w:t>
            </w:r>
          </w:p>
          <w:p w14:paraId="291670BC" w14:textId="6D1B5A42" w:rsidR="00831BF2" w:rsidRPr="00663DB0" w:rsidRDefault="00831BF2" w:rsidP="00BB4168">
            <w:pPr>
              <w:pStyle w:val="TableText"/>
            </w:pPr>
            <w:r w:rsidRPr="00663DB0">
              <w:t xml:space="preserve">There is a risk that the cost savings estimated may be smaller or not be realised if the rate of substitution of TTE is substantially lower than expected and/or the number of </w:t>
            </w:r>
            <w:r w:rsidR="0096139B">
              <w:t>NT-</w:t>
            </w:r>
            <w:proofErr w:type="spellStart"/>
            <w:r w:rsidR="0096139B">
              <w:t>proBNP</w:t>
            </w:r>
            <w:proofErr w:type="spellEnd"/>
            <w:r w:rsidRPr="00663DB0">
              <w:t xml:space="preserve"> tests per year is higher than expected. However, ESC considered that it was highly likely that substantial substitution of TTE would occur. Sensitivity analysis suggests the economic and financial results are robust to plausible variations in key assumptions with the worst case tested resulting in a small net cost for Government (MSAC PSD for Application 1689, p. 33).</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CEF965D" w14:textId="77777777" w:rsidR="00831BF2" w:rsidRPr="00663DB0" w:rsidRDefault="00831BF2" w:rsidP="00BB4168">
            <w:pPr>
              <w:pStyle w:val="TableText"/>
            </w:pPr>
            <w:r w:rsidRPr="00663DB0">
              <w:lastRenderedPageBreak/>
              <w:t xml:space="preserve">Janssen commissioned an analysis of the PHSANZ registry data to estimate the proportion of patients with: </w:t>
            </w:r>
          </w:p>
          <w:p w14:paraId="6E686538" w14:textId="77777777" w:rsidR="00831BF2" w:rsidRPr="00663DB0" w:rsidRDefault="00831BF2" w:rsidP="00300ACB">
            <w:pPr>
              <w:pStyle w:val="TableText"/>
              <w:numPr>
                <w:ilvl w:val="0"/>
                <w:numId w:val="15"/>
              </w:numPr>
              <w:ind w:left="250" w:hanging="250"/>
            </w:pPr>
            <w:r w:rsidRPr="00663DB0">
              <w:t xml:space="preserve">stable or improved PAH who would not require subsequent TTE and/or RHC, and </w:t>
            </w:r>
          </w:p>
          <w:p w14:paraId="360003B7" w14:textId="77777777" w:rsidR="00831BF2" w:rsidRPr="00663DB0" w:rsidRDefault="00831BF2" w:rsidP="00300ACB">
            <w:pPr>
              <w:pStyle w:val="TableText"/>
              <w:numPr>
                <w:ilvl w:val="0"/>
                <w:numId w:val="15"/>
              </w:numPr>
              <w:ind w:left="250" w:hanging="250"/>
            </w:pPr>
            <w:r w:rsidRPr="00663DB0">
              <w:lastRenderedPageBreak/>
              <w:t>deterioration of symptoms who would undergo NT-</w:t>
            </w:r>
            <w:proofErr w:type="spellStart"/>
            <w:r w:rsidRPr="00663DB0">
              <w:t>proBNP</w:t>
            </w:r>
            <w:proofErr w:type="spellEnd"/>
            <w:r w:rsidRPr="00663DB0">
              <w:t xml:space="preserve"> in addition to TTE and/or RHC.</w:t>
            </w:r>
          </w:p>
          <w:p w14:paraId="399B4C63" w14:textId="77777777" w:rsidR="00831BF2" w:rsidRPr="00663DB0" w:rsidRDefault="00831BF2" w:rsidP="00BB4168">
            <w:pPr>
              <w:pStyle w:val="TableText"/>
            </w:pPr>
            <w:r w:rsidRPr="00663DB0">
              <w:t>The results of this analysis are included in the current assessment report and provide clarity to the extent that NT-</w:t>
            </w:r>
            <w:proofErr w:type="spellStart"/>
            <w:r w:rsidRPr="00663DB0">
              <w:t>proBNP</w:t>
            </w:r>
            <w:proofErr w:type="spellEnd"/>
            <w:r w:rsidRPr="00663DB0">
              <w:t xml:space="preserve"> testing might reduce TTE in clinical practice. Clinical stability, improvement or deterioration was defined by changes in WHO FC and/or 6MWD from baseline to first comprehensive follow-up. These are key risk assessment parameters used in current algorithms and which are consistent with those used in Australian practice, given that NT-</w:t>
            </w:r>
            <w:proofErr w:type="spellStart"/>
            <w:r w:rsidRPr="00663DB0">
              <w:t>proBNP</w:t>
            </w:r>
            <w:proofErr w:type="spellEnd"/>
            <w:r w:rsidRPr="00663DB0">
              <w:t xml:space="preserve"> is currently not publicly funded. </w:t>
            </w:r>
          </w:p>
          <w:p w14:paraId="15CE41B1" w14:textId="77777777" w:rsidR="00831BF2" w:rsidRPr="00663DB0" w:rsidRDefault="00831BF2" w:rsidP="00BB4168">
            <w:pPr>
              <w:pStyle w:val="TableText"/>
            </w:pPr>
          </w:p>
          <w:p w14:paraId="2FE83326" w14:textId="77777777" w:rsidR="00831BF2" w:rsidRDefault="00831BF2" w:rsidP="00BB4168">
            <w:pPr>
              <w:pStyle w:val="TableText"/>
            </w:pPr>
            <w:r w:rsidRPr="00663DB0">
              <w:t>These estimates have been incorporated into economic evaluation and budget impact analyses to provide greater certainty to the extent of TTE (and RHC) substitution and therefore greater certainty to the cost-effectiveness and total financial implications of MBS funding for this test.</w:t>
            </w:r>
          </w:p>
          <w:p w14:paraId="46D1D443" w14:textId="77777777" w:rsidR="00663DB0" w:rsidRDefault="00663DB0" w:rsidP="00BB4168">
            <w:pPr>
              <w:pStyle w:val="TableText"/>
            </w:pPr>
          </w:p>
          <w:p w14:paraId="24BAE0F8" w14:textId="567B7FBD" w:rsidR="00663DB0" w:rsidRPr="008774CF" w:rsidRDefault="00663DB0" w:rsidP="00BB4168">
            <w:pPr>
              <w:pStyle w:val="TableText"/>
            </w:pPr>
            <w:r w:rsidRPr="008774CF">
              <w:t xml:space="preserve">Based on the assumption that two TTE tests in the current algorithm would be substituted in the 75% of patients with stable disease, </w:t>
            </w:r>
            <w:r w:rsidR="003E75F1" w:rsidRPr="008774CF">
              <w:t>it is</w:t>
            </w:r>
            <w:r w:rsidRPr="008774CF">
              <w:t xml:space="preserve"> assumed that 4.0 NT-</w:t>
            </w:r>
            <w:proofErr w:type="spellStart"/>
            <w:r w:rsidRPr="008774CF">
              <w:t>proBNP</w:t>
            </w:r>
            <w:proofErr w:type="spellEnd"/>
            <w:r w:rsidRPr="008774CF">
              <w:t xml:space="preserve"> tests would replace 1.5 TTE tests compared to the assumption that 2.15 NT-</w:t>
            </w:r>
            <w:proofErr w:type="spellStart"/>
            <w:r w:rsidRPr="008774CF">
              <w:t>proBNP</w:t>
            </w:r>
            <w:proofErr w:type="spellEnd"/>
            <w:r w:rsidRPr="008774CF">
              <w:t xml:space="preserve"> tests would replace 2.15 TTE tests in the initial ADAR 1689, </w:t>
            </w:r>
            <w:r w:rsidR="003E75F1" w:rsidRPr="008774CF">
              <w:t>(</w:t>
            </w:r>
            <w:r w:rsidRPr="008774CF">
              <w:t>meaning a reduction of 0.38 TTEs per NT-</w:t>
            </w:r>
            <w:proofErr w:type="spellStart"/>
            <w:r w:rsidRPr="008774CF">
              <w:t>proBNP</w:t>
            </w:r>
            <w:proofErr w:type="spellEnd"/>
            <w:r w:rsidRPr="008774CF">
              <w:t xml:space="preserve"> test performed).</w:t>
            </w:r>
          </w:p>
        </w:tc>
      </w:tr>
      <w:tr w:rsidR="00831BF2" w:rsidRPr="001A4B85" w14:paraId="0CA47A84" w14:textId="77777777" w:rsidTr="008E1BA9">
        <w:trPr>
          <w:trHeight w:val="292"/>
        </w:trPr>
        <w:tc>
          <w:tcPr>
            <w:tcW w:w="1560" w:type="dxa"/>
            <w:tcBorders>
              <w:top w:val="single" w:sz="4" w:space="0" w:color="auto"/>
              <w:left w:val="single" w:sz="4" w:space="0" w:color="auto"/>
              <w:bottom w:val="single" w:sz="4" w:space="0" w:color="auto"/>
              <w:right w:val="single" w:sz="4" w:space="0" w:color="auto"/>
            </w:tcBorders>
          </w:tcPr>
          <w:p w14:paraId="53F95B40" w14:textId="77777777" w:rsidR="00831BF2" w:rsidRPr="001A4B85" w:rsidRDefault="00831BF2" w:rsidP="00BB4168">
            <w:pPr>
              <w:pStyle w:val="TableText"/>
            </w:pPr>
            <w:r w:rsidRPr="001A4B85">
              <w:lastRenderedPageBreak/>
              <w:t xml:space="preserve">Economic issues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02E8111" w14:textId="77777777" w:rsidR="00831BF2" w:rsidRPr="00683AD4" w:rsidRDefault="00831BF2" w:rsidP="00BB4168">
            <w:pPr>
              <w:pStyle w:val="TableText"/>
            </w:pPr>
            <w:r w:rsidRPr="00683AD4">
              <w:t>Applying the correct TTE fee to the model would further increase net cost savings. NT-</w:t>
            </w:r>
            <w:proofErr w:type="spellStart"/>
            <w:r w:rsidRPr="00683AD4">
              <w:t>proBNP</w:t>
            </w:r>
            <w:proofErr w:type="spellEnd"/>
            <w:r w:rsidRPr="00683AD4">
              <w:t xml:space="preserve"> was cost saving in most clinically plausible sensitivity analyses because it is likely that NT-</w:t>
            </w:r>
            <w:proofErr w:type="spellStart"/>
            <w:r w:rsidRPr="00683AD4">
              <w:t>proBNP</w:t>
            </w:r>
            <w:proofErr w:type="spellEnd"/>
            <w:r w:rsidRPr="00683AD4">
              <w:t xml:space="preserve"> will replace at least some TTEs.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31A2259" w14:textId="5CD5C6C3" w:rsidR="00831BF2" w:rsidRPr="00277C8C" w:rsidRDefault="00831BF2" w:rsidP="00BB4168">
            <w:pPr>
              <w:pStyle w:val="TableText"/>
            </w:pPr>
            <w:r w:rsidRPr="00277C8C">
              <w:t xml:space="preserve">Correct TTE </w:t>
            </w:r>
            <w:r w:rsidR="00663DB0" w:rsidRPr="00277C8C">
              <w:t xml:space="preserve">test </w:t>
            </w:r>
            <w:r w:rsidRPr="00277C8C">
              <w:t xml:space="preserve">fees </w:t>
            </w:r>
            <w:r w:rsidR="00663DB0" w:rsidRPr="00277C8C">
              <w:t xml:space="preserve">for MBS items 55126/55129, 100% Fee: $240.05) </w:t>
            </w:r>
            <w:r w:rsidRPr="00277C8C">
              <w:t>applied in the updated cost-minimisation analysis.</w:t>
            </w:r>
          </w:p>
        </w:tc>
      </w:tr>
      <w:tr w:rsidR="00831BF2" w:rsidRPr="001A4B85" w14:paraId="2F8F2E6D" w14:textId="77777777" w:rsidTr="008E1BA9">
        <w:trPr>
          <w:trHeight w:val="292"/>
        </w:trPr>
        <w:tc>
          <w:tcPr>
            <w:tcW w:w="1560" w:type="dxa"/>
            <w:tcBorders>
              <w:top w:val="single" w:sz="4" w:space="0" w:color="auto"/>
              <w:left w:val="single" w:sz="4" w:space="0" w:color="auto"/>
              <w:bottom w:val="nil"/>
              <w:right w:val="single" w:sz="4" w:space="0" w:color="auto"/>
            </w:tcBorders>
          </w:tcPr>
          <w:p w14:paraId="1CFCC6B0" w14:textId="77777777" w:rsidR="00831BF2" w:rsidRPr="001A4B85" w:rsidRDefault="00831BF2" w:rsidP="00BB4168">
            <w:pPr>
              <w:pStyle w:val="TableText"/>
            </w:pPr>
            <w:r w:rsidRPr="001A4B85">
              <w:t>Financial evaluation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85F1246" w14:textId="00F4BA3B" w:rsidR="00831BF2" w:rsidRPr="00683AD4" w:rsidRDefault="004D136F" w:rsidP="008E1BA9">
            <w:pPr>
              <w:pStyle w:val="TableText"/>
            </w:pPr>
            <w:r w:rsidRPr="00FD09FC">
              <w:t>MSAC considered that the high estimates for the number of PAH patients (based on 10% PBS script data that were used in submission’s sensitivity analysis) appear more reasonable as Year 1 estimates are lower than the number of patients treated with PBS subsidised PAH medicines in 2016).</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446EA17" w14:textId="795D7902" w:rsidR="00683AD4" w:rsidRPr="008774CF" w:rsidRDefault="00683AD4" w:rsidP="00663DB0">
            <w:pPr>
              <w:pStyle w:val="TableText"/>
            </w:pPr>
            <w:r w:rsidRPr="008774CF">
              <w:t>This issue was not addressed</w:t>
            </w:r>
            <w:r w:rsidR="008774CF">
              <w:t xml:space="preserve"> in the ADAR</w:t>
            </w:r>
            <w:r w:rsidRPr="008774CF">
              <w:t xml:space="preserve">. The size of the population may be larger than the estimates. </w:t>
            </w:r>
          </w:p>
        </w:tc>
      </w:tr>
      <w:tr w:rsidR="00F32519" w:rsidRPr="001A4B85" w14:paraId="6C439660" w14:textId="77777777" w:rsidTr="008E1BA9">
        <w:trPr>
          <w:trHeight w:val="292"/>
        </w:trPr>
        <w:tc>
          <w:tcPr>
            <w:tcW w:w="1560" w:type="dxa"/>
            <w:tcBorders>
              <w:top w:val="nil"/>
              <w:left w:val="single" w:sz="4" w:space="0" w:color="auto"/>
              <w:bottom w:val="single" w:sz="4" w:space="0" w:color="auto"/>
              <w:right w:val="single" w:sz="4" w:space="0" w:color="auto"/>
            </w:tcBorders>
          </w:tcPr>
          <w:p w14:paraId="76D042CE" w14:textId="77777777" w:rsidR="00F32519" w:rsidRPr="001A4B85" w:rsidRDefault="00F32519" w:rsidP="00BB4168">
            <w:pPr>
              <w:pStyle w:val="TableText"/>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E9FC27C" w14:textId="3D9AEEE0" w:rsidR="00F32519" w:rsidRPr="00FD09FC" w:rsidRDefault="008E1BA9" w:rsidP="008E1BA9">
            <w:pPr>
              <w:pStyle w:val="TableText"/>
            </w:pPr>
            <w:r w:rsidRPr="00683AD4">
              <w:t>ESC noted that there is a risk that the cost-savings in Population 2 may not be realised, as NT-</w:t>
            </w:r>
            <w:proofErr w:type="spellStart"/>
            <w:r w:rsidRPr="00683AD4">
              <w:t>proBNP</w:t>
            </w:r>
            <w:proofErr w:type="spellEnd"/>
            <w:r w:rsidRPr="00683AD4">
              <w:t xml:space="preserve"> has the potential to become an add-on test rather than a replacement prognostic/monitoring test, as some clinicians might still request both TTE and NT-</w:t>
            </w:r>
            <w:proofErr w:type="spellStart"/>
            <w:r w:rsidRPr="00683AD4">
              <w:t>proBNP</w:t>
            </w:r>
            <w:proofErr w:type="spellEnd"/>
            <w:r w:rsidRPr="00683AD4">
              <w:t xml:space="preserve"> testing. However, ESC also noted that for Population 2 NT-</w:t>
            </w:r>
            <w:proofErr w:type="spellStart"/>
            <w:r w:rsidRPr="00683AD4">
              <w:t>proBNP</w:t>
            </w:r>
            <w:proofErr w:type="spellEnd"/>
            <w:r w:rsidRPr="00683AD4">
              <w:t xml:space="preserve"> would remain cost saving or result in a negligible cost across plausible sensitivity analyses. The model appropriately tested the relevant assumptions, so ESC did not consider that a reanalysis </w:t>
            </w:r>
            <w:r w:rsidRPr="00683AD4">
              <w:lastRenderedPageBreak/>
              <w:t>would be required (MSAC PSD for Application 1689, p. 35-36).</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380A664" w14:textId="77777777" w:rsidR="008E1BA9" w:rsidRPr="00683AD4" w:rsidRDefault="008E1BA9" w:rsidP="008E1BA9">
            <w:pPr>
              <w:pStyle w:val="TableText"/>
            </w:pPr>
            <w:r w:rsidRPr="00683AD4">
              <w:lastRenderedPageBreak/>
              <w:t xml:space="preserve">Janssen commissioned an analysis of the PHSANZ registry data to estimate the proportion of patients with: </w:t>
            </w:r>
          </w:p>
          <w:p w14:paraId="097C339B" w14:textId="77777777" w:rsidR="008E1BA9" w:rsidRDefault="008E1BA9" w:rsidP="008E1BA9">
            <w:pPr>
              <w:pStyle w:val="TableText"/>
              <w:numPr>
                <w:ilvl w:val="1"/>
                <w:numId w:val="15"/>
              </w:numPr>
              <w:ind w:left="600" w:hanging="284"/>
            </w:pPr>
            <w:r w:rsidRPr="00683AD4">
              <w:t xml:space="preserve">stable or improved PAH who would not require subsequent TTE and/or RHC, and </w:t>
            </w:r>
          </w:p>
          <w:p w14:paraId="7CD47CA6" w14:textId="77777777" w:rsidR="008E1BA9" w:rsidRPr="00683AD4" w:rsidRDefault="008E1BA9" w:rsidP="008E1BA9">
            <w:pPr>
              <w:pStyle w:val="TableText"/>
              <w:numPr>
                <w:ilvl w:val="1"/>
                <w:numId w:val="15"/>
              </w:numPr>
              <w:ind w:left="600" w:hanging="284"/>
            </w:pPr>
            <w:r w:rsidRPr="00683AD4">
              <w:t>deterioration of symptoms who would undergo NT-</w:t>
            </w:r>
            <w:proofErr w:type="spellStart"/>
            <w:r w:rsidRPr="00683AD4">
              <w:t>proBNP</w:t>
            </w:r>
            <w:proofErr w:type="spellEnd"/>
            <w:r w:rsidRPr="00683AD4">
              <w:t xml:space="preserve"> in addition to TTE and/or RHC.</w:t>
            </w:r>
          </w:p>
          <w:p w14:paraId="7EBEE71C" w14:textId="77777777" w:rsidR="008E1BA9" w:rsidRPr="00683AD4" w:rsidRDefault="008E1BA9" w:rsidP="008E1BA9">
            <w:pPr>
              <w:pStyle w:val="TableText"/>
            </w:pPr>
          </w:p>
          <w:p w14:paraId="7CB51248" w14:textId="77777777" w:rsidR="008E1BA9" w:rsidRDefault="008E1BA9" w:rsidP="008E1BA9">
            <w:pPr>
              <w:pStyle w:val="TableText"/>
            </w:pPr>
            <w:r w:rsidRPr="00683AD4">
              <w:t xml:space="preserve">These estimates have been incorporated into economic evaluation and budget impact analyses to provide greater certainty to the extent of TTE (and RHC) substitution and therefore greater </w:t>
            </w:r>
            <w:r w:rsidRPr="00683AD4">
              <w:lastRenderedPageBreak/>
              <w:t>certainty to the cost-effectiveness and total financial implications of MBS funding for this test.</w:t>
            </w:r>
          </w:p>
          <w:p w14:paraId="498B50C3" w14:textId="77777777" w:rsidR="008E1BA9" w:rsidRDefault="008E1BA9" w:rsidP="008E1BA9">
            <w:pPr>
              <w:pStyle w:val="TableText"/>
            </w:pPr>
          </w:p>
          <w:p w14:paraId="41F4ED62" w14:textId="00A62561" w:rsidR="00F32519" w:rsidRPr="008774CF" w:rsidRDefault="008E1BA9" w:rsidP="008E1BA9">
            <w:pPr>
              <w:pStyle w:val="TableText"/>
            </w:pPr>
            <w:r w:rsidRPr="008774CF">
              <w:t>Similar to the economic evaluation, the key assumptions included the same frequency of assessment for NT-</w:t>
            </w:r>
            <w:proofErr w:type="spellStart"/>
            <w:r w:rsidRPr="008774CF">
              <w:t>proBNP</w:t>
            </w:r>
            <w:proofErr w:type="spellEnd"/>
            <w:r w:rsidRPr="008774CF">
              <w:t xml:space="preserve"> as for TTE (every 3 months), and the reduction in use of TTE occurs in stable patients (75%) (with NT-</w:t>
            </w:r>
            <w:proofErr w:type="spellStart"/>
            <w:r w:rsidRPr="008774CF">
              <w:t>proBNP</w:t>
            </w:r>
            <w:proofErr w:type="spellEnd"/>
            <w:r w:rsidRPr="008774CF">
              <w:t xml:space="preserve"> assumed to require 2 TTEs per year).</w:t>
            </w:r>
          </w:p>
        </w:tc>
      </w:tr>
      <w:tr w:rsidR="00831BF2" w:rsidRPr="001A4B85" w14:paraId="5DF609A3" w14:textId="77777777" w:rsidTr="00831BF2">
        <w:trPr>
          <w:trHeight w:val="292"/>
        </w:trPr>
        <w:tc>
          <w:tcPr>
            <w:tcW w:w="1560" w:type="dxa"/>
            <w:tcBorders>
              <w:top w:val="single" w:sz="4" w:space="0" w:color="auto"/>
              <w:left w:val="single" w:sz="4" w:space="0" w:color="auto"/>
              <w:bottom w:val="single" w:sz="4" w:space="0" w:color="auto"/>
              <w:right w:val="single" w:sz="4" w:space="0" w:color="auto"/>
            </w:tcBorders>
          </w:tcPr>
          <w:p w14:paraId="22F4DCAC" w14:textId="77777777" w:rsidR="00831BF2" w:rsidRPr="001A4B85" w:rsidRDefault="00831BF2" w:rsidP="00BB4168">
            <w:pPr>
              <w:pStyle w:val="TableText"/>
            </w:pPr>
            <w:r w:rsidRPr="001A4B85">
              <w:lastRenderedPageBreak/>
              <w:t>MBS Item Descriptor</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6C27A7E" w14:textId="6DEAF59B" w:rsidR="00831BF2" w:rsidRPr="001A4B85" w:rsidRDefault="00831BF2" w:rsidP="00BB4168">
            <w:pPr>
              <w:pStyle w:val="TableText"/>
            </w:pPr>
            <w:r w:rsidRPr="001A4B85">
              <w:t>MSAC thought that it was possible that doctors may use NT-</w:t>
            </w:r>
            <w:proofErr w:type="spellStart"/>
            <w:r w:rsidRPr="001A4B85">
              <w:t>proBNP</w:t>
            </w:r>
            <w:proofErr w:type="spellEnd"/>
            <w:r w:rsidRPr="001A4B85">
              <w:t xml:space="preserve"> testing for patients with other types of heart conditions that have not been assessed by MSAC for clinical or cost-effectiveness</w:t>
            </w:r>
            <w:r w:rsidR="003F0694">
              <w:t>.</w:t>
            </w:r>
          </w:p>
          <w:p w14:paraId="02468CC3" w14:textId="0AA6ACCF" w:rsidR="006B7937" w:rsidRPr="001A4B85" w:rsidRDefault="00831BF2" w:rsidP="00BB4168">
            <w:pPr>
              <w:pStyle w:val="TableText"/>
            </w:pPr>
            <w:r w:rsidRPr="001A4B85">
              <w:t>MSAC considered whether the requestors should be restricted to specialist physicians such as cardiologists, rheumatologists, respiratory physicians and general physicians. The applicant did not object to limiting who can request the item to minimise leakage. MSAC also considered that a patient’s GP should play a role in testing and coordination</w:t>
            </w:r>
            <w:r w:rsidR="00EF3391">
              <w:t>.</w:t>
            </w:r>
            <w:r w:rsidRPr="001A4B85">
              <w:t xml:space="preserve"> </w:t>
            </w:r>
          </w:p>
          <w:p w14:paraId="31A48F11" w14:textId="6D918274" w:rsidR="00831BF2" w:rsidRPr="001A4B85" w:rsidRDefault="00831BF2" w:rsidP="00BB4168">
            <w:pPr>
              <w:pStyle w:val="TableText"/>
            </w:pPr>
            <w:r w:rsidRPr="001A4B85">
              <w:t>MSAC therefore advised that the item descriptor should state that the test can be requested by a treating medical practitioner “in consultation with a specialist”. GPs are able to refer patients for lung function testing (MSAC PSD for Application 1689, p. 5).</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23B25F3" w14:textId="77777777" w:rsidR="006B7937" w:rsidRPr="001A4B85" w:rsidRDefault="006B7937" w:rsidP="006B7937">
            <w:pPr>
              <w:pStyle w:val="TableText"/>
            </w:pPr>
            <w:r w:rsidRPr="001A4B85">
              <w:t xml:space="preserve">Janssen acknowledged MSAC’s consideration to not restrict the MBS Item to specified specialists and amend the item descriptor to state that the test can be requested by a treating medical practitioner in consultation with a specialist. </w:t>
            </w:r>
          </w:p>
          <w:p w14:paraId="111140F7" w14:textId="45450AC4" w:rsidR="00831BF2" w:rsidRPr="001A4B85" w:rsidRDefault="006B7937" w:rsidP="006B7937">
            <w:pPr>
              <w:pStyle w:val="TableText"/>
            </w:pPr>
            <w:r w:rsidRPr="001A4B85">
              <w:t>However, following advice received by expert clinician</w:t>
            </w:r>
            <w:r w:rsidR="000E3F65">
              <w:t>s</w:t>
            </w:r>
            <w:r w:rsidRPr="001A4B85">
              <w:t>, Janssen understands that non-specialist medical professionals are unlikely to be conducting risk assessment or treating patients with PAH. Therefore, this change has not been incorporated in the proposed MBS Item Descriptor.</w:t>
            </w:r>
          </w:p>
        </w:tc>
      </w:tr>
    </w:tbl>
    <w:p w14:paraId="156200B3" w14:textId="1C7A606C" w:rsidR="00C434BD" w:rsidRDefault="006B7937" w:rsidP="00AA0686">
      <w:pPr>
        <w:pStyle w:val="TableFooter"/>
      </w:pPr>
      <w:r w:rsidRPr="001A4B85">
        <w:t xml:space="preserve">ESC = Evaluation Sub-Committee, </w:t>
      </w:r>
      <w:r w:rsidR="00273721">
        <w:t xml:space="preserve">ESC/ERS = </w:t>
      </w:r>
      <w:r w:rsidR="00F55BF6" w:rsidRPr="00F55BF6">
        <w:t>European Society of Cardiology and the European Respiratory Society</w:t>
      </w:r>
      <w:r w:rsidR="00F55BF6">
        <w:t>;</w:t>
      </w:r>
      <w:r w:rsidR="00F55BF6" w:rsidRPr="00F55BF6">
        <w:t xml:space="preserve"> </w:t>
      </w:r>
      <w:r w:rsidR="001A4B85" w:rsidRPr="001A4B85">
        <w:t xml:space="preserve">GP = general practitioner; MBS = Medical Benefits Schedule; </w:t>
      </w:r>
      <w:r w:rsidR="00831BF2" w:rsidRPr="001A4B85">
        <w:t>MSAC</w:t>
      </w:r>
      <w:r w:rsidRPr="001A4B85">
        <w:t xml:space="preserve"> </w:t>
      </w:r>
      <w:r w:rsidR="00831BF2" w:rsidRPr="001A4B85">
        <w:t>=</w:t>
      </w:r>
      <w:r w:rsidRPr="001A4B85">
        <w:t xml:space="preserve"> </w:t>
      </w:r>
      <w:r w:rsidR="00831BF2" w:rsidRPr="001A4B85">
        <w:t>Medical Services Advisory Committee</w:t>
      </w:r>
      <w:r w:rsidRPr="001A4B85">
        <w:t>;</w:t>
      </w:r>
      <w:r w:rsidR="00831BF2" w:rsidRPr="001A4B85">
        <w:t xml:space="preserve"> NT-</w:t>
      </w:r>
      <w:proofErr w:type="spellStart"/>
      <w:r w:rsidR="00831BF2" w:rsidRPr="001A4B85">
        <w:t>proBNP</w:t>
      </w:r>
      <w:proofErr w:type="spellEnd"/>
      <w:r w:rsidRPr="001A4B85">
        <w:t xml:space="preserve"> </w:t>
      </w:r>
      <w:r w:rsidR="00831BF2" w:rsidRPr="001A4B85">
        <w:t>=</w:t>
      </w:r>
      <w:r w:rsidRPr="001A4B85">
        <w:t xml:space="preserve"> </w:t>
      </w:r>
      <w:r w:rsidR="00831BF2" w:rsidRPr="001A4B85">
        <w:t>N-terminal pro B-type natriuretic peptide</w:t>
      </w:r>
      <w:r w:rsidRPr="001A4B85">
        <w:t>;</w:t>
      </w:r>
      <w:r w:rsidR="00831BF2" w:rsidRPr="001A4B85">
        <w:t xml:space="preserve"> </w:t>
      </w:r>
      <w:r w:rsidR="001A4B85" w:rsidRPr="001A4B85">
        <w:t xml:space="preserve">PAH = pulmonary arterial hypertension; </w:t>
      </w:r>
      <w:r w:rsidR="00F55BF6">
        <w:t xml:space="preserve">PHSANZ = </w:t>
      </w:r>
      <w:r w:rsidR="00F55BF6" w:rsidRPr="00F55BF6">
        <w:t>Pulmonary Hypertension Society of Australia and New Zealand</w:t>
      </w:r>
      <w:r w:rsidR="00F55BF6">
        <w:t>;</w:t>
      </w:r>
      <w:r w:rsidR="00F55BF6" w:rsidRPr="00F55BF6">
        <w:t xml:space="preserve"> </w:t>
      </w:r>
      <w:r w:rsidR="001A4B85" w:rsidRPr="001A4B85">
        <w:t xml:space="preserve">PSD = Public Summary Document; RHC = right heart </w:t>
      </w:r>
      <w:r w:rsidR="00634195" w:rsidRPr="001A4B85">
        <w:t>catheteri</w:t>
      </w:r>
      <w:r w:rsidR="004D7F2F">
        <w:t>s</w:t>
      </w:r>
      <w:r w:rsidR="00634195" w:rsidRPr="001A4B85">
        <w:t>ation</w:t>
      </w:r>
      <w:r w:rsidR="001A4B85" w:rsidRPr="001A4B85">
        <w:t xml:space="preserve">; </w:t>
      </w:r>
      <w:r w:rsidR="00831BF2" w:rsidRPr="001A4B85">
        <w:t>TTE</w:t>
      </w:r>
      <w:r w:rsidRPr="001A4B85">
        <w:t xml:space="preserve"> </w:t>
      </w:r>
      <w:r w:rsidR="00831BF2" w:rsidRPr="001A4B85">
        <w:t>=</w:t>
      </w:r>
      <w:r w:rsidRPr="001A4B85">
        <w:t xml:space="preserve"> </w:t>
      </w:r>
      <w:r w:rsidR="00831BF2" w:rsidRPr="001A4B85">
        <w:t>transthoracic echocardiogram</w:t>
      </w:r>
    </w:p>
    <w:p w14:paraId="5175ACAC" w14:textId="4B1A534C" w:rsidR="005C354D" w:rsidRPr="001A4B85" w:rsidRDefault="005C354D" w:rsidP="00AA0686">
      <w:pPr>
        <w:pStyle w:val="TableFooter"/>
      </w:pPr>
      <w:r>
        <w:t>Source: Table 1-2</w:t>
      </w:r>
      <w:r w:rsidR="009F4E02">
        <w:t xml:space="preserve">, </w:t>
      </w:r>
      <w:proofErr w:type="spellStart"/>
      <w:r w:rsidR="009F4E02">
        <w:t>pg</w:t>
      </w:r>
      <w:proofErr w:type="spellEnd"/>
      <w:r w:rsidR="009F4E02">
        <w:t xml:space="preserve"> 20 of MSAC 1689.1 ADAR</w:t>
      </w:r>
      <w:r>
        <w:t xml:space="preserve"> </w:t>
      </w:r>
    </w:p>
    <w:p w14:paraId="725EBF61" w14:textId="05C5C719" w:rsidR="00055E91" w:rsidRPr="001A4B85" w:rsidRDefault="00840EF5" w:rsidP="00361DA0">
      <w:pPr>
        <w:pStyle w:val="ESHeading1"/>
      </w:pPr>
      <w:bookmarkStart w:id="15" w:name="_Toc131604307"/>
      <w:r>
        <w:t>5</w:t>
      </w:r>
      <w:r w:rsidR="00055E91" w:rsidRPr="001A4B85">
        <w:t>.</w:t>
      </w:r>
      <w:r w:rsidR="00055E91" w:rsidRPr="001A4B85">
        <w:tab/>
        <w:t>Prerequisites to implementation of any funding advice</w:t>
      </w:r>
      <w:bookmarkEnd w:id="8"/>
      <w:bookmarkEnd w:id="15"/>
    </w:p>
    <w:p w14:paraId="37E0D0B8" w14:textId="0DFB07FB" w:rsidR="00055E91" w:rsidRPr="001A4B85" w:rsidRDefault="00055E91" w:rsidP="00055E91">
      <w:r w:rsidRPr="001A4B85">
        <w:t>NT-</w:t>
      </w:r>
      <w:proofErr w:type="spellStart"/>
      <w:r w:rsidRPr="001A4B85">
        <w:t>proBNP</w:t>
      </w:r>
      <w:proofErr w:type="spellEnd"/>
      <w:r w:rsidRPr="001A4B85">
        <w:t xml:space="preserve"> tests are TGA approved. There are five companies offering seven assays, and all are subject to RCPA Quality Assurance Programs.</w:t>
      </w:r>
    </w:p>
    <w:p w14:paraId="46B3ECA6" w14:textId="66F10BF8" w:rsidR="00055E91" w:rsidRPr="001A4B85" w:rsidRDefault="00840EF5" w:rsidP="00361DA0">
      <w:pPr>
        <w:pStyle w:val="ESHeading1"/>
      </w:pPr>
      <w:bookmarkStart w:id="16" w:name="_Toc69491418"/>
      <w:bookmarkStart w:id="17" w:name="_Toc131604308"/>
      <w:r>
        <w:t>6</w:t>
      </w:r>
      <w:r w:rsidR="00055E91" w:rsidRPr="001A4B85">
        <w:t>.</w:t>
      </w:r>
      <w:r w:rsidR="00055E91" w:rsidRPr="001A4B85">
        <w:tab/>
        <w:t>Proposal for public funding</w:t>
      </w:r>
      <w:bookmarkEnd w:id="16"/>
      <w:bookmarkEnd w:id="17"/>
    </w:p>
    <w:p w14:paraId="7F8A72EB" w14:textId="103020E6" w:rsidR="00055E91" w:rsidRPr="001A4B85" w:rsidRDefault="00055E91" w:rsidP="00055E91">
      <w:r w:rsidRPr="001A4B85">
        <w:t xml:space="preserve">The applicant has proposed </w:t>
      </w:r>
      <w:r w:rsidR="00C635FB" w:rsidRPr="001A4B85">
        <w:t>a</w:t>
      </w:r>
      <w:r w:rsidRPr="001A4B85">
        <w:t xml:space="preserve"> new MBS item descriptor for NT-</w:t>
      </w:r>
      <w:proofErr w:type="spellStart"/>
      <w:r w:rsidRPr="001A4B85">
        <w:t>proBNP</w:t>
      </w:r>
      <w:proofErr w:type="spellEnd"/>
      <w:r w:rsidRPr="001A4B85">
        <w:t xml:space="preserve"> testing </w:t>
      </w:r>
      <w:r w:rsidR="00C635FB" w:rsidRPr="001A4B85">
        <w:t>of patients diagnosed with PAH</w:t>
      </w:r>
      <w:r w:rsidRPr="001A4B85">
        <w:t>. The proposed fee and benefit are the same as for the current MBS Item 66830 (BNP/NT-</w:t>
      </w:r>
      <w:proofErr w:type="spellStart"/>
      <w:r w:rsidRPr="001A4B85">
        <w:t>proBNP</w:t>
      </w:r>
      <w:proofErr w:type="spellEnd"/>
      <w:r w:rsidRPr="001A4B85">
        <w:t xml:space="preserve"> testing for the detection of heart failure).</w:t>
      </w:r>
    </w:p>
    <w:p w14:paraId="7D67A0AC" w14:textId="7ED118E0" w:rsidR="00055E91" w:rsidRPr="001A4B85" w:rsidRDefault="00F55BF6" w:rsidP="00F55BF6">
      <w:pPr>
        <w:pStyle w:val="TableHeading0"/>
      </w:pPr>
      <w:r>
        <w:lastRenderedPageBreak/>
        <w:t xml:space="preserve">Table </w:t>
      </w:r>
      <w:r w:rsidR="00DD62DD">
        <w:fldChar w:fldCharType="begin"/>
      </w:r>
      <w:r w:rsidR="00DD62DD">
        <w:instrText xml:space="preserve"> SEQ Table \* ARABIC </w:instrText>
      </w:r>
      <w:r w:rsidR="00DD62DD">
        <w:fldChar w:fldCharType="separate"/>
      </w:r>
      <w:r w:rsidR="00AA0686">
        <w:rPr>
          <w:noProof/>
        </w:rPr>
        <w:t>3</w:t>
      </w:r>
      <w:r w:rsidR="00DD62DD">
        <w:rPr>
          <w:noProof/>
        </w:rPr>
        <w:fldChar w:fldCharType="end"/>
      </w:r>
      <w:r w:rsidR="00055E91" w:rsidRPr="001A4B85">
        <w:tab/>
        <w:t xml:space="preserve">Presentation of the newly proposed MBS item descriptors </w:t>
      </w:r>
    </w:p>
    <w:tbl>
      <w:tblPr>
        <w:tblStyle w:val="TableGrid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55E91" w:rsidRPr="00FD09FC" w14:paraId="164CC2CD" w14:textId="77777777" w:rsidTr="003F5B59">
        <w:trPr>
          <w:cnfStyle w:val="100000000000" w:firstRow="1" w:lastRow="0" w:firstColumn="0" w:lastColumn="0" w:oddVBand="0" w:evenVBand="0" w:oddHBand="0" w:evenHBand="0" w:firstRowFirstColumn="0" w:firstRowLastColumn="0" w:lastRowFirstColumn="0" w:lastRowLastColumn="0"/>
          <w:trHeight w:val="351"/>
          <w:tblHeader/>
        </w:trPr>
        <w:tc>
          <w:tcPr>
            <w:tcW w:w="5000" w:type="pct"/>
            <w:tcBorders>
              <w:top w:val="single" w:sz="4" w:space="0" w:color="000000"/>
              <w:left w:val="single" w:sz="4" w:space="0" w:color="000000"/>
              <w:bottom w:val="single" w:sz="4" w:space="0" w:color="000000"/>
              <w:right w:val="single" w:sz="4" w:space="0" w:color="000000"/>
            </w:tcBorders>
            <w:hideMark/>
          </w:tcPr>
          <w:p w14:paraId="0B8BD7B4" w14:textId="77777777" w:rsidR="00055E91" w:rsidRPr="00FD09FC" w:rsidRDefault="00055E91" w:rsidP="00FD09FC">
            <w:pPr>
              <w:keepNext/>
              <w:spacing w:after="120"/>
              <w:contextualSpacing/>
              <w:jc w:val="right"/>
              <w:rPr>
                <w:rFonts w:ascii="Arial Narrow" w:hAnsi="Arial Narrow" w:cstheme="minorHAnsi"/>
              </w:rPr>
            </w:pPr>
            <w:r w:rsidRPr="00FD09FC">
              <w:rPr>
                <w:rFonts w:ascii="Arial Narrow" w:hAnsi="Arial Narrow" w:cstheme="minorHAnsi"/>
              </w:rPr>
              <w:t>Category 6 - PATHOLOGY SERVICES – (proposed category description)</w:t>
            </w:r>
          </w:p>
          <w:p w14:paraId="0EDED98E" w14:textId="77777777" w:rsidR="00055E91" w:rsidRPr="00FD09FC" w:rsidRDefault="00055E91" w:rsidP="00FD09FC">
            <w:pPr>
              <w:keepNext/>
              <w:spacing w:after="120"/>
              <w:jc w:val="right"/>
              <w:rPr>
                <w:rFonts w:ascii="Arial Narrow" w:hAnsi="Arial Narrow" w:cstheme="minorHAnsi"/>
              </w:rPr>
            </w:pPr>
            <w:r w:rsidRPr="00FD09FC">
              <w:rPr>
                <w:rFonts w:ascii="Arial Narrow" w:hAnsi="Arial Narrow" w:cstheme="minorHAnsi"/>
              </w:rPr>
              <w:t>Group P2 – Chemical (proposed group description)</w:t>
            </w:r>
          </w:p>
        </w:tc>
      </w:tr>
      <w:tr w:rsidR="00055E91" w:rsidRPr="00FD09FC" w14:paraId="142C1AC4" w14:textId="77777777" w:rsidTr="003F5B59">
        <w:tc>
          <w:tcPr>
            <w:tcW w:w="5000" w:type="pct"/>
            <w:tcBorders>
              <w:top w:val="single" w:sz="4" w:space="0" w:color="000000"/>
              <w:left w:val="single" w:sz="4" w:space="0" w:color="000000"/>
              <w:bottom w:val="single" w:sz="4" w:space="0" w:color="000000"/>
              <w:right w:val="single" w:sz="4" w:space="0" w:color="000000"/>
            </w:tcBorders>
          </w:tcPr>
          <w:p w14:paraId="149B9F55" w14:textId="7C3DF5CB" w:rsidR="00055E91" w:rsidRPr="00FD09FC" w:rsidRDefault="00055E91" w:rsidP="00FD09FC">
            <w:pPr>
              <w:keepNext/>
              <w:spacing w:after="120"/>
              <w:rPr>
                <w:rFonts w:ascii="Arial Narrow" w:hAnsi="Arial Narrow" w:cstheme="minorHAnsi"/>
              </w:rPr>
            </w:pPr>
            <w:r w:rsidRPr="00FD09FC">
              <w:rPr>
                <w:rFonts w:ascii="Arial Narrow" w:hAnsi="Arial Narrow" w:cstheme="minorHAnsi"/>
              </w:rPr>
              <w:t xml:space="preserve">Proposed item descriptor: </w:t>
            </w:r>
          </w:p>
          <w:p w14:paraId="313C3C46" w14:textId="700B59D7" w:rsidR="00055E91" w:rsidRPr="00FD09FC" w:rsidRDefault="00055E91" w:rsidP="00FD09FC">
            <w:pPr>
              <w:keepNext/>
              <w:spacing w:after="120"/>
              <w:rPr>
                <w:rFonts w:ascii="Arial Narrow" w:hAnsi="Arial Narrow" w:cstheme="minorHAnsi"/>
              </w:rPr>
            </w:pPr>
            <w:r w:rsidRPr="00FD09FC">
              <w:rPr>
                <w:rFonts w:ascii="Arial Narrow" w:hAnsi="Arial Narrow" w:cstheme="minorHAnsi"/>
              </w:rPr>
              <w:t xml:space="preserve">Quantification of laboratory-based NT </w:t>
            </w:r>
            <w:proofErr w:type="spellStart"/>
            <w:r w:rsidRPr="00FD09FC">
              <w:rPr>
                <w:rFonts w:ascii="Arial Narrow" w:hAnsi="Arial Narrow" w:cstheme="minorHAnsi"/>
              </w:rPr>
              <w:t>proBNP</w:t>
            </w:r>
            <w:proofErr w:type="spellEnd"/>
            <w:r w:rsidRPr="00FD09FC">
              <w:rPr>
                <w:rFonts w:ascii="Arial Narrow" w:hAnsi="Arial Narrow" w:cstheme="minorHAnsi"/>
              </w:rPr>
              <w:t xml:space="preserve"> testing in patients with diagnosed pulmonary arterial hypertension for risk assessment.</w:t>
            </w:r>
          </w:p>
          <w:p w14:paraId="6EE117D7" w14:textId="77777777" w:rsidR="00055E91" w:rsidRPr="00FD09FC" w:rsidRDefault="00055E91" w:rsidP="00FD09FC">
            <w:pPr>
              <w:keepNext/>
              <w:spacing w:after="120"/>
              <w:rPr>
                <w:rFonts w:ascii="Arial Narrow" w:hAnsi="Arial Narrow" w:cstheme="minorHAnsi"/>
              </w:rPr>
            </w:pPr>
            <w:r w:rsidRPr="00FD09FC">
              <w:rPr>
                <w:rFonts w:ascii="Arial Narrow" w:hAnsi="Arial Narrow" w:cstheme="minorHAnsi"/>
              </w:rPr>
              <w:t>Maximum of 4 tests per patient in any one year.</w:t>
            </w:r>
          </w:p>
          <w:p w14:paraId="4C5C8376" w14:textId="77777777" w:rsidR="00055E91" w:rsidRPr="00FD09FC" w:rsidRDefault="00055E91" w:rsidP="00FD09FC">
            <w:pPr>
              <w:keepNext/>
              <w:spacing w:after="120"/>
              <w:rPr>
                <w:rFonts w:ascii="Arial Narrow" w:hAnsi="Arial Narrow"/>
                <w:lang w:eastAsia="ja-JP"/>
              </w:rPr>
            </w:pPr>
            <w:r w:rsidRPr="00FD09FC">
              <w:rPr>
                <w:rFonts w:ascii="Arial Narrow" w:hAnsi="Arial Narrow" w:cstheme="minorHAnsi"/>
              </w:rPr>
              <w:t>Fee: $58.50 Benefit: 75% = $43.90 85% = $49.75</w:t>
            </w:r>
          </w:p>
        </w:tc>
      </w:tr>
    </w:tbl>
    <w:p w14:paraId="219AC1CC" w14:textId="25274C4E" w:rsidR="009F4E02" w:rsidRPr="001A4B85" w:rsidRDefault="009F4E02" w:rsidP="00AA0686">
      <w:pPr>
        <w:pStyle w:val="TableFooter"/>
      </w:pPr>
      <w:r>
        <w:t xml:space="preserve">Source: Table 1-7, </w:t>
      </w:r>
      <w:proofErr w:type="spellStart"/>
      <w:r>
        <w:t>pg</w:t>
      </w:r>
      <w:proofErr w:type="spellEnd"/>
      <w:r>
        <w:t xml:space="preserve"> 34 of MSAC 1689.1 ADAR </w:t>
      </w:r>
    </w:p>
    <w:p w14:paraId="7B0B7CF5" w14:textId="0C3876F9" w:rsidR="00055E91" w:rsidRPr="001A4B85" w:rsidRDefault="00055E91" w:rsidP="00055E91">
      <w:r w:rsidRPr="001A4B85">
        <w:t xml:space="preserve">The proposed item descriptor </w:t>
      </w:r>
      <w:r w:rsidR="000750F3" w:rsidRPr="001A4B85">
        <w:t xml:space="preserve">is </w:t>
      </w:r>
      <w:r w:rsidRPr="001A4B85">
        <w:t>unchanged compared to the proposed item descriptor presented in the ratified PICO</w:t>
      </w:r>
      <w:r w:rsidR="000750F3" w:rsidRPr="001A4B85">
        <w:t xml:space="preserve"> and the original submission except for the deletion of the word “ongoing” as this was considered superfluous</w:t>
      </w:r>
      <w:r w:rsidRPr="001A4B85">
        <w:t>.</w:t>
      </w:r>
    </w:p>
    <w:p w14:paraId="5D8CED70" w14:textId="77777777" w:rsidR="004D6CF6" w:rsidRDefault="004D6CF6" w:rsidP="00055E91">
      <w:r w:rsidRPr="004D6CF6">
        <w:t>Janssen acknowledges MSAC’s consideration to not restrict the MBS Item to specified specialists and amend the item descriptor to state that the test can be requested by a treating medical practitioner in consultation with a specialist. However, following advice received by expert clinician, Janssen understands that non-specialist medical professionals are unlikely to be conducting risk assessment or treating patients with PAH. Therefore, this change has not been incorporated in the proposed MBS Item Descriptor.</w:t>
      </w:r>
    </w:p>
    <w:p w14:paraId="02C5C635" w14:textId="60EC1FCD" w:rsidR="00055E91" w:rsidRPr="001A4B85" w:rsidRDefault="00055E91" w:rsidP="00055E91">
      <w:r w:rsidRPr="001A4B85">
        <w:t>NT-</w:t>
      </w:r>
      <w:proofErr w:type="spellStart"/>
      <w:r w:rsidRPr="001A4B85">
        <w:t>proBNP</w:t>
      </w:r>
      <w:proofErr w:type="spellEnd"/>
      <w:r w:rsidRPr="001A4B85">
        <w:t xml:space="preserve"> is a non-invasive blood test already available from many diagnostic laboratories for the detection of heart failure.</w:t>
      </w:r>
      <w:r w:rsidR="00913B89" w:rsidRPr="001A4B85">
        <w:t xml:space="preserve"> This application does not include point of care testing for NT-</w:t>
      </w:r>
      <w:proofErr w:type="spellStart"/>
      <w:r w:rsidR="00913B89" w:rsidRPr="001A4B85">
        <w:t>proBNP</w:t>
      </w:r>
      <w:proofErr w:type="spellEnd"/>
      <w:r w:rsidR="000230ED" w:rsidRPr="001A4B85">
        <w:t>.</w:t>
      </w:r>
    </w:p>
    <w:p w14:paraId="6CC75DFC" w14:textId="697EEE86" w:rsidR="00055E91" w:rsidRPr="001A4B85" w:rsidRDefault="00055E91" w:rsidP="00055E91">
      <w:r w:rsidRPr="001A4B85">
        <w:t>Public funding would make NT-</w:t>
      </w:r>
      <w:proofErr w:type="spellStart"/>
      <w:r w:rsidRPr="001A4B85">
        <w:t>proBNP</w:t>
      </w:r>
      <w:proofErr w:type="spellEnd"/>
      <w:r w:rsidRPr="001A4B85">
        <w:t xml:space="preserve"> testing more equitable and accessible.</w:t>
      </w:r>
      <w:r w:rsidR="00C37337">
        <w:t xml:space="preserve"> </w:t>
      </w:r>
      <w:r w:rsidR="00C37337" w:rsidRPr="00C37337">
        <w:t>This was acknowledged by MSAC in their initial consideration of funding for this test where they noted “equity of access to TTE was a significant consideration” given that “NT-</w:t>
      </w:r>
      <w:proofErr w:type="spellStart"/>
      <w:r w:rsidR="00C37337" w:rsidRPr="00C37337">
        <w:t>proBNP</w:t>
      </w:r>
      <w:proofErr w:type="spellEnd"/>
      <w:r w:rsidR="00C37337" w:rsidRPr="00C37337">
        <w:t xml:space="preserve"> would be a more accessible test than TTE, particularly for people who live in rural and remote areas</w:t>
      </w:r>
      <w:r w:rsidR="00C37337">
        <w:t>.</w:t>
      </w:r>
      <w:r w:rsidR="00C37337" w:rsidRPr="00C37337">
        <w:t>”</w:t>
      </w:r>
    </w:p>
    <w:p w14:paraId="4EC72FDB" w14:textId="79BF9710" w:rsidR="005634FB" w:rsidRPr="001A4B85" w:rsidRDefault="00055E91" w:rsidP="00055E91">
      <w:r w:rsidRPr="001A4B85">
        <w:t>As elevated NT-</w:t>
      </w:r>
      <w:proofErr w:type="spellStart"/>
      <w:r w:rsidRPr="001A4B85">
        <w:t>proBNP</w:t>
      </w:r>
      <w:proofErr w:type="spellEnd"/>
      <w:r w:rsidRPr="001A4B85">
        <w:t xml:space="preserve"> levels are not specific to PAH, this test is proposed as part of a </w:t>
      </w:r>
      <w:r w:rsidR="004D6CF6">
        <w:t>risk classification</w:t>
      </w:r>
      <w:r w:rsidR="0082089F" w:rsidRPr="001A4B85">
        <w:t xml:space="preserve"> </w:t>
      </w:r>
      <w:r w:rsidRPr="001A4B85">
        <w:t>algorithm for patients</w:t>
      </w:r>
      <w:r w:rsidR="004D6CF6">
        <w:t xml:space="preserve"> with PAH</w:t>
      </w:r>
      <w:r w:rsidRPr="001A4B85">
        <w:t>.</w:t>
      </w:r>
    </w:p>
    <w:p w14:paraId="7E564F2B" w14:textId="6880A9C6" w:rsidR="00055E91" w:rsidRPr="001A4B85" w:rsidRDefault="00840EF5" w:rsidP="00361DA0">
      <w:pPr>
        <w:pStyle w:val="ESHeading1"/>
      </w:pPr>
      <w:bookmarkStart w:id="18" w:name="_Toc69491419"/>
      <w:bookmarkStart w:id="19" w:name="_Toc131604309"/>
      <w:r>
        <w:t>7</w:t>
      </w:r>
      <w:r w:rsidR="00055E91" w:rsidRPr="001A4B85">
        <w:t>.</w:t>
      </w:r>
      <w:r w:rsidR="00055E91" w:rsidRPr="001A4B85">
        <w:tab/>
        <w:t>Population</w:t>
      </w:r>
      <w:bookmarkEnd w:id="18"/>
      <w:bookmarkEnd w:id="19"/>
      <w:r w:rsidR="00055E91" w:rsidRPr="001A4B85">
        <w:t xml:space="preserve"> </w:t>
      </w:r>
    </w:p>
    <w:p w14:paraId="03200EC6" w14:textId="31E449CD" w:rsidR="00720417" w:rsidRDefault="00720417" w:rsidP="00055E91">
      <w:r>
        <w:t>The population that is eligible for the proposed health technology is unchanged from the initial submission (ADAR 1689).</w:t>
      </w:r>
    </w:p>
    <w:p w14:paraId="461BAABF" w14:textId="1EC13963" w:rsidR="00055E91" w:rsidRPr="001A4B85" w:rsidRDefault="00055E91" w:rsidP="00055E91">
      <w:r w:rsidRPr="001A4B85">
        <w:t xml:space="preserve">Pulmonary hypertension (PH) </w:t>
      </w:r>
      <w:r w:rsidR="008062E5" w:rsidRPr="001A4B85">
        <w:t xml:space="preserve">is a condition of increased blood pressure in the arteries of the lungs and </w:t>
      </w:r>
      <w:r w:rsidRPr="001A4B85">
        <w:t>has been classified into five categories sharing similar pathological findings, hemodynamic characteristics, and management. PAH</w:t>
      </w:r>
      <w:r w:rsidR="008062E5" w:rsidRPr="001A4B85">
        <w:t>, which is caused by right heart disease,</w:t>
      </w:r>
      <w:r w:rsidRPr="001A4B85">
        <w:t xml:space="preserve"> is classified as </w:t>
      </w:r>
      <w:r w:rsidR="008062E5" w:rsidRPr="001A4B85">
        <w:t xml:space="preserve">World Health Organisation (WHO) </w:t>
      </w:r>
      <w:r w:rsidRPr="001A4B85">
        <w:t>Group</w:t>
      </w:r>
      <w:r w:rsidR="002521B0">
        <w:t xml:space="preserve"> </w:t>
      </w:r>
      <w:r w:rsidRPr="001A4B85">
        <w:t>1</w:t>
      </w:r>
      <w:r w:rsidR="000230ED" w:rsidRPr="001A4B85">
        <w:t xml:space="preserve"> PH disease</w:t>
      </w:r>
      <w:r w:rsidRPr="001A4B85">
        <w:t>.</w:t>
      </w:r>
      <w:r w:rsidR="008062E5" w:rsidRPr="001A4B85">
        <w:t xml:space="preserve"> Other causes of PH include left heart disease (WHO Group 2), lung disease (WHO Group 3), chronic arterial obstruction (WHO Group 4). WHO Group 5 is defined as PH caused by unclear or multifactorial mechanisms.</w:t>
      </w:r>
    </w:p>
    <w:p w14:paraId="2E724A36" w14:textId="77777777" w:rsidR="00055E91" w:rsidRPr="001A4B85" w:rsidRDefault="00055E91" w:rsidP="00055E91">
      <w:r w:rsidRPr="001A4B85">
        <w:t>PAH is a rare, severe, intractable, and debilitating progressive clinical condition characterised by a sustained elevation of pulmonary vascular resistance (due to narrowing of the pulmonary arteries), which if left untreated ultimately leads to right heart failure and death.</w:t>
      </w:r>
    </w:p>
    <w:p w14:paraId="2C6C406A" w14:textId="77777777" w:rsidR="009A3BDA" w:rsidRPr="001A4B85" w:rsidRDefault="00055E91" w:rsidP="00840EF5">
      <w:pPr>
        <w:spacing w:after="0"/>
      </w:pPr>
      <w:r w:rsidRPr="001A4B85">
        <w:t xml:space="preserve">The symptoms of PAH are </w:t>
      </w:r>
      <w:r w:rsidR="00A04A75" w:rsidRPr="001A4B85">
        <w:t xml:space="preserve">initially </w:t>
      </w:r>
      <w:r w:rsidRPr="001A4B85">
        <w:t xml:space="preserve">non-specific and mainly related to progressive right ventricular (RV) dysfunction, with </w:t>
      </w:r>
      <w:r w:rsidR="00A04A75" w:rsidRPr="001A4B85">
        <w:t>ongoing</w:t>
      </w:r>
      <w:r w:rsidRPr="001A4B85">
        <w:t xml:space="preserve"> symptoms typically induced by exertion, including shortness of breath, fatigue, weakness, angina, and syncope. Symptoms at rest occur only in advanced </w:t>
      </w:r>
      <w:r w:rsidR="009A3BDA" w:rsidRPr="001A4B85">
        <w:t>cases.</w:t>
      </w:r>
    </w:p>
    <w:p w14:paraId="2DBE6001" w14:textId="6EE162A9" w:rsidR="00055E91" w:rsidRPr="001A4B85" w:rsidRDefault="00840EF5" w:rsidP="00EB763D">
      <w:pPr>
        <w:pStyle w:val="ESHeading1"/>
      </w:pPr>
      <w:bookmarkStart w:id="20" w:name="_Toc69491420"/>
      <w:bookmarkStart w:id="21" w:name="_Toc131604310"/>
      <w:r>
        <w:lastRenderedPageBreak/>
        <w:t>8</w:t>
      </w:r>
      <w:r w:rsidR="00055E91" w:rsidRPr="001A4B85">
        <w:t>.</w:t>
      </w:r>
      <w:r w:rsidR="00055E91" w:rsidRPr="001A4B85">
        <w:tab/>
      </w:r>
      <w:r w:rsidR="00055E91" w:rsidRPr="00720417">
        <w:t>Comparator</w:t>
      </w:r>
      <w:bookmarkEnd w:id="20"/>
      <w:bookmarkEnd w:id="21"/>
    </w:p>
    <w:p w14:paraId="565102DF" w14:textId="5792E069" w:rsidR="00066DEC" w:rsidRDefault="00066DEC" w:rsidP="00066DEC">
      <w:r>
        <w:t xml:space="preserve">As noted previously, what has changed since the previous submission is the update to the </w:t>
      </w:r>
      <w:r w:rsidRPr="00F55BF6">
        <w:t>ESC/ESR</w:t>
      </w:r>
      <w:r>
        <w:t xml:space="preserve"> </w:t>
      </w:r>
      <w:r w:rsidRPr="00720417">
        <w:t>guidelines</w:t>
      </w:r>
      <w:r>
        <w:t xml:space="preserve"> which now recommend use of </w:t>
      </w:r>
      <w:r w:rsidRPr="00863372">
        <w:t>the 4-stratum model for risk-stratification</w:t>
      </w:r>
      <w:r>
        <w:t xml:space="preserve">, thus requiring a new assessment of the </w:t>
      </w:r>
      <w:r w:rsidRPr="00897CB9">
        <w:t>effectiveness of the 4-stratum risk classification model</w:t>
      </w:r>
      <w:r>
        <w:t>s (using NT-</w:t>
      </w:r>
      <w:proofErr w:type="spellStart"/>
      <w:r>
        <w:t>proBNP</w:t>
      </w:r>
      <w:proofErr w:type="spellEnd"/>
      <w:r>
        <w:t xml:space="preserve"> levels)</w:t>
      </w:r>
      <w:r w:rsidRPr="00897CB9">
        <w:t xml:space="preserve"> </w:t>
      </w:r>
      <w:r>
        <w:t>compared to</w:t>
      </w:r>
      <w:r w:rsidRPr="00897CB9">
        <w:t xml:space="preserve"> 3-stratum models</w:t>
      </w:r>
      <w:r>
        <w:t xml:space="preserve">. </w:t>
      </w:r>
    </w:p>
    <w:p w14:paraId="15B7AF56" w14:textId="34A46294" w:rsidR="005F31A2" w:rsidRDefault="00776CD2" w:rsidP="00720417">
      <w:r w:rsidRPr="00776CD2">
        <w:t xml:space="preserve">The comparator </w:t>
      </w:r>
      <w:r>
        <w:t>in the original ADAR wa</w:t>
      </w:r>
      <w:r w:rsidRPr="00776CD2">
        <w:t xml:space="preserve">s “a risk-assessment </w:t>
      </w:r>
      <w:r w:rsidR="005F31A2">
        <w:t xml:space="preserve">tool </w:t>
      </w:r>
      <w:r w:rsidRPr="00776CD2">
        <w:t>(without NT-</w:t>
      </w:r>
      <w:proofErr w:type="spellStart"/>
      <w:r w:rsidRPr="00776CD2">
        <w:t>proBNP</w:t>
      </w:r>
      <w:proofErr w:type="spellEnd"/>
      <w:r w:rsidRPr="00776CD2">
        <w:t xml:space="preserve">) every 3-6 months to guide the need for repeat TTE and/or </w:t>
      </w:r>
      <w:r w:rsidR="005F31A2">
        <w:t xml:space="preserve">right heart </w:t>
      </w:r>
      <w:r w:rsidR="00CF656B">
        <w:t>catheterization</w:t>
      </w:r>
      <w:r w:rsidR="005F31A2">
        <w:t xml:space="preserve"> (</w:t>
      </w:r>
      <w:r w:rsidRPr="00776CD2">
        <w:t>RHC</w:t>
      </w:r>
      <w:r w:rsidR="005F31A2">
        <w:t>)</w:t>
      </w:r>
      <w:r w:rsidRPr="00776CD2">
        <w:t xml:space="preserve"> if symptoms worsen or there is a change in therapy</w:t>
      </w:r>
      <w:r w:rsidR="005F31A2">
        <w:t>.</w:t>
      </w:r>
      <w:r w:rsidRPr="00776CD2">
        <w:t>”</w:t>
      </w:r>
      <w:r w:rsidR="005F31A2" w:rsidRPr="005F31A2">
        <w:t xml:space="preserve"> </w:t>
      </w:r>
      <w:r w:rsidR="005F31A2">
        <w:t xml:space="preserve">It should be noted that </w:t>
      </w:r>
      <w:r w:rsidR="005F31A2" w:rsidRPr="005F31A2">
        <w:t>TTE is a frequently used tool in the risk assessment of PAH patients, and is routinely used in risk management algorithms that do not use NT-</w:t>
      </w:r>
      <w:proofErr w:type="spellStart"/>
      <w:r w:rsidR="005F31A2" w:rsidRPr="005F31A2">
        <w:t>proBNP</w:t>
      </w:r>
      <w:proofErr w:type="spellEnd"/>
      <w:r w:rsidR="005A0337">
        <w:t xml:space="preserve">. </w:t>
      </w:r>
      <w:r w:rsidR="005F31A2">
        <w:t>Thus, in the absence of NT-</w:t>
      </w:r>
      <w:proofErr w:type="spellStart"/>
      <w:r w:rsidR="005F31A2">
        <w:t>proBNP</w:t>
      </w:r>
      <w:proofErr w:type="spellEnd"/>
      <w:r w:rsidR="005F31A2">
        <w:t xml:space="preserve">, TTE would be used regularly in clinical practice </w:t>
      </w:r>
      <w:r w:rsidR="00C25AF2">
        <w:t xml:space="preserve">as part of a risk classification tool </w:t>
      </w:r>
      <w:r w:rsidR="005F31A2">
        <w:t xml:space="preserve">to </w:t>
      </w:r>
      <w:r w:rsidR="005F31A2" w:rsidRPr="005F31A2">
        <w:t>guide the need for repeat RHC</w:t>
      </w:r>
      <w:r w:rsidR="005F31A2">
        <w:t>.</w:t>
      </w:r>
    </w:p>
    <w:p w14:paraId="37EF33EE" w14:textId="16F0FC09" w:rsidR="00556150" w:rsidRDefault="00F256C8" w:rsidP="00AA69E0">
      <w:r>
        <w:t xml:space="preserve">While </w:t>
      </w:r>
      <w:r w:rsidR="00E3463C">
        <w:t xml:space="preserve">in </w:t>
      </w:r>
      <w:r>
        <w:t>the ADAR</w:t>
      </w:r>
      <w:r w:rsidR="00E3463C">
        <w:t xml:space="preserve"> the</w:t>
      </w:r>
      <w:r>
        <w:t xml:space="preserve"> 4-stratum model has been correctly placed in the proposed clinical management algorithm</w:t>
      </w:r>
      <w:r w:rsidR="005A138E">
        <w:t xml:space="preserve">, </w:t>
      </w:r>
      <w:r w:rsidR="005B0B56">
        <w:t xml:space="preserve">the commentary noted that </w:t>
      </w:r>
      <w:r w:rsidR="005A138E">
        <w:t xml:space="preserve">it has also </w:t>
      </w:r>
      <w:r w:rsidR="00556150">
        <w:t xml:space="preserve">incorrectly included </w:t>
      </w:r>
      <w:r w:rsidR="00C25AF2">
        <w:t>a</w:t>
      </w:r>
      <w:r w:rsidR="00556150">
        <w:t xml:space="preserve"> 4-st</w:t>
      </w:r>
      <w:r w:rsidR="00A26C7A">
        <w:t>ra</w:t>
      </w:r>
      <w:r w:rsidR="00556150">
        <w:t>tum model in the current clinical management algorithm. This is incorrect</w:t>
      </w:r>
      <w:r w:rsidR="00C25AF2">
        <w:t>, as</w:t>
      </w:r>
      <w:r w:rsidR="00556150" w:rsidRPr="00556150">
        <w:t xml:space="preserve"> the </w:t>
      </w:r>
      <w:r w:rsidR="00B3672B">
        <w:t xml:space="preserve">new </w:t>
      </w:r>
      <w:r w:rsidR="00556150" w:rsidRPr="00556150">
        <w:t xml:space="preserve">4-stratum risk classification </w:t>
      </w:r>
      <w:r w:rsidR="00556150">
        <w:t xml:space="preserve">tool </w:t>
      </w:r>
      <w:r w:rsidR="00556150" w:rsidRPr="00556150">
        <w:t xml:space="preserve">has </w:t>
      </w:r>
      <w:r w:rsidR="00556150">
        <w:t>not</w:t>
      </w:r>
      <w:r w:rsidR="00556150" w:rsidRPr="00556150">
        <w:t xml:space="preserve"> been validated</w:t>
      </w:r>
      <w:r w:rsidR="00C25AF2">
        <w:t xml:space="preserve"> for the</w:t>
      </w:r>
      <w:r w:rsidR="00556150" w:rsidRPr="00556150">
        <w:t xml:space="preserve"> us</w:t>
      </w:r>
      <w:r w:rsidR="00C25AF2">
        <w:t>e of</w:t>
      </w:r>
      <w:r w:rsidR="00556150" w:rsidRPr="00556150">
        <w:t xml:space="preserve"> </w:t>
      </w:r>
      <w:r w:rsidR="00556150">
        <w:t>TTE</w:t>
      </w:r>
      <w:r w:rsidR="00556150" w:rsidRPr="00556150">
        <w:t xml:space="preserve"> as one of the parameters</w:t>
      </w:r>
      <w:r w:rsidR="00203A5F">
        <w:t xml:space="preserve"> and therefore should not be included in the current clinical management algorithm</w:t>
      </w:r>
      <w:r w:rsidR="00556150">
        <w:t>.</w:t>
      </w:r>
    </w:p>
    <w:p w14:paraId="22332640" w14:textId="195250F7" w:rsidR="00D36C36" w:rsidRDefault="00AA69E0" w:rsidP="00840EF5">
      <w:pPr>
        <w:spacing w:after="0"/>
      </w:pPr>
      <w:r>
        <w:t>As 3-stratum risk calculators using NT-</w:t>
      </w:r>
      <w:proofErr w:type="spellStart"/>
      <w:r>
        <w:t>proBNP</w:t>
      </w:r>
      <w:proofErr w:type="spellEnd"/>
      <w:r>
        <w:t xml:space="preserve"> levels were considered </w:t>
      </w:r>
      <w:r w:rsidR="00AB383E">
        <w:t>by MSAC in the previous application 1689</w:t>
      </w:r>
      <w:r>
        <w:t xml:space="preserve"> to be non-inferior to those using TTE</w:t>
      </w:r>
      <w:r w:rsidR="004D12B8">
        <w:t xml:space="preserve">, </w:t>
      </w:r>
      <w:r w:rsidR="002B3CA6">
        <w:t xml:space="preserve">a finding of non-inferiority between </w:t>
      </w:r>
      <w:r w:rsidR="002B3CA6" w:rsidRPr="00897CB9">
        <w:t>4-stratum risk classification model</w:t>
      </w:r>
      <w:r w:rsidR="002B3CA6">
        <w:t>s using NT-</w:t>
      </w:r>
      <w:proofErr w:type="spellStart"/>
      <w:r w:rsidR="002B3CA6">
        <w:t>proBNP</w:t>
      </w:r>
      <w:proofErr w:type="spellEnd"/>
      <w:r w:rsidR="002B3CA6">
        <w:t xml:space="preserve"> levels and 3</w:t>
      </w:r>
      <w:r w:rsidR="002B3CA6" w:rsidRPr="00897CB9">
        <w:t>-stratum risk classification model</w:t>
      </w:r>
      <w:r w:rsidR="002B3CA6">
        <w:t>s using NT-</w:t>
      </w:r>
      <w:proofErr w:type="spellStart"/>
      <w:r w:rsidR="002B3CA6">
        <w:t>proBNP</w:t>
      </w:r>
      <w:proofErr w:type="spellEnd"/>
      <w:r w:rsidR="002B3CA6">
        <w:t xml:space="preserve"> levels would also </w:t>
      </w:r>
      <w:r w:rsidR="00DB541A">
        <w:t>imply</w:t>
      </w:r>
      <w:r w:rsidR="002B3CA6">
        <w:t xml:space="preserve"> non-inferiority between </w:t>
      </w:r>
      <w:r w:rsidR="002B3CA6" w:rsidRPr="00897CB9">
        <w:t>4-stratum risk classification model</w:t>
      </w:r>
      <w:r w:rsidR="002B3CA6">
        <w:t>s using NT-</w:t>
      </w:r>
      <w:proofErr w:type="spellStart"/>
      <w:r w:rsidR="002B3CA6">
        <w:t>proBNP</w:t>
      </w:r>
      <w:proofErr w:type="spellEnd"/>
      <w:r w:rsidR="002B3CA6">
        <w:t xml:space="preserve"> levels and 3</w:t>
      </w:r>
      <w:r w:rsidR="002B3CA6" w:rsidRPr="00897CB9">
        <w:t>-stratum risk classification model</w:t>
      </w:r>
      <w:r w:rsidR="002B3CA6">
        <w:t xml:space="preserve">s using only TTE levels. </w:t>
      </w:r>
      <w:r w:rsidR="00AC4161">
        <w:t xml:space="preserve">Thus </w:t>
      </w:r>
      <w:r w:rsidR="00AC4161" w:rsidRPr="00AC4161">
        <w:t xml:space="preserve">the specific 3-stratum tool used for the </w:t>
      </w:r>
      <w:r w:rsidR="00AC4161">
        <w:t xml:space="preserve">revised </w:t>
      </w:r>
      <w:r w:rsidR="00AC4161" w:rsidRPr="00AC4161">
        <w:t>comparison</w:t>
      </w:r>
      <w:r w:rsidR="00AC4161">
        <w:t xml:space="preserve"> in this ADAR (whether including NT-</w:t>
      </w:r>
      <w:proofErr w:type="spellStart"/>
      <w:r w:rsidR="00AC4161">
        <w:t>proBNP</w:t>
      </w:r>
      <w:proofErr w:type="spellEnd"/>
      <w:r w:rsidR="00AC4161">
        <w:t xml:space="preserve"> or only TTE levels)</w:t>
      </w:r>
      <w:r w:rsidR="00AC4161" w:rsidRPr="00AC4161">
        <w:t xml:space="preserve"> is not likely to significantly affect the outcome of the comparative assessment</w:t>
      </w:r>
      <w:r w:rsidR="0011416C">
        <w:t>.</w:t>
      </w:r>
      <w:r w:rsidR="00AC4161" w:rsidRPr="00AC4161">
        <w:t xml:space="preserve"> </w:t>
      </w:r>
      <w:r w:rsidR="00D36C36">
        <w:t xml:space="preserve">This is of relevance because the </w:t>
      </w:r>
      <w:r w:rsidR="00DE5A64">
        <w:t>c</w:t>
      </w:r>
      <w:r w:rsidR="00D36C36">
        <w:t xml:space="preserve">ommentary was unable to identify any </w:t>
      </w:r>
      <w:r w:rsidR="002B3CA6">
        <w:t xml:space="preserve">studies which compared the </w:t>
      </w:r>
      <w:r w:rsidR="00D36C36" w:rsidRPr="00D36C36">
        <w:t>use of the 4-stratum model including NT-</w:t>
      </w:r>
      <w:proofErr w:type="spellStart"/>
      <w:r w:rsidR="00D36C36" w:rsidRPr="00D36C36">
        <w:t>proBNP</w:t>
      </w:r>
      <w:proofErr w:type="spellEnd"/>
      <w:r w:rsidR="00D36C36" w:rsidRPr="00D36C36">
        <w:t>, against a validated 3-stratum model without NT-</w:t>
      </w:r>
      <w:proofErr w:type="spellStart"/>
      <w:r w:rsidR="00D36C36" w:rsidRPr="00D36C36">
        <w:t>proBNP</w:t>
      </w:r>
      <w:proofErr w:type="spellEnd"/>
      <w:r w:rsidR="00DB541A">
        <w:t xml:space="preserve"> - </w:t>
      </w:r>
      <w:r w:rsidR="002B3CA6">
        <w:t>the implications of this are discussed further in section 1</w:t>
      </w:r>
      <w:r w:rsidR="0078691D">
        <w:t>2</w:t>
      </w:r>
      <w:r w:rsidR="002B3CA6">
        <w:t xml:space="preserve">. </w:t>
      </w:r>
    </w:p>
    <w:p w14:paraId="33ADFB71" w14:textId="093916DF" w:rsidR="00055E91" w:rsidRPr="001A4B85" w:rsidRDefault="00840EF5" w:rsidP="00361DA0">
      <w:pPr>
        <w:pStyle w:val="ESHeading1"/>
      </w:pPr>
      <w:bookmarkStart w:id="22" w:name="_Toc69491421"/>
      <w:bookmarkStart w:id="23" w:name="_Toc131604311"/>
      <w:r>
        <w:t>9</w:t>
      </w:r>
      <w:r w:rsidR="00055E91" w:rsidRPr="001A4B85">
        <w:t>.</w:t>
      </w:r>
      <w:r w:rsidR="00055E91" w:rsidRPr="001A4B85">
        <w:tab/>
        <w:t>Summary of public consultation input</w:t>
      </w:r>
      <w:bookmarkEnd w:id="22"/>
      <w:bookmarkEnd w:id="23"/>
    </w:p>
    <w:p w14:paraId="1CC3E64C" w14:textId="6919E409" w:rsidR="00A1422E" w:rsidRPr="00055E91" w:rsidRDefault="00734826" w:rsidP="00A1422E">
      <w:r>
        <w:t xml:space="preserve">The </w:t>
      </w:r>
      <w:r w:rsidR="005C3CFF">
        <w:t xml:space="preserve">previous ADAR </w:t>
      </w:r>
      <w:r w:rsidR="00A1422E">
        <w:t>1689 received input from seven</w:t>
      </w:r>
      <w:r w:rsidR="00A1422E" w:rsidRPr="00055E91">
        <w:t xml:space="preserve"> (</w:t>
      </w:r>
      <w:r w:rsidR="00A1422E">
        <w:t>7</w:t>
      </w:r>
      <w:r w:rsidR="00A1422E" w:rsidRPr="00055E91">
        <w:t xml:space="preserve">) organisations and </w:t>
      </w:r>
      <w:r w:rsidR="00A1422E">
        <w:t>six</w:t>
      </w:r>
      <w:r w:rsidR="00A1422E" w:rsidRPr="00055E91">
        <w:t xml:space="preserve"> (</w:t>
      </w:r>
      <w:r w:rsidR="00A1422E">
        <w:t>6</w:t>
      </w:r>
      <w:r w:rsidR="00A1422E" w:rsidRPr="00055E91">
        <w:t>) individual</w:t>
      </w:r>
      <w:r w:rsidR="00A1422E">
        <w:t>s, five of whom were specialists and one being a nurse. The organisations that submitted input were</w:t>
      </w:r>
      <w:r w:rsidR="00A1422E" w:rsidRPr="00055E91">
        <w:t>:</w:t>
      </w:r>
    </w:p>
    <w:p w14:paraId="2266B98B" w14:textId="77777777" w:rsidR="00A1422E" w:rsidRPr="00055E91" w:rsidRDefault="00A1422E" w:rsidP="00A1422E">
      <w:pPr>
        <w:numPr>
          <w:ilvl w:val="0"/>
          <w:numId w:val="28"/>
        </w:numPr>
        <w:contextualSpacing/>
      </w:pPr>
      <w:r w:rsidRPr="00055E91">
        <w:t>Australian Scleroderma Interest Group (ASIG)</w:t>
      </w:r>
    </w:p>
    <w:p w14:paraId="59E8CB5B" w14:textId="77777777" w:rsidR="00A1422E" w:rsidRPr="00055E91" w:rsidRDefault="00A1422E" w:rsidP="00A1422E">
      <w:pPr>
        <w:numPr>
          <w:ilvl w:val="0"/>
          <w:numId w:val="28"/>
        </w:numPr>
        <w:contextualSpacing/>
      </w:pPr>
      <w:r w:rsidRPr="00055E91">
        <w:t>Scleroderma Australia</w:t>
      </w:r>
    </w:p>
    <w:p w14:paraId="52CE554C" w14:textId="77777777" w:rsidR="00A1422E" w:rsidRPr="00055E91" w:rsidRDefault="00A1422E" w:rsidP="00A1422E">
      <w:pPr>
        <w:numPr>
          <w:ilvl w:val="0"/>
          <w:numId w:val="28"/>
        </w:numPr>
        <w:contextualSpacing/>
      </w:pPr>
      <w:r w:rsidRPr="00055E91">
        <w:t>Thoracic Society of Australia and New Zealand (TSANZ)</w:t>
      </w:r>
    </w:p>
    <w:p w14:paraId="50AB2C62" w14:textId="77777777" w:rsidR="00A1422E" w:rsidRPr="00055E91" w:rsidRDefault="00A1422E" w:rsidP="00A1422E">
      <w:pPr>
        <w:numPr>
          <w:ilvl w:val="0"/>
          <w:numId w:val="28"/>
        </w:numPr>
        <w:contextualSpacing/>
      </w:pPr>
      <w:r w:rsidRPr="00055E91">
        <w:t xml:space="preserve">Australian Rheumatology Association (ARA) </w:t>
      </w:r>
    </w:p>
    <w:p w14:paraId="51D29B65" w14:textId="77777777" w:rsidR="00A1422E" w:rsidRPr="00055E91" w:rsidRDefault="00A1422E" w:rsidP="00A1422E">
      <w:pPr>
        <w:numPr>
          <w:ilvl w:val="0"/>
          <w:numId w:val="28"/>
        </w:numPr>
        <w:contextualSpacing/>
      </w:pPr>
      <w:r w:rsidRPr="00055E91">
        <w:t>Public Pathology Australia (PPA)</w:t>
      </w:r>
    </w:p>
    <w:p w14:paraId="17A04BD5" w14:textId="77777777" w:rsidR="00A1422E" w:rsidRPr="00055E91" w:rsidRDefault="00A1422E" w:rsidP="00A1422E">
      <w:pPr>
        <w:numPr>
          <w:ilvl w:val="0"/>
          <w:numId w:val="28"/>
        </w:numPr>
        <w:contextualSpacing/>
      </w:pPr>
      <w:r w:rsidRPr="00055E91">
        <w:t>The Royal College of Pathologi</w:t>
      </w:r>
      <w:r>
        <w:t>sts</w:t>
      </w:r>
      <w:r w:rsidRPr="00055E91">
        <w:t xml:space="preserve"> of Australasia (RCPA)</w:t>
      </w:r>
    </w:p>
    <w:p w14:paraId="7B89F18F" w14:textId="77777777" w:rsidR="00A1422E" w:rsidRDefault="00A1422E" w:rsidP="00840EF5">
      <w:pPr>
        <w:numPr>
          <w:ilvl w:val="0"/>
          <w:numId w:val="28"/>
        </w:numPr>
        <w:spacing w:after="240"/>
      </w:pPr>
      <w:r>
        <w:t>Lung Foundation Australia (LFA)</w:t>
      </w:r>
      <w:r w:rsidRPr="00055E91">
        <w:t xml:space="preserve"> </w:t>
      </w:r>
    </w:p>
    <w:p w14:paraId="359A3625" w14:textId="59E4B7F1" w:rsidR="00A1422E" w:rsidRDefault="00A1422E" w:rsidP="00840EF5">
      <w:pPr>
        <w:spacing w:before="240"/>
      </w:pPr>
      <w:r w:rsidRPr="0040106F">
        <w:t xml:space="preserve">The consultation feedback received </w:t>
      </w:r>
      <w:r w:rsidR="003651DE">
        <w:t xml:space="preserve">for the previous ADAR </w:t>
      </w:r>
      <w:r w:rsidRPr="0040106F">
        <w:t xml:space="preserve">was </w:t>
      </w:r>
      <w:r w:rsidR="00CE6FE5">
        <w:t xml:space="preserve">generally </w:t>
      </w:r>
      <w:r w:rsidRPr="0040106F">
        <w:t>supportive of public funding of NT-</w:t>
      </w:r>
      <w:proofErr w:type="spellStart"/>
      <w:r w:rsidRPr="0040106F">
        <w:t>proBNP</w:t>
      </w:r>
      <w:proofErr w:type="spellEnd"/>
      <w:r w:rsidRPr="0040106F">
        <w:t xml:space="preserve"> testing </w:t>
      </w:r>
      <w:r w:rsidR="57B884E5">
        <w:t>however it should be noted the ADAR for 1689 assessed NT-</w:t>
      </w:r>
      <w:proofErr w:type="spellStart"/>
      <w:r w:rsidR="57B884E5">
        <w:t>proBNP</w:t>
      </w:r>
      <w:proofErr w:type="spellEnd"/>
      <w:r w:rsidR="57B884E5">
        <w:t xml:space="preserve"> use for two populations: patients with systemic sclerosis and patients with previously diagnosed PAH. The current ADAR (for application 1689.1) is only concerned with the second population</w:t>
      </w:r>
      <w:r w:rsidR="00EC5465">
        <w:t xml:space="preserve"> </w:t>
      </w:r>
      <w:r w:rsidR="57B884E5">
        <w:t xml:space="preserve">- patients previously diagnosed with PAH. </w:t>
      </w:r>
    </w:p>
    <w:p w14:paraId="1F708C5C" w14:textId="1ED41045" w:rsidR="007935DD" w:rsidRDefault="007935DD" w:rsidP="007254DC">
      <w:pPr>
        <w:rPr>
          <w:rFonts w:ascii="Segoe UI" w:hAnsi="Segoe UI" w:cs="Segoe UI"/>
          <w:sz w:val="18"/>
          <w:szCs w:val="18"/>
        </w:rPr>
      </w:pPr>
      <w:r>
        <w:rPr>
          <w:rStyle w:val="normaltextrun"/>
          <w:rFonts w:cs="Calibri"/>
        </w:rPr>
        <w:lastRenderedPageBreak/>
        <w:t>Additional feedback was received for the current ADAR 1689.1 from one non-profit organisation (Lung Foundation Australia), one specialty society (Australian Rheumatology Association) and three (3) consumer organisations, these were:</w:t>
      </w:r>
      <w:r>
        <w:rPr>
          <w:rStyle w:val="eop"/>
          <w:rFonts w:ascii="Calibri" w:hAnsi="Calibri" w:cs="Calibri"/>
        </w:rPr>
        <w:t>  </w:t>
      </w:r>
    </w:p>
    <w:p w14:paraId="3BC568EF" w14:textId="77777777" w:rsidR="007935DD" w:rsidRPr="004B4D41" w:rsidRDefault="007935DD" w:rsidP="007254DC">
      <w:pPr>
        <w:pStyle w:val="ListParagraph"/>
        <w:numPr>
          <w:ilvl w:val="0"/>
          <w:numId w:val="45"/>
        </w:numPr>
        <w:rPr>
          <w:rFonts w:ascii="Calibri" w:hAnsi="Calibri"/>
        </w:rPr>
      </w:pPr>
      <w:r w:rsidRPr="004B4D41">
        <w:rPr>
          <w:rStyle w:val="normaltextrun"/>
          <w:rFonts w:cs="Calibri"/>
        </w:rPr>
        <w:t>Scleroderma Australia</w:t>
      </w:r>
      <w:r w:rsidRPr="004B4D41">
        <w:rPr>
          <w:rStyle w:val="eop"/>
          <w:rFonts w:ascii="Calibri" w:hAnsi="Calibri" w:cs="Calibri"/>
        </w:rPr>
        <w:t> </w:t>
      </w:r>
    </w:p>
    <w:p w14:paraId="1F57658E" w14:textId="77777777" w:rsidR="007935DD" w:rsidRPr="004B4D41" w:rsidRDefault="007935DD" w:rsidP="007254DC">
      <w:pPr>
        <w:pStyle w:val="ListParagraph"/>
        <w:numPr>
          <w:ilvl w:val="0"/>
          <w:numId w:val="45"/>
        </w:numPr>
        <w:rPr>
          <w:rFonts w:ascii="Calibri" w:hAnsi="Calibri"/>
        </w:rPr>
      </w:pPr>
      <w:r w:rsidRPr="004B4D41">
        <w:rPr>
          <w:rStyle w:val="normaltextrun"/>
          <w:rFonts w:cs="Calibri"/>
        </w:rPr>
        <w:t>Lung Foundation Australia (LFA) </w:t>
      </w:r>
      <w:r w:rsidRPr="004B4D41">
        <w:rPr>
          <w:rStyle w:val="eop"/>
          <w:rFonts w:ascii="Calibri" w:hAnsi="Calibri" w:cs="Calibri"/>
        </w:rPr>
        <w:t> </w:t>
      </w:r>
    </w:p>
    <w:p w14:paraId="76DFAC0F" w14:textId="77777777" w:rsidR="007935DD" w:rsidRPr="004B4D41" w:rsidRDefault="007935DD" w:rsidP="007254DC">
      <w:pPr>
        <w:pStyle w:val="ListParagraph"/>
        <w:numPr>
          <w:ilvl w:val="0"/>
          <w:numId w:val="45"/>
        </w:numPr>
        <w:rPr>
          <w:rFonts w:ascii="Calibri" w:hAnsi="Calibri"/>
        </w:rPr>
      </w:pPr>
      <w:r w:rsidRPr="004B4D41">
        <w:rPr>
          <w:rStyle w:val="normaltextrun"/>
          <w:rFonts w:cs="Calibri"/>
        </w:rPr>
        <w:t>Australian Scleroderma Interest Group (ASIG)</w:t>
      </w:r>
      <w:r w:rsidRPr="004B4D41">
        <w:rPr>
          <w:rStyle w:val="eop"/>
          <w:rFonts w:ascii="Calibri" w:hAnsi="Calibri" w:cs="Calibri"/>
        </w:rPr>
        <w:t> </w:t>
      </w:r>
    </w:p>
    <w:p w14:paraId="7DD8B37B" w14:textId="77777777" w:rsidR="007935DD" w:rsidRPr="004B4D41" w:rsidRDefault="007935DD" w:rsidP="007254DC">
      <w:pPr>
        <w:pStyle w:val="ListParagraph"/>
        <w:numPr>
          <w:ilvl w:val="0"/>
          <w:numId w:val="45"/>
        </w:numPr>
        <w:rPr>
          <w:rFonts w:ascii="Calibri" w:hAnsi="Calibri"/>
        </w:rPr>
      </w:pPr>
      <w:r w:rsidRPr="004B4D41">
        <w:rPr>
          <w:rStyle w:val="normaltextrun"/>
          <w:rFonts w:cs="Calibri"/>
        </w:rPr>
        <w:t>Australian Rheumatology Association (ARA) </w:t>
      </w:r>
      <w:r w:rsidRPr="004B4D41">
        <w:rPr>
          <w:rStyle w:val="eop"/>
          <w:rFonts w:ascii="Calibri" w:hAnsi="Calibri" w:cs="Calibri"/>
        </w:rPr>
        <w:t> </w:t>
      </w:r>
    </w:p>
    <w:p w14:paraId="7D6A7595" w14:textId="77777777" w:rsidR="007935DD" w:rsidRPr="004B4D41" w:rsidRDefault="007935DD" w:rsidP="007254DC">
      <w:pPr>
        <w:pStyle w:val="ListParagraph"/>
        <w:numPr>
          <w:ilvl w:val="0"/>
          <w:numId w:val="45"/>
        </w:numPr>
        <w:rPr>
          <w:rFonts w:ascii="Calibri" w:hAnsi="Calibri"/>
        </w:rPr>
      </w:pPr>
      <w:r w:rsidRPr="004B4D41">
        <w:rPr>
          <w:rStyle w:val="normaltextrun"/>
          <w:rFonts w:cs="Calibri"/>
        </w:rPr>
        <w:t>Pulmonary Hypertension Association of Australia (PHAA)</w:t>
      </w:r>
      <w:r w:rsidRPr="004B4D41">
        <w:rPr>
          <w:rStyle w:val="eop"/>
          <w:rFonts w:ascii="Calibri" w:hAnsi="Calibri" w:cs="Calibri"/>
        </w:rPr>
        <w:t> </w:t>
      </w:r>
    </w:p>
    <w:p w14:paraId="248BEA10" w14:textId="08096167" w:rsidR="007935DD" w:rsidRPr="00616BB7" w:rsidRDefault="007935DD" w:rsidP="007254DC">
      <w:pPr>
        <w:rPr>
          <w:rFonts w:ascii="Segoe UI" w:hAnsi="Segoe UI" w:cs="Segoe UI"/>
          <w:sz w:val="18"/>
          <w:szCs w:val="18"/>
        </w:rPr>
      </w:pPr>
      <w:r>
        <w:rPr>
          <w:rStyle w:val="normaltextrun"/>
          <w:rFonts w:cs="Calibri"/>
        </w:rPr>
        <w:t>The consultation feedback received was again supportive of MBS funded NT-</w:t>
      </w:r>
      <w:proofErr w:type="spellStart"/>
      <w:r>
        <w:rPr>
          <w:rStyle w:val="normaltextrun"/>
          <w:rFonts w:cs="Calibri"/>
        </w:rPr>
        <w:t>proBNP</w:t>
      </w:r>
      <w:proofErr w:type="spellEnd"/>
      <w:r>
        <w:rPr>
          <w:rStyle w:val="normaltextrun"/>
          <w:rFonts w:cs="Calibri"/>
        </w:rPr>
        <w:t xml:space="preserve"> tests to provide valuable diagnostic and prognostic information for clinicians managing patients with PAH, as well as greatly improve the quality of life of patients with access to timely and less invasive care. Respondents noted that patients face frequent barriers in accessing TTEs and right heart catheterisation in hospitals including long distance travel and inability to drive, especially for those living in rural, remote and regional areas. </w:t>
      </w:r>
      <w:r>
        <w:rPr>
          <w:rStyle w:val="eop"/>
          <w:rFonts w:ascii="Calibri" w:hAnsi="Calibri" w:cs="Calibri"/>
        </w:rPr>
        <w:t> </w:t>
      </w:r>
      <w:r w:rsidRPr="00616BB7">
        <w:rPr>
          <w:rStyle w:val="normaltextrun"/>
          <w:rFonts w:cs="Calibri"/>
        </w:rPr>
        <w:t>The benefits of the proposed medical service for patients were considered to be: </w:t>
      </w:r>
      <w:r w:rsidRPr="00616BB7">
        <w:rPr>
          <w:rStyle w:val="eop"/>
          <w:rFonts w:ascii="Calibri" w:hAnsi="Calibri" w:cs="Calibri"/>
        </w:rPr>
        <w:t> </w:t>
      </w:r>
    </w:p>
    <w:p w14:paraId="269F1E83" w14:textId="77777777" w:rsidR="007935DD" w:rsidRPr="00616BB7" w:rsidRDefault="007935DD" w:rsidP="007254DC">
      <w:pPr>
        <w:pStyle w:val="ListParagraph"/>
        <w:numPr>
          <w:ilvl w:val="0"/>
          <w:numId w:val="46"/>
        </w:numPr>
        <w:rPr>
          <w:rFonts w:ascii="Calibri" w:hAnsi="Calibri"/>
        </w:rPr>
      </w:pPr>
      <w:r w:rsidRPr="00616BB7">
        <w:rPr>
          <w:rStyle w:val="normaltextrun"/>
          <w:rFonts w:cs="Calibri"/>
        </w:rPr>
        <w:t xml:space="preserve">reduced testing burden on patients with less need for more complex, invasive tests such as TTEs and right heart </w:t>
      </w:r>
      <w:proofErr w:type="spellStart"/>
      <w:r w:rsidRPr="00616BB7">
        <w:rPr>
          <w:rStyle w:val="normaltextrun"/>
          <w:rFonts w:cs="Calibri"/>
        </w:rPr>
        <w:t>catherterisation</w:t>
      </w:r>
      <w:proofErr w:type="spellEnd"/>
      <w:r w:rsidRPr="00616BB7">
        <w:rPr>
          <w:rStyle w:val="eop"/>
          <w:rFonts w:ascii="Calibri" w:hAnsi="Calibri" w:cs="Calibri"/>
        </w:rPr>
        <w:t> </w:t>
      </w:r>
    </w:p>
    <w:p w14:paraId="416251FE" w14:textId="77777777" w:rsidR="007935DD" w:rsidRPr="00616BB7" w:rsidRDefault="007935DD" w:rsidP="007254DC">
      <w:pPr>
        <w:pStyle w:val="ListParagraph"/>
        <w:numPr>
          <w:ilvl w:val="0"/>
          <w:numId w:val="46"/>
        </w:numPr>
        <w:rPr>
          <w:rFonts w:ascii="Calibri" w:hAnsi="Calibri"/>
        </w:rPr>
      </w:pPr>
      <w:r w:rsidRPr="00616BB7">
        <w:rPr>
          <w:rStyle w:val="normaltextrun"/>
          <w:rFonts w:cs="Calibri"/>
        </w:rPr>
        <w:t>reduced costs to patients, health systems and services by reducing the burden of disease on individuals, communities, and governments </w:t>
      </w:r>
      <w:r w:rsidRPr="00616BB7">
        <w:rPr>
          <w:rStyle w:val="eop"/>
          <w:rFonts w:ascii="Calibri" w:hAnsi="Calibri" w:cs="Calibri"/>
        </w:rPr>
        <w:t> </w:t>
      </w:r>
    </w:p>
    <w:p w14:paraId="73F06545" w14:textId="77777777" w:rsidR="007935DD" w:rsidRPr="00616BB7" w:rsidRDefault="007935DD" w:rsidP="007254DC">
      <w:pPr>
        <w:pStyle w:val="ListParagraph"/>
        <w:numPr>
          <w:ilvl w:val="0"/>
          <w:numId w:val="46"/>
        </w:numPr>
        <w:rPr>
          <w:rFonts w:ascii="Calibri" w:hAnsi="Calibri"/>
        </w:rPr>
      </w:pPr>
      <w:r w:rsidRPr="00616BB7">
        <w:rPr>
          <w:rStyle w:val="normaltextrun"/>
          <w:rFonts w:cs="Calibri"/>
        </w:rPr>
        <w:t>accurate monitoring of PAH disease progression and subsequent treatment management </w:t>
      </w:r>
      <w:r w:rsidRPr="00616BB7">
        <w:rPr>
          <w:rStyle w:val="eop"/>
          <w:rFonts w:ascii="Calibri" w:hAnsi="Calibri" w:cs="Calibri"/>
        </w:rPr>
        <w:t> </w:t>
      </w:r>
    </w:p>
    <w:p w14:paraId="686A0CC3" w14:textId="77777777" w:rsidR="007935DD" w:rsidRPr="00616BB7" w:rsidRDefault="007935DD" w:rsidP="007254DC">
      <w:pPr>
        <w:pStyle w:val="ListParagraph"/>
        <w:numPr>
          <w:ilvl w:val="0"/>
          <w:numId w:val="46"/>
        </w:numPr>
        <w:rPr>
          <w:rFonts w:ascii="Calibri" w:hAnsi="Calibri"/>
        </w:rPr>
      </w:pPr>
      <w:r w:rsidRPr="00616BB7">
        <w:rPr>
          <w:rStyle w:val="normaltextrun"/>
          <w:rFonts w:cs="Calibri"/>
        </w:rPr>
        <w:t>potential for improved compliance with regular evaluation which may improve longer term disease management</w:t>
      </w:r>
      <w:r w:rsidRPr="00616BB7">
        <w:rPr>
          <w:rStyle w:val="eop"/>
          <w:rFonts w:ascii="Calibri" w:hAnsi="Calibri" w:cs="Calibri"/>
        </w:rPr>
        <w:t> </w:t>
      </w:r>
    </w:p>
    <w:p w14:paraId="4778890E" w14:textId="77777777" w:rsidR="007935DD" w:rsidRPr="00616BB7" w:rsidRDefault="007935DD" w:rsidP="007254DC">
      <w:pPr>
        <w:pStyle w:val="ListParagraph"/>
        <w:numPr>
          <w:ilvl w:val="0"/>
          <w:numId w:val="46"/>
        </w:numPr>
        <w:rPr>
          <w:rFonts w:ascii="Calibri" w:hAnsi="Calibri"/>
        </w:rPr>
      </w:pPr>
      <w:r w:rsidRPr="00616BB7">
        <w:rPr>
          <w:rStyle w:val="normaltextrun"/>
          <w:rFonts w:cs="Calibri"/>
        </w:rPr>
        <w:t>equity of access for Australian patients to funded NT-</w:t>
      </w:r>
      <w:proofErr w:type="spellStart"/>
      <w:r w:rsidRPr="00616BB7">
        <w:rPr>
          <w:rStyle w:val="normaltextrun"/>
          <w:rFonts w:cs="Calibri"/>
        </w:rPr>
        <w:t>proBNP</w:t>
      </w:r>
      <w:proofErr w:type="spellEnd"/>
      <w:r w:rsidRPr="00616BB7">
        <w:rPr>
          <w:rStyle w:val="normaltextrun"/>
          <w:rFonts w:cs="Calibri"/>
        </w:rPr>
        <w:t xml:space="preserve"> testing in line with current international availability and Guidelines</w:t>
      </w:r>
      <w:r w:rsidRPr="00616BB7">
        <w:rPr>
          <w:rStyle w:val="eop"/>
          <w:rFonts w:ascii="Calibri" w:hAnsi="Calibri" w:cs="Calibri"/>
        </w:rPr>
        <w:t> </w:t>
      </w:r>
    </w:p>
    <w:p w14:paraId="5117905F" w14:textId="77777777" w:rsidR="00AA0585" w:rsidRPr="00055E91" w:rsidRDefault="00AA0585" w:rsidP="007254DC">
      <w:pPr>
        <w:spacing w:after="0"/>
      </w:pPr>
      <w:r w:rsidRPr="001C19DF">
        <w:t>Scleroderma Australia</w:t>
      </w:r>
      <w:r>
        <w:t xml:space="preserve"> was again supportive of the proposition that </w:t>
      </w:r>
      <w:r w:rsidRPr="001C19DF">
        <w:t>ability to access MBS funded NT-</w:t>
      </w:r>
      <w:proofErr w:type="spellStart"/>
      <w:r w:rsidRPr="001C19DF">
        <w:t>proBNP</w:t>
      </w:r>
      <w:proofErr w:type="spellEnd"/>
      <w:r w:rsidRPr="001C19DF">
        <w:t xml:space="preserve"> tests would greatly improve the</w:t>
      </w:r>
      <w:r>
        <w:t xml:space="preserve"> </w:t>
      </w:r>
      <w:r w:rsidRPr="001C19DF">
        <w:t>quality of life</w:t>
      </w:r>
      <w:r>
        <w:t xml:space="preserve"> of their members</w:t>
      </w:r>
      <w:r w:rsidRPr="001C19DF">
        <w:t xml:space="preserve"> as well as make it easier </w:t>
      </w:r>
      <w:r>
        <w:t xml:space="preserve">for them </w:t>
      </w:r>
      <w:r w:rsidRPr="001C19DF">
        <w:t xml:space="preserve">to access timely care. </w:t>
      </w:r>
      <w:r>
        <w:t xml:space="preserve">The submission noted that </w:t>
      </w:r>
      <w:r w:rsidRPr="001C19DF">
        <w:t xml:space="preserve">patients with scleroderma and diagnosed PAH face frequent barriers in accessing TTEs in hospitals including long distance travel and inability to drive, especially for those living in rural, remote and regional areas. </w:t>
      </w:r>
    </w:p>
    <w:p w14:paraId="762EAD5B" w14:textId="3AC4336A" w:rsidR="007935DD" w:rsidRDefault="007935DD" w:rsidP="007254DC">
      <w:pPr>
        <w:rPr>
          <w:rFonts w:ascii="Segoe UI" w:hAnsi="Segoe UI" w:cs="Segoe UI"/>
          <w:sz w:val="18"/>
          <w:szCs w:val="18"/>
        </w:rPr>
      </w:pPr>
      <w:r>
        <w:rPr>
          <w:rStyle w:val="normaltextrun"/>
          <w:rFonts w:cs="Calibri"/>
        </w:rPr>
        <w:t>No disadvantages or concerns were raised in the consultation feedback in regard to the proposed intervention. </w:t>
      </w:r>
      <w:r>
        <w:rPr>
          <w:rStyle w:val="eop"/>
          <w:rFonts w:ascii="Calibri" w:hAnsi="Calibri" w:cs="Calibri"/>
        </w:rPr>
        <w:t> </w:t>
      </w:r>
    </w:p>
    <w:p w14:paraId="1EDE1B41" w14:textId="7A449C8B" w:rsidR="00055E91" w:rsidRPr="001A4B85" w:rsidRDefault="00840EF5" w:rsidP="00361DA0">
      <w:pPr>
        <w:pStyle w:val="ESHeading1"/>
      </w:pPr>
      <w:bookmarkStart w:id="24" w:name="_Toc69491422"/>
      <w:bookmarkStart w:id="25" w:name="_Toc131604312"/>
      <w:r>
        <w:t>10</w:t>
      </w:r>
      <w:r w:rsidR="00055E91" w:rsidRPr="001A4B85">
        <w:t>.</w:t>
      </w:r>
      <w:r w:rsidR="00055E91" w:rsidRPr="001A4B85">
        <w:tab/>
        <w:t>Characteristics of the evidence base</w:t>
      </w:r>
      <w:bookmarkEnd w:id="24"/>
      <w:bookmarkEnd w:id="25"/>
    </w:p>
    <w:p w14:paraId="49C86255" w14:textId="4EEF310D" w:rsidR="00055E91" w:rsidRPr="00C37337" w:rsidRDefault="00C37337" w:rsidP="00055E91">
      <w:r>
        <w:t xml:space="preserve">An updated search of the </w:t>
      </w:r>
      <w:r w:rsidR="00055E91" w:rsidRPr="00C37337">
        <w:t xml:space="preserve">medical literature </w:t>
      </w:r>
      <w:r>
        <w:t xml:space="preserve">of the </w:t>
      </w:r>
      <w:r w:rsidR="005241CA" w:rsidRPr="00C37337">
        <w:t>Em</w:t>
      </w:r>
      <w:r w:rsidR="005241CA">
        <w:t>b</w:t>
      </w:r>
      <w:r w:rsidR="005241CA" w:rsidRPr="00C37337">
        <w:t>ase</w:t>
      </w:r>
      <w:r w:rsidR="005241CA">
        <w:t xml:space="preserve"> </w:t>
      </w:r>
      <w:r>
        <w:t>(plus Medline</w:t>
      </w:r>
      <w:r w:rsidRPr="00C37337">
        <w:t xml:space="preserve">) and Cochrane Library </w:t>
      </w:r>
      <w:r w:rsidR="00055E91" w:rsidRPr="00C37337">
        <w:t xml:space="preserve">was </w:t>
      </w:r>
      <w:r>
        <w:t>undertaken</w:t>
      </w:r>
      <w:r w:rsidR="00055E91" w:rsidRPr="00C37337">
        <w:t xml:space="preserve"> on </w:t>
      </w:r>
      <w:r>
        <w:t>1st</w:t>
      </w:r>
      <w:r w:rsidR="00055E91" w:rsidRPr="00C37337">
        <w:t xml:space="preserve"> </w:t>
      </w:r>
      <w:r>
        <w:t>Dec</w:t>
      </w:r>
      <w:r w:rsidR="00055E91" w:rsidRPr="00C37337">
        <w:t>ember 202</w:t>
      </w:r>
      <w:r>
        <w:t>2</w:t>
      </w:r>
      <w:r w:rsidR="00055E91" w:rsidRPr="00C37337">
        <w:t>)</w:t>
      </w:r>
      <w:r w:rsidR="00FF7679">
        <w:t>, using the search terms listed in</w:t>
      </w:r>
      <w:r w:rsidR="00F55BF6">
        <w:t xml:space="preserve"> </w:t>
      </w:r>
      <w:r w:rsidR="00F55BF6">
        <w:fldChar w:fldCharType="begin"/>
      </w:r>
      <w:r w:rsidR="00F55BF6">
        <w:instrText xml:space="preserve"> REF _Ref131153360 \h </w:instrText>
      </w:r>
      <w:r w:rsidR="00F55BF6">
        <w:fldChar w:fldCharType="separate"/>
      </w:r>
      <w:r w:rsidR="00F55BF6">
        <w:t xml:space="preserve">Table </w:t>
      </w:r>
      <w:r w:rsidR="00F55BF6">
        <w:rPr>
          <w:noProof/>
        </w:rPr>
        <w:t>4</w:t>
      </w:r>
      <w:r w:rsidR="00F55BF6">
        <w:fldChar w:fldCharType="end"/>
      </w:r>
      <w:r w:rsidR="00F55BF6">
        <w:t xml:space="preserve"> </w:t>
      </w:r>
      <w:r w:rsidR="00055E91" w:rsidRPr="00C37337">
        <w:t>to identify relevant studies and systematic reviews/meta-analysis.</w:t>
      </w:r>
    </w:p>
    <w:p w14:paraId="3B3BE1F7" w14:textId="3B573558" w:rsidR="00055E91" w:rsidRPr="001A4B85" w:rsidRDefault="00F55BF6" w:rsidP="00F55BF6">
      <w:pPr>
        <w:pStyle w:val="TableHeading0"/>
      </w:pPr>
      <w:bookmarkStart w:id="26" w:name="_Ref131153360"/>
      <w:r>
        <w:lastRenderedPageBreak/>
        <w:t xml:space="preserve">Table </w:t>
      </w:r>
      <w:r w:rsidR="00DD62DD">
        <w:fldChar w:fldCharType="begin"/>
      </w:r>
      <w:r w:rsidR="00DD62DD">
        <w:instrText xml:space="preserve"> SEQ Table \* ARABIC </w:instrText>
      </w:r>
      <w:r w:rsidR="00DD62DD">
        <w:fldChar w:fldCharType="separate"/>
      </w:r>
      <w:r w:rsidR="00AA0686">
        <w:rPr>
          <w:noProof/>
        </w:rPr>
        <w:t>4</w:t>
      </w:r>
      <w:r w:rsidR="00DD62DD">
        <w:rPr>
          <w:noProof/>
        </w:rPr>
        <w:fldChar w:fldCharType="end"/>
      </w:r>
      <w:bookmarkEnd w:id="26"/>
      <w:r w:rsidR="00055E91" w:rsidRPr="001A4B85">
        <w:tab/>
        <w:t>Search terms used for searching the EMBASE platform</w:t>
      </w:r>
    </w:p>
    <w:tbl>
      <w:tblPr>
        <w:tblStyle w:val="TableGrid1"/>
        <w:tblW w:w="0" w:type="auto"/>
        <w:tblLook w:val="04A0" w:firstRow="1" w:lastRow="0" w:firstColumn="1" w:lastColumn="0" w:noHBand="0" w:noVBand="1"/>
        <w:tblCaption w:val="Table 13 Search terms used (literature search platform)"/>
        <w:tblDescription w:val="This table provides the keywords and indexing terms used to search for literature in a specific bibliographic database."/>
      </w:tblPr>
      <w:tblGrid>
        <w:gridCol w:w="1074"/>
        <w:gridCol w:w="2032"/>
        <w:gridCol w:w="5910"/>
      </w:tblGrid>
      <w:tr w:rsidR="00055E91" w:rsidRPr="001A4B85" w14:paraId="6C720127" w14:textId="77777777" w:rsidTr="003F5B5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auto"/>
          </w:tcPr>
          <w:p w14:paraId="0358A0B8" w14:textId="77777777" w:rsidR="00055E91" w:rsidRPr="001A4B85" w:rsidRDefault="00055E91" w:rsidP="00055E91">
            <w:pPr>
              <w:keepNext/>
              <w:spacing w:after="60"/>
              <w:rPr>
                <w:rFonts w:ascii="Arial Narrow" w:hAnsi="Arial Narrow"/>
                <w:b/>
              </w:rPr>
            </w:pPr>
            <w:r w:rsidRPr="001A4B85">
              <w:rPr>
                <w:rFonts w:ascii="Arial Narrow" w:hAnsi="Arial Narrow"/>
                <w:b/>
              </w:rPr>
              <w:t>Category</w:t>
            </w:r>
          </w:p>
        </w:tc>
        <w:tc>
          <w:tcPr>
            <w:tcW w:w="0" w:type="auto"/>
            <w:shd w:val="clear" w:color="auto" w:fill="auto"/>
          </w:tcPr>
          <w:p w14:paraId="7A1A5A1A" w14:textId="77777777" w:rsidR="00055E91" w:rsidRPr="001A4B85" w:rsidRDefault="00055E91" w:rsidP="00055E91">
            <w:pPr>
              <w:keepNext/>
              <w:spacing w:after="60"/>
              <w:rPr>
                <w:rFonts w:ascii="Arial Narrow" w:hAnsi="Arial Narrow"/>
                <w:b/>
              </w:rPr>
            </w:pPr>
            <w:r w:rsidRPr="001A4B85">
              <w:rPr>
                <w:rFonts w:ascii="Arial Narrow" w:hAnsi="Arial Narrow"/>
                <w:b/>
              </w:rPr>
              <w:t>Description</w:t>
            </w:r>
          </w:p>
        </w:tc>
        <w:tc>
          <w:tcPr>
            <w:tcW w:w="0" w:type="auto"/>
            <w:shd w:val="clear" w:color="auto" w:fill="auto"/>
          </w:tcPr>
          <w:p w14:paraId="5FFF9E8A" w14:textId="77777777" w:rsidR="00055E91" w:rsidRPr="001A4B85" w:rsidRDefault="00055E91" w:rsidP="00055E91">
            <w:pPr>
              <w:keepNext/>
              <w:spacing w:after="60"/>
              <w:rPr>
                <w:rFonts w:ascii="Arial Narrow" w:hAnsi="Arial Narrow"/>
                <w:b/>
              </w:rPr>
            </w:pPr>
            <w:r w:rsidRPr="001A4B85">
              <w:rPr>
                <w:rFonts w:ascii="Arial Narrow" w:hAnsi="Arial Narrow"/>
                <w:b/>
              </w:rPr>
              <w:t>Search terms</w:t>
            </w:r>
          </w:p>
        </w:tc>
      </w:tr>
      <w:tr w:rsidR="00055E91" w:rsidRPr="001A4B85" w14:paraId="111DD81A" w14:textId="77777777" w:rsidTr="003F5B59">
        <w:tc>
          <w:tcPr>
            <w:tcW w:w="0" w:type="auto"/>
          </w:tcPr>
          <w:p w14:paraId="6CA31A05" w14:textId="77777777" w:rsidR="00055E91" w:rsidRPr="001A4B85" w:rsidRDefault="00055E91" w:rsidP="00055E91">
            <w:pPr>
              <w:keepNext/>
              <w:spacing w:before="40"/>
              <w:rPr>
                <w:rFonts w:ascii="Arial Narrow" w:hAnsi="Arial Narrow"/>
                <w:szCs w:val="24"/>
              </w:rPr>
            </w:pPr>
            <w:r w:rsidRPr="001A4B85">
              <w:rPr>
                <w:rFonts w:ascii="Arial Narrow" w:hAnsi="Arial Narrow"/>
                <w:szCs w:val="24"/>
              </w:rPr>
              <w:t>Population</w:t>
            </w:r>
          </w:p>
        </w:tc>
        <w:tc>
          <w:tcPr>
            <w:tcW w:w="0" w:type="auto"/>
          </w:tcPr>
          <w:p w14:paraId="482A1E8A" w14:textId="63ECC376" w:rsidR="00055E91" w:rsidRPr="001A4B85" w:rsidRDefault="00C37337" w:rsidP="00055E91">
            <w:pPr>
              <w:keepNext/>
              <w:spacing w:before="40"/>
              <w:rPr>
                <w:rFonts w:ascii="Arial Narrow" w:hAnsi="Arial Narrow"/>
                <w:szCs w:val="24"/>
              </w:rPr>
            </w:pPr>
            <w:r w:rsidRPr="00C37337">
              <w:rPr>
                <w:rFonts w:ascii="Arial Narrow" w:hAnsi="Arial Narrow"/>
                <w:szCs w:val="24"/>
              </w:rPr>
              <w:t>pulmonary arterial hypertension (PAH), of any aetiology</w:t>
            </w:r>
          </w:p>
        </w:tc>
        <w:tc>
          <w:tcPr>
            <w:tcW w:w="0" w:type="auto"/>
          </w:tcPr>
          <w:p w14:paraId="12E25D31" w14:textId="70A68903" w:rsidR="00055E91" w:rsidRPr="001A4B85" w:rsidRDefault="00055E91" w:rsidP="00055E91">
            <w:pPr>
              <w:keepNext/>
              <w:spacing w:before="40"/>
              <w:rPr>
                <w:rFonts w:ascii="Arial Narrow" w:hAnsi="Arial Narrow"/>
                <w:szCs w:val="24"/>
              </w:rPr>
            </w:pPr>
            <w:r w:rsidRPr="001A4B85">
              <w:rPr>
                <w:rFonts w:ascii="Arial Narrow" w:hAnsi="Arial Narrow"/>
              </w:rPr>
              <w:t>'pulmonary arterial hypertension' OR 'pulmonary arterial hypertension'/exp OR '</w:t>
            </w:r>
            <w:proofErr w:type="spellStart"/>
            <w:r w:rsidRPr="001A4B85">
              <w:rPr>
                <w:rFonts w:ascii="Arial Narrow" w:hAnsi="Arial Narrow"/>
              </w:rPr>
              <w:t>pah</w:t>
            </w:r>
            <w:proofErr w:type="spellEnd"/>
            <w:r w:rsidRPr="001A4B85">
              <w:rPr>
                <w:rFonts w:ascii="Arial Narrow" w:hAnsi="Arial Narrow"/>
              </w:rPr>
              <w:t>'</w:t>
            </w:r>
          </w:p>
        </w:tc>
      </w:tr>
      <w:tr w:rsidR="00055E91" w:rsidRPr="001A4B85" w14:paraId="4082157B" w14:textId="77777777" w:rsidTr="003F5B59">
        <w:tc>
          <w:tcPr>
            <w:tcW w:w="0" w:type="auto"/>
          </w:tcPr>
          <w:p w14:paraId="40F812DF" w14:textId="77777777" w:rsidR="00055E91" w:rsidRPr="001A4B85" w:rsidRDefault="00055E91" w:rsidP="00055E91">
            <w:pPr>
              <w:spacing w:before="40"/>
              <w:rPr>
                <w:rFonts w:ascii="Arial Narrow" w:hAnsi="Arial Narrow"/>
                <w:szCs w:val="24"/>
              </w:rPr>
            </w:pPr>
            <w:r w:rsidRPr="001A4B85">
              <w:rPr>
                <w:rFonts w:ascii="Arial Narrow" w:hAnsi="Arial Narrow"/>
                <w:szCs w:val="24"/>
              </w:rPr>
              <w:t>Intervention</w:t>
            </w:r>
          </w:p>
        </w:tc>
        <w:tc>
          <w:tcPr>
            <w:tcW w:w="0" w:type="auto"/>
          </w:tcPr>
          <w:p w14:paraId="07F8BC0C" w14:textId="77777777" w:rsidR="00055E91" w:rsidRPr="001A4B85" w:rsidRDefault="00055E91" w:rsidP="00055E91">
            <w:pPr>
              <w:spacing w:before="40"/>
              <w:rPr>
                <w:rFonts w:ascii="Arial Narrow" w:hAnsi="Arial Narrow"/>
                <w:szCs w:val="24"/>
              </w:rPr>
            </w:pPr>
            <w:r w:rsidRPr="001A4B85">
              <w:rPr>
                <w:rFonts w:ascii="Arial Narrow" w:hAnsi="Arial Narrow"/>
                <w:szCs w:val="24"/>
              </w:rPr>
              <w:t>NT-</w:t>
            </w:r>
            <w:proofErr w:type="spellStart"/>
            <w:r w:rsidRPr="001A4B85">
              <w:rPr>
                <w:rFonts w:ascii="Arial Narrow" w:hAnsi="Arial Narrow"/>
                <w:szCs w:val="24"/>
              </w:rPr>
              <w:t>proBNP</w:t>
            </w:r>
            <w:proofErr w:type="spellEnd"/>
          </w:p>
        </w:tc>
        <w:tc>
          <w:tcPr>
            <w:tcW w:w="0" w:type="auto"/>
          </w:tcPr>
          <w:p w14:paraId="6C52D353" w14:textId="77777777" w:rsidR="00055E91" w:rsidRPr="001A4B85" w:rsidRDefault="00055E91" w:rsidP="00055E91">
            <w:pPr>
              <w:spacing w:before="40"/>
              <w:rPr>
                <w:rFonts w:ascii="Arial Narrow" w:hAnsi="Arial Narrow"/>
                <w:szCs w:val="24"/>
              </w:rPr>
            </w:pPr>
            <w:r w:rsidRPr="001A4B85">
              <w:rPr>
                <w:rFonts w:ascii="Arial Narrow" w:hAnsi="Arial Narrow"/>
                <w:szCs w:val="24"/>
              </w:rPr>
              <w:t xml:space="preserve">'n terminal pro b type natriuretic peptide' OR 'n terminal pro brain natriuretic peptide' OR 'n terminal </w:t>
            </w:r>
            <w:proofErr w:type="spellStart"/>
            <w:r w:rsidRPr="001A4B85">
              <w:rPr>
                <w:rFonts w:ascii="Arial Narrow" w:hAnsi="Arial Narrow"/>
                <w:szCs w:val="24"/>
              </w:rPr>
              <w:t>probrain</w:t>
            </w:r>
            <w:proofErr w:type="spellEnd"/>
            <w:r w:rsidRPr="001A4B85">
              <w:rPr>
                <w:rFonts w:ascii="Arial Narrow" w:hAnsi="Arial Narrow"/>
                <w:szCs w:val="24"/>
              </w:rPr>
              <w:t xml:space="preserve"> natriuretic peptide' OR 'n-terminal pro-brain natriuretic peptide' OR '</w:t>
            </w:r>
            <w:proofErr w:type="spellStart"/>
            <w:r w:rsidRPr="001A4B85">
              <w:rPr>
                <w:rFonts w:ascii="Arial Narrow" w:hAnsi="Arial Narrow"/>
                <w:szCs w:val="24"/>
              </w:rPr>
              <w:t>nt-probnp</w:t>
            </w:r>
            <w:proofErr w:type="spellEnd"/>
            <w:r w:rsidRPr="001A4B85">
              <w:rPr>
                <w:rFonts w:ascii="Arial Narrow" w:hAnsi="Arial Narrow"/>
                <w:szCs w:val="24"/>
              </w:rPr>
              <w:t>'</w:t>
            </w:r>
          </w:p>
        </w:tc>
      </w:tr>
      <w:tr w:rsidR="00055E91" w:rsidRPr="001A4B85" w14:paraId="15146E34" w14:textId="77777777" w:rsidTr="003F5B59">
        <w:tc>
          <w:tcPr>
            <w:tcW w:w="0" w:type="auto"/>
          </w:tcPr>
          <w:p w14:paraId="597EF31D" w14:textId="77777777" w:rsidR="00055E91" w:rsidRPr="001A4B85" w:rsidRDefault="00055E91" w:rsidP="00055E91">
            <w:pPr>
              <w:spacing w:before="40"/>
              <w:rPr>
                <w:rFonts w:ascii="Arial Narrow" w:hAnsi="Arial Narrow"/>
                <w:szCs w:val="24"/>
              </w:rPr>
            </w:pPr>
            <w:r w:rsidRPr="001A4B85">
              <w:rPr>
                <w:rFonts w:ascii="Arial Narrow" w:hAnsi="Arial Narrow"/>
                <w:szCs w:val="24"/>
              </w:rPr>
              <w:t>Outcomes</w:t>
            </w:r>
          </w:p>
        </w:tc>
        <w:tc>
          <w:tcPr>
            <w:tcW w:w="0" w:type="auto"/>
          </w:tcPr>
          <w:p w14:paraId="4910C717" w14:textId="3EFFCFF2" w:rsidR="00055E91" w:rsidRPr="001A4B85" w:rsidRDefault="00055E91" w:rsidP="00055E91">
            <w:pPr>
              <w:spacing w:before="40"/>
              <w:rPr>
                <w:rFonts w:ascii="Arial Narrow" w:hAnsi="Arial Narrow"/>
                <w:szCs w:val="24"/>
              </w:rPr>
            </w:pPr>
            <w:r w:rsidRPr="001A4B85">
              <w:rPr>
                <w:rFonts w:ascii="Arial Narrow" w:hAnsi="Arial Narrow"/>
                <w:szCs w:val="24"/>
              </w:rPr>
              <w:t>Diagnostic performance</w:t>
            </w:r>
          </w:p>
        </w:tc>
        <w:tc>
          <w:tcPr>
            <w:tcW w:w="0" w:type="auto"/>
          </w:tcPr>
          <w:p w14:paraId="23B29540" w14:textId="77777777" w:rsidR="00055E91" w:rsidRPr="001A4B85" w:rsidRDefault="00055E91" w:rsidP="00055E91">
            <w:pPr>
              <w:spacing w:before="40"/>
              <w:rPr>
                <w:rFonts w:ascii="Arial Narrow" w:hAnsi="Arial Narrow"/>
                <w:szCs w:val="24"/>
              </w:rPr>
            </w:pPr>
            <w:r w:rsidRPr="001A4B85">
              <w:rPr>
                <w:rFonts w:ascii="Arial Narrow" w:hAnsi="Arial Narrow"/>
              </w:rPr>
              <w:t>'accuracy':</w:t>
            </w:r>
            <w:proofErr w:type="spellStart"/>
            <w:r w:rsidRPr="001A4B85">
              <w:rPr>
                <w:rFonts w:ascii="Arial Narrow" w:hAnsi="Arial Narrow"/>
              </w:rPr>
              <w:t>ti,ab,kw</w:t>
            </w:r>
            <w:proofErr w:type="spellEnd"/>
            <w:r w:rsidRPr="001A4B85">
              <w:rPr>
                <w:rFonts w:ascii="Arial Narrow" w:hAnsi="Arial Narrow"/>
              </w:rPr>
              <w:t xml:space="preserve"> OR 'accurate':</w:t>
            </w:r>
            <w:proofErr w:type="spellStart"/>
            <w:r w:rsidRPr="001A4B85">
              <w:rPr>
                <w:rFonts w:ascii="Arial Narrow" w:hAnsi="Arial Narrow"/>
              </w:rPr>
              <w:t>ti,ab,kw</w:t>
            </w:r>
            <w:proofErr w:type="spellEnd"/>
            <w:r w:rsidRPr="001A4B85">
              <w:rPr>
                <w:rFonts w:ascii="Arial Narrow" w:hAnsi="Arial Narrow"/>
              </w:rPr>
              <w:t xml:space="preserve"> OR 'sensitivity':</w:t>
            </w:r>
            <w:proofErr w:type="spellStart"/>
            <w:r w:rsidRPr="001A4B85">
              <w:rPr>
                <w:rFonts w:ascii="Arial Narrow" w:hAnsi="Arial Narrow"/>
              </w:rPr>
              <w:t>ti,ab,kw</w:t>
            </w:r>
            <w:proofErr w:type="spellEnd"/>
            <w:r w:rsidRPr="001A4B85">
              <w:rPr>
                <w:rFonts w:ascii="Arial Narrow" w:hAnsi="Arial Narrow"/>
              </w:rPr>
              <w:t xml:space="preserve"> OR 'specificity':</w:t>
            </w:r>
            <w:proofErr w:type="spellStart"/>
            <w:r w:rsidRPr="001A4B85">
              <w:rPr>
                <w:rFonts w:ascii="Arial Narrow" w:hAnsi="Arial Narrow"/>
              </w:rPr>
              <w:t>ti,ab,kw</w:t>
            </w:r>
            <w:proofErr w:type="spellEnd"/>
            <w:r w:rsidRPr="001A4B85">
              <w:rPr>
                <w:rFonts w:ascii="Arial Narrow" w:hAnsi="Arial Narrow"/>
              </w:rPr>
              <w:t xml:space="preserve"> OR 'positive predictive value':</w:t>
            </w:r>
            <w:proofErr w:type="spellStart"/>
            <w:r w:rsidRPr="001A4B85">
              <w:rPr>
                <w:rFonts w:ascii="Arial Narrow" w:hAnsi="Arial Narrow"/>
              </w:rPr>
              <w:t>ti,ab,kw</w:t>
            </w:r>
            <w:proofErr w:type="spellEnd"/>
            <w:r w:rsidRPr="001A4B85">
              <w:rPr>
                <w:rFonts w:ascii="Arial Narrow" w:hAnsi="Arial Narrow"/>
              </w:rPr>
              <w:t xml:space="preserve"> OR '</w:t>
            </w:r>
            <w:proofErr w:type="spellStart"/>
            <w:r w:rsidRPr="001A4B85">
              <w:rPr>
                <w:rFonts w:ascii="Arial Narrow" w:hAnsi="Arial Narrow"/>
              </w:rPr>
              <w:t>ppv</w:t>
            </w:r>
            <w:proofErr w:type="spellEnd"/>
            <w:r w:rsidRPr="001A4B85">
              <w:rPr>
                <w:rFonts w:ascii="Arial Narrow" w:hAnsi="Arial Narrow"/>
              </w:rPr>
              <w:t>':</w:t>
            </w:r>
            <w:proofErr w:type="spellStart"/>
            <w:r w:rsidRPr="001A4B85">
              <w:rPr>
                <w:rFonts w:ascii="Arial Narrow" w:hAnsi="Arial Narrow"/>
              </w:rPr>
              <w:t>ti,ab,kw</w:t>
            </w:r>
            <w:proofErr w:type="spellEnd"/>
            <w:r w:rsidRPr="001A4B85">
              <w:rPr>
                <w:rFonts w:ascii="Arial Narrow" w:hAnsi="Arial Narrow"/>
              </w:rPr>
              <w:t xml:space="preserve"> OR 'negative predictive value':</w:t>
            </w:r>
            <w:proofErr w:type="spellStart"/>
            <w:r w:rsidRPr="001A4B85">
              <w:rPr>
                <w:rFonts w:ascii="Arial Narrow" w:hAnsi="Arial Narrow"/>
              </w:rPr>
              <w:t>ti,ab,kw</w:t>
            </w:r>
            <w:proofErr w:type="spellEnd"/>
            <w:r w:rsidRPr="001A4B85">
              <w:rPr>
                <w:rFonts w:ascii="Arial Narrow" w:hAnsi="Arial Narrow"/>
              </w:rPr>
              <w:t xml:space="preserve"> OR '</w:t>
            </w:r>
            <w:proofErr w:type="spellStart"/>
            <w:r w:rsidRPr="001A4B85">
              <w:rPr>
                <w:rFonts w:ascii="Arial Narrow" w:hAnsi="Arial Narrow"/>
              </w:rPr>
              <w:t>npv</w:t>
            </w:r>
            <w:proofErr w:type="spellEnd"/>
            <w:r w:rsidRPr="001A4B85">
              <w:rPr>
                <w:rFonts w:ascii="Arial Narrow" w:hAnsi="Arial Narrow"/>
              </w:rPr>
              <w:t>':</w:t>
            </w:r>
            <w:proofErr w:type="spellStart"/>
            <w:r w:rsidRPr="001A4B85">
              <w:rPr>
                <w:rFonts w:ascii="Arial Narrow" w:hAnsi="Arial Narrow"/>
              </w:rPr>
              <w:t>ti,ab,kw</w:t>
            </w:r>
            <w:proofErr w:type="spellEnd"/>
            <w:r w:rsidRPr="001A4B85">
              <w:rPr>
                <w:rFonts w:ascii="Arial Narrow" w:hAnsi="Arial Narrow"/>
              </w:rPr>
              <w:t xml:space="preserve"> OR 'predictive value':</w:t>
            </w:r>
            <w:proofErr w:type="spellStart"/>
            <w:r w:rsidRPr="001A4B85">
              <w:rPr>
                <w:rFonts w:ascii="Arial Narrow" w:hAnsi="Arial Narrow"/>
              </w:rPr>
              <w:t>ti,ab,kw</w:t>
            </w:r>
            <w:proofErr w:type="spellEnd"/>
          </w:p>
        </w:tc>
      </w:tr>
    </w:tbl>
    <w:p w14:paraId="11EAB37F" w14:textId="009AB36D" w:rsidR="009F4E02" w:rsidRDefault="00055E91" w:rsidP="00AA0686">
      <w:pPr>
        <w:pStyle w:val="TableFooter"/>
      </w:pPr>
      <w:r w:rsidRPr="001A4B85">
        <w:t>NT-</w:t>
      </w:r>
      <w:proofErr w:type="spellStart"/>
      <w:r w:rsidRPr="001A4B85">
        <w:t>proBNP</w:t>
      </w:r>
      <w:proofErr w:type="spellEnd"/>
      <w:r w:rsidR="009F4E02">
        <w:t xml:space="preserve"> =</w:t>
      </w:r>
      <w:r w:rsidRPr="001A4B85">
        <w:t xml:space="preserve"> </w:t>
      </w:r>
      <w:r w:rsidR="009F4E02">
        <w:t>N</w:t>
      </w:r>
      <w:r w:rsidRPr="001A4B85">
        <w:t xml:space="preserve"> terminal pro b type natriuretic peptide</w:t>
      </w:r>
      <w:r w:rsidR="009F4E02" w:rsidRPr="009F4E02">
        <w:t xml:space="preserve"> </w:t>
      </w:r>
    </w:p>
    <w:p w14:paraId="4BD46BF9" w14:textId="7C7ABD20" w:rsidR="00055E91" w:rsidRPr="001A4B85" w:rsidRDefault="009F4E02" w:rsidP="00AA0686">
      <w:pPr>
        <w:pStyle w:val="TableFooter"/>
      </w:pPr>
      <w:r w:rsidRPr="009F4E02">
        <w:t xml:space="preserve">Source: Table </w:t>
      </w:r>
      <w:r>
        <w:t>A</w:t>
      </w:r>
      <w:r w:rsidRPr="009F4E02">
        <w:t xml:space="preserve">-2, </w:t>
      </w:r>
      <w:proofErr w:type="spellStart"/>
      <w:r w:rsidRPr="009F4E02">
        <w:t>pg</w:t>
      </w:r>
      <w:proofErr w:type="spellEnd"/>
      <w:r w:rsidRPr="009F4E02">
        <w:t xml:space="preserve"> </w:t>
      </w:r>
      <w:r w:rsidR="002F35B4">
        <w:t>100</w:t>
      </w:r>
      <w:r w:rsidR="002F35B4" w:rsidRPr="009F4E02">
        <w:t xml:space="preserve"> </w:t>
      </w:r>
      <w:r w:rsidRPr="009F4E02">
        <w:t>of MSAC 1689.1 ADAR</w:t>
      </w:r>
    </w:p>
    <w:p w14:paraId="2F3F1A4E" w14:textId="7FD74367" w:rsidR="00055E91" w:rsidRPr="001A4B85" w:rsidRDefault="00055E91" w:rsidP="00055E91">
      <w:r w:rsidRPr="001A4B85">
        <w:rPr>
          <w:iCs/>
        </w:rPr>
        <w:t>The</w:t>
      </w:r>
      <w:r w:rsidR="0082488A" w:rsidRPr="001A4B85">
        <w:rPr>
          <w:iCs/>
        </w:rPr>
        <w:t xml:space="preserve"> ADAR did not provide a</w:t>
      </w:r>
      <w:r w:rsidRPr="001A4B85">
        <w:t xml:space="preserve"> description of the number of articles identified for each search string. The use of the diagnostic performance string would not be appropriate to search for articles reporting on health outcomes or on change in management outcomes.</w:t>
      </w:r>
    </w:p>
    <w:p w14:paraId="20639703" w14:textId="40E24AFF" w:rsidR="0074511D" w:rsidRDefault="0074511D" w:rsidP="00055E91">
      <w:r>
        <w:t xml:space="preserve">The </w:t>
      </w:r>
      <w:r w:rsidR="005A5730" w:rsidRPr="005A5730">
        <w:t>A</w:t>
      </w:r>
      <w:r>
        <w:t>DAR identified a</w:t>
      </w:r>
      <w:r w:rsidR="005A5730" w:rsidRPr="005A5730">
        <w:t xml:space="preserve"> total of 4 new primary studies, 2 new systematic reviews/meta-analyses </w:t>
      </w:r>
      <w:r>
        <w:t>and the 2022 ESC/ESR guidelines</w:t>
      </w:r>
      <w:r w:rsidR="005A5730" w:rsidRPr="005A5730">
        <w:t xml:space="preserve"> for assessing the test accuracy of NT-</w:t>
      </w:r>
      <w:proofErr w:type="spellStart"/>
      <w:r w:rsidR="005A5730" w:rsidRPr="005A5730">
        <w:t>proBNP</w:t>
      </w:r>
      <w:proofErr w:type="spellEnd"/>
      <w:r w:rsidR="005A5730" w:rsidRPr="005A5730">
        <w:t xml:space="preserve"> assay </w:t>
      </w:r>
      <w:r>
        <w:t xml:space="preserve">when used as a part of a 4-stratum risk stratification tool </w:t>
      </w:r>
      <w:r w:rsidR="005A5730" w:rsidRPr="005A5730">
        <w:t xml:space="preserve">in patients with PAH. </w:t>
      </w:r>
    </w:p>
    <w:p w14:paraId="4463DE8B" w14:textId="0818430F" w:rsidR="00D02932" w:rsidRDefault="00F96DE1" w:rsidP="00055E91">
      <w:r w:rsidRPr="00F96DE1">
        <w:t>Th</w:t>
      </w:r>
      <w:r>
        <w:t>e two</w:t>
      </w:r>
      <w:r w:rsidRPr="00F96DE1">
        <w:t xml:space="preserve"> systematic review</w:t>
      </w:r>
      <w:r>
        <w:t>s and one primary study</w:t>
      </w:r>
      <w:r w:rsidRPr="00F96DE1">
        <w:t xml:space="preserve"> did not evaluate NT-</w:t>
      </w:r>
      <w:proofErr w:type="spellStart"/>
      <w:r w:rsidRPr="00F96DE1">
        <w:t>proBNP</w:t>
      </w:r>
      <w:proofErr w:type="spellEnd"/>
      <w:r w:rsidRPr="00F96DE1">
        <w:t xml:space="preserve"> levels within the context of being part of an assessment tool. </w:t>
      </w:r>
      <w:r>
        <w:t>These studies were not further evaluated by the commentary except to note that the results reported in these studies were</w:t>
      </w:r>
      <w:r w:rsidRPr="00F96DE1">
        <w:t xml:space="preserve"> consistent with the findings in the previous submission.</w:t>
      </w:r>
    </w:p>
    <w:p w14:paraId="30C17870" w14:textId="5F35C776" w:rsidR="0074511D" w:rsidRDefault="005241CA" w:rsidP="0074511D">
      <w:r w:rsidRPr="00C37337">
        <w:t>The literature search should have included another database such as PubMed.</w:t>
      </w:r>
      <w:r w:rsidR="00CC119D">
        <w:t xml:space="preserve"> </w:t>
      </w:r>
      <w:r w:rsidR="0074511D" w:rsidRPr="0074511D">
        <w:t xml:space="preserve">A quick literature search of the PubMed database using the same search terms used in the ADAR (listed in Appendix A) for population and intervention </w:t>
      </w:r>
      <w:r w:rsidR="00F55BF6">
        <w:t xml:space="preserve">(but not outcomes) </w:t>
      </w:r>
      <w:r w:rsidR="0074511D" w:rsidRPr="0074511D">
        <w:t>identified an additional study evaluating the 4-stratum model that was published on-line on 13 October 2022.</w:t>
      </w:r>
    </w:p>
    <w:p w14:paraId="01AF79EF" w14:textId="43E5800B" w:rsidR="00653F2B" w:rsidRPr="00653F2B" w:rsidRDefault="00DD223C" w:rsidP="00653F2B">
      <w:r>
        <w:t>A s</w:t>
      </w:r>
      <w:r w:rsidR="00055E91" w:rsidRPr="001A4B85">
        <w:t>ummary of the evidence</w:t>
      </w:r>
      <w:r w:rsidR="0074511D">
        <w:t xml:space="preserve"> evaluated in the commentary is provided in</w:t>
      </w:r>
      <w:r w:rsidR="00F55BF6">
        <w:t xml:space="preserve"> </w:t>
      </w:r>
      <w:r w:rsidR="00F55BF6">
        <w:fldChar w:fldCharType="begin"/>
      </w:r>
      <w:r w:rsidR="00F55BF6">
        <w:instrText xml:space="preserve"> REF _Ref131153435 \h </w:instrText>
      </w:r>
      <w:r w:rsidR="00F55BF6">
        <w:fldChar w:fldCharType="separate"/>
      </w:r>
      <w:r w:rsidR="00F55BF6">
        <w:t xml:space="preserve">Table </w:t>
      </w:r>
      <w:r w:rsidR="00F55BF6">
        <w:rPr>
          <w:noProof/>
        </w:rPr>
        <w:t>5</w:t>
      </w:r>
      <w:r w:rsidR="00F55BF6">
        <w:fldChar w:fldCharType="end"/>
      </w:r>
      <w:r w:rsidR="00F55BF6">
        <w:t xml:space="preserve"> </w:t>
      </w:r>
      <w:r w:rsidR="00FF7679">
        <w:t>and</w:t>
      </w:r>
      <w:r w:rsidR="00F55BF6">
        <w:t xml:space="preserve"> </w:t>
      </w:r>
      <w:r w:rsidR="00F55BF6">
        <w:fldChar w:fldCharType="begin"/>
      </w:r>
      <w:r w:rsidR="00F55BF6">
        <w:instrText xml:space="preserve"> REF _Ref131153452 \h </w:instrText>
      </w:r>
      <w:r w:rsidR="00F55BF6">
        <w:fldChar w:fldCharType="separate"/>
      </w:r>
      <w:r w:rsidR="00F55BF6">
        <w:t xml:space="preserve">Table </w:t>
      </w:r>
      <w:r w:rsidR="00F55BF6">
        <w:rPr>
          <w:noProof/>
        </w:rPr>
        <w:t>6</w:t>
      </w:r>
      <w:r w:rsidR="00F55BF6">
        <w:fldChar w:fldCharType="end"/>
      </w:r>
      <w:r w:rsidR="00055E91" w:rsidRPr="001A4B85">
        <w:t>.</w:t>
      </w:r>
      <w:bookmarkStart w:id="27" w:name="_Ref131153435"/>
      <w:r w:rsidR="00653F2B">
        <w:br w:type="page"/>
      </w:r>
    </w:p>
    <w:p w14:paraId="60A64DC1" w14:textId="797E69D8" w:rsidR="00055E91" w:rsidRPr="001A4B85" w:rsidRDefault="00F55BF6" w:rsidP="00F55BF6">
      <w:pPr>
        <w:pStyle w:val="TableHeading0"/>
      </w:pPr>
      <w:r>
        <w:lastRenderedPageBreak/>
        <w:t xml:space="preserve">Table </w:t>
      </w:r>
      <w:r w:rsidR="00DD62DD">
        <w:fldChar w:fldCharType="begin"/>
      </w:r>
      <w:r w:rsidR="00DD62DD">
        <w:instrText xml:space="preserve"> SEQ Table \* ARABIC </w:instrText>
      </w:r>
      <w:r w:rsidR="00DD62DD">
        <w:fldChar w:fldCharType="separate"/>
      </w:r>
      <w:r w:rsidR="00AA0686">
        <w:rPr>
          <w:noProof/>
        </w:rPr>
        <w:t>5</w:t>
      </w:r>
      <w:r w:rsidR="00DD62DD">
        <w:rPr>
          <w:noProof/>
        </w:rPr>
        <w:fldChar w:fldCharType="end"/>
      </w:r>
      <w:bookmarkEnd w:id="27"/>
      <w:r w:rsidR="00055E91" w:rsidRPr="001A4B85">
        <w:tab/>
        <w:t xml:space="preserve">Key features of the key included </w:t>
      </w:r>
      <w:proofErr w:type="gramStart"/>
      <w:r w:rsidR="00055E91" w:rsidRPr="001A4B85">
        <w:t>evidence</w:t>
      </w:r>
      <w:proofErr w:type="gramEnd"/>
    </w:p>
    <w:tbl>
      <w:tblPr>
        <w:tblStyle w:val="TableGrid1"/>
        <w:tblW w:w="5000" w:type="pct"/>
        <w:tblCellMar>
          <w:left w:w="28" w:type="dxa"/>
          <w:right w:w="28" w:type="dxa"/>
        </w:tblCellMar>
        <w:tblLook w:val="04A0" w:firstRow="1" w:lastRow="0" w:firstColumn="1" w:lastColumn="0" w:noHBand="0" w:noVBand="1"/>
      </w:tblPr>
      <w:tblGrid>
        <w:gridCol w:w="1284"/>
        <w:gridCol w:w="1544"/>
        <w:gridCol w:w="1133"/>
        <w:gridCol w:w="848"/>
        <w:gridCol w:w="1984"/>
        <w:gridCol w:w="859"/>
        <w:gridCol w:w="1364"/>
      </w:tblGrid>
      <w:tr w:rsidR="009F6297" w:rsidRPr="001A4B85" w14:paraId="55C9840C" w14:textId="77777777" w:rsidTr="00CC40D6">
        <w:trPr>
          <w:cnfStyle w:val="100000000000" w:firstRow="1" w:lastRow="0" w:firstColumn="0" w:lastColumn="0" w:oddVBand="0" w:evenVBand="0" w:oddHBand="0" w:evenHBand="0" w:firstRowFirstColumn="0" w:firstRowLastColumn="0" w:lastRowFirstColumn="0" w:lastRowLastColumn="0"/>
          <w:cantSplit/>
          <w:tblHeader/>
        </w:trPr>
        <w:tc>
          <w:tcPr>
            <w:tcW w:w="713" w:type="pct"/>
            <w:shd w:val="clear" w:color="auto" w:fill="auto"/>
            <w:vAlign w:val="center"/>
          </w:tcPr>
          <w:p w14:paraId="6701DE7F" w14:textId="77777777" w:rsidR="00055E91" w:rsidRPr="001A4B85" w:rsidRDefault="00055E91" w:rsidP="00055E91">
            <w:pPr>
              <w:keepNext/>
              <w:spacing w:before="0" w:after="0"/>
              <w:rPr>
                <w:rFonts w:ascii="Arial Narrow" w:eastAsiaTheme="majorEastAsia" w:hAnsi="Arial Narrow"/>
                <w:b/>
                <w:szCs w:val="24"/>
              </w:rPr>
            </w:pPr>
            <w:bookmarkStart w:id="28" w:name="ColumnTitle_Table3"/>
            <w:bookmarkStart w:id="29" w:name="_Hlk68276112"/>
            <w:bookmarkEnd w:id="28"/>
            <w:r w:rsidRPr="001A4B85">
              <w:rPr>
                <w:rFonts w:ascii="Arial Narrow" w:eastAsiaTheme="majorEastAsia" w:hAnsi="Arial Narrow"/>
                <w:b/>
                <w:szCs w:val="24"/>
              </w:rPr>
              <w:t>References</w:t>
            </w:r>
          </w:p>
        </w:tc>
        <w:tc>
          <w:tcPr>
            <w:tcW w:w="857" w:type="pct"/>
            <w:shd w:val="clear" w:color="auto" w:fill="auto"/>
            <w:vAlign w:val="center"/>
          </w:tcPr>
          <w:p w14:paraId="4DC191DE" w14:textId="77777777" w:rsidR="00055E91" w:rsidRPr="001A4B85" w:rsidRDefault="00055E91" w:rsidP="00055E91">
            <w:pPr>
              <w:keepNext/>
              <w:spacing w:before="0" w:after="0"/>
              <w:jc w:val="center"/>
              <w:rPr>
                <w:rFonts w:ascii="Arial Narrow" w:eastAsiaTheme="majorEastAsia" w:hAnsi="Arial Narrow"/>
                <w:b/>
                <w:szCs w:val="24"/>
              </w:rPr>
            </w:pPr>
            <w:r w:rsidRPr="001A4B85">
              <w:rPr>
                <w:rFonts w:ascii="Arial Narrow" w:eastAsiaTheme="majorEastAsia" w:hAnsi="Arial Narrow"/>
                <w:b/>
                <w:szCs w:val="24"/>
              </w:rPr>
              <w:t>N</w:t>
            </w:r>
          </w:p>
        </w:tc>
        <w:tc>
          <w:tcPr>
            <w:tcW w:w="629" w:type="pct"/>
            <w:shd w:val="clear" w:color="auto" w:fill="auto"/>
            <w:vAlign w:val="center"/>
          </w:tcPr>
          <w:p w14:paraId="1605C26D" w14:textId="77777777" w:rsidR="00055E91" w:rsidRPr="001A4B85" w:rsidRDefault="00055E91" w:rsidP="00055E91">
            <w:pPr>
              <w:keepNext/>
              <w:spacing w:before="0" w:after="0"/>
              <w:jc w:val="center"/>
              <w:rPr>
                <w:rFonts w:ascii="Arial Narrow" w:eastAsiaTheme="majorEastAsia" w:hAnsi="Arial Narrow"/>
                <w:b/>
                <w:szCs w:val="24"/>
              </w:rPr>
            </w:pPr>
            <w:r w:rsidRPr="001A4B85">
              <w:rPr>
                <w:rFonts w:ascii="Arial Narrow" w:eastAsiaTheme="majorEastAsia" w:hAnsi="Arial Narrow"/>
                <w:b/>
                <w:szCs w:val="24"/>
              </w:rPr>
              <w:t>Study Design</w:t>
            </w:r>
          </w:p>
        </w:tc>
        <w:tc>
          <w:tcPr>
            <w:tcW w:w="471" w:type="pct"/>
            <w:shd w:val="clear" w:color="auto" w:fill="auto"/>
            <w:vAlign w:val="center"/>
          </w:tcPr>
          <w:p w14:paraId="76007BBA" w14:textId="77777777" w:rsidR="00055E91" w:rsidRPr="001A4B85" w:rsidRDefault="00055E91" w:rsidP="00055E91">
            <w:pPr>
              <w:keepNext/>
              <w:spacing w:before="0" w:after="0"/>
              <w:jc w:val="center"/>
              <w:rPr>
                <w:rFonts w:ascii="Arial Narrow" w:eastAsiaTheme="majorEastAsia" w:hAnsi="Arial Narrow"/>
                <w:b/>
                <w:szCs w:val="24"/>
              </w:rPr>
            </w:pPr>
            <w:r w:rsidRPr="001A4B85">
              <w:rPr>
                <w:rFonts w:ascii="Arial Narrow" w:eastAsiaTheme="majorEastAsia" w:hAnsi="Arial Narrow"/>
                <w:b/>
                <w:szCs w:val="24"/>
              </w:rPr>
              <w:t>Risk of bias</w:t>
            </w:r>
          </w:p>
        </w:tc>
        <w:tc>
          <w:tcPr>
            <w:tcW w:w="1101" w:type="pct"/>
            <w:shd w:val="clear" w:color="auto" w:fill="auto"/>
            <w:vAlign w:val="center"/>
          </w:tcPr>
          <w:p w14:paraId="0B978E40" w14:textId="77777777" w:rsidR="00055E91" w:rsidRPr="001A4B85" w:rsidRDefault="00055E91" w:rsidP="00055E91">
            <w:pPr>
              <w:keepNext/>
              <w:spacing w:before="0" w:after="0"/>
              <w:jc w:val="center"/>
              <w:rPr>
                <w:rFonts w:ascii="Arial Narrow" w:eastAsiaTheme="majorEastAsia" w:hAnsi="Arial Narrow"/>
                <w:b/>
                <w:szCs w:val="24"/>
              </w:rPr>
            </w:pPr>
            <w:r w:rsidRPr="001A4B85">
              <w:rPr>
                <w:rFonts w:ascii="Arial Narrow" w:eastAsiaTheme="majorEastAsia" w:hAnsi="Arial Narrow"/>
                <w:b/>
                <w:szCs w:val="24"/>
              </w:rPr>
              <w:t>Patient population</w:t>
            </w:r>
          </w:p>
        </w:tc>
        <w:tc>
          <w:tcPr>
            <w:tcW w:w="472" w:type="pct"/>
            <w:shd w:val="clear" w:color="auto" w:fill="auto"/>
            <w:vAlign w:val="center"/>
          </w:tcPr>
          <w:p w14:paraId="5038F482" w14:textId="18BAE057" w:rsidR="00055E91" w:rsidRPr="001A4B85" w:rsidRDefault="00055E91" w:rsidP="00055E91">
            <w:pPr>
              <w:keepNext/>
              <w:spacing w:before="0" w:after="0"/>
              <w:jc w:val="center"/>
              <w:rPr>
                <w:rFonts w:ascii="Arial Narrow" w:eastAsiaTheme="majorEastAsia" w:hAnsi="Arial Narrow"/>
                <w:b/>
                <w:szCs w:val="24"/>
              </w:rPr>
            </w:pPr>
            <w:r w:rsidRPr="001A4B85">
              <w:rPr>
                <w:rFonts w:ascii="Arial Narrow" w:eastAsiaTheme="majorEastAsia" w:hAnsi="Arial Narrow"/>
                <w:b/>
                <w:szCs w:val="24"/>
              </w:rPr>
              <w:t>Outcomes</w:t>
            </w:r>
          </w:p>
        </w:tc>
        <w:tc>
          <w:tcPr>
            <w:tcW w:w="757" w:type="pct"/>
            <w:shd w:val="clear" w:color="auto" w:fill="auto"/>
            <w:vAlign w:val="center"/>
          </w:tcPr>
          <w:p w14:paraId="3408EF1A" w14:textId="77777777" w:rsidR="00055E91" w:rsidRPr="001A4B85" w:rsidRDefault="00055E91" w:rsidP="00055E91">
            <w:pPr>
              <w:keepNext/>
              <w:spacing w:before="0" w:after="0"/>
              <w:jc w:val="center"/>
              <w:rPr>
                <w:rFonts w:ascii="Arial Narrow" w:eastAsiaTheme="majorEastAsia" w:hAnsi="Arial Narrow"/>
                <w:b/>
                <w:szCs w:val="24"/>
              </w:rPr>
            </w:pPr>
            <w:r w:rsidRPr="001A4B85">
              <w:rPr>
                <w:rFonts w:ascii="Arial Narrow" w:eastAsiaTheme="majorEastAsia" w:hAnsi="Arial Narrow"/>
                <w:b/>
                <w:szCs w:val="24"/>
              </w:rPr>
              <w:t>Use in modelled evaluation</w:t>
            </w:r>
          </w:p>
        </w:tc>
      </w:tr>
      <w:tr w:rsidR="00055E91" w:rsidRPr="001A4B85" w14:paraId="58019DE4" w14:textId="77777777" w:rsidTr="003F5B59">
        <w:trPr>
          <w:cantSplit/>
        </w:trPr>
        <w:tc>
          <w:tcPr>
            <w:tcW w:w="5000" w:type="pct"/>
            <w:gridSpan w:val="7"/>
            <w:shd w:val="clear" w:color="auto" w:fill="auto"/>
            <w:vAlign w:val="center"/>
          </w:tcPr>
          <w:p w14:paraId="7CA16DE3" w14:textId="77777777" w:rsidR="00055E91" w:rsidRPr="001A4B85" w:rsidRDefault="00055E91" w:rsidP="00055E91">
            <w:pPr>
              <w:keepNext/>
              <w:spacing w:before="40"/>
              <w:rPr>
                <w:rFonts w:ascii="Arial Narrow" w:eastAsiaTheme="majorEastAsia" w:hAnsi="Arial Narrow"/>
                <w:b/>
                <w:szCs w:val="24"/>
              </w:rPr>
            </w:pPr>
            <w:r w:rsidRPr="001A4B85">
              <w:rPr>
                <w:rFonts w:ascii="Arial Narrow" w:eastAsiaTheme="majorEastAsia" w:hAnsi="Arial Narrow"/>
                <w:b/>
                <w:szCs w:val="24"/>
              </w:rPr>
              <w:t>Ability of NT-</w:t>
            </w:r>
            <w:proofErr w:type="spellStart"/>
            <w:r w:rsidRPr="001A4B85">
              <w:rPr>
                <w:rFonts w:ascii="Arial Narrow" w:eastAsiaTheme="majorEastAsia" w:hAnsi="Arial Narrow"/>
                <w:b/>
                <w:szCs w:val="24"/>
              </w:rPr>
              <w:t>proBNP</w:t>
            </w:r>
            <w:proofErr w:type="spellEnd"/>
            <w:r w:rsidRPr="001A4B85">
              <w:rPr>
                <w:rFonts w:ascii="Arial Narrow" w:eastAsiaTheme="majorEastAsia" w:hAnsi="Arial Narrow"/>
                <w:b/>
                <w:szCs w:val="24"/>
              </w:rPr>
              <w:t>-based risk assessment calculators to predict mortality</w:t>
            </w:r>
          </w:p>
        </w:tc>
      </w:tr>
      <w:tr w:rsidR="009F6297" w:rsidRPr="001A4B85" w14:paraId="08C05737" w14:textId="77777777" w:rsidTr="00CC40D6">
        <w:trPr>
          <w:cantSplit/>
        </w:trPr>
        <w:tc>
          <w:tcPr>
            <w:tcW w:w="713" w:type="pct"/>
            <w:vAlign w:val="center"/>
          </w:tcPr>
          <w:p w14:paraId="51131A8E" w14:textId="4B738357" w:rsidR="0074511D" w:rsidRPr="0074511D" w:rsidRDefault="005D6889" w:rsidP="0074511D">
            <w:pPr>
              <w:spacing w:before="40"/>
              <w:rPr>
                <w:rFonts w:ascii="Arial Narrow" w:hAnsi="Arial Narrow"/>
              </w:rPr>
            </w:pPr>
            <w:proofErr w:type="spellStart"/>
            <w:r w:rsidRPr="005D6889">
              <w:rPr>
                <w:rFonts w:ascii="Arial Narrow" w:hAnsi="Arial Narrow"/>
              </w:rPr>
              <w:t>Hoeper</w:t>
            </w:r>
            <w:proofErr w:type="spellEnd"/>
            <w:r w:rsidRPr="005D6889">
              <w:rPr>
                <w:rFonts w:ascii="Arial Narrow" w:hAnsi="Arial Narrow"/>
              </w:rPr>
              <w:t xml:space="preserve"> et al. </w:t>
            </w:r>
            <w:r w:rsidR="006707C1">
              <w:rPr>
                <w:rFonts w:ascii="Arial Narrow" w:hAnsi="Arial Narrow"/>
              </w:rPr>
              <w:t>(</w:t>
            </w:r>
            <w:r w:rsidRPr="005D6889">
              <w:rPr>
                <w:rFonts w:ascii="Arial Narrow" w:hAnsi="Arial Narrow"/>
              </w:rPr>
              <w:t>2022a)</w:t>
            </w:r>
          </w:p>
        </w:tc>
        <w:tc>
          <w:tcPr>
            <w:tcW w:w="857" w:type="pct"/>
            <w:shd w:val="clear" w:color="auto" w:fill="auto"/>
            <w:vAlign w:val="center"/>
          </w:tcPr>
          <w:p w14:paraId="64EE948C" w14:textId="7849DE96" w:rsidR="0074511D" w:rsidRPr="0074511D" w:rsidRDefault="005D6889" w:rsidP="0074511D">
            <w:pPr>
              <w:spacing w:before="40"/>
              <w:jc w:val="center"/>
              <w:rPr>
                <w:rFonts w:ascii="Arial Narrow" w:hAnsi="Arial Narrow"/>
              </w:rPr>
            </w:pPr>
            <w:r>
              <w:rPr>
                <w:rFonts w:ascii="Arial Narrow" w:hAnsi="Arial Narrow"/>
              </w:rPr>
              <w:t>1,6</w:t>
            </w:r>
            <w:r w:rsidR="0074511D" w:rsidRPr="0074511D">
              <w:rPr>
                <w:rFonts w:ascii="Arial Narrow" w:hAnsi="Arial Narrow"/>
              </w:rPr>
              <w:t>5</w:t>
            </w:r>
            <w:r>
              <w:rPr>
                <w:rFonts w:ascii="Arial Narrow" w:hAnsi="Arial Narrow"/>
              </w:rPr>
              <w:t>5</w:t>
            </w:r>
            <w:r>
              <w:t xml:space="preserve"> </w:t>
            </w:r>
            <w:r w:rsidRPr="005D6889">
              <w:rPr>
                <w:rFonts w:ascii="Arial Narrow" w:hAnsi="Arial Narrow"/>
              </w:rPr>
              <w:t xml:space="preserve">patients from the COMPERA </w:t>
            </w:r>
            <w:r>
              <w:rPr>
                <w:rFonts w:ascii="Arial Narrow" w:hAnsi="Arial Narrow"/>
              </w:rPr>
              <w:t xml:space="preserve">PH </w:t>
            </w:r>
            <w:r w:rsidRPr="005D6889">
              <w:rPr>
                <w:rFonts w:ascii="Arial Narrow" w:hAnsi="Arial Narrow"/>
              </w:rPr>
              <w:t>registry</w:t>
            </w:r>
          </w:p>
        </w:tc>
        <w:tc>
          <w:tcPr>
            <w:tcW w:w="629" w:type="pct"/>
            <w:shd w:val="clear" w:color="auto" w:fill="auto"/>
            <w:vAlign w:val="center"/>
          </w:tcPr>
          <w:p w14:paraId="2FC5AC55" w14:textId="77777777" w:rsidR="0074511D" w:rsidRPr="0074511D" w:rsidRDefault="0074511D" w:rsidP="0074511D">
            <w:pPr>
              <w:spacing w:before="40"/>
              <w:jc w:val="center"/>
              <w:rPr>
                <w:rFonts w:ascii="Arial Narrow" w:hAnsi="Arial Narrow"/>
              </w:rPr>
            </w:pPr>
            <w:r w:rsidRPr="0074511D">
              <w:rPr>
                <w:rFonts w:ascii="Arial Narrow" w:hAnsi="Arial Narrow"/>
              </w:rPr>
              <w:t>Retrospective registry</w:t>
            </w:r>
          </w:p>
        </w:tc>
        <w:tc>
          <w:tcPr>
            <w:tcW w:w="471" w:type="pct"/>
            <w:shd w:val="clear" w:color="auto" w:fill="auto"/>
            <w:vAlign w:val="center"/>
          </w:tcPr>
          <w:p w14:paraId="4D70FAD1" w14:textId="533B0D9E" w:rsidR="0074511D" w:rsidRPr="0074511D" w:rsidRDefault="005D6889" w:rsidP="0074511D">
            <w:pPr>
              <w:spacing w:before="40"/>
              <w:jc w:val="center"/>
              <w:rPr>
                <w:rFonts w:ascii="Arial Narrow" w:hAnsi="Arial Narrow"/>
              </w:rPr>
            </w:pPr>
            <w:r>
              <w:rPr>
                <w:rFonts w:ascii="Arial Narrow" w:hAnsi="Arial Narrow"/>
              </w:rPr>
              <w:t>Low</w:t>
            </w:r>
          </w:p>
        </w:tc>
        <w:tc>
          <w:tcPr>
            <w:tcW w:w="1101" w:type="pct"/>
            <w:shd w:val="clear" w:color="auto" w:fill="auto"/>
            <w:vAlign w:val="center"/>
          </w:tcPr>
          <w:p w14:paraId="0252F7C6" w14:textId="16B5E305" w:rsidR="0074511D" w:rsidRPr="0074511D" w:rsidRDefault="009F6297" w:rsidP="009F6297">
            <w:pPr>
              <w:spacing w:before="40"/>
              <w:jc w:val="center"/>
              <w:rPr>
                <w:rFonts w:ascii="Arial Narrow" w:hAnsi="Arial Narrow"/>
              </w:rPr>
            </w:pPr>
            <w:r w:rsidRPr="009F6297">
              <w:rPr>
                <w:rFonts w:ascii="Arial Narrow" w:hAnsi="Arial Narrow"/>
              </w:rPr>
              <w:t xml:space="preserve">Treatment-naïve patients aged </w:t>
            </w:r>
            <w:r>
              <w:rPr>
                <w:rFonts w:ascii="Arial Narrow" w:hAnsi="Arial Narrow"/>
              </w:rPr>
              <w:t>≥</w:t>
            </w:r>
            <w:r w:rsidRPr="009F6297">
              <w:rPr>
                <w:rFonts w:ascii="Arial Narrow" w:hAnsi="Arial Narrow"/>
              </w:rPr>
              <w:t>18 years newly diagnosed with any form of PAH between 1 January</w:t>
            </w:r>
            <w:r>
              <w:rPr>
                <w:rFonts w:ascii="Arial Narrow" w:hAnsi="Arial Narrow"/>
              </w:rPr>
              <w:t xml:space="preserve"> </w:t>
            </w:r>
            <w:r w:rsidRPr="009F6297">
              <w:rPr>
                <w:rFonts w:ascii="Arial Narrow" w:hAnsi="Arial Narrow"/>
              </w:rPr>
              <w:t>2009 and 31 December 2020</w:t>
            </w:r>
          </w:p>
        </w:tc>
        <w:tc>
          <w:tcPr>
            <w:tcW w:w="472" w:type="pct"/>
            <w:shd w:val="clear" w:color="auto" w:fill="auto"/>
            <w:vAlign w:val="center"/>
          </w:tcPr>
          <w:p w14:paraId="43F82439" w14:textId="77777777" w:rsidR="0074511D" w:rsidRPr="0074511D" w:rsidRDefault="0074511D" w:rsidP="0074511D">
            <w:pPr>
              <w:spacing w:before="40"/>
              <w:jc w:val="center"/>
              <w:rPr>
                <w:rFonts w:ascii="Arial Narrow" w:hAnsi="Arial Narrow"/>
              </w:rPr>
            </w:pPr>
            <w:r w:rsidRPr="0074511D">
              <w:rPr>
                <w:rFonts w:ascii="Arial Narrow" w:hAnsi="Arial Narrow"/>
              </w:rPr>
              <w:t>Mortality</w:t>
            </w:r>
          </w:p>
        </w:tc>
        <w:tc>
          <w:tcPr>
            <w:tcW w:w="757" w:type="pct"/>
            <w:shd w:val="clear" w:color="auto" w:fill="auto"/>
            <w:vAlign w:val="center"/>
          </w:tcPr>
          <w:p w14:paraId="21926884" w14:textId="77777777" w:rsidR="0074511D" w:rsidRPr="0074511D" w:rsidRDefault="0074511D" w:rsidP="0074511D">
            <w:pPr>
              <w:spacing w:before="40"/>
              <w:jc w:val="center"/>
              <w:rPr>
                <w:rFonts w:ascii="Arial Narrow" w:hAnsi="Arial Narrow"/>
              </w:rPr>
            </w:pPr>
            <w:r w:rsidRPr="0074511D">
              <w:rPr>
                <w:rFonts w:ascii="Arial Narrow" w:hAnsi="Arial Narrow"/>
              </w:rPr>
              <w:t>Not used</w:t>
            </w:r>
          </w:p>
        </w:tc>
      </w:tr>
      <w:tr w:rsidR="009F6297" w:rsidRPr="001A4B85" w14:paraId="6771CB03" w14:textId="77777777" w:rsidTr="00CC40D6">
        <w:trPr>
          <w:cantSplit/>
        </w:trPr>
        <w:tc>
          <w:tcPr>
            <w:tcW w:w="713" w:type="pct"/>
            <w:vAlign w:val="center"/>
          </w:tcPr>
          <w:p w14:paraId="55DE827D" w14:textId="1270DA78" w:rsidR="009F6297" w:rsidRPr="0074511D" w:rsidRDefault="009F6297" w:rsidP="009F6297">
            <w:pPr>
              <w:spacing w:before="40"/>
              <w:rPr>
                <w:rFonts w:ascii="Arial Narrow" w:hAnsi="Arial Narrow"/>
              </w:rPr>
            </w:pPr>
            <w:proofErr w:type="spellStart"/>
            <w:r w:rsidRPr="005D6889">
              <w:rPr>
                <w:rFonts w:ascii="Arial Narrow" w:hAnsi="Arial Narrow"/>
              </w:rPr>
              <w:t>Boucly</w:t>
            </w:r>
            <w:proofErr w:type="spellEnd"/>
            <w:r w:rsidRPr="005D6889">
              <w:rPr>
                <w:rFonts w:ascii="Arial Narrow" w:hAnsi="Arial Narrow"/>
              </w:rPr>
              <w:t xml:space="preserve"> et al. </w:t>
            </w:r>
            <w:r>
              <w:rPr>
                <w:rFonts w:ascii="Arial Narrow" w:hAnsi="Arial Narrow"/>
              </w:rPr>
              <w:t>(</w:t>
            </w:r>
            <w:r w:rsidRPr="005D6889">
              <w:rPr>
                <w:rFonts w:ascii="Arial Narrow" w:hAnsi="Arial Narrow"/>
              </w:rPr>
              <w:t>2022)</w:t>
            </w:r>
          </w:p>
        </w:tc>
        <w:tc>
          <w:tcPr>
            <w:tcW w:w="857" w:type="pct"/>
            <w:shd w:val="clear" w:color="auto" w:fill="auto"/>
            <w:vAlign w:val="center"/>
          </w:tcPr>
          <w:p w14:paraId="5440E760" w14:textId="2A512724" w:rsidR="009F6297" w:rsidRPr="0074511D" w:rsidRDefault="009F6297" w:rsidP="009F6297">
            <w:pPr>
              <w:spacing w:before="40"/>
              <w:jc w:val="center"/>
              <w:rPr>
                <w:rFonts w:ascii="Arial Narrow" w:hAnsi="Arial Narrow"/>
              </w:rPr>
            </w:pPr>
            <w:r w:rsidRPr="005D6889">
              <w:rPr>
                <w:rFonts w:ascii="Arial Narrow" w:hAnsi="Arial Narrow"/>
              </w:rPr>
              <w:t>2,879 patients from the French PAH Registry</w:t>
            </w:r>
          </w:p>
        </w:tc>
        <w:tc>
          <w:tcPr>
            <w:tcW w:w="629" w:type="pct"/>
            <w:shd w:val="clear" w:color="auto" w:fill="auto"/>
            <w:vAlign w:val="center"/>
          </w:tcPr>
          <w:p w14:paraId="58F93247" w14:textId="77777777" w:rsidR="009F6297" w:rsidRPr="0074511D" w:rsidRDefault="009F6297" w:rsidP="009F6297">
            <w:pPr>
              <w:spacing w:before="40"/>
              <w:jc w:val="center"/>
              <w:rPr>
                <w:rFonts w:ascii="Arial Narrow" w:hAnsi="Arial Narrow"/>
              </w:rPr>
            </w:pPr>
            <w:r w:rsidRPr="0074511D">
              <w:rPr>
                <w:rFonts w:ascii="Arial Narrow" w:hAnsi="Arial Narrow"/>
              </w:rPr>
              <w:t>Retrospective registry</w:t>
            </w:r>
          </w:p>
        </w:tc>
        <w:tc>
          <w:tcPr>
            <w:tcW w:w="471" w:type="pct"/>
            <w:shd w:val="clear" w:color="auto" w:fill="auto"/>
            <w:vAlign w:val="center"/>
          </w:tcPr>
          <w:p w14:paraId="6B0AB6EA" w14:textId="4969AF64" w:rsidR="009F6297" w:rsidRPr="0074511D" w:rsidRDefault="009F6297" w:rsidP="009F6297">
            <w:pPr>
              <w:spacing w:before="40"/>
              <w:jc w:val="center"/>
              <w:rPr>
                <w:rFonts w:ascii="Arial Narrow" w:hAnsi="Arial Narrow"/>
              </w:rPr>
            </w:pPr>
            <w:r>
              <w:rPr>
                <w:rFonts w:ascii="Arial Narrow" w:hAnsi="Arial Narrow"/>
              </w:rPr>
              <w:t>Low</w:t>
            </w:r>
          </w:p>
        </w:tc>
        <w:tc>
          <w:tcPr>
            <w:tcW w:w="1101" w:type="pct"/>
            <w:shd w:val="clear" w:color="auto" w:fill="auto"/>
            <w:vAlign w:val="center"/>
          </w:tcPr>
          <w:p w14:paraId="15182925" w14:textId="64013549" w:rsidR="009F6297" w:rsidRPr="0074511D" w:rsidRDefault="009F6297" w:rsidP="009F6297">
            <w:pPr>
              <w:spacing w:before="40"/>
              <w:jc w:val="center"/>
              <w:rPr>
                <w:rFonts w:ascii="Arial Narrow" w:hAnsi="Arial Narrow"/>
              </w:rPr>
            </w:pPr>
            <w:r>
              <w:rPr>
                <w:rFonts w:ascii="Arial Narrow" w:hAnsi="Arial Narrow"/>
              </w:rPr>
              <w:t>P</w:t>
            </w:r>
            <w:r w:rsidRPr="009F6297">
              <w:rPr>
                <w:rFonts w:ascii="Arial Narrow" w:hAnsi="Arial Narrow"/>
              </w:rPr>
              <w:t xml:space="preserve">atients aged </w:t>
            </w:r>
            <w:r>
              <w:rPr>
                <w:rFonts w:ascii="Arial Narrow" w:hAnsi="Arial Narrow"/>
              </w:rPr>
              <w:t>≥</w:t>
            </w:r>
            <w:r w:rsidRPr="009F6297">
              <w:rPr>
                <w:rFonts w:ascii="Arial Narrow" w:hAnsi="Arial Narrow"/>
              </w:rPr>
              <w:t xml:space="preserve">18 years diagnosed with </w:t>
            </w:r>
            <w:r>
              <w:rPr>
                <w:rFonts w:ascii="Arial Narrow" w:hAnsi="Arial Narrow"/>
              </w:rPr>
              <w:t>group I</w:t>
            </w:r>
            <w:r w:rsidRPr="009F6297">
              <w:rPr>
                <w:rFonts w:ascii="Arial Narrow" w:hAnsi="Arial Narrow"/>
              </w:rPr>
              <w:t xml:space="preserve"> </w:t>
            </w:r>
            <w:r>
              <w:rPr>
                <w:rFonts w:ascii="Arial Narrow" w:hAnsi="Arial Narrow"/>
              </w:rPr>
              <w:t>p</w:t>
            </w:r>
            <w:r w:rsidRPr="0074511D">
              <w:rPr>
                <w:rFonts w:ascii="Arial Narrow" w:hAnsi="Arial Narrow"/>
              </w:rPr>
              <w:t xml:space="preserve">recapillary </w:t>
            </w:r>
            <w:r w:rsidRPr="009F6297">
              <w:rPr>
                <w:rFonts w:ascii="Arial Narrow" w:hAnsi="Arial Narrow"/>
              </w:rPr>
              <w:t xml:space="preserve">PAH </w:t>
            </w:r>
            <w:r>
              <w:rPr>
                <w:rFonts w:ascii="Arial Narrow" w:hAnsi="Arial Narrow"/>
              </w:rPr>
              <w:t xml:space="preserve">enrolled </w:t>
            </w:r>
            <w:r w:rsidRPr="009F6297">
              <w:rPr>
                <w:rFonts w:ascii="Arial Narrow" w:hAnsi="Arial Narrow"/>
              </w:rPr>
              <w:t>between 1 January</w:t>
            </w:r>
            <w:r>
              <w:rPr>
                <w:rFonts w:ascii="Arial Narrow" w:hAnsi="Arial Narrow"/>
              </w:rPr>
              <w:t xml:space="preserve"> </w:t>
            </w:r>
            <w:r w:rsidRPr="009F6297">
              <w:rPr>
                <w:rFonts w:ascii="Arial Narrow" w:hAnsi="Arial Narrow"/>
              </w:rPr>
              <w:t>2009 and 31 December 2020</w:t>
            </w:r>
          </w:p>
        </w:tc>
        <w:tc>
          <w:tcPr>
            <w:tcW w:w="472" w:type="pct"/>
            <w:shd w:val="clear" w:color="auto" w:fill="auto"/>
            <w:vAlign w:val="center"/>
          </w:tcPr>
          <w:p w14:paraId="5AEF26EA" w14:textId="77777777" w:rsidR="009F6297" w:rsidRPr="0074511D" w:rsidRDefault="009F6297" w:rsidP="009F6297">
            <w:pPr>
              <w:spacing w:before="40"/>
              <w:jc w:val="center"/>
              <w:rPr>
                <w:rFonts w:ascii="Arial Narrow" w:hAnsi="Arial Narrow"/>
              </w:rPr>
            </w:pPr>
            <w:r w:rsidRPr="0074511D">
              <w:rPr>
                <w:rFonts w:ascii="Arial Narrow" w:hAnsi="Arial Narrow"/>
              </w:rPr>
              <w:t>Mortality</w:t>
            </w:r>
          </w:p>
        </w:tc>
        <w:tc>
          <w:tcPr>
            <w:tcW w:w="757" w:type="pct"/>
            <w:shd w:val="clear" w:color="auto" w:fill="auto"/>
            <w:vAlign w:val="center"/>
          </w:tcPr>
          <w:p w14:paraId="23B4BADF" w14:textId="77777777" w:rsidR="009F6297" w:rsidRPr="0074511D" w:rsidRDefault="009F6297" w:rsidP="009F6297">
            <w:pPr>
              <w:spacing w:before="40"/>
              <w:jc w:val="center"/>
              <w:rPr>
                <w:rFonts w:ascii="Arial Narrow" w:hAnsi="Arial Narrow"/>
              </w:rPr>
            </w:pPr>
            <w:r w:rsidRPr="0074511D">
              <w:rPr>
                <w:rFonts w:ascii="Arial Narrow" w:hAnsi="Arial Narrow"/>
              </w:rPr>
              <w:t>Not used</w:t>
            </w:r>
          </w:p>
        </w:tc>
      </w:tr>
      <w:tr w:rsidR="009F6297" w:rsidRPr="001A4B85" w14:paraId="1BD177C5" w14:textId="77777777" w:rsidTr="00CC40D6">
        <w:trPr>
          <w:cantSplit/>
        </w:trPr>
        <w:tc>
          <w:tcPr>
            <w:tcW w:w="713" w:type="pct"/>
            <w:vAlign w:val="center"/>
          </w:tcPr>
          <w:p w14:paraId="13860F4E" w14:textId="5F90B75E" w:rsidR="009F6297" w:rsidRPr="0074511D" w:rsidRDefault="009F6297" w:rsidP="009F6297">
            <w:pPr>
              <w:spacing w:before="40"/>
              <w:rPr>
                <w:rFonts w:ascii="Arial Narrow" w:hAnsi="Arial Narrow"/>
              </w:rPr>
            </w:pPr>
            <w:proofErr w:type="spellStart"/>
            <w:r w:rsidRPr="005D6889">
              <w:rPr>
                <w:rFonts w:ascii="Arial Narrow" w:hAnsi="Arial Narrow"/>
              </w:rPr>
              <w:t>Hoeper</w:t>
            </w:r>
            <w:proofErr w:type="spellEnd"/>
            <w:r w:rsidRPr="005D6889">
              <w:rPr>
                <w:rFonts w:ascii="Arial Narrow" w:hAnsi="Arial Narrow"/>
              </w:rPr>
              <w:t xml:space="preserve"> et al.</w:t>
            </w:r>
            <w:r>
              <w:rPr>
                <w:rFonts w:ascii="Arial Narrow" w:hAnsi="Arial Narrow"/>
              </w:rPr>
              <w:t xml:space="preserve"> (</w:t>
            </w:r>
            <w:r w:rsidRPr="005D6889">
              <w:rPr>
                <w:rFonts w:ascii="Arial Narrow" w:hAnsi="Arial Narrow"/>
              </w:rPr>
              <w:t>2022b)</w:t>
            </w:r>
          </w:p>
        </w:tc>
        <w:tc>
          <w:tcPr>
            <w:tcW w:w="857" w:type="pct"/>
            <w:shd w:val="clear" w:color="auto" w:fill="auto"/>
            <w:vAlign w:val="center"/>
          </w:tcPr>
          <w:p w14:paraId="7F283BAB" w14:textId="77777777" w:rsidR="009F6297" w:rsidRDefault="009F6297" w:rsidP="009F6297">
            <w:pPr>
              <w:spacing w:before="40"/>
              <w:jc w:val="center"/>
              <w:rPr>
                <w:rFonts w:ascii="Arial Narrow" w:hAnsi="Arial Narrow"/>
              </w:rPr>
            </w:pPr>
            <w:r w:rsidRPr="0074511D">
              <w:rPr>
                <w:rFonts w:ascii="Arial Narrow" w:hAnsi="Arial Narrow"/>
              </w:rPr>
              <w:t>5</w:t>
            </w:r>
            <w:r>
              <w:rPr>
                <w:rFonts w:ascii="Arial Narrow" w:hAnsi="Arial Narrow"/>
              </w:rPr>
              <w:t>96</w:t>
            </w:r>
            <w:r>
              <w:t xml:space="preserve"> </w:t>
            </w:r>
            <w:r w:rsidRPr="005D6889">
              <w:rPr>
                <w:rFonts w:ascii="Arial Narrow" w:hAnsi="Arial Narrow"/>
              </w:rPr>
              <w:t xml:space="preserve">patients from the COMPERA </w:t>
            </w:r>
            <w:r>
              <w:rPr>
                <w:rFonts w:ascii="Arial Narrow" w:hAnsi="Arial Narrow"/>
              </w:rPr>
              <w:t xml:space="preserve">PH </w:t>
            </w:r>
            <w:r w:rsidRPr="005D6889">
              <w:rPr>
                <w:rFonts w:ascii="Arial Narrow" w:hAnsi="Arial Narrow"/>
              </w:rPr>
              <w:t>registry</w:t>
            </w:r>
          </w:p>
          <w:p w14:paraId="1905D551" w14:textId="5B93BE69" w:rsidR="006707C1" w:rsidRPr="0074511D" w:rsidRDefault="006707C1" w:rsidP="009F6297">
            <w:pPr>
              <w:spacing w:before="40"/>
              <w:jc w:val="center"/>
              <w:rPr>
                <w:rFonts w:ascii="Arial Narrow" w:hAnsi="Arial Narrow"/>
              </w:rPr>
            </w:pPr>
            <w:r>
              <w:rPr>
                <w:rFonts w:ascii="Arial Narrow" w:hAnsi="Arial Narrow"/>
              </w:rPr>
              <w:t xml:space="preserve">Likely patient overlap with </w:t>
            </w:r>
            <w:proofErr w:type="spellStart"/>
            <w:r w:rsidRPr="006707C1">
              <w:rPr>
                <w:rFonts w:ascii="Arial Narrow" w:hAnsi="Arial Narrow"/>
              </w:rPr>
              <w:t>Hoeper</w:t>
            </w:r>
            <w:proofErr w:type="spellEnd"/>
            <w:r w:rsidRPr="006707C1">
              <w:rPr>
                <w:rFonts w:ascii="Arial Narrow" w:hAnsi="Arial Narrow"/>
              </w:rPr>
              <w:t xml:space="preserve"> et al. </w:t>
            </w:r>
            <w:r>
              <w:rPr>
                <w:rFonts w:ascii="Arial Narrow" w:hAnsi="Arial Narrow"/>
              </w:rPr>
              <w:t>(</w:t>
            </w:r>
            <w:r w:rsidRPr="006707C1">
              <w:rPr>
                <w:rFonts w:ascii="Arial Narrow" w:hAnsi="Arial Narrow"/>
              </w:rPr>
              <w:t>2022a)</w:t>
            </w:r>
          </w:p>
        </w:tc>
        <w:tc>
          <w:tcPr>
            <w:tcW w:w="629" w:type="pct"/>
            <w:shd w:val="clear" w:color="auto" w:fill="auto"/>
            <w:vAlign w:val="center"/>
          </w:tcPr>
          <w:p w14:paraId="0FD53DD3" w14:textId="74375F16" w:rsidR="009F6297" w:rsidRPr="0074511D" w:rsidRDefault="009F6297" w:rsidP="009F6297">
            <w:pPr>
              <w:spacing w:before="40"/>
              <w:jc w:val="center"/>
              <w:rPr>
                <w:rFonts w:ascii="Arial Narrow" w:hAnsi="Arial Narrow"/>
              </w:rPr>
            </w:pPr>
            <w:r w:rsidRPr="0074511D">
              <w:rPr>
                <w:rFonts w:ascii="Arial Narrow" w:hAnsi="Arial Narrow"/>
              </w:rPr>
              <w:t>Retrospective registry</w:t>
            </w:r>
          </w:p>
        </w:tc>
        <w:tc>
          <w:tcPr>
            <w:tcW w:w="471" w:type="pct"/>
            <w:shd w:val="clear" w:color="auto" w:fill="auto"/>
            <w:vAlign w:val="center"/>
          </w:tcPr>
          <w:p w14:paraId="02B18061" w14:textId="29FB5C0F" w:rsidR="009F6297" w:rsidRPr="0074511D" w:rsidRDefault="009F6297" w:rsidP="009F6297">
            <w:pPr>
              <w:spacing w:before="40"/>
              <w:jc w:val="center"/>
              <w:rPr>
                <w:rFonts w:ascii="Arial Narrow" w:hAnsi="Arial Narrow"/>
              </w:rPr>
            </w:pPr>
            <w:r>
              <w:rPr>
                <w:rFonts w:ascii="Arial Narrow" w:hAnsi="Arial Narrow"/>
              </w:rPr>
              <w:t>Low</w:t>
            </w:r>
          </w:p>
        </w:tc>
        <w:tc>
          <w:tcPr>
            <w:tcW w:w="1101" w:type="pct"/>
            <w:shd w:val="clear" w:color="auto" w:fill="auto"/>
            <w:vAlign w:val="center"/>
          </w:tcPr>
          <w:p w14:paraId="6E96A99B" w14:textId="505369AE" w:rsidR="009F6297" w:rsidRPr="0074511D" w:rsidRDefault="009F6297" w:rsidP="009F6297">
            <w:pPr>
              <w:spacing w:before="40"/>
              <w:jc w:val="center"/>
              <w:rPr>
                <w:rFonts w:ascii="Arial Narrow" w:hAnsi="Arial Narrow"/>
              </w:rPr>
            </w:pPr>
            <w:r w:rsidRPr="009F6297">
              <w:rPr>
                <w:rFonts w:ascii="Arial Narrow" w:hAnsi="Arial Narrow"/>
              </w:rPr>
              <w:t>Treatment-naïve patients aged 18</w:t>
            </w:r>
            <w:r>
              <w:rPr>
                <w:rFonts w:ascii="Arial Narrow" w:hAnsi="Arial Narrow"/>
              </w:rPr>
              <w:t>–80</w:t>
            </w:r>
            <w:r w:rsidRPr="009F6297">
              <w:rPr>
                <w:rFonts w:ascii="Arial Narrow" w:hAnsi="Arial Narrow"/>
              </w:rPr>
              <w:t xml:space="preserve"> years newly diagnosed with PAH between 1 January</w:t>
            </w:r>
            <w:r>
              <w:rPr>
                <w:rFonts w:ascii="Arial Narrow" w:hAnsi="Arial Narrow"/>
              </w:rPr>
              <w:t xml:space="preserve"> </w:t>
            </w:r>
            <w:r w:rsidRPr="009F6297">
              <w:rPr>
                <w:rFonts w:ascii="Arial Narrow" w:hAnsi="Arial Narrow"/>
              </w:rPr>
              <w:t>2009 and 31 December 2020</w:t>
            </w:r>
          </w:p>
        </w:tc>
        <w:tc>
          <w:tcPr>
            <w:tcW w:w="472" w:type="pct"/>
            <w:shd w:val="clear" w:color="auto" w:fill="auto"/>
            <w:vAlign w:val="center"/>
          </w:tcPr>
          <w:p w14:paraId="24F58B22" w14:textId="77777777" w:rsidR="009F6297" w:rsidRPr="0074511D" w:rsidRDefault="009F6297" w:rsidP="009F6297">
            <w:pPr>
              <w:spacing w:before="40"/>
              <w:jc w:val="center"/>
              <w:rPr>
                <w:rFonts w:ascii="Arial Narrow" w:hAnsi="Arial Narrow"/>
              </w:rPr>
            </w:pPr>
            <w:r w:rsidRPr="0074511D">
              <w:rPr>
                <w:rFonts w:ascii="Arial Narrow" w:hAnsi="Arial Narrow"/>
              </w:rPr>
              <w:t>Mortality</w:t>
            </w:r>
          </w:p>
        </w:tc>
        <w:tc>
          <w:tcPr>
            <w:tcW w:w="757" w:type="pct"/>
            <w:shd w:val="clear" w:color="auto" w:fill="auto"/>
            <w:vAlign w:val="center"/>
          </w:tcPr>
          <w:p w14:paraId="7AE77070" w14:textId="77777777" w:rsidR="009F6297" w:rsidRPr="0074511D" w:rsidRDefault="009F6297" w:rsidP="009F6297">
            <w:pPr>
              <w:spacing w:before="40"/>
              <w:jc w:val="center"/>
              <w:rPr>
                <w:rFonts w:ascii="Arial Narrow" w:hAnsi="Arial Narrow"/>
              </w:rPr>
            </w:pPr>
            <w:r w:rsidRPr="0074511D">
              <w:rPr>
                <w:rFonts w:ascii="Arial Narrow" w:hAnsi="Arial Narrow"/>
              </w:rPr>
              <w:t>Not used</w:t>
            </w:r>
          </w:p>
        </w:tc>
      </w:tr>
      <w:tr w:rsidR="009F6297" w:rsidRPr="001A4B85" w14:paraId="609AB4D9" w14:textId="77777777" w:rsidTr="00CC40D6">
        <w:trPr>
          <w:cantSplit/>
        </w:trPr>
        <w:tc>
          <w:tcPr>
            <w:tcW w:w="713" w:type="pct"/>
            <w:shd w:val="clear" w:color="auto" w:fill="auto"/>
            <w:vAlign w:val="center"/>
          </w:tcPr>
          <w:p w14:paraId="6B3B0D78" w14:textId="77777777" w:rsidR="009F6297" w:rsidRDefault="009F6297" w:rsidP="009F6297">
            <w:pPr>
              <w:spacing w:before="40"/>
              <w:rPr>
                <w:rFonts w:ascii="Arial Narrow" w:hAnsi="Arial Narrow"/>
              </w:rPr>
            </w:pPr>
            <w:r w:rsidRPr="005D6889">
              <w:rPr>
                <w:rFonts w:ascii="Arial Narrow" w:hAnsi="Arial Narrow"/>
              </w:rPr>
              <w:t>Rosenkranz</w:t>
            </w:r>
            <w:r w:rsidRPr="0074511D">
              <w:rPr>
                <w:rFonts w:ascii="Arial Narrow" w:hAnsi="Arial Narrow"/>
              </w:rPr>
              <w:t xml:space="preserve"> et al. (20</w:t>
            </w:r>
            <w:r>
              <w:rPr>
                <w:rFonts w:ascii="Arial Narrow" w:hAnsi="Arial Narrow"/>
              </w:rPr>
              <w:t>23</w:t>
            </w:r>
            <w:r w:rsidRPr="0074511D">
              <w:rPr>
                <w:rFonts w:ascii="Arial Narrow" w:hAnsi="Arial Narrow"/>
              </w:rPr>
              <w:t>)</w:t>
            </w:r>
          </w:p>
          <w:p w14:paraId="4DEC7670" w14:textId="6E25B1A1" w:rsidR="00F96DE1" w:rsidRPr="0074511D" w:rsidRDefault="00F96DE1" w:rsidP="009F6297">
            <w:pPr>
              <w:spacing w:before="40"/>
              <w:rPr>
                <w:rFonts w:ascii="Arial Narrow" w:hAnsi="Arial Narrow"/>
              </w:rPr>
            </w:pPr>
            <w:r>
              <w:rPr>
                <w:rFonts w:ascii="Arial Narrow" w:hAnsi="Arial Narrow"/>
              </w:rPr>
              <w:t>(Identified by the commentary)</w:t>
            </w:r>
          </w:p>
        </w:tc>
        <w:tc>
          <w:tcPr>
            <w:tcW w:w="857" w:type="pct"/>
            <w:shd w:val="clear" w:color="auto" w:fill="auto"/>
            <w:vAlign w:val="center"/>
          </w:tcPr>
          <w:p w14:paraId="714629B4" w14:textId="77777777" w:rsidR="009F6297" w:rsidRDefault="009F6297" w:rsidP="009F6297">
            <w:pPr>
              <w:spacing w:before="40"/>
              <w:jc w:val="center"/>
              <w:rPr>
                <w:rFonts w:ascii="Arial Narrow" w:hAnsi="Arial Narrow"/>
              </w:rPr>
            </w:pPr>
            <w:r>
              <w:rPr>
                <w:rFonts w:ascii="Arial Narrow" w:hAnsi="Arial Narrow"/>
              </w:rPr>
              <w:t>1,120</w:t>
            </w:r>
            <w:r>
              <w:t xml:space="preserve"> </w:t>
            </w:r>
            <w:r w:rsidRPr="005D6889">
              <w:rPr>
                <w:rFonts w:ascii="Arial Narrow" w:hAnsi="Arial Narrow"/>
              </w:rPr>
              <w:t xml:space="preserve">patients from the COMPERA </w:t>
            </w:r>
            <w:r>
              <w:rPr>
                <w:rFonts w:ascii="Arial Narrow" w:hAnsi="Arial Narrow"/>
              </w:rPr>
              <w:t xml:space="preserve">PH </w:t>
            </w:r>
            <w:r w:rsidRPr="005D6889">
              <w:rPr>
                <w:rFonts w:ascii="Arial Narrow" w:hAnsi="Arial Narrow"/>
              </w:rPr>
              <w:t>registry</w:t>
            </w:r>
          </w:p>
          <w:p w14:paraId="03889789" w14:textId="39173C5D" w:rsidR="006707C1" w:rsidRPr="0074511D" w:rsidRDefault="006707C1" w:rsidP="009F6297">
            <w:pPr>
              <w:spacing w:before="40"/>
              <w:jc w:val="center"/>
              <w:rPr>
                <w:rFonts w:ascii="Arial Narrow" w:hAnsi="Arial Narrow"/>
              </w:rPr>
            </w:pPr>
            <w:r w:rsidRPr="006707C1">
              <w:rPr>
                <w:rFonts w:ascii="Arial Narrow" w:hAnsi="Arial Narrow"/>
              </w:rPr>
              <w:t xml:space="preserve">Likely patient overlap with </w:t>
            </w:r>
            <w:proofErr w:type="spellStart"/>
            <w:r w:rsidRPr="006707C1">
              <w:rPr>
                <w:rFonts w:ascii="Arial Narrow" w:hAnsi="Arial Narrow"/>
              </w:rPr>
              <w:t>Hoeper</w:t>
            </w:r>
            <w:proofErr w:type="spellEnd"/>
            <w:r w:rsidRPr="006707C1">
              <w:rPr>
                <w:rFonts w:ascii="Arial Narrow" w:hAnsi="Arial Narrow"/>
              </w:rPr>
              <w:t xml:space="preserve"> et al. (2022a)</w:t>
            </w:r>
          </w:p>
        </w:tc>
        <w:tc>
          <w:tcPr>
            <w:tcW w:w="629" w:type="pct"/>
            <w:shd w:val="clear" w:color="auto" w:fill="auto"/>
            <w:vAlign w:val="center"/>
          </w:tcPr>
          <w:p w14:paraId="2A2A0503" w14:textId="58FC2FEA" w:rsidR="009F6297" w:rsidRPr="0074511D" w:rsidRDefault="009F6297" w:rsidP="009F6297">
            <w:pPr>
              <w:spacing w:before="40"/>
              <w:jc w:val="center"/>
              <w:rPr>
                <w:rFonts w:ascii="Arial Narrow" w:hAnsi="Arial Narrow"/>
              </w:rPr>
            </w:pPr>
            <w:r w:rsidRPr="0074511D">
              <w:rPr>
                <w:rFonts w:ascii="Arial Narrow" w:hAnsi="Arial Narrow"/>
              </w:rPr>
              <w:t>Retrospective registry</w:t>
            </w:r>
          </w:p>
        </w:tc>
        <w:tc>
          <w:tcPr>
            <w:tcW w:w="471" w:type="pct"/>
            <w:shd w:val="clear" w:color="auto" w:fill="auto"/>
            <w:vAlign w:val="center"/>
          </w:tcPr>
          <w:p w14:paraId="290F1E4E" w14:textId="2C996239" w:rsidR="009F6297" w:rsidRPr="0074511D" w:rsidRDefault="009F6297" w:rsidP="009F6297">
            <w:pPr>
              <w:spacing w:before="40"/>
              <w:jc w:val="center"/>
              <w:rPr>
                <w:rFonts w:ascii="Arial Narrow" w:hAnsi="Arial Narrow"/>
              </w:rPr>
            </w:pPr>
            <w:r w:rsidRPr="00BA4768">
              <w:rPr>
                <w:rFonts w:ascii="Arial Narrow" w:hAnsi="Arial Narrow"/>
              </w:rPr>
              <w:t>Low</w:t>
            </w:r>
          </w:p>
        </w:tc>
        <w:tc>
          <w:tcPr>
            <w:tcW w:w="1101" w:type="pct"/>
            <w:shd w:val="clear" w:color="auto" w:fill="auto"/>
            <w:vAlign w:val="center"/>
          </w:tcPr>
          <w:p w14:paraId="440A647C" w14:textId="09D80E6A" w:rsidR="009F6297" w:rsidRPr="0074511D" w:rsidRDefault="009F6297" w:rsidP="009F6297">
            <w:pPr>
              <w:spacing w:before="40"/>
              <w:jc w:val="center"/>
              <w:rPr>
                <w:rFonts w:ascii="Arial Narrow" w:hAnsi="Arial Narrow"/>
              </w:rPr>
            </w:pPr>
            <w:r w:rsidRPr="009F6297">
              <w:rPr>
                <w:rFonts w:ascii="Arial Narrow" w:hAnsi="Arial Narrow"/>
              </w:rPr>
              <w:t xml:space="preserve">Treatment-naïve patients aged </w:t>
            </w:r>
            <w:r>
              <w:rPr>
                <w:rFonts w:ascii="Arial Narrow" w:hAnsi="Arial Narrow"/>
              </w:rPr>
              <w:t>≥</w:t>
            </w:r>
            <w:r w:rsidRPr="009F6297">
              <w:rPr>
                <w:rFonts w:ascii="Arial Narrow" w:hAnsi="Arial Narrow"/>
              </w:rPr>
              <w:t xml:space="preserve">18 years newly diagnosed with </w:t>
            </w:r>
            <w:r>
              <w:rPr>
                <w:rFonts w:ascii="Arial Narrow" w:hAnsi="Arial Narrow"/>
              </w:rPr>
              <w:t>I</w:t>
            </w:r>
            <w:r w:rsidRPr="009F6297">
              <w:rPr>
                <w:rFonts w:ascii="Arial Narrow" w:hAnsi="Arial Narrow"/>
              </w:rPr>
              <w:t>PAH between 1 January</w:t>
            </w:r>
            <w:r>
              <w:rPr>
                <w:rFonts w:ascii="Arial Narrow" w:hAnsi="Arial Narrow"/>
              </w:rPr>
              <w:t xml:space="preserve"> </w:t>
            </w:r>
            <w:r w:rsidRPr="009F6297">
              <w:rPr>
                <w:rFonts w:ascii="Arial Narrow" w:hAnsi="Arial Narrow"/>
              </w:rPr>
              <w:t>2009 and 31 December 202</w:t>
            </w:r>
            <w:r>
              <w:rPr>
                <w:rFonts w:ascii="Arial Narrow" w:hAnsi="Arial Narrow"/>
              </w:rPr>
              <w:t>1 with information about comorbidities</w:t>
            </w:r>
          </w:p>
        </w:tc>
        <w:tc>
          <w:tcPr>
            <w:tcW w:w="472" w:type="pct"/>
            <w:shd w:val="clear" w:color="auto" w:fill="auto"/>
            <w:vAlign w:val="center"/>
          </w:tcPr>
          <w:p w14:paraId="5DBDD431" w14:textId="77777777" w:rsidR="009F6297" w:rsidRPr="0074511D" w:rsidRDefault="009F6297" w:rsidP="009F6297">
            <w:pPr>
              <w:spacing w:before="40"/>
              <w:jc w:val="center"/>
              <w:rPr>
                <w:rFonts w:ascii="Arial Narrow" w:hAnsi="Arial Narrow"/>
              </w:rPr>
            </w:pPr>
            <w:r w:rsidRPr="0074511D">
              <w:rPr>
                <w:rFonts w:ascii="Arial Narrow" w:hAnsi="Arial Narrow"/>
              </w:rPr>
              <w:t>Mortality</w:t>
            </w:r>
          </w:p>
        </w:tc>
        <w:tc>
          <w:tcPr>
            <w:tcW w:w="757" w:type="pct"/>
            <w:shd w:val="clear" w:color="auto" w:fill="auto"/>
            <w:vAlign w:val="center"/>
          </w:tcPr>
          <w:p w14:paraId="56825243" w14:textId="77777777" w:rsidR="009F6297" w:rsidRPr="0074511D" w:rsidRDefault="009F6297" w:rsidP="009F6297">
            <w:pPr>
              <w:spacing w:before="40"/>
              <w:jc w:val="center"/>
              <w:rPr>
                <w:rFonts w:ascii="Arial Narrow" w:hAnsi="Arial Narrow"/>
              </w:rPr>
            </w:pPr>
            <w:r w:rsidRPr="0074511D">
              <w:rPr>
                <w:rFonts w:ascii="Arial Narrow" w:hAnsi="Arial Narrow"/>
              </w:rPr>
              <w:t>Not used</w:t>
            </w:r>
          </w:p>
        </w:tc>
      </w:tr>
    </w:tbl>
    <w:p w14:paraId="21E67A66" w14:textId="03352586" w:rsidR="00055E91" w:rsidRDefault="00055E91" w:rsidP="00AA0686">
      <w:pPr>
        <w:pStyle w:val="TableFooter"/>
      </w:pPr>
      <w:bookmarkStart w:id="30" w:name="_Hlk68276176"/>
      <w:bookmarkEnd w:id="29"/>
      <w:r w:rsidRPr="009F6297">
        <w:t>IPAH = idiopathic pulmonary arterial hypertension; PAH = pulmonary arterial hypertension; PH = pulmonary hypertension</w:t>
      </w:r>
    </w:p>
    <w:p w14:paraId="28ED4884" w14:textId="1BCB0298" w:rsidR="009F4E02" w:rsidRPr="009F6297" w:rsidRDefault="009F4E02" w:rsidP="00AA0686">
      <w:pPr>
        <w:pStyle w:val="TableFooter"/>
      </w:pPr>
      <w:r>
        <w:t xml:space="preserve">Source: </w:t>
      </w:r>
      <w:r w:rsidRPr="009F4E02">
        <w:t>Compiled for the commentary based on</w:t>
      </w:r>
      <w:r>
        <w:t xml:space="preserve"> Table 2-1 on </w:t>
      </w:r>
      <w:proofErr w:type="spellStart"/>
      <w:r>
        <w:t>pg</w:t>
      </w:r>
      <w:proofErr w:type="spellEnd"/>
      <w:r>
        <w:t xml:space="preserve"> 4</w:t>
      </w:r>
      <w:r w:rsidR="002F35B4">
        <w:t>2</w:t>
      </w:r>
      <w:r>
        <w:t xml:space="preserve"> </w:t>
      </w:r>
      <w:r w:rsidRPr="009F4E02">
        <w:t>of MSAC 1689.1 ADAR</w:t>
      </w:r>
    </w:p>
    <w:p w14:paraId="21F26FE0" w14:textId="7F0E2AD1" w:rsidR="00055E91" w:rsidRPr="001A4B85" w:rsidRDefault="00F55BF6" w:rsidP="00F55BF6">
      <w:pPr>
        <w:pStyle w:val="TableHeading0"/>
        <w:rPr>
          <w:sz w:val="16"/>
          <w:szCs w:val="16"/>
        </w:rPr>
      </w:pPr>
      <w:bookmarkStart w:id="31" w:name="_Ref131153452"/>
      <w:bookmarkEnd w:id="30"/>
      <w:r>
        <w:t xml:space="preserve">Table </w:t>
      </w:r>
      <w:r w:rsidR="00DD62DD">
        <w:fldChar w:fldCharType="begin"/>
      </w:r>
      <w:r w:rsidR="00DD62DD">
        <w:instrText xml:space="preserve"> SEQ Table \* ARABIC </w:instrText>
      </w:r>
      <w:r w:rsidR="00DD62DD">
        <w:fldChar w:fldCharType="separate"/>
      </w:r>
      <w:r w:rsidR="00AA0686">
        <w:rPr>
          <w:noProof/>
        </w:rPr>
        <w:t>6</w:t>
      </w:r>
      <w:r w:rsidR="00DD62DD">
        <w:rPr>
          <w:noProof/>
        </w:rPr>
        <w:fldChar w:fldCharType="end"/>
      </w:r>
      <w:bookmarkEnd w:id="31"/>
      <w:r w:rsidR="00055E91" w:rsidRPr="001A4B85">
        <w:tab/>
      </w:r>
      <w:r w:rsidR="00FF7679">
        <w:t>type of evidence supplied by</w:t>
      </w:r>
      <w:r w:rsidR="00055E91" w:rsidRPr="001A4B85">
        <w:t xml:space="preserve"> the included evidence</w:t>
      </w:r>
    </w:p>
    <w:tbl>
      <w:tblPr>
        <w:tblStyle w:val="TableGrid1"/>
        <w:tblW w:w="5000" w:type="pct"/>
        <w:tblLook w:val="04A0" w:firstRow="1" w:lastRow="0" w:firstColumn="1" w:lastColumn="0" w:noHBand="0" w:noVBand="1"/>
      </w:tblPr>
      <w:tblGrid>
        <w:gridCol w:w="2122"/>
        <w:gridCol w:w="3118"/>
        <w:gridCol w:w="1985"/>
        <w:gridCol w:w="1791"/>
      </w:tblGrid>
      <w:tr w:rsidR="00055E91" w:rsidRPr="001A4B85" w14:paraId="5B19AA0F" w14:textId="77777777" w:rsidTr="007B73ED">
        <w:trPr>
          <w:cnfStyle w:val="100000000000" w:firstRow="1" w:lastRow="0" w:firstColumn="0" w:lastColumn="0" w:oddVBand="0" w:evenVBand="0" w:oddHBand="0" w:evenHBand="0" w:firstRowFirstColumn="0" w:firstRowLastColumn="0" w:lastRowFirstColumn="0" w:lastRowLastColumn="0"/>
          <w:tblHeader/>
        </w:trPr>
        <w:tc>
          <w:tcPr>
            <w:tcW w:w="1177" w:type="pct"/>
            <w:tcBorders>
              <w:top w:val="single" w:sz="4" w:space="0" w:color="auto"/>
              <w:left w:val="single" w:sz="4" w:space="0" w:color="auto"/>
              <w:bottom w:val="single" w:sz="4" w:space="0" w:color="auto"/>
              <w:right w:val="single" w:sz="4" w:space="0" w:color="auto"/>
            </w:tcBorders>
            <w:vAlign w:val="bottom"/>
          </w:tcPr>
          <w:p w14:paraId="6CBAAF87" w14:textId="77777777" w:rsidR="00055E91" w:rsidRPr="001A4B85" w:rsidRDefault="00055E91" w:rsidP="00055E91">
            <w:pPr>
              <w:keepNext/>
              <w:spacing w:before="40"/>
              <w:rPr>
                <w:rFonts w:ascii="Arial Narrow" w:hAnsi="Arial Narrow"/>
                <w:b/>
              </w:rPr>
            </w:pPr>
            <w:bookmarkStart w:id="32" w:name="ColumnTitle_Table4"/>
            <w:bookmarkStart w:id="33" w:name="_Hlk68276288"/>
            <w:bookmarkEnd w:id="32"/>
            <w:r w:rsidRPr="001A4B85">
              <w:rPr>
                <w:rFonts w:ascii="Arial Narrow" w:hAnsi="Arial Narrow"/>
                <w:b/>
              </w:rPr>
              <w:t>Criterion</w:t>
            </w:r>
          </w:p>
        </w:tc>
        <w:tc>
          <w:tcPr>
            <w:tcW w:w="1729" w:type="pct"/>
            <w:tcBorders>
              <w:top w:val="single" w:sz="4" w:space="0" w:color="auto"/>
              <w:left w:val="single" w:sz="4" w:space="0" w:color="auto"/>
              <w:bottom w:val="single" w:sz="4" w:space="0" w:color="auto"/>
              <w:right w:val="single" w:sz="4" w:space="0" w:color="auto"/>
            </w:tcBorders>
            <w:vAlign w:val="bottom"/>
            <w:hideMark/>
          </w:tcPr>
          <w:p w14:paraId="50ECAF00" w14:textId="36FF149A" w:rsidR="00055E91" w:rsidRPr="001A4B85" w:rsidRDefault="00055E91" w:rsidP="00055E91">
            <w:pPr>
              <w:keepNext/>
              <w:spacing w:before="40"/>
              <w:rPr>
                <w:rFonts w:ascii="Arial Narrow" w:hAnsi="Arial Narrow"/>
                <w:b/>
              </w:rPr>
            </w:pPr>
            <w:r w:rsidRPr="001A4B85">
              <w:rPr>
                <w:rFonts w:ascii="Arial Narrow" w:hAnsi="Arial Narrow"/>
                <w:b/>
              </w:rPr>
              <w:t>Type of evidence</w:t>
            </w:r>
          </w:p>
        </w:tc>
        <w:tc>
          <w:tcPr>
            <w:tcW w:w="1101" w:type="pct"/>
            <w:tcBorders>
              <w:top w:val="single" w:sz="4" w:space="0" w:color="auto"/>
              <w:left w:val="single" w:sz="4" w:space="0" w:color="auto"/>
              <w:bottom w:val="single" w:sz="4" w:space="0" w:color="auto"/>
              <w:right w:val="single" w:sz="4" w:space="0" w:color="auto"/>
            </w:tcBorders>
            <w:vAlign w:val="bottom"/>
            <w:hideMark/>
          </w:tcPr>
          <w:p w14:paraId="23026EA4" w14:textId="77777777" w:rsidR="00055E91" w:rsidRPr="001A4B85" w:rsidRDefault="00055E91" w:rsidP="00055E91">
            <w:pPr>
              <w:keepNext/>
              <w:spacing w:before="40"/>
              <w:rPr>
                <w:rFonts w:ascii="Arial Narrow" w:hAnsi="Arial Narrow"/>
                <w:b/>
              </w:rPr>
            </w:pPr>
            <w:r w:rsidRPr="001A4B85">
              <w:rPr>
                <w:rFonts w:ascii="Arial Narrow" w:hAnsi="Arial Narrow"/>
                <w:b/>
              </w:rPr>
              <w:t>Extent of evidence supplied</w:t>
            </w:r>
          </w:p>
        </w:tc>
        <w:tc>
          <w:tcPr>
            <w:tcW w:w="993" w:type="pct"/>
            <w:tcBorders>
              <w:top w:val="single" w:sz="4" w:space="0" w:color="auto"/>
              <w:left w:val="single" w:sz="4" w:space="0" w:color="auto"/>
              <w:bottom w:val="single" w:sz="4" w:space="0" w:color="auto"/>
              <w:right w:val="single" w:sz="4" w:space="0" w:color="auto"/>
            </w:tcBorders>
            <w:vAlign w:val="bottom"/>
            <w:hideMark/>
          </w:tcPr>
          <w:p w14:paraId="2F5B42AD" w14:textId="77777777" w:rsidR="00055E91" w:rsidRPr="001A4B85" w:rsidRDefault="00055E91" w:rsidP="00055E91">
            <w:pPr>
              <w:keepNext/>
              <w:spacing w:before="40"/>
              <w:rPr>
                <w:rFonts w:ascii="Arial Narrow" w:hAnsi="Arial Narrow"/>
                <w:b/>
              </w:rPr>
            </w:pPr>
            <w:r w:rsidRPr="001A4B85">
              <w:rPr>
                <w:rFonts w:ascii="Arial Narrow" w:hAnsi="Arial Narrow"/>
                <w:b/>
              </w:rPr>
              <w:t>Overall risk of bias in evidence base</w:t>
            </w:r>
          </w:p>
        </w:tc>
      </w:tr>
      <w:tr w:rsidR="00055E91" w:rsidRPr="001A4B85" w14:paraId="6027025D" w14:textId="77777777" w:rsidTr="007B73ED">
        <w:tc>
          <w:tcPr>
            <w:tcW w:w="1177" w:type="pct"/>
            <w:tcBorders>
              <w:top w:val="single" w:sz="4" w:space="0" w:color="auto"/>
              <w:left w:val="single" w:sz="4" w:space="0" w:color="auto"/>
              <w:bottom w:val="single" w:sz="4" w:space="0" w:color="auto"/>
              <w:right w:val="single" w:sz="4" w:space="0" w:color="auto"/>
            </w:tcBorders>
            <w:hideMark/>
          </w:tcPr>
          <w:p w14:paraId="029DD8AB" w14:textId="77777777" w:rsidR="00055E91" w:rsidRPr="001A4B85" w:rsidRDefault="00055E91" w:rsidP="00055E91">
            <w:pPr>
              <w:keepNext/>
              <w:spacing w:before="40"/>
              <w:rPr>
                <w:rFonts w:ascii="Arial Narrow" w:hAnsi="Arial Narrow"/>
              </w:rPr>
            </w:pPr>
            <w:r w:rsidRPr="001A4B85">
              <w:rPr>
                <w:rFonts w:ascii="Arial Narrow" w:hAnsi="Arial Narrow"/>
              </w:rPr>
              <w:t>Accuracy and performance of the test (cross-sectional accuracy)</w:t>
            </w:r>
          </w:p>
        </w:tc>
        <w:tc>
          <w:tcPr>
            <w:tcW w:w="1729" w:type="pct"/>
            <w:tcBorders>
              <w:top w:val="single" w:sz="4" w:space="0" w:color="auto"/>
              <w:left w:val="single" w:sz="4" w:space="0" w:color="auto"/>
              <w:bottom w:val="single" w:sz="4" w:space="0" w:color="auto"/>
              <w:right w:val="single" w:sz="4" w:space="0" w:color="auto"/>
            </w:tcBorders>
            <w:hideMark/>
          </w:tcPr>
          <w:p w14:paraId="7C8DDC14" w14:textId="768556FB" w:rsidR="00055E91" w:rsidRPr="001A4B85" w:rsidRDefault="004540C4" w:rsidP="00055E91">
            <w:pPr>
              <w:keepNext/>
              <w:spacing w:before="40"/>
              <w:rPr>
                <w:rFonts w:ascii="Arial Narrow" w:hAnsi="Arial Narrow"/>
              </w:rPr>
            </w:pPr>
            <w:r>
              <w:rPr>
                <w:rFonts w:ascii="Arial Narrow" w:hAnsi="Arial Narrow"/>
              </w:rPr>
              <w:t>None</w:t>
            </w:r>
          </w:p>
        </w:tc>
        <w:tc>
          <w:tcPr>
            <w:tcW w:w="1101" w:type="pct"/>
            <w:tcBorders>
              <w:top w:val="single" w:sz="4" w:space="0" w:color="auto"/>
              <w:left w:val="single" w:sz="4" w:space="0" w:color="auto"/>
              <w:bottom w:val="single" w:sz="4" w:space="0" w:color="auto"/>
              <w:right w:val="single" w:sz="4" w:space="0" w:color="auto"/>
            </w:tcBorders>
            <w:hideMark/>
          </w:tcPr>
          <w:p w14:paraId="6940E1CD" w14:textId="4B21276A" w:rsidR="00055E91" w:rsidRPr="001A4B85" w:rsidRDefault="00DD62DD" w:rsidP="00055E91">
            <w:pPr>
              <w:keepNext/>
              <w:tabs>
                <w:tab w:val="left" w:pos="499"/>
                <w:tab w:val="left" w:pos="1087"/>
              </w:tabs>
              <w:spacing w:before="40"/>
              <w:rPr>
                <w:rFonts w:ascii="Arial Narrow" w:hAnsi="Arial Narrow"/>
              </w:rPr>
            </w:pPr>
            <w:sdt>
              <w:sdtPr>
                <w:rPr>
                  <w:rFonts w:ascii="Arial Narrow" w:hAnsi="Arial Narrow"/>
                </w:rPr>
                <w:id w:val="1454910707"/>
                <w14:checkbox>
                  <w14:checked w14:val="0"/>
                  <w14:checkedState w14:val="2612" w14:font="MS Gothic"/>
                  <w14:uncheckedState w14:val="2610" w14:font="MS Gothic"/>
                </w14:checkbox>
              </w:sdtPr>
              <w:sdtEndPr/>
              <w:sdtContent>
                <w:r w:rsidR="009F6297">
                  <w:rPr>
                    <w:rFonts w:ascii="MS Gothic" w:eastAsia="MS Gothic" w:hAnsi="MS Gothic" w:hint="eastAsia"/>
                  </w:rPr>
                  <w:t>☐</w:t>
                </w:r>
              </w:sdtContent>
            </w:sdt>
            <w:r w:rsidR="00055E91" w:rsidRPr="001A4B85">
              <w:rPr>
                <w:rFonts w:ascii="Arial Narrow" w:hAnsi="Arial Narrow"/>
              </w:rPr>
              <w:tab/>
              <w:t>k=</w:t>
            </w:r>
            <w:r w:rsidR="009F6297">
              <w:rPr>
                <w:rFonts w:ascii="Arial Narrow" w:hAnsi="Arial Narrow"/>
              </w:rPr>
              <w:t>0</w:t>
            </w:r>
            <w:r w:rsidR="00055E91" w:rsidRPr="001A4B85">
              <w:rPr>
                <w:rFonts w:ascii="Arial Narrow" w:hAnsi="Arial Narrow"/>
              </w:rPr>
              <w:tab/>
              <w:t>n=</w:t>
            </w:r>
            <w:r w:rsidR="009F6297">
              <w:rPr>
                <w:rFonts w:ascii="Arial Narrow" w:hAnsi="Arial Narrow"/>
              </w:rPr>
              <w:t>0</w:t>
            </w:r>
          </w:p>
        </w:tc>
        <w:tc>
          <w:tcPr>
            <w:tcW w:w="993" w:type="pct"/>
            <w:tcBorders>
              <w:top w:val="single" w:sz="4" w:space="0" w:color="auto"/>
              <w:left w:val="single" w:sz="4" w:space="0" w:color="auto"/>
              <w:bottom w:val="single" w:sz="4" w:space="0" w:color="auto"/>
              <w:right w:val="single" w:sz="4" w:space="0" w:color="auto"/>
            </w:tcBorders>
            <w:hideMark/>
          </w:tcPr>
          <w:p w14:paraId="79237406" w14:textId="4A199DEC" w:rsidR="00055E91" w:rsidRPr="001A4B85" w:rsidRDefault="00055E91" w:rsidP="00055E91">
            <w:pPr>
              <w:keepNext/>
              <w:spacing w:before="40"/>
              <w:rPr>
                <w:rFonts w:ascii="Arial Narrow" w:hAnsi="Arial Narrow"/>
              </w:rPr>
            </w:pPr>
          </w:p>
        </w:tc>
      </w:tr>
      <w:tr w:rsidR="00055E91" w:rsidRPr="001A4B85" w14:paraId="3AFE92BE" w14:textId="77777777" w:rsidTr="007B73ED">
        <w:tc>
          <w:tcPr>
            <w:tcW w:w="1177" w:type="pct"/>
            <w:tcBorders>
              <w:top w:val="single" w:sz="4" w:space="0" w:color="auto"/>
              <w:left w:val="single" w:sz="4" w:space="0" w:color="auto"/>
              <w:bottom w:val="single" w:sz="4" w:space="0" w:color="auto"/>
              <w:right w:val="single" w:sz="4" w:space="0" w:color="auto"/>
            </w:tcBorders>
            <w:hideMark/>
          </w:tcPr>
          <w:p w14:paraId="5392911C" w14:textId="02F01E82" w:rsidR="00055E91" w:rsidRPr="001A4B85" w:rsidRDefault="009F6297" w:rsidP="00055E91">
            <w:pPr>
              <w:keepNext/>
              <w:spacing w:before="40"/>
              <w:rPr>
                <w:rFonts w:ascii="Arial Narrow" w:hAnsi="Arial Narrow"/>
              </w:rPr>
            </w:pPr>
            <w:r w:rsidRPr="001A4B85">
              <w:rPr>
                <w:rFonts w:ascii="Arial Narrow" w:hAnsi="Arial Narrow"/>
              </w:rPr>
              <w:t xml:space="preserve">Accuracy and performance of the test </w:t>
            </w:r>
            <w:r w:rsidR="00055E91" w:rsidRPr="001A4B85">
              <w:rPr>
                <w:rFonts w:ascii="Arial Narrow" w:hAnsi="Arial Narrow"/>
              </w:rPr>
              <w:t>(longitudinal accuracy)</w:t>
            </w:r>
          </w:p>
        </w:tc>
        <w:tc>
          <w:tcPr>
            <w:tcW w:w="1729" w:type="pct"/>
            <w:tcBorders>
              <w:top w:val="single" w:sz="4" w:space="0" w:color="auto"/>
              <w:left w:val="single" w:sz="4" w:space="0" w:color="auto"/>
              <w:bottom w:val="single" w:sz="4" w:space="0" w:color="auto"/>
              <w:right w:val="single" w:sz="4" w:space="0" w:color="auto"/>
            </w:tcBorders>
            <w:hideMark/>
          </w:tcPr>
          <w:p w14:paraId="38D5CB85" w14:textId="51CA8D47" w:rsidR="00055E91" w:rsidRPr="001A4B85" w:rsidRDefault="00055E91" w:rsidP="00055E91">
            <w:pPr>
              <w:keepNext/>
              <w:spacing w:before="40"/>
              <w:rPr>
                <w:rFonts w:ascii="Arial Narrow" w:hAnsi="Arial Narrow"/>
              </w:rPr>
            </w:pPr>
            <w:r w:rsidRPr="001A4B85">
              <w:rPr>
                <w:rFonts w:ascii="Arial Narrow" w:hAnsi="Arial Narrow"/>
              </w:rPr>
              <w:t xml:space="preserve">Comparison of outcomes in patients receiving </w:t>
            </w:r>
            <w:r w:rsidRPr="001A4B85">
              <w:rPr>
                <w:rFonts w:ascii="Arial Narrow" w:hAnsi="Arial Narrow"/>
                <w:i/>
                <w:iCs/>
              </w:rPr>
              <w:t>usual care</w:t>
            </w:r>
            <w:r w:rsidRPr="001A4B85">
              <w:rPr>
                <w:rFonts w:ascii="Arial Narrow" w:hAnsi="Arial Narrow"/>
                <w:u w:val="single"/>
              </w:rPr>
              <w:t>,</w:t>
            </w:r>
            <w:r w:rsidRPr="001A4B85">
              <w:rPr>
                <w:rFonts w:ascii="Arial Narrow" w:hAnsi="Arial Narrow"/>
              </w:rPr>
              <w:t xml:space="preserve"> conditioned on </w:t>
            </w:r>
            <w:r w:rsidR="006707C1">
              <w:rPr>
                <w:rFonts w:ascii="Arial Narrow" w:hAnsi="Arial Narrow"/>
              </w:rPr>
              <w:t>their mortality</w:t>
            </w:r>
            <w:r w:rsidR="006707C1" w:rsidRPr="001A4B85">
              <w:rPr>
                <w:rFonts w:ascii="Arial Narrow" w:hAnsi="Arial Narrow"/>
              </w:rPr>
              <w:t xml:space="preserve"> </w:t>
            </w:r>
            <w:r w:rsidR="006707C1">
              <w:rPr>
                <w:rFonts w:ascii="Arial Narrow" w:hAnsi="Arial Narrow"/>
              </w:rPr>
              <w:t>risk category</w:t>
            </w:r>
          </w:p>
        </w:tc>
        <w:tc>
          <w:tcPr>
            <w:tcW w:w="1101" w:type="pct"/>
            <w:tcBorders>
              <w:top w:val="single" w:sz="4" w:space="0" w:color="auto"/>
              <w:left w:val="single" w:sz="4" w:space="0" w:color="auto"/>
              <w:bottom w:val="single" w:sz="4" w:space="0" w:color="auto"/>
              <w:right w:val="single" w:sz="4" w:space="0" w:color="auto"/>
            </w:tcBorders>
            <w:hideMark/>
          </w:tcPr>
          <w:p w14:paraId="7CED79D1" w14:textId="0CF3D53C" w:rsidR="00055E91" w:rsidRPr="001A4B85" w:rsidRDefault="00DD62DD" w:rsidP="00055E91">
            <w:pPr>
              <w:keepNext/>
              <w:tabs>
                <w:tab w:val="left" w:pos="499"/>
                <w:tab w:val="left" w:pos="1087"/>
              </w:tabs>
              <w:spacing w:before="40"/>
              <w:rPr>
                <w:rFonts w:ascii="Arial Narrow" w:hAnsi="Arial Narrow"/>
              </w:rPr>
            </w:pPr>
            <w:sdt>
              <w:sdtPr>
                <w:rPr>
                  <w:rFonts w:ascii="Arial Narrow" w:hAnsi="Arial Narrow"/>
                </w:rPr>
                <w:id w:val="-1456874868"/>
                <w14:checkbox>
                  <w14:checked w14:val="1"/>
                  <w14:checkedState w14:val="2612" w14:font="MS Gothic"/>
                  <w14:uncheckedState w14:val="2610" w14:font="MS Gothic"/>
                </w14:checkbox>
              </w:sdtPr>
              <w:sdtEndPr/>
              <w:sdtContent>
                <w:r w:rsidR="00055E91" w:rsidRPr="001A4B85">
                  <w:rPr>
                    <w:rFonts w:ascii="Segoe UI Symbol" w:hAnsi="Segoe UI Symbol" w:cs="Segoe UI Symbol"/>
                  </w:rPr>
                  <w:t>☒</w:t>
                </w:r>
              </w:sdtContent>
            </w:sdt>
            <w:r w:rsidR="00055E91" w:rsidRPr="001A4B85">
              <w:rPr>
                <w:rFonts w:ascii="Arial Narrow" w:hAnsi="Arial Narrow"/>
              </w:rPr>
              <w:tab/>
              <w:t>k=</w:t>
            </w:r>
            <w:r w:rsidR="009F6297">
              <w:rPr>
                <w:rFonts w:ascii="Arial Narrow" w:hAnsi="Arial Narrow"/>
              </w:rPr>
              <w:t>4</w:t>
            </w:r>
            <w:r w:rsidR="00055E91" w:rsidRPr="001A4B85">
              <w:rPr>
                <w:rFonts w:ascii="Arial Narrow" w:hAnsi="Arial Narrow"/>
              </w:rPr>
              <w:tab/>
              <w:t>n=</w:t>
            </w:r>
            <w:r w:rsidR="006707C1">
              <w:rPr>
                <w:rFonts w:ascii="Arial Narrow" w:hAnsi="Arial Narrow"/>
              </w:rPr>
              <w:t>4</w:t>
            </w:r>
            <w:r w:rsidR="00055E91" w:rsidRPr="001A4B85">
              <w:rPr>
                <w:rFonts w:ascii="Arial Narrow" w:hAnsi="Arial Narrow"/>
              </w:rPr>
              <w:t>,</w:t>
            </w:r>
            <w:r w:rsidR="006707C1">
              <w:rPr>
                <w:rFonts w:ascii="Arial Narrow" w:hAnsi="Arial Narrow"/>
              </w:rPr>
              <w:t>534</w:t>
            </w:r>
          </w:p>
        </w:tc>
        <w:tc>
          <w:tcPr>
            <w:tcW w:w="993" w:type="pct"/>
            <w:tcBorders>
              <w:top w:val="single" w:sz="4" w:space="0" w:color="auto"/>
              <w:left w:val="single" w:sz="4" w:space="0" w:color="auto"/>
              <w:bottom w:val="single" w:sz="4" w:space="0" w:color="auto"/>
              <w:right w:val="single" w:sz="4" w:space="0" w:color="auto"/>
            </w:tcBorders>
            <w:hideMark/>
          </w:tcPr>
          <w:p w14:paraId="3D673239" w14:textId="395F3610" w:rsidR="00055E91" w:rsidRPr="001A4B85" w:rsidRDefault="006707C1" w:rsidP="00055E91">
            <w:pPr>
              <w:keepNext/>
              <w:spacing w:before="40"/>
              <w:rPr>
                <w:rFonts w:ascii="Arial Narrow" w:hAnsi="Arial Narrow"/>
              </w:rPr>
            </w:pPr>
            <w:r>
              <w:rPr>
                <w:rFonts w:ascii="Arial Narrow" w:hAnsi="Arial Narrow"/>
              </w:rPr>
              <w:t>Low</w:t>
            </w:r>
            <w:r w:rsidR="00055E91" w:rsidRPr="001A4B85">
              <w:rPr>
                <w:rFonts w:ascii="Arial Narrow" w:hAnsi="Arial Narrow"/>
              </w:rPr>
              <w:t xml:space="preserve"> risk of bias</w:t>
            </w:r>
          </w:p>
        </w:tc>
      </w:tr>
      <w:tr w:rsidR="00055E91" w:rsidRPr="001A4B85" w14:paraId="313B5F60" w14:textId="77777777" w:rsidTr="007B73ED">
        <w:tc>
          <w:tcPr>
            <w:tcW w:w="1177" w:type="pct"/>
            <w:tcBorders>
              <w:top w:val="single" w:sz="4" w:space="0" w:color="auto"/>
              <w:left w:val="single" w:sz="4" w:space="0" w:color="auto"/>
              <w:bottom w:val="single" w:sz="4" w:space="0" w:color="auto"/>
              <w:right w:val="single" w:sz="4" w:space="0" w:color="auto"/>
            </w:tcBorders>
            <w:hideMark/>
          </w:tcPr>
          <w:p w14:paraId="53505B4A" w14:textId="77777777" w:rsidR="00055E91" w:rsidRPr="001A4B85" w:rsidRDefault="00055E91" w:rsidP="00055E91">
            <w:pPr>
              <w:keepNext/>
              <w:spacing w:before="40"/>
              <w:rPr>
                <w:rFonts w:ascii="Arial Narrow" w:hAnsi="Arial Narrow"/>
              </w:rPr>
            </w:pPr>
            <w:r w:rsidRPr="001A4B85">
              <w:rPr>
                <w:rFonts w:ascii="Arial Narrow" w:hAnsi="Arial Narrow"/>
              </w:rPr>
              <w:t xml:space="preserve">Change in patient management </w:t>
            </w:r>
          </w:p>
        </w:tc>
        <w:tc>
          <w:tcPr>
            <w:tcW w:w="1729" w:type="pct"/>
            <w:tcBorders>
              <w:top w:val="single" w:sz="4" w:space="0" w:color="auto"/>
              <w:left w:val="single" w:sz="4" w:space="0" w:color="auto"/>
              <w:bottom w:val="single" w:sz="4" w:space="0" w:color="auto"/>
              <w:right w:val="single" w:sz="4" w:space="0" w:color="auto"/>
            </w:tcBorders>
          </w:tcPr>
          <w:p w14:paraId="4CCAFEAC" w14:textId="58668B65" w:rsidR="00055E91" w:rsidRPr="001A4B85" w:rsidRDefault="004540C4" w:rsidP="00055E91">
            <w:pPr>
              <w:keepNext/>
              <w:spacing w:before="40"/>
              <w:rPr>
                <w:rFonts w:ascii="Arial Narrow" w:hAnsi="Arial Narrow"/>
              </w:rPr>
            </w:pPr>
            <w:r>
              <w:rPr>
                <w:rFonts w:ascii="Arial Narrow" w:hAnsi="Arial Narrow"/>
              </w:rPr>
              <w:t>Registry studies reporting on patient disease characteristics and usage of medication</w:t>
            </w:r>
          </w:p>
        </w:tc>
        <w:tc>
          <w:tcPr>
            <w:tcW w:w="1101" w:type="pct"/>
            <w:tcBorders>
              <w:top w:val="single" w:sz="4" w:space="0" w:color="auto"/>
              <w:left w:val="single" w:sz="4" w:space="0" w:color="auto"/>
              <w:bottom w:val="single" w:sz="4" w:space="0" w:color="auto"/>
              <w:right w:val="single" w:sz="4" w:space="0" w:color="auto"/>
            </w:tcBorders>
            <w:hideMark/>
          </w:tcPr>
          <w:p w14:paraId="2298EFB1" w14:textId="5A4E5337" w:rsidR="00055E91" w:rsidRPr="001A4B85" w:rsidRDefault="00DD62DD" w:rsidP="00055E91">
            <w:pPr>
              <w:keepNext/>
              <w:tabs>
                <w:tab w:val="left" w:pos="499"/>
                <w:tab w:val="left" w:pos="1087"/>
              </w:tabs>
              <w:spacing w:before="40"/>
              <w:rPr>
                <w:rFonts w:ascii="Arial Narrow" w:hAnsi="Arial Narrow"/>
              </w:rPr>
            </w:pPr>
            <w:sdt>
              <w:sdtPr>
                <w:rPr>
                  <w:rFonts w:ascii="Arial Narrow" w:hAnsi="Arial Narrow"/>
                </w:rPr>
                <w:id w:val="-1943214893"/>
                <w14:checkbox>
                  <w14:checked w14:val="1"/>
                  <w14:checkedState w14:val="2612" w14:font="MS Gothic"/>
                  <w14:uncheckedState w14:val="2610" w14:font="MS Gothic"/>
                </w14:checkbox>
              </w:sdtPr>
              <w:sdtEndPr/>
              <w:sdtContent>
                <w:r w:rsidR="00AE677D">
                  <w:rPr>
                    <w:rFonts w:ascii="MS Gothic" w:eastAsia="MS Gothic" w:hAnsi="MS Gothic" w:hint="eastAsia"/>
                  </w:rPr>
                  <w:t>☒</w:t>
                </w:r>
              </w:sdtContent>
            </w:sdt>
            <w:r w:rsidR="00055E91" w:rsidRPr="001A4B85">
              <w:rPr>
                <w:rFonts w:ascii="Arial Narrow" w:hAnsi="Arial Narrow"/>
              </w:rPr>
              <w:tab/>
              <w:t>k=</w:t>
            </w:r>
            <w:r w:rsidR="00AE677D">
              <w:rPr>
                <w:rFonts w:ascii="Arial Narrow" w:hAnsi="Arial Narrow"/>
              </w:rPr>
              <w:t>2</w:t>
            </w:r>
            <w:r w:rsidR="00055E91" w:rsidRPr="001A4B85">
              <w:rPr>
                <w:rFonts w:ascii="Arial Narrow" w:hAnsi="Arial Narrow"/>
              </w:rPr>
              <w:tab/>
              <w:t>n=</w:t>
            </w:r>
            <w:r w:rsidR="00AE677D">
              <w:rPr>
                <w:rFonts w:ascii="Arial Narrow" w:hAnsi="Arial Narrow"/>
              </w:rPr>
              <w:t>4,293</w:t>
            </w:r>
          </w:p>
        </w:tc>
        <w:tc>
          <w:tcPr>
            <w:tcW w:w="993" w:type="pct"/>
            <w:tcBorders>
              <w:top w:val="single" w:sz="4" w:space="0" w:color="auto"/>
              <w:left w:val="single" w:sz="4" w:space="0" w:color="auto"/>
              <w:bottom w:val="single" w:sz="4" w:space="0" w:color="auto"/>
              <w:right w:val="single" w:sz="4" w:space="0" w:color="auto"/>
            </w:tcBorders>
            <w:hideMark/>
          </w:tcPr>
          <w:p w14:paraId="60301FA8" w14:textId="15874A1A" w:rsidR="00055E91" w:rsidRPr="001A4B85" w:rsidRDefault="00AE677D" w:rsidP="00055E91">
            <w:pPr>
              <w:keepNext/>
              <w:spacing w:before="40"/>
              <w:rPr>
                <w:rFonts w:ascii="Arial Narrow" w:hAnsi="Arial Narrow"/>
              </w:rPr>
            </w:pPr>
            <w:r>
              <w:rPr>
                <w:rFonts w:ascii="Arial Narrow" w:hAnsi="Arial Narrow"/>
              </w:rPr>
              <w:t>Low risk of bias</w:t>
            </w:r>
          </w:p>
        </w:tc>
      </w:tr>
      <w:tr w:rsidR="00055E91" w:rsidRPr="001A4B85" w14:paraId="7AB61E99" w14:textId="77777777" w:rsidTr="007B73ED">
        <w:tc>
          <w:tcPr>
            <w:tcW w:w="1177" w:type="pct"/>
            <w:tcBorders>
              <w:top w:val="single" w:sz="4" w:space="0" w:color="auto"/>
              <w:left w:val="single" w:sz="4" w:space="0" w:color="auto"/>
              <w:bottom w:val="nil"/>
              <w:right w:val="single" w:sz="4" w:space="0" w:color="auto"/>
            </w:tcBorders>
            <w:hideMark/>
          </w:tcPr>
          <w:p w14:paraId="4DC6BC91" w14:textId="77777777" w:rsidR="00055E91" w:rsidRPr="001A4B85" w:rsidRDefault="00055E91" w:rsidP="00055E91">
            <w:pPr>
              <w:keepNext/>
              <w:spacing w:before="40"/>
              <w:rPr>
                <w:rFonts w:ascii="Arial Narrow" w:hAnsi="Arial Narrow"/>
              </w:rPr>
            </w:pPr>
            <w:r w:rsidRPr="001A4B85">
              <w:rPr>
                <w:rFonts w:ascii="Arial Narrow" w:hAnsi="Arial Narrow"/>
              </w:rPr>
              <w:t xml:space="preserve">Health outcomes  </w:t>
            </w:r>
          </w:p>
        </w:tc>
        <w:tc>
          <w:tcPr>
            <w:tcW w:w="1729" w:type="pct"/>
            <w:tcBorders>
              <w:top w:val="single" w:sz="4" w:space="0" w:color="auto"/>
              <w:left w:val="single" w:sz="4" w:space="0" w:color="auto"/>
              <w:bottom w:val="nil"/>
              <w:right w:val="single" w:sz="4" w:space="0" w:color="auto"/>
            </w:tcBorders>
          </w:tcPr>
          <w:p w14:paraId="5C3CE695" w14:textId="77777777" w:rsidR="00055E91" w:rsidRPr="001A4B85" w:rsidRDefault="00055E91" w:rsidP="00055E91">
            <w:pPr>
              <w:keepNext/>
              <w:spacing w:before="40"/>
              <w:rPr>
                <w:rFonts w:ascii="Arial Narrow" w:hAnsi="Arial Narrow"/>
              </w:rPr>
            </w:pPr>
            <w:r w:rsidRPr="001A4B85">
              <w:rPr>
                <w:rFonts w:ascii="Arial Narrow" w:hAnsi="Arial Narrow"/>
              </w:rPr>
              <w:t>None</w:t>
            </w:r>
          </w:p>
        </w:tc>
        <w:tc>
          <w:tcPr>
            <w:tcW w:w="1101" w:type="pct"/>
            <w:tcBorders>
              <w:top w:val="single" w:sz="4" w:space="0" w:color="auto"/>
              <w:left w:val="single" w:sz="4" w:space="0" w:color="auto"/>
              <w:bottom w:val="nil"/>
              <w:right w:val="single" w:sz="4" w:space="0" w:color="auto"/>
            </w:tcBorders>
          </w:tcPr>
          <w:p w14:paraId="2766CF27" w14:textId="30B1EF7D" w:rsidR="00055E91" w:rsidRPr="001A4B85" w:rsidRDefault="00DD62DD" w:rsidP="00055E91">
            <w:pPr>
              <w:keepNext/>
              <w:tabs>
                <w:tab w:val="left" w:pos="499"/>
                <w:tab w:val="left" w:pos="1087"/>
              </w:tabs>
              <w:spacing w:before="40"/>
              <w:rPr>
                <w:rFonts w:ascii="Arial Narrow" w:hAnsi="Arial Narrow"/>
              </w:rPr>
            </w:pPr>
            <w:sdt>
              <w:sdtPr>
                <w:rPr>
                  <w:rFonts w:ascii="Arial Narrow" w:hAnsi="Arial Narrow"/>
                </w:rPr>
                <w:id w:val="-605892943"/>
                <w14:checkbox>
                  <w14:checked w14:val="0"/>
                  <w14:checkedState w14:val="2612" w14:font="MS Gothic"/>
                  <w14:uncheckedState w14:val="2610" w14:font="MS Gothic"/>
                </w14:checkbox>
              </w:sdtPr>
              <w:sdtEndPr/>
              <w:sdtContent>
                <w:r w:rsidR="00055E91" w:rsidRPr="001A4B85">
                  <w:rPr>
                    <w:rFonts w:ascii="Segoe UI Symbol" w:hAnsi="Segoe UI Symbol" w:cs="Segoe UI Symbol"/>
                  </w:rPr>
                  <w:t>☐</w:t>
                </w:r>
              </w:sdtContent>
            </w:sdt>
            <w:r w:rsidR="00055E91" w:rsidRPr="001A4B85">
              <w:rPr>
                <w:rFonts w:ascii="Arial Narrow" w:hAnsi="Arial Narrow"/>
              </w:rPr>
              <w:tab/>
              <w:t>k=</w:t>
            </w:r>
            <w:r w:rsidR="006707C1">
              <w:rPr>
                <w:rFonts w:ascii="Arial Narrow" w:hAnsi="Arial Narrow"/>
              </w:rPr>
              <w:t>0</w:t>
            </w:r>
            <w:r w:rsidR="00055E91" w:rsidRPr="001A4B85">
              <w:rPr>
                <w:rFonts w:ascii="Arial Narrow" w:hAnsi="Arial Narrow"/>
              </w:rPr>
              <w:tab/>
              <w:t>n=</w:t>
            </w:r>
            <w:r w:rsidR="006707C1">
              <w:rPr>
                <w:rFonts w:ascii="Arial Narrow" w:hAnsi="Arial Narrow"/>
              </w:rPr>
              <w:t>0</w:t>
            </w:r>
          </w:p>
        </w:tc>
        <w:tc>
          <w:tcPr>
            <w:tcW w:w="993" w:type="pct"/>
            <w:tcBorders>
              <w:top w:val="single" w:sz="4" w:space="0" w:color="auto"/>
              <w:left w:val="single" w:sz="4" w:space="0" w:color="auto"/>
              <w:bottom w:val="nil"/>
              <w:right w:val="single" w:sz="4" w:space="0" w:color="auto"/>
            </w:tcBorders>
          </w:tcPr>
          <w:p w14:paraId="2E25C9A9" w14:textId="77777777" w:rsidR="00055E91" w:rsidRPr="001A4B85" w:rsidRDefault="00055E91" w:rsidP="00055E91">
            <w:pPr>
              <w:keepNext/>
              <w:spacing w:before="40"/>
              <w:rPr>
                <w:rFonts w:ascii="Arial Narrow" w:hAnsi="Arial Narrow"/>
              </w:rPr>
            </w:pPr>
          </w:p>
        </w:tc>
      </w:tr>
      <w:tr w:rsidR="00055E91" w:rsidRPr="001A4B85" w14:paraId="0D11CCCF" w14:textId="77777777" w:rsidTr="007B73ED">
        <w:tc>
          <w:tcPr>
            <w:tcW w:w="1177" w:type="pct"/>
            <w:tcBorders>
              <w:top w:val="nil"/>
              <w:left w:val="single" w:sz="4" w:space="0" w:color="auto"/>
              <w:bottom w:val="nil"/>
              <w:right w:val="single" w:sz="4" w:space="0" w:color="auto"/>
            </w:tcBorders>
          </w:tcPr>
          <w:p w14:paraId="37C0DB5A" w14:textId="77777777" w:rsidR="00055E91" w:rsidRPr="001A4B85" w:rsidRDefault="00055E91" w:rsidP="00055E91">
            <w:pPr>
              <w:keepNext/>
              <w:spacing w:before="40"/>
              <w:rPr>
                <w:rFonts w:ascii="Arial Narrow" w:hAnsi="Arial Narrow"/>
              </w:rPr>
            </w:pPr>
            <w:r w:rsidRPr="001A4B85">
              <w:rPr>
                <w:rFonts w:ascii="Arial Narrow" w:hAnsi="Arial Narrow"/>
              </w:rPr>
              <w:t>Predictive effect</w:t>
            </w:r>
          </w:p>
        </w:tc>
        <w:tc>
          <w:tcPr>
            <w:tcW w:w="1729" w:type="pct"/>
            <w:tcBorders>
              <w:top w:val="nil"/>
              <w:left w:val="single" w:sz="4" w:space="0" w:color="auto"/>
              <w:bottom w:val="nil"/>
              <w:right w:val="single" w:sz="4" w:space="0" w:color="auto"/>
            </w:tcBorders>
          </w:tcPr>
          <w:p w14:paraId="7CABEAA0" w14:textId="77777777" w:rsidR="00055E91" w:rsidRPr="001A4B85" w:rsidRDefault="00055E91" w:rsidP="00055E91">
            <w:pPr>
              <w:keepNext/>
              <w:spacing w:before="40"/>
              <w:rPr>
                <w:rFonts w:ascii="Arial Narrow" w:hAnsi="Arial Narrow"/>
              </w:rPr>
            </w:pPr>
          </w:p>
        </w:tc>
        <w:tc>
          <w:tcPr>
            <w:tcW w:w="1101" w:type="pct"/>
            <w:tcBorders>
              <w:top w:val="nil"/>
              <w:left w:val="single" w:sz="4" w:space="0" w:color="auto"/>
              <w:bottom w:val="nil"/>
              <w:right w:val="single" w:sz="4" w:space="0" w:color="auto"/>
            </w:tcBorders>
          </w:tcPr>
          <w:p w14:paraId="6A5501A5" w14:textId="1EE1CA4C" w:rsidR="00055E91" w:rsidRPr="001A4B85" w:rsidRDefault="00DD62DD" w:rsidP="00055E91">
            <w:pPr>
              <w:keepNext/>
              <w:tabs>
                <w:tab w:val="left" w:pos="499"/>
                <w:tab w:val="left" w:pos="1087"/>
              </w:tabs>
              <w:spacing w:before="40"/>
              <w:rPr>
                <w:rFonts w:ascii="Arial Narrow" w:hAnsi="Arial Narrow"/>
              </w:rPr>
            </w:pPr>
            <w:sdt>
              <w:sdtPr>
                <w:rPr>
                  <w:rFonts w:ascii="Arial Narrow" w:hAnsi="Arial Narrow"/>
                </w:rPr>
                <w:id w:val="-1216044709"/>
                <w14:checkbox>
                  <w14:checked w14:val="0"/>
                  <w14:checkedState w14:val="2612" w14:font="MS Gothic"/>
                  <w14:uncheckedState w14:val="2610" w14:font="MS Gothic"/>
                </w14:checkbox>
              </w:sdtPr>
              <w:sdtEndPr/>
              <w:sdtContent>
                <w:r w:rsidR="00055E91" w:rsidRPr="001A4B85">
                  <w:rPr>
                    <w:rFonts w:ascii="Segoe UI Symbol" w:hAnsi="Segoe UI Symbol" w:cs="Segoe UI Symbol"/>
                  </w:rPr>
                  <w:t>☐</w:t>
                </w:r>
              </w:sdtContent>
            </w:sdt>
            <w:r w:rsidR="00055E91" w:rsidRPr="001A4B85">
              <w:rPr>
                <w:rFonts w:ascii="Arial Narrow" w:hAnsi="Arial Narrow"/>
              </w:rPr>
              <w:tab/>
              <w:t>k=</w:t>
            </w:r>
            <w:r w:rsidR="006707C1">
              <w:rPr>
                <w:rFonts w:ascii="Arial Narrow" w:hAnsi="Arial Narrow"/>
              </w:rPr>
              <w:t>0</w:t>
            </w:r>
            <w:r w:rsidR="00055E91" w:rsidRPr="001A4B85">
              <w:rPr>
                <w:rFonts w:ascii="Arial Narrow" w:hAnsi="Arial Narrow"/>
              </w:rPr>
              <w:tab/>
              <w:t>n=</w:t>
            </w:r>
            <w:r w:rsidR="006707C1">
              <w:rPr>
                <w:rFonts w:ascii="Arial Narrow" w:hAnsi="Arial Narrow"/>
              </w:rPr>
              <w:t>0</w:t>
            </w:r>
          </w:p>
        </w:tc>
        <w:tc>
          <w:tcPr>
            <w:tcW w:w="993" w:type="pct"/>
            <w:tcBorders>
              <w:top w:val="nil"/>
              <w:left w:val="single" w:sz="4" w:space="0" w:color="auto"/>
              <w:bottom w:val="nil"/>
              <w:right w:val="single" w:sz="4" w:space="0" w:color="auto"/>
            </w:tcBorders>
          </w:tcPr>
          <w:p w14:paraId="5A2D0B27" w14:textId="77777777" w:rsidR="00055E91" w:rsidRPr="001A4B85" w:rsidRDefault="00055E91" w:rsidP="00055E91">
            <w:pPr>
              <w:keepNext/>
              <w:spacing w:before="40"/>
              <w:rPr>
                <w:rFonts w:ascii="Arial Narrow" w:hAnsi="Arial Narrow"/>
              </w:rPr>
            </w:pPr>
          </w:p>
        </w:tc>
      </w:tr>
      <w:tr w:rsidR="00055E91" w:rsidRPr="001A4B85" w14:paraId="32494226" w14:textId="77777777" w:rsidTr="007B73ED">
        <w:tc>
          <w:tcPr>
            <w:tcW w:w="1177" w:type="pct"/>
            <w:tcBorders>
              <w:top w:val="single" w:sz="4" w:space="0" w:color="auto"/>
              <w:left w:val="single" w:sz="4" w:space="0" w:color="auto"/>
              <w:bottom w:val="single" w:sz="4" w:space="0" w:color="auto"/>
              <w:right w:val="single" w:sz="4" w:space="0" w:color="auto"/>
            </w:tcBorders>
            <w:hideMark/>
          </w:tcPr>
          <w:p w14:paraId="7EEADB6A" w14:textId="77777777" w:rsidR="00055E91" w:rsidRPr="001A4B85" w:rsidRDefault="00055E91" w:rsidP="00055E91">
            <w:pPr>
              <w:keepNext/>
              <w:spacing w:before="40"/>
              <w:rPr>
                <w:rFonts w:ascii="Arial Narrow" w:hAnsi="Arial Narrow"/>
              </w:rPr>
            </w:pPr>
            <w:r w:rsidRPr="001A4B85">
              <w:rPr>
                <w:rFonts w:ascii="Arial Narrow" w:hAnsi="Arial Narrow"/>
              </w:rPr>
              <w:t>Other</w:t>
            </w:r>
          </w:p>
        </w:tc>
        <w:tc>
          <w:tcPr>
            <w:tcW w:w="1729" w:type="pct"/>
            <w:tcBorders>
              <w:top w:val="single" w:sz="4" w:space="0" w:color="auto"/>
              <w:left w:val="single" w:sz="4" w:space="0" w:color="auto"/>
              <w:bottom w:val="single" w:sz="4" w:space="0" w:color="auto"/>
              <w:right w:val="single" w:sz="4" w:space="0" w:color="auto"/>
            </w:tcBorders>
          </w:tcPr>
          <w:p w14:paraId="12F076E2" w14:textId="77777777" w:rsidR="00055E91" w:rsidRPr="001A4B85" w:rsidRDefault="00055E91" w:rsidP="00055E91">
            <w:pPr>
              <w:keepNext/>
              <w:spacing w:before="40"/>
              <w:rPr>
                <w:rFonts w:ascii="Arial Narrow" w:hAnsi="Arial Narrow"/>
              </w:rPr>
            </w:pPr>
            <w:r w:rsidRPr="001A4B85">
              <w:rPr>
                <w:rFonts w:ascii="Arial Narrow" w:hAnsi="Arial Narrow"/>
              </w:rPr>
              <w:t>None</w:t>
            </w:r>
          </w:p>
        </w:tc>
        <w:tc>
          <w:tcPr>
            <w:tcW w:w="1101" w:type="pct"/>
            <w:tcBorders>
              <w:top w:val="single" w:sz="4" w:space="0" w:color="auto"/>
              <w:left w:val="single" w:sz="4" w:space="0" w:color="auto"/>
              <w:bottom w:val="single" w:sz="4" w:space="0" w:color="auto"/>
              <w:right w:val="single" w:sz="4" w:space="0" w:color="auto"/>
            </w:tcBorders>
            <w:hideMark/>
          </w:tcPr>
          <w:p w14:paraId="2E0D7BDE" w14:textId="53CB9FC9" w:rsidR="00055E91" w:rsidRPr="001A4B85" w:rsidRDefault="00DD62DD" w:rsidP="00055E91">
            <w:pPr>
              <w:keepNext/>
              <w:tabs>
                <w:tab w:val="left" w:pos="558"/>
                <w:tab w:val="left" w:pos="1125"/>
              </w:tabs>
              <w:spacing w:before="40"/>
              <w:rPr>
                <w:rFonts w:ascii="Arial Narrow" w:hAnsi="Arial Narrow"/>
              </w:rPr>
            </w:pPr>
            <w:sdt>
              <w:sdtPr>
                <w:rPr>
                  <w:rFonts w:ascii="Arial Narrow" w:hAnsi="Arial Narrow"/>
                </w:rPr>
                <w:id w:val="1915973532"/>
                <w14:checkbox>
                  <w14:checked w14:val="0"/>
                  <w14:checkedState w14:val="2612" w14:font="MS Gothic"/>
                  <w14:uncheckedState w14:val="2610" w14:font="MS Gothic"/>
                </w14:checkbox>
              </w:sdtPr>
              <w:sdtEndPr/>
              <w:sdtContent>
                <w:r w:rsidR="00055E91" w:rsidRPr="001A4B85">
                  <w:rPr>
                    <w:rFonts w:ascii="Segoe UI Symbol" w:hAnsi="Segoe UI Symbol" w:cs="Segoe UI Symbol"/>
                  </w:rPr>
                  <w:t>☐</w:t>
                </w:r>
              </w:sdtContent>
            </w:sdt>
            <w:r w:rsidR="00055E91" w:rsidRPr="001A4B85">
              <w:rPr>
                <w:rFonts w:ascii="Arial Narrow" w:hAnsi="Arial Narrow"/>
              </w:rPr>
              <w:tab/>
              <w:t>k=</w:t>
            </w:r>
            <w:r w:rsidR="006707C1">
              <w:rPr>
                <w:rFonts w:ascii="Arial Narrow" w:hAnsi="Arial Narrow"/>
              </w:rPr>
              <w:t>0</w:t>
            </w:r>
            <w:r w:rsidR="00055E91" w:rsidRPr="001A4B85">
              <w:rPr>
                <w:rFonts w:ascii="Arial Narrow" w:hAnsi="Arial Narrow"/>
              </w:rPr>
              <w:tab/>
              <w:t>n=</w:t>
            </w:r>
            <w:r w:rsidR="006707C1">
              <w:rPr>
                <w:rFonts w:ascii="Arial Narrow" w:hAnsi="Arial Narrow"/>
              </w:rPr>
              <w:t>0</w:t>
            </w:r>
          </w:p>
        </w:tc>
        <w:tc>
          <w:tcPr>
            <w:tcW w:w="993" w:type="pct"/>
            <w:tcBorders>
              <w:top w:val="single" w:sz="4" w:space="0" w:color="auto"/>
              <w:left w:val="single" w:sz="4" w:space="0" w:color="auto"/>
              <w:bottom w:val="single" w:sz="4" w:space="0" w:color="auto"/>
              <w:right w:val="single" w:sz="4" w:space="0" w:color="auto"/>
            </w:tcBorders>
          </w:tcPr>
          <w:p w14:paraId="5655BD3A" w14:textId="77777777" w:rsidR="00055E91" w:rsidRPr="001A4B85" w:rsidRDefault="00055E91" w:rsidP="00055E91">
            <w:pPr>
              <w:keepNext/>
              <w:spacing w:before="40"/>
              <w:rPr>
                <w:rFonts w:ascii="Arial Narrow" w:hAnsi="Arial Narrow"/>
              </w:rPr>
            </w:pPr>
          </w:p>
        </w:tc>
      </w:tr>
    </w:tbl>
    <w:p w14:paraId="3F7B6ABF" w14:textId="4A83C4DB" w:rsidR="00055E91" w:rsidRDefault="00055E91" w:rsidP="009F6297">
      <w:pPr>
        <w:pStyle w:val="Tablenotes0"/>
        <w:rPr>
          <w:snapToGrid w:val="0"/>
        </w:rPr>
      </w:pPr>
      <w:bookmarkStart w:id="34" w:name="_Hlk68276301"/>
      <w:bookmarkEnd w:id="33"/>
      <w:r w:rsidRPr="001A4B85">
        <w:rPr>
          <w:snapToGrid w:val="0"/>
        </w:rPr>
        <w:t>k=number of studies, n=number of patients</w:t>
      </w:r>
    </w:p>
    <w:p w14:paraId="7D970533" w14:textId="574BA8F6" w:rsidR="00653F2B" w:rsidRDefault="00AE677D" w:rsidP="00653F2B">
      <w:pPr>
        <w:pStyle w:val="Tablenotes0"/>
        <w:spacing w:after="0"/>
        <w:rPr>
          <w:snapToGrid w:val="0"/>
        </w:rPr>
      </w:pPr>
      <w:r w:rsidRPr="00AE677D">
        <w:rPr>
          <w:snapToGrid w:val="0"/>
        </w:rPr>
        <w:t xml:space="preserve">Source: Compiled for the commentary based on </w:t>
      </w:r>
      <w:r>
        <w:rPr>
          <w:snapToGrid w:val="0"/>
        </w:rPr>
        <w:t xml:space="preserve">the evidence base identified in Section 2 of </w:t>
      </w:r>
      <w:r w:rsidRPr="00AE677D">
        <w:rPr>
          <w:snapToGrid w:val="0"/>
        </w:rPr>
        <w:t>MSAC 1689.1 ADAR</w:t>
      </w:r>
      <w:r w:rsidR="00653F2B">
        <w:rPr>
          <w:snapToGrid w:val="0"/>
        </w:rPr>
        <w:br w:type="page"/>
      </w:r>
    </w:p>
    <w:p w14:paraId="7CBAEB0A" w14:textId="1E5C6B7E" w:rsidR="00055E91" w:rsidRPr="001A4B85" w:rsidRDefault="00840EF5" w:rsidP="00361DA0">
      <w:pPr>
        <w:pStyle w:val="ESHeading1"/>
      </w:pPr>
      <w:bookmarkStart w:id="35" w:name="_Toc69491423"/>
      <w:bookmarkStart w:id="36" w:name="_Toc131604313"/>
      <w:bookmarkEnd w:id="34"/>
      <w:r>
        <w:lastRenderedPageBreak/>
        <w:t>11</w:t>
      </w:r>
      <w:r w:rsidR="00055E91" w:rsidRPr="001A4B85">
        <w:t>.</w:t>
      </w:r>
      <w:r w:rsidR="00055E91" w:rsidRPr="001A4B85">
        <w:tab/>
        <w:t>Comparative safety</w:t>
      </w:r>
      <w:bookmarkEnd w:id="35"/>
      <w:bookmarkEnd w:id="36"/>
    </w:p>
    <w:p w14:paraId="29D7CDAE" w14:textId="3CC04BF3" w:rsidR="00055E91" w:rsidRPr="001A4B85" w:rsidRDefault="00055E91" w:rsidP="00840EF5">
      <w:pPr>
        <w:spacing w:after="0"/>
      </w:pPr>
      <w:r w:rsidRPr="001A4B85">
        <w:t>The NT-</w:t>
      </w:r>
      <w:proofErr w:type="spellStart"/>
      <w:r w:rsidRPr="001A4B85">
        <w:t>proBNP</w:t>
      </w:r>
      <w:proofErr w:type="spellEnd"/>
      <w:r w:rsidRPr="001A4B85">
        <w:t xml:space="preserve"> test </w:t>
      </w:r>
      <w:r w:rsidR="00C635FB" w:rsidRPr="001A4B85">
        <w:t>has not changed from the previous ADAR,</w:t>
      </w:r>
      <w:r w:rsidRPr="001A4B85">
        <w:t xml:space="preserve"> requir</w:t>
      </w:r>
      <w:r w:rsidR="00C635FB" w:rsidRPr="001A4B85">
        <w:t>ing only</w:t>
      </w:r>
      <w:r w:rsidRPr="001A4B85">
        <w:t xml:space="preserve"> a blood sample</w:t>
      </w:r>
      <w:r w:rsidR="00C635FB" w:rsidRPr="001A4B85">
        <w:t>.</w:t>
      </w:r>
      <w:r w:rsidRPr="001A4B85">
        <w:t xml:space="preserve"> </w:t>
      </w:r>
      <w:r w:rsidR="004540C4">
        <w:t xml:space="preserve">TTE </w:t>
      </w:r>
      <w:r w:rsidR="000E03AD">
        <w:t>wa</w:t>
      </w:r>
      <w:r w:rsidR="004540C4">
        <w:t xml:space="preserve">s also considered to be a very safe procedure. </w:t>
      </w:r>
      <w:r w:rsidR="000E03AD">
        <w:t>As</w:t>
      </w:r>
      <w:r w:rsidR="00C635FB" w:rsidRPr="001A4B85">
        <w:t xml:space="preserve"> </w:t>
      </w:r>
      <w:r w:rsidR="007B73ED">
        <w:t>both the intervention and the comparator were</w:t>
      </w:r>
      <w:r w:rsidRPr="001A4B85">
        <w:t xml:space="preserve"> </w:t>
      </w:r>
      <w:r w:rsidR="007B73ED">
        <w:t xml:space="preserve">considered to be </w:t>
      </w:r>
      <w:r w:rsidR="00B85F4B" w:rsidRPr="001A4B85">
        <w:rPr>
          <w:i/>
        </w:rPr>
        <w:t>relatively</w:t>
      </w:r>
      <w:r w:rsidR="001F7A91" w:rsidRPr="001A4B85">
        <w:rPr>
          <w:i/>
        </w:rPr>
        <w:t xml:space="preserve"> </w:t>
      </w:r>
      <w:r w:rsidRPr="001A4B85">
        <w:t xml:space="preserve">safe </w:t>
      </w:r>
      <w:r w:rsidR="006F17A7" w:rsidRPr="001A4B85">
        <w:t>procedure</w:t>
      </w:r>
      <w:r w:rsidR="007B73ED">
        <w:t>s</w:t>
      </w:r>
      <w:r w:rsidR="000E03AD" w:rsidRPr="000E03AD">
        <w:t xml:space="preserve"> </w:t>
      </w:r>
      <w:r w:rsidR="000E03AD">
        <w:t>in the previous ADAR, whether used as part of a risk classification tool or not,</w:t>
      </w:r>
      <w:r w:rsidR="00167134">
        <w:t xml:space="preserve"> safety was not discussed </w:t>
      </w:r>
      <w:r w:rsidR="007B73ED">
        <w:t xml:space="preserve">further </w:t>
      </w:r>
      <w:r w:rsidR="00167134">
        <w:t xml:space="preserve">in the </w:t>
      </w:r>
      <w:r w:rsidR="000E03AD">
        <w:t xml:space="preserve">resubmitted </w:t>
      </w:r>
      <w:r w:rsidR="00167134">
        <w:t>ADAR</w:t>
      </w:r>
      <w:r w:rsidRPr="001A4B85">
        <w:t>.</w:t>
      </w:r>
    </w:p>
    <w:p w14:paraId="6926DB20" w14:textId="142DB7C4" w:rsidR="00055E91" w:rsidRPr="001A4B85" w:rsidRDefault="00055E91" w:rsidP="00361DA0">
      <w:pPr>
        <w:pStyle w:val="ESHeading1"/>
      </w:pPr>
      <w:bookmarkStart w:id="37" w:name="_Toc69491424"/>
      <w:bookmarkStart w:id="38" w:name="_Toc131604314"/>
      <w:r w:rsidRPr="001A4B85">
        <w:t>1</w:t>
      </w:r>
      <w:r w:rsidR="00840EF5">
        <w:t>2</w:t>
      </w:r>
      <w:r w:rsidRPr="001A4B85">
        <w:t>.</w:t>
      </w:r>
      <w:r w:rsidRPr="001A4B85">
        <w:tab/>
        <w:t>Comparative effectiveness</w:t>
      </w:r>
      <w:bookmarkEnd w:id="37"/>
      <w:bookmarkEnd w:id="38"/>
    </w:p>
    <w:p w14:paraId="2FB2237D" w14:textId="62FC4642" w:rsidR="0074511D" w:rsidRDefault="0074511D" w:rsidP="0074511D">
      <w:r>
        <w:t>In the previous submission, MSAC noted that there was limited evidence which suggested that risk stratification calculators that included NT-</w:t>
      </w:r>
      <w:proofErr w:type="spellStart"/>
      <w:r>
        <w:t>proBNP</w:t>
      </w:r>
      <w:proofErr w:type="spellEnd"/>
      <w:r>
        <w:t xml:space="preserve"> were at least as effective as those that did not</w:t>
      </w:r>
      <w:r w:rsidR="005B1592">
        <w:t xml:space="preserve"> and</w:t>
      </w:r>
      <w:r>
        <w:t xml:space="preserve"> considered that the clinical claim of non-inferior comparative clinical effectiveness was reasonable. Thus, only the studies evaluating the new 4-stratum risk assessment tool were evaluated in </w:t>
      </w:r>
      <w:r w:rsidR="004332D6">
        <w:t xml:space="preserve">the </w:t>
      </w:r>
      <w:r>
        <w:t xml:space="preserve">commentary. </w:t>
      </w:r>
    </w:p>
    <w:p w14:paraId="2B3D28A6" w14:textId="77777777" w:rsidR="004332D6" w:rsidRDefault="00AA1ED4" w:rsidP="00055E91">
      <w:r w:rsidRPr="00167134">
        <w:t xml:space="preserve">The ADAR presented summaries of test performance </w:t>
      </w:r>
      <w:r w:rsidR="00813E9B" w:rsidRPr="00167134">
        <w:t xml:space="preserve">as reported in two systematic reviews and four primary studies, but </w:t>
      </w:r>
      <w:r w:rsidR="00055E91" w:rsidRPr="00167134">
        <w:t>did not provide a reasonable analysis of the evidence base.</w:t>
      </w:r>
      <w:r w:rsidR="00795AEA">
        <w:t xml:space="preserve"> </w:t>
      </w:r>
      <w:r w:rsidR="00813E9B" w:rsidRPr="001A4B85">
        <w:t>T</w:t>
      </w:r>
      <w:r w:rsidR="00F234C4">
        <w:t>he t</w:t>
      </w:r>
      <w:r w:rsidR="00813E9B" w:rsidRPr="001A4B85">
        <w:t>wo systematic reviews and one</w:t>
      </w:r>
      <w:r w:rsidR="00F234C4">
        <w:t xml:space="preserve"> of the primary</w:t>
      </w:r>
      <w:r w:rsidR="00813E9B" w:rsidRPr="001A4B85">
        <w:t xml:space="preserve"> stud</w:t>
      </w:r>
      <w:r w:rsidR="00F234C4">
        <w:t>ies</w:t>
      </w:r>
      <w:r w:rsidR="00813E9B" w:rsidRPr="001A4B85">
        <w:t xml:space="preserve"> were excluded from further analysis </w:t>
      </w:r>
      <w:r w:rsidR="005B1592">
        <w:t xml:space="preserve">by the commentary </w:t>
      </w:r>
      <w:r w:rsidR="00813E9B" w:rsidRPr="001A4B85">
        <w:t>because NT-</w:t>
      </w:r>
      <w:proofErr w:type="spellStart"/>
      <w:r w:rsidR="00813E9B" w:rsidRPr="001A4B85">
        <w:t>proBNP</w:t>
      </w:r>
      <w:proofErr w:type="spellEnd"/>
      <w:r w:rsidR="00813E9B" w:rsidRPr="001A4B85">
        <w:t xml:space="preserve"> was evaluated as an independent indicator, rather than as part of an assessment tool. </w:t>
      </w:r>
    </w:p>
    <w:p w14:paraId="418A3D4B" w14:textId="0745DFAF" w:rsidR="00813E9B" w:rsidRPr="001A4B85" w:rsidRDefault="00F234C4" w:rsidP="00055E91">
      <w:r>
        <w:t>In the PSD for the previous application</w:t>
      </w:r>
      <w:r w:rsidR="004332D6">
        <w:t>,</w:t>
      </w:r>
      <w:r w:rsidR="004540C4">
        <w:t xml:space="preserve"> </w:t>
      </w:r>
      <w:r w:rsidRPr="00F234C4">
        <w:t>MSAC noted that increasing NT-</w:t>
      </w:r>
      <w:proofErr w:type="spellStart"/>
      <w:r w:rsidRPr="00F234C4">
        <w:t>proBNP</w:t>
      </w:r>
      <w:proofErr w:type="spellEnd"/>
      <w:r w:rsidRPr="00F234C4">
        <w:t xml:space="preserve"> levels are associated with </w:t>
      </w:r>
      <w:r>
        <w:t xml:space="preserve">worsening </w:t>
      </w:r>
      <w:r w:rsidRPr="00F234C4">
        <w:t>morbidity and mortality outcomes in PAH</w:t>
      </w:r>
      <w:r>
        <w:t xml:space="preserve"> and that</w:t>
      </w:r>
      <w:r w:rsidRPr="00F234C4">
        <w:t xml:space="preserve"> NT </w:t>
      </w:r>
      <w:proofErr w:type="spellStart"/>
      <w:r w:rsidRPr="00F234C4">
        <w:t>proBNP</w:t>
      </w:r>
      <w:proofErr w:type="spellEnd"/>
      <w:r w:rsidRPr="00F234C4">
        <w:t xml:space="preserve"> is an important variable in the REVEAL Lite 2 risk stratification calculator</w:t>
      </w:r>
      <w:r>
        <w:t>.</w:t>
      </w:r>
      <w:r w:rsidR="006354C5">
        <w:t xml:space="preserve"> </w:t>
      </w:r>
      <w:r w:rsidR="00795AEA">
        <w:t>I</w:t>
      </w:r>
      <w:r w:rsidR="00813E9B" w:rsidRPr="001A4B85">
        <w:t xml:space="preserve">t was noted </w:t>
      </w:r>
      <w:r>
        <w:t xml:space="preserve">by the commentary </w:t>
      </w:r>
      <w:r w:rsidR="00813E9B" w:rsidRPr="001A4B85">
        <w:t xml:space="preserve">that the outcomes reported in the three studies </w:t>
      </w:r>
      <w:r w:rsidR="00795AEA">
        <w:t xml:space="preserve">excluded by the commentary </w:t>
      </w:r>
      <w:r w:rsidR="00813E9B" w:rsidRPr="001A4B85">
        <w:t xml:space="preserve">aligned with the findings in the previous </w:t>
      </w:r>
      <w:r w:rsidR="005B1592">
        <w:t>ADAR</w:t>
      </w:r>
      <w:r w:rsidR="00813E9B" w:rsidRPr="001A4B85">
        <w:t>.</w:t>
      </w:r>
    </w:p>
    <w:p w14:paraId="3788A7D5" w14:textId="671A98A8" w:rsidR="00813E9B" w:rsidRPr="001A4B85" w:rsidRDefault="00813E9B" w:rsidP="00813E9B">
      <w:r w:rsidRPr="001A4B85">
        <w:t>MSAC concluded that the REVEAL Lite 2 risk stratification calculator (</w:t>
      </w:r>
      <w:r w:rsidR="00F234C4">
        <w:t>using</w:t>
      </w:r>
      <w:r w:rsidRPr="001A4B85">
        <w:t xml:space="preserve"> NT-</w:t>
      </w:r>
      <w:proofErr w:type="spellStart"/>
      <w:r w:rsidRPr="001A4B85">
        <w:t>proBNP</w:t>
      </w:r>
      <w:proofErr w:type="spellEnd"/>
      <w:r w:rsidRPr="001A4B85">
        <w:t xml:space="preserve"> </w:t>
      </w:r>
      <w:r w:rsidR="00F234C4">
        <w:t>levels as a parameter</w:t>
      </w:r>
      <w:r w:rsidRPr="001A4B85">
        <w:t>) was non-inferior to other calculators (</w:t>
      </w:r>
      <w:r w:rsidR="00F234C4">
        <w:t>using</w:t>
      </w:r>
      <w:r w:rsidRPr="001A4B85">
        <w:t xml:space="preserve"> TTE) in identifying patients with PAH who were likely to die in the next year. Thus, it is not necessary to re-evaluate the effectiveness of NT-</w:t>
      </w:r>
      <w:proofErr w:type="spellStart"/>
      <w:r w:rsidRPr="001A4B85">
        <w:t>proBNP</w:t>
      </w:r>
      <w:proofErr w:type="spellEnd"/>
      <w:r w:rsidRPr="001A4B85">
        <w:t xml:space="preserve"> testing compared to TTE for this population in this commentary.</w:t>
      </w:r>
    </w:p>
    <w:p w14:paraId="5AD01258" w14:textId="1EB6B826" w:rsidR="00813E9B" w:rsidRPr="001A4B85" w:rsidRDefault="00813E9B" w:rsidP="00813E9B">
      <w:r w:rsidRPr="001A4B85">
        <w:t>Th</w:t>
      </w:r>
      <w:r w:rsidR="00CC40D6">
        <w:t>erefore</w:t>
      </w:r>
      <w:r w:rsidRPr="001A4B85">
        <w:t xml:space="preserve">, the assessment conducted by the commentary compared the effectiveness of a </w:t>
      </w:r>
      <w:r w:rsidR="00653F2B">
        <w:br/>
      </w:r>
      <w:r w:rsidRPr="001A4B85">
        <w:t xml:space="preserve">4-stratum risk assessment model (proposed in the new 2022 ESC/ESR guidelines) with a </w:t>
      </w:r>
      <w:r w:rsidR="00653F2B">
        <w:br/>
      </w:r>
      <w:r w:rsidRPr="001A4B85">
        <w:t>3-stratum assessment model (such as the REVEAL Lite 2 risk stratification calculator) in predicting mortality.</w:t>
      </w:r>
      <w:r w:rsidR="00CC40D6">
        <w:t xml:space="preserve"> </w:t>
      </w:r>
    </w:p>
    <w:p w14:paraId="37163E49" w14:textId="4B846641" w:rsidR="00055E91" w:rsidRPr="001A4B85" w:rsidRDefault="00CC40D6" w:rsidP="00CC40D6">
      <w:r>
        <w:t>The ADAR had provided only a superficial report</w:t>
      </w:r>
      <w:r w:rsidR="00795AEA">
        <w:t>,</w:t>
      </w:r>
      <w:r>
        <w:t xml:space="preserve"> </w:t>
      </w:r>
      <w:r w:rsidR="00795AEA">
        <w:t>showing</w:t>
      </w:r>
      <w:r>
        <w:t xml:space="preserve"> the Kaplan-Meier 5-year survival curves reported using the 4-stratum model in the two registry studies </w:t>
      </w:r>
      <w:r w:rsidR="00795AEA">
        <w:t xml:space="preserve">that </w:t>
      </w:r>
      <w:r>
        <w:t>provid</w:t>
      </w:r>
      <w:r w:rsidR="00795AEA">
        <w:t>ed</w:t>
      </w:r>
      <w:r>
        <w:t xml:space="preserve"> the bulk of the evidence base (</w:t>
      </w:r>
      <w:proofErr w:type="spellStart"/>
      <w:r>
        <w:t>Hoeper</w:t>
      </w:r>
      <w:proofErr w:type="spellEnd"/>
      <w:r>
        <w:t xml:space="preserve"> et al., 2022</w:t>
      </w:r>
      <w:r w:rsidR="005246A1">
        <w:rPr>
          <w:rStyle w:val="FootnoteReference"/>
        </w:rPr>
        <w:footnoteReference w:id="4"/>
      </w:r>
      <w:r>
        <w:t xml:space="preserve">; </w:t>
      </w:r>
      <w:proofErr w:type="spellStart"/>
      <w:r>
        <w:t>Boucly</w:t>
      </w:r>
      <w:proofErr w:type="spellEnd"/>
      <w:r>
        <w:t xml:space="preserve"> et al., 2022</w:t>
      </w:r>
      <w:r w:rsidR="007878D5">
        <w:rPr>
          <w:rStyle w:val="FootnoteReference"/>
        </w:rPr>
        <w:footnoteReference w:id="5"/>
      </w:r>
      <w:r>
        <w:t xml:space="preserve">). </w:t>
      </w:r>
      <w:r w:rsidR="00055E91" w:rsidRPr="001A4B85">
        <w:t xml:space="preserve">The analysis </w:t>
      </w:r>
      <w:r>
        <w:t xml:space="preserve">presented </w:t>
      </w:r>
      <w:r w:rsidR="00055E91" w:rsidRPr="001A4B85">
        <w:t xml:space="preserve">below was conducted </w:t>
      </w:r>
      <w:r>
        <w:t>by the commentary</w:t>
      </w:r>
      <w:r w:rsidR="00167134">
        <w:t>.</w:t>
      </w:r>
    </w:p>
    <w:p w14:paraId="461840BA" w14:textId="553D2896" w:rsidR="00055E91" w:rsidRPr="001A4B85" w:rsidRDefault="009E4715" w:rsidP="009803F3">
      <w:pPr>
        <w:pStyle w:val="Heading3"/>
      </w:pPr>
      <w:bookmarkStart w:id="39" w:name="_Toc131604315"/>
      <w:r w:rsidRPr="008A544A">
        <w:t xml:space="preserve">Comparison of 4-stratum and 3-stratum risk stratification calculators </w:t>
      </w:r>
      <w:r w:rsidR="00055E91" w:rsidRPr="008A544A">
        <w:t>that include NT-</w:t>
      </w:r>
      <w:proofErr w:type="spellStart"/>
      <w:r w:rsidR="00055E91" w:rsidRPr="008A544A">
        <w:t>proBNP</w:t>
      </w:r>
      <w:proofErr w:type="spellEnd"/>
      <w:r w:rsidR="00055E91" w:rsidRPr="008A544A">
        <w:t xml:space="preserve"> in the prediction of mortality and/or morbidity</w:t>
      </w:r>
      <w:bookmarkEnd w:id="39"/>
    </w:p>
    <w:p w14:paraId="3C091C3C" w14:textId="62C33BC8" w:rsidR="008318EC" w:rsidRDefault="008318EC" w:rsidP="00167134">
      <w:bookmarkStart w:id="40" w:name="_Hlk134525836"/>
      <w:r>
        <w:t>No studies were identified which were able to compare the use of the 4-stratum model including NT-</w:t>
      </w:r>
      <w:proofErr w:type="spellStart"/>
      <w:r>
        <w:t>proBNP</w:t>
      </w:r>
      <w:proofErr w:type="spellEnd"/>
      <w:r>
        <w:t>, against a validated 3-stratum model without NT-</w:t>
      </w:r>
      <w:proofErr w:type="spellStart"/>
      <w:r>
        <w:t>proBNP</w:t>
      </w:r>
      <w:bookmarkEnd w:id="40"/>
      <w:proofErr w:type="spellEnd"/>
      <w:r>
        <w:t xml:space="preserve">. The comparison </w:t>
      </w:r>
      <w:r w:rsidR="00E20C2E">
        <w:t xml:space="preserve">with </w:t>
      </w:r>
      <w:r>
        <w:t xml:space="preserve">a </w:t>
      </w:r>
      <w:r w:rsidR="00653F2B">
        <w:br/>
      </w:r>
      <w:r>
        <w:lastRenderedPageBreak/>
        <w:t xml:space="preserve">3-stratum model which </w:t>
      </w:r>
      <w:r w:rsidR="00E20C2E">
        <w:t xml:space="preserve">includes </w:t>
      </w:r>
      <w:r>
        <w:t>both NT-</w:t>
      </w:r>
      <w:proofErr w:type="spellStart"/>
      <w:r>
        <w:t>proBNP</w:t>
      </w:r>
      <w:proofErr w:type="spellEnd"/>
      <w:r>
        <w:t xml:space="preserve"> </w:t>
      </w:r>
      <w:r w:rsidR="00E20C2E">
        <w:t xml:space="preserve">and TTE </w:t>
      </w:r>
      <w:r>
        <w:t>is therefore included. The previous ADAR established that 3-stratum model</w:t>
      </w:r>
      <w:r w:rsidR="00E20C2E">
        <w:t>s</w:t>
      </w:r>
      <w:r>
        <w:t xml:space="preserve"> including NT-</w:t>
      </w:r>
      <w:proofErr w:type="spellStart"/>
      <w:r>
        <w:t>proBNP</w:t>
      </w:r>
      <w:proofErr w:type="spellEnd"/>
      <w:r>
        <w:t xml:space="preserve"> w</w:t>
      </w:r>
      <w:r w:rsidR="00E20C2E">
        <w:t>ere</w:t>
      </w:r>
      <w:r>
        <w:t xml:space="preserve"> non-inferior to 3-stratum models </w:t>
      </w:r>
      <w:r w:rsidR="00E20C2E">
        <w:t xml:space="preserve">using </w:t>
      </w:r>
      <w:r w:rsidR="005441CE">
        <w:t>only</w:t>
      </w:r>
      <w:r w:rsidR="00E20C2E">
        <w:t xml:space="preserve"> TTE</w:t>
      </w:r>
      <w:r>
        <w:t xml:space="preserve">. </w:t>
      </w:r>
    </w:p>
    <w:p w14:paraId="49D09941" w14:textId="76D94769" w:rsidR="00167134" w:rsidRDefault="00167134" w:rsidP="00167134">
      <w:r>
        <w:t>F</w:t>
      </w:r>
      <w:r w:rsidRPr="00167134">
        <w:t>our studies report</w:t>
      </w:r>
      <w:r>
        <w:t>ed</w:t>
      </w:r>
      <w:r w:rsidRPr="00167134">
        <w:t xml:space="preserve"> on the risk of death in patients with PAH, as determined using the </w:t>
      </w:r>
      <w:r w:rsidR="00653F2B">
        <w:br/>
      </w:r>
      <w:r w:rsidRPr="00167134">
        <w:t>4-stratum model proposed in the 2022 ESC/ERS guidelines</w:t>
      </w:r>
      <w:r w:rsidR="00CC40D6">
        <w:t>. Three studies were identified in the literature search conducted in the ADAR and one was identified in a quick literature search conducted by the commentary</w:t>
      </w:r>
      <w:r w:rsidRPr="00167134">
        <w:t>.</w:t>
      </w:r>
      <w:r>
        <w:t xml:space="preserve"> </w:t>
      </w:r>
      <w:r w:rsidRPr="00167134">
        <w:t xml:space="preserve">There were insufficient data for meta-analysis of any outcome. </w:t>
      </w:r>
    </w:p>
    <w:p w14:paraId="002E8AB0" w14:textId="109530A7" w:rsidR="00167134" w:rsidRPr="00167134" w:rsidRDefault="00167134" w:rsidP="00167134">
      <w:r w:rsidRPr="00167134">
        <w:t xml:space="preserve">The proportion of patients in various risk categories using the 3-stratum versus 4-stratum models, both described in the 2022 ESC/ESR guidelines, at first follow-up </w:t>
      </w:r>
      <w:r w:rsidR="00746783">
        <w:t>was reported for patients from</w:t>
      </w:r>
      <w:r w:rsidRPr="00167134">
        <w:t xml:space="preserve"> the COMPERA and FRENCH registries</w:t>
      </w:r>
      <w:r w:rsidR="00746783">
        <w:t>, in two studies (</w:t>
      </w:r>
      <w:r w:rsidR="00AA0686">
        <w:fldChar w:fldCharType="begin"/>
      </w:r>
      <w:r w:rsidR="00AA0686">
        <w:instrText xml:space="preserve"> REF _Ref131154962 \h </w:instrText>
      </w:r>
      <w:r w:rsidR="00AA0686">
        <w:fldChar w:fldCharType="separate"/>
      </w:r>
      <w:r w:rsidR="00AA0686">
        <w:t xml:space="preserve">Table </w:t>
      </w:r>
      <w:r w:rsidR="00AA0686">
        <w:rPr>
          <w:noProof/>
        </w:rPr>
        <w:t>7</w:t>
      </w:r>
      <w:r w:rsidR="00AA0686">
        <w:fldChar w:fldCharType="end"/>
      </w:r>
      <w:r w:rsidR="00746783">
        <w:t>)</w:t>
      </w:r>
      <w:r w:rsidRPr="00167134">
        <w:t xml:space="preserve">. </w:t>
      </w:r>
    </w:p>
    <w:p w14:paraId="148B3EB5" w14:textId="5D91B9E0" w:rsidR="00167134" w:rsidRPr="00167134" w:rsidRDefault="00AA0686" w:rsidP="00AA0686">
      <w:pPr>
        <w:pStyle w:val="TableHeading0"/>
      </w:pPr>
      <w:bookmarkStart w:id="41" w:name="_Ref131154962"/>
      <w:r>
        <w:t xml:space="preserve">Table </w:t>
      </w:r>
      <w:r w:rsidR="00DD62DD">
        <w:fldChar w:fldCharType="begin"/>
      </w:r>
      <w:r w:rsidR="00DD62DD">
        <w:instrText xml:space="preserve"> SEQ Table \* ARABIC</w:instrText>
      </w:r>
      <w:r w:rsidR="00DD62DD">
        <w:instrText xml:space="preserve"> </w:instrText>
      </w:r>
      <w:r w:rsidR="00DD62DD">
        <w:fldChar w:fldCharType="separate"/>
      </w:r>
      <w:r>
        <w:rPr>
          <w:noProof/>
        </w:rPr>
        <w:t>7</w:t>
      </w:r>
      <w:r w:rsidR="00DD62DD">
        <w:rPr>
          <w:noProof/>
        </w:rPr>
        <w:fldChar w:fldCharType="end"/>
      </w:r>
      <w:bookmarkEnd w:id="41"/>
      <w:r w:rsidR="00167134" w:rsidRPr="00167134">
        <w:tab/>
        <w:t>The proportion of patients in various risk categories using the 3-stratum versus 4-stratum models</w:t>
      </w:r>
    </w:p>
    <w:tbl>
      <w:tblPr>
        <w:tblStyle w:val="TableGrid"/>
        <w:tblW w:w="0" w:type="auto"/>
        <w:tblLook w:val="04A0" w:firstRow="1" w:lastRow="0" w:firstColumn="1" w:lastColumn="0" w:noHBand="0" w:noVBand="1"/>
      </w:tblPr>
      <w:tblGrid>
        <w:gridCol w:w="1766"/>
        <w:gridCol w:w="1035"/>
        <w:gridCol w:w="1036"/>
        <w:gridCol w:w="1036"/>
        <w:gridCol w:w="1035"/>
        <w:gridCol w:w="1036"/>
        <w:gridCol w:w="1036"/>
        <w:gridCol w:w="1036"/>
      </w:tblGrid>
      <w:tr w:rsidR="00167134" w:rsidRPr="00167134" w14:paraId="09DF6A80" w14:textId="77777777" w:rsidTr="00F234C4">
        <w:tc>
          <w:tcPr>
            <w:tcW w:w="1766" w:type="dxa"/>
            <w:vMerge w:val="restart"/>
            <w:vAlign w:val="center"/>
          </w:tcPr>
          <w:p w14:paraId="3CF16525" w14:textId="77777777" w:rsidR="00167134" w:rsidRPr="00167134" w:rsidRDefault="00167134" w:rsidP="00167134">
            <w:pPr>
              <w:spacing w:before="40" w:after="40"/>
              <w:jc w:val="center"/>
              <w:rPr>
                <w:rFonts w:ascii="Arial Narrow" w:hAnsi="Arial Narrow"/>
                <w:sz w:val="20"/>
                <w:szCs w:val="20"/>
              </w:rPr>
            </w:pPr>
            <w:r w:rsidRPr="00167134">
              <w:rPr>
                <w:rFonts w:ascii="Arial Narrow" w:hAnsi="Arial Narrow"/>
                <w:sz w:val="20"/>
                <w:szCs w:val="20"/>
              </w:rPr>
              <w:t>At first follow-up</w:t>
            </w:r>
          </w:p>
        </w:tc>
        <w:tc>
          <w:tcPr>
            <w:tcW w:w="3107" w:type="dxa"/>
            <w:gridSpan w:val="3"/>
          </w:tcPr>
          <w:p w14:paraId="13C217EA" w14:textId="77777777" w:rsidR="00167134" w:rsidRPr="00167134" w:rsidRDefault="00167134" w:rsidP="00167134">
            <w:pPr>
              <w:spacing w:before="40" w:after="40"/>
              <w:jc w:val="center"/>
              <w:rPr>
                <w:rFonts w:ascii="Arial Narrow" w:hAnsi="Arial Narrow"/>
                <w:sz w:val="20"/>
                <w:szCs w:val="20"/>
              </w:rPr>
            </w:pPr>
            <w:r w:rsidRPr="00167134">
              <w:rPr>
                <w:rFonts w:ascii="Arial Narrow" w:hAnsi="Arial Narrow"/>
                <w:sz w:val="20"/>
                <w:szCs w:val="20"/>
              </w:rPr>
              <w:t>3-stratum model</w:t>
            </w:r>
          </w:p>
        </w:tc>
        <w:tc>
          <w:tcPr>
            <w:tcW w:w="4143" w:type="dxa"/>
            <w:gridSpan w:val="4"/>
          </w:tcPr>
          <w:p w14:paraId="181C1F09" w14:textId="77777777" w:rsidR="00167134" w:rsidRPr="00167134" w:rsidRDefault="00167134" w:rsidP="00167134">
            <w:pPr>
              <w:spacing w:before="40" w:after="40"/>
              <w:jc w:val="center"/>
              <w:rPr>
                <w:rFonts w:ascii="Arial Narrow" w:hAnsi="Arial Narrow"/>
                <w:sz w:val="20"/>
                <w:szCs w:val="20"/>
              </w:rPr>
            </w:pPr>
            <w:r w:rsidRPr="00167134">
              <w:rPr>
                <w:rFonts w:ascii="Arial Narrow" w:hAnsi="Arial Narrow"/>
                <w:sz w:val="20"/>
                <w:szCs w:val="20"/>
              </w:rPr>
              <w:t>4-stratum model</w:t>
            </w:r>
          </w:p>
        </w:tc>
      </w:tr>
      <w:tr w:rsidR="00167134" w:rsidRPr="00167134" w14:paraId="24E11591" w14:textId="77777777" w:rsidTr="00F234C4">
        <w:tc>
          <w:tcPr>
            <w:tcW w:w="1766" w:type="dxa"/>
            <w:vMerge/>
          </w:tcPr>
          <w:p w14:paraId="5B0555E3" w14:textId="77777777" w:rsidR="00167134" w:rsidRPr="00167134" w:rsidRDefault="00167134" w:rsidP="00167134">
            <w:pPr>
              <w:spacing w:before="40" w:after="40"/>
              <w:rPr>
                <w:rFonts w:ascii="Arial Narrow" w:hAnsi="Arial Narrow"/>
                <w:sz w:val="20"/>
                <w:szCs w:val="20"/>
              </w:rPr>
            </w:pPr>
          </w:p>
        </w:tc>
        <w:tc>
          <w:tcPr>
            <w:tcW w:w="1035" w:type="dxa"/>
          </w:tcPr>
          <w:p w14:paraId="76BCD7CD" w14:textId="77777777" w:rsidR="00167134" w:rsidRPr="00167134" w:rsidRDefault="00167134" w:rsidP="00167134">
            <w:pPr>
              <w:spacing w:before="40" w:after="40"/>
              <w:jc w:val="center"/>
              <w:rPr>
                <w:rFonts w:ascii="Arial Narrow" w:hAnsi="Arial Narrow"/>
                <w:sz w:val="20"/>
                <w:szCs w:val="20"/>
              </w:rPr>
            </w:pPr>
            <w:r w:rsidRPr="00167134">
              <w:rPr>
                <w:rFonts w:ascii="Arial Narrow" w:hAnsi="Arial Narrow"/>
                <w:sz w:val="20"/>
                <w:szCs w:val="20"/>
              </w:rPr>
              <w:t>Low</w:t>
            </w:r>
          </w:p>
        </w:tc>
        <w:tc>
          <w:tcPr>
            <w:tcW w:w="1036" w:type="dxa"/>
          </w:tcPr>
          <w:p w14:paraId="45AFDAB8" w14:textId="77777777" w:rsidR="00167134" w:rsidRPr="00167134" w:rsidRDefault="00167134" w:rsidP="00167134">
            <w:pPr>
              <w:spacing w:before="40" w:after="40"/>
              <w:jc w:val="center"/>
              <w:rPr>
                <w:rFonts w:ascii="Arial Narrow" w:hAnsi="Arial Narrow"/>
                <w:sz w:val="20"/>
                <w:szCs w:val="20"/>
              </w:rPr>
            </w:pPr>
            <w:r w:rsidRPr="00167134">
              <w:rPr>
                <w:rFonts w:ascii="Arial Narrow" w:hAnsi="Arial Narrow"/>
                <w:sz w:val="20"/>
                <w:szCs w:val="20"/>
              </w:rPr>
              <w:t>Int</w:t>
            </w:r>
          </w:p>
        </w:tc>
        <w:tc>
          <w:tcPr>
            <w:tcW w:w="1036" w:type="dxa"/>
          </w:tcPr>
          <w:p w14:paraId="06669971" w14:textId="77777777" w:rsidR="00167134" w:rsidRPr="00167134" w:rsidRDefault="00167134" w:rsidP="00167134">
            <w:pPr>
              <w:spacing w:before="40" w:after="40"/>
              <w:jc w:val="center"/>
              <w:rPr>
                <w:rFonts w:ascii="Arial Narrow" w:hAnsi="Arial Narrow"/>
                <w:sz w:val="20"/>
                <w:szCs w:val="20"/>
              </w:rPr>
            </w:pPr>
            <w:r w:rsidRPr="00167134">
              <w:rPr>
                <w:rFonts w:ascii="Arial Narrow" w:hAnsi="Arial Narrow"/>
                <w:sz w:val="20"/>
                <w:szCs w:val="20"/>
              </w:rPr>
              <w:t>High</w:t>
            </w:r>
          </w:p>
        </w:tc>
        <w:tc>
          <w:tcPr>
            <w:tcW w:w="1035" w:type="dxa"/>
          </w:tcPr>
          <w:p w14:paraId="29193A4D" w14:textId="77777777" w:rsidR="00167134" w:rsidRPr="00167134" w:rsidRDefault="00167134" w:rsidP="00167134">
            <w:pPr>
              <w:spacing w:before="40" w:after="40"/>
              <w:jc w:val="center"/>
              <w:rPr>
                <w:rFonts w:ascii="Arial Narrow" w:hAnsi="Arial Narrow"/>
                <w:sz w:val="20"/>
                <w:szCs w:val="20"/>
              </w:rPr>
            </w:pPr>
            <w:r w:rsidRPr="00167134">
              <w:rPr>
                <w:rFonts w:ascii="Arial Narrow" w:hAnsi="Arial Narrow"/>
                <w:sz w:val="20"/>
                <w:szCs w:val="20"/>
              </w:rPr>
              <w:t>Low</w:t>
            </w:r>
          </w:p>
        </w:tc>
        <w:tc>
          <w:tcPr>
            <w:tcW w:w="1036" w:type="dxa"/>
          </w:tcPr>
          <w:p w14:paraId="47DE62EE" w14:textId="77777777" w:rsidR="00167134" w:rsidRPr="00167134" w:rsidRDefault="00167134" w:rsidP="00167134">
            <w:pPr>
              <w:spacing w:before="40" w:after="40"/>
              <w:jc w:val="center"/>
              <w:rPr>
                <w:rFonts w:ascii="Arial Narrow" w:hAnsi="Arial Narrow"/>
                <w:sz w:val="20"/>
                <w:szCs w:val="20"/>
              </w:rPr>
            </w:pPr>
            <w:r w:rsidRPr="00167134">
              <w:rPr>
                <w:rFonts w:ascii="Arial Narrow" w:hAnsi="Arial Narrow"/>
                <w:sz w:val="20"/>
                <w:szCs w:val="20"/>
              </w:rPr>
              <w:t>Int-L</w:t>
            </w:r>
          </w:p>
        </w:tc>
        <w:tc>
          <w:tcPr>
            <w:tcW w:w="1036" w:type="dxa"/>
          </w:tcPr>
          <w:p w14:paraId="39861ED3" w14:textId="77777777" w:rsidR="00167134" w:rsidRPr="00167134" w:rsidRDefault="00167134" w:rsidP="00167134">
            <w:pPr>
              <w:spacing w:before="40" w:after="40"/>
              <w:jc w:val="center"/>
              <w:rPr>
                <w:rFonts w:ascii="Arial Narrow" w:hAnsi="Arial Narrow"/>
                <w:sz w:val="20"/>
                <w:szCs w:val="20"/>
              </w:rPr>
            </w:pPr>
            <w:r w:rsidRPr="00167134">
              <w:rPr>
                <w:rFonts w:ascii="Arial Narrow" w:hAnsi="Arial Narrow"/>
                <w:sz w:val="20"/>
                <w:szCs w:val="20"/>
              </w:rPr>
              <w:t>Int-H</w:t>
            </w:r>
          </w:p>
        </w:tc>
        <w:tc>
          <w:tcPr>
            <w:tcW w:w="1036" w:type="dxa"/>
          </w:tcPr>
          <w:p w14:paraId="695960BD" w14:textId="77777777" w:rsidR="00167134" w:rsidRPr="00167134" w:rsidRDefault="00167134" w:rsidP="00167134">
            <w:pPr>
              <w:spacing w:before="40" w:after="40"/>
              <w:jc w:val="center"/>
              <w:rPr>
                <w:rFonts w:ascii="Arial Narrow" w:hAnsi="Arial Narrow"/>
                <w:sz w:val="20"/>
                <w:szCs w:val="20"/>
              </w:rPr>
            </w:pPr>
            <w:r w:rsidRPr="00167134">
              <w:rPr>
                <w:rFonts w:ascii="Arial Narrow" w:hAnsi="Arial Narrow"/>
                <w:sz w:val="20"/>
                <w:szCs w:val="20"/>
              </w:rPr>
              <w:t>High</w:t>
            </w:r>
          </w:p>
        </w:tc>
      </w:tr>
      <w:tr w:rsidR="00167134" w:rsidRPr="00167134" w14:paraId="1A227FFB" w14:textId="77777777" w:rsidTr="00F234C4">
        <w:tc>
          <w:tcPr>
            <w:tcW w:w="1766" w:type="dxa"/>
          </w:tcPr>
          <w:p w14:paraId="6A052C85" w14:textId="77777777" w:rsidR="00167134" w:rsidRPr="00167134" w:rsidRDefault="00167134" w:rsidP="00167134">
            <w:pPr>
              <w:spacing w:before="40" w:after="40"/>
              <w:rPr>
                <w:rFonts w:ascii="Arial Narrow" w:hAnsi="Arial Narrow"/>
                <w:sz w:val="20"/>
                <w:szCs w:val="20"/>
              </w:rPr>
            </w:pPr>
            <w:r w:rsidRPr="00167134">
              <w:rPr>
                <w:rFonts w:ascii="Arial Narrow" w:hAnsi="Arial Narrow"/>
                <w:sz w:val="20"/>
                <w:szCs w:val="20"/>
              </w:rPr>
              <w:t>COMPERA registry</w:t>
            </w:r>
          </w:p>
          <w:p w14:paraId="6389EA24" w14:textId="77777777" w:rsidR="00167134" w:rsidRPr="00167134" w:rsidRDefault="00167134" w:rsidP="00167134">
            <w:pPr>
              <w:spacing w:before="40" w:after="40"/>
              <w:rPr>
                <w:rFonts w:ascii="Arial Narrow" w:hAnsi="Arial Narrow"/>
                <w:sz w:val="20"/>
                <w:szCs w:val="20"/>
              </w:rPr>
            </w:pPr>
            <w:proofErr w:type="spellStart"/>
            <w:r w:rsidRPr="00167134">
              <w:rPr>
                <w:rFonts w:ascii="Arial Narrow" w:hAnsi="Arial Narrow"/>
                <w:sz w:val="20"/>
                <w:szCs w:val="20"/>
              </w:rPr>
              <w:t>Hoeper</w:t>
            </w:r>
            <w:proofErr w:type="spellEnd"/>
            <w:r w:rsidRPr="00167134">
              <w:rPr>
                <w:rFonts w:ascii="Arial Narrow" w:hAnsi="Arial Narrow"/>
                <w:sz w:val="20"/>
                <w:szCs w:val="20"/>
              </w:rPr>
              <w:t xml:space="preserve"> et al (2022a)</w:t>
            </w:r>
          </w:p>
          <w:p w14:paraId="3CE862A3" w14:textId="77777777" w:rsidR="00167134" w:rsidRPr="00167134" w:rsidRDefault="00167134" w:rsidP="00167134">
            <w:pPr>
              <w:spacing w:before="40" w:after="40"/>
              <w:rPr>
                <w:rFonts w:ascii="Arial Narrow" w:hAnsi="Arial Narrow"/>
                <w:sz w:val="20"/>
                <w:szCs w:val="20"/>
              </w:rPr>
            </w:pPr>
            <w:r w:rsidRPr="00167134">
              <w:rPr>
                <w:rFonts w:ascii="Arial Narrow" w:hAnsi="Arial Narrow"/>
                <w:sz w:val="20"/>
                <w:szCs w:val="20"/>
              </w:rPr>
              <w:t>N=1,414</w:t>
            </w:r>
          </w:p>
        </w:tc>
        <w:tc>
          <w:tcPr>
            <w:tcW w:w="1035" w:type="dxa"/>
          </w:tcPr>
          <w:p w14:paraId="3A1CCED9" w14:textId="77777777" w:rsidR="00167134" w:rsidRPr="00167134" w:rsidRDefault="00167134" w:rsidP="00167134">
            <w:pPr>
              <w:spacing w:before="40" w:after="40"/>
              <w:jc w:val="center"/>
              <w:rPr>
                <w:rFonts w:ascii="Arial Narrow" w:hAnsi="Arial Narrow"/>
                <w:sz w:val="20"/>
                <w:szCs w:val="20"/>
              </w:rPr>
            </w:pPr>
            <w:r w:rsidRPr="00167134">
              <w:rPr>
                <w:rFonts w:ascii="Arial Narrow" w:hAnsi="Arial Narrow"/>
                <w:sz w:val="20"/>
                <w:szCs w:val="20"/>
              </w:rPr>
              <w:t>282 (19.9%)</w:t>
            </w:r>
          </w:p>
        </w:tc>
        <w:tc>
          <w:tcPr>
            <w:tcW w:w="1036" w:type="dxa"/>
          </w:tcPr>
          <w:p w14:paraId="7E38272E" w14:textId="77777777" w:rsidR="00167134" w:rsidRPr="00167134" w:rsidRDefault="00167134" w:rsidP="00167134">
            <w:pPr>
              <w:spacing w:before="40" w:after="40"/>
              <w:jc w:val="center"/>
              <w:rPr>
                <w:rFonts w:ascii="Arial Narrow" w:hAnsi="Arial Narrow"/>
                <w:sz w:val="20"/>
                <w:szCs w:val="20"/>
              </w:rPr>
            </w:pPr>
            <w:r w:rsidRPr="00167134">
              <w:rPr>
                <w:rFonts w:ascii="Arial Narrow" w:hAnsi="Arial Narrow"/>
                <w:sz w:val="20"/>
                <w:szCs w:val="20"/>
              </w:rPr>
              <w:t>903 (63.9%)</w:t>
            </w:r>
          </w:p>
        </w:tc>
        <w:tc>
          <w:tcPr>
            <w:tcW w:w="1036" w:type="dxa"/>
          </w:tcPr>
          <w:p w14:paraId="4B44136F" w14:textId="77777777" w:rsidR="00167134" w:rsidRPr="00167134" w:rsidRDefault="00167134" w:rsidP="00167134">
            <w:pPr>
              <w:spacing w:before="40" w:after="40"/>
              <w:jc w:val="center"/>
              <w:rPr>
                <w:rFonts w:ascii="Arial Narrow" w:hAnsi="Arial Narrow"/>
                <w:sz w:val="20"/>
                <w:szCs w:val="20"/>
              </w:rPr>
            </w:pPr>
            <w:r w:rsidRPr="00167134">
              <w:rPr>
                <w:rFonts w:ascii="Arial Narrow" w:hAnsi="Arial Narrow"/>
                <w:sz w:val="20"/>
                <w:szCs w:val="20"/>
              </w:rPr>
              <w:t>229 (16.2%)</w:t>
            </w:r>
          </w:p>
        </w:tc>
        <w:tc>
          <w:tcPr>
            <w:tcW w:w="1035" w:type="dxa"/>
          </w:tcPr>
          <w:p w14:paraId="0DAA6FC1" w14:textId="77777777" w:rsidR="00167134" w:rsidRPr="00167134" w:rsidRDefault="00167134" w:rsidP="00167134">
            <w:pPr>
              <w:spacing w:before="40" w:after="40"/>
              <w:jc w:val="center"/>
              <w:rPr>
                <w:rFonts w:ascii="Arial Narrow" w:hAnsi="Arial Narrow"/>
                <w:sz w:val="20"/>
                <w:szCs w:val="20"/>
              </w:rPr>
            </w:pPr>
            <w:r w:rsidRPr="00167134">
              <w:rPr>
                <w:rFonts w:ascii="Arial Narrow" w:hAnsi="Arial Narrow"/>
                <w:sz w:val="20"/>
                <w:szCs w:val="20"/>
              </w:rPr>
              <w:t>240 (17.0%)</w:t>
            </w:r>
          </w:p>
        </w:tc>
        <w:tc>
          <w:tcPr>
            <w:tcW w:w="1036" w:type="dxa"/>
          </w:tcPr>
          <w:p w14:paraId="5E8DFE34" w14:textId="77777777" w:rsidR="00167134" w:rsidRPr="00167134" w:rsidRDefault="00167134" w:rsidP="00167134">
            <w:pPr>
              <w:spacing w:before="40" w:after="40"/>
              <w:jc w:val="center"/>
              <w:rPr>
                <w:rFonts w:ascii="Arial Narrow" w:hAnsi="Arial Narrow"/>
                <w:sz w:val="20"/>
                <w:szCs w:val="20"/>
              </w:rPr>
            </w:pPr>
            <w:r w:rsidRPr="00167134">
              <w:rPr>
                <w:rFonts w:ascii="Arial Narrow" w:hAnsi="Arial Narrow"/>
                <w:sz w:val="20"/>
                <w:szCs w:val="20"/>
              </w:rPr>
              <w:t>395 (27.9%)</w:t>
            </w:r>
          </w:p>
        </w:tc>
        <w:tc>
          <w:tcPr>
            <w:tcW w:w="1036" w:type="dxa"/>
          </w:tcPr>
          <w:p w14:paraId="085DE87C" w14:textId="77777777" w:rsidR="00167134" w:rsidRPr="00167134" w:rsidRDefault="00167134" w:rsidP="00167134">
            <w:pPr>
              <w:spacing w:before="40" w:after="40"/>
              <w:jc w:val="center"/>
              <w:rPr>
                <w:rFonts w:ascii="Arial Narrow" w:hAnsi="Arial Narrow"/>
                <w:sz w:val="20"/>
                <w:szCs w:val="20"/>
              </w:rPr>
            </w:pPr>
            <w:r w:rsidRPr="00167134">
              <w:rPr>
                <w:rFonts w:ascii="Arial Narrow" w:hAnsi="Arial Narrow"/>
                <w:sz w:val="20"/>
                <w:szCs w:val="20"/>
              </w:rPr>
              <w:t>534 (37.8%)</w:t>
            </w:r>
          </w:p>
        </w:tc>
        <w:tc>
          <w:tcPr>
            <w:tcW w:w="1036" w:type="dxa"/>
          </w:tcPr>
          <w:p w14:paraId="15AC9D7D" w14:textId="77777777" w:rsidR="00167134" w:rsidRPr="00167134" w:rsidRDefault="00167134" w:rsidP="00167134">
            <w:pPr>
              <w:spacing w:before="40" w:after="40"/>
              <w:jc w:val="center"/>
              <w:rPr>
                <w:rFonts w:ascii="Arial Narrow" w:hAnsi="Arial Narrow"/>
                <w:sz w:val="20"/>
                <w:szCs w:val="20"/>
              </w:rPr>
            </w:pPr>
            <w:r w:rsidRPr="00167134">
              <w:rPr>
                <w:rFonts w:ascii="Arial Narrow" w:hAnsi="Arial Narrow"/>
                <w:sz w:val="20"/>
                <w:szCs w:val="20"/>
              </w:rPr>
              <w:t>245 (17.3%)</w:t>
            </w:r>
          </w:p>
        </w:tc>
      </w:tr>
      <w:tr w:rsidR="00167134" w:rsidRPr="00167134" w14:paraId="292D1E6D" w14:textId="77777777" w:rsidTr="00F234C4">
        <w:tc>
          <w:tcPr>
            <w:tcW w:w="1766" w:type="dxa"/>
          </w:tcPr>
          <w:p w14:paraId="3894832C" w14:textId="77777777" w:rsidR="00167134" w:rsidRPr="00167134" w:rsidRDefault="00167134" w:rsidP="00167134">
            <w:pPr>
              <w:spacing w:before="40" w:after="40"/>
              <w:rPr>
                <w:rFonts w:ascii="Arial Narrow" w:hAnsi="Arial Narrow"/>
                <w:sz w:val="20"/>
                <w:szCs w:val="20"/>
              </w:rPr>
            </w:pPr>
            <w:r w:rsidRPr="00167134">
              <w:rPr>
                <w:rFonts w:ascii="Arial Narrow" w:hAnsi="Arial Narrow"/>
                <w:sz w:val="20"/>
                <w:szCs w:val="20"/>
              </w:rPr>
              <w:t>FRENCH registry</w:t>
            </w:r>
          </w:p>
          <w:p w14:paraId="3478F14C" w14:textId="77777777" w:rsidR="00167134" w:rsidRPr="00167134" w:rsidRDefault="00167134" w:rsidP="00167134">
            <w:pPr>
              <w:spacing w:before="40" w:after="40"/>
              <w:rPr>
                <w:rFonts w:ascii="Arial Narrow" w:hAnsi="Arial Narrow"/>
                <w:sz w:val="20"/>
                <w:szCs w:val="20"/>
              </w:rPr>
            </w:pPr>
            <w:proofErr w:type="spellStart"/>
            <w:r w:rsidRPr="00167134">
              <w:rPr>
                <w:rFonts w:ascii="Arial Narrow" w:hAnsi="Arial Narrow"/>
                <w:sz w:val="20"/>
                <w:szCs w:val="20"/>
              </w:rPr>
              <w:t>Boucly</w:t>
            </w:r>
            <w:proofErr w:type="spellEnd"/>
            <w:r w:rsidRPr="00167134">
              <w:rPr>
                <w:rFonts w:ascii="Arial Narrow" w:hAnsi="Arial Narrow"/>
                <w:sz w:val="20"/>
                <w:szCs w:val="20"/>
              </w:rPr>
              <w:t xml:space="preserve"> et al (2022)</w:t>
            </w:r>
          </w:p>
          <w:p w14:paraId="1ECDC0EF" w14:textId="77777777" w:rsidR="00167134" w:rsidRPr="00167134" w:rsidRDefault="00167134" w:rsidP="00167134">
            <w:pPr>
              <w:spacing w:before="40" w:after="40"/>
              <w:rPr>
                <w:rFonts w:ascii="Arial Narrow" w:hAnsi="Arial Narrow"/>
                <w:sz w:val="20"/>
                <w:szCs w:val="20"/>
              </w:rPr>
            </w:pPr>
            <w:r w:rsidRPr="00167134">
              <w:rPr>
                <w:rFonts w:ascii="Arial Narrow" w:hAnsi="Arial Narrow"/>
                <w:sz w:val="20"/>
                <w:szCs w:val="20"/>
              </w:rPr>
              <w:t>N=2,082</w:t>
            </w:r>
          </w:p>
        </w:tc>
        <w:tc>
          <w:tcPr>
            <w:tcW w:w="1035" w:type="dxa"/>
          </w:tcPr>
          <w:p w14:paraId="566F5FDF" w14:textId="77777777" w:rsidR="00167134" w:rsidRPr="00167134" w:rsidRDefault="00167134" w:rsidP="00167134">
            <w:pPr>
              <w:spacing w:before="40" w:after="40"/>
              <w:jc w:val="center"/>
              <w:rPr>
                <w:rFonts w:ascii="Arial Narrow" w:hAnsi="Arial Narrow"/>
                <w:sz w:val="20"/>
                <w:szCs w:val="20"/>
              </w:rPr>
            </w:pPr>
            <w:r w:rsidRPr="00167134">
              <w:rPr>
                <w:rFonts w:ascii="Arial Narrow" w:hAnsi="Arial Narrow"/>
                <w:sz w:val="20"/>
                <w:szCs w:val="20"/>
              </w:rPr>
              <w:t>812</w:t>
            </w:r>
            <w:r w:rsidRPr="00167134">
              <w:rPr>
                <w:rFonts w:ascii="Arial Narrow" w:hAnsi="Arial Narrow"/>
                <w:sz w:val="20"/>
                <w:szCs w:val="20"/>
              </w:rPr>
              <w:br/>
              <w:t>(39%)</w:t>
            </w:r>
          </w:p>
        </w:tc>
        <w:tc>
          <w:tcPr>
            <w:tcW w:w="1036" w:type="dxa"/>
          </w:tcPr>
          <w:p w14:paraId="09BDE00E" w14:textId="77777777" w:rsidR="00167134" w:rsidRPr="00167134" w:rsidRDefault="00167134" w:rsidP="00167134">
            <w:pPr>
              <w:spacing w:before="40" w:after="40"/>
              <w:jc w:val="center"/>
              <w:rPr>
                <w:rFonts w:ascii="Arial Narrow" w:hAnsi="Arial Narrow"/>
                <w:sz w:val="20"/>
                <w:szCs w:val="20"/>
              </w:rPr>
            </w:pPr>
            <w:r w:rsidRPr="00167134">
              <w:rPr>
                <w:rFonts w:ascii="Arial Narrow" w:hAnsi="Arial Narrow"/>
                <w:sz w:val="20"/>
                <w:szCs w:val="20"/>
              </w:rPr>
              <w:t>1,103 (53%)</w:t>
            </w:r>
          </w:p>
        </w:tc>
        <w:tc>
          <w:tcPr>
            <w:tcW w:w="1036" w:type="dxa"/>
          </w:tcPr>
          <w:p w14:paraId="54493E18" w14:textId="77777777" w:rsidR="00167134" w:rsidRPr="00167134" w:rsidRDefault="00167134" w:rsidP="00167134">
            <w:pPr>
              <w:spacing w:before="40" w:after="40"/>
              <w:jc w:val="center"/>
              <w:rPr>
                <w:rFonts w:ascii="Arial Narrow" w:hAnsi="Arial Narrow"/>
                <w:sz w:val="20"/>
                <w:szCs w:val="20"/>
              </w:rPr>
            </w:pPr>
            <w:r w:rsidRPr="00167134">
              <w:rPr>
                <w:rFonts w:ascii="Arial Narrow" w:hAnsi="Arial Narrow"/>
                <w:sz w:val="20"/>
                <w:szCs w:val="20"/>
              </w:rPr>
              <w:t>167</w:t>
            </w:r>
            <w:r w:rsidRPr="00167134">
              <w:rPr>
                <w:rFonts w:ascii="Arial Narrow" w:hAnsi="Arial Narrow"/>
                <w:sz w:val="20"/>
                <w:szCs w:val="20"/>
              </w:rPr>
              <w:br/>
              <w:t>(8%)</w:t>
            </w:r>
          </w:p>
        </w:tc>
        <w:tc>
          <w:tcPr>
            <w:tcW w:w="1035" w:type="dxa"/>
          </w:tcPr>
          <w:p w14:paraId="18E003BA" w14:textId="77777777" w:rsidR="00167134" w:rsidRPr="00167134" w:rsidRDefault="00167134" w:rsidP="00167134">
            <w:pPr>
              <w:spacing w:before="40" w:after="40"/>
              <w:jc w:val="center"/>
              <w:rPr>
                <w:rFonts w:ascii="Arial Narrow" w:hAnsi="Arial Narrow"/>
                <w:sz w:val="20"/>
                <w:szCs w:val="20"/>
              </w:rPr>
            </w:pPr>
            <w:r w:rsidRPr="00167134">
              <w:rPr>
                <w:rFonts w:ascii="Arial Narrow" w:hAnsi="Arial Narrow"/>
                <w:sz w:val="20"/>
                <w:szCs w:val="20"/>
              </w:rPr>
              <w:t>687</w:t>
            </w:r>
            <w:r w:rsidRPr="00167134">
              <w:rPr>
                <w:rFonts w:ascii="Arial Narrow" w:hAnsi="Arial Narrow"/>
                <w:sz w:val="20"/>
                <w:szCs w:val="20"/>
              </w:rPr>
              <w:br/>
              <w:t>(33%)</w:t>
            </w:r>
          </w:p>
        </w:tc>
        <w:tc>
          <w:tcPr>
            <w:tcW w:w="1036" w:type="dxa"/>
          </w:tcPr>
          <w:p w14:paraId="64FBA459" w14:textId="77777777" w:rsidR="00167134" w:rsidRPr="00167134" w:rsidRDefault="00167134" w:rsidP="00167134">
            <w:pPr>
              <w:spacing w:before="40" w:after="40"/>
              <w:jc w:val="center"/>
              <w:rPr>
                <w:rFonts w:ascii="Arial Narrow" w:hAnsi="Arial Narrow"/>
                <w:sz w:val="20"/>
                <w:szCs w:val="20"/>
              </w:rPr>
            </w:pPr>
            <w:r w:rsidRPr="00167134">
              <w:rPr>
                <w:rFonts w:ascii="Arial Narrow" w:hAnsi="Arial Narrow"/>
                <w:sz w:val="20"/>
                <w:szCs w:val="20"/>
              </w:rPr>
              <w:t>791</w:t>
            </w:r>
            <w:r w:rsidRPr="00167134">
              <w:rPr>
                <w:rFonts w:ascii="Arial Narrow" w:hAnsi="Arial Narrow"/>
                <w:sz w:val="20"/>
                <w:szCs w:val="20"/>
              </w:rPr>
              <w:br/>
              <w:t>(38%)</w:t>
            </w:r>
          </w:p>
        </w:tc>
        <w:tc>
          <w:tcPr>
            <w:tcW w:w="1036" w:type="dxa"/>
          </w:tcPr>
          <w:p w14:paraId="24DCE9DD" w14:textId="77777777" w:rsidR="00167134" w:rsidRPr="00167134" w:rsidRDefault="00167134" w:rsidP="00167134">
            <w:pPr>
              <w:spacing w:before="40" w:after="40"/>
              <w:jc w:val="center"/>
              <w:rPr>
                <w:rFonts w:ascii="Arial Narrow" w:hAnsi="Arial Narrow"/>
                <w:sz w:val="20"/>
                <w:szCs w:val="20"/>
              </w:rPr>
            </w:pPr>
            <w:r w:rsidRPr="00167134">
              <w:rPr>
                <w:rFonts w:ascii="Arial Narrow" w:hAnsi="Arial Narrow"/>
                <w:sz w:val="20"/>
                <w:szCs w:val="20"/>
              </w:rPr>
              <w:t>479</w:t>
            </w:r>
            <w:r w:rsidRPr="00167134">
              <w:rPr>
                <w:rFonts w:ascii="Arial Narrow" w:hAnsi="Arial Narrow"/>
                <w:sz w:val="20"/>
                <w:szCs w:val="20"/>
              </w:rPr>
              <w:br/>
              <w:t>(23%)</w:t>
            </w:r>
          </w:p>
        </w:tc>
        <w:tc>
          <w:tcPr>
            <w:tcW w:w="1036" w:type="dxa"/>
          </w:tcPr>
          <w:p w14:paraId="4A047C9B" w14:textId="77777777" w:rsidR="00167134" w:rsidRPr="00167134" w:rsidRDefault="00167134" w:rsidP="00167134">
            <w:pPr>
              <w:spacing w:before="40" w:after="40"/>
              <w:jc w:val="center"/>
              <w:rPr>
                <w:rFonts w:ascii="Arial Narrow" w:hAnsi="Arial Narrow"/>
                <w:sz w:val="20"/>
                <w:szCs w:val="20"/>
              </w:rPr>
            </w:pPr>
            <w:r w:rsidRPr="00167134">
              <w:rPr>
                <w:rFonts w:ascii="Arial Narrow" w:hAnsi="Arial Narrow"/>
                <w:sz w:val="20"/>
                <w:szCs w:val="20"/>
              </w:rPr>
              <w:t>125</w:t>
            </w:r>
            <w:r w:rsidRPr="00167134">
              <w:rPr>
                <w:rFonts w:ascii="Arial Narrow" w:hAnsi="Arial Narrow"/>
                <w:sz w:val="20"/>
                <w:szCs w:val="20"/>
              </w:rPr>
              <w:br/>
              <w:t>(6%)</w:t>
            </w:r>
          </w:p>
        </w:tc>
      </w:tr>
    </w:tbl>
    <w:p w14:paraId="42F50673" w14:textId="4A91576D" w:rsidR="00167134" w:rsidRDefault="00167134" w:rsidP="00AA0686">
      <w:pPr>
        <w:pStyle w:val="TableFooter"/>
      </w:pPr>
      <w:r w:rsidRPr="00167134">
        <w:t>Int = intermediate; Int-L = intermediate-low; Int-H = intermediate-high</w:t>
      </w:r>
    </w:p>
    <w:p w14:paraId="44D3C9FD" w14:textId="7AE6F201" w:rsidR="006354C5" w:rsidRPr="00167134" w:rsidRDefault="006354C5" w:rsidP="00AA0686">
      <w:pPr>
        <w:pStyle w:val="TableFooter"/>
      </w:pPr>
      <w:r w:rsidRPr="006354C5">
        <w:t xml:space="preserve">Source: </w:t>
      </w:r>
      <w:r>
        <w:t xml:space="preserve">Commentary </w:t>
      </w:r>
      <w:r w:rsidRPr="006354C5">
        <w:t xml:space="preserve">Table </w:t>
      </w:r>
      <w:r>
        <w:t>1</w:t>
      </w:r>
      <w:r w:rsidRPr="006354C5">
        <w:t xml:space="preserve">, </w:t>
      </w:r>
      <w:proofErr w:type="spellStart"/>
      <w:r w:rsidRPr="006354C5">
        <w:t>pg</w:t>
      </w:r>
      <w:proofErr w:type="spellEnd"/>
      <w:r w:rsidRPr="006354C5">
        <w:t xml:space="preserve"> 5</w:t>
      </w:r>
      <w:r w:rsidR="002F35B4">
        <w:t>2</w:t>
      </w:r>
      <w:r w:rsidRPr="006354C5">
        <w:t xml:space="preserve"> of </w:t>
      </w:r>
      <w:r>
        <w:t xml:space="preserve">Commentary on </w:t>
      </w:r>
      <w:r w:rsidRPr="006354C5">
        <w:t>MSAC 1689.1 ADAR</w:t>
      </w:r>
    </w:p>
    <w:p w14:paraId="4D055539" w14:textId="4A0189E9" w:rsidR="00167134" w:rsidRDefault="00167134" w:rsidP="00167134">
      <w:r w:rsidRPr="00167134">
        <w:t xml:space="preserve">The majority of patients from both registries fall into the intermediate risk categories in both models. However, when the proportion of patients that changed risk category from baseline is examined, more patients changed risk category using the 4-stratum model (12–16%) compared to the 3-stratum model (10–11%). This increase is largely driven by a change in risk classification within the large intermediate group. </w:t>
      </w:r>
    </w:p>
    <w:p w14:paraId="65F45549" w14:textId="3A35E26D" w:rsidR="00A61769" w:rsidRPr="00A61769" w:rsidRDefault="00A61769" w:rsidP="00A61769">
      <w:r w:rsidRPr="00A61769">
        <w:t xml:space="preserve">The patients who </w:t>
      </w:r>
      <w:r>
        <w:t>we</w:t>
      </w:r>
      <w:r w:rsidRPr="00A61769">
        <w:t>re separated into intermediate-low and intermediate-high risk groups ha</w:t>
      </w:r>
      <w:r w:rsidR="00D84C54">
        <w:t>d</w:t>
      </w:r>
      <w:r w:rsidRPr="00A61769">
        <w:t xml:space="preserve"> distinct mortality risks</w:t>
      </w:r>
      <w:r w:rsidR="00D84C54">
        <w:t xml:space="preserve"> (</w:t>
      </w:r>
      <w:r w:rsidR="00AA0686">
        <w:fldChar w:fldCharType="begin"/>
      </w:r>
      <w:r w:rsidR="00AA0686">
        <w:instrText xml:space="preserve"> REF _Ref131155007 \h </w:instrText>
      </w:r>
      <w:r w:rsidR="00AA0686">
        <w:fldChar w:fldCharType="separate"/>
      </w:r>
      <w:r w:rsidR="00AA0686">
        <w:t xml:space="preserve">Table </w:t>
      </w:r>
      <w:r w:rsidR="00AA0686">
        <w:rPr>
          <w:noProof/>
        </w:rPr>
        <w:t>8</w:t>
      </w:r>
      <w:r w:rsidR="00AA0686">
        <w:fldChar w:fldCharType="end"/>
      </w:r>
      <w:r w:rsidR="00D84C54">
        <w:t xml:space="preserve">) and these two groups also had distinct </w:t>
      </w:r>
      <w:r w:rsidRPr="00A61769">
        <w:t>prediction</w:t>
      </w:r>
      <w:r w:rsidR="00D84C54">
        <w:t>s</w:t>
      </w:r>
      <w:r w:rsidRPr="00A61769">
        <w:t xml:space="preserve"> of long-term survival using the 4-stratum method (</w:t>
      </w:r>
      <w:r w:rsidR="00AA0686">
        <w:fldChar w:fldCharType="begin"/>
      </w:r>
      <w:r w:rsidR="00AA0686">
        <w:instrText xml:space="preserve"> REF _Ref131155037 \h </w:instrText>
      </w:r>
      <w:r w:rsidR="00AA0686">
        <w:fldChar w:fldCharType="separate"/>
      </w:r>
      <w:r w:rsidR="00AA0686">
        <w:t xml:space="preserve">Table </w:t>
      </w:r>
      <w:r w:rsidR="00AA0686">
        <w:rPr>
          <w:noProof/>
        </w:rPr>
        <w:t>9</w:t>
      </w:r>
      <w:r w:rsidR="00AA0686">
        <w:fldChar w:fldCharType="end"/>
      </w:r>
      <w:r w:rsidRPr="00A61769">
        <w:t xml:space="preserve">). </w:t>
      </w:r>
      <w:proofErr w:type="spellStart"/>
      <w:r w:rsidR="006406E7" w:rsidRPr="006406E7">
        <w:t>Boucly</w:t>
      </w:r>
      <w:proofErr w:type="spellEnd"/>
      <w:r w:rsidR="006406E7" w:rsidRPr="006406E7">
        <w:t xml:space="preserve"> et al (2022)</w:t>
      </w:r>
      <w:r w:rsidR="006406E7">
        <w:t xml:space="preserve"> </w:t>
      </w:r>
      <w:r w:rsidR="00E25AD6">
        <w:t>also showed</w:t>
      </w:r>
      <w:r w:rsidR="006406E7">
        <w:t xml:space="preserve"> that </w:t>
      </w:r>
      <w:r w:rsidR="00E25AD6" w:rsidRPr="00E25AD6">
        <w:t xml:space="preserve">the Kaplan-Meier curves for the low-risk and high-risk groups </w:t>
      </w:r>
      <w:r w:rsidR="00DD71DC" w:rsidRPr="00DD71DC">
        <w:t>from both the 3-stratum and 4-stratum models were similar and that the curve for the intermediate-low and intermediate-high risk group</w:t>
      </w:r>
      <w:r w:rsidR="00DD71DC">
        <w:t>s</w:t>
      </w:r>
      <w:r w:rsidR="00DD71DC" w:rsidRPr="00DD71DC">
        <w:t xml:space="preserve"> had distinct survival curves.</w:t>
      </w:r>
      <w:r w:rsidR="00E25AD6">
        <w:t xml:space="preserve"> (</w:t>
      </w:r>
      <w:r w:rsidR="00E25AD6">
        <w:fldChar w:fldCharType="begin"/>
      </w:r>
      <w:r w:rsidR="00E25AD6">
        <w:instrText xml:space="preserve"> REF _Ref133417672 \h </w:instrText>
      </w:r>
      <w:r w:rsidR="00E25AD6">
        <w:fldChar w:fldCharType="separate"/>
      </w:r>
      <w:r w:rsidR="00E25AD6">
        <w:t xml:space="preserve">Figure </w:t>
      </w:r>
      <w:r w:rsidR="00E25AD6">
        <w:rPr>
          <w:noProof/>
        </w:rPr>
        <w:t>1</w:t>
      </w:r>
      <w:r w:rsidR="00E25AD6">
        <w:fldChar w:fldCharType="end"/>
      </w:r>
      <w:r w:rsidR="00E25AD6">
        <w:t>)</w:t>
      </w:r>
      <w:r w:rsidR="00E25AD6" w:rsidRPr="00E25AD6">
        <w:t>.</w:t>
      </w:r>
    </w:p>
    <w:p w14:paraId="6978BE8A" w14:textId="03D8A859" w:rsidR="00A61769" w:rsidRPr="00A61769" w:rsidRDefault="00AA0686" w:rsidP="00AA0686">
      <w:pPr>
        <w:pStyle w:val="TableHeading0"/>
      </w:pPr>
      <w:bookmarkStart w:id="42" w:name="_Ref131155007"/>
      <w:r>
        <w:t xml:space="preserve">Table </w:t>
      </w:r>
      <w:r w:rsidR="00DD62DD">
        <w:fldChar w:fldCharType="begin"/>
      </w:r>
      <w:r w:rsidR="00DD62DD">
        <w:instrText xml:space="preserve"> SEQ Table \* ARABIC </w:instrText>
      </w:r>
      <w:r w:rsidR="00DD62DD">
        <w:fldChar w:fldCharType="separate"/>
      </w:r>
      <w:r>
        <w:rPr>
          <w:noProof/>
        </w:rPr>
        <w:t>8</w:t>
      </w:r>
      <w:r w:rsidR="00DD62DD">
        <w:rPr>
          <w:noProof/>
        </w:rPr>
        <w:fldChar w:fldCharType="end"/>
      </w:r>
      <w:bookmarkEnd w:id="42"/>
      <w:r w:rsidR="00A61769" w:rsidRPr="00A61769">
        <w:tab/>
        <w:t>1 and 5-year Kaplan-Meier survival estimates after first reassessment.</w:t>
      </w:r>
    </w:p>
    <w:tbl>
      <w:tblPr>
        <w:tblStyle w:val="TableGrid"/>
        <w:tblW w:w="9067" w:type="dxa"/>
        <w:tblLook w:val="04A0" w:firstRow="1" w:lastRow="0" w:firstColumn="1" w:lastColumn="0" w:noHBand="0" w:noVBand="1"/>
      </w:tblPr>
      <w:tblGrid>
        <w:gridCol w:w="1980"/>
        <w:gridCol w:w="1611"/>
        <w:gridCol w:w="1825"/>
        <w:gridCol w:w="1825"/>
        <w:gridCol w:w="1826"/>
      </w:tblGrid>
      <w:tr w:rsidR="00A61769" w:rsidRPr="00A61769" w14:paraId="048CA84F" w14:textId="77777777" w:rsidTr="003B21B4">
        <w:trPr>
          <w:cantSplit/>
          <w:tblHeader/>
        </w:trPr>
        <w:tc>
          <w:tcPr>
            <w:tcW w:w="1980" w:type="dxa"/>
            <w:vMerge w:val="restart"/>
            <w:vAlign w:val="center"/>
          </w:tcPr>
          <w:p w14:paraId="583298FC" w14:textId="77777777" w:rsidR="00A61769" w:rsidRPr="00A61769" w:rsidRDefault="00A61769" w:rsidP="00A61769">
            <w:pPr>
              <w:spacing w:before="40" w:after="40"/>
              <w:jc w:val="center"/>
              <w:rPr>
                <w:rFonts w:ascii="Arial Narrow" w:hAnsi="Arial Narrow"/>
                <w:i/>
                <w:sz w:val="20"/>
                <w:szCs w:val="20"/>
              </w:rPr>
            </w:pPr>
          </w:p>
        </w:tc>
        <w:tc>
          <w:tcPr>
            <w:tcW w:w="7087" w:type="dxa"/>
            <w:gridSpan w:val="4"/>
          </w:tcPr>
          <w:p w14:paraId="2823E81F" w14:textId="77777777" w:rsidR="00A61769" w:rsidRPr="00A61769" w:rsidRDefault="00A61769" w:rsidP="00A61769">
            <w:pPr>
              <w:spacing w:before="40" w:after="40"/>
              <w:jc w:val="center"/>
              <w:rPr>
                <w:rFonts w:ascii="Arial Narrow" w:hAnsi="Arial Narrow"/>
                <w:i/>
                <w:sz w:val="20"/>
                <w:szCs w:val="20"/>
              </w:rPr>
            </w:pPr>
            <w:r w:rsidRPr="00A61769">
              <w:rPr>
                <w:rFonts w:ascii="Arial Narrow" w:hAnsi="Arial Narrow"/>
                <w:i/>
                <w:sz w:val="20"/>
                <w:szCs w:val="20"/>
              </w:rPr>
              <w:t>4-stratum model</w:t>
            </w:r>
          </w:p>
        </w:tc>
      </w:tr>
      <w:tr w:rsidR="00A61769" w:rsidRPr="00A61769" w14:paraId="0D891A4E" w14:textId="77777777" w:rsidTr="003B21B4">
        <w:trPr>
          <w:cantSplit/>
          <w:tblHeader/>
        </w:trPr>
        <w:tc>
          <w:tcPr>
            <w:tcW w:w="1980" w:type="dxa"/>
            <w:vMerge/>
          </w:tcPr>
          <w:p w14:paraId="23219746" w14:textId="77777777" w:rsidR="00A61769" w:rsidRPr="00A61769" w:rsidRDefault="00A61769" w:rsidP="00A61769">
            <w:pPr>
              <w:spacing w:before="40" w:after="40"/>
              <w:rPr>
                <w:rFonts w:ascii="Arial Narrow" w:hAnsi="Arial Narrow"/>
                <w:i/>
                <w:sz w:val="20"/>
                <w:szCs w:val="20"/>
              </w:rPr>
            </w:pPr>
          </w:p>
        </w:tc>
        <w:tc>
          <w:tcPr>
            <w:tcW w:w="1611" w:type="dxa"/>
          </w:tcPr>
          <w:p w14:paraId="5AB51139" w14:textId="77777777" w:rsidR="00A61769" w:rsidRPr="00A61769" w:rsidRDefault="00A61769" w:rsidP="00A61769">
            <w:pPr>
              <w:spacing w:before="40" w:after="40"/>
              <w:jc w:val="center"/>
              <w:rPr>
                <w:rFonts w:ascii="Arial Narrow" w:hAnsi="Arial Narrow"/>
                <w:i/>
                <w:sz w:val="20"/>
                <w:szCs w:val="20"/>
              </w:rPr>
            </w:pPr>
            <w:r w:rsidRPr="00A61769">
              <w:rPr>
                <w:rFonts w:ascii="Arial Narrow" w:hAnsi="Arial Narrow"/>
                <w:i/>
                <w:sz w:val="20"/>
                <w:szCs w:val="20"/>
              </w:rPr>
              <w:t>Low</w:t>
            </w:r>
          </w:p>
        </w:tc>
        <w:tc>
          <w:tcPr>
            <w:tcW w:w="1825" w:type="dxa"/>
          </w:tcPr>
          <w:p w14:paraId="6F62ABC5" w14:textId="096C8D64" w:rsidR="00A61769" w:rsidRPr="00A61769" w:rsidRDefault="00A61769" w:rsidP="00A61769">
            <w:pPr>
              <w:spacing w:before="40" w:after="40"/>
              <w:jc w:val="center"/>
              <w:rPr>
                <w:rFonts w:ascii="Arial Narrow" w:hAnsi="Arial Narrow"/>
                <w:i/>
                <w:sz w:val="20"/>
                <w:szCs w:val="20"/>
              </w:rPr>
            </w:pPr>
            <w:r w:rsidRPr="00A61769">
              <w:rPr>
                <w:rFonts w:ascii="Arial Narrow" w:hAnsi="Arial Narrow"/>
                <w:i/>
                <w:sz w:val="20"/>
                <w:szCs w:val="20"/>
              </w:rPr>
              <w:t>Int</w:t>
            </w:r>
            <w:r w:rsidR="00D84C54">
              <w:rPr>
                <w:rFonts w:ascii="Arial Narrow" w:hAnsi="Arial Narrow"/>
                <w:i/>
                <w:sz w:val="20"/>
                <w:szCs w:val="20"/>
              </w:rPr>
              <w:t>ermediate</w:t>
            </w:r>
            <w:r w:rsidRPr="00A61769">
              <w:rPr>
                <w:rFonts w:ascii="Arial Narrow" w:hAnsi="Arial Narrow"/>
                <w:i/>
                <w:sz w:val="20"/>
                <w:szCs w:val="20"/>
              </w:rPr>
              <w:t>-</w:t>
            </w:r>
            <w:r w:rsidR="00D84C54">
              <w:rPr>
                <w:rFonts w:ascii="Arial Narrow" w:hAnsi="Arial Narrow"/>
                <w:i/>
                <w:sz w:val="20"/>
                <w:szCs w:val="20"/>
              </w:rPr>
              <w:t>low</w:t>
            </w:r>
          </w:p>
        </w:tc>
        <w:tc>
          <w:tcPr>
            <w:tcW w:w="1825" w:type="dxa"/>
          </w:tcPr>
          <w:p w14:paraId="37648C45" w14:textId="20DBF515" w:rsidR="00A61769" w:rsidRPr="00A61769" w:rsidRDefault="00A61769" w:rsidP="00A61769">
            <w:pPr>
              <w:spacing w:before="40" w:after="40"/>
              <w:jc w:val="center"/>
              <w:rPr>
                <w:rFonts w:ascii="Arial Narrow" w:hAnsi="Arial Narrow"/>
                <w:i/>
                <w:sz w:val="20"/>
                <w:szCs w:val="20"/>
              </w:rPr>
            </w:pPr>
            <w:r w:rsidRPr="00A61769">
              <w:rPr>
                <w:rFonts w:ascii="Arial Narrow" w:hAnsi="Arial Narrow"/>
                <w:i/>
                <w:sz w:val="20"/>
                <w:szCs w:val="20"/>
              </w:rPr>
              <w:t>Int</w:t>
            </w:r>
            <w:r w:rsidR="00D84C54">
              <w:rPr>
                <w:rFonts w:ascii="Arial Narrow" w:hAnsi="Arial Narrow"/>
                <w:i/>
                <w:sz w:val="20"/>
                <w:szCs w:val="20"/>
              </w:rPr>
              <w:t>ermediate</w:t>
            </w:r>
            <w:r w:rsidRPr="00A61769">
              <w:rPr>
                <w:rFonts w:ascii="Arial Narrow" w:hAnsi="Arial Narrow"/>
                <w:i/>
                <w:sz w:val="20"/>
                <w:szCs w:val="20"/>
              </w:rPr>
              <w:t>-</w:t>
            </w:r>
            <w:r w:rsidR="00D84C54">
              <w:rPr>
                <w:rFonts w:ascii="Arial Narrow" w:hAnsi="Arial Narrow"/>
                <w:i/>
                <w:sz w:val="20"/>
                <w:szCs w:val="20"/>
              </w:rPr>
              <w:t>high</w:t>
            </w:r>
          </w:p>
        </w:tc>
        <w:tc>
          <w:tcPr>
            <w:tcW w:w="1826" w:type="dxa"/>
          </w:tcPr>
          <w:p w14:paraId="2765F588" w14:textId="77777777" w:rsidR="00A61769" w:rsidRPr="00A61769" w:rsidRDefault="00A61769" w:rsidP="00A61769">
            <w:pPr>
              <w:spacing w:before="40" w:after="40"/>
              <w:jc w:val="center"/>
              <w:rPr>
                <w:rFonts w:ascii="Arial Narrow" w:hAnsi="Arial Narrow"/>
                <w:i/>
                <w:sz w:val="20"/>
                <w:szCs w:val="20"/>
              </w:rPr>
            </w:pPr>
            <w:r w:rsidRPr="00A61769">
              <w:rPr>
                <w:rFonts w:ascii="Arial Narrow" w:hAnsi="Arial Narrow"/>
                <w:i/>
                <w:sz w:val="20"/>
                <w:szCs w:val="20"/>
              </w:rPr>
              <w:t>High</w:t>
            </w:r>
          </w:p>
        </w:tc>
      </w:tr>
      <w:tr w:rsidR="00A61769" w:rsidRPr="00A61769" w14:paraId="33F3E48D" w14:textId="77777777" w:rsidTr="003B21B4">
        <w:trPr>
          <w:cantSplit/>
        </w:trPr>
        <w:tc>
          <w:tcPr>
            <w:tcW w:w="1980" w:type="dxa"/>
          </w:tcPr>
          <w:p w14:paraId="5FC2E924" w14:textId="77777777" w:rsidR="00A61769" w:rsidRPr="00A61769" w:rsidRDefault="00A61769" w:rsidP="00A61769">
            <w:pPr>
              <w:spacing w:before="40" w:after="40"/>
              <w:rPr>
                <w:rFonts w:ascii="Arial Narrow" w:hAnsi="Arial Narrow"/>
                <w:i/>
                <w:sz w:val="20"/>
                <w:szCs w:val="20"/>
              </w:rPr>
            </w:pPr>
            <w:r w:rsidRPr="00A61769">
              <w:rPr>
                <w:rFonts w:ascii="Arial Narrow" w:hAnsi="Arial Narrow"/>
                <w:i/>
                <w:sz w:val="20"/>
                <w:szCs w:val="20"/>
              </w:rPr>
              <w:t>COMPERA registry</w:t>
            </w:r>
          </w:p>
          <w:p w14:paraId="5376FCDE" w14:textId="77777777" w:rsidR="00A61769" w:rsidRPr="00A61769" w:rsidRDefault="00A61769" w:rsidP="00A61769">
            <w:pPr>
              <w:spacing w:before="40" w:after="40"/>
              <w:rPr>
                <w:rFonts w:ascii="Arial Narrow" w:hAnsi="Arial Narrow"/>
                <w:i/>
                <w:sz w:val="20"/>
                <w:szCs w:val="20"/>
              </w:rPr>
            </w:pPr>
            <w:proofErr w:type="spellStart"/>
            <w:r w:rsidRPr="00A61769">
              <w:rPr>
                <w:rFonts w:ascii="Arial Narrow" w:hAnsi="Arial Narrow"/>
                <w:i/>
                <w:sz w:val="20"/>
                <w:szCs w:val="20"/>
              </w:rPr>
              <w:t>Hoeper</w:t>
            </w:r>
            <w:proofErr w:type="spellEnd"/>
            <w:r w:rsidRPr="00A61769">
              <w:rPr>
                <w:rFonts w:ascii="Arial Narrow" w:hAnsi="Arial Narrow"/>
                <w:i/>
                <w:sz w:val="20"/>
                <w:szCs w:val="20"/>
              </w:rPr>
              <w:t xml:space="preserve"> et al (2022a)</w:t>
            </w:r>
          </w:p>
          <w:p w14:paraId="16CFB4FB" w14:textId="77777777" w:rsidR="00A61769" w:rsidRPr="00A61769" w:rsidRDefault="00A61769" w:rsidP="00A61769">
            <w:pPr>
              <w:spacing w:before="40" w:after="40"/>
              <w:rPr>
                <w:rFonts w:ascii="Arial Narrow" w:hAnsi="Arial Narrow"/>
                <w:i/>
                <w:sz w:val="20"/>
                <w:szCs w:val="20"/>
              </w:rPr>
            </w:pPr>
            <w:r w:rsidRPr="00A61769">
              <w:rPr>
                <w:rFonts w:ascii="Arial Narrow" w:hAnsi="Arial Narrow"/>
                <w:i/>
                <w:sz w:val="20"/>
                <w:szCs w:val="20"/>
              </w:rPr>
              <w:t>N=1,414</w:t>
            </w:r>
          </w:p>
        </w:tc>
        <w:tc>
          <w:tcPr>
            <w:tcW w:w="1611" w:type="dxa"/>
          </w:tcPr>
          <w:p w14:paraId="395EBCFA" w14:textId="77777777" w:rsidR="00A61769" w:rsidRPr="00A61769" w:rsidRDefault="00A61769" w:rsidP="00A61769">
            <w:pPr>
              <w:spacing w:before="40" w:after="40"/>
              <w:jc w:val="center"/>
              <w:rPr>
                <w:rFonts w:ascii="Arial Narrow" w:hAnsi="Arial Narrow"/>
                <w:i/>
                <w:sz w:val="20"/>
                <w:szCs w:val="20"/>
              </w:rPr>
            </w:pPr>
            <w:r w:rsidRPr="00A61769">
              <w:rPr>
                <w:rFonts w:ascii="Arial Narrow" w:hAnsi="Arial Narrow"/>
                <w:i/>
                <w:sz w:val="20"/>
                <w:szCs w:val="20"/>
              </w:rPr>
              <w:t>1-year: 98.5%</w:t>
            </w:r>
          </w:p>
          <w:p w14:paraId="02849AB7" w14:textId="77777777" w:rsidR="00A61769" w:rsidRPr="00A61769" w:rsidRDefault="00A61769" w:rsidP="00A61769">
            <w:pPr>
              <w:spacing w:before="40" w:after="40"/>
              <w:jc w:val="center"/>
              <w:rPr>
                <w:rFonts w:ascii="Arial Narrow" w:hAnsi="Arial Narrow"/>
                <w:i/>
                <w:sz w:val="20"/>
                <w:szCs w:val="20"/>
              </w:rPr>
            </w:pPr>
            <w:r w:rsidRPr="00A61769">
              <w:rPr>
                <w:rFonts w:ascii="Arial Narrow" w:hAnsi="Arial Narrow"/>
                <w:i/>
                <w:sz w:val="20"/>
                <w:szCs w:val="20"/>
              </w:rPr>
              <w:t>5-year: 82.8%</w:t>
            </w:r>
          </w:p>
        </w:tc>
        <w:tc>
          <w:tcPr>
            <w:tcW w:w="1825" w:type="dxa"/>
          </w:tcPr>
          <w:p w14:paraId="3430146E" w14:textId="77777777" w:rsidR="00A61769" w:rsidRPr="00A61769" w:rsidRDefault="00A61769" w:rsidP="00A61769">
            <w:pPr>
              <w:spacing w:before="40" w:after="40"/>
              <w:jc w:val="center"/>
              <w:rPr>
                <w:rFonts w:ascii="Arial Narrow" w:hAnsi="Arial Narrow"/>
                <w:i/>
                <w:sz w:val="20"/>
                <w:szCs w:val="20"/>
              </w:rPr>
            </w:pPr>
            <w:r w:rsidRPr="00A61769">
              <w:rPr>
                <w:rFonts w:ascii="Arial Narrow" w:hAnsi="Arial Narrow"/>
                <w:i/>
                <w:sz w:val="20"/>
                <w:szCs w:val="20"/>
              </w:rPr>
              <w:t>97.2%</w:t>
            </w:r>
          </w:p>
          <w:p w14:paraId="338C9169" w14:textId="77777777" w:rsidR="00A61769" w:rsidRPr="00A61769" w:rsidRDefault="00A61769" w:rsidP="00A61769">
            <w:pPr>
              <w:spacing w:before="40" w:after="40"/>
              <w:jc w:val="center"/>
              <w:rPr>
                <w:rFonts w:ascii="Arial Narrow" w:hAnsi="Arial Narrow"/>
                <w:i/>
                <w:sz w:val="20"/>
                <w:szCs w:val="20"/>
              </w:rPr>
            </w:pPr>
            <w:r w:rsidRPr="00A61769">
              <w:rPr>
                <w:rFonts w:ascii="Arial Narrow" w:hAnsi="Arial Narrow"/>
                <w:i/>
                <w:sz w:val="20"/>
                <w:szCs w:val="20"/>
              </w:rPr>
              <w:t>66.8%</w:t>
            </w:r>
          </w:p>
        </w:tc>
        <w:tc>
          <w:tcPr>
            <w:tcW w:w="1825" w:type="dxa"/>
          </w:tcPr>
          <w:p w14:paraId="32B344A2" w14:textId="77777777" w:rsidR="00A61769" w:rsidRPr="00A61769" w:rsidRDefault="00A61769" w:rsidP="00A61769">
            <w:pPr>
              <w:spacing w:before="40" w:after="40"/>
              <w:jc w:val="center"/>
              <w:rPr>
                <w:rFonts w:ascii="Arial Narrow" w:hAnsi="Arial Narrow"/>
                <w:i/>
                <w:sz w:val="20"/>
                <w:szCs w:val="20"/>
              </w:rPr>
            </w:pPr>
            <w:r w:rsidRPr="00A61769">
              <w:rPr>
                <w:rFonts w:ascii="Arial Narrow" w:hAnsi="Arial Narrow"/>
                <w:i/>
                <w:sz w:val="20"/>
                <w:szCs w:val="20"/>
              </w:rPr>
              <w:t>91.3%</w:t>
            </w:r>
          </w:p>
          <w:p w14:paraId="225CCC60" w14:textId="77777777" w:rsidR="00A61769" w:rsidRPr="00A61769" w:rsidRDefault="00A61769" w:rsidP="00A61769">
            <w:pPr>
              <w:spacing w:before="40" w:after="40"/>
              <w:jc w:val="center"/>
              <w:rPr>
                <w:rFonts w:ascii="Arial Narrow" w:hAnsi="Arial Narrow"/>
                <w:i/>
                <w:sz w:val="20"/>
                <w:szCs w:val="20"/>
              </w:rPr>
            </w:pPr>
            <w:r w:rsidRPr="00A61769">
              <w:rPr>
                <w:rFonts w:ascii="Arial Narrow" w:hAnsi="Arial Narrow"/>
                <w:i/>
                <w:sz w:val="20"/>
                <w:szCs w:val="20"/>
              </w:rPr>
              <w:t>46.5%</w:t>
            </w:r>
          </w:p>
        </w:tc>
        <w:tc>
          <w:tcPr>
            <w:tcW w:w="1826" w:type="dxa"/>
          </w:tcPr>
          <w:p w14:paraId="5D194A54" w14:textId="77777777" w:rsidR="00A61769" w:rsidRPr="00A61769" w:rsidRDefault="00A61769" w:rsidP="00A61769">
            <w:pPr>
              <w:spacing w:before="40" w:after="40"/>
              <w:jc w:val="center"/>
              <w:rPr>
                <w:rFonts w:ascii="Arial Narrow" w:hAnsi="Arial Narrow"/>
                <w:i/>
                <w:sz w:val="20"/>
                <w:szCs w:val="20"/>
              </w:rPr>
            </w:pPr>
            <w:r w:rsidRPr="00A61769">
              <w:rPr>
                <w:rFonts w:ascii="Arial Narrow" w:hAnsi="Arial Narrow"/>
                <w:i/>
                <w:sz w:val="20"/>
                <w:szCs w:val="20"/>
              </w:rPr>
              <w:t>78.0%</w:t>
            </w:r>
          </w:p>
          <w:p w14:paraId="2E454EFC" w14:textId="77777777" w:rsidR="00A61769" w:rsidRPr="00A61769" w:rsidRDefault="00A61769" w:rsidP="00A61769">
            <w:pPr>
              <w:spacing w:before="40" w:after="40"/>
              <w:jc w:val="center"/>
              <w:rPr>
                <w:rFonts w:ascii="Arial Narrow" w:hAnsi="Arial Narrow"/>
                <w:i/>
                <w:sz w:val="20"/>
                <w:szCs w:val="20"/>
              </w:rPr>
            </w:pPr>
            <w:r w:rsidRPr="00A61769">
              <w:rPr>
                <w:rFonts w:ascii="Arial Narrow" w:hAnsi="Arial Narrow"/>
                <w:i/>
                <w:sz w:val="20"/>
                <w:szCs w:val="20"/>
              </w:rPr>
              <w:t>33.3%</w:t>
            </w:r>
          </w:p>
        </w:tc>
      </w:tr>
      <w:tr w:rsidR="00A61769" w:rsidRPr="00A61769" w14:paraId="00C74370" w14:textId="77777777" w:rsidTr="003B21B4">
        <w:tc>
          <w:tcPr>
            <w:tcW w:w="1980" w:type="dxa"/>
          </w:tcPr>
          <w:p w14:paraId="2E93C83F" w14:textId="77777777" w:rsidR="00A61769" w:rsidRPr="00A61769" w:rsidRDefault="00A61769" w:rsidP="00A61769">
            <w:pPr>
              <w:spacing w:before="40" w:after="40"/>
              <w:rPr>
                <w:rFonts w:ascii="Arial Narrow" w:hAnsi="Arial Narrow"/>
                <w:i/>
                <w:sz w:val="20"/>
                <w:szCs w:val="20"/>
              </w:rPr>
            </w:pPr>
            <w:r w:rsidRPr="00A61769">
              <w:rPr>
                <w:rFonts w:ascii="Arial Narrow" w:hAnsi="Arial Narrow"/>
                <w:i/>
                <w:sz w:val="20"/>
                <w:szCs w:val="20"/>
              </w:rPr>
              <w:t>FRENCH registry</w:t>
            </w:r>
          </w:p>
          <w:p w14:paraId="7675D640" w14:textId="77777777" w:rsidR="00A61769" w:rsidRPr="00A61769" w:rsidRDefault="00A61769" w:rsidP="00A61769">
            <w:pPr>
              <w:spacing w:before="40" w:after="40"/>
              <w:rPr>
                <w:rFonts w:ascii="Arial Narrow" w:hAnsi="Arial Narrow"/>
                <w:i/>
                <w:sz w:val="20"/>
                <w:szCs w:val="20"/>
              </w:rPr>
            </w:pPr>
            <w:proofErr w:type="spellStart"/>
            <w:r w:rsidRPr="00A61769">
              <w:rPr>
                <w:rFonts w:ascii="Arial Narrow" w:hAnsi="Arial Narrow"/>
                <w:i/>
                <w:sz w:val="20"/>
                <w:szCs w:val="20"/>
              </w:rPr>
              <w:t>Boucly</w:t>
            </w:r>
            <w:proofErr w:type="spellEnd"/>
            <w:r w:rsidRPr="00A61769">
              <w:rPr>
                <w:rFonts w:ascii="Arial Narrow" w:hAnsi="Arial Narrow"/>
                <w:i/>
                <w:sz w:val="20"/>
                <w:szCs w:val="20"/>
              </w:rPr>
              <w:t xml:space="preserve"> et al (2022)</w:t>
            </w:r>
          </w:p>
          <w:p w14:paraId="21A94C63" w14:textId="77777777" w:rsidR="00A61769" w:rsidRPr="00A61769" w:rsidRDefault="00A61769" w:rsidP="00A61769">
            <w:pPr>
              <w:spacing w:before="40" w:after="40"/>
              <w:rPr>
                <w:rFonts w:ascii="Arial Narrow" w:hAnsi="Arial Narrow"/>
                <w:i/>
                <w:sz w:val="20"/>
                <w:szCs w:val="20"/>
              </w:rPr>
            </w:pPr>
            <w:r w:rsidRPr="00A61769">
              <w:rPr>
                <w:rFonts w:ascii="Arial Narrow" w:hAnsi="Arial Narrow"/>
                <w:i/>
                <w:sz w:val="20"/>
                <w:szCs w:val="20"/>
              </w:rPr>
              <w:t>N=2,082</w:t>
            </w:r>
          </w:p>
        </w:tc>
        <w:tc>
          <w:tcPr>
            <w:tcW w:w="1611" w:type="dxa"/>
          </w:tcPr>
          <w:p w14:paraId="76E4449C" w14:textId="77777777" w:rsidR="00A61769" w:rsidRPr="00A61769" w:rsidRDefault="00A61769" w:rsidP="00A61769">
            <w:pPr>
              <w:spacing w:before="40" w:after="40"/>
              <w:jc w:val="center"/>
              <w:rPr>
                <w:rFonts w:ascii="Arial Narrow" w:hAnsi="Arial Narrow"/>
                <w:i/>
                <w:sz w:val="20"/>
                <w:szCs w:val="20"/>
              </w:rPr>
            </w:pPr>
            <w:r w:rsidRPr="00A61769">
              <w:rPr>
                <w:rFonts w:ascii="Arial Narrow" w:hAnsi="Arial Narrow"/>
                <w:i/>
                <w:sz w:val="20"/>
                <w:szCs w:val="20"/>
              </w:rPr>
              <w:t>1-year: 97%</w:t>
            </w:r>
          </w:p>
          <w:p w14:paraId="2E28FBED" w14:textId="77777777" w:rsidR="00A61769" w:rsidRPr="00A61769" w:rsidRDefault="00A61769" w:rsidP="00A61769">
            <w:pPr>
              <w:spacing w:before="40" w:after="40"/>
              <w:jc w:val="center"/>
              <w:rPr>
                <w:rFonts w:ascii="Arial Narrow" w:hAnsi="Arial Narrow"/>
                <w:i/>
                <w:sz w:val="20"/>
                <w:szCs w:val="20"/>
              </w:rPr>
            </w:pPr>
            <w:r w:rsidRPr="00A61769">
              <w:rPr>
                <w:rFonts w:ascii="Arial Narrow" w:hAnsi="Arial Narrow"/>
                <w:i/>
                <w:sz w:val="20"/>
                <w:szCs w:val="20"/>
              </w:rPr>
              <w:t>5-year: 81%</w:t>
            </w:r>
          </w:p>
        </w:tc>
        <w:tc>
          <w:tcPr>
            <w:tcW w:w="1825" w:type="dxa"/>
          </w:tcPr>
          <w:p w14:paraId="75557242" w14:textId="77777777" w:rsidR="00A61769" w:rsidRPr="00A61769" w:rsidRDefault="00A61769" w:rsidP="00A61769">
            <w:pPr>
              <w:spacing w:before="40" w:after="40"/>
              <w:jc w:val="center"/>
              <w:rPr>
                <w:rFonts w:ascii="Arial Narrow" w:hAnsi="Arial Narrow"/>
                <w:i/>
                <w:sz w:val="20"/>
                <w:szCs w:val="20"/>
              </w:rPr>
            </w:pPr>
            <w:r w:rsidRPr="00A61769">
              <w:rPr>
                <w:rFonts w:ascii="Arial Narrow" w:hAnsi="Arial Narrow"/>
                <w:i/>
                <w:sz w:val="20"/>
                <w:szCs w:val="20"/>
              </w:rPr>
              <w:t>94%</w:t>
            </w:r>
          </w:p>
          <w:p w14:paraId="6A0D52E6" w14:textId="77777777" w:rsidR="00A61769" w:rsidRPr="00A61769" w:rsidRDefault="00A61769" w:rsidP="00A61769">
            <w:pPr>
              <w:spacing w:before="40" w:after="40"/>
              <w:jc w:val="center"/>
              <w:rPr>
                <w:rFonts w:ascii="Arial Narrow" w:hAnsi="Arial Narrow"/>
                <w:i/>
                <w:sz w:val="20"/>
                <w:szCs w:val="20"/>
              </w:rPr>
            </w:pPr>
            <w:r w:rsidRPr="00A61769">
              <w:rPr>
                <w:rFonts w:ascii="Arial Narrow" w:hAnsi="Arial Narrow"/>
                <w:i/>
                <w:sz w:val="20"/>
                <w:szCs w:val="20"/>
              </w:rPr>
              <w:t>57%</w:t>
            </w:r>
          </w:p>
        </w:tc>
        <w:tc>
          <w:tcPr>
            <w:tcW w:w="1825" w:type="dxa"/>
          </w:tcPr>
          <w:p w14:paraId="1C322463" w14:textId="77777777" w:rsidR="00A61769" w:rsidRPr="00A61769" w:rsidRDefault="00A61769" w:rsidP="00A61769">
            <w:pPr>
              <w:spacing w:before="40" w:after="40"/>
              <w:jc w:val="center"/>
              <w:rPr>
                <w:rFonts w:ascii="Arial Narrow" w:hAnsi="Arial Narrow"/>
                <w:i/>
                <w:sz w:val="20"/>
                <w:szCs w:val="20"/>
              </w:rPr>
            </w:pPr>
            <w:r w:rsidRPr="00A61769">
              <w:rPr>
                <w:rFonts w:ascii="Arial Narrow" w:hAnsi="Arial Narrow"/>
                <w:i/>
                <w:sz w:val="20"/>
                <w:szCs w:val="20"/>
              </w:rPr>
              <w:t>81%</w:t>
            </w:r>
          </w:p>
          <w:p w14:paraId="4AAAB3D8" w14:textId="77777777" w:rsidR="00A61769" w:rsidRPr="00A61769" w:rsidRDefault="00A61769" w:rsidP="00A61769">
            <w:pPr>
              <w:spacing w:before="40" w:after="40"/>
              <w:jc w:val="center"/>
              <w:rPr>
                <w:rFonts w:ascii="Arial Narrow" w:hAnsi="Arial Narrow"/>
                <w:i/>
                <w:sz w:val="20"/>
                <w:szCs w:val="20"/>
              </w:rPr>
            </w:pPr>
            <w:r w:rsidRPr="00A61769">
              <w:rPr>
                <w:rFonts w:ascii="Arial Narrow" w:hAnsi="Arial Narrow"/>
                <w:i/>
                <w:sz w:val="20"/>
                <w:szCs w:val="20"/>
              </w:rPr>
              <w:t>31%</w:t>
            </w:r>
          </w:p>
        </w:tc>
        <w:tc>
          <w:tcPr>
            <w:tcW w:w="1826" w:type="dxa"/>
          </w:tcPr>
          <w:p w14:paraId="11C2430F" w14:textId="77777777" w:rsidR="00A61769" w:rsidRPr="00A61769" w:rsidRDefault="00A61769" w:rsidP="00A61769">
            <w:pPr>
              <w:spacing w:before="40" w:after="40"/>
              <w:jc w:val="center"/>
              <w:rPr>
                <w:rFonts w:ascii="Arial Narrow" w:hAnsi="Arial Narrow"/>
                <w:i/>
                <w:sz w:val="20"/>
                <w:szCs w:val="20"/>
              </w:rPr>
            </w:pPr>
            <w:r w:rsidRPr="00A61769">
              <w:rPr>
                <w:rFonts w:ascii="Arial Narrow" w:hAnsi="Arial Narrow"/>
                <w:i/>
                <w:sz w:val="20"/>
                <w:szCs w:val="20"/>
              </w:rPr>
              <w:t>65%</w:t>
            </w:r>
          </w:p>
          <w:p w14:paraId="649344E7" w14:textId="77777777" w:rsidR="00A61769" w:rsidRPr="00A61769" w:rsidRDefault="00A61769" w:rsidP="00A61769">
            <w:pPr>
              <w:spacing w:before="40" w:after="40"/>
              <w:jc w:val="center"/>
              <w:rPr>
                <w:rFonts w:ascii="Arial Narrow" w:hAnsi="Arial Narrow"/>
                <w:i/>
                <w:sz w:val="20"/>
                <w:szCs w:val="20"/>
              </w:rPr>
            </w:pPr>
            <w:r w:rsidRPr="00A61769">
              <w:rPr>
                <w:rFonts w:ascii="Arial Narrow" w:hAnsi="Arial Narrow"/>
                <w:i/>
                <w:sz w:val="20"/>
                <w:szCs w:val="20"/>
              </w:rPr>
              <w:t>13%</w:t>
            </w:r>
          </w:p>
        </w:tc>
      </w:tr>
    </w:tbl>
    <w:p w14:paraId="6255C06C" w14:textId="2DB55DA8" w:rsidR="00653F2B" w:rsidRDefault="006354C5" w:rsidP="00653F2B">
      <w:pPr>
        <w:pStyle w:val="TableFooter"/>
      </w:pPr>
      <w:r w:rsidRPr="006354C5">
        <w:t xml:space="preserve">Source: </w:t>
      </w:r>
      <w:r>
        <w:t xml:space="preserve">Commentary </w:t>
      </w:r>
      <w:r w:rsidRPr="006354C5">
        <w:t xml:space="preserve">Table </w:t>
      </w:r>
      <w:r>
        <w:t>3</w:t>
      </w:r>
      <w:r w:rsidRPr="006354C5">
        <w:t xml:space="preserve">, </w:t>
      </w:r>
      <w:proofErr w:type="spellStart"/>
      <w:r w:rsidRPr="006354C5">
        <w:t>pg</w:t>
      </w:r>
      <w:proofErr w:type="spellEnd"/>
      <w:r w:rsidRPr="006354C5">
        <w:t xml:space="preserve"> 5</w:t>
      </w:r>
      <w:r w:rsidR="002F35B4">
        <w:t>3</w:t>
      </w:r>
      <w:r w:rsidRPr="006354C5">
        <w:t xml:space="preserve"> of </w:t>
      </w:r>
      <w:r>
        <w:t xml:space="preserve">Commentary on </w:t>
      </w:r>
      <w:r w:rsidRPr="006354C5">
        <w:t>MSAC 1689.1 ADAR</w:t>
      </w:r>
      <w:r w:rsidR="00653F2B">
        <w:br w:type="page"/>
      </w:r>
    </w:p>
    <w:p w14:paraId="0C2CD7A6" w14:textId="20B7E90D" w:rsidR="00A61769" w:rsidRPr="00A61769" w:rsidRDefault="00AA0686" w:rsidP="00AA0686">
      <w:pPr>
        <w:pStyle w:val="TableHeading0"/>
      </w:pPr>
      <w:bookmarkStart w:id="43" w:name="_Ref131155037"/>
      <w:r>
        <w:lastRenderedPageBreak/>
        <w:t xml:space="preserve">Table </w:t>
      </w:r>
      <w:r w:rsidR="00DD62DD">
        <w:fldChar w:fldCharType="begin"/>
      </w:r>
      <w:r w:rsidR="00DD62DD">
        <w:instrText xml:space="preserve"> SEQ Table \* ARABIC </w:instrText>
      </w:r>
      <w:r w:rsidR="00DD62DD">
        <w:fldChar w:fldCharType="separate"/>
      </w:r>
      <w:r>
        <w:rPr>
          <w:noProof/>
        </w:rPr>
        <w:t>9</w:t>
      </w:r>
      <w:r w:rsidR="00DD62DD">
        <w:rPr>
          <w:noProof/>
        </w:rPr>
        <w:fldChar w:fldCharType="end"/>
      </w:r>
      <w:bookmarkEnd w:id="43"/>
      <w:r w:rsidR="00A61769" w:rsidRPr="00A61769">
        <w:tab/>
        <w:t>Cox proportional hazards regression ratios after first reassessment.</w:t>
      </w:r>
    </w:p>
    <w:tbl>
      <w:tblPr>
        <w:tblStyle w:val="TableGrid"/>
        <w:tblW w:w="9067" w:type="dxa"/>
        <w:tblLook w:val="04A0" w:firstRow="1" w:lastRow="0" w:firstColumn="1" w:lastColumn="0" w:noHBand="0" w:noVBand="1"/>
      </w:tblPr>
      <w:tblGrid>
        <w:gridCol w:w="1980"/>
        <w:gridCol w:w="1417"/>
        <w:gridCol w:w="1843"/>
        <w:gridCol w:w="1843"/>
        <w:gridCol w:w="1984"/>
      </w:tblGrid>
      <w:tr w:rsidR="00D84C54" w:rsidRPr="00A61769" w14:paraId="1541240C" w14:textId="77777777" w:rsidTr="00D84C54">
        <w:tc>
          <w:tcPr>
            <w:tcW w:w="1980" w:type="dxa"/>
          </w:tcPr>
          <w:p w14:paraId="2F59B214" w14:textId="77777777" w:rsidR="00D84C54" w:rsidRPr="00A61769" w:rsidRDefault="00D84C54" w:rsidP="00D84C54">
            <w:pPr>
              <w:spacing w:before="40" w:after="40"/>
              <w:rPr>
                <w:rFonts w:ascii="Arial Narrow" w:hAnsi="Arial Narrow"/>
                <w:i/>
                <w:sz w:val="20"/>
                <w:szCs w:val="20"/>
              </w:rPr>
            </w:pPr>
          </w:p>
        </w:tc>
        <w:tc>
          <w:tcPr>
            <w:tcW w:w="1417" w:type="dxa"/>
            <w:tcBorders>
              <w:bottom w:val="single" w:sz="4" w:space="0" w:color="auto"/>
            </w:tcBorders>
          </w:tcPr>
          <w:p w14:paraId="1F117AA4" w14:textId="77777777" w:rsidR="00D84C54" w:rsidRPr="00A61769" w:rsidRDefault="00D84C54" w:rsidP="00D84C54">
            <w:pPr>
              <w:spacing w:before="40" w:after="40"/>
              <w:jc w:val="center"/>
              <w:rPr>
                <w:rFonts w:ascii="Arial Narrow" w:hAnsi="Arial Narrow"/>
                <w:i/>
                <w:sz w:val="20"/>
                <w:szCs w:val="20"/>
              </w:rPr>
            </w:pPr>
            <w:r w:rsidRPr="00A61769">
              <w:rPr>
                <w:rFonts w:ascii="Arial Narrow" w:hAnsi="Arial Narrow"/>
                <w:i/>
                <w:sz w:val="20"/>
                <w:szCs w:val="20"/>
              </w:rPr>
              <w:t>Low</w:t>
            </w:r>
          </w:p>
        </w:tc>
        <w:tc>
          <w:tcPr>
            <w:tcW w:w="1843" w:type="dxa"/>
          </w:tcPr>
          <w:p w14:paraId="7C9AA317" w14:textId="3035E7C9" w:rsidR="00D84C54" w:rsidRPr="00A61769" w:rsidRDefault="00D84C54" w:rsidP="00D84C54">
            <w:pPr>
              <w:spacing w:before="40" w:after="40"/>
              <w:jc w:val="center"/>
              <w:rPr>
                <w:rFonts w:ascii="Arial Narrow" w:hAnsi="Arial Narrow"/>
                <w:i/>
                <w:sz w:val="20"/>
                <w:szCs w:val="20"/>
              </w:rPr>
            </w:pPr>
            <w:r w:rsidRPr="00A61769">
              <w:rPr>
                <w:rFonts w:ascii="Arial Narrow" w:hAnsi="Arial Narrow"/>
                <w:i/>
                <w:sz w:val="20"/>
                <w:szCs w:val="20"/>
              </w:rPr>
              <w:t>Int</w:t>
            </w:r>
            <w:r>
              <w:rPr>
                <w:rFonts w:ascii="Arial Narrow" w:hAnsi="Arial Narrow"/>
                <w:i/>
                <w:sz w:val="20"/>
                <w:szCs w:val="20"/>
              </w:rPr>
              <w:t>ermediate</w:t>
            </w:r>
            <w:r w:rsidRPr="00A61769">
              <w:rPr>
                <w:rFonts w:ascii="Arial Narrow" w:hAnsi="Arial Narrow"/>
                <w:i/>
                <w:sz w:val="20"/>
                <w:szCs w:val="20"/>
              </w:rPr>
              <w:t>-</w:t>
            </w:r>
            <w:r>
              <w:rPr>
                <w:rFonts w:ascii="Arial Narrow" w:hAnsi="Arial Narrow"/>
                <w:i/>
                <w:sz w:val="20"/>
                <w:szCs w:val="20"/>
              </w:rPr>
              <w:t>low</w:t>
            </w:r>
          </w:p>
        </w:tc>
        <w:tc>
          <w:tcPr>
            <w:tcW w:w="1843" w:type="dxa"/>
          </w:tcPr>
          <w:p w14:paraId="536FAE6D" w14:textId="564CA510" w:rsidR="00D84C54" w:rsidRPr="00A61769" w:rsidRDefault="00D84C54" w:rsidP="00D84C54">
            <w:pPr>
              <w:spacing w:before="40" w:after="40"/>
              <w:jc w:val="center"/>
              <w:rPr>
                <w:rFonts w:ascii="Arial Narrow" w:hAnsi="Arial Narrow"/>
                <w:i/>
                <w:sz w:val="20"/>
                <w:szCs w:val="20"/>
              </w:rPr>
            </w:pPr>
            <w:r w:rsidRPr="00A61769">
              <w:rPr>
                <w:rFonts w:ascii="Arial Narrow" w:hAnsi="Arial Narrow"/>
                <w:i/>
                <w:sz w:val="20"/>
                <w:szCs w:val="20"/>
              </w:rPr>
              <w:t>Int</w:t>
            </w:r>
            <w:r>
              <w:rPr>
                <w:rFonts w:ascii="Arial Narrow" w:hAnsi="Arial Narrow"/>
                <w:i/>
                <w:sz w:val="20"/>
                <w:szCs w:val="20"/>
              </w:rPr>
              <w:t>ermediate</w:t>
            </w:r>
            <w:r w:rsidRPr="00A61769">
              <w:rPr>
                <w:rFonts w:ascii="Arial Narrow" w:hAnsi="Arial Narrow"/>
                <w:i/>
                <w:sz w:val="20"/>
                <w:szCs w:val="20"/>
              </w:rPr>
              <w:t>-</w:t>
            </w:r>
            <w:r>
              <w:rPr>
                <w:rFonts w:ascii="Arial Narrow" w:hAnsi="Arial Narrow"/>
                <w:i/>
                <w:sz w:val="20"/>
                <w:szCs w:val="20"/>
              </w:rPr>
              <w:t>high</w:t>
            </w:r>
          </w:p>
        </w:tc>
        <w:tc>
          <w:tcPr>
            <w:tcW w:w="1984" w:type="dxa"/>
            <w:tcBorders>
              <w:bottom w:val="single" w:sz="4" w:space="0" w:color="auto"/>
            </w:tcBorders>
          </w:tcPr>
          <w:p w14:paraId="7E837C36" w14:textId="77777777" w:rsidR="00D84C54" w:rsidRPr="00A61769" w:rsidRDefault="00D84C54" w:rsidP="00D84C54">
            <w:pPr>
              <w:spacing w:before="40" w:after="40"/>
              <w:jc w:val="center"/>
              <w:rPr>
                <w:rFonts w:ascii="Arial Narrow" w:hAnsi="Arial Narrow"/>
                <w:i/>
                <w:sz w:val="20"/>
                <w:szCs w:val="20"/>
              </w:rPr>
            </w:pPr>
            <w:r w:rsidRPr="00A61769">
              <w:rPr>
                <w:rFonts w:ascii="Arial Narrow" w:hAnsi="Arial Narrow"/>
                <w:i/>
                <w:sz w:val="20"/>
                <w:szCs w:val="20"/>
              </w:rPr>
              <w:t>High</w:t>
            </w:r>
          </w:p>
        </w:tc>
      </w:tr>
      <w:tr w:rsidR="00A61769" w:rsidRPr="00A61769" w14:paraId="14400C8D" w14:textId="77777777" w:rsidTr="00D84C54">
        <w:trPr>
          <w:trHeight w:val="319"/>
        </w:trPr>
        <w:tc>
          <w:tcPr>
            <w:tcW w:w="1980" w:type="dxa"/>
            <w:vMerge w:val="restart"/>
            <w:tcBorders>
              <w:right w:val="single" w:sz="4" w:space="0" w:color="auto"/>
            </w:tcBorders>
          </w:tcPr>
          <w:p w14:paraId="7F10A0B8" w14:textId="77777777" w:rsidR="00A61769" w:rsidRPr="00A61769" w:rsidRDefault="00A61769" w:rsidP="00A61769">
            <w:pPr>
              <w:spacing w:before="40" w:after="40"/>
              <w:rPr>
                <w:rFonts w:ascii="Arial Narrow" w:hAnsi="Arial Narrow"/>
                <w:i/>
                <w:sz w:val="20"/>
                <w:szCs w:val="20"/>
              </w:rPr>
            </w:pPr>
            <w:r w:rsidRPr="00A61769">
              <w:rPr>
                <w:rFonts w:ascii="Arial Narrow" w:hAnsi="Arial Narrow"/>
                <w:i/>
                <w:sz w:val="20"/>
                <w:szCs w:val="20"/>
              </w:rPr>
              <w:t>FRENCH registry</w:t>
            </w:r>
          </w:p>
          <w:p w14:paraId="3BF2B42C" w14:textId="77777777" w:rsidR="00A61769" w:rsidRPr="00A61769" w:rsidRDefault="00A61769" w:rsidP="00A61769">
            <w:pPr>
              <w:spacing w:before="40" w:after="40"/>
              <w:rPr>
                <w:rFonts w:ascii="Arial Narrow" w:hAnsi="Arial Narrow"/>
                <w:i/>
                <w:sz w:val="20"/>
                <w:szCs w:val="20"/>
              </w:rPr>
            </w:pPr>
            <w:proofErr w:type="spellStart"/>
            <w:r w:rsidRPr="00A61769">
              <w:rPr>
                <w:rFonts w:ascii="Arial Narrow" w:hAnsi="Arial Narrow"/>
                <w:i/>
                <w:sz w:val="20"/>
                <w:szCs w:val="20"/>
              </w:rPr>
              <w:t>Boucly</w:t>
            </w:r>
            <w:proofErr w:type="spellEnd"/>
            <w:r w:rsidRPr="00A61769">
              <w:rPr>
                <w:rFonts w:ascii="Arial Narrow" w:hAnsi="Arial Narrow"/>
                <w:i/>
                <w:sz w:val="20"/>
                <w:szCs w:val="20"/>
              </w:rPr>
              <w:t xml:space="preserve"> et al (2022)</w:t>
            </w:r>
          </w:p>
          <w:p w14:paraId="68F6C33D" w14:textId="77777777" w:rsidR="00A61769" w:rsidRPr="00A61769" w:rsidRDefault="00A61769" w:rsidP="00A61769">
            <w:pPr>
              <w:spacing w:before="40" w:after="40"/>
              <w:rPr>
                <w:rFonts w:ascii="Arial Narrow" w:hAnsi="Arial Narrow"/>
                <w:i/>
                <w:sz w:val="20"/>
                <w:szCs w:val="20"/>
              </w:rPr>
            </w:pPr>
            <w:r w:rsidRPr="00A61769">
              <w:rPr>
                <w:rFonts w:ascii="Arial Narrow" w:hAnsi="Arial Narrow"/>
                <w:i/>
                <w:sz w:val="20"/>
                <w:szCs w:val="20"/>
              </w:rPr>
              <w:t>N=2,082</w:t>
            </w:r>
          </w:p>
        </w:tc>
        <w:tc>
          <w:tcPr>
            <w:tcW w:w="1417" w:type="dxa"/>
            <w:tcBorders>
              <w:top w:val="single" w:sz="4" w:space="0" w:color="auto"/>
              <w:left w:val="single" w:sz="4" w:space="0" w:color="auto"/>
              <w:bottom w:val="nil"/>
              <w:right w:val="single" w:sz="4" w:space="0" w:color="auto"/>
            </w:tcBorders>
          </w:tcPr>
          <w:p w14:paraId="5DACF165" w14:textId="32227D89" w:rsidR="00A61769" w:rsidRPr="00A61769" w:rsidRDefault="00A61769" w:rsidP="00A61769">
            <w:pPr>
              <w:spacing w:before="40" w:after="40"/>
              <w:jc w:val="center"/>
              <w:rPr>
                <w:rFonts w:ascii="Arial Narrow" w:hAnsi="Arial Narrow"/>
                <w:i/>
                <w:sz w:val="20"/>
                <w:szCs w:val="20"/>
              </w:rPr>
            </w:pPr>
            <w:r w:rsidRPr="00A61769">
              <w:rPr>
                <w:rFonts w:ascii="Arial Narrow" w:hAnsi="Arial Narrow"/>
                <w:i/>
                <w:sz w:val="20"/>
                <w:szCs w:val="20"/>
              </w:rPr>
              <w:t xml:space="preserve"> (vs Low)</w:t>
            </w:r>
          </w:p>
        </w:tc>
        <w:tc>
          <w:tcPr>
            <w:tcW w:w="1843" w:type="dxa"/>
            <w:tcBorders>
              <w:top w:val="single" w:sz="4" w:space="0" w:color="auto"/>
              <w:left w:val="single" w:sz="4" w:space="0" w:color="auto"/>
              <w:bottom w:val="nil"/>
              <w:right w:val="single" w:sz="4" w:space="0" w:color="auto"/>
            </w:tcBorders>
          </w:tcPr>
          <w:p w14:paraId="4EB5A1A8" w14:textId="77777777" w:rsidR="00A61769" w:rsidRPr="00A61769" w:rsidRDefault="00A61769" w:rsidP="00A61769">
            <w:pPr>
              <w:spacing w:before="40" w:after="40"/>
              <w:jc w:val="center"/>
              <w:rPr>
                <w:rFonts w:ascii="Arial Narrow" w:hAnsi="Arial Narrow"/>
                <w:i/>
                <w:sz w:val="20"/>
                <w:szCs w:val="20"/>
              </w:rPr>
            </w:pPr>
          </w:p>
        </w:tc>
        <w:tc>
          <w:tcPr>
            <w:tcW w:w="1843" w:type="dxa"/>
            <w:tcBorders>
              <w:top w:val="single" w:sz="4" w:space="0" w:color="auto"/>
              <w:left w:val="single" w:sz="4" w:space="0" w:color="auto"/>
              <w:bottom w:val="nil"/>
              <w:right w:val="single" w:sz="4" w:space="0" w:color="auto"/>
            </w:tcBorders>
          </w:tcPr>
          <w:p w14:paraId="29078E70" w14:textId="77777777" w:rsidR="00A61769" w:rsidRPr="00A61769" w:rsidRDefault="00A61769" w:rsidP="00A61769">
            <w:pPr>
              <w:spacing w:before="40" w:after="40"/>
              <w:jc w:val="center"/>
              <w:rPr>
                <w:rFonts w:ascii="Arial Narrow" w:hAnsi="Arial Narrow"/>
                <w:i/>
                <w:sz w:val="20"/>
                <w:szCs w:val="20"/>
              </w:rPr>
            </w:pPr>
          </w:p>
        </w:tc>
        <w:tc>
          <w:tcPr>
            <w:tcW w:w="1984" w:type="dxa"/>
            <w:tcBorders>
              <w:top w:val="single" w:sz="4" w:space="0" w:color="auto"/>
              <w:left w:val="single" w:sz="4" w:space="0" w:color="auto"/>
              <w:bottom w:val="nil"/>
              <w:right w:val="single" w:sz="4" w:space="0" w:color="auto"/>
            </w:tcBorders>
          </w:tcPr>
          <w:p w14:paraId="21F02173" w14:textId="77777777" w:rsidR="00A61769" w:rsidRPr="00A61769" w:rsidRDefault="00A61769" w:rsidP="00A61769">
            <w:pPr>
              <w:spacing w:before="40" w:after="40"/>
              <w:jc w:val="center"/>
              <w:rPr>
                <w:rFonts w:ascii="Arial Narrow" w:hAnsi="Arial Narrow"/>
                <w:i/>
                <w:sz w:val="20"/>
                <w:szCs w:val="20"/>
              </w:rPr>
            </w:pPr>
          </w:p>
        </w:tc>
      </w:tr>
      <w:tr w:rsidR="00A61769" w:rsidRPr="00A61769" w14:paraId="07620E03" w14:textId="77777777" w:rsidTr="00D84C54">
        <w:trPr>
          <w:trHeight w:val="281"/>
        </w:trPr>
        <w:tc>
          <w:tcPr>
            <w:tcW w:w="1980" w:type="dxa"/>
            <w:vMerge/>
            <w:tcBorders>
              <w:right w:val="single" w:sz="4" w:space="0" w:color="auto"/>
            </w:tcBorders>
          </w:tcPr>
          <w:p w14:paraId="782E338B" w14:textId="77777777" w:rsidR="00A61769" w:rsidRPr="00A61769" w:rsidRDefault="00A61769" w:rsidP="00A61769">
            <w:pPr>
              <w:spacing w:before="40" w:after="40"/>
              <w:rPr>
                <w:rFonts w:ascii="Arial Narrow" w:hAnsi="Arial Narrow"/>
                <w:i/>
                <w:sz w:val="20"/>
                <w:szCs w:val="20"/>
              </w:rPr>
            </w:pPr>
          </w:p>
        </w:tc>
        <w:tc>
          <w:tcPr>
            <w:tcW w:w="1417" w:type="dxa"/>
            <w:tcBorders>
              <w:top w:val="nil"/>
              <w:left w:val="single" w:sz="4" w:space="0" w:color="auto"/>
              <w:bottom w:val="nil"/>
              <w:right w:val="single" w:sz="4" w:space="0" w:color="auto"/>
            </w:tcBorders>
          </w:tcPr>
          <w:p w14:paraId="1F7C4FCA" w14:textId="77777777" w:rsidR="00A61769" w:rsidRPr="00A61769" w:rsidRDefault="00A61769" w:rsidP="00A61769">
            <w:pPr>
              <w:spacing w:before="40" w:after="40"/>
              <w:jc w:val="center"/>
              <w:rPr>
                <w:rFonts w:ascii="Arial Narrow" w:hAnsi="Arial Narrow"/>
                <w:i/>
                <w:sz w:val="20"/>
                <w:szCs w:val="20"/>
              </w:rPr>
            </w:pPr>
            <w:r w:rsidRPr="00A61769">
              <w:rPr>
                <w:rFonts w:ascii="Arial Narrow" w:hAnsi="Arial Narrow"/>
                <w:i/>
                <w:sz w:val="20"/>
                <w:szCs w:val="20"/>
              </w:rPr>
              <w:t>3-stratum</w:t>
            </w:r>
          </w:p>
        </w:tc>
        <w:tc>
          <w:tcPr>
            <w:tcW w:w="3686" w:type="dxa"/>
            <w:gridSpan w:val="2"/>
            <w:tcBorders>
              <w:top w:val="nil"/>
              <w:left w:val="single" w:sz="4" w:space="0" w:color="auto"/>
              <w:bottom w:val="nil"/>
              <w:right w:val="single" w:sz="4" w:space="0" w:color="auto"/>
            </w:tcBorders>
          </w:tcPr>
          <w:p w14:paraId="7F0DA842" w14:textId="4806A842" w:rsidR="00A61769" w:rsidRPr="00A61769" w:rsidRDefault="00D84C54" w:rsidP="00A61769">
            <w:pPr>
              <w:spacing w:before="40" w:after="40"/>
              <w:jc w:val="center"/>
              <w:rPr>
                <w:rFonts w:ascii="Arial Narrow" w:hAnsi="Arial Narrow"/>
                <w:i/>
                <w:sz w:val="20"/>
                <w:szCs w:val="20"/>
              </w:rPr>
            </w:pPr>
            <w:r>
              <w:rPr>
                <w:rFonts w:ascii="Arial Narrow" w:hAnsi="Arial Narrow"/>
                <w:i/>
                <w:sz w:val="20"/>
                <w:szCs w:val="20"/>
              </w:rPr>
              <w:t>HR=</w:t>
            </w:r>
            <w:r w:rsidR="00A61769" w:rsidRPr="00A61769">
              <w:rPr>
                <w:rFonts w:ascii="Arial Narrow" w:hAnsi="Arial Narrow"/>
                <w:i/>
                <w:sz w:val="20"/>
                <w:szCs w:val="20"/>
              </w:rPr>
              <w:t>3.39 (2.80, 4.10)</w:t>
            </w:r>
          </w:p>
        </w:tc>
        <w:tc>
          <w:tcPr>
            <w:tcW w:w="1984" w:type="dxa"/>
            <w:tcBorders>
              <w:top w:val="nil"/>
              <w:left w:val="single" w:sz="4" w:space="0" w:color="auto"/>
              <w:bottom w:val="nil"/>
              <w:right w:val="single" w:sz="4" w:space="0" w:color="auto"/>
            </w:tcBorders>
          </w:tcPr>
          <w:p w14:paraId="49FCEECD" w14:textId="71DF214F" w:rsidR="00A61769" w:rsidRPr="00A61769" w:rsidRDefault="00D84C54" w:rsidP="00A61769">
            <w:pPr>
              <w:spacing w:before="40" w:after="40"/>
              <w:jc w:val="center"/>
              <w:rPr>
                <w:rFonts w:ascii="Arial Narrow" w:hAnsi="Arial Narrow"/>
                <w:i/>
                <w:sz w:val="20"/>
                <w:szCs w:val="20"/>
              </w:rPr>
            </w:pPr>
            <w:r>
              <w:rPr>
                <w:rFonts w:ascii="Arial Narrow" w:hAnsi="Arial Narrow"/>
                <w:i/>
                <w:sz w:val="20"/>
                <w:szCs w:val="20"/>
              </w:rPr>
              <w:t>HR=</w:t>
            </w:r>
            <w:r w:rsidR="00A61769" w:rsidRPr="00A61769">
              <w:rPr>
                <w:rFonts w:ascii="Arial Narrow" w:hAnsi="Arial Narrow"/>
                <w:i/>
                <w:sz w:val="20"/>
                <w:szCs w:val="20"/>
              </w:rPr>
              <w:t>8.95 (6.83, 11.73)</w:t>
            </w:r>
          </w:p>
        </w:tc>
      </w:tr>
      <w:tr w:rsidR="00A61769" w:rsidRPr="00A61769" w14:paraId="2A525C18" w14:textId="77777777" w:rsidTr="00D84C54">
        <w:trPr>
          <w:trHeight w:val="243"/>
        </w:trPr>
        <w:tc>
          <w:tcPr>
            <w:tcW w:w="1980" w:type="dxa"/>
            <w:vMerge/>
            <w:tcBorders>
              <w:right w:val="single" w:sz="4" w:space="0" w:color="auto"/>
            </w:tcBorders>
          </w:tcPr>
          <w:p w14:paraId="57C02CE8" w14:textId="77777777" w:rsidR="00A61769" w:rsidRPr="00A61769" w:rsidRDefault="00A61769" w:rsidP="00A61769">
            <w:pPr>
              <w:spacing w:before="40" w:after="40"/>
              <w:rPr>
                <w:rFonts w:ascii="Arial Narrow" w:hAnsi="Arial Narrow"/>
                <w:i/>
                <w:sz w:val="20"/>
                <w:szCs w:val="20"/>
              </w:rPr>
            </w:pPr>
          </w:p>
        </w:tc>
        <w:tc>
          <w:tcPr>
            <w:tcW w:w="1417" w:type="dxa"/>
            <w:tcBorders>
              <w:top w:val="nil"/>
              <w:left w:val="single" w:sz="4" w:space="0" w:color="auto"/>
              <w:bottom w:val="single" w:sz="4" w:space="0" w:color="auto"/>
              <w:right w:val="single" w:sz="4" w:space="0" w:color="auto"/>
            </w:tcBorders>
          </w:tcPr>
          <w:p w14:paraId="02879361" w14:textId="77777777" w:rsidR="00A61769" w:rsidRPr="00A61769" w:rsidRDefault="00A61769" w:rsidP="00A61769">
            <w:pPr>
              <w:spacing w:before="40" w:after="40"/>
              <w:jc w:val="center"/>
              <w:rPr>
                <w:rFonts w:ascii="Arial Narrow" w:hAnsi="Arial Narrow"/>
                <w:i/>
                <w:sz w:val="20"/>
                <w:szCs w:val="20"/>
              </w:rPr>
            </w:pPr>
            <w:r w:rsidRPr="00A61769">
              <w:rPr>
                <w:rFonts w:ascii="Arial Narrow" w:hAnsi="Arial Narrow"/>
                <w:i/>
                <w:sz w:val="20"/>
                <w:szCs w:val="20"/>
              </w:rPr>
              <w:t>4-stratum</w:t>
            </w:r>
          </w:p>
        </w:tc>
        <w:tc>
          <w:tcPr>
            <w:tcW w:w="1843" w:type="dxa"/>
            <w:tcBorders>
              <w:top w:val="nil"/>
              <w:left w:val="single" w:sz="4" w:space="0" w:color="auto"/>
              <w:bottom w:val="single" w:sz="4" w:space="0" w:color="auto"/>
              <w:right w:val="single" w:sz="4" w:space="0" w:color="auto"/>
            </w:tcBorders>
          </w:tcPr>
          <w:p w14:paraId="262DB493" w14:textId="6A650F8D" w:rsidR="00A61769" w:rsidRPr="00A61769" w:rsidRDefault="00D84C54" w:rsidP="00A61769">
            <w:pPr>
              <w:spacing w:before="40" w:after="40"/>
              <w:jc w:val="center"/>
              <w:rPr>
                <w:rFonts w:ascii="Arial Narrow" w:hAnsi="Arial Narrow"/>
                <w:i/>
                <w:sz w:val="20"/>
                <w:szCs w:val="20"/>
              </w:rPr>
            </w:pPr>
            <w:r>
              <w:rPr>
                <w:rFonts w:ascii="Arial Narrow" w:hAnsi="Arial Narrow"/>
                <w:i/>
                <w:sz w:val="20"/>
                <w:szCs w:val="20"/>
              </w:rPr>
              <w:t>HR=</w:t>
            </w:r>
            <w:r w:rsidR="00A61769" w:rsidRPr="00A61769">
              <w:rPr>
                <w:rFonts w:ascii="Arial Narrow" w:hAnsi="Arial Narrow"/>
                <w:i/>
                <w:sz w:val="20"/>
                <w:szCs w:val="20"/>
              </w:rPr>
              <w:t>2.65 (2.11, 3.17)</w:t>
            </w:r>
          </w:p>
        </w:tc>
        <w:tc>
          <w:tcPr>
            <w:tcW w:w="1843" w:type="dxa"/>
            <w:tcBorders>
              <w:top w:val="nil"/>
              <w:left w:val="single" w:sz="4" w:space="0" w:color="auto"/>
              <w:bottom w:val="single" w:sz="4" w:space="0" w:color="auto"/>
              <w:right w:val="single" w:sz="4" w:space="0" w:color="auto"/>
            </w:tcBorders>
          </w:tcPr>
          <w:p w14:paraId="4275380E" w14:textId="0D651E99" w:rsidR="00A61769" w:rsidRPr="00A61769" w:rsidRDefault="00D84C54" w:rsidP="00A61769">
            <w:pPr>
              <w:spacing w:before="40" w:after="40"/>
              <w:jc w:val="center"/>
              <w:rPr>
                <w:rFonts w:ascii="Arial Narrow" w:hAnsi="Arial Narrow"/>
                <w:i/>
                <w:sz w:val="20"/>
                <w:szCs w:val="20"/>
              </w:rPr>
            </w:pPr>
            <w:r>
              <w:rPr>
                <w:rFonts w:ascii="Arial Narrow" w:hAnsi="Arial Narrow"/>
                <w:i/>
                <w:sz w:val="20"/>
                <w:szCs w:val="20"/>
              </w:rPr>
              <w:t>HR=</w:t>
            </w:r>
            <w:r w:rsidR="00A61769" w:rsidRPr="00A61769">
              <w:rPr>
                <w:rFonts w:ascii="Arial Narrow" w:hAnsi="Arial Narrow"/>
                <w:i/>
                <w:sz w:val="20"/>
                <w:szCs w:val="20"/>
              </w:rPr>
              <w:t>5.65 (4.50, 7.11)</w:t>
            </w:r>
          </w:p>
        </w:tc>
        <w:tc>
          <w:tcPr>
            <w:tcW w:w="1984" w:type="dxa"/>
            <w:tcBorders>
              <w:top w:val="nil"/>
              <w:left w:val="single" w:sz="4" w:space="0" w:color="auto"/>
              <w:bottom w:val="single" w:sz="4" w:space="0" w:color="auto"/>
              <w:right w:val="single" w:sz="4" w:space="0" w:color="auto"/>
            </w:tcBorders>
          </w:tcPr>
          <w:p w14:paraId="25F45AF6" w14:textId="7CD2A437" w:rsidR="00A61769" w:rsidRPr="00A61769" w:rsidRDefault="00D84C54" w:rsidP="00A61769">
            <w:pPr>
              <w:spacing w:before="40" w:after="40"/>
              <w:jc w:val="center"/>
              <w:rPr>
                <w:rFonts w:ascii="Arial Narrow" w:hAnsi="Arial Narrow"/>
                <w:i/>
                <w:sz w:val="20"/>
                <w:szCs w:val="20"/>
              </w:rPr>
            </w:pPr>
            <w:r>
              <w:rPr>
                <w:rFonts w:ascii="Arial Narrow" w:hAnsi="Arial Narrow"/>
                <w:i/>
                <w:sz w:val="20"/>
                <w:szCs w:val="20"/>
              </w:rPr>
              <w:t>HR=</w:t>
            </w:r>
            <w:r w:rsidR="00A61769" w:rsidRPr="00A61769">
              <w:rPr>
                <w:rFonts w:ascii="Arial Narrow" w:hAnsi="Arial Narrow"/>
                <w:i/>
                <w:sz w:val="20"/>
                <w:szCs w:val="20"/>
              </w:rPr>
              <w:t>11.08 (8.23, 14.92)</w:t>
            </w:r>
          </w:p>
        </w:tc>
      </w:tr>
    </w:tbl>
    <w:p w14:paraId="34A3DE8F" w14:textId="38C0F426" w:rsidR="00A61769" w:rsidRPr="00A61769" w:rsidRDefault="006354C5" w:rsidP="00AA0686">
      <w:pPr>
        <w:pStyle w:val="TableFooter"/>
      </w:pPr>
      <w:r w:rsidRPr="006354C5">
        <w:t xml:space="preserve">Source: </w:t>
      </w:r>
      <w:r>
        <w:t xml:space="preserve">Commentary </w:t>
      </w:r>
      <w:r w:rsidRPr="006354C5">
        <w:t xml:space="preserve">Table </w:t>
      </w:r>
      <w:r>
        <w:t>3</w:t>
      </w:r>
      <w:r w:rsidRPr="006354C5">
        <w:t xml:space="preserve">, </w:t>
      </w:r>
      <w:proofErr w:type="spellStart"/>
      <w:r w:rsidRPr="006354C5">
        <w:t>pg</w:t>
      </w:r>
      <w:proofErr w:type="spellEnd"/>
      <w:r w:rsidRPr="006354C5">
        <w:t xml:space="preserve"> 5</w:t>
      </w:r>
      <w:r w:rsidR="002F35B4">
        <w:t>3</w:t>
      </w:r>
      <w:r w:rsidRPr="006354C5">
        <w:t xml:space="preserve"> of </w:t>
      </w:r>
      <w:r>
        <w:t xml:space="preserve">Commentary on </w:t>
      </w:r>
      <w:r w:rsidRPr="006354C5">
        <w:t>MSAC 1689.1 ADAR</w:t>
      </w:r>
    </w:p>
    <w:p w14:paraId="6ED74A98" w14:textId="77777777" w:rsidR="00E25AD6" w:rsidRPr="00E25AD6" w:rsidRDefault="00E25AD6" w:rsidP="00E25AD6">
      <w:pPr>
        <w:rPr>
          <w:i/>
          <w:color w:val="0070C0"/>
        </w:rPr>
      </w:pPr>
      <w:r w:rsidRPr="00E25AD6">
        <w:rPr>
          <w:i/>
          <w:noProof/>
          <w:color w:val="0070C0"/>
        </w:rPr>
        <w:drawing>
          <wp:inline distT="0" distB="0" distL="0" distR="0" wp14:anchorId="220AC838" wp14:editId="0E47D1C9">
            <wp:extent cx="5746243" cy="2368086"/>
            <wp:effectExtent l="0" t="0" r="6985" b="0"/>
            <wp:docPr id="31" name="Picture 31" descr="Kaplan-Meier curves showing survival predictions of the different risk groups as determined by the 3-stratum and 4-stratum models at first re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582" cy="2394601"/>
                    </a:xfrm>
                    <a:prstGeom prst="rect">
                      <a:avLst/>
                    </a:prstGeom>
                    <a:noFill/>
                  </pic:spPr>
                </pic:pic>
              </a:graphicData>
            </a:graphic>
          </wp:inline>
        </w:drawing>
      </w:r>
    </w:p>
    <w:p w14:paraId="54559258" w14:textId="5E0E1776" w:rsidR="00E25AD6" w:rsidRPr="00E25AD6" w:rsidRDefault="00E25AD6" w:rsidP="00E25AD6">
      <w:pPr>
        <w:pStyle w:val="TableHeading0"/>
      </w:pPr>
      <w:bookmarkStart w:id="44" w:name="_Ref133417672"/>
      <w:r>
        <w:t xml:space="preserve">Figure </w:t>
      </w:r>
      <w:r w:rsidR="00DD62DD">
        <w:fldChar w:fldCharType="begin"/>
      </w:r>
      <w:r w:rsidR="00DD62DD">
        <w:instrText xml:space="preserve"> SEQ Figure \* ARABIC </w:instrText>
      </w:r>
      <w:r w:rsidR="00DD62DD">
        <w:fldChar w:fldCharType="separate"/>
      </w:r>
      <w:r>
        <w:rPr>
          <w:noProof/>
        </w:rPr>
        <w:t>1</w:t>
      </w:r>
      <w:r w:rsidR="00DD62DD">
        <w:rPr>
          <w:noProof/>
        </w:rPr>
        <w:fldChar w:fldCharType="end"/>
      </w:r>
      <w:bookmarkEnd w:id="44"/>
      <w:r w:rsidRPr="00E25AD6">
        <w:tab/>
        <w:t>Survival according to the 3-stratum and 4-stratum models after first reassessment</w:t>
      </w:r>
    </w:p>
    <w:p w14:paraId="5CF7874E" w14:textId="6EDC9531" w:rsidR="00E25AD6" w:rsidRDefault="00E25AD6" w:rsidP="00E25AD6">
      <w:pPr>
        <w:pStyle w:val="TableFooter"/>
      </w:pPr>
      <w:r w:rsidRPr="00E25AD6">
        <w:t xml:space="preserve">Source: Commentary Figure </w:t>
      </w:r>
      <w:r>
        <w:t>1</w:t>
      </w:r>
      <w:r w:rsidRPr="00E25AD6">
        <w:t xml:space="preserve">, </w:t>
      </w:r>
      <w:proofErr w:type="spellStart"/>
      <w:r w:rsidRPr="00E25AD6">
        <w:t>pg</w:t>
      </w:r>
      <w:proofErr w:type="spellEnd"/>
      <w:r w:rsidRPr="00E25AD6">
        <w:t xml:space="preserve"> 5</w:t>
      </w:r>
      <w:r w:rsidR="002F35B4">
        <w:t>3</w:t>
      </w:r>
      <w:r w:rsidRPr="00E25AD6">
        <w:t xml:space="preserve"> of Commentary on MSAC 1689.1 ADAR (from </w:t>
      </w:r>
      <w:proofErr w:type="spellStart"/>
      <w:r w:rsidRPr="00E25AD6">
        <w:t>Boucly</w:t>
      </w:r>
      <w:proofErr w:type="spellEnd"/>
      <w:r w:rsidRPr="00E25AD6">
        <w:t xml:space="preserve"> et al 2022).</w:t>
      </w:r>
    </w:p>
    <w:p w14:paraId="71DC0DD0" w14:textId="1F0E9ADF" w:rsidR="00E25AD6" w:rsidRPr="00E25AD6" w:rsidRDefault="00E25AD6" w:rsidP="00E25AD6">
      <w:pPr>
        <w:pStyle w:val="TableFooter"/>
      </w:pPr>
      <w:r w:rsidRPr="00E25AD6">
        <w:t>Log rank test p&lt;0.001 for all models.</w:t>
      </w:r>
    </w:p>
    <w:p w14:paraId="0D9DE5A0" w14:textId="3153AFCB" w:rsidR="00A61769" w:rsidRDefault="00A61769" w:rsidP="00A61769">
      <w:proofErr w:type="spellStart"/>
      <w:r w:rsidRPr="00A61769">
        <w:t>Hoeper</w:t>
      </w:r>
      <w:proofErr w:type="spellEnd"/>
      <w:r w:rsidRPr="00A61769">
        <w:t xml:space="preserve"> et al (2022) found that the 4-stratum model was more sensitive to prognostically relevant changes in risk of mortality or </w:t>
      </w:r>
      <w:r w:rsidR="000E03AD">
        <w:t xml:space="preserve">lung </w:t>
      </w:r>
      <w:r w:rsidRPr="00A61769">
        <w:t>transplantation than the original 3-stratum model. The risk of mortality changed in those whose risk category changed from baseline compared to those whose risk category remained unchanged in both models (</w:t>
      </w:r>
      <w:r w:rsidR="00AA0686">
        <w:fldChar w:fldCharType="begin"/>
      </w:r>
      <w:r w:rsidR="00AA0686">
        <w:instrText xml:space="preserve"> REF _Ref131155115 \h </w:instrText>
      </w:r>
      <w:r w:rsidR="00AA0686">
        <w:fldChar w:fldCharType="separate"/>
      </w:r>
      <w:r w:rsidR="00E25AD6">
        <w:t xml:space="preserve">Figure </w:t>
      </w:r>
      <w:r w:rsidR="00E25AD6">
        <w:rPr>
          <w:noProof/>
        </w:rPr>
        <w:t>2</w:t>
      </w:r>
      <w:r w:rsidR="00AA0686">
        <w:fldChar w:fldCharType="end"/>
      </w:r>
      <w:r w:rsidR="00AA0686">
        <w:t xml:space="preserve"> </w:t>
      </w:r>
      <w:r w:rsidRPr="00A61769">
        <w:t>and</w:t>
      </w:r>
      <w:r w:rsidR="00AA0686">
        <w:t xml:space="preserve"> </w:t>
      </w:r>
      <w:r w:rsidR="00AA0686">
        <w:fldChar w:fldCharType="begin"/>
      </w:r>
      <w:r w:rsidR="00AA0686">
        <w:instrText xml:space="preserve"> REF _Ref131155125 \h </w:instrText>
      </w:r>
      <w:r w:rsidR="00AA0686">
        <w:fldChar w:fldCharType="separate"/>
      </w:r>
      <w:r w:rsidR="00E25AD6">
        <w:t xml:space="preserve">Figure </w:t>
      </w:r>
      <w:r w:rsidR="00E25AD6">
        <w:rPr>
          <w:noProof/>
        </w:rPr>
        <w:t>3</w:t>
      </w:r>
      <w:r w:rsidR="00AA0686">
        <w:fldChar w:fldCharType="end"/>
      </w:r>
      <w:r w:rsidRPr="00A61769">
        <w:t>).</w:t>
      </w:r>
    </w:p>
    <w:p w14:paraId="79444021" w14:textId="728BD2F6" w:rsidR="006406E7" w:rsidRPr="00A61769" w:rsidRDefault="006406E7" w:rsidP="00A61769">
      <w:bookmarkStart w:id="45" w:name="_Hlk133417269"/>
      <w:r>
        <w:t>Note that as the stud</w:t>
      </w:r>
      <w:r w:rsidR="009E385F">
        <w:t>y</w:t>
      </w:r>
      <w:r>
        <w:t xml:space="preserve"> by </w:t>
      </w:r>
      <w:proofErr w:type="spellStart"/>
      <w:r w:rsidRPr="006406E7">
        <w:t>Boucly</w:t>
      </w:r>
      <w:proofErr w:type="spellEnd"/>
      <w:r w:rsidRPr="006406E7">
        <w:t xml:space="preserve"> et al (2022)</w:t>
      </w:r>
      <w:r>
        <w:t xml:space="preserve"> </w:t>
      </w:r>
      <w:r w:rsidR="009E385F">
        <w:t xml:space="preserve">compared the risk of death in patients within different risk groups at the follow-up assessment </w:t>
      </w:r>
      <w:r>
        <w:t xml:space="preserve">and </w:t>
      </w:r>
      <w:proofErr w:type="spellStart"/>
      <w:r w:rsidRPr="006406E7">
        <w:t>Hoeper</w:t>
      </w:r>
      <w:proofErr w:type="spellEnd"/>
      <w:r w:rsidRPr="006406E7">
        <w:t xml:space="preserve"> et al (2022)</w:t>
      </w:r>
      <w:r w:rsidR="009E385F">
        <w:t xml:space="preserve"> compared </w:t>
      </w:r>
      <w:r w:rsidR="009E385F" w:rsidRPr="009E385F">
        <w:t xml:space="preserve">the risk of death in patients </w:t>
      </w:r>
      <w:r w:rsidR="009E385F">
        <w:t>who changed risk categories between assessments, the HR values cannot be directly compared between studies.</w:t>
      </w:r>
    </w:p>
    <w:bookmarkEnd w:id="45"/>
    <w:p w14:paraId="7D7EDE26" w14:textId="7BDF75DB" w:rsidR="00A61769" w:rsidRPr="00A61769" w:rsidRDefault="009E385F" w:rsidP="00A61769">
      <w:pPr>
        <w:rPr>
          <w:i/>
        </w:rPr>
      </w:pPr>
      <w:r>
        <w:rPr>
          <w:i/>
          <w:noProof/>
        </w:rPr>
        <w:lastRenderedPageBreak/>
        <w:drawing>
          <wp:inline distT="0" distB="0" distL="0" distR="0" wp14:anchorId="45F0D353" wp14:editId="31F32F94">
            <wp:extent cx="5707636" cy="3384645"/>
            <wp:effectExtent l="0" t="0" r="0" b="0"/>
            <wp:docPr id="3" name="Picture 3" descr="Forest plots of hazard ratios for the likelihood of death for patients who had intermediate risks using the 3- or 4-stratum tools at baseline and changed risk category (increased or decreased) at first follow-up compared to patients who remained in the high risk 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5256" cy="3401024"/>
                    </a:xfrm>
                    <a:prstGeom prst="rect">
                      <a:avLst/>
                    </a:prstGeom>
                    <a:noFill/>
                  </pic:spPr>
                </pic:pic>
              </a:graphicData>
            </a:graphic>
          </wp:inline>
        </w:drawing>
      </w:r>
    </w:p>
    <w:p w14:paraId="071D4C66" w14:textId="20BECC16" w:rsidR="00A61769" w:rsidRPr="00A61769" w:rsidRDefault="00AA0686" w:rsidP="00AA0686">
      <w:pPr>
        <w:pStyle w:val="TableHeading0"/>
      </w:pPr>
      <w:bookmarkStart w:id="46" w:name="_Ref131155115"/>
      <w:r>
        <w:t xml:space="preserve">Figure </w:t>
      </w:r>
      <w:r w:rsidR="00DD62DD">
        <w:fldChar w:fldCharType="begin"/>
      </w:r>
      <w:r w:rsidR="00DD62DD">
        <w:instrText xml:space="preserve"> SEQ Figure \* ARABIC </w:instrText>
      </w:r>
      <w:r w:rsidR="00DD62DD">
        <w:fldChar w:fldCharType="separate"/>
      </w:r>
      <w:r w:rsidR="00E25AD6">
        <w:rPr>
          <w:noProof/>
        </w:rPr>
        <w:t>2</w:t>
      </w:r>
      <w:r w:rsidR="00DD62DD">
        <w:rPr>
          <w:noProof/>
        </w:rPr>
        <w:fldChar w:fldCharType="end"/>
      </w:r>
      <w:bookmarkEnd w:id="46"/>
      <w:r w:rsidR="00A61769" w:rsidRPr="00A61769">
        <w:tab/>
        <w:t xml:space="preserve">Mortality risk of patients who changed </w:t>
      </w:r>
      <w:r w:rsidR="00C173E8">
        <w:t>from the intermediate</w:t>
      </w:r>
      <w:r w:rsidR="00A61769" w:rsidRPr="00A61769">
        <w:t xml:space="preserve"> risk categor</w:t>
      </w:r>
      <w:r w:rsidR="00C173E8">
        <w:t>ies</w:t>
      </w:r>
      <w:r w:rsidR="00A61769" w:rsidRPr="00A61769">
        <w:t xml:space="preserve"> </w:t>
      </w:r>
      <w:r w:rsidR="00C173E8">
        <w:t>at</w:t>
      </w:r>
      <w:r w:rsidR="00A61769" w:rsidRPr="00A61769">
        <w:t xml:space="preserve"> baseline compared to patients who remained in their original risk category</w:t>
      </w:r>
      <w:r w:rsidR="00C173E8" w:rsidRPr="00C173E8">
        <w:t xml:space="preserve"> </w:t>
      </w:r>
      <w:r w:rsidR="00C173E8" w:rsidRPr="00A61769">
        <w:t xml:space="preserve">with the 3-stratum </w:t>
      </w:r>
      <w:r w:rsidR="00C173E8">
        <w:t xml:space="preserve">and 4-stratum </w:t>
      </w:r>
      <w:r w:rsidR="00C173E8" w:rsidRPr="00A61769">
        <w:t>model</w:t>
      </w:r>
      <w:r w:rsidR="00C173E8">
        <w:t>s</w:t>
      </w:r>
    </w:p>
    <w:p w14:paraId="2A2E8E2F" w14:textId="2118F600" w:rsidR="006354C5" w:rsidRDefault="00A61769" w:rsidP="00AA0686">
      <w:pPr>
        <w:pStyle w:val="TableFooter"/>
      </w:pPr>
      <w:r w:rsidRPr="00A61769">
        <w:t xml:space="preserve">Source: </w:t>
      </w:r>
      <w:r w:rsidR="006354C5" w:rsidRPr="006354C5">
        <w:t xml:space="preserve">Commentary </w:t>
      </w:r>
      <w:r w:rsidR="006354C5">
        <w:t>Figure</w:t>
      </w:r>
      <w:r w:rsidR="006354C5" w:rsidRPr="006354C5">
        <w:t xml:space="preserve"> </w:t>
      </w:r>
      <w:r w:rsidR="00E25AD6">
        <w:t>2</w:t>
      </w:r>
      <w:r w:rsidR="006354C5" w:rsidRPr="006354C5">
        <w:t xml:space="preserve">, </w:t>
      </w:r>
      <w:proofErr w:type="spellStart"/>
      <w:r w:rsidR="006354C5" w:rsidRPr="006354C5">
        <w:t>pg</w:t>
      </w:r>
      <w:proofErr w:type="spellEnd"/>
      <w:r w:rsidR="006354C5" w:rsidRPr="006354C5">
        <w:t xml:space="preserve"> 5</w:t>
      </w:r>
      <w:r w:rsidR="002F35B4">
        <w:t>4</w:t>
      </w:r>
      <w:r w:rsidR="006354C5" w:rsidRPr="006354C5">
        <w:t xml:space="preserve"> of Commentary on MSAC 1689.1 ADAR </w:t>
      </w:r>
      <w:r w:rsidR="006354C5">
        <w:t xml:space="preserve">(from </w:t>
      </w:r>
      <w:proofErr w:type="spellStart"/>
      <w:r w:rsidRPr="00A61769">
        <w:t>Hoeper</w:t>
      </w:r>
      <w:proofErr w:type="spellEnd"/>
      <w:r w:rsidRPr="00A61769">
        <w:t xml:space="preserve"> et al 2022a).</w:t>
      </w:r>
    </w:p>
    <w:p w14:paraId="0A088A73" w14:textId="57115AFE" w:rsidR="00A61769" w:rsidRPr="00A61769" w:rsidRDefault="00C173E8" w:rsidP="00AA0686">
      <w:pPr>
        <w:pStyle w:val="TableFooter"/>
      </w:pPr>
      <w:r w:rsidRPr="00C173E8">
        <w:t>HR values are provided where reported</w:t>
      </w:r>
      <w:r w:rsidR="00A61769" w:rsidRPr="00A61769">
        <w:t>.</w:t>
      </w:r>
    </w:p>
    <w:p w14:paraId="04B40365" w14:textId="5BD2A8D8" w:rsidR="00A61769" w:rsidRPr="00A61769" w:rsidRDefault="00C173E8" w:rsidP="00A61769">
      <w:pPr>
        <w:rPr>
          <w:i/>
        </w:rPr>
      </w:pPr>
      <w:r>
        <w:rPr>
          <w:i/>
          <w:noProof/>
        </w:rPr>
        <w:drawing>
          <wp:inline distT="0" distB="0" distL="0" distR="0" wp14:anchorId="2CA12318" wp14:editId="0D67E837">
            <wp:extent cx="5799923" cy="1944878"/>
            <wp:effectExtent l="0" t="0" r="0" b="0"/>
            <wp:docPr id="2" name="Picture 2" descr="Forest plots of hazard ratios for the likelihood of death for patients who had high risks using the 3- or 4-stratum tools at baseline and improved at first follow-up compared to patients who remained in the high risk 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1370" cy="1962130"/>
                    </a:xfrm>
                    <a:prstGeom prst="rect">
                      <a:avLst/>
                    </a:prstGeom>
                    <a:noFill/>
                  </pic:spPr>
                </pic:pic>
              </a:graphicData>
            </a:graphic>
          </wp:inline>
        </w:drawing>
      </w:r>
    </w:p>
    <w:p w14:paraId="08F2F437" w14:textId="52A8370A" w:rsidR="00A61769" w:rsidRPr="00A61769" w:rsidRDefault="00AA0686" w:rsidP="00AA0686">
      <w:pPr>
        <w:pStyle w:val="TableHeading0"/>
      </w:pPr>
      <w:bookmarkStart w:id="47" w:name="_Ref131155125"/>
      <w:r>
        <w:t xml:space="preserve">Figure </w:t>
      </w:r>
      <w:r w:rsidR="00DD62DD">
        <w:fldChar w:fldCharType="begin"/>
      </w:r>
      <w:r w:rsidR="00DD62DD">
        <w:instrText xml:space="preserve"> SEQ Figure \* ARABIC </w:instrText>
      </w:r>
      <w:r w:rsidR="00DD62DD">
        <w:fldChar w:fldCharType="separate"/>
      </w:r>
      <w:r w:rsidR="00E25AD6">
        <w:rPr>
          <w:noProof/>
        </w:rPr>
        <w:t>3</w:t>
      </w:r>
      <w:r w:rsidR="00DD62DD">
        <w:rPr>
          <w:noProof/>
        </w:rPr>
        <w:fldChar w:fldCharType="end"/>
      </w:r>
      <w:bookmarkEnd w:id="47"/>
      <w:r w:rsidR="00A61769" w:rsidRPr="00A61769">
        <w:tab/>
        <w:t>Mortality risk of patients who changed</w:t>
      </w:r>
      <w:r w:rsidR="00473891">
        <w:t xml:space="preserve"> from </w:t>
      </w:r>
      <w:r w:rsidR="00A61769" w:rsidRPr="00A61769">
        <w:t>th</w:t>
      </w:r>
      <w:r w:rsidR="00473891">
        <w:t>e</w:t>
      </w:r>
      <w:r w:rsidR="00A61769" w:rsidRPr="00A61769">
        <w:t xml:space="preserve"> risk category </w:t>
      </w:r>
      <w:r w:rsidR="00473891">
        <w:t>at</w:t>
      </w:r>
      <w:r w:rsidR="00A61769" w:rsidRPr="00A61769">
        <w:t xml:space="preserve"> baseline compared to patients who remained in the</w:t>
      </w:r>
      <w:r w:rsidR="00473891">
        <w:t xml:space="preserve"> high</w:t>
      </w:r>
      <w:r w:rsidR="00A61769" w:rsidRPr="00A61769">
        <w:t xml:space="preserve"> risk category</w:t>
      </w:r>
      <w:r w:rsidR="00473891" w:rsidRPr="00473891">
        <w:t xml:space="preserve"> </w:t>
      </w:r>
      <w:r w:rsidR="00473891" w:rsidRPr="00A61769">
        <w:t xml:space="preserve">with the 4-stratum </w:t>
      </w:r>
      <w:r w:rsidR="00473891">
        <w:t xml:space="preserve">and 3-stratum </w:t>
      </w:r>
      <w:r w:rsidR="00473891" w:rsidRPr="00A61769">
        <w:t>model</w:t>
      </w:r>
      <w:r w:rsidR="00473891">
        <w:t>s</w:t>
      </w:r>
    </w:p>
    <w:p w14:paraId="7FE23519" w14:textId="0E4546E4" w:rsidR="006354C5" w:rsidRPr="00AA0686" w:rsidRDefault="00A61769" w:rsidP="00AA0686">
      <w:pPr>
        <w:pStyle w:val="TableFooter"/>
      </w:pPr>
      <w:r w:rsidRPr="00AA0686">
        <w:t xml:space="preserve">Source: </w:t>
      </w:r>
      <w:r w:rsidR="006354C5" w:rsidRPr="00AA0686">
        <w:t xml:space="preserve">Commentary Figure </w:t>
      </w:r>
      <w:r w:rsidR="00E25AD6">
        <w:t>3</w:t>
      </w:r>
      <w:r w:rsidR="006354C5" w:rsidRPr="00AA0686">
        <w:t xml:space="preserve">, </w:t>
      </w:r>
      <w:proofErr w:type="spellStart"/>
      <w:r w:rsidR="006354C5" w:rsidRPr="00AA0686">
        <w:t>pg</w:t>
      </w:r>
      <w:proofErr w:type="spellEnd"/>
      <w:r w:rsidR="006354C5" w:rsidRPr="00AA0686">
        <w:t xml:space="preserve"> 5</w:t>
      </w:r>
      <w:r w:rsidR="002F35B4">
        <w:t>4</w:t>
      </w:r>
      <w:r w:rsidR="006354C5" w:rsidRPr="00AA0686">
        <w:t xml:space="preserve"> of Commentary on MSAC 1689.1 ADAR (from </w:t>
      </w:r>
      <w:proofErr w:type="spellStart"/>
      <w:r w:rsidRPr="00AA0686">
        <w:t>Hoeper</w:t>
      </w:r>
      <w:proofErr w:type="spellEnd"/>
      <w:r w:rsidRPr="00AA0686">
        <w:t xml:space="preserve"> et al 2022a).</w:t>
      </w:r>
    </w:p>
    <w:p w14:paraId="6B8F9022" w14:textId="241C0023" w:rsidR="00A61769" w:rsidRPr="00AA0686" w:rsidRDefault="00A61769" w:rsidP="00AA0686">
      <w:pPr>
        <w:pStyle w:val="TableFooter"/>
      </w:pPr>
      <w:r w:rsidRPr="00AA0686">
        <w:t>HR values are provided where reported.</w:t>
      </w:r>
    </w:p>
    <w:p w14:paraId="55686253" w14:textId="79292DDC" w:rsidR="00B618FD" w:rsidRDefault="00C41A71" w:rsidP="00167134">
      <w:r w:rsidRPr="00C41A71">
        <w:t>The</w:t>
      </w:r>
      <w:r>
        <w:t xml:space="preserve"> results</w:t>
      </w:r>
      <w:r w:rsidRPr="00C41A71">
        <w:t xml:space="preserve"> </w:t>
      </w:r>
      <w:r>
        <w:t xml:space="preserve">presented above </w:t>
      </w:r>
      <w:r w:rsidRPr="00C41A71">
        <w:t xml:space="preserve">show that patients </w:t>
      </w:r>
      <w:r>
        <w:t xml:space="preserve">with PAH </w:t>
      </w:r>
      <w:r w:rsidRPr="00C41A71">
        <w:t xml:space="preserve">can be separated into intermediate-low and intermediate-high risk groups with distinct mortality risks. Additionally, the </w:t>
      </w:r>
      <w:r w:rsidR="00E25AD6">
        <w:t xml:space="preserve">Kaplan-Meier curves indicate that the </w:t>
      </w:r>
      <w:r w:rsidRPr="00C41A71">
        <w:t xml:space="preserve">proposed 4-stratum risk classification model appears to be at least non-inferior to </w:t>
      </w:r>
      <w:r w:rsidR="005F2DC6">
        <w:t xml:space="preserve">the </w:t>
      </w:r>
      <w:r w:rsidRPr="00C41A71">
        <w:t>3-stratum risk classification tool recommended in the ESC/ESR guidelines in determining the risk of mortality.</w:t>
      </w:r>
      <w:r w:rsidR="008318EC">
        <w:t xml:space="preserve"> </w:t>
      </w:r>
      <w:r w:rsidR="00ED5FA7" w:rsidRPr="00ED5FA7">
        <w:t xml:space="preserve">The 2022 ESC/ERS guidelines </w:t>
      </w:r>
      <w:r w:rsidR="00ED5FA7">
        <w:t xml:space="preserve">also </w:t>
      </w:r>
      <w:r w:rsidR="00ED5FA7" w:rsidRPr="00ED5FA7">
        <w:t xml:space="preserve">concluded that the studies by </w:t>
      </w:r>
      <w:proofErr w:type="spellStart"/>
      <w:r w:rsidR="00ED5FA7" w:rsidRPr="00ED5FA7">
        <w:t>Boucly</w:t>
      </w:r>
      <w:proofErr w:type="spellEnd"/>
      <w:r w:rsidR="00ED5FA7" w:rsidRPr="00ED5FA7">
        <w:t xml:space="preserve"> et al (2022) and </w:t>
      </w:r>
      <w:proofErr w:type="spellStart"/>
      <w:r w:rsidR="00ED5FA7" w:rsidRPr="00ED5FA7">
        <w:t>Hoeper</w:t>
      </w:r>
      <w:proofErr w:type="spellEnd"/>
      <w:r w:rsidR="00ED5FA7" w:rsidRPr="00ED5FA7">
        <w:t xml:space="preserve"> et al (2022) showed that the 4-stratum model performed at least as well as the 3-stratum model in predicting mortality.</w:t>
      </w:r>
    </w:p>
    <w:p w14:paraId="5CA42B85" w14:textId="3BD152EC" w:rsidR="00746783" w:rsidRDefault="000A0216" w:rsidP="00167134">
      <w:r>
        <w:t>T</w:t>
      </w:r>
      <w:r w:rsidR="008318EC">
        <w:t>herefore</w:t>
      </w:r>
      <w:r>
        <w:t>, the commentary consider</w:t>
      </w:r>
      <w:r w:rsidR="00362AEF">
        <w:t>ed</w:t>
      </w:r>
      <w:r w:rsidR="008318EC">
        <w:t xml:space="preserve"> that the 4-stratum model including NT-</w:t>
      </w:r>
      <w:proofErr w:type="spellStart"/>
      <w:r w:rsidR="008318EC">
        <w:t>proBNP</w:t>
      </w:r>
      <w:proofErr w:type="spellEnd"/>
      <w:r w:rsidR="008318EC">
        <w:t xml:space="preserve"> is at least non-inferior to other 3-stratum models which use TTE instead of NT-</w:t>
      </w:r>
      <w:proofErr w:type="spellStart"/>
      <w:r w:rsidR="008318EC">
        <w:t>proBNP</w:t>
      </w:r>
      <w:proofErr w:type="spellEnd"/>
      <w:r w:rsidR="008318EC">
        <w:t>.</w:t>
      </w:r>
    </w:p>
    <w:p w14:paraId="480E1790" w14:textId="77777777" w:rsidR="00055E91" w:rsidRPr="001A4B85" w:rsidRDefault="00055E91" w:rsidP="009803F3">
      <w:pPr>
        <w:pStyle w:val="Heading3"/>
      </w:pPr>
      <w:bookmarkStart w:id="48" w:name="_Toc131604316"/>
      <w:r w:rsidRPr="005A6BAF">
        <w:lastRenderedPageBreak/>
        <w:t>Change in Management</w:t>
      </w:r>
      <w:bookmarkEnd w:id="48"/>
    </w:p>
    <w:p w14:paraId="2469F8E1" w14:textId="1FA948BC" w:rsidR="009B15AD" w:rsidRDefault="009B15AD" w:rsidP="009B15AD">
      <w:r>
        <w:t xml:space="preserve">There was no evidence </w:t>
      </w:r>
      <w:r w:rsidR="00E25AD6">
        <w:t xml:space="preserve">identified </w:t>
      </w:r>
      <w:r w:rsidR="00ED5FA7">
        <w:t xml:space="preserve">either </w:t>
      </w:r>
      <w:r w:rsidR="00E25AD6">
        <w:t>in the ADAR or by the commentary</w:t>
      </w:r>
      <w:r w:rsidR="00ED5FA7">
        <w:t xml:space="preserve">, </w:t>
      </w:r>
      <w:r>
        <w:t>assessing the extent of any change in management following the use of a risk classification tool that includes NT-</w:t>
      </w:r>
      <w:proofErr w:type="spellStart"/>
      <w:r>
        <w:t>proBNP</w:t>
      </w:r>
      <w:proofErr w:type="spellEnd"/>
      <w:r>
        <w:t xml:space="preserve"> testing compared to a risk classification tool that does not. There was also no evidence to suggest any differences in the changes in management that results from a 4-stratum rather than a 3-stratum NT-</w:t>
      </w:r>
      <w:proofErr w:type="spellStart"/>
      <w:r>
        <w:t>proBNP</w:t>
      </w:r>
      <w:proofErr w:type="spellEnd"/>
      <w:r>
        <w:t>-based risk classification model.</w:t>
      </w:r>
    </w:p>
    <w:p w14:paraId="5FAACC12" w14:textId="55B0CB40" w:rsidR="00055E91" w:rsidRPr="001A4B85" w:rsidRDefault="009B15AD" w:rsidP="009B15AD">
      <w:r>
        <w:t>In the PSD for the previous ADAR, MSAC noted that risk assessment using NT-</w:t>
      </w:r>
      <w:proofErr w:type="spellStart"/>
      <w:r>
        <w:t>proBNP</w:t>
      </w:r>
      <w:proofErr w:type="spellEnd"/>
      <w:r>
        <w:t xml:space="preserve"> would not result in any downstream changes in patient management. Rather, it is expected to reduce the number of patients requiring TTE compared with the current risk calculation algorithm (using TTE). The following section attempts to address these issues.</w:t>
      </w:r>
    </w:p>
    <w:p w14:paraId="117337D5" w14:textId="7BB8EA16" w:rsidR="005A6BAF" w:rsidRPr="005A6BAF" w:rsidRDefault="005A6BAF" w:rsidP="002273B9">
      <w:pPr>
        <w:rPr>
          <w:b/>
        </w:rPr>
      </w:pPr>
      <w:r w:rsidRPr="005A6BAF">
        <w:rPr>
          <w:b/>
        </w:rPr>
        <w:t>Change in TTE usage</w:t>
      </w:r>
    </w:p>
    <w:p w14:paraId="22FA4F96" w14:textId="2644E68B" w:rsidR="002273B9" w:rsidRDefault="002273B9" w:rsidP="002273B9">
      <w:r>
        <w:t>The 2022 ESC/ERS guidelines recommend TTE at baseline for patients newly diagnosed with PAH, as well as 3-6 months after a change in therapy and in case of clinical worsening. However, the guidelines do not rule out the use of TTE in stable patients, as they indicate that TTE may be considered every 3-6 months in stable patients</w:t>
      </w:r>
      <w:r w:rsidR="00ED5FA7">
        <w:t xml:space="preserve"> but gave no criteria for this consideration</w:t>
      </w:r>
      <w:r>
        <w:t>.</w:t>
      </w:r>
    </w:p>
    <w:p w14:paraId="44AECCC8" w14:textId="32CA9586" w:rsidR="009B15AD" w:rsidRDefault="009B15AD" w:rsidP="009B15AD">
      <w:r>
        <w:t>The proposed clinical management algorithm suggests TTE may be considered in patients with stable disease who have not had a TTE in the last 12 months, suggesting that all patients would have at least one TTE per year. Reasons for stable patients having more than one TTE per year were</w:t>
      </w:r>
      <w:r w:rsidR="00ED5FA7">
        <w:t xml:space="preserve"> also</w:t>
      </w:r>
      <w:r>
        <w:t xml:space="preserve"> not discussed</w:t>
      </w:r>
      <w:r w:rsidR="00ED5FA7">
        <w:t xml:space="preserve"> in the ADAR</w:t>
      </w:r>
      <w:r>
        <w:t>.</w:t>
      </w:r>
      <w:r w:rsidR="00ED5FA7">
        <w:t xml:space="preserve"> </w:t>
      </w:r>
    </w:p>
    <w:p w14:paraId="00F2F83D" w14:textId="5069F79D" w:rsidR="009B15AD" w:rsidRDefault="000A0216" w:rsidP="009B15AD">
      <w:r>
        <w:t>The commentary considered that l</w:t>
      </w:r>
      <w:r w:rsidR="009B15AD">
        <w:t xml:space="preserve">ogically, more frequent imaging of patients with stable disease would mostly occur in those patients at greatest risk of mortality. This would most likely include patients in the higher risk categories, especially those who also have co-morbidities (such as hypertension, diabetes, obesity and/or coronary heart disease), or in those with connective tissue disease (CTD)-associated PAH, especially those with interstitial lung disease. </w:t>
      </w:r>
    </w:p>
    <w:p w14:paraId="0429FF00" w14:textId="42C95C72" w:rsidR="009B15AD" w:rsidRDefault="009B15AD" w:rsidP="009B15AD">
      <w:r>
        <w:t>Thus, some or all patients from the following groups may be considered for an additional TTE</w:t>
      </w:r>
      <w:r w:rsidR="008318EC">
        <w:t xml:space="preserve"> (note, all of these groups are mutually exclusive)</w:t>
      </w:r>
      <w:r>
        <w:t>:</w:t>
      </w:r>
    </w:p>
    <w:p w14:paraId="5A285760" w14:textId="77777777" w:rsidR="009B15AD" w:rsidRDefault="009B15AD" w:rsidP="00795AEA">
      <w:pPr>
        <w:pStyle w:val="ListParagraph"/>
        <w:numPr>
          <w:ilvl w:val="0"/>
          <w:numId w:val="17"/>
        </w:numPr>
      </w:pPr>
      <w:r>
        <w:t>Patients who have a high risk of mortality (6–18% of all patients)</w:t>
      </w:r>
    </w:p>
    <w:p w14:paraId="58ACE1F0" w14:textId="77777777" w:rsidR="009B15AD" w:rsidRDefault="009B15AD" w:rsidP="00795AEA">
      <w:pPr>
        <w:pStyle w:val="ListParagraph"/>
        <w:numPr>
          <w:ilvl w:val="0"/>
          <w:numId w:val="17"/>
        </w:numPr>
      </w:pPr>
      <w:r>
        <w:t>Patients who have an intermediate-high risk of mortality (23–38%)</w:t>
      </w:r>
    </w:p>
    <w:p w14:paraId="7B648987" w14:textId="15F79FB6" w:rsidR="009B15AD" w:rsidRDefault="009B15AD" w:rsidP="00795AEA">
      <w:pPr>
        <w:pStyle w:val="ListParagraph"/>
        <w:numPr>
          <w:ilvl w:val="0"/>
          <w:numId w:val="17"/>
        </w:numPr>
      </w:pPr>
      <w:r>
        <w:t xml:space="preserve">Patients with PAH who have </w:t>
      </w:r>
      <w:r w:rsidR="00401895">
        <w:t xml:space="preserve">a low risk of mortality but have </w:t>
      </w:r>
      <w:r>
        <w:t>3–4 comorbidities (24%)</w:t>
      </w:r>
    </w:p>
    <w:p w14:paraId="5AFCFBF9" w14:textId="42BC099B" w:rsidR="009B15AD" w:rsidRDefault="009B15AD" w:rsidP="00795AEA">
      <w:pPr>
        <w:pStyle w:val="ListParagraph"/>
        <w:numPr>
          <w:ilvl w:val="0"/>
          <w:numId w:val="17"/>
        </w:numPr>
      </w:pPr>
      <w:r>
        <w:t xml:space="preserve">Patients with PAH who have </w:t>
      </w:r>
      <w:r w:rsidR="00401895">
        <w:t xml:space="preserve">a low risk of mortality but have </w:t>
      </w:r>
      <w:r>
        <w:t>coronary artery disease (25%)</w:t>
      </w:r>
    </w:p>
    <w:p w14:paraId="365B6A15" w14:textId="77777777" w:rsidR="009B15AD" w:rsidRDefault="009B15AD" w:rsidP="00795AEA">
      <w:pPr>
        <w:pStyle w:val="ListParagraph"/>
        <w:numPr>
          <w:ilvl w:val="0"/>
          <w:numId w:val="17"/>
        </w:numPr>
      </w:pPr>
      <w:r>
        <w:t>Patients who have CTD-PAH (20–27%)</w:t>
      </w:r>
    </w:p>
    <w:p w14:paraId="6C016D4F" w14:textId="77777777" w:rsidR="009B15AD" w:rsidRDefault="009B15AD" w:rsidP="00795AEA">
      <w:pPr>
        <w:pStyle w:val="ListParagraph"/>
        <w:numPr>
          <w:ilvl w:val="1"/>
          <w:numId w:val="17"/>
        </w:numPr>
        <w:ind w:left="1134"/>
      </w:pPr>
      <w:r>
        <w:t>Approximately 32% of these patients have interstitial lung disease</w:t>
      </w:r>
    </w:p>
    <w:p w14:paraId="292F6C3F" w14:textId="5C7973B9" w:rsidR="00653F2B" w:rsidRDefault="009B15AD" w:rsidP="00653F2B">
      <w:r>
        <w:t xml:space="preserve">The number of patients likely to need a TTE at each assessment for the current 3-stratum tool based on TTE and </w:t>
      </w:r>
      <w:r w:rsidR="000A0216">
        <w:t>for</w:t>
      </w:r>
      <w:r>
        <w:t xml:space="preserve"> 3-stratum and 4-stratum tools based on NT-</w:t>
      </w:r>
      <w:proofErr w:type="spellStart"/>
      <w:r>
        <w:t>proBNP</w:t>
      </w:r>
      <w:proofErr w:type="spellEnd"/>
      <w:r>
        <w:t xml:space="preserve"> levels, was estimated using the data from the COMPERA registry cohort for changes from baseline to first follow-up</w:t>
      </w:r>
      <w:r w:rsidR="002A4BBE">
        <w:t>. These calculations were based on several assumptions described in the footnote to</w:t>
      </w:r>
      <w:r w:rsidR="00AA0686">
        <w:t xml:space="preserve"> </w:t>
      </w:r>
      <w:r w:rsidR="00AA0686">
        <w:fldChar w:fldCharType="begin"/>
      </w:r>
      <w:r w:rsidR="00AA0686">
        <w:instrText xml:space="preserve"> REF _Ref131155196 \h </w:instrText>
      </w:r>
      <w:r w:rsidR="00AA0686">
        <w:fldChar w:fldCharType="separate"/>
      </w:r>
      <w:r w:rsidR="00AA0686">
        <w:t xml:space="preserve">Table </w:t>
      </w:r>
      <w:r w:rsidR="00AA0686">
        <w:rPr>
          <w:noProof/>
        </w:rPr>
        <w:t>10</w:t>
      </w:r>
      <w:r w:rsidR="00AA0686">
        <w:fldChar w:fldCharType="end"/>
      </w:r>
      <w:r w:rsidR="002A4BBE">
        <w:fldChar w:fldCharType="begin"/>
      </w:r>
      <w:r w:rsidR="002A4BBE">
        <w:instrText xml:space="preserve"> REF _Ref130551900 \h </w:instrText>
      </w:r>
      <w:r w:rsidR="002A4BBE">
        <w:fldChar w:fldCharType="end"/>
      </w:r>
      <w:r w:rsidR="002A4BBE">
        <w:t>. However, the true proportions of patients who have further changes at the second and subsequent follow-ups cannot be determined due to a lack of evidence about the clinical status of patients over time.</w:t>
      </w:r>
      <w:r w:rsidR="00653F2B">
        <w:br w:type="page"/>
      </w:r>
    </w:p>
    <w:p w14:paraId="54FE5897" w14:textId="0204728D" w:rsidR="002A4BBE" w:rsidRPr="002A4BBE" w:rsidRDefault="00AA0686" w:rsidP="00AA0686">
      <w:pPr>
        <w:pStyle w:val="TableHeading0"/>
      </w:pPr>
      <w:bookmarkStart w:id="49" w:name="_Ref131155196"/>
      <w:r>
        <w:lastRenderedPageBreak/>
        <w:t xml:space="preserve">Table </w:t>
      </w:r>
      <w:r w:rsidR="00DD62DD">
        <w:fldChar w:fldCharType="begin"/>
      </w:r>
      <w:r w:rsidR="00DD62DD">
        <w:instrText xml:space="preserve"> SEQ Table \* ARABIC </w:instrText>
      </w:r>
      <w:r w:rsidR="00DD62DD">
        <w:fldChar w:fldCharType="separate"/>
      </w:r>
      <w:r>
        <w:rPr>
          <w:noProof/>
        </w:rPr>
        <w:t>10</w:t>
      </w:r>
      <w:r w:rsidR="00DD62DD">
        <w:rPr>
          <w:noProof/>
        </w:rPr>
        <w:fldChar w:fldCharType="end"/>
      </w:r>
      <w:bookmarkEnd w:id="49"/>
      <w:r w:rsidR="002A4BBE" w:rsidRPr="002A4BBE">
        <w:tab/>
        <w:t xml:space="preserve">The proportion of patients likely to be referred for TTE using the 3-stratum versus 4-stratum </w:t>
      </w:r>
      <w:proofErr w:type="gramStart"/>
      <w:r w:rsidR="002A4BBE" w:rsidRPr="002A4BBE">
        <w:t>models</w:t>
      </w:r>
      <w:proofErr w:type="gramEnd"/>
    </w:p>
    <w:tbl>
      <w:tblPr>
        <w:tblStyle w:val="TableGrid"/>
        <w:tblW w:w="0" w:type="auto"/>
        <w:tblLook w:val="04A0" w:firstRow="1" w:lastRow="0" w:firstColumn="1" w:lastColumn="0" w:noHBand="0" w:noVBand="1"/>
      </w:tblPr>
      <w:tblGrid>
        <w:gridCol w:w="2076"/>
        <w:gridCol w:w="947"/>
        <w:gridCol w:w="947"/>
        <w:gridCol w:w="947"/>
        <w:gridCol w:w="890"/>
        <w:gridCol w:w="992"/>
        <w:gridCol w:w="1192"/>
        <w:gridCol w:w="1025"/>
      </w:tblGrid>
      <w:tr w:rsidR="002A4BBE" w:rsidRPr="002A4BBE" w14:paraId="04BBD474" w14:textId="77777777" w:rsidTr="002A4BBE">
        <w:tc>
          <w:tcPr>
            <w:tcW w:w="2076" w:type="dxa"/>
            <w:vMerge w:val="restart"/>
            <w:vAlign w:val="center"/>
          </w:tcPr>
          <w:p w14:paraId="3C997CCF" w14:textId="77777777" w:rsidR="002A4BBE" w:rsidRPr="00401895" w:rsidRDefault="002A4BBE" w:rsidP="002A4BBE">
            <w:pPr>
              <w:spacing w:before="40" w:after="40"/>
              <w:jc w:val="center"/>
              <w:rPr>
                <w:rFonts w:ascii="Arial Narrow" w:hAnsi="Arial Narrow"/>
                <w:b/>
                <w:sz w:val="20"/>
                <w:szCs w:val="20"/>
              </w:rPr>
            </w:pPr>
            <w:r w:rsidRPr="00401895">
              <w:rPr>
                <w:rFonts w:ascii="Arial Narrow" w:hAnsi="Arial Narrow"/>
                <w:b/>
                <w:sz w:val="20"/>
                <w:szCs w:val="20"/>
              </w:rPr>
              <w:t>At first follow-up</w:t>
            </w:r>
          </w:p>
        </w:tc>
        <w:tc>
          <w:tcPr>
            <w:tcW w:w="2841" w:type="dxa"/>
            <w:gridSpan w:val="3"/>
          </w:tcPr>
          <w:p w14:paraId="6755F6E0" w14:textId="77777777" w:rsidR="002A4BBE" w:rsidRPr="00401895" w:rsidRDefault="002A4BBE" w:rsidP="002A4BBE">
            <w:pPr>
              <w:spacing w:before="40" w:after="40"/>
              <w:jc w:val="center"/>
              <w:rPr>
                <w:rFonts w:ascii="Arial Narrow" w:hAnsi="Arial Narrow"/>
                <w:b/>
                <w:sz w:val="20"/>
                <w:szCs w:val="20"/>
              </w:rPr>
            </w:pPr>
            <w:r w:rsidRPr="00401895">
              <w:rPr>
                <w:rFonts w:ascii="Arial Narrow" w:hAnsi="Arial Narrow"/>
                <w:b/>
                <w:sz w:val="20"/>
                <w:szCs w:val="20"/>
              </w:rPr>
              <w:t>3-stratum model</w:t>
            </w:r>
          </w:p>
        </w:tc>
        <w:tc>
          <w:tcPr>
            <w:tcW w:w="4099" w:type="dxa"/>
            <w:gridSpan w:val="4"/>
          </w:tcPr>
          <w:p w14:paraId="67ECDBDE" w14:textId="77777777" w:rsidR="002A4BBE" w:rsidRPr="00401895" w:rsidRDefault="002A4BBE" w:rsidP="002A4BBE">
            <w:pPr>
              <w:spacing w:before="40" w:after="40"/>
              <w:jc w:val="center"/>
              <w:rPr>
                <w:rFonts w:ascii="Arial Narrow" w:hAnsi="Arial Narrow"/>
                <w:b/>
                <w:sz w:val="20"/>
                <w:szCs w:val="20"/>
              </w:rPr>
            </w:pPr>
            <w:r w:rsidRPr="00401895">
              <w:rPr>
                <w:rFonts w:ascii="Arial Narrow" w:hAnsi="Arial Narrow"/>
                <w:b/>
                <w:sz w:val="20"/>
                <w:szCs w:val="20"/>
              </w:rPr>
              <w:t>4-stratum model</w:t>
            </w:r>
          </w:p>
        </w:tc>
      </w:tr>
      <w:tr w:rsidR="002A4BBE" w:rsidRPr="002A4BBE" w14:paraId="2A5A99ED" w14:textId="77777777" w:rsidTr="002A4BBE">
        <w:tc>
          <w:tcPr>
            <w:tcW w:w="2076" w:type="dxa"/>
            <w:vMerge/>
          </w:tcPr>
          <w:p w14:paraId="34D222D5" w14:textId="77777777" w:rsidR="002A4BBE" w:rsidRPr="00401895" w:rsidRDefault="002A4BBE" w:rsidP="002A4BBE">
            <w:pPr>
              <w:spacing w:before="40" w:after="40"/>
              <w:rPr>
                <w:rFonts w:ascii="Arial Narrow" w:hAnsi="Arial Narrow"/>
                <w:b/>
                <w:sz w:val="20"/>
                <w:szCs w:val="20"/>
              </w:rPr>
            </w:pPr>
          </w:p>
        </w:tc>
        <w:tc>
          <w:tcPr>
            <w:tcW w:w="947" w:type="dxa"/>
          </w:tcPr>
          <w:p w14:paraId="7C8F2429" w14:textId="77777777" w:rsidR="002A4BBE" w:rsidRPr="00401895" w:rsidRDefault="002A4BBE" w:rsidP="002A4BBE">
            <w:pPr>
              <w:spacing w:before="40" w:after="40"/>
              <w:jc w:val="center"/>
              <w:rPr>
                <w:rFonts w:ascii="Arial Narrow" w:hAnsi="Arial Narrow"/>
                <w:b/>
                <w:sz w:val="20"/>
                <w:szCs w:val="20"/>
              </w:rPr>
            </w:pPr>
            <w:r w:rsidRPr="00401895">
              <w:rPr>
                <w:rFonts w:ascii="Arial Narrow" w:hAnsi="Arial Narrow"/>
                <w:b/>
                <w:sz w:val="20"/>
                <w:szCs w:val="20"/>
              </w:rPr>
              <w:t>Low</w:t>
            </w:r>
          </w:p>
        </w:tc>
        <w:tc>
          <w:tcPr>
            <w:tcW w:w="947" w:type="dxa"/>
          </w:tcPr>
          <w:p w14:paraId="1A6B307C" w14:textId="77777777" w:rsidR="002A4BBE" w:rsidRPr="00401895" w:rsidRDefault="002A4BBE" w:rsidP="002A4BBE">
            <w:pPr>
              <w:spacing w:before="40" w:after="40"/>
              <w:jc w:val="center"/>
              <w:rPr>
                <w:rFonts w:ascii="Arial Narrow" w:hAnsi="Arial Narrow"/>
                <w:b/>
                <w:sz w:val="20"/>
                <w:szCs w:val="20"/>
              </w:rPr>
            </w:pPr>
            <w:r w:rsidRPr="00401895">
              <w:rPr>
                <w:rFonts w:ascii="Arial Narrow" w:hAnsi="Arial Narrow"/>
                <w:b/>
                <w:sz w:val="20"/>
                <w:szCs w:val="20"/>
              </w:rPr>
              <w:t>Int</w:t>
            </w:r>
          </w:p>
        </w:tc>
        <w:tc>
          <w:tcPr>
            <w:tcW w:w="947" w:type="dxa"/>
          </w:tcPr>
          <w:p w14:paraId="1D2FB4A1" w14:textId="77777777" w:rsidR="002A4BBE" w:rsidRPr="00401895" w:rsidRDefault="002A4BBE" w:rsidP="002A4BBE">
            <w:pPr>
              <w:spacing w:before="40" w:after="40"/>
              <w:jc w:val="center"/>
              <w:rPr>
                <w:rFonts w:ascii="Arial Narrow" w:hAnsi="Arial Narrow"/>
                <w:b/>
                <w:sz w:val="20"/>
                <w:szCs w:val="20"/>
              </w:rPr>
            </w:pPr>
            <w:r w:rsidRPr="00401895">
              <w:rPr>
                <w:rFonts w:ascii="Arial Narrow" w:hAnsi="Arial Narrow"/>
                <w:b/>
                <w:sz w:val="20"/>
                <w:szCs w:val="20"/>
              </w:rPr>
              <w:t>High</w:t>
            </w:r>
          </w:p>
        </w:tc>
        <w:tc>
          <w:tcPr>
            <w:tcW w:w="890" w:type="dxa"/>
          </w:tcPr>
          <w:p w14:paraId="4A314514" w14:textId="77777777" w:rsidR="002A4BBE" w:rsidRPr="00401895" w:rsidRDefault="002A4BBE" w:rsidP="002A4BBE">
            <w:pPr>
              <w:spacing w:before="40" w:after="40"/>
              <w:jc w:val="center"/>
              <w:rPr>
                <w:rFonts w:ascii="Arial Narrow" w:hAnsi="Arial Narrow"/>
                <w:b/>
                <w:sz w:val="20"/>
                <w:szCs w:val="20"/>
              </w:rPr>
            </w:pPr>
            <w:r w:rsidRPr="00401895">
              <w:rPr>
                <w:rFonts w:ascii="Arial Narrow" w:hAnsi="Arial Narrow"/>
                <w:b/>
                <w:sz w:val="20"/>
                <w:szCs w:val="20"/>
              </w:rPr>
              <w:t>Low</w:t>
            </w:r>
          </w:p>
        </w:tc>
        <w:tc>
          <w:tcPr>
            <w:tcW w:w="992" w:type="dxa"/>
          </w:tcPr>
          <w:p w14:paraId="5F33D9C5" w14:textId="77777777" w:rsidR="002A4BBE" w:rsidRPr="00401895" w:rsidRDefault="002A4BBE" w:rsidP="002A4BBE">
            <w:pPr>
              <w:spacing w:before="40" w:after="40"/>
              <w:jc w:val="center"/>
              <w:rPr>
                <w:rFonts w:ascii="Arial Narrow" w:hAnsi="Arial Narrow"/>
                <w:b/>
                <w:sz w:val="20"/>
                <w:szCs w:val="20"/>
              </w:rPr>
            </w:pPr>
            <w:r w:rsidRPr="00401895">
              <w:rPr>
                <w:rFonts w:ascii="Arial Narrow" w:hAnsi="Arial Narrow"/>
                <w:b/>
                <w:sz w:val="20"/>
                <w:szCs w:val="20"/>
              </w:rPr>
              <w:t>Int-L</w:t>
            </w:r>
          </w:p>
        </w:tc>
        <w:tc>
          <w:tcPr>
            <w:tcW w:w="1192" w:type="dxa"/>
          </w:tcPr>
          <w:p w14:paraId="63363BAC" w14:textId="77777777" w:rsidR="002A4BBE" w:rsidRPr="00401895" w:rsidRDefault="002A4BBE" w:rsidP="002A4BBE">
            <w:pPr>
              <w:spacing w:before="40" w:after="40"/>
              <w:jc w:val="center"/>
              <w:rPr>
                <w:rFonts w:ascii="Arial Narrow" w:hAnsi="Arial Narrow"/>
                <w:b/>
                <w:sz w:val="20"/>
                <w:szCs w:val="20"/>
              </w:rPr>
            </w:pPr>
            <w:r w:rsidRPr="00401895">
              <w:rPr>
                <w:rFonts w:ascii="Arial Narrow" w:hAnsi="Arial Narrow"/>
                <w:b/>
                <w:sz w:val="20"/>
                <w:szCs w:val="20"/>
              </w:rPr>
              <w:t>Int-H</w:t>
            </w:r>
          </w:p>
        </w:tc>
        <w:tc>
          <w:tcPr>
            <w:tcW w:w="1025" w:type="dxa"/>
          </w:tcPr>
          <w:p w14:paraId="329C1EE9" w14:textId="77777777" w:rsidR="002A4BBE" w:rsidRPr="00401895" w:rsidRDefault="002A4BBE" w:rsidP="002A4BBE">
            <w:pPr>
              <w:spacing w:before="40" w:after="40"/>
              <w:jc w:val="center"/>
              <w:rPr>
                <w:rFonts w:ascii="Arial Narrow" w:hAnsi="Arial Narrow"/>
                <w:b/>
                <w:sz w:val="20"/>
                <w:szCs w:val="20"/>
              </w:rPr>
            </w:pPr>
            <w:r w:rsidRPr="00401895">
              <w:rPr>
                <w:rFonts w:ascii="Arial Narrow" w:hAnsi="Arial Narrow"/>
                <w:b/>
                <w:sz w:val="20"/>
                <w:szCs w:val="20"/>
              </w:rPr>
              <w:t>High</w:t>
            </w:r>
          </w:p>
        </w:tc>
      </w:tr>
      <w:tr w:rsidR="002A4BBE" w:rsidRPr="002A4BBE" w14:paraId="156E1867" w14:textId="77777777" w:rsidTr="002A4BBE">
        <w:tc>
          <w:tcPr>
            <w:tcW w:w="2076" w:type="dxa"/>
          </w:tcPr>
          <w:p w14:paraId="70CFE54C" w14:textId="77777777" w:rsidR="002A4BBE" w:rsidRPr="002A4BBE" w:rsidRDefault="002A4BBE" w:rsidP="002A4BBE">
            <w:pPr>
              <w:spacing w:before="40" w:after="40"/>
              <w:rPr>
                <w:rFonts w:ascii="Arial Narrow" w:hAnsi="Arial Narrow"/>
                <w:sz w:val="20"/>
                <w:szCs w:val="20"/>
              </w:rPr>
            </w:pPr>
            <w:r w:rsidRPr="002A4BBE">
              <w:rPr>
                <w:rFonts w:ascii="Arial Narrow" w:hAnsi="Arial Narrow"/>
                <w:sz w:val="20"/>
                <w:szCs w:val="20"/>
              </w:rPr>
              <w:t>COMPERA registry</w:t>
            </w:r>
          </w:p>
          <w:p w14:paraId="729C8A65" w14:textId="77777777" w:rsidR="002A4BBE" w:rsidRPr="002A4BBE" w:rsidRDefault="002A4BBE" w:rsidP="002A4BBE">
            <w:pPr>
              <w:spacing w:before="40" w:after="40"/>
              <w:rPr>
                <w:rFonts w:ascii="Arial Narrow" w:hAnsi="Arial Narrow"/>
                <w:sz w:val="20"/>
                <w:szCs w:val="20"/>
              </w:rPr>
            </w:pPr>
            <w:r w:rsidRPr="002A4BBE">
              <w:rPr>
                <w:rFonts w:ascii="Arial Narrow" w:hAnsi="Arial Narrow"/>
                <w:sz w:val="20"/>
                <w:szCs w:val="20"/>
              </w:rPr>
              <w:t>N=1,414</w:t>
            </w:r>
          </w:p>
        </w:tc>
        <w:tc>
          <w:tcPr>
            <w:tcW w:w="947" w:type="dxa"/>
          </w:tcPr>
          <w:p w14:paraId="7A763335" w14:textId="77777777" w:rsidR="002A4BBE" w:rsidRPr="002A4BBE" w:rsidRDefault="002A4BBE" w:rsidP="002A4BBE">
            <w:pPr>
              <w:spacing w:before="40" w:after="40"/>
              <w:jc w:val="center"/>
              <w:rPr>
                <w:rFonts w:ascii="Arial Narrow" w:hAnsi="Arial Narrow"/>
                <w:sz w:val="20"/>
                <w:szCs w:val="20"/>
              </w:rPr>
            </w:pPr>
            <w:r w:rsidRPr="002A4BBE">
              <w:rPr>
                <w:rFonts w:ascii="Arial Narrow" w:hAnsi="Arial Narrow"/>
                <w:sz w:val="20"/>
                <w:szCs w:val="20"/>
              </w:rPr>
              <w:t>282 (19.9%)</w:t>
            </w:r>
          </w:p>
        </w:tc>
        <w:tc>
          <w:tcPr>
            <w:tcW w:w="947" w:type="dxa"/>
          </w:tcPr>
          <w:p w14:paraId="23977576" w14:textId="77777777" w:rsidR="002A4BBE" w:rsidRPr="002A4BBE" w:rsidRDefault="002A4BBE" w:rsidP="002A4BBE">
            <w:pPr>
              <w:spacing w:before="40" w:after="40"/>
              <w:jc w:val="center"/>
              <w:rPr>
                <w:rFonts w:ascii="Arial Narrow" w:hAnsi="Arial Narrow"/>
                <w:sz w:val="20"/>
                <w:szCs w:val="20"/>
              </w:rPr>
            </w:pPr>
            <w:r w:rsidRPr="002A4BBE">
              <w:rPr>
                <w:rFonts w:ascii="Arial Narrow" w:hAnsi="Arial Narrow"/>
                <w:sz w:val="20"/>
                <w:szCs w:val="20"/>
              </w:rPr>
              <w:t>903 (63.9%)</w:t>
            </w:r>
          </w:p>
        </w:tc>
        <w:tc>
          <w:tcPr>
            <w:tcW w:w="947" w:type="dxa"/>
          </w:tcPr>
          <w:p w14:paraId="0481F76D" w14:textId="77777777" w:rsidR="002A4BBE" w:rsidRPr="002A4BBE" w:rsidRDefault="002A4BBE" w:rsidP="002A4BBE">
            <w:pPr>
              <w:spacing w:before="40" w:after="40"/>
              <w:jc w:val="center"/>
              <w:rPr>
                <w:rFonts w:ascii="Arial Narrow" w:hAnsi="Arial Narrow"/>
                <w:sz w:val="20"/>
                <w:szCs w:val="20"/>
              </w:rPr>
            </w:pPr>
            <w:r w:rsidRPr="002A4BBE">
              <w:rPr>
                <w:rFonts w:ascii="Arial Narrow" w:hAnsi="Arial Narrow"/>
                <w:sz w:val="20"/>
                <w:szCs w:val="20"/>
              </w:rPr>
              <w:t>229 (16.2%)</w:t>
            </w:r>
          </w:p>
        </w:tc>
        <w:tc>
          <w:tcPr>
            <w:tcW w:w="890" w:type="dxa"/>
          </w:tcPr>
          <w:p w14:paraId="08FDD5FC" w14:textId="77777777" w:rsidR="002A4BBE" w:rsidRPr="002A4BBE" w:rsidRDefault="002A4BBE" w:rsidP="002A4BBE">
            <w:pPr>
              <w:spacing w:before="40" w:after="40"/>
              <w:jc w:val="center"/>
              <w:rPr>
                <w:rFonts w:ascii="Arial Narrow" w:hAnsi="Arial Narrow"/>
                <w:sz w:val="20"/>
                <w:szCs w:val="20"/>
              </w:rPr>
            </w:pPr>
            <w:r w:rsidRPr="002A4BBE">
              <w:rPr>
                <w:rFonts w:ascii="Arial Narrow" w:hAnsi="Arial Narrow"/>
                <w:sz w:val="20"/>
                <w:szCs w:val="20"/>
              </w:rPr>
              <w:t>240 (17.0%)</w:t>
            </w:r>
          </w:p>
        </w:tc>
        <w:tc>
          <w:tcPr>
            <w:tcW w:w="992" w:type="dxa"/>
          </w:tcPr>
          <w:p w14:paraId="0D06DFAB" w14:textId="77777777" w:rsidR="002A4BBE" w:rsidRPr="002A4BBE" w:rsidRDefault="002A4BBE" w:rsidP="002A4BBE">
            <w:pPr>
              <w:spacing w:before="40" w:after="40"/>
              <w:jc w:val="center"/>
              <w:rPr>
                <w:rFonts w:ascii="Arial Narrow" w:hAnsi="Arial Narrow"/>
                <w:sz w:val="20"/>
                <w:szCs w:val="20"/>
              </w:rPr>
            </w:pPr>
            <w:r w:rsidRPr="002A4BBE">
              <w:rPr>
                <w:rFonts w:ascii="Arial Narrow" w:hAnsi="Arial Narrow"/>
                <w:sz w:val="20"/>
                <w:szCs w:val="20"/>
              </w:rPr>
              <w:t>395 (27.9%)</w:t>
            </w:r>
          </w:p>
        </w:tc>
        <w:tc>
          <w:tcPr>
            <w:tcW w:w="1192" w:type="dxa"/>
          </w:tcPr>
          <w:p w14:paraId="5BBF62A9" w14:textId="77777777" w:rsidR="002A4BBE" w:rsidRPr="002A4BBE" w:rsidRDefault="002A4BBE" w:rsidP="002A4BBE">
            <w:pPr>
              <w:spacing w:before="40" w:after="40"/>
              <w:jc w:val="center"/>
              <w:rPr>
                <w:rFonts w:ascii="Arial Narrow" w:hAnsi="Arial Narrow"/>
                <w:sz w:val="20"/>
                <w:szCs w:val="20"/>
              </w:rPr>
            </w:pPr>
            <w:r w:rsidRPr="002A4BBE">
              <w:rPr>
                <w:rFonts w:ascii="Arial Narrow" w:hAnsi="Arial Narrow"/>
                <w:sz w:val="20"/>
                <w:szCs w:val="20"/>
              </w:rPr>
              <w:t>534</w:t>
            </w:r>
            <w:r w:rsidRPr="002A4BBE">
              <w:rPr>
                <w:rFonts w:ascii="Arial Narrow" w:hAnsi="Arial Narrow"/>
                <w:sz w:val="20"/>
                <w:szCs w:val="20"/>
              </w:rPr>
              <w:br/>
              <w:t>(37.8%)</w:t>
            </w:r>
          </w:p>
        </w:tc>
        <w:tc>
          <w:tcPr>
            <w:tcW w:w="1025" w:type="dxa"/>
          </w:tcPr>
          <w:p w14:paraId="5838C86E" w14:textId="77777777" w:rsidR="002A4BBE" w:rsidRPr="002A4BBE" w:rsidRDefault="002A4BBE" w:rsidP="002A4BBE">
            <w:pPr>
              <w:spacing w:before="40" w:after="40"/>
              <w:jc w:val="center"/>
              <w:rPr>
                <w:rFonts w:ascii="Arial Narrow" w:hAnsi="Arial Narrow"/>
                <w:sz w:val="20"/>
                <w:szCs w:val="20"/>
              </w:rPr>
            </w:pPr>
            <w:r w:rsidRPr="002A4BBE">
              <w:rPr>
                <w:rFonts w:ascii="Arial Narrow" w:hAnsi="Arial Narrow"/>
                <w:sz w:val="20"/>
                <w:szCs w:val="20"/>
              </w:rPr>
              <w:t>245 (17.3%)</w:t>
            </w:r>
          </w:p>
        </w:tc>
      </w:tr>
      <w:tr w:rsidR="002A4BBE" w:rsidRPr="002A4BBE" w14:paraId="13E0868C" w14:textId="77777777" w:rsidTr="002A4BBE">
        <w:tc>
          <w:tcPr>
            <w:tcW w:w="2076" w:type="dxa"/>
          </w:tcPr>
          <w:p w14:paraId="3BAAE53C" w14:textId="77777777" w:rsidR="002A4BBE" w:rsidRPr="002A4BBE" w:rsidRDefault="002A4BBE" w:rsidP="002A4BBE">
            <w:pPr>
              <w:spacing w:before="40" w:after="40"/>
              <w:rPr>
                <w:rFonts w:ascii="Arial Narrow" w:hAnsi="Arial Narrow"/>
                <w:sz w:val="20"/>
                <w:szCs w:val="20"/>
              </w:rPr>
            </w:pPr>
            <w:r w:rsidRPr="002A4BBE">
              <w:rPr>
                <w:rFonts w:ascii="Arial Narrow" w:hAnsi="Arial Narrow"/>
                <w:sz w:val="20"/>
                <w:szCs w:val="20"/>
              </w:rPr>
              <w:t>Risk category worsened from baseline</w:t>
            </w:r>
            <w:r w:rsidRPr="002A4BBE">
              <w:rPr>
                <w:rFonts w:ascii="Arial Narrow" w:hAnsi="Arial Narrow"/>
                <w:sz w:val="20"/>
                <w:szCs w:val="20"/>
                <w:vertAlign w:val="superscript"/>
              </w:rPr>
              <w:t>1</w:t>
            </w:r>
            <w:r w:rsidRPr="002A4BBE">
              <w:rPr>
                <w:rFonts w:ascii="Arial Narrow" w:hAnsi="Arial Narrow"/>
                <w:sz w:val="20"/>
                <w:szCs w:val="20"/>
              </w:rPr>
              <w:t xml:space="preserve"> </w:t>
            </w:r>
          </w:p>
        </w:tc>
        <w:tc>
          <w:tcPr>
            <w:tcW w:w="947" w:type="dxa"/>
          </w:tcPr>
          <w:p w14:paraId="26290305" w14:textId="77777777" w:rsidR="002A4BBE" w:rsidRPr="002A4BBE" w:rsidRDefault="002A4BBE" w:rsidP="002A4BBE">
            <w:pPr>
              <w:spacing w:before="40" w:after="40"/>
              <w:jc w:val="center"/>
              <w:rPr>
                <w:rFonts w:ascii="Arial Narrow" w:hAnsi="Arial Narrow"/>
                <w:sz w:val="20"/>
                <w:szCs w:val="20"/>
              </w:rPr>
            </w:pPr>
          </w:p>
        </w:tc>
        <w:tc>
          <w:tcPr>
            <w:tcW w:w="947" w:type="dxa"/>
          </w:tcPr>
          <w:p w14:paraId="0E659097" w14:textId="77777777" w:rsidR="002A4BBE" w:rsidRPr="002A4BBE" w:rsidRDefault="002A4BBE" w:rsidP="002A4BBE">
            <w:pPr>
              <w:spacing w:before="40" w:after="40"/>
              <w:jc w:val="center"/>
              <w:rPr>
                <w:rFonts w:ascii="Arial Narrow" w:hAnsi="Arial Narrow"/>
                <w:sz w:val="20"/>
                <w:szCs w:val="20"/>
              </w:rPr>
            </w:pPr>
            <w:r w:rsidRPr="002A4BBE">
              <w:rPr>
                <w:rFonts w:ascii="Arial Narrow" w:hAnsi="Arial Narrow"/>
                <w:sz w:val="20"/>
                <w:szCs w:val="20"/>
              </w:rPr>
              <w:t>17</w:t>
            </w:r>
            <w:r w:rsidRPr="002A4BBE">
              <w:rPr>
                <w:rFonts w:ascii="Arial Narrow" w:hAnsi="Arial Narrow"/>
                <w:sz w:val="20"/>
                <w:szCs w:val="20"/>
              </w:rPr>
              <w:br/>
              <w:t>(1.9%)</w:t>
            </w:r>
          </w:p>
        </w:tc>
        <w:tc>
          <w:tcPr>
            <w:tcW w:w="947" w:type="dxa"/>
          </w:tcPr>
          <w:p w14:paraId="6968A60D" w14:textId="77777777" w:rsidR="002A4BBE" w:rsidRPr="002A4BBE" w:rsidRDefault="002A4BBE" w:rsidP="002A4BBE">
            <w:pPr>
              <w:spacing w:before="40" w:after="40"/>
              <w:jc w:val="center"/>
              <w:rPr>
                <w:rFonts w:ascii="Arial Narrow" w:hAnsi="Arial Narrow"/>
                <w:sz w:val="20"/>
                <w:szCs w:val="20"/>
              </w:rPr>
            </w:pPr>
            <w:r w:rsidRPr="002A4BBE">
              <w:rPr>
                <w:rFonts w:ascii="Arial Narrow" w:hAnsi="Arial Narrow"/>
                <w:sz w:val="20"/>
                <w:szCs w:val="20"/>
              </w:rPr>
              <w:t>134 (58.5%)</w:t>
            </w:r>
          </w:p>
        </w:tc>
        <w:tc>
          <w:tcPr>
            <w:tcW w:w="890" w:type="dxa"/>
          </w:tcPr>
          <w:p w14:paraId="6EB73F93" w14:textId="77777777" w:rsidR="002A4BBE" w:rsidRPr="002A4BBE" w:rsidRDefault="002A4BBE" w:rsidP="002A4BBE">
            <w:pPr>
              <w:spacing w:before="40" w:after="40"/>
              <w:jc w:val="center"/>
              <w:rPr>
                <w:rFonts w:ascii="Arial Narrow" w:hAnsi="Arial Narrow"/>
                <w:sz w:val="20"/>
                <w:szCs w:val="20"/>
              </w:rPr>
            </w:pPr>
          </w:p>
        </w:tc>
        <w:tc>
          <w:tcPr>
            <w:tcW w:w="992" w:type="dxa"/>
          </w:tcPr>
          <w:p w14:paraId="070ED81A" w14:textId="77777777" w:rsidR="002A4BBE" w:rsidRPr="002A4BBE" w:rsidRDefault="002A4BBE" w:rsidP="002A4BBE">
            <w:pPr>
              <w:spacing w:before="40" w:after="40"/>
              <w:jc w:val="center"/>
              <w:rPr>
                <w:rFonts w:ascii="Arial Narrow" w:hAnsi="Arial Narrow"/>
                <w:sz w:val="20"/>
                <w:szCs w:val="20"/>
              </w:rPr>
            </w:pPr>
            <w:r w:rsidRPr="002A4BBE">
              <w:rPr>
                <w:rFonts w:ascii="Arial Narrow" w:hAnsi="Arial Narrow"/>
                <w:sz w:val="20"/>
                <w:szCs w:val="20"/>
              </w:rPr>
              <w:t>8</w:t>
            </w:r>
            <w:r w:rsidRPr="002A4BBE">
              <w:rPr>
                <w:rFonts w:ascii="Arial Narrow" w:hAnsi="Arial Narrow"/>
                <w:sz w:val="20"/>
                <w:szCs w:val="20"/>
              </w:rPr>
              <w:br/>
              <w:t>(2.0%)</w:t>
            </w:r>
          </w:p>
        </w:tc>
        <w:tc>
          <w:tcPr>
            <w:tcW w:w="1192" w:type="dxa"/>
          </w:tcPr>
          <w:p w14:paraId="5F850DEC" w14:textId="77777777" w:rsidR="002A4BBE" w:rsidRPr="002A4BBE" w:rsidRDefault="002A4BBE" w:rsidP="002A4BBE">
            <w:pPr>
              <w:spacing w:before="40" w:after="40"/>
              <w:jc w:val="center"/>
              <w:rPr>
                <w:rFonts w:ascii="Arial Narrow" w:hAnsi="Arial Narrow"/>
                <w:sz w:val="20"/>
                <w:szCs w:val="20"/>
              </w:rPr>
            </w:pPr>
            <w:r w:rsidRPr="002A4BBE">
              <w:rPr>
                <w:rFonts w:ascii="Arial Narrow" w:hAnsi="Arial Narrow"/>
                <w:sz w:val="20"/>
                <w:szCs w:val="20"/>
              </w:rPr>
              <w:t>67</w:t>
            </w:r>
            <w:r w:rsidRPr="002A4BBE">
              <w:rPr>
                <w:rFonts w:ascii="Arial Narrow" w:hAnsi="Arial Narrow"/>
                <w:sz w:val="20"/>
                <w:szCs w:val="20"/>
              </w:rPr>
              <w:br/>
              <w:t>(12.5%)</w:t>
            </w:r>
          </w:p>
        </w:tc>
        <w:tc>
          <w:tcPr>
            <w:tcW w:w="1025" w:type="dxa"/>
          </w:tcPr>
          <w:p w14:paraId="0E740495" w14:textId="77777777" w:rsidR="002A4BBE" w:rsidRPr="002A4BBE" w:rsidRDefault="002A4BBE" w:rsidP="002A4BBE">
            <w:pPr>
              <w:spacing w:before="40" w:after="40"/>
              <w:jc w:val="center"/>
              <w:rPr>
                <w:rFonts w:ascii="Arial Narrow" w:hAnsi="Arial Narrow"/>
                <w:sz w:val="20"/>
                <w:szCs w:val="20"/>
              </w:rPr>
            </w:pPr>
            <w:r w:rsidRPr="002A4BBE">
              <w:rPr>
                <w:rFonts w:ascii="Arial Narrow" w:hAnsi="Arial Narrow"/>
                <w:sz w:val="20"/>
                <w:szCs w:val="20"/>
              </w:rPr>
              <w:t>147</w:t>
            </w:r>
            <w:r w:rsidRPr="002A4BBE">
              <w:rPr>
                <w:rFonts w:ascii="Arial Narrow" w:hAnsi="Arial Narrow"/>
                <w:sz w:val="20"/>
                <w:szCs w:val="20"/>
              </w:rPr>
              <w:br/>
              <w:t>(60.0%)</w:t>
            </w:r>
          </w:p>
        </w:tc>
      </w:tr>
      <w:tr w:rsidR="002A4BBE" w:rsidRPr="002A4BBE" w14:paraId="3CEF691D" w14:textId="77777777" w:rsidTr="002A4BBE">
        <w:tc>
          <w:tcPr>
            <w:tcW w:w="2076" w:type="dxa"/>
          </w:tcPr>
          <w:p w14:paraId="2796681A" w14:textId="77777777" w:rsidR="002A4BBE" w:rsidRPr="00401895" w:rsidRDefault="002A4BBE" w:rsidP="002A4BBE">
            <w:pPr>
              <w:spacing w:before="40" w:after="40"/>
              <w:rPr>
                <w:rFonts w:ascii="Arial Narrow" w:hAnsi="Arial Narrow"/>
                <w:b/>
                <w:sz w:val="20"/>
                <w:szCs w:val="20"/>
              </w:rPr>
            </w:pPr>
            <w:r w:rsidRPr="00401895">
              <w:rPr>
                <w:rFonts w:ascii="Arial Narrow" w:hAnsi="Arial Narrow"/>
                <w:b/>
                <w:sz w:val="20"/>
                <w:szCs w:val="20"/>
              </w:rPr>
              <w:t>No. requiring TTE</w:t>
            </w:r>
          </w:p>
        </w:tc>
        <w:tc>
          <w:tcPr>
            <w:tcW w:w="2841" w:type="dxa"/>
            <w:gridSpan w:val="3"/>
          </w:tcPr>
          <w:p w14:paraId="50246C9C" w14:textId="77777777" w:rsidR="002A4BBE" w:rsidRPr="00401895" w:rsidRDefault="002A4BBE" w:rsidP="002A4BBE">
            <w:pPr>
              <w:spacing w:before="40" w:after="40"/>
              <w:jc w:val="center"/>
              <w:rPr>
                <w:rFonts w:ascii="Arial Narrow" w:hAnsi="Arial Narrow"/>
                <w:b/>
                <w:sz w:val="20"/>
                <w:szCs w:val="20"/>
              </w:rPr>
            </w:pPr>
            <w:r w:rsidRPr="00401895">
              <w:rPr>
                <w:rFonts w:ascii="Arial Narrow" w:hAnsi="Arial Narrow"/>
                <w:b/>
                <w:sz w:val="20"/>
                <w:szCs w:val="20"/>
              </w:rPr>
              <w:t>151 (10.7%)</w:t>
            </w:r>
          </w:p>
        </w:tc>
        <w:tc>
          <w:tcPr>
            <w:tcW w:w="4099" w:type="dxa"/>
            <w:gridSpan w:val="4"/>
          </w:tcPr>
          <w:p w14:paraId="20677B3C" w14:textId="77777777" w:rsidR="002A4BBE" w:rsidRPr="00401895" w:rsidRDefault="002A4BBE" w:rsidP="002A4BBE">
            <w:pPr>
              <w:spacing w:before="40" w:after="40"/>
              <w:jc w:val="center"/>
              <w:rPr>
                <w:rFonts w:ascii="Arial Narrow" w:hAnsi="Arial Narrow"/>
                <w:b/>
                <w:sz w:val="20"/>
                <w:szCs w:val="20"/>
              </w:rPr>
            </w:pPr>
            <w:r w:rsidRPr="00401895">
              <w:rPr>
                <w:rFonts w:ascii="Arial Narrow" w:hAnsi="Arial Narrow"/>
                <w:b/>
                <w:sz w:val="20"/>
                <w:szCs w:val="20"/>
              </w:rPr>
              <w:t>222 (15.7%)</w:t>
            </w:r>
          </w:p>
        </w:tc>
      </w:tr>
      <w:tr w:rsidR="002A4BBE" w:rsidRPr="002A4BBE" w14:paraId="1C61642E" w14:textId="77777777" w:rsidTr="002A4BBE">
        <w:tc>
          <w:tcPr>
            <w:tcW w:w="2076" w:type="dxa"/>
          </w:tcPr>
          <w:p w14:paraId="47A05FD7" w14:textId="77777777" w:rsidR="002A4BBE" w:rsidRPr="002A4BBE" w:rsidRDefault="002A4BBE" w:rsidP="002A4BBE">
            <w:pPr>
              <w:spacing w:before="40" w:after="40"/>
              <w:rPr>
                <w:rFonts w:ascii="Arial Narrow" w:hAnsi="Arial Narrow"/>
                <w:sz w:val="20"/>
                <w:szCs w:val="20"/>
              </w:rPr>
            </w:pPr>
            <w:r w:rsidRPr="002A4BBE">
              <w:rPr>
                <w:rFonts w:ascii="Arial Narrow" w:hAnsi="Arial Narrow"/>
                <w:sz w:val="20"/>
                <w:szCs w:val="20"/>
              </w:rPr>
              <w:t>Risk category improved from baseline</w:t>
            </w:r>
            <w:r w:rsidRPr="002A4BBE">
              <w:rPr>
                <w:rFonts w:ascii="Arial Narrow" w:hAnsi="Arial Narrow"/>
                <w:sz w:val="20"/>
                <w:szCs w:val="20"/>
                <w:vertAlign w:val="superscript"/>
              </w:rPr>
              <w:t>2</w:t>
            </w:r>
          </w:p>
        </w:tc>
        <w:tc>
          <w:tcPr>
            <w:tcW w:w="947" w:type="dxa"/>
          </w:tcPr>
          <w:p w14:paraId="6E89A0EE" w14:textId="77777777" w:rsidR="002A4BBE" w:rsidRPr="002A4BBE" w:rsidRDefault="002A4BBE" w:rsidP="002A4BBE">
            <w:pPr>
              <w:spacing w:before="40" w:after="40"/>
              <w:jc w:val="center"/>
              <w:rPr>
                <w:rFonts w:ascii="Arial Narrow" w:hAnsi="Arial Narrow"/>
                <w:sz w:val="20"/>
                <w:szCs w:val="20"/>
              </w:rPr>
            </w:pPr>
            <w:r w:rsidRPr="002A4BBE">
              <w:rPr>
                <w:rFonts w:ascii="Arial Narrow" w:hAnsi="Arial Narrow"/>
                <w:sz w:val="20"/>
                <w:szCs w:val="20"/>
              </w:rPr>
              <w:t>185</w:t>
            </w:r>
            <w:r w:rsidRPr="002A4BBE">
              <w:rPr>
                <w:rFonts w:ascii="Arial Narrow" w:hAnsi="Arial Narrow"/>
                <w:sz w:val="20"/>
                <w:szCs w:val="20"/>
              </w:rPr>
              <w:br/>
              <w:t>(65.6%)</w:t>
            </w:r>
          </w:p>
        </w:tc>
        <w:tc>
          <w:tcPr>
            <w:tcW w:w="947" w:type="dxa"/>
          </w:tcPr>
          <w:p w14:paraId="30EFC4E5" w14:textId="77777777" w:rsidR="002A4BBE" w:rsidRPr="002A4BBE" w:rsidRDefault="002A4BBE" w:rsidP="002A4BBE">
            <w:pPr>
              <w:spacing w:before="40" w:after="40"/>
              <w:jc w:val="center"/>
              <w:rPr>
                <w:rFonts w:ascii="Arial Narrow" w:hAnsi="Arial Narrow"/>
                <w:sz w:val="20"/>
                <w:szCs w:val="20"/>
              </w:rPr>
            </w:pPr>
            <w:r w:rsidRPr="002A4BBE">
              <w:rPr>
                <w:rFonts w:ascii="Arial Narrow" w:hAnsi="Arial Narrow"/>
                <w:sz w:val="20"/>
                <w:szCs w:val="20"/>
              </w:rPr>
              <w:t>104</w:t>
            </w:r>
            <w:r w:rsidRPr="002A4BBE">
              <w:rPr>
                <w:rFonts w:ascii="Arial Narrow" w:hAnsi="Arial Narrow"/>
                <w:sz w:val="20"/>
                <w:szCs w:val="20"/>
              </w:rPr>
              <w:br/>
              <w:t>(11.5%)</w:t>
            </w:r>
          </w:p>
        </w:tc>
        <w:tc>
          <w:tcPr>
            <w:tcW w:w="947" w:type="dxa"/>
          </w:tcPr>
          <w:p w14:paraId="79615789" w14:textId="77777777" w:rsidR="002A4BBE" w:rsidRPr="002A4BBE" w:rsidRDefault="002A4BBE" w:rsidP="002A4BBE">
            <w:pPr>
              <w:spacing w:before="40" w:after="40"/>
              <w:jc w:val="center"/>
              <w:rPr>
                <w:rFonts w:ascii="Arial Narrow" w:hAnsi="Arial Narrow"/>
                <w:sz w:val="20"/>
                <w:szCs w:val="20"/>
              </w:rPr>
            </w:pPr>
          </w:p>
        </w:tc>
        <w:tc>
          <w:tcPr>
            <w:tcW w:w="890" w:type="dxa"/>
          </w:tcPr>
          <w:p w14:paraId="26681483" w14:textId="77777777" w:rsidR="002A4BBE" w:rsidRPr="002A4BBE" w:rsidRDefault="002A4BBE" w:rsidP="002A4BBE">
            <w:pPr>
              <w:spacing w:before="40" w:after="40"/>
              <w:jc w:val="center"/>
              <w:rPr>
                <w:rFonts w:ascii="Arial Narrow" w:hAnsi="Arial Narrow"/>
                <w:sz w:val="20"/>
                <w:szCs w:val="20"/>
              </w:rPr>
            </w:pPr>
            <w:r w:rsidRPr="002A4BBE">
              <w:rPr>
                <w:rFonts w:ascii="Arial Narrow" w:hAnsi="Arial Narrow"/>
                <w:sz w:val="20"/>
                <w:szCs w:val="20"/>
              </w:rPr>
              <w:t>177</w:t>
            </w:r>
            <w:r w:rsidRPr="002A4BBE">
              <w:rPr>
                <w:rFonts w:ascii="Arial Narrow" w:hAnsi="Arial Narrow"/>
                <w:sz w:val="20"/>
                <w:szCs w:val="20"/>
              </w:rPr>
              <w:br/>
              <w:t>(73.8%)</w:t>
            </w:r>
          </w:p>
        </w:tc>
        <w:tc>
          <w:tcPr>
            <w:tcW w:w="992" w:type="dxa"/>
          </w:tcPr>
          <w:p w14:paraId="01E7B53E" w14:textId="77777777" w:rsidR="002A4BBE" w:rsidRPr="002A4BBE" w:rsidRDefault="002A4BBE" w:rsidP="002A4BBE">
            <w:pPr>
              <w:spacing w:before="40" w:after="40"/>
              <w:jc w:val="center"/>
              <w:rPr>
                <w:rFonts w:ascii="Arial Narrow" w:hAnsi="Arial Narrow"/>
                <w:sz w:val="20"/>
                <w:szCs w:val="20"/>
              </w:rPr>
            </w:pPr>
            <w:r w:rsidRPr="002A4BBE">
              <w:rPr>
                <w:rFonts w:ascii="Arial Narrow" w:hAnsi="Arial Narrow"/>
                <w:sz w:val="20"/>
                <w:szCs w:val="20"/>
              </w:rPr>
              <w:t>216</w:t>
            </w:r>
            <w:r w:rsidRPr="002A4BBE">
              <w:rPr>
                <w:rFonts w:ascii="Arial Narrow" w:hAnsi="Arial Narrow"/>
                <w:sz w:val="20"/>
                <w:szCs w:val="20"/>
              </w:rPr>
              <w:br/>
              <w:t>(54.7%)</w:t>
            </w:r>
          </w:p>
        </w:tc>
        <w:tc>
          <w:tcPr>
            <w:tcW w:w="1192" w:type="dxa"/>
          </w:tcPr>
          <w:p w14:paraId="3120C239" w14:textId="77777777" w:rsidR="002A4BBE" w:rsidRPr="002A4BBE" w:rsidRDefault="002A4BBE" w:rsidP="002A4BBE">
            <w:pPr>
              <w:spacing w:before="40" w:after="40"/>
              <w:jc w:val="center"/>
              <w:rPr>
                <w:rFonts w:ascii="Arial Narrow" w:hAnsi="Arial Narrow"/>
                <w:sz w:val="20"/>
                <w:szCs w:val="20"/>
              </w:rPr>
            </w:pPr>
            <w:r w:rsidRPr="002A4BBE">
              <w:rPr>
                <w:rFonts w:ascii="Arial Narrow" w:hAnsi="Arial Narrow"/>
                <w:sz w:val="20"/>
                <w:szCs w:val="20"/>
              </w:rPr>
              <w:t>80</w:t>
            </w:r>
            <w:r w:rsidRPr="002A4BBE">
              <w:rPr>
                <w:rFonts w:ascii="Arial Narrow" w:hAnsi="Arial Narrow"/>
                <w:sz w:val="20"/>
                <w:szCs w:val="20"/>
              </w:rPr>
              <w:br/>
              <w:t>(15.0%)</w:t>
            </w:r>
          </w:p>
        </w:tc>
        <w:tc>
          <w:tcPr>
            <w:tcW w:w="1025" w:type="dxa"/>
          </w:tcPr>
          <w:p w14:paraId="50C7CF1D" w14:textId="77777777" w:rsidR="002A4BBE" w:rsidRPr="002A4BBE" w:rsidRDefault="002A4BBE" w:rsidP="002A4BBE">
            <w:pPr>
              <w:spacing w:before="40" w:after="40"/>
              <w:jc w:val="center"/>
              <w:rPr>
                <w:rFonts w:ascii="Arial Narrow" w:hAnsi="Arial Narrow"/>
                <w:sz w:val="20"/>
                <w:szCs w:val="20"/>
              </w:rPr>
            </w:pPr>
          </w:p>
        </w:tc>
      </w:tr>
      <w:tr w:rsidR="002A4BBE" w:rsidRPr="002A4BBE" w14:paraId="6D943C2B" w14:textId="77777777" w:rsidTr="002A4BBE">
        <w:tc>
          <w:tcPr>
            <w:tcW w:w="2076" w:type="dxa"/>
          </w:tcPr>
          <w:p w14:paraId="5F4CE79D" w14:textId="77777777" w:rsidR="002A4BBE" w:rsidRPr="00401895" w:rsidRDefault="002A4BBE" w:rsidP="002A4BBE">
            <w:pPr>
              <w:spacing w:before="40" w:after="40"/>
              <w:rPr>
                <w:rFonts w:ascii="Arial Narrow" w:hAnsi="Arial Narrow"/>
                <w:b/>
                <w:sz w:val="20"/>
                <w:szCs w:val="20"/>
              </w:rPr>
            </w:pPr>
            <w:r w:rsidRPr="00401895">
              <w:rPr>
                <w:rFonts w:ascii="Arial Narrow" w:hAnsi="Arial Narrow"/>
                <w:b/>
                <w:sz w:val="20"/>
                <w:szCs w:val="20"/>
              </w:rPr>
              <w:t>No. requiring TTE</w:t>
            </w:r>
          </w:p>
        </w:tc>
        <w:tc>
          <w:tcPr>
            <w:tcW w:w="2841" w:type="dxa"/>
            <w:gridSpan w:val="3"/>
          </w:tcPr>
          <w:p w14:paraId="245E6700" w14:textId="77777777" w:rsidR="002A4BBE" w:rsidRPr="00401895" w:rsidRDefault="002A4BBE" w:rsidP="002A4BBE">
            <w:pPr>
              <w:spacing w:before="40" w:after="40"/>
              <w:jc w:val="center"/>
              <w:rPr>
                <w:rFonts w:ascii="Arial Narrow" w:hAnsi="Arial Narrow"/>
                <w:b/>
                <w:sz w:val="20"/>
                <w:szCs w:val="20"/>
              </w:rPr>
            </w:pPr>
            <w:r w:rsidRPr="00401895">
              <w:rPr>
                <w:rFonts w:ascii="Arial Narrow" w:hAnsi="Arial Narrow"/>
                <w:b/>
                <w:sz w:val="20"/>
                <w:szCs w:val="20"/>
              </w:rPr>
              <w:t>289 (20.4%)</w:t>
            </w:r>
          </w:p>
        </w:tc>
        <w:tc>
          <w:tcPr>
            <w:tcW w:w="4099" w:type="dxa"/>
            <w:gridSpan w:val="4"/>
          </w:tcPr>
          <w:p w14:paraId="54A2333B" w14:textId="77777777" w:rsidR="002A4BBE" w:rsidRPr="00401895" w:rsidRDefault="002A4BBE" w:rsidP="002A4BBE">
            <w:pPr>
              <w:spacing w:before="40" w:after="40"/>
              <w:jc w:val="center"/>
              <w:rPr>
                <w:rFonts w:ascii="Arial Narrow" w:hAnsi="Arial Narrow"/>
                <w:b/>
                <w:sz w:val="20"/>
                <w:szCs w:val="20"/>
              </w:rPr>
            </w:pPr>
            <w:r w:rsidRPr="00401895">
              <w:rPr>
                <w:rFonts w:ascii="Arial Narrow" w:hAnsi="Arial Narrow"/>
                <w:b/>
                <w:sz w:val="20"/>
                <w:szCs w:val="20"/>
              </w:rPr>
              <w:t>473 (33.5%)</w:t>
            </w:r>
          </w:p>
        </w:tc>
      </w:tr>
      <w:tr w:rsidR="002A4BBE" w:rsidRPr="002A4BBE" w14:paraId="40430194" w14:textId="77777777" w:rsidTr="002A4BBE">
        <w:tc>
          <w:tcPr>
            <w:tcW w:w="2076" w:type="dxa"/>
          </w:tcPr>
          <w:p w14:paraId="6AD52060" w14:textId="77777777" w:rsidR="002A4BBE" w:rsidRPr="002A4BBE" w:rsidRDefault="002A4BBE" w:rsidP="002A4BBE">
            <w:pPr>
              <w:spacing w:before="40" w:after="40"/>
              <w:rPr>
                <w:rFonts w:ascii="Arial Narrow" w:hAnsi="Arial Narrow"/>
                <w:sz w:val="20"/>
                <w:szCs w:val="20"/>
              </w:rPr>
            </w:pPr>
            <w:r w:rsidRPr="002A4BBE">
              <w:rPr>
                <w:rFonts w:ascii="Arial Narrow" w:hAnsi="Arial Narrow"/>
                <w:sz w:val="20"/>
                <w:szCs w:val="20"/>
              </w:rPr>
              <w:t>No, with stable disease</w:t>
            </w:r>
          </w:p>
        </w:tc>
        <w:tc>
          <w:tcPr>
            <w:tcW w:w="947" w:type="dxa"/>
          </w:tcPr>
          <w:p w14:paraId="0D47EC4D" w14:textId="77777777" w:rsidR="002A4BBE" w:rsidRPr="002A4BBE" w:rsidRDefault="002A4BBE" w:rsidP="002A4BBE">
            <w:pPr>
              <w:spacing w:before="40" w:after="40"/>
              <w:jc w:val="center"/>
              <w:rPr>
                <w:rFonts w:ascii="Arial Narrow" w:hAnsi="Arial Narrow"/>
                <w:sz w:val="20"/>
                <w:szCs w:val="20"/>
              </w:rPr>
            </w:pPr>
            <w:r w:rsidRPr="002A4BBE">
              <w:rPr>
                <w:rFonts w:ascii="Arial Narrow" w:hAnsi="Arial Narrow"/>
                <w:sz w:val="20"/>
                <w:szCs w:val="20"/>
              </w:rPr>
              <w:t>97</w:t>
            </w:r>
            <w:r w:rsidRPr="002A4BBE">
              <w:rPr>
                <w:rFonts w:ascii="Arial Narrow" w:hAnsi="Arial Narrow"/>
                <w:sz w:val="20"/>
                <w:szCs w:val="20"/>
              </w:rPr>
              <w:br/>
              <w:t>(34.4%)</w:t>
            </w:r>
          </w:p>
        </w:tc>
        <w:tc>
          <w:tcPr>
            <w:tcW w:w="947" w:type="dxa"/>
          </w:tcPr>
          <w:p w14:paraId="1B410F54" w14:textId="77777777" w:rsidR="002A4BBE" w:rsidRPr="002A4BBE" w:rsidRDefault="002A4BBE" w:rsidP="002A4BBE">
            <w:pPr>
              <w:spacing w:before="40" w:after="40"/>
              <w:jc w:val="center"/>
              <w:rPr>
                <w:rFonts w:ascii="Arial Narrow" w:hAnsi="Arial Narrow"/>
                <w:sz w:val="20"/>
                <w:szCs w:val="20"/>
              </w:rPr>
            </w:pPr>
            <w:r w:rsidRPr="002A4BBE">
              <w:rPr>
                <w:rFonts w:ascii="Arial Narrow" w:hAnsi="Arial Narrow"/>
                <w:sz w:val="20"/>
                <w:szCs w:val="20"/>
              </w:rPr>
              <w:t>782 (86.6%)</w:t>
            </w:r>
          </w:p>
        </w:tc>
        <w:tc>
          <w:tcPr>
            <w:tcW w:w="947" w:type="dxa"/>
          </w:tcPr>
          <w:p w14:paraId="29F5DCB0" w14:textId="77777777" w:rsidR="002A4BBE" w:rsidRPr="002A4BBE" w:rsidRDefault="002A4BBE" w:rsidP="002A4BBE">
            <w:pPr>
              <w:spacing w:before="40" w:after="40"/>
              <w:jc w:val="center"/>
              <w:rPr>
                <w:rFonts w:ascii="Arial Narrow" w:hAnsi="Arial Narrow"/>
                <w:sz w:val="20"/>
                <w:szCs w:val="20"/>
              </w:rPr>
            </w:pPr>
            <w:r w:rsidRPr="002A4BBE">
              <w:rPr>
                <w:rFonts w:ascii="Arial Narrow" w:hAnsi="Arial Narrow"/>
                <w:sz w:val="20"/>
                <w:szCs w:val="20"/>
              </w:rPr>
              <w:t>95</w:t>
            </w:r>
            <w:r w:rsidRPr="002A4BBE">
              <w:rPr>
                <w:rFonts w:ascii="Arial Narrow" w:hAnsi="Arial Narrow"/>
                <w:sz w:val="20"/>
                <w:szCs w:val="20"/>
              </w:rPr>
              <w:br/>
              <w:t>(41.5%)</w:t>
            </w:r>
          </w:p>
        </w:tc>
        <w:tc>
          <w:tcPr>
            <w:tcW w:w="890" w:type="dxa"/>
          </w:tcPr>
          <w:p w14:paraId="5820173D" w14:textId="77777777" w:rsidR="002A4BBE" w:rsidRPr="002A4BBE" w:rsidRDefault="002A4BBE" w:rsidP="002A4BBE">
            <w:pPr>
              <w:spacing w:before="40" w:after="40"/>
              <w:jc w:val="center"/>
              <w:rPr>
                <w:rFonts w:ascii="Arial Narrow" w:hAnsi="Arial Narrow"/>
                <w:sz w:val="20"/>
                <w:szCs w:val="20"/>
              </w:rPr>
            </w:pPr>
            <w:r w:rsidRPr="002A4BBE">
              <w:rPr>
                <w:rFonts w:ascii="Arial Narrow" w:hAnsi="Arial Narrow"/>
                <w:sz w:val="20"/>
                <w:szCs w:val="20"/>
              </w:rPr>
              <w:t>63</w:t>
            </w:r>
            <w:r w:rsidRPr="002A4BBE">
              <w:rPr>
                <w:rFonts w:ascii="Arial Narrow" w:hAnsi="Arial Narrow"/>
                <w:sz w:val="20"/>
                <w:szCs w:val="20"/>
              </w:rPr>
              <w:br/>
              <w:t>(26.3%)</w:t>
            </w:r>
          </w:p>
        </w:tc>
        <w:tc>
          <w:tcPr>
            <w:tcW w:w="992" w:type="dxa"/>
          </w:tcPr>
          <w:p w14:paraId="62286E0D" w14:textId="77777777" w:rsidR="002A4BBE" w:rsidRPr="002A4BBE" w:rsidRDefault="002A4BBE" w:rsidP="002A4BBE">
            <w:pPr>
              <w:spacing w:before="40" w:after="40"/>
              <w:jc w:val="center"/>
              <w:rPr>
                <w:rFonts w:ascii="Arial Narrow" w:hAnsi="Arial Narrow"/>
                <w:sz w:val="20"/>
                <w:szCs w:val="20"/>
              </w:rPr>
            </w:pPr>
            <w:r w:rsidRPr="002A4BBE">
              <w:rPr>
                <w:rFonts w:ascii="Arial Narrow" w:hAnsi="Arial Narrow"/>
                <w:sz w:val="20"/>
                <w:szCs w:val="20"/>
              </w:rPr>
              <w:t>171 (43.3%)</w:t>
            </w:r>
          </w:p>
        </w:tc>
        <w:tc>
          <w:tcPr>
            <w:tcW w:w="1192" w:type="dxa"/>
          </w:tcPr>
          <w:p w14:paraId="4412E255" w14:textId="77777777" w:rsidR="002A4BBE" w:rsidRPr="002A4BBE" w:rsidRDefault="002A4BBE" w:rsidP="002A4BBE">
            <w:pPr>
              <w:spacing w:before="40" w:after="40"/>
              <w:jc w:val="center"/>
              <w:rPr>
                <w:rFonts w:ascii="Arial Narrow" w:hAnsi="Arial Narrow"/>
                <w:sz w:val="20"/>
                <w:szCs w:val="20"/>
              </w:rPr>
            </w:pPr>
            <w:r w:rsidRPr="002A4BBE">
              <w:rPr>
                <w:rFonts w:ascii="Arial Narrow" w:hAnsi="Arial Narrow"/>
                <w:sz w:val="20"/>
                <w:szCs w:val="20"/>
              </w:rPr>
              <w:t>387</w:t>
            </w:r>
            <w:r w:rsidRPr="002A4BBE">
              <w:rPr>
                <w:rFonts w:ascii="Arial Narrow" w:hAnsi="Arial Narrow"/>
                <w:sz w:val="20"/>
                <w:szCs w:val="20"/>
              </w:rPr>
              <w:br/>
              <w:t>(72.5%)</w:t>
            </w:r>
          </w:p>
        </w:tc>
        <w:tc>
          <w:tcPr>
            <w:tcW w:w="1025" w:type="dxa"/>
          </w:tcPr>
          <w:p w14:paraId="2381A927" w14:textId="77777777" w:rsidR="002A4BBE" w:rsidRPr="002A4BBE" w:rsidRDefault="002A4BBE" w:rsidP="002A4BBE">
            <w:pPr>
              <w:spacing w:before="40" w:after="40"/>
              <w:jc w:val="center"/>
              <w:rPr>
                <w:rFonts w:ascii="Arial Narrow" w:hAnsi="Arial Narrow"/>
                <w:sz w:val="20"/>
                <w:szCs w:val="20"/>
              </w:rPr>
            </w:pPr>
            <w:r w:rsidRPr="002A4BBE">
              <w:rPr>
                <w:rFonts w:ascii="Arial Narrow" w:hAnsi="Arial Narrow"/>
                <w:sz w:val="20"/>
                <w:szCs w:val="20"/>
              </w:rPr>
              <w:t>98</w:t>
            </w:r>
            <w:r w:rsidRPr="002A4BBE">
              <w:rPr>
                <w:rFonts w:ascii="Arial Narrow" w:hAnsi="Arial Narrow"/>
                <w:sz w:val="20"/>
                <w:szCs w:val="20"/>
              </w:rPr>
              <w:br/>
              <w:t>(40.0%)</w:t>
            </w:r>
          </w:p>
        </w:tc>
      </w:tr>
      <w:tr w:rsidR="002A4BBE" w:rsidRPr="002A4BBE" w14:paraId="0597106E" w14:textId="77777777" w:rsidTr="002A4BBE">
        <w:tc>
          <w:tcPr>
            <w:tcW w:w="2076" w:type="dxa"/>
          </w:tcPr>
          <w:p w14:paraId="65A05E62" w14:textId="77777777" w:rsidR="002A4BBE" w:rsidRPr="002A4BBE" w:rsidRDefault="002A4BBE" w:rsidP="002A4BBE">
            <w:pPr>
              <w:spacing w:before="40" w:after="40"/>
              <w:rPr>
                <w:rFonts w:ascii="Arial Narrow" w:hAnsi="Arial Narrow"/>
                <w:sz w:val="20"/>
                <w:szCs w:val="20"/>
              </w:rPr>
            </w:pPr>
            <w:r w:rsidRPr="002A4BBE">
              <w:rPr>
                <w:rFonts w:ascii="Arial Narrow" w:hAnsi="Arial Narrow"/>
                <w:sz w:val="20"/>
                <w:szCs w:val="20"/>
              </w:rPr>
              <w:t>CHD comorbidity</w:t>
            </w:r>
            <w:r w:rsidRPr="002A4BBE">
              <w:rPr>
                <w:rFonts w:ascii="Arial Narrow" w:hAnsi="Arial Narrow"/>
                <w:sz w:val="20"/>
                <w:szCs w:val="20"/>
                <w:vertAlign w:val="superscript"/>
              </w:rPr>
              <w:t>3</w:t>
            </w:r>
          </w:p>
        </w:tc>
        <w:tc>
          <w:tcPr>
            <w:tcW w:w="947" w:type="dxa"/>
          </w:tcPr>
          <w:p w14:paraId="5451CAB7" w14:textId="77777777" w:rsidR="002A4BBE" w:rsidRPr="002A4BBE" w:rsidRDefault="002A4BBE" w:rsidP="002A4BBE">
            <w:pPr>
              <w:spacing w:before="40" w:after="40"/>
              <w:jc w:val="center"/>
              <w:rPr>
                <w:rFonts w:ascii="Arial Narrow" w:hAnsi="Arial Narrow"/>
                <w:sz w:val="20"/>
                <w:szCs w:val="20"/>
              </w:rPr>
            </w:pPr>
            <w:r w:rsidRPr="002A4BBE">
              <w:rPr>
                <w:rFonts w:ascii="Arial Narrow" w:hAnsi="Arial Narrow"/>
                <w:sz w:val="20"/>
                <w:szCs w:val="20"/>
              </w:rPr>
              <w:t>7.5%</w:t>
            </w:r>
          </w:p>
        </w:tc>
        <w:tc>
          <w:tcPr>
            <w:tcW w:w="947" w:type="dxa"/>
          </w:tcPr>
          <w:p w14:paraId="60DAA4A5" w14:textId="77777777" w:rsidR="002A4BBE" w:rsidRPr="002A4BBE" w:rsidRDefault="002A4BBE" w:rsidP="002A4BBE">
            <w:pPr>
              <w:spacing w:before="40" w:after="40"/>
              <w:jc w:val="center"/>
              <w:rPr>
                <w:rFonts w:ascii="Arial Narrow" w:hAnsi="Arial Narrow"/>
                <w:sz w:val="20"/>
                <w:szCs w:val="20"/>
              </w:rPr>
            </w:pPr>
            <w:r w:rsidRPr="002A4BBE">
              <w:rPr>
                <w:rFonts w:ascii="Arial Narrow" w:hAnsi="Arial Narrow"/>
                <w:sz w:val="20"/>
                <w:szCs w:val="20"/>
              </w:rPr>
              <w:t>42.5%</w:t>
            </w:r>
          </w:p>
        </w:tc>
        <w:tc>
          <w:tcPr>
            <w:tcW w:w="947" w:type="dxa"/>
          </w:tcPr>
          <w:p w14:paraId="3EEB49CC" w14:textId="77777777" w:rsidR="002A4BBE" w:rsidRPr="002A4BBE" w:rsidRDefault="002A4BBE" w:rsidP="002A4BBE">
            <w:pPr>
              <w:spacing w:before="40" w:after="40"/>
              <w:jc w:val="center"/>
              <w:rPr>
                <w:rFonts w:ascii="Arial Narrow" w:hAnsi="Arial Narrow"/>
                <w:sz w:val="20"/>
                <w:szCs w:val="20"/>
              </w:rPr>
            </w:pPr>
          </w:p>
        </w:tc>
        <w:tc>
          <w:tcPr>
            <w:tcW w:w="890" w:type="dxa"/>
          </w:tcPr>
          <w:p w14:paraId="637AFA9D" w14:textId="77777777" w:rsidR="002A4BBE" w:rsidRPr="002A4BBE" w:rsidRDefault="002A4BBE" w:rsidP="002A4BBE">
            <w:pPr>
              <w:spacing w:before="40" w:after="40"/>
              <w:jc w:val="center"/>
              <w:rPr>
                <w:rFonts w:ascii="Arial Narrow" w:hAnsi="Arial Narrow"/>
                <w:sz w:val="20"/>
                <w:szCs w:val="20"/>
              </w:rPr>
            </w:pPr>
            <w:r w:rsidRPr="002A4BBE">
              <w:rPr>
                <w:rFonts w:ascii="Arial Narrow" w:hAnsi="Arial Narrow"/>
                <w:sz w:val="20"/>
                <w:szCs w:val="20"/>
              </w:rPr>
              <w:t>7.5%</w:t>
            </w:r>
          </w:p>
        </w:tc>
        <w:tc>
          <w:tcPr>
            <w:tcW w:w="992" w:type="dxa"/>
          </w:tcPr>
          <w:p w14:paraId="7FED3B43" w14:textId="77777777" w:rsidR="002A4BBE" w:rsidRPr="002A4BBE" w:rsidRDefault="002A4BBE" w:rsidP="002A4BBE">
            <w:pPr>
              <w:spacing w:before="40" w:after="40"/>
              <w:jc w:val="center"/>
              <w:rPr>
                <w:rFonts w:ascii="Arial Narrow" w:hAnsi="Arial Narrow"/>
                <w:sz w:val="20"/>
                <w:szCs w:val="20"/>
              </w:rPr>
            </w:pPr>
            <w:r w:rsidRPr="002A4BBE">
              <w:rPr>
                <w:rFonts w:ascii="Arial Narrow" w:hAnsi="Arial Narrow"/>
                <w:sz w:val="20"/>
                <w:szCs w:val="20"/>
              </w:rPr>
              <w:t>18.5%</w:t>
            </w:r>
          </w:p>
        </w:tc>
        <w:tc>
          <w:tcPr>
            <w:tcW w:w="1192" w:type="dxa"/>
          </w:tcPr>
          <w:p w14:paraId="4B077E90" w14:textId="77777777" w:rsidR="002A4BBE" w:rsidRPr="002A4BBE" w:rsidRDefault="002A4BBE" w:rsidP="002A4BBE">
            <w:pPr>
              <w:spacing w:before="40" w:after="40"/>
              <w:jc w:val="center"/>
              <w:rPr>
                <w:rFonts w:ascii="Arial Narrow" w:hAnsi="Arial Narrow"/>
                <w:sz w:val="20"/>
                <w:szCs w:val="20"/>
              </w:rPr>
            </w:pPr>
          </w:p>
        </w:tc>
        <w:tc>
          <w:tcPr>
            <w:tcW w:w="1025" w:type="dxa"/>
          </w:tcPr>
          <w:p w14:paraId="798F32A6" w14:textId="77777777" w:rsidR="002A4BBE" w:rsidRPr="002A4BBE" w:rsidRDefault="002A4BBE" w:rsidP="002A4BBE">
            <w:pPr>
              <w:spacing w:before="40" w:after="40"/>
              <w:jc w:val="center"/>
              <w:rPr>
                <w:rFonts w:ascii="Arial Narrow" w:hAnsi="Arial Narrow"/>
                <w:sz w:val="20"/>
                <w:szCs w:val="20"/>
              </w:rPr>
            </w:pPr>
          </w:p>
        </w:tc>
      </w:tr>
      <w:tr w:rsidR="002A4BBE" w:rsidRPr="002A4BBE" w14:paraId="2178C775" w14:textId="77777777" w:rsidTr="002A4BBE">
        <w:tc>
          <w:tcPr>
            <w:tcW w:w="2076" w:type="dxa"/>
          </w:tcPr>
          <w:p w14:paraId="0F5E04D6" w14:textId="77777777" w:rsidR="002A4BBE" w:rsidRPr="002A4BBE" w:rsidRDefault="002A4BBE" w:rsidP="002A4BBE">
            <w:pPr>
              <w:spacing w:before="40" w:after="40"/>
              <w:rPr>
                <w:rFonts w:ascii="Arial Narrow" w:hAnsi="Arial Narrow"/>
                <w:sz w:val="20"/>
                <w:szCs w:val="20"/>
              </w:rPr>
            </w:pPr>
            <w:r w:rsidRPr="002A4BBE">
              <w:rPr>
                <w:rFonts w:ascii="Arial Narrow" w:hAnsi="Arial Narrow"/>
                <w:sz w:val="20"/>
                <w:szCs w:val="20"/>
              </w:rPr>
              <w:t>CTD-PAH + ILD</w:t>
            </w:r>
            <w:r w:rsidRPr="002A4BBE">
              <w:rPr>
                <w:rFonts w:ascii="Arial Narrow" w:hAnsi="Arial Narrow"/>
                <w:sz w:val="20"/>
                <w:szCs w:val="20"/>
                <w:vertAlign w:val="superscript"/>
              </w:rPr>
              <w:t>3</w:t>
            </w:r>
          </w:p>
        </w:tc>
        <w:tc>
          <w:tcPr>
            <w:tcW w:w="947" w:type="dxa"/>
          </w:tcPr>
          <w:p w14:paraId="24EC340D" w14:textId="77777777" w:rsidR="002A4BBE" w:rsidRPr="002A4BBE" w:rsidRDefault="002A4BBE" w:rsidP="002A4BBE">
            <w:pPr>
              <w:spacing w:before="40" w:after="40"/>
              <w:jc w:val="center"/>
              <w:rPr>
                <w:rFonts w:ascii="Arial Narrow" w:hAnsi="Arial Narrow"/>
                <w:sz w:val="20"/>
                <w:szCs w:val="20"/>
              </w:rPr>
            </w:pPr>
            <w:r w:rsidRPr="002A4BBE">
              <w:rPr>
                <w:rFonts w:ascii="Arial Narrow" w:hAnsi="Arial Narrow"/>
                <w:sz w:val="20"/>
                <w:szCs w:val="20"/>
              </w:rPr>
              <w:t>5.9%</w:t>
            </w:r>
          </w:p>
        </w:tc>
        <w:tc>
          <w:tcPr>
            <w:tcW w:w="947" w:type="dxa"/>
          </w:tcPr>
          <w:p w14:paraId="149593F1" w14:textId="77777777" w:rsidR="002A4BBE" w:rsidRPr="002A4BBE" w:rsidRDefault="002A4BBE" w:rsidP="002A4BBE">
            <w:pPr>
              <w:spacing w:before="40" w:after="40"/>
              <w:jc w:val="center"/>
              <w:rPr>
                <w:rFonts w:ascii="Arial Narrow" w:hAnsi="Arial Narrow"/>
                <w:sz w:val="20"/>
                <w:szCs w:val="20"/>
              </w:rPr>
            </w:pPr>
            <w:r w:rsidRPr="002A4BBE">
              <w:rPr>
                <w:rFonts w:ascii="Arial Narrow" w:hAnsi="Arial Narrow"/>
                <w:sz w:val="20"/>
                <w:szCs w:val="20"/>
              </w:rPr>
              <w:t>12.3%</w:t>
            </w:r>
          </w:p>
        </w:tc>
        <w:tc>
          <w:tcPr>
            <w:tcW w:w="947" w:type="dxa"/>
          </w:tcPr>
          <w:p w14:paraId="49594763" w14:textId="77777777" w:rsidR="002A4BBE" w:rsidRPr="002A4BBE" w:rsidRDefault="002A4BBE" w:rsidP="002A4BBE">
            <w:pPr>
              <w:spacing w:before="40" w:after="40"/>
              <w:jc w:val="center"/>
              <w:rPr>
                <w:rFonts w:ascii="Arial Narrow" w:hAnsi="Arial Narrow"/>
                <w:sz w:val="20"/>
                <w:szCs w:val="20"/>
              </w:rPr>
            </w:pPr>
          </w:p>
        </w:tc>
        <w:tc>
          <w:tcPr>
            <w:tcW w:w="890" w:type="dxa"/>
          </w:tcPr>
          <w:p w14:paraId="01147BB5" w14:textId="77777777" w:rsidR="002A4BBE" w:rsidRPr="002A4BBE" w:rsidRDefault="002A4BBE" w:rsidP="002A4BBE">
            <w:pPr>
              <w:spacing w:before="40" w:after="40"/>
              <w:jc w:val="center"/>
              <w:rPr>
                <w:rFonts w:ascii="Arial Narrow" w:hAnsi="Arial Narrow"/>
                <w:sz w:val="20"/>
                <w:szCs w:val="20"/>
              </w:rPr>
            </w:pPr>
            <w:r w:rsidRPr="002A4BBE">
              <w:rPr>
                <w:rFonts w:ascii="Arial Narrow" w:hAnsi="Arial Narrow"/>
                <w:sz w:val="20"/>
                <w:szCs w:val="20"/>
              </w:rPr>
              <w:t>5.9%</w:t>
            </w:r>
          </w:p>
        </w:tc>
        <w:tc>
          <w:tcPr>
            <w:tcW w:w="992" w:type="dxa"/>
          </w:tcPr>
          <w:p w14:paraId="09DA80F6" w14:textId="77777777" w:rsidR="002A4BBE" w:rsidRPr="002A4BBE" w:rsidRDefault="002A4BBE" w:rsidP="002A4BBE">
            <w:pPr>
              <w:spacing w:before="40" w:after="40"/>
              <w:jc w:val="center"/>
              <w:rPr>
                <w:rFonts w:ascii="Arial Narrow" w:hAnsi="Arial Narrow"/>
                <w:sz w:val="20"/>
                <w:szCs w:val="20"/>
              </w:rPr>
            </w:pPr>
            <w:r w:rsidRPr="002A4BBE">
              <w:rPr>
                <w:rFonts w:ascii="Arial Narrow" w:hAnsi="Arial Narrow"/>
                <w:sz w:val="20"/>
                <w:szCs w:val="20"/>
              </w:rPr>
              <w:t>5.9%</w:t>
            </w:r>
          </w:p>
        </w:tc>
        <w:tc>
          <w:tcPr>
            <w:tcW w:w="1192" w:type="dxa"/>
          </w:tcPr>
          <w:p w14:paraId="1E92054F" w14:textId="77777777" w:rsidR="002A4BBE" w:rsidRPr="002A4BBE" w:rsidRDefault="002A4BBE" w:rsidP="002A4BBE">
            <w:pPr>
              <w:spacing w:before="40" w:after="40"/>
              <w:jc w:val="center"/>
              <w:rPr>
                <w:rFonts w:ascii="Arial Narrow" w:hAnsi="Arial Narrow"/>
                <w:sz w:val="20"/>
                <w:szCs w:val="20"/>
              </w:rPr>
            </w:pPr>
          </w:p>
        </w:tc>
        <w:tc>
          <w:tcPr>
            <w:tcW w:w="1025" w:type="dxa"/>
          </w:tcPr>
          <w:p w14:paraId="62E25F8E" w14:textId="77777777" w:rsidR="002A4BBE" w:rsidRPr="002A4BBE" w:rsidRDefault="002A4BBE" w:rsidP="002A4BBE">
            <w:pPr>
              <w:spacing w:before="40" w:after="40"/>
              <w:jc w:val="center"/>
              <w:rPr>
                <w:rFonts w:ascii="Arial Narrow" w:hAnsi="Arial Narrow"/>
                <w:sz w:val="20"/>
                <w:szCs w:val="20"/>
              </w:rPr>
            </w:pPr>
          </w:p>
        </w:tc>
      </w:tr>
      <w:tr w:rsidR="002A4BBE" w:rsidRPr="002A4BBE" w14:paraId="1728B10E" w14:textId="77777777" w:rsidTr="002A4BBE">
        <w:tc>
          <w:tcPr>
            <w:tcW w:w="2076" w:type="dxa"/>
          </w:tcPr>
          <w:p w14:paraId="31888ED9" w14:textId="14F964F6" w:rsidR="002A4BBE" w:rsidRPr="00401895" w:rsidRDefault="002A4BBE" w:rsidP="002A4BBE">
            <w:pPr>
              <w:spacing w:before="40" w:after="40"/>
              <w:rPr>
                <w:rFonts w:ascii="Arial Narrow" w:hAnsi="Arial Narrow"/>
                <w:b/>
                <w:sz w:val="20"/>
                <w:szCs w:val="20"/>
              </w:rPr>
            </w:pPr>
            <w:r w:rsidRPr="00401895">
              <w:rPr>
                <w:rFonts w:ascii="Arial Narrow" w:hAnsi="Arial Narrow"/>
                <w:b/>
                <w:sz w:val="20"/>
                <w:szCs w:val="20"/>
              </w:rPr>
              <w:t>No. additional TTEs</w:t>
            </w:r>
            <w:r w:rsidR="00401895">
              <w:rPr>
                <w:rFonts w:ascii="Arial Narrow" w:hAnsi="Arial Narrow"/>
                <w:b/>
                <w:sz w:val="20"/>
                <w:szCs w:val="20"/>
              </w:rPr>
              <w:t xml:space="preserve"> (N)</w:t>
            </w:r>
          </w:p>
        </w:tc>
        <w:tc>
          <w:tcPr>
            <w:tcW w:w="947" w:type="dxa"/>
          </w:tcPr>
          <w:p w14:paraId="5EDCEF46" w14:textId="77777777" w:rsidR="002A4BBE" w:rsidRPr="00401895" w:rsidRDefault="002A4BBE" w:rsidP="002A4BBE">
            <w:pPr>
              <w:spacing w:before="40" w:after="40"/>
              <w:jc w:val="center"/>
              <w:rPr>
                <w:rFonts w:ascii="Arial Narrow" w:hAnsi="Arial Narrow"/>
                <w:b/>
                <w:sz w:val="20"/>
                <w:szCs w:val="20"/>
              </w:rPr>
            </w:pPr>
            <w:r w:rsidRPr="00401895">
              <w:rPr>
                <w:rFonts w:ascii="Arial Narrow" w:hAnsi="Arial Narrow"/>
                <w:b/>
                <w:sz w:val="20"/>
                <w:szCs w:val="20"/>
              </w:rPr>
              <w:t xml:space="preserve">13 </w:t>
            </w:r>
            <w:r w:rsidRPr="00401895">
              <w:rPr>
                <w:rFonts w:ascii="Arial Narrow" w:hAnsi="Arial Narrow"/>
                <w:b/>
                <w:sz w:val="20"/>
                <w:szCs w:val="20"/>
                <w:vertAlign w:val="superscript"/>
              </w:rPr>
              <w:t>4</w:t>
            </w:r>
          </w:p>
        </w:tc>
        <w:tc>
          <w:tcPr>
            <w:tcW w:w="947" w:type="dxa"/>
          </w:tcPr>
          <w:p w14:paraId="5CD44577" w14:textId="77777777" w:rsidR="002A4BBE" w:rsidRPr="00401895" w:rsidRDefault="002A4BBE" w:rsidP="002A4BBE">
            <w:pPr>
              <w:spacing w:before="40" w:after="40"/>
              <w:jc w:val="center"/>
              <w:rPr>
                <w:rFonts w:ascii="Arial Narrow" w:hAnsi="Arial Narrow"/>
                <w:b/>
                <w:sz w:val="20"/>
                <w:szCs w:val="20"/>
              </w:rPr>
            </w:pPr>
            <w:r w:rsidRPr="00401895">
              <w:rPr>
                <w:rFonts w:ascii="Arial Narrow" w:hAnsi="Arial Narrow"/>
                <w:b/>
                <w:sz w:val="20"/>
                <w:szCs w:val="20"/>
              </w:rPr>
              <w:t xml:space="preserve">428 </w:t>
            </w:r>
            <w:r w:rsidRPr="00401895">
              <w:rPr>
                <w:rFonts w:ascii="Arial Narrow" w:hAnsi="Arial Narrow"/>
                <w:b/>
                <w:sz w:val="20"/>
                <w:szCs w:val="20"/>
                <w:vertAlign w:val="superscript"/>
              </w:rPr>
              <w:t>4</w:t>
            </w:r>
          </w:p>
        </w:tc>
        <w:tc>
          <w:tcPr>
            <w:tcW w:w="947" w:type="dxa"/>
          </w:tcPr>
          <w:p w14:paraId="5679DBCB" w14:textId="77777777" w:rsidR="002A4BBE" w:rsidRPr="00401895" w:rsidRDefault="002A4BBE" w:rsidP="002A4BBE">
            <w:pPr>
              <w:spacing w:before="40" w:after="40"/>
              <w:jc w:val="center"/>
              <w:rPr>
                <w:rFonts w:ascii="Arial Narrow" w:hAnsi="Arial Narrow"/>
                <w:b/>
                <w:sz w:val="20"/>
                <w:szCs w:val="20"/>
              </w:rPr>
            </w:pPr>
            <w:r w:rsidRPr="00401895">
              <w:rPr>
                <w:rFonts w:ascii="Arial Narrow" w:hAnsi="Arial Narrow"/>
                <w:b/>
                <w:sz w:val="20"/>
                <w:szCs w:val="20"/>
              </w:rPr>
              <w:t xml:space="preserve">95 </w:t>
            </w:r>
            <w:r w:rsidRPr="00401895">
              <w:rPr>
                <w:rFonts w:ascii="Arial Narrow" w:hAnsi="Arial Narrow"/>
                <w:b/>
                <w:sz w:val="20"/>
                <w:szCs w:val="20"/>
                <w:vertAlign w:val="superscript"/>
              </w:rPr>
              <w:t>5</w:t>
            </w:r>
          </w:p>
        </w:tc>
        <w:tc>
          <w:tcPr>
            <w:tcW w:w="890" w:type="dxa"/>
          </w:tcPr>
          <w:p w14:paraId="1BF1D45D" w14:textId="77777777" w:rsidR="002A4BBE" w:rsidRPr="00401895" w:rsidRDefault="002A4BBE" w:rsidP="002A4BBE">
            <w:pPr>
              <w:spacing w:before="40" w:after="40"/>
              <w:jc w:val="center"/>
              <w:rPr>
                <w:rFonts w:ascii="Arial Narrow" w:hAnsi="Arial Narrow"/>
                <w:b/>
                <w:sz w:val="20"/>
                <w:szCs w:val="20"/>
              </w:rPr>
            </w:pPr>
            <w:r w:rsidRPr="00401895">
              <w:rPr>
                <w:rFonts w:ascii="Arial Narrow" w:hAnsi="Arial Narrow"/>
                <w:b/>
                <w:sz w:val="20"/>
                <w:szCs w:val="20"/>
              </w:rPr>
              <w:t xml:space="preserve">9 </w:t>
            </w:r>
            <w:r w:rsidRPr="00401895">
              <w:rPr>
                <w:rFonts w:ascii="Arial Narrow" w:hAnsi="Arial Narrow"/>
                <w:b/>
                <w:sz w:val="20"/>
                <w:szCs w:val="20"/>
                <w:vertAlign w:val="superscript"/>
              </w:rPr>
              <w:t>4</w:t>
            </w:r>
          </w:p>
        </w:tc>
        <w:tc>
          <w:tcPr>
            <w:tcW w:w="992" w:type="dxa"/>
          </w:tcPr>
          <w:p w14:paraId="276CB08E" w14:textId="77777777" w:rsidR="002A4BBE" w:rsidRPr="00401895" w:rsidRDefault="002A4BBE" w:rsidP="002A4BBE">
            <w:pPr>
              <w:spacing w:before="40" w:after="40"/>
              <w:jc w:val="center"/>
              <w:rPr>
                <w:rFonts w:ascii="Arial Narrow" w:hAnsi="Arial Narrow"/>
                <w:b/>
                <w:sz w:val="20"/>
                <w:szCs w:val="20"/>
              </w:rPr>
            </w:pPr>
            <w:r w:rsidRPr="00401895">
              <w:rPr>
                <w:rFonts w:ascii="Arial Narrow" w:hAnsi="Arial Narrow"/>
                <w:b/>
                <w:sz w:val="20"/>
                <w:szCs w:val="20"/>
              </w:rPr>
              <w:t xml:space="preserve">42 </w:t>
            </w:r>
            <w:r w:rsidRPr="00401895">
              <w:rPr>
                <w:rFonts w:ascii="Arial Narrow" w:hAnsi="Arial Narrow"/>
                <w:b/>
                <w:sz w:val="20"/>
                <w:szCs w:val="20"/>
                <w:vertAlign w:val="superscript"/>
              </w:rPr>
              <w:t>4</w:t>
            </w:r>
          </w:p>
        </w:tc>
        <w:tc>
          <w:tcPr>
            <w:tcW w:w="1192" w:type="dxa"/>
          </w:tcPr>
          <w:p w14:paraId="0FBDF6FB" w14:textId="77777777" w:rsidR="002A4BBE" w:rsidRPr="00401895" w:rsidRDefault="002A4BBE" w:rsidP="002A4BBE">
            <w:pPr>
              <w:spacing w:before="40" w:after="40"/>
              <w:jc w:val="center"/>
              <w:rPr>
                <w:rFonts w:ascii="Arial Narrow" w:hAnsi="Arial Narrow"/>
                <w:b/>
                <w:sz w:val="20"/>
                <w:szCs w:val="20"/>
              </w:rPr>
            </w:pPr>
            <w:r w:rsidRPr="00401895">
              <w:rPr>
                <w:rFonts w:ascii="Arial Narrow" w:hAnsi="Arial Narrow"/>
                <w:b/>
                <w:sz w:val="20"/>
                <w:szCs w:val="20"/>
              </w:rPr>
              <w:t xml:space="preserve">194 (50%) </w:t>
            </w:r>
            <w:r w:rsidRPr="00401895">
              <w:rPr>
                <w:rFonts w:ascii="Arial Narrow" w:hAnsi="Arial Narrow"/>
                <w:b/>
                <w:sz w:val="20"/>
                <w:szCs w:val="20"/>
                <w:vertAlign w:val="superscript"/>
              </w:rPr>
              <w:t>5</w:t>
            </w:r>
          </w:p>
        </w:tc>
        <w:tc>
          <w:tcPr>
            <w:tcW w:w="1025" w:type="dxa"/>
          </w:tcPr>
          <w:p w14:paraId="05B8A1ED" w14:textId="77777777" w:rsidR="002A4BBE" w:rsidRPr="00401895" w:rsidRDefault="002A4BBE" w:rsidP="002A4BBE">
            <w:pPr>
              <w:spacing w:before="40" w:after="40"/>
              <w:jc w:val="center"/>
              <w:rPr>
                <w:rFonts w:ascii="Arial Narrow" w:hAnsi="Arial Narrow"/>
                <w:b/>
                <w:sz w:val="20"/>
                <w:szCs w:val="20"/>
              </w:rPr>
            </w:pPr>
            <w:r w:rsidRPr="00401895">
              <w:rPr>
                <w:rFonts w:ascii="Arial Narrow" w:hAnsi="Arial Narrow"/>
                <w:b/>
                <w:sz w:val="20"/>
                <w:szCs w:val="20"/>
              </w:rPr>
              <w:t xml:space="preserve">98 </w:t>
            </w:r>
            <w:r w:rsidRPr="00401895">
              <w:rPr>
                <w:rFonts w:ascii="Arial Narrow" w:hAnsi="Arial Narrow"/>
                <w:b/>
                <w:sz w:val="20"/>
                <w:szCs w:val="20"/>
                <w:vertAlign w:val="superscript"/>
              </w:rPr>
              <w:t>5</w:t>
            </w:r>
          </w:p>
        </w:tc>
      </w:tr>
      <w:tr w:rsidR="002A4BBE" w:rsidRPr="002A4BBE" w14:paraId="558F5571" w14:textId="77777777" w:rsidTr="002A4BBE">
        <w:tc>
          <w:tcPr>
            <w:tcW w:w="2076" w:type="dxa"/>
          </w:tcPr>
          <w:p w14:paraId="0F1D2328" w14:textId="77777777" w:rsidR="002A4BBE" w:rsidRPr="002A4BBE" w:rsidRDefault="002A4BBE" w:rsidP="002A4BBE">
            <w:pPr>
              <w:spacing w:before="40" w:after="40"/>
              <w:rPr>
                <w:rFonts w:ascii="Arial Narrow" w:hAnsi="Arial Narrow"/>
                <w:sz w:val="20"/>
                <w:szCs w:val="20"/>
              </w:rPr>
            </w:pPr>
            <w:r w:rsidRPr="002A4BBE">
              <w:rPr>
                <w:rFonts w:ascii="Arial Narrow" w:hAnsi="Arial Narrow"/>
                <w:sz w:val="20"/>
                <w:szCs w:val="20"/>
              </w:rPr>
              <w:t>No. with stable disease</w:t>
            </w:r>
          </w:p>
        </w:tc>
        <w:tc>
          <w:tcPr>
            <w:tcW w:w="2841" w:type="dxa"/>
            <w:gridSpan w:val="3"/>
          </w:tcPr>
          <w:p w14:paraId="6BDA6A6E" w14:textId="77777777" w:rsidR="002A4BBE" w:rsidRPr="002A4BBE" w:rsidRDefault="002A4BBE" w:rsidP="002A4BBE">
            <w:pPr>
              <w:spacing w:before="40" w:after="40"/>
              <w:jc w:val="center"/>
              <w:rPr>
                <w:rFonts w:ascii="Arial Narrow" w:hAnsi="Arial Narrow"/>
                <w:sz w:val="20"/>
                <w:szCs w:val="20"/>
              </w:rPr>
            </w:pPr>
            <w:r w:rsidRPr="002A4BBE">
              <w:rPr>
                <w:rFonts w:ascii="Arial Narrow" w:hAnsi="Arial Narrow"/>
                <w:sz w:val="20"/>
                <w:szCs w:val="20"/>
              </w:rPr>
              <w:t>536 (37.9%)</w:t>
            </w:r>
          </w:p>
        </w:tc>
        <w:tc>
          <w:tcPr>
            <w:tcW w:w="4099" w:type="dxa"/>
            <w:gridSpan w:val="4"/>
          </w:tcPr>
          <w:p w14:paraId="3531E0F1" w14:textId="77777777" w:rsidR="002A4BBE" w:rsidRPr="002A4BBE" w:rsidRDefault="002A4BBE" w:rsidP="002A4BBE">
            <w:pPr>
              <w:spacing w:before="40" w:after="40"/>
              <w:jc w:val="center"/>
              <w:rPr>
                <w:rFonts w:ascii="Arial Narrow" w:hAnsi="Arial Narrow"/>
                <w:sz w:val="20"/>
                <w:szCs w:val="20"/>
              </w:rPr>
            </w:pPr>
            <w:r w:rsidRPr="002A4BBE">
              <w:rPr>
                <w:rFonts w:ascii="Arial Narrow" w:hAnsi="Arial Narrow"/>
                <w:sz w:val="20"/>
                <w:szCs w:val="20"/>
              </w:rPr>
              <w:t>343 (24.3%)</w:t>
            </w:r>
          </w:p>
        </w:tc>
      </w:tr>
      <w:tr w:rsidR="002A4BBE" w:rsidRPr="002A4BBE" w14:paraId="78B0E39D" w14:textId="77777777" w:rsidTr="002A4BBE">
        <w:tc>
          <w:tcPr>
            <w:tcW w:w="2076" w:type="dxa"/>
          </w:tcPr>
          <w:p w14:paraId="76CDAC5C" w14:textId="091697B6" w:rsidR="002A4BBE" w:rsidRPr="00401895" w:rsidRDefault="002A4BBE" w:rsidP="002A4BBE">
            <w:pPr>
              <w:spacing w:before="40" w:after="40"/>
              <w:rPr>
                <w:rFonts w:ascii="Arial Narrow" w:hAnsi="Arial Narrow"/>
                <w:b/>
                <w:sz w:val="20"/>
                <w:szCs w:val="20"/>
              </w:rPr>
            </w:pPr>
            <w:r w:rsidRPr="00401895">
              <w:rPr>
                <w:rFonts w:ascii="Arial Narrow" w:hAnsi="Arial Narrow"/>
                <w:b/>
                <w:sz w:val="20"/>
                <w:szCs w:val="20"/>
              </w:rPr>
              <w:t>Total</w:t>
            </w:r>
            <w:r w:rsidR="005E2855" w:rsidRPr="00401895">
              <w:rPr>
                <w:rFonts w:ascii="Arial Narrow" w:hAnsi="Arial Narrow"/>
                <w:b/>
                <w:sz w:val="20"/>
                <w:szCs w:val="20"/>
              </w:rPr>
              <w:t xml:space="preserve"> no. requiring TTE</w:t>
            </w:r>
          </w:p>
        </w:tc>
        <w:tc>
          <w:tcPr>
            <w:tcW w:w="2841" w:type="dxa"/>
            <w:gridSpan w:val="3"/>
          </w:tcPr>
          <w:p w14:paraId="4B5A3D3B" w14:textId="77777777" w:rsidR="002A4BBE" w:rsidRPr="00401895" w:rsidRDefault="002A4BBE" w:rsidP="002A4BBE">
            <w:pPr>
              <w:spacing w:before="40" w:after="40"/>
              <w:jc w:val="center"/>
              <w:rPr>
                <w:rFonts w:ascii="Arial Narrow" w:hAnsi="Arial Narrow"/>
                <w:b/>
                <w:sz w:val="20"/>
                <w:szCs w:val="20"/>
              </w:rPr>
            </w:pPr>
            <w:r w:rsidRPr="00401895">
              <w:rPr>
                <w:rFonts w:ascii="Arial Narrow" w:hAnsi="Arial Narrow"/>
                <w:b/>
                <w:sz w:val="20"/>
                <w:szCs w:val="20"/>
              </w:rPr>
              <w:t>976 (69.0%)</w:t>
            </w:r>
          </w:p>
        </w:tc>
        <w:tc>
          <w:tcPr>
            <w:tcW w:w="4099" w:type="dxa"/>
            <w:gridSpan w:val="4"/>
          </w:tcPr>
          <w:p w14:paraId="5FEBEB5B" w14:textId="77777777" w:rsidR="002A4BBE" w:rsidRPr="00401895" w:rsidRDefault="002A4BBE" w:rsidP="002A4BBE">
            <w:pPr>
              <w:spacing w:before="40" w:after="40"/>
              <w:jc w:val="center"/>
              <w:rPr>
                <w:rFonts w:ascii="Arial Narrow" w:hAnsi="Arial Narrow"/>
                <w:b/>
                <w:sz w:val="20"/>
                <w:szCs w:val="20"/>
              </w:rPr>
            </w:pPr>
            <w:r w:rsidRPr="00401895">
              <w:rPr>
                <w:rFonts w:ascii="Arial Narrow" w:hAnsi="Arial Narrow"/>
                <w:b/>
                <w:sz w:val="20"/>
                <w:szCs w:val="20"/>
              </w:rPr>
              <w:t>1,038 (73.4%)</w:t>
            </w:r>
          </w:p>
        </w:tc>
      </w:tr>
    </w:tbl>
    <w:p w14:paraId="3518EAE8" w14:textId="77777777" w:rsidR="002A4BBE" w:rsidRPr="002A4BBE" w:rsidRDefault="002A4BBE" w:rsidP="00AA0686">
      <w:pPr>
        <w:pStyle w:val="TableFooter"/>
      </w:pPr>
      <w:r w:rsidRPr="002A4BBE">
        <w:t>Assumptions:</w:t>
      </w:r>
    </w:p>
    <w:p w14:paraId="17F89D47" w14:textId="77777777" w:rsidR="002A4BBE" w:rsidRPr="00AA0686" w:rsidRDefault="002A4BBE" w:rsidP="00AA0686">
      <w:pPr>
        <w:pStyle w:val="TableFooter"/>
      </w:pPr>
      <w:r w:rsidRPr="00AA0686">
        <w:t>The proportion of patients who will have a worsening of risk category, develop comorbidities requiring further evaluation and/or had a recent change in medication at the first follow-up remains constant for all subsequent follow-ups</w:t>
      </w:r>
    </w:p>
    <w:p w14:paraId="37B65BD9" w14:textId="77777777" w:rsidR="002A4BBE" w:rsidRPr="002A4BBE" w:rsidRDefault="002A4BBE" w:rsidP="00AA0686">
      <w:pPr>
        <w:pStyle w:val="TableFooter"/>
      </w:pPr>
      <w:r w:rsidRPr="002A4BBE">
        <w:rPr>
          <w:vertAlign w:val="superscript"/>
        </w:rPr>
        <w:t>1</w:t>
      </w:r>
      <w:r w:rsidRPr="002A4BBE">
        <w:t xml:space="preserve"> All patients with a worsened risk category would be referred for TTE as per the guidelines</w:t>
      </w:r>
    </w:p>
    <w:p w14:paraId="69EE705E" w14:textId="77777777" w:rsidR="002A4BBE" w:rsidRPr="002A4BBE" w:rsidRDefault="002A4BBE" w:rsidP="00AA0686">
      <w:pPr>
        <w:pStyle w:val="TableFooter"/>
      </w:pPr>
      <w:r w:rsidRPr="002A4BBE">
        <w:rPr>
          <w:vertAlign w:val="superscript"/>
        </w:rPr>
        <w:t xml:space="preserve">2 </w:t>
      </w:r>
      <w:r w:rsidRPr="002A4BBE">
        <w:t>Improvement in risk category is due to a recent change in medication and requires TTE to assess effectiveness</w:t>
      </w:r>
    </w:p>
    <w:p w14:paraId="7B59AC7F" w14:textId="77777777" w:rsidR="002A4BBE" w:rsidRPr="002A4BBE" w:rsidRDefault="002A4BBE" w:rsidP="00AA0686">
      <w:pPr>
        <w:pStyle w:val="TableFooter"/>
      </w:pPr>
      <w:r w:rsidRPr="002A4BBE">
        <w:rPr>
          <w:vertAlign w:val="superscript"/>
        </w:rPr>
        <w:t xml:space="preserve">3 </w:t>
      </w:r>
      <w:r w:rsidRPr="002A4BBE">
        <w:t>Proportions for the 3-stratum model assumed from proportions in the low risk, combined intermediate risk groups reported for the 4-stratum tool (only 32% of CTD-PAH patients have ILD)</w:t>
      </w:r>
    </w:p>
    <w:p w14:paraId="3A3B88FC" w14:textId="77777777" w:rsidR="002A4BBE" w:rsidRPr="002A4BBE" w:rsidRDefault="002A4BBE" w:rsidP="00AA0686">
      <w:pPr>
        <w:pStyle w:val="TableFooter"/>
      </w:pPr>
      <w:r w:rsidRPr="002A4BBE">
        <w:rPr>
          <w:vertAlign w:val="superscript"/>
        </w:rPr>
        <w:t xml:space="preserve">4 </w:t>
      </w:r>
      <w:r w:rsidRPr="002A4BBE">
        <w:t>Patients with low, intermediate or intermediate-low stable disease who also had either coronary heart disease as a comorbidity, or CTD-PAH with interstitial lung disease were assumed to require a TTE subsequent to the NT-</w:t>
      </w:r>
      <w:proofErr w:type="spellStart"/>
      <w:r w:rsidRPr="002A4BBE">
        <w:t>proBNP</w:t>
      </w:r>
      <w:proofErr w:type="spellEnd"/>
      <w:r w:rsidRPr="002A4BBE">
        <w:t xml:space="preserve"> test</w:t>
      </w:r>
    </w:p>
    <w:p w14:paraId="19030756" w14:textId="77777777" w:rsidR="002A4BBE" w:rsidRPr="002A4BBE" w:rsidRDefault="002A4BBE" w:rsidP="00AA0686">
      <w:pPr>
        <w:pStyle w:val="TableFooter"/>
      </w:pPr>
      <w:r w:rsidRPr="002A4BBE">
        <w:rPr>
          <w:vertAlign w:val="superscript"/>
        </w:rPr>
        <w:t>5</w:t>
      </w:r>
      <w:r w:rsidRPr="002A4BBE">
        <w:t xml:space="preserve"> All patients with high-risk stable disease (and half of those with </w:t>
      </w:r>
      <w:proofErr w:type="spellStart"/>
      <w:r w:rsidRPr="002A4BBE">
        <w:t>a</w:t>
      </w:r>
      <w:proofErr w:type="spellEnd"/>
      <w:r w:rsidRPr="002A4BBE">
        <w:t xml:space="preserve"> intermediate-high risk) would be referred for TTE.</w:t>
      </w:r>
    </w:p>
    <w:p w14:paraId="243D3547" w14:textId="77777777" w:rsidR="002A4BBE" w:rsidRPr="002A4BBE" w:rsidRDefault="002A4BBE" w:rsidP="00AA0686">
      <w:pPr>
        <w:pStyle w:val="TableFooter"/>
      </w:pPr>
      <w:r w:rsidRPr="002A4BBE">
        <w:t>ILD = interstitial lung disease; Int = intermediate; Int-L = intermediate-low; Int-H = intermediate-high</w:t>
      </w:r>
    </w:p>
    <w:p w14:paraId="5B319FC3" w14:textId="77777777" w:rsidR="002A4BBE" w:rsidRPr="002A4BBE" w:rsidRDefault="002A4BBE" w:rsidP="00AA0686">
      <w:pPr>
        <w:pStyle w:val="TableFooter"/>
      </w:pPr>
      <w:r w:rsidRPr="002A4BBE">
        <w:t xml:space="preserve">Source: Compiled for the commentary from </w:t>
      </w:r>
      <w:proofErr w:type="spellStart"/>
      <w:r w:rsidRPr="002A4BBE">
        <w:t>Hoeper</w:t>
      </w:r>
      <w:proofErr w:type="spellEnd"/>
      <w:r w:rsidRPr="002A4BBE">
        <w:t xml:space="preserve"> et al (2022a)</w:t>
      </w:r>
    </w:p>
    <w:p w14:paraId="1943B187" w14:textId="25538515" w:rsidR="002A4BBE" w:rsidRDefault="002A4BBE" w:rsidP="002A4BBE">
      <w:r w:rsidRPr="002A4BBE">
        <w:t>Overall, the number of patients likely to need a TTE at each assessment (3–6 monthly), when based on the data from the COMPERA registry cohort for changes from baseline to first follow-up, was estimated to be:</w:t>
      </w:r>
    </w:p>
    <w:p w14:paraId="50238794" w14:textId="77777777" w:rsidR="009B15AD" w:rsidRDefault="009B15AD" w:rsidP="00795AEA">
      <w:pPr>
        <w:pStyle w:val="ListParagraph"/>
        <w:numPr>
          <w:ilvl w:val="0"/>
          <w:numId w:val="18"/>
        </w:numPr>
      </w:pPr>
      <w:r>
        <w:t>100% of patients would have a TTE using a 3-stratum risk classification tool using TTE as a parameter (current clinical management)</w:t>
      </w:r>
    </w:p>
    <w:p w14:paraId="7E151C44" w14:textId="77777777" w:rsidR="009B15AD" w:rsidRDefault="009B15AD" w:rsidP="00795AEA">
      <w:pPr>
        <w:pStyle w:val="ListParagraph"/>
        <w:numPr>
          <w:ilvl w:val="0"/>
          <w:numId w:val="18"/>
        </w:numPr>
      </w:pPr>
      <w:r>
        <w:t>69% of patient would have a TTE using a 3-stratum risk classification tool using NT-</w:t>
      </w:r>
      <w:proofErr w:type="spellStart"/>
      <w:r>
        <w:t>proBNP</w:t>
      </w:r>
      <w:proofErr w:type="spellEnd"/>
      <w:r>
        <w:t xml:space="preserve"> levels as a parameter</w:t>
      </w:r>
    </w:p>
    <w:p w14:paraId="0AEA654D" w14:textId="77777777" w:rsidR="009B15AD" w:rsidRDefault="009B15AD" w:rsidP="00795AEA">
      <w:pPr>
        <w:pStyle w:val="ListParagraph"/>
        <w:numPr>
          <w:ilvl w:val="0"/>
          <w:numId w:val="18"/>
        </w:numPr>
      </w:pPr>
      <w:r>
        <w:t>73% of patient would have a TTE using a 4-stratum risk classification tool using NT-</w:t>
      </w:r>
      <w:proofErr w:type="spellStart"/>
      <w:r>
        <w:t>proBNP</w:t>
      </w:r>
      <w:proofErr w:type="spellEnd"/>
      <w:r>
        <w:t xml:space="preserve"> levels as a parameter (proposed clinical management)</w:t>
      </w:r>
    </w:p>
    <w:p w14:paraId="0657FAA9" w14:textId="3A596450" w:rsidR="009B15AD" w:rsidRDefault="009B15AD" w:rsidP="009B15AD">
      <w:r>
        <w:t xml:space="preserve">When based on the analysis above, the proposed 4-stratum risk classification tool would result in a slight (4%) increase in the number of TTEs performed on reassessment compared to the </w:t>
      </w:r>
      <w:r w:rsidR="00653F2B">
        <w:br/>
      </w:r>
      <w:r>
        <w:t>3-stratum risk classification tool proposed in the previous ADAR.</w:t>
      </w:r>
    </w:p>
    <w:p w14:paraId="7837CCBB" w14:textId="126A1E51" w:rsidR="009B15AD" w:rsidRDefault="009B15AD" w:rsidP="009B15AD">
      <w:r>
        <w:t xml:space="preserve">In summary, this analysis suggests that all patients diagnosed with PAH would have a TTE at least once every 12 months, but </w:t>
      </w:r>
      <w:r w:rsidR="002A4BBE">
        <w:t>an estimated</w:t>
      </w:r>
      <w:r>
        <w:t xml:space="preserve"> 73% of patients would have a TTE every </w:t>
      </w:r>
      <w:r w:rsidR="00653F2B">
        <w:br/>
      </w:r>
      <w:r>
        <w:t>3 to 6 months.</w:t>
      </w:r>
      <w:r w:rsidR="005E2855">
        <w:t xml:space="preserve"> </w:t>
      </w:r>
      <w:r w:rsidR="00401895">
        <w:t>Thus, t</w:t>
      </w:r>
      <w:r w:rsidR="005E2855">
        <w:t xml:space="preserve">he use of </w:t>
      </w:r>
      <w:r w:rsidR="00401895">
        <w:t xml:space="preserve">the </w:t>
      </w:r>
      <w:r w:rsidR="005E2855">
        <w:t>NT-</w:t>
      </w:r>
      <w:proofErr w:type="spellStart"/>
      <w:r w:rsidR="005E2855">
        <w:t>proBNP</w:t>
      </w:r>
      <w:proofErr w:type="spellEnd"/>
      <w:r w:rsidR="00401895">
        <w:t xml:space="preserve"> test</w:t>
      </w:r>
      <w:r w:rsidR="005E2855">
        <w:t xml:space="preserve"> </w:t>
      </w:r>
      <w:r w:rsidR="00AA0686">
        <w:t xml:space="preserve">in all patients at every assessment </w:t>
      </w:r>
      <w:r w:rsidR="00401895">
        <w:t xml:space="preserve">is </w:t>
      </w:r>
      <w:r w:rsidR="005E2855">
        <w:t xml:space="preserve">expected to </w:t>
      </w:r>
      <w:r w:rsidR="00401895">
        <w:t>reduce the use of TTE between annual assessments by 27%.</w:t>
      </w:r>
      <w:r w:rsidR="00401895" w:rsidRPr="00401895">
        <w:t xml:space="preserve"> </w:t>
      </w:r>
      <w:r w:rsidR="00AA0686" w:rsidRPr="00401895">
        <w:t>Consequently</w:t>
      </w:r>
      <w:r w:rsidR="00401895" w:rsidRPr="00401895">
        <w:t xml:space="preserve">, the NNT </w:t>
      </w:r>
      <w:r w:rsidR="00AA0686">
        <w:t>for NT-</w:t>
      </w:r>
      <w:proofErr w:type="spellStart"/>
      <w:r w:rsidR="00AA0686">
        <w:t>proBNP</w:t>
      </w:r>
      <w:proofErr w:type="spellEnd"/>
      <w:r w:rsidR="00AA0686">
        <w:t xml:space="preserve"> testing </w:t>
      </w:r>
      <w:r w:rsidR="00401895" w:rsidRPr="00401895">
        <w:t>in order for one TTE to be avoided, is 4</w:t>
      </w:r>
      <w:r w:rsidR="00AA0686">
        <w:t>.</w:t>
      </w:r>
    </w:p>
    <w:p w14:paraId="18266605" w14:textId="145026E9" w:rsidR="002A738C" w:rsidRPr="005A6BAF" w:rsidRDefault="005A6BAF" w:rsidP="002A738C">
      <w:pPr>
        <w:rPr>
          <w:b/>
        </w:rPr>
      </w:pPr>
      <w:r w:rsidRPr="005A6BAF">
        <w:rPr>
          <w:b/>
        </w:rPr>
        <w:lastRenderedPageBreak/>
        <w:t>Change in management</w:t>
      </w:r>
    </w:p>
    <w:p w14:paraId="2025DE27" w14:textId="0AD9B1C0" w:rsidR="002273B9" w:rsidRPr="002273B9" w:rsidRDefault="002273B9" w:rsidP="002273B9">
      <w:r w:rsidRPr="002273B9">
        <w:t>Although MSAC noted that risk assessment using NT-</w:t>
      </w:r>
      <w:proofErr w:type="spellStart"/>
      <w:r w:rsidRPr="002273B9">
        <w:t>proBNP</w:t>
      </w:r>
      <w:proofErr w:type="spellEnd"/>
      <w:r w:rsidRPr="002273B9">
        <w:t xml:space="preserve"> would not result in any downstream changes in patient management</w:t>
      </w:r>
      <w:r>
        <w:t xml:space="preserve"> in the PSD for the previous ADAR</w:t>
      </w:r>
      <w:r w:rsidRPr="002273B9">
        <w:t xml:space="preserve">, the 2022 ESC/ERS guidelines noted that the main advantage of the 4-stratum model compared with the 3-stratum model was “better discrimination within the intermediate-risk group, which helps guide therapeutic decision-making.” </w:t>
      </w:r>
    </w:p>
    <w:p w14:paraId="4F0ECE76" w14:textId="0C19C752" w:rsidR="009B15AD" w:rsidRDefault="009B15AD" w:rsidP="009B15AD">
      <w:r>
        <w:t xml:space="preserve">The therapeutic objective for patients with PAH is to achieve or maintain a low-risk profile. However, when the drugs prescribed to patients in the different risk categories </w:t>
      </w:r>
      <w:r w:rsidRPr="009B15AD">
        <w:t xml:space="preserve">included in the COMPERA and FRENCH PAH registries </w:t>
      </w:r>
      <w:r>
        <w:t xml:space="preserve">are compared, the extent to which a change in risk profile leads to a change in medication is uncertain. </w:t>
      </w:r>
      <w:r w:rsidRPr="009B15AD">
        <w:t>The</w:t>
      </w:r>
      <w:r>
        <w:t xml:space="preserve"> </w:t>
      </w:r>
      <w:r w:rsidRPr="009B15AD">
        <w:t>prescribed drugs did not necessarily follow the treatments recommended for each risk category</w:t>
      </w:r>
      <w:r>
        <w:t>.</w:t>
      </w:r>
      <w:r w:rsidRPr="009B15AD">
        <w:t xml:space="preserve"> Only </w:t>
      </w:r>
      <w:r w:rsidR="005C354D">
        <w:t>a small proportion</w:t>
      </w:r>
      <w:r w:rsidRPr="009B15AD">
        <w:t xml:space="preserve"> </w:t>
      </w:r>
      <w:r w:rsidR="00EE2D34">
        <w:t>(1.3–</w:t>
      </w:r>
      <w:r w:rsidR="00974E1C">
        <w:t>7</w:t>
      </w:r>
      <w:r w:rsidR="00EE2D34">
        <w:t xml:space="preserve">%) </w:t>
      </w:r>
      <w:r w:rsidRPr="009B15AD">
        <w:t xml:space="preserve">of </w:t>
      </w:r>
      <w:r w:rsidR="00EE2D34">
        <w:t xml:space="preserve">the </w:t>
      </w:r>
      <w:r w:rsidR="00653F2B">
        <w:br/>
      </w:r>
      <w:r w:rsidR="00EE2D34">
        <w:t>15–1</w:t>
      </w:r>
      <w:r w:rsidR="00974E1C">
        <w:t>7</w:t>
      </w:r>
      <w:r w:rsidR="00EE2D34">
        <w:t xml:space="preserve">% of </w:t>
      </w:r>
      <w:r w:rsidRPr="009B15AD">
        <w:t>patients in the high-risk categor</w:t>
      </w:r>
      <w:r w:rsidR="00EE2D34">
        <w:t>y at baseline</w:t>
      </w:r>
      <w:r w:rsidRPr="009B15AD">
        <w:t xml:space="preserve"> had initially been prescribed combination therapy that included </w:t>
      </w:r>
      <w:r w:rsidR="005C354D" w:rsidRPr="005C354D">
        <w:t>an intravenous or subcutaneous prostacyclin analogue</w:t>
      </w:r>
      <w:r w:rsidRPr="009B15AD">
        <w:t>, as recommended in the 2022 ESC/ERS guidelines</w:t>
      </w:r>
      <w:r w:rsidR="0060767F">
        <w:t xml:space="preserve"> </w:t>
      </w:r>
      <w:r w:rsidR="0060767F" w:rsidRPr="0060767F">
        <w:t>(</w:t>
      </w:r>
      <w:proofErr w:type="spellStart"/>
      <w:r w:rsidR="0060767F" w:rsidRPr="0060767F">
        <w:t>Hoeper</w:t>
      </w:r>
      <w:proofErr w:type="spellEnd"/>
      <w:r w:rsidR="0060767F" w:rsidRPr="0060767F">
        <w:t xml:space="preserve"> et al 2022)</w:t>
      </w:r>
      <w:r w:rsidR="005C354D">
        <w:t>.</w:t>
      </w:r>
    </w:p>
    <w:p w14:paraId="3BFAFB37" w14:textId="191ED645" w:rsidR="009B15AD" w:rsidRDefault="009B15AD" w:rsidP="009B15AD">
      <w:proofErr w:type="spellStart"/>
      <w:r>
        <w:t>Boucly</w:t>
      </w:r>
      <w:proofErr w:type="spellEnd"/>
      <w:r>
        <w:t xml:space="preserve"> et al (2022) suggested that the distinction between intermediate-low and intermediate-high may be clinically useful in determining who would be eligible for lung transplantation and for determining which third medication to add for a patient on dual oral therapy. However, no evidence is available to confirm that these scenarios would occur in a clinical setting.</w:t>
      </w:r>
    </w:p>
    <w:p w14:paraId="2D41693B" w14:textId="77777777" w:rsidR="00055E91" w:rsidRPr="001A4B85" w:rsidRDefault="00055E91" w:rsidP="009803F3">
      <w:pPr>
        <w:pStyle w:val="Heading3"/>
      </w:pPr>
      <w:bookmarkStart w:id="50" w:name="_Toc131604317"/>
      <w:r w:rsidRPr="001A4B85">
        <w:t>Clinical claim</w:t>
      </w:r>
      <w:bookmarkEnd w:id="50"/>
    </w:p>
    <w:p w14:paraId="700C2964" w14:textId="2E0B915F" w:rsidR="00FF7679" w:rsidRDefault="00FF7679" w:rsidP="005C354D">
      <w:r>
        <w:t xml:space="preserve">The ADAR concluded that </w:t>
      </w:r>
      <w:r w:rsidRPr="00FF7679">
        <w:t>the 7 new studies that were retrieved by the updated literature search further support the conclusions reached by MSAC in July 2022 regarding acceptable accuracy of NT-</w:t>
      </w:r>
      <w:proofErr w:type="spellStart"/>
      <w:r w:rsidRPr="00FF7679">
        <w:t>proBNP</w:t>
      </w:r>
      <w:proofErr w:type="spellEnd"/>
      <w:r w:rsidRPr="00FF7679">
        <w:t xml:space="preserve"> in the diagnosis of PAH, and its prognostic and clinical value as part of a multiparameter risk assessment for patients with PAH</w:t>
      </w:r>
      <w:r>
        <w:t>.</w:t>
      </w:r>
    </w:p>
    <w:p w14:paraId="502EA88E" w14:textId="54A26885" w:rsidR="005C354D" w:rsidRDefault="00FF7679" w:rsidP="005C354D">
      <w:r>
        <w:t>The commentary concluded that a</w:t>
      </w:r>
      <w:r w:rsidR="005C354D">
        <w:t>lthough the evidence base was limited to outcomes from patients enrolled in two large PAH registries, the proposed 4-stratum risk classification model appears to be at least non-inferior to 3-stratum risk classification tools also using NT-</w:t>
      </w:r>
      <w:proofErr w:type="spellStart"/>
      <w:r w:rsidR="005C354D">
        <w:t>proBNP</w:t>
      </w:r>
      <w:proofErr w:type="spellEnd"/>
      <w:r w:rsidR="005C354D">
        <w:t xml:space="preserve"> as a parameter in predicting mortality.</w:t>
      </w:r>
    </w:p>
    <w:p w14:paraId="29053B1C" w14:textId="77777777" w:rsidR="005C354D" w:rsidRDefault="005C354D" w:rsidP="005C354D">
      <w:r>
        <w:t>In the PSD for the previous ADAR, MSAC concluded that the 3-stratum REVEAL Lite 2 risk classification tool was non-inferior to 3-stratum risk classification tools using TTE.</w:t>
      </w:r>
    </w:p>
    <w:p w14:paraId="76D52294" w14:textId="3242B3C1" w:rsidR="005C354D" w:rsidRDefault="005C354D" w:rsidP="005C354D">
      <w:r>
        <w:t xml:space="preserve">By extrapolation, the </w:t>
      </w:r>
      <w:r w:rsidR="00FF7679">
        <w:t xml:space="preserve">commentary concluded that the </w:t>
      </w:r>
      <w:r>
        <w:t>proposed 4-stratum risk classification tool using NT-</w:t>
      </w:r>
      <w:proofErr w:type="spellStart"/>
      <w:r>
        <w:t>proBNP</w:t>
      </w:r>
      <w:proofErr w:type="spellEnd"/>
      <w:r>
        <w:t xml:space="preserve"> as a parameter would also be non-inferior to 3-stratum risk classification tools that include TTE and are currently used in Australian clinical practice.</w:t>
      </w:r>
    </w:p>
    <w:p w14:paraId="01470377" w14:textId="040DF389" w:rsidR="00055E91" w:rsidRPr="001A4B85" w:rsidRDefault="00055E91" w:rsidP="00361DA0">
      <w:pPr>
        <w:pStyle w:val="ESHeading1"/>
      </w:pPr>
      <w:bookmarkStart w:id="51" w:name="_Toc69491425"/>
      <w:bookmarkStart w:id="52" w:name="_Toc131604318"/>
      <w:r w:rsidRPr="001A4B85">
        <w:t>1</w:t>
      </w:r>
      <w:r w:rsidR="00840EF5">
        <w:t>3</w:t>
      </w:r>
      <w:r w:rsidRPr="001A4B85">
        <w:t>.</w:t>
      </w:r>
      <w:r w:rsidRPr="001A4B85">
        <w:tab/>
        <w:t>Economic evaluation</w:t>
      </w:r>
      <w:bookmarkEnd w:id="51"/>
      <w:bookmarkEnd w:id="52"/>
    </w:p>
    <w:p w14:paraId="58537527" w14:textId="41382993" w:rsidR="00591869" w:rsidRPr="001A4B85" w:rsidRDefault="00591869" w:rsidP="00591869">
      <w:pPr>
        <w:pStyle w:val="Instructionaltext"/>
        <w:rPr>
          <w:color w:val="auto"/>
        </w:rPr>
      </w:pPr>
      <w:r w:rsidRPr="001A4B85">
        <w:rPr>
          <w:color w:val="auto"/>
        </w:rPr>
        <w:t xml:space="preserve">The </w:t>
      </w:r>
      <w:r w:rsidRPr="001A4B85">
        <w:rPr>
          <w:iCs/>
          <w:color w:val="auto"/>
        </w:rPr>
        <w:t>ADAR</w:t>
      </w:r>
      <w:r>
        <w:rPr>
          <w:iCs/>
          <w:color w:val="auto"/>
        </w:rPr>
        <w:t xml:space="preserve"> 1689.1</w:t>
      </w:r>
      <w:r w:rsidRPr="001A4B85">
        <w:rPr>
          <w:color w:val="auto"/>
        </w:rPr>
        <w:t xml:space="preserve"> </w:t>
      </w:r>
      <w:r>
        <w:rPr>
          <w:color w:val="auto"/>
        </w:rPr>
        <w:t xml:space="preserve">presented </w:t>
      </w:r>
      <w:r w:rsidRPr="001A4B85">
        <w:rPr>
          <w:color w:val="auto"/>
        </w:rPr>
        <w:t xml:space="preserve">a cost-minimisation </w:t>
      </w:r>
      <w:r w:rsidR="006B45E5">
        <w:rPr>
          <w:color w:val="auto"/>
        </w:rPr>
        <w:t>analysis</w:t>
      </w:r>
      <w:r w:rsidRPr="001A4B85">
        <w:rPr>
          <w:color w:val="auto"/>
        </w:rPr>
        <w:t xml:space="preserve"> (CMA)</w:t>
      </w:r>
      <w:r>
        <w:rPr>
          <w:color w:val="auto"/>
        </w:rPr>
        <w:t xml:space="preserve"> for the requested MBS listing of NT-</w:t>
      </w:r>
      <w:proofErr w:type="spellStart"/>
      <w:r>
        <w:rPr>
          <w:color w:val="auto"/>
        </w:rPr>
        <w:t>proBNP</w:t>
      </w:r>
      <w:proofErr w:type="spellEnd"/>
      <w:r>
        <w:rPr>
          <w:color w:val="auto"/>
        </w:rPr>
        <w:t xml:space="preserve"> testing (as a part of 4-stratum risk assessment tool) to assess and monitor patients diagnosed with PAH</w:t>
      </w:r>
      <w:r w:rsidRPr="001A4B85">
        <w:rPr>
          <w:color w:val="auto"/>
        </w:rPr>
        <w:t xml:space="preserve">. </w:t>
      </w:r>
      <w:r>
        <w:rPr>
          <w:color w:val="auto"/>
        </w:rPr>
        <w:t>As t</w:t>
      </w:r>
      <w:r w:rsidRPr="00D97A5C">
        <w:rPr>
          <w:color w:val="auto"/>
        </w:rPr>
        <w:t xml:space="preserve">he </w:t>
      </w:r>
      <w:r w:rsidR="002F5DFE">
        <w:rPr>
          <w:color w:val="auto"/>
        </w:rPr>
        <w:t xml:space="preserve">ADAR 1689.1 </w:t>
      </w:r>
      <w:r w:rsidRPr="00D97A5C">
        <w:rPr>
          <w:color w:val="auto"/>
        </w:rPr>
        <w:t>did not present claims on the effectiveness and safety of NT-</w:t>
      </w:r>
      <w:proofErr w:type="spellStart"/>
      <w:r w:rsidRPr="00D97A5C">
        <w:rPr>
          <w:color w:val="auto"/>
        </w:rPr>
        <w:t>proBNP</w:t>
      </w:r>
      <w:proofErr w:type="spellEnd"/>
      <w:r w:rsidRPr="00D97A5C">
        <w:rPr>
          <w:color w:val="auto"/>
        </w:rPr>
        <w:t xml:space="preserve"> testing when used as part of a </w:t>
      </w:r>
      <w:r w:rsidR="005D7A91">
        <w:rPr>
          <w:color w:val="auto"/>
        </w:rPr>
        <w:t>4</w:t>
      </w:r>
      <w:r w:rsidRPr="00D97A5C">
        <w:rPr>
          <w:color w:val="auto"/>
        </w:rPr>
        <w:t>-stratum tool</w:t>
      </w:r>
      <w:r>
        <w:rPr>
          <w:color w:val="auto"/>
        </w:rPr>
        <w:t>,</w:t>
      </w:r>
      <w:r w:rsidRPr="00D97A5C">
        <w:rPr>
          <w:color w:val="auto"/>
        </w:rPr>
        <w:t xml:space="preserve"> </w:t>
      </w:r>
      <w:r>
        <w:rPr>
          <w:color w:val="auto"/>
        </w:rPr>
        <w:t>the CMA is appropriate if MSAC accept</w:t>
      </w:r>
      <w:r w:rsidR="000619AF">
        <w:rPr>
          <w:color w:val="auto"/>
        </w:rPr>
        <w:t>s</w:t>
      </w:r>
      <w:r>
        <w:rPr>
          <w:color w:val="auto"/>
        </w:rPr>
        <w:t xml:space="preserve"> the effectiveness and safety of the proposed intervention as </w:t>
      </w:r>
      <w:r w:rsidRPr="002D30D3">
        <w:rPr>
          <w:color w:val="auto"/>
        </w:rPr>
        <w:t xml:space="preserve">non-inferior </w:t>
      </w:r>
      <w:r>
        <w:rPr>
          <w:color w:val="auto"/>
        </w:rPr>
        <w:t xml:space="preserve">compared </w:t>
      </w:r>
      <w:r w:rsidRPr="002D30D3">
        <w:rPr>
          <w:color w:val="auto"/>
        </w:rPr>
        <w:t xml:space="preserve">to the 3-stratum risk classification tool </w:t>
      </w:r>
      <w:r w:rsidRPr="00D97A5C">
        <w:rPr>
          <w:color w:val="auto"/>
        </w:rPr>
        <w:t>(with or without NT-</w:t>
      </w:r>
      <w:proofErr w:type="spellStart"/>
      <w:r w:rsidRPr="00D97A5C">
        <w:rPr>
          <w:color w:val="auto"/>
        </w:rPr>
        <w:t>proBNP</w:t>
      </w:r>
      <w:proofErr w:type="spellEnd"/>
      <w:r w:rsidRPr="00D97A5C">
        <w:rPr>
          <w:color w:val="auto"/>
        </w:rPr>
        <w:t xml:space="preserve"> testing)</w:t>
      </w:r>
      <w:r>
        <w:rPr>
          <w:color w:val="auto"/>
        </w:rPr>
        <w:t xml:space="preserve">, which was </w:t>
      </w:r>
      <w:r w:rsidRPr="002D30D3">
        <w:rPr>
          <w:color w:val="auto"/>
        </w:rPr>
        <w:t xml:space="preserve">accepted </w:t>
      </w:r>
      <w:r>
        <w:rPr>
          <w:color w:val="auto"/>
        </w:rPr>
        <w:t xml:space="preserve">to be non-inferior in its previous consideration of the ADAR 1689. </w:t>
      </w:r>
    </w:p>
    <w:p w14:paraId="14C24B23" w14:textId="77777777" w:rsidR="00591869" w:rsidRPr="001A4B85" w:rsidRDefault="00591869" w:rsidP="00591869">
      <w:pPr>
        <w:pStyle w:val="Instructionaltext"/>
        <w:rPr>
          <w:color w:val="auto"/>
        </w:rPr>
      </w:pPr>
      <w:r w:rsidRPr="001A4B85">
        <w:rPr>
          <w:color w:val="auto"/>
        </w:rPr>
        <w:t xml:space="preserve">The MBS fee requested was </w:t>
      </w:r>
      <w:r>
        <w:rPr>
          <w:color w:val="auto"/>
        </w:rPr>
        <w:t>the same as in the initial ADAR (</w:t>
      </w:r>
      <w:r w:rsidRPr="001A4B85">
        <w:rPr>
          <w:color w:val="auto"/>
        </w:rPr>
        <w:t>based on that for NT-</w:t>
      </w:r>
      <w:proofErr w:type="spellStart"/>
      <w:r w:rsidRPr="001A4B85">
        <w:rPr>
          <w:color w:val="auto"/>
        </w:rPr>
        <w:t>proBNP</w:t>
      </w:r>
      <w:proofErr w:type="spellEnd"/>
      <w:r w:rsidRPr="001A4B85">
        <w:rPr>
          <w:color w:val="auto"/>
        </w:rPr>
        <w:t xml:space="preserve"> testing Fee: $58.50; MBS item code 66830), and </w:t>
      </w:r>
      <w:r w:rsidRPr="001A4B85">
        <w:rPr>
          <w:color w:val="000000" w:themeColor="text1"/>
        </w:rPr>
        <w:t xml:space="preserve">the service fee most likely to be replaced i.e., TTE </w:t>
      </w:r>
      <w:r>
        <w:rPr>
          <w:color w:val="000000" w:themeColor="text1"/>
        </w:rPr>
        <w:t>fee was revised in compliance with MSAC’s advice (</w:t>
      </w:r>
      <w:r w:rsidRPr="001A4B85">
        <w:rPr>
          <w:color w:val="000000" w:themeColor="text1"/>
        </w:rPr>
        <w:t>Fee: $2</w:t>
      </w:r>
      <w:r>
        <w:rPr>
          <w:color w:val="000000" w:themeColor="text1"/>
        </w:rPr>
        <w:t>40</w:t>
      </w:r>
      <w:r w:rsidRPr="001A4B85">
        <w:rPr>
          <w:color w:val="000000" w:themeColor="text1"/>
        </w:rPr>
        <w:t>.</w:t>
      </w:r>
      <w:r>
        <w:rPr>
          <w:color w:val="000000" w:themeColor="text1"/>
        </w:rPr>
        <w:t>0</w:t>
      </w:r>
      <w:r w:rsidRPr="001A4B85">
        <w:rPr>
          <w:color w:val="000000" w:themeColor="text1"/>
        </w:rPr>
        <w:t>5; MBS item code 551</w:t>
      </w:r>
      <w:r>
        <w:rPr>
          <w:color w:val="000000" w:themeColor="text1"/>
        </w:rPr>
        <w:t>26/55129</w:t>
      </w:r>
      <w:r w:rsidRPr="001A4B85">
        <w:rPr>
          <w:color w:val="000000" w:themeColor="text1"/>
        </w:rPr>
        <w:t>).</w:t>
      </w:r>
    </w:p>
    <w:p w14:paraId="7CC93BC1" w14:textId="2A14E80C" w:rsidR="00591869" w:rsidRDefault="00841FD1" w:rsidP="00591869">
      <w:pPr>
        <w:pStyle w:val="Instructionaltext"/>
        <w:rPr>
          <w:color w:val="auto"/>
        </w:rPr>
      </w:pPr>
      <w:bookmarkStart w:id="53" w:name="_Ref69725870"/>
      <w:r>
        <w:rPr>
          <w:color w:val="auto"/>
        </w:rPr>
        <w:lastRenderedPageBreak/>
        <w:t xml:space="preserve">Based on the updated </w:t>
      </w:r>
      <w:r w:rsidRPr="00841FD1">
        <w:rPr>
          <w:color w:val="auto"/>
        </w:rPr>
        <w:t>2022 ESC/ESR guidelines</w:t>
      </w:r>
      <w:r>
        <w:rPr>
          <w:color w:val="auto"/>
        </w:rPr>
        <w:t>, t</w:t>
      </w:r>
      <w:r w:rsidR="00591869">
        <w:rPr>
          <w:color w:val="auto"/>
        </w:rPr>
        <w:t xml:space="preserve">he </w:t>
      </w:r>
      <w:r w:rsidR="002F5DFE">
        <w:rPr>
          <w:color w:val="auto"/>
        </w:rPr>
        <w:t xml:space="preserve">ADAR 1689.1 </w:t>
      </w:r>
      <w:r w:rsidR="00591869">
        <w:rPr>
          <w:color w:val="auto"/>
        </w:rPr>
        <w:t xml:space="preserve">assumed more frequent follow-up visits, i.e. 4 assessments/patient/year (assuming all patients undergoes risk assessment every 3 months), compared to the initial ADAR 1689 where </w:t>
      </w:r>
      <w:r w:rsidR="00591869" w:rsidRPr="00140518">
        <w:rPr>
          <w:color w:val="auto"/>
        </w:rPr>
        <w:t xml:space="preserve">2.15 tests/patient/year </w:t>
      </w:r>
      <w:r w:rsidR="00591869">
        <w:rPr>
          <w:color w:val="auto"/>
        </w:rPr>
        <w:t xml:space="preserve">were estimated </w:t>
      </w:r>
      <w:r w:rsidR="00591869" w:rsidRPr="00140518">
        <w:rPr>
          <w:color w:val="auto"/>
        </w:rPr>
        <w:t xml:space="preserve">in each arm </w:t>
      </w:r>
      <w:r w:rsidR="00591869">
        <w:rPr>
          <w:color w:val="auto"/>
        </w:rPr>
        <w:t xml:space="preserve">(assuming </w:t>
      </w:r>
      <w:r w:rsidR="00591869" w:rsidRPr="00E47FF5">
        <w:rPr>
          <w:color w:val="auto"/>
        </w:rPr>
        <w:t xml:space="preserve">twice per year </w:t>
      </w:r>
      <w:r w:rsidR="00591869">
        <w:rPr>
          <w:color w:val="auto"/>
        </w:rPr>
        <w:t>in 90% of the patients</w:t>
      </w:r>
      <w:r w:rsidR="00591869" w:rsidRPr="00E47FF5">
        <w:rPr>
          <w:color w:val="auto"/>
        </w:rPr>
        <w:t xml:space="preserve">, </w:t>
      </w:r>
      <w:r w:rsidR="002F5DFE">
        <w:rPr>
          <w:color w:val="auto"/>
        </w:rPr>
        <w:t xml:space="preserve">and </w:t>
      </w:r>
      <w:r w:rsidR="00591869">
        <w:rPr>
          <w:color w:val="auto"/>
        </w:rPr>
        <w:t xml:space="preserve">three </w:t>
      </w:r>
      <w:r w:rsidR="002F5DFE">
        <w:rPr>
          <w:color w:val="auto"/>
        </w:rPr>
        <w:t>and</w:t>
      </w:r>
      <w:r w:rsidR="002F5DFE" w:rsidRPr="00E47FF5">
        <w:rPr>
          <w:color w:val="auto"/>
        </w:rPr>
        <w:t xml:space="preserve"> four times </w:t>
      </w:r>
      <w:r w:rsidR="00591869">
        <w:rPr>
          <w:color w:val="auto"/>
        </w:rPr>
        <w:t xml:space="preserve">in 5%, </w:t>
      </w:r>
      <w:r w:rsidR="002F5DFE">
        <w:rPr>
          <w:color w:val="auto"/>
        </w:rPr>
        <w:t>respectively</w:t>
      </w:r>
      <w:r w:rsidR="00591869">
        <w:rPr>
          <w:color w:val="auto"/>
        </w:rPr>
        <w:t>)</w:t>
      </w:r>
      <w:r w:rsidR="00591869" w:rsidRPr="00E47FF5">
        <w:rPr>
          <w:color w:val="auto"/>
        </w:rPr>
        <w:t>.</w:t>
      </w:r>
      <w:r w:rsidR="00591869">
        <w:rPr>
          <w:color w:val="auto"/>
        </w:rPr>
        <w:t xml:space="preserve"> The proposed 4-stratum-model with NT-</w:t>
      </w:r>
      <w:proofErr w:type="spellStart"/>
      <w:r w:rsidR="00591869">
        <w:rPr>
          <w:color w:val="auto"/>
        </w:rPr>
        <w:t>proBNP</w:t>
      </w:r>
      <w:proofErr w:type="spellEnd"/>
      <w:r w:rsidR="00591869">
        <w:rPr>
          <w:color w:val="auto"/>
        </w:rPr>
        <w:t xml:space="preserve"> testing included </w:t>
      </w:r>
      <w:r w:rsidR="00653F2B">
        <w:rPr>
          <w:color w:val="auto"/>
        </w:rPr>
        <w:br/>
      </w:r>
      <w:r w:rsidR="005744A2">
        <w:rPr>
          <w:color w:val="auto"/>
        </w:rPr>
        <w:t>‘</w:t>
      </w:r>
      <w:r w:rsidR="00591869" w:rsidRPr="00A22629">
        <w:rPr>
          <w:color w:val="auto"/>
        </w:rPr>
        <w:t>4.0 NT-</w:t>
      </w:r>
      <w:proofErr w:type="spellStart"/>
      <w:r w:rsidR="00591869" w:rsidRPr="00A22629">
        <w:rPr>
          <w:color w:val="auto"/>
        </w:rPr>
        <w:t>proBNP</w:t>
      </w:r>
      <w:proofErr w:type="spellEnd"/>
      <w:r w:rsidR="00591869" w:rsidRPr="00A22629">
        <w:rPr>
          <w:color w:val="auto"/>
        </w:rPr>
        <w:t xml:space="preserve"> + 2.5 TTE/patient/year’ </w:t>
      </w:r>
      <w:r w:rsidR="00591869">
        <w:rPr>
          <w:color w:val="auto"/>
        </w:rPr>
        <w:t xml:space="preserve">compared </w:t>
      </w:r>
      <w:r w:rsidR="00591869" w:rsidRPr="00A22629">
        <w:rPr>
          <w:color w:val="auto"/>
        </w:rPr>
        <w:t xml:space="preserve">to ‘4 TTE/patient/year’ in the current </w:t>
      </w:r>
      <w:r w:rsidR="00653F2B">
        <w:rPr>
          <w:color w:val="auto"/>
        </w:rPr>
        <w:br/>
      </w:r>
      <w:r w:rsidR="00591869">
        <w:rPr>
          <w:color w:val="auto"/>
        </w:rPr>
        <w:t>3-stratum model with TTE,</w:t>
      </w:r>
      <w:r w:rsidR="002F5DFE">
        <w:rPr>
          <w:color w:val="auto"/>
        </w:rPr>
        <w:t xml:space="preserve"> therefore</w:t>
      </w:r>
      <w:r w:rsidR="00591869">
        <w:rPr>
          <w:color w:val="auto"/>
        </w:rPr>
        <w:t xml:space="preserve"> a substitution of </w:t>
      </w:r>
      <w:r w:rsidR="00591869" w:rsidRPr="00A22629">
        <w:rPr>
          <w:color w:val="auto"/>
        </w:rPr>
        <w:t xml:space="preserve">1.5 TTE tests </w:t>
      </w:r>
      <w:r w:rsidR="002F5DFE">
        <w:rPr>
          <w:color w:val="auto"/>
        </w:rPr>
        <w:t xml:space="preserve">was assumed </w:t>
      </w:r>
      <w:r w:rsidR="00591869">
        <w:rPr>
          <w:color w:val="auto"/>
        </w:rPr>
        <w:t xml:space="preserve">with </w:t>
      </w:r>
      <w:r w:rsidR="00591869" w:rsidRPr="00A22629">
        <w:rPr>
          <w:color w:val="auto"/>
        </w:rPr>
        <w:t>4.0 NT-</w:t>
      </w:r>
      <w:proofErr w:type="spellStart"/>
      <w:r w:rsidR="00591869" w:rsidRPr="00A22629">
        <w:rPr>
          <w:color w:val="auto"/>
        </w:rPr>
        <w:t>proBNP</w:t>
      </w:r>
      <w:proofErr w:type="spellEnd"/>
      <w:r w:rsidR="00591869" w:rsidRPr="00A22629">
        <w:rPr>
          <w:color w:val="auto"/>
        </w:rPr>
        <w:t xml:space="preserve"> tests</w:t>
      </w:r>
      <w:r w:rsidR="00591869">
        <w:rPr>
          <w:color w:val="auto"/>
        </w:rPr>
        <w:t xml:space="preserve"> (</w:t>
      </w:r>
      <w:proofErr w:type="gramStart"/>
      <w:r w:rsidR="00591869">
        <w:rPr>
          <w:color w:val="auto"/>
        </w:rPr>
        <w:t>i.e.</w:t>
      </w:r>
      <w:proofErr w:type="gramEnd"/>
      <w:r w:rsidR="00591869" w:rsidRPr="00A22629">
        <w:rPr>
          <w:color w:val="auto"/>
        </w:rPr>
        <w:t xml:space="preserve"> </w:t>
      </w:r>
      <w:r w:rsidR="00591869" w:rsidRPr="00D57EF3">
        <w:rPr>
          <w:color w:val="auto"/>
        </w:rPr>
        <w:t>reduction of 0.38 TTEs per NT-</w:t>
      </w:r>
      <w:proofErr w:type="spellStart"/>
      <w:r w:rsidR="00591869" w:rsidRPr="00D57EF3">
        <w:rPr>
          <w:color w:val="auto"/>
        </w:rPr>
        <w:t>proBNP</w:t>
      </w:r>
      <w:proofErr w:type="spellEnd"/>
      <w:r w:rsidR="00591869" w:rsidRPr="00D57EF3">
        <w:rPr>
          <w:color w:val="auto"/>
        </w:rPr>
        <w:t xml:space="preserve"> test performed</w:t>
      </w:r>
      <w:r w:rsidR="00DE7911">
        <w:rPr>
          <w:color w:val="auto"/>
        </w:rPr>
        <w:t>)</w:t>
      </w:r>
      <w:r w:rsidR="00591869">
        <w:rPr>
          <w:color w:val="auto"/>
        </w:rPr>
        <w:t xml:space="preserve">. </w:t>
      </w:r>
      <w:r w:rsidR="0050510D">
        <w:rPr>
          <w:color w:val="auto"/>
        </w:rPr>
        <w:t>Although this reduction estimate is lower than the assumption in the</w:t>
      </w:r>
      <w:r w:rsidR="00591869">
        <w:rPr>
          <w:color w:val="auto"/>
        </w:rPr>
        <w:t xml:space="preserve"> </w:t>
      </w:r>
      <w:r w:rsidR="00591869" w:rsidRPr="00A22629">
        <w:rPr>
          <w:color w:val="auto"/>
        </w:rPr>
        <w:t>initial ADAR 1689</w:t>
      </w:r>
      <w:r w:rsidR="00591869">
        <w:rPr>
          <w:color w:val="auto"/>
        </w:rPr>
        <w:t xml:space="preserve"> </w:t>
      </w:r>
      <w:r w:rsidR="002F5DFE">
        <w:rPr>
          <w:color w:val="auto"/>
        </w:rPr>
        <w:t>(</w:t>
      </w:r>
      <w:r w:rsidR="005744A2">
        <w:rPr>
          <w:color w:val="auto"/>
        </w:rPr>
        <w:t xml:space="preserve">where </w:t>
      </w:r>
      <w:r w:rsidR="002F5DFE">
        <w:rPr>
          <w:color w:val="auto"/>
        </w:rPr>
        <w:t xml:space="preserve">a </w:t>
      </w:r>
      <w:r w:rsidR="002F5DFE" w:rsidRPr="00D57EF3">
        <w:rPr>
          <w:color w:val="auto"/>
        </w:rPr>
        <w:t xml:space="preserve">reduction of </w:t>
      </w:r>
      <w:r w:rsidR="002F5DFE">
        <w:rPr>
          <w:color w:val="auto"/>
        </w:rPr>
        <w:t>1.0</w:t>
      </w:r>
      <w:r w:rsidR="002F5DFE" w:rsidRPr="00D57EF3">
        <w:rPr>
          <w:color w:val="auto"/>
        </w:rPr>
        <w:t xml:space="preserve"> TTEs per NT-</w:t>
      </w:r>
      <w:proofErr w:type="spellStart"/>
      <w:r w:rsidR="002F5DFE" w:rsidRPr="00D57EF3">
        <w:rPr>
          <w:color w:val="auto"/>
        </w:rPr>
        <w:t>proBNP</w:t>
      </w:r>
      <w:proofErr w:type="spellEnd"/>
      <w:r w:rsidR="002F5DFE" w:rsidRPr="00D57EF3">
        <w:rPr>
          <w:color w:val="auto"/>
        </w:rPr>
        <w:t xml:space="preserve"> test performed</w:t>
      </w:r>
      <w:r w:rsidR="005744A2">
        <w:rPr>
          <w:color w:val="auto"/>
        </w:rPr>
        <w:t xml:space="preserve"> was assumed</w:t>
      </w:r>
      <w:r w:rsidR="002F5DFE">
        <w:rPr>
          <w:color w:val="auto"/>
        </w:rPr>
        <w:t>)</w:t>
      </w:r>
      <w:r w:rsidR="0050510D">
        <w:rPr>
          <w:color w:val="auto"/>
        </w:rPr>
        <w:t xml:space="preserve">, </w:t>
      </w:r>
      <w:r w:rsidR="0050510D" w:rsidRPr="0050510D">
        <w:rPr>
          <w:color w:val="auto"/>
        </w:rPr>
        <w:t>the number of NT-</w:t>
      </w:r>
      <w:proofErr w:type="spellStart"/>
      <w:r w:rsidR="0050510D" w:rsidRPr="0050510D">
        <w:rPr>
          <w:color w:val="auto"/>
        </w:rPr>
        <w:t>proBNP</w:t>
      </w:r>
      <w:proofErr w:type="spellEnd"/>
      <w:r w:rsidR="0050510D" w:rsidRPr="0050510D">
        <w:rPr>
          <w:color w:val="auto"/>
        </w:rPr>
        <w:t xml:space="preserve"> tests </w:t>
      </w:r>
      <w:r w:rsidR="0050510D">
        <w:rPr>
          <w:color w:val="auto"/>
        </w:rPr>
        <w:t xml:space="preserve">may be overestimated </w:t>
      </w:r>
      <w:r w:rsidR="005744A2">
        <w:rPr>
          <w:color w:val="auto"/>
        </w:rPr>
        <w:t>due to the assumption of</w:t>
      </w:r>
      <w:r w:rsidR="0050510D" w:rsidRPr="0050510D">
        <w:rPr>
          <w:color w:val="auto"/>
        </w:rPr>
        <w:t xml:space="preserve"> 100% adherence every 3 months</w:t>
      </w:r>
      <w:r w:rsidR="005744A2">
        <w:rPr>
          <w:color w:val="auto"/>
        </w:rPr>
        <w:t xml:space="preserve"> to either NT-</w:t>
      </w:r>
      <w:proofErr w:type="spellStart"/>
      <w:r w:rsidR="005744A2">
        <w:rPr>
          <w:color w:val="auto"/>
        </w:rPr>
        <w:t>proBNP</w:t>
      </w:r>
      <w:proofErr w:type="spellEnd"/>
      <w:r w:rsidR="005744A2">
        <w:rPr>
          <w:color w:val="auto"/>
        </w:rPr>
        <w:t xml:space="preserve"> or TTE (i.e. </w:t>
      </w:r>
      <w:r w:rsidR="0050510D">
        <w:rPr>
          <w:color w:val="auto"/>
        </w:rPr>
        <w:t>same frequency of testing in both arms</w:t>
      </w:r>
      <w:r w:rsidR="005744A2">
        <w:rPr>
          <w:color w:val="auto"/>
        </w:rPr>
        <w:t>)</w:t>
      </w:r>
      <w:r w:rsidR="000129BB">
        <w:rPr>
          <w:color w:val="auto"/>
        </w:rPr>
        <w:t>.</w:t>
      </w:r>
      <w:r w:rsidR="0050510D">
        <w:rPr>
          <w:color w:val="auto"/>
        </w:rPr>
        <w:t xml:space="preserve"> </w:t>
      </w:r>
      <w:r w:rsidR="000129BB" w:rsidRPr="000129BB">
        <w:rPr>
          <w:color w:val="auto"/>
        </w:rPr>
        <w:t xml:space="preserve">Given the accessibility and acceptability issues for TTE in the rural and remote areas, patients diagnosed with PAH are likely to receive less than the recommended number of TTE tests (4 TTE/patient in a year), and </w:t>
      </w:r>
      <w:r w:rsidR="005744A2">
        <w:rPr>
          <w:color w:val="auto"/>
        </w:rPr>
        <w:t xml:space="preserve">therefore, </w:t>
      </w:r>
      <w:r w:rsidR="000129BB" w:rsidRPr="000129BB">
        <w:rPr>
          <w:color w:val="auto"/>
        </w:rPr>
        <w:t>the assumption of</w:t>
      </w:r>
      <w:r w:rsidR="005744A2">
        <w:rPr>
          <w:color w:val="auto"/>
        </w:rPr>
        <w:t xml:space="preserve"> a</w:t>
      </w:r>
      <w:r w:rsidR="000129BB" w:rsidRPr="000129BB">
        <w:rPr>
          <w:color w:val="auto"/>
        </w:rPr>
        <w:t xml:space="preserve"> 1.5 reduction in TTE testing per year </w:t>
      </w:r>
      <w:r w:rsidR="005744A2">
        <w:rPr>
          <w:color w:val="auto"/>
        </w:rPr>
        <w:t>may</w:t>
      </w:r>
      <w:r w:rsidR="000129BB" w:rsidRPr="000129BB">
        <w:rPr>
          <w:color w:val="auto"/>
        </w:rPr>
        <w:t xml:space="preserve"> be an overestimate.</w:t>
      </w:r>
      <w:r w:rsidR="00130546">
        <w:rPr>
          <w:color w:val="auto"/>
        </w:rPr>
        <w:t xml:space="preserve"> </w:t>
      </w:r>
    </w:p>
    <w:p w14:paraId="108610E1" w14:textId="1921F839" w:rsidR="002F5DFE" w:rsidRDefault="002F5DFE" w:rsidP="002F5DFE">
      <w:pPr>
        <w:pStyle w:val="Instructionaltext"/>
        <w:rPr>
          <w:color w:val="auto"/>
        </w:rPr>
      </w:pPr>
      <w:r>
        <w:rPr>
          <w:color w:val="auto"/>
        </w:rPr>
        <w:t xml:space="preserve">The </w:t>
      </w:r>
      <w:r w:rsidR="00784228">
        <w:rPr>
          <w:color w:val="auto"/>
        </w:rPr>
        <w:t xml:space="preserve">estimated </w:t>
      </w:r>
      <w:r>
        <w:rPr>
          <w:color w:val="auto"/>
        </w:rPr>
        <w:t xml:space="preserve">reduction in TTE tests </w:t>
      </w:r>
      <w:r w:rsidR="00784228">
        <w:rPr>
          <w:color w:val="auto"/>
        </w:rPr>
        <w:t>was</w:t>
      </w:r>
      <w:r>
        <w:rPr>
          <w:color w:val="auto"/>
        </w:rPr>
        <w:t xml:space="preserve"> based on the assumption that two TTE tests in the </w:t>
      </w:r>
      <w:r w:rsidRPr="002F45ED">
        <w:rPr>
          <w:color w:val="auto"/>
        </w:rPr>
        <w:t xml:space="preserve">current algorithm </w:t>
      </w:r>
      <w:r w:rsidR="00784228">
        <w:rPr>
          <w:color w:val="auto"/>
        </w:rPr>
        <w:t>c</w:t>
      </w:r>
      <w:r w:rsidRPr="002F45ED">
        <w:rPr>
          <w:color w:val="auto"/>
        </w:rPr>
        <w:t xml:space="preserve">ould be substituted in </w:t>
      </w:r>
      <w:r w:rsidR="00784228">
        <w:rPr>
          <w:color w:val="auto"/>
        </w:rPr>
        <w:t xml:space="preserve">a proportion of </w:t>
      </w:r>
      <w:r w:rsidRPr="002F45ED">
        <w:rPr>
          <w:color w:val="auto"/>
        </w:rPr>
        <w:t xml:space="preserve">patients </w:t>
      </w:r>
      <w:r w:rsidR="00784228">
        <w:rPr>
          <w:color w:val="auto"/>
        </w:rPr>
        <w:t xml:space="preserve">(suggested by the ADAR 1689.1 as those </w:t>
      </w:r>
      <w:r w:rsidRPr="002F45ED">
        <w:rPr>
          <w:color w:val="auto"/>
        </w:rPr>
        <w:t>with stable disease</w:t>
      </w:r>
      <w:r w:rsidR="00784228">
        <w:rPr>
          <w:color w:val="auto"/>
        </w:rPr>
        <w:t>)</w:t>
      </w:r>
      <w:r>
        <w:rPr>
          <w:color w:val="auto"/>
        </w:rPr>
        <w:t xml:space="preserve">. This proportion was estimated to be 75% based on PHSANZ data </w:t>
      </w:r>
      <w:r w:rsidR="00784228">
        <w:rPr>
          <w:color w:val="auto"/>
        </w:rPr>
        <w:t xml:space="preserve">on the proportion of patients </w:t>
      </w:r>
      <w:r w:rsidR="00FD084F">
        <w:rPr>
          <w:color w:val="auto"/>
        </w:rPr>
        <w:t>with stable or improved disease status according to</w:t>
      </w:r>
      <w:r w:rsidR="00784228">
        <w:rPr>
          <w:color w:val="auto"/>
        </w:rPr>
        <w:t xml:space="preserve"> </w:t>
      </w:r>
      <w:r>
        <w:rPr>
          <w:color w:val="auto"/>
        </w:rPr>
        <w:t xml:space="preserve">two parameters (WHO FC and 6MWD), with unknown approaches for the assessment (i.e. 3- or 4-stratum classification). Therefore, this data may include stable patients who require additional TTE tests due to their high-risk categories or comorbidities. </w:t>
      </w:r>
      <w:r w:rsidRPr="00B375B5">
        <w:rPr>
          <w:color w:val="auto"/>
        </w:rPr>
        <w:t xml:space="preserve">A threshold analysis </w:t>
      </w:r>
      <w:r>
        <w:rPr>
          <w:color w:val="auto"/>
        </w:rPr>
        <w:t>conducted by the commentary</w:t>
      </w:r>
      <w:r w:rsidRPr="00B375B5">
        <w:rPr>
          <w:color w:val="auto"/>
        </w:rPr>
        <w:t xml:space="preserve"> suggested that if the </w:t>
      </w:r>
      <w:r>
        <w:rPr>
          <w:color w:val="auto"/>
        </w:rPr>
        <w:t>proportion of PAH patients who are able to substitute two (of four) TTEs per year remains above 48.8</w:t>
      </w:r>
      <w:r w:rsidRPr="00B375B5">
        <w:rPr>
          <w:color w:val="auto"/>
        </w:rPr>
        <w:t xml:space="preserve">% </w:t>
      </w:r>
      <w:r>
        <w:rPr>
          <w:color w:val="auto"/>
        </w:rPr>
        <w:t>(</w:t>
      </w:r>
      <w:r w:rsidRPr="00B375B5">
        <w:rPr>
          <w:color w:val="auto"/>
        </w:rPr>
        <w:t>average reduction of 0.24 TTE per NT-</w:t>
      </w:r>
      <w:proofErr w:type="spellStart"/>
      <w:r w:rsidRPr="00B375B5">
        <w:rPr>
          <w:color w:val="auto"/>
        </w:rPr>
        <w:t>proBNP</w:t>
      </w:r>
      <w:proofErr w:type="spellEnd"/>
      <w:r w:rsidRPr="00B375B5">
        <w:rPr>
          <w:color w:val="auto"/>
        </w:rPr>
        <w:t xml:space="preserve"> test performed</w:t>
      </w:r>
      <w:r>
        <w:rPr>
          <w:color w:val="auto"/>
        </w:rPr>
        <w:t>)</w:t>
      </w:r>
      <w:r w:rsidRPr="00B375B5">
        <w:rPr>
          <w:color w:val="auto"/>
        </w:rPr>
        <w:t>, then the conclusion of cost savings would not change</w:t>
      </w:r>
      <w:r>
        <w:rPr>
          <w:color w:val="auto"/>
        </w:rPr>
        <w:t>.</w:t>
      </w:r>
    </w:p>
    <w:p w14:paraId="2D27EB17" w14:textId="7D12B376" w:rsidR="00B40B45" w:rsidRDefault="00B40B45" w:rsidP="00A6795B">
      <w:pPr>
        <w:pStyle w:val="Instructionaltext"/>
        <w:keepNext/>
        <w:keepLines/>
        <w:rPr>
          <w:color w:val="auto"/>
        </w:rPr>
      </w:pPr>
      <w:r>
        <w:rPr>
          <w:noProof/>
          <w:color w:val="auto"/>
        </w:rPr>
        <w:drawing>
          <wp:inline distT="0" distB="0" distL="0" distR="0" wp14:anchorId="517BC20F" wp14:editId="096CB53A">
            <wp:extent cx="5382260" cy="3228975"/>
            <wp:effectExtent l="0" t="0" r="8890" b="9525"/>
            <wp:docPr id="12" name="Picture 12" descr="A line chart showing the threshold analysis for the proportion of patients able to substitute some TTE for a conclusion of the funding of the proposed NT-proBNP testing remains cost-neutral to the MB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2260" cy="3228975"/>
                    </a:xfrm>
                    <a:prstGeom prst="rect">
                      <a:avLst/>
                    </a:prstGeom>
                    <a:noFill/>
                  </pic:spPr>
                </pic:pic>
              </a:graphicData>
            </a:graphic>
          </wp:inline>
        </w:drawing>
      </w:r>
    </w:p>
    <w:p w14:paraId="09FC5063" w14:textId="68F910EE" w:rsidR="00B40B45" w:rsidRPr="00A61769" w:rsidRDefault="00B40B45" w:rsidP="00A6795B">
      <w:pPr>
        <w:pStyle w:val="TableHeading0"/>
        <w:keepLines/>
      </w:pPr>
      <w:r>
        <w:t xml:space="preserve">Figure </w:t>
      </w:r>
      <w:r w:rsidR="00DD62DD">
        <w:fldChar w:fldCharType="begin"/>
      </w:r>
      <w:r w:rsidR="00DD62DD">
        <w:instrText xml:space="preserve"> SEQ Figure \* ARABIC </w:instrText>
      </w:r>
      <w:r w:rsidR="00DD62DD">
        <w:fldChar w:fldCharType="separate"/>
      </w:r>
      <w:r w:rsidR="00E25AD6">
        <w:rPr>
          <w:noProof/>
        </w:rPr>
        <w:t>4</w:t>
      </w:r>
      <w:r w:rsidR="00DD62DD">
        <w:rPr>
          <w:noProof/>
        </w:rPr>
        <w:fldChar w:fldCharType="end"/>
      </w:r>
      <w:r w:rsidRPr="00A61769">
        <w:tab/>
      </w:r>
      <w:r w:rsidR="00EC4F52">
        <w:t>Threshold analysis for the p</w:t>
      </w:r>
      <w:r>
        <w:t>roportion</w:t>
      </w:r>
      <w:r w:rsidRPr="00A61769">
        <w:t xml:space="preserve"> of patients </w:t>
      </w:r>
      <w:r>
        <w:t>able to substitute some TTE</w:t>
      </w:r>
    </w:p>
    <w:p w14:paraId="2DFEE935" w14:textId="29CE09BA" w:rsidR="00B40B45" w:rsidRDefault="00B40B45" w:rsidP="00F85437">
      <w:pPr>
        <w:pStyle w:val="Tablenotes0"/>
        <w:keepNext/>
        <w:keepLines/>
      </w:pPr>
      <w:r w:rsidRPr="00DB0351">
        <w:t xml:space="preserve">Abbreviations: </w:t>
      </w:r>
      <w:r w:rsidRPr="000D7750">
        <w:t>NT-</w:t>
      </w:r>
      <w:proofErr w:type="spellStart"/>
      <w:r w:rsidRPr="000D7750">
        <w:t>proBNP</w:t>
      </w:r>
      <w:proofErr w:type="spellEnd"/>
      <w:r>
        <w:t xml:space="preserve"> </w:t>
      </w:r>
      <w:r w:rsidRPr="000D7750">
        <w:t xml:space="preserve">= N-terminal </w:t>
      </w:r>
      <w:proofErr w:type="spellStart"/>
      <w:r w:rsidRPr="000D7750">
        <w:t>proB</w:t>
      </w:r>
      <w:proofErr w:type="spellEnd"/>
      <w:r w:rsidRPr="000D7750">
        <w:t>-type natriuretic peptide; TTE</w:t>
      </w:r>
      <w:r>
        <w:t xml:space="preserve"> </w:t>
      </w:r>
      <w:r w:rsidRPr="000D7750">
        <w:t xml:space="preserve">= </w:t>
      </w:r>
      <w:r>
        <w:t>t</w:t>
      </w:r>
      <w:r w:rsidRPr="000D7750">
        <w:t xml:space="preserve">ransthoracic </w:t>
      </w:r>
      <w:r>
        <w:t>e</w:t>
      </w:r>
      <w:r w:rsidRPr="000D7750">
        <w:t>chocardiogram</w:t>
      </w:r>
    </w:p>
    <w:p w14:paraId="699D674E" w14:textId="77777777" w:rsidR="004453F7" w:rsidRDefault="00B40B45" w:rsidP="00A6795B">
      <w:pPr>
        <w:pStyle w:val="Tablenotes0"/>
        <w:keepLines/>
      </w:pPr>
      <w:r w:rsidRPr="00AA0686">
        <w:t xml:space="preserve">Source: </w:t>
      </w:r>
      <w:r>
        <w:t>Compiled by the</w:t>
      </w:r>
      <w:r w:rsidRPr="00AA0686">
        <w:t xml:space="preserve"> </w:t>
      </w:r>
      <w:r>
        <w:t xml:space="preserve">commentary. </w:t>
      </w:r>
    </w:p>
    <w:p w14:paraId="5B182A84" w14:textId="7AF489D2" w:rsidR="004F646F" w:rsidRDefault="00793AF4" w:rsidP="00A6795B">
      <w:pPr>
        <w:pStyle w:val="Tablenotes0"/>
        <w:keepLines/>
      </w:pPr>
      <w:r>
        <w:t xml:space="preserve">* </w:t>
      </w:r>
      <w:r w:rsidR="00B40B45">
        <w:t>The average reduction in TTE per NT-</w:t>
      </w:r>
      <w:proofErr w:type="spellStart"/>
      <w:r w:rsidR="00B40B45">
        <w:t>proBNP</w:t>
      </w:r>
      <w:proofErr w:type="spellEnd"/>
      <w:r w:rsidR="00B40B45">
        <w:t xml:space="preserve"> test performed is 0.24.</w:t>
      </w:r>
    </w:p>
    <w:p w14:paraId="1258351A" w14:textId="093ADEA9" w:rsidR="00793AF4" w:rsidRDefault="00793AF4" w:rsidP="00A7378C">
      <w:pPr>
        <w:pStyle w:val="Tablenotes0"/>
      </w:pPr>
      <w:r>
        <w:t>^ The average reduction in TTE per NT-</w:t>
      </w:r>
      <w:proofErr w:type="spellStart"/>
      <w:r>
        <w:t>proBNP</w:t>
      </w:r>
      <w:proofErr w:type="spellEnd"/>
      <w:r>
        <w:t xml:space="preserve"> test performed is 0.38.</w:t>
      </w:r>
    </w:p>
    <w:p w14:paraId="3EF4532E" w14:textId="327CB976" w:rsidR="00591869" w:rsidRDefault="00591869" w:rsidP="00840EF5">
      <w:pPr>
        <w:spacing w:before="240"/>
      </w:pPr>
      <w:r>
        <w:lastRenderedPageBreak/>
        <w:t>T</w:t>
      </w:r>
      <w:r w:rsidRPr="00F53AFC">
        <w:t>he cost-minimisation analysis</w:t>
      </w:r>
      <w:r>
        <w:t xml:space="preserve">, </w:t>
      </w:r>
      <w:r w:rsidRPr="00F53AFC">
        <w:t xml:space="preserve">and the </w:t>
      </w:r>
      <w:r>
        <w:t>re</w:t>
      </w:r>
      <w:r w:rsidRPr="00F53AFC">
        <w:t>submission’s base case is presented in the table below</w:t>
      </w:r>
      <w:r>
        <w:t xml:space="preserve">. </w:t>
      </w:r>
      <w:r w:rsidR="008070F1">
        <w:t>Relative to the previous ADAR, the estimated cost savings are reduced, however due to the issues described above regarding the extent of TTE substitution, the cost savings estimated may remain an overestimate.</w:t>
      </w:r>
    </w:p>
    <w:bookmarkEnd w:id="53"/>
    <w:p w14:paraId="195C5DE4" w14:textId="7E7DB8C5" w:rsidR="00591869" w:rsidRPr="001A4B85" w:rsidRDefault="00591869" w:rsidP="00591869">
      <w:pPr>
        <w:pStyle w:val="TableHeading0"/>
        <w:rPr>
          <w:rFonts w:eastAsia="Times New Roman" w:cs="Times New Roman"/>
          <w:bCs/>
          <w:szCs w:val="20"/>
        </w:rPr>
      </w:pPr>
      <w:r>
        <w:t xml:space="preserve">Table </w:t>
      </w:r>
      <w:r w:rsidR="00DD62DD">
        <w:fldChar w:fldCharType="begin"/>
      </w:r>
      <w:r w:rsidR="00DD62DD">
        <w:instrText xml:space="preserve"> SEQ Table \* ARABIC </w:instrText>
      </w:r>
      <w:r w:rsidR="00DD62DD">
        <w:fldChar w:fldCharType="separate"/>
      </w:r>
      <w:r>
        <w:rPr>
          <w:noProof/>
        </w:rPr>
        <w:t>11</w:t>
      </w:r>
      <w:r w:rsidR="00DD62DD">
        <w:rPr>
          <w:noProof/>
        </w:rPr>
        <w:fldChar w:fldCharType="end"/>
      </w:r>
      <w:r w:rsidRPr="001A4B85">
        <w:rPr>
          <w:rFonts w:eastAsia="Times New Roman" w:cs="Times New Roman"/>
          <w:bCs/>
          <w:szCs w:val="20"/>
        </w:rPr>
        <w:tab/>
      </w:r>
      <w:r w:rsidRPr="000D7750">
        <w:t xml:space="preserve">Total cost per patient </w:t>
      </w:r>
      <w:r>
        <w:t xml:space="preserve">in Year 1 </w:t>
      </w:r>
      <w:r w:rsidRPr="000D7750">
        <w:t xml:space="preserve">associated with </w:t>
      </w:r>
      <w:r>
        <w:t>current (</w:t>
      </w:r>
      <w:r w:rsidRPr="000D7750">
        <w:t>without</w:t>
      </w:r>
      <w:r>
        <w:t xml:space="preserve"> NT-</w:t>
      </w:r>
      <w:proofErr w:type="spellStart"/>
      <w:r>
        <w:t>proBNP</w:t>
      </w:r>
      <w:proofErr w:type="spellEnd"/>
      <w:r>
        <w:t>)</w:t>
      </w:r>
      <w:r w:rsidRPr="000D7750">
        <w:t xml:space="preserve"> and </w:t>
      </w:r>
      <w:r>
        <w:t>proposed (</w:t>
      </w:r>
      <w:r w:rsidRPr="000D7750">
        <w:t>with NT-</w:t>
      </w:r>
      <w:proofErr w:type="spellStart"/>
      <w:r w:rsidRPr="000D7750">
        <w:t>proBNP</w:t>
      </w:r>
      <w:proofErr w:type="spellEnd"/>
      <w:r>
        <w:t>)</w:t>
      </w:r>
      <w:r w:rsidRPr="000D7750">
        <w:t xml:space="preserve"> </w:t>
      </w:r>
      <w:r>
        <w:t>clinical management</w:t>
      </w:r>
      <w:r w:rsidRPr="000D7750">
        <w:t xml:space="preserve"> algorithms in patients diagnosed with PAH</w:t>
      </w:r>
    </w:p>
    <w:tbl>
      <w:tblPr>
        <w:tblStyle w:val="TableGrid1"/>
        <w:tblW w:w="0" w:type="auto"/>
        <w:tblLook w:val="04A0" w:firstRow="1" w:lastRow="0" w:firstColumn="1" w:lastColumn="0" w:noHBand="0" w:noVBand="1"/>
        <w:tblCaption w:val="Table 11: Total cost per patient in Year 1 associated with current (without NT-proBNP) and proposed (with NT-proBNP) clinical management algorithms in patients diagnosed with PAH"/>
        <w:tblDescription w:val="As a result of the cost-minimisation analysis, a net-cost saving of $126.08 per patient in a year was estimated in the base case of the ADAR. "/>
      </w:tblPr>
      <w:tblGrid>
        <w:gridCol w:w="3243"/>
        <w:gridCol w:w="1882"/>
        <w:gridCol w:w="2160"/>
        <w:gridCol w:w="1731"/>
      </w:tblGrid>
      <w:tr w:rsidR="00591869" w:rsidRPr="000D7750" w14:paraId="2336E3B6" w14:textId="77777777" w:rsidTr="004F646F">
        <w:trPr>
          <w:cnfStyle w:val="100000000000" w:firstRow="1" w:lastRow="0" w:firstColumn="0" w:lastColumn="0" w:oddVBand="0" w:evenVBand="0" w:oddHBand="0" w:evenHBand="0" w:firstRowFirstColumn="0" w:firstRowLastColumn="0" w:lastRowFirstColumn="0" w:lastRowLastColumn="0"/>
          <w:cantSplit/>
          <w:tblHeader/>
        </w:trPr>
        <w:tc>
          <w:tcPr>
            <w:tcW w:w="0" w:type="auto"/>
            <w:tcBorders>
              <w:bottom w:val="single" w:sz="4" w:space="0" w:color="auto"/>
            </w:tcBorders>
            <w:shd w:val="pct20" w:color="auto" w:fill="auto"/>
            <w:vAlign w:val="center"/>
          </w:tcPr>
          <w:p w14:paraId="078ABD90" w14:textId="77777777" w:rsidR="00591869" w:rsidRPr="000D7750" w:rsidRDefault="00591869" w:rsidP="00591869">
            <w:pPr>
              <w:pStyle w:val="TableHeading"/>
              <w:spacing w:before="40" w:after="40"/>
            </w:pPr>
            <w:bookmarkStart w:id="54" w:name="Title_Table6"/>
            <w:bookmarkStart w:id="55" w:name="_Ref69725876"/>
            <w:bookmarkEnd w:id="54"/>
            <w:r w:rsidRPr="000D7750">
              <w:t>Parameter</w:t>
            </w:r>
          </w:p>
        </w:tc>
        <w:tc>
          <w:tcPr>
            <w:tcW w:w="1882" w:type="dxa"/>
            <w:tcBorders>
              <w:bottom w:val="single" w:sz="4" w:space="0" w:color="auto"/>
            </w:tcBorders>
            <w:shd w:val="pct20" w:color="auto" w:fill="auto"/>
            <w:vAlign w:val="center"/>
          </w:tcPr>
          <w:p w14:paraId="7096E698" w14:textId="77777777" w:rsidR="00591869" w:rsidRPr="000D7750" w:rsidRDefault="00591869" w:rsidP="00591869">
            <w:pPr>
              <w:pStyle w:val="TableHeading"/>
              <w:spacing w:before="40" w:after="40"/>
            </w:pPr>
            <w:r w:rsidRPr="000D7750">
              <w:t>Current clinical management algorithm (without NT-</w:t>
            </w:r>
            <w:proofErr w:type="spellStart"/>
            <w:r w:rsidRPr="000D7750">
              <w:t>proBNP</w:t>
            </w:r>
            <w:proofErr w:type="spellEnd"/>
            <w:r w:rsidRPr="000D7750">
              <w:t>)</w:t>
            </w:r>
          </w:p>
        </w:tc>
        <w:tc>
          <w:tcPr>
            <w:tcW w:w="2160" w:type="dxa"/>
            <w:tcBorders>
              <w:bottom w:val="single" w:sz="4" w:space="0" w:color="auto"/>
            </w:tcBorders>
            <w:shd w:val="pct20" w:color="auto" w:fill="auto"/>
            <w:vAlign w:val="center"/>
          </w:tcPr>
          <w:p w14:paraId="681958A4" w14:textId="77777777" w:rsidR="00591869" w:rsidRPr="000D7750" w:rsidRDefault="00591869" w:rsidP="00591869">
            <w:pPr>
              <w:pStyle w:val="TableHeading"/>
              <w:spacing w:before="40" w:after="40"/>
            </w:pPr>
            <w:r w:rsidRPr="000D7750">
              <w:t>Proposed clinical management algorithm (with NT-</w:t>
            </w:r>
            <w:proofErr w:type="spellStart"/>
            <w:r w:rsidRPr="000D7750">
              <w:t>proBNP</w:t>
            </w:r>
            <w:proofErr w:type="spellEnd"/>
            <w:r w:rsidRPr="000D7750">
              <w:t>)</w:t>
            </w:r>
          </w:p>
        </w:tc>
        <w:tc>
          <w:tcPr>
            <w:tcW w:w="1731" w:type="dxa"/>
            <w:tcBorders>
              <w:bottom w:val="single" w:sz="4" w:space="0" w:color="auto"/>
            </w:tcBorders>
            <w:shd w:val="pct20" w:color="auto" w:fill="auto"/>
            <w:vAlign w:val="center"/>
          </w:tcPr>
          <w:p w14:paraId="2F6A7C7F" w14:textId="77777777" w:rsidR="00591869" w:rsidRPr="000D7750" w:rsidRDefault="00591869" w:rsidP="00591869">
            <w:pPr>
              <w:pStyle w:val="TableHeading"/>
              <w:spacing w:before="40" w:after="40"/>
            </w:pPr>
            <w:r w:rsidRPr="000D7750">
              <w:t>Source/Notes</w:t>
            </w:r>
          </w:p>
        </w:tc>
      </w:tr>
      <w:tr w:rsidR="00591869" w:rsidRPr="000D7750" w14:paraId="492EEF23" w14:textId="77777777" w:rsidTr="004F646F">
        <w:trPr>
          <w:cnfStyle w:val="100000000000" w:firstRow="1" w:lastRow="0" w:firstColumn="0" w:lastColumn="0" w:oddVBand="0" w:evenVBand="0" w:oddHBand="0" w:evenHBand="0" w:firstRowFirstColumn="0" w:firstRowLastColumn="0" w:lastRowFirstColumn="0" w:lastRowLastColumn="0"/>
          <w:cantSplit/>
          <w:tblHeader/>
        </w:trPr>
        <w:tc>
          <w:tcPr>
            <w:tcW w:w="0" w:type="auto"/>
            <w:tcBorders>
              <w:bottom w:val="single" w:sz="4" w:space="0" w:color="auto"/>
            </w:tcBorders>
            <w:vAlign w:val="center"/>
          </w:tcPr>
          <w:p w14:paraId="0BCA9337" w14:textId="77777777" w:rsidR="00591869" w:rsidRPr="000D7750" w:rsidRDefault="00591869" w:rsidP="00591869">
            <w:pPr>
              <w:pStyle w:val="TableHeading"/>
              <w:spacing w:before="40" w:after="40"/>
              <w:ind w:left="288"/>
              <w:rPr>
                <w:b w:val="0"/>
                <w:bCs/>
              </w:rPr>
            </w:pPr>
            <w:r w:rsidRPr="000D7750">
              <w:rPr>
                <w:b w:val="0"/>
                <w:bCs/>
              </w:rPr>
              <w:t>Unit cost of NT</w:t>
            </w:r>
            <w:r>
              <w:rPr>
                <w:b w:val="0"/>
                <w:bCs/>
              </w:rPr>
              <w:t>-</w:t>
            </w:r>
            <w:proofErr w:type="spellStart"/>
            <w:r w:rsidRPr="000D7750">
              <w:rPr>
                <w:b w:val="0"/>
                <w:bCs/>
              </w:rPr>
              <w:t>proBNP</w:t>
            </w:r>
            <w:proofErr w:type="spellEnd"/>
            <w:r w:rsidRPr="000D7750">
              <w:rPr>
                <w:b w:val="0"/>
                <w:bCs/>
              </w:rPr>
              <w:t xml:space="preserve"> test</w:t>
            </w:r>
          </w:p>
        </w:tc>
        <w:tc>
          <w:tcPr>
            <w:tcW w:w="1882" w:type="dxa"/>
            <w:tcBorders>
              <w:bottom w:val="single" w:sz="4" w:space="0" w:color="auto"/>
            </w:tcBorders>
            <w:vAlign w:val="center"/>
          </w:tcPr>
          <w:p w14:paraId="757E4D24" w14:textId="77777777" w:rsidR="00591869" w:rsidRPr="000D7750" w:rsidRDefault="00591869" w:rsidP="00591869">
            <w:pPr>
              <w:pStyle w:val="TableHeading"/>
              <w:spacing w:before="40" w:after="40"/>
              <w:jc w:val="center"/>
              <w:rPr>
                <w:b w:val="0"/>
                <w:bCs/>
              </w:rPr>
            </w:pPr>
            <w:r w:rsidRPr="000D7750">
              <w:rPr>
                <w:b w:val="0"/>
                <w:bCs/>
              </w:rPr>
              <w:t>$58.50</w:t>
            </w:r>
          </w:p>
        </w:tc>
        <w:tc>
          <w:tcPr>
            <w:tcW w:w="2160" w:type="dxa"/>
            <w:tcBorders>
              <w:bottom w:val="single" w:sz="4" w:space="0" w:color="auto"/>
            </w:tcBorders>
            <w:vAlign w:val="center"/>
          </w:tcPr>
          <w:p w14:paraId="096245B5" w14:textId="77777777" w:rsidR="00591869" w:rsidRPr="000D7750" w:rsidRDefault="00591869" w:rsidP="00591869">
            <w:pPr>
              <w:pStyle w:val="TableHeading"/>
              <w:spacing w:before="40" w:after="40"/>
              <w:jc w:val="center"/>
              <w:rPr>
                <w:b w:val="0"/>
                <w:bCs/>
              </w:rPr>
            </w:pPr>
            <w:r w:rsidRPr="000D7750">
              <w:rPr>
                <w:b w:val="0"/>
                <w:bCs/>
              </w:rPr>
              <w:t>$58.50</w:t>
            </w:r>
          </w:p>
        </w:tc>
        <w:tc>
          <w:tcPr>
            <w:tcW w:w="1731" w:type="dxa"/>
            <w:vAlign w:val="center"/>
          </w:tcPr>
          <w:p w14:paraId="1A18EC53" w14:textId="77777777" w:rsidR="00591869" w:rsidRPr="000D7750" w:rsidRDefault="00591869" w:rsidP="00591869">
            <w:pPr>
              <w:pStyle w:val="TableHeading"/>
              <w:spacing w:before="40" w:after="40"/>
              <w:rPr>
                <w:b w:val="0"/>
                <w:bCs/>
              </w:rPr>
            </w:pPr>
            <w:r w:rsidRPr="000D7750">
              <w:rPr>
                <w:b w:val="0"/>
                <w:bCs/>
              </w:rPr>
              <w:t>MBS 66830</w:t>
            </w:r>
          </w:p>
        </w:tc>
      </w:tr>
      <w:tr w:rsidR="00591869" w:rsidRPr="000D7750" w14:paraId="751952D6" w14:textId="77777777" w:rsidTr="004F646F">
        <w:trPr>
          <w:cnfStyle w:val="100000000000" w:firstRow="1" w:lastRow="0" w:firstColumn="0" w:lastColumn="0" w:oddVBand="0" w:evenVBand="0" w:oddHBand="0" w:evenHBand="0" w:firstRowFirstColumn="0" w:firstRowLastColumn="0" w:lastRowFirstColumn="0" w:lastRowLastColumn="0"/>
          <w:cantSplit/>
          <w:tblHeader/>
        </w:trPr>
        <w:tc>
          <w:tcPr>
            <w:tcW w:w="0" w:type="auto"/>
            <w:tcBorders>
              <w:bottom w:val="single" w:sz="4" w:space="0" w:color="auto"/>
            </w:tcBorders>
            <w:vAlign w:val="center"/>
          </w:tcPr>
          <w:p w14:paraId="2898FA64" w14:textId="77777777" w:rsidR="00591869" w:rsidRPr="000D7750" w:rsidRDefault="00591869" w:rsidP="00591869">
            <w:pPr>
              <w:pStyle w:val="TableHeading"/>
              <w:spacing w:before="40" w:after="40"/>
              <w:ind w:left="288"/>
              <w:rPr>
                <w:b w:val="0"/>
                <w:bCs/>
              </w:rPr>
            </w:pPr>
            <w:r w:rsidRPr="000D7750">
              <w:rPr>
                <w:b w:val="0"/>
                <w:bCs/>
              </w:rPr>
              <w:t>Proportion of patients undergoing NT</w:t>
            </w:r>
            <w:r>
              <w:rPr>
                <w:b w:val="0"/>
                <w:bCs/>
              </w:rPr>
              <w:t>-</w:t>
            </w:r>
            <w:proofErr w:type="spellStart"/>
            <w:r w:rsidRPr="000D7750">
              <w:rPr>
                <w:b w:val="0"/>
                <w:bCs/>
              </w:rPr>
              <w:t>proBNP</w:t>
            </w:r>
            <w:proofErr w:type="spellEnd"/>
            <w:r w:rsidRPr="000D7750">
              <w:rPr>
                <w:b w:val="0"/>
                <w:bCs/>
              </w:rPr>
              <w:t xml:space="preserve"> test at each visit (baseline, and 3 follow-up visits)</w:t>
            </w:r>
          </w:p>
        </w:tc>
        <w:tc>
          <w:tcPr>
            <w:tcW w:w="1882" w:type="dxa"/>
            <w:tcBorders>
              <w:bottom w:val="single" w:sz="4" w:space="0" w:color="auto"/>
            </w:tcBorders>
            <w:vAlign w:val="center"/>
          </w:tcPr>
          <w:p w14:paraId="0FCA9EA8" w14:textId="77777777" w:rsidR="00591869" w:rsidRPr="000D7750" w:rsidRDefault="00591869" w:rsidP="00591869">
            <w:pPr>
              <w:pStyle w:val="TableHeading"/>
              <w:spacing w:before="40" w:after="40"/>
              <w:jc w:val="center"/>
            </w:pPr>
            <w:r w:rsidRPr="000D7750">
              <w:rPr>
                <w:b w:val="0"/>
                <w:bCs/>
              </w:rPr>
              <w:t>0%</w:t>
            </w:r>
          </w:p>
        </w:tc>
        <w:tc>
          <w:tcPr>
            <w:tcW w:w="2160" w:type="dxa"/>
            <w:tcBorders>
              <w:bottom w:val="single" w:sz="4" w:space="0" w:color="auto"/>
            </w:tcBorders>
            <w:vAlign w:val="center"/>
          </w:tcPr>
          <w:p w14:paraId="6B353BB7" w14:textId="77777777" w:rsidR="00591869" w:rsidRPr="000D7750" w:rsidRDefault="00591869" w:rsidP="00591869">
            <w:pPr>
              <w:pStyle w:val="TableHeading"/>
              <w:spacing w:before="40" w:after="40"/>
              <w:jc w:val="center"/>
            </w:pPr>
            <w:r w:rsidRPr="000D7750">
              <w:rPr>
                <w:b w:val="0"/>
                <w:bCs/>
              </w:rPr>
              <w:t>100%</w:t>
            </w:r>
          </w:p>
        </w:tc>
        <w:tc>
          <w:tcPr>
            <w:tcW w:w="1731" w:type="dxa"/>
            <w:tcBorders>
              <w:bottom w:val="single" w:sz="4" w:space="0" w:color="auto"/>
            </w:tcBorders>
            <w:vAlign w:val="center"/>
          </w:tcPr>
          <w:p w14:paraId="7440CD85" w14:textId="77777777" w:rsidR="00591869" w:rsidRPr="000D7750" w:rsidRDefault="00591869" w:rsidP="00591869">
            <w:pPr>
              <w:pStyle w:val="TableHeading"/>
              <w:spacing w:before="40" w:after="40"/>
              <w:rPr>
                <w:b w:val="0"/>
                <w:bCs/>
              </w:rPr>
            </w:pPr>
            <w:r w:rsidRPr="000D7750">
              <w:rPr>
                <w:b w:val="0"/>
                <w:bCs/>
              </w:rPr>
              <w:t>2022 ESC/ERS Guidelines</w:t>
            </w:r>
          </w:p>
        </w:tc>
      </w:tr>
      <w:tr w:rsidR="00591869" w:rsidRPr="000D7750" w14:paraId="0AFF3C46" w14:textId="77777777" w:rsidTr="004F646F">
        <w:trPr>
          <w:cnfStyle w:val="100000000000" w:firstRow="1" w:lastRow="0" w:firstColumn="0" w:lastColumn="0" w:oddVBand="0" w:evenVBand="0" w:oddHBand="0" w:evenHBand="0" w:firstRowFirstColumn="0" w:firstRowLastColumn="0" w:lastRowFirstColumn="0" w:lastRowLastColumn="0"/>
          <w:cantSplit/>
          <w:tblHeader/>
        </w:trPr>
        <w:tc>
          <w:tcPr>
            <w:tcW w:w="0" w:type="auto"/>
            <w:tcBorders>
              <w:bottom w:val="nil"/>
            </w:tcBorders>
          </w:tcPr>
          <w:p w14:paraId="678BCEC1" w14:textId="77777777" w:rsidR="00591869" w:rsidRPr="004F646F" w:rsidRDefault="00591869" w:rsidP="007B73ED">
            <w:pPr>
              <w:pStyle w:val="TableHeading"/>
              <w:keepNext w:val="0"/>
              <w:spacing w:before="40" w:after="40"/>
              <w:ind w:left="288"/>
              <w:rPr>
                <w:b w:val="0"/>
                <w:bCs/>
              </w:rPr>
            </w:pPr>
            <w:r w:rsidRPr="004F646F">
              <w:rPr>
                <w:b w:val="0"/>
              </w:rPr>
              <w:t>No. NT-</w:t>
            </w:r>
            <w:proofErr w:type="spellStart"/>
            <w:r w:rsidRPr="004F646F">
              <w:rPr>
                <w:b w:val="0"/>
              </w:rPr>
              <w:t>proBNP</w:t>
            </w:r>
            <w:proofErr w:type="spellEnd"/>
            <w:r w:rsidRPr="004F646F">
              <w:rPr>
                <w:b w:val="0"/>
              </w:rPr>
              <w:t xml:space="preserve"> tests/patient/year </w:t>
            </w:r>
          </w:p>
        </w:tc>
        <w:tc>
          <w:tcPr>
            <w:tcW w:w="1882" w:type="dxa"/>
            <w:tcBorders>
              <w:bottom w:val="single" w:sz="4" w:space="0" w:color="auto"/>
            </w:tcBorders>
            <w:vAlign w:val="center"/>
          </w:tcPr>
          <w:p w14:paraId="7987BB6B" w14:textId="77777777" w:rsidR="00591869" w:rsidRPr="004F646F" w:rsidRDefault="00591869" w:rsidP="007B73ED">
            <w:pPr>
              <w:pStyle w:val="TableHeading"/>
              <w:keepNext w:val="0"/>
              <w:spacing w:before="40" w:after="40"/>
              <w:jc w:val="center"/>
              <w:rPr>
                <w:b w:val="0"/>
                <w:bCs/>
              </w:rPr>
            </w:pPr>
            <w:r w:rsidRPr="004F646F">
              <w:rPr>
                <w:b w:val="0"/>
              </w:rPr>
              <w:t>−</w:t>
            </w:r>
          </w:p>
        </w:tc>
        <w:tc>
          <w:tcPr>
            <w:tcW w:w="2160" w:type="dxa"/>
            <w:tcBorders>
              <w:bottom w:val="single" w:sz="4" w:space="0" w:color="auto"/>
            </w:tcBorders>
            <w:vAlign w:val="center"/>
          </w:tcPr>
          <w:p w14:paraId="672DFAFE" w14:textId="77777777" w:rsidR="00591869" w:rsidRPr="004F646F" w:rsidRDefault="00591869" w:rsidP="007B73ED">
            <w:pPr>
              <w:pStyle w:val="TableHeading"/>
              <w:keepNext w:val="0"/>
              <w:spacing w:before="40" w:after="40"/>
              <w:jc w:val="center"/>
              <w:rPr>
                <w:b w:val="0"/>
                <w:bCs/>
              </w:rPr>
            </w:pPr>
            <w:r w:rsidRPr="004F646F">
              <w:rPr>
                <w:b w:val="0"/>
              </w:rPr>
              <w:t>4.0</w:t>
            </w:r>
          </w:p>
        </w:tc>
        <w:tc>
          <w:tcPr>
            <w:tcW w:w="1731" w:type="dxa"/>
            <w:tcBorders>
              <w:bottom w:val="single" w:sz="4" w:space="0" w:color="auto"/>
            </w:tcBorders>
            <w:vAlign w:val="center"/>
          </w:tcPr>
          <w:p w14:paraId="6A02DDAE" w14:textId="77777777" w:rsidR="00591869" w:rsidRPr="004F646F" w:rsidRDefault="00591869" w:rsidP="007B73ED">
            <w:pPr>
              <w:pStyle w:val="TableHeading"/>
              <w:keepNext w:val="0"/>
              <w:spacing w:before="40" w:after="40"/>
              <w:rPr>
                <w:b w:val="0"/>
                <w:bCs/>
              </w:rPr>
            </w:pPr>
            <w:r w:rsidRPr="004F646F">
              <w:rPr>
                <w:b w:val="0"/>
              </w:rPr>
              <w:t>ADAR 1689.1</w:t>
            </w:r>
          </w:p>
        </w:tc>
      </w:tr>
      <w:tr w:rsidR="00591869" w:rsidRPr="000D7750" w14:paraId="7A503C45" w14:textId="77777777" w:rsidTr="004F646F">
        <w:trPr>
          <w:cnfStyle w:val="100000000000" w:firstRow="1" w:lastRow="0" w:firstColumn="0" w:lastColumn="0" w:oddVBand="0" w:evenVBand="0" w:oddHBand="0" w:evenHBand="0" w:firstRowFirstColumn="0" w:firstRowLastColumn="0" w:lastRowFirstColumn="0" w:lastRowLastColumn="0"/>
          <w:cantSplit/>
          <w:tblHeader/>
        </w:trPr>
        <w:tc>
          <w:tcPr>
            <w:tcW w:w="0" w:type="auto"/>
            <w:tcBorders>
              <w:top w:val="nil"/>
              <w:bottom w:val="single" w:sz="4" w:space="0" w:color="auto"/>
            </w:tcBorders>
            <w:shd w:val="clear" w:color="auto" w:fill="auto"/>
          </w:tcPr>
          <w:p w14:paraId="7CB7F7A8" w14:textId="77777777" w:rsidR="00591869" w:rsidRPr="004F646F" w:rsidRDefault="00591869" w:rsidP="007B73ED">
            <w:pPr>
              <w:pStyle w:val="TableHeading"/>
              <w:keepNext w:val="0"/>
              <w:spacing w:before="40" w:after="40"/>
              <w:ind w:left="288"/>
              <w:rPr>
                <w:b w:val="0"/>
              </w:rPr>
            </w:pPr>
          </w:p>
        </w:tc>
        <w:tc>
          <w:tcPr>
            <w:tcW w:w="1882" w:type="dxa"/>
            <w:tcBorders>
              <w:bottom w:val="single" w:sz="4" w:space="0" w:color="auto"/>
            </w:tcBorders>
            <w:shd w:val="clear" w:color="auto" w:fill="BFBFBF" w:themeFill="background1" w:themeFillShade="BF"/>
            <w:vAlign w:val="center"/>
          </w:tcPr>
          <w:p w14:paraId="38A4EB02" w14:textId="77777777" w:rsidR="00591869" w:rsidRPr="004F646F" w:rsidRDefault="00591869" w:rsidP="007B73ED">
            <w:pPr>
              <w:pStyle w:val="TableHeading"/>
              <w:keepNext w:val="0"/>
              <w:spacing w:before="40" w:after="40"/>
              <w:jc w:val="center"/>
              <w:rPr>
                <w:b w:val="0"/>
              </w:rPr>
            </w:pPr>
            <w:r w:rsidRPr="004F646F">
              <w:rPr>
                <w:b w:val="0"/>
              </w:rPr>
              <w:t>-</w:t>
            </w:r>
          </w:p>
        </w:tc>
        <w:tc>
          <w:tcPr>
            <w:tcW w:w="2160" w:type="dxa"/>
            <w:tcBorders>
              <w:bottom w:val="single" w:sz="4" w:space="0" w:color="auto"/>
            </w:tcBorders>
            <w:shd w:val="clear" w:color="auto" w:fill="BFBFBF" w:themeFill="background1" w:themeFillShade="BF"/>
            <w:vAlign w:val="center"/>
          </w:tcPr>
          <w:p w14:paraId="29D872AF" w14:textId="77777777" w:rsidR="00591869" w:rsidRPr="004F646F" w:rsidRDefault="00591869" w:rsidP="007B73ED">
            <w:pPr>
              <w:pStyle w:val="TableHeading"/>
              <w:keepNext w:val="0"/>
              <w:spacing w:before="40" w:after="40"/>
              <w:jc w:val="center"/>
              <w:rPr>
                <w:b w:val="0"/>
              </w:rPr>
            </w:pPr>
            <w:r w:rsidRPr="004F646F">
              <w:rPr>
                <w:b w:val="0"/>
              </w:rPr>
              <w:t>2.15</w:t>
            </w:r>
          </w:p>
        </w:tc>
        <w:tc>
          <w:tcPr>
            <w:tcW w:w="1731" w:type="dxa"/>
            <w:tcBorders>
              <w:bottom w:val="single" w:sz="4" w:space="0" w:color="auto"/>
            </w:tcBorders>
            <w:shd w:val="clear" w:color="auto" w:fill="BFBFBF" w:themeFill="background1" w:themeFillShade="BF"/>
            <w:vAlign w:val="center"/>
          </w:tcPr>
          <w:p w14:paraId="6FB47DEF" w14:textId="77777777" w:rsidR="00591869" w:rsidRPr="004F646F" w:rsidRDefault="00591869" w:rsidP="007B73ED">
            <w:pPr>
              <w:pStyle w:val="TableHeading"/>
              <w:keepNext w:val="0"/>
              <w:spacing w:before="40" w:after="40"/>
              <w:rPr>
                <w:b w:val="0"/>
                <w:bCs/>
              </w:rPr>
            </w:pPr>
            <w:r w:rsidRPr="004F646F">
              <w:rPr>
                <w:b w:val="0"/>
                <w:bCs/>
              </w:rPr>
              <w:t>ADAR 1689 PSD, July 2022, p28</w:t>
            </w:r>
          </w:p>
        </w:tc>
      </w:tr>
      <w:tr w:rsidR="00591869" w:rsidRPr="000D7750" w14:paraId="30331A03" w14:textId="77777777" w:rsidTr="004F646F">
        <w:trPr>
          <w:cnfStyle w:val="100000000000" w:firstRow="1" w:lastRow="0" w:firstColumn="0" w:lastColumn="0" w:oddVBand="0" w:evenVBand="0" w:oddHBand="0" w:evenHBand="0" w:firstRowFirstColumn="0" w:firstRowLastColumn="0" w:lastRowFirstColumn="0" w:lastRowLastColumn="0"/>
          <w:cantSplit/>
          <w:tblHeader/>
        </w:trPr>
        <w:tc>
          <w:tcPr>
            <w:tcW w:w="0" w:type="auto"/>
            <w:tcBorders>
              <w:bottom w:val="single" w:sz="4" w:space="0" w:color="auto"/>
            </w:tcBorders>
            <w:vAlign w:val="center"/>
          </w:tcPr>
          <w:p w14:paraId="73252C68" w14:textId="77777777" w:rsidR="00591869" w:rsidRPr="000D7750" w:rsidRDefault="00591869" w:rsidP="007B73ED">
            <w:pPr>
              <w:pStyle w:val="TableHeading"/>
              <w:keepNext w:val="0"/>
              <w:spacing w:before="40" w:after="40"/>
              <w:rPr>
                <w:b w:val="0"/>
                <w:bCs/>
              </w:rPr>
            </w:pPr>
            <w:r w:rsidRPr="000D7750">
              <w:t>Total NT</w:t>
            </w:r>
            <w:r>
              <w:t>-</w:t>
            </w:r>
            <w:proofErr w:type="spellStart"/>
            <w:r w:rsidRPr="000D7750">
              <w:t>proBNP</w:t>
            </w:r>
            <w:proofErr w:type="spellEnd"/>
            <w:r w:rsidRPr="000D7750">
              <w:t xml:space="preserve"> test cost/patient/year</w:t>
            </w:r>
          </w:p>
        </w:tc>
        <w:tc>
          <w:tcPr>
            <w:tcW w:w="1882" w:type="dxa"/>
            <w:tcBorders>
              <w:bottom w:val="single" w:sz="4" w:space="0" w:color="auto"/>
            </w:tcBorders>
            <w:vAlign w:val="center"/>
          </w:tcPr>
          <w:p w14:paraId="74259008" w14:textId="77777777" w:rsidR="00591869" w:rsidRPr="000D7750" w:rsidRDefault="00591869" w:rsidP="007B73ED">
            <w:pPr>
              <w:pStyle w:val="TableHeading"/>
              <w:keepNext w:val="0"/>
              <w:spacing w:before="40" w:after="40"/>
              <w:jc w:val="center"/>
              <w:rPr>
                <w:b w:val="0"/>
                <w:bCs/>
              </w:rPr>
            </w:pPr>
            <w:r w:rsidRPr="000D7750">
              <w:t>$0.00</w:t>
            </w:r>
          </w:p>
        </w:tc>
        <w:tc>
          <w:tcPr>
            <w:tcW w:w="2160" w:type="dxa"/>
            <w:tcBorders>
              <w:bottom w:val="single" w:sz="4" w:space="0" w:color="auto"/>
            </w:tcBorders>
            <w:vAlign w:val="center"/>
          </w:tcPr>
          <w:p w14:paraId="601385A8" w14:textId="77777777" w:rsidR="00591869" w:rsidRPr="000D7750" w:rsidRDefault="00591869" w:rsidP="007B73ED">
            <w:pPr>
              <w:pStyle w:val="TableHeading"/>
              <w:keepNext w:val="0"/>
              <w:spacing w:before="40" w:after="40"/>
              <w:jc w:val="center"/>
              <w:rPr>
                <w:b w:val="0"/>
                <w:bCs/>
              </w:rPr>
            </w:pPr>
            <w:r w:rsidRPr="000D7750">
              <w:t>$234.00</w:t>
            </w:r>
          </w:p>
        </w:tc>
        <w:tc>
          <w:tcPr>
            <w:tcW w:w="1731" w:type="dxa"/>
            <w:tcBorders>
              <w:bottom w:val="single" w:sz="4" w:space="0" w:color="auto"/>
            </w:tcBorders>
            <w:vAlign w:val="center"/>
          </w:tcPr>
          <w:p w14:paraId="67FB5685" w14:textId="77777777" w:rsidR="00591869" w:rsidRPr="000D7750" w:rsidRDefault="00591869" w:rsidP="007B73ED">
            <w:pPr>
              <w:pStyle w:val="TableHeading"/>
              <w:keepNext w:val="0"/>
              <w:spacing w:before="40" w:after="40"/>
              <w:rPr>
                <w:b w:val="0"/>
                <w:bCs/>
              </w:rPr>
            </w:pPr>
            <w:r w:rsidRPr="00570142">
              <w:rPr>
                <w:b w:val="0"/>
                <w:bCs/>
              </w:rPr>
              <w:t>A</w:t>
            </w:r>
          </w:p>
        </w:tc>
      </w:tr>
      <w:tr w:rsidR="00591869" w:rsidRPr="000D7750" w14:paraId="3E294A3F" w14:textId="77777777" w:rsidTr="004F646F">
        <w:trPr>
          <w:cnfStyle w:val="100000000000" w:firstRow="1" w:lastRow="0" w:firstColumn="0" w:lastColumn="0" w:oddVBand="0" w:evenVBand="0" w:oddHBand="0" w:evenHBand="0" w:firstRowFirstColumn="0" w:firstRowLastColumn="0" w:lastRowFirstColumn="0" w:lastRowLastColumn="0"/>
          <w:cantSplit/>
          <w:tblHeader/>
        </w:trPr>
        <w:tc>
          <w:tcPr>
            <w:tcW w:w="0" w:type="auto"/>
            <w:tcBorders>
              <w:bottom w:val="single" w:sz="4" w:space="0" w:color="auto"/>
            </w:tcBorders>
            <w:vAlign w:val="center"/>
          </w:tcPr>
          <w:p w14:paraId="3379BBEF" w14:textId="77777777" w:rsidR="00591869" w:rsidRPr="000D7750" w:rsidRDefault="00591869" w:rsidP="007B73ED">
            <w:pPr>
              <w:pStyle w:val="TableText"/>
              <w:ind w:left="288"/>
            </w:pPr>
            <w:r w:rsidRPr="000D7750">
              <w:t>Unit cost of TTE test</w:t>
            </w:r>
          </w:p>
        </w:tc>
        <w:tc>
          <w:tcPr>
            <w:tcW w:w="1882" w:type="dxa"/>
            <w:tcBorders>
              <w:bottom w:val="single" w:sz="4" w:space="0" w:color="auto"/>
            </w:tcBorders>
            <w:vAlign w:val="center"/>
          </w:tcPr>
          <w:p w14:paraId="602B874E" w14:textId="77777777" w:rsidR="00591869" w:rsidRPr="000D7750" w:rsidRDefault="00591869" w:rsidP="007B73ED">
            <w:pPr>
              <w:pStyle w:val="TableText"/>
              <w:jc w:val="center"/>
            </w:pPr>
            <w:r w:rsidRPr="000D7750">
              <w:t>$240.05</w:t>
            </w:r>
          </w:p>
        </w:tc>
        <w:tc>
          <w:tcPr>
            <w:tcW w:w="2160" w:type="dxa"/>
            <w:tcBorders>
              <w:bottom w:val="single" w:sz="4" w:space="0" w:color="auto"/>
            </w:tcBorders>
            <w:vAlign w:val="center"/>
          </w:tcPr>
          <w:p w14:paraId="00F2A01E" w14:textId="77777777" w:rsidR="00591869" w:rsidRPr="000D7750" w:rsidRDefault="00591869" w:rsidP="007B73ED">
            <w:pPr>
              <w:pStyle w:val="TableText"/>
              <w:jc w:val="center"/>
            </w:pPr>
            <w:r w:rsidRPr="000D7750">
              <w:t>$240.05</w:t>
            </w:r>
          </w:p>
        </w:tc>
        <w:tc>
          <w:tcPr>
            <w:tcW w:w="1731" w:type="dxa"/>
            <w:tcBorders>
              <w:bottom w:val="single" w:sz="4" w:space="0" w:color="auto"/>
            </w:tcBorders>
            <w:vAlign w:val="center"/>
          </w:tcPr>
          <w:p w14:paraId="76F55E23" w14:textId="77777777" w:rsidR="00591869" w:rsidRPr="000D7750" w:rsidRDefault="00591869" w:rsidP="007B73ED">
            <w:pPr>
              <w:pStyle w:val="TableText"/>
            </w:pPr>
            <w:r>
              <w:t xml:space="preserve">MBS </w:t>
            </w:r>
            <w:r w:rsidRPr="005E4CE5">
              <w:t>55126/55129</w:t>
            </w:r>
          </w:p>
        </w:tc>
      </w:tr>
      <w:tr w:rsidR="00591869" w:rsidRPr="000D7750" w14:paraId="75BDD8FF" w14:textId="77777777" w:rsidTr="004F646F">
        <w:trPr>
          <w:cnfStyle w:val="100000000000" w:firstRow="1" w:lastRow="0" w:firstColumn="0" w:lastColumn="0" w:oddVBand="0" w:evenVBand="0" w:oddHBand="0" w:evenHBand="0" w:firstRowFirstColumn="0" w:firstRowLastColumn="0" w:lastRowFirstColumn="0" w:lastRowLastColumn="0"/>
          <w:cantSplit/>
          <w:tblHeader/>
        </w:trPr>
        <w:tc>
          <w:tcPr>
            <w:tcW w:w="0" w:type="auto"/>
            <w:tcBorders>
              <w:bottom w:val="single" w:sz="4" w:space="0" w:color="auto"/>
            </w:tcBorders>
            <w:vAlign w:val="center"/>
          </w:tcPr>
          <w:p w14:paraId="511216B2" w14:textId="77777777" w:rsidR="00591869" w:rsidRPr="000D7750" w:rsidRDefault="00591869" w:rsidP="007B73ED">
            <w:pPr>
              <w:pStyle w:val="TableText"/>
              <w:ind w:left="288"/>
            </w:pPr>
            <w:r w:rsidRPr="000D7750">
              <w:t>Proportion of patients undergoing TTE test at baseline</w:t>
            </w:r>
          </w:p>
        </w:tc>
        <w:tc>
          <w:tcPr>
            <w:tcW w:w="1882" w:type="dxa"/>
            <w:tcBorders>
              <w:bottom w:val="single" w:sz="4" w:space="0" w:color="auto"/>
            </w:tcBorders>
            <w:vAlign w:val="center"/>
          </w:tcPr>
          <w:p w14:paraId="3DFD9344" w14:textId="77777777" w:rsidR="00591869" w:rsidRPr="000D7750" w:rsidRDefault="00591869" w:rsidP="007B73ED">
            <w:pPr>
              <w:pStyle w:val="TableText"/>
              <w:jc w:val="center"/>
            </w:pPr>
            <w:r w:rsidRPr="000D7750">
              <w:t>100%</w:t>
            </w:r>
          </w:p>
        </w:tc>
        <w:tc>
          <w:tcPr>
            <w:tcW w:w="2160" w:type="dxa"/>
            <w:tcBorders>
              <w:bottom w:val="single" w:sz="4" w:space="0" w:color="auto"/>
            </w:tcBorders>
            <w:vAlign w:val="center"/>
          </w:tcPr>
          <w:p w14:paraId="4407610F" w14:textId="77777777" w:rsidR="00591869" w:rsidRPr="000D7750" w:rsidRDefault="00591869" w:rsidP="007B73ED">
            <w:pPr>
              <w:pStyle w:val="TableText"/>
              <w:jc w:val="center"/>
            </w:pPr>
            <w:r w:rsidRPr="000D7750">
              <w:t>100%</w:t>
            </w:r>
          </w:p>
        </w:tc>
        <w:tc>
          <w:tcPr>
            <w:tcW w:w="1731" w:type="dxa"/>
            <w:vMerge w:val="restart"/>
            <w:vAlign w:val="center"/>
          </w:tcPr>
          <w:p w14:paraId="6A234F9E" w14:textId="77777777" w:rsidR="00591869" w:rsidRPr="009833E0" w:rsidRDefault="00591869" w:rsidP="007B73ED">
            <w:pPr>
              <w:pStyle w:val="TableText"/>
              <w:rPr>
                <w:lang w:val="fr-FR"/>
              </w:rPr>
            </w:pPr>
            <w:r w:rsidRPr="009833E0">
              <w:rPr>
                <w:lang w:val="fr-FR"/>
              </w:rPr>
              <w:t xml:space="preserve">2022 ESC/ERS Guidelines </w:t>
            </w:r>
            <w:r>
              <w:fldChar w:fldCharType="begin">
                <w:fldData xml:space="preserve">PEVuZE5vdGU+PENpdGU+PEF1dGhvcj5IdW1iZXJ0PC9BdXRob3I+PFllYXI+MjAyMjwvWWVhcj48
UmVjTnVtPjQ8L1JlY051bT48RGlzcGxheVRleHQ+KEh1bWJlcnQgZXQgYWwuLCAyMDIyKTwvRGlz
cGxheVRleHQ+PHJlY29yZD48cmVjLW51bWJlcj40PC9yZWMtbnVtYmVyPjxmb3JlaWduLWtleXM+
PGtleSBhcHA9IkVOIiBkYi1pZD0icDV3Znd3dzlnOXZ3eDNlNWF6Znh6MnczdHNkZTlkcnN3cGVk
IiB0aW1lc3RhbXA9IjE2NzM2Njc5NjQiPjQ8L2tleT48L2ZvcmVpZ24ta2V5cz48cmVmLXR5cGUg
bmFtZT0iSm91cm5hbCBBcnRpY2xlIj4xNzwvcmVmLXR5cGU+PGNvbnRyaWJ1dG9ycz48YXV0aG9y
cz48YXV0aG9yPkh1bWJlcnQsIE0uPC9hdXRob3I+PGF1dGhvcj5Lb3ZhY3MsIEcuPC9hdXRob3I+
PGF1dGhvcj5Ib2VwZXIsIE0uIE0uPC9hdXRob3I+PGF1dGhvcj5CYWRhZ2xpYWNjYSwgUi48L2F1
dGhvcj48YXV0aG9yPkJlcmdlciwgUi4gTS4gRi48L2F1dGhvcj48YXV0aG9yPkJyaWRhLCBNLjwv
YXV0aG9yPjxhdXRob3I+Q2FybHNlbiwgSi48L2F1dGhvcj48YXV0aG9yPkNvYXRzLCBBLiBKLiBT
LjwvYXV0aG9yPjxhdXRob3I+RXNjcmliYW5vLVN1YmlhcywgUC48L2F1dGhvcj48YXV0aG9yPkZl
cnJhcmksIFAuPC9hdXRob3I+PGF1dGhvcj5GZXJyZWlyYSwgRC4gUy48L2F1dGhvcj48YXV0aG9y
Pkdob2ZyYW5pLCBILiBBLjwvYXV0aG9yPjxhdXRob3I+R2lhbm5ha291bGFzLCBHLjwvYXV0aG9y
PjxhdXRob3I+S2llbHksIEQuIEcuPC9hdXRob3I+PGF1dGhvcj5NYXllciwgRS48L2F1dGhvcj48
YXV0aG9yPk1lc3phcm9zLCBHLjwvYXV0aG9yPjxhdXRob3I+TmFnYXZjaSwgQi48L2F1dGhvcj48
YXV0aG9yPk9sc3NvbiwgSy4gTS48L2F1dGhvcj48YXV0aG9yPlBlcGtlLVphYmEsIEouPC9hdXRo
b3I+PGF1dGhvcj5RdWludCwgSi4gSy48L2F1dGhvcj48YXV0aG9yPlLDpWRlZ3JhbiwgRy48L2F1
dGhvcj48YXV0aG9yPlNpbW9ubmVhdSwgRy48L2F1dGhvcj48YXV0aG9yPlNpdGJvbiwgTy48L2F1
dGhvcj48YXV0aG9yPlRvbmlhLCBULjwvYXV0aG9yPjxhdXRob3I+VG9zaG5lciwgTS48L2F1dGhv
cj48YXV0aG9yPlZhY2hpZXJ5LCBKLiBMLjwvYXV0aG9yPjxhdXRob3I+Vm9uayBOb29yZGVncmFh
ZiwgQS48L2F1dGhvcj48YXV0aG9yPkRlbGNyb2l4LCBNLjwvYXV0aG9yPjxhdXRob3I+Um9zZW5r
cmFueiwgUy48L2F1dGhvcj48L2F1dGhvcnM+PC9jb250cmlidXRvcnM+PHRpdGxlcz48dGl0bGU+
MjAyMiBFU0MvRVJTIEd1aWRlbGluZXMgZm9yIHRoZSBkaWFnbm9zaXMgYW5kIHRyZWF0bWVudCBv
ZiBwdWxtb25hcnkgaHlwZXJ0ZW5zaW9uPC90aXRsZT48c2Vjb25kYXJ5LXRpdGxlPkV1ciBIZWFy
dCBKPC9zZWNvbmRhcnktdGl0bGU+PC90aXRsZXM+PHBlcmlvZGljYWw+PGZ1bGwtdGl0bGU+RXVy
IEhlYXJ0IEo8L2Z1bGwtdGl0bGU+PC9wZXJpb2RpY2FsPjxwYWdlcz4zNjE4LTM3MzE8L3BhZ2Vz
Pjx2b2x1bWU+NDM8L3ZvbHVtZT48bnVtYmVyPjM4PC9udW1iZXI+PGVkaXRpb24+MjAyMi8wOC8y
NzwvZWRpdGlvbj48a2V5d29yZHM+PGtleXdvcmQ+RW5kb3RoZWxpbiBSZWNlcHRvciBBbnRhZ29u
aXN0czwva2V5d29yZD48a2V5d29yZD5IdW1hbnM8L2tleXdvcmQ+PGtleXdvcmQ+Kkh5cGVydGVu
c2lvbiwgUHVsbW9uYXJ5L2RpYWdub3Npcy90aGVyYXB5PC9rZXl3b3JkPjxrZXl3b3JkPkJhbGxv
b24gcHVsbW9uYXJ5IGFuZ2lvcGxhc3R5PC9rZXl3b3JkPjxrZXl3b3JkPkNocm9uaWMgdGhyb21i
by1lbWJvbGljIHB1bG1vbmFyeSBoeXBlcnRlbnNpb248L2tleXdvcmQ+PGtleXdvcmQ+Q29uZ2Vu
aXRhbCBoZWFydCBkaXNlYXNlPC9rZXl3b3JkPjxrZXl3b3JkPkNvbm5lY3RpdmUgdGlzc3VlIGRp
c2Vhc2U8L2tleXdvcmQ+PGtleXdvcmQ+R3VpZGVsaW5lczwva2V5d29yZD48a2V5d29yZD5MZWZ0
IGhlYXJ0IGRpc2Vhc2U8L2tleXdvcmQ+PGtleXdvcmQ+THVuZyBkaXNlYXNlPC9rZXl3b3JkPjxr
ZXl3b3JkPkx1bmcgdHJhbnNwbGFudGF0aW9uPC9rZXl3b3JkPjxrZXl3b3JkPlBob3NwaG9kaWVz
dGVyYXNlIHR5cGUgNSBpbmhpYml0b3JzPC9rZXl3b3JkPjxrZXl3b3JkPlByb3N0YWN5Y2xpbiBh
bmFsb2d1ZXM8L2tleXdvcmQ+PGtleXdvcmQ+UHJvc3RhY3ljbGluIHJlY2VwdG9yIGFnb25pc3Rz
PC9rZXl3b3JkPjxrZXl3b3JkPlB1bG1vbmFyeSBhcnRlcmlhbCBoeXBlcnRlbnNpb248L2tleXdv
cmQ+PGtleXdvcmQ+UHVsbW9uYXJ5IGVuZGFydGVyZWN0b215PC9rZXl3b3JkPjxrZXl3b3JkPlB1
bG1vbmFyeSBoeXBlcnRlbnNpb248L2tleXdvcmQ+PGtleXdvcmQ+U29sdWJsZSBndWFueWxhdGUg
Y3ljbGFzZSBzdGltdWxhdG9yczwva2V5d29yZD48L2tleXdvcmRzPjxkYXRlcz48eWVhcj4yMDIy
PC95ZWFyPjxwdWItZGF0ZXM+PGRhdGU+T2N0IDExPC9kYXRlPjwvcHViLWRhdGVzPjwvZGF0ZXM+
PGlzYm4+MDE5NS02Njh4PC9pc2JuPjxhY2Nlc3Npb24tbnVtPjM2MDE3NTQ4PC9hY2Nlc3Npb24t
bnVtPjx1cmxzPjwvdXJscz48ZWxlY3Ryb25pYy1yZXNvdXJjZS1udW0+MTAuMTA5My9ldXJoZWFy
dGovZWhhYzIzNzwvZWxlY3Ryb25pYy1yZXNvdXJjZS1udW0+PHJlbW90ZS1kYXRhYmFzZS1wcm92
aWRlcj5OTE08L3JlbW90ZS1kYXRhYmFzZS1wcm92aWRlcj48bGFuZ3VhZ2U+ZW5nPC9sYW5ndWFn
ZT48L3JlY29yZD48L0NpdGU+PC9FbmROb3RlPgB=
</w:fldData>
              </w:fldChar>
            </w:r>
            <w:r w:rsidRPr="009833E0">
              <w:rPr>
                <w:lang w:val="fr-FR"/>
              </w:rPr>
              <w:instrText xml:space="preserve"> ADDIN EN.CITE </w:instrText>
            </w:r>
            <w:r>
              <w:fldChar w:fldCharType="begin">
                <w:fldData xml:space="preserve">PEVuZE5vdGU+PENpdGU+PEF1dGhvcj5IdW1iZXJ0PC9BdXRob3I+PFllYXI+MjAyMjwvWWVhcj48
UmVjTnVtPjQ8L1JlY051bT48RGlzcGxheVRleHQ+KEh1bWJlcnQgZXQgYWwuLCAyMDIyKTwvRGlz
cGxheVRleHQ+PHJlY29yZD48cmVjLW51bWJlcj40PC9yZWMtbnVtYmVyPjxmb3JlaWduLWtleXM+
PGtleSBhcHA9IkVOIiBkYi1pZD0icDV3Znd3dzlnOXZ3eDNlNWF6Znh6MnczdHNkZTlkcnN3cGVk
IiB0aW1lc3RhbXA9IjE2NzM2Njc5NjQiPjQ8L2tleT48L2ZvcmVpZ24ta2V5cz48cmVmLXR5cGUg
bmFtZT0iSm91cm5hbCBBcnRpY2xlIj4xNzwvcmVmLXR5cGU+PGNvbnRyaWJ1dG9ycz48YXV0aG9y
cz48YXV0aG9yPkh1bWJlcnQsIE0uPC9hdXRob3I+PGF1dGhvcj5Lb3ZhY3MsIEcuPC9hdXRob3I+
PGF1dGhvcj5Ib2VwZXIsIE0uIE0uPC9hdXRob3I+PGF1dGhvcj5CYWRhZ2xpYWNjYSwgUi48L2F1
dGhvcj48YXV0aG9yPkJlcmdlciwgUi4gTS4gRi48L2F1dGhvcj48YXV0aG9yPkJyaWRhLCBNLjwv
YXV0aG9yPjxhdXRob3I+Q2FybHNlbiwgSi48L2F1dGhvcj48YXV0aG9yPkNvYXRzLCBBLiBKLiBT
LjwvYXV0aG9yPjxhdXRob3I+RXNjcmliYW5vLVN1YmlhcywgUC48L2F1dGhvcj48YXV0aG9yPkZl
cnJhcmksIFAuPC9hdXRob3I+PGF1dGhvcj5GZXJyZWlyYSwgRC4gUy48L2F1dGhvcj48YXV0aG9y
Pkdob2ZyYW5pLCBILiBBLjwvYXV0aG9yPjxhdXRob3I+R2lhbm5ha291bGFzLCBHLjwvYXV0aG9y
PjxhdXRob3I+S2llbHksIEQuIEcuPC9hdXRob3I+PGF1dGhvcj5NYXllciwgRS48L2F1dGhvcj48
YXV0aG9yPk1lc3phcm9zLCBHLjwvYXV0aG9yPjxhdXRob3I+TmFnYXZjaSwgQi48L2F1dGhvcj48
YXV0aG9yPk9sc3NvbiwgSy4gTS48L2F1dGhvcj48YXV0aG9yPlBlcGtlLVphYmEsIEouPC9hdXRo
b3I+PGF1dGhvcj5RdWludCwgSi4gSy48L2F1dGhvcj48YXV0aG9yPlLDpWRlZ3JhbiwgRy48L2F1
dGhvcj48YXV0aG9yPlNpbW9ubmVhdSwgRy48L2F1dGhvcj48YXV0aG9yPlNpdGJvbiwgTy48L2F1
dGhvcj48YXV0aG9yPlRvbmlhLCBULjwvYXV0aG9yPjxhdXRob3I+VG9zaG5lciwgTS48L2F1dGhv
cj48YXV0aG9yPlZhY2hpZXJ5LCBKLiBMLjwvYXV0aG9yPjxhdXRob3I+Vm9uayBOb29yZGVncmFh
ZiwgQS48L2F1dGhvcj48YXV0aG9yPkRlbGNyb2l4LCBNLjwvYXV0aG9yPjxhdXRob3I+Um9zZW5r
cmFueiwgUy48L2F1dGhvcj48L2F1dGhvcnM+PC9jb250cmlidXRvcnM+PHRpdGxlcz48dGl0bGU+
MjAyMiBFU0MvRVJTIEd1aWRlbGluZXMgZm9yIHRoZSBkaWFnbm9zaXMgYW5kIHRyZWF0bWVudCBv
ZiBwdWxtb25hcnkgaHlwZXJ0ZW5zaW9uPC90aXRsZT48c2Vjb25kYXJ5LXRpdGxlPkV1ciBIZWFy
dCBKPC9zZWNvbmRhcnktdGl0bGU+PC90aXRsZXM+PHBlcmlvZGljYWw+PGZ1bGwtdGl0bGU+RXVy
IEhlYXJ0IEo8L2Z1bGwtdGl0bGU+PC9wZXJpb2RpY2FsPjxwYWdlcz4zNjE4LTM3MzE8L3BhZ2Vz
Pjx2b2x1bWU+NDM8L3ZvbHVtZT48bnVtYmVyPjM4PC9udW1iZXI+PGVkaXRpb24+MjAyMi8wOC8y
NzwvZWRpdGlvbj48a2V5d29yZHM+PGtleXdvcmQ+RW5kb3RoZWxpbiBSZWNlcHRvciBBbnRhZ29u
aXN0czwva2V5d29yZD48a2V5d29yZD5IdW1hbnM8L2tleXdvcmQ+PGtleXdvcmQ+Kkh5cGVydGVu
c2lvbiwgUHVsbW9uYXJ5L2RpYWdub3Npcy90aGVyYXB5PC9rZXl3b3JkPjxrZXl3b3JkPkJhbGxv
b24gcHVsbW9uYXJ5IGFuZ2lvcGxhc3R5PC9rZXl3b3JkPjxrZXl3b3JkPkNocm9uaWMgdGhyb21i
by1lbWJvbGljIHB1bG1vbmFyeSBoeXBlcnRlbnNpb248L2tleXdvcmQ+PGtleXdvcmQ+Q29uZ2Vu
aXRhbCBoZWFydCBkaXNlYXNlPC9rZXl3b3JkPjxrZXl3b3JkPkNvbm5lY3RpdmUgdGlzc3VlIGRp
c2Vhc2U8L2tleXdvcmQ+PGtleXdvcmQ+R3VpZGVsaW5lczwva2V5d29yZD48a2V5d29yZD5MZWZ0
IGhlYXJ0IGRpc2Vhc2U8L2tleXdvcmQ+PGtleXdvcmQ+THVuZyBkaXNlYXNlPC9rZXl3b3JkPjxr
ZXl3b3JkPkx1bmcgdHJhbnNwbGFudGF0aW9uPC9rZXl3b3JkPjxrZXl3b3JkPlBob3NwaG9kaWVz
dGVyYXNlIHR5cGUgNSBpbmhpYml0b3JzPC9rZXl3b3JkPjxrZXl3b3JkPlByb3N0YWN5Y2xpbiBh
bmFsb2d1ZXM8L2tleXdvcmQ+PGtleXdvcmQ+UHJvc3RhY3ljbGluIHJlY2VwdG9yIGFnb25pc3Rz
PC9rZXl3b3JkPjxrZXl3b3JkPlB1bG1vbmFyeSBhcnRlcmlhbCBoeXBlcnRlbnNpb248L2tleXdv
cmQ+PGtleXdvcmQ+UHVsbW9uYXJ5IGVuZGFydGVyZWN0b215PC9rZXl3b3JkPjxrZXl3b3JkPlB1
bG1vbmFyeSBoeXBlcnRlbnNpb248L2tleXdvcmQ+PGtleXdvcmQ+U29sdWJsZSBndWFueWxhdGUg
Y3ljbGFzZSBzdGltdWxhdG9yczwva2V5d29yZD48L2tleXdvcmRzPjxkYXRlcz48eWVhcj4yMDIy
PC95ZWFyPjxwdWItZGF0ZXM+PGRhdGU+T2N0IDExPC9kYXRlPjwvcHViLWRhdGVzPjwvZGF0ZXM+
PGlzYm4+MDE5NS02Njh4PC9pc2JuPjxhY2Nlc3Npb24tbnVtPjM2MDE3NTQ4PC9hY2Nlc3Npb24t
bnVtPjx1cmxzPjwvdXJscz48ZWxlY3Ryb25pYy1yZXNvdXJjZS1udW0+MTAuMTA5My9ldXJoZWFy
dGovZWhhYzIzNzwvZWxlY3Ryb25pYy1yZXNvdXJjZS1udW0+PHJlbW90ZS1kYXRhYmFzZS1wcm92
aWRlcj5OTE08L3JlbW90ZS1kYXRhYmFzZS1wcm92aWRlcj48bGFuZ3VhZ2U+ZW5nPC9sYW5ndWFn
ZT48L3JlY29yZD48L0NpdGU+PC9FbmROb3RlPgB=
</w:fldData>
              </w:fldChar>
            </w:r>
            <w:r w:rsidRPr="009833E0">
              <w:rPr>
                <w:lang w:val="fr-FR"/>
              </w:rPr>
              <w:instrText xml:space="preserve"> ADDIN EN.CITE.DATA </w:instrText>
            </w:r>
            <w:r>
              <w:fldChar w:fldCharType="end"/>
            </w:r>
            <w:r>
              <w:fldChar w:fldCharType="separate"/>
            </w:r>
            <w:r w:rsidRPr="009833E0">
              <w:rPr>
                <w:noProof/>
                <w:lang w:val="fr-FR"/>
              </w:rPr>
              <w:t>(Humbert et al., 2022)</w:t>
            </w:r>
            <w:r>
              <w:fldChar w:fldCharType="end"/>
            </w:r>
            <w:r w:rsidRPr="009833E0">
              <w:rPr>
                <w:lang w:val="fr-FR"/>
              </w:rPr>
              <w:t>;</w:t>
            </w:r>
          </w:p>
          <w:p w14:paraId="67B25210" w14:textId="77777777" w:rsidR="00591869" w:rsidRPr="009833E0" w:rsidRDefault="00591869" w:rsidP="007B73ED">
            <w:pPr>
              <w:pStyle w:val="TableText"/>
              <w:rPr>
                <w:lang w:val="fr-FR"/>
              </w:rPr>
            </w:pPr>
          </w:p>
          <w:p w14:paraId="3F031EB5" w14:textId="19249B6F" w:rsidR="00591869" w:rsidRPr="000D7750" w:rsidRDefault="00591869" w:rsidP="007B73ED">
            <w:pPr>
              <w:pStyle w:val="TableText"/>
            </w:pPr>
            <w:r w:rsidRPr="000D7750">
              <w:t>PHSANZ registry analysis</w:t>
            </w:r>
            <w:r>
              <w:t xml:space="preserve"> (Attachment 1</w:t>
            </w:r>
            <w:r w:rsidR="00FD084F">
              <w:t xml:space="preserve"> of the ADAR 1689.1</w:t>
            </w:r>
            <w:r>
              <w:t>)</w:t>
            </w:r>
          </w:p>
        </w:tc>
      </w:tr>
      <w:tr w:rsidR="00591869" w:rsidRPr="000D7750" w14:paraId="0319355E" w14:textId="77777777" w:rsidTr="004F646F">
        <w:trPr>
          <w:cnfStyle w:val="100000000000" w:firstRow="1" w:lastRow="0" w:firstColumn="0" w:lastColumn="0" w:oddVBand="0" w:evenVBand="0" w:oddHBand="0" w:evenHBand="0" w:firstRowFirstColumn="0" w:firstRowLastColumn="0" w:lastRowFirstColumn="0" w:lastRowLastColumn="0"/>
          <w:cantSplit/>
          <w:tblHeader/>
        </w:trPr>
        <w:tc>
          <w:tcPr>
            <w:tcW w:w="0" w:type="auto"/>
            <w:tcBorders>
              <w:bottom w:val="single" w:sz="4" w:space="0" w:color="auto"/>
            </w:tcBorders>
            <w:vAlign w:val="center"/>
          </w:tcPr>
          <w:p w14:paraId="0F3AA746" w14:textId="77777777" w:rsidR="00591869" w:rsidRPr="000D7750" w:rsidRDefault="00591869" w:rsidP="007B73ED">
            <w:pPr>
              <w:pStyle w:val="TableText"/>
              <w:ind w:left="288"/>
            </w:pPr>
            <w:r w:rsidRPr="000D7750">
              <w:t>Proportion of patients undergoing TTE test at follow-up visit 1</w:t>
            </w:r>
          </w:p>
        </w:tc>
        <w:tc>
          <w:tcPr>
            <w:tcW w:w="1882" w:type="dxa"/>
            <w:tcBorders>
              <w:bottom w:val="single" w:sz="4" w:space="0" w:color="auto"/>
            </w:tcBorders>
            <w:vAlign w:val="center"/>
          </w:tcPr>
          <w:p w14:paraId="582FECFD" w14:textId="77777777" w:rsidR="00591869" w:rsidRPr="000D7750" w:rsidRDefault="00591869" w:rsidP="007B73ED">
            <w:pPr>
              <w:pStyle w:val="TableText"/>
              <w:jc w:val="center"/>
            </w:pPr>
            <w:r w:rsidRPr="000D7750">
              <w:t>100%</w:t>
            </w:r>
          </w:p>
        </w:tc>
        <w:tc>
          <w:tcPr>
            <w:tcW w:w="2160" w:type="dxa"/>
            <w:tcBorders>
              <w:bottom w:val="single" w:sz="4" w:space="0" w:color="auto"/>
            </w:tcBorders>
            <w:vAlign w:val="center"/>
          </w:tcPr>
          <w:p w14:paraId="41A38778" w14:textId="77777777" w:rsidR="00591869" w:rsidRPr="000D7750" w:rsidRDefault="00591869" w:rsidP="007B73ED">
            <w:pPr>
              <w:pStyle w:val="TableText"/>
              <w:jc w:val="center"/>
            </w:pPr>
            <w:r w:rsidRPr="000D7750">
              <w:t>100%</w:t>
            </w:r>
          </w:p>
        </w:tc>
        <w:tc>
          <w:tcPr>
            <w:tcW w:w="1731" w:type="dxa"/>
            <w:vMerge/>
            <w:vAlign w:val="center"/>
          </w:tcPr>
          <w:p w14:paraId="3990CD1A" w14:textId="77777777" w:rsidR="00591869" w:rsidRPr="000D7750" w:rsidRDefault="00591869" w:rsidP="007B73ED">
            <w:pPr>
              <w:pStyle w:val="TableText"/>
            </w:pPr>
          </w:p>
        </w:tc>
      </w:tr>
      <w:tr w:rsidR="00591869" w:rsidRPr="000D7750" w14:paraId="30CBF890" w14:textId="77777777" w:rsidTr="004F646F">
        <w:trPr>
          <w:cnfStyle w:val="100000000000" w:firstRow="1" w:lastRow="0" w:firstColumn="0" w:lastColumn="0" w:oddVBand="0" w:evenVBand="0" w:oddHBand="0" w:evenHBand="0" w:firstRowFirstColumn="0" w:firstRowLastColumn="0" w:lastRowFirstColumn="0" w:lastRowLastColumn="0"/>
          <w:cantSplit/>
          <w:tblHeader/>
        </w:trPr>
        <w:tc>
          <w:tcPr>
            <w:tcW w:w="0" w:type="auto"/>
            <w:tcBorders>
              <w:bottom w:val="single" w:sz="4" w:space="0" w:color="auto"/>
            </w:tcBorders>
            <w:vAlign w:val="center"/>
          </w:tcPr>
          <w:p w14:paraId="7920FF3B" w14:textId="77777777" w:rsidR="00591869" w:rsidRPr="000D7750" w:rsidRDefault="00591869" w:rsidP="007B73ED">
            <w:pPr>
              <w:pStyle w:val="TableText"/>
              <w:ind w:left="288"/>
            </w:pPr>
            <w:r w:rsidRPr="000D7750">
              <w:t>Proportion of patients undergoing TTE test at follow-up visit 2</w:t>
            </w:r>
          </w:p>
        </w:tc>
        <w:tc>
          <w:tcPr>
            <w:tcW w:w="1882" w:type="dxa"/>
            <w:tcBorders>
              <w:bottom w:val="single" w:sz="4" w:space="0" w:color="auto"/>
            </w:tcBorders>
            <w:vAlign w:val="center"/>
          </w:tcPr>
          <w:p w14:paraId="01EC8176" w14:textId="77777777" w:rsidR="00591869" w:rsidRPr="000D7750" w:rsidRDefault="00591869" w:rsidP="007B73ED">
            <w:pPr>
              <w:pStyle w:val="TableText"/>
              <w:jc w:val="center"/>
            </w:pPr>
            <w:r w:rsidRPr="000D7750">
              <w:t>100%</w:t>
            </w:r>
          </w:p>
        </w:tc>
        <w:tc>
          <w:tcPr>
            <w:tcW w:w="2160" w:type="dxa"/>
            <w:tcBorders>
              <w:bottom w:val="single" w:sz="4" w:space="0" w:color="auto"/>
            </w:tcBorders>
            <w:vAlign w:val="center"/>
          </w:tcPr>
          <w:p w14:paraId="692F3C32" w14:textId="77777777" w:rsidR="00591869" w:rsidRPr="000D7750" w:rsidRDefault="00591869" w:rsidP="007B73ED">
            <w:pPr>
              <w:pStyle w:val="TableText"/>
              <w:jc w:val="center"/>
            </w:pPr>
            <w:r w:rsidRPr="000D7750">
              <w:t>25%</w:t>
            </w:r>
          </w:p>
        </w:tc>
        <w:tc>
          <w:tcPr>
            <w:tcW w:w="1731" w:type="dxa"/>
            <w:vMerge/>
            <w:vAlign w:val="center"/>
          </w:tcPr>
          <w:p w14:paraId="54252A13" w14:textId="77777777" w:rsidR="00591869" w:rsidRPr="000D7750" w:rsidRDefault="00591869" w:rsidP="007B73ED">
            <w:pPr>
              <w:pStyle w:val="TableText"/>
            </w:pPr>
          </w:p>
        </w:tc>
      </w:tr>
      <w:tr w:rsidR="00591869" w:rsidRPr="000D7750" w14:paraId="556C7098" w14:textId="77777777" w:rsidTr="004F646F">
        <w:trPr>
          <w:cnfStyle w:val="100000000000" w:firstRow="1" w:lastRow="0" w:firstColumn="0" w:lastColumn="0" w:oddVBand="0" w:evenVBand="0" w:oddHBand="0" w:evenHBand="0" w:firstRowFirstColumn="0" w:firstRowLastColumn="0" w:lastRowFirstColumn="0" w:lastRowLastColumn="0"/>
          <w:cantSplit/>
          <w:tblHeader/>
        </w:trPr>
        <w:tc>
          <w:tcPr>
            <w:tcW w:w="0" w:type="auto"/>
            <w:tcBorders>
              <w:bottom w:val="single" w:sz="4" w:space="0" w:color="auto"/>
            </w:tcBorders>
            <w:vAlign w:val="center"/>
          </w:tcPr>
          <w:p w14:paraId="1C0B881A" w14:textId="77777777" w:rsidR="00591869" w:rsidRPr="000D7750" w:rsidRDefault="00591869" w:rsidP="007B73ED">
            <w:pPr>
              <w:pStyle w:val="TableText"/>
              <w:ind w:left="288"/>
            </w:pPr>
            <w:r w:rsidRPr="000D7750">
              <w:t>Proportion of patients undergoing TTE test at follow-up visit 3</w:t>
            </w:r>
          </w:p>
        </w:tc>
        <w:tc>
          <w:tcPr>
            <w:tcW w:w="1882" w:type="dxa"/>
            <w:tcBorders>
              <w:bottom w:val="single" w:sz="4" w:space="0" w:color="auto"/>
            </w:tcBorders>
            <w:vAlign w:val="center"/>
          </w:tcPr>
          <w:p w14:paraId="0171147B" w14:textId="77777777" w:rsidR="00591869" w:rsidRPr="000D7750" w:rsidRDefault="00591869" w:rsidP="007B73ED">
            <w:pPr>
              <w:pStyle w:val="TableText"/>
              <w:jc w:val="center"/>
            </w:pPr>
            <w:r w:rsidRPr="000D7750">
              <w:t>100%</w:t>
            </w:r>
          </w:p>
        </w:tc>
        <w:tc>
          <w:tcPr>
            <w:tcW w:w="2160" w:type="dxa"/>
            <w:tcBorders>
              <w:bottom w:val="single" w:sz="4" w:space="0" w:color="auto"/>
            </w:tcBorders>
            <w:vAlign w:val="center"/>
          </w:tcPr>
          <w:p w14:paraId="6A2B6DA6" w14:textId="77777777" w:rsidR="00591869" w:rsidRPr="000D7750" w:rsidRDefault="00591869" w:rsidP="007B73ED">
            <w:pPr>
              <w:pStyle w:val="TableText"/>
              <w:jc w:val="center"/>
            </w:pPr>
            <w:r w:rsidRPr="000D7750">
              <w:t>25%</w:t>
            </w:r>
          </w:p>
        </w:tc>
        <w:tc>
          <w:tcPr>
            <w:tcW w:w="1731" w:type="dxa"/>
            <w:vMerge/>
            <w:tcBorders>
              <w:bottom w:val="single" w:sz="4" w:space="0" w:color="auto"/>
            </w:tcBorders>
            <w:vAlign w:val="center"/>
          </w:tcPr>
          <w:p w14:paraId="1F1A77A3" w14:textId="77777777" w:rsidR="00591869" w:rsidRPr="000D7750" w:rsidRDefault="00591869" w:rsidP="007B73ED">
            <w:pPr>
              <w:pStyle w:val="TableText"/>
            </w:pPr>
          </w:p>
        </w:tc>
      </w:tr>
      <w:tr w:rsidR="00591869" w:rsidRPr="000D7750" w14:paraId="30C69EA3" w14:textId="77777777" w:rsidTr="004F646F">
        <w:trPr>
          <w:cnfStyle w:val="100000000000" w:firstRow="1" w:lastRow="0" w:firstColumn="0" w:lastColumn="0" w:oddVBand="0" w:evenVBand="0" w:oddHBand="0" w:evenHBand="0" w:firstRowFirstColumn="0" w:firstRowLastColumn="0" w:lastRowFirstColumn="0" w:lastRowLastColumn="0"/>
          <w:cantSplit/>
          <w:tblHeader/>
        </w:trPr>
        <w:tc>
          <w:tcPr>
            <w:tcW w:w="0" w:type="auto"/>
            <w:tcBorders>
              <w:bottom w:val="nil"/>
            </w:tcBorders>
            <w:vAlign w:val="center"/>
          </w:tcPr>
          <w:p w14:paraId="3C2862E4" w14:textId="77777777" w:rsidR="00591869" w:rsidRPr="00917D74" w:rsidRDefault="00591869" w:rsidP="007B73ED">
            <w:pPr>
              <w:pStyle w:val="TableText"/>
              <w:ind w:left="288"/>
            </w:pPr>
            <w:r w:rsidRPr="004F646F">
              <w:t xml:space="preserve">No. TTE tests/patient/year </w:t>
            </w:r>
          </w:p>
        </w:tc>
        <w:tc>
          <w:tcPr>
            <w:tcW w:w="1882" w:type="dxa"/>
            <w:tcBorders>
              <w:bottom w:val="single" w:sz="4" w:space="0" w:color="auto"/>
            </w:tcBorders>
            <w:vAlign w:val="center"/>
          </w:tcPr>
          <w:p w14:paraId="74669F57" w14:textId="77777777" w:rsidR="00591869" w:rsidRPr="004F646F" w:rsidRDefault="00591869" w:rsidP="007B73ED">
            <w:pPr>
              <w:pStyle w:val="TableText"/>
              <w:jc w:val="center"/>
            </w:pPr>
            <w:r w:rsidRPr="004F646F">
              <w:t>4.0</w:t>
            </w:r>
          </w:p>
        </w:tc>
        <w:tc>
          <w:tcPr>
            <w:tcW w:w="2160" w:type="dxa"/>
            <w:tcBorders>
              <w:bottom w:val="single" w:sz="4" w:space="0" w:color="auto"/>
            </w:tcBorders>
            <w:vAlign w:val="center"/>
          </w:tcPr>
          <w:p w14:paraId="1FFBB6A2" w14:textId="77777777" w:rsidR="00591869" w:rsidRPr="004F646F" w:rsidRDefault="00591869" w:rsidP="007B73ED">
            <w:pPr>
              <w:pStyle w:val="TableText"/>
              <w:jc w:val="center"/>
            </w:pPr>
            <w:r w:rsidRPr="004F646F">
              <w:t>2.5</w:t>
            </w:r>
          </w:p>
        </w:tc>
        <w:tc>
          <w:tcPr>
            <w:tcW w:w="1731" w:type="dxa"/>
            <w:tcBorders>
              <w:bottom w:val="single" w:sz="4" w:space="0" w:color="auto"/>
            </w:tcBorders>
            <w:vAlign w:val="center"/>
          </w:tcPr>
          <w:p w14:paraId="169A193B" w14:textId="77777777" w:rsidR="00591869" w:rsidRPr="004F646F" w:rsidRDefault="00591869" w:rsidP="007B73ED">
            <w:pPr>
              <w:pStyle w:val="TableText"/>
            </w:pPr>
            <w:r w:rsidRPr="004F646F">
              <w:t>ADAR 1689.1</w:t>
            </w:r>
          </w:p>
        </w:tc>
      </w:tr>
      <w:tr w:rsidR="00591869" w:rsidRPr="000D7750" w14:paraId="6D40AA73" w14:textId="77777777" w:rsidTr="004F646F">
        <w:trPr>
          <w:cnfStyle w:val="100000000000" w:firstRow="1" w:lastRow="0" w:firstColumn="0" w:lastColumn="0" w:oddVBand="0" w:evenVBand="0" w:oddHBand="0" w:evenHBand="0" w:firstRowFirstColumn="0" w:firstRowLastColumn="0" w:lastRowFirstColumn="0" w:lastRowLastColumn="0"/>
          <w:cantSplit/>
          <w:tblHeader/>
        </w:trPr>
        <w:tc>
          <w:tcPr>
            <w:tcW w:w="0" w:type="auto"/>
            <w:tcBorders>
              <w:top w:val="nil"/>
              <w:bottom w:val="single" w:sz="4" w:space="0" w:color="auto"/>
            </w:tcBorders>
            <w:shd w:val="clear" w:color="auto" w:fill="auto"/>
            <w:vAlign w:val="center"/>
          </w:tcPr>
          <w:p w14:paraId="4EC0A184" w14:textId="77777777" w:rsidR="00591869" w:rsidRPr="00917D74" w:rsidRDefault="00591869" w:rsidP="007B73ED">
            <w:pPr>
              <w:pStyle w:val="TableText"/>
              <w:ind w:left="288"/>
              <w:rPr>
                <w:color w:val="0070C0"/>
              </w:rPr>
            </w:pPr>
          </w:p>
        </w:tc>
        <w:tc>
          <w:tcPr>
            <w:tcW w:w="1882" w:type="dxa"/>
            <w:tcBorders>
              <w:bottom w:val="single" w:sz="4" w:space="0" w:color="auto"/>
            </w:tcBorders>
            <w:shd w:val="clear" w:color="auto" w:fill="BFBFBF" w:themeFill="background1" w:themeFillShade="BF"/>
            <w:vAlign w:val="center"/>
          </w:tcPr>
          <w:p w14:paraId="4F0117AC" w14:textId="77777777" w:rsidR="00591869" w:rsidRPr="004F646F" w:rsidRDefault="00591869" w:rsidP="007B73ED">
            <w:pPr>
              <w:pStyle w:val="TableText"/>
              <w:jc w:val="center"/>
            </w:pPr>
            <w:r w:rsidRPr="004F646F">
              <w:t>2.15</w:t>
            </w:r>
          </w:p>
        </w:tc>
        <w:tc>
          <w:tcPr>
            <w:tcW w:w="2160" w:type="dxa"/>
            <w:tcBorders>
              <w:bottom w:val="single" w:sz="4" w:space="0" w:color="auto"/>
            </w:tcBorders>
            <w:shd w:val="clear" w:color="auto" w:fill="BFBFBF" w:themeFill="background1" w:themeFillShade="BF"/>
            <w:vAlign w:val="center"/>
          </w:tcPr>
          <w:p w14:paraId="77F60FB3" w14:textId="77777777" w:rsidR="00591869" w:rsidRPr="004F646F" w:rsidRDefault="00591869" w:rsidP="007B73ED">
            <w:pPr>
              <w:pStyle w:val="TableText"/>
              <w:jc w:val="center"/>
            </w:pPr>
            <w:r w:rsidRPr="004F646F">
              <w:t>-</w:t>
            </w:r>
          </w:p>
        </w:tc>
        <w:tc>
          <w:tcPr>
            <w:tcW w:w="1731" w:type="dxa"/>
            <w:tcBorders>
              <w:bottom w:val="single" w:sz="4" w:space="0" w:color="auto"/>
            </w:tcBorders>
            <w:shd w:val="clear" w:color="auto" w:fill="BFBFBF" w:themeFill="background1" w:themeFillShade="BF"/>
            <w:vAlign w:val="center"/>
          </w:tcPr>
          <w:p w14:paraId="35C54DA6" w14:textId="77777777" w:rsidR="00591869" w:rsidRPr="004F646F" w:rsidRDefault="00591869" w:rsidP="007B73ED">
            <w:pPr>
              <w:pStyle w:val="TableText"/>
            </w:pPr>
            <w:r w:rsidRPr="004F646F">
              <w:rPr>
                <w:bCs/>
              </w:rPr>
              <w:t>ADAR 1689 PSD, July 2022, p28</w:t>
            </w:r>
          </w:p>
        </w:tc>
      </w:tr>
      <w:tr w:rsidR="00591869" w:rsidRPr="000D7750" w14:paraId="66394984" w14:textId="77777777" w:rsidTr="004F646F">
        <w:trPr>
          <w:cnfStyle w:val="100000000000" w:firstRow="1" w:lastRow="0" w:firstColumn="0" w:lastColumn="0" w:oddVBand="0" w:evenVBand="0" w:oddHBand="0" w:evenHBand="0" w:firstRowFirstColumn="0" w:firstRowLastColumn="0" w:lastRowFirstColumn="0" w:lastRowLastColumn="0"/>
          <w:cantSplit/>
          <w:tblHeader/>
        </w:trPr>
        <w:tc>
          <w:tcPr>
            <w:tcW w:w="0" w:type="auto"/>
            <w:tcBorders>
              <w:bottom w:val="single" w:sz="4" w:space="0" w:color="auto"/>
            </w:tcBorders>
            <w:vAlign w:val="center"/>
          </w:tcPr>
          <w:p w14:paraId="64D7F31D" w14:textId="77777777" w:rsidR="00591869" w:rsidRPr="000D7750" w:rsidRDefault="00591869" w:rsidP="00591869">
            <w:pPr>
              <w:pStyle w:val="TableText"/>
              <w:keepNext/>
            </w:pPr>
            <w:r w:rsidRPr="000D7750">
              <w:rPr>
                <w:b/>
                <w:bCs/>
              </w:rPr>
              <w:t>Total TTE test cost/patient/year</w:t>
            </w:r>
          </w:p>
        </w:tc>
        <w:tc>
          <w:tcPr>
            <w:tcW w:w="1882" w:type="dxa"/>
            <w:tcBorders>
              <w:bottom w:val="single" w:sz="4" w:space="0" w:color="auto"/>
            </w:tcBorders>
            <w:vAlign w:val="center"/>
          </w:tcPr>
          <w:p w14:paraId="4B968AC2" w14:textId="77777777" w:rsidR="00591869" w:rsidRPr="004F646F" w:rsidRDefault="00591869" w:rsidP="00591869">
            <w:pPr>
              <w:pStyle w:val="TableText"/>
              <w:keepNext/>
              <w:jc w:val="center"/>
            </w:pPr>
            <w:r w:rsidRPr="004F646F">
              <w:rPr>
                <w:b/>
                <w:bCs/>
              </w:rPr>
              <w:t xml:space="preserve">$960.20 </w:t>
            </w:r>
            <w:r w:rsidRPr="004F646F">
              <w:rPr>
                <w:b/>
                <w:bCs/>
                <w:vertAlign w:val="superscript"/>
              </w:rPr>
              <w:t>a</w:t>
            </w:r>
          </w:p>
        </w:tc>
        <w:tc>
          <w:tcPr>
            <w:tcW w:w="2160" w:type="dxa"/>
            <w:tcBorders>
              <w:bottom w:val="single" w:sz="4" w:space="0" w:color="auto"/>
            </w:tcBorders>
            <w:vAlign w:val="center"/>
          </w:tcPr>
          <w:p w14:paraId="69560B8B" w14:textId="77777777" w:rsidR="00591869" w:rsidRPr="004F646F" w:rsidRDefault="00591869" w:rsidP="00591869">
            <w:pPr>
              <w:pStyle w:val="TableText"/>
              <w:keepNext/>
              <w:jc w:val="center"/>
            </w:pPr>
            <w:r w:rsidRPr="004F646F">
              <w:rPr>
                <w:b/>
                <w:bCs/>
              </w:rPr>
              <w:t xml:space="preserve">$600.13 </w:t>
            </w:r>
            <w:r w:rsidRPr="004F646F">
              <w:rPr>
                <w:b/>
                <w:bCs/>
                <w:vertAlign w:val="superscript"/>
              </w:rPr>
              <w:t>b</w:t>
            </w:r>
          </w:p>
        </w:tc>
        <w:tc>
          <w:tcPr>
            <w:tcW w:w="1731" w:type="dxa"/>
            <w:tcBorders>
              <w:bottom w:val="single" w:sz="4" w:space="0" w:color="auto"/>
            </w:tcBorders>
            <w:vAlign w:val="center"/>
          </w:tcPr>
          <w:p w14:paraId="2505AFE2" w14:textId="77777777" w:rsidR="00591869" w:rsidRPr="004F646F" w:rsidRDefault="00591869" w:rsidP="00591869">
            <w:pPr>
              <w:pStyle w:val="TableText"/>
              <w:keepNext/>
            </w:pPr>
            <w:r w:rsidRPr="004F646F">
              <w:t>B</w:t>
            </w:r>
          </w:p>
        </w:tc>
      </w:tr>
      <w:tr w:rsidR="00591869" w:rsidRPr="000D7750" w14:paraId="54A65AE5" w14:textId="77777777" w:rsidTr="004F646F">
        <w:trPr>
          <w:cnfStyle w:val="100000000000" w:firstRow="1" w:lastRow="0" w:firstColumn="0" w:lastColumn="0" w:oddVBand="0" w:evenVBand="0" w:oddHBand="0" w:evenHBand="0" w:firstRowFirstColumn="0" w:firstRowLastColumn="0" w:lastRowFirstColumn="0" w:lastRowLastColumn="0"/>
          <w:cantSplit/>
          <w:tblHeader/>
        </w:trPr>
        <w:tc>
          <w:tcPr>
            <w:tcW w:w="0" w:type="auto"/>
            <w:tcBorders>
              <w:bottom w:val="single" w:sz="4" w:space="0" w:color="auto"/>
            </w:tcBorders>
            <w:vAlign w:val="center"/>
          </w:tcPr>
          <w:p w14:paraId="3EC633AE" w14:textId="77777777" w:rsidR="00591869" w:rsidRPr="000D7750" w:rsidRDefault="00591869" w:rsidP="00591869">
            <w:pPr>
              <w:pStyle w:val="TableText"/>
              <w:keepNext/>
              <w:rPr>
                <w:b/>
                <w:bCs/>
              </w:rPr>
            </w:pPr>
            <w:r w:rsidRPr="000D7750">
              <w:rPr>
                <w:b/>
                <w:bCs/>
              </w:rPr>
              <w:t>Total cost per patient per year</w:t>
            </w:r>
          </w:p>
        </w:tc>
        <w:tc>
          <w:tcPr>
            <w:tcW w:w="1882" w:type="dxa"/>
            <w:tcBorders>
              <w:bottom w:val="single" w:sz="4" w:space="0" w:color="auto"/>
            </w:tcBorders>
            <w:vAlign w:val="center"/>
          </w:tcPr>
          <w:p w14:paraId="54B9752C" w14:textId="77777777" w:rsidR="00591869" w:rsidRPr="004F646F" w:rsidRDefault="00591869" w:rsidP="00591869">
            <w:pPr>
              <w:pStyle w:val="TableText"/>
              <w:keepNext/>
              <w:jc w:val="center"/>
              <w:rPr>
                <w:b/>
                <w:bCs/>
              </w:rPr>
            </w:pPr>
            <w:r w:rsidRPr="004F646F">
              <w:rPr>
                <w:b/>
                <w:bCs/>
              </w:rPr>
              <w:t>$960.20</w:t>
            </w:r>
          </w:p>
        </w:tc>
        <w:tc>
          <w:tcPr>
            <w:tcW w:w="2160" w:type="dxa"/>
            <w:tcBorders>
              <w:bottom w:val="single" w:sz="4" w:space="0" w:color="auto"/>
            </w:tcBorders>
            <w:vAlign w:val="center"/>
          </w:tcPr>
          <w:p w14:paraId="69D10674" w14:textId="77777777" w:rsidR="00591869" w:rsidRPr="004F646F" w:rsidRDefault="00591869" w:rsidP="00591869">
            <w:pPr>
              <w:pStyle w:val="TableText"/>
              <w:keepNext/>
              <w:jc w:val="center"/>
              <w:rPr>
                <w:b/>
                <w:bCs/>
              </w:rPr>
            </w:pPr>
            <w:r w:rsidRPr="004F646F">
              <w:rPr>
                <w:b/>
                <w:bCs/>
              </w:rPr>
              <w:t>$834.13</w:t>
            </w:r>
          </w:p>
        </w:tc>
        <w:tc>
          <w:tcPr>
            <w:tcW w:w="1731" w:type="dxa"/>
            <w:tcBorders>
              <w:bottom w:val="single" w:sz="4" w:space="0" w:color="auto"/>
            </w:tcBorders>
            <w:vAlign w:val="center"/>
          </w:tcPr>
          <w:p w14:paraId="12F17872" w14:textId="77777777" w:rsidR="00591869" w:rsidRPr="004F646F" w:rsidRDefault="00591869" w:rsidP="00591869">
            <w:pPr>
              <w:pStyle w:val="TableText"/>
              <w:keepNext/>
            </w:pPr>
            <w:r w:rsidRPr="004F646F">
              <w:t>= A + B</w:t>
            </w:r>
          </w:p>
        </w:tc>
      </w:tr>
      <w:tr w:rsidR="00591869" w:rsidRPr="000D7750" w14:paraId="0961D753" w14:textId="77777777" w:rsidTr="004F646F">
        <w:trPr>
          <w:cnfStyle w:val="100000000000" w:firstRow="1" w:lastRow="0" w:firstColumn="0" w:lastColumn="0" w:oddVBand="0" w:evenVBand="0" w:oddHBand="0" w:evenHBand="0" w:firstRowFirstColumn="0" w:firstRowLastColumn="0" w:lastRowFirstColumn="0" w:lastRowLastColumn="0"/>
          <w:cantSplit/>
          <w:tblHeader/>
        </w:trPr>
        <w:tc>
          <w:tcPr>
            <w:tcW w:w="0" w:type="auto"/>
            <w:tcBorders>
              <w:bottom w:val="nil"/>
            </w:tcBorders>
            <w:vAlign w:val="center"/>
          </w:tcPr>
          <w:p w14:paraId="0CF9E6D9" w14:textId="77777777" w:rsidR="00591869" w:rsidRPr="000D7750" w:rsidRDefault="00591869" w:rsidP="00591869">
            <w:pPr>
              <w:pStyle w:val="TableText"/>
              <w:keepNext/>
              <w:rPr>
                <w:b/>
                <w:bCs/>
              </w:rPr>
            </w:pPr>
            <w:r w:rsidRPr="000D7750">
              <w:rPr>
                <w:b/>
                <w:bCs/>
              </w:rPr>
              <w:t>Net cost difference per patient (with NT</w:t>
            </w:r>
            <w:r>
              <w:rPr>
                <w:b/>
                <w:bCs/>
              </w:rPr>
              <w:t>-</w:t>
            </w:r>
            <w:proofErr w:type="spellStart"/>
            <w:r w:rsidRPr="000D7750">
              <w:rPr>
                <w:b/>
                <w:bCs/>
              </w:rPr>
              <w:t>proBNP</w:t>
            </w:r>
            <w:proofErr w:type="spellEnd"/>
            <w:r w:rsidRPr="000D7750">
              <w:rPr>
                <w:b/>
                <w:bCs/>
              </w:rPr>
              <w:t xml:space="preserve"> </w:t>
            </w:r>
            <w:r>
              <w:rPr>
                <w:b/>
                <w:bCs/>
              </w:rPr>
              <w:t>–</w:t>
            </w:r>
            <w:r w:rsidRPr="000D7750">
              <w:rPr>
                <w:b/>
                <w:bCs/>
              </w:rPr>
              <w:t xml:space="preserve"> without NT</w:t>
            </w:r>
            <w:r>
              <w:rPr>
                <w:b/>
                <w:bCs/>
              </w:rPr>
              <w:t>-</w:t>
            </w:r>
            <w:proofErr w:type="spellStart"/>
            <w:r w:rsidRPr="000D7750">
              <w:rPr>
                <w:b/>
                <w:bCs/>
              </w:rPr>
              <w:t>proBNP</w:t>
            </w:r>
            <w:proofErr w:type="spellEnd"/>
            <w:r w:rsidRPr="000D7750">
              <w:rPr>
                <w:b/>
                <w:bCs/>
              </w:rPr>
              <w:t>)</w:t>
            </w:r>
          </w:p>
        </w:tc>
        <w:tc>
          <w:tcPr>
            <w:tcW w:w="4042" w:type="dxa"/>
            <w:gridSpan w:val="2"/>
            <w:vAlign w:val="center"/>
          </w:tcPr>
          <w:p w14:paraId="6A19DCA2" w14:textId="77777777" w:rsidR="00591869" w:rsidRPr="000D7750" w:rsidRDefault="00591869" w:rsidP="00591869">
            <w:pPr>
              <w:pStyle w:val="TableText"/>
              <w:keepNext/>
              <w:jc w:val="center"/>
              <w:rPr>
                <w:b/>
                <w:bCs/>
              </w:rPr>
            </w:pPr>
            <w:r w:rsidRPr="00A20E1C">
              <w:rPr>
                <w:b/>
                <w:bCs/>
              </w:rPr>
              <w:t>-$126.08</w:t>
            </w:r>
          </w:p>
        </w:tc>
        <w:tc>
          <w:tcPr>
            <w:tcW w:w="1731" w:type="dxa"/>
            <w:vAlign w:val="center"/>
          </w:tcPr>
          <w:p w14:paraId="7D322FD4" w14:textId="77777777" w:rsidR="00591869" w:rsidRPr="004F646F" w:rsidRDefault="00591869" w:rsidP="00591869">
            <w:pPr>
              <w:pStyle w:val="TableText"/>
              <w:keepNext/>
            </w:pPr>
            <w:r w:rsidRPr="004F646F">
              <w:t>= $834.13 - $960.20</w:t>
            </w:r>
          </w:p>
        </w:tc>
      </w:tr>
      <w:tr w:rsidR="00591869" w:rsidRPr="000D7750" w14:paraId="3DF69431" w14:textId="77777777" w:rsidTr="004F646F">
        <w:trPr>
          <w:cnfStyle w:val="100000000000" w:firstRow="1" w:lastRow="0" w:firstColumn="0" w:lastColumn="0" w:oddVBand="0" w:evenVBand="0" w:oddHBand="0" w:evenHBand="0" w:firstRowFirstColumn="0" w:firstRowLastColumn="0" w:lastRowFirstColumn="0" w:lastRowLastColumn="0"/>
          <w:cantSplit/>
          <w:tblHeader/>
        </w:trPr>
        <w:tc>
          <w:tcPr>
            <w:tcW w:w="0" w:type="auto"/>
            <w:tcBorders>
              <w:top w:val="nil"/>
              <w:bottom w:val="single" w:sz="4" w:space="0" w:color="auto"/>
            </w:tcBorders>
            <w:vAlign w:val="center"/>
          </w:tcPr>
          <w:p w14:paraId="098E2FA5" w14:textId="77777777" w:rsidR="00591869" w:rsidRPr="000D7750" w:rsidRDefault="00591869" w:rsidP="00591869">
            <w:pPr>
              <w:pStyle w:val="TableText"/>
              <w:keepNext/>
              <w:rPr>
                <w:b/>
                <w:bCs/>
              </w:rPr>
            </w:pPr>
          </w:p>
        </w:tc>
        <w:tc>
          <w:tcPr>
            <w:tcW w:w="4042" w:type="dxa"/>
            <w:gridSpan w:val="2"/>
            <w:tcBorders>
              <w:bottom w:val="single" w:sz="4" w:space="0" w:color="auto"/>
            </w:tcBorders>
            <w:shd w:val="clear" w:color="auto" w:fill="BFBFBF" w:themeFill="background1" w:themeFillShade="BF"/>
            <w:vAlign w:val="center"/>
          </w:tcPr>
          <w:p w14:paraId="2EC69207" w14:textId="77777777" w:rsidR="00591869" w:rsidRPr="0008733D" w:rsidRDefault="00591869" w:rsidP="00591869">
            <w:pPr>
              <w:pStyle w:val="TableText"/>
              <w:keepNext/>
              <w:jc w:val="center"/>
              <w:rPr>
                <w:bCs/>
                <w:color w:val="FF0000"/>
              </w:rPr>
            </w:pPr>
            <w:r w:rsidRPr="004F646F">
              <w:rPr>
                <w:bCs/>
              </w:rPr>
              <w:t>-$382.16</w:t>
            </w:r>
          </w:p>
        </w:tc>
        <w:tc>
          <w:tcPr>
            <w:tcW w:w="1731" w:type="dxa"/>
            <w:tcBorders>
              <w:bottom w:val="single" w:sz="4" w:space="0" w:color="auto"/>
            </w:tcBorders>
            <w:shd w:val="clear" w:color="auto" w:fill="BFBFBF" w:themeFill="background1" w:themeFillShade="BF"/>
            <w:vAlign w:val="center"/>
          </w:tcPr>
          <w:p w14:paraId="12DCDC28" w14:textId="77777777" w:rsidR="00591869" w:rsidRPr="004F646F" w:rsidRDefault="00591869" w:rsidP="00591869">
            <w:pPr>
              <w:pStyle w:val="TableText"/>
              <w:keepNext/>
            </w:pPr>
            <w:r w:rsidRPr="004F646F">
              <w:rPr>
                <w:bCs/>
              </w:rPr>
              <w:t>PSD, July 2022, p28</w:t>
            </w:r>
          </w:p>
        </w:tc>
      </w:tr>
    </w:tbl>
    <w:p w14:paraId="379FF557" w14:textId="6F1D9B3A" w:rsidR="00591869" w:rsidRDefault="00591869" w:rsidP="00591869">
      <w:pPr>
        <w:pStyle w:val="Tablenotes0"/>
      </w:pPr>
      <w:r>
        <w:t>Source: Table 3-5</w:t>
      </w:r>
      <w:r w:rsidR="00E60C46">
        <w:t xml:space="preserve">, </w:t>
      </w:r>
      <w:proofErr w:type="spellStart"/>
      <w:r w:rsidR="00E60C46">
        <w:t>pg</w:t>
      </w:r>
      <w:proofErr w:type="spellEnd"/>
      <w:r w:rsidR="00E60C46">
        <w:t xml:space="preserve"> 54</w:t>
      </w:r>
      <w:r>
        <w:t xml:space="preserve"> of MSAC 1689.1 ADAR </w:t>
      </w:r>
    </w:p>
    <w:p w14:paraId="0E93E6C5" w14:textId="77777777" w:rsidR="00591869" w:rsidRPr="004F646F" w:rsidRDefault="00591869" w:rsidP="00591869">
      <w:pPr>
        <w:pStyle w:val="Tablenotes0"/>
      </w:pPr>
      <w:r w:rsidRPr="00DB0351">
        <w:t>Abbreviations: ESC</w:t>
      </w:r>
      <w:r>
        <w:t xml:space="preserve"> </w:t>
      </w:r>
      <w:r w:rsidRPr="00DB0351">
        <w:t xml:space="preserve">= </w:t>
      </w:r>
      <w:r>
        <w:t>E</w:t>
      </w:r>
      <w:r w:rsidRPr="00DB0351">
        <w:t xml:space="preserve">uropean </w:t>
      </w:r>
      <w:r>
        <w:t>S</w:t>
      </w:r>
      <w:r w:rsidRPr="00DB0351">
        <w:t xml:space="preserve">ociety of </w:t>
      </w:r>
      <w:r>
        <w:t>C</w:t>
      </w:r>
      <w:r w:rsidRPr="00DB0351">
        <w:t>ardiology; ERS</w:t>
      </w:r>
      <w:r>
        <w:t xml:space="preserve"> </w:t>
      </w:r>
      <w:r w:rsidRPr="00DB0351">
        <w:t xml:space="preserve">= </w:t>
      </w:r>
      <w:r>
        <w:t>E</w:t>
      </w:r>
      <w:r w:rsidRPr="00DB0351">
        <w:t xml:space="preserve">uropean </w:t>
      </w:r>
      <w:r>
        <w:t>R</w:t>
      </w:r>
      <w:r w:rsidRPr="00DB0351">
        <w:t xml:space="preserve">espiratory </w:t>
      </w:r>
      <w:r>
        <w:t>S</w:t>
      </w:r>
      <w:r w:rsidRPr="00DB0351">
        <w:t>ociety;</w:t>
      </w:r>
      <w:r>
        <w:t xml:space="preserve"> </w:t>
      </w:r>
      <w:r w:rsidRPr="000D7750">
        <w:t>MBS</w:t>
      </w:r>
      <w:r>
        <w:t xml:space="preserve"> </w:t>
      </w:r>
      <w:r w:rsidRPr="000D7750">
        <w:t xml:space="preserve">= </w:t>
      </w:r>
      <w:r>
        <w:t>Medicare Benefits Schedule</w:t>
      </w:r>
      <w:r w:rsidRPr="000D7750">
        <w:t>; NT-</w:t>
      </w:r>
      <w:proofErr w:type="spellStart"/>
      <w:r w:rsidRPr="000D7750">
        <w:t>proBNP</w:t>
      </w:r>
      <w:proofErr w:type="spellEnd"/>
      <w:r>
        <w:t xml:space="preserve"> </w:t>
      </w:r>
      <w:r w:rsidRPr="000D7750">
        <w:t xml:space="preserve">= N-terminal </w:t>
      </w:r>
      <w:proofErr w:type="spellStart"/>
      <w:r w:rsidRPr="000D7750">
        <w:t>proB</w:t>
      </w:r>
      <w:proofErr w:type="spellEnd"/>
      <w:r w:rsidRPr="000D7750">
        <w:t>-type natriuretic peptide; PAH</w:t>
      </w:r>
      <w:r>
        <w:t xml:space="preserve"> </w:t>
      </w:r>
      <w:r w:rsidRPr="000D7750">
        <w:t xml:space="preserve">= pulmonary arterial hypertension; </w:t>
      </w:r>
      <w:r>
        <w:t>PHSANZ = </w:t>
      </w:r>
      <w:r w:rsidRPr="00980306">
        <w:t xml:space="preserve">Pulmonary </w:t>
      </w:r>
      <w:r>
        <w:t>H</w:t>
      </w:r>
      <w:r w:rsidRPr="00980306">
        <w:t xml:space="preserve">ypertension </w:t>
      </w:r>
      <w:r>
        <w:t>S</w:t>
      </w:r>
      <w:r w:rsidRPr="00980306">
        <w:t xml:space="preserve">ociety of </w:t>
      </w:r>
      <w:r w:rsidRPr="004F646F">
        <w:t>Australia and New Zealand; TTE = transthoracic echocardiogram</w:t>
      </w:r>
    </w:p>
    <w:p w14:paraId="5B08D713" w14:textId="77777777" w:rsidR="00591869" w:rsidRPr="004F646F" w:rsidRDefault="00591869" w:rsidP="00591869">
      <w:pPr>
        <w:pStyle w:val="Tablenotes0"/>
      </w:pPr>
      <w:r w:rsidRPr="004F646F">
        <w:rPr>
          <w:vertAlign w:val="superscript"/>
        </w:rPr>
        <w:t>a</w:t>
      </w:r>
      <w:r w:rsidRPr="004F646F">
        <w:t xml:space="preserve"> This is calculated by weighting of proportion of patients undergoing TTE tests at baseline and each of the 3 follow-up visits in a year = $240.05 x [(100% x 1) + (100% x 1) + (100% x 1) + (100% x 1)].</w:t>
      </w:r>
    </w:p>
    <w:p w14:paraId="7D2FE6FD" w14:textId="77777777" w:rsidR="00591869" w:rsidRPr="004F646F" w:rsidRDefault="00591869" w:rsidP="00591869">
      <w:pPr>
        <w:pStyle w:val="Tablenotes0"/>
      </w:pPr>
      <w:r w:rsidRPr="004F646F">
        <w:rPr>
          <w:vertAlign w:val="superscript"/>
        </w:rPr>
        <w:t>b</w:t>
      </w:r>
      <w:r w:rsidRPr="004F646F">
        <w:t xml:space="preserve"> This is calculated by weighting of proportion of patients undergoing NT-</w:t>
      </w:r>
      <w:proofErr w:type="spellStart"/>
      <w:r w:rsidRPr="004F646F">
        <w:t>proBNP</w:t>
      </w:r>
      <w:proofErr w:type="spellEnd"/>
      <w:r w:rsidRPr="004F646F">
        <w:t xml:space="preserve"> tests at baseline and each of the 3 follow-up visits in a year = $240.05 x [(100% x 1) + (100% x 1) + (25% x 1) + (25% x 1)].</w:t>
      </w:r>
    </w:p>
    <w:p w14:paraId="73EB2483" w14:textId="1E077A9B" w:rsidR="00591869" w:rsidRPr="00653C15" w:rsidRDefault="00591869" w:rsidP="00591869">
      <w:pPr>
        <w:pStyle w:val="Tablenotes0"/>
      </w:pPr>
      <w:r w:rsidRPr="00653C15">
        <w:t xml:space="preserve">Note: </w:t>
      </w:r>
      <w:r w:rsidRPr="00653C15">
        <w:rPr>
          <w:shd w:val="clear" w:color="auto" w:fill="BFBFBF" w:themeFill="background1" w:themeFillShade="BF"/>
        </w:rPr>
        <w:t>Grey</w:t>
      </w:r>
      <w:r w:rsidRPr="00653C15">
        <w:t xml:space="preserve"> shading indicates data previously seen by the MSAC.</w:t>
      </w:r>
    </w:p>
    <w:p w14:paraId="651F574A" w14:textId="1DFC471B" w:rsidR="004F646F" w:rsidRPr="00270EDA" w:rsidRDefault="004F646F" w:rsidP="004F646F">
      <w:bookmarkStart w:id="56" w:name="_Toc69491426"/>
      <w:bookmarkEnd w:id="55"/>
      <w:r>
        <w:t xml:space="preserve">While the sensitivity analyses </w:t>
      </w:r>
      <w:r w:rsidR="00610970">
        <w:t xml:space="preserve">(versus the comparator of TTE) </w:t>
      </w:r>
      <w:r>
        <w:t>presented in the 1689.1 ADAR generally resulted in net cost savings, scenario analyses conducted by the commentary, which explored the impact of different follow-up intervals in the proposed (i.e. every 3 months NT-</w:t>
      </w:r>
      <w:proofErr w:type="spellStart"/>
      <w:r>
        <w:t>proBNP</w:t>
      </w:r>
      <w:proofErr w:type="spellEnd"/>
      <w:r>
        <w:t xml:space="preserve"> testing) and current algorithms (every 5-6 months TTE testing) resulted in net costs</w:t>
      </w:r>
      <w:r w:rsidR="008652B0">
        <w:t>, assuming that NT-</w:t>
      </w:r>
      <w:proofErr w:type="spellStart"/>
      <w:r w:rsidR="008652B0">
        <w:t>proBNP</w:t>
      </w:r>
      <w:proofErr w:type="spellEnd"/>
      <w:r w:rsidR="008652B0">
        <w:t xml:space="preserve"> would be more accessible than TTE,</w:t>
      </w:r>
      <w:r w:rsidR="008652B0" w:rsidRPr="008652B0">
        <w:t xml:space="preserve"> particularly for people who live in rural and remote areas.</w:t>
      </w:r>
      <w:r w:rsidR="008652B0">
        <w:t xml:space="preserve"> </w:t>
      </w:r>
      <w:r>
        <w:t>Therefore, the cost saving estimates</w:t>
      </w:r>
      <w:r w:rsidR="00B4725D">
        <w:t xml:space="preserve"> for the scenario and sensitivity </w:t>
      </w:r>
      <w:r w:rsidR="00B4725D">
        <w:lastRenderedPageBreak/>
        <w:t>analyses</w:t>
      </w:r>
      <w:r>
        <w:t xml:space="preserve"> presented in</w:t>
      </w:r>
      <w:r w:rsidR="00A66D28">
        <w:t xml:space="preserve"> the ADAR</w:t>
      </w:r>
      <w:r>
        <w:t xml:space="preserve"> </w:t>
      </w:r>
      <w:r w:rsidR="00862F54">
        <w:t xml:space="preserve">(given in the </w:t>
      </w:r>
      <w:r>
        <w:t xml:space="preserve">table </w:t>
      </w:r>
      <w:r w:rsidR="00B4725D">
        <w:t>below</w:t>
      </w:r>
      <w:r w:rsidR="00862F54">
        <w:t>)</w:t>
      </w:r>
      <w:r w:rsidR="00B4725D">
        <w:t xml:space="preserve"> </w:t>
      </w:r>
      <w:r>
        <w:t xml:space="preserve">appears to be uncertain, and likely to be overestimated. </w:t>
      </w:r>
    </w:p>
    <w:p w14:paraId="4A99ECA2" w14:textId="6C81D3CA" w:rsidR="00EB33E4" w:rsidRPr="001A4B85" w:rsidRDefault="00EB33E4" w:rsidP="00EB33E4">
      <w:pPr>
        <w:pStyle w:val="TableHeading0"/>
        <w:rPr>
          <w:rFonts w:eastAsia="Times New Roman" w:cs="Times New Roman"/>
          <w:bCs/>
          <w:szCs w:val="20"/>
        </w:rPr>
      </w:pPr>
      <w:r>
        <w:t xml:space="preserve">Table </w:t>
      </w:r>
      <w:r w:rsidR="00DD62DD">
        <w:fldChar w:fldCharType="begin"/>
      </w:r>
      <w:r w:rsidR="00DD62DD">
        <w:instrText xml:space="preserve"> SEQ Table \* ARABIC </w:instrText>
      </w:r>
      <w:r w:rsidR="00DD62DD">
        <w:fldChar w:fldCharType="separate"/>
      </w:r>
      <w:r>
        <w:rPr>
          <w:noProof/>
        </w:rPr>
        <w:t>12</w:t>
      </w:r>
      <w:r w:rsidR="00DD62DD">
        <w:rPr>
          <w:noProof/>
        </w:rPr>
        <w:fldChar w:fldCharType="end"/>
      </w:r>
      <w:r w:rsidRPr="001A4B85">
        <w:rPr>
          <w:rFonts w:eastAsia="Times New Roman" w:cs="Times New Roman"/>
          <w:bCs/>
          <w:szCs w:val="20"/>
        </w:rPr>
        <w:tab/>
      </w:r>
      <w:r w:rsidRPr="000D7750">
        <w:t>Results of scenario and sensitivity analysis</w:t>
      </w:r>
    </w:p>
    <w:tbl>
      <w:tblPr>
        <w:tblStyle w:val="TableGrid1"/>
        <w:tblW w:w="0" w:type="auto"/>
        <w:tblLook w:val="04A0" w:firstRow="1" w:lastRow="0" w:firstColumn="1" w:lastColumn="0" w:noHBand="0" w:noVBand="1"/>
        <w:tblCaption w:val="Table 12 Results of scenario and sensitivity analysis"/>
        <w:tblDescription w:val="This table presents the base case results in comparison to scenarios presented in the ADAR 1689.1. In the three Scenarios presented, Scenario 1 analysed the impact of a time horizon of 2 years with follow-up period of every 3 months; Scenario 2 included a time horizon of 1 year with test intervals of 5-6 months, wheras Scenario 3 explored the impact of testing every 5-6 months for a 2 year time horizon. Each scenario included sensitivity analyses for the rate of clinical worsening (ranging from 25% to 50%, low and high estimates for the number of PAH patients, and low and high uptake rates for NT-proBNP. Most of the scenario and sensitivity analyses presented in the ADAR resulted in cost savings to the MBS (ranging from $612.23 to $4.54 ) except for the increase in the rate of clinical worsening in Scenario 2, which resulted in net cost of $19.47 per patient in a year at  35% worsening rate and $55.47 in 50% worsening rate, respectively. Two scenarios where different testing intervals for the current and proposed algorithms were tested by the commentary. The first one tested the impact of NT-proBNP testing every 3 months compared to TTE testing every 4 months, wheras the second was compared to TTE testing every 6 months. The only cost saving result of ($36.06) was obtained for the follow-up interval of 3 months for NT-proBNP compared to 4 monthly TTE testing with a 25% of worsening rate assumption. In this scenario, the 35% worsening rate was cost-neutral.  The majority of the commentary scenario analyses resulted in net costs to the MBS ranging from $53.96 upto $113.98. "/>
      </w:tblPr>
      <w:tblGrid>
        <w:gridCol w:w="3055"/>
        <w:gridCol w:w="1987"/>
        <w:gridCol w:w="1987"/>
        <w:gridCol w:w="1987"/>
      </w:tblGrid>
      <w:tr w:rsidR="00963EEC" w:rsidRPr="000D7750" w14:paraId="0C8F97D2" w14:textId="77777777" w:rsidTr="00793AF4">
        <w:trPr>
          <w:cnfStyle w:val="100000000000" w:firstRow="1" w:lastRow="0" w:firstColumn="0" w:lastColumn="0" w:oddVBand="0" w:evenVBand="0" w:oddHBand="0" w:evenHBand="0" w:firstRowFirstColumn="0" w:firstRowLastColumn="0" w:lastRowFirstColumn="0" w:lastRowLastColumn="0"/>
          <w:trHeight w:val="260"/>
          <w:tblHeader/>
        </w:trPr>
        <w:tc>
          <w:tcPr>
            <w:tcW w:w="3055" w:type="dxa"/>
            <w:vMerge w:val="restart"/>
            <w:shd w:val="pct20" w:color="auto" w:fill="auto"/>
            <w:vAlign w:val="center"/>
          </w:tcPr>
          <w:p w14:paraId="01EA88B7" w14:textId="77777777" w:rsidR="00963EEC" w:rsidRPr="000D7750" w:rsidRDefault="00963EEC" w:rsidP="00793AF4">
            <w:pPr>
              <w:pStyle w:val="TableHeading"/>
              <w:spacing w:before="40" w:after="40"/>
              <w:jc w:val="center"/>
            </w:pPr>
            <w:r w:rsidRPr="000D7750">
              <w:t>Scenario</w:t>
            </w:r>
          </w:p>
        </w:tc>
        <w:tc>
          <w:tcPr>
            <w:tcW w:w="5961" w:type="dxa"/>
            <w:gridSpan w:val="3"/>
            <w:tcBorders>
              <w:bottom w:val="single" w:sz="4" w:space="0" w:color="auto"/>
            </w:tcBorders>
            <w:shd w:val="pct20" w:color="auto" w:fill="auto"/>
            <w:vAlign w:val="center"/>
          </w:tcPr>
          <w:p w14:paraId="1D8B8590" w14:textId="77777777" w:rsidR="00963EEC" w:rsidRPr="000D7750" w:rsidRDefault="00963EEC" w:rsidP="00793AF4">
            <w:pPr>
              <w:pStyle w:val="TableHeading"/>
              <w:spacing w:before="40" w:after="40"/>
              <w:jc w:val="center"/>
            </w:pPr>
            <w:r w:rsidRPr="000D7750">
              <w:rPr>
                <w:bCs/>
              </w:rPr>
              <w:t>Net cost difference per patient (with NT</w:t>
            </w:r>
            <w:r>
              <w:rPr>
                <w:bCs/>
              </w:rPr>
              <w:t>-</w:t>
            </w:r>
            <w:proofErr w:type="spellStart"/>
            <w:r w:rsidRPr="000D7750">
              <w:rPr>
                <w:bCs/>
              </w:rPr>
              <w:t>proBNP</w:t>
            </w:r>
            <w:proofErr w:type="spellEnd"/>
            <w:r w:rsidRPr="000D7750">
              <w:rPr>
                <w:bCs/>
              </w:rPr>
              <w:t xml:space="preserve"> - without NT</w:t>
            </w:r>
            <w:r>
              <w:rPr>
                <w:bCs/>
              </w:rPr>
              <w:t>-</w:t>
            </w:r>
            <w:proofErr w:type="spellStart"/>
            <w:r w:rsidRPr="000D7750">
              <w:rPr>
                <w:bCs/>
              </w:rPr>
              <w:t>proBNP</w:t>
            </w:r>
            <w:proofErr w:type="spellEnd"/>
            <w:r w:rsidRPr="000D7750">
              <w:rPr>
                <w:bCs/>
              </w:rPr>
              <w:t>)</w:t>
            </w:r>
          </w:p>
        </w:tc>
      </w:tr>
      <w:tr w:rsidR="00963EEC" w:rsidRPr="000D7750" w14:paraId="41958AC3" w14:textId="77777777" w:rsidTr="00793AF4">
        <w:trPr>
          <w:cnfStyle w:val="100000000000" w:firstRow="1" w:lastRow="0" w:firstColumn="0" w:lastColumn="0" w:oddVBand="0" w:evenVBand="0" w:oddHBand="0" w:evenHBand="0" w:firstRowFirstColumn="0" w:firstRowLastColumn="0" w:lastRowFirstColumn="0" w:lastRowLastColumn="0"/>
          <w:trHeight w:val="530"/>
          <w:tblHeader/>
        </w:trPr>
        <w:tc>
          <w:tcPr>
            <w:tcW w:w="3055" w:type="dxa"/>
            <w:vMerge/>
            <w:tcBorders>
              <w:bottom w:val="single" w:sz="4" w:space="0" w:color="auto"/>
            </w:tcBorders>
            <w:shd w:val="pct20" w:color="auto" w:fill="auto"/>
            <w:vAlign w:val="center"/>
          </w:tcPr>
          <w:p w14:paraId="7BC007BC" w14:textId="77777777" w:rsidR="00963EEC" w:rsidRPr="000D7750" w:rsidRDefault="00963EEC" w:rsidP="00793AF4">
            <w:pPr>
              <w:pStyle w:val="TableHeading"/>
              <w:spacing w:before="40" w:after="40"/>
              <w:jc w:val="center"/>
            </w:pPr>
          </w:p>
        </w:tc>
        <w:tc>
          <w:tcPr>
            <w:tcW w:w="1987" w:type="dxa"/>
            <w:tcBorders>
              <w:bottom w:val="single" w:sz="4" w:space="0" w:color="auto"/>
            </w:tcBorders>
            <w:shd w:val="pct20" w:color="auto" w:fill="auto"/>
            <w:vAlign w:val="center"/>
          </w:tcPr>
          <w:p w14:paraId="10F5BD32" w14:textId="77777777" w:rsidR="00963EEC" w:rsidRPr="000D7750" w:rsidRDefault="00963EEC" w:rsidP="00793AF4">
            <w:pPr>
              <w:pStyle w:val="TableHeading"/>
              <w:spacing w:before="40" w:after="40"/>
              <w:jc w:val="center"/>
            </w:pPr>
            <w:r w:rsidRPr="000D7750">
              <w:t>Rate of clinical worsening: 25% (base case)</w:t>
            </w:r>
          </w:p>
        </w:tc>
        <w:tc>
          <w:tcPr>
            <w:tcW w:w="1987" w:type="dxa"/>
            <w:tcBorders>
              <w:bottom w:val="single" w:sz="4" w:space="0" w:color="auto"/>
            </w:tcBorders>
            <w:shd w:val="pct20" w:color="auto" w:fill="auto"/>
            <w:vAlign w:val="center"/>
          </w:tcPr>
          <w:p w14:paraId="3E67F16B" w14:textId="77777777" w:rsidR="00963EEC" w:rsidRDefault="00963EEC" w:rsidP="00793AF4">
            <w:pPr>
              <w:pStyle w:val="TableHeading"/>
              <w:spacing w:before="40" w:after="40"/>
              <w:jc w:val="center"/>
            </w:pPr>
            <w:r w:rsidRPr="000D7750">
              <w:t>Rate of clinical worsening: 35%</w:t>
            </w:r>
          </w:p>
          <w:p w14:paraId="34A56FF0" w14:textId="77777777" w:rsidR="00963EEC" w:rsidRPr="000D7750" w:rsidRDefault="00963EEC" w:rsidP="00793AF4">
            <w:pPr>
              <w:pStyle w:val="TableHeading"/>
              <w:spacing w:before="40" w:after="40"/>
              <w:jc w:val="center"/>
            </w:pPr>
            <w:r>
              <w:t>(Sensitivity 1)</w:t>
            </w:r>
          </w:p>
        </w:tc>
        <w:tc>
          <w:tcPr>
            <w:tcW w:w="1987" w:type="dxa"/>
            <w:tcBorders>
              <w:bottom w:val="single" w:sz="4" w:space="0" w:color="auto"/>
            </w:tcBorders>
            <w:shd w:val="pct20" w:color="auto" w:fill="auto"/>
            <w:vAlign w:val="center"/>
          </w:tcPr>
          <w:p w14:paraId="49C40A67" w14:textId="77777777" w:rsidR="00963EEC" w:rsidRDefault="00963EEC" w:rsidP="00793AF4">
            <w:pPr>
              <w:pStyle w:val="TableHeading"/>
              <w:spacing w:before="40" w:after="40"/>
              <w:jc w:val="center"/>
            </w:pPr>
            <w:r w:rsidRPr="000D7750">
              <w:t>Rate of clinical worsening: 50%</w:t>
            </w:r>
          </w:p>
          <w:p w14:paraId="00CFDE73" w14:textId="77777777" w:rsidR="00963EEC" w:rsidRPr="000D7750" w:rsidRDefault="00963EEC" w:rsidP="00793AF4">
            <w:pPr>
              <w:pStyle w:val="TableHeading"/>
              <w:spacing w:before="40" w:after="40"/>
              <w:jc w:val="center"/>
            </w:pPr>
            <w:r>
              <w:t>(Sensitivity 2)</w:t>
            </w:r>
          </w:p>
        </w:tc>
      </w:tr>
      <w:tr w:rsidR="00322A5B" w:rsidRPr="00047EC2" w14:paraId="46CEC9C7" w14:textId="77777777" w:rsidTr="00793AF4">
        <w:tc>
          <w:tcPr>
            <w:tcW w:w="3055" w:type="dxa"/>
            <w:tcBorders>
              <w:bottom w:val="single" w:sz="4" w:space="0" w:color="auto"/>
            </w:tcBorders>
            <w:vAlign w:val="center"/>
          </w:tcPr>
          <w:p w14:paraId="20F94265" w14:textId="77777777" w:rsidR="00322A5B" w:rsidRPr="00322A5B" w:rsidRDefault="00322A5B" w:rsidP="00322A5B">
            <w:pPr>
              <w:pStyle w:val="TableHeading"/>
              <w:spacing w:before="40" w:after="40"/>
            </w:pPr>
            <w:r w:rsidRPr="00322A5B">
              <w:t>Base case</w:t>
            </w:r>
          </w:p>
          <w:p w14:paraId="1574DCAF" w14:textId="77777777" w:rsidR="00322A5B" w:rsidRPr="00322A5B" w:rsidRDefault="00322A5B" w:rsidP="00322A5B">
            <w:pPr>
              <w:pStyle w:val="TableHeading"/>
              <w:numPr>
                <w:ilvl w:val="0"/>
                <w:numId w:val="22"/>
              </w:numPr>
              <w:spacing w:before="40" w:after="40"/>
            </w:pPr>
            <w:r w:rsidRPr="00322A5B">
              <w:t>Time horizon: 1 year</w:t>
            </w:r>
          </w:p>
          <w:p w14:paraId="3F42DDB2" w14:textId="77777777" w:rsidR="00322A5B" w:rsidRPr="00322A5B" w:rsidRDefault="00322A5B" w:rsidP="00322A5B">
            <w:pPr>
              <w:pStyle w:val="TableHeading"/>
              <w:numPr>
                <w:ilvl w:val="0"/>
                <w:numId w:val="22"/>
              </w:numPr>
              <w:spacing w:before="40" w:after="40"/>
            </w:pPr>
            <w:r w:rsidRPr="00322A5B">
              <w:t>Follow-up interval: 3 months</w:t>
            </w:r>
          </w:p>
          <w:p w14:paraId="033FD161" w14:textId="77777777" w:rsidR="00322A5B" w:rsidRPr="00322A5B" w:rsidRDefault="00322A5B" w:rsidP="00322A5B">
            <w:pPr>
              <w:pStyle w:val="TableHeading"/>
              <w:numPr>
                <w:ilvl w:val="0"/>
                <w:numId w:val="22"/>
              </w:numPr>
              <w:spacing w:before="40" w:after="40"/>
            </w:pPr>
            <w:r w:rsidRPr="00322A5B">
              <w:t>Comparator: TTE</w:t>
            </w:r>
          </w:p>
        </w:tc>
        <w:tc>
          <w:tcPr>
            <w:tcW w:w="1987" w:type="dxa"/>
            <w:tcBorders>
              <w:bottom w:val="single" w:sz="4" w:space="0" w:color="auto"/>
            </w:tcBorders>
            <w:vAlign w:val="center"/>
          </w:tcPr>
          <w:p w14:paraId="10DB0AA3" w14:textId="77777777" w:rsidR="00322A5B" w:rsidRPr="00322A5B" w:rsidRDefault="00322A5B" w:rsidP="00322A5B">
            <w:pPr>
              <w:pStyle w:val="TableHeading"/>
              <w:spacing w:before="40" w:after="40"/>
              <w:jc w:val="center"/>
            </w:pPr>
            <w:r w:rsidRPr="00322A5B">
              <w:t>-$126.08</w:t>
            </w:r>
          </w:p>
          <w:p w14:paraId="3E33CD08" w14:textId="77777777" w:rsidR="00322A5B" w:rsidRPr="00322A5B" w:rsidRDefault="00322A5B" w:rsidP="00322A5B">
            <w:pPr>
              <w:pStyle w:val="TableHeading"/>
              <w:spacing w:before="40" w:after="40"/>
              <w:jc w:val="center"/>
            </w:pPr>
            <w:r w:rsidRPr="00322A5B">
              <w:t>(cost saving)</w:t>
            </w:r>
          </w:p>
          <w:p w14:paraId="264FFD32" w14:textId="644D8020" w:rsidR="00322A5B" w:rsidRPr="00322A5B" w:rsidRDefault="00322A5B" w:rsidP="00322A5B">
            <w:pPr>
              <w:pStyle w:val="TableHeading"/>
              <w:spacing w:before="40" w:after="40"/>
              <w:jc w:val="center"/>
              <w:rPr>
                <w:b w:val="0"/>
              </w:rPr>
            </w:pPr>
            <w:r w:rsidRPr="00322A5B">
              <w:rPr>
                <w:b w:val="0"/>
              </w:rPr>
              <w:t>4 TTE current vs 4 NT-</w:t>
            </w:r>
            <w:proofErr w:type="spellStart"/>
            <w:r w:rsidRPr="00322A5B">
              <w:rPr>
                <w:b w:val="0"/>
              </w:rPr>
              <w:t>proBNP</w:t>
            </w:r>
            <w:proofErr w:type="spellEnd"/>
            <w:r w:rsidRPr="00322A5B">
              <w:rPr>
                <w:b w:val="0"/>
              </w:rPr>
              <w:t xml:space="preserve"> + 2.5 TTE proposed (reduction of 0.38 TTEs per NT-</w:t>
            </w:r>
            <w:proofErr w:type="spellStart"/>
            <w:r w:rsidRPr="00322A5B">
              <w:rPr>
                <w:b w:val="0"/>
              </w:rPr>
              <w:t>proBNP</w:t>
            </w:r>
            <w:proofErr w:type="spellEnd"/>
            <w:r w:rsidRPr="00322A5B">
              <w:rPr>
                <w:b w:val="0"/>
              </w:rPr>
              <w:t xml:space="preserve"> test performed)</w:t>
            </w:r>
          </w:p>
        </w:tc>
        <w:tc>
          <w:tcPr>
            <w:tcW w:w="1987" w:type="dxa"/>
            <w:vAlign w:val="center"/>
          </w:tcPr>
          <w:p w14:paraId="08508D0B" w14:textId="77777777" w:rsidR="00322A5B" w:rsidRPr="00322A5B" w:rsidRDefault="00322A5B" w:rsidP="00322A5B">
            <w:pPr>
              <w:pStyle w:val="TableHeading"/>
              <w:spacing w:before="40" w:after="40"/>
              <w:jc w:val="center"/>
            </w:pPr>
            <w:r w:rsidRPr="00322A5B">
              <w:t>-$78.06</w:t>
            </w:r>
          </w:p>
          <w:p w14:paraId="56ED5086" w14:textId="153F9120" w:rsidR="00322A5B" w:rsidRPr="00322A5B" w:rsidRDefault="00322A5B" w:rsidP="00322A5B">
            <w:pPr>
              <w:pStyle w:val="TableHeading"/>
              <w:spacing w:before="40" w:after="40"/>
              <w:jc w:val="center"/>
            </w:pPr>
            <w:r w:rsidRPr="00322A5B">
              <w:rPr>
                <w:b w:val="0"/>
              </w:rPr>
              <w:t>4 TTE current vs 4 NT-</w:t>
            </w:r>
            <w:proofErr w:type="spellStart"/>
            <w:r w:rsidRPr="00322A5B">
              <w:rPr>
                <w:b w:val="0"/>
              </w:rPr>
              <w:t>proBNP</w:t>
            </w:r>
            <w:proofErr w:type="spellEnd"/>
            <w:r w:rsidRPr="00322A5B">
              <w:rPr>
                <w:b w:val="0"/>
              </w:rPr>
              <w:t xml:space="preserve"> + 2.7 TTE proposed (reduction of 0.33 TTEs per NT-</w:t>
            </w:r>
            <w:proofErr w:type="spellStart"/>
            <w:r w:rsidRPr="00322A5B">
              <w:rPr>
                <w:b w:val="0"/>
              </w:rPr>
              <w:t>proBNP</w:t>
            </w:r>
            <w:proofErr w:type="spellEnd"/>
            <w:r w:rsidRPr="00322A5B">
              <w:rPr>
                <w:b w:val="0"/>
              </w:rPr>
              <w:t xml:space="preserve"> test performed)</w:t>
            </w:r>
          </w:p>
        </w:tc>
        <w:tc>
          <w:tcPr>
            <w:tcW w:w="1987" w:type="dxa"/>
            <w:vAlign w:val="center"/>
          </w:tcPr>
          <w:p w14:paraId="583570D8" w14:textId="77777777" w:rsidR="00322A5B" w:rsidRPr="00322A5B" w:rsidRDefault="00322A5B" w:rsidP="00322A5B">
            <w:pPr>
              <w:pStyle w:val="TableHeading"/>
              <w:spacing w:before="40" w:after="40"/>
              <w:jc w:val="center"/>
            </w:pPr>
            <w:r w:rsidRPr="00322A5B">
              <w:t>-$6.05</w:t>
            </w:r>
          </w:p>
          <w:p w14:paraId="001F2B5A" w14:textId="1536FC51" w:rsidR="00322A5B" w:rsidRPr="00322A5B" w:rsidRDefault="00322A5B" w:rsidP="00322A5B">
            <w:pPr>
              <w:pStyle w:val="TableHeading"/>
              <w:spacing w:before="40" w:after="40"/>
              <w:jc w:val="center"/>
            </w:pPr>
            <w:r w:rsidRPr="00322A5B">
              <w:rPr>
                <w:b w:val="0"/>
              </w:rPr>
              <w:t>4 TTE current vs 4 NT-</w:t>
            </w:r>
            <w:proofErr w:type="spellStart"/>
            <w:r w:rsidRPr="00322A5B">
              <w:rPr>
                <w:b w:val="0"/>
              </w:rPr>
              <w:t>proBNP</w:t>
            </w:r>
            <w:proofErr w:type="spellEnd"/>
            <w:r w:rsidRPr="00322A5B">
              <w:rPr>
                <w:b w:val="0"/>
              </w:rPr>
              <w:t xml:space="preserve"> + 3 TTE proposed (reduction of 0.25 TTEs per NT-</w:t>
            </w:r>
            <w:proofErr w:type="spellStart"/>
            <w:r w:rsidRPr="00322A5B">
              <w:rPr>
                <w:b w:val="0"/>
              </w:rPr>
              <w:t>proBNP</w:t>
            </w:r>
            <w:proofErr w:type="spellEnd"/>
            <w:r w:rsidRPr="00322A5B">
              <w:rPr>
                <w:b w:val="0"/>
              </w:rPr>
              <w:t xml:space="preserve"> test performed)</w:t>
            </w:r>
          </w:p>
        </w:tc>
      </w:tr>
      <w:tr w:rsidR="006D5DEC" w:rsidRPr="00047EC2" w14:paraId="72F243DA" w14:textId="77777777" w:rsidTr="00793AF4">
        <w:tc>
          <w:tcPr>
            <w:tcW w:w="3055" w:type="dxa"/>
            <w:tcBorders>
              <w:bottom w:val="single" w:sz="4" w:space="0" w:color="auto"/>
            </w:tcBorders>
            <w:vAlign w:val="center"/>
          </w:tcPr>
          <w:p w14:paraId="1A5884B5" w14:textId="77777777" w:rsidR="006D5DEC" w:rsidRPr="000D7750" w:rsidRDefault="006D5DEC" w:rsidP="006D5DEC">
            <w:pPr>
              <w:pStyle w:val="TableHeading"/>
              <w:spacing w:before="40" w:after="40"/>
            </w:pPr>
            <w:r w:rsidRPr="000D7750">
              <w:t>Scenario 1</w:t>
            </w:r>
          </w:p>
          <w:p w14:paraId="50E7CEF2" w14:textId="77777777" w:rsidR="006D5DEC" w:rsidRPr="000D7750" w:rsidRDefault="006D5DEC" w:rsidP="006D5DEC">
            <w:pPr>
              <w:pStyle w:val="TableHeading"/>
              <w:numPr>
                <w:ilvl w:val="0"/>
                <w:numId w:val="22"/>
              </w:numPr>
              <w:spacing w:before="40" w:after="40"/>
            </w:pPr>
            <w:r w:rsidRPr="000D7750">
              <w:t>Time horizon: 2 years</w:t>
            </w:r>
            <w:r>
              <w:t xml:space="preserve"> </w:t>
            </w:r>
            <w:r>
              <w:rPr>
                <w:color w:val="0070C0"/>
                <w:vertAlign w:val="superscript"/>
              </w:rPr>
              <w:t>a</w:t>
            </w:r>
          </w:p>
          <w:p w14:paraId="67FB06C8" w14:textId="77777777" w:rsidR="006D5DEC" w:rsidRPr="000D7750" w:rsidRDefault="006D5DEC" w:rsidP="006D5DEC">
            <w:pPr>
              <w:pStyle w:val="TableHeading"/>
              <w:numPr>
                <w:ilvl w:val="0"/>
                <w:numId w:val="22"/>
              </w:numPr>
              <w:spacing w:before="40" w:after="40"/>
              <w:rPr>
                <w:b w:val="0"/>
                <w:bCs/>
              </w:rPr>
            </w:pPr>
            <w:r w:rsidRPr="000D7750">
              <w:rPr>
                <w:b w:val="0"/>
                <w:bCs/>
              </w:rPr>
              <w:t>Follow-up interval: 3 months</w:t>
            </w:r>
          </w:p>
          <w:p w14:paraId="1D07CA50" w14:textId="244023F0" w:rsidR="006D5DEC" w:rsidRDefault="006D5DEC" w:rsidP="006D5DEC">
            <w:pPr>
              <w:pStyle w:val="TableHeading"/>
              <w:spacing w:before="40" w:after="40"/>
            </w:pPr>
            <w:r w:rsidRPr="000D7750">
              <w:rPr>
                <w:b w:val="0"/>
                <w:bCs/>
              </w:rPr>
              <w:t>Comparator: TTE</w:t>
            </w:r>
          </w:p>
        </w:tc>
        <w:tc>
          <w:tcPr>
            <w:tcW w:w="1987" w:type="dxa"/>
            <w:tcBorders>
              <w:bottom w:val="single" w:sz="4" w:space="0" w:color="auto"/>
            </w:tcBorders>
            <w:vAlign w:val="center"/>
          </w:tcPr>
          <w:p w14:paraId="007DA5FE" w14:textId="77777777" w:rsidR="006D5DEC" w:rsidRPr="0050584F" w:rsidRDefault="006D5DEC" w:rsidP="006D5DEC">
            <w:pPr>
              <w:pStyle w:val="TableHeading"/>
              <w:spacing w:before="40" w:after="40"/>
              <w:jc w:val="center"/>
              <w:rPr>
                <w:b w:val="0"/>
              </w:rPr>
            </w:pPr>
            <w:r w:rsidRPr="0050584F">
              <w:rPr>
                <w:b w:val="0"/>
              </w:rPr>
              <w:t>-$612.23</w:t>
            </w:r>
          </w:p>
          <w:p w14:paraId="4EE916CF" w14:textId="73E6226B" w:rsidR="006D5DEC" w:rsidRPr="0050584F" w:rsidRDefault="005A76CB" w:rsidP="005A76CB">
            <w:pPr>
              <w:pStyle w:val="TableText"/>
              <w:keepNext/>
              <w:jc w:val="center"/>
            </w:pPr>
            <w:r w:rsidRPr="0050584F">
              <w:t>8 TTE current vs 8 NT-</w:t>
            </w:r>
            <w:proofErr w:type="spellStart"/>
            <w:r w:rsidRPr="0050584F">
              <w:t>proBNP</w:t>
            </w:r>
            <w:proofErr w:type="spellEnd"/>
            <w:r w:rsidRPr="0050584F">
              <w:t xml:space="preserve"> + 3.5 TTE proposed (r</w:t>
            </w:r>
            <w:r w:rsidR="006D5DEC" w:rsidRPr="0050584F">
              <w:t>eduction of 0.</w:t>
            </w:r>
            <w:r w:rsidRPr="0050584F">
              <w:t>56</w:t>
            </w:r>
            <w:r w:rsidR="006D5DEC" w:rsidRPr="0050584F">
              <w:t xml:space="preserve"> TTEs per NT-</w:t>
            </w:r>
            <w:proofErr w:type="spellStart"/>
            <w:r w:rsidR="006D5DEC" w:rsidRPr="0050584F">
              <w:t>proBNP</w:t>
            </w:r>
            <w:proofErr w:type="spellEnd"/>
            <w:r w:rsidR="006D5DEC" w:rsidRPr="0050584F">
              <w:t xml:space="preserve"> performed</w:t>
            </w:r>
          </w:p>
        </w:tc>
        <w:tc>
          <w:tcPr>
            <w:tcW w:w="1987" w:type="dxa"/>
            <w:vAlign w:val="center"/>
          </w:tcPr>
          <w:p w14:paraId="0105E608" w14:textId="77777777" w:rsidR="006D5DEC" w:rsidRPr="0050584F" w:rsidRDefault="006D5DEC" w:rsidP="006D5DEC">
            <w:pPr>
              <w:pStyle w:val="TableHeading"/>
              <w:spacing w:before="40" w:after="40"/>
              <w:jc w:val="center"/>
              <w:rPr>
                <w:b w:val="0"/>
              </w:rPr>
            </w:pPr>
            <w:r w:rsidRPr="0050584F">
              <w:rPr>
                <w:b w:val="0"/>
              </w:rPr>
              <w:t>-$468.20</w:t>
            </w:r>
          </w:p>
          <w:p w14:paraId="5F1CE26E" w14:textId="159606D7" w:rsidR="006D5DEC" w:rsidRPr="0050584F" w:rsidRDefault="005A76CB" w:rsidP="006D5DEC">
            <w:pPr>
              <w:pStyle w:val="TableText"/>
              <w:keepNext/>
              <w:jc w:val="center"/>
            </w:pPr>
            <w:r w:rsidRPr="0050584F">
              <w:t>8 TTE current vs 8 NT-</w:t>
            </w:r>
            <w:proofErr w:type="spellStart"/>
            <w:r w:rsidRPr="0050584F">
              <w:t>proBNP</w:t>
            </w:r>
            <w:proofErr w:type="spellEnd"/>
            <w:r w:rsidRPr="0050584F">
              <w:t xml:space="preserve"> + 4.1 TTE proposed (reduction of 0.49 TTEs per NT-</w:t>
            </w:r>
            <w:proofErr w:type="spellStart"/>
            <w:r w:rsidRPr="0050584F">
              <w:t>proBNP</w:t>
            </w:r>
            <w:proofErr w:type="spellEnd"/>
            <w:r w:rsidRPr="0050584F">
              <w:t xml:space="preserve"> performed</w:t>
            </w:r>
          </w:p>
        </w:tc>
        <w:tc>
          <w:tcPr>
            <w:tcW w:w="1987" w:type="dxa"/>
            <w:vAlign w:val="center"/>
          </w:tcPr>
          <w:p w14:paraId="243369DF" w14:textId="77777777" w:rsidR="006D5DEC" w:rsidRPr="0050584F" w:rsidRDefault="006D5DEC" w:rsidP="006D5DEC">
            <w:pPr>
              <w:pStyle w:val="TableHeading"/>
              <w:spacing w:before="40" w:after="40"/>
              <w:jc w:val="center"/>
              <w:rPr>
                <w:b w:val="0"/>
              </w:rPr>
            </w:pPr>
            <w:r w:rsidRPr="0050584F">
              <w:rPr>
                <w:b w:val="0"/>
              </w:rPr>
              <w:t>-$252.15</w:t>
            </w:r>
          </w:p>
          <w:p w14:paraId="722790FE" w14:textId="12B6A6A3" w:rsidR="006D5DEC" w:rsidRPr="0050584F" w:rsidRDefault="005A76CB" w:rsidP="006D5DEC">
            <w:pPr>
              <w:pStyle w:val="TableText"/>
              <w:keepNext/>
              <w:jc w:val="center"/>
              <w:rPr>
                <w:bCs/>
              </w:rPr>
            </w:pPr>
            <w:r w:rsidRPr="0050584F">
              <w:t>8 TTE current vs 8 NT-</w:t>
            </w:r>
            <w:proofErr w:type="spellStart"/>
            <w:r w:rsidRPr="0050584F">
              <w:t>proBNP</w:t>
            </w:r>
            <w:proofErr w:type="spellEnd"/>
            <w:r w:rsidRPr="0050584F">
              <w:t xml:space="preserve"> + 5 TTE proposed (reduction of 0.38 TTEs per NT-</w:t>
            </w:r>
            <w:proofErr w:type="spellStart"/>
            <w:r w:rsidRPr="0050584F">
              <w:t>proBNP</w:t>
            </w:r>
            <w:proofErr w:type="spellEnd"/>
            <w:r w:rsidRPr="0050584F">
              <w:t xml:space="preserve"> performed</w:t>
            </w:r>
          </w:p>
        </w:tc>
      </w:tr>
      <w:tr w:rsidR="006D5DEC" w:rsidRPr="00047EC2" w14:paraId="0A439B1D" w14:textId="77777777" w:rsidTr="00793AF4">
        <w:tc>
          <w:tcPr>
            <w:tcW w:w="3055" w:type="dxa"/>
            <w:tcBorders>
              <w:bottom w:val="single" w:sz="4" w:space="0" w:color="auto"/>
            </w:tcBorders>
            <w:vAlign w:val="center"/>
          </w:tcPr>
          <w:p w14:paraId="0EE5B9AB" w14:textId="77777777" w:rsidR="006D5DEC" w:rsidRPr="000D7750" w:rsidRDefault="006D5DEC" w:rsidP="006D5DEC">
            <w:pPr>
              <w:pStyle w:val="TableHeading"/>
              <w:spacing w:before="40" w:after="40"/>
            </w:pPr>
            <w:r w:rsidRPr="000D7750">
              <w:t xml:space="preserve">Scenario </w:t>
            </w:r>
            <w:r>
              <w:t>2</w:t>
            </w:r>
          </w:p>
          <w:p w14:paraId="1E107F29" w14:textId="77777777" w:rsidR="006D5DEC" w:rsidRPr="000D7750" w:rsidRDefault="006D5DEC" w:rsidP="006D5DEC">
            <w:pPr>
              <w:pStyle w:val="TableHeading"/>
              <w:numPr>
                <w:ilvl w:val="0"/>
                <w:numId w:val="22"/>
              </w:numPr>
              <w:spacing w:before="40" w:after="40"/>
              <w:rPr>
                <w:b w:val="0"/>
                <w:bCs/>
              </w:rPr>
            </w:pPr>
            <w:r w:rsidRPr="000D7750">
              <w:rPr>
                <w:b w:val="0"/>
                <w:bCs/>
              </w:rPr>
              <w:t>Time horizon: 1 year</w:t>
            </w:r>
          </w:p>
          <w:p w14:paraId="79EAF78C" w14:textId="77777777" w:rsidR="006D5DEC" w:rsidRPr="000D7750" w:rsidRDefault="006D5DEC" w:rsidP="006D5DEC">
            <w:pPr>
              <w:pStyle w:val="TableHeading"/>
              <w:numPr>
                <w:ilvl w:val="0"/>
                <w:numId w:val="22"/>
              </w:numPr>
              <w:spacing w:before="40" w:after="40"/>
            </w:pPr>
            <w:r w:rsidRPr="000D7750">
              <w:t>Follow-up interval: 5-6 months</w:t>
            </w:r>
          </w:p>
          <w:p w14:paraId="3882D534" w14:textId="4627A3C7" w:rsidR="006D5DEC" w:rsidRDefault="006D5DEC" w:rsidP="006D5DEC">
            <w:pPr>
              <w:pStyle w:val="TableHeading"/>
              <w:spacing w:before="40" w:after="40"/>
            </w:pPr>
            <w:r w:rsidRPr="000D7750">
              <w:rPr>
                <w:b w:val="0"/>
                <w:bCs/>
              </w:rPr>
              <w:t>Comparator: TTE</w:t>
            </w:r>
          </w:p>
        </w:tc>
        <w:tc>
          <w:tcPr>
            <w:tcW w:w="1987" w:type="dxa"/>
            <w:tcBorders>
              <w:bottom w:val="single" w:sz="4" w:space="0" w:color="auto"/>
            </w:tcBorders>
            <w:vAlign w:val="center"/>
          </w:tcPr>
          <w:p w14:paraId="79C2F51D" w14:textId="1C719D87" w:rsidR="006D5DEC" w:rsidRPr="0050584F" w:rsidRDefault="006D5DEC" w:rsidP="006D5DEC">
            <w:pPr>
              <w:pStyle w:val="TableText"/>
              <w:keepNext/>
              <w:jc w:val="center"/>
            </w:pPr>
            <w:r w:rsidRPr="0050584F">
              <w:t>-$4.54</w:t>
            </w:r>
          </w:p>
          <w:p w14:paraId="0E39EC2F" w14:textId="4C53356F" w:rsidR="006D5DEC" w:rsidRPr="0050584F" w:rsidRDefault="005A76CB" w:rsidP="006D5DEC">
            <w:pPr>
              <w:pStyle w:val="TableText"/>
              <w:keepNext/>
              <w:jc w:val="center"/>
            </w:pPr>
            <w:r w:rsidRPr="0050584F">
              <w:t>3 TTE current vs 3 NT-</w:t>
            </w:r>
            <w:proofErr w:type="spellStart"/>
            <w:r w:rsidRPr="0050584F">
              <w:t>proBNP</w:t>
            </w:r>
            <w:proofErr w:type="spellEnd"/>
            <w:r w:rsidRPr="0050584F">
              <w:t xml:space="preserve"> + 2</w:t>
            </w:r>
            <w:r w:rsidR="00862F54" w:rsidRPr="0050584F">
              <w:t>.25</w:t>
            </w:r>
            <w:r w:rsidRPr="0050584F">
              <w:t xml:space="preserve"> TTE proposed (reduction of 0.</w:t>
            </w:r>
            <w:r w:rsidR="00862F54" w:rsidRPr="0050584F">
              <w:t>25</w:t>
            </w:r>
            <w:r w:rsidRPr="0050584F">
              <w:t xml:space="preserve"> TTEs per NT-</w:t>
            </w:r>
            <w:proofErr w:type="spellStart"/>
            <w:r w:rsidRPr="0050584F">
              <w:t>proBNP</w:t>
            </w:r>
            <w:proofErr w:type="spellEnd"/>
            <w:r w:rsidRPr="0050584F">
              <w:t xml:space="preserve"> test performed)</w:t>
            </w:r>
          </w:p>
        </w:tc>
        <w:tc>
          <w:tcPr>
            <w:tcW w:w="1987" w:type="dxa"/>
            <w:vAlign w:val="center"/>
          </w:tcPr>
          <w:p w14:paraId="53EA427A" w14:textId="77777777" w:rsidR="006D5DEC" w:rsidRPr="0050584F" w:rsidRDefault="006D5DEC" w:rsidP="006D5DEC">
            <w:pPr>
              <w:pStyle w:val="TableText"/>
              <w:keepNext/>
              <w:jc w:val="center"/>
            </w:pPr>
            <w:r w:rsidRPr="0050584F">
              <w:t>$19.47</w:t>
            </w:r>
          </w:p>
          <w:p w14:paraId="5F2674B4" w14:textId="1850EE2B" w:rsidR="006D5DEC" w:rsidRPr="0050584F" w:rsidRDefault="005A76CB" w:rsidP="006D5DEC">
            <w:pPr>
              <w:pStyle w:val="TableText"/>
              <w:keepNext/>
              <w:jc w:val="center"/>
            </w:pPr>
            <w:r w:rsidRPr="0050584F">
              <w:t>3 TTE current vs 3 NT-</w:t>
            </w:r>
            <w:proofErr w:type="spellStart"/>
            <w:r w:rsidRPr="0050584F">
              <w:t>proBNP</w:t>
            </w:r>
            <w:proofErr w:type="spellEnd"/>
            <w:r w:rsidRPr="0050584F">
              <w:t xml:space="preserve"> + 2</w:t>
            </w:r>
            <w:r w:rsidR="00862F54" w:rsidRPr="0050584F">
              <w:t>.35</w:t>
            </w:r>
            <w:r w:rsidRPr="0050584F">
              <w:t xml:space="preserve"> TTE proposed (reduction of 0.</w:t>
            </w:r>
            <w:r w:rsidR="00862F54" w:rsidRPr="0050584F">
              <w:t>22</w:t>
            </w:r>
            <w:r w:rsidRPr="0050584F">
              <w:t xml:space="preserve"> TTEs per NT-</w:t>
            </w:r>
            <w:proofErr w:type="spellStart"/>
            <w:r w:rsidRPr="0050584F">
              <w:t>proBNP</w:t>
            </w:r>
            <w:proofErr w:type="spellEnd"/>
            <w:r w:rsidRPr="0050584F">
              <w:t xml:space="preserve"> test performed)</w:t>
            </w:r>
          </w:p>
        </w:tc>
        <w:tc>
          <w:tcPr>
            <w:tcW w:w="1987" w:type="dxa"/>
            <w:vAlign w:val="center"/>
          </w:tcPr>
          <w:p w14:paraId="2A6927CC" w14:textId="77777777" w:rsidR="006D5DEC" w:rsidRPr="0050584F" w:rsidRDefault="006D5DEC" w:rsidP="006D5DEC">
            <w:pPr>
              <w:pStyle w:val="TableText"/>
              <w:keepNext/>
              <w:jc w:val="center"/>
            </w:pPr>
            <w:r w:rsidRPr="0050584F">
              <w:t>$55.47</w:t>
            </w:r>
          </w:p>
          <w:p w14:paraId="61580EFB" w14:textId="2DF6BACC" w:rsidR="006D5DEC" w:rsidRPr="0050584F" w:rsidRDefault="005A76CB" w:rsidP="006D5DEC">
            <w:pPr>
              <w:pStyle w:val="TableText"/>
              <w:keepNext/>
              <w:jc w:val="center"/>
              <w:rPr>
                <w:bCs/>
              </w:rPr>
            </w:pPr>
            <w:r w:rsidRPr="0050584F">
              <w:t>3 TTE current vs 3 NT-</w:t>
            </w:r>
            <w:proofErr w:type="spellStart"/>
            <w:r w:rsidRPr="0050584F">
              <w:t>proBNP</w:t>
            </w:r>
            <w:proofErr w:type="spellEnd"/>
            <w:r w:rsidRPr="0050584F">
              <w:t xml:space="preserve"> + 2</w:t>
            </w:r>
            <w:r w:rsidR="000468C0" w:rsidRPr="0050584F">
              <w:t>.5</w:t>
            </w:r>
            <w:r w:rsidRPr="0050584F">
              <w:t xml:space="preserve"> TTE proposed (reduction of 0.</w:t>
            </w:r>
            <w:r w:rsidR="000468C0" w:rsidRPr="0050584F">
              <w:t>17</w:t>
            </w:r>
            <w:r w:rsidRPr="0050584F">
              <w:t xml:space="preserve"> TTEs per NT-</w:t>
            </w:r>
            <w:proofErr w:type="spellStart"/>
            <w:r w:rsidRPr="0050584F">
              <w:t>proBNP</w:t>
            </w:r>
            <w:proofErr w:type="spellEnd"/>
            <w:r w:rsidRPr="0050584F">
              <w:t xml:space="preserve"> test performed)</w:t>
            </w:r>
          </w:p>
        </w:tc>
      </w:tr>
      <w:tr w:rsidR="006D5DEC" w:rsidRPr="00047EC2" w14:paraId="43EF555C" w14:textId="77777777" w:rsidTr="00793AF4">
        <w:tc>
          <w:tcPr>
            <w:tcW w:w="3055" w:type="dxa"/>
            <w:tcBorders>
              <w:bottom w:val="single" w:sz="4" w:space="0" w:color="auto"/>
            </w:tcBorders>
            <w:vAlign w:val="center"/>
          </w:tcPr>
          <w:p w14:paraId="71C6AA5F" w14:textId="77777777" w:rsidR="006D5DEC" w:rsidRPr="000D7750" w:rsidRDefault="006D5DEC" w:rsidP="006D5DEC">
            <w:pPr>
              <w:pStyle w:val="TableHeading"/>
              <w:spacing w:before="40" w:after="40"/>
            </w:pPr>
            <w:r w:rsidRPr="000D7750">
              <w:t xml:space="preserve">Scenario </w:t>
            </w:r>
            <w:r>
              <w:t>3</w:t>
            </w:r>
          </w:p>
          <w:p w14:paraId="6D82F08D" w14:textId="77777777" w:rsidR="006D5DEC" w:rsidRPr="000D7750" w:rsidRDefault="006D5DEC" w:rsidP="006D5DEC">
            <w:pPr>
              <w:pStyle w:val="TableHeading"/>
              <w:numPr>
                <w:ilvl w:val="0"/>
                <w:numId w:val="22"/>
              </w:numPr>
              <w:spacing w:before="40" w:after="40"/>
            </w:pPr>
            <w:r w:rsidRPr="000D7750">
              <w:t xml:space="preserve">Time horizon: </w:t>
            </w:r>
            <w:r>
              <w:t>2</w:t>
            </w:r>
            <w:r w:rsidRPr="000D7750">
              <w:t xml:space="preserve"> years</w:t>
            </w:r>
            <w:r>
              <w:t xml:space="preserve"> </w:t>
            </w:r>
            <w:r>
              <w:rPr>
                <w:color w:val="0070C0"/>
                <w:vertAlign w:val="superscript"/>
              </w:rPr>
              <w:t>a</w:t>
            </w:r>
          </w:p>
          <w:p w14:paraId="53533CBE" w14:textId="77777777" w:rsidR="006D5DEC" w:rsidRPr="000D7750" w:rsidRDefault="006D5DEC" w:rsidP="006D5DEC">
            <w:pPr>
              <w:pStyle w:val="TableHeading"/>
              <w:numPr>
                <w:ilvl w:val="0"/>
                <w:numId w:val="22"/>
              </w:numPr>
              <w:spacing w:before="40" w:after="40"/>
            </w:pPr>
            <w:r w:rsidRPr="000D7750">
              <w:rPr>
                <w:bCs/>
              </w:rPr>
              <w:t>Follow-up interval: 5-6 months</w:t>
            </w:r>
          </w:p>
          <w:p w14:paraId="54DA2F43" w14:textId="3B4E380A" w:rsidR="006D5DEC" w:rsidRDefault="006D5DEC" w:rsidP="006D5DEC">
            <w:pPr>
              <w:pStyle w:val="TableHeading"/>
              <w:spacing w:before="40" w:after="40"/>
            </w:pPr>
            <w:r w:rsidRPr="000D7750">
              <w:rPr>
                <w:b w:val="0"/>
                <w:bCs/>
              </w:rPr>
              <w:t>Comparator: TTE</w:t>
            </w:r>
          </w:p>
        </w:tc>
        <w:tc>
          <w:tcPr>
            <w:tcW w:w="1987" w:type="dxa"/>
            <w:tcBorders>
              <w:bottom w:val="single" w:sz="4" w:space="0" w:color="auto"/>
            </w:tcBorders>
            <w:vAlign w:val="center"/>
          </w:tcPr>
          <w:p w14:paraId="42C8AA81" w14:textId="77777777" w:rsidR="006D5DEC" w:rsidRPr="0050584F" w:rsidRDefault="006D5DEC" w:rsidP="006D5DEC">
            <w:pPr>
              <w:pStyle w:val="TableText"/>
              <w:keepNext/>
              <w:jc w:val="center"/>
            </w:pPr>
            <w:r w:rsidRPr="0050584F">
              <w:t>-$490.69</w:t>
            </w:r>
          </w:p>
          <w:p w14:paraId="5153F36F" w14:textId="6DF4312A" w:rsidR="006D5DEC" w:rsidRPr="0050584F" w:rsidRDefault="005A76CB" w:rsidP="006D5DEC">
            <w:pPr>
              <w:pStyle w:val="TableText"/>
              <w:keepNext/>
              <w:jc w:val="center"/>
            </w:pPr>
            <w:r w:rsidRPr="0050584F">
              <w:t>7 TTE current vs 7 NT-</w:t>
            </w:r>
            <w:proofErr w:type="spellStart"/>
            <w:r w:rsidRPr="0050584F">
              <w:t>proBNP</w:t>
            </w:r>
            <w:proofErr w:type="spellEnd"/>
            <w:r w:rsidRPr="0050584F">
              <w:t xml:space="preserve"> + 3</w:t>
            </w:r>
            <w:r w:rsidR="000468C0" w:rsidRPr="0050584F">
              <w:t>.25</w:t>
            </w:r>
            <w:r w:rsidRPr="0050584F">
              <w:t xml:space="preserve"> TTE proposed (reduction of 0.5</w:t>
            </w:r>
            <w:r w:rsidR="000468C0" w:rsidRPr="0050584F">
              <w:t>4</w:t>
            </w:r>
            <w:r w:rsidRPr="0050584F">
              <w:t xml:space="preserve"> TTEs per NT-</w:t>
            </w:r>
            <w:proofErr w:type="spellStart"/>
            <w:r w:rsidRPr="0050584F">
              <w:t>proBNP</w:t>
            </w:r>
            <w:proofErr w:type="spellEnd"/>
            <w:r w:rsidRPr="0050584F">
              <w:t xml:space="preserve"> performed</w:t>
            </w:r>
          </w:p>
        </w:tc>
        <w:tc>
          <w:tcPr>
            <w:tcW w:w="1987" w:type="dxa"/>
            <w:vAlign w:val="center"/>
          </w:tcPr>
          <w:p w14:paraId="2720C20C" w14:textId="77777777" w:rsidR="006D5DEC" w:rsidRPr="0050584F" w:rsidRDefault="006D5DEC" w:rsidP="006D5DEC">
            <w:pPr>
              <w:pStyle w:val="TableText"/>
              <w:keepNext/>
              <w:jc w:val="center"/>
            </w:pPr>
            <w:r w:rsidRPr="0050584F">
              <w:t>-$370.66</w:t>
            </w:r>
          </w:p>
          <w:p w14:paraId="1CAEB7DA" w14:textId="2AA1356B" w:rsidR="006D5DEC" w:rsidRPr="0050584F" w:rsidRDefault="005A76CB" w:rsidP="006D5DEC">
            <w:pPr>
              <w:pStyle w:val="TableText"/>
              <w:keepNext/>
              <w:jc w:val="center"/>
            </w:pPr>
            <w:r w:rsidRPr="0050584F">
              <w:t>7 TTE current vs 7 NT-</w:t>
            </w:r>
            <w:proofErr w:type="spellStart"/>
            <w:r w:rsidRPr="0050584F">
              <w:t>proBNP</w:t>
            </w:r>
            <w:proofErr w:type="spellEnd"/>
            <w:r w:rsidRPr="0050584F">
              <w:t xml:space="preserve"> + 3.</w:t>
            </w:r>
            <w:r w:rsidR="000468C0" w:rsidRPr="0050584F">
              <w:t>75</w:t>
            </w:r>
            <w:r w:rsidRPr="0050584F">
              <w:t xml:space="preserve"> TTE proposed (reduction of 0.</w:t>
            </w:r>
            <w:r w:rsidR="000468C0" w:rsidRPr="0050584F">
              <w:t>46</w:t>
            </w:r>
            <w:r w:rsidRPr="0050584F">
              <w:t xml:space="preserve"> TTEs per NT-</w:t>
            </w:r>
            <w:proofErr w:type="spellStart"/>
            <w:r w:rsidRPr="0050584F">
              <w:t>proBNP</w:t>
            </w:r>
            <w:proofErr w:type="spellEnd"/>
            <w:r w:rsidRPr="0050584F">
              <w:t xml:space="preserve"> performed</w:t>
            </w:r>
          </w:p>
        </w:tc>
        <w:tc>
          <w:tcPr>
            <w:tcW w:w="1987" w:type="dxa"/>
            <w:vAlign w:val="center"/>
          </w:tcPr>
          <w:p w14:paraId="40C6A42B" w14:textId="77777777" w:rsidR="006D5DEC" w:rsidRPr="0050584F" w:rsidRDefault="006D5DEC" w:rsidP="006D5DEC">
            <w:pPr>
              <w:pStyle w:val="TableText"/>
              <w:keepNext/>
              <w:jc w:val="center"/>
            </w:pPr>
            <w:r w:rsidRPr="0050584F">
              <w:t>-$190.63</w:t>
            </w:r>
          </w:p>
          <w:p w14:paraId="75CFE774" w14:textId="03269DDB" w:rsidR="006D5DEC" w:rsidRPr="0050584F" w:rsidRDefault="005A76CB" w:rsidP="006D5DEC">
            <w:pPr>
              <w:pStyle w:val="TableText"/>
              <w:keepNext/>
              <w:jc w:val="center"/>
              <w:rPr>
                <w:bCs/>
              </w:rPr>
            </w:pPr>
            <w:r w:rsidRPr="0050584F">
              <w:t>7 TTE current vs 7 NT-</w:t>
            </w:r>
            <w:proofErr w:type="spellStart"/>
            <w:r w:rsidRPr="0050584F">
              <w:t>proBNP</w:t>
            </w:r>
            <w:proofErr w:type="spellEnd"/>
            <w:r w:rsidRPr="0050584F">
              <w:t xml:space="preserve"> + 4</w:t>
            </w:r>
            <w:r w:rsidR="000468C0" w:rsidRPr="0050584F">
              <w:t>.5</w:t>
            </w:r>
            <w:r w:rsidRPr="0050584F">
              <w:t xml:space="preserve"> TTE proposed (reduction of 0.</w:t>
            </w:r>
            <w:r w:rsidR="000468C0" w:rsidRPr="0050584F">
              <w:t>36</w:t>
            </w:r>
            <w:r w:rsidRPr="0050584F">
              <w:t xml:space="preserve"> TTEs per NT-</w:t>
            </w:r>
            <w:proofErr w:type="spellStart"/>
            <w:r w:rsidRPr="0050584F">
              <w:t>proBNP</w:t>
            </w:r>
            <w:proofErr w:type="spellEnd"/>
            <w:r w:rsidRPr="0050584F">
              <w:t xml:space="preserve"> performed</w:t>
            </w:r>
          </w:p>
        </w:tc>
      </w:tr>
      <w:tr w:rsidR="00322A5B" w:rsidRPr="000D7750" w14:paraId="02ECC526" w14:textId="77777777" w:rsidTr="00793AF4">
        <w:tc>
          <w:tcPr>
            <w:tcW w:w="3055" w:type="dxa"/>
            <w:tcBorders>
              <w:bottom w:val="single" w:sz="4" w:space="0" w:color="auto"/>
            </w:tcBorders>
            <w:vAlign w:val="center"/>
          </w:tcPr>
          <w:p w14:paraId="6BA1FB85" w14:textId="77777777" w:rsidR="00322A5B" w:rsidRPr="00322A5B" w:rsidRDefault="00322A5B" w:rsidP="00322A5B">
            <w:pPr>
              <w:pStyle w:val="TableHeading"/>
              <w:spacing w:before="40" w:after="40"/>
              <w:rPr>
                <w:rFonts w:cs="Arial"/>
              </w:rPr>
            </w:pPr>
            <w:r w:rsidRPr="00322A5B">
              <w:rPr>
                <w:rFonts w:cs="Arial"/>
              </w:rPr>
              <w:t>Commentary Scenario 1</w:t>
            </w:r>
          </w:p>
          <w:p w14:paraId="403B0086" w14:textId="77777777" w:rsidR="00322A5B" w:rsidRPr="00322A5B" w:rsidRDefault="00322A5B" w:rsidP="00322A5B">
            <w:pPr>
              <w:pStyle w:val="TableHeading"/>
              <w:numPr>
                <w:ilvl w:val="0"/>
                <w:numId w:val="22"/>
              </w:numPr>
              <w:spacing w:before="40" w:after="40"/>
              <w:rPr>
                <w:b w:val="0"/>
              </w:rPr>
            </w:pPr>
            <w:r w:rsidRPr="00322A5B">
              <w:rPr>
                <w:b w:val="0"/>
              </w:rPr>
              <w:t>Time horizon: 1 years</w:t>
            </w:r>
          </w:p>
          <w:p w14:paraId="328FDB0A" w14:textId="77777777" w:rsidR="00322A5B" w:rsidRPr="00322A5B" w:rsidRDefault="00322A5B" w:rsidP="00322A5B">
            <w:pPr>
              <w:pStyle w:val="TableHeading"/>
              <w:numPr>
                <w:ilvl w:val="0"/>
                <w:numId w:val="22"/>
              </w:numPr>
              <w:spacing w:before="40" w:after="40"/>
            </w:pPr>
            <w:r w:rsidRPr="00322A5B">
              <w:rPr>
                <w:bCs/>
              </w:rPr>
              <w:t xml:space="preserve">Follow-up interval: </w:t>
            </w:r>
          </w:p>
          <w:p w14:paraId="53D2D79D" w14:textId="77777777" w:rsidR="00322A5B" w:rsidRPr="00322A5B" w:rsidRDefault="00322A5B" w:rsidP="00322A5B">
            <w:pPr>
              <w:pStyle w:val="TableHeading"/>
              <w:numPr>
                <w:ilvl w:val="1"/>
                <w:numId w:val="24"/>
              </w:numPr>
              <w:spacing w:before="40" w:after="40"/>
              <w:ind w:left="600" w:hanging="283"/>
            </w:pPr>
            <w:r w:rsidRPr="00322A5B">
              <w:t>3 months for NT-</w:t>
            </w:r>
            <w:proofErr w:type="spellStart"/>
            <w:r w:rsidRPr="00322A5B">
              <w:t>proBNP</w:t>
            </w:r>
            <w:proofErr w:type="spellEnd"/>
          </w:p>
          <w:p w14:paraId="5AA678BA" w14:textId="49C727F4" w:rsidR="00322A5B" w:rsidRPr="00322A5B" w:rsidRDefault="00322A5B" w:rsidP="00322A5B">
            <w:pPr>
              <w:pStyle w:val="TableHeading"/>
              <w:numPr>
                <w:ilvl w:val="1"/>
                <w:numId w:val="24"/>
              </w:numPr>
              <w:spacing w:before="40" w:after="40"/>
              <w:ind w:left="600" w:hanging="283"/>
            </w:pPr>
            <w:r w:rsidRPr="00322A5B">
              <w:rPr>
                <w:bCs/>
              </w:rPr>
              <w:t xml:space="preserve">4 months for TTE </w:t>
            </w:r>
            <w:r w:rsidRPr="00322A5B">
              <w:rPr>
                <w:bCs/>
                <w:vertAlign w:val="superscript"/>
              </w:rPr>
              <w:t>a,</w:t>
            </w:r>
            <w:r w:rsidR="00B75B67">
              <w:rPr>
                <w:bCs/>
                <w:vertAlign w:val="superscript"/>
              </w:rPr>
              <w:t xml:space="preserve"> </w:t>
            </w:r>
            <w:r w:rsidRPr="00322A5B">
              <w:rPr>
                <w:bCs/>
                <w:vertAlign w:val="superscript"/>
              </w:rPr>
              <w:t>b</w:t>
            </w:r>
          </w:p>
          <w:p w14:paraId="1798FE10" w14:textId="3F72577B" w:rsidR="00322A5B" w:rsidRPr="00322A5B" w:rsidRDefault="00322A5B" w:rsidP="00322A5B">
            <w:pPr>
              <w:pStyle w:val="TableHeading"/>
              <w:numPr>
                <w:ilvl w:val="0"/>
                <w:numId w:val="22"/>
              </w:numPr>
              <w:spacing w:before="40" w:after="40"/>
              <w:rPr>
                <w:b w:val="0"/>
                <w:bCs/>
              </w:rPr>
            </w:pPr>
            <w:r w:rsidRPr="00322A5B">
              <w:rPr>
                <w:b w:val="0"/>
                <w:bCs/>
              </w:rPr>
              <w:t>Comparator: TTE</w:t>
            </w:r>
          </w:p>
        </w:tc>
        <w:tc>
          <w:tcPr>
            <w:tcW w:w="1987" w:type="dxa"/>
            <w:tcBorders>
              <w:bottom w:val="single" w:sz="4" w:space="0" w:color="auto"/>
            </w:tcBorders>
            <w:vAlign w:val="center"/>
          </w:tcPr>
          <w:p w14:paraId="3B4F7E76" w14:textId="294EDBD4" w:rsidR="00322A5B" w:rsidRPr="00322A5B" w:rsidRDefault="00322A5B" w:rsidP="00322A5B">
            <w:pPr>
              <w:pStyle w:val="TableText"/>
              <w:keepNext/>
              <w:jc w:val="center"/>
            </w:pPr>
            <w:r w:rsidRPr="00322A5B">
              <w:t>-</w:t>
            </w:r>
            <w:r w:rsidR="002646E3">
              <w:t>$</w:t>
            </w:r>
            <w:r w:rsidRPr="00322A5B">
              <w:t>36.06</w:t>
            </w:r>
          </w:p>
          <w:p w14:paraId="2B007F45" w14:textId="73B33B12" w:rsidR="00322A5B" w:rsidRPr="00322A5B" w:rsidRDefault="00322A5B" w:rsidP="00322A5B">
            <w:pPr>
              <w:pStyle w:val="TableHeading"/>
              <w:spacing w:before="40" w:after="40"/>
              <w:jc w:val="center"/>
              <w:rPr>
                <w:b w:val="0"/>
              </w:rPr>
            </w:pPr>
            <w:r w:rsidRPr="00322A5B">
              <w:rPr>
                <w:b w:val="0"/>
              </w:rPr>
              <w:t>3 TTE current vs 4 NT-</w:t>
            </w:r>
            <w:proofErr w:type="spellStart"/>
            <w:r w:rsidRPr="00322A5B">
              <w:rPr>
                <w:b w:val="0"/>
              </w:rPr>
              <w:t>proBNP</w:t>
            </w:r>
            <w:proofErr w:type="spellEnd"/>
            <w:r w:rsidRPr="00322A5B">
              <w:rPr>
                <w:b w:val="0"/>
              </w:rPr>
              <w:t xml:space="preserve"> + 1.9 TTE proposed (reduction of 0.28 TTEs per NT-</w:t>
            </w:r>
            <w:proofErr w:type="spellStart"/>
            <w:r w:rsidRPr="00322A5B">
              <w:rPr>
                <w:b w:val="0"/>
              </w:rPr>
              <w:t>proBNP</w:t>
            </w:r>
            <w:proofErr w:type="spellEnd"/>
            <w:r w:rsidRPr="00322A5B">
              <w:rPr>
                <w:b w:val="0"/>
              </w:rPr>
              <w:t xml:space="preserve"> test performed)</w:t>
            </w:r>
          </w:p>
        </w:tc>
        <w:tc>
          <w:tcPr>
            <w:tcW w:w="1987" w:type="dxa"/>
            <w:tcBorders>
              <w:bottom w:val="single" w:sz="4" w:space="0" w:color="auto"/>
            </w:tcBorders>
            <w:vAlign w:val="center"/>
          </w:tcPr>
          <w:p w14:paraId="74B39AA1" w14:textId="77777777" w:rsidR="00322A5B" w:rsidRPr="00322A5B" w:rsidRDefault="00322A5B" w:rsidP="00322A5B">
            <w:pPr>
              <w:pStyle w:val="TableText"/>
              <w:keepNext/>
              <w:jc w:val="center"/>
            </w:pPr>
            <w:r w:rsidRPr="00322A5B">
              <w:t>-$0.05</w:t>
            </w:r>
          </w:p>
          <w:p w14:paraId="44A3AB4F" w14:textId="29401803" w:rsidR="00322A5B" w:rsidRPr="00322A5B" w:rsidRDefault="00322A5B" w:rsidP="00322A5B">
            <w:pPr>
              <w:pStyle w:val="TableHeading"/>
              <w:spacing w:before="40" w:after="40"/>
              <w:jc w:val="center"/>
              <w:rPr>
                <w:b w:val="0"/>
              </w:rPr>
            </w:pPr>
            <w:r w:rsidRPr="00322A5B">
              <w:rPr>
                <w:b w:val="0"/>
              </w:rPr>
              <w:t>3 TTE current vs 4 NT-</w:t>
            </w:r>
            <w:proofErr w:type="spellStart"/>
            <w:r w:rsidRPr="00322A5B">
              <w:rPr>
                <w:b w:val="0"/>
              </w:rPr>
              <w:t>proBNP</w:t>
            </w:r>
            <w:proofErr w:type="spellEnd"/>
            <w:r w:rsidRPr="00322A5B">
              <w:rPr>
                <w:b w:val="0"/>
              </w:rPr>
              <w:t xml:space="preserve"> + 2 TTE proposed (reduction of 0.24 TTEs per NT-</w:t>
            </w:r>
            <w:proofErr w:type="spellStart"/>
            <w:r w:rsidRPr="00322A5B">
              <w:rPr>
                <w:b w:val="0"/>
              </w:rPr>
              <w:t>proBNP</w:t>
            </w:r>
            <w:proofErr w:type="spellEnd"/>
            <w:r w:rsidRPr="00322A5B">
              <w:rPr>
                <w:b w:val="0"/>
              </w:rPr>
              <w:t xml:space="preserve"> test performed)</w:t>
            </w:r>
          </w:p>
        </w:tc>
        <w:tc>
          <w:tcPr>
            <w:tcW w:w="1987" w:type="dxa"/>
            <w:tcBorders>
              <w:bottom w:val="single" w:sz="4" w:space="0" w:color="auto"/>
            </w:tcBorders>
            <w:vAlign w:val="center"/>
          </w:tcPr>
          <w:p w14:paraId="038C04D4" w14:textId="77777777" w:rsidR="00322A5B" w:rsidRPr="00322A5B" w:rsidRDefault="00322A5B" w:rsidP="00322A5B">
            <w:pPr>
              <w:pStyle w:val="TableText"/>
              <w:keepNext/>
              <w:jc w:val="center"/>
            </w:pPr>
            <w:r w:rsidRPr="00322A5B">
              <w:t>$53.96</w:t>
            </w:r>
          </w:p>
          <w:p w14:paraId="6B78589F" w14:textId="2DA1F33D" w:rsidR="00322A5B" w:rsidRPr="00322A5B" w:rsidRDefault="00322A5B" w:rsidP="00322A5B">
            <w:pPr>
              <w:pStyle w:val="TableHeading"/>
              <w:spacing w:before="40" w:after="40"/>
              <w:jc w:val="center"/>
              <w:rPr>
                <w:b w:val="0"/>
              </w:rPr>
            </w:pPr>
            <w:r w:rsidRPr="00322A5B">
              <w:rPr>
                <w:b w:val="0"/>
              </w:rPr>
              <w:t>3 TTE current vs 4 NT-</w:t>
            </w:r>
            <w:proofErr w:type="spellStart"/>
            <w:r w:rsidRPr="00322A5B">
              <w:rPr>
                <w:b w:val="0"/>
              </w:rPr>
              <w:t>proBNP</w:t>
            </w:r>
            <w:proofErr w:type="spellEnd"/>
            <w:r w:rsidRPr="00322A5B">
              <w:rPr>
                <w:b w:val="0"/>
              </w:rPr>
              <w:t xml:space="preserve"> + 2.3 TTE proposed (reduction of 0.19 TTEs per NT-</w:t>
            </w:r>
            <w:proofErr w:type="spellStart"/>
            <w:r w:rsidRPr="00322A5B">
              <w:rPr>
                <w:b w:val="0"/>
              </w:rPr>
              <w:t>proBNP</w:t>
            </w:r>
            <w:proofErr w:type="spellEnd"/>
            <w:r w:rsidRPr="00322A5B">
              <w:rPr>
                <w:b w:val="0"/>
              </w:rPr>
              <w:t xml:space="preserve"> test performed)</w:t>
            </w:r>
          </w:p>
        </w:tc>
      </w:tr>
      <w:tr w:rsidR="00322A5B" w:rsidRPr="000D7750" w14:paraId="10C18901" w14:textId="77777777" w:rsidTr="00793AF4">
        <w:tc>
          <w:tcPr>
            <w:tcW w:w="3055" w:type="dxa"/>
            <w:tcBorders>
              <w:bottom w:val="single" w:sz="4" w:space="0" w:color="auto"/>
            </w:tcBorders>
            <w:vAlign w:val="center"/>
          </w:tcPr>
          <w:p w14:paraId="62537BF6" w14:textId="77777777" w:rsidR="00322A5B" w:rsidRPr="00322A5B" w:rsidRDefault="00322A5B" w:rsidP="00322A5B">
            <w:pPr>
              <w:pStyle w:val="TableHeading"/>
              <w:spacing w:before="40" w:after="40"/>
              <w:rPr>
                <w:rFonts w:cs="Arial"/>
              </w:rPr>
            </w:pPr>
            <w:r w:rsidRPr="00322A5B">
              <w:rPr>
                <w:rFonts w:cs="Arial"/>
              </w:rPr>
              <w:t>Commentary Scenario 2</w:t>
            </w:r>
          </w:p>
          <w:p w14:paraId="37C77C50" w14:textId="77777777" w:rsidR="00322A5B" w:rsidRPr="00322A5B" w:rsidRDefault="00322A5B" w:rsidP="00322A5B">
            <w:pPr>
              <w:pStyle w:val="TableHeading"/>
              <w:numPr>
                <w:ilvl w:val="0"/>
                <w:numId w:val="22"/>
              </w:numPr>
              <w:spacing w:before="40" w:after="40"/>
              <w:rPr>
                <w:b w:val="0"/>
              </w:rPr>
            </w:pPr>
            <w:r w:rsidRPr="00322A5B">
              <w:rPr>
                <w:b w:val="0"/>
              </w:rPr>
              <w:t>Time horizon: 1 years</w:t>
            </w:r>
          </w:p>
          <w:p w14:paraId="7AF8CAC5" w14:textId="77777777" w:rsidR="00322A5B" w:rsidRPr="00322A5B" w:rsidRDefault="00322A5B" w:rsidP="00322A5B">
            <w:pPr>
              <w:pStyle w:val="TableHeading"/>
              <w:numPr>
                <w:ilvl w:val="0"/>
                <w:numId w:val="22"/>
              </w:numPr>
              <w:spacing w:before="40" w:after="40"/>
            </w:pPr>
            <w:r w:rsidRPr="00322A5B">
              <w:rPr>
                <w:bCs/>
              </w:rPr>
              <w:t xml:space="preserve">Follow-up interval: </w:t>
            </w:r>
          </w:p>
          <w:p w14:paraId="3587F33C" w14:textId="77777777" w:rsidR="00322A5B" w:rsidRPr="00322A5B" w:rsidRDefault="00322A5B" w:rsidP="00322A5B">
            <w:pPr>
              <w:pStyle w:val="TableHeading"/>
              <w:numPr>
                <w:ilvl w:val="1"/>
                <w:numId w:val="24"/>
              </w:numPr>
              <w:spacing w:before="40" w:after="40"/>
              <w:ind w:left="600" w:hanging="283"/>
            </w:pPr>
            <w:r w:rsidRPr="00322A5B">
              <w:t>3 months for NT-</w:t>
            </w:r>
            <w:proofErr w:type="spellStart"/>
            <w:r w:rsidRPr="00322A5B">
              <w:t>proBNP</w:t>
            </w:r>
            <w:proofErr w:type="spellEnd"/>
          </w:p>
          <w:p w14:paraId="3B8B0E74" w14:textId="4A0521EE" w:rsidR="00322A5B" w:rsidRPr="00322A5B" w:rsidRDefault="00322A5B" w:rsidP="00322A5B">
            <w:pPr>
              <w:pStyle w:val="TableHeading"/>
              <w:numPr>
                <w:ilvl w:val="1"/>
                <w:numId w:val="24"/>
              </w:numPr>
              <w:spacing w:before="40" w:after="40"/>
              <w:ind w:left="600" w:hanging="283"/>
            </w:pPr>
            <w:r w:rsidRPr="00322A5B">
              <w:rPr>
                <w:bCs/>
              </w:rPr>
              <w:t xml:space="preserve">6 months for TTE </w:t>
            </w:r>
            <w:r w:rsidRPr="00322A5B">
              <w:rPr>
                <w:bCs/>
                <w:vertAlign w:val="superscript"/>
              </w:rPr>
              <w:t>a, c</w:t>
            </w:r>
          </w:p>
          <w:p w14:paraId="145D1E12" w14:textId="60B640D2" w:rsidR="00322A5B" w:rsidRPr="00322A5B" w:rsidRDefault="00322A5B" w:rsidP="00322A5B">
            <w:pPr>
              <w:pStyle w:val="TableHeading"/>
              <w:numPr>
                <w:ilvl w:val="0"/>
                <w:numId w:val="22"/>
              </w:numPr>
              <w:spacing w:before="40" w:after="40"/>
              <w:rPr>
                <w:b w:val="0"/>
                <w:bCs/>
              </w:rPr>
            </w:pPr>
            <w:r w:rsidRPr="00322A5B">
              <w:rPr>
                <w:b w:val="0"/>
                <w:bCs/>
              </w:rPr>
              <w:t>Comparator: TTE</w:t>
            </w:r>
          </w:p>
        </w:tc>
        <w:tc>
          <w:tcPr>
            <w:tcW w:w="1987" w:type="dxa"/>
            <w:tcBorders>
              <w:bottom w:val="single" w:sz="4" w:space="0" w:color="auto"/>
            </w:tcBorders>
            <w:vAlign w:val="center"/>
          </w:tcPr>
          <w:p w14:paraId="4BC980FC" w14:textId="77777777" w:rsidR="00322A5B" w:rsidRPr="00322A5B" w:rsidRDefault="00322A5B" w:rsidP="00322A5B">
            <w:pPr>
              <w:pStyle w:val="TableText"/>
              <w:keepNext/>
              <w:jc w:val="center"/>
            </w:pPr>
            <w:r w:rsidRPr="00322A5B">
              <w:t>$53.96</w:t>
            </w:r>
          </w:p>
          <w:p w14:paraId="5A22838F" w14:textId="0C662F13" w:rsidR="00322A5B" w:rsidRPr="00322A5B" w:rsidRDefault="00322A5B" w:rsidP="00322A5B">
            <w:pPr>
              <w:pStyle w:val="TableText"/>
              <w:keepNext/>
              <w:jc w:val="center"/>
            </w:pPr>
            <w:r w:rsidRPr="00322A5B">
              <w:t>2 TTE current vs 4 NT-</w:t>
            </w:r>
            <w:proofErr w:type="spellStart"/>
            <w:r w:rsidRPr="00322A5B">
              <w:t>proBNP</w:t>
            </w:r>
            <w:proofErr w:type="spellEnd"/>
            <w:r w:rsidRPr="00322A5B">
              <w:t xml:space="preserve"> + 1.3 TTE proposed (reduction of 0.19 TTEs per NT-</w:t>
            </w:r>
            <w:proofErr w:type="spellStart"/>
            <w:r w:rsidRPr="00322A5B">
              <w:t>proBNP</w:t>
            </w:r>
            <w:proofErr w:type="spellEnd"/>
            <w:r w:rsidRPr="00322A5B">
              <w:t xml:space="preserve"> test performed)</w:t>
            </w:r>
          </w:p>
        </w:tc>
        <w:tc>
          <w:tcPr>
            <w:tcW w:w="1987" w:type="dxa"/>
            <w:vAlign w:val="center"/>
          </w:tcPr>
          <w:p w14:paraId="7A7A54CC" w14:textId="77777777" w:rsidR="00322A5B" w:rsidRPr="00322A5B" w:rsidRDefault="00322A5B" w:rsidP="00322A5B">
            <w:pPr>
              <w:pStyle w:val="TableText"/>
              <w:keepNext/>
              <w:jc w:val="center"/>
            </w:pPr>
            <w:r w:rsidRPr="00322A5B">
              <w:t>$77.97</w:t>
            </w:r>
          </w:p>
          <w:p w14:paraId="0C8AFF71" w14:textId="42141663" w:rsidR="00322A5B" w:rsidRPr="00322A5B" w:rsidRDefault="00322A5B" w:rsidP="00322A5B">
            <w:pPr>
              <w:pStyle w:val="TableText"/>
              <w:keepNext/>
              <w:jc w:val="center"/>
            </w:pPr>
            <w:r w:rsidRPr="00322A5B">
              <w:t>2 TTE current vs 4 NT-</w:t>
            </w:r>
            <w:proofErr w:type="spellStart"/>
            <w:r w:rsidRPr="00322A5B">
              <w:t>proBNP</w:t>
            </w:r>
            <w:proofErr w:type="spellEnd"/>
            <w:r w:rsidRPr="00322A5B">
              <w:t xml:space="preserve"> + 1.4 TTE proposed (reduction of 0.16 TTEs per NT-</w:t>
            </w:r>
            <w:proofErr w:type="spellStart"/>
            <w:r w:rsidRPr="00322A5B">
              <w:t>proBNP</w:t>
            </w:r>
            <w:proofErr w:type="spellEnd"/>
            <w:r w:rsidRPr="00322A5B">
              <w:t xml:space="preserve"> test performed)</w:t>
            </w:r>
          </w:p>
        </w:tc>
        <w:tc>
          <w:tcPr>
            <w:tcW w:w="1987" w:type="dxa"/>
            <w:vAlign w:val="center"/>
          </w:tcPr>
          <w:p w14:paraId="30098B94" w14:textId="77777777" w:rsidR="00322A5B" w:rsidRPr="00322A5B" w:rsidRDefault="00322A5B" w:rsidP="00322A5B">
            <w:pPr>
              <w:pStyle w:val="TableText"/>
              <w:keepNext/>
              <w:jc w:val="center"/>
            </w:pPr>
            <w:r w:rsidRPr="00322A5B">
              <w:t>$113.98</w:t>
            </w:r>
          </w:p>
          <w:p w14:paraId="159503DA" w14:textId="793C7B5D" w:rsidR="00322A5B" w:rsidRPr="00322A5B" w:rsidRDefault="00322A5B" w:rsidP="00322A5B">
            <w:pPr>
              <w:pStyle w:val="TableText"/>
              <w:keepNext/>
              <w:jc w:val="center"/>
              <w:rPr>
                <w:bCs/>
              </w:rPr>
            </w:pPr>
            <w:r w:rsidRPr="00322A5B">
              <w:t>2 TTE current vs 4 NT-</w:t>
            </w:r>
            <w:proofErr w:type="spellStart"/>
            <w:r w:rsidRPr="00322A5B">
              <w:t>proBNP</w:t>
            </w:r>
            <w:proofErr w:type="spellEnd"/>
            <w:r w:rsidRPr="00322A5B">
              <w:t xml:space="preserve"> + 1.5 TTE proposed (reduction of 0.13 TTEs per NT-</w:t>
            </w:r>
            <w:proofErr w:type="spellStart"/>
            <w:r w:rsidRPr="00322A5B">
              <w:t>proBNP</w:t>
            </w:r>
            <w:proofErr w:type="spellEnd"/>
            <w:r w:rsidRPr="00322A5B">
              <w:t xml:space="preserve"> test performed)</w:t>
            </w:r>
          </w:p>
        </w:tc>
      </w:tr>
    </w:tbl>
    <w:p w14:paraId="530EE41C" w14:textId="017E3965" w:rsidR="00963EEC" w:rsidRDefault="00963EEC" w:rsidP="00963EEC">
      <w:pPr>
        <w:pStyle w:val="Tablenotes0"/>
      </w:pPr>
      <w:r w:rsidRPr="00DB0351">
        <w:t xml:space="preserve">Abbreviations: </w:t>
      </w:r>
      <w:r w:rsidRPr="000D7750">
        <w:t>NT-</w:t>
      </w:r>
      <w:proofErr w:type="spellStart"/>
      <w:r w:rsidRPr="000D7750">
        <w:t>proBNP</w:t>
      </w:r>
      <w:proofErr w:type="spellEnd"/>
      <w:r>
        <w:t xml:space="preserve"> </w:t>
      </w:r>
      <w:r w:rsidRPr="000D7750">
        <w:t xml:space="preserve">= N-terminal </w:t>
      </w:r>
      <w:proofErr w:type="spellStart"/>
      <w:r w:rsidRPr="000D7750">
        <w:t>proB</w:t>
      </w:r>
      <w:proofErr w:type="spellEnd"/>
      <w:r w:rsidRPr="000D7750">
        <w:t>-type natriuretic peptide; TTE</w:t>
      </w:r>
      <w:r>
        <w:t xml:space="preserve"> </w:t>
      </w:r>
      <w:r w:rsidRPr="000D7750">
        <w:t xml:space="preserve">= </w:t>
      </w:r>
      <w:r>
        <w:t>t</w:t>
      </w:r>
      <w:r w:rsidRPr="000D7750">
        <w:t xml:space="preserve">ransthoracic </w:t>
      </w:r>
      <w:r>
        <w:t>e</w:t>
      </w:r>
      <w:r w:rsidRPr="000D7750">
        <w:t>chocardiogram</w:t>
      </w:r>
      <w:r>
        <w:t xml:space="preserve">; </w:t>
      </w:r>
      <w:r w:rsidRPr="00CE357C">
        <w:t>RHC</w:t>
      </w:r>
      <w:r>
        <w:t xml:space="preserve"> </w:t>
      </w:r>
      <w:r w:rsidRPr="00CE357C">
        <w:t>=</w:t>
      </w:r>
      <w:r>
        <w:t xml:space="preserve"> r</w:t>
      </w:r>
      <w:r w:rsidRPr="00CE357C">
        <w:t xml:space="preserve">ight </w:t>
      </w:r>
      <w:r>
        <w:t>h</w:t>
      </w:r>
      <w:r w:rsidRPr="00CE357C">
        <w:t xml:space="preserve">eart </w:t>
      </w:r>
      <w:r>
        <w:t>c</w:t>
      </w:r>
      <w:r w:rsidRPr="00CE357C">
        <w:t>atheterisation</w:t>
      </w:r>
    </w:p>
    <w:p w14:paraId="626C8B3E" w14:textId="6CF11B66" w:rsidR="00322A5B" w:rsidRDefault="00322A5B" w:rsidP="00963EEC">
      <w:pPr>
        <w:pStyle w:val="Tablenotes0"/>
      </w:pPr>
      <w:r>
        <w:t xml:space="preserve">Source: Adapted from Table 3-7 of </w:t>
      </w:r>
      <w:r w:rsidR="008C5183">
        <w:t xml:space="preserve">MSAC </w:t>
      </w:r>
      <w:r>
        <w:t xml:space="preserve">1689.1 </w:t>
      </w:r>
      <w:r w:rsidR="008C5183">
        <w:t>ADAR, and commentary scenario 1 and 2 were conducted during evaluation.</w:t>
      </w:r>
    </w:p>
    <w:p w14:paraId="09974E23" w14:textId="01F1E382" w:rsidR="00322A5B" w:rsidRDefault="00963EEC" w:rsidP="00322A5B">
      <w:pPr>
        <w:pStyle w:val="Tablenotes0"/>
      </w:pPr>
      <w:r w:rsidRPr="00963EEC">
        <w:rPr>
          <w:vertAlign w:val="superscript"/>
        </w:rPr>
        <w:t>a</w:t>
      </w:r>
      <w:r w:rsidRPr="00963EEC">
        <w:t xml:space="preserve"> </w:t>
      </w:r>
      <w:r w:rsidR="00322A5B">
        <w:t>Commentary Scenario 1 and 2 analyses assume with NT-</w:t>
      </w:r>
      <w:proofErr w:type="spellStart"/>
      <w:r w:rsidR="00322A5B">
        <w:t>proBNP</w:t>
      </w:r>
      <w:proofErr w:type="spellEnd"/>
      <w:r w:rsidR="00322A5B">
        <w:t xml:space="preserve"> a 50% reduction in TTE use in the proportion of patients that do not have worsening symptoms.</w:t>
      </w:r>
    </w:p>
    <w:p w14:paraId="0C9D4B0B" w14:textId="7F8F3070" w:rsidR="00322A5B" w:rsidRDefault="00322A5B" w:rsidP="00322A5B">
      <w:pPr>
        <w:pStyle w:val="Tablenotes0"/>
      </w:pPr>
      <w:r w:rsidRPr="00322A5B">
        <w:rPr>
          <w:vertAlign w:val="superscript"/>
        </w:rPr>
        <w:t>b</w:t>
      </w:r>
      <w:r>
        <w:t xml:space="preserve"> Where TTE is assumed currently every 4 months (i.e. 3 per year), with </w:t>
      </w:r>
      <w:proofErr w:type="spellStart"/>
      <w:r>
        <w:t>NTpro</w:t>
      </w:r>
      <w:proofErr w:type="spellEnd"/>
      <w:r>
        <w:t xml:space="preserve">-BNP TTE use, stable patients would use 1.5 TTEs, compared to worsening patients who would still use 3 TTEs. </w:t>
      </w:r>
    </w:p>
    <w:p w14:paraId="7D51EF71" w14:textId="37EFB1A1" w:rsidR="00963EEC" w:rsidRPr="00963EEC" w:rsidRDefault="00322A5B" w:rsidP="00322A5B">
      <w:pPr>
        <w:pStyle w:val="Tablenotes0"/>
      </w:pPr>
      <w:r w:rsidRPr="00322A5B">
        <w:rPr>
          <w:vertAlign w:val="superscript"/>
        </w:rPr>
        <w:t>c</w:t>
      </w:r>
      <w:r>
        <w:t xml:space="preserve"> Where TTE is assumed currently every 6 months (i.e. 2 per year), with </w:t>
      </w:r>
      <w:proofErr w:type="spellStart"/>
      <w:r>
        <w:t>NTpro</w:t>
      </w:r>
      <w:proofErr w:type="spellEnd"/>
      <w:r>
        <w:t>-BNP TTE use, stable patients would use 1 TTEs, compared to worsening patients who would still use 2 TTEs.</w:t>
      </w:r>
      <w:r w:rsidR="00963EEC" w:rsidRPr="00963EEC">
        <w:t xml:space="preserve"> </w:t>
      </w:r>
    </w:p>
    <w:p w14:paraId="15532B18" w14:textId="3344CA54" w:rsidR="00591869" w:rsidRPr="001A4B85" w:rsidRDefault="00591869" w:rsidP="009803F3">
      <w:pPr>
        <w:pStyle w:val="ESHeading1"/>
      </w:pPr>
      <w:bookmarkStart w:id="57" w:name="_Toc131604319"/>
      <w:r w:rsidRPr="001A4B85">
        <w:lastRenderedPageBreak/>
        <w:t>1</w:t>
      </w:r>
      <w:r w:rsidR="00840EF5">
        <w:t>4</w:t>
      </w:r>
      <w:r w:rsidRPr="001A4B85">
        <w:t>.</w:t>
      </w:r>
      <w:r w:rsidRPr="001A4B85">
        <w:tab/>
        <w:t>Financial/budgetary impacts</w:t>
      </w:r>
      <w:bookmarkEnd w:id="56"/>
      <w:bookmarkEnd w:id="57"/>
    </w:p>
    <w:p w14:paraId="129C612B" w14:textId="4CDCF1AD" w:rsidR="000129BB" w:rsidRDefault="000129BB" w:rsidP="000129BB">
      <w:pPr>
        <w:pStyle w:val="Instructionaltext-afterfiguretable"/>
        <w:rPr>
          <w:color w:val="auto"/>
        </w:rPr>
      </w:pPr>
      <w:r>
        <w:rPr>
          <w:color w:val="auto"/>
        </w:rPr>
        <w:t xml:space="preserve">The </w:t>
      </w:r>
      <w:r w:rsidRPr="001A4B85">
        <w:rPr>
          <w:color w:val="auto"/>
        </w:rPr>
        <w:t>epidemiological approach</w:t>
      </w:r>
      <w:r>
        <w:rPr>
          <w:color w:val="auto"/>
        </w:rPr>
        <w:t xml:space="preserve"> presented in the initial ADAR 1689 was maintained in the resubmission </w:t>
      </w:r>
      <w:r w:rsidRPr="001A4B85">
        <w:rPr>
          <w:color w:val="auto"/>
        </w:rPr>
        <w:t>to estimate the financial implications of proposed</w:t>
      </w:r>
      <w:r>
        <w:rPr>
          <w:color w:val="auto"/>
        </w:rPr>
        <w:t xml:space="preserve"> risk assessment and monitoring of PAH patients using </w:t>
      </w:r>
      <w:r w:rsidRPr="001A4B85">
        <w:rPr>
          <w:color w:val="auto"/>
        </w:rPr>
        <w:t>NT-</w:t>
      </w:r>
      <w:proofErr w:type="spellStart"/>
      <w:r w:rsidRPr="001A4B85">
        <w:rPr>
          <w:color w:val="auto"/>
        </w:rPr>
        <w:t>proBNP</w:t>
      </w:r>
      <w:proofErr w:type="spellEnd"/>
      <w:r w:rsidRPr="001A4B85">
        <w:rPr>
          <w:color w:val="auto"/>
        </w:rPr>
        <w:t xml:space="preserve"> testing.</w:t>
      </w:r>
      <w:r>
        <w:rPr>
          <w:color w:val="auto"/>
        </w:rPr>
        <w:t xml:space="preserve"> This approach is not reasonable given that MSAC had previously advised that </w:t>
      </w:r>
      <w:r w:rsidRPr="001A4B85">
        <w:rPr>
          <w:color w:val="auto"/>
        </w:rPr>
        <w:t>high</w:t>
      </w:r>
      <w:r>
        <w:rPr>
          <w:color w:val="auto"/>
        </w:rPr>
        <w:t>er</w:t>
      </w:r>
      <w:r w:rsidRPr="001A4B85">
        <w:rPr>
          <w:color w:val="auto"/>
        </w:rPr>
        <w:t xml:space="preserve"> estimates</w:t>
      </w:r>
      <w:r>
        <w:rPr>
          <w:color w:val="auto"/>
        </w:rPr>
        <w:t>,</w:t>
      </w:r>
      <w:r w:rsidRPr="001A4B85">
        <w:rPr>
          <w:color w:val="auto"/>
        </w:rPr>
        <w:t xml:space="preserve"> based on 10% PBS script data</w:t>
      </w:r>
      <w:r>
        <w:rPr>
          <w:color w:val="auto"/>
        </w:rPr>
        <w:t xml:space="preserve"> used in a sensitivity analysis, were more</w:t>
      </w:r>
      <w:r w:rsidRPr="001A4B85">
        <w:rPr>
          <w:color w:val="auto"/>
        </w:rPr>
        <w:t xml:space="preserve"> reasonable</w:t>
      </w:r>
      <w:r>
        <w:rPr>
          <w:color w:val="auto"/>
        </w:rPr>
        <w:t xml:space="preserve">. The resulting estimates for the number of PAH patients appear to be underestimated as </w:t>
      </w:r>
      <w:r w:rsidRPr="001A4B85">
        <w:rPr>
          <w:color w:val="auto"/>
        </w:rPr>
        <w:t xml:space="preserve">Year 1 estimates are </w:t>
      </w:r>
      <w:r>
        <w:rPr>
          <w:color w:val="auto"/>
        </w:rPr>
        <w:t xml:space="preserve">similar to </w:t>
      </w:r>
      <w:r w:rsidRPr="001A4B85">
        <w:rPr>
          <w:color w:val="auto"/>
        </w:rPr>
        <w:t>the number of patients treated with PBS subsidised PAH medicines in 2016</w:t>
      </w:r>
      <w:r>
        <w:rPr>
          <w:color w:val="auto"/>
        </w:rPr>
        <w:t>. This does not seem reasonable</w:t>
      </w:r>
      <w:r w:rsidR="004A095D">
        <w:rPr>
          <w:color w:val="auto"/>
        </w:rPr>
        <w:t xml:space="preserve"> as noted by PBAC in its </w:t>
      </w:r>
      <w:r w:rsidR="004A095D" w:rsidRPr="004A095D">
        <w:rPr>
          <w:color w:val="auto"/>
        </w:rPr>
        <w:t>March 2022 meeting</w:t>
      </w:r>
      <w:r w:rsidR="00CB75E3">
        <w:rPr>
          <w:rStyle w:val="FootnoteReference"/>
          <w:color w:val="auto"/>
        </w:rPr>
        <w:footnoteReference w:id="6"/>
      </w:r>
      <w:r w:rsidR="004A095D" w:rsidRPr="004A095D">
        <w:rPr>
          <w:color w:val="auto"/>
        </w:rPr>
        <w:t>, that the PAH incident patient population is stable, and the prevalent patient population is growing</w:t>
      </w:r>
      <w:r>
        <w:rPr>
          <w:color w:val="auto"/>
        </w:rPr>
        <w:t xml:space="preserve">. </w:t>
      </w:r>
    </w:p>
    <w:p w14:paraId="17423D71" w14:textId="5E1AE3B0" w:rsidR="009671D4" w:rsidRDefault="00591869" w:rsidP="00840EF5">
      <w:pPr>
        <w:pStyle w:val="Instructionaltext-afterfiguretable"/>
        <w:spacing w:before="240"/>
        <w:rPr>
          <w:color w:val="auto"/>
        </w:rPr>
      </w:pPr>
      <w:r w:rsidRPr="001A4B85">
        <w:rPr>
          <w:color w:val="000000" w:themeColor="text1"/>
        </w:rPr>
        <w:t xml:space="preserve">The </w:t>
      </w:r>
      <w:r>
        <w:rPr>
          <w:color w:val="000000" w:themeColor="text1"/>
        </w:rPr>
        <w:t>re</w:t>
      </w:r>
      <w:r w:rsidRPr="001A4B85">
        <w:rPr>
          <w:color w:val="000000" w:themeColor="text1"/>
        </w:rPr>
        <w:t>submission</w:t>
      </w:r>
      <w:r w:rsidR="0005562C">
        <w:rPr>
          <w:color w:val="000000" w:themeColor="text1"/>
        </w:rPr>
        <w:t xml:space="preserve"> ADAR</w:t>
      </w:r>
      <w:r w:rsidRPr="001A4B85">
        <w:rPr>
          <w:color w:val="000000" w:themeColor="text1"/>
        </w:rPr>
        <w:t xml:space="preserve"> estimated a cost saving to the MBS of $</w:t>
      </w:r>
      <w:r>
        <w:rPr>
          <w:color w:val="000000" w:themeColor="text1"/>
        </w:rPr>
        <w:t>232,674</w:t>
      </w:r>
      <w:r w:rsidRPr="001A4B85">
        <w:rPr>
          <w:color w:val="000000" w:themeColor="text1"/>
        </w:rPr>
        <w:t xml:space="preserve"> in Year 1 increasing to $</w:t>
      </w:r>
      <w:r>
        <w:rPr>
          <w:color w:val="000000" w:themeColor="text1"/>
        </w:rPr>
        <w:t xml:space="preserve">351,359 </w:t>
      </w:r>
      <w:r w:rsidRPr="001A4B85">
        <w:rPr>
          <w:color w:val="000000" w:themeColor="text1"/>
        </w:rPr>
        <w:t xml:space="preserve">in Year 6. </w:t>
      </w:r>
      <w:r w:rsidR="008E153A">
        <w:rPr>
          <w:color w:val="auto"/>
        </w:rPr>
        <w:t>C</w:t>
      </w:r>
      <w:r w:rsidR="000129BB" w:rsidDel="004E22FE">
        <w:rPr>
          <w:color w:val="auto"/>
        </w:rPr>
        <w:t xml:space="preserve">ost savings to the MBS </w:t>
      </w:r>
      <w:r w:rsidR="008E153A">
        <w:rPr>
          <w:color w:val="auto"/>
        </w:rPr>
        <w:t>were based on the assumption that, on average, each NT-</w:t>
      </w:r>
      <w:proofErr w:type="spellStart"/>
      <w:r w:rsidR="008E153A">
        <w:rPr>
          <w:color w:val="auto"/>
        </w:rPr>
        <w:t>proBNP</w:t>
      </w:r>
      <w:proofErr w:type="spellEnd"/>
      <w:r w:rsidR="008E153A">
        <w:rPr>
          <w:color w:val="auto"/>
        </w:rPr>
        <w:t xml:space="preserve"> test performed would lead to a reduction of 0.38 TTEs. As noted in Section 11, cost savings </w:t>
      </w:r>
      <w:r w:rsidR="000129BB" w:rsidDel="004E22FE">
        <w:rPr>
          <w:color w:val="auto"/>
        </w:rPr>
        <w:t xml:space="preserve">are uncertain due to </w:t>
      </w:r>
      <w:r w:rsidR="008E153A">
        <w:rPr>
          <w:color w:val="auto"/>
        </w:rPr>
        <w:t xml:space="preserve">assumptions regarding the </w:t>
      </w:r>
      <w:r w:rsidR="000129BB" w:rsidDel="004E22FE">
        <w:rPr>
          <w:color w:val="auto"/>
        </w:rPr>
        <w:t xml:space="preserve">frequency of </w:t>
      </w:r>
      <w:r w:rsidR="000129BB" w:rsidRPr="00C2679A" w:rsidDel="004E22FE">
        <w:rPr>
          <w:color w:val="auto"/>
        </w:rPr>
        <w:t xml:space="preserve">assessment </w:t>
      </w:r>
      <w:r w:rsidR="008E153A">
        <w:rPr>
          <w:color w:val="auto"/>
        </w:rPr>
        <w:t>of</w:t>
      </w:r>
      <w:r w:rsidR="000129BB" w:rsidDel="004E22FE">
        <w:rPr>
          <w:color w:val="auto"/>
        </w:rPr>
        <w:t xml:space="preserve"> </w:t>
      </w:r>
      <w:r w:rsidR="000129BB" w:rsidRPr="00C2679A" w:rsidDel="004E22FE">
        <w:rPr>
          <w:color w:val="auto"/>
        </w:rPr>
        <w:t>NT-</w:t>
      </w:r>
      <w:proofErr w:type="spellStart"/>
      <w:r w:rsidR="000129BB" w:rsidRPr="00C2679A" w:rsidDel="004E22FE">
        <w:rPr>
          <w:color w:val="auto"/>
        </w:rPr>
        <w:t>proBNP</w:t>
      </w:r>
      <w:proofErr w:type="spellEnd"/>
      <w:r w:rsidR="000129BB" w:rsidRPr="00C2679A" w:rsidDel="004E22FE">
        <w:rPr>
          <w:color w:val="auto"/>
        </w:rPr>
        <w:t xml:space="preserve"> </w:t>
      </w:r>
      <w:r w:rsidR="008E153A">
        <w:rPr>
          <w:color w:val="auto"/>
        </w:rPr>
        <w:t>and</w:t>
      </w:r>
      <w:r w:rsidR="000129BB" w:rsidRPr="00C2679A" w:rsidDel="004E22FE">
        <w:rPr>
          <w:color w:val="auto"/>
        </w:rPr>
        <w:t xml:space="preserve"> TTE (</w:t>
      </w:r>
      <w:r w:rsidR="008E153A">
        <w:rPr>
          <w:color w:val="auto"/>
        </w:rPr>
        <w:t xml:space="preserve">both assumed to be </w:t>
      </w:r>
      <w:r w:rsidR="000129BB" w:rsidRPr="00C2679A" w:rsidDel="004E22FE">
        <w:rPr>
          <w:color w:val="auto"/>
        </w:rPr>
        <w:t>every 3 months)</w:t>
      </w:r>
      <w:r w:rsidR="000129BB" w:rsidDel="004E22FE">
        <w:rPr>
          <w:color w:val="auto"/>
        </w:rPr>
        <w:t>, and the</w:t>
      </w:r>
      <w:r w:rsidR="004F0AD3">
        <w:rPr>
          <w:color w:val="auto"/>
        </w:rPr>
        <w:t xml:space="preserve"> proportion of patients who can substitute TTE </w:t>
      </w:r>
      <w:r w:rsidR="004F0AD3" w:rsidDel="004E22FE">
        <w:rPr>
          <w:color w:val="auto"/>
        </w:rPr>
        <w:t>(75%)</w:t>
      </w:r>
      <w:r w:rsidR="004F0AD3">
        <w:rPr>
          <w:color w:val="auto"/>
        </w:rPr>
        <w:t xml:space="preserve"> and extent of TTE reduction in these patients (2 per year)</w:t>
      </w:r>
      <w:r w:rsidR="000129BB" w:rsidDel="004E22FE">
        <w:rPr>
          <w:color w:val="auto"/>
        </w:rPr>
        <w:t xml:space="preserve">. </w:t>
      </w:r>
    </w:p>
    <w:p w14:paraId="5E8F190D" w14:textId="7208AE56" w:rsidR="009671D4" w:rsidRDefault="00CF37C1" w:rsidP="00840EF5">
      <w:pPr>
        <w:pStyle w:val="Instructionaltext-afterfiguretable"/>
        <w:spacing w:before="240"/>
        <w:rPr>
          <w:color w:val="auto"/>
        </w:rPr>
      </w:pPr>
      <w:r>
        <w:rPr>
          <w:color w:val="auto"/>
        </w:rPr>
        <w:t xml:space="preserve">As noted in the </w:t>
      </w:r>
      <w:r w:rsidR="009F5FAE">
        <w:rPr>
          <w:color w:val="auto"/>
        </w:rPr>
        <w:t>public consultation feedback</w:t>
      </w:r>
      <w:r w:rsidR="009F5FAE" w:rsidRPr="009F5FAE">
        <w:rPr>
          <w:color w:val="auto"/>
        </w:rPr>
        <w:t xml:space="preserve"> </w:t>
      </w:r>
      <w:r w:rsidR="009F5FAE">
        <w:rPr>
          <w:color w:val="auto"/>
        </w:rPr>
        <w:t xml:space="preserve">for the initial </w:t>
      </w:r>
      <w:r w:rsidR="009F5FAE" w:rsidRPr="009F5FAE">
        <w:rPr>
          <w:color w:val="auto"/>
        </w:rPr>
        <w:t>ADAR 1689, due to accessibility and acceptability issues for TTE,</w:t>
      </w:r>
      <w:r w:rsidR="009F5FAE">
        <w:rPr>
          <w:color w:val="auto"/>
        </w:rPr>
        <w:t xml:space="preserve"> patients may not receive the recommended number of TTEs in rural and remote areas.</w:t>
      </w:r>
      <w:r w:rsidR="009F5FAE" w:rsidRPr="009F5FAE">
        <w:rPr>
          <w:color w:val="auto"/>
        </w:rPr>
        <w:t xml:space="preserve"> </w:t>
      </w:r>
      <w:r w:rsidR="009F5FAE">
        <w:rPr>
          <w:color w:val="auto"/>
        </w:rPr>
        <w:t xml:space="preserve">Therefore, </w:t>
      </w:r>
      <w:r>
        <w:rPr>
          <w:color w:val="auto"/>
        </w:rPr>
        <w:t>the uptake of NT-</w:t>
      </w:r>
      <w:proofErr w:type="spellStart"/>
      <w:r>
        <w:rPr>
          <w:color w:val="auto"/>
        </w:rPr>
        <w:t>proBNP</w:t>
      </w:r>
      <w:proofErr w:type="spellEnd"/>
      <w:r>
        <w:rPr>
          <w:color w:val="auto"/>
        </w:rPr>
        <w:t xml:space="preserve"> (</w:t>
      </w:r>
      <w:r w:rsidR="008B6323">
        <w:rPr>
          <w:color w:val="auto"/>
        </w:rPr>
        <w:t xml:space="preserve">an assumption of </w:t>
      </w:r>
      <w:r>
        <w:rPr>
          <w:color w:val="auto"/>
        </w:rPr>
        <w:t>90%</w:t>
      </w:r>
      <w:r w:rsidR="005172E6">
        <w:rPr>
          <w:color w:val="auto"/>
        </w:rPr>
        <w:t xml:space="preserve"> </w:t>
      </w:r>
      <w:r w:rsidR="008B6323">
        <w:rPr>
          <w:color w:val="auto"/>
        </w:rPr>
        <w:t xml:space="preserve">in the ADAR 1689.1 base case) may be underestimated as </w:t>
      </w:r>
      <w:r w:rsidR="009F5FAE" w:rsidRPr="009F5FAE">
        <w:rPr>
          <w:color w:val="auto"/>
        </w:rPr>
        <w:t>public funding for NT-</w:t>
      </w:r>
      <w:proofErr w:type="spellStart"/>
      <w:r w:rsidR="009F5FAE" w:rsidRPr="009F5FAE">
        <w:rPr>
          <w:color w:val="auto"/>
        </w:rPr>
        <w:t>proBNP</w:t>
      </w:r>
      <w:proofErr w:type="spellEnd"/>
      <w:r w:rsidR="009F5FAE" w:rsidRPr="009F5FAE">
        <w:rPr>
          <w:color w:val="auto"/>
        </w:rPr>
        <w:t xml:space="preserve"> testing would provide patients with a more convenient and easily accessible option, which might increase uptake of NT-</w:t>
      </w:r>
      <w:proofErr w:type="spellStart"/>
      <w:r w:rsidR="009F5FAE" w:rsidRPr="009F5FAE">
        <w:rPr>
          <w:color w:val="auto"/>
        </w:rPr>
        <w:t>proBNP</w:t>
      </w:r>
      <w:proofErr w:type="spellEnd"/>
      <w:r w:rsidR="009671D4">
        <w:rPr>
          <w:color w:val="auto"/>
        </w:rPr>
        <w:t>.</w:t>
      </w:r>
    </w:p>
    <w:p w14:paraId="2E0D6894" w14:textId="5371CF01" w:rsidR="00653F2B" w:rsidRPr="00653F2B" w:rsidRDefault="00591869" w:rsidP="00653F2B">
      <w:r w:rsidRPr="001A4B85">
        <w:t>The financial implications to the MBS resulting from the proposed listing of NT-</w:t>
      </w:r>
      <w:proofErr w:type="spellStart"/>
      <w:r w:rsidRPr="001A4B85">
        <w:t>proBNP</w:t>
      </w:r>
      <w:proofErr w:type="spellEnd"/>
      <w:r w:rsidRPr="001A4B85">
        <w:t xml:space="preserve"> are summarised in</w:t>
      </w:r>
      <w:r>
        <w:t xml:space="preserve"> table below.</w:t>
      </w:r>
      <w:r w:rsidRPr="001A4B85">
        <w:t xml:space="preserve"> </w:t>
      </w:r>
      <w:r w:rsidR="00653F2B">
        <w:br w:type="page"/>
      </w:r>
    </w:p>
    <w:p w14:paraId="6CB28C78" w14:textId="7F16F04B" w:rsidR="00591869" w:rsidRPr="002A3780" w:rsidRDefault="00591869" w:rsidP="008B6323">
      <w:pPr>
        <w:pStyle w:val="TableHeading0"/>
      </w:pPr>
      <w:r>
        <w:lastRenderedPageBreak/>
        <w:t xml:space="preserve">Table </w:t>
      </w:r>
      <w:r w:rsidR="00DD62DD">
        <w:fldChar w:fldCharType="begin"/>
      </w:r>
      <w:r w:rsidR="00DD62DD">
        <w:instrText xml:space="preserve"> SEQ Table \* ARABIC </w:instrText>
      </w:r>
      <w:r w:rsidR="00DD62DD">
        <w:fldChar w:fldCharType="separate"/>
      </w:r>
      <w:r w:rsidR="009B7273">
        <w:rPr>
          <w:noProof/>
        </w:rPr>
        <w:t>13</w:t>
      </w:r>
      <w:r w:rsidR="00DD62DD">
        <w:rPr>
          <w:noProof/>
        </w:rPr>
        <w:fldChar w:fldCharType="end"/>
      </w:r>
      <w:r w:rsidRPr="001A4B85">
        <w:rPr>
          <w:bCs/>
        </w:rPr>
        <w:tab/>
        <w:t xml:space="preserve">Net financial implications of </w:t>
      </w:r>
      <w:r w:rsidRPr="001A4B85">
        <w:rPr>
          <w:rFonts w:cstheme="minorHAnsi"/>
        </w:rPr>
        <w:t>NT-</w:t>
      </w:r>
      <w:proofErr w:type="spellStart"/>
      <w:r w:rsidRPr="001A4B85">
        <w:rPr>
          <w:rFonts w:cstheme="minorHAnsi"/>
        </w:rPr>
        <w:t>proBNP</w:t>
      </w:r>
      <w:proofErr w:type="spellEnd"/>
      <w:r w:rsidRPr="001A4B85">
        <w:t xml:space="preserve"> </w:t>
      </w:r>
      <w:r w:rsidRPr="002A3780">
        <w:t xml:space="preserve">testing to the MBS in patients with </w:t>
      </w:r>
      <w:r w:rsidRPr="009B7273">
        <w:t>PAH</w:t>
      </w:r>
      <w:r w:rsidR="00FA2B1C" w:rsidRPr="009B7273">
        <w:t xml:space="preserve"> (Base Case)</w:t>
      </w:r>
    </w:p>
    <w:tbl>
      <w:tblPr>
        <w:tblStyle w:val="TableGrid1"/>
        <w:tblW w:w="0" w:type="auto"/>
        <w:tblCellMar>
          <w:left w:w="0" w:type="dxa"/>
          <w:right w:w="0" w:type="dxa"/>
        </w:tblCellMar>
        <w:tblLook w:val="04A0" w:firstRow="1" w:lastRow="0" w:firstColumn="1" w:lastColumn="0" w:noHBand="0" w:noVBand="1"/>
      </w:tblPr>
      <w:tblGrid>
        <w:gridCol w:w="2117"/>
        <w:gridCol w:w="1148"/>
        <w:gridCol w:w="1148"/>
        <w:gridCol w:w="1148"/>
        <w:gridCol w:w="1148"/>
        <w:gridCol w:w="1148"/>
        <w:gridCol w:w="1149"/>
      </w:tblGrid>
      <w:tr w:rsidR="00591869" w:rsidRPr="001A4B85" w14:paraId="3692E075" w14:textId="77777777" w:rsidTr="00591869">
        <w:trPr>
          <w:cnfStyle w:val="100000000000" w:firstRow="1" w:lastRow="0" w:firstColumn="0" w:lastColumn="0" w:oddVBand="0" w:evenVBand="0" w:oddHBand="0" w:evenHBand="0" w:firstRowFirstColumn="0" w:firstRowLastColumn="0" w:lastRowFirstColumn="0" w:lastRowLastColumn="0"/>
          <w:tblHeader/>
        </w:trPr>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C3CAC3" w14:textId="77777777" w:rsidR="00591869" w:rsidRPr="001A4B85" w:rsidRDefault="00591869" w:rsidP="00591869">
            <w:pPr>
              <w:pStyle w:val="TableText"/>
              <w:keepNext/>
              <w:rPr>
                <w:b/>
                <w:bCs/>
              </w:rPr>
            </w:pPr>
            <w:bookmarkStart w:id="58" w:name="Title_Table12" w:colFirst="0" w:colLast="0"/>
            <w:bookmarkStart w:id="59" w:name="_Hlk68276802"/>
            <w:bookmarkStart w:id="60" w:name="_Toc69491427"/>
            <w:r w:rsidRPr="001A4B85">
              <w:rPr>
                <w:b/>
                <w:bCs/>
              </w:rPr>
              <w:t xml:space="preserve">Parameter </w:t>
            </w:r>
          </w:p>
        </w:tc>
        <w:tc>
          <w:tcPr>
            <w:tcW w:w="1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46555C" w14:textId="77777777" w:rsidR="00591869" w:rsidRPr="001A4B85" w:rsidRDefault="00591869" w:rsidP="00591869">
            <w:pPr>
              <w:pStyle w:val="TableText"/>
              <w:keepNext/>
              <w:rPr>
                <w:b/>
                <w:bCs/>
              </w:rPr>
            </w:pPr>
            <w:r w:rsidRPr="001A4B85">
              <w:rPr>
                <w:b/>
                <w:bCs/>
              </w:rPr>
              <w:t>Year 1</w:t>
            </w:r>
          </w:p>
        </w:tc>
        <w:tc>
          <w:tcPr>
            <w:tcW w:w="1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457EF0" w14:textId="77777777" w:rsidR="00591869" w:rsidRPr="001A4B85" w:rsidRDefault="00591869" w:rsidP="00591869">
            <w:pPr>
              <w:pStyle w:val="TableText"/>
              <w:keepNext/>
              <w:rPr>
                <w:b/>
                <w:bCs/>
              </w:rPr>
            </w:pPr>
            <w:r w:rsidRPr="001A4B85">
              <w:rPr>
                <w:b/>
                <w:bCs/>
              </w:rPr>
              <w:t>Year 2</w:t>
            </w:r>
          </w:p>
        </w:tc>
        <w:tc>
          <w:tcPr>
            <w:tcW w:w="1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23B931" w14:textId="77777777" w:rsidR="00591869" w:rsidRPr="001A4B85" w:rsidRDefault="00591869" w:rsidP="00591869">
            <w:pPr>
              <w:pStyle w:val="TableText"/>
              <w:keepNext/>
              <w:rPr>
                <w:b/>
                <w:bCs/>
              </w:rPr>
            </w:pPr>
            <w:r w:rsidRPr="001A4B85">
              <w:rPr>
                <w:b/>
                <w:bCs/>
              </w:rPr>
              <w:t>Year 3</w:t>
            </w:r>
          </w:p>
        </w:tc>
        <w:tc>
          <w:tcPr>
            <w:tcW w:w="1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847E3F" w14:textId="77777777" w:rsidR="00591869" w:rsidRPr="001A4B85" w:rsidRDefault="00591869" w:rsidP="00591869">
            <w:pPr>
              <w:pStyle w:val="TableText"/>
              <w:keepNext/>
              <w:rPr>
                <w:b/>
                <w:bCs/>
              </w:rPr>
            </w:pPr>
            <w:r w:rsidRPr="001A4B85">
              <w:rPr>
                <w:b/>
                <w:bCs/>
              </w:rPr>
              <w:t>Year 4</w:t>
            </w:r>
          </w:p>
        </w:tc>
        <w:tc>
          <w:tcPr>
            <w:tcW w:w="1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BEAA9" w14:textId="77777777" w:rsidR="00591869" w:rsidRPr="001A4B85" w:rsidRDefault="00591869" w:rsidP="00591869">
            <w:pPr>
              <w:pStyle w:val="TableText"/>
              <w:keepNext/>
              <w:rPr>
                <w:b/>
                <w:bCs/>
              </w:rPr>
            </w:pPr>
            <w:r w:rsidRPr="001A4B85">
              <w:rPr>
                <w:b/>
                <w:bCs/>
              </w:rPr>
              <w:t>Year 5</w:t>
            </w:r>
          </w:p>
        </w:tc>
        <w:tc>
          <w:tcPr>
            <w:tcW w:w="1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9642F2" w14:textId="77777777" w:rsidR="00591869" w:rsidRPr="001A4B85" w:rsidRDefault="00591869" w:rsidP="00591869">
            <w:pPr>
              <w:pStyle w:val="TableText"/>
              <w:keepNext/>
              <w:rPr>
                <w:b/>
                <w:bCs/>
              </w:rPr>
            </w:pPr>
            <w:r w:rsidRPr="001A4B85">
              <w:rPr>
                <w:b/>
                <w:bCs/>
              </w:rPr>
              <w:t>Year 6</w:t>
            </w:r>
          </w:p>
        </w:tc>
      </w:tr>
      <w:bookmarkEnd w:id="58"/>
      <w:tr w:rsidR="00591869" w:rsidRPr="001A4B85" w14:paraId="5EDD6D19" w14:textId="77777777" w:rsidTr="00591869">
        <w:tc>
          <w:tcPr>
            <w:tcW w:w="900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9B83A" w14:textId="77777777" w:rsidR="00591869" w:rsidRPr="001A4B85" w:rsidRDefault="00591869" w:rsidP="00591869">
            <w:pPr>
              <w:pStyle w:val="TableText"/>
              <w:keepNext/>
              <w:rPr>
                <w:b/>
                <w:bCs/>
              </w:rPr>
            </w:pPr>
            <w:r w:rsidRPr="001A4B85">
              <w:rPr>
                <w:b/>
                <w:bCs/>
              </w:rPr>
              <w:t>Estimated use and cost of the proposed health technology</w:t>
            </w:r>
          </w:p>
        </w:tc>
      </w:tr>
      <w:tr w:rsidR="00591869" w:rsidRPr="001A4B85" w14:paraId="367BE85F" w14:textId="77777777" w:rsidTr="00591869">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AF44BA" w14:textId="77777777" w:rsidR="00591869" w:rsidRPr="001A4B85" w:rsidRDefault="00591869" w:rsidP="007B73ED">
            <w:pPr>
              <w:pStyle w:val="TableText"/>
            </w:pPr>
            <w:r w:rsidRPr="0063606C">
              <w:t xml:space="preserve">Number of PAH patients eligible for </w:t>
            </w:r>
            <w:r w:rsidRPr="0063606C">
              <w:rPr>
                <w:rFonts w:cstheme="minorHAnsi"/>
              </w:rPr>
              <w:t>NT-</w:t>
            </w:r>
            <w:proofErr w:type="spellStart"/>
            <w:r w:rsidRPr="0063606C">
              <w:rPr>
                <w:rFonts w:cstheme="minorHAnsi"/>
              </w:rPr>
              <w:t>proBNP</w:t>
            </w:r>
            <w:proofErr w:type="spellEnd"/>
            <w:r w:rsidRPr="0063606C">
              <w:rPr>
                <w:rFonts w:cstheme="minorHAnsi"/>
              </w:rPr>
              <w:t xml:space="preserve"> test</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31EC7BF2" w14:textId="77777777" w:rsidR="00591869" w:rsidRPr="00FD084F" w:rsidRDefault="00591869" w:rsidP="007B73ED">
            <w:pPr>
              <w:pStyle w:val="TableText"/>
              <w:jc w:val="center"/>
            </w:pPr>
            <w:r w:rsidRPr="00FD084F">
              <w:rPr>
                <w:bCs/>
              </w:rPr>
              <w:t>2,414</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5BCDCD" w14:textId="2C6BBA4E" w:rsidR="00591869" w:rsidRPr="00FD084F" w:rsidRDefault="00591869" w:rsidP="007B73ED">
            <w:pPr>
              <w:pStyle w:val="TableText"/>
              <w:jc w:val="center"/>
            </w:pPr>
            <w:r w:rsidRPr="00FD084F">
              <w:rPr>
                <w:bCs/>
              </w:rPr>
              <w:t>2,935</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54F317F9" w14:textId="3BD71907" w:rsidR="00591869" w:rsidRPr="00FD084F" w:rsidRDefault="00591869" w:rsidP="007B73ED">
            <w:pPr>
              <w:pStyle w:val="TableText"/>
              <w:jc w:val="center"/>
            </w:pPr>
            <w:r w:rsidRPr="00FD084F">
              <w:rPr>
                <w:bCs/>
              </w:rPr>
              <w:t>3,498</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EB97E2" w14:textId="45E80173" w:rsidR="00591869" w:rsidRPr="00FD084F" w:rsidRDefault="00591869" w:rsidP="007B73ED">
            <w:pPr>
              <w:pStyle w:val="TableText"/>
              <w:jc w:val="center"/>
            </w:pPr>
            <w:r w:rsidRPr="00FD084F">
              <w:rPr>
                <w:bCs/>
              </w:rPr>
              <w:t>3,548</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452E6635" w14:textId="708C85CC" w:rsidR="00591869" w:rsidRPr="00FD084F" w:rsidRDefault="00591869" w:rsidP="007B73ED">
            <w:pPr>
              <w:pStyle w:val="TableText"/>
              <w:jc w:val="center"/>
            </w:pPr>
            <w:r w:rsidRPr="00FD084F">
              <w:rPr>
                <w:bCs/>
              </w:rPr>
              <w:t>3,597</w:t>
            </w:r>
          </w:p>
        </w:tc>
        <w:tc>
          <w:tcPr>
            <w:tcW w:w="1149" w:type="dxa"/>
            <w:tcBorders>
              <w:top w:val="nil"/>
              <w:left w:val="nil"/>
              <w:bottom w:val="single" w:sz="8" w:space="0" w:color="auto"/>
              <w:right w:val="single" w:sz="8" w:space="0" w:color="auto"/>
            </w:tcBorders>
            <w:tcMar>
              <w:top w:w="0" w:type="dxa"/>
              <w:left w:w="108" w:type="dxa"/>
              <w:bottom w:w="0" w:type="dxa"/>
              <w:right w:w="108" w:type="dxa"/>
            </w:tcMar>
            <w:vAlign w:val="center"/>
          </w:tcPr>
          <w:p w14:paraId="2013E66F" w14:textId="59F5C7F6" w:rsidR="00591869" w:rsidRPr="00FD084F" w:rsidRDefault="00591869" w:rsidP="007B73ED">
            <w:pPr>
              <w:pStyle w:val="TableText"/>
              <w:jc w:val="center"/>
            </w:pPr>
            <w:r w:rsidRPr="00FD084F">
              <w:rPr>
                <w:bCs/>
              </w:rPr>
              <w:t>3,646</w:t>
            </w:r>
          </w:p>
        </w:tc>
      </w:tr>
      <w:tr w:rsidR="00591869" w:rsidRPr="001A4B85" w14:paraId="0D9781C3" w14:textId="77777777" w:rsidTr="00591869">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8E5941" w14:textId="0C7104EE" w:rsidR="00591869" w:rsidRPr="004B0BBE" w:rsidRDefault="00591869" w:rsidP="007B73ED">
            <w:pPr>
              <w:pStyle w:val="TableText"/>
            </w:pPr>
            <w:r w:rsidRPr="004B0BBE">
              <w:t xml:space="preserve">High estimate based on 10% PBS data </w:t>
            </w:r>
            <w:r w:rsidR="006C255C" w:rsidRPr="006C255C">
              <w:rPr>
                <w:vertAlign w:val="superscript"/>
              </w:rPr>
              <w:t>a</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02FD29" w14:textId="77777777" w:rsidR="00591869" w:rsidRPr="004B0BBE" w:rsidRDefault="00591869" w:rsidP="007B73ED">
            <w:pPr>
              <w:pStyle w:val="TableText"/>
              <w:jc w:val="center"/>
              <w:rPr>
                <w:b/>
                <w:bCs/>
              </w:rPr>
            </w:pPr>
            <w:r w:rsidRPr="004B0BBE">
              <w:t>3,200</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B6F2F9" w14:textId="77777777" w:rsidR="00591869" w:rsidRPr="004B0BBE" w:rsidRDefault="00591869" w:rsidP="007B73ED">
            <w:pPr>
              <w:pStyle w:val="TableText"/>
              <w:jc w:val="center"/>
              <w:rPr>
                <w:b/>
                <w:bCs/>
              </w:rPr>
            </w:pPr>
            <w:r w:rsidRPr="004B0BBE">
              <w:t>3,720</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941592" w14:textId="77777777" w:rsidR="00591869" w:rsidRPr="004B0BBE" w:rsidRDefault="00591869" w:rsidP="007B73ED">
            <w:pPr>
              <w:pStyle w:val="TableText"/>
              <w:jc w:val="center"/>
              <w:rPr>
                <w:b/>
                <w:bCs/>
              </w:rPr>
            </w:pPr>
            <w:r w:rsidRPr="004B0BBE">
              <w:t>4,248</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C5715" w14:textId="77777777" w:rsidR="00591869" w:rsidRPr="004B0BBE" w:rsidRDefault="00591869" w:rsidP="007B73ED">
            <w:pPr>
              <w:pStyle w:val="TableText"/>
              <w:jc w:val="center"/>
              <w:rPr>
                <w:b/>
                <w:bCs/>
              </w:rPr>
            </w:pPr>
            <w:r w:rsidRPr="004B0BBE">
              <w:t>4,263</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5A0B0" w14:textId="77777777" w:rsidR="00591869" w:rsidRPr="004B0BBE" w:rsidRDefault="00591869" w:rsidP="007B73ED">
            <w:pPr>
              <w:pStyle w:val="TableText"/>
              <w:jc w:val="center"/>
              <w:rPr>
                <w:b/>
                <w:bCs/>
              </w:rPr>
            </w:pPr>
            <w:r w:rsidRPr="004B0BBE">
              <w:t>4,277</w:t>
            </w:r>
          </w:p>
        </w:tc>
        <w:tc>
          <w:tcPr>
            <w:tcW w:w="1149" w:type="dxa"/>
            <w:tcBorders>
              <w:top w:val="nil"/>
              <w:left w:val="nil"/>
              <w:bottom w:val="single" w:sz="8" w:space="0" w:color="auto"/>
              <w:right w:val="single" w:sz="8" w:space="0" w:color="auto"/>
            </w:tcBorders>
            <w:tcMar>
              <w:top w:w="0" w:type="dxa"/>
              <w:left w:w="108" w:type="dxa"/>
              <w:bottom w:w="0" w:type="dxa"/>
              <w:right w:w="108" w:type="dxa"/>
            </w:tcMar>
            <w:vAlign w:val="center"/>
          </w:tcPr>
          <w:p w14:paraId="2BA254AF" w14:textId="77777777" w:rsidR="00591869" w:rsidRPr="004B0BBE" w:rsidRDefault="00591869" w:rsidP="007B73ED">
            <w:pPr>
              <w:pStyle w:val="TableText"/>
              <w:jc w:val="center"/>
              <w:rPr>
                <w:b/>
                <w:bCs/>
              </w:rPr>
            </w:pPr>
            <w:r w:rsidRPr="004B0BBE">
              <w:t>4,292</w:t>
            </w:r>
          </w:p>
        </w:tc>
      </w:tr>
      <w:tr w:rsidR="00591869" w:rsidRPr="001A4B85" w14:paraId="61BDD9E2" w14:textId="77777777" w:rsidTr="00591869">
        <w:tc>
          <w:tcPr>
            <w:tcW w:w="2117"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0859D48F" w14:textId="77777777" w:rsidR="00591869" w:rsidRPr="004B0BBE" w:rsidRDefault="00591869" w:rsidP="007B73ED">
            <w:pPr>
              <w:pStyle w:val="TableText"/>
            </w:pPr>
            <w:r w:rsidRPr="004B0BBE">
              <w:t>High estimate in ADAR 1689</w:t>
            </w:r>
          </w:p>
        </w:tc>
        <w:tc>
          <w:tcPr>
            <w:tcW w:w="114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793C26B2" w14:textId="77777777" w:rsidR="00591869" w:rsidRPr="004B0BBE" w:rsidRDefault="00591869" w:rsidP="007B73ED">
            <w:pPr>
              <w:pStyle w:val="TableText"/>
              <w:jc w:val="center"/>
            </w:pPr>
            <w:r w:rsidRPr="004B0BBE">
              <w:t>3,200</w:t>
            </w:r>
          </w:p>
        </w:tc>
        <w:tc>
          <w:tcPr>
            <w:tcW w:w="114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13A57613" w14:textId="77777777" w:rsidR="00591869" w:rsidRPr="004B0BBE" w:rsidRDefault="00591869" w:rsidP="007B73ED">
            <w:pPr>
              <w:pStyle w:val="TableText"/>
              <w:jc w:val="center"/>
            </w:pPr>
            <w:r w:rsidRPr="004B0BBE">
              <w:t>3,705</w:t>
            </w:r>
          </w:p>
        </w:tc>
        <w:tc>
          <w:tcPr>
            <w:tcW w:w="114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4DAF70AC" w14:textId="77777777" w:rsidR="00591869" w:rsidRPr="004B0BBE" w:rsidRDefault="00591869" w:rsidP="007B73ED">
            <w:pPr>
              <w:pStyle w:val="TableText"/>
              <w:jc w:val="center"/>
            </w:pPr>
            <w:r w:rsidRPr="004B0BBE">
              <w:t>4,218</w:t>
            </w:r>
          </w:p>
        </w:tc>
        <w:tc>
          <w:tcPr>
            <w:tcW w:w="114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5E82520C" w14:textId="77777777" w:rsidR="00591869" w:rsidRPr="004B0BBE" w:rsidRDefault="00591869" w:rsidP="007B73ED">
            <w:pPr>
              <w:pStyle w:val="TableText"/>
              <w:jc w:val="center"/>
            </w:pPr>
            <w:r w:rsidRPr="004B0BBE">
              <w:t>4,738</w:t>
            </w:r>
          </w:p>
        </w:tc>
        <w:tc>
          <w:tcPr>
            <w:tcW w:w="114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48926ED9" w14:textId="77777777" w:rsidR="00591869" w:rsidRPr="004B0BBE" w:rsidRDefault="00591869" w:rsidP="007B73ED">
            <w:pPr>
              <w:pStyle w:val="TableText"/>
              <w:jc w:val="center"/>
            </w:pPr>
            <w:r w:rsidRPr="004B0BBE">
              <w:t>5,266</w:t>
            </w:r>
          </w:p>
        </w:tc>
        <w:tc>
          <w:tcPr>
            <w:tcW w:w="1149"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34B36887" w14:textId="77777777" w:rsidR="00591869" w:rsidRPr="004B0BBE" w:rsidRDefault="00591869" w:rsidP="007B73ED">
            <w:pPr>
              <w:pStyle w:val="TableText"/>
              <w:jc w:val="center"/>
            </w:pPr>
            <w:r w:rsidRPr="004B0BBE">
              <w:t>5,801</w:t>
            </w:r>
          </w:p>
        </w:tc>
      </w:tr>
      <w:tr w:rsidR="00591869" w:rsidRPr="001A4B85" w14:paraId="72E25683" w14:textId="77777777" w:rsidTr="00591869">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5CA0F2" w14:textId="77777777" w:rsidR="00591869" w:rsidRPr="001A4B85" w:rsidRDefault="00591869" w:rsidP="007B73ED">
            <w:pPr>
              <w:pStyle w:val="TableText"/>
            </w:pPr>
            <w:r w:rsidRPr="0063606C">
              <w:t xml:space="preserve">Number of PAH patients who receive </w:t>
            </w:r>
            <w:r w:rsidRPr="0063606C">
              <w:rPr>
                <w:rFonts w:cstheme="minorHAnsi"/>
              </w:rPr>
              <w:t>NT-</w:t>
            </w:r>
            <w:proofErr w:type="spellStart"/>
            <w:r w:rsidRPr="0063606C">
              <w:rPr>
                <w:rFonts w:cstheme="minorHAnsi"/>
              </w:rPr>
              <w:t>proBNP</w:t>
            </w:r>
            <w:proofErr w:type="spellEnd"/>
            <w:r w:rsidRPr="0063606C">
              <w:rPr>
                <w:rFonts w:cstheme="minorHAnsi"/>
              </w:rPr>
              <w:t xml:space="preserve"> test</w:t>
            </w:r>
            <w:r>
              <w:rPr>
                <w:rFonts w:cstheme="minorHAnsi"/>
              </w:rPr>
              <w:t xml:space="preserve"> </w:t>
            </w:r>
            <w:r w:rsidRPr="00E352CF">
              <w:t>(90% uptake rate)</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3B9748B1" w14:textId="77777777" w:rsidR="00591869" w:rsidRPr="001A4B85" w:rsidRDefault="00591869" w:rsidP="007B73ED">
            <w:pPr>
              <w:pStyle w:val="TableText"/>
              <w:jc w:val="center"/>
            </w:pPr>
            <w:r w:rsidRPr="0063606C">
              <w:t>2,173</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C93E8" w14:textId="77777777" w:rsidR="00591869" w:rsidRPr="001A4B85" w:rsidRDefault="00591869" w:rsidP="007B73ED">
            <w:pPr>
              <w:pStyle w:val="TableText"/>
              <w:jc w:val="center"/>
            </w:pPr>
            <w:r w:rsidRPr="0063606C">
              <w:t>2,641</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2EA73" w14:textId="77777777" w:rsidR="00591869" w:rsidRPr="001A4B85" w:rsidRDefault="00591869" w:rsidP="007B73ED">
            <w:pPr>
              <w:pStyle w:val="TableText"/>
              <w:jc w:val="center"/>
            </w:pPr>
            <w:r w:rsidRPr="0063606C">
              <w:t>3,148</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F8F5F8" w14:textId="77777777" w:rsidR="00591869" w:rsidRPr="001A4B85" w:rsidRDefault="00591869" w:rsidP="007B73ED">
            <w:pPr>
              <w:pStyle w:val="TableText"/>
              <w:jc w:val="center"/>
            </w:pPr>
            <w:r w:rsidRPr="0063606C">
              <w:t>3,193</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19013424" w14:textId="77777777" w:rsidR="00591869" w:rsidRPr="001A4B85" w:rsidRDefault="00591869" w:rsidP="007B73ED">
            <w:pPr>
              <w:pStyle w:val="TableText"/>
              <w:jc w:val="center"/>
            </w:pPr>
            <w:r w:rsidRPr="0063606C">
              <w:t>3,238</w:t>
            </w:r>
          </w:p>
        </w:tc>
        <w:tc>
          <w:tcPr>
            <w:tcW w:w="1149" w:type="dxa"/>
            <w:tcBorders>
              <w:top w:val="nil"/>
              <w:left w:val="nil"/>
              <w:bottom w:val="single" w:sz="8" w:space="0" w:color="auto"/>
              <w:right w:val="single" w:sz="8" w:space="0" w:color="auto"/>
            </w:tcBorders>
            <w:tcMar>
              <w:top w:w="0" w:type="dxa"/>
              <w:left w:w="108" w:type="dxa"/>
              <w:bottom w:w="0" w:type="dxa"/>
              <w:right w:w="108" w:type="dxa"/>
            </w:tcMar>
            <w:vAlign w:val="center"/>
          </w:tcPr>
          <w:p w14:paraId="5E3A0518" w14:textId="77777777" w:rsidR="00591869" w:rsidRPr="001A4B85" w:rsidRDefault="00591869" w:rsidP="007B73ED">
            <w:pPr>
              <w:pStyle w:val="TableText"/>
              <w:jc w:val="center"/>
            </w:pPr>
            <w:r w:rsidRPr="0063606C">
              <w:t>3,281</w:t>
            </w:r>
          </w:p>
        </w:tc>
      </w:tr>
      <w:tr w:rsidR="00591869" w:rsidRPr="001A4B85" w14:paraId="42F1A7C0" w14:textId="77777777" w:rsidTr="00591869">
        <w:tc>
          <w:tcPr>
            <w:tcW w:w="2117"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701DD5E6" w14:textId="77777777" w:rsidR="00591869" w:rsidRPr="001A4B85" w:rsidRDefault="00591869" w:rsidP="007B73ED">
            <w:pPr>
              <w:pStyle w:val="TableText"/>
            </w:pPr>
            <w:r w:rsidRPr="0063606C">
              <w:t xml:space="preserve">Number of PAH patients who receive </w:t>
            </w:r>
            <w:r w:rsidRPr="0063606C">
              <w:rPr>
                <w:rFonts w:cstheme="minorHAnsi"/>
              </w:rPr>
              <w:t>NT-</w:t>
            </w:r>
            <w:proofErr w:type="spellStart"/>
            <w:r w:rsidRPr="0063606C">
              <w:rPr>
                <w:rFonts w:cstheme="minorHAnsi"/>
              </w:rPr>
              <w:t>proBNP</w:t>
            </w:r>
            <w:proofErr w:type="spellEnd"/>
            <w:r w:rsidRPr="0063606C">
              <w:rPr>
                <w:rFonts w:cstheme="minorHAnsi"/>
              </w:rPr>
              <w:t xml:space="preserve"> test</w:t>
            </w:r>
            <w:r>
              <w:rPr>
                <w:rFonts w:cstheme="minorHAnsi"/>
              </w:rPr>
              <w:t xml:space="preserve"> in ADAR 1689</w:t>
            </w:r>
          </w:p>
        </w:tc>
        <w:tc>
          <w:tcPr>
            <w:tcW w:w="114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43A3D190" w14:textId="77777777" w:rsidR="00591869" w:rsidRPr="008E0730" w:rsidRDefault="00591869" w:rsidP="007B73ED">
            <w:pPr>
              <w:pStyle w:val="TableText"/>
              <w:jc w:val="center"/>
            </w:pPr>
            <w:r w:rsidRPr="008E0730">
              <w:rPr>
                <w:iCs/>
              </w:rPr>
              <w:t xml:space="preserve">2,107 </w:t>
            </w:r>
          </w:p>
        </w:tc>
        <w:tc>
          <w:tcPr>
            <w:tcW w:w="114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7EAB68A3" w14:textId="77777777" w:rsidR="00591869" w:rsidRPr="008E0730" w:rsidRDefault="00591869" w:rsidP="007B73ED">
            <w:pPr>
              <w:pStyle w:val="TableText"/>
              <w:jc w:val="center"/>
            </w:pPr>
            <w:r w:rsidRPr="008E0730">
              <w:rPr>
                <w:iCs/>
              </w:rPr>
              <w:t xml:space="preserve">2,561 </w:t>
            </w:r>
          </w:p>
        </w:tc>
        <w:tc>
          <w:tcPr>
            <w:tcW w:w="114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10DA2190" w14:textId="77777777" w:rsidR="00591869" w:rsidRPr="008E0730" w:rsidRDefault="00591869" w:rsidP="007B73ED">
            <w:pPr>
              <w:pStyle w:val="TableText"/>
              <w:jc w:val="center"/>
            </w:pPr>
            <w:r w:rsidRPr="008E0730">
              <w:rPr>
                <w:iCs/>
              </w:rPr>
              <w:t xml:space="preserve">3,056 </w:t>
            </w:r>
          </w:p>
        </w:tc>
        <w:tc>
          <w:tcPr>
            <w:tcW w:w="114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1B465DF7" w14:textId="77777777" w:rsidR="00591869" w:rsidRPr="008E0730" w:rsidRDefault="00591869" w:rsidP="007B73ED">
            <w:pPr>
              <w:pStyle w:val="TableText"/>
              <w:jc w:val="center"/>
            </w:pPr>
            <w:r w:rsidRPr="008E0730">
              <w:rPr>
                <w:iCs/>
              </w:rPr>
              <w:t xml:space="preserve">3,102 </w:t>
            </w:r>
          </w:p>
        </w:tc>
        <w:tc>
          <w:tcPr>
            <w:tcW w:w="114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758F9F99" w14:textId="77777777" w:rsidR="00591869" w:rsidRPr="008E0730" w:rsidRDefault="00591869" w:rsidP="007B73ED">
            <w:pPr>
              <w:pStyle w:val="TableText"/>
              <w:jc w:val="center"/>
            </w:pPr>
            <w:r w:rsidRPr="008E0730">
              <w:rPr>
                <w:iCs/>
              </w:rPr>
              <w:t xml:space="preserve">3,148 </w:t>
            </w:r>
          </w:p>
        </w:tc>
        <w:tc>
          <w:tcPr>
            <w:tcW w:w="1149"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21EAACBE" w14:textId="77777777" w:rsidR="00591869" w:rsidRPr="008E0730" w:rsidRDefault="00591869" w:rsidP="007B73ED">
            <w:pPr>
              <w:pStyle w:val="TableText"/>
              <w:jc w:val="center"/>
            </w:pPr>
            <w:r w:rsidRPr="008E0730">
              <w:rPr>
                <w:iCs/>
              </w:rPr>
              <w:t xml:space="preserve">3,193 </w:t>
            </w:r>
          </w:p>
        </w:tc>
      </w:tr>
      <w:tr w:rsidR="00591869" w:rsidRPr="001A4B85" w14:paraId="0F10D9F4" w14:textId="77777777" w:rsidTr="00591869">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BD4977" w14:textId="77777777" w:rsidR="00591869" w:rsidRPr="001A4B85" w:rsidRDefault="00591869" w:rsidP="007B73ED">
            <w:pPr>
              <w:pStyle w:val="TableText"/>
            </w:pPr>
            <w:r w:rsidRPr="0063606C">
              <w:t xml:space="preserve">Number of services of </w:t>
            </w:r>
            <w:r w:rsidRPr="0063606C">
              <w:rPr>
                <w:rFonts w:cstheme="minorHAnsi"/>
              </w:rPr>
              <w:t>NT-</w:t>
            </w:r>
            <w:proofErr w:type="spellStart"/>
            <w:r w:rsidRPr="0063606C">
              <w:rPr>
                <w:rFonts w:cstheme="minorHAnsi"/>
              </w:rPr>
              <w:t>proBNP</w:t>
            </w:r>
            <w:proofErr w:type="spellEnd"/>
            <w:r w:rsidRPr="0063606C">
              <w:rPr>
                <w:rFonts w:cstheme="minorHAnsi"/>
              </w:rPr>
              <w:t xml:space="preserve"> in </w:t>
            </w:r>
            <w:r w:rsidRPr="0063606C">
              <w:t>PAH patients</w:t>
            </w:r>
            <w:r>
              <w:t xml:space="preserve"> (4/patient/year)</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37B83678" w14:textId="77777777" w:rsidR="00591869" w:rsidRPr="001A4B85" w:rsidRDefault="00591869" w:rsidP="007B73ED">
            <w:pPr>
              <w:pStyle w:val="TableText"/>
              <w:jc w:val="center"/>
            </w:pPr>
            <w:r w:rsidRPr="0063606C">
              <w:t>8,692</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310E6413" w14:textId="77777777" w:rsidR="00591869" w:rsidRPr="001A4B85" w:rsidRDefault="00591869" w:rsidP="007B73ED">
            <w:pPr>
              <w:pStyle w:val="TableText"/>
              <w:jc w:val="center"/>
            </w:pPr>
            <w:r w:rsidRPr="0063606C">
              <w:t>10,565</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21F583" w14:textId="77777777" w:rsidR="00591869" w:rsidRPr="001A4B85" w:rsidRDefault="00591869" w:rsidP="007B73ED">
            <w:pPr>
              <w:pStyle w:val="TableText"/>
              <w:jc w:val="center"/>
            </w:pPr>
            <w:r w:rsidRPr="0063606C">
              <w:t>12,593</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D45672" w14:textId="77777777" w:rsidR="00591869" w:rsidRPr="001A4B85" w:rsidRDefault="00591869" w:rsidP="007B73ED">
            <w:pPr>
              <w:pStyle w:val="TableText"/>
              <w:jc w:val="center"/>
            </w:pPr>
            <w:r w:rsidRPr="0063606C">
              <w:t>12,773</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4A04FB33" w14:textId="77777777" w:rsidR="00591869" w:rsidRPr="001A4B85" w:rsidRDefault="00591869" w:rsidP="007B73ED">
            <w:pPr>
              <w:pStyle w:val="TableText"/>
              <w:jc w:val="center"/>
            </w:pPr>
            <w:r w:rsidRPr="0063606C">
              <w:t>12,950</w:t>
            </w:r>
          </w:p>
        </w:tc>
        <w:tc>
          <w:tcPr>
            <w:tcW w:w="1149" w:type="dxa"/>
            <w:tcBorders>
              <w:top w:val="nil"/>
              <w:left w:val="nil"/>
              <w:bottom w:val="single" w:sz="8" w:space="0" w:color="auto"/>
              <w:right w:val="single" w:sz="8" w:space="0" w:color="auto"/>
            </w:tcBorders>
            <w:tcMar>
              <w:top w:w="0" w:type="dxa"/>
              <w:left w:w="108" w:type="dxa"/>
              <w:bottom w:w="0" w:type="dxa"/>
              <w:right w:w="108" w:type="dxa"/>
            </w:tcMar>
            <w:vAlign w:val="center"/>
          </w:tcPr>
          <w:p w14:paraId="3C25BEAD" w14:textId="77777777" w:rsidR="00591869" w:rsidRPr="001A4B85" w:rsidRDefault="00591869" w:rsidP="007B73ED">
            <w:pPr>
              <w:pStyle w:val="TableText"/>
              <w:jc w:val="center"/>
            </w:pPr>
            <w:r w:rsidRPr="0063606C">
              <w:t>13,126</w:t>
            </w:r>
          </w:p>
        </w:tc>
      </w:tr>
      <w:tr w:rsidR="00591869" w:rsidRPr="001A4B85" w14:paraId="6FA808E6" w14:textId="77777777" w:rsidTr="00591869">
        <w:tc>
          <w:tcPr>
            <w:tcW w:w="2117"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148616B9" w14:textId="77777777" w:rsidR="00591869" w:rsidRPr="0063606C" w:rsidRDefault="00591869" w:rsidP="007B73ED">
            <w:pPr>
              <w:pStyle w:val="TableText"/>
            </w:pPr>
            <w:r w:rsidRPr="0063606C">
              <w:t xml:space="preserve">Number of services of </w:t>
            </w:r>
            <w:r w:rsidRPr="0063606C">
              <w:rPr>
                <w:rFonts w:cstheme="minorHAnsi"/>
              </w:rPr>
              <w:t>NT-</w:t>
            </w:r>
            <w:proofErr w:type="spellStart"/>
            <w:r w:rsidRPr="0063606C">
              <w:rPr>
                <w:rFonts w:cstheme="minorHAnsi"/>
              </w:rPr>
              <w:t>proBNP</w:t>
            </w:r>
            <w:proofErr w:type="spellEnd"/>
            <w:r w:rsidRPr="0063606C">
              <w:rPr>
                <w:rFonts w:cstheme="minorHAnsi"/>
              </w:rPr>
              <w:t xml:space="preserve"> in </w:t>
            </w:r>
            <w:r w:rsidRPr="0063606C">
              <w:t>PAH patients</w:t>
            </w:r>
            <w:r>
              <w:t xml:space="preserve"> (2/patient/year)</w:t>
            </w:r>
          </w:p>
        </w:tc>
        <w:tc>
          <w:tcPr>
            <w:tcW w:w="114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772269B5" w14:textId="77777777" w:rsidR="00591869" w:rsidRPr="00D22853" w:rsidRDefault="00591869" w:rsidP="007B73ED">
            <w:pPr>
              <w:pStyle w:val="TableText"/>
              <w:jc w:val="center"/>
            </w:pPr>
            <w:r w:rsidRPr="00D22853">
              <w:rPr>
                <w:iCs/>
              </w:rPr>
              <w:t xml:space="preserve">4,214 </w:t>
            </w:r>
          </w:p>
        </w:tc>
        <w:tc>
          <w:tcPr>
            <w:tcW w:w="114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7E3E2EED" w14:textId="77777777" w:rsidR="00591869" w:rsidRPr="00D22853" w:rsidRDefault="00591869" w:rsidP="007B73ED">
            <w:pPr>
              <w:pStyle w:val="TableText"/>
              <w:jc w:val="center"/>
            </w:pPr>
            <w:r w:rsidRPr="00D22853">
              <w:rPr>
                <w:iCs/>
              </w:rPr>
              <w:t xml:space="preserve">5,123 </w:t>
            </w:r>
          </w:p>
        </w:tc>
        <w:tc>
          <w:tcPr>
            <w:tcW w:w="114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329B22C6" w14:textId="77777777" w:rsidR="00591869" w:rsidRPr="00D22853" w:rsidRDefault="00591869" w:rsidP="007B73ED">
            <w:pPr>
              <w:pStyle w:val="TableText"/>
              <w:jc w:val="center"/>
            </w:pPr>
            <w:r w:rsidRPr="00D22853">
              <w:rPr>
                <w:iCs/>
              </w:rPr>
              <w:t xml:space="preserve">6,113 </w:t>
            </w:r>
          </w:p>
        </w:tc>
        <w:tc>
          <w:tcPr>
            <w:tcW w:w="114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0491D655" w14:textId="77777777" w:rsidR="00591869" w:rsidRPr="00D22853" w:rsidRDefault="00591869" w:rsidP="007B73ED">
            <w:pPr>
              <w:pStyle w:val="TableText"/>
              <w:jc w:val="center"/>
            </w:pPr>
            <w:r w:rsidRPr="00D22853">
              <w:rPr>
                <w:iCs/>
              </w:rPr>
              <w:t xml:space="preserve">6,205 </w:t>
            </w:r>
          </w:p>
        </w:tc>
        <w:tc>
          <w:tcPr>
            <w:tcW w:w="114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69D82A88" w14:textId="77777777" w:rsidR="00591869" w:rsidRPr="00D22853" w:rsidRDefault="00591869" w:rsidP="007B73ED">
            <w:pPr>
              <w:pStyle w:val="TableText"/>
              <w:jc w:val="center"/>
            </w:pPr>
            <w:r w:rsidRPr="00D22853">
              <w:rPr>
                <w:iCs/>
              </w:rPr>
              <w:t xml:space="preserve">6,296 </w:t>
            </w:r>
          </w:p>
        </w:tc>
        <w:tc>
          <w:tcPr>
            <w:tcW w:w="1149"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24E49154" w14:textId="77777777" w:rsidR="00591869" w:rsidRPr="00D22853" w:rsidRDefault="00591869" w:rsidP="007B73ED">
            <w:pPr>
              <w:pStyle w:val="TableText"/>
              <w:jc w:val="center"/>
            </w:pPr>
            <w:r w:rsidRPr="00D22853">
              <w:rPr>
                <w:iCs/>
              </w:rPr>
              <w:t xml:space="preserve">6,386 </w:t>
            </w:r>
          </w:p>
        </w:tc>
      </w:tr>
      <w:tr w:rsidR="00591869" w:rsidRPr="001A4B85" w14:paraId="1C76513F" w14:textId="77777777" w:rsidTr="00591869">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A410A" w14:textId="77777777" w:rsidR="00591869" w:rsidRPr="004B0BBE" w:rsidRDefault="00591869" w:rsidP="007B73ED">
            <w:pPr>
              <w:pStyle w:val="TableText"/>
            </w:pPr>
            <w:r w:rsidRPr="004B0BBE">
              <w:t xml:space="preserve">Cost to the </w:t>
            </w:r>
            <w:r w:rsidRPr="004B0BBE">
              <w:rPr>
                <w:rFonts w:cstheme="minorHAnsi"/>
              </w:rPr>
              <w:t>MBS</w:t>
            </w:r>
            <w:r w:rsidRPr="004B0BBE">
              <w:t xml:space="preserve"> </w:t>
            </w:r>
          </w:p>
          <w:p w14:paraId="334DDC3F" w14:textId="77777777" w:rsidR="00591869" w:rsidRPr="004B0BBE" w:rsidRDefault="00591869" w:rsidP="007B73ED">
            <w:pPr>
              <w:pStyle w:val="TableText"/>
              <w:rPr>
                <w:i/>
              </w:rPr>
            </w:pPr>
            <w:r w:rsidRPr="004B0BBE">
              <w:rPr>
                <w:i/>
              </w:rPr>
              <w:t>($49.75, 85% fee)</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4D073EE4" w14:textId="77777777" w:rsidR="00591869" w:rsidRPr="004B0BBE" w:rsidRDefault="00591869" w:rsidP="007B73ED">
            <w:pPr>
              <w:pStyle w:val="TableText"/>
              <w:jc w:val="center"/>
            </w:pPr>
            <w:r w:rsidRPr="004B0BBE">
              <w:t>$432,428</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A04A126" w14:textId="77777777" w:rsidR="00591869" w:rsidRPr="004B0BBE" w:rsidRDefault="00591869" w:rsidP="007B73ED">
            <w:pPr>
              <w:pStyle w:val="TableText"/>
              <w:jc w:val="center"/>
              <w:rPr>
                <w:i/>
              </w:rPr>
            </w:pPr>
            <w:r w:rsidRPr="004B0BBE">
              <w:t>$525,604</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0EA6ED00" w14:textId="77777777" w:rsidR="00591869" w:rsidRPr="004B0BBE" w:rsidRDefault="00591869" w:rsidP="007B73ED">
            <w:pPr>
              <w:pStyle w:val="TableText"/>
              <w:jc w:val="center"/>
              <w:rPr>
                <w:i/>
              </w:rPr>
            </w:pPr>
            <w:r w:rsidRPr="004B0BBE">
              <w:t>$626,525</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DEC356" w14:textId="77777777" w:rsidR="00591869" w:rsidRPr="004B0BBE" w:rsidRDefault="00591869" w:rsidP="007B73ED">
            <w:pPr>
              <w:pStyle w:val="TableText"/>
              <w:jc w:val="center"/>
              <w:rPr>
                <w:i/>
              </w:rPr>
            </w:pPr>
            <w:r w:rsidRPr="004B0BBE">
              <w:t>$635,479</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0F885C5" w14:textId="77777777" w:rsidR="00591869" w:rsidRPr="004B0BBE" w:rsidRDefault="00591869" w:rsidP="007B73ED">
            <w:pPr>
              <w:pStyle w:val="TableText"/>
              <w:jc w:val="center"/>
              <w:rPr>
                <w:i/>
              </w:rPr>
            </w:pPr>
            <w:r w:rsidRPr="004B0BBE">
              <w:t>$644,266</w:t>
            </w:r>
          </w:p>
        </w:tc>
        <w:tc>
          <w:tcPr>
            <w:tcW w:w="1149" w:type="dxa"/>
            <w:tcBorders>
              <w:top w:val="nil"/>
              <w:left w:val="nil"/>
              <w:bottom w:val="single" w:sz="8" w:space="0" w:color="auto"/>
              <w:right w:val="single" w:sz="8" w:space="0" w:color="auto"/>
            </w:tcBorders>
            <w:tcMar>
              <w:top w:w="0" w:type="dxa"/>
              <w:left w:w="108" w:type="dxa"/>
              <w:bottom w:w="0" w:type="dxa"/>
              <w:right w:w="108" w:type="dxa"/>
            </w:tcMar>
            <w:vAlign w:val="center"/>
          </w:tcPr>
          <w:p w14:paraId="3930B401" w14:textId="77777777" w:rsidR="00591869" w:rsidRPr="004B0BBE" w:rsidRDefault="00591869" w:rsidP="007B73ED">
            <w:pPr>
              <w:pStyle w:val="TableText"/>
              <w:jc w:val="center"/>
              <w:rPr>
                <w:i/>
              </w:rPr>
            </w:pPr>
            <w:r w:rsidRPr="004B0BBE">
              <w:t>$653,005</w:t>
            </w:r>
          </w:p>
        </w:tc>
      </w:tr>
      <w:tr w:rsidR="00591869" w:rsidRPr="001A4B85" w14:paraId="3A35B46E" w14:textId="77777777" w:rsidTr="00591869">
        <w:tc>
          <w:tcPr>
            <w:tcW w:w="2117"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0217B149" w14:textId="77777777" w:rsidR="00591869" w:rsidRPr="00195F9E" w:rsidRDefault="00591869" w:rsidP="007B73ED">
            <w:pPr>
              <w:pStyle w:val="TableText"/>
            </w:pPr>
            <w:r w:rsidRPr="00195F9E">
              <w:t xml:space="preserve">Cost to the </w:t>
            </w:r>
            <w:r w:rsidRPr="00195F9E">
              <w:rPr>
                <w:rFonts w:cstheme="minorHAnsi"/>
              </w:rPr>
              <w:t>MBS</w:t>
            </w:r>
            <w:r w:rsidRPr="00195F9E">
              <w:t xml:space="preserve"> in ADAR 1689 ($49.75, 85% fee)</w:t>
            </w:r>
          </w:p>
        </w:tc>
        <w:tc>
          <w:tcPr>
            <w:tcW w:w="114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61F8F75D" w14:textId="77777777" w:rsidR="00591869" w:rsidRPr="001A4B85" w:rsidRDefault="00591869" w:rsidP="007B73ED">
            <w:pPr>
              <w:pStyle w:val="TableText"/>
              <w:jc w:val="center"/>
            </w:pPr>
            <w:r w:rsidRPr="0005443E">
              <w:t>$209,637</w:t>
            </w:r>
          </w:p>
        </w:tc>
        <w:tc>
          <w:tcPr>
            <w:tcW w:w="114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27368D52" w14:textId="77777777" w:rsidR="00591869" w:rsidRPr="001A4B85" w:rsidRDefault="00591869" w:rsidP="007B73ED">
            <w:pPr>
              <w:pStyle w:val="TableText"/>
              <w:jc w:val="center"/>
            </w:pPr>
            <w:r w:rsidRPr="0005443E">
              <w:t>$254,859</w:t>
            </w:r>
          </w:p>
        </w:tc>
        <w:tc>
          <w:tcPr>
            <w:tcW w:w="114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72D847CC" w14:textId="77777777" w:rsidR="00591869" w:rsidRPr="001A4B85" w:rsidRDefault="00591869" w:rsidP="007B73ED">
            <w:pPr>
              <w:pStyle w:val="TableText"/>
              <w:jc w:val="center"/>
            </w:pPr>
            <w:r w:rsidRPr="0005443E">
              <w:t>$304,112</w:t>
            </w:r>
          </w:p>
        </w:tc>
        <w:tc>
          <w:tcPr>
            <w:tcW w:w="114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6E47421C" w14:textId="77777777" w:rsidR="00591869" w:rsidRPr="001A4B85" w:rsidRDefault="00591869" w:rsidP="007B73ED">
            <w:pPr>
              <w:pStyle w:val="TableText"/>
              <w:jc w:val="center"/>
            </w:pPr>
            <w:r w:rsidRPr="0005443E">
              <w:t>$308,679</w:t>
            </w:r>
          </w:p>
        </w:tc>
        <w:tc>
          <w:tcPr>
            <w:tcW w:w="114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3EC026AE" w14:textId="77777777" w:rsidR="00591869" w:rsidRPr="001A4B85" w:rsidRDefault="00591869" w:rsidP="007B73ED">
            <w:pPr>
              <w:pStyle w:val="TableText"/>
              <w:jc w:val="center"/>
            </w:pPr>
            <w:r w:rsidRPr="0005443E">
              <w:t>$313,246</w:t>
            </w:r>
          </w:p>
        </w:tc>
        <w:tc>
          <w:tcPr>
            <w:tcW w:w="1149"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6C98BA73" w14:textId="77777777" w:rsidR="00591869" w:rsidRPr="001A4B85" w:rsidRDefault="00591869" w:rsidP="007B73ED">
            <w:pPr>
              <w:pStyle w:val="TableText"/>
              <w:jc w:val="center"/>
            </w:pPr>
            <w:r w:rsidRPr="0005443E">
              <w:t>$317,723</w:t>
            </w:r>
          </w:p>
        </w:tc>
      </w:tr>
      <w:tr w:rsidR="00591869" w:rsidRPr="001A4B85" w14:paraId="74A548F8" w14:textId="77777777" w:rsidTr="00591869">
        <w:tc>
          <w:tcPr>
            <w:tcW w:w="900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7B41B" w14:textId="77777777" w:rsidR="00591869" w:rsidRPr="001A4B85" w:rsidRDefault="00591869" w:rsidP="007B73ED">
            <w:pPr>
              <w:pStyle w:val="TableText"/>
              <w:keepNext/>
              <w:rPr>
                <w:b/>
                <w:bCs/>
              </w:rPr>
            </w:pPr>
            <w:r w:rsidRPr="001A4B85">
              <w:rPr>
                <w:b/>
                <w:bCs/>
              </w:rPr>
              <w:t>Change in use and cost of other health technologies</w:t>
            </w:r>
          </w:p>
        </w:tc>
      </w:tr>
      <w:tr w:rsidR="00591869" w:rsidRPr="001A4B85" w14:paraId="2B855774" w14:textId="77777777" w:rsidTr="00591869">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ED5825" w14:textId="77777777" w:rsidR="00591869" w:rsidRPr="00E352CF" w:rsidRDefault="00591869" w:rsidP="007B73ED">
            <w:pPr>
              <w:pStyle w:val="TableText"/>
            </w:pPr>
            <w:r w:rsidRPr="00E352CF">
              <w:t>Change in use of TTE</w:t>
            </w:r>
          </w:p>
          <w:p w14:paraId="435B3545" w14:textId="77777777" w:rsidR="00591869" w:rsidRPr="00E352CF" w:rsidRDefault="00591869" w:rsidP="007B73ED">
            <w:pPr>
              <w:pStyle w:val="TableText"/>
            </w:pPr>
            <w:r w:rsidRPr="00E352CF">
              <w:t>(1.5/patient/year)</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1769E4" w14:textId="77777777" w:rsidR="00591869" w:rsidRPr="001A4B85" w:rsidRDefault="00591869" w:rsidP="007B73ED">
            <w:pPr>
              <w:pStyle w:val="TableText"/>
              <w:jc w:val="center"/>
            </w:pPr>
            <w:r w:rsidRPr="0091245F">
              <w:t>-3,260</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4610CB" w14:textId="77777777" w:rsidR="00591869" w:rsidRPr="001A4B85" w:rsidRDefault="00591869" w:rsidP="007B73ED">
            <w:pPr>
              <w:pStyle w:val="TableText"/>
              <w:jc w:val="center"/>
            </w:pPr>
            <w:r w:rsidRPr="0091245F">
              <w:t>-3,962</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FF01BA" w14:textId="77777777" w:rsidR="00591869" w:rsidRPr="001A4B85" w:rsidRDefault="00591869" w:rsidP="007B73ED">
            <w:pPr>
              <w:pStyle w:val="TableText"/>
              <w:jc w:val="center"/>
            </w:pPr>
            <w:r w:rsidRPr="0091245F">
              <w:t>-4,723</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22F70" w14:textId="77777777" w:rsidR="00591869" w:rsidRPr="001A4B85" w:rsidRDefault="00591869" w:rsidP="007B73ED">
            <w:pPr>
              <w:pStyle w:val="TableText"/>
              <w:jc w:val="center"/>
            </w:pPr>
            <w:r w:rsidRPr="0091245F">
              <w:t>-4,790</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2A09E" w14:textId="77777777" w:rsidR="00591869" w:rsidRPr="001A4B85" w:rsidRDefault="00591869" w:rsidP="007B73ED">
            <w:pPr>
              <w:pStyle w:val="TableText"/>
              <w:jc w:val="center"/>
            </w:pPr>
            <w:r w:rsidRPr="0091245F">
              <w:t>-4,856</w:t>
            </w:r>
          </w:p>
        </w:tc>
        <w:tc>
          <w:tcPr>
            <w:tcW w:w="1149"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8D1CD" w14:textId="77777777" w:rsidR="00591869" w:rsidRPr="001A4B85" w:rsidRDefault="00591869" w:rsidP="007B73ED">
            <w:pPr>
              <w:pStyle w:val="TableText"/>
              <w:jc w:val="center"/>
            </w:pPr>
            <w:r w:rsidRPr="0091245F">
              <w:t>-4,922</w:t>
            </w:r>
          </w:p>
        </w:tc>
      </w:tr>
      <w:tr w:rsidR="00591869" w:rsidRPr="001A4B85" w14:paraId="422DC94B" w14:textId="77777777" w:rsidTr="00591869">
        <w:tc>
          <w:tcPr>
            <w:tcW w:w="2117"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3578B689" w14:textId="77777777" w:rsidR="00591869" w:rsidRPr="00E352CF" w:rsidRDefault="00591869" w:rsidP="007B73ED">
            <w:pPr>
              <w:pStyle w:val="TableText"/>
            </w:pPr>
            <w:r w:rsidRPr="00E352CF">
              <w:t>Change in use of TTE</w:t>
            </w:r>
            <w:r>
              <w:t xml:space="preserve"> in ADAR 1689 </w:t>
            </w:r>
            <w:r w:rsidRPr="00E352CF">
              <w:t>(1/p</w:t>
            </w:r>
            <w:r>
              <w:t>t</w:t>
            </w:r>
            <w:r w:rsidRPr="00E352CF">
              <w:t>/</w:t>
            </w:r>
            <w:proofErr w:type="spellStart"/>
            <w:r w:rsidRPr="00E352CF">
              <w:t>yr</w:t>
            </w:r>
            <w:proofErr w:type="spellEnd"/>
            <w:r w:rsidRPr="00E352CF">
              <w:t>)</w:t>
            </w:r>
            <w:r w:rsidRPr="00A15052">
              <w:rPr>
                <w:bCs/>
                <w:i/>
                <w:color w:val="0070C0"/>
              </w:rPr>
              <w:t xml:space="preserve"> </w:t>
            </w:r>
          </w:p>
        </w:tc>
        <w:tc>
          <w:tcPr>
            <w:tcW w:w="114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72FF84DA" w14:textId="77777777" w:rsidR="00591869" w:rsidRPr="00E352CF" w:rsidRDefault="00591869" w:rsidP="007B73ED">
            <w:pPr>
              <w:pStyle w:val="TableText"/>
              <w:jc w:val="center"/>
            </w:pPr>
            <w:r w:rsidRPr="00E352CF">
              <w:t>2,107</w:t>
            </w:r>
          </w:p>
        </w:tc>
        <w:tc>
          <w:tcPr>
            <w:tcW w:w="114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4F988C4A" w14:textId="77777777" w:rsidR="00591869" w:rsidRPr="00E352CF" w:rsidRDefault="00591869" w:rsidP="007B73ED">
            <w:pPr>
              <w:pStyle w:val="TableText"/>
              <w:jc w:val="center"/>
            </w:pPr>
            <w:r w:rsidRPr="00E352CF">
              <w:t>2,562</w:t>
            </w:r>
          </w:p>
        </w:tc>
        <w:tc>
          <w:tcPr>
            <w:tcW w:w="114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2A4ADEB5" w14:textId="77777777" w:rsidR="00591869" w:rsidRPr="00E352CF" w:rsidRDefault="00591869" w:rsidP="007B73ED">
            <w:pPr>
              <w:pStyle w:val="TableText"/>
              <w:jc w:val="center"/>
            </w:pPr>
            <w:r w:rsidRPr="00E352CF">
              <w:t>3,056</w:t>
            </w:r>
          </w:p>
        </w:tc>
        <w:tc>
          <w:tcPr>
            <w:tcW w:w="114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154E87D8" w14:textId="77777777" w:rsidR="00591869" w:rsidRPr="00E352CF" w:rsidRDefault="00591869" w:rsidP="007B73ED">
            <w:pPr>
              <w:pStyle w:val="TableText"/>
              <w:jc w:val="center"/>
            </w:pPr>
            <w:r w:rsidRPr="00E352CF">
              <w:t>3,103</w:t>
            </w:r>
          </w:p>
        </w:tc>
        <w:tc>
          <w:tcPr>
            <w:tcW w:w="114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00BE24E4" w14:textId="77777777" w:rsidR="00591869" w:rsidRPr="00E352CF" w:rsidRDefault="00591869" w:rsidP="007B73ED">
            <w:pPr>
              <w:pStyle w:val="TableText"/>
              <w:jc w:val="center"/>
            </w:pPr>
            <w:r w:rsidRPr="00E352CF">
              <w:t>3,148</w:t>
            </w:r>
          </w:p>
        </w:tc>
        <w:tc>
          <w:tcPr>
            <w:tcW w:w="1149"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1999F3E1" w14:textId="77777777" w:rsidR="00591869" w:rsidRPr="00E352CF" w:rsidRDefault="00591869" w:rsidP="007B73ED">
            <w:pPr>
              <w:pStyle w:val="TableText"/>
              <w:jc w:val="center"/>
            </w:pPr>
            <w:r w:rsidRPr="00E352CF">
              <w:t>3,193</w:t>
            </w:r>
          </w:p>
        </w:tc>
      </w:tr>
      <w:tr w:rsidR="00591869" w:rsidRPr="001A4B85" w14:paraId="0B79F777" w14:textId="77777777" w:rsidTr="00591869">
        <w:tc>
          <w:tcPr>
            <w:tcW w:w="211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901D52" w14:textId="77777777" w:rsidR="00591869" w:rsidRPr="00E352CF" w:rsidRDefault="00591869" w:rsidP="007B73ED">
            <w:pPr>
              <w:pStyle w:val="TableText"/>
            </w:pPr>
            <w:r w:rsidRPr="00E352CF">
              <w:t xml:space="preserve">Net change in costs of TTE to the MBS </w:t>
            </w:r>
          </w:p>
          <w:p w14:paraId="40C1B77E" w14:textId="77777777" w:rsidR="00591869" w:rsidRPr="00E352CF" w:rsidRDefault="00591869" w:rsidP="007B73ED">
            <w:pPr>
              <w:pStyle w:val="TableText"/>
            </w:pPr>
            <w:r w:rsidRPr="00E352CF">
              <w:t>(</w:t>
            </w:r>
            <w:r>
              <w:t>$</w:t>
            </w:r>
            <w:r w:rsidRPr="00E352CF">
              <w:t>204.05, 85% fee)</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A93B68" w14:textId="77777777" w:rsidR="00591869" w:rsidRPr="001A4B85" w:rsidRDefault="00591869" w:rsidP="007B73ED">
            <w:pPr>
              <w:pStyle w:val="TableText"/>
              <w:jc w:val="center"/>
            </w:pPr>
            <w:r w:rsidRPr="0091245F">
              <w:t>-$665,102</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58EE6F" w14:textId="77777777" w:rsidR="00591869" w:rsidRPr="001A4B85" w:rsidRDefault="00591869" w:rsidP="007B73ED">
            <w:pPr>
              <w:pStyle w:val="TableText"/>
              <w:jc w:val="center"/>
            </w:pPr>
            <w:r w:rsidRPr="0091245F">
              <w:t>-$808,414</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BFD026" w14:textId="77777777" w:rsidR="00591869" w:rsidRPr="001A4B85" w:rsidRDefault="00591869" w:rsidP="007B73ED">
            <w:pPr>
              <w:pStyle w:val="TableText"/>
              <w:jc w:val="center"/>
            </w:pPr>
            <w:r w:rsidRPr="0091245F">
              <w:t>-$963,636</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8A101A5" w14:textId="77777777" w:rsidR="00591869" w:rsidRPr="001A4B85" w:rsidRDefault="00591869" w:rsidP="007B73ED">
            <w:pPr>
              <w:pStyle w:val="TableText"/>
              <w:jc w:val="center"/>
            </w:pPr>
            <w:r w:rsidRPr="0091245F">
              <w:t>-$977,409</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C8E77D" w14:textId="77777777" w:rsidR="00591869" w:rsidRPr="001A4B85" w:rsidRDefault="00591869" w:rsidP="007B73ED">
            <w:pPr>
              <w:pStyle w:val="TableText"/>
              <w:jc w:val="center"/>
            </w:pPr>
            <w:r w:rsidRPr="0091245F">
              <w:t>-$990,923</w:t>
            </w:r>
          </w:p>
        </w:tc>
        <w:tc>
          <w:tcPr>
            <w:tcW w:w="114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58A5E" w14:textId="77777777" w:rsidR="00591869" w:rsidRPr="001A4B85" w:rsidRDefault="00591869" w:rsidP="007B73ED">
            <w:pPr>
              <w:pStyle w:val="TableText"/>
              <w:jc w:val="center"/>
            </w:pPr>
            <w:r w:rsidRPr="0091245F">
              <w:t>-$1,004,364</w:t>
            </w:r>
          </w:p>
        </w:tc>
      </w:tr>
      <w:tr w:rsidR="00591869" w:rsidRPr="001A4B85" w14:paraId="345BFECF" w14:textId="77777777" w:rsidTr="00591869">
        <w:tc>
          <w:tcPr>
            <w:tcW w:w="2117" w:type="dxa"/>
            <w:tcBorders>
              <w:top w:val="single" w:sz="4"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6117565D" w14:textId="77777777" w:rsidR="00591869" w:rsidRDefault="00591869" w:rsidP="00591869">
            <w:pPr>
              <w:pStyle w:val="TableText"/>
              <w:jc w:val="right"/>
            </w:pPr>
            <w:r>
              <w:t xml:space="preserve">ADAR 1689 </w:t>
            </w:r>
          </w:p>
          <w:p w14:paraId="57590839" w14:textId="77777777" w:rsidR="00591869" w:rsidRPr="00E352CF" w:rsidRDefault="00591869" w:rsidP="00591869">
            <w:pPr>
              <w:pStyle w:val="TableText"/>
              <w:jc w:val="right"/>
            </w:pPr>
            <w:r w:rsidRPr="00E352CF">
              <w:t>(</w:t>
            </w:r>
            <w:r>
              <w:t>$</w:t>
            </w:r>
            <w:r w:rsidRPr="00E352CF">
              <w:t>20</w:t>
            </w:r>
            <w:r>
              <w:t>0</w:t>
            </w:r>
            <w:r w:rsidRPr="00E352CF">
              <w:t>.</w:t>
            </w:r>
            <w:r>
              <w:t>8</w:t>
            </w:r>
            <w:r w:rsidRPr="00E352CF">
              <w:t>5, 85% fee)</w:t>
            </w:r>
          </w:p>
        </w:tc>
        <w:tc>
          <w:tcPr>
            <w:tcW w:w="114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0D9D55C4" w14:textId="77777777" w:rsidR="00591869" w:rsidRPr="004B0BBE" w:rsidRDefault="00591869" w:rsidP="00591869">
            <w:pPr>
              <w:pStyle w:val="TableText"/>
              <w:keepNext/>
              <w:jc w:val="center"/>
            </w:pPr>
            <w:r w:rsidRPr="004B0BBE">
              <w:t>-$423,191</w:t>
            </w:r>
          </w:p>
        </w:tc>
        <w:tc>
          <w:tcPr>
            <w:tcW w:w="114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67EFF89F" w14:textId="77777777" w:rsidR="00591869" w:rsidRPr="004B0BBE" w:rsidRDefault="00591869" w:rsidP="00591869">
            <w:pPr>
              <w:pStyle w:val="TableText"/>
              <w:keepNext/>
              <w:jc w:val="center"/>
            </w:pPr>
            <w:r w:rsidRPr="004B0BBE">
              <w:t>-$514,578</w:t>
            </w:r>
          </w:p>
        </w:tc>
        <w:tc>
          <w:tcPr>
            <w:tcW w:w="114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7C21E358" w14:textId="77777777" w:rsidR="00591869" w:rsidRPr="004B0BBE" w:rsidRDefault="00591869" w:rsidP="00591869">
            <w:pPr>
              <w:pStyle w:val="TableText"/>
              <w:keepNext/>
              <w:jc w:val="center"/>
            </w:pPr>
            <w:r w:rsidRPr="004B0BBE">
              <w:t>-$613,798</w:t>
            </w:r>
          </w:p>
        </w:tc>
        <w:tc>
          <w:tcPr>
            <w:tcW w:w="114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3B1BA347" w14:textId="77777777" w:rsidR="00591869" w:rsidRPr="004B0BBE" w:rsidRDefault="00591869" w:rsidP="00591869">
            <w:pPr>
              <w:pStyle w:val="TableText"/>
              <w:keepNext/>
              <w:jc w:val="center"/>
            </w:pPr>
            <w:r w:rsidRPr="004B0BBE">
              <w:t>-$623,238</w:t>
            </w:r>
          </w:p>
        </w:tc>
        <w:tc>
          <w:tcPr>
            <w:tcW w:w="114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2E539B75" w14:textId="77777777" w:rsidR="00591869" w:rsidRPr="004B0BBE" w:rsidRDefault="00591869" w:rsidP="00591869">
            <w:pPr>
              <w:pStyle w:val="TableText"/>
              <w:keepNext/>
              <w:jc w:val="center"/>
            </w:pPr>
            <w:r w:rsidRPr="004B0BBE">
              <w:t>-$632,276</w:t>
            </w:r>
          </w:p>
        </w:tc>
        <w:tc>
          <w:tcPr>
            <w:tcW w:w="1149"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587FA7FA" w14:textId="77777777" w:rsidR="00591869" w:rsidRPr="004B0BBE" w:rsidRDefault="00591869" w:rsidP="00591869">
            <w:pPr>
              <w:pStyle w:val="TableText"/>
              <w:keepNext/>
              <w:jc w:val="center"/>
            </w:pPr>
            <w:r w:rsidRPr="004B0BBE">
              <w:t>-$641,314</w:t>
            </w:r>
          </w:p>
        </w:tc>
      </w:tr>
      <w:tr w:rsidR="00591869" w:rsidRPr="001A4B85" w14:paraId="60BD8377" w14:textId="77777777" w:rsidTr="00591869">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4B0EA2" w14:textId="77777777" w:rsidR="00591869" w:rsidRPr="001A4B85" w:rsidRDefault="00591869" w:rsidP="00591869">
            <w:pPr>
              <w:pStyle w:val="TableText"/>
              <w:keepNext/>
            </w:pPr>
            <w:r w:rsidRPr="0063606C">
              <w:rPr>
                <w:b/>
                <w:bCs/>
              </w:rPr>
              <w:t>Net financial impact to MBS</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027D48FA" w14:textId="77777777" w:rsidR="00591869" w:rsidRPr="00E352CF" w:rsidRDefault="00591869" w:rsidP="00591869">
            <w:pPr>
              <w:pStyle w:val="TableText"/>
              <w:keepNext/>
              <w:jc w:val="center"/>
              <w:rPr>
                <w:b/>
              </w:rPr>
            </w:pPr>
            <w:r w:rsidRPr="00E352CF">
              <w:rPr>
                <w:b/>
              </w:rPr>
              <w:t>-$232,674</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65566B" w14:textId="77777777" w:rsidR="00591869" w:rsidRPr="00E352CF" w:rsidRDefault="00591869" w:rsidP="00591869">
            <w:pPr>
              <w:pStyle w:val="TableText"/>
              <w:keepNext/>
              <w:jc w:val="center"/>
              <w:rPr>
                <w:b/>
              </w:rPr>
            </w:pPr>
            <w:r w:rsidRPr="00E352CF">
              <w:rPr>
                <w:b/>
              </w:rPr>
              <w:t>-$282,810</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19B1182C" w14:textId="77777777" w:rsidR="00591869" w:rsidRPr="00E352CF" w:rsidRDefault="00591869" w:rsidP="00591869">
            <w:pPr>
              <w:pStyle w:val="TableText"/>
              <w:keepNext/>
              <w:jc w:val="center"/>
              <w:rPr>
                <w:b/>
              </w:rPr>
            </w:pPr>
            <w:r w:rsidRPr="00E352CF">
              <w:rPr>
                <w:b/>
              </w:rPr>
              <w:t>-$337,111</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39F91D89" w14:textId="77777777" w:rsidR="00591869" w:rsidRPr="00E352CF" w:rsidRDefault="00591869" w:rsidP="00591869">
            <w:pPr>
              <w:pStyle w:val="TableText"/>
              <w:keepNext/>
              <w:jc w:val="center"/>
              <w:rPr>
                <w:b/>
              </w:rPr>
            </w:pPr>
            <w:r w:rsidRPr="00E352CF">
              <w:rPr>
                <w:b/>
              </w:rPr>
              <w:t>-$341,929</w:t>
            </w:r>
          </w:p>
        </w:tc>
        <w:tc>
          <w:tcPr>
            <w:tcW w:w="11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EEA89" w14:textId="77777777" w:rsidR="00591869" w:rsidRPr="00E352CF" w:rsidRDefault="00591869" w:rsidP="00591869">
            <w:pPr>
              <w:pStyle w:val="TableText"/>
              <w:keepNext/>
              <w:jc w:val="center"/>
              <w:rPr>
                <w:b/>
              </w:rPr>
            </w:pPr>
            <w:r w:rsidRPr="00E352CF">
              <w:rPr>
                <w:b/>
              </w:rPr>
              <w:t>-$346,657</w:t>
            </w:r>
          </w:p>
        </w:tc>
        <w:tc>
          <w:tcPr>
            <w:tcW w:w="1149" w:type="dxa"/>
            <w:tcBorders>
              <w:top w:val="nil"/>
              <w:left w:val="nil"/>
              <w:bottom w:val="single" w:sz="8" w:space="0" w:color="auto"/>
              <w:right w:val="single" w:sz="8" w:space="0" w:color="auto"/>
            </w:tcBorders>
            <w:tcMar>
              <w:top w:w="0" w:type="dxa"/>
              <w:left w:w="108" w:type="dxa"/>
              <w:bottom w:w="0" w:type="dxa"/>
              <w:right w:w="108" w:type="dxa"/>
            </w:tcMar>
            <w:vAlign w:val="center"/>
          </w:tcPr>
          <w:p w14:paraId="7CA85478" w14:textId="77777777" w:rsidR="00591869" w:rsidRPr="00E352CF" w:rsidRDefault="00591869" w:rsidP="00591869">
            <w:pPr>
              <w:pStyle w:val="TableText"/>
              <w:keepNext/>
              <w:jc w:val="center"/>
              <w:rPr>
                <w:b/>
              </w:rPr>
            </w:pPr>
            <w:r w:rsidRPr="00E352CF">
              <w:rPr>
                <w:b/>
              </w:rPr>
              <w:t>-$351,359</w:t>
            </w:r>
          </w:p>
        </w:tc>
      </w:tr>
      <w:tr w:rsidR="00591869" w:rsidRPr="001A4B85" w14:paraId="0E5CFE95" w14:textId="77777777" w:rsidTr="00591869">
        <w:tc>
          <w:tcPr>
            <w:tcW w:w="2117"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22A5C4B1" w14:textId="7DAF6E4D" w:rsidR="00591869" w:rsidRPr="004A095D" w:rsidRDefault="00591869" w:rsidP="004A095D">
            <w:pPr>
              <w:pStyle w:val="TableText"/>
              <w:jc w:val="right"/>
              <w:rPr>
                <w:bCs/>
                <w:i/>
              </w:rPr>
            </w:pPr>
            <w:r w:rsidRPr="00653C15">
              <w:rPr>
                <w:bCs/>
                <w:i/>
              </w:rPr>
              <w:t xml:space="preserve">ADAR 1689 </w:t>
            </w:r>
            <w:r w:rsidR="006C255C" w:rsidRPr="006C255C">
              <w:rPr>
                <w:bCs/>
                <w:i/>
                <w:vertAlign w:val="superscript"/>
              </w:rPr>
              <w:t>b</w:t>
            </w:r>
            <w:r w:rsidRPr="00E352CF">
              <w:rPr>
                <w:bCs/>
                <w:i/>
              </w:rPr>
              <w:t xml:space="preserve"> </w:t>
            </w:r>
          </w:p>
        </w:tc>
        <w:tc>
          <w:tcPr>
            <w:tcW w:w="114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4C777485" w14:textId="77777777" w:rsidR="00591869" w:rsidRPr="00E352CF" w:rsidRDefault="00591869" w:rsidP="00591869">
            <w:pPr>
              <w:pStyle w:val="TableText"/>
              <w:keepNext/>
              <w:jc w:val="center"/>
              <w:rPr>
                <w:i/>
              </w:rPr>
            </w:pPr>
            <w:r w:rsidRPr="00E352CF">
              <w:rPr>
                <w:i/>
              </w:rPr>
              <w:t>-$213,554</w:t>
            </w:r>
          </w:p>
        </w:tc>
        <w:tc>
          <w:tcPr>
            <w:tcW w:w="114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1DBDF154" w14:textId="77777777" w:rsidR="00591869" w:rsidRPr="00E352CF" w:rsidRDefault="00591869" w:rsidP="00591869">
            <w:pPr>
              <w:pStyle w:val="TableText"/>
              <w:keepNext/>
              <w:jc w:val="center"/>
              <w:rPr>
                <w:i/>
              </w:rPr>
            </w:pPr>
            <w:r w:rsidRPr="00E352CF">
              <w:rPr>
                <w:i/>
              </w:rPr>
              <w:t>-$259,718</w:t>
            </w:r>
          </w:p>
        </w:tc>
        <w:tc>
          <w:tcPr>
            <w:tcW w:w="114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1ADFE348" w14:textId="77777777" w:rsidR="00591869" w:rsidRPr="00E352CF" w:rsidRDefault="00591869" w:rsidP="00591869">
            <w:pPr>
              <w:pStyle w:val="TableText"/>
              <w:keepNext/>
              <w:jc w:val="center"/>
              <w:rPr>
                <w:i/>
              </w:rPr>
            </w:pPr>
            <w:r w:rsidRPr="00E352CF">
              <w:rPr>
                <w:i/>
              </w:rPr>
              <w:t>-$309,686</w:t>
            </w:r>
          </w:p>
        </w:tc>
        <w:tc>
          <w:tcPr>
            <w:tcW w:w="114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1A1F0ABD" w14:textId="77777777" w:rsidR="00591869" w:rsidRPr="00E352CF" w:rsidRDefault="00591869" w:rsidP="00591869">
            <w:pPr>
              <w:pStyle w:val="TableText"/>
              <w:keepNext/>
              <w:jc w:val="center"/>
              <w:rPr>
                <w:i/>
              </w:rPr>
            </w:pPr>
            <w:r w:rsidRPr="00E352CF">
              <w:rPr>
                <w:i/>
              </w:rPr>
              <w:t>-$314,559</w:t>
            </w:r>
          </w:p>
        </w:tc>
        <w:tc>
          <w:tcPr>
            <w:tcW w:w="114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33EBB660" w14:textId="77777777" w:rsidR="00591869" w:rsidRPr="00E352CF" w:rsidRDefault="00591869" w:rsidP="00591869">
            <w:pPr>
              <w:pStyle w:val="TableText"/>
              <w:keepNext/>
              <w:jc w:val="center"/>
              <w:rPr>
                <w:i/>
              </w:rPr>
            </w:pPr>
            <w:r w:rsidRPr="00E352CF">
              <w:rPr>
                <w:i/>
              </w:rPr>
              <w:t>-$319,030</w:t>
            </w:r>
          </w:p>
        </w:tc>
        <w:tc>
          <w:tcPr>
            <w:tcW w:w="1149"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74C03FD0" w14:textId="77777777" w:rsidR="00591869" w:rsidRPr="00E352CF" w:rsidRDefault="00591869" w:rsidP="00591869">
            <w:pPr>
              <w:pStyle w:val="TableText"/>
              <w:keepNext/>
              <w:jc w:val="center"/>
              <w:rPr>
                <w:i/>
              </w:rPr>
            </w:pPr>
            <w:r w:rsidRPr="00E352CF">
              <w:rPr>
                <w:i/>
              </w:rPr>
              <w:t>-$323,591</w:t>
            </w:r>
          </w:p>
        </w:tc>
      </w:tr>
    </w:tbl>
    <w:bookmarkEnd w:id="59"/>
    <w:p w14:paraId="209F62E3" w14:textId="77777777" w:rsidR="00591869" w:rsidRPr="007C7C8B" w:rsidRDefault="00591869" w:rsidP="00591869">
      <w:pPr>
        <w:pStyle w:val="Tablenotes0"/>
      </w:pPr>
      <w:r w:rsidRPr="007C7C8B">
        <w:t xml:space="preserve">Source: Compiled by the commentary from Tables 4-3 through 4-7 in the ‘ADAR 1689.1 </w:t>
      </w:r>
      <w:proofErr w:type="spellStart"/>
      <w:r w:rsidRPr="007C7C8B">
        <w:t>NTproBNP</w:t>
      </w:r>
      <w:proofErr w:type="spellEnd"/>
      <w:r w:rsidRPr="007C7C8B">
        <w:t xml:space="preserve"> MSAC</w:t>
      </w:r>
      <w:r w:rsidRPr="007C7C8B">
        <w:softHyphen/>
        <w:t>_FINAL’ and MSAC and Table 12</w:t>
      </w:r>
      <w:r>
        <w:t>,</w:t>
      </w:r>
      <w:r w:rsidRPr="007C7C8B">
        <w:t xml:space="preserve"> </w:t>
      </w:r>
      <w:proofErr w:type="spellStart"/>
      <w:r>
        <w:t>pg</w:t>
      </w:r>
      <w:proofErr w:type="spellEnd"/>
      <w:r>
        <w:t xml:space="preserve"> 31 </w:t>
      </w:r>
      <w:r w:rsidRPr="007C7C8B">
        <w:t xml:space="preserve">of </w:t>
      </w:r>
      <w:r>
        <w:t xml:space="preserve">MSAC </w:t>
      </w:r>
      <w:r w:rsidRPr="007C7C8B">
        <w:t xml:space="preserve">1689 PSD </w:t>
      </w:r>
    </w:p>
    <w:p w14:paraId="1DA16041" w14:textId="77777777" w:rsidR="00591869" w:rsidRPr="007C7C8B" w:rsidRDefault="00591869" w:rsidP="00591869">
      <w:pPr>
        <w:pStyle w:val="Tablenotes0"/>
      </w:pPr>
      <w:r w:rsidRPr="007C7C8B">
        <w:t>MBS = Medicare Benefits Schedule; NT-</w:t>
      </w:r>
      <w:proofErr w:type="spellStart"/>
      <w:r w:rsidRPr="007C7C8B">
        <w:t>proBNP</w:t>
      </w:r>
      <w:proofErr w:type="spellEnd"/>
      <w:r w:rsidRPr="007C7C8B" w:rsidDel="00E4612A">
        <w:t xml:space="preserve"> </w:t>
      </w:r>
      <w:r w:rsidRPr="007C7C8B">
        <w:t>N-terminal pro-brain natriuretic peptide; PAH = pulmonary arterial hypertension; PSD = Public Summary Document</w:t>
      </w:r>
      <w:r>
        <w:t>;</w:t>
      </w:r>
      <w:r w:rsidRPr="007C7C8B">
        <w:t xml:space="preserve"> TTE = Transthoracic Echocardiogram</w:t>
      </w:r>
    </w:p>
    <w:p w14:paraId="5912E370" w14:textId="24211E2D" w:rsidR="006C255C" w:rsidRDefault="00591869" w:rsidP="00591869">
      <w:pPr>
        <w:pStyle w:val="Tablenotes0"/>
        <w:rPr>
          <w:iCs/>
        </w:rPr>
      </w:pPr>
      <w:r w:rsidRPr="007C7C8B">
        <w:rPr>
          <w:iCs/>
          <w:vertAlign w:val="superscript"/>
        </w:rPr>
        <w:t>a</w:t>
      </w:r>
      <w:r w:rsidRPr="007C7C8B">
        <w:rPr>
          <w:iCs/>
        </w:rPr>
        <w:t xml:space="preserve"> </w:t>
      </w:r>
      <w:r w:rsidR="004A095D">
        <w:rPr>
          <w:iCs/>
        </w:rPr>
        <w:t xml:space="preserve">The approach used </w:t>
      </w:r>
      <w:r w:rsidR="004A095D" w:rsidRPr="004A095D">
        <w:rPr>
          <w:iCs/>
        </w:rPr>
        <w:t>to project patient numbers in subsequent years</w:t>
      </w:r>
      <w:r w:rsidR="004A095D">
        <w:rPr>
          <w:iCs/>
        </w:rPr>
        <w:t xml:space="preserve"> in ADAR 1689.1 was different</w:t>
      </w:r>
      <w:r w:rsidR="004A095D" w:rsidRPr="004A095D">
        <w:rPr>
          <w:iCs/>
        </w:rPr>
        <w:t xml:space="preserve"> </w:t>
      </w:r>
      <w:r w:rsidR="004A095D">
        <w:rPr>
          <w:iCs/>
        </w:rPr>
        <w:t>compared to the initial ADAR 1689</w:t>
      </w:r>
      <w:r w:rsidR="004A095D" w:rsidRPr="004A095D">
        <w:rPr>
          <w:iCs/>
        </w:rPr>
        <w:t>, resulting in substantially lower patient numbers in Years 4−6</w:t>
      </w:r>
      <w:r w:rsidR="004A095D">
        <w:rPr>
          <w:iCs/>
        </w:rPr>
        <w:t xml:space="preserve">. </w:t>
      </w:r>
    </w:p>
    <w:p w14:paraId="52F66385" w14:textId="4466E1FC" w:rsidR="00591869" w:rsidRPr="007C7C8B" w:rsidRDefault="006C255C" w:rsidP="00591869">
      <w:pPr>
        <w:pStyle w:val="Tablenotes0"/>
        <w:rPr>
          <w:iCs/>
        </w:rPr>
      </w:pPr>
      <w:r w:rsidRPr="006C255C">
        <w:rPr>
          <w:iCs/>
          <w:vertAlign w:val="superscript"/>
        </w:rPr>
        <w:t>b</w:t>
      </w:r>
      <w:r>
        <w:rPr>
          <w:iCs/>
        </w:rPr>
        <w:t xml:space="preserve"> </w:t>
      </w:r>
      <w:r w:rsidR="00591869" w:rsidRPr="007C7C8B">
        <w:rPr>
          <w:iCs/>
        </w:rPr>
        <w:t>In the initial ADAR 1689, net financial impact was reported as a total sum for the Population 1 and Population 2. This is calculated by adding the cost of NT-</w:t>
      </w:r>
      <w:proofErr w:type="spellStart"/>
      <w:r w:rsidR="00591869" w:rsidRPr="007C7C8B">
        <w:rPr>
          <w:iCs/>
        </w:rPr>
        <w:t>proBNP</w:t>
      </w:r>
      <w:proofErr w:type="spellEnd"/>
      <w:r w:rsidR="00591869" w:rsidRPr="007C7C8B">
        <w:rPr>
          <w:iCs/>
        </w:rPr>
        <w:t xml:space="preserve"> to the MBS (Row J in Table 4-5) and the total cost changed to MBS due to reduced TTE testing (Row H in Table 4-6).</w:t>
      </w:r>
    </w:p>
    <w:p w14:paraId="5154D136" w14:textId="618D49B2" w:rsidR="00591869" w:rsidRDefault="00591869" w:rsidP="00591869">
      <w:pPr>
        <w:pStyle w:val="Tablenotes0"/>
        <w:rPr>
          <w:i/>
        </w:rPr>
      </w:pPr>
      <w:r w:rsidRPr="007C7C8B">
        <w:rPr>
          <w:i/>
          <w:iCs/>
        </w:rPr>
        <w:t>Note: F</w:t>
      </w:r>
      <w:r w:rsidRPr="007C7C8B">
        <w:rPr>
          <w:i/>
        </w:rPr>
        <w:t>igures in italics are calculated during evaluation.</w:t>
      </w:r>
    </w:p>
    <w:p w14:paraId="29260810" w14:textId="77777777" w:rsidR="0005562C" w:rsidRDefault="0005562C" w:rsidP="0005562C">
      <w:pPr>
        <w:pStyle w:val="Instructionaltext-afterfiguretable"/>
        <w:rPr>
          <w:color w:val="auto"/>
        </w:rPr>
      </w:pPr>
      <w:r w:rsidRPr="00550E29">
        <w:rPr>
          <w:i/>
          <w:iCs/>
          <w:color w:val="auto"/>
        </w:rPr>
        <w:lastRenderedPageBreak/>
        <w:t>In its pre-MSAC submission the applicant noted that a revised base case based on 10% PBS script data would still result in cost savings to the MBS in each year of the forward estimates period, specifically in total cost savings of $2.3 million over the 6 year forward estimates</w:t>
      </w:r>
      <w:r>
        <w:rPr>
          <w:color w:val="auto"/>
        </w:rPr>
        <w:t xml:space="preserve">. </w:t>
      </w:r>
    </w:p>
    <w:p w14:paraId="045123A2" w14:textId="71E94F3C" w:rsidR="00815C38" w:rsidRPr="007C7C8B" w:rsidRDefault="00815C38" w:rsidP="00815C38">
      <w:r w:rsidRPr="001A4B85" w:rsidDel="004E22FE">
        <w:rPr>
          <w:color w:val="000000" w:themeColor="text1"/>
        </w:rPr>
        <w:t>The</w:t>
      </w:r>
      <w:r w:rsidRPr="001A4B85" w:rsidDel="004E22FE">
        <w:t xml:space="preserve"> sensitivity analyses presented in the </w:t>
      </w:r>
      <w:r w:rsidDel="004E22FE">
        <w:t>re</w:t>
      </w:r>
      <w:r w:rsidRPr="001A4B85" w:rsidDel="004E22FE">
        <w:t xml:space="preserve">submission showed that </w:t>
      </w:r>
      <w:r w:rsidDel="004E22FE">
        <w:t xml:space="preserve">majority of the </w:t>
      </w:r>
      <w:r w:rsidRPr="001A4B85" w:rsidDel="004E22FE">
        <w:t xml:space="preserve">scenarios resulted in net financial savings. </w:t>
      </w:r>
      <w:r w:rsidDel="004E22FE">
        <w:t xml:space="preserve">However, this may not be realised </w:t>
      </w:r>
      <w:r w:rsidRPr="00434DDB" w:rsidDel="004E22FE">
        <w:t>if NT-</w:t>
      </w:r>
      <w:proofErr w:type="spellStart"/>
      <w:r w:rsidRPr="00434DDB" w:rsidDel="004E22FE">
        <w:t>proBNP</w:t>
      </w:r>
      <w:proofErr w:type="spellEnd"/>
      <w:r w:rsidRPr="00434DDB" w:rsidDel="004E22FE">
        <w:t xml:space="preserve"> assessment is conducted more frequently than TTE</w:t>
      </w:r>
      <w:r w:rsidDel="004E22FE">
        <w:t xml:space="preserve"> (i.e. </w:t>
      </w:r>
      <w:r w:rsidR="00CE695D">
        <w:t xml:space="preserve">as in all of the analyses the ADAR has assumed the same frequency </w:t>
      </w:r>
      <w:bookmarkStart w:id="61" w:name="_Hlk134023954"/>
      <w:r w:rsidR="00CE695D">
        <w:t>of assessment for TTE as for NT-</w:t>
      </w:r>
      <w:proofErr w:type="spellStart"/>
      <w:r w:rsidR="00CE695D">
        <w:t>proBNP</w:t>
      </w:r>
      <w:bookmarkEnd w:id="61"/>
      <w:proofErr w:type="spellEnd"/>
      <w:r w:rsidDel="004E22FE">
        <w:t xml:space="preserve">), or the reduction in use of TTE </w:t>
      </w:r>
      <w:r w:rsidRPr="00E35758" w:rsidDel="004E22FE">
        <w:t>(</w:t>
      </w:r>
      <w:r>
        <w:t>of</w:t>
      </w:r>
      <w:r w:rsidRPr="00E35758" w:rsidDel="004E22FE">
        <w:t xml:space="preserve"> two TTE</w:t>
      </w:r>
      <w:r>
        <w:t>s</w:t>
      </w:r>
      <w:r w:rsidRPr="00E35758" w:rsidDel="004E22FE">
        <w:t xml:space="preserve"> per year)</w:t>
      </w:r>
      <w:r w:rsidDel="004E22FE">
        <w:t xml:space="preserve"> occurs in at least </w:t>
      </w:r>
      <w:r>
        <w:t>48.8</w:t>
      </w:r>
      <w:r w:rsidDel="004E22FE">
        <w:t xml:space="preserve">% of PAH patients. </w:t>
      </w:r>
    </w:p>
    <w:p w14:paraId="02734095" w14:textId="11F4C05E" w:rsidR="00E60C46" w:rsidRPr="002A3780" w:rsidRDefault="00FA2B1C" w:rsidP="00E60C46">
      <w:pPr>
        <w:pStyle w:val="Caption"/>
      </w:pPr>
      <w:bookmarkStart w:id="62" w:name="_Hlk134017362"/>
      <w:bookmarkStart w:id="63" w:name="_Toc131604320"/>
      <w:r>
        <w:t xml:space="preserve">Table </w:t>
      </w:r>
      <w:r w:rsidR="00DD62DD">
        <w:fldChar w:fldCharType="begin"/>
      </w:r>
      <w:r w:rsidR="00DD62DD">
        <w:instrText xml:space="preserve"> SEQ Table \* ARABIC </w:instrText>
      </w:r>
      <w:r w:rsidR="00DD62DD">
        <w:fldChar w:fldCharType="separate"/>
      </w:r>
      <w:r>
        <w:rPr>
          <w:noProof/>
        </w:rPr>
        <w:t>14</w:t>
      </w:r>
      <w:r w:rsidR="00DD62DD">
        <w:rPr>
          <w:noProof/>
        </w:rPr>
        <w:fldChar w:fldCharType="end"/>
      </w:r>
      <w:bookmarkEnd w:id="62"/>
      <w:r w:rsidR="00D24ACE">
        <w:rPr>
          <w:noProof/>
        </w:rPr>
        <w:t xml:space="preserve"> </w:t>
      </w:r>
      <w:r w:rsidR="00A20E1C">
        <w:rPr>
          <w:noProof/>
        </w:rPr>
        <w:t>S</w:t>
      </w:r>
      <w:r w:rsidR="00E60C46">
        <w:rPr>
          <w:noProof/>
        </w:rPr>
        <w:t>ensitivity analyses</w:t>
      </w:r>
      <w:r w:rsidR="00A20E1C">
        <w:rPr>
          <w:noProof/>
        </w:rPr>
        <w:t xml:space="preserve"> around ADAR Base Case vs TTE</w:t>
      </w:r>
    </w:p>
    <w:tbl>
      <w:tblPr>
        <w:tblStyle w:val="TableGrid1"/>
        <w:tblW w:w="5000" w:type="pct"/>
        <w:tblLook w:val="04A0" w:firstRow="1" w:lastRow="0" w:firstColumn="1" w:lastColumn="0" w:noHBand="0" w:noVBand="1"/>
      </w:tblPr>
      <w:tblGrid>
        <w:gridCol w:w="3110"/>
        <w:gridCol w:w="984"/>
        <w:gridCol w:w="984"/>
        <w:gridCol w:w="985"/>
        <w:gridCol w:w="985"/>
        <w:gridCol w:w="985"/>
        <w:gridCol w:w="983"/>
      </w:tblGrid>
      <w:tr w:rsidR="00E60C46" w:rsidRPr="00053565" w14:paraId="2545ABEE" w14:textId="77777777" w:rsidTr="00A50436">
        <w:trPr>
          <w:cnfStyle w:val="100000000000" w:firstRow="1" w:lastRow="0" w:firstColumn="0" w:lastColumn="0" w:oddVBand="0" w:evenVBand="0" w:oddHBand="0" w:evenHBand="0" w:firstRowFirstColumn="0" w:firstRowLastColumn="0" w:lastRowFirstColumn="0" w:lastRowLastColumn="0"/>
          <w:tblHeader/>
        </w:trPr>
        <w:tc>
          <w:tcPr>
            <w:tcW w:w="1725" w:type="pct"/>
            <w:shd w:val="pct20" w:color="auto" w:fill="auto"/>
            <w:vAlign w:val="center"/>
          </w:tcPr>
          <w:p w14:paraId="3671D52C" w14:textId="77777777" w:rsidR="00E60C46" w:rsidRPr="00053565" w:rsidRDefault="00E60C46" w:rsidP="000D72A9">
            <w:pPr>
              <w:pStyle w:val="TableHeading"/>
            </w:pPr>
            <w:r w:rsidRPr="00053565">
              <w:t>Data</w:t>
            </w:r>
          </w:p>
        </w:tc>
        <w:tc>
          <w:tcPr>
            <w:tcW w:w="546" w:type="pct"/>
            <w:shd w:val="pct20" w:color="auto" w:fill="auto"/>
            <w:vAlign w:val="center"/>
          </w:tcPr>
          <w:p w14:paraId="480BC1F7" w14:textId="77777777" w:rsidR="00E60C46" w:rsidRPr="00053565" w:rsidRDefault="00E60C46" w:rsidP="000D72A9">
            <w:pPr>
              <w:pStyle w:val="TableHeading"/>
            </w:pPr>
            <w:r w:rsidRPr="00053565">
              <w:t>Year 1</w:t>
            </w:r>
          </w:p>
          <w:p w14:paraId="061CF76D" w14:textId="77777777" w:rsidR="00E60C46" w:rsidRPr="00053565" w:rsidRDefault="00E60C46" w:rsidP="000D72A9">
            <w:pPr>
              <w:pStyle w:val="TableHeading"/>
            </w:pPr>
            <w:r w:rsidRPr="00053565">
              <w:t>2024</w:t>
            </w:r>
          </w:p>
        </w:tc>
        <w:tc>
          <w:tcPr>
            <w:tcW w:w="546" w:type="pct"/>
            <w:shd w:val="pct20" w:color="auto" w:fill="auto"/>
            <w:vAlign w:val="center"/>
          </w:tcPr>
          <w:p w14:paraId="204CCA25" w14:textId="77777777" w:rsidR="00E60C46" w:rsidRPr="00053565" w:rsidRDefault="00E60C46" w:rsidP="000D72A9">
            <w:pPr>
              <w:pStyle w:val="TableHeading"/>
            </w:pPr>
            <w:r w:rsidRPr="00053565">
              <w:t>Year 2</w:t>
            </w:r>
          </w:p>
          <w:p w14:paraId="3CF3B419" w14:textId="77777777" w:rsidR="00E60C46" w:rsidRPr="00053565" w:rsidRDefault="00E60C46" w:rsidP="000D72A9">
            <w:pPr>
              <w:pStyle w:val="TableHeading"/>
            </w:pPr>
            <w:r w:rsidRPr="00053565">
              <w:t>2025</w:t>
            </w:r>
          </w:p>
        </w:tc>
        <w:tc>
          <w:tcPr>
            <w:tcW w:w="546" w:type="pct"/>
            <w:shd w:val="pct20" w:color="auto" w:fill="auto"/>
            <w:vAlign w:val="center"/>
          </w:tcPr>
          <w:p w14:paraId="6C5107EF" w14:textId="77777777" w:rsidR="00E60C46" w:rsidRPr="00053565" w:rsidRDefault="00E60C46" w:rsidP="000D72A9">
            <w:pPr>
              <w:pStyle w:val="TableHeading"/>
            </w:pPr>
            <w:r w:rsidRPr="00053565">
              <w:t>Year 3</w:t>
            </w:r>
          </w:p>
          <w:p w14:paraId="7BAA4864" w14:textId="77777777" w:rsidR="00E60C46" w:rsidRPr="00053565" w:rsidRDefault="00E60C46" w:rsidP="000D72A9">
            <w:pPr>
              <w:pStyle w:val="TableHeading"/>
            </w:pPr>
            <w:r w:rsidRPr="00053565">
              <w:t>2026</w:t>
            </w:r>
          </w:p>
        </w:tc>
        <w:tc>
          <w:tcPr>
            <w:tcW w:w="546" w:type="pct"/>
            <w:shd w:val="pct20" w:color="auto" w:fill="auto"/>
            <w:vAlign w:val="center"/>
          </w:tcPr>
          <w:p w14:paraId="4EA82C2C" w14:textId="77777777" w:rsidR="00E60C46" w:rsidRPr="00053565" w:rsidRDefault="00E60C46" w:rsidP="000D72A9">
            <w:pPr>
              <w:pStyle w:val="TableHeading"/>
            </w:pPr>
            <w:r w:rsidRPr="00053565">
              <w:t>Year 4</w:t>
            </w:r>
          </w:p>
          <w:p w14:paraId="24B379F7" w14:textId="77777777" w:rsidR="00E60C46" w:rsidRPr="00053565" w:rsidRDefault="00E60C46" w:rsidP="000D72A9">
            <w:pPr>
              <w:pStyle w:val="TableHeading"/>
            </w:pPr>
            <w:r w:rsidRPr="00053565">
              <w:t>2027</w:t>
            </w:r>
          </w:p>
        </w:tc>
        <w:tc>
          <w:tcPr>
            <w:tcW w:w="546" w:type="pct"/>
            <w:shd w:val="pct20" w:color="auto" w:fill="auto"/>
            <w:vAlign w:val="center"/>
          </w:tcPr>
          <w:p w14:paraId="145AB460" w14:textId="77777777" w:rsidR="00E60C46" w:rsidRPr="00053565" w:rsidRDefault="00E60C46" w:rsidP="000D72A9">
            <w:pPr>
              <w:pStyle w:val="TableHeading"/>
            </w:pPr>
            <w:r w:rsidRPr="00053565">
              <w:t>Year 5</w:t>
            </w:r>
          </w:p>
          <w:p w14:paraId="76C690D4" w14:textId="77777777" w:rsidR="00E60C46" w:rsidRPr="00053565" w:rsidRDefault="00E60C46" w:rsidP="000D72A9">
            <w:pPr>
              <w:pStyle w:val="TableHeading"/>
            </w:pPr>
            <w:r w:rsidRPr="00053565">
              <w:t>2028</w:t>
            </w:r>
          </w:p>
        </w:tc>
        <w:tc>
          <w:tcPr>
            <w:tcW w:w="545" w:type="pct"/>
            <w:shd w:val="pct20" w:color="auto" w:fill="auto"/>
            <w:vAlign w:val="center"/>
          </w:tcPr>
          <w:p w14:paraId="3AAEF992" w14:textId="77777777" w:rsidR="00E60C46" w:rsidRPr="00053565" w:rsidRDefault="00E60C46" w:rsidP="000D72A9">
            <w:pPr>
              <w:pStyle w:val="TableHeading"/>
            </w:pPr>
            <w:r w:rsidRPr="00053565">
              <w:t>Year 6</w:t>
            </w:r>
          </w:p>
          <w:p w14:paraId="65A926E2" w14:textId="77777777" w:rsidR="00E60C46" w:rsidRPr="00053565" w:rsidRDefault="00E60C46" w:rsidP="000D72A9">
            <w:pPr>
              <w:pStyle w:val="TableHeading"/>
            </w:pPr>
            <w:r w:rsidRPr="00053565">
              <w:t>2029</w:t>
            </w:r>
          </w:p>
        </w:tc>
      </w:tr>
      <w:tr w:rsidR="00E60C46" w:rsidRPr="007C2948" w14:paraId="7B6888EA" w14:textId="77777777" w:rsidTr="00A50436">
        <w:trPr>
          <w:cnfStyle w:val="100000000000" w:firstRow="1" w:lastRow="0" w:firstColumn="0" w:lastColumn="0" w:oddVBand="0" w:evenVBand="0" w:oddHBand="0" w:evenHBand="0" w:firstRowFirstColumn="0" w:firstRowLastColumn="0" w:lastRowFirstColumn="0" w:lastRowLastColumn="0"/>
          <w:tblHeader/>
        </w:trPr>
        <w:tc>
          <w:tcPr>
            <w:tcW w:w="1725" w:type="pct"/>
            <w:vAlign w:val="center"/>
          </w:tcPr>
          <w:p w14:paraId="7CE19EA7" w14:textId="77777777" w:rsidR="00E60C46" w:rsidRPr="007C2948" w:rsidRDefault="00E60C46" w:rsidP="000D72A9">
            <w:pPr>
              <w:pStyle w:val="TableText"/>
              <w:rPr>
                <w:b/>
              </w:rPr>
            </w:pPr>
            <w:r w:rsidRPr="007C2948">
              <w:rPr>
                <w:b/>
              </w:rPr>
              <w:t>Base case</w:t>
            </w:r>
          </w:p>
          <w:p w14:paraId="6A1AF6D0" w14:textId="48F69AA9" w:rsidR="00384ADC" w:rsidRPr="00744E35" w:rsidRDefault="00384ADC" w:rsidP="00384ADC">
            <w:pPr>
              <w:pStyle w:val="TableText"/>
              <w:numPr>
                <w:ilvl w:val="0"/>
                <w:numId w:val="25"/>
              </w:numPr>
              <w:rPr>
                <w:b/>
              </w:rPr>
            </w:pPr>
            <w:r w:rsidRPr="00744E35">
              <w:rPr>
                <w:b/>
              </w:rPr>
              <w:t xml:space="preserve">Follow-up interval: </w:t>
            </w:r>
            <w:r>
              <w:rPr>
                <w:b/>
              </w:rPr>
              <w:t>3</w:t>
            </w:r>
            <w:r w:rsidRPr="00744E35">
              <w:rPr>
                <w:b/>
              </w:rPr>
              <w:t xml:space="preserve"> months</w:t>
            </w:r>
          </w:p>
          <w:p w14:paraId="7625279B" w14:textId="77777777" w:rsidR="00E60C46" w:rsidRPr="0091245F" w:rsidRDefault="00E60C46" w:rsidP="00E60C46">
            <w:pPr>
              <w:pStyle w:val="TableText"/>
              <w:numPr>
                <w:ilvl w:val="0"/>
                <w:numId w:val="25"/>
              </w:numPr>
              <w:rPr>
                <w:bCs/>
              </w:rPr>
            </w:pPr>
            <w:r w:rsidRPr="0091245F">
              <w:rPr>
                <w:bCs/>
              </w:rPr>
              <w:t>Rate of clinical worsening: 25%</w:t>
            </w:r>
          </w:p>
          <w:p w14:paraId="0A6D528F" w14:textId="77777777" w:rsidR="00E60C46" w:rsidRPr="007C2948" w:rsidRDefault="00E60C46" w:rsidP="00E60C46">
            <w:pPr>
              <w:pStyle w:val="TableText"/>
              <w:numPr>
                <w:ilvl w:val="0"/>
                <w:numId w:val="25"/>
              </w:numPr>
              <w:rPr>
                <w:b/>
              </w:rPr>
            </w:pPr>
            <w:r w:rsidRPr="0091245F">
              <w:rPr>
                <w:bCs/>
              </w:rPr>
              <w:t>Uptake rate: 90%</w:t>
            </w:r>
          </w:p>
        </w:tc>
        <w:tc>
          <w:tcPr>
            <w:tcW w:w="546" w:type="pct"/>
            <w:vAlign w:val="center"/>
          </w:tcPr>
          <w:p w14:paraId="1F04E522" w14:textId="77777777" w:rsidR="00E60C46" w:rsidRPr="00E60C46" w:rsidRDefault="00E60C46" w:rsidP="00E60C46">
            <w:pPr>
              <w:pStyle w:val="TableText"/>
              <w:jc w:val="right"/>
              <w:rPr>
                <w:b/>
              </w:rPr>
            </w:pPr>
            <w:r w:rsidRPr="00E60C46">
              <w:rPr>
                <w:b/>
              </w:rPr>
              <w:t>-$232,674</w:t>
            </w:r>
          </w:p>
        </w:tc>
        <w:tc>
          <w:tcPr>
            <w:tcW w:w="546" w:type="pct"/>
            <w:vAlign w:val="center"/>
          </w:tcPr>
          <w:p w14:paraId="19D71123" w14:textId="77777777" w:rsidR="00E60C46" w:rsidRPr="00E60C46" w:rsidRDefault="00E60C46" w:rsidP="00E60C46">
            <w:pPr>
              <w:pStyle w:val="TableText"/>
              <w:jc w:val="right"/>
              <w:rPr>
                <w:b/>
              </w:rPr>
            </w:pPr>
            <w:r w:rsidRPr="00E60C46">
              <w:rPr>
                <w:b/>
              </w:rPr>
              <w:t>-$282,810</w:t>
            </w:r>
          </w:p>
        </w:tc>
        <w:tc>
          <w:tcPr>
            <w:tcW w:w="546" w:type="pct"/>
            <w:vAlign w:val="center"/>
          </w:tcPr>
          <w:p w14:paraId="6AB91FA3" w14:textId="77777777" w:rsidR="00E60C46" w:rsidRPr="00E60C46" w:rsidRDefault="00E60C46" w:rsidP="00E60C46">
            <w:pPr>
              <w:pStyle w:val="TableText"/>
              <w:jc w:val="right"/>
              <w:rPr>
                <w:b/>
              </w:rPr>
            </w:pPr>
            <w:r w:rsidRPr="00E60C46">
              <w:rPr>
                <w:b/>
              </w:rPr>
              <w:t>-$337,111</w:t>
            </w:r>
          </w:p>
        </w:tc>
        <w:tc>
          <w:tcPr>
            <w:tcW w:w="546" w:type="pct"/>
            <w:vAlign w:val="center"/>
          </w:tcPr>
          <w:p w14:paraId="5AFFABB2" w14:textId="77777777" w:rsidR="00E60C46" w:rsidRPr="00E60C46" w:rsidRDefault="00E60C46" w:rsidP="00E60C46">
            <w:pPr>
              <w:pStyle w:val="TableText"/>
              <w:jc w:val="right"/>
              <w:rPr>
                <w:b/>
              </w:rPr>
            </w:pPr>
            <w:r w:rsidRPr="00E60C46">
              <w:rPr>
                <w:b/>
              </w:rPr>
              <w:t>-$341,929</w:t>
            </w:r>
          </w:p>
        </w:tc>
        <w:tc>
          <w:tcPr>
            <w:tcW w:w="546" w:type="pct"/>
            <w:vAlign w:val="center"/>
          </w:tcPr>
          <w:p w14:paraId="1D6AB2B1" w14:textId="77777777" w:rsidR="00E60C46" w:rsidRPr="00E60C46" w:rsidRDefault="00E60C46" w:rsidP="00E60C46">
            <w:pPr>
              <w:pStyle w:val="TableText"/>
              <w:jc w:val="right"/>
              <w:rPr>
                <w:b/>
              </w:rPr>
            </w:pPr>
            <w:r w:rsidRPr="00E60C46">
              <w:rPr>
                <w:b/>
              </w:rPr>
              <w:t>-$346,657</w:t>
            </w:r>
          </w:p>
        </w:tc>
        <w:tc>
          <w:tcPr>
            <w:tcW w:w="545" w:type="pct"/>
            <w:vAlign w:val="center"/>
          </w:tcPr>
          <w:p w14:paraId="215600C7" w14:textId="77777777" w:rsidR="00E60C46" w:rsidRPr="00E60C46" w:rsidRDefault="00E60C46" w:rsidP="00E60C46">
            <w:pPr>
              <w:pStyle w:val="TableText"/>
              <w:jc w:val="right"/>
              <w:rPr>
                <w:b/>
              </w:rPr>
            </w:pPr>
            <w:r w:rsidRPr="00E60C46">
              <w:rPr>
                <w:b/>
              </w:rPr>
              <w:t>-$351,359</w:t>
            </w:r>
          </w:p>
        </w:tc>
      </w:tr>
      <w:tr w:rsidR="00A50436" w:rsidRPr="00053565" w14:paraId="243064F6" w14:textId="77777777" w:rsidTr="000D72A9">
        <w:trPr>
          <w:cnfStyle w:val="100000000000" w:firstRow="1" w:lastRow="0" w:firstColumn="0" w:lastColumn="0" w:oddVBand="0" w:evenVBand="0" w:oddHBand="0" w:evenHBand="0" w:firstRowFirstColumn="0" w:firstRowLastColumn="0" w:lastRowFirstColumn="0" w:lastRowLastColumn="0"/>
          <w:tblHeader/>
        </w:trPr>
        <w:tc>
          <w:tcPr>
            <w:tcW w:w="5000" w:type="pct"/>
            <w:gridSpan w:val="7"/>
            <w:vAlign w:val="center"/>
          </w:tcPr>
          <w:p w14:paraId="745962CE" w14:textId="77777777" w:rsidR="00A50436" w:rsidRPr="00E60C46" w:rsidRDefault="00A50436" w:rsidP="00A50436">
            <w:pPr>
              <w:pStyle w:val="TableText"/>
              <w:rPr>
                <w:b/>
              </w:rPr>
            </w:pPr>
            <w:r w:rsidRPr="00E60C46">
              <w:rPr>
                <w:b/>
              </w:rPr>
              <w:t>Change in rate of clinical worsening (sensitivity analyses)</w:t>
            </w:r>
          </w:p>
        </w:tc>
      </w:tr>
      <w:tr w:rsidR="00A50436" w:rsidRPr="00053565" w14:paraId="3BBCF4A2" w14:textId="77777777" w:rsidTr="00A50436">
        <w:trPr>
          <w:cnfStyle w:val="100000000000" w:firstRow="1" w:lastRow="0" w:firstColumn="0" w:lastColumn="0" w:oddVBand="0" w:evenVBand="0" w:oddHBand="0" w:evenHBand="0" w:firstRowFirstColumn="0" w:firstRowLastColumn="0" w:lastRowFirstColumn="0" w:lastRowLastColumn="0"/>
          <w:tblHeader/>
        </w:trPr>
        <w:tc>
          <w:tcPr>
            <w:tcW w:w="1725" w:type="pct"/>
            <w:vAlign w:val="center"/>
          </w:tcPr>
          <w:p w14:paraId="6F9DE909" w14:textId="77777777" w:rsidR="00A50436" w:rsidRPr="00053565" w:rsidRDefault="00A50436" w:rsidP="00A50436">
            <w:pPr>
              <w:pStyle w:val="TableText"/>
              <w:rPr>
                <w:bCs/>
              </w:rPr>
            </w:pPr>
            <w:r w:rsidRPr="00053565">
              <w:rPr>
                <w:bCs/>
              </w:rPr>
              <w:t>Rate of clinical worsening: 35%</w:t>
            </w:r>
          </w:p>
        </w:tc>
        <w:tc>
          <w:tcPr>
            <w:tcW w:w="546" w:type="pct"/>
            <w:vAlign w:val="center"/>
          </w:tcPr>
          <w:p w14:paraId="1801FCE7" w14:textId="77777777" w:rsidR="00A50436" w:rsidRPr="00E60C46" w:rsidRDefault="00A50436" w:rsidP="00A50436">
            <w:pPr>
              <w:pStyle w:val="TableText"/>
              <w:jc w:val="right"/>
              <w:rPr>
                <w:rFonts w:cs="Calibri"/>
                <w:bCs/>
              </w:rPr>
            </w:pPr>
            <w:r w:rsidRPr="00E60C46">
              <w:t>-$143,994</w:t>
            </w:r>
          </w:p>
        </w:tc>
        <w:tc>
          <w:tcPr>
            <w:tcW w:w="546" w:type="pct"/>
            <w:vAlign w:val="center"/>
          </w:tcPr>
          <w:p w14:paraId="1F4FDC7F" w14:textId="77777777" w:rsidR="00A50436" w:rsidRPr="00E60C46" w:rsidRDefault="00A50436" w:rsidP="00A50436">
            <w:pPr>
              <w:pStyle w:val="TableText"/>
              <w:jc w:val="right"/>
              <w:rPr>
                <w:rFonts w:cs="Calibri"/>
                <w:bCs/>
              </w:rPr>
            </w:pPr>
            <w:r w:rsidRPr="00E60C46">
              <w:t>-$175,021</w:t>
            </w:r>
          </w:p>
        </w:tc>
        <w:tc>
          <w:tcPr>
            <w:tcW w:w="546" w:type="pct"/>
            <w:vAlign w:val="center"/>
          </w:tcPr>
          <w:p w14:paraId="55CABEEA" w14:textId="77777777" w:rsidR="00A50436" w:rsidRPr="00E60C46" w:rsidRDefault="00A50436" w:rsidP="00A50436">
            <w:pPr>
              <w:pStyle w:val="TableText"/>
              <w:jc w:val="right"/>
              <w:rPr>
                <w:rFonts w:cs="Calibri"/>
                <w:bCs/>
              </w:rPr>
            </w:pPr>
            <w:r w:rsidRPr="00E60C46">
              <w:t>-$208,627</w:t>
            </w:r>
          </w:p>
        </w:tc>
        <w:tc>
          <w:tcPr>
            <w:tcW w:w="546" w:type="pct"/>
            <w:vAlign w:val="center"/>
          </w:tcPr>
          <w:p w14:paraId="5E0AFB7C" w14:textId="77777777" w:rsidR="00A50436" w:rsidRPr="00E60C46" w:rsidRDefault="00A50436" w:rsidP="00A50436">
            <w:pPr>
              <w:pStyle w:val="TableText"/>
              <w:jc w:val="right"/>
              <w:rPr>
                <w:rFonts w:cs="Calibri"/>
                <w:bCs/>
              </w:rPr>
            </w:pPr>
            <w:r w:rsidRPr="00E60C46">
              <w:t>-$211,608</w:t>
            </w:r>
          </w:p>
        </w:tc>
        <w:tc>
          <w:tcPr>
            <w:tcW w:w="546" w:type="pct"/>
            <w:vAlign w:val="center"/>
          </w:tcPr>
          <w:p w14:paraId="665EB423" w14:textId="77777777" w:rsidR="00A50436" w:rsidRPr="00E60C46" w:rsidRDefault="00A50436" w:rsidP="00A50436">
            <w:pPr>
              <w:pStyle w:val="TableText"/>
              <w:jc w:val="right"/>
              <w:rPr>
                <w:rFonts w:cs="Calibri"/>
                <w:bCs/>
              </w:rPr>
            </w:pPr>
            <w:r w:rsidRPr="00E60C46">
              <w:t>-$214,534</w:t>
            </w:r>
          </w:p>
        </w:tc>
        <w:tc>
          <w:tcPr>
            <w:tcW w:w="545" w:type="pct"/>
            <w:vAlign w:val="center"/>
          </w:tcPr>
          <w:p w14:paraId="5A3198BA" w14:textId="77777777" w:rsidR="00A50436" w:rsidRPr="00E60C46" w:rsidRDefault="00A50436" w:rsidP="00A50436">
            <w:pPr>
              <w:pStyle w:val="TableText"/>
              <w:jc w:val="right"/>
              <w:rPr>
                <w:rFonts w:cs="Calibri"/>
                <w:bCs/>
              </w:rPr>
            </w:pPr>
            <w:r w:rsidRPr="00E60C46">
              <w:t>-$217,444</w:t>
            </w:r>
          </w:p>
        </w:tc>
      </w:tr>
      <w:tr w:rsidR="00A50436" w:rsidRPr="00053565" w14:paraId="2E4BA023" w14:textId="77777777" w:rsidTr="00A50436">
        <w:trPr>
          <w:cnfStyle w:val="100000000000" w:firstRow="1" w:lastRow="0" w:firstColumn="0" w:lastColumn="0" w:oddVBand="0" w:evenVBand="0" w:oddHBand="0" w:evenHBand="0" w:firstRowFirstColumn="0" w:firstRowLastColumn="0" w:lastRowFirstColumn="0" w:lastRowLastColumn="0"/>
          <w:tblHeader/>
        </w:trPr>
        <w:tc>
          <w:tcPr>
            <w:tcW w:w="1725" w:type="pct"/>
            <w:vAlign w:val="center"/>
          </w:tcPr>
          <w:p w14:paraId="5B01B541" w14:textId="77777777" w:rsidR="00A50436" w:rsidRPr="00053565" w:rsidRDefault="00A50436" w:rsidP="00A50436">
            <w:pPr>
              <w:pStyle w:val="TableText"/>
              <w:rPr>
                <w:bCs/>
              </w:rPr>
            </w:pPr>
            <w:r w:rsidRPr="00053565">
              <w:rPr>
                <w:bCs/>
              </w:rPr>
              <w:t>Rate of clinical worsening: 50%</w:t>
            </w:r>
          </w:p>
        </w:tc>
        <w:tc>
          <w:tcPr>
            <w:tcW w:w="546" w:type="pct"/>
            <w:vAlign w:val="center"/>
          </w:tcPr>
          <w:p w14:paraId="6B93669D" w14:textId="77777777" w:rsidR="00A50436" w:rsidRPr="00E60C46" w:rsidRDefault="00A50436" w:rsidP="00A50436">
            <w:pPr>
              <w:pStyle w:val="TableText"/>
              <w:jc w:val="right"/>
              <w:rPr>
                <w:bCs/>
              </w:rPr>
            </w:pPr>
            <w:r w:rsidRPr="00E60C46">
              <w:t>-$10,974</w:t>
            </w:r>
          </w:p>
        </w:tc>
        <w:tc>
          <w:tcPr>
            <w:tcW w:w="546" w:type="pct"/>
            <w:vAlign w:val="center"/>
          </w:tcPr>
          <w:p w14:paraId="10D47360" w14:textId="77777777" w:rsidR="00A50436" w:rsidRPr="00E60C46" w:rsidRDefault="00A50436" w:rsidP="00A50436">
            <w:pPr>
              <w:pStyle w:val="TableText"/>
              <w:jc w:val="right"/>
              <w:rPr>
                <w:bCs/>
              </w:rPr>
            </w:pPr>
            <w:r w:rsidRPr="00E60C46">
              <w:t>-$13,338</w:t>
            </w:r>
          </w:p>
        </w:tc>
        <w:tc>
          <w:tcPr>
            <w:tcW w:w="546" w:type="pct"/>
            <w:vAlign w:val="center"/>
          </w:tcPr>
          <w:p w14:paraId="415AD15D" w14:textId="77777777" w:rsidR="00A50436" w:rsidRPr="00E60C46" w:rsidRDefault="00A50436" w:rsidP="00A50436">
            <w:pPr>
              <w:pStyle w:val="TableText"/>
              <w:jc w:val="right"/>
              <w:rPr>
                <w:bCs/>
              </w:rPr>
            </w:pPr>
            <w:r w:rsidRPr="00E60C46">
              <w:t>-$15,899</w:t>
            </w:r>
          </w:p>
        </w:tc>
        <w:tc>
          <w:tcPr>
            <w:tcW w:w="546" w:type="pct"/>
            <w:vAlign w:val="center"/>
          </w:tcPr>
          <w:p w14:paraId="541EAC0F" w14:textId="77777777" w:rsidR="00A50436" w:rsidRPr="00E60C46" w:rsidRDefault="00A50436" w:rsidP="00A50436">
            <w:pPr>
              <w:pStyle w:val="TableText"/>
              <w:jc w:val="right"/>
              <w:rPr>
                <w:bCs/>
              </w:rPr>
            </w:pPr>
            <w:r w:rsidRPr="00E60C46">
              <w:t>-$16,126</w:t>
            </w:r>
          </w:p>
        </w:tc>
        <w:tc>
          <w:tcPr>
            <w:tcW w:w="546" w:type="pct"/>
            <w:vAlign w:val="center"/>
          </w:tcPr>
          <w:p w14:paraId="37BB9C08" w14:textId="77777777" w:rsidR="00A50436" w:rsidRPr="00E60C46" w:rsidRDefault="00A50436" w:rsidP="00A50436">
            <w:pPr>
              <w:pStyle w:val="TableText"/>
              <w:jc w:val="right"/>
              <w:rPr>
                <w:bCs/>
              </w:rPr>
            </w:pPr>
            <w:r w:rsidRPr="00E60C46">
              <w:t>-$16,349</w:t>
            </w:r>
          </w:p>
        </w:tc>
        <w:tc>
          <w:tcPr>
            <w:tcW w:w="545" w:type="pct"/>
            <w:vAlign w:val="center"/>
          </w:tcPr>
          <w:p w14:paraId="335DBDEB" w14:textId="77777777" w:rsidR="00A50436" w:rsidRPr="00E60C46" w:rsidRDefault="00A50436" w:rsidP="00A50436">
            <w:pPr>
              <w:pStyle w:val="TableText"/>
              <w:jc w:val="right"/>
              <w:rPr>
                <w:bCs/>
              </w:rPr>
            </w:pPr>
            <w:r w:rsidRPr="00E60C46">
              <w:t>-$16,571</w:t>
            </w:r>
          </w:p>
        </w:tc>
      </w:tr>
      <w:tr w:rsidR="00A50436" w:rsidRPr="00053565" w14:paraId="2F7A82E6" w14:textId="77777777" w:rsidTr="000D72A9">
        <w:trPr>
          <w:cnfStyle w:val="100000000000" w:firstRow="1" w:lastRow="0" w:firstColumn="0" w:lastColumn="0" w:oddVBand="0" w:evenVBand="0" w:oddHBand="0" w:evenHBand="0" w:firstRowFirstColumn="0" w:firstRowLastColumn="0" w:lastRowFirstColumn="0" w:lastRowLastColumn="0"/>
          <w:tblHeader/>
        </w:trPr>
        <w:tc>
          <w:tcPr>
            <w:tcW w:w="5000" w:type="pct"/>
            <w:gridSpan w:val="7"/>
            <w:vAlign w:val="center"/>
          </w:tcPr>
          <w:p w14:paraId="788C0A78" w14:textId="77777777" w:rsidR="00A50436" w:rsidRPr="00E60C46" w:rsidRDefault="00A50436" w:rsidP="000D72A9">
            <w:pPr>
              <w:pStyle w:val="TableText"/>
              <w:rPr>
                <w:b/>
              </w:rPr>
            </w:pPr>
            <w:r w:rsidRPr="00744E35">
              <w:rPr>
                <w:b/>
              </w:rPr>
              <w:t>Follow-up interval</w:t>
            </w:r>
            <w:r w:rsidRPr="00E60C46">
              <w:rPr>
                <w:b/>
              </w:rPr>
              <w:t xml:space="preserve"> (sensitivity analyses)</w:t>
            </w:r>
          </w:p>
        </w:tc>
      </w:tr>
      <w:tr w:rsidR="00A50436" w:rsidRPr="007C2948" w14:paraId="24F1E04D" w14:textId="77777777" w:rsidTr="000D72A9">
        <w:trPr>
          <w:cnfStyle w:val="100000000000" w:firstRow="1" w:lastRow="0" w:firstColumn="0" w:lastColumn="0" w:oddVBand="0" w:evenVBand="0" w:oddHBand="0" w:evenHBand="0" w:firstRowFirstColumn="0" w:firstRowLastColumn="0" w:lastRowFirstColumn="0" w:lastRowLastColumn="0"/>
          <w:tblHeader/>
        </w:trPr>
        <w:tc>
          <w:tcPr>
            <w:tcW w:w="1725" w:type="pct"/>
            <w:vAlign w:val="center"/>
          </w:tcPr>
          <w:p w14:paraId="09FC7B36" w14:textId="77777777" w:rsidR="00A50436" w:rsidRPr="008F0360" w:rsidRDefault="00A50436" w:rsidP="000D72A9">
            <w:pPr>
              <w:pStyle w:val="TableText"/>
            </w:pPr>
            <w:r w:rsidRPr="008F0360">
              <w:t>5-6 months</w:t>
            </w:r>
            <w:r>
              <w:t xml:space="preserve"> (25% worsening)</w:t>
            </w:r>
          </w:p>
        </w:tc>
        <w:tc>
          <w:tcPr>
            <w:tcW w:w="546" w:type="pct"/>
            <w:vAlign w:val="center"/>
          </w:tcPr>
          <w:p w14:paraId="360F8F4C" w14:textId="77777777" w:rsidR="00A50436" w:rsidRPr="008F0360" w:rsidRDefault="00A50436" w:rsidP="000D72A9">
            <w:pPr>
              <w:pStyle w:val="TableText"/>
              <w:jc w:val="right"/>
            </w:pPr>
            <w:r w:rsidRPr="008F0360">
              <w:rPr>
                <w:bCs/>
              </w:rPr>
              <w:t>-$8,230</w:t>
            </w:r>
          </w:p>
        </w:tc>
        <w:tc>
          <w:tcPr>
            <w:tcW w:w="546" w:type="pct"/>
            <w:vAlign w:val="center"/>
          </w:tcPr>
          <w:p w14:paraId="0DF937CB" w14:textId="77777777" w:rsidR="00A50436" w:rsidRPr="008F0360" w:rsidRDefault="00A50436" w:rsidP="000D72A9">
            <w:pPr>
              <w:pStyle w:val="TableText"/>
              <w:jc w:val="right"/>
            </w:pPr>
            <w:r w:rsidRPr="008F0360">
              <w:rPr>
                <w:bCs/>
              </w:rPr>
              <w:t>-$10,004</w:t>
            </w:r>
          </w:p>
        </w:tc>
        <w:tc>
          <w:tcPr>
            <w:tcW w:w="546" w:type="pct"/>
            <w:vAlign w:val="center"/>
          </w:tcPr>
          <w:p w14:paraId="2CDE30C7" w14:textId="77777777" w:rsidR="00A50436" w:rsidRPr="008F0360" w:rsidRDefault="00A50436" w:rsidP="000D72A9">
            <w:pPr>
              <w:pStyle w:val="TableText"/>
              <w:jc w:val="right"/>
            </w:pPr>
            <w:r w:rsidRPr="008F0360">
              <w:rPr>
                <w:bCs/>
              </w:rPr>
              <w:t>-$11,924</w:t>
            </w:r>
          </w:p>
        </w:tc>
        <w:tc>
          <w:tcPr>
            <w:tcW w:w="546" w:type="pct"/>
            <w:vAlign w:val="center"/>
          </w:tcPr>
          <w:p w14:paraId="63020773" w14:textId="77777777" w:rsidR="00A50436" w:rsidRPr="008F0360" w:rsidRDefault="00A50436" w:rsidP="000D72A9">
            <w:pPr>
              <w:pStyle w:val="TableText"/>
              <w:jc w:val="right"/>
            </w:pPr>
            <w:r w:rsidRPr="008F0360">
              <w:rPr>
                <w:bCs/>
              </w:rPr>
              <w:t>-$12,095</w:t>
            </w:r>
          </w:p>
        </w:tc>
        <w:tc>
          <w:tcPr>
            <w:tcW w:w="546" w:type="pct"/>
            <w:vAlign w:val="center"/>
          </w:tcPr>
          <w:p w14:paraId="5FE4B9B7" w14:textId="77777777" w:rsidR="00A50436" w:rsidRPr="008F0360" w:rsidRDefault="00A50436" w:rsidP="000D72A9">
            <w:pPr>
              <w:pStyle w:val="TableText"/>
              <w:jc w:val="right"/>
            </w:pPr>
            <w:r w:rsidRPr="008F0360">
              <w:rPr>
                <w:bCs/>
              </w:rPr>
              <w:t>-$12,262</w:t>
            </w:r>
          </w:p>
        </w:tc>
        <w:tc>
          <w:tcPr>
            <w:tcW w:w="545" w:type="pct"/>
            <w:vAlign w:val="center"/>
          </w:tcPr>
          <w:p w14:paraId="64B593BF" w14:textId="77777777" w:rsidR="00A50436" w:rsidRPr="008F0360" w:rsidRDefault="00A50436" w:rsidP="000D72A9">
            <w:pPr>
              <w:pStyle w:val="TableText"/>
              <w:jc w:val="right"/>
            </w:pPr>
            <w:r w:rsidRPr="008F0360">
              <w:rPr>
                <w:bCs/>
              </w:rPr>
              <w:t>-$12,428</w:t>
            </w:r>
          </w:p>
        </w:tc>
      </w:tr>
      <w:tr w:rsidR="00A50436" w:rsidRPr="007C2948" w14:paraId="62AD2483" w14:textId="77777777" w:rsidTr="000D72A9">
        <w:trPr>
          <w:cnfStyle w:val="100000000000" w:firstRow="1" w:lastRow="0" w:firstColumn="0" w:lastColumn="0" w:oddVBand="0" w:evenVBand="0" w:oddHBand="0" w:evenHBand="0" w:firstRowFirstColumn="0" w:firstRowLastColumn="0" w:lastRowFirstColumn="0" w:lastRowLastColumn="0"/>
          <w:tblHeader/>
        </w:trPr>
        <w:tc>
          <w:tcPr>
            <w:tcW w:w="1725" w:type="pct"/>
            <w:vAlign w:val="center"/>
          </w:tcPr>
          <w:p w14:paraId="6E36C29C" w14:textId="77777777" w:rsidR="00A50436" w:rsidRPr="00A50436" w:rsidRDefault="00A50436" w:rsidP="000D72A9">
            <w:pPr>
              <w:pStyle w:val="TableText"/>
            </w:pPr>
            <w:r w:rsidRPr="008F0360">
              <w:t>5-6 months</w:t>
            </w:r>
            <w:r>
              <w:t xml:space="preserve"> (35% worsening)</w:t>
            </w:r>
          </w:p>
        </w:tc>
        <w:tc>
          <w:tcPr>
            <w:tcW w:w="546" w:type="pct"/>
            <w:vAlign w:val="center"/>
          </w:tcPr>
          <w:p w14:paraId="45D4D64E" w14:textId="77777777" w:rsidR="00A50436" w:rsidRPr="00A50436" w:rsidRDefault="00A50436" w:rsidP="000D72A9">
            <w:pPr>
              <w:pStyle w:val="TableText"/>
              <w:jc w:val="right"/>
              <w:rPr>
                <w:bCs/>
              </w:rPr>
            </w:pPr>
            <w:r w:rsidRPr="00D251A0">
              <w:t>$36,110</w:t>
            </w:r>
          </w:p>
        </w:tc>
        <w:tc>
          <w:tcPr>
            <w:tcW w:w="546" w:type="pct"/>
            <w:vAlign w:val="center"/>
          </w:tcPr>
          <w:p w14:paraId="112E3D17" w14:textId="77777777" w:rsidR="00A50436" w:rsidRPr="00A50436" w:rsidRDefault="00A50436" w:rsidP="000D72A9">
            <w:pPr>
              <w:pStyle w:val="TableText"/>
              <w:jc w:val="right"/>
              <w:rPr>
                <w:bCs/>
              </w:rPr>
            </w:pPr>
            <w:r w:rsidRPr="00D251A0">
              <w:t>$43,891</w:t>
            </w:r>
          </w:p>
        </w:tc>
        <w:tc>
          <w:tcPr>
            <w:tcW w:w="546" w:type="pct"/>
            <w:vAlign w:val="center"/>
          </w:tcPr>
          <w:p w14:paraId="35EA4B29" w14:textId="77777777" w:rsidR="00A50436" w:rsidRPr="00A50436" w:rsidRDefault="00A50436" w:rsidP="000D72A9">
            <w:pPr>
              <w:pStyle w:val="TableText"/>
              <w:jc w:val="right"/>
              <w:rPr>
                <w:bCs/>
              </w:rPr>
            </w:pPr>
            <w:r w:rsidRPr="00D251A0">
              <w:t>$52,318</w:t>
            </w:r>
          </w:p>
        </w:tc>
        <w:tc>
          <w:tcPr>
            <w:tcW w:w="546" w:type="pct"/>
            <w:vAlign w:val="center"/>
          </w:tcPr>
          <w:p w14:paraId="78523962" w14:textId="77777777" w:rsidR="00A50436" w:rsidRPr="00A50436" w:rsidRDefault="00A50436" w:rsidP="000D72A9">
            <w:pPr>
              <w:pStyle w:val="TableText"/>
              <w:jc w:val="right"/>
              <w:rPr>
                <w:bCs/>
              </w:rPr>
            </w:pPr>
            <w:r w:rsidRPr="00D251A0">
              <w:t>$53,066</w:t>
            </w:r>
          </w:p>
        </w:tc>
        <w:tc>
          <w:tcPr>
            <w:tcW w:w="546" w:type="pct"/>
            <w:vAlign w:val="center"/>
          </w:tcPr>
          <w:p w14:paraId="05706E79" w14:textId="77777777" w:rsidR="00A50436" w:rsidRPr="00A50436" w:rsidRDefault="00A50436" w:rsidP="000D72A9">
            <w:pPr>
              <w:pStyle w:val="TableText"/>
              <w:jc w:val="right"/>
              <w:rPr>
                <w:bCs/>
              </w:rPr>
            </w:pPr>
            <w:r w:rsidRPr="00D251A0">
              <w:t>$53,799</w:t>
            </w:r>
          </w:p>
        </w:tc>
        <w:tc>
          <w:tcPr>
            <w:tcW w:w="545" w:type="pct"/>
            <w:vAlign w:val="center"/>
          </w:tcPr>
          <w:p w14:paraId="454AD3D3" w14:textId="77777777" w:rsidR="00A50436" w:rsidRPr="00A50436" w:rsidRDefault="00A50436" w:rsidP="000D72A9">
            <w:pPr>
              <w:pStyle w:val="TableText"/>
              <w:jc w:val="right"/>
              <w:rPr>
                <w:bCs/>
              </w:rPr>
            </w:pPr>
            <w:r w:rsidRPr="00D251A0">
              <w:t>$54,529</w:t>
            </w:r>
          </w:p>
        </w:tc>
      </w:tr>
      <w:tr w:rsidR="00A50436" w:rsidRPr="007C2948" w14:paraId="2B3CDE7E" w14:textId="77777777" w:rsidTr="000D72A9">
        <w:trPr>
          <w:cnfStyle w:val="100000000000" w:firstRow="1" w:lastRow="0" w:firstColumn="0" w:lastColumn="0" w:oddVBand="0" w:evenVBand="0" w:oddHBand="0" w:evenHBand="0" w:firstRowFirstColumn="0" w:firstRowLastColumn="0" w:lastRowFirstColumn="0" w:lastRowLastColumn="0"/>
          <w:tblHeader/>
        </w:trPr>
        <w:tc>
          <w:tcPr>
            <w:tcW w:w="1725" w:type="pct"/>
            <w:vAlign w:val="center"/>
          </w:tcPr>
          <w:p w14:paraId="275E8DC8" w14:textId="77777777" w:rsidR="00A50436" w:rsidRPr="00A50436" w:rsidRDefault="00A50436" w:rsidP="000D72A9">
            <w:pPr>
              <w:pStyle w:val="TableText"/>
            </w:pPr>
            <w:r w:rsidRPr="008F0360">
              <w:t>5-6 months</w:t>
            </w:r>
            <w:r>
              <w:t xml:space="preserve"> (50% worsening)</w:t>
            </w:r>
          </w:p>
        </w:tc>
        <w:tc>
          <w:tcPr>
            <w:tcW w:w="546" w:type="pct"/>
            <w:vAlign w:val="center"/>
          </w:tcPr>
          <w:p w14:paraId="7172037A" w14:textId="77777777" w:rsidR="00A50436" w:rsidRPr="00A50436" w:rsidRDefault="00A50436" w:rsidP="000D72A9">
            <w:pPr>
              <w:pStyle w:val="TableText"/>
              <w:jc w:val="right"/>
              <w:rPr>
                <w:bCs/>
              </w:rPr>
            </w:pPr>
            <w:r w:rsidRPr="00D251A0">
              <w:t>$102,620</w:t>
            </w:r>
          </w:p>
        </w:tc>
        <w:tc>
          <w:tcPr>
            <w:tcW w:w="546" w:type="pct"/>
            <w:vAlign w:val="center"/>
          </w:tcPr>
          <w:p w14:paraId="3DFC46A6" w14:textId="77777777" w:rsidR="00A50436" w:rsidRPr="00A50436" w:rsidRDefault="00A50436" w:rsidP="000D72A9">
            <w:pPr>
              <w:pStyle w:val="TableText"/>
              <w:jc w:val="right"/>
              <w:rPr>
                <w:bCs/>
              </w:rPr>
            </w:pPr>
            <w:r w:rsidRPr="00D251A0">
              <w:t>$124,732</w:t>
            </w:r>
          </w:p>
        </w:tc>
        <w:tc>
          <w:tcPr>
            <w:tcW w:w="546" w:type="pct"/>
            <w:vAlign w:val="center"/>
          </w:tcPr>
          <w:p w14:paraId="122F145E" w14:textId="77777777" w:rsidR="00A50436" w:rsidRPr="00A50436" w:rsidRDefault="00A50436" w:rsidP="000D72A9">
            <w:pPr>
              <w:pStyle w:val="TableText"/>
              <w:jc w:val="right"/>
              <w:rPr>
                <w:bCs/>
              </w:rPr>
            </w:pPr>
            <w:r w:rsidRPr="00D251A0">
              <w:t>$148,682</w:t>
            </w:r>
          </w:p>
        </w:tc>
        <w:tc>
          <w:tcPr>
            <w:tcW w:w="546" w:type="pct"/>
            <w:vAlign w:val="center"/>
          </w:tcPr>
          <w:p w14:paraId="332D0742" w14:textId="77777777" w:rsidR="00A50436" w:rsidRPr="00A50436" w:rsidRDefault="00A50436" w:rsidP="000D72A9">
            <w:pPr>
              <w:pStyle w:val="TableText"/>
              <w:jc w:val="right"/>
              <w:rPr>
                <w:bCs/>
              </w:rPr>
            </w:pPr>
            <w:r w:rsidRPr="00D251A0">
              <w:t>$150,807</w:t>
            </w:r>
          </w:p>
        </w:tc>
        <w:tc>
          <w:tcPr>
            <w:tcW w:w="546" w:type="pct"/>
            <w:vAlign w:val="center"/>
          </w:tcPr>
          <w:p w14:paraId="617C2FCA" w14:textId="77777777" w:rsidR="00A50436" w:rsidRPr="00A50436" w:rsidRDefault="00A50436" w:rsidP="000D72A9">
            <w:pPr>
              <w:pStyle w:val="TableText"/>
              <w:jc w:val="right"/>
              <w:rPr>
                <w:bCs/>
              </w:rPr>
            </w:pPr>
            <w:r w:rsidRPr="00D251A0">
              <w:t>$152,892</w:t>
            </w:r>
          </w:p>
        </w:tc>
        <w:tc>
          <w:tcPr>
            <w:tcW w:w="545" w:type="pct"/>
            <w:vAlign w:val="center"/>
          </w:tcPr>
          <w:p w14:paraId="744236CA" w14:textId="77777777" w:rsidR="00A50436" w:rsidRPr="00A50436" w:rsidRDefault="00A50436" w:rsidP="000D72A9">
            <w:pPr>
              <w:pStyle w:val="TableText"/>
              <w:jc w:val="right"/>
              <w:rPr>
                <w:bCs/>
              </w:rPr>
            </w:pPr>
            <w:r w:rsidRPr="00D251A0">
              <w:t>$154,966</w:t>
            </w:r>
          </w:p>
        </w:tc>
      </w:tr>
      <w:tr w:rsidR="00A50436" w:rsidRPr="00053565" w14:paraId="2C55AD53" w14:textId="77777777" w:rsidTr="000D72A9">
        <w:trPr>
          <w:cnfStyle w:val="100000000000" w:firstRow="1" w:lastRow="0" w:firstColumn="0" w:lastColumn="0" w:oddVBand="0" w:evenVBand="0" w:oddHBand="0" w:evenHBand="0" w:firstRowFirstColumn="0" w:firstRowLastColumn="0" w:lastRowFirstColumn="0" w:lastRowLastColumn="0"/>
          <w:tblHeader/>
        </w:trPr>
        <w:tc>
          <w:tcPr>
            <w:tcW w:w="5000" w:type="pct"/>
            <w:gridSpan w:val="7"/>
            <w:vAlign w:val="center"/>
          </w:tcPr>
          <w:p w14:paraId="264B284C" w14:textId="77777777" w:rsidR="00A50436" w:rsidRPr="00E60C46" w:rsidRDefault="00A50436" w:rsidP="00A50436">
            <w:pPr>
              <w:pStyle w:val="TableText"/>
              <w:rPr>
                <w:b/>
              </w:rPr>
            </w:pPr>
            <w:r w:rsidRPr="00E60C46">
              <w:rPr>
                <w:b/>
              </w:rPr>
              <w:t>Change in number of PAH patients (sensitivity analyses)</w:t>
            </w:r>
          </w:p>
        </w:tc>
      </w:tr>
      <w:tr w:rsidR="00A50436" w:rsidRPr="00053565" w14:paraId="641D31C1" w14:textId="77777777" w:rsidTr="00A50436">
        <w:trPr>
          <w:cnfStyle w:val="100000000000" w:firstRow="1" w:lastRow="0" w:firstColumn="0" w:lastColumn="0" w:oddVBand="0" w:evenVBand="0" w:oddHBand="0" w:evenHBand="0" w:firstRowFirstColumn="0" w:firstRowLastColumn="0" w:lastRowFirstColumn="0" w:lastRowLastColumn="0"/>
          <w:tblHeader/>
        </w:trPr>
        <w:tc>
          <w:tcPr>
            <w:tcW w:w="1725" w:type="pct"/>
            <w:vAlign w:val="center"/>
          </w:tcPr>
          <w:p w14:paraId="6DE70817" w14:textId="77777777" w:rsidR="00A50436" w:rsidRPr="00053565" w:rsidRDefault="00A50436" w:rsidP="00A50436">
            <w:pPr>
              <w:pStyle w:val="TableText"/>
              <w:rPr>
                <w:bCs/>
              </w:rPr>
            </w:pPr>
            <w:r w:rsidRPr="00053565">
              <w:rPr>
                <w:bCs/>
              </w:rPr>
              <w:t>Low PBS estimate</w:t>
            </w:r>
          </w:p>
        </w:tc>
        <w:tc>
          <w:tcPr>
            <w:tcW w:w="546" w:type="pct"/>
            <w:vAlign w:val="center"/>
          </w:tcPr>
          <w:p w14:paraId="532E4A5F" w14:textId="77777777" w:rsidR="00A50436" w:rsidRPr="00E60C46" w:rsidRDefault="00A50436" w:rsidP="00A50436">
            <w:pPr>
              <w:pStyle w:val="TableText"/>
              <w:jc w:val="right"/>
              <w:rPr>
                <w:bCs/>
              </w:rPr>
            </w:pPr>
            <w:r w:rsidRPr="00E60C46">
              <w:t>-$214,803</w:t>
            </w:r>
          </w:p>
        </w:tc>
        <w:tc>
          <w:tcPr>
            <w:tcW w:w="546" w:type="pct"/>
            <w:vAlign w:val="center"/>
          </w:tcPr>
          <w:p w14:paraId="31E80DA2" w14:textId="77777777" w:rsidR="00A50436" w:rsidRPr="00E60C46" w:rsidRDefault="00A50436" w:rsidP="00A50436">
            <w:pPr>
              <w:pStyle w:val="TableText"/>
              <w:jc w:val="right"/>
              <w:rPr>
                <w:bCs/>
              </w:rPr>
            </w:pPr>
            <w:r w:rsidRPr="00E60C46">
              <w:t>-$264,938</w:t>
            </w:r>
          </w:p>
        </w:tc>
        <w:tc>
          <w:tcPr>
            <w:tcW w:w="546" w:type="pct"/>
            <w:vAlign w:val="center"/>
          </w:tcPr>
          <w:p w14:paraId="2E5FC1A4" w14:textId="77777777" w:rsidR="00A50436" w:rsidRPr="00E60C46" w:rsidRDefault="00A50436" w:rsidP="00A50436">
            <w:pPr>
              <w:pStyle w:val="TableText"/>
              <w:jc w:val="right"/>
              <w:rPr>
                <w:bCs/>
              </w:rPr>
            </w:pPr>
            <w:r w:rsidRPr="00E60C46">
              <w:t>-$315,794</w:t>
            </w:r>
          </w:p>
        </w:tc>
        <w:tc>
          <w:tcPr>
            <w:tcW w:w="546" w:type="pct"/>
            <w:vAlign w:val="center"/>
          </w:tcPr>
          <w:p w14:paraId="2A94767D" w14:textId="77777777" w:rsidR="00A50436" w:rsidRPr="00E60C46" w:rsidRDefault="00A50436" w:rsidP="00A50436">
            <w:pPr>
              <w:pStyle w:val="TableText"/>
              <w:jc w:val="right"/>
              <w:rPr>
                <w:bCs/>
              </w:rPr>
            </w:pPr>
            <w:r w:rsidRPr="00E60C46">
              <w:t>-$317,219</w:t>
            </w:r>
          </w:p>
        </w:tc>
        <w:tc>
          <w:tcPr>
            <w:tcW w:w="546" w:type="pct"/>
            <w:vAlign w:val="center"/>
          </w:tcPr>
          <w:p w14:paraId="1C925EF2" w14:textId="77777777" w:rsidR="00A50436" w:rsidRPr="00E60C46" w:rsidRDefault="00A50436" w:rsidP="00A50436">
            <w:pPr>
              <w:pStyle w:val="TableText"/>
              <w:jc w:val="right"/>
              <w:rPr>
                <w:bCs/>
              </w:rPr>
            </w:pPr>
            <w:r w:rsidRPr="00E60C46">
              <w:t>-$318,626</w:t>
            </w:r>
          </w:p>
        </w:tc>
        <w:tc>
          <w:tcPr>
            <w:tcW w:w="545" w:type="pct"/>
            <w:vAlign w:val="center"/>
          </w:tcPr>
          <w:p w14:paraId="365132F8" w14:textId="77777777" w:rsidR="00A50436" w:rsidRPr="00E60C46" w:rsidRDefault="00A50436" w:rsidP="00A50436">
            <w:pPr>
              <w:pStyle w:val="TableText"/>
              <w:jc w:val="right"/>
              <w:rPr>
                <w:bCs/>
              </w:rPr>
            </w:pPr>
            <w:r w:rsidRPr="00E60C46">
              <w:t>-$320,024</w:t>
            </w:r>
          </w:p>
        </w:tc>
      </w:tr>
      <w:tr w:rsidR="00A50436" w:rsidRPr="00053565" w14:paraId="46BF177F" w14:textId="77777777" w:rsidTr="00A50436">
        <w:trPr>
          <w:cnfStyle w:val="100000000000" w:firstRow="1" w:lastRow="0" w:firstColumn="0" w:lastColumn="0" w:oddVBand="0" w:evenVBand="0" w:oddHBand="0" w:evenHBand="0" w:firstRowFirstColumn="0" w:firstRowLastColumn="0" w:lastRowFirstColumn="0" w:lastRowLastColumn="0"/>
          <w:tblHeader/>
        </w:trPr>
        <w:tc>
          <w:tcPr>
            <w:tcW w:w="1725" w:type="pct"/>
            <w:vAlign w:val="center"/>
          </w:tcPr>
          <w:p w14:paraId="4F0A94E6" w14:textId="77777777" w:rsidR="00A50436" w:rsidRPr="00053565" w:rsidRDefault="00A50436" w:rsidP="00A50436">
            <w:pPr>
              <w:pStyle w:val="TableText"/>
              <w:rPr>
                <w:bCs/>
              </w:rPr>
            </w:pPr>
            <w:r w:rsidRPr="00053565">
              <w:rPr>
                <w:bCs/>
              </w:rPr>
              <w:t>High PBS estimate</w:t>
            </w:r>
          </w:p>
        </w:tc>
        <w:tc>
          <w:tcPr>
            <w:tcW w:w="546" w:type="pct"/>
            <w:vAlign w:val="center"/>
          </w:tcPr>
          <w:p w14:paraId="63FF28F3" w14:textId="77777777" w:rsidR="00A50436" w:rsidRPr="00E60C46" w:rsidRDefault="00A50436" w:rsidP="00A50436">
            <w:pPr>
              <w:pStyle w:val="TableText"/>
              <w:jc w:val="right"/>
              <w:rPr>
                <w:bCs/>
              </w:rPr>
            </w:pPr>
            <w:r w:rsidRPr="00E60C46">
              <w:t>-$308,376</w:t>
            </w:r>
          </w:p>
        </w:tc>
        <w:tc>
          <w:tcPr>
            <w:tcW w:w="546" w:type="pct"/>
            <w:vAlign w:val="center"/>
          </w:tcPr>
          <w:p w14:paraId="4ED2D39C" w14:textId="77777777" w:rsidR="00A50436" w:rsidRPr="00E60C46" w:rsidRDefault="00A50436" w:rsidP="00A50436">
            <w:pPr>
              <w:pStyle w:val="TableText"/>
              <w:jc w:val="right"/>
              <w:rPr>
                <w:bCs/>
              </w:rPr>
            </w:pPr>
            <w:r w:rsidRPr="00E60C46">
              <w:t>-$358,511</w:t>
            </w:r>
          </w:p>
        </w:tc>
        <w:tc>
          <w:tcPr>
            <w:tcW w:w="546" w:type="pct"/>
            <w:vAlign w:val="center"/>
          </w:tcPr>
          <w:p w14:paraId="090CDFA4" w14:textId="77777777" w:rsidR="00A50436" w:rsidRPr="00E60C46" w:rsidRDefault="00A50436" w:rsidP="00A50436">
            <w:pPr>
              <w:pStyle w:val="TableText"/>
              <w:jc w:val="right"/>
              <w:rPr>
                <w:bCs/>
              </w:rPr>
            </w:pPr>
            <w:r w:rsidRPr="00E60C46">
              <w:t>-$409,367</w:t>
            </w:r>
          </w:p>
        </w:tc>
        <w:tc>
          <w:tcPr>
            <w:tcW w:w="546" w:type="pct"/>
            <w:vAlign w:val="center"/>
          </w:tcPr>
          <w:p w14:paraId="4DEC537F" w14:textId="77777777" w:rsidR="00A50436" w:rsidRPr="00E60C46" w:rsidRDefault="00A50436" w:rsidP="00A50436">
            <w:pPr>
              <w:pStyle w:val="TableText"/>
              <w:jc w:val="right"/>
              <w:rPr>
                <w:bCs/>
              </w:rPr>
            </w:pPr>
            <w:r w:rsidRPr="00E60C46">
              <w:t>-$410,792</w:t>
            </w:r>
          </w:p>
        </w:tc>
        <w:tc>
          <w:tcPr>
            <w:tcW w:w="546" w:type="pct"/>
            <w:vAlign w:val="center"/>
          </w:tcPr>
          <w:p w14:paraId="7E4BFC76" w14:textId="77777777" w:rsidR="00A50436" w:rsidRPr="00E60C46" w:rsidRDefault="00A50436" w:rsidP="00A50436">
            <w:pPr>
              <w:pStyle w:val="TableText"/>
              <w:jc w:val="right"/>
              <w:rPr>
                <w:bCs/>
              </w:rPr>
            </w:pPr>
            <w:r w:rsidRPr="00E60C46">
              <w:t>-$412,199</w:t>
            </w:r>
          </w:p>
        </w:tc>
        <w:tc>
          <w:tcPr>
            <w:tcW w:w="545" w:type="pct"/>
            <w:vAlign w:val="center"/>
          </w:tcPr>
          <w:p w14:paraId="44212617" w14:textId="77777777" w:rsidR="00A50436" w:rsidRPr="00E60C46" w:rsidRDefault="00A50436" w:rsidP="00A50436">
            <w:pPr>
              <w:pStyle w:val="TableText"/>
              <w:jc w:val="right"/>
              <w:rPr>
                <w:bCs/>
              </w:rPr>
            </w:pPr>
            <w:r w:rsidRPr="00E60C46">
              <w:t>-$413,597</w:t>
            </w:r>
          </w:p>
        </w:tc>
      </w:tr>
      <w:tr w:rsidR="00A50436" w:rsidRPr="00053565" w14:paraId="7B9E2411" w14:textId="77777777" w:rsidTr="000D72A9">
        <w:trPr>
          <w:cnfStyle w:val="100000000000" w:firstRow="1" w:lastRow="0" w:firstColumn="0" w:lastColumn="0" w:oddVBand="0" w:evenVBand="0" w:oddHBand="0" w:evenHBand="0" w:firstRowFirstColumn="0" w:firstRowLastColumn="0" w:lastRowFirstColumn="0" w:lastRowLastColumn="0"/>
          <w:tblHeader/>
        </w:trPr>
        <w:tc>
          <w:tcPr>
            <w:tcW w:w="5000" w:type="pct"/>
            <w:gridSpan w:val="7"/>
            <w:vAlign w:val="center"/>
          </w:tcPr>
          <w:p w14:paraId="2BF5467E" w14:textId="77777777" w:rsidR="00A50436" w:rsidRPr="00E60C46" w:rsidRDefault="00A50436" w:rsidP="00A50436">
            <w:pPr>
              <w:pStyle w:val="TableText"/>
              <w:rPr>
                <w:b/>
              </w:rPr>
            </w:pPr>
            <w:r w:rsidRPr="00E60C46">
              <w:rPr>
                <w:b/>
              </w:rPr>
              <w:t>Change in uptake rates (sensitivity analyses)</w:t>
            </w:r>
          </w:p>
        </w:tc>
      </w:tr>
      <w:tr w:rsidR="00A50436" w:rsidRPr="00053565" w14:paraId="4606A7EC" w14:textId="77777777" w:rsidTr="00A50436">
        <w:trPr>
          <w:cnfStyle w:val="100000000000" w:firstRow="1" w:lastRow="0" w:firstColumn="0" w:lastColumn="0" w:oddVBand="0" w:evenVBand="0" w:oddHBand="0" w:evenHBand="0" w:firstRowFirstColumn="0" w:firstRowLastColumn="0" w:lastRowFirstColumn="0" w:lastRowLastColumn="0"/>
          <w:tblHeader/>
        </w:trPr>
        <w:tc>
          <w:tcPr>
            <w:tcW w:w="1725" w:type="pct"/>
            <w:vAlign w:val="center"/>
          </w:tcPr>
          <w:p w14:paraId="7CDA8746" w14:textId="77777777" w:rsidR="00A50436" w:rsidRPr="00053565" w:rsidRDefault="00A50436" w:rsidP="00A50436">
            <w:pPr>
              <w:pStyle w:val="TableText"/>
              <w:rPr>
                <w:bCs/>
              </w:rPr>
            </w:pPr>
            <w:r w:rsidRPr="00053565">
              <w:rPr>
                <w:bCs/>
              </w:rPr>
              <w:t>Decrease in uptake rates: 80%</w:t>
            </w:r>
          </w:p>
        </w:tc>
        <w:tc>
          <w:tcPr>
            <w:tcW w:w="546" w:type="pct"/>
            <w:vAlign w:val="center"/>
          </w:tcPr>
          <w:p w14:paraId="6684863B" w14:textId="77777777" w:rsidR="00A50436" w:rsidRPr="00E60C46" w:rsidRDefault="00A50436" w:rsidP="00A50436">
            <w:pPr>
              <w:pStyle w:val="TableText"/>
              <w:jc w:val="right"/>
              <w:rPr>
                <w:bCs/>
              </w:rPr>
            </w:pPr>
            <w:r w:rsidRPr="00E60C46">
              <w:t>-$206,822</w:t>
            </w:r>
          </w:p>
        </w:tc>
        <w:tc>
          <w:tcPr>
            <w:tcW w:w="546" w:type="pct"/>
            <w:vAlign w:val="center"/>
          </w:tcPr>
          <w:p w14:paraId="051E84BE" w14:textId="77777777" w:rsidR="00A50436" w:rsidRPr="00E60C46" w:rsidRDefault="00A50436" w:rsidP="00A50436">
            <w:pPr>
              <w:pStyle w:val="TableText"/>
              <w:jc w:val="right"/>
              <w:rPr>
                <w:bCs/>
              </w:rPr>
            </w:pPr>
            <w:r w:rsidRPr="00E60C46">
              <w:t>-$251,386</w:t>
            </w:r>
          </w:p>
        </w:tc>
        <w:tc>
          <w:tcPr>
            <w:tcW w:w="546" w:type="pct"/>
            <w:vAlign w:val="center"/>
          </w:tcPr>
          <w:p w14:paraId="7ED7116F" w14:textId="77777777" w:rsidR="00A50436" w:rsidRPr="00E60C46" w:rsidRDefault="00A50436" w:rsidP="00A50436">
            <w:pPr>
              <w:pStyle w:val="TableText"/>
              <w:jc w:val="right"/>
              <w:rPr>
                <w:bCs/>
              </w:rPr>
            </w:pPr>
            <w:r w:rsidRPr="00E60C46">
              <w:t>-$299,655</w:t>
            </w:r>
          </w:p>
        </w:tc>
        <w:tc>
          <w:tcPr>
            <w:tcW w:w="546" w:type="pct"/>
            <w:vAlign w:val="center"/>
          </w:tcPr>
          <w:p w14:paraId="1BC4DA2B" w14:textId="77777777" w:rsidR="00A50436" w:rsidRPr="00E60C46" w:rsidRDefault="00A50436" w:rsidP="00A50436">
            <w:pPr>
              <w:pStyle w:val="TableText"/>
              <w:jc w:val="right"/>
              <w:rPr>
                <w:bCs/>
              </w:rPr>
            </w:pPr>
            <w:r w:rsidRPr="00E60C46">
              <w:t>-$303,937</w:t>
            </w:r>
          </w:p>
        </w:tc>
        <w:tc>
          <w:tcPr>
            <w:tcW w:w="546" w:type="pct"/>
            <w:vAlign w:val="center"/>
          </w:tcPr>
          <w:p w14:paraId="69F26D6C" w14:textId="77777777" w:rsidR="00A50436" w:rsidRPr="00E60C46" w:rsidRDefault="00A50436" w:rsidP="00A50436">
            <w:pPr>
              <w:pStyle w:val="TableText"/>
              <w:jc w:val="right"/>
              <w:rPr>
                <w:bCs/>
              </w:rPr>
            </w:pPr>
            <w:r w:rsidRPr="00E60C46">
              <w:t>-$308,140</w:t>
            </w:r>
          </w:p>
        </w:tc>
        <w:tc>
          <w:tcPr>
            <w:tcW w:w="545" w:type="pct"/>
            <w:vAlign w:val="center"/>
          </w:tcPr>
          <w:p w14:paraId="145CC538" w14:textId="77777777" w:rsidR="00A50436" w:rsidRPr="00E60C46" w:rsidRDefault="00A50436" w:rsidP="00A50436">
            <w:pPr>
              <w:pStyle w:val="TableText"/>
              <w:jc w:val="right"/>
              <w:rPr>
                <w:bCs/>
              </w:rPr>
            </w:pPr>
            <w:r w:rsidRPr="00E60C46">
              <w:t>-$312,319</w:t>
            </w:r>
          </w:p>
        </w:tc>
      </w:tr>
      <w:tr w:rsidR="00A50436" w:rsidRPr="00053565" w14:paraId="11535AED" w14:textId="77777777" w:rsidTr="00A50436">
        <w:trPr>
          <w:cnfStyle w:val="100000000000" w:firstRow="1" w:lastRow="0" w:firstColumn="0" w:lastColumn="0" w:oddVBand="0" w:evenVBand="0" w:oddHBand="0" w:evenHBand="0" w:firstRowFirstColumn="0" w:firstRowLastColumn="0" w:lastRowFirstColumn="0" w:lastRowLastColumn="0"/>
          <w:tblHeader/>
        </w:trPr>
        <w:tc>
          <w:tcPr>
            <w:tcW w:w="1725" w:type="pct"/>
            <w:vAlign w:val="center"/>
          </w:tcPr>
          <w:p w14:paraId="0864D384" w14:textId="77777777" w:rsidR="00A50436" w:rsidRPr="00053565" w:rsidRDefault="00A50436" w:rsidP="00A50436">
            <w:pPr>
              <w:pStyle w:val="TableText"/>
              <w:rPr>
                <w:bCs/>
              </w:rPr>
            </w:pPr>
            <w:r w:rsidRPr="00053565">
              <w:rPr>
                <w:bCs/>
              </w:rPr>
              <w:t>Increase in uptake rates: 100%</w:t>
            </w:r>
          </w:p>
        </w:tc>
        <w:tc>
          <w:tcPr>
            <w:tcW w:w="546" w:type="pct"/>
            <w:vAlign w:val="center"/>
          </w:tcPr>
          <w:p w14:paraId="1F132D12" w14:textId="77777777" w:rsidR="00A50436" w:rsidRPr="00E60C46" w:rsidRDefault="00A50436" w:rsidP="00A50436">
            <w:pPr>
              <w:pStyle w:val="TableText"/>
              <w:jc w:val="right"/>
              <w:rPr>
                <w:bCs/>
              </w:rPr>
            </w:pPr>
            <w:r w:rsidRPr="00E60C46">
              <w:t>-$258,527</w:t>
            </w:r>
          </w:p>
        </w:tc>
        <w:tc>
          <w:tcPr>
            <w:tcW w:w="546" w:type="pct"/>
            <w:vAlign w:val="center"/>
          </w:tcPr>
          <w:p w14:paraId="3DB4D545" w14:textId="77777777" w:rsidR="00A50436" w:rsidRPr="00E60C46" w:rsidRDefault="00A50436" w:rsidP="00A50436">
            <w:pPr>
              <w:pStyle w:val="TableText"/>
              <w:jc w:val="right"/>
              <w:rPr>
                <w:bCs/>
              </w:rPr>
            </w:pPr>
            <w:r w:rsidRPr="00E60C46">
              <w:t>-$314,233</w:t>
            </w:r>
          </w:p>
        </w:tc>
        <w:tc>
          <w:tcPr>
            <w:tcW w:w="546" w:type="pct"/>
            <w:vAlign w:val="center"/>
          </w:tcPr>
          <w:p w14:paraId="5D6687B7" w14:textId="77777777" w:rsidR="00A50436" w:rsidRPr="00E60C46" w:rsidRDefault="00A50436" w:rsidP="00A50436">
            <w:pPr>
              <w:pStyle w:val="TableText"/>
              <w:jc w:val="right"/>
              <w:rPr>
                <w:bCs/>
              </w:rPr>
            </w:pPr>
            <w:r w:rsidRPr="00E60C46">
              <w:t>-$374,568</w:t>
            </w:r>
          </w:p>
        </w:tc>
        <w:tc>
          <w:tcPr>
            <w:tcW w:w="546" w:type="pct"/>
            <w:vAlign w:val="center"/>
          </w:tcPr>
          <w:p w14:paraId="4171548B" w14:textId="77777777" w:rsidR="00A50436" w:rsidRPr="00E60C46" w:rsidRDefault="00A50436" w:rsidP="00A50436">
            <w:pPr>
              <w:pStyle w:val="TableText"/>
              <w:jc w:val="right"/>
              <w:rPr>
                <w:bCs/>
              </w:rPr>
            </w:pPr>
            <w:r w:rsidRPr="00E60C46">
              <w:t>-$379,922</w:t>
            </w:r>
          </w:p>
        </w:tc>
        <w:tc>
          <w:tcPr>
            <w:tcW w:w="546" w:type="pct"/>
            <w:vAlign w:val="center"/>
          </w:tcPr>
          <w:p w14:paraId="33C522E7" w14:textId="77777777" w:rsidR="00A50436" w:rsidRPr="00E60C46" w:rsidRDefault="00A50436" w:rsidP="00A50436">
            <w:pPr>
              <w:pStyle w:val="TableText"/>
              <w:jc w:val="right"/>
              <w:rPr>
                <w:bCs/>
              </w:rPr>
            </w:pPr>
            <w:r w:rsidRPr="00E60C46">
              <w:t>-$385,175</w:t>
            </w:r>
          </w:p>
        </w:tc>
        <w:tc>
          <w:tcPr>
            <w:tcW w:w="545" w:type="pct"/>
            <w:vAlign w:val="center"/>
          </w:tcPr>
          <w:p w14:paraId="2CD8B98F" w14:textId="77777777" w:rsidR="00A50436" w:rsidRPr="00E60C46" w:rsidRDefault="00A50436" w:rsidP="00A50436">
            <w:pPr>
              <w:pStyle w:val="TableText"/>
              <w:jc w:val="right"/>
              <w:rPr>
                <w:bCs/>
              </w:rPr>
            </w:pPr>
            <w:r w:rsidRPr="00E60C46">
              <w:t>-$390,399</w:t>
            </w:r>
          </w:p>
        </w:tc>
      </w:tr>
    </w:tbl>
    <w:p w14:paraId="45D3DD83" w14:textId="6BE5B2E5" w:rsidR="00E60C46" w:rsidRDefault="00E60C46" w:rsidP="00E60C46">
      <w:pPr>
        <w:pStyle w:val="Tablenotes0"/>
      </w:pPr>
      <w:r w:rsidRPr="002A3780">
        <w:t>Abbreviations:</w:t>
      </w:r>
      <w:r>
        <w:t xml:space="preserve"> </w:t>
      </w:r>
      <w:r w:rsidRPr="002A3780">
        <w:t>NT-</w:t>
      </w:r>
      <w:proofErr w:type="spellStart"/>
      <w:r w:rsidRPr="002A3780">
        <w:t>proBNP</w:t>
      </w:r>
      <w:proofErr w:type="spellEnd"/>
      <w:r w:rsidRPr="002A3780" w:rsidDel="00E4612A">
        <w:t xml:space="preserve"> </w:t>
      </w:r>
      <w:r w:rsidRPr="002A3780">
        <w:t xml:space="preserve">N-terminal pro-brain natriuretic peptide; PAH = pulmonary arterial hypertension; </w:t>
      </w:r>
      <w:r>
        <w:t xml:space="preserve">PBS = pharmaceutical benefits scheme; </w:t>
      </w:r>
      <w:r w:rsidRPr="002A3780">
        <w:t xml:space="preserve">TTE = </w:t>
      </w:r>
      <w:r>
        <w:t>t</w:t>
      </w:r>
      <w:r w:rsidRPr="002A3780">
        <w:t xml:space="preserve">ransthoracic </w:t>
      </w:r>
      <w:r>
        <w:t>e</w:t>
      </w:r>
      <w:r w:rsidRPr="002A3780">
        <w:t>chocardiogram</w:t>
      </w:r>
    </w:p>
    <w:p w14:paraId="660CDFE5" w14:textId="44F6A164" w:rsidR="00E60C46" w:rsidRDefault="00E60C46" w:rsidP="00E60C46">
      <w:pPr>
        <w:pStyle w:val="Tablenotes0"/>
      </w:pPr>
      <w:r>
        <w:t xml:space="preserve">Source: Table 4-8, </w:t>
      </w:r>
      <w:proofErr w:type="spellStart"/>
      <w:r>
        <w:t>pg</w:t>
      </w:r>
      <w:proofErr w:type="spellEnd"/>
      <w:r>
        <w:t xml:space="preserve"> 64</w:t>
      </w:r>
      <w:r w:rsidR="00395797">
        <w:t xml:space="preserve"> and Table 4-10, </w:t>
      </w:r>
      <w:proofErr w:type="spellStart"/>
      <w:r w:rsidR="00395797">
        <w:t>pg</w:t>
      </w:r>
      <w:proofErr w:type="spellEnd"/>
      <w:r w:rsidR="00395797">
        <w:t xml:space="preserve"> 65</w:t>
      </w:r>
      <w:r>
        <w:t xml:space="preserve"> of MSAC 1689.1 ADAR</w:t>
      </w:r>
    </w:p>
    <w:p w14:paraId="168BCFAB" w14:textId="3F829AC6" w:rsidR="00384ADC" w:rsidRDefault="00384ADC" w:rsidP="00384ADC">
      <w:pPr>
        <w:pStyle w:val="Caption"/>
      </w:pPr>
      <w:r>
        <w:lastRenderedPageBreak/>
        <w:t xml:space="preserve">Table </w:t>
      </w:r>
      <w:r w:rsidR="00DD62DD">
        <w:fldChar w:fldCharType="begin"/>
      </w:r>
      <w:r w:rsidR="00DD62DD">
        <w:instrText xml:space="preserve"> SEQ Table \* ARABIC </w:instrText>
      </w:r>
      <w:r w:rsidR="00DD62DD">
        <w:fldChar w:fldCharType="separate"/>
      </w:r>
      <w:r w:rsidR="00395797">
        <w:rPr>
          <w:noProof/>
        </w:rPr>
        <w:t>15</w:t>
      </w:r>
      <w:r w:rsidR="00DD62DD">
        <w:rPr>
          <w:noProof/>
        </w:rPr>
        <w:fldChar w:fldCharType="end"/>
      </w:r>
      <w:r>
        <w:rPr>
          <w:noProof/>
        </w:rPr>
        <w:t xml:space="preserve"> </w:t>
      </w:r>
      <w:r w:rsidR="00395797">
        <w:rPr>
          <w:noProof/>
        </w:rPr>
        <w:t xml:space="preserve">Sensitivity Analyses around </w:t>
      </w:r>
      <w:r w:rsidR="009F44FA">
        <w:rPr>
          <w:noProof/>
        </w:rPr>
        <w:t>the</w:t>
      </w:r>
      <w:r>
        <w:rPr>
          <w:noProof/>
        </w:rPr>
        <w:t xml:space="preserve"> </w:t>
      </w:r>
      <w:r w:rsidR="009F44FA">
        <w:rPr>
          <w:noProof/>
        </w:rPr>
        <w:t>Commentary S</w:t>
      </w:r>
      <w:r>
        <w:rPr>
          <w:noProof/>
        </w:rPr>
        <w:t>cenario with different</w:t>
      </w:r>
      <w:r w:rsidR="00395797">
        <w:rPr>
          <w:noProof/>
        </w:rPr>
        <w:t>ial</w:t>
      </w:r>
      <w:r>
        <w:rPr>
          <w:noProof/>
        </w:rPr>
        <w:t xml:space="preserve"> follow-up interval</w:t>
      </w:r>
      <w:r w:rsidR="009F44FA">
        <w:rPr>
          <w:noProof/>
        </w:rPr>
        <w:t>s</w:t>
      </w:r>
      <w:r>
        <w:rPr>
          <w:noProof/>
        </w:rPr>
        <w:t xml:space="preserve"> for </w:t>
      </w:r>
      <w:r w:rsidR="009F44FA">
        <w:rPr>
          <w:noProof/>
        </w:rPr>
        <w:t xml:space="preserve">NT-proBNP and the comparator </w:t>
      </w:r>
      <w:r>
        <w:rPr>
          <w:noProof/>
        </w:rPr>
        <w:t>TTE</w:t>
      </w:r>
    </w:p>
    <w:tbl>
      <w:tblPr>
        <w:tblStyle w:val="TableGrid1"/>
        <w:tblW w:w="5000" w:type="pct"/>
        <w:tblLook w:val="04A0" w:firstRow="1" w:lastRow="0" w:firstColumn="1" w:lastColumn="0" w:noHBand="0" w:noVBand="1"/>
      </w:tblPr>
      <w:tblGrid>
        <w:gridCol w:w="2906"/>
        <w:gridCol w:w="972"/>
        <w:gridCol w:w="972"/>
        <w:gridCol w:w="972"/>
        <w:gridCol w:w="972"/>
        <w:gridCol w:w="1111"/>
        <w:gridCol w:w="1111"/>
      </w:tblGrid>
      <w:tr w:rsidR="009F44FA" w:rsidRPr="00053565" w14:paraId="4F3B0157" w14:textId="77777777" w:rsidTr="000D72A9">
        <w:trPr>
          <w:cnfStyle w:val="100000000000" w:firstRow="1" w:lastRow="0" w:firstColumn="0" w:lastColumn="0" w:oddVBand="0" w:evenVBand="0" w:oddHBand="0" w:evenHBand="0" w:firstRowFirstColumn="0" w:firstRowLastColumn="0" w:lastRowFirstColumn="0" w:lastRowLastColumn="0"/>
          <w:tblHeader/>
        </w:trPr>
        <w:tc>
          <w:tcPr>
            <w:tcW w:w="1612" w:type="pct"/>
            <w:shd w:val="pct20" w:color="auto" w:fill="auto"/>
            <w:vAlign w:val="center"/>
          </w:tcPr>
          <w:p w14:paraId="3F5487B0" w14:textId="77777777" w:rsidR="009F44FA" w:rsidRPr="00053565" w:rsidRDefault="009F44FA" w:rsidP="000D72A9">
            <w:pPr>
              <w:pStyle w:val="TableHeading"/>
            </w:pPr>
            <w:r w:rsidRPr="00053565">
              <w:t>Data</w:t>
            </w:r>
          </w:p>
        </w:tc>
        <w:tc>
          <w:tcPr>
            <w:tcW w:w="539" w:type="pct"/>
            <w:shd w:val="pct20" w:color="auto" w:fill="auto"/>
            <w:vAlign w:val="center"/>
          </w:tcPr>
          <w:p w14:paraId="28E62F80" w14:textId="77777777" w:rsidR="009F44FA" w:rsidRPr="00053565" w:rsidRDefault="009F44FA" w:rsidP="000D72A9">
            <w:pPr>
              <w:pStyle w:val="TableHeading"/>
            </w:pPr>
            <w:r w:rsidRPr="00053565">
              <w:t>Year 1</w:t>
            </w:r>
          </w:p>
          <w:p w14:paraId="21B8FCB2" w14:textId="77777777" w:rsidR="009F44FA" w:rsidRPr="00053565" w:rsidRDefault="009F44FA" w:rsidP="000D72A9">
            <w:pPr>
              <w:pStyle w:val="TableHeading"/>
            </w:pPr>
            <w:r w:rsidRPr="00053565">
              <w:t>2024</w:t>
            </w:r>
          </w:p>
        </w:tc>
        <w:tc>
          <w:tcPr>
            <w:tcW w:w="539" w:type="pct"/>
            <w:shd w:val="pct20" w:color="auto" w:fill="auto"/>
            <w:vAlign w:val="center"/>
          </w:tcPr>
          <w:p w14:paraId="50C2FF2C" w14:textId="77777777" w:rsidR="009F44FA" w:rsidRPr="00053565" w:rsidRDefault="009F44FA" w:rsidP="000D72A9">
            <w:pPr>
              <w:pStyle w:val="TableHeading"/>
            </w:pPr>
            <w:r w:rsidRPr="00053565">
              <w:t>Year 2</w:t>
            </w:r>
          </w:p>
          <w:p w14:paraId="63C411E6" w14:textId="77777777" w:rsidR="009F44FA" w:rsidRPr="00053565" w:rsidRDefault="009F44FA" w:rsidP="000D72A9">
            <w:pPr>
              <w:pStyle w:val="TableHeading"/>
            </w:pPr>
            <w:r w:rsidRPr="00053565">
              <w:t>2025</w:t>
            </w:r>
          </w:p>
        </w:tc>
        <w:tc>
          <w:tcPr>
            <w:tcW w:w="539" w:type="pct"/>
            <w:shd w:val="pct20" w:color="auto" w:fill="auto"/>
            <w:vAlign w:val="center"/>
          </w:tcPr>
          <w:p w14:paraId="73EF995D" w14:textId="77777777" w:rsidR="009F44FA" w:rsidRPr="00053565" w:rsidRDefault="009F44FA" w:rsidP="000D72A9">
            <w:pPr>
              <w:pStyle w:val="TableHeading"/>
            </w:pPr>
            <w:r w:rsidRPr="00053565">
              <w:t>Year 3</w:t>
            </w:r>
          </w:p>
          <w:p w14:paraId="49DB8BCE" w14:textId="77777777" w:rsidR="009F44FA" w:rsidRPr="00053565" w:rsidRDefault="009F44FA" w:rsidP="000D72A9">
            <w:pPr>
              <w:pStyle w:val="TableHeading"/>
            </w:pPr>
            <w:r w:rsidRPr="00053565">
              <w:t>2026</w:t>
            </w:r>
          </w:p>
        </w:tc>
        <w:tc>
          <w:tcPr>
            <w:tcW w:w="539" w:type="pct"/>
            <w:shd w:val="pct20" w:color="auto" w:fill="auto"/>
            <w:vAlign w:val="center"/>
          </w:tcPr>
          <w:p w14:paraId="068F43F8" w14:textId="77777777" w:rsidR="009F44FA" w:rsidRPr="00053565" w:rsidRDefault="009F44FA" w:rsidP="000D72A9">
            <w:pPr>
              <w:pStyle w:val="TableHeading"/>
            </w:pPr>
            <w:r w:rsidRPr="00053565">
              <w:t>Year 4</w:t>
            </w:r>
          </w:p>
          <w:p w14:paraId="412F244F" w14:textId="77777777" w:rsidR="009F44FA" w:rsidRPr="00053565" w:rsidRDefault="009F44FA" w:rsidP="000D72A9">
            <w:pPr>
              <w:pStyle w:val="TableHeading"/>
            </w:pPr>
            <w:r w:rsidRPr="00053565">
              <w:t>2027</w:t>
            </w:r>
          </w:p>
        </w:tc>
        <w:tc>
          <w:tcPr>
            <w:tcW w:w="616" w:type="pct"/>
            <w:shd w:val="pct20" w:color="auto" w:fill="auto"/>
            <w:vAlign w:val="center"/>
          </w:tcPr>
          <w:p w14:paraId="4890D2C6" w14:textId="77777777" w:rsidR="009F44FA" w:rsidRPr="00053565" w:rsidRDefault="009F44FA" w:rsidP="000D72A9">
            <w:pPr>
              <w:pStyle w:val="TableHeading"/>
            </w:pPr>
            <w:r w:rsidRPr="00053565">
              <w:t>Year 5</w:t>
            </w:r>
          </w:p>
          <w:p w14:paraId="76F2DB3B" w14:textId="77777777" w:rsidR="009F44FA" w:rsidRPr="00053565" w:rsidRDefault="009F44FA" w:rsidP="000D72A9">
            <w:pPr>
              <w:pStyle w:val="TableHeading"/>
            </w:pPr>
            <w:r w:rsidRPr="00053565">
              <w:t>2028</w:t>
            </w:r>
          </w:p>
        </w:tc>
        <w:tc>
          <w:tcPr>
            <w:tcW w:w="616" w:type="pct"/>
            <w:shd w:val="pct20" w:color="auto" w:fill="auto"/>
            <w:vAlign w:val="center"/>
          </w:tcPr>
          <w:p w14:paraId="5DD15673" w14:textId="77777777" w:rsidR="009F44FA" w:rsidRPr="00053565" w:rsidRDefault="009F44FA" w:rsidP="000D72A9">
            <w:pPr>
              <w:pStyle w:val="TableHeading"/>
            </w:pPr>
            <w:r w:rsidRPr="00053565">
              <w:t>Year 6</w:t>
            </w:r>
          </w:p>
          <w:p w14:paraId="42EE68E5" w14:textId="77777777" w:rsidR="009F44FA" w:rsidRPr="00053565" w:rsidRDefault="009F44FA" w:rsidP="000D72A9">
            <w:pPr>
              <w:pStyle w:val="TableHeading"/>
            </w:pPr>
            <w:r w:rsidRPr="00053565">
              <w:t>2029</w:t>
            </w:r>
          </w:p>
        </w:tc>
      </w:tr>
      <w:tr w:rsidR="00CF0882" w:rsidRPr="00053565" w14:paraId="1490F94B" w14:textId="77777777" w:rsidTr="00CF0882">
        <w:trPr>
          <w:cnfStyle w:val="100000000000" w:firstRow="1" w:lastRow="0" w:firstColumn="0" w:lastColumn="0" w:oddVBand="0" w:evenVBand="0" w:oddHBand="0" w:evenHBand="0" w:firstRowFirstColumn="0" w:firstRowLastColumn="0" w:lastRowFirstColumn="0" w:lastRowLastColumn="0"/>
          <w:tblHeader/>
        </w:trPr>
        <w:tc>
          <w:tcPr>
            <w:tcW w:w="1612" w:type="pct"/>
            <w:vAlign w:val="center"/>
          </w:tcPr>
          <w:p w14:paraId="4E805F07" w14:textId="53FB0EDF" w:rsidR="00DF0316" w:rsidRDefault="00DF0316" w:rsidP="00193CF5">
            <w:pPr>
              <w:pStyle w:val="TableText"/>
              <w:rPr>
                <w:b/>
              </w:rPr>
            </w:pPr>
            <w:r>
              <w:rPr>
                <w:b/>
              </w:rPr>
              <w:t>Commentary Scenario</w:t>
            </w:r>
          </w:p>
          <w:p w14:paraId="513A74FC" w14:textId="00A5B725" w:rsidR="00CF0882" w:rsidRDefault="00CF0882" w:rsidP="00CF0882">
            <w:pPr>
              <w:pStyle w:val="TableText"/>
              <w:numPr>
                <w:ilvl w:val="0"/>
                <w:numId w:val="25"/>
              </w:numPr>
              <w:rPr>
                <w:b/>
              </w:rPr>
            </w:pPr>
            <w:r w:rsidRPr="00744E35">
              <w:rPr>
                <w:b/>
              </w:rPr>
              <w:t>Follow-up interval</w:t>
            </w:r>
            <w:r>
              <w:rPr>
                <w:b/>
              </w:rPr>
              <w:t xml:space="preserve"> for NT-</w:t>
            </w:r>
            <w:proofErr w:type="spellStart"/>
            <w:r>
              <w:rPr>
                <w:b/>
              </w:rPr>
              <w:t>proBNP</w:t>
            </w:r>
            <w:proofErr w:type="spellEnd"/>
            <w:r>
              <w:rPr>
                <w:b/>
              </w:rPr>
              <w:t xml:space="preserve">: 3 months </w:t>
            </w:r>
            <w:r w:rsidRPr="00F64C00">
              <w:rPr>
                <w:b/>
                <w:vertAlign w:val="superscript"/>
              </w:rPr>
              <w:t>a</w:t>
            </w:r>
          </w:p>
          <w:p w14:paraId="25AF52E1" w14:textId="2DEC4C55" w:rsidR="00CF0882" w:rsidRPr="00744E35" w:rsidRDefault="00CF0882" w:rsidP="00CF0882">
            <w:pPr>
              <w:pStyle w:val="TableText"/>
              <w:numPr>
                <w:ilvl w:val="0"/>
                <w:numId w:val="25"/>
              </w:numPr>
              <w:rPr>
                <w:b/>
              </w:rPr>
            </w:pPr>
            <w:r w:rsidRPr="00744E35">
              <w:rPr>
                <w:b/>
              </w:rPr>
              <w:t>Follow-up interval</w:t>
            </w:r>
            <w:r>
              <w:rPr>
                <w:b/>
              </w:rPr>
              <w:t xml:space="preserve"> for TTE: 4</w:t>
            </w:r>
            <w:r w:rsidRPr="00744E35">
              <w:rPr>
                <w:b/>
              </w:rPr>
              <w:t xml:space="preserve"> months</w:t>
            </w:r>
            <w:r>
              <w:rPr>
                <w:b/>
              </w:rPr>
              <w:t xml:space="preserve"> </w:t>
            </w:r>
            <w:r w:rsidRPr="008F0360">
              <w:rPr>
                <w:b/>
                <w:vertAlign w:val="superscript"/>
              </w:rPr>
              <w:t>a</w:t>
            </w:r>
          </w:p>
          <w:p w14:paraId="520B4745" w14:textId="77777777" w:rsidR="00CF0882" w:rsidRPr="00053565" w:rsidRDefault="00CF0882" w:rsidP="00CF0882">
            <w:pPr>
              <w:pStyle w:val="TableText"/>
              <w:numPr>
                <w:ilvl w:val="0"/>
                <w:numId w:val="25"/>
              </w:numPr>
              <w:rPr>
                <w:bCs/>
              </w:rPr>
            </w:pPr>
            <w:r w:rsidRPr="00053565">
              <w:rPr>
                <w:bCs/>
              </w:rPr>
              <w:t>Rate of clinical worsening: 25%</w:t>
            </w:r>
          </w:p>
          <w:p w14:paraId="15BA117D" w14:textId="03DE4264" w:rsidR="00CF0882" w:rsidRPr="00053565" w:rsidRDefault="00CF0882" w:rsidP="00CF0882">
            <w:pPr>
              <w:pStyle w:val="TableText"/>
              <w:numPr>
                <w:ilvl w:val="0"/>
                <w:numId w:val="25"/>
              </w:numPr>
              <w:rPr>
                <w:b/>
              </w:rPr>
            </w:pPr>
            <w:r w:rsidRPr="00053565">
              <w:rPr>
                <w:bCs/>
              </w:rPr>
              <w:t>Uptake rate: 90%</w:t>
            </w:r>
            <w:r>
              <w:rPr>
                <w:bCs/>
              </w:rPr>
              <w:t xml:space="preserve"> </w:t>
            </w:r>
          </w:p>
        </w:tc>
        <w:tc>
          <w:tcPr>
            <w:tcW w:w="539" w:type="pct"/>
            <w:vAlign w:val="center"/>
          </w:tcPr>
          <w:p w14:paraId="1E3D9FB6" w14:textId="1433F951" w:rsidR="00CF0882" w:rsidRPr="00F64C00" w:rsidRDefault="00CF0882" w:rsidP="00CF0882">
            <w:pPr>
              <w:pStyle w:val="TableText"/>
              <w:jc w:val="right"/>
            </w:pPr>
            <w:r w:rsidRPr="00B06AEA">
              <w:t>-$55,314</w:t>
            </w:r>
          </w:p>
        </w:tc>
        <w:tc>
          <w:tcPr>
            <w:tcW w:w="539" w:type="pct"/>
            <w:vAlign w:val="center"/>
          </w:tcPr>
          <w:p w14:paraId="3D24BE8B" w14:textId="28F04CBA" w:rsidR="00CF0882" w:rsidRPr="00F64C00" w:rsidRDefault="00CF0882" w:rsidP="00CF0882">
            <w:pPr>
              <w:pStyle w:val="TableText"/>
              <w:jc w:val="right"/>
            </w:pPr>
            <w:r w:rsidRPr="00B06AEA">
              <w:t>-$67,232</w:t>
            </w:r>
          </w:p>
        </w:tc>
        <w:tc>
          <w:tcPr>
            <w:tcW w:w="539" w:type="pct"/>
            <w:vAlign w:val="center"/>
          </w:tcPr>
          <w:p w14:paraId="45AEA187" w14:textId="25BC4D2B" w:rsidR="00CF0882" w:rsidRPr="00F64C00" w:rsidRDefault="00CF0882" w:rsidP="00CF0882">
            <w:pPr>
              <w:pStyle w:val="TableText"/>
              <w:jc w:val="right"/>
            </w:pPr>
            <w:r w:rsidRPr="00B06AEA">
              <w:t>-$80,142</w:t>
            </w:r>
          </w:p>
        </w:tc>
        <w:tc>
          <w:tcPr>
            <w:tcW w:w="539" w:type="pct"/>
            <w:vAlign w:val="center"/>
          </w:tcPr>
          <w:p w14:paraId="57779960" w14:textId="43E93D0B" w:rsidR="00CF0882" w:rsidRPr="00F64C00" w:rsidRDefault="00CF0882" w:rsidP="00CF0882">
            <w:pPr>
              <w:pStyle w:val="TableText"/>
              <w:jc w:val="right"/>
            </w:pPr>
            <w:r w:rsidRPr="00B06AEA">
              <w:t>-$81,287</w:t>
            </w:r>
          </w:p>
        </w:tc>
        <w:tc>
          <w:tcPr>
            <w:tcW w:w="616" w:type="pct"/>
            <w:vAlign w:val="center"/>
          </w:tcPr>
          <w:p w14:paraId="2243CFD8" w14:textId="65D7A157" w:rsidR="00CF0882" w:rsidRPr="00F64C00" w:rsidRDefault="00CF0882" w:rsidP="00CF0882">
            <w:pPr>
              <w:pStyle w:val="TableText"/>
              <w:jc w:val="right"/>
            </w:pPr>
            <w:r w:rsidRPr="00B06AEA">
              <w:t>-$82,411</w:t>
            </w:r>
          </w:p>
        </w:tc>
        <w:tc>
          <w:tcPr>
            <w:tcW w:w="616" w:type="pct"/>
            <w:vAlign w:val="center"/>
          </w:tcPr>
          <w:p w14:paraId="1E894E63" w14:textId="1C557859" w:rsidR="00CF0882" w:rsidRPr="00F64C00" w:rsidRDefault="00CF0882" w:rsidP="00CF0882">
            <w:pPr>
              <w:pStyle w:val="TableText"/>
              <w:jc w:val="right"/>
            </w:pPr>
            <w:r w:rsidRPr="00B06AEA">
              <w:t>-$83,529</w:t>
            </w:r>
          </w:p>
        </w:tc>
      </w:tr>
      <w:tr w:rsidR="009F44FA" w:rsidRPr="00053565" w14:paraId="77BE1DDF" w14:textId="77777777" w:rsidTr="000D72A9">
        <w:trPr>
          <w:cnfStyle w:val="100000000000" w:firstRow="1" w:lastRow="0" w:firstColumn="0" w:lastColumn="0" w:oddVBand="0" w:evenVBand="0" w:oddHBand="0" w:evenHBand="0" w:firstRowFirstColumn="0" w:firstRowLastColumn="0" w:lastRowFirstColumn="0" w:lastRowLastColumn="0"/>
          <w:tblHeader/>
        </w:trPr>
        <w:tc>
          <w:tcPr>
            <w:tcW w:w="5000" w:type="pct"/>
            <w:gridSpan w:val="7"/>
            <w:vAlign w:val="center"/>
          </w:tcPr>
          <w:p w14:paraId="18B8771C" w14:textId="77777777" w:rsidR="009F44FA" w:rsidRPr="00D251A0" w:rsidRDefault="009F44FA" w:rsidP="000D72A9">
            <w:pPr>
              <w:pStyle w:val="TableText"/>
              <w:rPr>
                <w:b/>
              </w:rPr>
            </w:pPr>
            <w:r w:rsidRPr="00D251A0">
              <w:rPr>
                <w:b/>
              </w:rPr>
              <w:t>Change in rate of clinical worsening (sensitivity analyses)</w:t>
            </w:r>
          </w:p>
        </w:tc>
      </w:tr>
      <w:tr w:rsidR="00CF0882" w:rsidRPr="00053565" w14:paraId="14D336AA" w14:textId="77777777" w:rsidTr="00CF0882">
        <w:trPr>
          <w:cnfStyle w:val="100000000000" w:firstRow="1" w:lastRow="0" w:firstColumn="0" w:lastColumn="0" w:oddVBand="0" w:evenVBand="0" w:oddHBand="0" w:evenHBand="0" w:firstRowFirstColumn="0" w:firstRowLastColumn="0" w:lastRowFirstColumn="0" w:lastRowLastColumn="0"/>
          <w:tblHeader/>
        </w:trPr>
        <w:tc>
          <w:tcPr>
            <w:tcW w:w="1612" w:type="pct"/>
            <w:vAlign w:val="center"/>
          </w:tcPr>
          <w:p w14:paraId="538CF6C3" w14:textId="79154A3C" w:rsidR="00CF0882" w:rsidRPr="00053565" w:rsidRDefault="00CF0882" w:rsidP="00CF0882">
            <w:pPr>
              <w:pStyle w:val="TableText"/>
              <w:rPr>
                <w:bCs/>
              </w:rPr>
            </w:pPr>
            <w:r w:rsidRPr="00053565">
              <w:rPr>
                <w:bCs/>
              </w:rPr>
              <w:t>Rate of clinical worsening: 35%</w:t>
            </w:r>
            <w:r>
              <w:rPr>
                <w:bCs/>
              </w:rPr>
              <w:t xml:space="preserve"> </w:t>
            </w:r>
            <w:r w:rsidRPr="00F64C00">
              <w:rPr>
                <w:bCs/>
                <w:vertAlign w:val="superscript"/>
              </w:rPr>
              <w:t>b</w:t>
            </w:r>
          </w:p>
        </w:tc>
        <w:tc>
          <w:tcPr>
            <w:tcW w:w="539" w:type="pct"/>
          </w:tcPr>
          <w:p w14:paraId="61E36F54" w14:textId="419AC0CC" w:rsidR="00CF0882" w:rsidRPr="00D251A0" w:rsidRDefault="00CF0882" w:rsidP="00CF0882">
            <w:pPr>
              <w:pStyle w:val="TableText"/>
              <w:jc w:val="right"/>
              <w:rPr>
                <w:rFonts w:cs="Calibri"/>
                <w:bCs/>
              </w:rPr>
            </w:pPr>
            <w:r w:rsidRPr="00D22A87">
              <w:t>-$10,974</w:t>
            </w:r>
          </w:p>
        </w:tc>
        <w:tc>
          <w:tcPr>
            <w:tcW w:w="539" w:type="pct"/>
          </w:tcPr>
          <w:p w14:paraId="6D32D735" w14:textId="68E32A5F" w:rsidR="00CF0882" w:rsidRPr="00D251A0" w:rsidRDefault="00CF0882" w:rsidP="00CF0882">
            <w:pPr>
              <w:pStyle w:val="TableText"/>
              <w:jc w:val="right"/>
              <w:rPr>
                <w:rFonts w:cs="Calibri"/>
                <w:bCs/>
              </w:rPr>
            </w:pPr>
            <w:r w:rsidRPr="00D22A87">
              <w:t>-$13,338</w:t>
            </w:r>
          </w:p>
        </w:tc>
        <w:tc>
          <w:tcPr>
            <w:tcW w:w="539" w:type="pct"/>
          </w:tcPr>
          <w:p w14:paraId="52770975" w14:textId="6DDD7DAA" w:rsidR="00CF0882" w:rsidRPr="00D251A0" w:rsidRDefault="00CF0882" w:rsidP="00CF0882">
            <w:pPr>
              <w:pStyle w:val="TableText"/>
              <w:jc w:val="right"/>
              <w:rPr>
                <w:rFonts w:cs="Calibri"/>
                <w:bCs/>
              </w:rPr>
            </w:pPr>
            <w:r w:rsidRPr="00D22A87">
              <w:t>-$15,899</w:t>
            </w:r>
          </w:p>
        </w:tc>
        <w:tc>
          <w:tcPr>
            <w:tcW w:w="539" w:type="pct"/>
          </w:tcPr>
          <w:p w14:paraId="3BB2BB6D" w14:textId="652AC5F6" w:rsidR="00CF0882" w:rsidRPr="00D251A0" w:rsidRDefault="00CF0882" w:rsidP="00CF0882">
            <w:pPr>
              <w:pStyle w:val="TableText"/>
              <w:jc w:val="right"/>
              <w:rPr>
                <w:rFonts w:cs="Calibri"/>
                <w:bCs/>
              </w:rPr>
            </w:pPr>
            <w:r w:rsidRPr="00D22A87">
              <w:t>-$16,126</w:t>
            </w:r>
          </w:p>
        </w:tc>
        <w:tc>
          <w:tcPr>
            <w:tcW w:w="616" w:type="pct"/>
          </w:tcPr>
          <w:p w14:paraId="52CD09FB" w14:textId="34F95B17" w:rsidR="00CF0882" w:rsidRPr="00D251A0" w:rsidRDefault="00CF0882" w:rsidP="00CF0882">
            <w:pPr>
              <w:pStyle w:val="TableText"/>
              <w:jc w:val="right"/>
              <w:rPr>
                <w:rFonts w:cs="Calibri"/>
                <w:bCs/>
              </w:rPr>
            </w:pPr>
            <w:r w:rsidRPr="00D22A87">
              <w:t>-$16,349</w:t>
            </w:r>
          </w:p>
        </w:tc>
        <w:tc>
          <w:tcPr>
            <w:tcW w:w="616" w:type="pct"/>
          </w:tcPr>
          <w:p w14:paraId="1F04C3AB" w14:textId="5D284A56" w:rsidR="00CF0882" w:rsidRPr="00D251A0" w:rsidRDefault="00CF0882" w:rsidP="00CF0882">
            <w:pPr>
              <w:pStyle w:val="TableText"/>
              <w:jc w:val="right"/>
              <w:rPr>
                <w:rFonts w:cs="Calibri"/>
                <w:bCs/>
              </w:rPr>
            </w:pPr>
            <w:r w:rsidRPr="00D22A87">
              <w:t>-$16,571</w:t>
            </w:r>
          </w:p>
        </w:tc>
      </w:tr>
      <w:tr w:rsidR="00CF0882" w:rsidRPr="00053565" w14:paraId="5B672C19" w14:textId="77777777" w:rsidTr="00CF0882">
        <w:trPr>
          <w:cnfStyle w:val="100000000000" w:firstRow="1" w:lastRow="0" w:firstColumn="0" w:lastColumn="0" w:oddVBand="0" w:evenVBand="0" w:oddHBand="0" w:evenHBand="0" w:firstRowFirstColumn="0" w:firstRowLastColumn="0" w:lastRowFirstColumn="0" w:lastRowLastColumn="0"/>
          <w:tblHeader/>
        </w:trPr>
        <w:tc>
          <w:tcPr>
            <w:tcW w:w="1612" w:type="pct"/>
            <w:vAlign w:val="center"/>
          </w:tcPr>
          <w:p w14:paraId="05E4CC70" w14:textId="32DE0B5B" w:rsidR="00CF0882" w:rsidRPr="00053565" w:rsidRDefault="00CF0882" w:rsidP="00CF0882">
            <w:pPr>
              <w:pStyle w:val="TableText"/>
              <w:rPr>
                <w:bCs/>
              </w:rPr>
            </w:pPr>
            <w:r w:rsidRPr="00053565">
              <w:rPr>
                <w:bCs/>
              </w:rPr>
              <w:t>Rate of clinical worsening: 50%</w:t>
            </w:r>
            <w:r>
              <w:rPr>
                <w:bCs/>
              </w:rPr>
              <w:t xml:space="preserve"> </w:t>
            </w:r>
            <w:r w:rsidRPr="00F64C00">
              <w:rPr>
                <w:bCs/>
                <w:vertAlign w:val="superscript"/>
              </w:rPr>
              <w:t>c</w:t>
            </w:r>
          </w:p>
        </w:tc>
        <w:tc>
          <w:tcPr>
            <w:tcW w:w="539" w:type="pct"/>
          </w:tcPr>
          <w:p w14:paraId="35838C67" w14:textId="5FDAA601" w:rsidR="00CF0882" w:rsidRPr="00D251A0" w:rsidRDefault="00CF0882" w:rsidP="00CF0882">
            <w:pPr>
              <w:pStyle w:val="TableText"/>
              <w:jc w:val="right"/>
              <w:rPr>
                <w:bCs/>
              </w:rPr>
            </w:pPr>
            <w:r w:rsidRPr="00684346">
              <w:t>$122,047</w:t>
            </w:r>
          </w:p>
        </w:tc>
        <w:tc>
          <w:tcPr>
            <w:tcW w:w="539" w:type="pct"/>
          </w:tcPr>
          <w:p w14:paraId="12AE093D" w14:textId="67CE1E20" w:rsidR="00CF0882" w:rsidRPr="00D251A0" w:rsidRDefault="00CF0882" w:rsidP="00CF0882">
            <w:pPr>
              <w:pStyle w:val="TableText"/>
              <w:jc w:val="right"/>
              <w:rPr>
                <w:bCs/>
              </w:rPr>
            </w:pPr>
            <w:r w:rsidRPr="00684346">
              <w:t>$148,345</w:t>
            </w:r>
          </w:p>
        </w:tc>
        <w:tc>
          <w:tcPr>
            <w:tcW w:w="539" w:type="pct"/>
          </w:tcPr>
          <w:p w14:paraId="39A51704" w14:textId="23D7E2A8" w:rsidR="00CF0882" w:rsidRPr="00D251A0" w:rsidRDefault="00CF0882" w:rsidP="00CF0882">
            <w:pPr>
              <w:pStyle w:val="TableText"/>
              <w:jc w:val="right"/>
              <w:rPr>
                <w:bCs/>
              </w:rPr>
            </w:pPr>
            <w:r w:rsidRPr="00684346">
              <w:t>$176,828</w:t>
            </w:r>
          </w:p>
        </w:tc>
        <w:tc>
          <w:tcPr>
            <w:tcW w:w="539" w:type="pct"/>
          </w:tcPr>
          <w:p w14:paraId="0D70D497" w14:textId="3C3AD65D" w:rsidR="00CF0882" w:rsidRPr="00D251A0" w:rsidRDefault="00CF0882" w:rsidP="00CF0882">
            <w:pPr>
              <w:pStyle w:val="TableText"/>
              <w:jc w:val="right"/>
              <w:rPr>
                <w:bCs/>
              </w:rPr>
            </w:pPr>
            <w:r w:rsidRPr="00684346">
              <w:t>$179,355</w:t>
            </w:r>
          </w:p>
        </w:tc>
        <w:tc>
          <w:tcPr>
            <w:tcW w:w="616" w:type="pct"/>
          </w:tcPr>
          <w:p w14:paraId="3C985A0E" w14:textId="51505D85" w:rsidR="00CF0882" w:rsidRPr="00D251A0" w:rsidRDefault="00CF0882" w:rsidP="00CF0882">
            <w:pPr>
              <w:pStyle w:val="TableText"/>
              <w:jc w:val="right"/>
              <w:rPr>
                <w:bCs/>
              </w:rPr>
            </w:pPr>
            <w:r w:rsidRPr="00684346">
              <w:t>$181,835</w:t>
            </w:r>
          </w:p>
        </w:tc>
        <w:tc>
          <w:tcPr>
            <w:tcW w:w="616" w:type="pct"/>
          </w:tcPr>
          <w:p w14:paraId="3BC3A394" w14:textId="66BA972E" w:rsidR="00CF0882" w:rsidRPr="00D251A0" w:rsidRDefault="00CF0882" w:rsidP="00CF0882">
            <w:pPr>
              <w:pStyle w:val="TableText"/>
              <w:jc w:val="right"/>
              <w:rPr>
                <w:bCs/>
              </w:rPr>
            </w:pPr>
            <w:r w:rsidRPr="00684346">
              <w:t>$184,302</w:t>
            </w:r>
          </w:p>
        </w:tc>
      </w:tr>
      <w:tr w:rsidR="009F44FA" w:rsidRPr="00053565" w14:paraId="29D1F895" w14:textId="77777777" w:rsidTr="000D72A9">
        <w:trPr>
          <w:cnfStyle w:val="100000000000" w:firstRow="1" w:lastRow="0" w:firstColumn="0" w:lastColumn="0" w:oddVBand="0" w:evenVBand="0" w:oddHBand="0" w:evenHBand="0" w:firstRowFirstColumn="0" w:firstRowLastColumn="0" w:lastRowFirstColumn="0" w:lastRowLastColumn="0"/>
          <w:tblHeader/>
        </w:trPr>
        <w:tc>
          <w:tcPr>
            <w:tcW w:w="5000" w:type="pct"/>
            <w:gridSpan w:val="7"/>
            <w:vAlign w:val="center"/>
          </w:tcPr>
          <w:p w14:paraId="201391ED" w14:textId="77777777" w:rsidR="009F44FA" w:rsidRPr="00D251A0" w:rsidRDefault="009F44FA" w:rsidP="000D72A9">
            <w:pPr>
              <w:pStyle w:val="TableText"/>
              <w:rPr>
                <w:b/>
              </w:rPr>
            </w:pPr>
            <w:r w:rsidRPr="00D251A0">
              <w:rPr>
                <w:b/>
              </w:rPr>
              <w:t>Change in number of PAH patients (sensitivity analyses)</w:t>
            </w:r>
          </w:p>
        </w:tc>
      </w:tr>
      <w:tr w:rsidR="00CF0882" w:rsidRPr="00053565" w14:paraId="00E638E6" w14:textId="77777777" w:rsidTr="00CF0882">
        <w:trPr>
          <w:cnfStyle w:val="100000000000" w:firstRow="1" w:lastRow="0" w:firstColumn="0" w:lastColumn="0" w:oddVBand="0" w:evenVBand="0" w:oddHBand="0" w:evenHBand="0" w:firstRowFirstColumn="0" w:firstRowLastColumn="0" w:lastRowFirstColumn="0" w:lastRowLastColumn="0"/>
          <w:tblHeader/>
        </w:trPr>
        <w:tc>
          <w:tcPr>
            <w:tcW w:w="1612" w:type="pct"/>
            <w:vAlign w:val="center"/>
          </w:tcPr>
          <w:p w14:paraId="773A2A8B" w14:textId="77777777" w:rsidR="00CF0882" w:rsidRPr="00053565" w:rsidRDefault="00CF0882" w:rsidP="00CF0882">
            <w:pPr>
              <w:pStyle w:val="TableText"/>
              <w:rPr>
                <w:bCs/>
              </w:rPr>
            </w:pPr>
            <w:r w:rsidRPr="00053565">
              <w:rPr>
                <w:bCs/>
              </w:rPr>
              <w:t>Low PBS estimate</w:t>
            </w:r>
          </w:p>
        </w:tc>
        <w:tc>
          <w:tcPr>
            <w:tcW w:w="539" w:type="pct"/>
          </w:tcPr>
          <w:p w14:paraId="0D7EFC1A" w14:textId="6FD77F9A" w:rsidR="00CF0882" w:rsidRPr="00D251A0" w:rsidRDefault="00CF0882" w:rsidP="00CF0882">
            <w:pPr>
              <w:pStyle w:val="TableText"/>
              <w:jc w:val="right"/>
              <w:rPr>
                <w:bCs/>
              </w:rPr>
            </w:pPr>
            <w:r w:rsidRPr="00531D0C">
              <w:t>-$51,065</w:t>
            </w:r>
          </w:p>
        </w:tc>
        <w:tc>
          <w:tcPr>
            <w:tcW w:w="539" w:type="pct"/>
          </w:tcPr>
          <w:p w14:paraId="5B9A309C" w14:textId="39471CC6" w:rsidR="00CF0882" w:rsidRPr="00D251A0" w:rsidRDefault="00CF0882" w:rsidP="00CF0882">
            <w:pPr>
              <w:pStyle w:val="TableText"/>
              <w:jc w:val="right"/>
              <w:rPr>
                <w:bCs/>
              </w:rPr>
            </w:pPr>
            <w:r w:rsidRPr="00531D0C">
              <w:t>-$62,984</w:t>
            </w:r>
          </w:p>
        </w:tc>
        <w:tc>
          <w:tcPr>
            <w:tcW w:w="539" w:type="pct"/>
          </w:tcPr>
          <w:p w14:paraId="4547AF3B" w14:textId="7827AC12" w:rsidR="00CF0882" w:rsidRPr="00D251A0" w:rsidRDefault="00CF0882" w:rsidP="00CF0882">
            <w:pPr>
              <w:pStyle w:val="TableText"/>
              <w:jc w:val="right"/>
              <w:rPr>
                <w:bCs/>
              </w:rPr>
            </w:pPr>
            <w:r w:rsidRPr="00531D0C">
              <w:t>-$75,074</w:t>
            </w:r>
          </w:p>
        </w:tc>
        <w:tc>
          <w:tcPr>
            <w:tcW w:w="539" w:type="pct"/>
          </w:tcPr>
          <w:p w14:paraId="6A1A4D1D" w14:textId="25012E12" w:rsidR="00CF0882" w:rsidRPr="00D251A0" w:rsidRDefault="00CF0882" w:rsidP="00CF0882">
            <w:pPr>
              <w:pStyle w:val="TableText"/>
              <w:jc w:val="right"/>
              <w:rPr>
                <w:bCs/>
              </w:rPr>
            </w:pPr>
            <w:r w:rsidRPr="00531D0C">
              <w:t>-$75,413</w:t>
            </w:r>
          </w:p>
        </w:tc>
        <w:tc>
          <w:tcPr>
            <w:tcW w:w="616" w:type="pct"/>
          </w:tcPr>
          <w:p w14:paraId="0E0D33D8" w14:textId="39512203" w:rsidR="00CF0882" w:rsidRPr="00D251A0" w:rsidRDefault="00CF0882" w:rsidP="00CF0882">
            <w:pPr>
              <w:pStyle w:val="TableText"/>
              <w:jc w:val="right"/>
              <w:rPr>
                <w:bCs/>
              </w:rPr>
            </w:pPr>
            <w:r w:rsidRPr="00531D0C">
              <w:t>-$75,747</w:t>
            </w:r>
          </w:p>
        </w:tc>
        <w:tc>
          <w:tcPr>
            <w:tcW w:w="616" w:type="pct"/>
          </w:tcPr>
          <w:p w14:paraId="2B8AA4EF" w14:textId="78928CC7" w:rsidR="00CF0882" w:rsidRPr="00D251A0" w:rsidRDefault="00CF0882" w:rsidP="00CF0882">
            <w:pPr>
              <w:pStyle w:val="TableText"/>
              <w:jc w:val="right"/>
              <w:rPr>
                <w:bCs/>
              </w:rPr>
            </w:pPr>
            <w:r w:rsidRPr="00531D0C">
              <w:t>-$76,080</w:t>
            </w:r>
          </w:p>
        </w:tc>
      </w:tr>
      <w:tr w:rsidR="00CF0882" w:rsidRPr="00053565" w14:paraId="4222E019" w14:textId="77777777" w:rsidTr="00CF0882">
        <w:trPr>
          <w:cnfStyle w:val="100000000000" w:firstRow="1" w:lastRow="0" w:firstColumn="0" w:lastColumn="0" w:oddVBand="0" w:evenVBand="0" w:oddHBand="0" w:evenHBand="0" w:firstRowFirstColumn="0" w:firstRowLastColumn="0" w:lastRowFirstColumn="0" w:lastRowLastColumn="0"/>
          <w:tblHeader/>
        </w:trPr>
        <w:tc>
          <w:tcPr>
            <w:tcW w:w="1612" w:type="pct"/>
            <w:vAlign w:val="center"/>
          </w:tcPr>
          <w:p w14:paraId="1B217B64" w14:textId="77777777" w:rsidR="00CF0882" w:rsidRPr="00053565" w:rsidRDefault="00CF0882" w:rsidP="00CF0882">
            <w:pPr>
              <w:pStyle w:val="TableText"/>
              <w:rPr>
                <w:bCs/>
              </w:rPr>
            </w:pPr>
            <w:r w:rsidRPr="00053565">
              <w:rPr>
                <w:bCs/>
              </w:rPr>
              <w:t>High PBS estimate</w:t>
            </w:r>
          </w:p>
        </w:tc>
        <w:tc>
          <w:tcPr>
            <w:tcW w:w="539" w:type="pct"/>
          </w:tcPr>
          <w:p w14:paraId="6E8768C5" w14:textId="36C3ADF5" w:rsidR="00CF0882" w:rsidRPr="00D251A0" w:rsidRDefault="00CF0882" w:rsidP="00CF0882">
            <w:pPr>
              <w:pStyle w:val="TableText"/>
              <w:jc w:val="right"/>
              <w:rPr>
                <w:bCs/>
              </w:rPr>
            </w:pPr>
            <w:r w:rsidRPr="00A24D63">
              <w:t>-$73,310</w:t>
            </w:r>
          </w:p>
        </w:tc>
        <w:tc>
          <w:tcPr>
            <w:tcW w:w="539" w:type="pct"/>
          </w:tcPr>
          <w:p w14:paraId="5BCB30CF" w14:textId="635E6132" w:rsidR="00CF0882" w:rsidRPr="00D251A0" w:rsidRDefault="00CF0882" w:rsidP="00CF0882">
            <w:pPr>
              <w:pStyle w:val="TableText"/>
              <w:jc w:val="right"/>
              <w:rPr>
                <w:bCs/>
              </w:rPr>
            </w:pPr>
            <w:r w:rsidRPr="00A24D63">
              <w:t>-$85,229</w:t>
            </w:r>
          </w:p>
        </w:tc>
        <w:tc>
          <w:tcPr>
            <w:tcW w:w="539" w:type="pct"/>
          </w:tcPr>
          <w:p w14:paraId="1D1C5256" w14:textId="1AF9271E" w:rsidR="00CF0882" w:rsidRPr="00D251A0" w:rsidRDefault="00CF0882" w:rsidP="00CF0882">
            <w:pPr>
              <w:pStyle w:val="TableText"/>
              <w:jc w:val="right"/>
              <w:rPr>
                <w:bCs/>
              </w:rPr>
            </w:pPr>
            <w:r w:rsidRPr="00A24D63">
              <w:t>-$97,319</w:t>
            </w:r>
          </w:p>
        </w:tc>
        <w:tc>
          <w:tcPr>
            <w:tcW w:w="539" w:type="pct"/>
          </w:tcPr>
          <w:p w14:paraId="628F7E9D" w14:textId="0297F75C" w:rsidR="00CF0882" w:rsidRPr="00D251A0" w:rsidRDefault="00CF0882" w:rsidP="00CF0882">
            <w:pPr>
              <w:pStyle w:val="TableText"/>
              <w:jc w:val="right"/>
              <w:rPr>
                <w:bCs/>
              </w:rPr>
            </w:pPr>
            <w:r w:rsidRPr="00A24D63">
              <w:t>-$97,658</w:t>
            </w:r>
          </w:p>
        </w:tc>
        <w:tc>
          <w:tcPr>
            <w:tcW w:w="616" w:type="pct"/>
          </w:tcPr>
          <w:p w14:paraId="35F930EA" w14:textId="21CAF7FA" w:rsidR="00CF0882" w:rsidRPr="00D251A0" w:rsidRDefault="00CF0882" w:rsidP="00CF0882">
            <w:pPr>
              <w:pStyle w:val="TableText"/>
              <w:jc w:val="right"/>
              <w:rPr>
                <w:bCs/>
              </w:rPr>
            </w:pPr>
            <w:r w:rsidRPr="00A24D63">
              <w:t>-$97,992</w:t>
            </w:r>
          </w:p>
        </w:tc>
        <w:tc>
          <w:tcPr>
            <w:tcW w:w="616" w:type="pct"/>
          </w:tcPr>
          <w:p w14:paraId="33D65FB8" w14:textId="292F9745" w:rsidR="00CF0882" w:rsidRPr="00D251A0" w:rsidRDefault="00CF0882" w:rsidP="00CF0882">
            <w:pPr>
              <w:pStyle w:val="TableText"/>
              <w:jc w:val="right"/>
              <w:rPr>
                <w:bCs/>
              </w:rPr>
            </w:pPr>
            <w:r w:rsidRPr="00A24D63">
              <w:t>-$98,325</w:t>
            </w:r>
          </w:p>
        </w:tc>
      </w:tr>
      <w:tr w:rsidR="009F44FA" w:rsidRPr="00053565" w14:paraId="3391E705" w14:textId="77777777" w:rsidTr="009F44FA">
        <w:trPr>
          <w:cnfStyle w:val="100000000000" w:firstRow="1" w:lastRow="0" w:firstColumn="0" w:lastColumn="0" w:oddVBand="0" w:evenVBand="0" w:oddHBand="0" w:evenHBand="0" w:firstRowFirstColumn="0" w:firstRowLastColumn="0" w:lastRowFirstColumn="0" w:lastRowLastColumn="0"/>
          <w:tblHeader/>
        </w:trPr>
        <w:tc>
          <w:tcPr>
            <w:tcW w:w="5000" w:type="pct"/>
            <w:gridSpan w:val="7"/>
            <w:vAlign w:val="center"/>
          </w:tcPr>
          <w:p w14:paraId="4EFBF925" w14:textId="77777777" w:rsidR="009F44FA" w:rsidRPr="00D251A0" w:rsidRDefault="009F44FA" w:rsidP="009F44FA">
            <w:pPr>
              <w:pStyle w:val="TableText"/>
              <w:rPr>
                <w:b/>
              </w:rPr>
            </w:pPr>
            <w:r w:rsidRPr="00D251A0">
              <w:rPr>
                <w:b/>
              </w:rPr>
              <w:t>Change in uptake rates (sensitivity analyses)</w:t>
            </w:r>
          </w:p>
        </w:tc>
      </w:tr>
      <w:tr w:rsidR="00CF0882" w:rsidRPr="00053565" w14:paraId="613E5364" w14:textId="77777777" w:rsidTr="004710CD">
        <w:trPr>
          <w:cnfStyle w:val="100000000000" w:firstRow="1" w:lastRow="0" w:firstColumn="0" w:lastColumn="0" w:oddVBand="0" w:evenVBand="0" w:oddHBand="0" w:evenHBand="0" w:firstRowFirstColumn="0" w:firstRowLastColumn="0" w:lastRowFirstColumn="0" w:lastRowLastColumn="0"/>
          <w:tblHeader/>
        </w:trPr>
        <w:tc>
          <w:tcPr>
            <w:tcW w:w="1612" w:type="pct"/>
            <w:vAlign w:val="center"/>
          </w:tcPr>
          <w:p w14:paraId="7F5877D7" w14:textId="77777777" w:rsidR="00CF0882" w:rsidRPr="00053565" w:rsidRDefault="00CF0882" w:rsidP="00CF0882">
            <w:pPr>
              <w:pStyle w:val="TableText"/>
              <w:rPr>
                <w:bCs/>
              </w:rPr>
            </w:pPr>
            <w:r w:rsidRPr="00053565">
              <w:rPr>
                <w:bCs/>
              </w:rPr>
              <w:t>Decrease in uptake rates: 80%</w:t>
            </w:r>
          </w:p>
        </w:tc>
        <w:tc>
          <w:tcPr>
            <w:tcW w:w="539" w:type="pct"/>
          </w:tcPr>
          <w:p w14:paraId="7FFA68D0" w14:textId="7704B7B6" w:rsidR="00CF0882" w:rsidRPr="00D251A0" w:rsidRDefault="00CF0882" w:rsidP="00CF0882">
            <w:pPr>
              <w:pStyle w:val="TableText"/>
              <w:jc w:val="right"/>
              <w:rPr>
                <w:bCs/>
              </w:rPr>
            </w:pPr>
            <w:r w:rsidRPr="006653DB">
              <w:t>-$49,168</w:t>
            </w:r>
          </w:p>
        </w:tc>
        <w:tc>
          <w:tcPr>
            <w:tcW w:w="539" w:type="pct"/>
          </w:tcPr>
          <w:p w14:paraId="4494018D" w14:textId="0B08B1BD" w:rsidR="00CF0882" w:rsidRPr="00D251A0" w:rsidRDefault="00CF0882" w:rsidP="00CF0882">
            <w:pPr>
              <w:pStyle w:val="TableText"/>
              <w:jc w:val="right"/>
              <w:rPr>
                <w:bCs/>
              </w:rPr>
            </w:pPr>
            <w:r w:rsidRPr="006653DB">
              <w:t>-$59,762</w:t>
            </w:r>
          </w:p>
        </w:tc>
        <w:tc>
          <w:tcPr>
            <w:tcW w:w="539" w:type="pct"/>
          </w:tcPr>
          <w:p w14:paraId="7D0C6027" w14:textId="6797536F" w:rsidR="00CF0882" w:rsidRPr="00D251A0" w:rsidRDefault="00CF0882" w:rsidP="00CF0882">
            <w:pPr>
              <w:pStyle w:val="TableText"/>
              <w:jc w:val="right"/>
              <w:rPr>
                <w:bCs/>
              </w:rPr>
            </w:pPr>
            <w:r w:rsidRPr="006653DB">
              <w:t>-$71,237</w:t>
            </w:r>
          </w:p>
        </w:tc>
        <w:tc>
          <w:tcPr>
            <w:tcW w:w="539" w:type="pct"/>
          </w:tcPr>
          <w:p w14:paraId="5ED1A184" w14:textId="3368B6DF" w:rsidR="00CF0882" w:rsidRPr="00D251A0" w:rsidRDefault="00CF0882" w:rsidP="00CF0882">
            <w:pPr>
              <w:pStyle w:val="TableText"/>
              <w:jc w:val="right"/>
              <w:rPr>
                <w:bCs/>
              </w:rPr>
            </w:pPr>
            <w:r w:rsidRPr="006653DB">
              <w:t>-$72,255</w:t>
            </w:r>
          </w:p>
        </w:tc>
        <w:tc>
          <w:tcPr>
            <w:tcW w:w="616" w:type="pct"/>
          </w:tcPr>
          <w:p w14:paraId="2B2E2DC8" w14:textId="533C51EB" w:rsidR="00CF0882" w:rsidRPr="00D251A0" w:rsidRDefault="00CF0882" w:rsidP="00CF0882">
            <w:pPr>
              <w:pStyle w:val="TableText"/>
              <w:jc w:val="right"/>
              <w:rPr>
                <w:bCs/>
              </w:rPr>
            </w:pPr>
            <w:r w:rsidRPr="006653DB">
              <w:t>-$73,254</w:t>
            </w:r>
          </w:p>
        </w:tc>
        <w:tc>
          <w:tcPr>
            <w:tcW w:w="616" w:type="pct"/>
          </w:tcPr>
          <w:p w14:paraId="259F098E" w14:textId="4C1F7418" w:rsidR="00CF0882" w:rsidRPr="00D251A0" w:rsidRDefault="00CF0882" w:rsidP="00CF0882">
            <w:pPr>
              <w:pStyle w:val="TableText"/>
              <w:jc w:val="right"/>
              <w:rPr>
                <w:bCs/>
              </w:rPr>
            </w:pPr>
            <w:r w:rsidRPr="006653DB">
              <w:t>-$74,248</w:t>
            </w:r>
          </w:p>
        </w:tc>
      </w:tr>
      <w:tr w:rsidR="004710CD" w:rsidRPr="00053565" w14:paraId="5F6E2653" w14:textId="77777777" w:rsidTr="004710CD">
        <w:trPr>
          <w:cnfStyle w:val="100000000000" w:firstRow="1" w:lastRow="0" w:firstColumn="0" w:lastColumn="0" w:oddVBand="0" w:evenVBand="0" w:oddHBand="0" w:evenHBand="0" w:firstRowFirstColumn="0" w:firstRowLastColumn="0" w:lastRowFirstColumn="0" w:lastRowLastColumn="0"/>
          <w:tblHeader/>
        </w:trPr>
        <w:tc>
          <w:tcPr>
            <w:tcW w:w="1612" w:type="pct"/>
            <w:vAlign w:val="center"/>
          </w:tcPr>
          <w:p w14:paraId="2F12161F" w14:textId="77777777" w:rsidR="004710CD" w:rsidRPr="00053565" w:rsidRDefault="004710CD" w:rsidP="004710CD">
            <w:pPr>
              <w:pStyle w:val="TableText"/>
              <w:rPr>
                <w:bCs/>
              </w:rPr>
            </w:pPr>
            <w:r w:rsidRPr="00053565">
              <w:rPr>
                <w:bCs/>
              </w:rPr>
              <w:t>Increase in uptake rates: 100%</w:t>
            </w:r>
          </w:p>
        </w:tc>
        <w:tc>
          <w:tcPr>
            <w:tcW w:w="539" w:type="pct"/>
          </w:tcPr>
          <w:p w14:paraId="63E7613A" w14:textId="64C63FC9" w:rsidR="004710CD" w:rsidRPr="00D251A0" w:rsidRDefault="004710CD" w:rsidP="004710CD">
            <w:pPr>
              <w:pStyle w:val="TableText"/>
              <w:jc w:val="right"/>
              <w:rPr>
                <w:bCs/>
              </w:rPr>
            </w:pPr>
            <w:r w:rsidRPr="009B4748">
              <w:t>-$61,460</w:t>
            </w:r>
          </w:p>
        </w:tc>
        <w:tc>
          <w:tcPr>
            <w:tcW w:w="539" w:type="pct"/>
          </w:tcPr>
          <w:p w14:paraId="3E89D03A" w14:textId="3EA8976E" w:rsidR="004710CD" w:rsidRPr="00D251A0" w:rsidRDefault="004710CD" w:rsidP="004710CD">
            <w:pPr>
              <w:pStyle w:val="TableText"/>
              <w:jc w:val="right"/>
              <w:rPr>
                <w:bCs/>
              </w:rPr>
            </w:pPr>
            <w:r w:rsidRPr="009B4748">
              <w:t>-$74,703</w:t>
            </w:r>
          </w:p>
        </w:tc>
        <w:tc>
          <w:tcPr>
            <w:tcW w:w="539" w:type="pct"/>
          </w:tcPr>
          <w:p w14:paraId="480618F6" w14:textId="687EB79E" w:rsidR="004710CD" w:rsidRPr="00D251A0" w:rsidRDefault="004710CD" w:rsidP="004710CD">
            <w:pPr>
              <w:pStyle w:val="TableText"/>
              <w:jc w:val="right"/>
              <w:rPr>
                <w:bCs/>
              </w:rPr>
            </w:pPr>
            <w:r w:rsidRPr="009B4748">
              <w:t xml:space="preserve">-$89,046 </w:t>
            </w:r>
          </w:p>
        </w:tc>
        <w:tc>
          <w:tcPr>
            <w:tcW w:w="539" w:type="pct"/>
          </w:tcPr>
          <w:p w14:paraId="2CF871AE" w14:textId="6BE4AC08" w:rsidR="004710CD" w:rsidRPr="00D251A0" w:rsidRDefault="004710CD" w:rsidP="004710CD">
            <w:pPr>
              <w:pStyle w:val="TableText"/>
              <w:jc w:val="right"/>
              <w:rPr>
                <w:bCs/>
              </w:rPr>
            </w:pPr>
            <w:r w:rsidRPr="009B4748">
              <w:t>-$90,319</w:t>
            </w:r>
          </w:p>
        </w:tc>
        <w:tc>
          <w:tcPr>
            <w:tcW w:w="616" w:type="pct"/>
          </w:tcPr>
          <w:p w14:paraId="522DF1A8" w14:textId="057C2A25" w:rsidR="004710CD" w:rsidRPr="00D251A0" w:rsidRDefault="004710CD" w:rsidP="004710CD">
            <w:pPr>
              <w:pStyle w:val="TableText"/>
              <w:jc w:val="right"/>
              <w:rPr>
                <w:bCs/>
              </w:rPr>
            </w:pPr>
            <w:r w:rsidRPr="009B4748">
              <w:t xml:space="preserve">-$91,568 </w:t>
            </w:r>
          </w:p>
        </w:tc>
        <w:tc>
          <w:tcPr>
            <w:tcW w:w="616" w:type="pct"/>
          </w:tcPr>
          <w:p w14:paraId="479CA4E1" w14:textId="6DB5A0BF" w:rsidR="004710CD" w:rsidRPr="00D251A0" w:rsidRDefault="004710CD" w:rsidP="004710CD">
            <w:pPr>
              <w:pStyle w:val="TableText"/>
              <w:jc w:val="right"/>
              <w:rPr>
                <w:bCs/>
              </w:rPr>
            </w:pPr>
            <w:r w:rsidRPr="009B4748">
              <w:t>-$92,810</w:t>
            </w:r>
          </w:p>
        </w:tc>
      </w:tr>
    </w:tbl>
    <w:p w14:paraId="17B0D120" w14:textId="77777777" w:rsidR="00F64C00" w:rsidRDefault="00F64C00" w:rsidP="00F64C00">
      <w:pPr>
        <w:pStyle w:val="Tablenotes0"/>
      </w:pPr>
      <w:r w:rsidRPr="002A3780">
        <w:t>Abbreviations:</w:t>
      </w:r>
      <w:r>
        <w:t xml:space="preserve"> </w:t>
      </w:r>
      <w:r w:rsidRPr="002A3780">
        <w:t>NT-</w:t>
      </w:r>
      <w:proofErr w:type="spellStart"/>
      <w:r w:rsidRPr="002A3780">
        <w:t>proBNP</w:t>
      </w:r>
      <w:proofErr w:type="spellEnd"/>
      <w:r w:rsidRPr="002A3780" w:rsidDel="00E4612A">
        <w:t xml:space="preserve"> </w:t>
      </w:r>
      <w:r w:rsidRPr="002A3780">
        <w:t xml:space="preserve">N-terminal pro-brain natriuretic peptide; PAH = pulmonary arterial hypertension; </w:t>
      </w:r>
      <w:r>
        <w:t xml:space="preserve">PBS = pharmaceutical benefits scheme; </w:t>
      </w:r>
      <w:r w:rsidRPr="002A3780">
        <w:t xml:space="preserve">TTE = </w:t>
      </w:r>
      <w:r>
        <w:t>t</w:t>
      </w:r>
      <w:r w:rsidRPr="002A3780">
        <w:t xml:space="preserve">ransthoracic </w:t>
      </w:r>
      <w:r>
        <w:t>e</w:t>
      </w:r>
      <w:r w:rsidRPr="002A3780">
        <w:t>chocardiogram</w:t>
      </w:r>
    </w:p>
    <w:p w14:paraId="61B13827" w14:textId="19EDD24C" w:rsidR="00D251A0" w:rsidRDefault="00F64C00" w:rsidP="00F64C00">
      <w:pPr>
        <w:pStyle w:val="Tablenotes0"/>
      </w:pPr>
      <w:bookmarkStart w:id="64" w:name="_Hlk134029082"/>
      <w:proofErr w:type="spellStart"/>
      <w:r w:rsidRPr="00F64C00">
        <w:rPr>
          <w:vertAlign w:val="superscript"/>
        </w:rPr>
        <w:t>a</w:t>
      </w:r>
      <w:proofErr w:type="spellEnd"/>
      <w:r>
        <w:t xml:space="preserve"> This analysis assumes </w:t>
      </w:r>
      <w:r w:rsidRPr="00F64C00">
        <w:t>3 TTE</w:t>
      </w:r>
      <w:r>
        <w:t xml:space="preserve"> tests per patient per year in the </w:t>
      </w:r>
      <w:r w:rsidRPr="00F64C00">
        <w:t xml:space="preserve">current </w:t>
      </w:r>
      <w:r>
        <w:t xml:space="preserve">algorithm compared to </w:t>
      </w:r>
      <w:r w:rsidRPr="00F64C00">
        <w:t>4 NT-</w:t>
      </w:r>
      <w:proofErr w:type="spellStart"/>
      <w:r w:rsidRPr="00F64C00">
        <w:t>proBNP</w:t>
      </w:r>
      <w:proofErr w:type="spellEnd"/>
      <w:r w:rsidRPr="00F64C00">
        <w:t xml:space="preserve"> + 1.9 TTE</w:t>
      </w:r>
      <w:r>
        <w:t xml:space="preserve"> tests in the</w:t>
      </w:r>
      <w:r w:rsidRPr="00F64C00">
        <w:t xml:space="preserve"> proposed</w:t>
      </w:r>
      <w:r>
        <w:t xml:space="preserve"> algorithm</w:t>
      </w:r>
      <w:r w:rsidRPr="00F64C00">
        <w:t xml:space="preserve"> (reduction of 0.28 TTEs per NT-</w:t>
      </w:r>
      <w:proofErr w:type="spellStart"/>
      <w:r w:rsidRPr="00F64C00">
        <w:t>proBNP</w:t>
      </w:r>
      <w:proofErr w:type="spellEnd"/>
      <w:r w:rsidRPr="00F64C00">
        <w:t xml:space="preserve"> test performed)</w:t>
      </w:r>
      <w:r>
        <w:t xml:space="preserve">. </w:t>
      </w:r>
    </w:p>
    <w:p w14:paraId="53A962CF" w14:textId="49BA2564" w:rsidR="00F64C00" w:rsidRDefault="00F64C00" w:rsidP="00F64C00">
      <w:pPr>
        <w:pStyle w:val="Tablenotes0"/>
      </w:pPr>
      <w:r w:rsidRPr="00F64C00">
        <w:rPr>
          <w:vertAlign w:val="superscript"/>
        </w:rPr>
        <w:t>b</w:t>
      </w:r>
      <w:r>
        <w:t xml:space="preserve"> This analysis assumes </w:t>
      </w:r>
      <w:r w:rsidRPr="00F64C00">
        <w:t>3 TTE</w:t>
      </w:r>
      <w:r>
        <w:t xml:space="preserve"> tests per patient per year in the </w:t>
      </w:r>
      <w:r w:rsidRPr="00F64C00">
        <w:t xml:space="preserve">current </w:t>
      </w:r>
      <w:r>
        <w:t xml:space="preserve">algorithm compared to </w:t>
      </w:r>
      <w:r w:rsidRPr="00F64C00">
        <w:t>4 NT-</w:t>
      </w:r>
      <w:proofErr w:type="spellStart"/>
      <w:r w:rsidRPr="00F64C00">
        <w:t>proBNP</w:t>
      </w:r>
      <w:proofErr w:type="spellEnd"/>
      <w:r w:rsidRPr="00F64C00">
        <w:t xml:space="preserve"> + </w:t>
      </w:r>
      <w:r>
        <w:t>2</w:t>
      </w:r>
      <w:r w:rsidRPr="00F64C00">
        <w:t xml:space="preserve"> TTE</w:t>
      </w:r>
      <w:r>
        <w:t xml:space="preserve"> tests in the</w:t>
      </w:r>
      <w:r w:rsidRPr="00F64C00">
        <w:t xml:space="preserve"> proposed</w:t>
      </w:r>
      <w:r>
        <w:t xml:space="preserve"> algorithm</w:t>
      </w:r>
      <w:r w:rsidRPr="00F64C00">
        <w:t xml:space="preserve"> (reduction of 0.2</w:t>
      </w:r>
      <w:r>
        <w:t>4</w:t>
      </w:r>
      <w:r w:rsidRPr="00F64C00">
        <w:t xml:space="preserve"> TTEs per NT-</w:t>
      </w:r>
      <w:proofErr w:type="spellStart"/>
      <w:r w:rsidRPr="00F64C00">
        <w:t>proBNP</w:t>
      </w:r>
      <w:proofErr w:type="spellEnd"/>
      <w:r w:rsidRPr="00F64C00">
        <w:t xml:space="preserve"> test performed</w:t>
      </w:r>
      <w:r>
        <w:t>.</w:t>
      </w:r>
    </w:p>
    <w:p w14:paraId="4B8D09E0" w14:textId="5EDBF462" w:rsidR="00F64C00" w:rsidRDefault="00F64C00" w:rsidP="00F64C00">
      <w:pPr>
        <w:pStyle w:val="Tablenotes0"/>
      </w:pPr>
      <w:r w:rsidRPr="00F64C00">
        <w:rPr>
          <w:vertAlign w:val="superscript"/>
        </w:rPr>
        <w:t>c</w:t>
      </w:r>
      <w:r>
        <w:t xml:space="preserve"> This analysis assumes </w:t>
      </w:r>
      <w:r w:rsidRPr="00F64C00">
        <w:t>3 TTE</w:t>
      </w:r>
      <w:r>
        <w:t xml:space="preserve"> tests per patient per year in the </w:t>
      </w:r>
      <w:r w:rsidRPr="00F64C00">
        <w:t xml:space="preserve">current </w:t>
      </w:r>
      <w:r>
        <w:t xml:space="preserve">algorithm compared to </w:t>
      </w:r>
      <w:r w:rsidRPr="00F64C00">
        <w:t>4 NT-</w:t>
      </w:r>
      <w:proofErr w:type="spellStart"/>
      <w:r w:rsidRPr="00F64C00">
        <w:t>proBNP</w:t>
      </w:r>
      <w:proofErr w:type="spellEnd"/>
      <w:r w:rsidRPr="00F64C00">
        <w:t xml:space="preserve"> + </w:t>
      </w:r>
      <w:r w:rsidR="00CF0882">
        <w:t>2.3</w:t>
      </w:r>
      <w:r w:rsidRPr="00F64C00">
        <w:t xml:space="preserve"> TTE</w:t>
      </w:r>
      <w:r>
        <w:t xml:space="preserve"> tests in the</w:t>
      </w:r>
      <w:r w:rsidRPr="00F64C00">
        <w:t xml:space="preserve"> proposed</w:t>
      </w:r>
      <w:r>
        <w:t xml:space="preserve"> algorithm</w:t>
      </w:r>
      <w:r w:rsidRPr="00F64C00">
        <w:t xml:space="preserve"> (reduction of 0.</w:t>
      </w:r>
      <w:r w:rsidR="00CF0882">
        <w:t>19</w:t>
      </w:r>
      <w:r w:rsidRPr="00F64C00">
        <w:t xml:space="preserve"> TTEs per NT-</w:t>
      </w:r>
      <w:proofErr w:type="spellStart"/>
      <w:r w:rsidRPr="00F64C00">
        <w:t>proBNP</w:t>
      </w:r>
      <w:proofErr w:type="spellEnd"/>
      <w:r w:rsidRPr="00F64C00">
        <w:t xml:space="preserve"> test performed</w:t>
      </w:r>
      <w:r w:rsidR="004710CD">
        <w:t>.</w:t>
      </w:r>
    </w:p>
    <w:p w14:paraId="1CB1AFC2" w14:textId="584B8FC4" w:rsidR="00F64C00" w:rsidRDefault="00F64C00" w:rsidP="00F64C00">
      <w:pPr>
        <w:pStyle w:val="Tablenotes0"/>
      </w:pPr>
      <w:r>
        <w:t>Source: compiled by the commentary</w:t>
      </w:r>
    </w:p>
    <w:bookmarkEnd w:id="64"/>
    <w:p w14:paraId="3DEAF409" w14:textId="75722EA6" w:rsidR="00591869" w:rsidRPr="001A4B85" w:rsidRDefault="00591869" w:rsidP="009803F3">
      <w:pPr>
        <w:pStyle w:val="ESHeading1"/>
      </w:pPr>
      <w:r w:rsidRPr="001A4B85">
        <w:t>1</w:t>
      </w:r>
      <w:r w:rsidR="00840EF5">
        <w:t>5</w:t>
      </w:r>
      <w:r w:rsidRPr="001A4B85">
        <w:t>.</w:t>
      </w:r>
      <w:r w:rsidRPr="001A4B85">
        <w:tab/>
        <w:t xml:space="preserve">Other relevant </w:t>
      </w:r>
      <w:bookmarkEnd w:id="60"/>
      <w:r w:rsidRPr="001A4B85">
        <w:t>information</w:t>
      </w:r>
      <w:bookmarkEnd w:id="63"/>
    </w:p>
    <w:p w14:paraId="79A0DAED" w14:textId="492C8BED" w:rsidR="00591869" w:rsidRDefault="00591869" w:rsidP="00591869">
      <w:bookmarkStart w:id="65" w:name="_Toc69491428"/>
      <w:r w:rsidRPr="001A4B85">
        <w:t>Nil.</w:t>
      </w:r>
    </w:p>
    <w:p w14:paraId="4D00E5B4" w14:textId="27A294E9" w:rsidR="00840EF5" w:rsidRDefault="00840EF5" w:rsidP="00840EF5">
      <w:pPr>
        <w:pStyle w:val="ESHeading1"/>
      </w:pPr>
      <w:r>
        <w:t>16.</w:t>
      </w:r>
      <w:r>
        <w:tab/>
        <w:t>Key issues from ESC to MSAC</w:t>
      </w:r>
    </w:p>
    <w:p w14:paraId="1C94DA0E" w14:textId="77777777" w:rsidR="00840EF5" w:rsidRPr="00A00566" w:rsidRDefault="00840EF5" w:rsidP="00840EF5">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rPr>
          <w:rFonts w:eastAsia="Times New Roman" w:cs="Times New Roman"/>
          <w:b/>
          <w:bCs/>
          <w:color w:val="000000"/>
          <w:sz w:val="24"/>
          <w:szCs w:val="20"/>
          <w:lang w:eastAsia="en-AU"/>
        </w:rPr>
      </w:pPr>
      <w:r w:rsidRPr="00A00566">
        <w:rPr>
          <w:rFonts w:eastAsia="Times New Roman" w:cs="Times New Roman"/>
          <w:b/>
          <w:bCs/>
          <w:color w:val="000000"/>
          <w:sz w:val="24"/>
          <w:szCs w:val="20"/>
          <w:lang w:eastAsia="en-AU"/>
        </w:rPr>
        <w:t>Main issues for MSAC consideration</w:t>
      </w:r>
    </w:p>
    <w:p w14:paraId="157E175E" w14:textId="77777777" w:rsidR="00840EF5" w:rsidRPr="00A00566" w:rsidRDefault="00840EF5" w:rsidP="00840EF5">
      <w:pPr>
        <w:keepNext/>
        <w:pBdr>
          <w:top w:val="single" w:sz="4" w:space="4" w:color="000000"/>
          <w:left w:val="single" w:sz="4" w:space="4" w:color="000000"/>
          <w:bottom w:val="single" w:sz="4" w:space="4" w:color="000000"/>
          <w:right w:val="single" w:sz="4" w:space="4" w:color="000000"/>
        </w:pBdr>
        <w:spacing w:before="240" w:after="240" w:line="240" w:lineRule="auto"/>
        <w:rPr>
          <w:rFonts w:eastAsia="Times New Roman" w:cs="Times New Roman"/>
          <w:b/>
          <w:bCs/>
          <w:color w:val="000000"/>
          <w:sz w:val="24"/>
          <w:szCs w:val="20"/>
          <w:lang w:eastAsia="en-AU"/>
        </w:rPr>
      </w:pPr>
      <w:r w:rsidRPr="00A00566">
        <w:rPr>
          <w:rFonts w:eastAsia="Times New Roman" w:cs="Times New Roman"/>
          <w:b/>
          <w:bCs/>
          <w:color w:val="000000"/>
          <w:sz w:val="24"/>
          <w:szCs w:val="20"/>
          <w:lang w:eastAsia="en-AU"/>
        </w:rPr>
        <w:t>Clinical issues:</w:t>
      </w:r>
    </w:p>
    <w:p w14:paraId="21532CAE" w14:textId="1564A9C7" w:rsidR="00840EF5" w:rsidRPr="00E500B8" w:rsidRDefault="00840EF5" w:rsidP="00840EF5">
      <w:pPr>
        <w:pBdr>
          <w:top w:val="single" w:sz="4" w:space="4" w:color="000000"/>
          <w:left w:val="single" w:sz="4" w:space="4" w:color="000000"/>
          <w:bottom w:val="single" w:sz="4" w:space="4" w:color="000000"/>
          <w:right w:val="single" w:sz="4" w:space="4" w:color="000000"/>
        </w:pBdr>
        <w:tabs>
          <w:tab w:val="num" w:pos="357"/>
        </w:tabs>
        <w:spacing w:before="0" w:after="120" w:line="240" w:lineRule="auto"/>
        <w:rPr>
          <w:rFonts w:eastAsia="Times New Roman" w:cstheme="majorHAnsi"/>
          <w:color w:val="000000"/>
          <w:szCs w:val="20"/>
          <w:lang w:eastAsia="en-AU"/>
        </w:rPr>
      </w:pPr>
      <w:r>
        <w:rPr>
          <w:rFonts w:eastAsia="Times New Roman" w:cstheme="majorHAnsi"/>
          <w:color w:val="000000"/>
          <w:szCs w:val="20"/>
          <w:lang w:eastAsia="en-AU"/>
        </w:rPr>
        <w:t xml:space="preserve">- </w:t>
      </w:r>
      <w:r w:rsidRPr="00E500B8">
        <w:rPr>
          <w:rFonts w:eastAsia="Times New Roman" w:cstheme="majorHAnsi"/>
          <w:color w:val="000000"/>
          <w:szCs w:val="20"/>
          <w:lang w:eastAsia="en-AU"/>
        </w:rPr>
        <w:t>The 2023 Australasian position paper on</w:t>
      </w:r>
      <w:r>
        <w:rPr>
          <w:rFonts w:eastAsia="Times New Roman" w:cstheme="majorHAnsi"/>
          <w:color w:val="000000"/>
          <w:szCs w:val="20"/>
          <w:lang w:eastAsia="en-AU"/>
        </w:rPr>
        <w:t xml:space="preserve"> pulmonary arterial hypertension</w:t>
      </w:r>
      <w:r w:rsidRPr="00E500B8">
        <w:rPr>
          <w:rFonts w:eastAsia="Times New Roman" w:cstheme="majorHAnsi"/>
          <w:color w:val="000000"/>
          <w:szCs w:val="20"/>
          <w:lang w:eastAsia="en-AU"/>
        </w:rPr>
        <w:t xml:space="preserve"> </w:t>
      </w:r>
      <w:r>
        <w:rPr>
          <w:rFonts w:eastAsia="Times New Roman" w:cstheme="majorHAnsi"/>
          <w:color w:val="000000"/>
          <w:szCs w:val="20"/>
          <w:lang w:eastAsia="en-AU"/>
        </w:rPr>
        <w:t>(</w:t>
      </w:r>
      <w:r w:rsidRPr="00E500B8">
        <w:rPr>
          <w:rFonts w:eastAsia="Times New Roman" w:cstheme="majorHAnsi"/>
          <w:color w:val="000000"/>
          <w:szCs w:val="20"/>
          <w:lang w:eastAsia="en-AU"/>
        </w:rPr>
        <w:t>PAH</w:t>
      </w:r>
      <w:r>
        <w:rPr>
          <w:rFonts w:eastAsia="Times New Roman" w:cstheme="majorHAnsi"/>
          <w:color w:val="000000"/>
          <w:szCs w:val="20"/>
          <w:lang w:eastAsia="en-AU"/>
        </w:rPr>
        <w:t>)</w:t>
      </w:r>
      <w:r w:rsidRPr="00E500B8">
        <w:rPr>
          <w:rFonts w:eastAsia="Times New Roman" w:cstheme="majorHAnsi"/>
          <w:color w:val="000000"/>
          <w:szCs w:val="20"/>
          <w:lang w:eastAsia="en-AU"/>
        </w:rPr>
        <w:t xml:space="preserve"> (Thoracic Society of Australia and New Zealand and Pulmonary Hypertension Society of Australia and New Zealand) will support the updated four-</w:t>
      </w:r>
      <w:r w:rsidR="00D67C9B">
        <w:rPr>
          <w:rFonts w:eastAsia="Times New Roman" w:cstheme="majorHAnsi"/>
          <w:color w:val="000000"/>
          <w:szCs w:val="20"/>
          <w:lang w:eastAsia="en-AU"/>
        </w:rPr>
        <w:t>stratum</w:t>
      </w:r>
      <w:r w:rsidRPr="00E500B8">
        <w:rPr>
          <w:rFonts w:eastAsia="Times New Roman" w:cstheme="majorHAnsi"/>
          <w:color w:val="000000"/>
          <w:szCs w:val="20"/>
          <w:lang w:eastAsia="en-AU"/>
        </w:rPr>
        <w:t xml:space="preserve"> PAH risk-assessment ESC/ESR guidelines including NT-</w:t>
      </w:r>
      <w:proofErr w:type="spellStart"/>
      <w:r w:rsidRPr="00E500B8">
        <w:rPr>
          <w:rFonts w:eastAsia="Times New Roman" w:cstheme="majorHAnsi"/>
          <w:color w:val="000000"/>
          <w:szCs w:val="20"/>
          <w:lang w:eastAsia="en-AU"/>
        </w:rPr>
        <w:t>proBNP</w:t>
      </w:r>
      <w:proofErr w:type="spellEnd"/>
      <w:r w:rsidRPr="00E500B8">
        <w:rPr>
          <w:rFonts w:eastAsia="Times New Roman" w:cstheme="majorHAnsi"/>
          <w:color w:val="000000"/>
          <w:szCs w:val="20"/>
          <w:lang w:eastAsia="en-AU"/>
        </w:rPr>
        <w:t xml:space="preserve"> as a key parameter for routine follow-up</w:t>
      </w:r>
      <w:r>
        <w:rPr>
          <w:rFonts w:eastAsia="Times New Roman" w:cstheme="majorHAnsi"/>
          <w:color w:val="000000"/>
          <w:szCs w:val="20"/>
          <w:lang w:eastAsia="en-AU"/>
        </w:rPr>
        <w:t xml:space="preserve"> assessments</w:t>
      </w:r>
      <w:r w:rsidRPr="00E500B8">
        <w:rPr>
          <w:rFonts w:eastAsia="Times New Roman" w:cstheme="majorHAnsi"/>
          <w:color w:val="000000"/>
          <w:szCs w:val="20"/>
          <w:lang w:eastAsia="en-AU"/>
        </w:rPr>
        <w:t xml:space="preserve">.  </w:t>
      </w:r>
    </w:p>
    <w:p w14:paraId="0EE5E1E6" w14:textId="77777777" w:rsidR="00840EF5" w:rsidRPr="00163075" w:rsidRDefault="00840EF5" w:rsidP="00840EF5">
      <w:pPr>
        <w:numPr>
          <w:ilvl w:val="0"/>
          <w:numId w:val="29"/>
        </w:numPr>
        <w:pBdr>
          <w:top w:val="single" w:sz="4" w:space="4" w:color="000000"/>
          <w:left w:val="single" w:sz="4" w:space="4" w:color="000000"/>
          <w:bottom w:val="single" w:sz="4" w:space="4" w:color="000000"/>
          <w:right w:val="single" w:sz="4" w:space="4" w:color="000000"/>
        </w:pBdr>
        <w:tabs>
          <w:tab w:val="clear" w:pos="216"/>
          <w:tab w:val="num" w:pos="357"/>
          <w:tab w:val="num" w:pos="426"/>
        </w:tabs>
        <w:spacing w:before="0" w:after="120" w:line="240" w:lineRule="auto"/>
        <w:ind w:left="357" w:hanging="357"/>
        <w:rPr>
          <w:rFonts w:eastAsia="Times New Roman" w:cstheme="majorHAnsi"/>
          <w:color w:val="000000"/>
          <w:szCs w:val="20"/>
          <w:lang w:eastAsia="en-AU"/>
        </w:rPr>
      </w:pPr>
      <w:r>
        <w:rPr>
          <w:rFonts w:eastAsia="Times New Roman" w:cs="Times New Roman"/>
          <w:color w:val="000000"/>
          <w:szCs w:val="20"/>
          <w:lang w:eastAsia="en-AU"/>
        </w:rPr>
        <w:t xml:space="preserve">The evidence indicates that </w:t>
      </w:r>
      <w:r w:rsidRPr="008B3F27">
        <w:rPr>
          <w:rFonts w:eastAsia="Times New Roman" w:cs="Times New Roman"/>
          <w:color w:val="000000"/>
          <w:szCs w:val="20"/>
          <w:lang w:eastAsia="en-AU"/>
        </w:rPr>
        <w:t>the proposed 4-stratum risk classification tool using NT-</w:t>
      </w:r>
      <w:proofErr w:type="spellStart"/>
      <w:r w:rsidRPr="008B3F27">
        <w:rPr>
          <w:rFonts w:eastAsia="Times New Roman" w:cs="Times New Roman"/>
          <w:color w:val="000000"/>
          <w:szCs w:val="20"/>
          <w:lang w:eastAsia="en-AU"/>
        </w:rPr>
        <w:t>proBNP</w:t>
      </w:r>
      <w:proofErr w:type="spellEnd"/>
      <w:r w:rsidRPr="008B3F27">
        <w:rPr>
          <w:rFonts w:eastAsia="Times New Roman" w:cs="Times New Roman"/>
          <w:color w:val="000000"/>
          <w:szCs w:val="20"/>
          <w:lang w:eastAsia="en-AU"/>
        </w:rPr>
        <w:t xml:space="preserve"> as a parameter would be non-inferior to 3-stratum risk classification tools that include TTE and are currently used in Australian clinical practice</w:t>
      </w:r>
      <w:r>
        <w:rPr>
          <w:rFonts w:eastAsia="Times New Roman" w:cs="Times New Roman"/>
          <w:color w:val="000000"/>
          <w:szCs w:val="20"/>
          <w:lang w:eastAsia="en-AU"/>
        </w:rPr>
        <w:t>.</w:t>
      </w:r>
    </w:p>
    <w:p w14:paraId="2417E5BF" w14:textId="77777777" w:rsidR="00840EF5" w:rsidRDefault="00840EF5" w:rsidP="00840EF5">
      <w:pPr>
        <w:numPr>
          <w:ilvl w:val="0"/>
          <w:numId w:val="29"/>
        </w:numPr>
        <w:pBdr>
          <w:top w:val="single" w:sz="4" w:space="4" w:color="000000"/>
          <w:left w:val="single" w:sz="4" w:space="4" w:color="000000"/>
          <w:bottom w:val="single" w:sz="4" w:space="4" w:color="000000"/>
          <w:right w:val="single" w:sz="4" w:space="4" w:color="000000"/>
        </w:pBdr>
        <w:tabs>
          <w:tab w:val="clear" w:pos="216"/>
          <w:tab w:val="num" w:pos="357"/>
          <w:tab w:val="num" w:pos="426"/>
        </w:tabs>
        <w:spacing w:before="0" w:after="120" w:line="240" w:lineRule="auto"/>
        <w:ind w:left="357" w:hanging="357"/>
        <w:rPr>
          <w:rFonts w:eastAsia="Times New Roman" w:cstheme="majorHAnsi"/>
          <w:color w:val="000000"/>
          <w:szCs w:val="20"/>
          <w:lang w:eastAsia="en-AU"/>
        </w:rPr>
      </w:pPr>
      <w:r w:rsidRPr="00E500B8">
        <w:rPr>
          <w:rFonts w:eastAsia="Times New Roman" w:cstheme="majorHAnsi"/>
          <w:color w:val="000000"/>
          <w:szCs w:val="20"/>
          <w:lang w:eastAsia="en-AU"/>
        </w:rPr>
        <w:t xml:space="preserve">The ESC/ESR guidelines state that patients with stable PAH “may” also be considered for </w:t>
      </w:r>
      <w:r>
        <w:rPr>
          <w:rFonts w:eastAsia="Times New Roman" w:cs="Times New Roman"/>
          <w:color w:val="000000"/>
          <w:szCs w:val="20"/>
          <w:lang w:eastAsia="en-AU"/>
        </w:rPr>
        <w:t>transthoracic echocardiogram (</w:t>
      </w:r>
      <w:r w:rsidRPr="00E500B8">
        <w:rPr>
          <w:rFonts w:eastAsia="Times New Roman" w:cstheme="majorHAnsi"/>
          <w:color w:val="000000"/>
          <w:szCs w:val="20"/>
          <w:lang w:eastAsia="en-AU"/>
        </w:rPr>
        <w:t>TTE</w:t>
      </w:r>
      <w:r>
        <w:rPr>
          <w:rFonts w:eastAsia="Times New Roman" w:cstheme="majorHAnsi"/>
          <w:color w:val="000000"/>
          <w:szCs w:val="20"/>
          <w:lang w:eastAsia="en-AU"/>
        </w:rPr>
        <w:t>)</w:t>
      </w:r>
      <w:r w:rsidRPr="00E500B8">
        <w:rPr>
          <w:rFonts w:eastAsia="Times New Roman" w:cstheme="majorHAnsi"/>
          <w:color w:val="000000"/>
          <w:szCs w:val="20"/>
          <w:lang w:eastAsia="en-AU"/>
        </w:rPr>
        <w:t xml:space="preserve">; however the ADAR assumed that all patients with stable </w:t>
      </w:r>
      <w:r w:rsidRPr="00E500B8">
        <w:rPr>
          <w:rFonts w:eastAsia="Times New Roman" w:cstheme="majorHAnsi"/>
          <w:color w:val="000000"/>
          <w:szCs w:val="20"/>
          <w:lang w:eastAsia="en-AU"/>
        </w:rPr>
        <w:lastRenderedPageBreak/>
        <w:t>disease would have a TTE at least once a year,</w:t>
      </w:r>
      <w:r>
        <w:rPr>
          <w:rFonts w:eastAsia="Times New Roman" w:cstheme="majorHAnsi"/>
          <w:color w:val="000000"/>
          <w:szCs w:val="20"/>
          <w:lang w:eastAsia="en-AU"/>
        </w:rPr>
        <w:t xml:space="preserve"> but did not discuss the reasons why</w:t>
      </w:r>
      <w:r w:rsidRPr="00E500B8">
        <w:rPr>
          <w:rFonts w:eastAsia="Times New Roman" w:cstheme="majorHAnsi"/>
          <w:color w:val="000000"/>
          <w:szCs w:val="20"/>
          <w:lang w:eastAsia="en-AU"/>
        </w:rPr>
        <w:t xml:space="preserve"> </w:t>
      </w:r>
      <w:r>
        <w:rPr>
          <w:rFonts w:eastAsia="Times New Roman" w:cstheme="majorHAnsi"/>
          <w:color w:val="000000"/>
          <w:szCs w:val="20"/>
          <w:lang w:eastAsia="en-AU"/>
        </w:rPr>
        <w:t xml:space="preserve">the minimum </w:t>
      </w:r>
      <w:r w:rsidRPr="00E500B8">
        <w:rPr>
          <w:rFonts w:eastAsia="Times New Roman" w:cstheme="majorHAnsi"/>
          <w:color w:val="000000"/>
          <w:szCs w:val="20"/>
          <w:lang w:eastAsia="en-AU"/>
        </w:rPr>
        <w:t xml:space="preserve">TTE </w:t>
      </w:r>
      <w:r>
        <w:rPr>
          <w:rFonts w:eastAsia="Times New Roman" w:cstheme="majorHAnsi"/>
          <w:color w:val="000000"/>
          <w:szCs w:val="20"/>
          <w:lang w:eastAsia="en-AU"/>
        </w:rPr>
        <w:t xml:space="preserve">would not </w:t>
      </w:r>
      <w:r w:rsidRPr="00E500B8">
        <w:rPr>
          <w:rFonts w:eastAsia="Times New Roman" w:cstheme="majorHAnsi"/>
          <w:color w:val="000000"/>
          <w:szCs w:val="20"/>
          <w:lang w:eastAsia="en-AU"/>
        </w:rPr>
        <w:t>be more frequent</w:t>
      </w:r>
      <w:r>
        <w:rPr>
          <w:rFonts w:eastAsia="Times New Roman" w:cstheme="majorHAnsi"/>
          <w:color w:val="000000"/>
          <w:szCs w:val="20"/>
          <w:lang w:eastAsia="en-AU"/>
        </w:rPr>
        <w:t xml:space="preserve"> than this</w:t>
      </w:r>
      <w:r w:rsidRPr="00E500B8">
        <w:rPr>
          <w:rFonts w:eastAsia="Times New Roman" w:cstheme="majorHAnsi"/>
          <w:color w:val="000000"/>
          <w:szCs w:val="20"/>
          <w:lang w:eastAsia="en-AU"/>
        </w:rPr>
        <w:t>.</w:t>
      </w:r>
      <w:r w:rsidRPr="001E587A">
        <w:t xml:space="preserve"> </w:t>
      </w:r>
      <w:r w:rsidRPr="00E500B8">
        <w:rPr>
          <w:rFonts w:eastAsia="Times New Roman" w:cstheme="majorHAnsi"/>
          <w:color w:val="000000"/>
          <w:szCs w:val="20"/>
          <w:lang w:eastAsia="en-AU"/>
        </w:rPr>
        <w:t xml:space="preserve">Additional reasons why TTE testing may be more frequent than once </w:t>
      </w:r>
      <w:r>
        <w:rPr>
          <w:rFonts w:eastAsia="Times New Roman" w:cstheme="majorHAnsi"/>
          <w:color w:val="000000"/>
          <w:szCs w:val="20"/>
          <w:lang w:eastAsia="en-AU"/>
        </w:rPr>
        <w:t>per</w:t>
      </w:r>
      <w:r w:rsidRPr="00E500B8">
        <w:rPr>
          <w:rFonts w:eastAsia="Times New Roman" w:cstheme="majorHAnsi"/>
          <w:color w:val="000000"/>
          <w:szCs w:val="20"/>
          <w:lang w:eastAsia="en-AU"/>
        </w:rPr>
        <w:t xml:space="preserve"> year among stable patients may include medication changes at last follow-up, increased testing </w:t>
      </w:r>
      <w:r>
        <w:rPr>
          <w:rFonts w:eastAsia="Times New Roman" w:cstheme="majorHAnsi"/>
          <w:color w:val="000000"/>
          <w:szCs w:val="20"/>
          <w:lang w:eastAsia="en-AU"/>
        </w:rPr>
        <w:t xml:space="preserve">frequency </w:t>
      </w:r>
      <w:r w:rsidRPr="00E500B8">
        <w:rPr>
          <w:rFonts w:eastAsia="Times New Roman" w:cstheme="majorHAnsi"/>
          <w:color w:val="000000"/>
          <w:szCs w:val="20"/>
          <w:lang w:eastAsia="en-AU"/>
        </w:rPr>
        <w:t>for stable patients with higher mortality risk</w:t>
      </w:r>
      <w:r>
        <w:rPr>
          <w:rFonts w:eastAsia="Times New Roman" w:cstheme="majorHAnsi"/>
          <w:color w:val="000000"/>
          <w:szCs w:val="20"/>
          <w:lang w:eastAsia="en-AU"/>
        </w:rPr>
        <w:t>,</w:t>
      </w:r>
      <w:r w:rsidRPr="00E500B8">
        <w:rPr>
          <w:rFonts w:eastAsia="Times New Roman" w:cstheme="majorHAnsi"/>
          <w:color w:val="000000"/>
          <w:szCs w:val="20"/>
          <w:lang w:eastAsia="en-AU"/>
        </w:rPr>
        <w:t xml:space="preserve"> and individual clinician interpretation of risk factors.</w:t>
      </w:r>
    </w:p>
    <w:p w14:paraId="43D5A086" w14:textId="77777777" w:rsidR="00840EF5" w:rsidRPr="00A00566" w:rsidRDefault="00840EF5" w:rsidP="00840EF5">
      <w:pPr>
        <w:keepNext/>
        <w:pBdr>
          <w:top w:val="single" w:sz="4" w:space="4" w:color="000000"/>
          <w:left w:val="single" w:sz="4" w:space="4" w:color="000000"/>
          <w:bottom w:val="single" w:sz="4" w:space="4" w:color="000000"/>
          <w:right w:val="single" w:sz="4" w:space="4" w:color="000000"/>
        </w:pBdr>
        <w:spacing w:after="60" w:line="240" w:lineRule="auto"/>
        <w:rPr>
          <w:rFonts w:eastAsia="Times New Roman" w:cs="Times New Roman"/>
          <w:b/>
          <w:bCs/>
          <w:color w:val="000000"/>
          <w:szCs w:val="20"/>
          <w:lang w:eastAsia="en-AU"/>
        </w:rPr>
      </w:pPr>
      <w:r w:rsidRPr="00A00566">
        <w:rPr>
          <w:rFonts w:eastAsia="Times New Roman" w:cs="Times New Roman"/>
          <w:b/>
          <w:bCs/>
          <w:color w:val="000000"/>
          <w:szCs w:val="20"/>
          <w:lang w:eastAsia="en-AU"/>
        </w:rPr>
        <w:t>Economic issues:</w:t>
      </w:r>
    </w:p>
    <w:p w14:paraId="757C057D" w14:textId="77777777" w:rsidR="00840EF5" w:rsidRPr="00A00566" w:rsidRDefault="00840EF5" w:rsidP="00840EF5">
      <w:pPr>
        <w:numPr>
          <w:ilvl w:val="0"/>
          <w:numId w:val="29"/>
        </w:numPr>
        <w:pBdr>
          <w:top w:val="single" w:sz="4" w:space="4" w:color="000000"/>
          <w:left w:val="single" w:sz="4" w:space="4" w:color="000000"/>
          <w:bottom w:val="single" w:sz="4" w:space="4" w:color="000000"/>
          <w:right w:val="single" w:sz="4" w:space="4" w:color="000000"/>
        </w:pBdr>
        <w:tabs>
          <w:tab w:val="clear" w:pos="216"/>
          <w:tab w:val="num" w:pos="357"/>
          <w:tab w:val="num" w:pos="426"/>
        </w:tabs>
        <w:spacing w:before="0" w:after="120" w:line="240" w:lineRule="auto"/>
        <w:ind w:left="357" w:hanging="357"/>
        <w:rPr>
          <w:rFonts w:eastAsia="Times New Roman" w:cs="Times New Roman"/>
          <w:color w:val="000000"/>
          <w:szCs w:val="20"/>
          <w:lang w:eastAsia="en-AU"/>
        </w:rPr>
      </w:pPr>
      <w:r w:rsidRPr="00A00566">
        <w:rPr>
          <w:rFonts w:eastAsia="Times New Roman" w:cs="Times New Roman"/>
          <w:color w:val="000000"/>
          <w:szCs w:val="20"/>
          <w:lang w:eastAsia="en-AU"/>
        </w:rPr>
        <w:t>Cost-minimisation analysis is appropriate if MSAC accepts effectiveness and safety of NT-</w:t>
      </w:r>
      <w:proofErr w:type="spellStart"/>
      <w:r w:rsidRPr="00A00566">
        <w:rPr>
          <w:rFonts w:eastAsia="Times New Roman" w:cs="Times New Roman"/>
          <w:color w:val="000000"/>
          <w:szCs w:val="20"/>
          <w:lang w:eastAsia="en-AU"/>
        </w:rPr>
        <w:t>proBNP</w:t>
      </w:r>
      <w:proofErr w:type="spellEnd"/>
      <w:r w:rsidRPr="00A00566">
        <w:rPr>
          <w:rFonts w:eastAsia="Times New Roman" w:cs="Times New Roman"/>
          <w:color w:val="000000"/>
          <w:szCs w:val="20"/>
          <w:lang w:eastAsia="en-AU"/>
        </w:rPr>
        <w:t xml:space="preserve"> as non-inferior when used as a part of the 4-stratum tool</w:t>
      </w:r>
      <w:r>
        <w:rPr>
          <w:rFonts w:eastAsia="Times New Roman" w:cs="Times New Roman"/>
          <w:color w:val="000000"/>
          <w:szCs w:val="20"/>
          <w:lang w:eastAsia="en-AU"/>
        </w:rPr>
        <w:t xml:space="preserve"> rather than the 3-stratum tool</w:t>
      </w:r>
      <w:r w:rsidRPr="00A00566">
        <w:rPr>
          <w:rFonts w:eastAsia="Times New Roman" w:cs="Times New Roman"/>
          <w:color w:val="000000"/>
          <w:szCs w:val="20"/>
          <w:lang w:eastAsia="en-AU"/>
        </w:rPr>
        <w:t>.</w:t>
      </w:r>
    </w:p>
    <w:p w14:paraId="31EB759C" w14:textId="77777777" w:rsidR="00840EF5" w:rsidRPr="00A00566" w:rsidRDefault="00840EF5" w:rsidP="00840EF5">
      <w:pPr>
        <w:numPr>
          <w:ilvl w:val="0"/>
          <w:numId w:val="29"/>
        </w:numPr>
        <w:pBdr>
          <w:top w:val="single" w:sz="4" w:space="4" w:color="000000"/>
          <w:left w:val="single" w:sz="4" w:space="4" w:color="000000"/>
          <w:bottom w:val="single" w:sz="4" w:space="4" w:color="000000"/>
          <w:right w:val="single" w:sz="4" w:space="4" w:color="000000"/>
        </w:pBdr>
        <w:tabs>
          <w:tab w:val="clear" w:pos="216"/>
          <w:tab w:val="num" w:pos="357"/>
          <w:tab w:val="num" w:pos="426"/>
        </w:tabs>
        <w:spacing w:before="0" w:after="120" w:line="240" w:lineRule="auto"/>
        <w:ind w:left="357" w:hanging="357"/>
        <w:rPr>
          <w:rFonts w:eastAsia="Times New Roman" w:cs="Times New Roman"/>
          <w:color w:val="000000"/>
          <w:szCs w:val="20"/>
          <w:lang w:eastAsia="en-AU"/>
        </w:rPr>
      </w:pPr>
      <w:r>
        <w:rPr>
          <w:rFonts w:eastAsia="Times New Roman" w:cs="Times New Roman"/>
          <w:color w:val="000000"/>
          <w:szCs w:val="20"/>
          <w:lang w:eastAsia="en-AU"/>
        </w:rPr>
        <w:t>T</w:t>
      </w:r>
      <w:r w:rsidRPr="00A00566">
        <w:rPr>
          <w:rFonts w:eastAsia="Times New Roman" w:cs="Times New Roman"/>
          <w:color w:val="000000"/>
          <w:szCs w:val="20"/>
          <w:lang w:eastAsia="en-AU"/>
        </w:rPr>
        <w:t xml:space="preserve">he cost-savings </w:t>
      </w:r>
      <w:r>
        <w:rPr>
          <w:rFonts w:eastAsia="Times New Roman" w:cs="Times New Roman"/>
          <w:color w:val="000000"/>
          <w:szCs w:val="20"/>
          <w:lang w:eastAsia="en-AU"/>
        </w:rPr>
        <w:t>o</w:t>
      </w:r>
      <w:r w:rsidRPr="00A00566">
        <w:rPr>
          <w:rFonts w:eastAsia="Times New Roman" w:cs="Times New Roman"/>
          <w:color w:val="000000"/>
          <w:szCs w:val="20"/>
          <w:lang w:eastAsia="en-AU"/>
        </w:rPr>
        <w:t>f the intervention</w:t>
      </w:r>
      <w:r>
        <w:rPr>
          <w:rFonts w:eastAsia="Times New Roman" w:cs="Times New Roman"/>
          <w:color w:val="000000"/>
          <w:szCs w:val="20"/>
          <w:lang w:eastAsia="en-AU"/>
        </w:rPr>
        <w:t xml:space="preserve"> may be overestimated</w:t>
      </w:r>
      <w:r w:rsidRPr="00A00566">
        <w:rPr>
          <w:rFonts w:eastAsia="Times New Roman" w:cs="Times New Roman"/>
          <w:color w:val="000000"/>
          <w:szCs w:val="20"/>
          <w:lang w:eastAsia="en-AU"/>
        </w:rPr>
        <w:t xml:space="preserve"> </w:t>
      </w:r>
      <w:r>
        <w:rPr>
          <w:rFonts w:eastAsia="Times New Roman" w:cs="Times New Roman"/>
          <w:color w:val="000000"/>
          <w:szCs w:val="20"/>
          <w:lang w:eastAsia="en-AU"/>
        </w:rPr>
        <w:t>if the number of patients who have NT-</w:t>
      </w:r>
      <w:proofErr w:type="spellStart"/>
      <w:r>
        <w:rPr>
          <w:rFonts w:eastAsia="Times New Roman" w:cs="Times New Roman"/>
          <w:color w:val="000000"/>
          <w:szCs w:val="20"/>
          <w:lang w:eastAsia="en-AU"/>
        </w:rPr>
        <w:t>proBNP</w:t>
      </w:r>
      <w:proofErr w:type="spellEnd"/>
      <w:r>
        <w:rPr>
          <w:rFonts w:eastAsia="Times New Roman" w:cs="Times New Roman"/>
          <w:color w:val="000000"/>
          <w:szCs w:val="20"/>
          <w:lang w:eastAsia="en-AU"/>
        </w:rPr>
        <w:t xml:space="preserve"> in addition to TTE, rather than to replace TTE, </w:t>
      </w:r>
      <w:r w:rsidRPr="00A00566">
        <w:rPr>
          <w:rFonts w:eastAsia="Times New Roman" w:cs="Times New Roman"/>
          <w:color w:val="000000"/>
          <w:szCs w:val="20"/>
          <w:lang w:eastAsia="en-AU"/>
        </w:rPr>
        <w:t>is higher than modelled.</w:t>
      </w:r>
      <w:r>
        <w:rPr>
          <w:rFonts w:eastAsia="Times New Roman" w:cs="Times New Roman"/>
          <w:color w:val="000000"/>
          <w:szCs w:val="20"/>
          <w:lang w:eastAsia="en-AU"/>
        </w:rPr>
        <w:t xml:space="preserve"> The number of patients that may require additional TTEs due to “clinical worsening” and other factors was also a source of uncertainty and could further contribute to this overestimation. </w:t>
      </w:r>
    </w:p>
    <w:p w14:paraId="310BBC69" w14:textId="77777777" w:rsidR="00840EF5" w:rsidRPr="00A00566" w:rsidRDefault="00840EF5" w:rsidP="00840EF5">
      <w:pPr>
        <w:keepNext/>
        <w:pBdr>
          <w:top w:val="single" w:sz="4" w:space="4" w:color="000000"/>
          <w:left w:val="single" w:sz="4" w:space="4" w:color="000000"/>
          <w:bottom w:val="single" w:sz="4" w:space="4" w:color="000000"/>
          <w:right w:val="single" w:sz="4" w:space="4" w:color="000000"/>
        </w:pBdr>
        <w:spacing w:after="60" w:line="240" w:lineRule="auto"/>
        <w:rPr>
          <w:rFonts w:eastAsia="Times New Roman" w:cs="Times New Roman"/>
          <w:b/>
          <w:bCs/>
          <w:color w:val="000000"/>
          <w:szCs w:val="20"/>
          <w:lang w:eastAsia="en-AU"/>
        </w:rPr>
      </w:pPr>
      <w:r w:rsidRPr="00A00566">
        <w:rPr>
          <w:rFonts w:eastAsia="Times New Roman" w:cs="Times New Roman"/>
          <w:b/>
          <w:bCs/>
          <w:color w:val="000000"/>
          <w:szCs w:val="20"/>
          <w:lang w:eastAsia="en-AU"/>
        </w:rPr>
        <w:t>Financial issues:</w:t>
      </w:r>
    </w:p>
    <w:p w14:paraId="2A47E0B6" w14:textId="77777777" w:rsidR="00840EF5" w:rsidRDefault="00840EF5" w:rsidP="00840EF5">
      <w:pPr>
        <w:numPr>
          <w:ilvl w:val="0"/>
          <w:numId w:val="29"/>
        </w:numPr>
        <w:pBdr>
          <w:top w:val="single" w:sz="4" w:space="4" w:color="000000"/>
          <w:left w:val="single" w:sz="4" w:space="4" w:color="000000"/>
          <w:bottom w:val="single" w:sz="4" w:space="4" w:color="000000"/>
          <w:right w:val="single" w:sz="4" w:space="4" w:color="000000"/>
        </w:pBdr>
        <w:tabs>
          <w:tab w:val="clear" w:pos="216"/>
          <w:tab w:val="num" w:pos="357"/>
          <w:tab w:val="num" w:pos="426"/>
        </w:tabs>
        <w:spacing w:before="0" w:after="120" w:line="240" w:lineRule="auto"/>
        <w:ind w:left="357" w:hanging="357"/>
        <w:rPr>
          <w:rFonts w:eastAsia="Times New Roman" w:cs="Times New Roman"/>
          <w:color w:val="000000"/>
          <w:szCs w:val="20"/>
          <w:lang w:eastAsia="en-AU"/>
        </w:rPr>
      </w:pPr>
      <w:r w:rsidRPr="00A00566">
        <w:rPr>
          <w:rFonts w:eastAsia="Times New Roman" w:cs="Times New Roman"/>
          <w:color w:val="000000"/>
          <w:szCs w:val="20"/>
          <w:lang w:eastAsia="en-AU"/>
        </w:rPr>
        <w:t xml:space="preserve">The projected patient population for financial estimates is likely to be an underestimate. </w:t>
      </w:r>
    </w:p>
    <w:p w14:paraId="2284746B" w14:textId="77777777" w:rsidR="00840EF5" w:rsidRDefault="00840EF5" w:rsidP="00840EF5">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rPr>
          <w:rFonts w:eastAsia="Times New Roman" w:cs="Times New Roman"/>
          <w:b/>
          <w:bCs/>
          <w:color w:val="000000"/>
          <w:sz w:val="24"/>
          <w:szCs w:val="20"/>
          <w:lang w:eastAsia="en-AU"/>
        </w:rPr>
      </w:pPr>
      <w:r>
        <w:rPr>
          <w:rFonts w:eastAsia="Times New Roman" w:cs="Times New Roman"/>
          <w:b/>
          <w:bCs/>
          <w:color w:val="000000"/>
          <w:sz w:val="24"/>
          <w:szCs w:val="20"/>
          <w:lang w:eastAsia="en-AU"/>
        </w:rPr>
        <w:t>Item descriptor issues:</w:t>
      </w:r>
    </w:p>
    <w:p w14:paraId="4E72FF97" w14:textId="77777777" w:rsidR="00840EF5" w:rsidRDefault="00840EF5" w:rsidP="00840EF5">
      <w:pPr>
        <w:keepNext/>
        <w:pBdr>
          <w:top w:val="single" w:sz="4" w:space="4" w:color="000000"/>
          <w:left w:val="single" w:sz="4" w:space="4" w:color="000000"/>
          <w:bottom w:val="single" w:sz="4" w:space="4" w:color="000000"/>
          <w:right w:val="single" w:sz="4" w:space="4" w:color="000000"/>
        </w:pBdr>
        <w:spacing w:before="240" w:after="240" w:line="240" w:lineRule="auto"/>
        <w:rPr>
          <w:rFonts w:eastAsia="Times New Roman" w:cs="Times New Roman"/>
          <w:b/>
          <w:color w:val="000000"/>
          <w:lang w:eastAsia="en-AU"/>
        </w:rPr>
      </w:pPr>
      <w:r>
        <w:rPr>
          <w:rFonts w:eastAsia="Times New Roman" w:cs="Times New Roman"/>
          <w:color w:val="000000"/>
          <w:lang w:eastAsia="en-AU"/>
        </w:rPr>
        <w:t xml:space="preserve">- </w:t>
      </w:r>
      <w:r w:rsidRPr="003B599A">
        <w:rPr>
          <w:rFonts w:eastAsia="Times New Roman" w:cs="Times New Roman"/>
          <w:color w:val="000000"/>
          <w:lang w:eastAsia="en-AU"/>
        </w:rPr>
        <w:t xml:space="preserve">Both general practitioners and specialists should be </w:t>
      </w:r>
      <w:r>
        <w:rPr>
          <w:rFonts w:eastAsia="Times New Roman" w:cs="Times New Roman"/>
          <w:color w:val="000000"/>
          <w:lang w:eastAsia="en-AU"/>
        </w:rPr>
        <w:t xml:space="preserve">able </w:t>
      </w:r>
      <w:r w:rsidRPr="003B599A">
        <w:rPr>
          <w:rFonts w:eastAsia="Times New Roman" w:cs="Times New Roman"/>
          <w:color w:val="000000"/>
          <w:lang w:eastAsia="en-AU"/>
        </w:rPr>
        <w:t>to request NT-</w:t>
      </w:r>
      <w:proofErr w:type="spellStart"/>
      <w:r w:rsidRPr="003B599A">
        <w:rPr>
          <w:rFonts w:eastAsia="Times New Roman" w:cs="Times New Roman"/>
          <w:color w:val="000000"/>
          <w:lang w:eastAsia="en-AU"/>
        </w:rPr>
        <w:t>proBNP</w:t>
      </w:r>
      <w:proofErr w:type="spellEnd"/>
      <w:r w:rsidRPr="003B599A">
        <w:rPr>
          <w:rFonts w:eastAsia="Times New Roman" w:cs="Times New Roman"/>
          <w:color w:val="000000"/>
          <w:lang w:eastAsia="en-AU"/>
        </w:rPr>
        <w:t xml:space="preserve"> testing for patients diagnosed with PAH. </w:t>
      </w:r>
    </w:p>
    <w:p w14:paraId="2CC43214" w14:textId="77777777" w:rsidR="00840EF5" w:rsidRPr="003B599A" w:rsidRDefault="00840EF5" w:rsidP="00840EF5">
      <w:pPr>
        <w:keepNext/>
        <w:pBdr>
          <w:top w:val="single" w:sz="4" w:space="4" w:color="000000"/>
          <w:left w:val="single" w:sz="4" w:space="4" w:color="000000"/>
          <w:bottom w:val="single" w:sz="4" w:space="4" w:color="000000"/>
          <w:right w:val="single" w:sz="4" w:space="4" w:color="000000"/>
        </w:pBdr>
        <w:spacing w:before="240" w:after="240" w:line="240" w:lineRule="auto"/>
        <w:rPr>
          <w:rFonts w:eastAsia="Times New Roman" w:cs="Times New Roman"/>
          <w:color w:val="000000"/>
          <w:lang w:eastAsia="en-AU"/>
        </w:rPr>
      </w:pPr>
      <w:r>
        <w:rPr>
          <w:rFonts w:eastAsia="Times New Roman" w:cs="Times New Roman"/>
          <w:bCs/>
          <w:color w:val="000000"/>
          <w:lang w:eastAsia="en-AU"/>
        </w:rPr>
        <w:t xml:space="preserve">- </w:t>
      </w:r>
      <w:r w:rsidRPr="003B599A">
        <w:rPr>
          <w:rFonts w:eastAsia="Times New Roman" w:cs="Times New Roman"/>
          <w:bCs/>
          <w:color w:val="000000"/>
          <w:lang w:eastAsia="en-AU"/>
        </w:rPr>
        <w:t xml:space="preserve">The </w:t>
      </w:r>
      <w:r w:rsidRPr="00464715">
        <w:rPr>
          <w:rFonts w:eastAsia="Times New Roman" w:cs="Times New Roman"/>
          <w:color w:val="000000"/>
          <w:lang w:eastAsia="en-AU"/>
        </w:rPr>
        <w:t xml:space="preserve">proposed MBS item descriptor </w:t>
      </w:r>
      <w:r>
        <w:rPr>
          <w:rFonts w:eastAsia="Times New Roman" w:cs="Times New Roman"/>
          <w:color w:val="000000"/>
          <w:lang w:eastAsia="en-AU"/>
        </w:rPr>
        <w:t>is for NT-</w:t>
      </w:r>
      <w:proofErr w:type="spellStart"/>
      <w:r>
        <w:rPr>
          <w:rFonts w:eastAsia="Times New Roman" w:cs="Times New Roman"/>
          <w:color w:val="000000"/>
          <w:lang w:eastAsia="en-AU"/>
        </w:rPr>
        <w:t>proBNP</w:t>
      </w:r>
      <w:proofErr w:type="spellEnd"/>
      <w:r>
        <w:rPr>
          <w:rFonts w:eastAsia="Times New Roman" w:cs="Times New Roman"/>
          <w:color w:val="000000"/>
          <w:lang w:eastAsia="en-AU"/>
        </w:rPr>
        <w:t xml:space="preserve"> testing of </w:t>
      </w:r>
      <w:r w:rsidRPr="00464715">
        <w:rPr>
          <w:rFonts w:eastAsia="Times New Roman" w:cs="Times New Roman"/>
          <w:color w:val="000000"/>
          <w:lang w:eastAsia="en-AU"/>
        </w:rPr>
        <w:t>up to four times per year</w:t>
      </w:r>
      <w:r>
        <w:rPr>
          <w:rFonts w:eastAsia="Times New Roman" w:cs="Times New Roman"/>
          <w:color w:val="000000"/>
          <w:lang w:eastAsia="en-AU"/>
        </w:rPr>
        <w:t>, the rationale being that more frequent testing may be needed in cases of clinical deterioration or concerns.  but this may come with a risk of leakage.</w:t>
      </w:r>
    </w:p>
    <w:p w14:paraId="7DC1E428" w14:textId="77777777" w:rsidR="00840EF5" w:rsidRDefault="00840EF5" w:rsidP="00840EF5">
      <w:pPr>
        <w:pBdr>
          <w:top w:val="single" w:sz="4" w:space="4" w:color="000000"/>
          <w:left w:val="single" w:sz="4" w:space="4" w:color="000000"/>
          <w:bottom w:val="single" w:sz="4" w:space="4" w:color="000000"/>
          <w:right w:val="single" w:sz="4" w:space="4" w:color="000000"/>
        </w:pBdr>
        <w:tabs>
          <w:tab w:val="num" w:pos="357"/>
        </w:tabs>
        <w:spacing w:before="0" w:after="120" w:line="240" w:lineRule="auto"/>
        <w:rPr>
          <w:rFonts w:eastAsia="Times New Roman" w:cs="Times New Roman"/>
          <w:color w:val="000000"/>
          <w:szCs w:val="20"/>
          <w:lang w:eastAsia="en-AU"/>
        </w:rPr>
      </w:pPr>
      <w:r w:rsidRPr="00E500B8">
        <w:rPr>
          <w:rFonts w:eastAsia="Times New Roman" w:cs="Times New Roman"/>
          <w:b/>
          <w:bCs/>
          <w:color w:val="000000"/>
          <w:szCs w:val="20"/>
          <w:lang w:eastAsia="en-AU"/>
        </w:rPr>
        <w:t>Other issues</w:t>
      </w:r>
      <w:r>
        <w:rPr>
          <w:rFonts w:eastAsia="Times New Roman" w:cs="Times New Roman"/>
          <w:color w:val="000000"/>
          <w:szCs w:val="20"/>
          <w:lang w:eastAsia="en-AU"/>
        </w:rPr>
        <w:t>:</w:t>
      </w:r>
    </w:p>
    <w:p w14:paraId="125AC9E5" w14:textId="77777777" w:rsidR="00840EF5" w:rsidRPr="00A00566" w:rsidRDefault="00840EF5" w:rsidP="00840EF5">
      <w:pPr>
        <w:pBdr>
          <w:top w:val="single" w:sz="4" w:space="4" w:color="000000"/>
          <w:left w:val="single" w:sz="4" w:space="4" w:color="000000"/>
          <w:bottom w:val="single" w:sz="4" w:space="4" w:color="000000"/>
          <w:right w:val="single" w:sz="4" w:space="4" w:color="000000"/>
        </w:pBdr>
        <w:tabs>
          <w:tab w:val="num" w:pos="357"/>
        </w:tabs>
        <w:spacing w:before="0" w:after="120" w:line="240" w:lineRule="auto"/>
        <w:rPr>
          <w:rFonts w:eastAsia="Times New Roman" w:cs="Times New Roman"/>
          <w:color w:val="000000"/>
          <w:szCs w:val="20"/>
          <w:lang w:eastAsia="en-AU"/>
        </w:rPr>
      </w:pPr>
      <w:r>
        <w:rPr>
          <w:rFonts w:eastAsia="Times New Roman" w:cs="Times New Roman"/>
          <w:color w:val="000000"/>
          <w:szCs w:val="20"/>
          <w:lang w:eastAsia="en-AU"/>
        </w:rPr>
        <w:t>- T</w:t>
      </w:r>
      <w:r w:rsidRPr="001D563F">
        <w:rPr>
          <w:rFonts w:eastAsia="Times New Roman" w:cs="Times New Roman"/>
          <w:color w:val="000000"/>
          <w:szCs w:val="20"/>
          <w:lang w:eastAsia="en-AU"/>
        </w:rPr>
        <w:t>he potential reduced access to TTE in rural and remote areas may imply that there is a case based on equity for funding NT-</w:t>
      </w:r>
      <w:proofErr w:type="spellStart"/>
      <w:r w:rsidRPr="001D563F">
        <w:rPr>
          <w:rFonts w:eastAsia="Times New Roman" w:cs="Times New Roman"/>
          <w:color w:val="000000"/>
          <w:szCs w:val="20"/>
          <w:lang w:eastAsia="en-AU"/>
        </w:rPr>
        <w:t>proBNP</w:t>
      </w:r>
      <w:proofErr w:type="spellEnd"/>
      <w:r w:rsidRPr="001D563F">
        <w:rPr>
          <w:rFonts w:eastAsia="Times New Roman" w:cs="Times New Roman"/>
          <w:color w:val="000000"/>
          <w:szCs w:val="20"/>
          <w:lang w:eastAsia="en-AU"/>
        </w:rPr>
        <w:t xml:space="preserve"> as it would be a more accessible test for this population</w:t>
      </w:r>
      <w:r>
        <w:rPr>
          <w:rFonts w:eastAsia="Times New Roman" w:cs="Times New Roman"/>
          <w:color w:val="000000"/>
          <w:szCs w:val="20"/>
          <w:lang w:eastAsia="en-AU"/>
        </w:rPr>
        <w:t>.</w:t>
      </w:r>
    </w:p>
    <w:p w14:paraId="5E8ADF41" w14:textId="77777777" w:rsidR="00840EF5" w:rsidRPr="00A00566" w:rsidRDefault="00840EF5" w:rsidP="00840EF5">
      <w:pPr>
        <w:spacing w:before="240" w:after="240" w:line="240" w:lineRule="auto"/>
        <w:rPr>
          <w:rFonts w:eastAsia="Times New Roman" w:cs="Times New Roman"/>
          <w:b/>
          <w:bCs/>
          <w:color w:val="000000"/>
          <w:szCs w:val="20"/>
          <w:lang w:eastAsia="en-AU"/>
        </w:rPr>
      </w:pPr>
      <w:r w:rsidRPr="00A00566">
        <w:rPr>
          <w:rFonts w:eastAsia="Times New Roman" w:cs="Times New Roman"/>
          <w:b/>
          <w:bCs/>
          <w:color w:val="000000"/>
          <w:szCs w:val="20"/>
          <w:lang w:eastAsia="en-AU"/>
        </w:rPr>
        <w:t>ESC discussion</w:t>
      </w:r>
    </w:p>
    <w:p w14:paraId="10A3AB3D" w14:textId="77777777" w:rsidR="00840EF5" w:rsidRPr="00A00566" w:rsidRDefault="00840EF5" w:rsidP="00840EF5">
      <w:pPr>
        <w:spacing w:before="0" w:after="240" w:line="240" w:lineRule="auto"/>
        <w:rPr>
          <w:rFonts w:eastAsia="Times New Roman" w:cs="Times New Roman"/>
          <w:color w:val="000000"/>
          <w:szCs w:val="20"/>
          <w:lang w:eastAsia="en-AU"/>
        </w:rPr>
      </w:pPr>
      <w:r w:rsidRPr="00A00566">
        <w:rPr>
          <w:rFonts w:eastAsia="Times New Roman" w:cs="Times New Roman"/>
          <w:color w:val="000000"/>
          <w:szCs w:val="20"/>
          <w:lang w:eastAsia="en-AU"/>
        </w:rPr>
        <w:t>ESC noted that the applicant seeks MBS-funding of N-terminal pro B-type natriuretic peptide (NT-</w:t>
      </w:r>
      <w:proofErr w:type="spellStart"/>
      <w:r w:rsidRPr="00A00566">
        <w:rPr>
          <w:rFonts w:eastAsia="Times New Roman" w:cs="Times New Roman"/>
          <w:color w:val="000000"/>
          <w:szCs w:val="20"/>
          <w:lang w:eastAsia="en-AU"/>
        </w:rPr>
        <w:t>proBNP</w:t>
      </w:r>
      <w:proofErr w:type="spellEnd"/>
      <w:r w:rsidRPr="00A00566">
        <w:rPr>
          <w:rFonts w:eastAsia="Times New Roman" w:cs="Times New Roman"/>
          <w:color w:val="000000"/>
          <w:szCs w:val="20"/>
          <w:lang w:eastAsia="en-AU"/>
        </w:rPr>
        <w:t xml:space="preserve">) bioassay testing for the risk assessment and monitoring of patients with diagnosed pulmonary arterial hypertension (PAH). </w:t>
      </w:r>
    </w:p>
    <w:p w14:paraId="71ED08D7" w14:textId="77777777" w:rsidR="00840EF5" w:rsidRPr="00A00566" w:rsidRDefault="00840EF5" w:rsidP="00840EF5">
      <w:pPr>
        <w:spacing w:before="0" w:after="240" w:line="240" w:lineRule="auto"/>
        <w:rPr>
          <w:rFonts w:eastAsia="Times New Roman" w:cs="Times New Roman"/>
          <w:color w:val="000000"/>
          <w:szCs w:val="20"/>
          <w:lang w:eastAsia="en-AU"/>
        </w:rPr>
      </w:pPr>
      <w:r w:rsidRPr="00A00566">
        <w:rPr>
          <w:rFonts w:eastAsia="Times New Roman" w:cs="Times New Roman"/>
          <w:color w:val="000000"/>
          <w:szCs w:val="20"/>
          <w:lang w:eastAsia="en-AU"/>
        </w:rPr>
        <w:t>ESC noted that this application is a resubmission. In July 2022, MSAC did not support public funding of NT-</w:t>
      </w:r>
      <w:proofErr w:type="spellStart"/>
      <w:r w:rsidRPr="00A00566">
        <w:rPr>
          <w:rFonts w:eastAsia="Times New Roman" w:cs="Times New Roman"/>
          <w:color w:val="000000"/>
          <w:szCs w:val="20"/>
          <w:lang w:eastAsia="en-AU"/>
        </w:rPr>
        <w:t>proBNP</w:t>
      </w:r>
      <w:proofErr w:type="spellEnd"/>
      <w:r w:rsidRPr="00A00566">
        <w:rPr>
          <w:rFonts w:eastAsia="Times New Roman" w:cs="Times New Roman"/>
          <w:color w:val="000000"/>
          <w:szCs w:val="20"/>
          <w:lang w:eastAsia="en-AU"/>
        </w:rPr>
        <w:t xml:space="preserve"> </w:t>
      </w:r>
      <w:r>
        <w:rPr>
          <w:rFonts w:eastAsia="Times New Roman" w:cs="Times New Roman"/>
          <w:color w:val="000000"/>
          <w:szCs w:val="20"/>
          <w:lang w:eastAsia="en-AU"/>
        </w:rPr>
        <w:t>for Population 2 of</w:t>
      </w:r>
      <w:r w:rsidRPr="00A00566">
        <w:rPr>
          <w:rFonts w:eastAsia="Times New Roman" w:cs="Times New Roman"/>
          <w:color w:val="000000"/>
          <w:szCs w:val="20"/>
          <w:lang w:eastAsia="en-AU"/>
        </w:rPr>
        <w:t xml:space="preserve"> </w:t>
      </w:r>
      <w:hyperlink r:id="rId14" w:history="1">
        <w:r w:rsidRPr="00A00566">
          <w:rPr>
            <w:rFonts w:eastAsia="Times New Roman" w:cs="Times New Roman"/>
            <w:color w:val="0000FF"/>
            <w:szCs w:val="20"/>
            <w:u w:val="single"/>
            <w:lang w:eastAsia="en-AU"/>
          </w:rPr>
          <w:t>MSAC Application 1689</w:t>
        </w:r>
      </w:hyperlink>
      <w:r w:rsidRPr="00A00566">
        <w:rPr>
          <w:rFonts w:eastAsia="Times New Roman" w:cs="Times New Roman"/>
          <w:color w:val="000000"/>
          <w:szCs w:val="20"/>
          <w:lang w:eastAsia="en-AU"/>
        </w:rPr>
        <w:t xml:space="preserve"> because of uncertainty in the estimated cost-effectiveness and the total financial implications. ESC noted that, in its resubmission, the applicant has provided additional evidence</w:t>
      </w:r>
      <w:r>
        <w:rPr>
          <w:rFonts w:eastAsia="Times New Roman" w:cs="Times New Roman"/>
          <w:color w:val="000000"/>
          <w:szCs w:val="20"/>
          <w:lang w:eastAsia="en-AU"/>
        </w:rPr>
        <w:t xml:space="preserve"> on the extent to which the </w:t>
      </w:r>
      <w:r w:rsidRPr="00A00566">
        <w:rPr>
          <w:rFonts w:eastAsia="Times New Roman" w:cs="Times New Roman"/>
          <w:color w:val="000000"/>
          <w:szCs w:val="20"/>
          <w:lang w:eastAsia="en-AU"/>
        </w:rPr>
        <w:t xml:space="preserve">proposed service will </w:t>
      </w:r>
      <w:r>
        <w:rPr>
          <w:rFonts w:eastAsia="Times New Roman" w:cs="Times New Roman"/>
          <w:color w:val="000000"/>
          <w:szCs w:val="20"/>
          <w:lang w:eastAsia="en-AU"/>
        </w:rPr>
        <w:t xml:space="preserve">lead to a </w:t>
      </w:r>
      <w:r w:rsidRPr="00A00566">
        <w:rPr>
          <w:rFonts w:eastAsia="Times New Roman" w:cs="Times New Roman"/>
          <w:color w:val="000000"/>
          <w:szCs w:val="20"/>
          <w:lang w:eastAsia="en-AU"/>
        </w:rPr>
        <w:t>substitut</w:t>
      </w:r>
      <w:r>
        <w:rPr>
          <w:rFonts w:eastAsia="Times New Roman" w:cs="Times New Roman"/>
          <w:color w:val="000000"/>
          <w:szCs w:val="20"/>
          <w:lang w:eastAsia="en-AU"/>
        </w:rPr>
        <w:t>ion away from</w:t>
      </w:r>
      <w:r w:rsidRPr="00A00566">
        <w:rPr>
          <w:rFonts w:eastAsia="Times New Roman" w:cs="Times New Roman"/>
          <w:color w:val="000000"/>
          <w:szCs w:val="20"/>
          <w:lang w:eastAsia="en-AU"/>
        </w:rPr>
        <w:t xml:space="preserve"> transthoracic echocardiogram (TTE) services, thereby enabling more reliable estimates of cost-effectiveness and total financial impact for MSAC’s consideration.</w:t>
      </w:r>
    </w:p>
    <w:p w14:paraId="2D791D76" w14:textId="5D7C76E6" w:rsidR="00840EF5" w:rsidRPr="00A00566" w:rsidRDefault="00840EF5" w:rsidP="00840EF5">
      <w:pPr>
        <w:spacing w:before="0" w:after="240" w:line="240" w:lineRule="auto"/>
        <w:rPr>
          <w:rFonts w:eastAsia="Times New Roman" w:cs="Times New Roman"/>
          <w:color w:val="000000"/>
          <w:szCs w:val="20"/>
          <w:lang w:eastAsia="en-AU"/>
        </w:rPr>
      </w:pPr>
      <w:r w:rsidRPr="00A00566">
        <w:rPr>
          <w:rFonts w:eastAsia="Times New Roman" w:cs="Times New Roman"/>
          <w:color w:val="000000"/>
          <w:szCs w:val="20"/>
          <w:lang w:eastAsia="en-AU"/>
        </w:rPr>
        <w:t>ESC noted that the main change since the initial submission is the release of the 2022 European Society of Cardiology and the European Respiratory Society (ESC/ESR) guidelines in August 2022, detailing updated recommendations for the management of PAH. ESC noted that the ESC/ESR guidelines recommend that, initially, patients would have a clinical assessment using a multi-parameter three-</w:t>
      </w:r>
      <w:r w:rsidR="00D67C9B">
        <w:rPr>
          <w:rFonts w:eastAsia="Times New Roman" w:cs="Times New Roman"/>
          <w:color w:val="000000"/>
          <w:szCs w:val="20"/>
          <w:lang w:eastAsia="en-AU"/>
        </w:rPr>
        <w:t>stratum</w:t>
      </w:r>
      <w:r w:rsidRPr="00A00566">
        <w:rPr>
          <w:rFonts w:eastAsia="Times New Roman" w:cs="Times New Roman"/>
          <w:color w:val="000000"/>
          <w:szCs w:val="20"/>
          <w:lang w:eastAsia="en-AU"/>
        </w:rPr>
        <w:t xml:space="preserve"> risk classification tool</w:t>
      </w:r>
      <w:r>
        <w:rPr>
          <w:rFonts w:eastAsia="Times New Roman" w:cs="Times New Roman"/>
          <w:color w:val="000000"/>
          <w:szCs w:val="20"/>
          <w:lang w:eastAsia="en-AU"/>
        </w:rPr>
        <w:t xml:space="preserve"> to predict mortality within one year</w:t>
      </w:r>
      <w:r w:rsidRPr="00A00566">
        <w:rPr>
          <w:rFonts w:eastAsia="Times New Roman" w:cs="Times New Roman"/>
          <w:color w:val="000000"/>
          <w:szCs w:val="20"/>
          <w:lang w:eastAsia="en-AU"/>
        </w:rPr>
        <w:t>. Follow-up assessments would use a four-</w:t>
      </w:r>
      <w:r w:rsidR="00D67C9B">
        <w:rPr>
          <w:rFonts w:eastAsia="Times New Roman" w:cs="Times New Roman"/>
          <w:color w:val="000000"/>
          <w:szCs w:val="20"/>
          <w:lang w:eastAsia="en-AU"/>
        </w:rPr>
        <w:t>stratum</w:t>
      </w:r>
      <w:r w:rsidRPr="00A00566">
        <w:rPr>
          <w:rFonts w:eastAsia="Times New Roman" w:cs="Times New Roman"/>
          <w:color w:val="000000"/>
          <w:szCs w:val="20"/>
          <w:lang w:eastAsia="en-AU"/>
        </w:rPr>
        <w:t xml:space="preserve"> model for risk-stratification. This tool includes only three non-invasive tests (WHO functional class [FC], 6-minute walking distance [6MWD] and NT-</w:t>
      </w:r>
      <w:proofErr w:type="spellStart"/>
      <w:r w:rsidRPr="00A00566">
        <w:rPr>
          <w:rFonts w:eastAsia="Times New Roman" w:cs="Times New Roman"/>
          <w:color w:val="000000"/>
          <w:szCs w:val="20"/>
          <w:lang w:eastAsia="en-AU"/>
        </w:rPr>
        <w:t>proBNP</w:t>
      </w:r>
      <w:proofErr w:type="spellEnd"/>
      <w:r w:rsidRPr="00A00566">
        <w:rPr>
          <w:rFonts w:eastAsia="Times New Roman" w:cs="Times New Roman"/>
          <w:color w:val="000000"/>
          <w:szCs w:val="20"/>
          <w:lang w:eastAsia="en-AU"/>
        </w:rPr>
        <w:t xml:space="preserve"> levels) with additional parameters (such as TTE) to be considered as needed. The ESC/ESR guidelines state that patients with stable disease may be considered for TTE or </w:t>
      </w:r>
      <w:r>
        <w:rPr>
          <w:rFonts w:eastAsia="Times New Roman" w:cs="Times New Roman"/>
          <w:color w:val="000000"/>
          <w:szCs w:val="20"/>
          <w:lang w:eastAsia="en-AU"/>
        </w:rPr>
        <w:t>cardiac MRI (</w:t>
      </w:r>
      <w:proofErr w:type="spellStart"/>
      <w:r w:rsidRPr="00A00566">
        <w:rPr>
          <w:rFonts w:eastAsia="Times New Roman" w:cs="Times New Roman"/>
          <w:color w:val="000000"/>
          <w:szCs w:val="20"/>
          <w:lang w:eastAsia="en-AU"/>
        </w:rPr>
        <w:t>cMRI</w:t>
      </w:r>
      <w:proofErr w:type="spellEnd"/>
      <w:r>
        <w:rPr>
          <w:rFonts w:eastAsia="Times New Roman" w:cs="Times New Roman"/>
          <w:color w:val="000000"/>
          <w:szCs w:val="20"/>
          <w:lang w:eastAsia="en-AU"/>
        </w:rPr>
        <w:t>)</w:t>
      </w:r>
      <w:r w:rsidRPr="00A00566">
        <w:rPr>
          <w:rFonts w:eastAsia="Times New Roman" w:cs="Times New Roman"/>
          <w:color w:val="000000"/>
          <w:szCs w:val="20"/>
          <w:lang w:eastAsia="en-AU"/>
        </w:rPr>
        <w:t xml:space="preserve"> every 3–6 months. ESC noted that the ESC/ESR guidelines consider that the main </w:t>
      </w:r>
      <w:r w:rsidRPr="00A00566">
        <w:rPr>
          <w:rFonts w:eastAsia="Times New Roman" w:cs="Times New Roman"/>
          <w:color w:val="000000"/>
          <w:szCs w:val="20"/>
          <w:lang w:eastAsia="en-AU"/>
        </w:rPr>
        <w:lastRenderedPageBreak/>
        <w:t>advantage of the four-</w:t>
      </w:r>
      <w:r w:rsidR="00D67C9B">
        <w:rPr>
          <w:rFonts w:eastAsia="Times New Roman" w:cs="Times New Roman"/>
          <w:color w:val="000000"/>
          <w:szCs w:val="20"/>
          <w:lang w:eastAsia="en-AU"/>
        </w:rPr>
        <w:t>stratum</w:t>
      </w:r>
      <w:r w:rsidRPr="00A00566">
        <w:rPr>
          <w:rFonts w:eastAsia="Times New Roman" w:cs="Times New Roman"/>
          <w:color w:val="000000"/>
          <w:szCs w:val="20"/>
          <w:lang w:eastAsia="en-AU"/>
        </w:rPr>
        <w:t xml:space="preserve"> model over the three-</w:t>
      </w:r>
      <w:r w:rsidR="00D67C9B">
        <w:rPr>
          <w:rFonts w:eastAsia="Times New Roman" w:cs="Times New Roman"/>
          <w:color w:val="000000"/>
          <w:szCs w:val="20"/>
          <w:lang w:eastAsia="en-AU"/>
        </w:rPr>
        <w:t>stratum</w:t>
      </w:r>
      <w:r w:rsidRPr="00A00566">
        <w:rPr>
          <w:rFonts w:eastAsia="Times New Roman" w:cs="Times New Roman"/>
          <w:color w:val="000000"/>
          <w:szCs w:val="20"/>
          <w:lang w:eastAsia="en-AU"/>
        </w:rPr>
        <w:t xml:space="preserve"> model is better discrimination within the large intermediate-risk group, </w:t>
      </w:r>
      <w:r>
        <w:rPr>
          <w:rFonts w:eastAsia="Times New Roman" w:cs="Times New Roman"/>
          <w:color w:val="000000"/>
          <w:szCs w:val="20"/>
          <w:lang w:eastAsia="en-AU"/>
        </w:rPr>
        <w:t>by stratifying patients into intermediate-low and intermediate-high risk groups, along with the low and high risk groups</w:t>
      </w:r>
      <w:r w:rsidRPr="00A00566">
        <w:rPr>
          <w:rFonts w:eastAsia="Times New Roman" w:cs="Times New Roman"/>
          <w:color w:val="000000"/>
          <w:szCs w:val="20"/>
          <w:lang w:eastAsia="en-AU"/>
        </w:rPr>
        <w:t xml:space="preserve"> which help guide </w:t>
      </w:r>
      <w:r>
        <w:rPr>
          <w:rFonts w:eastAsia="Times New Roman" w:cs="Times New Roman"/>
          <w:color w:val="000000"/>
          <w:szCs w:val="20"/>
          <w:lang w:eastAsia="en-AU"/>
        </w:rPr>
        <w:t xml:space="preserve">clinical </w:t>
      </w:r>
      <w:r w:rsidRPr="00A00566">
        <w:rPr>
          <w:rFonts w:eastAsia="Times New Roman" w:cs="Times New Roman"/>
          <w:color w:val="000000"/>
          <w:szCs w:val="20"/>
          <w:lang w:eastAsia="en-AU"/>
        </w:rPr>
        <w:t>decision-making</w:t>
      </w:r>
      <w:r>
        <w:rPr>
          <w:rFonts w:eastAsia="Times New Roman" w:cs="Times New Roman"/>
          <w:color w:val="000000"/>
          <w:szCs w:val="20"/>
          <w:lang w:eastAsia="en-AU"/>
        </w:rPr>
        <w:t xml:space="preserve"> about further testing. </w:t>
      </w:r>
    </w:p>
    <w:p w14:paraId="1A6C0D5D" w14:textId="77777777" w:rsidR="00840EF5" w:rsidRPr="00A00566" w:rsidRDefault="00840EF5" w:rsidP="00840EF5">
      <w:pPr>
        <w:spacing w:before="0" w:after="240" w:line="240" w:lineRule="auto"/>
        <w:rPr>
          <w:rFonts w:eastAsia="Times New Roman" w:cs="Times New Roman"/>
          <w:color w:val="000000"/>
          <w:szCs w:val="20"/>
          <w:lang w:eastAsia="en-AU"/>
        </w:rPr>
      </w:pPr>
      <w:r w:rsidRPr="00A00566">
        <w:rPr>
          <w:rFonts w:eastAsia="Times New Roman" w:cs="Times New Roman"/>
          <w:color w:val="000000"/>
          <w:szCs w:val="20"/>
          <w:lang w:eastAsia="en-AU"/>
        </w:rPr>
        <w:t xml:space="preserve">ESC noted that there was one response to public consultation, from Scleroderma Australia. </w:t>
      </w:r>
      <w:bookmarkStart w:id="66" w:name="_Hlk138833690"/>
      <w:r w:rsidRPr="00A00566">
        <w:rPr>
          <w:rFonts w:eastAsia="Times New Roman" w:cs="Times New Roman"/>
          <w:color w:val="000000"/>
          <w:szCs w:val="20"/>
          <w:lang w:eastAsia="en-AU"/>
        </w:rPr>
        <w:t xml:space="preserve">Their members agreed that the ability to access </w:t>
      </w:r>
      <w:r>
        <w:rPr>
          <w:rFonts w:eastAsia="Times New Roman" w:cs="Times New Roman"/>
          <w:color w:val="000000"/>
          <w:szCs w:val="20"/>
          <w:lang w:eastAsia="en-AU"/>
        </w:rPr>
        <w:t>MBS funded</w:t>
      </w:r>
      <w:r w:rsidRPr="00A00566">
        <w:rPr>
          <w:rFonts w:eastAsia="Times New Roman" w:cs="Times New Roman"/>
          <w:color w:val="000000"/>
          <w:szCs w:val="20"/>
          <w:lang w:eastAsia="en-AU"/>
        </w:rPr>
        <w:t xml:space="preserve"> NT-</w:t>
      </w:r>
      <w:proofErr w:type="spellStart"/>
      <w:r w:rsidRPr="00A00566">
        <w:rPr>
          <w:rFonts w:eastAsia="Times New Roman" w:cs="Times New Roman"/>
          <w:color w:val="000000"/>
          <w:szCs w:val="20"/>
          <w:lang w:eastAsia="en-AU"/>
        </w:rPr>
        <w:t>proBNP</w:t>
      </w:r>
      <w:proofErr w:type="spellEnd"/>
      <w:r w:rsidRPr="00A00566">
        <w:rPr>
          <w:rFonts w:eastAsia="Times New Roman" w:cs="Times New Roman"/>
          <w:color w:val="000000"/>
          <w:szCs w:val="20"/>
          <w:lang w:eastAsia="en-AU"/>
        </w:rPr>
        <w:t xml:space="preserve"> test</w:t>
      </w:r>
      <w:r>
        <w:rPr>
          <w:rFonts w:eastAsia="Times New Roman" w:cs="Times New Roman"/>
          <w:color w:val="000000"/>
          <w:szCs w:val="20"/>
          <w:lang w:eastAsia="en-AU"/>
        </w:rPr>
        <w:t>s</w:t>
      </w:r>
      <w:r w:rsidRPr="00A00566">
        <w:rPr>
          <w:rFonts w:eastAsia="Times New Roman" w:cs="Times New Roman"/>
          <w:color w:val="000000"/>
          <w:szCs w:val="20"/>
          <w:lang w:eastAsia="en-AU"/>
        </w:rPr>
        <w:t xml:space="preserve"> would greatly improve their quality of life as well as make it easier to access timely care.</w:t>
      </w:r>
      <w:r>
        <w:rPr>
          <w:rFonts w:eastAsia="Times New Roman" w:cs="Times New Roman"/>
          <w:color w:val="000000"/>
          <w:szCs w:val="20"/>
          <w:lang w:eastAsia="en-AU"/>
        </w:rPr>
        <w:t xml:space="preserve"> Other points noted from this submission were the frequent barriers faced by patients with </w:t>
      </w:r>
      <w:r w:rsidRPr="004430D8">
        <w:rPr>
          <w:rFonts w:eastAsia="Times New Roman" w:cs="Times New Roman"/>
          <w:color w:val="000000"/>
          <w:szCs w:val="20"/>
          <w:lang w:eastAsia="en-AU"/>
        </w:rPr>
        <w:t xml:space="preserve">scleroderma and </w:t>
      </w:r>
      <w:r>
        <w:rPr>
          <w:rFonts w:eastAsia="Times New Roman" w:cs="Times New Roman"/>
          <w:color w:val="000000"/>
          <w:szCs w:val="20"/>
          <w:lang w:eastAsia="en-AU"/>
        </w:rPr>
        <w:t xml:space="preserve">diagnosed </w:t>
      </w:r>
      <w:r w:rsidRPr="004430D8">
        <w:rPr>
          <w:rFonts w:eastAsia="Times New Roman" w:cs="Times New Roman"/>
          <w:color w:val="000000"/>
          <w:szCs w:val="20"/>
          <w:lang w:eastAsia="en-AU"/>
        </w:rPr>
        <w:t>PAH</w:t>
      </w:r>
      <w:r>
        <w:rPr>
          <w:rFonts w:eastAsia="Times New Roman" w:cs="Times New Roman"/>
          <w:color w:val="000000"/>
          <w:szCs w:val="20"/>
          <w:lang w:eastAsia="en-AU"/>
        </w:rPr>
        <w:t xml:space="preserve"> in accessing TTEs in hospitals including long distance travel and </w:t>
      </w:r>
      <w:r w:rsidRPr="004430D8">
        <w:rPr>
          <w:rFonts w:eastAsia="Times New Roman" w:cs="Times New Roman"/>
          <w:color w:val="000000"/>
          <w:szCs w:val="20"/>
          <w:lang w:eastAsia="en-AU"/>
        </w:rPr>
        <w:t>inability to drive,</w:t>
      </w:r>
      <w:r>
        <w:rPr>
          <w:rFonts w:eastAsia="Times New Roman" w:cs="Times New Roman"/>
          <w:color w:val="000000"/>
          <w:szCs w:val="20"/>
          <w:lang w:eastAsia="en-AU"/>
        </w:rPr>
        <w:t xml:space="preserve"> especially for those living in rural, remote and regional areas. These travel difficulties are heightened as the disease progresses which places pressure and financial costs on family and friends to </w:t>
      </w:r>
      <w:r w:rsidRPr="004430D8">
        <w:rPr>
          <w:rFonts w:eastAsia="Times New Roman" w:cs="Times New Roman"/>
          <w:color w:val="000000"/>
          <w:szCs w:val="20"/>
          <w:lang w:eastAsia="en-AU"/>
        </w:rPr>
        <w:t>assist them in getting to appointments</w:t>
      </w:r>
      <w:r>
        <w:rPr>
          <w:rFonts w:eastAsia="Times New Roman" w:cs="Times New Roman"/>
          <w:color w:val="000000"/>
          <w:szCs w:val="20"/>
          <w:lang w:eastAsia="en-AU"/>
        </w:rPr>
        <w:t xml:space="preserve"> for regular PAH risk assessment and monitoring in the absence of a publicly funded alternative to TTEs.</w:t>
      </w:r>
      <w:r w:rsidRPr="001A31BE">
        <w:rPr>
          <w:rFonts w:eastAsia="Times New Roman" w:cs="Times New Roman"/>
          <w:color w:val="000000"/>
          <w:szCs w:val="20"/>
          <w:lang w:eastAsia="en-AU"/>
        </w:rPr>
        <w:t xml:space="preserve"> </w:t>
      </w:r>
      <w:r>
        <w:rPr>
          <w:rFonts w:eastAsia="Times New Roman" w:cs="Times New Roman"/>
          <w:color w:val="000000"/>
          <w:szCs w:val="20"/>
          <w:lang w:eastAsia="en-AU"/>
        </w:rPr>
        <w:t xml:space="preserve">ESC also noted from the submission that patients saw a blood test like </w:t>
      </w:r>
      <w:r w:rsidRPr="00695E29">
        <w:rPr>
          <w:rFonts w:eastAsia="Times New Roman" w:cs="Times New Roman"/>
          <w:color w:val="000000"/>
          <w:szCs w:val="20"/>
          <w:lang w:eastAsia="en-AU"/>
        </w:rPr>
        <w:t>NT-</w:t>
      </w:r>
      <w:proofErr w:type="spellStart"/>
      <w:r w:rsidRPr="00695E29">
        <w:rPr>
          <w:rFonts w:eastAsia="Times New Roman" w:cs="Times New Roman"/>
          <w:color w:val="000000"/>
          <w:szCs w:val="20"/>
          <w:lang w:eastAsia="en-AU"/>
        </w:rPr>
        <w:t>proBNP</w:t>
      </w:r>
      <w:proofErr w:type="spellEnd"/>
      <w:r w:rsidRPr="00695E29">
        <w:rPr>
          <w:rFonts w:eastAsia="Times New Roman" w:cs="Times New Roman"/>
          <w:color w:val="000000"/>
          <w:szCs w:val="20"/>
          <w:lang w:eastAsia="en-AU"/>
        </w:rPr>
        <w:t xml:space="preserve"> test</w:t>
      </w:r>
      <w:r>
        <w:rPr>
          <w:rFonts w:eastAsia="Times New Roman" w:cs="Times New Roman"/>
          <w:color w:val="000000"/>
          <w:szCs w:val="20"/>
          <w:lang w:eastAsia="en-AU"/>
        </w:rPr>
        <w:t xml:space="preserve"> as being more convenient and less likely to cause test-related discomfort than TTEs which would also be a factor in encouraging patients to keep up with their regular assessments. </w:t>
      </w:r>
    </w:p>
    <w:bookmarkEnd w:id="66"/>
    <w:p w14:paraId="3E4965ED" w14:textId="0AFDA3CA" w:rsidR="00840EF5" w:rsidRPr="00A00566" w:rsidRDefault="00840EF5" w:rsidP="00840EF5">
      <w:pPr>
        <w:spacing w:before="0" w:after="240" w:line="240" w:lineRule="auto"/>
        <w:rPr>
          <w:rFonts w:eastAsia="Times New Roman" w:cs="Times New Roman"/>
          <w:color w:val="000000"/>
          <w:szCs w:val="20"/>
          <w:lang w:eastAsia="en-AU"/>
        </w:rPr>
      </w:pPr>
      <w:r w:rsidRPr="00A00566">
        <w:rPr>
          <w:rFonts w:eastAsia="Times New Roman" w:cs="Times New Roman"/>
          <w:color w:val="000000"/>
          <w:szCs w:val="20"/>
          <w:lang w:eastAsia="en-AU"/>
        </w:rPr>
        <w:t>ESC noted that the 2023 Australasian position paper on PAH (Thoracic Society of Australia and New Zealand and Pulmonary Hypertension Society of Australia and New Zealand) will support the updated four-</w:t>
      </w:r>
      <w:r w:rsidR="00D67C9B">
        <w:rPr>
          <w:rFonts w:eastAsia="Times New Roman" w:cs="Times New Roman"/>
          <w:color w:val="000000"/>
          <w:szCs w:val="20"/>
          <w:lang w:eastAsia="en-AU"/>
        </w:rPr>
        <w:t>stratum</w:t>
      </w:r>
      <w:r w:rsidRPr="00A00566">
        <w:rPr>
          <w:rFonts w:eastAsia="Times New Roman" w:cs="Times New Roman"/>
          <w:color w:val="000000"/>
          <w:szCs w:val="20"/>
          <w:lang w:eastAsia="en-AU"/>
        </w:rPr>
        <w:t xml:space="preserve"> PAH risk-assessment including NT-</w:t>
      </w:r>
      <w:proofErr w:type="spellStart"/>
      <w:r w:rsidRPr="00A00566">
        <w:rPr>
          <w:rFonts w:eastAsia="Times New Roman" w:cs="Times New Roman"/>
          <w:color w:val="000000"/>
          <w:szCs w:val="20"/>
          <w:lang w:eastAsia="en-AU"/>
        </w:rPr>
        <w:t>proBNP</w:t>
      </w:r>
      <w:proofErr w:type="spellEnd"/>
      <w:r w:rsidRPr="00A00566">
        <w:rPr>
          <w:rFonts w:eastAsia="Times New Roman" w:cs="Times New Roman"/>
          <w:color w:val="000000"/>
          <w:szCs w:val="20"/>
          <w:lang w:eastAsia="en-AU"/>
        </w:rPr>
        <w:t xml:space="preserve"> as a key parameter for routine follow-up</w:t>
      </w:r>
      <w:r>
        <w:rPr>
          <w:rFonts w:eastAsia="Times New Roman" w:cs="Times New Roman"/>
          <w:color w:val="000000"/>
          <w:szCs w:val="20"/>
          <w:lang w:eastAsia="en-AU"/>
        </w:rPr>
        <w:t xml:space="preserve"> assessments</w:t>
      </w:r>
      <w:r w:rsidRPr="00A00566">
        <w:rPr>
          <w:rFonts w:eastAsia="Times New Roman" w:cs="Times New Roman"/>
          <w:color w:val="000000"/>
          <w:szCs w:val="20"/>
          <w:lang w:eastAsia="en-AU"/>
        </w:rPr>
        <w:t>. It will also recommend that NT-</w:t>
      </w:r>
      <w:proofErr w:type="spellStart"/>
      <w:r w:rsidRPr="00A00566">
        <w:rPr>
          <w:rFonts w:eastAsia="Times New Roman" w:cs="Times New Roman"/>
          <w:color w:val="000000"/>
          <w:szCs w:val="20"/>
          <w:lang w:eastAsia="en-AU"/>
        </w:rPr>
        <w:t>proBNP</w:t>
      </w:r>
      <w:proofErr w:type="spellEnd"/>
      <w:r w:rsidRPr="00A00566">
        <w:rPr>
          <w:rFonts w:eastAsia="Times New Roman" w:cs="Times New Roman"/>
          <w:color w:val="000000"/>
          <w:szCs w:val="20"/>
          <w:lang w:eastAsia="en-AU"/>
        </w:rPr>
        <w:t xml:space="preserve"> testing should be used together with WHO FC and 6MWD parameters as part of a non-invasive approach to routine follow-up risk-assessment, with TTE and/or right heart catheterisation (RHC) being reserved only for risk-assessment following changes in therapy, cases of clinical worsening or when deemed necessary based on individual clinical judgement.  </w:t>
      </w:r>
      <w:r>
        <w:rPr>
          <w:rFonts w:eastAsia="Times New Roman" w:cs="Times New Roman"/>
          <w:color w:val="000000"/>
          <w:szCs w:val="20"/>
          <w:lang w:eastAsia="en-AU"/>
        </w:rPr>
        <w:t xml:space="preserve">ESC noted that these </w:t>
      </w:r>
      <w:r w:rsidRPr="006A12D0">
        <w:rPr>
          <w:rFonts w:eastAsia="Times New Roman" w:cs="Times New Roman"/>
          <w:color w:val="000000"/>
          <w:szCs w:val="20"/>
          <w:lang w:eastAsia="en-AU"/>
        </w:rPr>
        <w:t>guidelines state that patients with stable pulmonary arterial hypertension (PAH) “may” also be considered for TTE</w:t>
      </w:r>
      <w:r>
        <w:rPr>
          <w:rFonts w:eastAsia="Times New Roman" w:cs="Times New Roman"/>
          <w:color w:val="000000"/>
          <w:szCs w:val="20"/>
          <w:lang w:eastAsia="en-AU"/>
        </w:rPr>
        <w:t xml:space="preserve">; the </w:t>
      </w:r>
      <w:r w:rsidRPr="006A12D0">
        <w:rPr>
          <w:rFonts w:eastAsia="Times New Roman" w:cs="Times New Roman"/>
          <w:color w:val="000000"/>
          <w:szCs w:val="20"/>
          <w:lang w:eastAsia="en-AU"/>
        </w:rPr>
        <w:t xml:space="preserve">ADAR assumed that all patients with stable disease would have a TTE at least once a year, but </w:t>
      </w:r>
      <w:r>
        <w:rPr>
          <w:rFonts w:eastAsia="Times New Roman" w:cs="Times New Roman"/>
          <w:color w:val="000000"/>
          <w:szCs w:val="20"/>
          <w:lang w:eastAsia="en-AU"/>
        </w:rPr>
        <w:t xml:space="preserve">did not discuss the reasons why the minimum </w:t>
      </w:r>
      <w:r w:rsidRPr="006A12D0">
        <w:rPr>
          <w:rFonts w:eastAsia="Times New Roman" w:cs="Times New Roman"/>
          <w:color w:val="000000"/>
          <w:szCs w:val="20"/>
          <w:lang w:eastAsia="en-AU"/>
        </w:rPr>
        <w:t xml:space="preserve">TTE </w:t>
      </w:r>
      <w:r>
        <w:rPr>
          <w:rFonts w:eastAsia="Times New Roman" w:cs="Times New Roman"/>
          <w:color w:val="000000"/>
          <w:szCs w:val="20"/>
          <w:lang w:eastAsia="en-AU"/>
        </w:rPr>
        <w:t>would not</w:t>
      </w:r>
      <w:r w:rsidRPr="006A12D0">
        <w:rPr>
          <w:rFonts w:eastAsia="Times New Roman" w:cs="Times New Roman"/>
          <w:color w:val="000000"/>
          <w:szCs w:val="20"/>
          <w:lang w:eastAsia="en-AU"/>
        </w:rPr>
        <w:t xml:space="preserve"> be more frequent</w:t>
      </w:r>
      <w:r>
        <w:rPr>
          <w:rFonts w:eastAsia="Times New Roman" w:cs="Times New Roman"/>
          <w:color w:val="000000"/>
          <w:szCs w:val="20"/>
          <w:lang w:eastAsia="en-AU"/>
        </w:rPr>
        <w:t xml:space="preserve"> than this. This has implications for the results of the updated economic evaluation as discussed below. In particular ESC noted that additional reasons why TTE testing may be more frequent than once a year among stable patients may include medication changes at </w:t>
      </w:r>
      <w:r w:rsidRPr="00DA1187">
        <w:rPr>
          <w:rFonts w:eastAsia="Times New Roman" w:cs="Times New Roman"/>
          <w:color w:val="000000"/>
          <w:szCs w:val="20"/>
          <w:lang w:eastAsia="en-AU"/>
        </w:rPr>
        <w:t>last follow</w:t>
      </w:r>
      <w:r>
        <w:rPr>
          <w:rFonts w:eastAsia="Times New Roman" w:cs="Times New Roman"/>
          <w:color w:val="000000"/>
          <w:szCs w:val="20"/>
          <w:lang w:eastAsia="en-AU"/>
        </w:rPr>
        <w:t>-</w:t>
      </w:r>
      <w:r w:rsidRPr="00DA1187">
        <w:rPr>
          <w:rFonts w:eastAsia="Times New Roman" w:cs="Times New Roman"/>
          <w:color w:val="000000"/>
          <w:szCs w:val="20"/>
          <w:lang w:eastAsia="en-AU"/>
        </w:rPr>
        <w:t>up</w:t>
      </w:r>
      <w:r>
        <w:rPr>
          <w:rFonts w:eastAsia="Times New Roman" w:cs="Times New Roman"/>
          <w:color w:val="000000"/>
          <w:szCs w:val="20"/>
          <w:lang w:eastAsia="en-AU"/>
        </w:rPr>
        <w:t>, increased testing frequency for stable patients with higher mortality risk and i</w:t>
      </w:r>
      <w:r w:rsidRPr="00DA1187">
        <w:rPr>
          <w:rFonts w:eastAsia="Times New Roman" w:cs="Times New Roman"/>
          <w:color w:val="000000"/>
          <w:szCs w:val="20"/>
          <w:lang w:eastAsia="en-AU"/>
        </w:rPr>
        <w:t>ndividual clinic</w:t>
      </w:r>
      <w:r>
        <w:rPr>
          <w:rFonts w:eastAsia="Times New Roman" w:cs="Times New Roman"/>
          <w:color w:val="000000"/>
          <w:szCs w:val="20"/>
          <w:lang w:eastAsia="en-AU"/>
        </w:rPr>
        <w:t xml:space="preserve">ian </w:t>
      </w:r>
      <w:r w:rsidRPr="00DA1187">
        <w:rPr>
          <w:rFonts w:eastAsia="Times New Roman" w:cs="Times New Roman"/>
          <w:color w:val="000000"/>
          <w:szCs w:val="20"/>
          <w:lang w:eastAsia="en-AU"/>
        </w:rPr>
        <w:t>interpretation of risk factors</w:t>
      </w:r>
      <w:r>
        <w:rPr>
          <w:rFonts w:eastAsia="Times New Roman" w:cs="Times New Roman"/>
          <w:color w:val="000000"/>
          <w:szCs w:val="20"/>
          <w:lang w:eastAsia="en-AU"/>
        </w:rPr>
        <w:t xml:space="preserve">. </w:t>
      </w:r>
    </w:p>
    <w:p w14:paraId="20D81755" w14:textId="565117B1" w:rsidR="00840EF5" w:rsidRPr="00A00566" w:rsidRDefault="00840EF5" w:rsidP="00840EF5">
      <w:pPr>
        <w:spacing w:before="0" w:after="240" w:line="240" w:lineRule="auto"/>
        <w:rPr>
          <w:rFonts w:eastAsia="Times New Roman" w:cs="Times New Roman"/>
          <w:color w:val="000000"/>
          <w:szCs w:val="20"/>
          <w:lang w:eastAsia="en-AU"/>
        </w:rPr>
      </w:pPr>
      <w:r w:rsidRPr="00A00566">
        <w:rPr>
          <w:rFonts w:eastAsia="Times New Roman" w:cs="Times New Roman"/>
          <w:color w:val="000000"/>
          <w:szCs w:val="20"/>
          <w:lang w:eastAsia="en-AU"/>
        </w:rPr>
        <w:t>ESC noted that the applicant has proposed a new MBS item descriptor for NT-</w:t>
      </w:r>
      <w:proofErr w:type="spellStart"/>
      <w:r w:rsidRPr="00A00566">
        <w:rPr>
          <w:rFonts w:eastAsia="Times New Roman" w:cs="Times New Roman"/>
          <w:color w:val="000000"/>
          <w:szCs w:val="20"/>
          <w:lang w:eastAsia="en-AU"/>
        </w:rPr>
        <w:t>proBNP</w:t>
      </w:r>
      <w:proofErr w:type="spellEnd"/>
      <w:r w:rsidRPr="00A00566">
        <w:rPr>
          <w:rFonts w:eastAsia="Times New Roman" w:cs="Times New Roman"/>
          <w:color w:val="000000"/>
          <w:szCs w:val="20"/>
          <w:lang w:eastAsia="en-AU"/>
        </w:rPr>
        <w:t xml:space="preserve"> testing of patients diagnosed with PAH. The proposed fee and benefit are the same as for the current MBS item 66830 (BNP/NT-</w:t>
      </w:r>
      <w:proofErr w:type="spellStart"/>
      <w:r w:rsidRPr="00A00566">
        <w:rPr>
          <w:rFonts w:eastAsia="Times New Roman" w:cs="Times New Roman"/>
          <w:color w:val="000000"/>
          <w:szCs w:val="20"/>
          <w:lang w:eastAsia="en-AU"/>
        </w:rPr>
        <w:t>proBNP</w:t>
      </w:r>
      <w:proofErr w:type="spellEnd"/>
      <w:r w:rsidRPr="00A00566">
        <w:rPr>
          <w:rFonts w:eastAsia="Times New Roman" w:cs="Times New Roman"/>
          <w:color w:val="000000"/>
          <w:szCs w:val="20"/>
          <w:lang w:eastAsia="en-AU"/>
        </w:rPr>
        <w:t xml:space="preserve"> testing for the </w:t>
      </w:r>
      <w:r>
        <w:rPr>
          <w:rFonts w:eastAsia="Times New Roman" w:cs="Times New Roman"/>
          <w:color w:val="000000"/>
          <w:szCs w:val="20"/>
          <w:lang w:eastAsia="en-AU"/>
        </w:rPr>
        <w:t>diagnosis</w:t>
      </w:r>
      <w:r w:rsidRPr="00A00566">
        <w:rPr>
          <w:rFonts w:eastAsia="Times New Roman" w:cs="Times New Roman"/>
          <w:color w:val="000000"/>
          <w:szCs w:val="20"/>
          <w:lang w:eastAsia="en-AU"/>
        </w:rPr>
        <w:t xml:space="preserve"> of heart failure </w:t>
      </w:r>
      <w:r>
        <w:rPr>
          <w:rFonts w:eastAsia="Times New Roman" w:cs="Times New Roman"/>
          <w:color w:val="000000"/>
          <w:szCs w:val="20"/>
          <w:lang w:eastAsia="en-AU"/>
        </w:rPr>
        <w:t>in patients</w:t>
      </w:r>
      <w:r w:rsidRPr="00A00566">
        <w:rPr>
          <w:rFonts w:eastAsia="Times New Roman" w:cs="Times New Roman"/>
          <w:color w:val="000000"/>
          <w:szCs w:val="20"/>
          <w:lang w:eastAsia="en-AU"/>
        </w:rPr>
        <w:t xml:space="preserve"> present</w:t>
      </w:r>
      <w:r>
        <w:rPr>
          <w:rFonts w:eastAsia="Times New Roman" w:cs="Times New Roman"/>
          <w:color w:val="000000"/>
          <w:szCs w:val="20"/>
          <w:lang w:eastAsia="en-AU"/>
        </w:rPr>
        <w:t>ing with dyspnoea</w:t>
      </w:r>
      <w:r w:rsidRPr="00A00566">
        <w:rPr>
          <w:rFonts w:eastAsia="Times New Roman" w:cs="Times New Roman"/>
          <w:color w:val="000000"/>
          <w:szCs w:val="20"/>
          <w:lang w:eastAsia="en-AU"/>
        </w:rPr>
        <w:t xml:space="preserve"> to </w:t>
      </w:r>
      <w:r>
        <w:rPr>
          <w:rFonts w:eastAsia="Times New Roman" w:cs="Times New Roman"/>
          <w:color w:val="000000"/>
          <w:szCs w:val="20"/>
          <w:lang w:eastAsia="en-AU"/>
        </w:rPr>
        <w:t>a hospital</w:t>
      </w:r>
      <w:r w:rsidRPr="00A00566">
        <w:rPr>
          <w:rFonts w:eastAsia="Times New Roman" w:cs="Times New Roman"/>
          <w:color w:val="000000"/>
          <w:szCs w:val="20"/>
          <w:lang w:eastAsia="en-AU"/>
        </w:rPr>
        <w:t xml:space="preserve"> emergency department). ESC queried whether there is likely to be leakage because NT-</w:t>
      </w:r>
      <w:proofErr w:type="spellStart"/>
      <w:r w:rsidRPr="00A00566">
        <w:rPr>
          <w:rFonts w:eastAsia="Times New Roman" w:cs="Times New Roman"/>
          <w:color w:val="000000"/>
          <w:szCs w:val="20"/>
          <w:lang w:eastAsia="en-AU"/>
        </w:rPr>
        <w:t>proBNP</w:t>
      </w:r>
      <w:proofErr w:type="spellEnd"/>
      <w:r w:rsidRPr="00A00566">
        <w:rPr>
          <w:rFonts w:eastAsia="Times New Roman" w:cs="Times New Roman"/>
          <w:color w:val="000000"/>
          <w:szCs w:val="20"/>
          <w:lang w:eastAsia="en-AU"/>
        </w:rPr>
        <w:t xml:space="preserve"> testing could </w:t>
      </w:r>
      <w:r>
        <w:rPr>
          <w:rFonts w:eastAsia="Times New Roman" w:cs="Times New Roman"/>
          <w:color w:val="000000"/>
          <w:szCs w:val="20"/>
          <w:lang w:eastAsia="en-AU"/>
        </w:rPr>
        <w:t xml:space="preserve">be </w:t>
      </w:r>
      <w:r w:rsidRPr="00A00566">
        <w:rPr>
          <w:rFonts w:eastAsia="Times New Roman" w:cs="Times New Roman"/>
          <w:color w:val="000000"/>
          <w:szCs w:val="20"/>
          <w:lang w:eastAsia="en-AU"/>
        </w:rPr>
        <w:t>use</w:t>
      </w:r>
      <w:r>
        <w:rPr>
          <w:rFonts w:eastAsia="Times New Roman" w:cs="Times New Roman"/>
          <w:color w:val="000000"/>
          <w:szCs w:val="20"/>
          <w:lang w:eastAsia="en-AU"/>
        </w:rPr>
        <w:t>d</w:t>
      </w:r>
      <w:r w:rsidRPr="00A00566">
        <w:rPr>
          <w:rFonts w:eastAsia="Times New Roman" w:cs="Times New Roman"/>
          <w:color w:val="000000"/>
          <w:szCs w:val="20"/>
          <w:lang w:eastAsia="en-AU"/>
        </w:rPr>
        <w:t xml:space="preserve"> </w:t>
      </w:r>
      <w:r>
        <w:rPr>
          <w:rFonts w:eastAsia="Times New Roman" w:cs="Times New Roman"/>
          <w:color w:val="000000"/>
          <w:szCs w:val="20"/>
          <w:lang w:eastAsia="en-AU"/>
        </w:rPr>
        <w:t>in patients with suspected</w:t>
      </w:r>
      <w:r w:rsidRPr="00A00566">
        <w:rPr>
          <w:rFonts w:eastAsia="Times New Roman" w:cs="Times New Roman"/>
          <w:color w:val="000000"/>
          <w:szCs w:val="20"/>
          <w:lang w:eastAsia="en-AU"/>
        </w:rPr>
        <w:t xml:space="preserve"> heart failure</w:t>
      </w:r>
      <w:r>
        <w:rPr>
          <w:rFonts w:eastAsia="Times New Roman" w:cs="Times New Roman"/>
          <w:color w:val="000000"/>
          <w:szCs w:val="20"/>
          <w:lang w:eastAsia="en-AU"/>
        </w:rPr>
        <w:t xml:space="preserve"> in the out of hospital setting</w:t>
      </w:r>
      <w:r w:rsidRPr="00A00566">
        <w:rPr>
          <w:rFonts w:eastAsia="Times New Roman" w:cs="Times New Roman"/>
          <w:color w:val="000000"/>
          <w:szCs w:val="20"/>
          <w:lang w:eastAsia="en-AU"/>
        </w:rPr>
        <w:t>. If MSAC supports the application, ESC considered that monitoring will need to be implemented.</w:t>
      </w:r>
      <w:r>
        <w:rPr>
          <w:rFonts w:eastAsia="Times New Roman" w:cs="Times New Roman"/>
          <w:color w:val="000000"/>
          <w:szCs w:val="20"/>
          <w:lang w:eastAsia="en-AU"/>
        </w:rPr>
        <w:t xml:space="preserve"> However it was noted that an MSAC application covering this population is scheduled for consideration by ESC in the near future.</w:t>
      </w:r>
      <w:r w:rsidRPr="007A4DC4">
        <w:rPr>
          <w:rFonts w:eastAsia="Times New Roman" w:cs="Times New Roman"/>
          <w:color w:val="000000"/>
          <w:szCs w:val="20"/>
          <w:lang w:eastAsia="en-AU"/>
        </w:rPr>
        <w:t xml:space="preserve"> </w:t>
      </w:r>
      <w:r w:rsidRPr="00A00566">
        <w:rPr>
          <w:rFonts w:eastAsia="Times New Roman" w:cs="Times New Roman"/>
          <w:color w:val="000000"/>
          <w:szCs w:val="20"/>
          <w:lang w:eastAsia="en-AU"/>
        </w:rPr>
        <w:t>The proposed fee for NT-</w:t>
      </w:r>
      <w:proofErr w:type="spellStart"/>
      <w:r w:rsidRPr="00A00566">
        <w:rPr>
          <w:rFonts w:eastAsia="Times New Roman" w:cs="Times New Roman"/>
          <w:color w:val="000000"/>
          <w:szCs w:val="20"/>
          <w:lang w:eastAsia="en-AU"/>
        </w:rPr>
        <w:t>proBNP</w:t>
      </w:r>
      <w:proofErr w:type="spellEnd"/>
      <w:r w:rsidRPr="00A00566">
        <w:rPr>
          <w:rFonts w:eastAsia="Times New Roman" w:cs="Times New Roman"/>
          <w:color w:val="000000"/>
          <w:szCs w:val="20"/>
          <w:lang w:eastAsia="en-AU"/>
        </w:rPr>
        <w:t xml:space="preserve"> of $58.50 (100% fee) remains unchanged from the first submission. This fee is consistent with the existing MBS item 66830 fee that uses this test. ESC noted that the proposed item descriptor is unchanged compared to the proposed item descriptor presented in the ratified PICO and the original submission except for the deletion of the word “ongoing” as this was considered superfluous by the applicant. ESC considered that inclusion or omission of the word </w:t>
      </w:r>
      <w:r>
        <w:rPr>
          <w:rFonts w:eastAsia="Times New Roman" w:cs="Times New Roman"/>
          <w:color w:val="000000"/>
          <w:szCs w:val="20"/>
          <w:lang w:eastAsia="en-AU"/>
        </w:rPr>
        <w:t xml:space="preserve">did not </w:t>
      </w:r>
      <w:r w:rsidRPr="00A00566">
        <w:rPr>
          <w:rFonts w:eastAsia="Times New Roman" w:cs="Times New Roman"/>
          <w:color w:val="000000"/>
          <w:szCs w:val="20"/>
          <w:lang w:eastAsia="en-AU"/>
        </w:rPr>
        <w:t>ma</w:t>
      </w:r>
      <w:r>
        <w:rPr>
          <w:rFonts w:eastAsia="Times New Roman" w:cs="Times New Roman"/>
          <w:color w:val="000000"/>
          <w:szCs w:val="20"/>
          <w:lang w:eastAsia="en-AU"/>
        </w:rPr>
        <w:t>k</w:t>
      </w:r>
      <w:r w:rsidRPr="00A00566">
        <w:rPr>
          <w:rFonts w:eastAsia="Times New Roman" w:cs="Times New Roman"/>
          <w:color w:val="000000"/>
          <w:szCs w:val="20"/>
          <w:lang w:eastAsia="en-AU"/>
        </w:rPr>
        <w:t>e a material difference.</w:t>
      </w:r>
    </w:p>
    <w:p w14:paraId="1D03D061" w14:textId="77777777" w:rsidR="00840EF5" w:rsidRPr="00A00566" w:rsidRDefault="00840EF5" w:rsidP="00840EF5">
      <w:pPr>
        <w:spacing w:before="0" w:after="240" w:line="240" w:lineRule="auto"/>
        <w:rPr>
          <w:rFonts w:eastAsia="Times New Roman" w:cs="Times New Roman"/>
          <w:color w:val="000000"/>
          <w:szCs w:val="20"/>
          <w:lang w:eastAsia="en-AU"/>
        </w:rPr>
      </w:pPr>
      <w:r w:rsidRPr="00A00566">
        <w:rPr>
          <w:rFonts w:eastAsia="Times New Roman" w:cs="Times New Roman"/>
          <w:color w:val="000000"/>
          <w:szCs w:val="20"/>
          <w:lang w:eastAsia="en-AU"/>
        </w:rPr>
        <w:t>ESC noted that in its advice under MSAC Application 1689, MSAC advised that the supported item for NT-</w:t>
      </w:r>
      <w:proofErr w:type="spellStart"/>
      <w:r w:rsidRPr="00A00566">
        <w:rPr>
          <w:rFonts w:eastAsia="Times New Roman" w:cs="Times New Roman"/>
          <w:color w:val="000000"/>
          <w:szCs w:val="20"/>
          <w:lang w:eastAsia="en-AU"/>
        </w:rPr>
        <w:t>proBNP</w:t>
      </w:r>
      <w:proofErr w:type="spellEnd"/>
      <w:r w:rsidRPr="00A00566">
        <w:rPr>
          <w:rFonts w:eastAsia="Times New Roman" w:cs="Times New Roman"/>
          <w:color w:val="000000"/>
          <w:szCs w:val="20"/>
          <w:lang w:eastAsia="en-AU"/>
        </w:rPr>
        <w:t xml:space="preserve"> testing in patients with systemic sclerosis should be requested by a specialist, or by a medical practitioner in consultation with a specialist. ESC </w:t>
      </w:r>
      <w:r>
        <w:rPr>
          <w:rFonts w:eastAsia="Times New Roman" w:cs="Times New Roman"/>
          <w:color w:val="000000"/>
          <w:szCs w:val="20"/>
          <w:lang w:eastAsia="en-AU"/>
        </w:rPr>
        <w:t>considered</w:t>
      </w:r>
      <w:r w:rsidRPr="00A00566">
        <w:rPr>
          <w:rFonts w:eastAsia="Times New Roman" w:cs="Times New Roman"/>
          <w:color w:val="000000"/>
          <w:szCs w:val="20"/>
          <w:lang w:eastAsia="en-AU"/>
        </w:rPr>
        <w:t xml:space="preserve"> that </w:t>
      </w:r>
      <w:r>
        <w:rPr>
          <w:rFonts w:eastAsia="Times New Roman" w:cs="Times New Roman"/>
          <w:color w:val="000000"/>
          <w:szCs w:val="20"/>
          <w:lang w:eastAsia="en-AU"/>
        </w:rPr>
        <w:t>both</w:t>
      </w:r>
      <w:r w:rsidRPr="00A00566">
        <w:rPr>
          <w:rFonts w:eastAsia="Times New Roman" w:cs="Times New Roman"/>
          <w:color w:val="000000"/>
          <w:szCs w:val="20"/>
          <w:lang w:eastAsia="en-AU"/>
        </w:rPr>
        <w:t xml:space="preserve"> general practitioner</w:t>
      </w:r>
      <w:r>
        <w:rPr>
          <w:rFonts w:eastAsia="Times New Roman" w:cs="Times New Roman"/>
          <w:color w:val="000000"/>
          <w:szCs w:val="20"/>
          <w:lang w:eastAsia="en-AU"/>
        </w:rPr>
        <w:t>s and specialists</w:t>
      </w:r>
      <w:r w:rsidRPr="00A00566">
        <w:rPr>
          <w:rFonts w:eastAsia="Times New Roman" w:cs="Times New Roman"/>
          <w:color w:val="000000"/>
          <w:szCs w:val="20"/>
          <w:lang w:eastAsia="en-AU"/>
        </w:rPr>
        <w:t xml:space="preserve"> should be </w:t>
      </w:r>
      <w:r>
        <w:rPr>
          <w:rFonts w:eastAsia="Times New Roman" w:cs="Times New Roman"/>
          <w:color w:val="000000"/>
          <w:szCs w:val="20"/>
          <w:lang w:eastAsia="en-AU"/>
        </w:rPr>
        <w:t xml:space="preserve">able </w:t>
      </w:r>
      <w:r w:rsidRPr="00A00566">
        <w:rPr>
          <w:rFonts w:eastAsia="Times New Roman" w:cs="Times New Roman"/>
          <w:color w:val="000000"/>
          <w:szCs w:val="20"/>
          <w:lang w:eastAsia="en-AU"/>
        </w:rPr>
        <w:t>to request th</w:t>
      </w:r>
      <w:r>
        <w:rPr>
          <w:rFonts w:eastAsia="Times New Roman" w:cs="Times New Roman"/>
          <w:color w:val="000000"/>
          <w:szCs w:val="20"/>
          <w:lang w:eastAsia="en-AU"/>
        </w:rPr>
        <w:t>e</w:t>
      </w:r>
      <w:r w:rsidRPr="00A00566">
        <w:rPr>
          <w:rFonts w:eastAsia="Times New Roman" w:cs="Times New Roman"/>
          <w:color w:val="000000"/>
          <w:szCs w:val="20"/>
          <w:lang w:eastAsia="en-AU"/>
        </w:rPr>
        <w:t xml:space="preserve"> test </w:t>
      </w:r>
      <w:r>
        <w:rPr>
          <w:rFonts w:eastAsia="Times New Roman" w:cs="Times New Roman"/>
          <w:color w:val="000000"/>
          <w:szCs w:val="20"/>
          <w:lang w:eastAsia="en-AU"/>
        </w:rPr>
        <w:t>for patients diagnosed with PAH</w:t>
      </w:r>
      <w:r w:rsidRPr="00A00566">
        <w:rPr>
          <w:rFonts w:eastAsia="Times New Roman" w:cs="Times New Roman"/>
          <w:color w:val="000000"/>
          <w:szCs w:val="20"/>
          <w:lang w:eastAsia="en-AU"/>
        </w:rPr>
        <w:t xml:space="preserve"> and there was little risk of leakage due to this.</w:t>
      </w:r>
      <w:r>
        <w:rPr>
          <w:rFonts w:eastAsia="Times New Roman" w:cs="Times New Roman"/>
          <w:color w:val="000000"/>
          <w:szCs w:val="20"/>
          <w:lang w:eastAsia="en-AU"/>
        </w:rPr>
        <w:t xml:space="preserve"> </w:t>
      </w:r>
    </w:p>
    <w:p w14:paraId="365DCB11" w14:textId="77777777" w:rsidR="00840EF5" w:rsidRPr="00A00566" w:rsidRDefault="00840EF5" w:rsidP="00840EF5">
      <w:pPr>
        <w:spacing w:before="0" w:after="240" w:line="240" w:lineRule="auto"/>
        <w:rPr>
          <w:rFonts w:eastAsia="Times New Roman" w:cs="Times New Roman"/>
          <w:color w:val="000000"/>
          <w:szCs w:val="20"/>
          <w:lang w:eastAsia="en-AU"/>
        </w:rPr>
      </w:pPr>
      <w:r w:rsidRPr="00A00566">
        <w:rPr>
          <w:rFonts w:eastAsia="Times New Roman" w:cs="Times New Roman"/>
          <w:color w:val="000000"/>
          <w:szCs w:val="20"/>
          <w:lang w:eastAsia="en-AU"/>
        </w:rPr>
        <w:lastRenderedPageBreak/>
        <w:t xml:space="preserve">ESC noted that the proposed MBS item descriptor supports testing up to four times per year. </w:t>
      </w:r>
      <w:r>
        <w:rPr>
          <w:rFonts w:eastAsia="Times New Roman" w:cs="Times New Roman"/>
          <w:color w:val="000000"/>
          <w:szCs w:val="20"/>
          <w:lang w:eastAsia="en-AU"/>
        </w:rPr>
        <w:t xml:space="preserve"> </w:t>
      </w:r>
      <w:r w:rsidRPr="00A00566">
        <w:rPr>
          <w:rFonts w:eastAsia="Times New Roman" w:cs="Times New Roman"/>
          <w:color w:val="000000"/>
          <w:szCs w:val="20"/>
          <w:lang w:eastAsia="en-AU"/>
        </w:rPr>
        <w:t xml:space="preserve">ESC also noted that </w:t>
      </w:r>
      <w:r>
        <w:rPr>
          <w:rFonts w:eastAsia="Times New Roman" w:cs="Times New Roman"/>
          <w:color w:val="000000"/>
          <w:szCs w:val="20"/>
          <w:lang w:eastAsia="en-AU"/>
        </w:rPr>
        <w:t xml:space="preserve">an </w:t>
      </w:r>
      <w:r w:rsidRPr="00A00566">
        <w:rPr>
          <w:rFonts w:eastAsia="Times New Roman" w:cs="Times New Roman"/>
          <w:color w:val="000000"/>
          <w:szCs w:val="20"/>
          <w:lang w:eastAsia="en-AU"/>
        </w:rPr>
        <w:t>existing similar MBS item 66830 may only be requested up to six times per year for a given patient.</w:t>
      </w:r>
      <w:r>
        <w:rPr>
          <w:rFonts w:eastAsia="Times New Roman" w:cs="Times New Roman"/>
          <w:color w:val="000000"/>
          <w:szCs w:val="20"/>
          <w:lang w:eastAsia="en-AU"/>
        </w:rPr>
        <w:t xml:space="preserve"> ESC noted</w:t>
      </w:r>
      <w:r w:rsidRPr="00A00566">
        <w:rPr>
          <w:rFonts w:eastAsia="Times New Roman" w:cs="Times New Roman"/>
          <w:color w:val="000000"/>
          <w:szCs w:val="20"/>
          <w:lang w:eastAsia="en-AU"/>
        </w:rPr>
        <w:t xml:space="preserve"> </w:t>
      </w:r>
      <w:r>
        <w:rPr>
          <w:rFonts w:eastAsia="Times New Roman" w:cs="Times New Roman"/>
          <w:color w:val="000000"/>
          <w:szCs w:val="20"/>
          <w:lang w:eastAsia="en-AU"/>
        </w:rPr>
        <w:t xml:space="preserve">the proposal to enable testing up to four times a year will </w:t>
      </w:r>
      <w:r w:rsidRPr="00A00566">
        <w:rPr>
          <w:rFonts w:eastAsia="Times New Roman" w:cs="Times New Roman"/>
          <w:color w:val="000000"/>
          <w:szCs w:val="20"/>
          <w:lang w:eastAsia="en-AU"/>
        </w:rPr>
        <w:t>enable clinicians to request NT-</w:t>
      </w:r>
      <w:proofErr w:type="spellStart"/>
      <w:r w:rsidRPr="00A00566">
        <w:rPr>
          <w:rFonts w:eastAsia="Times New Roman" w:cs="Times New Roman"/>
          <w:color w:val="000000"/>
          <w:szCs w:val="20"/>
          <w:lang w:eastAsia="en-AU"/>
        </w:rPr>
        <w:t>proBNP</w:t>
      </w:r>
      <w:proofErr w:type="spellEnd"/>
      <w:r w:rsidRPr="00A00566">
        <w:rPr>
          <w:rFonts w:eastAsia="Times New Roman" w:cs="Times New Roman"/>
          <w:color w:val="000000"/>
          <w:szCs w:val="20"/>
          <w:lang w:eastAsia="en-AU"/>
        </w:rPr>
        <w:t xml:space="preserve"> more frequently in instances of clinical deterioration or concerns</w:t>
      </w:r>
      <w:r>
        <w:rPr>
          <w:rFonts w:eastAsia="Times New Roman" w:cs="Times New Roman"/>
          <w:color w:val="000000"/>
          <w:szCs w:val="20"/>
          <w:lang w:eastAsia="en-AU"/>
        </w:rPr>
        <w:t xml:space="preserve">. </w:t>
      </w:r>
      <w:r w:rsidRPr="00A00566">
        <w:rPr>
          <w:rFonts w:eastAsia="Times New Roman" w:cs="Times New Roman"/>
          <w:color w:val="000000"/>
          <w:szCs w:val="20"/>
          <w:lang w:eastAsia="en-AU"/>
        </w:rPr>
        <w:t xml:space="preserve">ESC considered that </w:t>
      </w:r>
      <w:r>
        <w:rPr>
          <w:rFonts w:eastAsia="Times New Roman" w:cs="Times New Roman"/>
          <w:color w:val="000000"/>
          <w:szCs w:val="20"/>
          <w:lang w:eastAsia="en-AU"/>
        </w:rPr>
        <w:t xml:space="preserve">despite </w:t>
      </w:r>
      <w:r w:rsidRPr="00A00566">
        <w:rPr>
          <w:rFonts w:eastAsia="Times New Roman" w:cs="Times New Roman"/>
          <w:color w:val="000000"/>
          <w:szCs w:val="20"/>
          <w:lang w:eastAsia="en-AU"/>
        </w:rPr>
        <w:t>risk of</w:t>
      </w:r>
      <w:r>
        <w:rPr>
          <w:rFonts w:eastAsia="Times New Roman" w:cs="Times New Roman"/>
          <w:color w:val="000000"/>
          <w:szCs w:val="20"/>
          <w:lang w:eastAsia="en-AU"/>
        </w:rPr>
        <w:t xml:space="preserve"> leakage, a frequency of four times a times may be appropriate if both GPs and specialist are able to request.</w:t>
      </w:r>
      <w:r w:rsidRPr="00A00566">
        <w:rPr>
          <w:rFonts w:eastAsia="Times New Roman" w:cs="Times New Roman"/>
          <w:color w:val="000000"/>
          <w:szCs w:val="20"/>
          <w:lang w:eastAsia="en-AU"/>
        </w:rPr>
        <w:t xml:space="preserve"> </w:t>
      </w:r>
      <w:r>
        <w:rPr>
          <w:rFonts w:eastAsia="Times New Roman" w:cs="Times New Roman"/>
          <w:color w:val="000000"/>
          <w:szCs w:val="20"/>
          <w:lang w:eastAsia="en-AU"/>
        </w:rPr>
        <w:t xml:space="preserve"> </w:t>
      </w:r>
    </w:p>
    <w:p w14:paraId="47441CFF" w14:textId="77777777" w:rsidR="00840EF5" w:rsidRDefault="00840EF5" w:rsidP="00840EF5">
      <w:pPr>
        <w:spacing w:before="0" w:after="240" w:line="240" w:lineRule="auto"/>
        <w:rPr>
          <w:rFonts w:eastAsia="Times New Roman" w:cs="Times New Roman"/>
          <w:color w:val="000000"/>
          <w:szCs w:val="20"/>
          <w:lang w:eastAsia="en-AU"/>
        </w:rPr>
      </w:pPr>
      <w:r w:rsidRPr="00A00566">
        <w:rPr>
          <w:rFonts w:eastAsia="Times New Roman" w:cs="Times New Roman"/>
          <w:color w:val="000000"/>
          <w:szCs w:val="20"/>
          <w:lang w:eastAsia="en-AU"/>
        </w:rPr>
        <w:t xml:space="preserve">ESC </w:t>
      </w:r>
      <w:r>
        <w:rPr>
          <w:rFonts w:eastAsia="Times New Roman" w:cs="Times New Roman"/>
          <w:color w:val="000000"/>
          <w:szCs w:val="20"/>
          <w:lang w:eastAsia="en-AU"/>
        </w:rPr>
        <w:t>agreed with the commentary</w:t>
      </w:r>
      <w:r w:rsidRPr="00A00566">
        <w:rPr>
          <w:rFonts w:eastAsia="Times New Roman" w:cs="Times New Roman"/>
          <w:color w:val="000000"/>
          <w:szCs w:val="20"/>
          <w:lang w:eastAsia="en-AU"/>
        </w:rPr>
        <w:t xml:space="preserve"> that the 4-stratum risk assessment tool is not designed to use TTE instead of NT-</w:t>
      </w:r>
      <w:proofErr w:type="spellStart"/>
      <w:r w:rsidRPr="00A00566">
        <w:rPr>
          <w:rFonts w:eastAsia="Times New Roman" w:cs="Times New Roman"/>
          <w:color w:val="000000"/>
          <w:szCs w:val="20"/>
          <w:lang w:eastAsia="en-AU"/>
        </w:rPr>
        <w:t>proBNP</w:t>
      </w:r>
      <w:proofErr w:type="spellEnd"/>
      <w:r w:rsidRPr="00A00566">
        <w:rPr>
          <w:rFonts w:eastAsia="Times New Roman" w:cs="Times New Roman"/>
          <w:color w:val="000000"/>
          <w:szCs w:val="20"/>
          <w:lang w:eastAsia="en-AU"/>
        </w:rPr>
        <w:t xml:space="preserve">, as appropriate cut-offs have not been established. Therefore, the current treatment algorithm </w:t>
      </w:r>
      <w:r>
        <w:rPr>
          <w:rFonts w:eastAsia="Times New Roman" w:cs="Times New Roman"/>
          <w:color w:val="000000"/>
          <w:szCs w:val="20"/>
          <w:lang w:eastAsia="en-AU"/>
        </w:rPr>
        <w:t xml:space="preserve">presented in the ADAR which incorporates the </w:t>
      </w:r>
      <w:r w:rsidRPr="00A00566">
        <w:rPr>
          <w:rFonts w:eastAsia="Times New Roman" w:cs="Times New Roman"/>
          <w:color w:val="000000"/>
          <w:szCs w:val="20"/>
          <w:lang w:eastAsia="en-AU"/>
        </w:rPr>
        <w:t>4-stratum risk classification tool</w:t>
      </w:r>
      <w:r>
        <w:rPr>
          <w:rFonts w:eastAsia="Times New Roman" w:cs="Times New Roman"/>
          <w:color w:val="000000"/>
          <w:szCs w:val="20"/>
          <w:lang w:eastAsia="en-AU"/>
        </w:rPr>
        <w:t xml:space="preserve"> </w:t>
      </w:r>
      <w:r w:rsidRPr="00A00566">
        <w:rPr>
          <w:rFonts w:eastAsia="Times New Roman" w:cs="Times New Roman"/>
          <w:color w:val="000000"/>
          <w:szCs w:val="20"/>
          <w:lang w:eastAsia="en-AU"/>
        </w:rPr>
        <w:t xml:space="preserve">should be amended to be based on a 3-stratum model that includes TTE. ESC noted </w:t>
      </w:r>
      <w:r>
        <w:rPr>
          <w:rFonts w:eastAsia="Times New Roman" w:cs="Times New Roman"/>
          <w:color w:val="000000"/>
          <w:szCs w:val="20"/>
          <w:lang w:eastAsia="en-AU"/>
        </w:rPr>
        <w:t xml:space="preserve">the </w:t>
      </w:r>
      <w:r w:rsidRPr="00A00566">
        <w:rPr>
          <w:rFonts w:eastAsia="Times New Roman" w:cs="Times New Roman"/>
          <w:color w:val="000000"/>
          <w:szCs w:val="20"/>
          <w:lang w:eastAsia="en-AU"/>
        </w:rPr>
        <w:t xml:space="preserve">pre-ESC response </w:t>
      </w:r>
      <w:r>
        <w:rPr>
          <w:rFonts w:eastAsia="Times New Roman" w:cs="Times New Roman"/>
          <w:color w:val="000000"/>
          <w:szCs w:val="20"/>
          <w:lang w:eastAsia="en-AU"/>
        </w:rPr>
        <w:t>from</w:t>
      </w:r>
      <w:r w:rsidRPr="00A00566">
        <w:rPr>
          <w:rFonts w:eastAsia="Times New Roman" w:cs="Times New Roman"/>
          <w:color w:val="000000"/>
          <w:szCs w:val="20"/>
          <w:lang w:eastAsia="en-AU"/>
        </w:rPr>
        <w:t xml:space="preserve"> the applicant accept</w:t>
      </w:r>
      <w:r>
        <w:rPr>
          <w:rFonts w:eastAsia="Times New Roman" w:cs="Times New Roman"/>
          <w:color w:val="000000"/>
          <w:szCs w:val="20"/>
          <w:lang w:eastAsia="en-AU"/>
        </w:rPr>
        <w:t>ing</w:t>
      </w:r>
      <w:r w:rsidRPr="00A00566">
        <w:rPr>
          <w:rFonts w:eastAsia="Times New Roman" w:cs="Times New Roman"/>
          <w:color w:val="000000"/>
          <w:szCs w:val="20"/>
          <w:lang w:eastAsia="en-AU"/>
        </w:rPr>
        <w:t xml:space="preserve"> the commentary’s proposal that it would be more appropriate to maintain the 3-stratum risk classification tool with TTE testing in the current clinical management algorithm, as was proposed in the previous MSAC application 1689.</w:t>
      </w:r>
    </w:p>
    <w:p w14:paraId="1B1949F7" w14:textId="77777777" w:rsidR="00840EF5" w:rsidRDefault="00840EF5" w:rsidP="00840EF5">
      <w:pPr>
        <w:spacing w:before="0" w:after="240" w:line="240" w:lineRule="auto"/>
        <w:rPr>
          <w:rFonts w:eastAsia="Times New Roman" w:cs="Times New Roman"/>
          <w:color w:val="000000"/>
          <w:szCs w:val="20"/>
          <w:lang w:eastAsia="en-AU"/>
        </w:rPr>
      </w:pPr>
      <w:r w:rsidRPr="00A00566">
        <w:rPr>
          <w:rFonts w:eastAsia="Times New Roman" w:cs="Times New Roman"/>
          <w:color w:val="000000"/>
          <w:szCs w:val="20"/>
          <w:lang w:eastAsia="en-AU"/>
        </w:rPr>
        <w:t>ESC noted that the NT-</w:t>
      </w:r>
      <w:proofErr w:type="spellStart"/>
      <w:r w:rsidRPr="00A00566">
        <w:rPr>
          <w:rFonts w:eastAsia="Times New Roman" w:cs="Times New Roman"/>
          <w:color w:val="000000"/>
          <w:szCs w:val="20"/>
          <w:lang w:eastAsia="en-AU"/>
        </w:rPr>
        <w:t>proBNP</w:t>
      </w:r>
      <w:proofErr w:type="spellEnd"/>
      <w:r w:rsidRPr="00A00566">
        <w:rPr>
          <w:rFonts w:eastAsia="Times New Roman" w:cs="Times New Roman"/>
          <w:color w:val="000000"/>
          <w:szCs w:val="20"/>
          <w:lang w:eastAsia="en-AU"/>
        </w:rPr>
        <w:t xml:space="preserve"> test and TTE were </w:t>
      </w:r>
      <w:r>
        <w:rPr>
          <w:rFonts w:eastAsia="Times New Roman" w:cs="Times New Roman"/>
          <w:color w:val="000000"/>
          <w:szCs w:val="20"/>
          <w:lang w:eastAsia="en-AU"/>
        </w:rPr>
        <w:t xml:space="preserve">previously </w:t>
      </w:r>
      <w:r w:rsidRPr="00A00566">
        <w:rPr>
          <w:rFonts w:eastAsia="Times New Roman" w:cs="Times New Roman"/>
          <w:color w:val="000000"/>
          <w:szCs w:val="20"/>
          <w:lang w:eastAsia="en-AU"/>
        </w:rPr>
        <w:t>considered by MSAC to be safe procedures</w:t>
      </w:r>
      <w:r>
        <w:rPr>
          <w:rFonts w:eastAsia="Times New Roman" w:cs="Times New Roman"/>
          <w:color w:val="000000"/>
          <w:szCs w:val="20"/>
          <w:lang w:eastAsia="en-AU"/>
        </w:rPr>
        <w:t xml:space="preserve">, </w:t>
      </w:r>
      <w:r w:rsidRPr="00A00566">
        <w:rPr>
          <w:rFonts w:eastAsia="Times New Roman" w:cs="Times New Roman"/>
          <w:color w:val="000000"/>
          <w:szCs w:val="20"/>
          <w:lang w:eastAsia="en-AU"/>
        </w:rPr>
        <w:t>whether used as part of a risk classification tool or not. ESC noted that safety was not further discussed in the resubmitted ADAR.</w:t>
      </w:r>
    </w:p>
    <w:p w14:paraId="34374EB7" w14:textId="0006D36C" w:rsidR="00840EF5" w:rsidRDefault="00840EF5" w:rsidP="00840EF5">
      <w:pPr>
        <w:spacing w:before="0" w:after="240" w:line="240" w:lineRule="auto"/>
        <w:rPr>
          <w:rFonts w:eastAsia="Times New Roman" w:cs="Times New Roman"/>
          <w:color w:val="000000"/>
          <w:szCs w:val="20"/>
          <w:lang w:eastAsia="en-AU"/>
        </w:rPr>
      </w:pPr>
      <w:r w:rsidRPr="00A00566">
        <w:rPr>
          <w:rFonts w:eastAsia="Times New Roman" w:cs="Times New Roman"/>
          <w:color w:val="000000"/>
          <w:szCs w:val="20"/>
          <w:lang w:eastAsia="en-AU"/>
        </w:rPr>
        <w:t>ESC noted that an evaluation of the clinical effectiveness of the 4-stratum tool compared with other 3-stratum tools was undertaken by the commentary to ensure that the 4-stratum model is non-inferior to the proposed risk classification tool, the 3-stratum REVEAL Lite 2, which was evaluated in the previous ADAR.</w:t>
      </w:r>
      <w:r w:rsidRPr="00F67629">
        <w:t xml:space="preserve"> </w:t>
      </w:r>
      <w:r>
        <w:rPr>
          <w:rFonts w:eastAsia="Times New Roman" w:cs="Times New Roman"/>
          <w:color w:val="000000"/>
          <w:szCs w:val="20"/>
          <w:lang w:eastAsia="en-AU"/>
        </w:rPr>
        <w:t xml:space="preserve">The ADAR identified 4 new primary studies and 2 new </w:t>
      </w:r>
      <w:r w:rsidRPr="000D6686">
        <w:rPr>
          <w:rFonts w:eastAsia="Times New Roman" w:cs="Times New Roman"/>
          <w:color w:val="000000"/>
          <w:szCs w:val="20"/>
          <w:lang w:eastAsia="en-AU"/>
        </w:rPr>
        <w:t>systematic reviews/meta-analyses</w:t>
      </w:r>
      <w:r>
        <w:rPr>
          <w:rFonts w:eastAsia="Times New Roman" w:cs="Times New Roman"/>
          <w:color w:val="000000"/>
          <w:szCs w:val="20"/>
          <w:lang w:eastAsia="en-AU"/>
        </w:rPr>
        <w:t xml:space="preserve">. ESC noted the commentary’s assessment that neither of the systematic reviews </w:t>
      </w:r>
      <w:r w:rsidRPr="00AF7540">
        <w:rPr>
          <w:rFonts w:eastAsia="Times New Roman" w:cs="Times New Roman"/>
          <w:color w:val="000000"/>
          <w:szCs w:val="20"/>
          <w:lang w:eastAsia="en-AU"/>
        </w:rPr>
        <w:t>evaluate</w:t>
      </w:r>
      <w:r>
        <w:rPr>
          <w:rFonts w:eastAsia="Times New Roman" w:cs="Times New Roman"/>
          <w:color w:val="000000"/>
          <w:szCs w:val="20"/>
          <w:lang w:eastAsia="en-AU"/>
        </w:rPr>
        <w:t>d</w:t>
      </w:r>
      <w:r w:rsidRPr="00AF7540">
        <w:rPr>
          <w:rFonts w:eastAsia="Times New Roman" w:cs="Times New Roman"/>
          <w:color w:val="000000"/>
          <w:szCs w:val="20"/>
          <w:lang w:eastAsia="en-AU"/>
        </w:rPr>
        <w:t xml:space="preserve"> NT-</w:t>
      </w:r>
      <w:proofErr w:type="spellStart"/>
      <w:r w:rsidRPr="00AF7540">
        <w:rPr>
          <w:rFonts w:eastAsia="Times New Roman" w:cs="Times New Roman"/>
          <w:color w:val="000000"/>
          <w:szCs w:val="20"/>
          <w:lang w:eastAsia="en-AU"/>
        </w:rPr>
        <w:t>proBNP</w:t>
      </w:r>
      <w:proofErr w:type="spellEnd"/>
      <w:r w:rsidRPr="00AF7540">
        <w:rPr>
          <w:rFonts w:eastAsia="Times New Roman" w:cs="Times New Roman"/>
          <w:color w:val="000000"/>
          <w:szCs w:val="20"/>
          <w:lang w:eastAsia="en-AU"/>
        </w:rPr>
        <w:t xml:space="preserve"> levels within the context of being part of an assessment tool</w:t>
      </w:r>
      <w:r>
        <w:rPr>
          <w:rFonts w:eastAsia="Times New Roman" w:cs="Times New Roman"/>
          <w:color w:val="000000"/>
          <w:szCs w:val="20"/>
          <w:lang w:eastAsia="en-AU"/>
        </w:rPr>
        <w:t>, although one m</w:t>
      </w:r>
      <w:r w:rsidRPr="0043764D">
        <w:rPr>
          <w:rFonts w:eastAsia="Times New Roman" w:cs="Times New Roman"/>
          <w:color w:val="000000"/>
          <w:szCs w:val="20"/>
          <w:lang w:eastAsia="en-AU"/>
        </w:rPr>
        <w:t>eta-analysis showed that NT-</w:t>
      </w:r>
      <w:proofErr w:type="spellStart"/>
      <w:r w:rsidRPr="0043764D">
        <w:rPr>
          <w:rFonts w:eastAsia="Times New Roman" w:cs="Times New Roman"/>
          <w:color w:val="000000"/>
          <w:szCs w:val="20"/>
          <w:lang w:eastAsia="en-AU"/>
        </w:rPr>
        <w:t>proBNP</w:t>
      </w:r>
      <w:proofErr w:type="spellEnd"/>
      <w:r w:rsidRPr="0043764D">
        <w:rPr>
          <w:rFonts w:eastAsia="Times New Roman" w:cs="Times New Roman"/>
          <w:color w:val="000000"/>
          <w:szCs w:val="20"/>
          <w:lang w:eastAsia="en-AU"/>
        </w:rPr>
        <w:t xml:space="preserve"> levels in patients with PAH were significantly higher compared to the levels in controls</w:t>
      </w:r>
      <w:r>
        <w:rPr>
          <w:rFonts w:eastAsia="Times New Roman" w:cs="Times New Roman"/>
          <w:color w:val="000000"/>
          <w:szCs w:val="20"/>
          <w:lang w:eastAsia="en-AU"/>
        </w:rPr>
        <w:t xml:space="preserve"> (i.e. high cross-sectional accuracy). The other meta-analysis showed that </w:t>
      </w:r>
      <w:r w:rsidRPr="005C50CE">
        <w:rPr>
          <w:rFonts w:eastAsia="Times New Roman" w:cs="Times New Roman"/>
          <w:color w:val="000000"/>
          <w:szCs w:val="20"/>
          <w:lang w:eastAsia="en-AU"/>
        </w:rPr>
        <w:t>higher NT-</w:t>
      </w:r>
      <w:proofErr w:type="spellStart"/>
      <w:r w:rsidRPr="005C50CE">
        <w:rPr>
          <w:rFonts w:eastAsia="Times New Roman" w:cs="Times New Roman"/>
          <w:color w:val="000000"/>
          <w:szCs w:val="20"/>
          <w:lang w:eastAsia="en-AU"/>
        </w:rPr>
        <w:t>proBNP</w:t>
      </w:r>
      <w:proofErr w:type="spellEnd"/>
      <w:r w:rsidRPr="005C50CE">
        <w:rPr>
          <w:rFonts w:eastAsia="Times New Roman" w:cs="Times New Roman"/>
          <w:color w:val="000000"/>
          <w:szCs w:val="20"/>
          <w:lang w:eastAsia="en-AU"/>
        </w:rPr>
        <w:t xml:space="preserve"> levels in patients with PAH </w:t>
      </w:r>
      <w:r>
        <w:rPr>
          <w:rFonts w:eastAsia="Times New Roman" w:cs="Times New Roman"/>
          <w:color w:val="000000"/>
          <w:szCs w:val="20"/>
          <w:lang w:eastAsia="en-AU"/>
        </w:rPr>
        <w:t xml:space="preserve">were associated with a statistically significant </w:t>
      </w:r>
      <w:r w:rsidRPr="005C50CE">
        <w:rPr>
          <w:rFonts w:eastAsia="Times New Roman" w:cs="Times New Roman"/>
          <w:color w:val="000000"/>
          <w:szCs w:val="20"/>
          <w:lang w:eastAsia="en-AU"/>
        </w:rPr>
        <w:t>increased risk of mortality compared to those with lower levels</w:t>
      </w:r>
      <w:r>
        <w:rPr>
          <w:rFonts w:eastAsia="Times New Roman" w:cs="Times New Roman"/>
          <w:color w:val="000000"/>
          <w:szCs w:val="20"/>
          <w:lang w:eastAsia="en-AU"/>
        </w:rPr>
        <w:t xml:space="preserve"> (i.e. high longitudinal accuracy). The findings of the meta-analyses were consistent with the findings in the previous submission. </w:t>
      </w:r>
    </w:p>
    <w:p w14:paraId="48D38EFB" w14:textId="77777777" w:rsidR="00840EF5" w:rsidRDefault="00840EF5" w:rsidP="00840EF5">
      <w:pPr>
        <w:spacing w:before="0" w:after="240" w:line="240" w:lineRule="auto"/>
        <w:rPr>
          <w:rFonts w:eastAsia="Times New Roman" w:cs="Times New Roman"/>
          <w:color w:val="000000"/>
          <w:szCs w:val="20"/>
          <w:lang w:eastAsia="en-AU"/>
        </w:rPr>
      </w:pPr>
      <w:r>
        <w:rPr>
          <w:rFonts w:eastAsia="Times New Roman" w:cs="Times New Roman"/>
          <w:color w:val="000000"/>
          <w:szCs w:val="20"/>
          <w:lang w:eastAsia="en-AU"/>
        </w:rPr>
        <w:t>ESC noted that o</w:t>
      </w:r>
      <w:r w:rsidRPr="00E62559">
        <w:rPr>
          <w:rFonts w:eastAsia="Times New Roman" w:cs="Times New Roman"/>
          <w:color w:val="000000"/>
          <w:szCs w:val="20"/>
          <w:lang w:eastAsia="en-AU"/>
        </w:rPr>
        <w:t>f the four</w:t>
      </w:r>
      <w:r>
        <w:rPr>
          <w:rFonts w:eastAsia="Times New Roman" w:cs="Times New Roman"/>
          <w:color w:val="000000"/>
          <w:szCs w:val="20"/>
          <w:lang w:eastAsia="en-AU"/>
        </w:rPr>
        <w:t xml:space="preserve"> </w:t>
      </w:r>
      <w:r w:rsidRPr="00E62559">
        <w:rPr>
          <w:rFonts w:eastAsia="Times New Roman" w:cs="Times New Roman"/>
          <w:color w:val="000000"/>
          <w:szCs w:val="20"/>
          <w:lang w:eastAsia="en-AU"/>
        </w:rPr>
        <w:t>studies</w:t>
      </w:r>
      <w:r>
        <w:rPr>
          <w:rFonts w:eastAsia="Times New Roman" w:cs="Times New Roman"/>
          <w:color w:val="000000"/>
          <w:szCs w:val="20"/>
          <w:lang w:eastAsia="en-AU"/>
        </w:rPr>
        <w:t xml:space="preserve"> further evaluated by the commentary, </w:t>
      </w:r>
      <w:r w:rsidRPr="00E62559">
        <w:rPr>
          <w:rFonts w:eastAsia="Times New Roman" w:cs="Times New Roman"/>
          <w:color w:val="000000"/>
          <w:szCs w:val="20"/>
          <w:lang w:eastAsia="en-AU"/>
        </w:rPr>
        <w:t>three studies used the same COMPERA pulmonary hypertension registry with similar inclusion criteria to enrol patients</w:t>
      </w:r>
      <w:r>
        <w:rPr>
          <w:rFonts w:eastAsia="Times New Roman" w:cs="Times New Roman"/>
          <w:color w:val="000000"/>
          <w:szCs w:val="20"/>
          <w:lang w:eastAsia="en-AU"/>
        </w:rPr>
        <w:t xml:space="preserve"> and thus the patient populations almost certainly overlap. </w:t>
      </w:r>
      <w:r w:rsidRPr="0059319F">
        <w:rPr>
          <w:rFonts w:eastAsia="Times New Roman" w:cs="Times New Roman"/>
          <w:color w:val="000000"/>
          <w:szCs w:val="20"/>
          <w:lang w:eastAsia="en-AU"/>
        </w:rPr>
        <w:t>Two studies compared the effectiveness of the 4-stratum NT-</w:t>
      </w:r>
      <w:proofErr w:type="spellStart"/>
      <w:r w:rsidRPr="0059319F">
        <w:rPr>
          <w:rFonts w:eastAsia="Times New Roman" w:cs="Times New Roman"/>
          <w:color w:val="000000"/>
          <w:szCs w:val="20"/>
          <w:lang w:eastAsia="en-AU"/>
        </w:rPr>
        <w:t>proBNP</w:t>
      </w:r>
      <w:proofErr w:type="spellEnd"/>
      <w:r w:rsidRPr="0059319F">
        <w:rPr>
          <w:rFonts w:eastAsia="Times New Roman" w:cs="Times New Roman"/>
          <w:color w:val="000000"/>
          <w:szCs w:val="20"/>
          <w:lang w:eastAsia="en-AU"/>
        </w:rPr>
        <w:t>-based model with the 3-stratum model in the 2022 ESC/ERS guidelines, which uses both NT-</w:t>
      </w:r>
      <w:proofErr w:type="spellStart"/>
      <w:r w:rsidRPr="0059319F">
        <w:rPr>
          <w:rFonts w:eastAsia="Times New Roman" w:cs="Times New Roman"/>
          <w:color w:val="000000"/>
          <w:szCs w:val="20"/>
          <w:lang w:eastAsia="en-AU"/>
        </w:rPr>
        <w:t>proBNP</w:t>
      </w:r>
      <w:proofErr w:type="spellEnd"/>
      <w:r w:rsidRPr="0059319F">
        <w:rPr>
          <w:rFonts w:eastAsia="Times New Roman" w:cs="Times New Roman"/>
          <w:color w:val="000000"/>
          <w:szCs w:val="20"/>
          <w:lang w:eastAsia="en-AU"/>
        </w:rPr>
        <w:t xml:space="preserve"> levels and TTE parameters, in predicting death</w:t>
      </w:r>
      <w:r>
        <w:rPr>
          <w:rFonts w:eastAsia="Times New Roman" w:cs="Times New Roman"/>
          <w:color w:val="000000"/>
          <w:szCs w:val="20"/>
          <w:lang w:eastAsia="en-AU"/>
        </w:rPr>
        <w:t>. ESC noted that one of these studies (</w:t>
      </w:r>
      <w:proofErr w:type="spellStart"/>
      <w:r>
        <w:rPr>
          <w:rFonts w:eastAsia="Times New Roman" w:cs="Times New Roman"/>
          <w:color w:val="000000"/>
          <w:szCs w:val="20"/>
          <w:lang w:eastAsia="en-AU"/>
        </w:rPr>
        <w:t>Rosenkrantz</w:t>
      </w:r>
      <w:proofErr w:type="spellEnd"/>
      <w:r>
        <w:rPr>
          <w:rFonts w:eastAsia="Times New Roman" w:cs="Times New Roman"/>
          <w:color w:val="000000"/>
          <w:szCs w:val="20"/>
          <w:lang w:eastAsia="en-AU"/>
        </w:rPr>
        <w:t xml:space="preserve"> 2023)</w:t>
      </w:r>
      <w:r>
        <w:rPr>
          <w:rStyle w:val="FootnoteReference"/>
          <w:rFonts w:eastAsia="Times New Roman" w:cs="Times New Roman"/>
          <w:color w:val="000000"/>
          <w:szCs w:val="20"/>
          <w:lang w:eastAsia="en-AU"/>
        </w:rPr>
        <w:footnoteReference w:id="7"/>
      </w:r>
      <w:r>
        <w:rPr>
          <w:rFonts w:eastAsia="Times New Roman" w:cs="Times New Roman"/>
          <w:color w:val="000000"/>
          <w:szCs w:val="20"/>
          <w:lang w:eastAsia="en-AU"/>
        </w:rPr>
        <w:t xml:space="preserve"> </w:t>
      </w:r>
      <w:r w:rsidRPr="00D34E7E">
        <w:rPr>
          <w:rFonts w:eastAsia="Times New Roman" w:cs="Times New Roman"/>
          <w:color w:val="000000"/>
          <w:szCs w:val="20"/>
          <w:lang w:eastAsia="en-AU"/>
        </w:rPr>
        <w:t>reported that the 4-stratum risk tool predicted mortality outcomes in patients with IPAH irrespective of the presence of comorbidities</w:t>
      </w:r>
      <w:r>
        <w:rPr>
          <w:rFonts w:eastAsia="Times New Roman" w:cs="Times New Roman"/>
          <w:color w:val="000000"/>
          <w:szCs w:val="20"/>
          <w:lang w:eastAsia="en-AU"/>
        </w:rPr>
        <w:t xml:space="preserve">. </w:t>
      </w:r>
    </w:p>
    <w:p w14:paraId="77211E7A" w14:textId="77777777" w:rsidR="00840EF5" w:rsidRPr="00A00566" w:rsidRDefault="00840EF5" w:rsidP="00840EF5">
      <w:pPr>
        <w:spacing w:before="0" w:after="240" w:line="240" w:lineRule="auto"/>
        <w:rPr>
          <w:rFonts w:eastAsia="Times New Roman" w:cs="Times New Roman"/>
          <w:color w:val="000000"/>
          <w:szCs w:val="20"/>
          <w:lang w:eastAsia="en-AU"/>
        </w:rPr>
      </w:pPr>
      <w:r>
        <w:rPr>
          <w:rFonts w:eastAsia="Times New Roman" w:cs="Times New Roman"/>
          <w:color w:val="000000"/>
          <w:szCs w:val="20"/>
          <w:lang w:eastAsia="en-AU"/>
        </w:rPr>
        <w:t>ESC noted that t</w:t>
      </w:r>
      <w:r w:rsidRPr="00E30E49">
        <w:rPr>
          <w:rFonts w:eastAsia="Times New Roman" w:cs="Times New Roman"/>
          <w:color w:val="000000"/>
          <w:szCs w:val="20"/>
          <w:lang w:eastAsia="en-AU"/>
        </w:rPr>
        <w:t>here was no evidence identified either in the ADAR or by the commentary, assessing the extent of any change in management following the use of a risk classification tool that includes NT-</w:t>
      </w:r>
      <w:proofErr w:type="spellStart"/>
      <w:r w:rsidRPr="00E30E49">
        <w:rPr>
          <w:rFonts w:eastAsia="Times New Roman" w:cs="Times New Roman"/>
          <w:color w:val="000000"/>
          <w:szCs w:val="20"/>
          <w:lang w:eastAsia="en-AU"/>
        </w:rPr>
        <w:t>proBNP</w:t>
      </w:r>
      <w:proofErr w:type="spellEnd"/>
      <w:r w:rsidRPr="00E30E49">
        <w:rPr>
          <w:rFonts w:eastAsia="Times New Roman" w:cs="Times New Roman"/>
          <w:color w:val="000000"/>
          <w:szCs w:val="20"/>
          <w:lang w:eastAsia="en-AU"/>
        </w:rPr>
        <w:t xml:space="preserve"> testing compared to a risk classification tool that does not</w:t>
      </w:r>
      <w:r>
        <w:rPr>
          <w:rFonts w:eastAsia="Times New Roman" w:cs="Times New Roman"/>
          <w:color w:val="000000"/>
          <w:szCs w:val="20"/>
          <w:lang w:eastAsia="en-AU"/>
        </w:rPr>
        <w:t xml:space="preserve">; and </w:t>
      </w:r>
      <w:r w:rsidRPr="005E0E32">
        <w:rPr>
          <w:rFonts w:eastAsia="Times New Roman" w:cs="Times New Roman"/>
          <w:color w:val="000000"/>
          <w:szCs w:val="20"/>
          <w:lang w:eastAsia="en-AU"/>
        </w:rPr>
        <w:t xml:space="preserve">no evidence to suggest any differences in </w:t>
      </w:r>
      <w:r>
        <w:rPr>
          <w:rFonts w:eastAsia="Times New Roman" w:cs="Times New Roman"/>
          <w:color w:val="000000"/>
          <w:szCs w:val="20"/>
          <w:lang w:eastAsia="en-AU"/>
        </w:rPr>
        <w:t>c</w:t>
      </w:r>
      <w:r w:rsidRPr="005E0E32">
        <w:rPr>
          <w:rFonts w:eastAsia="Times New Roman" w:cs="Times New Roman"/>
          <w:color w:val="000000"/>
          <w:szCs w:val="20"/>
          <w:lang w:eastAsia="en-AU"/>
        </w:rPr>
        <w:t>hange in management result</w:t>
      </w:r>
      <w:r>
        <w:rPr>
          <w:rFonts w:eastAsia="Times New Roman" w:cs="Times New Roman"/>
          <w:color w:val="000000"/>
          <w:szCs w:val="20"/>
          <w:lang w:eastAsia="en-AU"/>
        </w:rPr>
        <w:t>ing</w:t>
      </w:r>
      <w:r w:rsidRPr="005E0E32">
        <w:rPr>
          <w:rFonts w:eastAsia="Times New Roman" w:cs="Times New Roman"/>
          <w:color w:val="000000"/>
          <w:szCs w:val="20"/>
          <w:lang w:eastAsia="en-AU"/>
        </w:rPr>
        <w:t xml:space="preserve"> from </w:t>
      </w:r>
      <w:r>
        <w:rPr>
          <w:rFonts w:eastAsia="Times New Roman" w:cs="Times New Roman"/>
          <w:color w:val="000000"/>
          <w:szCs w:val="20"/>
          <w:lang w:eastAsia="en-AU"/>
        </w:rPr>
        <w:t xml:space="preserve">use of </w:t>
      </w:r>
      <w:r w:rsidRPr="005E0E32">
        <w:rPr>
          <w:rFonts w:eastAsia="Times New Roman" w:cs="Times New Roman"/>
          <w:color w:val="000000"/>
          <w:szCs w:val="20"/>
          <w:lang w:eastAsia="en-AU"/>
        </w:rPr>
        <w:t>a 4-stratum rather than a 3-stratum NT-</w:t>
      </w:r>
      <w:proofErr w:type="spellStart"/>
      <w:r w:rsidRPr="005E0E32">
        <w:rPr>
          <w:rFonts w:eastAsia="Times New Roman" w:cs="Times New Roman"/>
          <w:color w:val="000000"/>
          <w:szCs w:val="20"/>
          <w:lang w:eastAsia="en-AU"/>
        </w:rPr>
        <w:t>proBNP</w:t>
      </w:r>
      <w:proofErr w:type="spellEnd"/>
      <w:r w:rsidRPr="005E0E32">
        <w:rPr>
          <w:rFonts w:eastAsia="Times New Roman" w:cs="Times New Roman"/>
          <w:color w:val="000000"/>
          <w:szCs w:val="20"/>
          <w:lang w:eastAsia="en-AU"/>
        </w:rPr>
        <w:t>-based risk classification model</w:t>
      </w:r>
      <w:r>
        <w:rPr>
          <w:rFonts w:eastAsia="Times New Roman" w:cs="Times New Roman"/>
          <w:color w:val="000000"/>
          <w:szCs w:val="20"/>
          <w:lang w:eastAsia="en-AU"/>
        </w:rPr>
        <w:t xml:space="preserve">. This is consistent with the MSAC conclusion on the previous submission. Therefore, assessment of clinical effectiveness was focused on test accuracy (i.e. prediction of risk of mortality). </w:t>
      </w:r>
    </w:p>
    <w:p w14:paraId="4C9B32B8" w14:textId="77777777" w:rsidR="00840EF5" w:rsidRDefault="00840EF5" w:rsidP="00840EF5">
      <w:pPr>
        <w:spacing w:before="0" w:after="240" w:line="240" w:lineRule="auto"/>
        <w:rPr>
          <w:rFonts w:eastAsia="Times New Roman" w:cs="Times New Roman"/>
          <w:color w:val="000000"/>
          <w:szCs w:val="20"/>
          <w:lang w:eastAsia="en-AU"/>
        </w:rPr>
      </w:pPr>
      <w:r>
        <w:rPr>
          <w:rFonts w:eastAsia="Times New Roman" w:cs="Times New Roman"/>
          <w:color w:val="000000"/>
          <w:szCs w:val="20"/>
          <w:lang w:eastAsia="en-AU"/>
        </w:rPr>
        <w:t>ESC noted that t</w:t>
      </w:r>
      <w:r w:rsidRPr="00A00566">
        <w:rPr>
          <w:rFonts w:eastAsia="Times New Roman" w:cs="Times New Roman"/>
          <w:color w:val="000000"/>
          <w:szCs w:val="20"/>
          <w:lang w:eastAsia="en-AU"/>
        </w:rPr>
        <w:t>he limited evidence indicates that the proposed 4-stratum risk classification model appears to be at least non-inferior to 3-stratum risk classification tool</w:t>
      </w:r>
      <w:r>
        <w:rPr>
          <w:rFonts w:eastAsia="Times New Roman" w:cs="Times New Roman"/>
          <w:color w:val="000000"/>
          <w:szCs w:val="20"/>
          <w:lang w:eastAsia="en-AU"/>
        </w:rPr>
        <w:t>s also using NT-</w:t>
      </w:r>
      <w:proofErr w:type="spellStart"/>
      <w:r>
        <w:rPr>
          <w:rFonts w:eastAsia="Times New Roman" w:cs="Times New Roman"/>
          <w:color w:val="000000"/>
          <w:szCs w:val="20"/>
          <w:lang w:eastAsia="en-AU"/>
        </w:rPr>
        <w:t>proBNP</w:t>
      </w:r>
      <w:proofErr w:type="spellEnd"/>
      <w:r>
        <w:rPr>
          <w:rFonts w:eastAsia="Times New Roman" w:cs="Times New Roman"/>
          <w:color w:val="000000"/>
          <w:szCs w:val="20"/>
          <w:lang w:eastAsia="en-AU"/>
        </w:rPr>
        <w:t xml:space="preserve"> as a parameter in predicting mortality</w:t>
      </w:r>
      <w:r w:rsidRPr="00A00566">
        <w:rPr>
          <w:rFonts w:eastAsia="Times New Roman" w:cs="Times New Roman"/>
          <w:color w:val="000000"/>
          <w:szCs w:val="20"/>
          <w:lang w:eastAsia="en-AU"/>
        </w:rPr>
        <w:t>.</w:t>
      </w:r>
      <w:r>
        <w:rPr>
          <w:rFonts w:eastAsia="Times New Roman" w:cs="Times New Roman"/>
          <w:color w:val="000000"/>
          <w:szCs w:val="20"/>
          <w:lang w:eastAsia="en-AU"/>
        </w:rPr>
        <w:t xml:space="preserve"> ESC noted that in the previous submission, MSAC </w:t>
      </w:r>
      <w:r>
        <w:rPr>
          <w:rFonts w:eastAsia="Times New Roman" w:cs="Times New Roman"/>
          <w:color w:val="000000"/>
          <w:szCs w:val="20"/>
          <w:lang w:eastAsia="en-AU"/>
        </w:rPr>
        <w:lastRenderedPageBreak/>
        <w:t xml:space="preserve">had already </w:t>
      </w:r>
      <w:r w:rsidRPr="00CD11E1">
        <w:rPr>
          <w:rFonts w:eastAsia="Times New Roman" w:cs="Times New Roman"/>
          <w:color w:val="000000"/>
          <w:szCs w:val="20"/>
          <w:lang w:eastAsia="en-AU"/>
        </w:rPr>
        <w:t>concluded that the 3-stratum REVEAL Lite 2 risk classification tool</w:t>
      </w:r>
      <w:r>
        <w:rPr>
          <w:rFonts w:eastAsia="Times New Roman" w:cs="Times New Roman"/>
          <w:color w:val="000000"/>
          <w:szCs w:val="20"/>
          <w:lang w:eastAsia="en-AU"/>
        </w:rPr>
        <w:t xml:space="preserve"> (using NT-</w:t>
      </w:r>
      <w:proofErr w:type="spellStart"/>
      <w:r>
        <w:rPr>
          <w:rFonts w:eastAsia="Times New Roman" w:cs="Times New Roman"/>
          <w:color w:val="000000"/>
          <w:szCs w:val="20"/>
          <w:lang w:eastAsia="en-AU"/>
        </w:rPr>
        <w:t>proBNP</w:t>
      </w:r>
      <w:proofErr w:type="spellEnd"/>
      <w:r>
        <w:rPr>
          <w:rFonts w:eastAsia="Times New Roman" w:cs="Times New Roman"/>
          <w:color w:val="000000"/>
          <w:szCs w:val="20"/>
          <w:lang w:eastAsia="en-AU"/>
        </w:rPr>
        <w:t>)</w:t>
      </w:r>
      <w:r w:rsidRPr="00CD11E1">
        <w:rPr>
          <w:rFonts w:eastAsia="Times New Roman" w:cs="Times New Roman"/>
          <w:color w:val="000000"/>
          <w:szCs w:val="20"/>
          <w:lang w:eastAsia="en-AU"/>
        </w:rPr>
        <w:t xml:space="preserve"> was non-inferior to 3-stratum risk classification tools using TTE</w:t>
      </w:r>
      <w:r>
        <w:rPr>
          <w:rFonts w:eastAsia="Times New Roman" w:cs="Times New Roman"/>
          <w:color w:val="000000"/>
          <w:szCs w:val="20"/>
          <w:lang w:eastAsia="en-AU"/>
        </w:rPr>
        <w:t xml:space="preserve"> in predicting mortality. Therefore, by </w:t>
      </w:r>
      <w:r w:rsidRPr="008B3F27">
        <w:rPr>
          <w:rFonts w:eastAsia="Times New Roman" w:cs="Times New Roman"/>
          <w:color w:val="000000"/>
          <w:szCs w:val="20"/>
          <w:lang w:eastAsia="en-AU"/>
        </w:rPr>
        <w:t xml:space="preserve">extrapolation </w:t>
      </w:r>
      <w:r>
        <w:rPr>
          <w:rFonts w:eastAsia="Times New Roman" w:cs="Times New Roman"/>
          <w:color w:val="000000"/>
          <w:szCs w:val="20"/>
          <w:lang w:eastAsia="en-AU"/>
        </w:rPr>
        <w:t xml:space="preserve">ESC considered that the evidence indicates that </w:t>
      </w:r>
      <w:r w:rsidRPr="008B3F27">
        <w:rPr>
          <w:rFonts w:eastAsia="Times New Roman" w:cs="Times New Roman"/>
          <w:color w:val="000000"/>
          <w:szCs w:val="20"/>
          <w:lang w:eastAsia="en-AU"/>
        </w:rPr>
        <w:t>the proposed 4-stratum risk classification tool using NT-</w:t>
      </w:r>
      <w:proofErr w:type="spellStart"/>
      <w:r w:rsidRPr="008B3F27">
        <w:rPr>
          <w:rFonts w:eastAsia="Times New Roman" w:cs="Times New Roman"/>
          <w:color w:val="000000"/>
          <w:szCs w:val="20"/>
          <w:lang w:eastAsia="en-AU"/>
        </w:rPr>
        <w:t>proBNP</w:t>
      </w:r>
      <w:proofErr w:type="spellEnd"/>
      <w:r w:rsidRPr="008B3F27">
        <w:rPr>
          <w:rFonts w:eastAsia="Times New Roman" w:cs="Times New Roman"/>
          <w:color w:val="000000"/>
          <w:szCs w:val="20"/>
          <w:lang w:eastAsia="en-AU"/>
        </w:rPr>
        <w:t xml:space="preserve"> as a parameter would be non-inferior to 3-stratum risk classification tools that include TTE and are currently used in Australian clinical practice</w:t>
      </w:r>
      <w:r>
        <w:rPr>
          <w:rFonts w:eastAsia="Times New Roman" w:cs="Times New Roman"/>
          <w:color w:val="000000"/>
          <w:szCs w:val="20"/>
          <w:lang w:eastAsia="en-AU"/>
        </w:rPr>
        <w:t>.</w:t>
      </w:r>
    </w:p>
    <w:p w14:paraId="78F5952E" w14:textId="77777777" w:rsidR="00840EF5" w:rsidRDefault="00840EF5" w:rsidP="00840EF5">
      <w:pPr>
        <w:spacing w:before="0" w:after="240" w:line="240" w:lineRule="auto"/>
        <w:rPr>
          <w:rFonts w:eastAsia="Times New Roman" w:cs="Times New Roman"/>
          <w:color w:val="000000"/>
          <w:szCs w:val="20"/>
          <w:lang w:eastAsia="en-AU"/>
        </w:rPr>
      </w:pPr>
      <w:r>
        <w:rPr>
          <w:rFonts w:eastAsia="Times New Roman" w:cs="Times New Roman"/>
          <w:color w:val="000000"/>
          <w:szCs w:val="20"/>
          <w:lang w:eastAsia="en-AU"/>
        </w:rPr>
        <w:t xml:space="preserve">ESC noted that in terms of impacts on TTE usage, the commentary estimated that the </w:t>
      </w:r>
      <w:r w:rsidRPr="00304B3B">
        <w:rPr>
          <w:rFonts w:eastAsia="Times New Roman" w:cs="Times New Roman"/>
          <w:color w:val="000000"/>
          <w:szCs w:val="20"/>
          <w:lang w:eastAsia="en-AU"/>
        </w:rPr>
        <w:t>proposed 4-stratum risk classification tool would result in a slight (4%) increase in the number of TTEs performed on each reassessment compared to the 3-stratum risk classification tool proposed in the previous ADAR</w:t>
      </w:r>
      <w:r>
        <w:rPr>
          <w:rFonts w:eastAsia="Times New Roman" w:cs="Times New Roman"/>
          <w:color w:val="000000"/>
          <w:szCs w:val="20"/>
          <w:lang w:eastAsia="en-AU"/>
        </w:rPr>
        <w:t>. ESC noted that according to the commentary’s estimates, the</w:t>
      </w:r>
      <w:r w:rsidRPr="00116444">
        <w:rPr>
          <w:rFonts w:eastAsia="Times New Roman" w:cs="Times New Roman"/>
          <w:color w:val="000000"/>
          <w:szCs w:val="20"/>
          <w:lang w:eastAsia="en-AU"/>
        </w:rPr>
        <w:t xml:space="preserve"> use of the NT-</w:t>
      </w:r>
      <w:proofErr w:type="spellStart"/>
      <w:r w:rsidRPr="00116444">
        <w:rPr>
          <w:rFonts w:eastAsia="Times New Roman" w:cs="Times New Roman"/>
          <w:color w:val="000000"/>
          <w:szCs w:val="20"/>
          <w:lang w:eastAsia="en-AU"/>
        </w:rPr>
        <w:t>proBNP</w:t>
      </w:r>
      <w:proofErr w:type="spellEnd"/>
      <w:r w:rsidRPr="00116444">
        <w:rPr>
          <w:rFonts w:eastAsia="Times New Roman" w:cs="Times New Roman"/>
          <w:color w:val="000000"/>
          <w:szCs w:val="20"/>
          <w:lang w:eastAsia="en-AU"/>
        </w:rPr>
        <w:t xml:space="preserve"> test in all patients at every assessment is expected to reduce the use of TTE between annual assessments by 27%</w:t>
      </w:r>
      <w:r>
        <w:rPr>
          <w:rFonts w:eastAsia="Times New Roman" w:cs="Times New Roman"/>
          <w:color w:val="000000"/>
          <w:szCs w:val="20"/>
          <w:lang w:eastAsia="en-AU"/>
        </w:rPr>
        <w:t xml:space="preserve">. </w:t>
      </w:r>
    </w:p>
    <w:p w14:paraId="00690BD6" w14:textId="77777777" w:rsidR="00840EF5" w:rsidRDefault="00840EF5" w:rsidP="00840EF5">
      <w:pPr>
        <w:spacing w:before="0" w:after="240" w:line="240" w:lineRule="auto"/>
        <w:rPr>
          <w:rFonts w:eastAsia="Times New Roman" w:cs="Times New Roman"/>
          <w:color w:val="000000"/>
          <w:szCs w:val="20"/>
          <w:lang w:eastAsia="en-AU"/>
        </w:rPr>
      </w:pPr>
      <w:r w:rsidRPr="00A00566">
        <w:rPr>
          <w:rFonts w:eastAsia="Times New Roman" w:cs="Times New Roman"/>
          <w:color w:val="000000"/>
          <w:szCs w:val="20"/>
          <w:lang w:eastAsia="en-AU"/>
        </w:rPr>
        <w:t xml:space="preserve">ESC noted that the ADAR’s economic evaluation was a cost-minimisation analysis. </w:t>
      </w:r>
      <w:r>
        <w:rPr>
          <w:rFonts w:eastAsia="Times New Roman" w:cs="Times New Roman"/>
          <w:color w:val="000000"/>
          <w:szCs w:val="20"/>
          <w:lang w:eastAsia="en-AU"/>
        </w:rPr>
        <w:t>While</w:t>
      </w:r>
      <w:r w:rsidRPr="00A00566">
        <w:rPr>
          <w:rFonts w:eastAsia="Times New Roman" w:cs="Times New Roman"/>
          <w:color w:val="000000"/>
          <w:szCs w:val="20"/>
          <w:lang w:eastAsia="en-AU"/>
        </w:rPr>
        <w:t xml:space="preserve"> </w:t>
      </w:r>
      <w:r>
        <w:rPr>
          <w:rFonts w:eastAsia="Times New Roman" w:cs="Times New Roman"/>
          <w:color w:val="000000"/>
          <w:szCs w:val="20"/>
          <w:lang w:eastAsia="en-AU"/>
        </w:rPr>
        <w:t xml:space="preserve">the ADAR </w:t>
      </w:r>
      <w:r w:rsidRPr="00A00566">
        <w:rPr>
          <w:rFonts w:eastAsia="Times New Roman" w:cs="Times New Roman"/>
          <w:color w:val="000000"/>
          <w:szCs w:val="20"/>
          <w:lang w:eastAsia="en-AU"/>
        </w:rPr>
        <w:t>did not</w:t>
      </w:r>
      <w:r>
        <w:rPr>
          <w:rFonts w:eastAsia="Times New Roman" w:cs="Times New Roman"/>
          <w:color w:val="000000"/>
          <w:szCs w:val="20"/>
          <w:lang w:eastAsia="en-AU"/>
        </w:rPr>
        <w:t xml:space="preserve"> originally</w:t>
      </w:r>
      <w:r w:rsidRPr="00A00566">
        <w:rPr>
          <w:rFonts w:eastAsia="Times New Roman" w:cs="Times New Roman"/>
          <w:color w:val="000000"/>
          <w:szCs w:val="20"/>
          <w:lang w:eastAsia="en-AU"/>
        </w:rPr>
        <w:t xml:space="preserve"> present claims on the effectiveness and safety of NT-</w:t>
      </w:r>
      <w:proofErr w:type="spellStart"/>
      <w:r w:rsidRPr="00A00566">
        <w:rPr>
          <w:rFonts w:eastAsia="Times New Roman" w:cs="Times New Roman"/>
          <w:color w:val="000000"/>
          <w:szCs w:val="20"/>
          <w:lang w:eastAsia="en-AU"/>
        </w:rPr>
        <w:t>proBNP</w:t>
      </w:r>
      <w:proofErr w:type="spellEnd"/>
      <w:r w:rsidRPr="00A00566">
        <w:rPr>
          <w:rFonts w:eastAsia="Times New Roman" w:cs="Times New Roman"/>
          <w:color w:val="000000"/>
          <w:szCs w:val="20"/>
          <w:lang w:eastAsia="en-AU"/>
        </w:rPr>
        <w:t xml:space="preserve"> testing when used </w:t>
      </w:r>
      <w:r w:rsidRPr="00917CB0">
        <w:rPr>
          <w:rFonts w:eastAsia="Times New Roman" w:cs="Times New Roman"/>
          <w:color w:val="000000"/>
          <w:szCs w:val="20"/>
          <w:lang w:eastAsia="en-AU"/>
        </w:rPr>
        <w:t>as part of a 4-stratum tool,</w:t>
      </w:r>
      <w:r w:rsidRPr="00A00566">
        <w:rPr>
          <w:rFonts w:eastAsia="Times New Roman" w:cs="Times New Roman"/>
          <w:color w:val="000000"/>
          <w:szCs w:val="20"/>
          <w:lang w:eastAsia="en-AU"/>
        </w:rPr>
        <w:t xml:space="preserve"> this evaluation is </w:t>
      </w:r>
      <w:r>
        <w:rPr>
          <w:rFonts w:eastAsia="Times New Roman" w:cs="Times New Roman"/>
          <w:color w:val="000000"/>
          <w:szCs w:val="20"/>
          <w:lang w:eastAsia="en-AU"/>
        </w:rPr>
        <w:t xml:space="preserve">still </w:t>
      </w:r>
      <w:r w:rsidRPr="00A00566">
        <w:rPr>
          <w:rFonts w:eastAsia="Times New Roman" w:cs="Times New Roman"/>
          <w:color w:val="000000"/>
          <w:szCs w:val="20"/>
          <w:lang w:eastAsia="en-AU"/>
        </w:rPr>
        <w:t>appropriate if MSAC accepts the effectiveness and safety of the proposed intervention as non-inferior compared to the 3-stratum risk classification tool (with or without NT-</w:t>
      </w:r>
      <w:proofErr w:type="spellStart"/>
      <w:r w:rsidRPr="00A00566">
        <w:rPr>
          <w:rFonts w:eastAsia="Times New Roman" w:cs="Times New Roman"/>
          <w:color w:val="000000"/>
          <w:szCs w:val="20"/>
          <w:lang w:eastAsia="en-AU"/>
        </w:rPr>
        <w:t>proBNP</w:t>
      </w:r>
      <w:proofErr w:type="spellEnd"/>
      <w:r w:rsidRPr="00A00566">
        <w:rPr>
          <w:rFonts w:eastAsia="Times New Roman" w:cs="Times New Roman"/>
          <w:color w:val="000000"/>
          <w:szCs w:val="20"/>
          <w:lang w:eastAsia="en-AU"/>
        </w:rPr>
        <w:t xml:space="preserve"> testing)</w:t>
      </w:r>
      <w:r>
        <w:rPr>
          <w:rFonts w:eastAsia="Times New Roman" w:cs="Times New Roman"/>
          <w:color w:val="000000"/>
          <w:szCs w:val="20"/>
          <w:lang w:eastAsia="en-AU"/>
        </w:rPr>
        <w:t xml:space="preserve"> as per the extrapolation discussed previously</w:t>
      </w:r>
      <w:r w:rsidRPr="00A00566">
        <w:rPr>
          <w:rFonts w:eastAsia="Times New Roman" w:cs="Times New Roman"/>
          <w:color w:val="000000"/>
          <w:szCs w:val="20"/>
          <w:lang w:eastAsia="en-AU"/>
        </w:rPr>
        <w:t xml:space="preserve">. </w:t>
      </w:r>
    </w:p>
    <w:p w14:paraId="58F7C99D" w14:textId="77777777" w:rsidR="00840EF5" w:rsidRDefault="00840EF5" w:rsidP="00840EF5">
      <w:pPr>
        <w:spacing w:before="0" w:after="240" w:line="240" w:lineRule="auto"/>
        <w:rPr>
          <w:rFonts w:eastAsia="Times New Roman" w:cs="Times New Roman"/>
          <w:color w:val="000000"/>
          <w:szCs w:val="20"/>
          <w:lang w:eastAsia="en-AU"/>
        </w:rPr>
      </w:pPr>
      <w:r>
        <w:rPr>
          <w:rFonts w:eastAsia="Times New Roman" w:cs="Times New Roman"/>
          <w:color w:val="000000"/>
          <w:szCs w:val="20"/>
          <w:lang w:eastAsia="en-AU"/>
        </w:rPr>
        <w:t xml:space="preserve">ESC noted that the ADAR’s economic evaluation presented 1 and 2 year results. ESC considered that the presentation of 1 year results were appropriate but the justification for also providing the results of a two year time horizon was not provided and does not align with guidelines. </w:t>
      </w:r>
    </w:p>
    <w:p w14:paraId="34FE60B5" w14:textId="77777777" w:rsidR="00840EF5" w:rsidRDefault="00840EF5" w:rsidP="00840EF5">
      <w:pPr>
        <w:spacing w:before="0" w:after="240" w:line="240" w:lineRule="auto"/>
        <w:rPr>
          <w:rFonts w:eastAsia="Times New Roman" w:cs="Times New Roman"/>
          <w:color w:val="000000"/>
          <w:szCs w:val="20"/>
          <w:lang w:eastAsia="en-AU"/>
        </w:rPr>
      </w:pPr>
      <w:r>
        <w:rPr>
          <w:rFonts w:eastAsia="Times New Roman" w:cs="Times New Roman"/>
          <w:color w:val="000000"/>
          <w:szCs w:val="20"/>
          <w:lang w:eastAsia="en-AU"/>
        </w:rPr>
        <w:t>ESC noted that the r</w:t>
      </w:r>
      <w:r w:rsidRPr="00144ABE">
        <w:rPr>
          <w:rFonts w:eastAsia="Times New Roman" w:cs="Times New Roman"/>
          <w:color w:val="000000"/>
          <w:szCs w:val="20"/>
          <w:lang w:eastAsia="en-AU"/>
        </w:rPr>
        <w:t xml:space="preserve">esults and relevance of </w:t>
      </w:r>
      <w:r>
        <w:rPr>
          <w:rFonts w:eastAsia="Times New Roman" w:cs="Times New Roman"/>
          <w:color w:val="000000"/>
          <w:szCs w:val="20"/>
          <w:lang w:eastAsia="en-AU"/>
        </w:rPr>
        <w:t xml:space="preserve">the economic evaluation for </w:t>
      </w:r>
      <w:r w:rsidRPr="00144ABE">
        <w:rPr>
          <w:rFonts w:eastAsia="Times New Roman" w:cs="Times New Roman"/>
          <w:color w:val="000000"/>
          <w:szCs w:val="20"/>
          <w:lang w:eastAsia="en-AU"/>
        </w:rPr>
        <w:t xml:space="preserve">decision making depend heavily on </w:t>
      </w:r>
      <w:r>
        <w:rPr>
          <w:rFonts w:eastAsia="Times New Roman" w:cs="Times New Roman"/>
          <w:color w:val="000000"/>
          <w:szCs w:val="20"/>
          <w:lang w:eastAsia="en-AU"/>
        </w:rPr>
        <w:t xml:space="preserve">the </w:t>
      </w:r>
      <w:r w:rsidRPr="00144ABE">
        <w:rPr>
          <w:rFonts w:eastAsia="Times New Roman" w:cs="Times New Roman"/>
          <w:color w:val="000000"/>
          <w:szCs w:val="20"/>
          <w:lang w:eastAsia="en-AU"/>
        </w:rPr>
        <w:t>rate of substitution between NT-</w:t>
      </w:r>
      <w:proofErr w:type="spellStart"/>
      <w:r w:rsidRPr="00144ABE">
        <w:rPr>
          <w:rFonts w:eastAsia="Times New Roman" w:cs="Times New Roman"/>
          <w:color w:val="000000"/>
          <w:szCs w:val="20"/>
          <w:lang w:eastAsia="en-AU"/>
        </w:rPr>
        <w:t>proBNP</w:t>
      </w:r>
      <w:proofErr w:type="spellEnd"/>
      <w:r w:rsidRPr="00144ABE">
        <w:rPr>
          <w:rFonts w:eastAsia="Times New Roman" w:cs="Times New Roman"/>
          <w:color w:val="000000"/>
          <w:szCs w:val="20"/>
          <w:lang w:eastAsia="en-AU"/>
        </w:rPr>
        <w:t xml:space="preserve"> and TTE</w:t>
      </w:r>
      <w:r>
        <w:rPr>
          <w:rFonts w:eastAsia="Times New Roman" w:cs="Times New Roman"/>
          <w:color w:val="000000"/>
          <w:szCs w:val="20"/>
          <w:lang w:eastAsia="en-AU"/>
        </w:rPr>
        <w:t xml:space="preserve">. ESC noted that in updating the economic evaluation from the previous submission, the ADAR used corrected </w:t>
      </w:r>
      <w:r w:rsidRPr="005F20EF">
        <w:rPr>
          <w:rFonts w:eastAsia="Times New Roman" w:cs="Times New Roman"/>
          <w:color w:val="000000"/>
          <w:szCs w:val="20"/>
          <w:lang w:eastAsia="en-AU"/>
        </w:rPr>
        <w:t>TTE test fees</w:t>
      </w:r>
      <w:r>
        <w:rPr>
          <w:rFonts w:eastAsia="Times New Roman" w:cs="Times New Roman"/>
          <w:color w:val="000000"/>
          <w:szCs w:val="20"/>
          <w:lang w:eastAsia="en-AU"/>
        </w:rPr>
        <w:t xml:space="preserve"> based on </w:t>
      </w:r>
      <w:r w:rsidRPr="005F20EF">
        <w:rPr>
          <w:rFonts w:eastAsia="Times New Roman" w:cs="Times New Roman"/>
          <w:color w:val="000000"/>
          <w:szCs w:val="20"/>
          <w:lang w:eastAsia="en-AU"/>
        </w:rPr>
        <w:t>MBS items (55126/55129, 100% Fee: $240.05)</w:t>
      </w:r>
      <w:r>
        <w:rPr>
          <w:rFonts w:eastAsia="Times New Roman" w:cs="Times New Roman"/>
          <w:color w:val="000000"/>
          <w:szCs w:val="20"/>
          <w:lang w:eastAsia="en-AU"/>
        </w:rPr>
        <w:t xml:space="preserve"> as suggested by MSAC in 1689. The ADAR also reported on the results of an </w:t>
      </w:r>
      <w:r w:rsidRPr="00390A5D">
        <w:rPr>
          <w:rFonts w:eastAsia="Times New Roman" w:cs="Times New Roman"/>
          <w:color w:val="000000"/>
          <w:szCs w:val="20"/>
          <w:lang w:eastAsia="en-AU"/>
        </w:rPr>
        <w:t xml:space="preserve">analysis of the PHSANZ registry data to estimate the proportion of patients with: </w:t>
      </w:r>
    </w:p>
    <w:p w14:paraId="1DD0CB5C" w14:textId="77777777" w:rsidR="00840EF5" w:rsidRDefault="00840EF5" w:rsidP="00840EF5">
      <w:pPr>
        <w:pStyle w:val="ListParagraph"/>
        <w:numPr>
          <w:ilvl w:val="0"/>
          <w:numId w:val="31"/>
        </w:numPr>
        <w:spacing w:before="0" w:after="240" w:line="240" w:lineRule="auto"/>
        <w:rPr>
          <w:rFonts w:eastAsia="Times New Roman" w:cs="Times New Roman"/>
          <w:color w:val="000000"/>
          <w:szCs w:val="20"/>
          <w:lang w:eastAsia="en-AU"/>
        </w:rPr>
      </w:pPr>
      <w:r w:rsidRPr="00A2112E">
        <w:rPr>
          <w:rFonts w:eastAsia="Times New Roman" w:cs="Times New Roman"/>
          <w:color w:val="000000"/>
          <w:szCs w:val="20"/>
          <w:lang w:eastAsia="en-AU"/>
        </w:rPr>
        <w:t xml:space="preserve">stable or improved PAH who would not require subsequent TTE and/or RHC, and </w:t>
      </w:r>
    </w:p>
    <w:p w14:paraId="6E164676" w14:textId="77777777" w:rsidR="00840EF5" w:rsidRPr="00A2112E" w:rsidRDefault="00840EF5" w:rsidP="00840EF5">
      <w:pPr>
        <w:pStyle w:val="ListParagraph"/>
        <w:numPr>
          <w:ilvl w:val="0"/>
          <w:numId w:val="31"/>
        </w:numPr>
        <w:spacing w:before="0" w:after="240" w:line="240" w:lineRule="auto"/>
        <w:rPr>
          <w:rFonts w:eastAsia="Times New Roman" w:cs="Times New Roman"/>
          <w:color w:val="000000"/>
          <w:szCs w:val="20"/>
          <w:lang w:eastAsia="en-AU"/>
        </w:rPr>
      </w:pPr>
      <w:r w:rsidRPr="00A2112E">
        <w:rPr>
          <w:rFonts w:eastAsia="Times New Roman" w:cs="Times New Roman"/>
          <w:color w:val="000000"/>
          <w:szCs w:val="20"/>
          <w:lang w:eastAsia="en-AU"/>
        </w:rPr>
        <w:t>deteriorati</w:t>
      </w:r>
      <w:r w:rsidRPr="00742E39">
        <w:rPr>
          <w:rFonts w:eastAsia="Times New Roman" w:cs="Times New Roman"/>
          <w:color w:val="000000"/>
          <w:szCs w:val="20"/>
          <w:lang w:eastAsia="en-AU"/>
        </w:rPr>
        <w:t>on of symptoms who would undergo NT-</w:t>
      </w:r>
      <w:proofErr w:type="spellStart"/>
      <w:r w:rsidRPr="00742E39">
        <w:rPr>
          <w:rFonts w:eastAsia="Times New Roman" w:cs="Times New Roman"/>
          <w:color w:val="000000"/>
          <w:szCs w:val="20"/>
          <w:lang w:eastAsia="en-AU"/>
        </w:rPr>
        <w:t>proBNP</w:t>
      </w:r>
      <w:proofErr w:type="spellEnd"/>
      <w:r w:rsidRPr="00742E39">
        <w:rPr>
          <w:rFonts w:eastAsia="Times New Roman" w:cs="Times New Roman"/>
          <w:color w:val="000000"/>
          <w:szCs w:val="20"/>
          <w:lang w:eastAsia="en-AU"/>
        </w:rPr>
        <w:t xml:space="preserve"> in addition to TTE and/or RHC</w:t>
      </w:r>
      <w:r>
        <w:rPr>
          <w:rFonts w:eastAsia="Times New Roman" w:cs="Times New Roman"/>
          <w:color w:val="000000"/>
          <w:szCs w:val="20"/>
          <w:lang w:eastAsia="en-AU"/>
        </w:rPr>
        <w:t xml:space="preserve">. </w:t>
      </w:r>
    </w:p>
    <w:p w14:paraId="679A05FD" w14:textId="77777777" w:rsidR="00840EF5" w:rsidRPr="00D246D7" w:rsidRDefault="00840EF5" w:rsidP="00840EF5">
      <w:pPr>
        <w:spacing w:before="0" w:after="240" w:line="240" w:lineRule="auto"/>
        <w:rPr>
          <w:rFonts w:eastAsia="Times New Roman" w:cs="Times New Roman"/>
          <w:color w:val="000000"/>
          <w:szCs w:val="20"/>
          <w:lang w:eastAsia="en-AU"/>
        </w:rPr>
      </w:pPr>
      <w:r>
        <w:rPr>
          <w:rFonts w:eastAsia="Times New Roman" w:cs="Times New Roman"/>
          <w:color w:val="000000"/>
          <w:szCs w:val="20"/>
          <w:lang w:eastAsia="en-AU"/>
        </w:rPr>
        <w:t xml:space="preserve">According to this analysis, </w:t>
      </w:r>
      <w:r w:rsidRPr="00D246D7">
        <w:rPr>
          <w:rFonts w:eastAsia="Times New Roman" w:cs="Times New Roman"/>
          <w:color w:val="000000"/>
          <w:szCs w:val="20"/>
          <w:lang w:eastAsia="en-AU"/>
        </w:rPr>
        <w:t>75%</w:t>
      </w:r>
      <w:r>
        <w:rPr>
          <w:rFonts w:eastAsia="Times New Roman" w:cs="Times New Roman"/>
          <w:color w:val="000000"/>
          <w:szCs w:val="20"/>
          <w:lang w:eastAsia="en-AU"/>
        </w:rPr>
        <w:t xml:space="preserve"> of patients </w:t>
      </w:r>
      <w:r w:rsidRPr="00D246D7">
        <w:rPr>
          <w:rFonts w:eastAsia="Times New Roman" w:cs="Times New Roman"/>
          <w:color w:val="000000"/>
          <w:szCs w:val="20"/>
          <w:lang w:eastAsia="en-AU"/>
        </w:rPr>
        <w:t xml:space="preserve">were symptomatically stable or had improved disease according to both WHO FC and 6MWD parameters </w:t>
      </w:r>
      <w:r>
        <w:rPr>
          <w:rFonts w:eastAsia="Times New Roman" w:cs="Times New Roman"/>
          <w:color w:val="000000"/>
          <w:szCs w:val="20"/>
          <w:lang w:eastAsia="en-AU"/>
        </w:rPr>
        <w:t xml:space="preserve">while </w:t>
      </w:r>
      <w:r w:rsidRPr="00D246D7">
        <w:rPr>
          <w:rFonts w:eastAsia="Times New Roman" w:cs="Times New Roman"/>
          <w:color w:val="000000"/>
          <w:szCs w:val="20"/>
          <w:lang w:eastAsia="en-AU"/>
        </w:rPr>
        <w:t>25% had experienced clinical worsening or deterioration with respect to at least one of the WHO FC or 6MWD parameters</w:t>
      </w:r>
      <w:r>
        <w:rPr>
          <w:rFonts w:eastAsia="Times New Roman" w:cs="Times New Roman"/>
          <w:color w:val="000000"/>
          <w:szCs w:val="20"/>
          <w:lang w:eastAsia="en-AU"/>
        </w:rPr>
        <w:t xml:space="preserve">. ESC noted that the finding of this analysis of only 25% of patients reporting clinical worsening and therefore requiring additional TTEs (on top of the baseline TTE) underlies the economic evaluation which reported that the intervention resulted in </w:t>
      </w:r>
      <w:r w:rsidRPr="00186455">
        <w:rPr>
          <w:rFonts w:eastAsia="Times New Roman" w:cs="Times New Roman"/>
          <w:color w:val="000000"/>
          <w:szCs w:val="20"/>
          <w:lang w:eastAsia="en-AU"/>
        </w:rPr>
        <w:t>4 NT-</w:t>
      </w:r>
      <w:proofErr w:type="spellStart"/>
      <w:r w:rsidRPr="00186455">
        <w:rPr>
          <w:rFonts w:eastAsia="Times New Roman" w:cs="Times New Roman"/>
          <w:color w:val="000000"/>
          <w:szCs w:val="20"/>
          <w:lang w:eastAsia="en-AU"/>
        </w:rPr>
        <w:t>proBNP</w:t>
      </w:r>
      <w:proofErr w:type="spellEnd"/>
      <w:r w:rsidRPr="00186455">
        <w:rPr>
          <w:rFonts w:eastAsia="Times New Roman" w:cs="Times New Roman"/>
          <w:color w:val="000000"/>
          <w:szCs w:val="20"/>
          <w:lang w:eastAsia="en-AU"/>
        </w:rPr>
        <w:t xml:space="preserve"> tests and 2.5 TTEs per year for each patient (as opposed to 4 TTEs </w:t>
      </w:r>
      <w:r>
        <w:rPr>
          <w:rFonts w:eastAsia="Times New Roman" w:cs="Times New Roman"/>
          <w:color w:val="000000"/>
          <w:szCs w:val="20"/>
          <w:lang w:eastAsia="en-AU"/>
        </w:rPr>
        <w:t>under the comparator). However, ESC noted that this rate of substitution (of 2.5 TTEs for every 4 NT-</w:t>
      </w:r>
      <w:proofErr w:type="spellStart"/>
      <w:r>
        <w:rPr>
          <w:rFonts w:eastAsia="Times New Roman" w:cs="Times New Roman"/>
          <w:color w:val="000000"/>
          <w:szCs w:val="20"/>
          <w:lang w:eastAsia="en-AU"/>
        </w:rPr>
        <w:t>proBNP</w:t>
      </w:r>
      <w:proofErr w:type="spellEnd"/>
      <w:r>
        <w:rPr>
          <w:rFonts w:eastAsia="Times New Roman" w:cs="Times New Roman"/>
          <w:color w:val="000000"/>
          <w:szCs w:val="20"/>
          <w:lang w:eastAsia="en-AU"/>
        </w:rPr>
        <w:t xml:space="preserve"> tests or </w:t>
      </w:r>
      <w:r w:rsidRPr="00D81FB5">
        <w:rPr>
          <w:rFonts w:eastAsia="Times New Roman" w:cs="Times New Roman"/>
          <w:color w:val="000000"/>
          <w:szCs w:val="20"/>
          <w:lang w:eastAsia="en-AU"/>
        </w:rPr>
        <w:t>a reduction of 0.38 TTEs per NT-</w:t>
      </w:r>
      <w:proofErr w:type="spellStart"/>
      <w:r w:rsidRPr="00D81FB5">
        <w:rPr>
          <w:rFonts w:eastAsia="Times New Roman" w:cs="Times New Roman"/>
          <w:color w:val="000000"/>
          <w:szCs w:val="20"/>
          <w:lang w:eastAsia="en-AU"/>
        </w:rPr>
        <w:t>proBNP</w:t>
      </w:r>
      <w:proofErr w:type="spellEnd"/>
      <w:r w:rsidRPr="00D81FB5">
        <w:rPr>
          <w:rFonts w:eastAsia="Times New Roman" w:cs="Times New Roman"/>
          <w:color w:val="000000"/>
          <w:szCs w:val="20"/>
          <w:lang w:eastAsia="en-AU"/>
        </w:rPr>
        <w:t xml:space="preserve"> test performed</w:t>
      </w:r>
      <w:r>
        <w:rPr>
          <w:rFonts w:eastAsia="Times New Roman" w:cs="Times New Roman"/>
          <w:color w:val="000000"/>
          <w:szCs w:val="20"/>
          <w:lang w:eastAsia="en-AU"/>
        </w:rPr>
        <w:t>) d</w:t>
      </w:r>
      <w:r w:rsidRPr="00D4422C">
        <w:rPr>
          <w:rFonts w:eastAsia="Times New Roman" w:cs="Times New Roman"/>
          <w:color w:val="000000"/>
          <w:szCs w:val="20"/>
          <w:lang w:eastAsia="en-AU"/>
        </w:rPr>
        <w:t>oes not account for changes in therapy</w:t>
      </w:r>
      <w:r>
        <w:rPr>
          <w:rFonts w:eastAsia="Times New Roman" w:cs="Times New Roman"/>
          <w:color w:val="000000"/>
          <w:szCs w:val="20"/>
          <w:lang w:eastAsia="en-AU"/>
        </w:rPr>
        <w:t xml:space="preserve">, nor for </w:t>
      </w:r>
      <w:r w:rsidRPr="00D4422C">
        <w:rPr>
          <w:rFonts w:eastAsia="Times New Roman" w:cs="Times New Roman"/>
          <w:color w:val="000000"/>
          <w:szCs w:val="20"/>
          <w:lang w:eastAsia="en-AU"/>
        </w:rPr>
        <w:t>patients classified at medium or high risk who all might receive TTE</w:t>
      </w:r>
      <w:r>
        <w:rPr>
          <w:rFonts w:eastAsia="Times New Roman" w:cs="Times New Roman"/>
          <w:color w:val="000000"/>
          <w:szCs w:val="20"/>
          <w:lang w:eastAsia="en-AU"/>
        </w:rPr>
        <w:t xml:space="preserve">. ESC considered that the </w:t>
      </w:r>
      <w:r w:rsidRPr="007D1E9B">
        <w:rPr>
          <w:rFonts w:eastAsia="Times New Roman" w:cs="Times New Roman"/>
          <w:color w:val="000000"/>
          <w:szCs w:val="20"/>
          <w:lang w:eastAsia="en-AU"/>
        </w:rPr>
        <w:t xml:space="preserve">assumption </w:t>
      </w:r>
      <w:r>
        <w:rPr>
          <w:rFonts w:eastAsia="Times New Roman" w:cs="Times New Roman"/>
          <w:color w:val="000000"/>
          <w:szCs w:val="20"/>
          <w:lang w:eastAsia="en-AU"/>
        </w:rPr>
        <w:t xml:space="preserve">of the </w:t>
      </w:r>
      <w:r w:rsidRPr="007D1E9B">
        <w:rPr>
          <w:rFonts w:eastAsia="Times New Roman" w:cs="Times New Roman"/>
          <w:color w:val="000000"/>
          <w:szCs w:val="20"/>
          <w:lang w:eastAsia="en-AU"/>
        </w:rPr>
        <w:t>substitution of TTE test</w:t>
      </w:r>
      <w:r>
        <w:rPr>
          <w:rFonts w:eastAsia="Times New Roman" w:cs="Times New Roman"/>
          <w:color w:val="000000"/>
          <w:szCs w:val="20"/>
          <w:lang w:eastAsia="en-AU"/>
        </w:rPr>
        <w:t>s</w:t>
      </w:r>
      <w:r w:rsidRPr="007D1E9B">
        <w:rPr>
          <w:rFonts w:eastAsia="Times New Roman" w:cs="Times New Roman"/>
          <w:color w:val="000000"/>
          <w:szCs w:val="20"/>
          <w:lang w:eastAsia="en-AU"/>
        </w:rPr>
        <w:t xml:space="preserve"> </w:t>
      </w:r>
      <w:r>
        <w:rPr>
          <w:rFonts w:eastAsia="Times New Roman" w:cs="Times New Roman"/>
          <w:color w:val="000000"/>
          <w:szCs w:val="20"/>
          <w:lang w:eastAsia="en-AU"/>
        </w:rPr>
        <w:t>with</w:t>
      </w:r>
      <w:r w:rsidRPr="007D1E9B">
        <w:rPr>
          <w:rFonts w:eastAsia="Times New Roman" w:cs="Times New Roman"/>
          <w:color w:val="000000"/>
          <w:szCs w:val="20"/>
          <w:lang w:eastAsia="en-AU"/>
        </w:rPr>
        <w:t xml:space="preserve"> NT-</w:t>
      </w:r>
      <w:proofErr w:type="spellStart"/>
      <w:r w:rsidRPr="007D1E9B">
        <w:rPr>
          <w:rFonts w:eastAsia="Times New Roman" w:cs="Times New Roman"/>
          <w:color w:val="000000"/>
          <w:szCs w:val="20"/>
          <w:lang w:eastAsia="en-AU"/>
        </w:rPr>
        <w:t>proBNP</w:t>
      </w:r>
      <w:proofErr w:type="spellEnd"/>
      <w:r>
        <w:rPr>
          <w:rFonts w:eastAsia="Times New Roman" w:cs="Times New Roman"/>
          <w:color w:val="000000"/>
          <w:szCs w:val="20"/>
          <w:lang w:eastAsia="en-AU"/>
        </w:rPr>
        <w:t xml:space="preserve"> tests</w:t>
      </w:r>
      <w:r w:rsidRPr="007D1E9B">
        <w:rPr>
          <w:rFonts w:eastAsia="Times New Roman" w:cs="Times New Roman"/>
          <w:color w:val="000000"/>
          <w:szCs w:val="20"/>
          <w:lang w:eastAsia="en-AU"/>
        </w:rPr>
        <w:t xml:space="preserve"> in stable patients is </w:t>
      </w:r>
      <w:r>
        <w:rPr>
          <w:rFonts w:eastAsia="Times New Roman" w:cs="Times New Roman"/>
          <w:color w:val="000000"/>
          <w:szCs w:val="20"/>
          <w:lang w:eastAsia="en-AU"/>
        </w:rPr>
        <w:t>uncertain</w:t>
      </w:r>
      <w:r w:rsidRPr="007D1E9B">
        <w:rPr>
          <w:rFonts w:eastAsia="Times New Roman" w:cs="Times New Roman"/>
          <w:color w:val="000000"/>
          <w:szCs w:val="20"/>
          <w:lang w:eastAsia="en-AU"/>
        </w:rPr>
        <w:t xml:space="preserve"> </w:t>
      </w:r>
      <w:r>
        <w:rPr>
          <w:rFonts w:eastAsia="Times New Roman" w:cs="Times New Roman"/>
          <w:color w:val="000000"/>
          <w:szCs w:val="20"/>
          <w:lang w:eastAsia="en-AU"/>
        </w:rPr>
        <w:t>given</w:t>
      </w:r>
      <w:r w:rsidRPr="007D1E9B">
        <w:rPr>
          <w:rFonts w:eastAsia="Times New Roman" w:cs="Times New Roman"/>
          <w:color w:val="000000"/>
          <w:szCs w:val="20"/>
          <w:lang w:eastAsia="en-AU"/>
        </w:rPr>
        <w:t xml:space="preserve"> the 2022 ESC/ERS guidelines which state that patients with stable disease may be considered for TTE or </w:t>
      </w:r>
      <w:proofErr w:type="spellStart"/>
      <w:r w:rsidRPr="007D1E9B">
        <w:rPr>
          <w:rFonts w:eastAsia="Times New Roman" w:cs="Times New Roman"/>
          <w:color w:val="000000"/>
          <w:szCs w:val="20"/>
          <w:lang w:eastAsia="en-AU"/>
        </w:rPr>
        <w:t>cMRI</w:t>
      </w:r>
      <w:proofErr w:type="spellEnd"/>
      <w:r w:rsidRPr="007D1E9B">
        <w:rPr>
          <w:rFonts w:eastAsia="Times New Roman" w:cs="Times New Roman"/>
          <w:color w:val="000000"/>
          <w:szCs w:val="20"/>
          <w:lang w:eastAsia="en-AU"/>
        </w:rPr>
        <w:t xml:space="preserve"> every 3-6 months</w:t>
      </w:r>
      <w:r>
        <w:rPr>
          <w:rFonts w:eastAsia="Times New Roman" w:cs="Times New Roman"/>
          <w:color w:val="000000"/>
          <w:szCs w:val="20"/>
          <w:lang w:eastAsia="en-AU"/>
        </w:rPr>
        <w:t>. ESC also noted that this rate of substitution d</w:t>
      </w:r>
      <w:r w:rsidRPr="00777BBB">
        <w:rPr>
          <w:rFonts w:eastAsia="Times New Roman" w:cs="Times New Roman"/>
          <w:color w:val="000000"/>
          <w:szCs w:val="20"/>
          <w:lang w:eastAsia="en-AU"/>
        </w:rPr>
        <w:t xml:space="preserve">oes not account for </w:t>
      </w:r>
      <w:r>
        <w:rPr>
          <w:rFonts w:eastAsia="Times New Roman" w:cs="Times New Roman"/>
          <w:color w:val="000000"/>
          <w:szCs w:val="20"/>
          <w:lang w:eastAsia="en-AU"/>
        </w:rPr>
        <w:t xml:space="preserve">the possible </w:t>
      </w:r>
      <w:r w:rsidRPr="00777BBB">
        <w:rPr>
          <w:rFonts w:eastAsia="Times New Roman" w:cs="Times New Roman"/>
          <w:color w:val="000000"/>
          <w:szCs w:val="20"/>
          <w:lang w:eastAsia="en-AU"/>
        </w:rPr>
        <w:t xml:space="preserve">differential use of intervention and TTE, e.g. more regular monitoring of patients with </w:t>
      </w:r>
      <w:r>
        <w:rPr>
          <w:rFonts w:eastAsia="Times New Roman" w:cs="Times New Roman"/>
          <w:color w:val="000000"/>
          <w:szCs w:val="20"/>
          <w:lang w:eastAsia="en-AU"/>
        </w:rPr>
        <w:t xml:space="preserve">the </w:t>
      </w:r>
      <w:r w:rsidRPr="00777BBB">
        <w:rPr>
          <w:rFonts w:eastAsia="Times New Roman" w:cs="Times New Roman"/>
          <w:color w:val="000000"/>
          <w:szCs w:val="20"/>
          <w:lang w:eastAsia="en-AU"/>
        </w:rPr>
        <w:t>intervention relative to TTE</w:t>
      </w:r>
      <w:r>
        <w:rPr>
          <w:rFonts w:eastAsia="Times New Roman" w:cs="Times New Roman"/>
          <w:color w:val="000000"/>
          <w:szCs w:val="20"/>
          <w:lang w:eastAsia="en-AU"/>
        </w:rPr>
        <w:t>. In that respect, ESC noted that both the c</w:t>
      </w:r>
      <w:r w:rsidRPr="00C93831">
        <w:rPr>
          <w:rFonts w:eastAsia="Times New Roman" w:cs="Times New Roman"/>
          <w:color w:val="000000"/>
          <w:szCs w:val="20"/>
          <w:lang w:eastAsia="en-AU"/>
        </w:rPr>
        <w:t xml:space="preserve">ommentary and ADAR assessments </w:t>
      </w:r>
      <w:r>
        <w:rPr>
          <w:rFonts w:eastAsia="Times New Roman" w:cs="Times New Roman"/>
          <w:color w:val="000000"/>
          <w:szCs w:val="20"/>
          <w:lang w:eastAsia="en-AU"/>
        </w:rPr>
        <w:t>may</w:t>
      </w:r>
      <w:r w:rsidRPr="00C93831">
        <w:rPr>
          <w:rFonts w:eastAsia="Times New Roman" w:cs="Times New Roman"/>
          <w:color w:val="000000"/>
          <w:szCs w:val="20"/>
          <w:lang w:eastAsia="en-AU"/>
        </w:rPr>
        <w:t xml:space="preserve"> underestimate </w:t>
      </w:r>
      <w:r>
        <w:rPr>
          <w:rFonts w:eastAsia="Times New Roman" w:cs="Times New Roman"/>
          <w:color w:val="000000"/>
          <w:szCs w:val="20"/>
          <w:lang w:eastAsia="en-AU"/>
        </w:rPr>
        <w:t>the amount of NT-</w:t>
      </w:r>
      <w:proofErr w:type="spellStart"/>
      <w:r>
        <w:rPr>
          <w:rFonts w:eastAsia="Times New Roman" w:cs="Times New Roman"/>
          <w:color w:val="000000"/>
          <w:szCs w:val="20"/>
          <w:lang w:eastAsia="en-AU"/>
        </w:rPr>
        <w:t>proBNP</w:t>
      </w:r>
      <w:proofErr w:type="spellEnd"/>
      <w:r>
        <w:rPr>
          <w:rFonts w:eastAsia="Times New Roman" w:cs="Times New Roman"/>
          <w:color w:val="000000"/>
          <w:szCs w:val="20"/>
          <w:lang w:eastAsia="en-AU"/>
        </w:rPr>
        <w:t xml:space="preserve"> testing while overestimating the amount of TTEs</w:t>
      </w:r>
      <w:r w:rsidRPr="00C93831">
        <w:rPr>
          <w:rFonts w:eastAsia="Times New Roman" w:cs="Times New Roman"/>
          <w:color w:val="000000"/>
          <w:szCs w:val="20"/>
          <w:lang w:eastAsia="en-AU"/>
        </w:rPr>
        <w:t>.</w:t>
      </w:r>
      <w:r>
        <w:rPr>
          <w:rFonts w:eastAsia="Times New Roman" w:cs="Times New Roman"/>
          <w:color w:val="000000"/>
          <w:szCs w:val="20"/>
          <w:lang w:eastAsia="en-AU"/>
        </w:rPr>
        <w:t xml:space="preserve"> ESC noted the a</w:t>
      </w:r>
      <w:r w:rsidRPr="00893DE6">
        <w:rPr>
          <w:rFonts w:eastAsia="Times New Roman" w:cs="Times New Roman"/>
          <w:color w:val="000000"/>
          <w:szCs w:val="20"/>
          <w:lang w:eastAsia="en-AU"/>
        </w:rPr>
        <w:t>pplicant</w:t>
      </w:r>
      <w:r>
        <w:rPr>
          <w:rFonts w:eastAsia="Times New Roman" w:cs="Times New Roman"/>
          <w:color w:val="000000"/>
          <w:szCs w:val="20"/>
          <w:lang w:eastAsia="en-AU"/>
        </w:rPr>
        <w:t xml:space="preserve">’s pre-ESC response arguing that these </w:t>
      </w:r>
      <w:r w:rsidRPr="00893DE6">
        <w:rPr>
          <w:rFonts w:eastAsia="Times New Roman" w:cs="Times New Roman"/>
          <w:color w:val="000000"/>
          <w:szCs w:val="20"/>
          <w:lang w:eastAsia="en-AU"/>
        </w:rPr>
        <w:t>assumptions are conservative particularly over a 1 year period</w:t>
      </w:r>
      <w:r>
        <w:rPr>
          <w:rFonts w:eastAsia="Times New Roman" w:cs="Times New Roman"/>
          <w:color w:val="000000"/>
          <w:szCs w:val="20"/>
          <w:lang w:eastAsia="en-AU"/>
        </w:rPr>
        <w:t xml:space="preserve">. </w:t>
      </w:r>
    </w:p>
    <w:p w14:paraId="1AE4B51F" w14:textId="77777777" w:rsidR="00840EF5" w:rsidRPr="00A00566" w:rsidRDefault="00840EF5" w:rsidP="00840EF5">
      <w:pPr>
        <w:spacing w:before="0" w:after="240" w:line="240" w:lineRule="auto"/>
        <w:rPr>
          <w:rFonts w:eastAsia="Times New Roman" w:cs="Times New Roman"/>
          <w:color w:val="000000"/>
          <w:szCs w:val="20"/>
          <w:lang w:eastAsia="en-AU"/>
        </w:rPr>
      </w:pPr>
      <w:r w:rsidRPr="00A00566">
        <w:rPr>
          <w:rFonts w:eastAsia="Times New Roman" w:cs="Times New Roman"/>
          <w:color w:val="000000"/>
          <w:szCs w:val="20"/>
          <w:lang w:eastAsia="en-AU"/>
        </w:rPr>
        <w:t>ESC noted that</w:t>
      </w:r>
      <w:r>
        <w:rPr>
          <w:rFonts w:eastAsia="Times New Roman" w:cs="Times New Roman"/>
          <w:color w:val="000000"/>
          <w:szCs w:val="20"/>
          <w:lang w:eastAsia="en-AU"/>
        </w:rPr>
        <w:t xml:space="preserve"> based on the above substitution rates,</w:t>
      </w:r>
      <w:r w:rsidRPr="00A00566">
        <w:rPr>
          <w:rFonts w:eastAsia="Times New Roman" w:cs="Times New Roman"/>
          <w:color w:val="000000"/>
          <w:szCs w:val="20"/>
          <w:lang w:eastAsia="en-AU"/>
        </w:rPr>
        <w:t xml:space="preserve"> the total cost per patient associated with current algorithm (without NT-</w:t>
      </w:r>
      <w:proofErr w:type="spellStart"/>
      <w:r w:rsidRPr="00A00566">
        <w:rPr>
          <w:rFonts w:eastAsia="Times New Roman" w:cs="Times New Roman"/>
          <w:color w:val="000000"/>
          <w:szCs w:val="20"/>
          <w:lang w:eastAsia="en-AU"/>
        </w:rPr>
        <w:t>proBNP</w:t>
      </w:r>
      <w:proofErr w:type="spellEnd"/>
      <w:r w:rsidRPr="00A00566">
        <w:rPr>
          <w:rFonts w:eastAsia="Times New Roman" w:cs="Times New Roman"/>
          <w:color w:val="000000"/>
          <w:szCs w:val="20"/>
          <w:lang w:eastAsia="en-AU"/>
        </w:rPr>
        <w:t>) is $960.20 compared to $834.13 associated with proposed algorithm (with NT-</w:t>
      </w:r>
      <w:proofErr w:type="spellStart"/>
      <w:r w:rsidRPr="00A00566">
        <w:rPr>
          <w:rFonts w:eastAsia="Times New Roman" w:cs="Times New Roman"/>
          <w:color w:val="000000"/>
          <w:szCs w:val="20"/>
          <w:lang w:eastAsia="en-AU"/>
        </w:rPr>
        <w:t>proBNP</w:t>
      </w:r>
      <w:proofErr w:type="spellEnd"/>
      <w:r w:rsidRPr="00A00566">
        <w:rPr>
          <w:rFonts w:eastAsia="Times New Roman" w:cs="Times New Roman"/>
          <w:color w:val="000000"/>
          <w:szCs w:val="20"/>
          <w:lang w:eastAsia="en-AU"/>
        </w:rPr>
        <w:t xml:space="preserve">) in year 1, with four assessments assumed. Thus, the </w:t>
      </w:r>
      <w:r>
        <w:rPr>
          <w:rFonts w:eastAsia="Times New Roman" w:cs="Times New Roman"/>
          <w:color w:val="000000"/>
          <w:szCs w:val="20"/>
          <w:lang w:eastAsia="en-AU"/>
        </w:rPr>
        <w:t xml:space="preserve">ADAR </w:t>
      </w:r>
      <w:r>
        <w:rPr>
          <w:rFonts w:eastAsia="Times New Roman" w:cs="Times New Roman"/>
          <w:color w:val="000000"/>
          <w:szCs w:val="20"/>
          <w:lang w:eastAsia="en-AU"/>
        </w:rPr>
        <w:lastRenderedPageBreak/>
        <w:t xml:space="preserve">base case reported that the </w:t>
      </w:r>
      <w:r w:rsidRPr="00A00566">
        <w:rPr>
          <w:rFonts w:eastAsia="Times New Roman" w:cs="Times New Roman"/>
          <w:color w:val="000000"/>
          <w:szCs w:val="20"/>
          <w:lang w:eastAsia="en-AU"/>
        </w:rPr>
        <w:t>addition of NT-</w:t>
      </w:r>
      <w:proofErr w:type="spellStart"/>
      <w:r w:rsidRPr="00A00566">
        <w:rPr>
          <w:rFonts w:eastAsia="Times New Roman" w:cs="Times New Roman"/>
          <w:color w:val="000000"/>
          <w:szCs w:val="20"/>
          <w:lang w:eastAsia="en-AU"/>
        </w:rPr>
        <w:t>proBNP</w:t>
      </w:r>
      <w:proofErr w:type="spellEnd"/>
      <w:r w:rsidRPr="00A00566">
        <w:rPr>
          <w:rFonts w:eastAsia="Times New Roman" w:cs="Times New Roman"/>
          <w:color w:val="000000"/>
          <w:szCs w:val="20"/>
          <w:lang w:eastAsia="en-AU"/>
        </w:rPr>
        <w:t xml:space="preserve"> testing for the regular assessment of PAH patients would be a cost-saving option with a total year 1 savings of $126.08 per patient</w:t>
      </w:r>
      <w:r>
        <w:rPr>
          <w:rFonts w:eastAsia="Times New Roman" w:cs="Times New Roman"/>
          <w:color w:val="000000"/>
          <w:szCs w:val="20"/>
          <w:lang w:eastAsia="en-AU"/>
        </w:rPr>
        <w:t>. ESC considered the a</w:t>
      </w:r>
      <w:r w:rsidRPr="006C0669">
        <w:rPr>
          <w:rFonts w:eastAsia="Times New Roman" w:cs="Times New Roman"/>
          <w:color w:val="000000"/>
          <w:szCs w:val="20"/>
          <w:lang w:eastAsia="en-AU"/>
        </w:rPr>
        <w:t xml:space="preserve">dditional </w:t>
      </w:r>
      <w:r>
        <w:rPr>
          <w:rFonts w:eastAsia="Times New Roman" w:cs="Times New Roman"/>
          <w:color w:val="000000"/>
          <w:szCs w:val="20"/>
          <w:lang w:eastAsia="en-AU"/>
        </w:rPr>
        <w:t xml:space="preserve">sensitivity </w:t>
      </w:r>
      <w:r w:rsidRPr="006C0669">
        <w:rPr>
          <w:rFonts w:eastAsia="Times New Roman" w:cs="Times New Roman"/>
          <w:color w:val="000000"/>
          <w:szCs w:val="20"/>
          <w:lang w:eastAsia="en-AU"/>
        </w:rPr>
        <w:t xml:space="preserve">analyses </w:t>
      </w:r>
      <w:r>
        <w:rPr>
          <w:rFonts w:eastAsia="Times New Roman" w:cs="Times New Roman"/>
          <w:color w:val="000000"/>
          <w:szCs w:val="20"/>
          <w:lang w:eastAsia="en-AU"/>
        </w:rPr>
        <w:t>performed by the</w:t>
      </w:r>
      <w:r w:rsidRPr="006C0669">
        <w:rPr>
          <w:rFonts w:eastAsia="Times New Roman" w:cs="Times New Roman"/>
          <w:color w:val="000000"/>
          <w:szCs w:val="20"/>
          <w:lang w:eastAsia="en-AU"/>
        </w:rPr>
        <w:t xml:space="preserve"> commentary showed the results to be sensitive to testing frequency and the proportion of patients with stable disease where substitution from TTE to the intervention occurs</w:t>
      </w:r>
      <w:r>
        <w:rPr>
          <w:rFonts w:eastAsia="Times New Roman" w:cs="Times New Roman"/>
          <w:color w:val="000000"/>
          <w:szCs w:val="20"/>
          <w:lang w:eastAsia="en-AU"/>
        </w:rPr>
        <w:t xml:space="preserve">. ESC accepted the commentary’s estimate that </w:t>
      </w:r>
      <w:r w:rsidRPr="00022DAC">
        <w:rPr>
          <w:rFonts w:eastAsia="Times New Roman" w:cs="Times New Roman"/>
          <w:color w:val="000000"/>
          <w:szCs w:val="20"/>
          <w:lang w:eastAsia="en-AU"/>
        </w:rPr>
        <w:t>if the proportion of PAH patients who are able to substitute two (of four) TTEs per year remains above 48.8% (average reduction of 0.24 TTE per NT-</w:t>
      </w:r>
      <w:proofErr w:type="spellStart"/>
      <w:r w:rsidRPr="00022DAC">
        <w:rPr>
          <w:rFonts w:eastAsia="Times New Roman" w:cs="Times New Roman"/>
          <w:color w:val="000000"/>
          <w:szCs w:val="20"/>
          <w:lang w:eastAsia="en-AU"/>
        </w:rPr>
        <w:t>proBNP</w:t>
      </w:r>
      <w:proofErr w:type="spellEnd"/>
      <w:r w:rsidRPr="00022DAC">
        <w:rPr>
          <w:rFonts w:eastAsia="Times New Roman" w:cs="Times New Roman"/>
          <w:color w:val="000000"/>
          <w:szCs w:val="20"/>
          <w:lang w:eastAsia="en-AU"/>
        </w:rPr>
        <w:t xml:space="preserve"> test performed), then the conclusion of cost savings would not change</w:t>
      </w:r>
      <w:r>
        <w:rPr>
          <w:rFonts w:eastAsia="Times New Roman" w:cs="Times New Roman"/>
          <w:color w:val="000000"/>
          <w:szCs w:val="20"/>
          <w:lang w:eastAsia="en-AU"/>
        </w:rPr>
        <w:t>.</w:t>
      </w:r>
    </w:p>
    <w:p w14:paraId="5305238D" w14:textId="77777777" w:rsidR="00840EF5" w:rsidRDefault="00840EF5" w:rsidP="00840EF5">
      <w:pPr>
        <w:spacing w:before="0" w:after="240" w:line="240" w:lineRule="auto"/>
        <w:rPr>
          <w:rFonts w:eastAsia="Times New Roman" w:cs="Times New Roman"/>
          <w:color w:val="000000"/>
          <w:szCs w:val="20"/>
          <w:lang w:eastAsia="en-AU"/>
        </w:rPr>
      </w:pPr>
      <w:r w:rsidRPr="00A00566">
        <w:rPr>
          <w:rFonts w:eastAsia="Times New Roman" w:cs="Times New Roman"/>
          <w:color w:val="000000"/>
          <w:szCs w:val="20"/>
          <w:lang w:eastAsia="en-AU"/>
        </w:rPr>
        <w:t xml:space="preserve">ESC noted that </w:t>
      </w:r>
      <w:r>
        <w:rPr>
          <w:rFonts w:eastAsia="Times New Roman" w:cs="Times New Roman"/>
          <w:color w:val="000000"/>
          <w:szCs w:val="20"/>
          <w:lang w:eastAsia="en-AU"/>
        </w:rPr>
        <w:t xml:space="preserve">the financial analysis reported </w:t>
      </w:r>
      <w:r w:rsidRPr="00A00566">
        <w:rPr>
          <w:rFonts w:eastAsia="Times New Roman" w:cs="Times New Roman"/>
          <w:color w:val="000000"/>
          <w:szCs w:val="20"/>
          <w:lang w:eastAsia="en-AU"/>
        </w:rPr>
        <w:t xml:space="preserve">a projected cost savings to MBS across all years, from a saving of $232,674 in 2023 to $351,359 in 2027. </w:t>
      </w:r>
      <w:r>
        <w:rPr>
          <w:rFonts w:eastAsia="Times New Roman" w:cs="Times New Roman"/>
          <w:color w:val="000000"/>
          <w:szCs w:val="20"/>
          <w:lang w:eastAsia="en-AU"/>
        </w:rPr>
        <w:t>However, ESC considered that several uncertainties in these estimates remain because of:</w:t>
      </w:r>
    </w:p>
    <w:p w14:paraId="0731C865" w14:textId="77777777" w:rsidR="00840EF5" w:rsidRDefault="00840EF5" w:rsidP="00840EF5">
      <w:pPr>
        <w:pStyle w:val="ListParagraph"/>
        <w:numPr>
          <w:ilvl w:val="0"/>
          <w:numId w:val="31"/>
        </w:numPr>
        <w:spacing w:before="0" w:after="240" w:line="240" w:lineRule="auto"/>
        <w:rPr>
          <w:rFonts w:eastAsia="Times New Roman" w:cs="Times New Roman"/>
          <w:color w:val="000000"/>
          <w:szCs w:val="20"/>
          <w:lang w:eastAsia="en-AU"/>
        </w:rPr>
      </w:pPr>
      <w:r>
        <w:rPr>
          <w:rFonts w:eastAsia="Times New Roman" w:cs="Times New Roman"/>
          <w:color w:val="000000"/>
          <w:szCs w:val="20"/>
          <w:lang w:eastAsia="en-AU"/>
        </w:rPr>
        <w:t>l</w:t>
      </w:r>
      <w:r w:rsidRPr="00E500B8">
        <w:rPr>
          <w:rFonts w:eastAsia="Times New Roman" w:cs="Times New Roman"/>
          <w:color w:val="000000"/>
          <w:szCs w:val="20"/>
          <w:lang w:eastAsia="en-AU"/>
        </w:rPr>
        <w:t>ikely</w:t>
      </w:r>
      <w:r w:rsidRPr="00A2112E">
        <w:rPr>
          <w:rFonts w:eastAsia="Times New Roman" w:cs="Times New Roman"/>
          <w:color w:val="000000"/>
          <w:szCs w:val="20"/>
          <w:lang w:eastAsia="en-AU"/>
        </w:rPr>
        <w:t xml:space="preserve"> under</w:t>
      </w:r>
      <w:r w:rsidRPr="00742E39">
        <w:rPr>
          <w:rFonts w:eastAsia="Times New Roman" w:cs="Times New Roman"/>
          <w:color w:val="000000"/>
          <w:szCs w:val="20"/>
          <w:lang w:eastAsia="en-AU"/>
        </w:rPr>
        <w:t>estimate o</w:t>
      </w:r>
      <w:r w:rsidRPr="002D1B91">
        <w:rPr>
          <w:rFonts w:eastAsia="Times New Roman" w:cs="Times New Roman"/>
          <w:color w:val="000000"/>
          <w:szCs w:val="20"/>
          <w:lang w:eastAsia="en-AU"/>
        </w:rPr>
        <w:t>f population size</w:t>
      </w:r>
      <w:r>
        <w:rPr>
          <w:rFonts w:eastAsia="Times New Roman" w:cs="Times New Roman"/>
          <w:color w:val="000000"/>
          <w:szCs w:val="20"/>
          <w:lang w:eastAsia="en-AU"/>
        </w:rPr>
        <w:t xml:space="preserve"> (i.e. the number of PAH patients)</w:t>
      </w:r>
      <w:r w:rsidRPr="00E500B8">
        <w:rPr>
          <w:rFonts w:eastAsia="Times New Roman" w:cs="Times New Roman"/>
          <w:color w:val="000000"/>
          <w:szCs w:val="20"/>
          <w:lang w:eastAsia="en-AU"/>
        </w:rPr>
        <w:t xml:space="preserve"> in </w:t>
      </w:r>
      <w:r>
        <w:rPr>
          <w:rFonts w:eastAsia="Times New Roman" w:cs="Times New Roman"/>
          <w:color w:val="000000"/>
          <w:szCs w:val="20"/>
          <w:lang w:eastAsia="en-AU"/>
        </w:rPr>
        <w:t xml:space="preserve">the </w:t>
      </w:r>
      <w:r w:rsidRPr="00E500B8">
        <w:rPr>
          <w:rFonts w:eastAsia="Times New Roman" w:cs="Times New Roman"/>
          <w:color w:val="000000"/>
          <w:szCs w:val="20"/>
          <w:lang w:eastAsia="en-AU"/>
        </w:rPr>
        <w:t>base case</w:t>
      </w:r>
      <w:r>
        <w:rPr>
          <w:rFonts w:eastAsia="Times New Roman" w:cs="Times New Roman"/>
          <w:color w:val="000000"/>
          <w:szCs w:val="20"/>
          <w:lang w:eastAsia="en-AU"/>
        </w:rPr>
        <w:t xml:space="preserve"> compared to what MSAC had considered reasonable previously which was based on higher estimates </w:t>
      </w:r>
      <w:r w:rsidRPr="00A00566">
        <w:rPr>
          <w:rFonts w:eastAsia="Times New Roman" w:cs="Times New Roman"/>
          <w:color w:val="000000"/>
          <w:szCs w:val="20"/>
          <w:lang w:eastAsia="en-AU"/>
        </w:rPr>
        <w:t xml:space="preserve">from Pharmaceutical Benefits Scheme (PBS) </w:t>
      </w:r>
      <w:r>
        <w:rPr>
          <w:rFonts w:eastAsia="Times New Roman" w:cs="Times New Roman"/>
          <w:color w:val="000000"/>
          <w:szCs w:val="20"/>
          <w:lang w:eastAsia="en-AU"/>
        </w:rPr>
        <w:t>script</w:t>
      </w:r>
      <w:r w:rsidRPr="00A00566">
        <w:rPr>
          <w:rFonts w:eastAsia="Times New Roman" w:cs="Times New Roman"/>
          <w:color w:val="000000"/>
          <w:szCs w:val="20"/>
          <w:lang w:eastAsia="en-AU"/>
        </w:rPr>
        <w:t xml:space="preserve"> data</w:t>
      </w:r>
    </w:p>
    <w:p w14:paraId="1BE17AF3" w14:textId="77777777" w:rsidR="00840EF5" w:rsidRDefault="00840EF5" w:rsidP="00840EF5">
      <w:pPr>
        <w:pStyle w:val="ListParagraph"/>
        <w:numPr>
          <w:ilvl w:val="0"/>
          <w:numId w:val="31"/>
        </w:numPr>
        <w:spacing w:before="0" w:after="240" w:line="240" w:lineRule="auto"/>
        <w:rPr>
          <w:rFonts w:eastAsia="Times New Roman" w:cs="Times New Roman"/>
          <w:color w:val="000000"/>
          <w:szCs w:val="20"/>
          <w:lang w:eastAsia="en-AU"/>
        </w:rPr>
      </w:pPr>
      <w:r>
        <w:rPr>
          <w:rFonts w:eastAsia="Times New Roman" w:cs="Times New Roman"/>
          <w:color w:val="000000"/>
          <w:szCs w:val="20"/>
          <w:lang w:eastAsia="en-AU"/>
        </w:rPr>
        <w:t>u</w:t>
      </w:r>
      <w:r w:rsidRPr="00E500B8">
        <w:rPr>
          <w:rFonts w:eastAsia="Times New Roman" w:cs="Times New Roman"/>
          <w:color w:val="000000"/>
          <w:szCs w:val="20"/>
          <w:lang w:eastAsia="en-AU"/>
        </w:rPr>
        <w:t>ncertainties</w:t>
      </w:r>
      <w:r w:rsidRPr="00A2112E">
        <w:rPr>
          <w:rFonts w:eastAsia="Times New Roman" w:cs="Times New Roman"/>
          <w:color w:val="000000"/>
          <w:szCs w:val="20"/>
          <w:lang w:eastAsia="en-AU"/>
        </w:rPr>
        <w:t xml:space="preserve"> in substitution and differential use between intervention/TTE as raised in </w:t>
      </w:r>
      <w:r>
        <w:rPr>
          <w:rFonts w:eastAsia="Times New Roman" w:cs="Times New Roman"/>
          <w:color w:val="000000"/>
          <w:szCs w:val="20"/>
          <w:lang w:eastAsia="en-AU"/>
        </w:rPr>
        <w:t xml:space="preserve">the </w:t>
      </w:r>
      <w:r w:rsidRPr="00A2112E">
        <w:rPr>
          <w:rFonts w:eastAsia="Times New Roman" w:cs="Times New Roman"/>
          <w:color w:val="000000"/>
          <w:szCs w:val="20"/>
          <w:lang w:eastAsia="en-AU"/>
        </w:rPr>
        <w:t xml:space="preserve">economic evaluation </w:t>
      </w:r>
    </w:p>
    <w:p w14:paraId="34366EDB" w14:textId="77777777" w:rsidR="00840EF5" w:rsidRPr="00742E39" w:rsidRDefault="00840EF5" w:rsidP="00840EF5">
      <w:pPr>
        <w:pStyle w:val="ListParagraph"/>
        <w:numPr>
          <w:ilvl w:val="0"/>
          <w:numId w:val="31"/>
        </w:numPr>
        <w:spacing w:before="0" w:after="240" w:line="240" w:lineRule="auto"/>
        <w:rPr>
          <w:rFonts w:eastAsia="Times New Roman" w:cs="Times New Roman"/>
          <w:color w:val="000000"/>
          <w:szCs w:val="20"/>
          <w:lang w:eastAsia="en-AU"/>
        </w:rPr>
      </w:pPr>
      <w:r>
        <w:rPr>
          <w:rFonts w:eastAsia="Times New Roman" w:cs="Times New Roman"/>
          <w:color w:val="000000"/>
          <w:szCs w:val="20"/>
          <w:lang w:eastAsia="en-AU"/>
        </w:rPr>
        <w:t>uncertainty regarding the r</w:t>
      </w:r>
      <w:r w:rsidRPr="00E500B8">
        <w:rPr>
          <w:rFonts w:eastAsia="Times New Roman" w:cs="Times New Roman"/>
          <w:color w:val="000000"/>
          <w:szCs w:val="20"/>
          <w:lang w:eastAsia="en-AU"/>
        </w:rPr>
        <w:t>ate</w:t>
      </w:r>
      <w:r w:rsidRPr="00A2112E">
        <w:rPr>
          <w:rFonts w:eastAsia="Times New Roman" w:cs="Times New Roman"/>
          <w:color w:val="000000"/>
          <w:szCs w:val="20"/>
          <w:lang w:eastAsia="en-AU"/>
        </w:rPr>
        <w:t xml:space="preserve"> of patients experiencing ‘clinical worsening’</w:t>
      </w:r>
    </w:p>
    <w:p w14:paraId="27479257" w14:textId="77777777" w:rsidR="00840EF5" w:rsidRDefault="00840EF5" w:rsidP="00840EF5">
      <w:pPr>
        <w:spacing w:before="0" w:after="240" w:line="240" w:lineRule="auto"/>
        <w:rPr>
          <w:rFonts w:eastAsia="Times New Roman" w:cs="Times New Roman"/>
          <w:color w:val="000000"/>
          <w:szCs w:val="20"/>
          <w:lang w:eastAsia="en-AU"/>
        </w:rPr>
      </w:pPr>
      <w:r w:rsidRPr="00A00566">
        <w:rPr>
          <w:rFonts w:eastAsia="Times New Roman" w:cs="Times New Roman"/>
          <w:color w:val="000000"/>
          <w:szCs w:val="20"/>
          <w:lang w:eastAsia="en-AU"/>
        </w:rPr>
        <w:t>ESC noted that a series of univariate analyses, varying the time horizon (2 years), the comparator, the follow-up period (5–6 months) and rate of clinical worsening of patients (35% or 50%) showed that the proposed MBS funding of NT-</w:t>
      </w:r>
      <w:proofErr w:type="spellStart"/>
      <w:r w:rsidRPr="00A00566">
        <w:rPr>
          <w:rFonts w:eastAsia="Times New Roman" w:cs="Times New Roman"/>
          <w:color w:val="000000"/>
          <w:szCs w:val="20"/>
          <w:lang w:eastAsia="en-AU"/>
        </w:rPr>
        <w:t>proBNP</w:t>
      </w:r>
      <w:proofErr w:type="spellEnd"/>
      <w:r w:rsidRPr="00A00566">
        <w:rPr>
          <w:rFonts w:eastAsia="Times New Roman" w:cs="Times New Roman"/>
          <w:color w:val="000000"/>
          <w:szCs w:val="20"/>
          <w:lang w:eastAsia="en-AU"/>
        </w:rPr>
        <w:t xml:space="preserve"> would result in an overall best</w:t>
      </w:r>
      <w:r>
        <w:rPr>
          <w:rFonts w:eastAsia="Times New Roman" w:cs="Times New Roman"/>
          <w:color w:val="000000"/>
          <w:szCs w:val="20"/>
          <w:lang w:eastAsia="en-AU"/>
        </w:rPr>
        <w:t>-</w:t>
      </w:r>
      <w:r w:rsidRPr="00A00566">
        <w:rPr>
          <w:rFonts w:eastAsia="Times New Roman" w:cs="Times New Roman"/>
          <w:color w:val="000000"/>
          <w:szCs w:val="20"/>
          <w:lang w:eastAsia="en-AU"/>
        </w:rPr>
        <w:t>case cost saving of $2,731.28 per patient or at worst (a highly conservative) case an incremental cost of $55.47 per patient. However, ESC noted that this assumed that NT-</w:t>
      </w:r>
      <w:proofErr w:type="spellStart"/>
      <w:r w:rsidRPr="00A00566">
        <w:rPr>
          <w:rFonts w:eastAsia="Times New Roman" w:cs="Times New Roman"/>
          <w:color w:val="000000"/>
          <w:szCs w:val="20"/>
          <w:lang w:eastAsia="en-AU"/>
        </w:rPr>
        <w:t>proBNP</w:t>
      </w:r>
      <w:proofErr w:type="spellEnd"/>
      <w:r w:rsidRPr="00A00566">
        <w:rPr>
          <w:rFonts w:eastAsia="Times New Roman" w:cs="Times New Roman"/>
          <w:color w:val="000000"/>
          <w:szCs w:val="20"/>
          <w:lang w:eastAsia="en-AU"/>
        </w:rPr>
        <w:t xml:space="preserve"> would be more accessible than TTE, particularly for people who live in rural and remote areas. Therefore,</w:t>
      </w:r>
      <w:r>
        <w:rPr>
          <w:rFonts w:eastAsia="Times New Roman" w:cs="Times New Roman"/>
          <w:color w:val="000000"/>
          <w:szCs w:val="20"/>
          <w:lang w:eastAsia="en-AU"/>
        </w:rPr>
        <w:t xml:space="preserve"> ESC considered that</w:t>
      </w:r>
      <w:r w:rsidRPr="00A00566">
        <w:rPr>
          <w:rFonts w:eastAsia="Times New Roman" w:cs="Times New Roman"/>
          <w:color w:val="000000"/>
          <w:szCs w:val="20"/>
          <w:lang w:eastAsia="en-AU"/>
        </w:rPr>
        <w:t xml:space="preserve"> the cost-saving estimates for the scenario and sensitivity analyses presented in the ADAR appears to be uncertain, and likely to be overestimated.</w:t>
      </w:r>
      <w:r>
        <w:rPr>
          <w:rFonts w:eastAsia="Times New Roman" w:cs="Times New Roman"/>
          <w:color w:val="000000"/>
          <w:szCs w:val="20"/>
          <w:lang w:eastAsia="en-AU"/>
        </w:rPr>
        <w:t xml:space="preserve"> ESC considered the maximum exposure for the MBS under the scenario where the listing of NT-</w:t>
      </w:r>
      <w:proofErr w:type="spellStart"/>
      <w:r>
        <w:rPr>
          <w:rFonts w:eastAsia="Times New Roman" w:cs="Times New Roman"/>
          <w:color w:val="000000"/>
          <w:szCs w:val="20"/>
          <w:lang w:eastAsia="en-AU"/>
        </w:rPr>
        <w:t>proBNP</w:t>
      </w:r>
      <w:proofErr w:type="spellEnd"/>
      <w:r>
        <w:rPr>
          <w:rFonts w:eastAsia="Times New Roman" w:cs="Times New Roman"/>
          <w:color w:val="000000"/>
          <w:szCs w:val="20"/>
          <w:lang w:eastAsia="en-AU"/>
        </w:rPr>
        <w:t xml:space="preserve"> was no longer cost saving i.e., 50% clinical worsening and a </w:t>
      </w:r>
      <w:r w:rsidRPr="00F64C00">
        <w:t>reduction of 0.</w:t>
      </w:r>
      <w:r>
        <w:t>19</w:t>
      </w:r>
      <w:r w:rsidRPr="00F64C00">
        <w:t xml:space="preserve"> TTEs per NT-</w:t>
      </w:r>
      <w:proofErr w:type="spellStart"/>
      <w:r w:rsidRPr="00F64C00">
        <w:t>proBNP</w:t>
      </w:r>
      <w:proofErr w:type="spellEnd"/>
      <w:r w:rsidRPr="00F64C00">
        <w:t xml:space="preserve"> test performed</w:t>
      </w:r>
      <w:r>
        <w:t xml:space="preserve">, to be between $122,047 in year 1 up to $184,302 in year 6. </w:t>
      </w:r>
    </w:p>
    <w:p w14:paraId="7FC5D1B8" w14:textId="20E97BDA" w:rsidR="00840EF5" w:rsidRDefault="00840EF5" w:rsidP="00840EF5">
      <w:pPr>
        <w:spacing w:before="0" w:after="240" w:line="240" w:lineRule="auto"/>
        <w:rPr>
          <w:rFonts w:eastAsia="Times New Roman" w:cs="Times New Roman"/>
          <w:color w:val="000000"/>
          <w:szCs w:val="20"/>
          <w:lang w:eastAsia="en-AU"/>
        </w:rPr>
      </w:pPr>
      <w:r>
        <w:rPr>
          <w:rFonts w:eastAsia="Times New Roman" w:cs="Times New Roman"/>
          <w:color w:val="000000"/>
          <w:szCs w:val="20"/>
          <w:lang w:eastAsia="en-AU"/>
        </w:rPr>
        <w:t>ESC noted that the potential reduced access to TTE in rural and remote areas may imply that there is a case based on equity for funding NT-</w:t>
      </w:r>
      <w:proofErr w:type="spellStart"/>
      <w:r>
        <w:rPr>
          <w:rFonts w:eastAsia="Times New Roman" w:cs="Times New Roman"/>
          <w:color w:val="000000"/>
          <w:szCs w:val="20"/>
          <w:lang w:eastAsia="en-AU"/>
        </w:rPr>
        <w:t>proBNP</w:t>
      </w:r>
      <w:proofErr w:type="spellEnd"/>
      <w:r>
        <w:rPr>
          <w:rFonts w:eastAsia="Times New Roman" w:cs="Times New Roman"/>
          <w:color w:val="000000"/>
          <w:szCs w:val="20"/>
          <w:lang w:eastAsia="en-AU"/>
        </w:rPr>
        <w:t xml:space="preserve"> as it would be a more accessible test for this population. ESC considered that overall there may be a clinical and patient need for this test (not just in terms of accessibility to testing alternatives but also in terms of overall patient discomfort with using TTEs), and that one approach may be to monitor utilisation after listing to evaluate the risk of leakage under the proposed item descriptor. </w:t>
      </w:r>
    </w:p>
    <w:p w14:paraId="0789FD96" w14:textId="2757AEC8" w:rsidR="00840EF5" w:rsidRDefault="00840EF5" w:rsidP="00840EF5">
      <w:pPr>
        <w:pStyle w:val="Heading2"/>
        <w:numPr>
          <w:ilvl w:val="0"/>
          <w:numId w:val="0"/>
        </w:numPr>
      </w:pPr>
      <w:r>
        <w:t>17.</w:t>
      </w:r>
      <w:r>
        <w:tab/>
        <w:t>Applicant comments on MSAC’s Public Summary Document</w:t>
      </w:r>
    </w:p>
    <w:p w14:paraId="53D205CF" w14:textId="7AFD1E37" w:rsidR="00840EF5" w:rsidRPr="00653F2B" w:rsidRDefault="00653F2B" w:rsidP="00840EF5">
      <w:pPr>
        <w:spacing w:after="240"/>
        <w:rPr>
          <w:szCs w:val="24"/>
        </w:rPr>
      </w:pPr>
      <w:r w:rsidRPr="00653F2B">
        <w:rPr>
          <w:szCs w:val="24"/>
        </w:rPr>
        <w:t>The applicant had no comment.</w:t>
      </w:r>
    </w:p>
    <w:p w14:paraId="3B35B762" w14:textId="77777777" w:rsidR="00840EF5" w:rsidRDefault="00840EF5" w:rsidP="00840EF5">
      <w:pPr>
        <w:pStyle w:val="Heading2"/>
        <w:numPr>
          <w:ilvl w:val="0"/>
          <w:numId w:val="0"/>
        </w:numPr>
      </w:pPr>
      <w:r>
        <w:t>18.</w:t>
      </w:r>
      <w:r>
        <w:tab/>
        <w:t>Further information on MSAC</w:t>
      </w:r>
    </w:p>
    <w:bookmarkEnd w:id="2"/>
    <w:bookmarkEnd w:id="65"/>
    <w:p w14:paraId="01859630" w14:textId="2A6B4B06" w:rsidR="00840EF5" w:rsidRPr="00840EF5" w:rsidRDefault="00840EF5" w:rsidP="00840EF5">
      <w:pPr>
        <w:pStyle w:val="BodyText"/>
        <w:rPr>
          <w:rFonts w:ascii="Franklin Gothic Book" w:hAnsi="Franklin Gothic Book" w:cstheme="minorBidi"/>
          <w:b/>
          <w:bCs/>
          <w:i/>
          <w:iCs/>
          <w:sz w:val="22"/>
        </w:rPr>
      </w:pPr>
      <w:r w:rsidRPr="00F309FA">
        <w:rPr>
          <w:rFonts w:ascii="Franklin Gothic Book" w:hAnsi="Franklin Gothic Book"/>
          <w:bCs/>
          <w:iCs/>
          <w:sz w:val="22"/>
        </w:rPr>
        <w:t xml:space="preserve">MSAC Terms of Reference and other information are available on the MSAC Website: </w:t>
      </w:r>
      <w:hyperlink r:id="rId15" w:tooltip="Link to the MSAC website" w:history="1">
        <w:r w:rsidRPr="00F309FA">
          <w:rPr>
            <w:rStyle w:val="Hyperlink"/>
            <w:rFonts w:ascii="Franklin Gothic Book" w:hAnsi="Franklin Gothic Book"/>
            <w:bCs/>
            <w:iCs/>
            <w:sz w:val="22"/>
          </w:rPr>
          <w:t>visit the MSAC website</w:t>
        </w:r>
      </w:hyperlink>
    </w:p>
    <w:sectPr w:rsidR="00840EF5" w:rsidRPr="00840EF5" w:rsidSect="00F82232">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5FB08" w14:textId="77777777" w:rsidR="002847E6" w:rsidRDefault="002847E6" w:rsidP="00B62DF2">
      <w:pPr>
        <w:spacing w:after="0" w:line="240" w:lineRule="auto"/>
      </w:pPr>
      <w:r>
        <w:separator/>
      </w:r>
    </w:p>
  </w:endnote>
  <w:endnote w:type="continuationSeparator" w:id="0">
    <w:p w14:paraId="0D85439C" w14:textId="77777777" w:rsidR="002847E6" w:rsidRDefault="002847E6" w:rsidP="00B62DF2">
      <w:pPr>
        <w:spacing w:after="0" w:line="240" w:lineRule="auto"/>
      </w:pPr>
      <w:r>
        <w:continuationSeparator/>
      </w:r>
    </w:p>
  </w:endnote>
  <w:endnote w:type="continuationNotice" w:id="1">
    <w:p w14:paraId="514F4AAE" w14:textId="77777777" w:rsidR="002847E6" w:rsidRDefault="002847E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D499" w14:textId="06CFA53B" w:rsidR="008D7726" w:rsidRDefault="008D7726">
    <w:pPr>
      <w:pStyle w:val="Footer"/>
    </w:pPr>
    <w:r>
      <w:fldChar w:fldCharType="begin"/>
    </w:r>
    <w:r>
      <w:instrText xml:space="preserve"> PAGE   \* MERGEFORMAT </w:instrText>
    </w:r>
    <w:r>
      <w:fldChar w:fldCharType="separate"/>
    </w:r>
    <w:r>
      <w:rPr>
        <w:noProof/>
      </w:rPr>
      <w:t>62</w:t>
    </w:r>
    <w:r>
      <w:rPr>
        <w:noProof/>
      </w:rPr>
      <w:fldChar w:fldCharType="end"/>
    </w:r>
    <w:r>
      <w:rPr>
        <w:noProof/>
      </w:rPr>
      <w:tab/>
    </w:r>
    <w:r w:rsidRPr="00052DD3">
      <w:t xml:space="preserve">MSAC assessment report </w:t>
    </w:r>
    <w:r>
      <w:t xml:space="preserve">1689 NT </w:t>
    </w:r>
    <w:proofErr w:type="spellStart"/>
    <w:r>
      <w:t>proBNP</w:t>
    </w:r>
    <w:proofErr w:type="spellEnd"/>
    <w:r>
      <w:t xml:space="preserve"> Quantification Scleroderma &amp; PAH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70844E22" w:rsidR="008D7726" w:rsidRDefault="008D7726" w:rsidP="00C93C2F">
        <w:pPr>
          <w:pStyle w:val="Footer"/>
          <w:jc w:val="right"/>
        </w:pPr>
        <w:r>
          <w:fldChar w:fldCharType="begin"/>
        </w:r>
        <w:r>
          <w:instrText xml:space="preserve"> PAGE   \* MERGEFORMAT </w:instrText>
        </w:r>
        <w:r>
          <w:fldChar w:fldCharType="separate"/>
        </w:r>
        <w:r>
          <w:rPr>
            <w:noProof/>
          </w:rPr>
          <w:t>31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1B1C" w14:textId="77777777" w:rsidR="00292380" w:rsidRDefault="00292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519E4" w14:textId="77777777" w:rsidR="002847E6" w:rsidRDefault="002847E6" w:rsidP="00B62DF2">
      <w:pPr>
        <w:spacing w:after="0" w:line="240" w:lineRule="auto"/>
      </w:pPr>
      <w:r>
        <w:separator/>
      </w:r>
    </w:p>
  </w:footnote>
  <w:footnote w:type="continuationSeparator" w:id="0">
    <w:p w14:paraId="0203B9AA" w14:textId="77777777" w:rsidR="002847E6" w:rsidRDefault="002847E6" w:rsidP="00B62DF2">
      <w:pPr>
        <w:spacing w:after="0" w:line="240" w:lineRule="auto"/>
      </w:pPr>
      <w:r>
        <w:continuationSeparator/>
      </w:r>
    </w:p>
  </w:footnote>
  <w:footnote w:type="continuationNotice" w:id="1">
    <w:p w14:paraId="7B40AAB4" w14:textId="77777777" w:rsidR="002847E6" w:rsidRDefault="002847E6">
      <w:pPr>
        <w:spacing w:before="0" w:after="0" w:line="240" w:lineRule="auto"/>
      </w:pPr>
    </w:p>
  </w:footnote>
  <w:footnote w:id="2">
    <w:p w14:paraId="4924EB87" w14:textId="09CD17B5" w:rsidR="004100A1" w:rsidRDefault="004100A1">
      <w:pPr>
        <w:pStyle w:val="FootnoteText"/>
      </w:pPr>
      <w:r>
        <w:rPr>
          <w:rStyle w:val="FootnoteReference"/>
        </w:rPr>
        <w:footnoteRef/>
      </w:r>
      <w:r>
        <w:t xml:space="preserve"> </w:t>
      </w:r>
      <w:r w:rsidRPr="005535C9">
        <w:t>Humbert, M.</w:t>
      </w:r>
      <w:r>
        <w:t xml:space="preserve">, et al. </w:t>
      </w:r>
      <w:r w:rsidRPr="005535C9">
        <w:t xml:space="preserve">(2022). </w:t>
      </w:r>
      <w:r>
        <w:t>‘</w:t>
      </w:r>
      <w:r w:rsidRPr="005535C9">
        <w:t>2022 ESC/ERS Guidelines for the diagnosis and treatment of pulmonary hypertension.</w:t>
      </w:r>
      <w:r>
        <w:t xml:space="preserve">’ </w:t>
      </w:r>
      <w:r w:rsidRPr="005535C9">
        <w:t xml:space="preserve"> </w:t>
      </w:r>
      <w:r w:rsidRPr="009833E0">
        <w:rPr>
          <w:i/>
          <w:iCs/>
        </w:rPr>
        <w:t>European Heart Journal</w:t>
      </w:r>
      <w:r w:rsidRPr="005535C9">
        <w:t>, 43(38)</w:t>
      </w:r>
      <w:r>
        <w:t xml:space="preserve">: </w:t>
      </w:r>
      <w:r w:rsidRPr="005535C9">
        <w:t>3618-3731</w:t>
      </w:r>
    </w:p>
  </w:footnote>
  <w:footnote w:id="3">
    <w:p w14:paraId="475F9219" w14:textId="14D60283" w:rsidR="008D7726" w:rsidRDefault="008D7726">
      <w:pPr>
        <w:pStyle w:val="FootnoteText"/>
      </w:pPr>
      <w:r>
        <w:rPr>
          <w:rStyle w:val="FootnoteReference"/>
        </w:rPr>
        <w:footnoteRef/>
      </w:r>
      <w:r>
        <w:t xml:space="preserve"> </w:t>
      </w:r>
      <w:r w:rsidRPr="005535C9">
        <w:t>Humbert, M.</w:t>
      </w:r>
      <w:r w:rsidR="003F1E6A">
        <w:t xml:space="preserve">, et al. </w:t>
      </w:r>
      <w:r w:rsidRPr="005535C9">
        <w:t xml:space="preserve">(2022). </w:t>
      </w:r>
      <w:r w:rsidR="003F1E6A">
        <w:t>‘</w:t>
      </w:r>
      <w:r w:rsidRPr="005535C9">
        <w:t>2022 ESC/ERS Guidelines for the diagnosis and treatment of pulmonary hypertension.</w:t>
      </w:r>
      <w:r w:rsidR="003F1E6A">
        <w:t xml:space="preserve">’ </w:t>
      </w:r>
      <w:r w:rsidRPr="005535C9">
        <w:t xml:space="preserve"> </w:t>
      </w:r>
      <w:r w:rsidRPr="009833E0">
        <w:rPr>
          <w:i/>
          <w:iCs/>
        </w:rPr>
        <w:t>Eur</w:t>
      </w:r>
      <w:r w:rsidR="003F1E6A" w:rsidRPr="009833E0">
        <w:rPr>
          <w:i/>
          <w:iCs/>
        </w:rPr>
        <w:t xml:space="preserve">opean </w:t>
      </w:r>
      <w:r w:rsidRPr="009833E0">
        <w:rPr>
          <w:i/>
          <w:iCs/>
        </w:rPr>
        <w:t>Heart J</w:t>
      </w:r>
      <w:r w:rsidR="003F1E6A" w:rsidRPr="009833E0">
        <w:rPr>
          <w:i/>
          <w:iCs/>
        </w:rPr>
        <w:t>ournal</w:t>
      </w:r>
      <w:r w:rsidRPr="005535C9">
        <w:t>, 43(38)</w:t>
      </w:r>
      <w:r w:rsidR="003F1E6A">
        <w:t xml:space="preserve">: </w:t>
      </w:r>
      <w:r w:rsidRPr="005535C9">
        <w:t>3618-3731.</w:t>
      </w:r>
    </w:p>
  </w:footnote>
  <w:footnote w:id="4">
    <w:p w14:paraId="43C4452A" w14:textId="601C8A63" w:rsidR="005246A1" w:rsidRDefault="005246A1">
      <w:pPr>
        <w:pStyle w:val="FootnoteText"/>
      </w:pPr>
      <w:r>
        <w:rPr>
          <w:rStyle w:val="FootnoteReference"/>
        </w:rPr>
        <w:footnoteRef/>
      </w:r>
      <w:r>
        <w:t xml:space="preserve"> </w:t>
      </w:r>
      <w:proofErr w:type="spellStart"/>
      <w:r w:rsidR="00824DD6" w:rsidRPr="00824DD6">
        <w:t>Hoeper</w:t>
      </w:r>
      <w:proofErr w:type="spellEnd"/>
      <w:r w:rsidR="00824DD6" w:rsidRPr="00824DD6">
        <w:t>, M.M.</w:t>
      </w:r>
      <w:r w:rsidR="00824DD6">
        <w:t xml:space="preserve"> et al.</w:t>
      </w:r>
      <w:r w:rsidR="00824DD6" w:rsidRPr="00824DD6">
        <w:t xml:space="preserve"> (2022). </w:t>
      </w:r>
      <w:r w:rsidR="00824DD6">
        <w:t>‘</w:t>
      </w:r>
      <w:r w:rsidR="00824DD6" w:rsidRPr="00824DD6">
        <w:t>COMPERA 2.0: a refined four-stratum risk assessment model for pulmonary arterial hypertension.</w:t>
      </w:r>
      <w:r w:rsidR="00F47F96">
        <w:t>’</w:t>
      </w:r>
      <w:r w:rsidR="00824DD6" w:rsidRPr="00824DD6">
        <w:t xml:space="preserve"> </w:t>
      </w:r>
      <w:r w:rsidR="00824DD6" w:rsidRPr="009833E0">
        <w:rPr>
          <w:i/>
          <w:iCs/>
        </w:rPr>
        <w:t>European Respiratory Journal</w:t>
      </w:r>
      <w:r w:rsidR="00F47F96">
        <w:t>,</w:t>
      </w:r>
      <w:r w:rsidR="00824DD6" w:rsidRPr="00824DD6">
        <w:t xml:space="preserve"> 60(1)</w:t>
      </w:r>
      <w:r w:rsidR="00F47F96">
        <w:t>:</w:t>
      </w:r>
      <w:r w:rsidR="00824DD6" w:rsidRPr="00824DD6">
        <w:t xml:space="preserve"> 2102311. </w:t>
      </w:r>
    </w:p>
  </w:footnote>
  <w:footnote w:id="5">
    <w:p w14:paraId="1812FD3A" w14:textId="75D25EDD" w:rsidR="007878D5" w:rsidRDefault="007878D5">
      <w:pPr>
        <w:pStyle w:val="FootnoteText"/>
      </w:pPr>
      <w:r>
        <w:rPr>
          <w:rStyle w:val="FootnoteReference"/>
        </w:rPr>
        <w:footnoteRef/>
      </w:r>
      <w:r>
        <w:t xml:space="preserve"> </w:t>
      </w:r>
      <w:proofErr w:type="spellStart"/>
      <w:proofErr w:type="gramStart"/>
      <w:r w:rsidRPr="007878D5">
        <w:t>Boucly</w:t>
      </w:r>
      <w:proofErr w:type="spellEnd"/>
      <w:r w:rsidR="000F0DA7">
        <w:t>,</w:t>
      </w:r>
      <w:r>
        <w:t xml:space="preserve"> </w:t>
      </w:r>
      <w:r w:rsidRPr="007878D5">
        <w:t xml:space="preserve"> A.</w:t>
      </w:r>
      <w:proofErr w:type="gramEnd"/>
      <w:r w:rsidRPr="007878D5">
        <w:t xml:space="preserve">, </w:t>
      </w:r>
      <w:r>
        <w:t>et al.</w:t>
      </w:r>
      <w:r w:rsidRPr="007878D5">
        <w:t xml:space="preserve">. (2022). </w:t>
      </w:r>
      <w:r w:rsidR="000F0DA7">
        <w:t>‘</w:t>
      </w:r>
      <w:r w:rsidRPr="007878D5">
        <w:t>External validation of a refined four-stratum risk assessment score from the French pulmonary hypertension registry.</w:t>
      </w:r>
      <w:r w:rsidR="000F0DA7">
        <w:t>’</w:t>
      </w:r>
      <w:r w:rsidRPr="007878D5">
        <w:t xml:space="preserve"> </w:t>
      </w:r>
      <w:r w:rsidRPr="009833E0">
        <w:rPr>
          <w:i/>
          <w:iCs/>
        </w:rPr>
        <w:t>European Respiratory Journal</w:t>
      </w:r>
      <w:r w:rsidRPr="007878D5">
        <w:t>, 59(6)</w:t>
      </w:r>
      <w:r w:rsidR="00A31B35">
        <w:t xml:space="preserve">: </w:t>
      </w:r>
      <w:r w:rsidRPr="007878D5">
        <w:t xml:space="preserve">2102419. </w:t>
      </w:r>
    </w:p>
  </w:footnote>
  <w:footnote w:id="6">
    <w:p w14:paraId="53305E53" w14:textId="4D7B06DA" w:rsidR="008D7726" w:rsidRDefault="008D7726">
      <w:pPr>
        <w:pStyle w:val="FootnoteText"/>
      </w:pPr>
      <w:r>
        <w:rPr>
          <w:rStyle w:val="FootnoteReference"/>
        </w:rPr>
        <w:footnoteRef/>
      </w:r>
      <w:r>
        <w:t xml:space="preserve"> </w:t>
      </w:r>
      <w:r w:rsidRPr="00CB75E3">
        <w:t>PBAC Consideration of PBS PAH medicine restriction changes arising from the Post-market Review</w:t>
      </w:r>
      <w:r>
        <w:t xml:space="preserve">, p.5, </w:t>
      </w:r>
      <w:hyperlink r:id="rId1" w:history="1">
        <w:r w:rsidRPr="00131DE0">
          <w:rPr>
            <w:rStyle w:val="Hyperlink"/>
          </w:rPr>
          <w:t>https://www.pbs.gov.au/reviews/pah-files/March-2022-PBAC-minutes.pdf</w:t>
        </w:r>
      </w:hyperlink>
      <w:r>
        <w:t xml:space="preserve"> </w:t>
      </w:r>
    </w:p>
  </w:footnote>
  <w:footnote w:id="7">
    <w:p w14:paraId="630B6FEF" w14:textId="77777777" w:rsidR="00840EF5" w:rsidRDefault="00840EF5" w:rsidP="00840EF5">
      <w:pPr>
        <w:pStyle w:val="FootnoteText"/>
      </w:pPr>
      <w:r>
        <w:rPr>
          <w:rStyle w:val="FootnoteReference"/>
        </w:rPr>
        <w:footnoteRef/>
      </w:r>
      <w:r>
        <w:t xml:space="preserve"> </w:t>
      </w:r>
      <w:r w:rsidRPr="00E56E50">
        <w:t>Rosenkranz S,</w:t>
      </w:r>
      <w:r>
        <w:t xml:space="preserve"> et al</w:t>
      </w:r>
      <w:r w:rsidRPr="00E56E50">
        <w:t>.</w:t>
      </w:r>
      <w:r>
        <w:t xml:space="preserve"> (2023).</w:t>
      </w:r>
      <w:r w:rsidRPr="00E56E50">
        <w:t xml:space="preserve"> </w:t>
      </w:r>
      <w:r>
        <w:t>‘</w:t>
      </w:r>
      <w:r w:rsidRPr="00E56E50">
        <w:t>Risk stratification and response to therapy in patients with pulmonary arterial hypertension and comorbidities: A COMPERA analysis.</w:t>
      </w:r>
      <w:r>
        <w:t>’</w:t>
      </w:r>
      <w:r w:rsidRPr="00E56E50">
        <w:t xml:space="preserve"> </w:t>
      </w:r>
      <w:r w:rsidRPr="009833E0">
        <w:rPr>
          <w:i/>
          <w:iCs/>
        </w:rPr>
        <w:t>J</w:t>
      </w:r>
      <w:r>
        <w:rPr>
          <w:i/>
          <w:iCs/>
        </w:rPr>
        <w:t>ournal of</w:t>
      </w:r>
      <w:r w:rsidRPr="009833E0">
        <w:rPr>
          <w:i/>
          <w:iCs/>
        </w:rPr>
        <w:t xml:space="preserve"> Heart </w:t>
      </w:r>
      <w:r>
        <w:rPr>
          <w:i/>
          <w:iCs/>
        </w:rPr>
        <w:t xml:space="preserve">and </w:t>
      </w:r>
      <w:r w:rsidRPr="009833E0">
        <w:rPr>
          <w:i/>
          <w:iCs/>
        </w:rPr>
        <w:t>Lung Transplant</w:t>
      </w:r>
      <w:r>
        <w:rPr>
          <w:i/>
          <w:iCs/>
        </w:rPr>
        <w:t>ation</w:t>
      </w:r>
      <w:r>
        <w:t xml:space="preserve">, </w:t>
      </w:r>
      <w:r w:rsidRPr="00E56E50">
        <w:t>42(1):102-114.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73DC" w14:textId="77777777" w:rsidR="00292380" w:rsidRDefault="002923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F6E0" w14:textId="77777777" w:rsidR="00292380" w:rsidRDefault="002923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C1A9" w14:textId="77777777" w:rsidR="00292380" w:rsidRDefault="00292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CA3"/>
    <w:multiLevelType w:val="hybridMultilevel"/>
    <w:tmpl w:val="F01056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6E006F"/>
    <w:multiLevelType w:val="multilevel"/>
    <w:tmpl w:val="B7085F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DD78DC"/>
    <w:multiLevelType w:val="hybridMultilevel"/>
    <w:tmpl w:val="E5F447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CF2F09"/>
    <w:multiLevelType w:val="hybridMultilevel"/>
    <w:tmpl w:val="9EEAF098"/>
    <w:lvl w:ilvl="0" w:tplc="71C88730">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608F9"/>
    <w:multiLevelType w:val="hybridMultilevel"/>
    <w:tmpl w:val="C51C4CE2"/>
    <w:lvl w:ilvl="0" w:tplc="0C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5C96629"/>
    <w:multiLevelType w:val="hybridMultilevel"/>
    <w:tmpl w:val="17740514"/>
    <w:lvl w:ilvl="0" w:tplc="52ACFC34">
      <w:start w:val="1"/>
      <w:numFmt w:val="bullet"/>
      <w:lvlText w:val="•"/>
      <w:lvlJc w:val="left"/>
      <w:pPr>
        <w:tabs>
          <w:tab w:val="num" w:pos="720"/>
        </w:tabs>
        <w:ind w:left="720" w:hanging="360"/>
      </w:pPr>
      <w:rPr>
        <w:rFonts w:ascii="Arial" w:hAnsi="Arial" w:hint="default"/>
      </w:rPr>
    </w:lvl>
    <w:lvl w:ilvl="1" w:tplc="FEF0F09A" w:tentative="1">
      <w:start w:val="1"/>
      <w:numFmt w:val="bullet"/>
      <w:lvlText w:val="•"/>
      <w:lvlJc w:val="left"/>
      <w:pPr>
        <w:tabs>
          <w:tab w:val="num" w:pos="1440"/>
        </w:tabs>
        <w:ind w:left="1440" w:hanging="360"/>
      </w:pPr>
      <w:rPr>
        <w:rFonts w:ascii="Arial" w:hAnsi="Arial" w:hint="default"/>
      </w:rPr>
    </w:lvl>
    <w:lvl w:ilvl="2" w:tplc="E5A2F8FA" w:tentative="1">
      <w:start w:val="1"/>
      <w:numFmt w:val="bullet"/>
      <w:lvlText w:val="•"/>
      <w:lvlJc w:val="left"/>
      <w:pPr>
        <w:tabs>
          <w:tab w:val="num" w:pos="2160"/>
        </w:tabs>
        <w:ind w:left="2160" w:hanging="360"/>
      </w:pPr>
      <w:rPr>
        <w:rFonts w:ascii="Arial" w:hAnsi="Arial" w:hint="default"/>
      </w:rPr>
    </w:lvl>
    <w:lvl w:ilvl="3" w:tplc="3786967C" w:tentative="1">
      <w:start w:val="1"/>
      <w:numFmt w:val="bullet"/>
      <w:lvlText w:val="•"/>
      <w:lvlJc w:val="left"/>
      <w:pPr>
        <w:tabs>
          <w:tab w:val="num" w:pos="2880"/>
        </w:tabs>
        <w:ind w:left="2880" w:hanging="360"/>
      </w:pPr>
      <w:rPr>
        <w:rFonts w:ascii="Arial" w:hAnsi="Arial" w:hint="default"/>
      </w:rPr>
    </w:lvl>
    <w:lvl w:ilvl="4" w:tplc="B642A1B0" w:tentative="1">
      <w:start w:val="1"/>
      <w:numFmt w:val="bullet"/>
      <w:lvlText w:val="•"/>
      <w:lvlJc w:val="left"/>
      <w:pPr>
        <w:tabs>
          <w:tab w:val="num" w:pos="3600"/>
        </w:tabs>
        <w:ind w:left="3600" w:hanging="360"/>
      </w:pPr>
      <w:rPr>
        <w:rFonts w:ascii="Arial" w:hAnsi="Arial" w:hint="default"/>
      </w:rPr>
    </w:lvl>
    <w:lvl w:ilvl="5" w:tplc="7B7CB456" w:tentative="1">
      <w:start w:val="1"/>
      <w:numFmt w:val="bullet"/>
      <w:lvlText w:val="•"/>
      <w:lvlJc w:val="left"/>
      <w:pPr>
        <w:tabs>
          <w:tab w:val="num" w:pos="4320"/>
        </w:tabs>
        <w:ind w:left="4320" w:hanging="360"/>
      </w:pPr>
      <w:rPr>
        <w:rFonts w:ascii="Arial" w:hAnsi="Arial" w:hint="default"/>
      </w:rPr>
    </w:lvl>
    <w:lvl w:ilvl="6" w:tplc="F7E2606E" w:tentative="1">
      <w:start w:val="1"/>
      <w:numFmt w:val="bullet"/>
      <w:lvlText w:val="•"/>
      <w:lvlJc w:val="left"/>
      <w:pPr>
        <w:tabs>
          <w:tab w:val="num" w:pos="5040"/>
        </w:tabs>
        <w:ind w:left="5040" w:hanging="360"/>
      </w:pPr>
      <w:rPr>
        <w:rFonts w:ascii="Arial" w:hAnsi="Arial" w:hint="default"/>
      </w:rPr>
    </w:lvl>
    <w:lvl w:ilvl="7" w:tplc="DD92CA96" w:tentative="1">
      <w:start w:val="1"/>
      <w:numFmt w:val="bullet"/>
      <w:lvlText w:val="•"/>
      <w:lvlJc w:val="left"/>
      <w:pPr>
        <w:tabs>
          <w:tab w:val="num" w:pos="5760"/>
        </w:tabs>
        <w:ind w:left="5760" w:hanging="360"/>
      </w:pPr>
      <w:rPr>
        <w:rFonts w:ascii="Arial" w:hAnsi="Arial" w:hint="default"/>
      </w:rPr>
    </w:lvl>
    <w:lvl w:ilvl="8" w:tplc="5D48E5C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6A6EF6"/>
    <w:multiLevelType w:val="multilevel"/>
    <w:tmpl w:val="B6A68150"/>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1540CA"/>
    <w:multiLevelType w:val="hybridMultilevel"/>
    <w:tmpl w:val="32069252"/>
    <w:lvl w:ilvl="0" w:tplc="40090001">
      <w:start w:val="1"/>
      <w:numFmt w:val="bullet"/>
      <w:lvlText w:val=""/>
      <w:lvlJc w:val="left"/>
      <w:pPr>
        <w:ind w:left="360" w:hanging="360"/>
      </w:pPr>
      <w:rPr>
        <w:rFonts w:ascii="Symbol" w:hAnsi="Symbol" w:hint="default"/>
      </w:rPr>
    </w:lvl>
    <w:lvl w:ilvl="1" w:tplc="C5E6AC04">
      <w:start w:val="1"/>
      <w:numFmt w:val="bullet"/>
      <w:lvlText w:val="-"/>
      <w:lvlJc w:val="left"/>
      <w:pPr>
        <w:ind w:left="1080" w:hanging="360"/>
      </w:pPr>
      <w:rPr>
        <w:rFonts w:ascii="Calibri" w:eastAsia="Times New Roman" w:hAnsi="Calibri" w:cs="Calibri"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0" w15:restartNumberingAfterBreak="0">
    <w:nsid w:val="248B2A20"/>
    <w:multiLevelType w:val="hybridMultilevel"/>
    <w:tmpl w:val="A1EED0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4F87E7E"/>
    <w:multiLevelType w:val="hybridMultilevel"/>
    <w:tmpl w:val="F1726C12"/>
    <w:lvl w:ilvl="0" w:tplc="943A040E">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5E246B"/>
    <w:multiLevelType w:val="hybridMultilevel"/>
    <w:tmpl w:val="C4F2253C"/>
    <w:lvl w:ilvl="0" w:tplc="B0E28340">
      <w:start w:val="1"/>
      <w:numFmt w:val="decimal"/>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F046628"/>
    <w:multiLevelType w:val="multilevel"/>
    <w:tmpl w:val="9B70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370C05"/>
    <w:multiLevelType w:val="multilevel"/>
    <w:tmpl w:val="901878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0EB71B3"/>
    <w:multiLevelType w:val="hybridMultilevel"/>
    <w:tmpl w:val="6BCCC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2C6176B"/>
    <w:multiLevelType w:val="hybridMultilevel"/>
    <w:tmpl w:val="297AA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004C07"/>
    <w:multiLevelType w:val="multilevel"/>
    <w:tmpl w:val="F7CE45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AB6A08"/>
    <w:multiLevelType w:val="hybridMultilevel"/>
    <w:tmpl w:val="150EF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725103"/>
    <w:multiLevelType w:val="hybridMultilevel"/>
    <w:tmpl w:val="3C12D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44755D"/>
    <w:multiLevelType w:val="hybridMultilevel"/>
    <w:tmpl w:val="62664032"/>
    <w:lvl w:ilvl="0" w:tplc="258CD816">
      <w:start w:val="1"/>
      <w:numFmt w:val="bullet"/>
      <w:lvlText w:val=""/>
      <w:lvlJc w:val="left"/>
      <w:pPr>
        <w:ind w:left="360" w:hanging="360"/>
      </w:pPr>
      <w:rPr>
        <w:rFonts w:ascii="Symbol" w:hAnsi="Symbol" w:hint="default"/>
        <w:sz w:val="14"/>
        <w:szCs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0E7297A"/>
    <w:multiLevelType w:val="hybridMultilevel"/>
    <w:tmpl w:val="C6BC92A2"/>
    <w:lvl w:ilvl="0" w:tplc="C1F67734">
      <w:start w:val="1"/>
      <w:numFmt w:val="bullet"/>
      <w:lvlText w:val="•"/>
      <w:lvlJc w:val="left"/>
      <w:pPr>
        <w:tabs>
          <w:tab w:val="num" w:pos="720"/>
        </w:tabs>
        <w:ind w:left="720" w:hanging="360"/>
      </w:pPr>
      <w:rPr>
        <w:rFonts w:ascii="Arial" w:hAnsi="Arial" w:hint="default"/>
      </w:rPr>
    </w:lvl>
    <w:lvl w:ilvl="1" w:tplc="A1F01FE2">
      <w:numFmt w:val="bullet"/>
      <w:lvlText w:val="•"/>
      <w:lvlJc w:val="left"/>
      <w:pPr>
        <w:tabs>
          <w:tab w:val="num" w:pos="1440"/>
        </w:tabs>
        <w:ind w:left="1440" w:hanging="360"/>
      </w:pPr>
      <w:rPr>
        <w:rFonts w:ascii="Arial" w:hAnsi="Arial" w:hint="default"/>
      </w:rPr>
    </w:lvl>
    <w:lvl w:ilvl="2" w:tplc="A06E3E28" w:tentative="1">
      <w:start w:val="1"/>
      <w:numFmt w:val="bullet"/>
      <w:lvlText w:val="•"/>
      <w:lvlJc w:val="left"/>
      <w:pPr>
        <w:tabs>
          <w:tab w:val="num" w:pos="2160"/>
        </w:tabs>
        <w:ind w:left="2160" w:hanging="360"/>
      </w:pPr>
      <w:rPr>
        <w:rFonts w:ascii="Arial" w:hAnsi="Arial" w:hint="default"/>
      </w:rPr>
    </w:lvl>
    <w:lvl w:ilvl="3" w:tplc="EE92FC3C" w:tentative="1">
      <w:start w:val="1"/>
      <w:numFmt w:val="bullet"/>
      <w:lvlText w:val="•"/>
      <w:lvlJc w:val="left"/>
      <w:pPr>
        <w:tabs>
          <w:tab w:val="num" w:pos="2880"/>
        </w:tabs>
        <w:ind w:left="2880" w:hanging="360"/>
      </w:pPr>
      <w:rPr>
        <w:rFonts w:ascii="Arial" w:hAnsi="Arial" w:hint="default"/>
      </w:rPr>
    </w:lvl>
    <w:lvl w:ilvl="4" w:tplc="42121506" w:tentative="1">
      <w:start w:val="1"/>
      <w:numFmt w:val="bullet"/>
      <w:lvlText w:val="•"/>
      <w:lvlJc w:val="left"/>
      <w:pPr>
        <w:tabs>
          <w:tab w:val="num" w:pos="3600"/>
        </w:tabs>
        <w:ind w:left="3600" w:hanging="360"/>
      </w:pPr>
      <w:rPr>
        <w:rFonts w:ascii="Arial" w:hAnsi="Arial" w:hint="default"/>
      </w:rPr>
    </w:lvl>
    <w:lvl w:ilvl="5" w:tplc="DF7AC672" w:tentative="1">
      <w:start w:val="1"/>
      <w:numFmt w:val="bullet"/>
      <w:lvlText w:val="•"/>
      <w:lvlJc w:val="left"/>
      <w:pPr>
        <w:tabs>
          <w:tab w:val="num" w:pos="4320"/>
        </w:tabs>
        <w:ind w:left="4320" w:hanging="360"/>
      </w:pPr>
      <w:rPr>
        <w:rFonts w:ascii="Arial" w:hAnsi="Arial" w:hint="default"/>
      </w:rPr>
    </w:lvl>
    <w:lvl w:ilvl="6" w:tplc="868082CE" w:tentative="1">
      <w:start w:val="1"/>
      <w:numFmt w:val="bullet"/>
      <w:lvlText w:val="•"/>
      <w:lvlJc w:val="left"/>
      <w:pPr>
        <w:tabs>
          <w:tab w:val="num" w:pos="5040"/>
        </w:tabs>
        <w:ind w:left="5040" w:hanging="360"/>
      </w:pPr>
      <w:rPr>
        <w:rFonts w:ascii="Arial" w:hAnsi="Arial" w:hint="default"/>
      </w:rPr>
    </w:lvl>
    <w:lvl w:ilvl="7" w:tplc="B8DEBB16" w:tentative="1">
      <w:start w:val="1"/>
      <w:numFmt w:val="bullet"/>
      <w:lvlText w:val="•"/>
      <w:lvlJc w:val="left"/>
      <w:pPr>
        <w:tabs>
          <w:tab w:val="num" w:pos="5760"/>
        </w:tabs>
        <w:ind w:left="5760" w:hanging="360"/>
      </w:pPr>
      <w:rPr>
        <w:rFonts w:ascii="Arial" w:hAnsi="Arial" w:hint="default"/>
      </w:rPr>
    </w:lvl>
    <w:lvl w:ilvl="8" w:tplc="E3CC8B2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7095746"/>
    <w:multiLevelType w:val="hybridMultilevel"/>
    <w:tmpl w:val="4F328DB4"/>
    <w:lvl w:ilvl="0" w:tplc="A26EFB64">
      <w:start w:val="1"/>
      <w:numFmt w:val="bullet"/>
      <w:pStyle w:val="Instructionaltext-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34003B4A">
      <w:numFmt w:val="bullet"/>
      <w:lvlText w:val="•"/>
      <w:lvlJc w:val="left"/>
      <w:pPr>
        <w:ind w:left="2520" w:hanging="720"/>
      </w:pPr>
      <w:rPr>
        <w:rFonts w:ascii="Franklin Gothic Book" w:eastAsiaTheme="minorHAnsi" w:hAnsi="Franklin Gothic Book" w:cstheme="minorBidi"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A736775"/>
    <w:multiLevelType w:val="hybridMultilevel"/>
    <w:tmpl w:val="F9C0BE2C"/>
    <w:lvl w:ilvl="0" w:tplc="537E9AC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CF752E0"/>
    <w:multiLevelType w:val="hybridMultilevel"/>
    <w:tmpl w:val="5A62E152"/>
    <w:lvl w:ilvl="0" w:tplc="CCEAA1F0">
      <w:start w:val="1"/>
      <w:numFmt w:val="bullet"/>
      <w:lvlText w:val="•"/>
      <w:lvlJc w:val="left"/>
      <w:pPr>
        <w:tabs>
          <w:tab w:val="num" w:pos="720"/>
        </w:tabs>
        <w:ind w:left="720" w:hanging="360"/>
      </w:pPr>
      <w:rPr>
        <w:rFonts w:ascii="Arial" w:hAnsi="Arial" w:hint="default"/>
      </w:rPr>
    </w:lvl>
    <w:lvl w:ilvl="1" w:tplc="25242A7A" w:tentative="1">
      <w:start w:val="1"/>
      <w:numFmt w:val="bullet"/>
      <w:lvlText w:val="•"/>
      <w:lvlJc w:val="left"/>
      <w:pPr>
        <w:tabs>
          <w:tab w:val="num" w:pos="1440"/>
        </w:tabs>
        <w:ind w:left="1440" w:hanging="360"/>
      </w:pPr>
      <w:rPr>
        <w:rFonts w:ascii="Arial" w:hAnsi="Arial" w:hint="default"/>
      </w:rPr>
    </w:lvl>
    <w:lvl w:ilvl="2" w:tplc="D5E432B4" w:tentative="1">
      <w:start w:val="1"/>
      <w:numFmt w:val="bullet"/>
      <w:lvlText w:val="•"/>
      <w:lvlJc w:val="left"/>
      <w:pPr>
        <w:tabs>
          <w:tab w:val="num" w:pos="2160"/>
        </w:tabs>
        <w:ind w:left="2160" w:hanging="360"/>
      </w:pPr>
      <w:rPr>
        <w:rFonts w:ascii="Arial" w:hAnsi="Arial" w:hint="default"/>
      </w:rPr>
    </w:lvl>
    <w:lvl w:ilvl="3" w:tplc="79645988" w:tentative="1">
      <w:start w:val="1"/>
      <w:numFmt w:val="bullet"/>
      <w:lvlText w:val="•"/>
      <w:lvlJc w:val="left"/>
      <w:pPr>
        <w:tabs>
          <w:tab w:val="num" w:pos="2880"/>
        </w:tabs>
        <w:ind w:left="2880" w:hanging="360"/>
      </w:pPr>
      <w:rPr>
        <w:rFonts w:ascii="Arial" w:hAnsi="Arial" w:hint="default"/>
      </w:rPr>
    </w:lvl>
    <w:lvl w:ilvl="4" w:tplc="4C2832B0" w:tentative="1">
      <w:start w:val="1"/>
      <w:numFmt w:val="bullet"/>
      <w:lvlText w:val="•"/>
      <w:lvlJc w:val="left"/>
      <w:pPr>
        <w:tabs>
          <w:tab w:val="num" w:pos="3600"/>
        </w:tabs>
        <w:ind w:left="3600" w:hanging="360"/>
      </w:pPr>
      <w:rPr>
        <w:rFonts w:ascii="Arial" w:hAnsi="Arial" w:hint="default"/>
      </w:rPr>
    </w:lvl>
    <w:lvl w:ilvl="5" w:tplc="FD206908" w:tentative="1">
      <w:start w:val="1"/>
      <w:numFmt w:val="bullet"/>
      <w:lvlText w:val="•"/>
      <w:lvlJc w:val="left"/>
      <w:pPr>
        <w:tabs>
          <w:tab w:val="num" w:pos="4320"/>
        </w:tabs>
        <w:ind w:left="4320" w:hanging="360"/>
      </w:pPr>
      <w:rPr>
        <w:rFonts w:ascii="Arial" w:hAnsi="Arial" w:hint="default"/>
      </w:rPr>
    </w:lvl>
    <w:lvl w:ilvl="6" w:tplc="C4CA1644" w:tentative="1">
      <w:start w:val="1"/>
      <w:numFmt w:val="bullet"/>
      <w:lvlText w:val="•"/>
      <w:lvlJc w:val="left"/>
      <w:pPr>
        <w:tabs>
          <w:tab w:val="num" w:pos="5040"/>
        </w:tabs>
        <w:ind w:left="5040" w:hanging="360"/>
      </w:pPr>
      <w:rPr>
        <w:rFonts w:ascii="Arial" w:hAnsi="Arial" w:hint="default"/>
      </w:rPr>
    </w:lvl>
    <w:lvl w:ilvl="7" w:tplc="947CD9A0" w:tentative="1">
      <w:start w:val="1"/>
      <w:numFmt w:val="bullet"/>
      <w:lvlText w:val="•"/>
      <w:lvlJc w:val="left"/>
      <w:pPr>
        <w:tabs>
          <w:tab w:val="num" w:pos="5760"/>
        </w:tabs>
        <w:ind w:left="5760" w:hanging="360"/>
      </w:pPr>
      <w:rPr>
        <w:rFonts w:ascii="Arial" w:hAnsi="Arial" w:hint="default"/>
      </w:rPr>
    </w:lvl>
    <w:lvl w:ilvl="8" w:tplc="4D30837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DA64A3"/>
    <w:multiLevelType w:val="multilevel"/>
    <w:tmpl w:val="062879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1C4B09"/>
    <w:multiLevelType w:val="hybridMultilevel"/>
    <w:tmpl w:val="C8B6748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D06BF8"/>
    <w:multiLevelType w:val="hybridMultilevel"/>
    <w:tmpl w:val="11764914"/>
    <w:lvl w:ilvl="0" w:tplc="0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F7F4B90"/>
    <w:multiLevelType w:val="hybridMultilevel"/>
    <w:tmpl w:val="E8B058BA"/>
    <w:lvl w:ilvl="0" w:tplc="4ABA53B6">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D541D3"/>
    <w:multiLevelType w:val="hybridMultilevel"/>
    <w:tmpl w:val="018470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15:restartNumberingAfterBreak="0">
    <w:nsid w:val="632E18EE"/>
    <w:multiLevelType w:val="multilevel"/>
    <w:tmpl w:val="49CEE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D20DF7"/>
    <w:multiLevelType w:val="hybridMultilevel"/>
    <w:tmpl w:val="F38A90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E120E0"/>
    <w:multiLevelType w:val="hybridMultilevel"/>
    <w:tmpl w:val="67BE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8939FC"/>
    <w:multiLevelType w:val="multilevel"/>
    <w:tmpl w:val="7180BF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A55757"/>
    <w:multiLevelType w:val="multilevel"/>
    <w:tmpl w:val="9D14836C"/>
    <w:styleLink w:val="CurrentList1"/>
    <w:lvl w:ilvl="0">
      <w:start w:val="1"/>
      <w:numFmt w:val="decimal"/>
      <w:lvlText w:val="%1.1.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2F0C96"/>
    <w:multiLevelType w:val="hybridMultilevel"/>
    <w:tmpl w:val="BD8AF078"/>
    <w:lvl w:ilvl="0" w:tplc="2064255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abstractNum w:abstractNumId="42" w15:restartNumberingAfterBreak="0">
    <w:nsid w:val="7F261CB3"/>
    <w:multiLevelType w:val="hybridMultilevel"/>
    <w:tmpl w:val="6D561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DC67EC"/>
    <w:multiLevelType w:val="multilevel"/>
    <w:tmpl w:val="1146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7818189">
    <w:abstractNumId w:val="18"/>
  </w:num>
  <w:num w:numId="2" w16cid:durableId="674113368">
    <w:abstractNumId w:val="41"/>
  </w:num>
  <w:num w:numId="3" w16cid:durableId="488208261">
    <w:abstractNumId w:val="4"/>
  </w:num>
  <w:num w:numId="4" w16cid:durableId="1287272584">
    <w:abstractNumId w:val="9"/>
  </w:num>
  <w:num w:numId="5" w16cid:durableId="529608508">
    <w:abstractNumId w:val="40"/>
  </w:num>
  <w:num w:numId="6" w16cid:durableId="1729843915">
    <w:abstractNumId w:val="12"/>
  </w:num>
  <w:num w:numId="7" w16cid:durableId="1857573151">
    <w:abstractNumId w:val="13"/>
  </w:num>
  <w:num w:numId="8" w16cid:durableId="302976318">
    <w:abstractNumId w:val="17"/>
  </w:num>
  <w:num w:numId="9" w16cid:durableId="1416897892">
    <w:abstractNumId w:val="25"/>
  </w:num>
  <w:num w:numId="10" w16cid:durableId="1858275284">
    <w:abstractNumId w:val="38"/>
  </w:num>
  <w:num w:numId="11" w16cid:durableId="1341813146">
    <w:abstractNumId w:val="7"/>
  </w:num>
  <w:num w:numId="12" w16cid:durableId="1992168999">
    <w:abstractNumId w:val="5"/>
  </w:num>
  <w:num w:numId="13" w16cid:durableId="2142188412">
    <w:abstractNumId w:val="2"/>
  </w:num>
  <w:num w:numId="14" w16cid:durableId="961418591">
    <w:abstractNumId w:val="36"/>
  </w:num>
  <w:num w:numId="15" w16cid:durableId="1795127541">
    <w:abstractNumId w:val="0"/>
  </w:num>
  <w:num w:numId="16" w16cid:durableId="746730946">
    <w:abstractNumId w:val="21"/>
  </w:num>
  <w:num w:numId="17" w16cid:durableId="137066346">
    <w:abstractNumId w:val="35"/>
  </w:num>
  <w:num w:numId="18" w16cid:durableId="1388335586">
    <w:abstractNumId w:val="16"/>
  </w:num>
  <w:num w:numId="19" w16cid:durableId="653678595">
    <w:abstractNumId w:val="25"/>
  </w:num>
  <w:num w:numId="20" w16cid:durableId="488205836">
    <w:abstractNumId w:val="19"/>
  </w:num>
  <w:num w:numId="21" w16cid:durableId="1493375409">
    <w:abstractNumId w:val="26"/>
  </w:num>
  <w:num w:numId="22" w16cid:durableId="1777748629">
    <w:abstractNumId w:val="29"/>
  </w:num>
  <w:num w:numId="23" w16cid:durableId="788355759">
    <w:abstractNumId w:val="23"/>
  </w:num>
  <w:num w:numId="24" w16cid:durableId="809203340">
    <w:abstractNumId w:val="8"/>
  </w:num>
  <w:num w:numId="25" w16cid:durableId="787284516">
    <w:abstractNumId w:val="33"/>
  </w:num>
  <w:num w:numId="26" w16cid:durableId="1922910276">
    <w:abstractNumId w:val="25"/>
  </w:num>
  <w:num w:numId="27" w16cid:durableId="545872298">
    <w:abstractNumId w:val="39"/>
  </w:num>
  <w:num w:numId="28" w16cid:durableId="8397381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0353072">
    <w:abstractNumId w:val="30"/>
  </w:num>
  <w:num w:numId="30" w16cid:durableId="602884237">
    <w:abstractNumId w:val="11"/>
  </w:num>
  <w:num w:numId="31" w16cid:durableId="526406630">
    <w:abstractNumId w:val="32"/>
  </w:num>
  <w:num w:numId="32" w16cid:durableId="509948863">
    <w:abstractNumId w:val="27"/>
  </w:num>
  <w:num w:numId="33" w16cid:durableId="935599845">
    <w:abstractNumId w:val="24"/>
  </w:num>
  <w:num w:numId="34" w16cid:durableId="1916477722">
    <w:abstractNumId w:val="6"/>
  </w:num>
  <w:num w:numId="35" w16cid:durableId="516231646">
    <w:abstractNumId w:val="22"/>
  </w:num>
  <w:num w:numId="36" w16cid:durableId="1058479447">
    <w:abstractNumId w:val="3"/>
  </w:num>
  <w:num w:numId="37" w16cid:durableId="518086426">
    <w:abstractNumId w:val="34"/>
  </w:num>
  <w:num w:numId="38" w16cid:durableId="715811703">
    <w:abstractNumId w:val="28"/>
  </w:num>
  <w:num w:numId="39" w16cid:durableId="1975795966">
    <w:abstractNumId w:val="37"/>
  </w:num>
  <w:num w:numId="40" w16cid:durableId="35979957">
    <w:abstractNumId w:val="1"/>
  </w:num>
  <w:num w:numId="41" w16cid:durableId="332687266">
    <w:abstractNumId w:val="20"/>
  </w:num>
  <w:num w:numId="42" w16cid:durableId="2019043891">
    <w:abstractNumId w:val="43"/>
  </w:num>
  <w:num w:numId="43" w16cid:durableId="483474561">
    <w:abstractNumId w:val="14"/>
  </w:num>
  <w:num w:numId="44" w16cid:durableId="1561594670">
    <w:abstractNumId w:val="10"/>
  </w:num>
  <w:num w:numId="45" w16cid:durableId="1479104734">
    <w:abstractNumId w:val="31"/>
  </w:num>
  <w:num w:numId="46" w16cid:durableId="1458530474">
    <w:abstractNumId w:val="4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1MDE0MTQzNjQxNjJT0lEKTi0uzszPAymwqAUAo9kCFCwAAAA="/>
    <w:docVar w:name="EN.InstantFormat" w:val="&lt;ENInstantFormat&gt;&lt;Enabled&gt;0&lt;/Enabled&gt;&lt;ScanUnformatted&gt;1&lt;/ScanUnformatted&gt;&lt;ScanChanges&gt;1&lt;/ScanChanges&gt;&lt;Suspended&gt;0&lt;/Suspended&gt;&lt;/ENInstantFormat&gt;"/>
    <w:docVar w:name="EN.Layout" w:val="&lt;ENLayout&gt;&lt;Style&gt;New England J Medicine&lt;/Style&gt;&lt;LeftDelim&gt;{&lt;/LeftDelim&gt;&lt;RightDelim&gt;}&lt;/RightDelim&gt;&lt;FontName&gt;Franklin Gothic Book&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przvxt2vvatt0easdvpza0v2d299vp0x209&quot;&gt;NT-proBNP&lt;record-ids&gt;&lt;item&gt;13&lt;/item&gt;&lt;item&gt;15&lt;/item&gt;&lt;item&gt;151&lt;/item&gt;&lt;item&gt;153&lt;/item&gt;&lt;item&gt;154&lt;/item&gt;&lt;item&gt;160&lt;/item&gt;&lt;item&gt;173&lt;/item&gt;&lt;item&gt;177&lt;/item&gt;&lt;item&gt;197&lt;/item&gt;&lt;item&gt;211&lt;/item&gt;&lt;item&gt;231&lt;/item&gt;&lt;item&gt;245&lt;/item&gt;&lt;item&gt;247&lt;/item&gt;&lt;item&gt;248&lt;/item&gt;&lt;item&gt;379&lt;/item&gt;&lt;item&gt;452&lt;/item&gt;&lt;item&gt;478&lt;/item&gt;&lt;item&gt;706&lt;/item&gt;&lt;item&gt;836&lt;/item&gt;&lt;item&gt;839&lt;/item&gt;&lt;item&gt;859&lt;/item&gt;&lt;item&gt;945&lt;/item&gt;&lt;item&gt;974&lt;/item&gt;&lt;item&gt;1007&lt;/item&gt;&lt;item&gt;1008&lt;/item&gt;&lt;item&gt;1100&lt;/item&gt;&lt;item&gt;1106&lt;/item&gt;&lt;item&gt;1120&lt;/item&gt;&lt;item&gt;1143&lt;/item&gt;&lt;item&gt;1157&lt;/item&gt;&lt;item&gt;1177&lt;/item&gt;&lt;item&gt;1178&lt;/item&gt;&lt;item&gt;1180&lt;/item&gt;&lt;item&gt;1181&lt;/item&gt;&lt;item&gt;1182&lt;/item&gt;&lt;item&gt;1185&lt;/item&gt;&lt;item&gt;1186&lt;/item&gt;&lt;item&gt;1187&lt;/item&gt;&lt;item&gt;1190&lt;/item&gt;&lt;item&gt;1193&lt;/item&gt;&lt;item&gt;1194&lt;/item&gt;&lt;item&gt;1198&lt;/item&gt;&lt;item&gt;1199&lt;/item&gt;&lt;item&gt;1200&lt;/item&gt;&lt;item&gt;1204&lt;/item&gt;&lt;item&gt;1205&lt;/item&gt;&lt;item&gt;1206&lt;/item&gt;&lt;item&gt;1207&lt;/item&gt;&lt;item&gt;1209&lt;/item&gt;&lt;item&gt;1212&lt;/item&gt;&lt;item&gt;1214&lt;/item&gt;&lt;item&gt;1216&lt;/item&gt;&lt;item&gt;1219&lt;/item&gt;&lt;item&gt;1223&lt;/item&gt;&lt;item&gt;1226&lt;/item&gt;&lt;item&gt;1227&lt;/item&gt;&lt;item&gt;1228&lt;/item&gt;&lt;item&gt;1229&lt;/item&gt;&lt;item&gt;1231&lt;/item&gt;&lt;item&gt;1232&lt;/item&gt;&lt;item&gt;1234&lt;/item&gt;&lt;item&gt;1237&lt;/item&gt;&lt;item&gt;1238&lt;/item&gt;&lt;item&gt;1239&lt;/item&gt;&lt;item&gt;1241&lt;/item&gt;&lt;item&gt;1242&lt;/item&gt;&lt;item&gt;1243&lt;/item&gt;&lt;item&gt;1244&lt;/item&gt;&lt;item&gt;1245&lt;/item&gt;&lt;item&gt;1246&lt;/item&gt;&lt;item&gt;1247&lt;/item&gt;&lt;item&gt;1249&lt;/item&gt;&lt;item&gt;1250&lt;/item&gt;&lt;item&gt;1251&lt;/item&gt;&lt;item&gt;1253&lt;/item&gt;&lt;item&gt;1254&lt;/item&gt;&lt;item&gt;1255&lt;/item&gt;&lt;item&gt;1256&lt;/item&gt;&lt;/record-ids&gt;&lt;/item&gt;&lt;/Libraries&gt;"/>
  </w:docVars>
  <w:rsids>
    <w:rsidRoot w:val="008157F1"/>
    <w:rsid w:val="00000866"/>
    <w:rsid w:val="0000109A"/>
    <w:rsid w:val="0000127D"/>
    <w:rsid w:val="00001AE6"/>
    <w:rsid w:val="00001C00"/>
    <w:rsid w:val="00001EE6"/>
    <w:rsid w:val="000023BF"/>
    <w:rsid w:val="000025B2"/>
    <w:rsid w:val="00002930"/>
    <w:rsid w:val="00004D69"/>
    <w:rsid w:val="00004F7F"/>
    <w:rsid w:val="000054C9"/>
    <w:rsid w:val="00005DB3"/>
    <w:rsid w:val="00006706"/>
    <w:rsid w:val="000067E9"/>
    <w:rsid w:val="0000707D"/>
    <w:rsid w:val="00010067"/>
    <w:rsid w:val="00010E74"/>
    <w:rsid w:val="00011339"/>
    <w:rsid w:val="00011568"/>
    <w:rsid w:val="000129BB"/>
    <w:rsid w:val="000129DD"/>
    <w:rsid w:val="00012B72"/>
    <w:rsid w:val="00013DD1"/>
    <w:rsid w:val="00013E05"/>
    <w:rsid w:val="0001492D"/>
    <w:rsid w:val="00014974"/>
    <w:rsid w:val="00014E84"/>
    <w:rsid w:val="00014FE2"/>
    <w:rsid w:val="00015627"/>
    <w:rsid w:val="000158A1"/>
    <w:rsid w:val="000175D1"/>
    <w:rsid w:val="00017EC6"/>
    <w:rsid w:val="000201EA"/>
    <w:rsid w:val="0002168D"/>
    <w:rsid w:val="000228B8"/>
    <w:rsid w:val="00022DAC"/>
    <w:rsid w:val="000230ED"/>
    <w:rsid w:val="0002329C"/>
    <w:rsid w:val="0002351D"/>
    <w:rsid w:val="000237A5"/>
    <w:rsid w:val="0002381B"/>
    <w:rsid w:val="0002407B"/>
    <w:rsid w:val="000241A6"/>
    <w:rsid w:val="000245A3"/>
    <w:rsid w:val="00024E26"/>
    <w:rsid w:val="00024EA5"/>
    <w:rsid w:val="000251C1"/>
    <w:rsid w:val="00025B56"/>
    <w:rsid w:val="00025C16"/>
    <w:rsid w:val="00026FCD"/>
    <w:rsid w:val="0002755F"/>
    <w:rsid w:val="0002772E"/>
    <w:rsid w:val="00027B69"/>
    <w:rsid w:val="00030748"/>
    <w:rsid w:val="00031DA3"/>
    <w:rsid w:val="00031F82"/>
    <w:rsid w:val="0003219F"/>
    <w:rsid w:val="0003272D"/>
    <w:rsid w:val="00032A31"/>
    <w:rsid w:val="0003387F"/>
    <w:rsid w:val="0003423A"/>
    <w:rsid w:val="0003477F"/>
    <w:rsid w:val="00034D9D"/>
    <w:rsid w:val="000355BD"/>
    <w:rsid w:val="00036AD8"/>
    <w:rsid w:val="00036D9C"/>
    <w:rsid w:val="00037037"/>
    <w:rsid w:val="00037302"/>
    <w:rsid w:val="00037436"/>
    <w:rsid w:val="0003769E"/>
    <w:rsid w:val="000376C7"/>
    <w:rsid w:val="000379CA"/>
    <w:rsid w:val="00037B05"/>
    <w:rsid w:val="00037EFD"/>
    <w:rsid w:val="0004005D"/>
    <w:rsid w:val="0004010B"/>
    <w:rsid w:val="00040ADF"/>
    <w:rsid w:val="00040FB4"/>
    <w:rsid w:val="00041424"/>
    <w:rsid w:val="000414E9"/>
    <w:rsid w:val="000415DF"/>
    <w:rsid w:val="0004178C"/>
    <w:rsid w:val="00041BCF"/>
    <w:rsid w:val="00041F5D"/>
    <w:rsid w:val="000422BD"/>
    <w:rsid w:val="000435EA"/>
    <w:rsid w:val="000443A6"/>
    <w:rsid w:val="00044513"/>
    <w:rsid w:val="000449D1"/>
    <w:rsid w:val="00045B8D"/>
    <w:rsid w:val="00045CC5"/>
    <w:rsid w:val="0004622E"/>
    <w:rsid w:val="000468C0"/>
    <w:rsid w:val="00046B6A"/>
    <w:rsid w:val="000472A0"/>
    <w:rsid w:val="000472D4"/>
    <w:rsid w:val="00047835"/>
    <w:rsid w:val="00047BCB"/>
    <w:rsid w:val="00050749"/>
    <w:rsid w:val="00050D74"/>
    <w:rsid w:val="00051230"/>
    <w:rsid w:val="000512CD"/>
    <w:rsid w:val="00051877"/>
    <w:rsid w:val="000518E9"/>
    <w:rsid w:val="00052DD3"/>
    <w:rsid w:val="0005326D"/>
    <w:rsid w:val="00053820"/>
    <w:rsid w:val="00053E98"/>
    <w:rsid w:val="00053F1A"/>
    <w:rsid w:val="00053F6C"/>
    <w:rsid w:val="00054D80"/>
    <w:rsid w:val="00055015"/>
    <w:rsid w:val="000550F9"/>
    <w:rsid w:val="00055533"/>
    <w:rsid w:val="0005562C"/>
    <w:rsid w:val="00055E4C"/>
    <w:rsid w:val="00055E91"/>
    <w:rsid w:val="00056327"/>
    <w:rsid w:val="00056B08"/>
    <w:rsid w:val="00056E68"/>
    <w:rsid w:val="000572E2"/>
    <w:rsid w:val="00057DD6"/>
    <w:rsid w:val="000608D2"/>
    <w:rsid w:val="00060AA0"/>
    <w:rsid w:val="00061998"/>
    <w:rsid w:val="000619AF"/>
    <w:rsid w:val="00061CB6"/>
    <w:rsid w:val="00061F99"/>
    <w:rsid w:val="00062A6F"/>
    <w:rsid w:val="0006304A"/>
    <w:rsid w:val="0006339C"/>
    <w:rsid w:val="00064229"/>
    <w:rsid w:val="0006437B"/>
    <w:rsid w:val="00064783"/>
    <w:rsid w:val="000647C2"/>
    <w:rsid w:val="00064935"/>
    <w:rsid w:val="00064A20"/>
    <w:rsid w:val="00066409"/>
    <w:rsid w:val="000664D2"/>
    <w:rsid w:val="00066524"/>
    <w:rsid w:val="00066C75"/>
    <w:rsid w:val="00066DEC"/>
    <w:rsid w:val="0006788D"/>
    <w:rsid w:val="00067DCF"/>
    <w:rsid w:val="0007008D"/>
    <w:rsid w:val="0007021F"/>
    <w:rsid w:val="000709A0"/>
    <w:rsid w:val="000709FC"/>
    <w:rsid w:val="00070D22"/>
    <w:rsid w:val="000711F1"/>
    <w:rsid w:val="0007124E"/>
    <w:rsid w:val="00072493"/>
    <w:rsid w:val="00074199"/>
    <w:rsid w:val="00074E20"/>
    <w:rsid w:val="00074E36"/>
    <w:rsid w:val="000750F3"/>
    <w:rsid w:val="00075A23"/>
    <w:rsid w:val="00075E2C"/>
    <w:rsid w:val="0007671E"/>
    <w:rsid w:val="00076B06"/>
    <w:rsid w:val="000771F6"/>
    <w:rsid w:val="0007768D"/>
    <w:rsid w:val="000778DC"/>
    <w:rsid w:val="000800CA"/>
    <w:rsid w:val="00080241"/>
    <w:rsid w:val="00080614"/>
    <w:rsid w:val="00080A60"/>
    <w:rsid w:val="000811DC"/>
    <w:rsid w:val="00081778"/>
    <w:rsid w:val="000819EE"/>
    <w:rsid w:val="00081EB1"/>
    <w:rsid w:val="000833D0"/>
    <w:rsid w:val="000839BC"/>
    <w:rsid w:val="00083D01"/>
    <w:rsid w:val="00084790"/>
    <w:rsid w:val="000848C4"/>
    <w:rsid w:val="00086912"/>
    <w:rsid w:val="00086A67"/>
    <w:rsid w:val="00086F5F"/>
    <w:rsid w:val="000870B6"/>
    <w:rsid w:val="00090203"/>
    <w:rsid w:val="0009048C"/>
    <w:rsid w:val="00090613"/>
    <w:rsid w:val="00090BD1"/>
    <w:rsid w:val="00091857"/>
    <w:rsid w:val="00091BBC"/>
    <w:rsid w:val="00091C59"/>
    <w:rsid w:val="00092A21"/>
    <w:rsid w:val="00093D9A"/>
    <w:rsid w:val="00094133"/>
    <w:rsid w:val="0009450E"/>
    <w:rsid w:val="00094656"/>
    <w:rsid w:val="00094BFC"/>
    <w:rsid w:val="00094E07"/>
    <w:rsid w:val="00095376"/>
    <w:rsid w:val="00095433"/>
    <w:rsid w:val="00095B46"/>
    <w:rsid w:val="00095E8B"/>
    <w:rsid w:val="00095F14"/>
    <w:rsid w:val="0009607D"/>
    <w:rsid w:val="00096085"/>
    <w:rsid w:val="00096B52"/>
    <w:rsid w:val="0009729E"/>
    <w:rsid w:val="00097C21"/>
    <w:rsid w:val="000A017E"/>
    <w:rsid w:val="000A0216"/>
    <w:rsid w:val="000A0554"/>
    <w:rsid w:val="000A0AC7"/>
    <w:rsid w:val="000A0BCF"/>
    <w:rsid w:val="000A0D0B"/>
    <w:rsid w:val="000A10BF"/>
    <w:rsid w:val="000A11B7"/>
    <w:rsid w:val="000A160D"/>
    <w:rsid w:val="000A2491"/>
    <w:rsid w:val="000A2ACD"/>
    <w:rsid w:val="000A2B65"/>
    <w:rsid w:val="000A2B6B"/>
    <w:rsid w:val="000A2C0B"/>
    <w:rsid w:val="000A2C54"/>
    <w:rsid w:val="000A2DA8"/>
    <w:rsid w:val="000A4067"/>
    <w:rsid w:val="000A42B4"/>
    <w:rsid w:val="000A4306"/>
    <w:rsid w:val="000A4368"/>
    <w:rsid w:val="000A4A96"/>
    <w:rsid w:val="000A515E"/>
    <w:rsid w:val="000A5710"/>
    <w:rsid w:val="000A5C47"/>
    <w:rsid w:val="000A629E"/>
    <w:rsid w:val="000A638C"/>
    <w:rsid w:val="000A6B30"/>
    <w:rsid w:val="000A6C93"/>
    <w:rsid w:val="000A756D"/>
    <w:rsid w:val="000A7AAA"/>
    <w:rsid w:val="000A7E43"/>
    <w:rsid w:val="000A7F4C"/>
    <w:rsid w:val="000B04B8"/>
    <w:rsid w:val="000B06A5"/>
    <w:rsid w:val="000B2FE6"/>
    <w:rsid w:val="000B3330"/>
    <w:rsid w:val="000B370B"/>
    <w:rsid w:val="000B48ED"/>
    <w:rsid w:val="000B4953"/>
    <w:rsid w:val="000B5779"/>
    <w:rsid w:val="000B5FE5"/>
    <w:rsid w:val="000B666D"/>
    <w:rsid w:val="000B66BC"/>
    <w:rsid w:val="000B67E0"/>
    <w:rsid w:val="000B6CF0"/>
    <w:rsid w:val="000B720C"/>
    <w:rsid w:val="000B7665"/>
    <w:rsid w:val="000B76CD"/>
    <w:rsid w:val="000C11BB"/>
    <w:rsid w:val="000C2AB0"/>
    <w:rsid w:val="000C2BB0"/>
    <w:rsid w:val="000C2D9B"/>
    <w:rsid w:val="000C3412"/>
    <w:rsid w:val="000C3AD9"/>
    <w:rsid w:val="000C41C4"/>
    <w:rsid w:val="000C4E4C"/>
    <w:rsid w:val="000C539F"/>
    <w:rsid w:val="000C5B48"/>
    <w:rsid w:val="000C6FBF"/>
    <w:rsid w:val="000C7C46"/>
    <w:rsid w:val="000D034B"/>
    <w:rsid w:val="000D03BD"/>
    <w:rsid w:val="000D052F"/>
    <w:rsid w:val="000D13FD"/>
    <w:rsid w:val="000D18E5"/>
    <w:rsid w:val="000D1B52"/>
    <w:rsid w:val="000D2680"/>
    <w:rsid w:val="000D2E5B"/>
    <w:rsid w:val="000D38D3"/>
    <w:rsid w:val="000D4B3B"/>
    <w:rsid w:val="000D4C1B"/>
    <w:rsid w:val="000D5046"/>
    <w:rsid w:val="000D54BB"/>
    <w:rsid w:val="000D5523"/>
    <w:rsid w:val="000D6686"/>
    <w:rsid w:val="000D72A9"/>
    <w:rsid w:val="000D74E0"/>
    <w:rsid w:val="000D7839"/>
    <w:rsid w:val="000E03AD"/>
    <w:rsid w:val="000E03DC"/>
    <w:rsid w:val="000E09DD"/>
    <w:rsid w:val="000E0CD0"/>
    <w:rsid w:val="000E0D90"/>
    <w:rsid w:val="000E1124"/>
    <w:rsid w:val="000E11F2"/>
    <w:rsid w:val="000E151D"/>
    <w:rsid w:val="000E28A7"/>
    <w:rsid w:val="000E3425"/>
    <w:rsid w:val="000E3AA7"/>
    <w:rsid w:val="000E3F65"/>
    <w:rsid w:val="000E446C"/>
    <w:rsid w:val="000E44D2"/>
    <w:rsid w:val="000E4F6A"/>
    <w:rsid w:val="000E5531"/>
    <w:rsid w:val="000E5B7C"/>
    <w:rsid w:val="000E6410"/>
    <w:rsid w:val="000E678B"/>
    <w:rsid w:val="000E6D51"/>
    <w:rsid w:val="000E7781"/>
    <w:rsid w:val="000E7F73"/>
    <w:rsid w:val="000F0282"/>
    <w:rsid w:val="000F0DA7"/>
    <w:rsid w:val="000F2E01"/>
    <w:rsid w:val="000F2EA1"/>
    <w:rsid w:val="000F3162"/>
    <w:rsid w:val="000F3C2E"/>
    <w:rsid w:val="000F3E57"/>
    <w:rsid w:val="000F3FAF"/>
    <w:rsid w:val="000F46FD"/>
    <w:rsid w:val="000F5852"/>
    <w:rsid w:val="000F58A4"/>
    <w:rsid w:val="000F5A54"/>
    <w:rsid w:val="000F60F2"/>
    <w:rsid w:val="000F6193"/>
    <w:rsid w:val="000F6B27"/>
    <w:rsid w:val="000F6CD2"/>
    <w:rsid w:val="000F7987"/>
    <w:rsid w:val="000F7BE6"/>
    <w:rsid w:val="0010051C"/>
    <w:rsid w:val="0010095A"/>
    <w:rsid w:val="00100B58"/>
    <w:rsid w:val="00100E4B"/>
    <w:rsid w:val="0010129E"/>
    <w:rsid w:val="0010286D"/>
    <w:rsid w:val="0010414B"/>
    <w:rsid w:val="001041F1"/>
    <w:rsid w:val="0010448B"/>
    <w:rsid w:val="0010483A"/>
    <w:rsid w:val="00104AAD"/>
    <w:rsid w:val="0010521F"/>
    <w:rsid w:val="001061A8"/>
    <w:rsid w:val="0010625A"/>
    <w:rsid w:val="00106D9D"/>
    <w:rsid w:val="00106EAE"/>
    <w:rsid w:val="00107524"/>
    <w:rsid w:val="001078A8"/>
    <w:rsid w:val="00107DCD"/>
    <w:rsid w:val="00107E4E"/>
    <w:rsid w:val="00107EF0"/>
    <w:rsid w:val="001101E9"/>
    <w:rsid w:val="001102E8"/>
    <w:rsid w:val="00111417"/>
    <w:rsid w:val="001118E9"/>
    <w:rsid w:val="00111CB3"/>
    <w:rsid w:val="00111D1E"/>
    <w:rsid w:val="00111F72"/>
    <w:rsid w:val="001129E8"/>
    <w:rsid w:val="00113188"/>
    <w:rsid w:val="00113C60"/>
    <w:rsid w:val="00113EA8"/>
    <w:rsid w:val="0011416C"/>
    <w:rsid w:val="00114ACE"/>
    <w:rsid w:val="00114C3B"/>
    <w:rsid w:val="00115278"/>
    <w:rsid w:val="00115691"/>
    <w:rsid w:val="00116444"/>
    <w:rsid w:val="001166D8"/>
    <w:rsid w:val="00116767"/>
    <w:rsid w:val="001168DF"/>
    <w:rsid w:val="00117039"/>
    <w:rsid w:val="001170BB"/>
    <w:rsid w:val="00117AEE"/>
    <w:rsid w:val="00117F04"/>
    <w:rsid w:val="001202FA"/>
    <w:rsid w:val="00120479"/>
    <w:rsid w:val="0012093F"/>
    <w:rsid w:val="00120AE8"/>
    <w:rsid w:val="00121165"/>
    <w:rsid w:val="001219BB"/>
    <w:rsid w:val="001225E0"/>
    <w:rsid w:val="001229E4"/>
    <w:rsid w:val="00122AE3"/>
    <w:rsid w:val="00122EE1"/>
    <w:rsid w:val="00123658"/>
    <w:rsid w:val="001237AF"/>
    <w:rsid w:val="00124489"/>
    <w:rsid w:val="001245DC"/>
    <w:rsid w:val="001246D6"/>
    <w:rsid w:val="001247EB"/>
    <w:rsid w:val="00124A9A"/>
    <w:rsid w:val="00124E48"/>
    <w:rsid w:val="00124F3C"/>
    <w:rsid w:val="00125B61"/>
    <w:rsid w:val="00126122"/>
    <w:rsid w:val="001261B8"/>
    <w:rsid w:val="00126868"/>
    <w:rsid w:val="001268AC"/>
    <w:rsid w:val="001270E9"/>
    <w:rsid w:val="00127C29"/>
    <w:rsid w:val="00130546"/>
    <w:rsid w:val="00130FD8"/>
    <w:rsid w:val="00131558"/>
    <w:rsid w:val="00131D45"/>
    <w:rsid w:val="001320F0"/>
    <w:rsid w:val="00132407"/>
    <w:rsid w:val="00132D39"/>
    <w:rsid w:val="001330C7"/>
    <w:rsid w:val="001336E0"/>
    <w:rsid w:val="00133F34"/>
    <w:rsid w:val="00135273"/>
    <w:rsid w:val="001356FA"/>
    <w:rsid w:val="0013575B"/>
    <w:rsid w:val="00135C5D"/>
    <w:rsid w:val="00135FC9"/>
    <w:rsid w:val="001360CF"/>
    <w:rsid w:val="001367BC"/>
    <w:rsid w:val="001369BC"/>
    <w:rsid w:val="00136BFC"/>
    <w:rsid w:val="00137401"/>
    <w:rsid w:val="001376B7"/>
    <w:rsid w:val="00137AA5"/>
    <w:rsid w:val="00137BDF"/>
    <w:rsid w:val="001406AD"/>
    <w:rsid w:val="00141300"/>
    <w:rsid w:val="00141428"/>
    <w:rsid w:val="0014346E"/>
    <w:rsid w:val="00143478"/>
    <w:rsid w:val="00143494"/>
    <w:rsid w:val="00143F2F"/>
    <w:rsid w:val="00144ABE"/>
    <w:rsid w:val="001451A3"/>
    <w:rsid w:val="00145C48"/>
    <w:rsid w:val="00145DCC"/>
    <w:rsid w:val="00145EA9"/>
    <w:rsid w:val="00146624"/>
    <w:rsid w:val="00146B50"/>
    <w:rsid w:val="00146C54"/>
    <w:rsid w:val="00146F90"/>
    <w:rsid w:val="00147860"/>
    <w:rsid w:val="001500C8"/>
    <w:rsid w:val="00150376"/>
    <w:rsid w:val="0015127F"/>
    <w:rsid w:val="00151AB6"/>
    <w:rsid w:val="00151C9E"/>
    <w:rsid w:val="00151DBD"/>
    <w:rsid w:val="001522BE"/>
    <w:rsid w:val="00152E7C"/>
    <w:rsid w:val="00152F7C"/>
    <w:rsid w:val="001531B2"/>
    <w:rsid w:val="001531D6"/>
    <w:rsid w:val="001533F1"/>
    <w:rsid w:val="00153CE1"/>
    <w:rsid w:val="001540B1"/>
    <w:rsid w:val="001546B6"/>
    <w:rsid w:val="001552DB"/>
    <w:rsid w:val="00155434"/>
    <w:rsid w:val="00155A6B"/>
    <w:rsid w:val="00155BDA"/>
    <w:rsid w:val="00155BDD"/>
    <w:rsid w:val="001563EF"/>
    <w:rsid w:val="00156FA7"/>
    <w:rsid w:val="001573B9"/>
    <w:rsid w:val="00157B9D"/>
    <w:rsid w:val="0016023A"/>
    <w:rsid w:val="001608F8"/>
    <w:rsid w:val="00160E89"/>
    <w:rsid w:val="00161823"/>
    <w:rsid w:val="0016205A"/>
    <w:rsid w:val="0016209F"/>
    <w:rsid w:val="0016239F"/>
    <w:rsid w:val="00162DBF"/>
    <w:rsid w:val="00163075"/>
    <w:rsid w:val="001633A6"/>
    <w:rsid w:val="00163EF5"/>
    <w:rsid w:val="0016477C"/>
    <w:rsid w:val="00164CF8"/>
    <w:rsid w:val="001650A4"/>
    <w:rsid w:val="001653AE"/>
    <w:rsid w:val="001654B8"/>
    <w:rsid w:val="00165791"/>
    <w:rsid w:val="00166682"/>
    <w:rsid w:val="00167070"/>
    <w:rsid w:val="00167134"/>
    <w:rsid w:val="00170582"/>
    <w:rsid w:val="00170681"/>
    <w:rsid w:val="00170D5B"/>
    <w:rsid w:val="0017163A"/>
    <w:rsid w:val="001720BE"/>
    <w:rsid w:val="00172684"/>
    <w:rsid w:val="00172852"/>
    <w:rsid w:val="00172B8F"/>
    <w:rsid w:val="00172C3B"/>
    <w:rsid w:val="00172F1E"/>
    <w:rsid w:val="00172F60"/>
    <w:rsid w:val="001736F8"/>
    <w:rsid w:val="00173968"/>
    <w:rsid w:val="00173D33"/>
    <w:rsid w:val="00173D85"/>
    <w:rsid w:val="00174FD4"/>
    <w:rsid w:val="00175B96"/>
    <w:rsid w:val="00175C70"/>
    <w:rsid w:val="001761B0"/>
    <w:rsid w:val="00176A46"/>
    <w:rsid w:val="00176CE7"/>
    <w:rsid w:val="00176EFB"/>
    <w:rsid w:val="001770A9"/>
    <w:rsid w:val="00177B43"/>
    <w:rsid w:val="00180128"/>
    <w:rsid w:val="0018145A"/>
    <w:rsid w:val="00181D6F"/>
    <w:rsid w:val="00182E9A"/>
    <w:rsid w:val="00183137"/>
    <w:rsid w:val="00183F8A"/>
    <w:rsid w:val="0018406B"/>
    <w:rsid w:val="0018449A"/>
    <w:rsid w:val="001846C0"/>
    <w:rsid w:val="00184BAE"/>
    <w:rsid w:val="00185938"/>
    <w:rsid w:val="00186455"/>
    <w:rsid w:val="001864E8"/>
    <w:rsid w:val="00186DE6"/>
    <w:rsid w:val="001875D1"/>
    <w:rsid w:val="0019000E"/>
    <w:rsid w:val="0019063C"/>
    <w:rsid w:val="00190C30"/>
    <w:rsid w:val="001919EB"/>
    <w:rsid w:val="00192045"/>
    <w:rsid w:val="00192197"/>
    <w:rsid w:val="001927FE"/>
    <w:rsid w:val="001934A7"/>
    <w:rsid w:val="0019362A"/>
    <w:rsid w:val="00193B67"/>
    <w:rsid w:val="00193CF5"/>
    <w:rsid w:val="0019423A"/>
    <w:rsid w:val="00194492"/>
    <w:rsid w:val="0019474E"/>
    <w:rsid w:val="001953B8"/>
    <w:rsid w:val="00195728"/>
    <w:rsid w:val="00195A34"/>
    <w:rsid w:val="00195EFE"/>
    <w:rsid w:val="00195F8F"/>
    <w:rsid w:val="00196657"/>
    <w:rsid w:val="00196883"/>
    <w:rsid w:val="001970C0"/>
    <w:rsid w:val="0019717D"/>
    <w:rsid w:val="001972EB"/>
    <w:rsid w:val="0019775B"/>
    <w:rsid w:val="00197E12"/>
    <w:rsid w:val="001A0193"/>
    <w:rsid w:val="001A01EF"/>
    <w:rsid w:val="001A11FC"/>
    <w:rsid w:val="001A1CB7"/>
    <w:rsid w:val="001A2BC6"/>
    <w:rsid w:val="001A2E70"/>
    <w:rsid w:val="001A31BE"/>
    <w:rsid w:val="001A3B43"/>
    <w:rsid w:val="001A3E60"/>
    <w:rsid w:val="001A3F86"/>
    <w:rsid w:val="001A420B"/>
    <w:rsid w:val="001A4B85"/>
    <w:rsid w:val="001A4B97"/>
    <w:rsid w:val="001A4D4F"/>
    <w:rsid w:val="001A4F7D"/>
    <w:rsid w:val="001A5266"/>
    <w:rsid w:val="001A54AC"/>
    <w:rsid w:val="001A6066"/>
    <w:rsid w:val="001A6270"/>
    <w:rsid w:val="001A672F"/>
    <w:rsid w:val="001A6845"/>
    <w:rsid w:val="001A7410"/>
    <w:rsid w:val="001A780A"/>
    <w:rsid w:val="001A7B42"/>
    <w:rsid w:val="001A7D8F"/>
    <w:rsid w:val="001B0F5C"/>
    <w:rsid w:val="001B151E"/>
    <w:rsid w:val="001B277A"/>
    <w:rsid w:val="001B2A97"/>
    <w:rsid w:val="001B2CD4"/>
    <w:rsid w:val="001B3A32"/>
    <w:rsid w:val="001B4460"/>
    <w:rsid w:val="001B4AD2"/>
    <w:rsid w:val="001B55DF"/>
    <w:rsid w:val="001B5789"/>
    <w:rsid w:val="001B5825"/>
    <w:rsid w:val="001B5DA7"/>
    <w:rsid w:val="001B5EEF"/>
    <w:rsid w:val="001B7303"/>
    <w:rsid w:val="001B7329"/>
    <w:rsid w:val="001B7938"/>
    <w:rsid w:val="001C0203"/>
    <w:rsid w:val="001C03C5"/>
    <w:rsid w:val="001C0934"/>
    <w:rsid w:val="001C0AB7"/>
    <w:rsid w:val="001C0F79"/>
    <w:rsid w:val="001C1544"/>
    <w:rsid w:val="001C174A"/>
    <w:rsid w:val="001C19DF"/>
    <w:rsid w:val="001C1D05"/>
    <w:rsid w:val="001C1D9D"/>
    <w:rsid w:val="001C2462"/>
    <w:rsid w:val="001C24C4"/>
    <w:rsid w:val="001C2A48"/>
    <w:rsid w:val="001C2DCA"/>
    <w:rsid w:val="001C391A"/>
    <w:rsid w:val="001C4306"/>
    <w:rsid w:val="001C47B3"/>
    <w:rsid w:val="001C4E57"/>
    <w:rsid w:val="001C4F10"/>
    <w:rsid w:val="001C4F86"/>
    <w:rsid w:val="001C52EB"/>
    <w:rsid w:val="001C561B"/>
    <w:rsid w:val="001C5DC4"/>
    <w:rsid w:val="001C67BA"/>
    <w:rsid w:val="001C69E3"/>
    <w:rsid w:val="001C6DFD"/>
    <w:rsid w:val="001C7167"/>
    <w:rsid w:val="001C73B5"/>
    <w:rsid w:val="001C7C55"/>
    <w:rsid w:val="001D1300"/>
    <w:rsid w:val="001D13E9"/>
    <w:rsid w:val="001D16DC"/>
    <w:rsid w:val="001D2704"/>
    <w:rsid w:val="001D2827"/>
    <w:rsid w:val="001D32C0"/>
    <w:rsid w:val="001D33BD"/>
    <w:rsid w:val="001D35EE"/>
    <w:rsid w:val="001D3A64"/>
    <w:rsid w:val="001D563F"/>
    <w:rsid w:val="001D5793"/>
    <w:rsid w:val="001D5D8F"/>
    <w:rsid w:val="001D642F"/>
    <w:rsid w:val="001D6C0D"/>
    <w:rsid w:val="001D6DD4"/>
    <w:rsid w:val="001D74A7"/>
    <w:rsid w:val="001D79F2"/>
    <w:rsid w:val="001D7D72"/>
    <w:rsid w:val="001E0A7A"/>
    <w:rsid w:val="001E0A7B"/>
    <w:rsid w:val="001E0C9B"/>
    <w:rsid w:val="001E11B6"/>
    <w:rsid w:val="001E13F0"/>
    <w:rsid w:val="001E15F2"/>
    <w:rsid w:val="001E18DE"/>
    <w:rsid w:val="001E194B"/>
    <w:rsid w:val="001E22F7"/>
    <w:rsid w:val="001E298A"/>
    <w:rsid w:val="001E3529"/>
    <w:rsid w:val="001E3674"/>
    <w:rsid w:val="001E42D7"/>
    <w:rsid w:val="001E465F"/>
    <w:rsid w:val="001E56B7"/>
    <w:rsid w:val="001E5797"/>
    <w:rsid w:val="001E587A"/>
    <w:rsid w:val="001E6486"/>
    <w:rsid w:val="001E7CD4"/>
    <w:rsid w:val="001E7E1D"/>
    <w:rsid w:val="001F0074"/>
    <w:rsid w:val="001F217F"/>
    <w:rsid w:val="001F2902"/>
    <w:rsid w:val="001F299B"/>
    <w:rsid w:val="001F3269"/>
    <w:rsid w:val="001F353D"/>
    <w:rsid w:val="001F3F36"/>
    <w:rsid w:val="001F4613"/>
    <w:rsid w:val="001F56D9"/>
    <w:rsid w:val="001F5ECD"/>
    <w:rsid w:val="001F6059"/>
    <w:rsid w:val="001F606E"/>
    <w:rsid w:val="001F658C"/>
    <w:rsid w:val="001F6730"/>
    <w:rsid w:val="001F675C"/>
    <w:rsid w:val="001F6F44"/>
    <w:rsid w:val="001F7563"/>
    <w:rsid w:val="001F7A91"/>
    <w:rsid w:val="001F7A9A"/>
    <w:rsid w:val="001F7C4C"/>
    <w:rsid w:val="001F7D68"/>
    <w:rsid w:val="00200127"/>
    <w:rsid w:val="00200CA9"/>
    <w:rsid w:val="002013CE"/>
    <w:rsid w:val="0020185C"/>
    <w:rsid w:val="002019E5"/>
    <w:rsid w:val="00201BE3"/>
    <w:rsid w:val="00203A5F"/>
    <w:rsid w:val="0020575B"/>
    <w:rsid w:val="00205C30"/>
    <w:rsid w:val="00206331"/>
    <w:rsid w:val="00206564"/>
    <w:rsid w:val="00206AD3"/>
    <w:rsid w:val="002070CD"/>
    <w:rsid w:val="00207973"/>
    <w:rsid w:val="00207EB6"/>
    <w:rsid w:val="00207F59"/>
    <w:rsid w:val="00211178"/>
    <w:rsid w:val="0021139A"/>
    <w:rsid w:val="00211457"/>
    <w:rsid w:val="00211CF9"/>
    <w:rsid w:val="00211DC3"/>
    <w:rsid w:val="0021244B"/>
    <w:rsid w:val="00212B96"/>
    <w:rsid w:val="00213F72"/>
    <w:rsid w:val="00214005"/>
    <w:rsid w:val="0021421E"/>
    <w:rsid w:val="002143B1"/>
    <w:rsid w:val="00214515"/>
    <w:rsid w:val="00214980"/>
    <w:rsid w:val="00214996"/>
    <w:rsid w:val="00214C88"/>
    <w:rsid w:val="00215005"/>
    <w:rsid w:val="002153E7"/>
    <w:rsid w:val="002155B6"/>
    <w:rsid w:val="002157E4"/>
    <w:rsid w:val="00215AFB"/>
    <w:rsid w:val="00215DEA"/>
    <w:rsid w:val="00216521"/>
    <w:rsid w:val="002171A3"/>
    <w:rsid w:val="002171FC"/>
    <w:rsid w:val="002172ED"/>
    <w:rsid w:val="0021754B"/>
    <w:rsid w:val="002200D8"/>
    <w:rsid w:val="00220516"/>
    <w:rsid w:val="00220794"/>
    <w:rsid w:val="00220D5D"/>
    <w:rsid w:val="00221032"/>
    <w:rsid w:val="0022113F"/>
    <w:rsid w:val="0022120D"/>
    <w:rsid w:val="00221666"/>
    <w:rsid w:val="00221AE5"/>
    <w:rsid w:val="00222295"/>
    <w:rsid w:val="00222C5A"/>
    <w:rsid w:val="00222E10"/>
    <w:rsid w:val="00222FBF"/>
    <w:rsid w:val="00223228"/>
    <w:rsid w:val="00223664"/>
    <w:rsid w:val="00223A56"/>
    <w:rsid w:val="00224070"/>
    <w:rsid w:val="0022433C"/>
    <w:rsid w:val="002249ED"/>
    <w:rsid w:val="00224D32"/>
    <w:rsid w:val="00225833"/>
    <w:rsid w:val="002259B8"/>
    <w:rsid w:val="00226095"/>
    <w:rsid w:val="00226185"/>
    <w:rsid w:val="0022682D"/>
    <w:rsid w:val="00226952"/>
    <w:rsid w:val="00226CCB"/>
    <w:rsid w:val="002273B9"/>
    <w:rsid w:val="002276C7"/>
    <w:rsid w:val="002277D1"/>
    <w:rsid w:val="0022789E"/>
    <w:rsid w:val="00227910"/>
    <w:rsid w:val="00227951"/>
    <w:rsid w:val="00227B89"/>
    <w:rsid w:val="00227F43"/>
    <w:rsid w:val="00230576"/>
    <w:rsid w:val="0023154D"/>
    <w:rsid w:val="0023180D"/>
    <w:rsid w:val="00232815"/>
    <w:rsid w:val="00232E5F"/>
    <w:rsid w:val="00232F3B"/>
    <w:rsid w:val="0023351E"/>
    <w:rsid w:val="00234361"/>
    <w:rsid w:val="002343C3"/>
    <w:rsid w:val="00234640"/>
    <w:rsid w:val="00234A6C"/>
    <w:rsid w:val="00234B83"/>
    <w:rsid w:val="0023545C"/>
    <w:rsid w:val="00235623"/>
    <w:rsid w:val="00237434"/>
    <w:rsid w:val="00240106"/>
    <w:rsid w:val="002405B2"/>
    <w:rsid w:val="002408CB"/>
    <w:rsid w:val="00240D46"/>
    <w:rsid w:val="002411C7"/>
    <w:rsid w:val="002416F2"/>
    <w:rsid w:val="00242F4E"/>
    <w:rsid w:val="0024325E"/>
    <w:rsid w:val="00243987"/>
    <w:rsid w:val="00243A1C"/>
    <w:rsid w:val="00244356"/>
    <w:rsid w:val="00244A06"/>
    <w:rsid w:val="0024501B"/>
    <w:rsid w:val="002452A0"/>
    <w:rsid w:val="0024547E"/>
    <w:rsid w:val="00245F01"/>
    <w:rsid w:val="002463A6"/>
    <w:rsid w:val="00246ADB"/>
    <w:rsid w:val="00247144"/>
    <w:rsid w:val="0024761B"/>
    <w:rsid w:val="00247797"/>
    <w:rsid w:val="002477A8"/>
    <w:rsid w:val="00247D04"/>
    <w:rsid w:val="0025018A"/>
    <w:rsid w:val="00250C81"/>
    <w:rsid w:val="002517A5"/>
    <w:rsid w:val="002519D9"/>
    <w:rsid w:val="00251F26"/>
    <w:rsid w:val="00251F6C"/>
    <w:rsid w:val="002521B0"/>
    <w:rsid w:val="002521F5"/>
    <w:rsid w:val="0025249C"/>
    <w:rsid w:val="002539ED"/>
    <w:rsid w:val="00253BC1"/>
    <w:rsid w:val="0025440D"/>
    <w:rsid w:val="0025450E"/>
    <w:rsid w:val="00254EE7"/>
    <w:rsid w:val="00254F39"/>
    <w:rsid w:val="00255152"/>
    <w:rsid w:val="0025554E"/>
    <w:rsid w:val="00255685"/>
    <w:rsid w:val="00255F0A"/>
    <w:rsid w:val="00256D36"/>
    <w:rsid w:val="002572F7"/>
    <w:rsid w:val="002574F2"/>
    <w:rsid w:val="00257894"/>
    <w:rsid w:val="00257E85"/>
    <w:rsid w:val="00257FBF"/>
    <w:rsid w:val="00261006"/>
    <w:rsid w:val="00262039"/>
    <w:rsid w:val="00262305"/>
    <w:rsid w:val="00262442"/>
    <w:rsid w:val="00262586"/>
    <w:rsid w:val="00262700"/>
    <w:rsid w:val="00262B03"/>
    <w:rsid w:val="00262BE9"/>
    <w:rsid w:val="002632C9"/>
    <w:rsid w:val="00263571"/>
    <w:rsid w:val="002638F4"/>
    <w:rsid w:val="00263D1E"/>
    <w:rsid w:val="002646E3"/>
    <w:rsid w:val="00264713"/>
    <w:rsid w:val="00264A35"/>
    <w:rsid w:val="00264F5B"/>
    <w:rsid w:val="00265123"/>
    <w:rsid w:val="002664C5"/>
    <w:rsid w:val="0026777F"/>
    <w:rsid w:val="00267E89"/>
    <w:rsid w:val="0027071A"/>
    <w:rsid w:val="00270A36"/>
    <w:rsid w:val="002714E8"/>
    <w:rsid w:val="0027160C"/>
    <w:rsid w:val="00272044"/>
    <w:rsid w:val="002724C3"/>
    <w:rsid w:val="002726D1"/>
    <w:rsid w:val="00272A39"/>
    <w:rsid w:val="00273721"/>
    <w:rsid w:val="002737B0"/>
    <w:rsid w:val="00273F99"/>
    <w:rsid w:val="00273FB5"/>
    <w:rsid w:val="0027508D"/>
    <w:rsid w:val="002751D1"/>
    <w:rsid w:val="00275209"/>
    <w:rsid w:val="0027522D"/>
    <w:rsid w:val="00275231"/>
    <w:rsid w:val="00275637"/>
    <w:rsid w:val="00276C38"/>
    <w:rsid w:val="00277737"/>
    <w:rsid w:val="00277C8C"/>
    <w:rsid w:val="00281204"/>
    <w:rsid w:val="0028137A"/>
    <w:rsid w:val="00281DFD"/>
    <w:rsid w:val="0028250B"/>
    <w:rsid w:val="00282779"/>
    <w:rsid w:val="00282EB3"/>
    <w:rsid w:val="00282F0B"/>
    <w:rsid w:val="00283146"/>
    <w:rsid w:val="00283296"/>
    <w:rsid w:val="00283FB0"/>
    <w:rsid w:val="00284320"/>
    <w:rsid w:val="00284340"/>
    <w:rsid w:val="002843F0"/>
    <w:rsid w:val="0028464E"/>
    <w:rsid w:val="002847E6"/>
    <w:rsid w:val="0028483F"/>
    <w:rsid w:val="002848F6"/>
    <w:rsid w:val="00286C69"/>
    <w:rsid w:val="002874D9"/>
    <w:rsid w:val="002879B2"/>
    <w:rsid w:val="00287D75"/>
    <w:rsid w:val="00287E78"/>
    <w:rsid w:val="00290305"/>
    <w:rsid w:val="00290676"/>
    <w:rsid w:val="00290CC3"/>
    <w:rsid w:val="00291369"/>
    <w:rsid w:val="00291462"/>
    <w:rsid w:val="00291572"/>
    <w:rsid w:val="0029174B"/>
    <w:rsid w:val="002918BC"/>
    <w:rsid w:val="00291D49"/>
    <w:rsid w:val="00292380"/>
    <w:rsid w:val="002925B8"/>
    <w:rsid w:val="0029456A"/>
    <w:rsid w:val="00294CC3"/>
    <w:rsid w:val="002956DF"/>
    <w:rsid w:val="0029579B"/>
    <w:rsid w:val="00295D1E"/>
    <w:rsid w:val="002968D2"/>
    <w:rsid w:val="00296FEB"/>
    <w:rsid w:val="00297261"/>
    <w:rsid w:val="002A04B4"/>
    <w:rsid w:val="002A0AA6"/>
    <w:rsid w:val="002A145B"/>
    <w:rsid w:val="002A16F2"/>
    <w:rsid w:val="002A1773"/>
    <w:rsid w:val="002A18BE"/>
    <w:rsid w:val="002A1ADA"/>
    <w:rsid w:val="002A274E"/>
    <w:rsid w:val="002A2AA0"/>
    <w:rsid w:val="002A36F6"/>
    <w:rsid w:val="002A3A97"/>
    <w:rsid w:val="002A3E02"/>
    <w:rsid w:val="002A4084"/>
    <w:rsid w:val="002A4147"/>
    <w:rsid w:val="002A44EA"/>
    <w:rsid w:val="002A49F8"/>
    <w:rsid w:val="002A4AD6"/>
    <w:rsid w:val="002A4BBE"/>
    <w:rsid w:val="002A5499"/>
    <w:rsid w:val="002A5CA1"/>
    <w:rsid w:val="002A636D"/>
    <w:rsid w:val="002A652F"/>
    <w:rsid w:val="002A6A3A"/>
    <w:rsid w:val="002A7196"/>
    <w:rsid w:val="002A738C"/>
    <w:rsid w:val="002A761B"/>
    <w:rsid w:val="002A76AE"/>
    <w:rsid w:val="002B0886"/>
    <w:rsid w:val="002B0D86"/>
    <w:rsid w:val="002B1384"/>
    <w:rsid w:val="002B2D78"/>
    <w:rsid w:val="002B3681"/>
    <w:rsid w:val="002B384B"/>
    <w:rsid w:val="002B3CA6"/>
    <w:rsid w:val="002B46C9"/>
    <w:rsid w:val="002B4942"/>
    <w:rsid w:val="002B49DF"/>
    <w:rsid w:val="002B4B7A"/>
    <w:rsid w:val="002B667C"/>
    <w:rsid w:val="002B6791"/>
    <w:rsid w:val="002B679C"/>
    <w:rsid w:val="002B6C52"/>
    <w:rsid w:val="002B7C3F"/>
    <w:rsid w:val="002B7FE2"/>
    <w:rsid w:val="002C0DD4"/>
    <w:rsid w:val="002C0EAE"/>
    <w:rsid w:val="002C11CA"/>
    <w:rsid w:val="002C12F1"/>
    <w:rsid w:val="002C13D5"/>
    <w:rsid w:val="002C1F96"/>
    <w:rsid w:val="002C22EE"/>
    <w:rsid w:val="002C328D"/>
    <w:rsid w:val="002C350A"/>
    <w:rsid w:val="002C3D67"/>
    <w:rsid w:val="002C45E8"/>
    <w:rsid w:val="002C4AF9"/>
    <w:rsid w:val="002C5540"/>
    <w:rsid w:val="002C5EC2"/>
    <w:rsid w:val="002C663F"/>
    <w:rsid w:val="002C66CD"/>
    <w:rsid w:val="002C709E"/>
    <w:rsid w:val="002C70CE"/>
    <w:rsid w:val="002C7499"/>
    <w:rsid w:val="002C78F5"/>
    <w:rsid w:val="002D0106"/>
    <w:rsid w:val="002D011B"/>
    <w:rsid w:val="002D0AE0"/>
    <w:rsid w:val="002D17DE"/>
    <w:rsid w:val="002D1817"/>
    <w:rsid w:val="002D1B50"/>
    <w:rsid w:val="002D1B91"/>
    <w:rsid w:val="002D2A14"/>
    <w:rsid w:val="002D2DC2"/>
    <w:rsid w:val="002D3391"/>
    <w:rsid w:val="002D38C6"/>
    <w:rsid w:val="002D3EDF"/>
    <w:rsid w:val="002D4044"/>
    <w:rsid w:val="002D5097"/>
    <w:rsid w:val="002D54A5"/>
    <w:rsid w:val="002D55E4"/>
    <w:rsid w:val="002D59F8"/>
    <w:rsid w:val="002D5AF9"/>
    <w:rsid w:val="002D5D26"/>
    <w:rsid w:val="002D690D"/>
    <w:rsid w:val="002D695C"/>
    <w:rsid w:val="002D69EE"/>
    <w:rsid w:val="002D70A1"/>
    <w:rsid w:val="002D7C23"/>
    <w:rsid w:val="002E0786"/>
    <w:rsid w:val="002E0B33"/>
    <w:rsid w:val="002E1C11"/>
    <w:rsid w:val="002E23A9"/>
    <w:rsid w:val="002E2E87"/>
    <w:rsid w:val="002E3383"/>
    <w:rsid w:val="002E3B7C"/>
    <w:rsid w:val="002E4F10"/>
    <w:rsid w:val="002E502C"/>
    <w:rsid w:val="002E5504"/>
    <w:rsid w:val="002E55B9"/>
    <w:rsid w:val="002E595F"/>
    <w:rsid w:val="002E5DB7"/>
    <w:rsid w:val="002E6642"/>
    <w:rsid w:val="002E6DF0"/>
    <w:rsid w:val="002E75BD"/>
    <w:rsid w:val="002E7775"/>
    <w:rsid w:val="002E7AD2"/>
    <w:rsid w:val="002E7EA6"/>
    <w:rsid w:val="002F02D1"/>
    <w:rsid w:val="002F0645"/>
    <w:rsid w:val="002F0723"/>
    <w:rsid w:val="002F0AC5"/>
    <w:rsid w:val="002F0B88"/>
    <w:rsid w:val="002F1399"/>
    <w:rsid w:val="002F1518"/>
    <w:rsid w:val="002F183D"/>
    <w:rsid w:val="002F32FB"/>
    <w:rsid w:val="002F3483"/>
    <w:rsid w:val="002F35B4"/>
    <w:rsid w:val="002F3948"/>
    <w:rsid w:val="002F4797"/>
    <w:rsid w:val="002F5611"/>
    <w:rsid w:val="002F5DFE"/>
    <w:rsid w:val="002F5F5E"/>
    <w:rsid w:val="002F5F85"/>
    <w:rsid w:val="002F67F6"/>
    <w:rsid w:val="002F693F"/>
    <w:rsid w:val="002F7252"/>
    <w:rsid w:val="002F75DC"/>
    <w:rsid w:val="003008CC"/>
    <w:rsid w:val="00300A0D"/>
    <w:rsid w:val="00300ACB"/>
    <w:rsid w:val="003010A3"/>
    <w:rsid w:val="00301763"/>
    <w:rsid w:val="00301DD5"/>
    <w:rsid w:val="00302252"/>
    <w:rsid w:val="00302681"/>
    <w:rsid w:val="00303A00"/>
    <w:rsid w:val="00303B63"/>
    <w:rsid w:val="00303C60"/>
    <w:rsid w:val="0030466C"/>
    <w:rsid w:val="003046DD"/>
    <w:rsid w:val="00304B3B"/>
    <w:rsid w:val="00304DF6"/>
    <w:rsid w:val="00304FB8"/>
    <w:rsid w:val="003050C6"/>
    <w:rsid w:val="00306137"/>
    <w:rsid w:val="003064B7"/>
    <w:rsid w:val="00306C99"/>
    <w:rsid w:val="00307299"/>
    <w:rsid w:val="00310014"/>
    <w:rsid w:val="00310085"/>
    <w:rsid w:val="00310B9B"/>
    <w:rsid w:val="00310C3F"/>
    <w:rsid w:val="00311A44"/>
    <w:rsid w:val="00311DEE"/>
    <w:rsid w:val="00312829"/>
    <w:rsid w:val="003129E2"/>
    <w:rsid w:val="00312DA6"/>
    <w:rsid w:val="003136B8"/>
    <w:rsid w:val="00313A1D"/>
    <w:rsid w:val="003140D2"/>
    <w:rsid w:val="00314E4F"/>
    <w:rsid w:val="00316E5C"/>
    <w:rsid w:val="003170ED"/>
    <w:rsid w:val="00317714"/>
    <w:rsid w:val="00320A17"/>
    <w:rsid w:val="00320EA8"/>
    <w:rsid w:val="00321AF6"/>
    <w:rsid w:val="003221CF"/>
    <w:rsid w:val="00322595"/>
    <w:rsid w:val="00322A5B"/>
    <w:rsid w:val="00322DA9"/>
    <w:rsid w:val="00322FA4"/>
    <w:rsid w:val="0032328B"/>
    <w:rsid w:val="00323878"/>
    <w:rsid w:val="00323AF6"/>
    <w:rsid w:val="0032445B"/>
    <w:rsid w:val="00324CF9"/>
    <w:rsid w:val="003251C2"/>
    <w:rsid w:val="00325762"/>
    <w:rsid w:val="003259D5"/>
    <w:rsid w:val="00325C2F"/>
    <w:rsid w:val="00325FA0"/>
    <w:rsid w:val="003269DD"/>
    <w:rsid w:val="00326F1C"/>
    <w:rsid w:val="0032704D"/>
    <w:rsid w:val="00327162"/>
    <w:rsid w:val="00327CA5"/>
    <w:rsid w:val="00330A0A"/>
    <w:rsid w:val="00331638"/>
    <w:rsid w:val="00331E57"/>
    <w:rsid w:val="00331F71"/>
    <w:rsid w:val="003328A9"/>
    <w:rsid w:val="00333221"/>
    <w:rsid w:val="003336B6"/>
    <w:rsid w:val="0033455A"/>
    <w:rsid w:val="003346EE"/>
    <w:rsid w:val="00334CF7"/>
    <w:rsid w:val="00335247"/>
    <w:rsid w:val="003353BB"/>
    <w:rsid w:val="003354E4"/>
    <w:rsid w:val="00335CE6"/>
    <w:rsid w:val="00335E7D"/>
    <w:rsid w:val="00336A60"/>
    <w:rsid w:val="003371B5"/>
    <w:rsid w:val="0033795B"/>
    <w:rsid w:val="00337BAF"/>
    <w:rsid w:val="00337F64"/>
    <w:rsid w:val="00340341"/>
    <w:rsid w:val="00341308"/>
    <w:rsid w:val="0034163C"/>
    <w:rsid w:val="003417CB"/>
    <w:rsid w:val="003417D6"/>
    <w:rsid w:val="00341A55"/>
    <w:rsid w:val="0034234B"/>
    <w:rsid w:val="003428F0"/>
    <w:rsid w:val="00342B39"/>
    <w:rsid w:val="0034303E"/>
    <w:rsid w:val="003430F2"/>
    <w:rsid w:val="003432C3"/>
    <w:rsid w:val="003433D5"/>
    <w:rsid w:val="00343533"/>
    <w:rsid w:val="003435A9"/>
    <w:rsid w:val="00343BEA"/>
    <w:rsid w:val="003440C5"/>
    <w:rsid w:val="00344649"/>
    <w:rsid w:val="00345496"/>
    <w:rsid w:val="003457E4"/>
    <w:rsid w:val="00345BCF"/>
    <w:rsid w:val="0034665B"/>
    <w:rsid w:val="003466C6"/>
    <w:rsid w:val="003466F9"/>
    <w:rsid w:val="00347072"/>
    <w:rsid w:val="00347D0B"/>
    <w:rsid w:val="00350092"/>
    <w:rsid w:val="0035021A"/>
    <w:rsid w:val="00351042"/>
    <w:rsid w:val="003519AD"/>
    <w:rsid w:val="00351E0E"/>
    <w:rsid w:val="0035232D"/>
    <w:rsid w:val="00352638"/>
    <w:rsid w:val="003526F7"/>
    <w:rsid w:val="00352A19"/>
    <w:rsid w:val="003538FC"/>
    <w:rsid w:val="00353A09"/>
    <w:rsid w:val="00353A43"/>
    <w:rsid w:val="00353D63"/>
    <w:rsid w:val="00354941"/>
    <w:rsid w:val="00354EB4"/>
    <w:rsid w:val="003560AF"/>
    <w:rsid w:val="00356979"/>
    <w:rsid w:val="00356D29"/>
    <w:rsid w:val="003571C2"/>
    <w:rsid w:val="003606CD"/>
    <w:rsid w:val="00361DA0"/>
    <w:rsid w:val="00362129"/>
    <w:rsid w:val="00362702"/>
    <w:rsid w:val="003629AB"/>
    <w:rsid w:val="00362AEF"/>
    <w:rsid w:val="00362E8C"/>
    <w:rsid w:val="00363195"/>
    <w:rsid w:val="0036400D"/>
    <w:rsid w:val="003640A7"/>
    <w:rsid w:val="003640D7"/>
    <w:rsid w:val="00364448"/>
    <w:rsid w:val="00364632"/>
    <w:rsid w:val="00364E42"/>
    <w:rsid w:val="003651DE"/>
    <w:rsid w:val="00365447"/>
    <w:rsid w:val="0036565E"/>
    <w:rsid w:val="00365A0E"/>
    <w:rsid w:val="00366914"/>
    <w:rsid w:val="00367881"/>
    <w:rsid w:val="0036794E"/>
    <w:rsid w:val="003707BD"/>
    <w:rsid w:val="0037096C"/>
    <w:rsid w:val="00371A84"/>
    <w:rsid w:val="00371EC7"/>
    <w:rsid w:val="00372508"/>
    <w:rsid w:val="00372B74"/>
    <w:rsid w:val="00373298"/>
    <w:rsid w:val="00373612"/>
    <w:rsid w:val="00374332"/>
    <w:rsid w:val="00374706"/>
    <w:rsid w:val="00374A7F"/>
    <w:rsid w:val="0037542E"/>
    <w:rsid w:val="00376031"/>
    <w:rsid w:val="00380633"/>
    <w:rsid w:val="003807B6"/>
    <w:rsid w:val="00380FA8"/>
    <w:rsid w:val="00381291"/>
    <w:rsid w:val="0038146C"/>
    <w:rsid w:val="00381977"/>
    <w:rsid w:val="00381BAC"/>
    <w:rsid w:val="00381BE0"/>
    <w:rsid w:val="00382609"/>
    <w:rsid w:val="00382FC8"/>
    <w:rsid w:val="003831FC"/>
    <w:rsid w:val="00384ADC"/>
    <w:rsid w:val="00384CD0"/>
    <w:rsid w:val="00384F2A"/>
    <w:rsid w:val="003850AD"/>
    <w:rsid w:val="0038554A"/>
    <w:rsid w:val="00385B38"/>
    <w:rsid w:val="00385B3E"/>
    <w:rsid w:val="00386124"/>
    <w:rsid w:val="003864D5"/>
    <w:rsid w:val="00386AC5"/>
    <w:rsid w:val="00387A9C"/>
    <w:rsid w:val="00390567"/>
    <w:rsid w:val="00390A5D"/>
    <w:rsid w:val="00390F37"/>
    <w:rsid w:val="0039141C"/>
    <w:rsid w:val="00391EBD"/>
    <w:rsid w:val="003921D5"/>
    <w:rsid w:val="0039243F"/>
    <w:rsid w:val="00392997"/>
    <w:rsid w:val="00393111"/>
    <w:rsid w:val="003932D0"/>
    <w:rsid w:val="00393A4E"/>
    <w:rsid w:val="00394038"/>
    <w:rsid w:val="00394933"/>
    <w:rsid w:val="00394A6F"/>
    <w:rsid w:val="00394F10"/>
    <w:rsid w:val="00395310"/>
    <w:rsid w:val="00395797"/>
    <w:rsid w:val="003966AA"/>
    <w:rsid w:val="003966F6"/>
    <w:rsid w:val="0039677D"/>
    <w:rsid w:val="003968B5"/>
    <w:rsid w:val="00396FC0"/>
    <w:rsid w:val="003A029F"/>
    <w:rsid w:val="003A0660"/>
    <w:rsid w:val="003A0D52"/>
    <w:rsid w:val="003A171B"/>
    <w:rsid w:val="003A285E"/>
    <w:rsid w:val="003A2ED1"/>
    <w:rsid w:val="003A31EE"/>
    <w:rsid w:val="003A33D2"/>
    <w:rsid w:val="003A358D"/>
    <w:rsid w:val="003A437D"/>
    <w:rsid w:val="003A46D9"/>
    <w:rsid w:val="003A4C47"/>
    <w:rsid w:val="003A52C0"/>
    <w:rsid w:val="003A5CFE"/>
    <w:rsid w:val="003A5DB2"/>
    <w:rsid w:val="003A5F18"/>
    <w:rsid w:val="003A6724"/>
    <w:rsid w:val="003A6E1A"/>
    <w:rsid w:val="003A7D77"/>
    <w:rsid w:val="003B0179"/>
    <w:rsid w:val="003B038B"/>
    <w:rsid w:val="003B0BA1"/>
    <w:rsid w:val="003B21B4"/>
    <w:rsid w:val="003B2319"/>
    <w:rsid w:val="003B2FDA"/>
    <w:rsid w:val="003B3172"/>
    <w:rsid w:val="003B34A5"/>
    <w:rsid w:val="003B3BB3"/>
    <w:rsid w:val="003B4599"/>
    <w:rsid w:val="003B5C88"/>
    <w:rsid w:val="003B61B7"/>
    <w:rsid w:val="003B685E"/>
    <w:rsid w:val="003B68AE"/>
    <w:rsid w:val="003B6FE2"/>
    <w:rsid w:val="003B7588"/>
    <w:rsid w:val="003B7AE5"/>
    <w:rsid w:val="003C0E27"/>
    <w:rsid w:val="003C1137"/>
    <w:rsid w:val="003C1AE2"/>
    <w:rsid w:val="003C1BE6"/>
    <w:rsid w:val="003C1E63"/>
    <w:rsid w:val="003C2160"/>
    <w:rsid w:val="003C2BA7"/>
    <w:rsid w:val="003C320F"/>
    <w:rsid w:val="003C3611"/>
    <w:rsid w:val="003C3C0B"/>
    <w:rsid w:val="003C3DC8"/>
    <w:rsid w:val="003C3F4A"/>
    <w:rsid w:val="003C4A6A"/>
    <w:rsid w:val="003C4F8F"/>
    <w:rsid w:val="003C5C92"/>
    <w:rsid w:val="003C5D53"/>
    <w:rsid w:val="003C656F"/>
    <w:rsid w:val="003C6801"/>
    <w:rsid w:val="003C6B22"/>
    <w:rsid w:val="003C6B59"/>
    <w:rsid w:val="003C74ED"/>
    <w:rsid w:val="003C7A95"/>
    <w:rsid w:val="003D034A"/>
    <w:rsid w:val="003D0842"/>
    <w:rsid w:val="003D0E38"/>
    <w:rsid w:val="003D1061"/>
    <w:rsid w:val="003D1F59"/>
    <w:rsid w:val="003D23D0"/>
    <w:rsid w:val="003D299E"/>
    <w:rsid w:val="003D2CF0"/>
    <w:rsid w:val="003D388B"/>
    <w:rsid w:val="003D42D1"/>
    <w:rsid w:val="003D4326"/>
    <w:rsid w:val="003D436B"/>
    <w:rsid w:val="003D4AE9"/>
    <w:rsid w:val="003D55E1"/>
    <w:rsid w:val="003D5BB0"/>
    <w:rsid w:val="003D5D77"/>
    <w:rsid w:val="003D641A"/>
    <w:rsid w:val="003D6DC3"/>
    <w:rsid w:val="003D6EF9"/>
    <w:rsid w:val="003D710A"/>
    <w:rsid w:val="003D71EB"/>
    <w:rsid w:val="003D7645"/>
    <w:rsid w:val="003D7B73"/>
    <w:rsid w:val="003D7D31"/>
    <w:rsid w:val="003E09D2"/>
    <w:rsid w:val="003E22CB"/>
    <w:rsid w:val="003E2343"/>
    <w:rsid w:val="003E2DED"/>
    <w:rsid w:val="003E318F"/>
    <w:rsid w:val="003E3A96"/>
    <w:rsid w:val="003E3BF0"/>
    <w:rsid w:val="003E3DB5"/>
    <w:rsid w:val="003E3E19"/>
    <w:rsid w:val="003E3F9D"/>
    <w:rsid w:val="003E406B"/>
    <w:rsid w:val="003E4428"/>
    <w:rsid w:val="003E4918"/>
    <w:rsid w:val="003E4F96"/>
    <w:rsid w:val="003E54AC"/>
    <w:rsid w:val="003E5CCA"/>
    <w:rsid w:val="003E5DDE"/>
    <w:rsid w:val="003E5F47"/>
    <w:rsid w:val="003E73E2"/>
    <w:rsid w:val="003E75BD"/>
    <w:rsid w:val="003E75F1"/>
    <w:rsid w:val="003E764C"/>
    <w:rsid w:val="003E7773"/>
    <w:rsid w:val="003E7D92"/>
    <w:rsid w:val="003F0088"/>
    <w:rsid w:val="003F017E"/>
    <w:rsid w:val="003F0317"/>
    <w:rsid w:val="003F0694"/>
    <w:rsid w:val="003F0733"/>
    <w:rsid w:val="003F0B1F"/>
    <w:rsid w:val="003F0D62"/>
    <w:rsid w:val="003F0F0E"/>
    <w:rsid w:val="003F1038"/>
    <w:rsid w:val="003F1155"/>
    <w:rsid w:val="003F115E"/>
    <w:rsid w:val="003F1259"/>
    <w:rsid w:val="003F14A7"/>
    <w:rsid w:val="003F14C2"/>
    <w:rsid w:val="003F1E6A"/>
    <w:rsid w:val="003F1E95"/>
    <w:rsid w:val="003F2210"/>
    <w:rsid w:val="003F2857"/>
    <w:rsid w:val="003F2EFC"/>
    <w:rsid w:val="003F38DE"/>
    <w:rsid w:val="003F3971"/>
    <w:rsid w:val="003F3C26"/>
    <w:rsid w:val="003F42A2"/>
    <w:rsid w:val="003F45F7"/>
    <w:rsid w:val="003F535C"/>
    <w:rsid w:val="003F5B59"/>
    <w:rsid w:val="003F7196"/>
    <w:rsid w:val="003F7539"/>
    <w:rsid w:val="00400408"/>
    <w:rsid w:val="004008AF"/>
    <w:rsid w:val="00400B5F"/>
    <w:rsid w:val="00401668"/>
    <w:rsid w:val="00401895"/>
    <w:rsid w:val="00401BA6"/>
    <w:rsid w:val="00401DBF"/>
    <w:rsid w:val="00401ED5"/>
    <w:rsid w:val="00401F04"/>
    <w:rsid w:val="004033D9"/>
    <w:rsid w:val="00403D4F"/>
    <w:rsid w:val="004046A1"/>
    <w:rsid w:val="00404A94"/>
    <w:rsid w:val="0040551F"/>
    <w:rsid w:val="00405F33"/>
    <w:rsid w:val="004067F1"/>
    <w:rsid w:val="0040682D"/>
    <w:rsid w:val="00407240"/>
    <w:rsid w:val="00407572"/>
    <w:rsid w:val="0040766C"/>
    <w:rsid w:val="0040771F"/>
    <w:rsid w:val="004100A1"/>
    <w:rsid w:val="00410F2B"/>
    <w:rsid w:val="004111F7"/>
    <w:rsid w:val="004117B2"/>
    <w:rsid w:val="00411C17"/>
    <w:rsid w:val="00412005"/>
    <w:rsid w:val="0041217D"/>
    <w:rsid w:val="004125C6"/>
    <w:rsid w:val="0041275F"/>
    <w:rsid w:val="00412E1B"/>
    <w:rsid w:val="00413524"/>
    <w:rsid w:val="00413BF3"/>
    <w:rsid w:val="00415A0B"/>
    <w:rsid w:val="00415BE3"/>
    <w:rsid w:val="00415EE4"/>
    <w:rsid w:val="004163A8"/>
    <w:rsid w:val="00416A95"/>
    <w:rsid w:val="00416CF3"/>
    <w:rsid w:val="00416D97"/>
    <w:rsid w:val="00417162"/>
    <w:rsid w:val="004172F9"/>
    <w:rsid w:val="00417D53"/>
    <w:rsid w:val="00420A3F"/>
    <w:rsid w:val="00420C35"/>
    <w:rsid w:val="00421A89"/>
    <w:rsid w:val="00421CCE"/>
    <w:rsid w:val="00421EBC"/>
    <w:rsid w:val="0042304B"/>
    <w:rsid w:val="004230D6"/>
    <w:rsid w:val="0042357B"/>
    <w:rsid w:val="00423E45"/>
    <w:rsid w:val="00424084"/>
    <w:rsid w:val="00424D8D"/>
    <w:rsid w:val="00424E07"/>
    <w:rsid w:val="0042526F"/>
    <w:rsid w:val="00425444"/>
    <w:rsid w:val="00426036"/>
    <w:rsid w:val="004262AC"/>
    <w:rsid w:val="0042648A"/>
    <w:rsid w:val="004265C9"/>
    <w:rsid w:val="004273AD"/>
    <w:rsid w:val="00427B0F"/>
    <w:rsid w:val="004305AE"/>
    <w:rsid w:val="004306D1"/>
    <w:rsid w:val="004317B4"/>
    <w:rsid w:val="00431800"/>
    <w:rsid w:val="00431FF7"/>
    <w:rsid w:val="00432545"/>
    <w:rsid w:val="004332D6"/>
    <w:rsid w:val="00433541"/>
    <w:rsid w:val="00433A66"/>
    <w:rsid w:val="00433F81"/>
    <w:rsid w:val="00434AFA"/>
    <w:rsid w:val="00434B3D"/>
    <w:rsid w:val="00434B49"/>
    <w:rsid w:val="00435526"/>
    <w:rsid w:val="00435947"/>
    <w:rsid w:val="00435BAF"/>
    <w:rsid w:val="00436340"/>
    <w:rsid w:val="0043643B"/>
    <w:rsid w:val="00436514"/>
    <w:rsid w:val="004366EE"/>
    <w:rsid w:val="00436EB4"/>
    <w:rsid w:val="0043764D"/>
    <w:rsid w:val="0043797D"/>
    <w:rsid w:val="00437D76"/>
    <w:rsid w:val="004407CD"/>
    <w:rsid w:val="00440807"/>
    <w:rsid w:val="00440F4C"/>
    <w:rsid w:val="0044123C"/>
    <w:rsid w:val="0044127D"/>
    <w:rsid w:val="00441544"/>
    <w:rsid w:val="0044169B"/>
    <w:rsid w:val="00441AFE"/>
    <w:rsid w:val="004423F7"/>
    <w:rsid w:val="00442884"/>
    <w:rsid w:val="004428BF"/>
    <w:rsid w:val="00442A49"/>
    <w:rsid w:val="004430D8"/>
    <w:rsid w:val="00443D00"/>
    <w:rsid w:val="0044404A"/>
    <w:rsid w:val="00444118"/>
    <w:rsid w:val="004442B2"/>
    <w:rsid w:val="00444A34"/>
    <w:rsid w:val="00444B4C"/>
    <w:rsid w:val="004453F7"/>
    <w:rsid w:val="0044690B"/>
    <w:rsid w:val="00446BBE"/>
    <w:rsid w:val="00446D0E"/>
    <w:rsid w:val="00446D64"/>
    <w:rsid w:val="0044725A"/>
    <w:rsid w:val="0044782C"/>
    <w:rsid w:val="00450034"/>
    <w:rsid w:val="0045011A"/>
    <w:rsid w:val="0045093D"/>
    <w:rsid w:val="00451645"/>
    <w:rsid w:val="00451F21"/>
    <w:rsid w:val="004529A7"/>
    <w:rsid w:val="00452B68"/>
    <w:rsid w:val="00452DDD"/>
    <w:rsid w:val="00453C53"/>
    <w:rsid w:val="004540C4"/>
    <w:rsid w:val="00454AAD"/>
    <w:rsid w:val="00454F8E"/>
    <w:rsid w:val="004553B9"/>
    <w:rsid w:val="00456568"/>
    <w:rsid w:val="00456707"/>
    <w:rsid w:val="004570D7"/>
    <w:rsid w:val="004572CE"/>
    <w:rsid w:val="00457FA6"/>
    <w:rsid w:val="004604FE"/>
    <w:rsid w:val="00460FC8"/>
    <w:rsid w:val="00461134"/>
    <w:rsid w:val="00461765"/>
    <w:rsid w:val="00461B09"/>
    <w:rsid w:val="00461BDD"/>
    <w:rsid w:val="00461FEE"/>
    <w:rsid w:val="00462778"/>
    <w:rsid w:val="00462994"/>
    <w:rsid w:val="00463E28"/>
    <w:rsid w:val="0046454B"/>
    <w:rsid w:val="00464715"/>
    <w:rsid w:val="00464842"/>
    <w:rsid w:val="004648D3"/>
    <w:rsid w:val="00464A20"/>
    <w:rsid w:val="00464BCD"/>
    <w:rsid w:val="00464F6C"/>
    <w:rsid w:val="0046660A"/>
    <w:rsid w:val="004668D6"/>
    <w:rsid w:val="004673C7"/>
    <w:rsid w:val="0046785D"/>
    <w:rsid w:val="00467922"/>
    <w:rsid w:val="004701A8"/>
    <w:rsid w:val="00470406"/>
    <w:rsid w:val="00470B54"/>
    <w:rsid w:val="00470C10"/>
    <w:rsid w:val="00470D49"/>
    <w:rsid w:val="004710CD"/>
    <w:rsid w:val="004718BA"/>
    <w:rsid w:val="00471D0D"/>
    <w:rsid w:val="00471F2D"/>
    <w:rsid w:val="0047203A"/>
    <w:rsid w:val="004721C3"/>
    <w:rsid w:val="004723C1"/>
    <w:rsid w:val="00472EB2"/>
    <w:rsid w:val="00473692"/>
    <w:rsid w:val="00473891"/>
    <w:rsid w:val="004738D0"/>
    <w:rsid w:val="004740E2"/>
    <w:rsid w:val="00474E01"/>
    <w:rsid w:val="0047562B"/>
    <w:rsid w:val="004767A7"/>
    <w:rsid w:val="004767EE"/>
    <w:rsid w:val="00476C12"/>
    <w:rsid w:val="004770E2"/>
    <w:rsid w:val="004775AE"/>
    <w:rsid w:val="0047764D"/>
    <w:rsid w:val="004779F2"/>
    <w:rsid w:val="00477EFA"/>
    <w:rsid w:val="00480D62"/>
    <w:rsid w:val="0048135D"/>
    <w:rsid w:val="0048176B"/>
    <w:rsid w:val="00482804"/>
    <w:rsid w:val="00482B47"/>
    <w:rsid w:val="00482D71"/>
    <w:rsid w:val="00482F23"/>
    <w:rsid w:val="0048323E"/>
    <w:rsid w:val="00483CBD"/>
    <w:rsid w:val="00483E63"/>
    <w:rsid w:val="00484280"/>
    <w:rsid w:val="00484CDD"/>
    <w:rsid w:val="00484DC5"/>
    <w:rsid w:val="00485675"/>
    <w:rsid w:val="004856A0"/>
    <w:rsid w:val="00486208"/>
    <w:rsid w:val="00486E99"/>
    <w:rsid w:val="004874BD"/>
    <w:rsid w:val="00487A43"/>
    <w:rsid w:val="00487C85"/>
    <w:rsid w:val="004905BB"/>
    <w:rsid w:val="00490624"/>
    <w:rsid w:val="00490DC4"/>
    <w:rsid w:val="00490F1A"/>
    <w:rsid w:val="004913DC"/>
    <w:rsid w:val="00492B53"/>
    <w:rsid w:val="004934E2"/>
    <w:rsid w:val="00493748"/>
    <w:rsid w:val="00494635"/>
    <w:rsid w:val="00494BCC"/>
    <w:rsid w:val="00494F64"/>
    <w:rsid w:val="00496B00"/>
    <w:rsid w:val="00497B9F"/>
    <w:rsid w:val="00497C47"/>
    <w:rsid w:val="004A0361"/>
    <w:rsid w:val="004A095D"/>
    <w:rsid w:val="004A0FA9"/>
    <w:rsid w:val="004A1529"/>
    <w:rsid w:val="004A1D83"/>
    <w:rsid w:val="004A2084"/>
    <w:rsid w:val="004A23D8"/>
    <w:rsid w:val="004A29E0"/>
    <w:rsid w:val="004A310D"/>
    <w:rsid w:val="004A33D9"/>
    <w:rsid w:val="004A3B9D"/>
    <w:rsid w:val="004A3D25"/>
    <w:rsid w:val="004A3D68"/>
    <w:rsid w:val="004A4430"/>
    <w:rsid w:val="004A4475"/>
    <w:rsid w:val="004A452A"/>
    <w:rsid w:val="004A460D"/>
    <w:rsid w:val="004A49AF"/>
    <w:rsid w:val="004A4FDF"/>
    <w:rsid w:val="004A5489"/>
    <w:rsid w:val="004A5704"/>
    <w:rsid w:val="004A5D5C"/>
    <w:rsid w:val="004A5E73"/>
    <w:rsid w:val="004A684C"/>
    <w:rsid w:val="004A69B5"/>
    <w:rsid w:val="004A74F4"/>
    <w:rsid w:val="004A7935"/>
    <w:rsid w:val="004A7A52"/>
    <w:rsid w:val="004A7EFE"/>
    <w:rsid w:val="004B08BA"/>
    <w:rsid w:val="004B0A3E"/>
    <w:rsid w:val="004B0EB4"/>
    <w:rsid w:val="004B14F2"/>
    <w:rsid w:val="004B19FE"/>
    <w:rsid w:val="004B1D83"/>
    <w:rsid w:val="004B205B"/>
    <w:rsid w:val="004B2588"/>
    <w:rsid w:val="004B284E"/>
    <w:rsid w:val="004B28CC"/>
    <w:rsid w:val="004B2A4D"/>
    <w:rsid w:val="004B2F45"/>
    <w:rsid w:val="004B3169"/>
    <w:rsid w:val="004B31DF"/>
    <w:rsid w:val="004B33C2"/>
    <w:rsid w:val="004B3526"/>
    <w:rsid w:val="004B399B"/>
    <w:rsid w:val="004B4214"/>
    <w:rsid w:val="004B4328"/>
    <w:rsid w:val="004B4534"/>
    <w:rsid w:val="004B4AAE"/>
    <w:rsid w:val="004B4D41"/>
    <w:rsid w:val="004B54BC"/>
    <w:rsid w:val="004B5AD9"/>
    <w:rsid w:val="004B5C17"/>
    <w:rsid w:val="004B6145"/>
    <w:rsid w:val="004B6835"/>
    <w:rsid w:val="004B689D"/>
    <w:rsid w:val="004C0AA3"/>
    <w:rsid w:val="004C0BBB"/>
    <w:rsid w:val="004C0E97"/>
    <w:rsid w:val="004C1198"/>
    <w:rsid w:val="004C12DF"/>
    <w:rsid w:val="004C155D"/>
    <w:rsid w:val="004C2A2D"/>
    <w:rsid w:val="004C2BED"/>
    <w:rsid w:val="004C2FA1"/>
    <w:rsid w:val="004C3037"/>
    <w:rsid w:val="004C375B"/>
    <w:rsid w:val="004C3C8D"/>
    <w:rsid w:val="004C412F"/>
    <w:rsid w:val="004C442A"/>
    <w:rsid w:val="004C48C8"/>
    <w:rsid w:val="004C4FA3"/>
    <w:rsid w:val="004C598D"/>
    <w:rsid w:val="004C5B2A"/>
    <w:rsid w:val="004C5C27"/>
    <w:rsid w:val="004C5DED"/>
    <w:rsid w:val="004C6C8F"/>
    <w:rsid w:val="004C6DD0"/>
    <w:rsid w:val="004C7EEF"/>
    <w:rsid w:val="004D0764"/>
    <w:rsid w:val="004D0A43"/>
    <w:rsid w:val="004D12B8"/>
    <w:rsid w:val="004D136F"/>
    <w:rsid w:val="004D16D7"/>
    <w:rsid w:val="004D1AA9"/>
    <w:rsid w:val="004D2379"/>
    <w:rsid w:val="004D25F1"/>
    <w:rsid w:val="004D301E"/>
    <w:rsid w:val="004D3508"/>
    <w:rsid w:val="004D3897"/>
    <w:rsid w:val="004D3F31"/>
    <w:rsid w:val="004D4425"/>
    <w:rsid w:val="004D4A2A"/>
    <w:rsid w:val="004D5191"/>
    <w:rsid w:val="004D5430"/>
    <w:rsid w:val="004D6018"/>
    <w:rsid w:val="004D6358"/>
    <w:rsid w:val="004D6C64"/>
    <w:rsid w:val="004D6CF6"/>
    <w:rsid w:val="004D75BB"/>
    <w:rsid w:val="004D79D1"/>
    <w:rsid w:val="004D7E51"/>
    <w:rsid w:val="004D7F2F"/>
    <w:rsid w:val="004E0F6C"/>
    <w:rsid w:val="004E10F9"/>
    <w:rsid w:val="004E1D91"/>
    <w:rsid w:val="004E25EC"/>
    <w:rsid w:val="004E26DE"/>
    <w:rsid w:val="004E27D4"/>
    <w:rsid w:val="004E28D1"/>
    <w:rsid w:val="004E2B22"/>
    <w:rsid w:val="004E2BB7"/>
    <w:rsid w:val="004E2BD6"/>
    <w:rsid w:val="004E3EDC"/>
    <w:rsid w:val="004E516B"/>
    <w:rsid w:val="004E59BF"/>
    <w:rsid w:val="004E5B6D"/>
    <w:rsid w:val="004E615E"/>
    <w:rsid w:val="004E6BF7"/>
    <w:rsid w:val="004E6F93"/>
    <w:rsid w:val="004E7549"/>
    <w:rsid w:val="004E7691"/>
    <w:rsid w:val="004E7AB7"/>
    <w:rsid w:val="004F0AD3"/>
    <w:rsid w:val="004F0B2D"/>
    <w:rsid w:val="004F0E7C"/>
    <w:rsid w:val="004F0EBA"/>
    <w:rsid w:val="004F18AF"/>
    <w:rsid w:val="004F255B"/>
    <w:rsid w:val="004F393A"/>
    <w:rsid w:val="004F569D"/>
    <w:rsid w:val="004F5960"/>
    <w:rsid w:val="004F646F"/>
    <w:rsid w:val="004F6AD3"/>
    <w:rsid w:val="004F6F4B"/>
    <w:rsid w:val="004F7466"/>
    <w:rsid w:val="0050030E"/>
    <w:rsid w:val="005004E7"/>
    <w:rsid w:val="00500527"/>
    <w:rsid w:val="005008A8"/>
    <w:rsid w:val="00500DD0"/>
    <w:rsid w:val="0050112A"/>
    <w:rsid w:val="00501386"/>
    <w:rsid w:val="00501A96"/>
    <w:rsid w:val="00501BD9"/>
    <w:rsid w:val="00501C25"/>
    <w:rsid w:val="005027A6"/>
    <w:rsid w:val="00502DAE"/>
    <w:rsid w:val="00502FFB"/>
    <w:rsid w:val="005031EC"/>
    <w:rsid w:val="005035FE"/>
    <w:rsid w:val="005038A0"/>
    <w:rsid w:val="00503A5A"/>
    <w:rsid w:val="00504A82"/>
    <w:rsid w:val="00504DC8"/>
    <w:rsid w:val="0050510D"/>
    <w:rsid w:val="005051B6"/>
    <w:rsid w:val="0050584F"/>
    <w:rsid w:val="00505D86"/>
    <w:rsid w:val="00505E19"/>
    <w:rsid w:val="00506116"/>
    <w:rsid w:val="00506622"/>
    <w:rsid w:val="005069F3"/>
    <w:rsid w:val="00506E71"/>
    <w:rsid w:val="00506E94"/>
    <w:rsid w:val="005078A0"/>
    <w:rsid w:val="005103C5"/>
    <w:rsid w:val="0051152D"/>
    <w:rsid w:val="00511876"/>
    <w:rsid w:val="00511BB9"/>
    <w:rsid w:val="00511CBF"/>
    <w:rsid w:val="00511DA8"/>
    <w:rsid w:val="0051227F"/>
    <w:rsid w:val="00512DA8"/>
    <w:rsid w:val="005131D3"/>
    <w:rsid w:val="0051352C"/>
    <w:rsid w:val="005142EB"/>
    <w:rsid w:val="0051435F"/>
    <w:rsid w:val="00514796"/>
    <w:rsid w:val="0051481B"/>
    <w:rsid w:val="00514AB9"/>
    <w:rsid w:val="00514BC7"/>
    <w:rsid w:val="00514F98"/>
    <w:rsid w:val="00514FC2"/>
    <w:rsid w:val="0051537A"/>
    <w:rsid w:val="00515BFA"/>
    <w:rsid w:val="00515EBD"/>
    <w:rsid w:val="005166A7"/>
    <w:rsid w:val="00516CFE"/>
    <w:rsid w:val="00517272"/>
    <w:rsid w:val="005172E6"/>
    <w:rsid w:val="005178B8"/>
    <w:rsid w:val="00517A86"/>
    <w:rsid w:val="00517AA9"/>
    <w:rsid w:val="00520CC2"/>
    <w:rsid w:val="0052150D"/>
    <w:rsid w:val="00521C99"/>
    <w:rsid w:val="00522116"/>
    <w:rsid w:val="00522370"/>
    <w:rsid w:val="0052316B"/>
    <w:rsid w:val="0052349D"/>
    <w:rsid w:val="005241CA"/>
    <w:rsid w:val="0052428E"/>
    <w:rsid w:val="005246A1"/>
    <w:rsid w:val="00524832"/>
    <w:rsid w:val="00524BE8"/>
    <w:rsid w:val="0052558B"/>
    <w:rsid w:val="0052575D"/>
    <w:rsid w:val="00525AB4"/>
    <w:rsid w:val="00525F2A"/>
    <w:rsid w:val="00526036"/>
    <w:rsid w:val="0052618F"/>
    <w:rsid w:val="005267C5"/>
    <w:rsid w:val="00526C92"/>
    <w:rsid w:val="00526DF9"/>
    <w:rsid w:val="0052712C"/>
    <w:rsid w:val="005275FC"/>
    <w:rsid w:val="0052768C"/>
    <w:rsid w:val="005277A2"/>
    <w:rsid w:val="00530157"/>
    <w:rsid w:val="005301D2"/>
    <w:rsid w:val="005302BD"/>
    <w:rsid w:val="00530896"/>
    <w:rsid w:val="00530D1E"/>
    <w:rsid w:val="00530F6B"/>
    <w:rsid w:val="00530FAE"/>
    <w:rsid w:val="005310AF"/>
    <w:rsid w:val="005325B5"/>
    <w:rsid w:val="005325FD"/>
    <w:rsid w:val="00532781"/>
    <w:rsid w:val="0053323A"/>
    <w:rsid w:val="00533768"/>
    <w:rsid w:val="005337EC"/>
    <w:rsid w:val="00533B25"/>
    <w:rsid w:val="005342C3"/>
    <w:rsid w:val="00534DA3"/>
    <w:rsid w:val="005357EE"/>
    <w:rsid w:val="00535827"/>
    <w:rsid w:val="00535B4D"/>
    <w:rsid w:val="005362F5"/>
    <w:rsid w:val="0053642F"/>
    <w:rsid w:val="005368E4"/>
    <w:rsid w:val="0053725B"/>
    <w:rsid w:val="00537A41"/>
    <w:rsid w:val="00537EF1"/>
    <w:rsid w:val="005402BA"/>
    <w:rsid w:val="00540ABE"/>
    <w:rsid w:val="00540C57"/>
    <w:rsid w:val="00541167"/>
    <w:rsid w:val="00543274"/>
    <w:rsid w:val="00543AAE"/>
    <w:rsid w:val="005441CE"/>
    <w:rsid w:val="00545140"/>
    <w:rsid w:val="0054545C"/>
    <w:rsid w:val="00545BE4"/>
    <w:rsid w:val="00545D2C"/>
    <w:rsid w:val="005461B3"/>
    <w:rsid w:val="00546564"/>
    <w:rsid w:val="00550381"/>
    <w:rsid w:val="005517EE"/>
    <w:rsid w:val="0055218A"/>
    <w:rsid w:val="00552682"/>
    <w:rsid w:val="00552FCD"/>
    <w:rsid w:val="005531BD"/>
    <w:rsid w:val="0055351A"/>
    <w:rsid w:val="0055357C"/>
    <w:rsid w:val="005535C9"/>
    <w:rsid w:val="00553831"/>
    <w:rsid w:val="005542A0"/>
    <w:rsid w:val="005542F4"/>
    <w:rsid w:val="00554681"/>
    <w:rsid w:val="0055553E"/>
    <w:rsid w:val="00556150"/>
    <w:rsid w:val="005567B2"/>
    <w:rsid w:val="00557661"/>
    <w:rsid w:val="00557870"/>
    <w:rsid w:val="00557A19"/>
    <w:rsid w:val="00560277"/>
    <w:rsid w:val="0056055B"/>
    <w:rsid w:val="00560569"/>
    <w:rsid w:val="005608CD"/>
    <w:rsid w:val="00560938"/>
    <w:rsid w:val="00560AF1"/>
    <w:rsid w:val="00560C0C"/>
    <w:rsid w:val="00561075"/>
    <w:rsid w:val="00561448"/>
    <w:rsid w:val="00561562"/>
    <w:rsid w:val="00562987"/>
    <w:rsid w:val="005634FB"/>
    <w:rsid w:val="005637BB"/>
    <w:rsid w:val="00563CEE"/>
    <w:rsid w:val="00563DE6"/>
    <w:rsid w:val="0056424E"/>
    <w:rsid w:val="00564E38"/>
    <w:rsid w:val="0056528D"/>
    <w:rsid w:val="005652AD"/>
    <w:rsid w:val="00565C26"/>
    <w:rsid w:val="005660A0"/>
    <w:rsid w:val="005661D2"/>
    <w:rsid w:val="0056628B"/>
    <w:rsid w:val="00566298"/>
    <w:rsid w:val="00570142"/>
    <w:rsid w:val="0057091E"/>
    <w:rsid w:val="00570E20"/>
    <w:rsid w:val="00571139"/>
    <w:rsid w:val="0057142E"/>
    <w:rsid w:val="00571C84"/>
    <w:rsid w:val="005723D6"/>
    <w:rsid w:val="00572525"/>
    <w:rsid w:val="00573BC2"/>
    <w:rsid w:val="00573F6C"/>
    <w:rsid w:val="0057447E"/>
    <w:rsid w:val="005744A2"/>
    <w:rsid w:val="00574651"/>
    <w:rsid w:val="00574A6E"/>
    <w:rsid w:val="00574E21"/>
    <w:rsid w:val="00575881"/>
    <w:rsid w:val="00576A14"/>
    <w:rsid w:val="0057704D"/>
    <w:rsid w:val="00577145"/>
    <w:rsid w:val="005773BE"/>
    <w:rsid w:val="0057767A"/>
    <w:rsid w:val="005779C7"/>
    <w:rsid w:val="00577F9E"/>
    <w:rsid w:val="005804D7"/>
    <w:rsid w:val="00580916"/>
    <w:rsid w:val="00581580"/>
    <w:rsid w:val="00581BEA"/>
    <w:rsid w:val="00582283"/>
    <w:rsid w:val="00582365"/>
    <w:rsid w:val="00582901"/>
    <w:rsid w:val="00582A7F"/>
    <w:rsid w:val="00582EFE"/>
    <w:rsid w:val="0058336C"/>
    <w:rsid w:val="00583B3E"/>
    <w:rsid w:val="00583C04"/>
    <w:rsid w:val="00583E0C"/>
    <w:rsid w:val="00583F28"/>
    <w:rsid w:val="00584B34"/>
    <w:rsid w:val="00584FD8"/>
    <w:rsid w:val="00585675"/>
    <w:rsid w:val="00585C1B"/>
    <w:rsid w:val="00586F93"/>
    <w:rsid w:val="00587639"/>
    <w:rsid w:val="00587F4E"/>
    <w:rsid w:val="005905A1"/>
    <w:rsid w:val="00591761"/>
    <w:rsid w:val="00591869"/>
    <w:rsid w:val="00591935"/>
    <w:rsid w:val="00592638"/>
    <w:rsid w:val="005927BB"/>
    <w:rsid w:val="005930DC"/>
    <w:rsid w:val="00593138"/>
    <w:rsid w:val="0059319F"/>
    <w:rsid w:val="00593A33"/>
    <w:rsid w:val="00594269"/>
    <w:rsid w:val="00594486"/>
    <w:rsid w:val="005947B5"/>
    <w:rsid w:val="005948C6"/>
    <w:rsid w:val="00594B0E"/>
    <w:rsid w:val="005960BB"/>
    <w:rsid w:val="005962DE"/>
    <w:rsid w:val="00597407"/>
    <w:rsid w:val="00597618"/>
    <w:rsid w:val="005978DC"/>
    <w:rsid w:val="005979F3"/>
    <w:rsid w:val="00597ACA"/>
    <w:rsid w:val="005A0337"/>
    <w:rsid w:val="005A0496"/>
    <w:rsid w:val="005A04EA"/>
    <w:rsid w:val="005A059E"/>
    <w:rsid w:val="005A076F"/>
    <w:rsid w:val="005A138E"/>
    <w:rsid w:val="005A18C5"/>
    <w:rsid w:val="005A1BE0"/>
    <w:rsid w:val="005A202A"/>
    <w:rsid w:val="005A21FD"/>
    <w:rsid w:val="005A2910"/>
    <w:rsid w:val="005A3153"/>
    <w:rsid w:val="005A3F34"/>
    <w:rsid w:val="005A4047"/>
    <w:rsid w:val="005A4384"/>
    <w:rsid w:val="005A5730"/>
    <w:rsid w:val="005A5837"/>
    <w:rsid w:val="005A5B0B"/>
    <w:rsid w:val="005A60E3"/>
    <w:rsid w:val="005A6101"/>
    <w:rsid w:val="005A6474"/>
    <w:rsid w:val="005A69E7"/>
    <w:rsid w:val="005A6BAF"/>
    <w:rsid w:val="005A7012"/>
    <w:rsid w:val="005A71A7"/>
    <w:rsid w:val="005A76CB"/>
    <w:rsid w:val="005A7A5E"/>
    <w:rsid w:val="005A7B92"/>
    <w:rsid w:val="005A7E4A"/>
    <w:rsid w:val="005A7ED0"/>
    <w:rsid w:val="005A7EF4"/>
    <w:rsid w:val="005B0B56"/>
    <w:rsid w:val="005B0C07"/>
    <w:rsid w:val="005B1592"/>
    <w:rsid w:val="005B161F"/>
    <w:rsid w:val="005B1C07"/>
    <w:rsid w:val="005B1FB3"/>
    <w:rsid w:val="005B2238"/>
    <w:rsid w:val="005B2671"/>
    <w:rsid w:val="005B294E"/>
    <w:rsid w:val="005B2C90"/>
    <w:rsid w:val="005B3432"/>
    <w:rsid w:val="005B363D"/>
    <w:rsid w:val="005B3BD6"/>
    <w:rsid w:val="005B3BE2"/>
    <w:rsid w:val="005B3D18"/>
    <w:rsid w:val="005B3F59"/>
    <w:rsid w:val="005B49F8"/>
    <w:rsid w:val="005B4E4C"/>
    <w:rsid w:val="005B4EB0"/>
    <w:rsid w:val="005B5830"/>
    <w:rsid w:val="005B5FDE"/>
    <w:rsid w:val="005B6301"/>
    <w:rsid w:val="005B6F66"/>
    <w:rsid w:val="005B7D6C"/>
    <w:rsid w:val="005C0933"/>
    <w:rsid w:val="005C0FFF"/>
    <w:rsid w:val="005C1214"/>
    <w:rsid w:val="005C12DC"/>
    <w:rsid w:val="005C1321"/>
    <w:rsid w:val="005C2E5E"/>
    <w:rsid w:val="005C354D"/>
    <w:rsid w:val="005C3CFF"/>
    <w:rsid w:val="005C4DB5"/>
    <w:rsid w:val="005C50CE"/>
    <w:rsid w:val="005C510B"/>
    <w:rsid w:val="005C518A"/>
    <w:rsid w:val="005C5261"/>
    <w:rsid w:val="005C5A04"/>
    <w:rsid w:val="005C5CBE"/>
    <w:rsid w:val="005C7171"/>
    <w:rsid w:val="005C7215"/>
    <w:rsid w:val="005C73C4"/>
    <w:rsid w:val="005C7BB0"/>
    <w:rsid w:val="005D0073"/>
    <w:rsid w:val="005D00EA"/>
    <w:rsid w:val="005D023B"/>
    <w:rsid w:val="005D0C96"/>
    <w:rsid w:val="005D2304"/>
    <w:rsid w:val="005D3443"/>
    <w:rsid w:val="005D3599"/>
    <w:rsid w:val="005D39DE"/>
    <w:rsid w:val="005D3A04"/>
    <w:rsid w:val="005D406D"/>
    <w:rsid w:val="005D411E"/>
    <w:rsid w:val="005D4508"/>
    <w:rsid w:val="005D48FE"/>
    <w:rsid w:val="005D494A"/>
    <w:rsid w:val="005D4B35"/>
    <w:rsid w:val="005D4C4F"/>
    <w:rsid w:val="005D5E6D"/>
    <w:rsid w:val="005D6304"/>
    <w:rsid w:val="005D6345"/>
    <w:rsid w:val="005D6641"/>
    <w:rsid w:val="005D66AE"/>
    <w:rsid w:val="005D6889"/>
    <w:rsid w:val="005D6EF4"/>
    <w:rsid w:val="005D7471"/>
    <w:rsid w:val="005D749D"/>
    <w:rsid w:val="005D7A91"/>
    <w:rsid w:val="005D7F6F"/>
    <w:rsid w:val="005E0A96"/>
    <w:rsid w:val="005E0E32"/>
    <w:rsid w:val="005E11A2"/>
    <w:rsid w:val="005E1DF5"/>
    <w:rsid w:val="005E21EF"/>
    <w:rsid w:val="005E2379"/>
    <w:rsid w:val="005E25EF"/>
    <w:rsid w:val="005E2702"/>
    <w:rsid w:val="005E2855"/>
    <w:rsid w:val="005E2C3F"/>
    <w:rsid w:val="005E3D1C"/>
    <w:rsid w:val="005E409B"/>
    <w:rsid w:val="005E4161"/>
    <w:rsid w:val="005E4241"/>
    <w:rsid w:val="005E4E0C"/>
    <w:rsid w:val="005E4F20"/>
    <w:rsid w:val="005E5874"/>
    <w:rsid w:val="005E6BEF"/>
    <w:rsid w:val="005E6ECF"/>
    <w:rsid w:val="005E7191"/>
    <w:rsid w:val="005E75D5"/>
    <w:rsid w:val="005E7940"/>
    <w:rsid w:val="005E7F71"/>
    <w:rsid w:val="005F0AB5"/>
    <w:rsid w:val="005F1555"/>
    <w:rsid w:val="005F19C7"/>
    <w:rsid w:val="005F20EF"/>
    <w:rsid w:val="005F2978"/>
    <w:rsid w:val="005F2DC6"/>
    <w:rsid w:val="005F31A2"/>
    <w:rsid w:val="005F32DF"/>
    <w:rsid w:val="005F4636"/>
    <w:rsid w:val="005F4721"/>
    <w:rsid w:val="005F4752"/>
    <w:rsid w:val="005F49BA"/>
    <w:rsid w:val="005F519A"/>
    <w:rsid w:val="005F54B3"/>
    <w:rsid w:val="005F5C0F"/>
    <w:rsid w:val="005F5CC8"/>
    <w:rsid w:val="005F68FF"/>
    <w:rsid w:val="005F6E26"/>
    <w:rsid w:val="005F720A"/>
    <w:rsid w:val="005F74D2"/>
    <w:rsid w:val="00600273"/>
    <w:rsid w:val="00600EDA"/>
    <w:rsid w:val="00601690"/>
    <w:rsid w:val="00601766"/>
    <w:rsid w:val="00601773"/>
    <w:rsid w:val="006017E4"/>
    <w:rsid w:val="00601868"/>
    <w:rsid w:val="00602A87"/>
    <w:rsid w:val="00602F43"/>
    <w:rsid w:val="006038D9"/>
    <w:rsid w:val="00603B08"/>
    <w:rsid w:val="0060464E"/>
    <w:rsid w:val="006046B2"/>
    <w:rsid w:val="00604C79"/>
    <w:rsid w:val="00605776"/>
    <w:rsid w:val="00605FDD"/>
    <w:rsid w:val="00606491"/>
    <w:rsid w:val="00606770"/>
    <w:rsid w:val="006070FD"/>
    <w:rsid w:val="006073D1"/>
    <w:rsid w:val="0060767F"/>
    <w:rsid w:val="00607A82"/>
    <w:rsid w:val="00607F35"/>
    <w:rsid w:val="00610162"/>
    <w:rsid w:val="00610319"/>
    <w:rsid w:val="006105E5"/>
    <w:rsid w:val="00610970"/>
    <w:rsid w:val="00610ABA"/>
    <w:rsid w:val="00611722"/>
    <w:rsid w:val="00611A33"/>
    <w:rsid w:val="00612044"/>
    <w:rsid w:val="00612BEE"/>
    <w:rsid w:val="00612F45"/>
    <w:rsid w:val="00613037"/>
    <w:rsid w:val="00613481"/>
    <w:rsid w:val="006135AB"/>
    <w:rsid w:val="006138E4"/>
    <w:rsid w:val="00613B7D"/>
    <w:rsid w:val="006144F6"/>
    <w:rsid w:val="006160B0"/>
    <w:rsid w:val="00616407"/>
    <w:rsid w:val="00616676"/>
    <w:rsid w:val="00616BB7"/>
    <w:rsid w:val="00616DE8"/>
    <w:rsid w:val="0061795E"/>
    <w:rsid w:val="0062008E"/>
    <w:rsid w:val="00620383"/>
    <w:rsid w:val="00620B02"/>
    <w:rsid w:val="00620E5A"/>
    <w:rsid w:val="0062108E"/>
    <w:rsid w:val="00621B52"/>
    <w:rsid w:val="00621F6F"/>
    <w:rsid w:val="006221F2"/>
    <w:rsid w:val="0062278C"/>
    <w:rsid w:val="00622E2E"/>
    <w:rsid w:val="00624C39"/>
    <w:rsid w:val="006250E9"/>
    <w:rsid w:val="00625483"/>
    <w:rsid w:val="006255E4"/>
    <w:rsid w:val="0062663C"/>
    <w:rsid w:val="00626753"/>
    <w:rsid w:val="0063016A"/>
    <w:rsid w:val="00630FCC"/>
    <w:rsid w:val="00631495"/>
    <w:rsid w:val="0063225D"/>
    <w:rsid w:val="0063242A"/>
    <w:rsid w:val="00633B2F"/>
    <w:rsid w:val="00634195"/>
    <w:rsid w:val="0063424A"/>
    <w:rsid w:val="00634325"/>
    <w:rsid w:val="00634329"/>
    <w:rsid w:val="00634659"/>
    <w:rsid w:val="006354C5"/>
    <w:rsid w:val="006356B9"/>
    <w:rsid w:val="00635775"/>
    <w:rsid w:val="00637E2F"/>
    <w:rsid w:val="00640213"/>
    <w:rsid w:val="00640322"/>
    <w:rsid w:val="006406E7"/>
    <w:rsid w:val="0064090C"/>
    <w:rsid w:val="00640A09"/>
    <w:rsid w:val="00640C31"/>
    <w:rsid w:val="00641010"/>
    <w:rsid w:val="006414F9"/>
    <w:rsid w:val="00641B78"/>
    <w:rsid w:val="00642F3F"/>
    <w:rsid w:val="00643201"/>
    <w:rsid w:val="00643226"/>
    <w:rsid w:val="006432B2"/>
    <w:rsid w:val="006442A2"/>
    <w:rsid w:val="00645590"/>
    <w:rsid w:val="006459EF"/>
    <w:rsid w:val="00645B4A"/>
    <w:rsid w:val="00645BBB"/>
    <w:rsid w:val="00645D0D"/>
    <w:rsid w:val="006465F3"/>
    <w:rsid w:val="0064691D"/>
    <w:rsid w:val="00646EE0"/>
    <w:rsid w:val="0064709A"/>
    <w:rsid w:val="006473E8"/>
    <w:rsid w:val="006477F7"/>
    <w:rsid w:val="00647864"/>
    <w:rsid w:val="00647F6E"/>
    <w:rsid w:val="006500DF"/>
    <w:rsid w:val="0065168B"/>
    <w:rsid w:val="00652A0C"/>
    <w:rsid w:val="006534BF"/>
    <w:rsid w:val="0065367F"/>
    <w:rsid w:val="00653753"/>
    <w:rsid w:val="006537D7"/>
    <w:rsid w:val="00653F2B"/>
    <w:rsid w:val="0065444A"/>
    <w:rsid w:val="00654B4A"/>
    <w:rsid w:val="00654D17"/>
    <w:rsid w:val="00654F68"/>
    <w:rsid w:val="00655011"/>
    <w:rsid w:val="00655026"/>
    <w:rsid w:val="00655CF9"/>
    <w:rsid w:val="00655D45"/>
    <w:rsid w:val="0065620B"/>
    <w:rsid w:val="00656613"/>
    <w:rsid w:val="0065714C"/>
    <w:rsid w:val="00657648"/>
    <w:rsid w:val="006577A4"/>
    <w:rsid w:val="00660A74"/>
    <w:rsid w:val="00660F68"/>
    <w:rsid w:val="0066177A"/>
    <w:rsid w:val="00661A3C"/>
    <w:rsid w:val="00662C38"/>
    <w:rsid w:val="00662E5F"/>
    <w:rsid w:val="00663BA5"/>
    <w:rsid w:val="00663BB1"/>
    <w:rsid w:val="00663DB0"/>
    <w:rsid w:val="006640B7"/>
    <w:rsid w:val="006642A7"/>
    <w:rsid w:val="00664309"/>
    <w:rsid w:val="00664434"/>
    <w:rsid w:val="00664775"/>
    <w:rsid w:val="00664820"/>
    <w:rsid w:val="006648B7"/>
    <w:rsid w:val="00664C61"/>
    <w:rsid w:val="0066561F"/>
    <w:rsid w:val="00665D51"/>
    <w:rsid w:val="006661C6"/>
    <w:rsid w:val="00666A58"/>
    <w:rsid w:val="00666D53"/>
    <w:rsid w:val="00666E04"/>
    <w:rsid w:val="00667458"/>
    <w:rsid w:val="00670415"/>
    <w:rsid w:val="006704DC"/>
    <w:rsid w:val="00670650"/>
    <w:rsid w:val="006707C1"/>
    <w:rsid w:val="00670BCE"/>
    <w:rsid w:val="006712C0"/>
    <w:rsid w:val="006712FA"/>
    <w:rsid w:val="00671880"/>
    <w:rsid w:val="00671B55"/>
    <w:rsid w:val="00672B47"/>
    <w:rsid w:val="00672DFC"/>
    <w:rsid w:val="00672FEB"/>
    <w:rsid w:val="00673DD5"/>
    <w:rsid w:val="00673E0E"/>
    <w:rsid w:val="006744AC"/>
    <w:rsid w:val="00674B93"/>
    <w:rsid w:val="00674C7D"/>
    <w:rsid w:val="00675B6B"/>
    <w:rsid w:val="0067697C"/>
    <w:rsid w:val="00676FAF"/>
    <w:rsid w:val="00676FDE"/>
    <w:rsid w:val="00677342"/>
    <w:rsid w:val="0067754B"/>
    <w:rsid w:val="0068015E"/>
    <w:rsid w:val="0068028E"/>
    <w:rsid w:val="00680669"/>
    <w:rsid w:val="00680B40"/>
    <w:rsid w:val="00681522"/>
    <w:rsid w:val="00681EC9"/>
    <w:rsid w:val="006822FA"/>
    <w:rsid w:val="0068288C"/>
    <w:rsid w:val="00682A61"/>
    <w:rsid w:val="00682F08"/>
    <w:rsid w:val="006837BD"/>
    <w:rsid w:val="006838C8"/>
    <w:rsid w:val="00683AD4"/>
    <w:rsid w:val="00683F36"/>
    <w:rsid w:val="00684AA0"/>
    <w:rsid w:val="00685589"/>
    <w:rsid w:val="00686386"/>
    <w:rsid w:val="0068682C"/>
    <w:rsid w:val="006870FA"/>
    <w:rsid w:val="00690525"/>
    <w:rsid w:val="00690F0C"/>
    <w:rsid w:val="00691593"/>
    <w:rsid w:val="0069218C"/>
    <w:rsid w:val="0069231A"/>
    <w:rsid w:val="006932BD"/>
    <w:rsid w:val="006938AA"/>
    <w:rsid w:val="00693ABC"/>
    <w:rsid w:val="00693B84"/>
    <w:rsid w:val="0069474B"/>
    <w:rsid w:val="0069475D"/>
    <w:rsid w:val="00694D00"/>
    <w:rsid w:val="00694FCF"/>
    <w:rsid w:val="00695E29"/>
    <w:rsid w:val="00696359"/>
    <w:rsid w:val="00696BB9"/>
    <w:rsid w:val="00697966"/>
    <w:rsid w:val="006A0920"/>
    <w:rsid w:val="006A0B3F"/>
    <w:rsid w:val="006A12D0"/>
    <w:rsid w:val="006A1C3D"/>
    <w:rsid w:val="006A1E11"/>
    <w:rsid w:val="006A2A41"/>
    <w:rsid w:val="006A2BD4"/>
    <w:rsid w:val="006A3129"/>
    <w:rsid w:val="006A3667"/>
    <w:rsid w:val="006A3692"/>
    <w:rsid w:val="006A3A2B"/>
    <w:rsid w:val="006A4DE2"/>
    <w:rsid w:val="006A5A7A"/>
    <w:rsid w:val="006A5C54"/>
    <w:rsid w:val="006A647F"/>
    <w:rsid w:val="006A6489"/>
    <w:rsid w:val="006A6BF1"/>
    <w:rsid w:val="006A725E"/>
    <w:rsid w:val="006A72B7"/>
    <w:rsid w:val="006A736D"/>
    <w:rsid w:val="006A771C"/>
    <w:rsid w:val="006B03FF"/>
    <w:rsid w:val="006B0432"/>
    <w:rsid w:val="006B0684"/>
    <w:rsid w:val="006B1210"/>
    <w:rsid w:val="006B1364"/>
    <w:rsid w:val="006B1643"/>
    <w:rsid w:val="006B1707"/>
    <w:rsid w:val="006B18C8"/>
    <w:rsid w:val="006B1E55"/>
    <w:rsid w:val="006B2EDB"/>
    <w:rsid w:val="006B3032"/>
    <w:rsid w:val="006B3CF6"/>
    <w:rsid w:val="006B45E5"/>
    <w:rsid w:val="006B479E"/>
    <w:rsid w:val="006B4AAC"/>
    <w:rsid w:val="006B4B4A"/>
    <w:rsid w:val="006B4ED6"/>
    <w:rsid w:val="006B5950"/>
    <w:rsid w:val="006B5B62"/>
    <w:rsid w:val="006B68F3"/>
    <w:rsid w:val="006B6B1E"/>
    <w:rsid w:val="006B739A"/>
    <w:rsid w:val="006B75C6"/>
    <w:rsid w:val="006B771F"/>
    <w:rsid w:val="006B7937"/>
    <w:rsid w:val="006C0669"/>
    <w:rsid w:val="006C140C"/>
    <w:rsid w:val="006C176C"/>
    <w:rsid w:val="006C1A95"/>
    <w:rsid w:val="006C1E2E"/>
    <w:rsid w:val="006C1EC5"/>
    <w:rsid w:val="006C255C"/>
    <w:rsid w:val="006C2B49"/>
    <w:rsid w:val="006C306D"/>
    <w:rsid w:val="006C338E"/>
    <w:rsid w:val="006C354C"/>
    <w:rsid w:val="006C3B76"/>
    <w:rsid w:val="006C3BBF"/>
    <w:rsid w:val="006C4572"/>
    <w:rsid w:val="006C4A36"/>
    <w:rsid w:val="006C5A91"/>
    <w:rsid w:val="006C5A94"/>
    <w:rsid w:val="006C74AF"/>
    <w:rsid w:val="006C7A7E"/>
    <w:rsid w:val="006C7B03"/>
    <w:rsid w:val="006C7EC8"/>
    <w:rsid w:val="006C7FC8"/>
    <w:rsid w:val="006D06EE"/>
    <w:rsid w:val="006D08BA"/>
    <w:rsid w:val="006D0C1F"/>
    <w:rsid w:val="006D0EC2"/>
    <w:rsid w:val="006D11A4"/>
    <w:rsid w:val="006D1A11"/>
    <w:rsid w:val="006D1C1C"/>
    <w:rsid w:val="006D1E35"/>
    <w:rsid w:val="006D2145"/>
    <w:rsid w:val="006D2D84"/>
    <w:rsid w:val="006D331F"/>
    <w:rsid w:val="006D414D"/>
    <w:rsid w:val="006D43BA"/>
    <w:rsid w:val="006D4551"/>
    <w:rsid w:val="006D4C72"/>
    <w:rsid w:val="006D4CBE"/>
    <w:rsid w:val="006D4E4C"/>
    <w:rsid w:val="006D4F59"/>
    <w:rsid w:val="006D5416"/>
    <w:rsid w:val="006D5585"/>
    <w:rsid w:val="006D5627"/>
    <w:rsid w:val="006D5A00"/>
    <w:rsid w:val="006D5A22"/>
    <w:rsid w:val="006D5DEC"/>
    <w:rsid w:val="006D5F76"/>
    <w:rsid w:val="006D6D96"/>
    <w:rsid w:val="006D7211"/>
    <w:rsid w:val="006D75C8"/>
    <w:rsid w:val="006E00EF"/>
    <w:rsid w:val="006E048B"/>
    <w:rsid w:val="006E06FF"/>
    <w:rsid w:val="006E09C5"/>
    <w:rsid w:val="006E0C5A"/>
    <w:rsid w:val="006E1033"/>
    <w:rsid w:val="006E2204"/>
    <w:rsid w:val="006E2413"/>
    <w:rsid w:val="006E36F9"/>
    <w:rsid w:val="006E37C9"/>
    <w:rsid w:val="006E3AC0"/>
    <w:rsid w:val="006E430E"/>
    <w:rsid w:val="006E5537"/>
    <w:rsid w:val="006E5542"/>
    <w:rsid w:val="006E589D"/>
    <w:rsid w:val="006E63B1"/>
    <w:rsid w:val="006E67AF"/>
    <w:rsid w:val="006E680D"/>
    <w:rsid w:val="006E6A2F"/>
    <w:rsid w:val="006E760B"/>
    <w:rsid w:val="006F0D46"/>
    <w:rsid w:val="006F17A7"/>
    <w:rsid w:val="006F23DD"/>
    <w:rsid w:val="006F2C12"/>
    <w:rsid w:val="006F48A8"/>
    <w:rsid w:val="006F4F9F"/>
    <w:rsid w:val="006F5158"/>
    <w:rsid w:val="006F53B0"/>
    <w:rsid w:val="006F6252"/>
    <w:rsid w:val="006F635D"/>
    <w:rsid w:val="006F6A65"/>
    <w:rsid w:val="006F6DC7"/>
    <w:rsid w:val="006F6E8B"/>
    <w:rsid w:val="006F6EA6"/>
    <w:rsid w:val="006F72AC"/>
    <w:rsid w:val="006F750E"/>
    <w:rsid w:val="00700950"/>
    <w:rsid w:val="00701136"/>
    <w:rsid w:val="007017A5"/>
    <w:rsid w:val="00701829"/>
    <w:rsid w:val="00702209"/>
    <w:rsid w:val="00702339"/>
    <w:rsid w:val="0070234A"/>
    <w:rsid w:val="0070319A"/>
    <w:rsid w:val="0070319C"/>
    <w:rsid w:val="007039ED"/>
    <w:rsid w:val="00703CB4"/>
    <w:rsid w:val="00704FA3"/>
    <w:rsid w:val="00704FDA"/>
    <w:rsid w:val="00704FDD"/>
    <w:rsid w:val="00705636"/>
    <w:rsid w:val="00706629"/>
    <w:rsid w:val="00706A6B"/>
    <w:rsid w:val="007070DA"/>
    <w:rsid w:val="00707C18"/>
    <w:rsid w:val="007103A9"/>
    <w:rsid w:val="00710BED"/>
    <w:rsid w:val="007116EF"/>
    <w:rsid w:val="00711E91"/>
    <w:rsid w:val="00712005"/>
    <w:rsid w:val="00712CB6"/>
    <w:rsid w:val="00713400"/>
    <w:rsid w:val="00713A49"/>
    <w:rsid w:val="007142D8"/>
    <w:rsid w:val="00714389"/>
    <w:rsid w:val="00716AD2"/>
    <w:rsid w:val="007174AA"/>
    <w:rsid w:val="00717DD8"/>
    <w:rsid w:val="007203CA"/>
    <w:rsid w:val="00720417"/>
    <w:rsid w:val="00721574"/>
    <w:rsid w:val="00721D6B"/>
    <w:rsid w:val="00721D92"/>
    <w:rsid w:val="00721FD0"/>
    <w:rsid w:val="007226F5"/>
    <w:rsid w:val="0072292F"/>
    <w:rsid w:val="007230F5"/>
    <w:rsid w:val="007233B6"/>
    <w:rsid w:val="007233D5"/>
    <w:rsid w:val="0072352B"/>
    <w:rsid w:val="007236BC"/>
    <w:rsid w:val="00723975"/>
    <w:rsid w:val="00723B2C"/>
    <w:rsid w:val="00724173"/>
    <w:rsid w:val="00724ED0"/>
    <w:rsid w:val="00724F92"/>
    <w:rsid w:val="007253D6"/>
    <w:rsid w:val="007254C2"/>
    <w:rsid w:val="007254DC"/>
    <w:rsid w:val="0072578A"/>
    <w:rsid w:val="0072597A"/>
    <w:rsid w:val="00725EC1"/>
    <w:rsid w:val="0072677F"/>
    <w:rsid w:val="00726E56"/>
    <w:rsid w:val="0072769E"/>
    <w:rsid w:val="00727715"/>
    <w:rsid w:val="00727794"/>
    <w:rsid w:val="007304D2"/>
    <w:rsid w:val="00730D5A"/>
    <w:rsid w:val="00730FF5"/>
    <w:rsid w:val="00731891"/>
    <w:rsid w:val="007319EA"/>
    <w:rsid w:val="00731AB5"/>
    <w:rsid w:val="007325FA"/>
    <w:rsid w:val="007343AE"/>
    <w:rsid w:val="007344F4"/>
    <w:rsid w:val="00734826"/>
    <w:rsid w:val="00735803"/>
    <w:rsid w:val="00735BAF"/>
    <w:rsid w:val="00737290"/>
    <w:rsid w:val="0073792C"/>
    <w:rsid w:val="0074104A"/>
    <w:rsid w:val="0074152F"/>
    <w:rsid w:val="0074221C"/>
    <w:rsid w:val="0074257A"/>
    <w:rsid w:val="00742860"/>
    <w:rsid w:val="007429E4"/>
    <w:rsid w:val="00742AB1"/>
    <w:rsid w:val="00742E39"/>
    <w:rsid w:val="0074385B"/>
    <w:rsid w:val="00743A14"/>
    <w:rsid w:val="00743E14"/>
    <w:rsid w:val="00744D35"/>
    <w:rsid w:val="0074511D"/>
    <w:rsid w:val="00745B41"/>
    <w:rsid w:val="00746783"/>
    <w:rsid w:val="00746AAE"/>
    <w:rsid w:val="00747020"/>
    <w:rsid w:val="00747434"/>
    <w:rsid w:val="007474AC"/>
    <w:rsid w:val="0074788B"/>
    <w:rsid w:val="007478E5"/>
    <w:rsid w:val="007502D8"/>
    <w:rsid w:val="00750866"/>
    <w:rsid w:val="00750AFE"/>
    <w:rsid w:val="00750B0E"/>
    <w:rsid w:val="00750D42"/>
    <w:rsid w:val="007511B1"/>
    <w:rsid w:val="007511C4"/>
    <w:rsid w:val="0075137C"/>
    <w:rsid w:val="00751BA6"/>
    <w:rsid w:val="00751DCF"/>
    <w:rsid w:val="00752B71"/>
    <w:rsid w:val="007533B9"/>
    <w:rsid w:val="00753928"/>
    <w:rsid w:val="00753DA1"/>
    <w:rsid w:val="0075418A"/>
    <w:rsid w:val="007541B2"/>
    <w:rsid w:val="00754679"/>
    <w:rsid w:val="007546BE"/>
    <w:rsid w:val="007548C2"/>
    <w:rsid w:val="00755B15"/>
    <w:rsid w:val="00756176"/>
    <w:rsid w:val="00756310"/>
    <w:rsid w:val="007566BF"/>
    <w:rsid w:val="00756817"/>
    <w:rsid w:val="00756C5D"/>
    <w:rsid w:val="007607FE"/>
    <w:rsid w:val="0076122A"/>
    <w:rsid w:val="00761865"/>
    <w:rsid w:val="007621FB"/>
    <w:rsid w:val="0076260D"/>
    <w:rsid w:val="007628CB"/>
    <w:rsid w:val="00762EF4"/>
    <w:rsid w:val="00763651"/>
    <w:rsid w:val="007638C0"/>
    <w:rsid w:val="00763981"/>
    <w:rsid w:val="00763B77"/>
    <w:rsid w:val="00764791"/>
    <w:rsid w:val="00764B69"/>
    <w:rsid w:val="007657E2"/>
    <w:rsid w:val="00766BF2"/>
    <w:rsid w:val="0076702C"/>
    <w:rsid w:val="007674CD"/>
    <w:rsid w:val="00767C26"/>
    <w:rsid w:val="00767F6C"/>
    <w:rsid w:val="007700C8"/>
    <w:rsid w:val="007711FA"/>
    <w:rsid w:val="007714FE"/>
    <w:rsid w:val="007720D7"/>
    <w:rsid w:val="00772829"/>
    <w:rsid w:val="00774051"/>
    <w:rsid w:val="007743C0"/>
    <w:rsid w:val="00774FCB"/>
    <w:rsid w:val="00776784"/>
    <w:rsid w:val="00776CD2"/>
    <w:rsid w:val="00776F6C"/>
    <w:rsid w:val="00777636"/>
    <w:rsid w:val="00777848"/>
    <w:rsid w:val="00777893"/>
    <w:rsid w:val="00777BBB"/>
    <w:rsid w:val="00777FB7"/>
    <w:rsid w:val="00780E9D"/>
    <w:rsid w:val="0078120C"/>
    <w:rsid w:val="00782C34"/>
    <w:rsid w:val="00783E61"/>
    <w:rsid w:val="0078416C"/>
    <w:rsid w:val="007841EE"/>
    <w:rsid w:val="00784228"/>
    <w:rsid w:val="007842D4"/>
    <w:rsid w:val="00784309"/>
    <w:rsid w:val="007848C6"/>
    <w:rsid w:val="007852E9"/>
    <w:rsid w:val="007860F8"/>
    <w:rsid w:val="00786154"/>
    <w:rsid w:val="0078691D"/>
    <w:rsid w:val="00786EDF"/>
    <w:rsid w:val="00786F51"/>
    <w:rsid w:val="0078733E"/>
    <w:rsid w:val="0078734D"/>
    <w:rsid w:val="007878D5"/>
    <w:rsid w:val="00790B15"/>
    <w:rsid w:val="00790F49"/>
    <w:rsid w:val="00791598"/>
    <w:rsid w:val="00791D9E"/>
    <w:rsid w:val="00791F51"/>
    <w:rsid w:val="00792E16"/>
    <w:rsid w:val="007931CB"/>
    <w:rsid w:val="007935DD"/>
    <w:rsid w:val="007936CB"/>
    <w:rsid w:val="00793ABC"/>
    <w:rsid w:val="00793AF4"/>
    <w:rsid w:val="00793F0B"/>
    <w:rsid w:val="00794462"/>
    <w:rsid w:val="007946D1"/>
    <w:rsid w:val="007951D4"/>
    <w:rsid w:val="0079583E"/>
    <w:rsid w:val="00795AEA"/>
    <w:rsid w:val="00795F79"/>
    <w:rsid w:val="00796561"/>
    <w:rsid w:val="0079663C"/>
    <w:rsid w:val="00797812"/>
    <w:rsid w:val="007978E5"/>
    <w:rsid w:val="00797C46"/>
    <w:rsid w:val="00797C9C"/>
    <w:rsid w:val="007A010E"/>
    <w:rsid w:val="007A0B23"/>
    <w:rsid w:val="007A0EC2"/>
    <w:rsid w:val="007A1693"/>
    <w:rsid w:val="007A19F6"/>
    <w:rsid w:val="007A1C18"/>
    <w:rsid w:val="007A1E33"/>
    <w:rsid w:val="007A2B65"/>
    <w:rsid w:val="007A2D92"/>
    <w:rsid w:val="007A36F8"/>
    <w:rsid w:val="007A3A10"/>
    <w:rsid w:val="007A4435"/>
    <w:rsid w:val="007A4DC4"/>
    <w:rsid w:val="007A5056"/>
    <w:rsid w:val="007A50D4"/>
    <w:rsid w:val="007A5617"/>
    <w:rsid w:val="007A68C3"/>
    <w:rsid w:val="007A75F0"/>
    <w:rsid w:val="007A79ED"/>
    <w:rsid w:val="007B0245"/>
    <w:rsid w:val="007B04EC"/>
    <w:rsid w:val="007B083F"/>
    <w:rsid w:val="007B0880"/>
    <w:rsid w:val="007B097F"/>
    <w:rsid w:val="007B0D01"/>
    <w:rsid w:val="007B1431"/>
    <w:rsid w:val="007B1666"/>
    <w:rsid w:val="007B2085"/>
    <w:rsid w:val="007B2443"/>
    <w:rsid w:val="007B274C"/>
    <w:rsid w:val="007B2B80"/>
    <w:rsid w:val="007B2C6B"/>
    <w:rsid w:val="007B2EB3"/>
    <w:rsid w:val="007B2F36"/>
    <w:rsid w:val="007B2FDC"/>
    <w:rsid w:val="007B320A"/>
    <w:rsid w:val="007B38A0"/>
    <w:rsid w:val="007B38B7"/>
    <w:rsid w:val="007B4797"/>
    <w:rsid w:val="007B47B8"/>
    <w:rsid w:val="007B4F7B"/>
    <w:rsid w:val="007B5352"/>
    <w:rsid w:val="007B57B0"/>
    <w:rsid w:val="007B583D"/>
    <w:rsid w:val="007B6684"/>
    <w:rsid w:val="007B6A97"/>
    <w:rsid w:val="007B6B21"/>
    <w:rsid w:val="007B6CF2"/>
    <w:rsid w:val="007B7024"/>
    <w:rsid w:val="007B73ED"/>
    <w:rsid w:val="007B750E"/>
    <w:rsid w:val="007B7FFA"/>
    <w:rsid w:val="007C0390"/>
    <w:rsid w:val="007C041A"/>
    <w:rsid w:val="007C14A2"/>
    <w:rsid w:val="007C1597"/>
    <w:rsid w:val="007C18B9"/>
    <w:rsid w:val="007C21C3"/>
    <w:rsid w:val="007C2A18"/>
    <w:rsid w:val="007C2F72"/>
    <w:rsid w:val="007C300E"/>
    <w:rsid w:val="007C328D"/>
    <w:rsid w:val="007C3290"/>
    <w:rsid w:val="007C336F"/>
    <w:rsid w:val="007C3AEA"/>
    <w:rsid w:val="007C3B32"/>
    <w:rsid w:val="007C3BD1"/>
    <w:rsid w:val="007C41B1"/>
    <w:rsid w:val="007C4214"/>
    <w:rsid w:val="007C4739"/>
    <w:rsid w:val="007C516C"/>
    <w:rsid w:val="007C594D"/>
    <w:rsid w:val="007C6684"/>
    <w:rsid w:val="007C6BAC"/>
    <w:rsid w:val="007C6F06"/>
    <w:rsid w:val="007C72BD"/>
    <w:rsid w:val="007C7CE5"/>
    <w:rsid w:val="007C7F5B"/>
    <w:rsid w:val="007D0FF0"/>
    <w:rsid w:val="007D1E9B"/>
    <w:rsid w:val="007D1FCD"/>
    <w:rsid w:val="007D291B"/>
    <w:rsid w:val="007D2C53"/>
    <w:rsid w:val="007D30B7"/>
    <w:rsid w:val="007D30E5"/>
    <w:rsid w:val="007D30F5"/>
    <w:rsid w:val="007D38EB"/>
    <w:rsid w:val="007D461B"/>
    <w:rsid w:val="007D5635"/>
    <w:rsid w:val="007D5977"/>
    <w:rsid w:val="007D6E6D"/>
    <w:rsid w:val="007D70BE"/>
    <w:rsid w:val="007D7262"/>
    <w:rsid w:val="007E1069"/>
    <w:rsid w:val="007E15AD"/>
    <w:rsid w:val="007E1A1D"/>
    <w:rsid w:val="007E1C15"/>
    <w:rsid w:val="007E25ED"/>
    <w:rsid w:val="007E2BC0"/>
    <w:rsid w:val="007E399C"/>
    <w:rsid w:val="007E3CC9"/>
    <w:rsid w:val="007E3F2B"/>
    <w:rsid w:val="007E3FAD"/>
    <w:rsid w:val="007E44F9"/>
    <w:rsid w:val="007E4EB5"/>
    <w:rsid w:val="007E5201"/>
    <w:rsid w:val="007E5D23"/>
    <w:rsid w:val="007E6979"/>
    <w:rsid w:val="007E69AD"/>
    <w:rsid w:val="007E70FF"/>
    <w:rsid w:val="007E73BE"/>
    <w:rsid w:val="007E785B"/>
    <w:rsid w:val="007E7E06"/>
    <w:rsid w:val="007F077A"/>
    <w:rsid w:val="007F08E3"/>
    <w:rsid w:val="007F097D"/>
    <w:rsid w:val="007F0C57"/>
    <w:rsid w:val="007F15BA"/>
    <w:rsid w:val="007F16E9"/>
    <w:rsid w:val="007F1701"/>
    <w:rsid w:val="007F18EE"/>
    <w:rsid w:val="007F3B8E"/>
    <w:rsid w:val="007F3BB9"/>
    <w:rsid w:val="007F3C37"/>
    <w:rsid w:val="007F45A4"/>
    <w:rsid w:val="007F48BC"/>
    <w:rsid w:val="007F4A1C"/>
    <w:rsid w:val="007F52BD"/>
    <w:rsid w:val="007F58BA"/>
    <w:rsid w:val="007F5D1C"/>
    <w:rsid w:val="007F5DA1"/>
    <w:rsid w:val="007F67E9"/>
    <w:rsid w:val="007F69F3"/>
    <w:rsid w:val="007F7528"/>
    <w:rsid w:val="007F789A"/>
    <w:rsid w:val="007F79F4"/>
    <w:rsid w:val="007F7C7B"/>
    <w:rsid w:val="007F7DE3"/>
    <w:rsid w:val="008001A8"/>
    <w:rsid w:val="0080137A"/>
    <w:rsid w:val="00801477"/>
    <w:rsid w:val="00801889"/>
    <w:rsid w:val="00801B84"/>
    <w:rsid w:val="00802C7F"/>
    <w:rsid w:val="00803083"/>
    <w:rsid w:val="00803AAC"/>
    <w:rsid w:val="00803BEE"/>
    <w:rsid w:val="008040A2"/>
    <w:rsid w:val="008040A4"/>
    <w:rsid w:val="00804632"/>
    <w:rsid w:val="00804737"/>
    <w:rsid w:val="00804B9C"/>
    <w:rsid w:val="008054D9"/>
    <w:rsid w:val="008059AF"/>
    <w:rsid w:val="00805DB1"/>
    <w:rsid w:val="008062E5"/>
    <w:rsid w:val="008063D9"/>
    <w:rsid w:val="00806688"/>
    <w:rsid w:val="00806868"/>
    <w:rsid w:val="00806970"/>
    <w:rsid w:val="008070F1"/>
    <w:rsid w:val="00807A3E"/>
    <w:rsid w:val="00807C96"/>
    <w:rsid w:val="00810338"/>
    <w:rsid w:val="00810B8C"/>
    <w:rsid w:val="0081139F"/>
    <w:rsid w:val="008115EA"/>
    <w:rsid w:val="00811732"/>
    <w:rsid w:val="00811C5C"/>
    <w:rsid w:val="00812282"/>
    <w:rsid w:val="00812D93"/>
    <w:rsid w:val="00813475"/>
    <w:rsid w:val="00813C6B"/>
    <w:rsid w:val="00813E9B"/>
    <w:rsid w:val="00814010"/>
    <w:rsid w:val="008148E4"/>
    <w:rsid w:val="008151B9"/>
    <w:rsid w:val="008152FE"/>
    <w:rsid w:val="00815496"/>
    <w:rsid w:val="008154E5"/>
    <w:rsid w:val="008157F1"/>
    <w:rsid w:val="00815C38"/>
    <w:rsid w:val="00816EC2"/>
    <w:rsid w:val="0081706D"/>
    <w:rsid w:val="00817879"/>
    <w:rsid w:val="00820244"/>
    <w:rsid w:val="00820702"/>
    <w:rsid w:val="0082089F"/>
    <w:rsid w:val="00820B84"/>
    <w:rsid w:val="00820D5B"/>
    <w:rsid w:val="00822099"/>
    <w:rsid w:val="008223AF"/>
    <w:rsid w:val="008236E1"/>
    <w:rsid w:val="00823886"/>
    <w:rsid w:val="008238BB"/>
    <w:rsid w:val="00824458"/>
    <w:rsid w:val="008245A0"/>
    <w:rsid w:val="0082488A"/>
    <w:rsid w:val="008249F7"/>
    <w:rsid w:val="00824B74"/>
    <w:rsid w:val="00824C59"/>
    <w:rsid w:val="00824DD6"/>
    <w:rsid w:val="00824E50"/>
    <w:rsid w:val="00826133"/>
    <w:rsid w:val="00826621"/>
    <w:rsid w:val="00826865"/>
    <w:rsid w:val="00826C13"/>
    <w:rsid w:val="00826D5A"/>
    <w:rsid w:val="00827027"/>
    <w:rsid w:val="00827454"/>
    <w:rsid w:val="0082768A"/>
    <w:rsid w:val="0083015F"/>
    <w:rsid w:val="00830B99"/>
    <w:rsid w:val="00830E89"/>
    <w:rsid w:val="008317FD"/>
    <w:rsid w:val="008318EC"/>
    <w:rsid w:val="00831BF2"/>
    <w:rsid w:val="00831F1B"/>
    <w:rsid w:val="00833717"/>
    <w:rsid w:val="0083401A"/>
    <w:rsid w:val="0083440B"/>
    <w:rsid w:val="00834DC1"/>
    <w:rsid w:val="00834EF8"/>
    <w:rsid w:val="00835129"/>
    <w:rsid w:val="00835617"/>
    <w:rsid w:val="0083595E"/>
    <w:rsid w:val="00835EC9"/>
    <w:rsid w:val="0083600A"/>
    <w:rsid w:val="00837DA9"/>
    <w:rsid w:val="00837E11"/>
    <w:rsid w:val="00837EEF"/>
    <w:rsid w:val="008400D3"/>
    <w:rsid w:val="00840216"/>
    <w:rsid w:val="00840A0A"/>
    <w:rsid w:val="00840C0F"/>
    <w:rsid w:val="00840EF5"/>
    <w:rsid w:val="00841388"/>
    <w:rsid w:val="00841573"/>
    <w:rsid w:val="00841DCA"/>
    <w:rsid w:val="00841EFB"/>
    <w:rsid w:val="00841F44"/>
    <w:rsid w:val="00841FD1"/>
    <w:rsid w:val="00842734"/>
    <w:rsid w:val="008429FD"/>
    <w:rsid w:val="00842A3B"/>
    <w:rsid w:val="00842C82"/>
    <w:rsid w:val="008436D7"/>
    <w:rsid w:val="008439E0"/>
    <w:rsid w:val="00843A27"/>
    <w:rsid w:val="00843A5A"/>
    <w:rsid w:val="008440FE"/>
    <w:rsid w:val="00844210"/>
    <w:rsid w:val="008443A1"/>
    <w:rsid w:val="00846119"/>
    <w:rsid w:val="00847280"/>
    <w:rsid w:val="008474E3"/>
    <w:rsid w:val="00850494"/>
    <w:rsid w:val="0085089A"/>
    <w:rsid w:val="00850C3C"/>
    <w:rsid w:val="008516D8"/>
    <w:rsid w:val="00851947"/>
    <w:rsid w:val="00852608"/>
    <w:rsid w:val="008526F8"/>
    <w:rsid w:val="008527ED"/>
    <w:rsid w:val="008537F7"/>
    <w:rsid w:val="00853847"/>
    <w:rsid w:val="008538EA"/>
    <w:rsid w:val="00853B12"/>
    <w:rsid w:val="008545E6"/>
    <w:rsid w:val="008546BE"/>
    <w:rsid w:val="00854E6A"/>
    <w:rsid w:val="00855A89"/>
    <w:rsid w:val="00855B7D"/>
    <w:rsid w:val="00856074"/>
    <w:rsid w:val="00856B82"/>
    <w:rsid w:val="00857949"/>
    <w:rsid w:val="00861068"/>
    <w:rsid w:val="008610D3"/>
    <w:rsid w:val="008611AE"/>
    <w:rsid w:val="0086162D"/>
    <w:rsid w:val="0086256D"/>
    <w:rsid w:val="00862EC9"/>
    <w:rsid w:val="00862EFC"/>
    <w:rsid w:val="00862F54"/>
    <w:rsid w:val="008630AB"/>
    <w:rsid w:val="00863372"/>
    <w:rsid w:val="008633E7"/>
    <w:rsid w:val="00863A08"/>
    <w:rsid w:val="00863E53"/>
    <w:rsid w:val="00864371"/>
    <w:rsid w:val="00864B78"/>
    <w:rsid w:val="008652B0"/>
    <w:rsid w:val="00865A35"/>
    <w:rsid w:val="00865FA6"/>
    <w:rsid w:val="00866327"/>
    <w:rsid w:val="00867698"/>
    <w:rsid w:val="00867E54"/>
    <w:rsid w:val="0087023A"/>
    <w:rsid w:val="00870399"/>
    <w:rsid w:val="00871080"/>
    <w:rsid w:val="0087146B"/>
    <w:rsid w:val="00871852"/>
    <w:rsid w:val="00871C24"/>
    <w:rsid w:val="00871FE7"/>
    <w:rsid w:val="00872491"/>
    <w:rsid w:val="008725F4"/>
    <w:rsid w:val="0087277A"/>
    <w:rsid w:val="00872A47"/>
    <w:rsid w:val="00872B95"/>
    <w:rsid w:val="008730C5"/>
    <w:rsid w:val="008731A2"/>
    <w:rsid w:val="008736E2"/>
    <w:rsid w:val="0087375A"/>
    <w:rsid w:val="00874212"/>
    <w:rsid w:val="00874565"/>
    <w:rsid w:val="00874AD7"/>
    <w:rsid w:val="008764AA"/>
    <w:rsid w:val="00876ECF"/>
    <w:rsid w:val="00877247"/>
    <w:rsid w:val="008774CF"/>
    <w:rsid w:val="00877D77"/>
    <w:rsid w:val="008801AE"/>
    <w:rsid w:val="008804D1"/>
    <w:rsid w:val="00880AA3"/>
    <w:rsid w:val="008817B9"/>
    <w:rsid w:val="00881875"/>
    <w:rsid w:val="0088297E"/>
    <w:rsid w:val="008839B0"/>
    <w:rsid w:val="0088421C"/>
    <w:rsid w:val="0088445B"/>
    <w:rsid w:val="008853AE"/>
    <w:rsid w:val="00885F87"/>
    <w:rsid w:val="00885F89"/>
    <w:rsid w:val="00886407"/>
    <w:rsid w:val="008900EF"/>
    <w:rsid w:val="008907F2"/>
    <w:rsid w:val="0089181E"/>
    <w:rsid w:val="00891AF6"/>
    <w:rsid w:val="00891BC3"/>
    <w:rsid w:val="00891DD3"/>
    <w:rsid w:val="00892071"/>
    <w:rsid w:val="008924D8"/>
    <w:rsid w:val="0089284E"/>
    <w:rsid w:val="008937C8"/>
    <w:rsid w:val="00893DE6"/>
    <w:rsid w:val="00894299"/>
    <w:rsid w:val="00895CDE"/>
    <w:rsid w:val="008960F1"/>
    <w:rsid w:val="00896453"/>
    <w:rsid w:val="008967C4"/>
    <w:rsid w:val="00896877"/>
    <w:rsid w:val="00896B49"/>
    <w:rsid w:val="00896BF6"/>
    <w:rsid w:val="00896D7F"/>
    <w:rsid w:val="00897575"/>
    <w:rsid w:val="00897CB9"/>
    <w:rsid w:val="008A025A"/>
    <w:rsid w:val="008A028A"/>
    <w:rsid w:val="008A0A4C"/>
    <w:rsid w:val="008A0BD3"/>
    <w:rsid w:val="008A0D2A"/>
    <w:rsid w:val="008A1437"/>
    <w:rsid w:val="008A1693"/>
    <w:rsid w:val="008A254F"/>
    <w:rsid w:val="008A2630"/>
    <w:rsid w:val="008A30BE"/>
    <w:rsid w:val="008A34E0"/>
    <w:rsid w:val="008A459C"/>
    <w:rsid w:val="008A45BE"/>
    <w:rsid w:val="008A544A"/>
    <w:rsid w:val="008A5833"/>
    <w:rsid w:val="008A7562"/>
    <w:rsid w:val="008A79C4"/>
    <w:rsid w:val="008B019C"/>
    <w:rsid w:val="008B106E"/>
    <w:rsid w:val="008B11A8"/>
    <w:rsid w:val="008B1639"/>
    <w:rsid w:val="008B2059"/>
    <w:rsid w:val="008B2104"/>
    <w:rsid w:val="008B3923"/>
    <w:rsid w:val="008B3A2B"/>
    <w:rsid w:val="008B3A88"/>
    <w:rsid w:val="008B3F27"/>
    <w:rsid w:val="008B4513"/>
    <w:rsid w:val="008B4BFC"/>
    <w:rsid w:val="008B4C52"/>
    <w:rsid w:val="008B5141"/>
    <w:rsid w:val="008B51B4"/>
    <w:rsid w:val="008B5890"/>
    <w:rsid w:val="008B5A05"/>
    <w:rsid w:val="008B5B67"/>
    <w:rsid w:val="008B5D7A"/>
    <w:rsid w:val="008B5EE6"/>
    <w:rsid w:val="008B6323"/>
    <w:rsid w:val="008B63CF"/>
    <w:rsid w:val="008B66E3"/>
    <w:rsid w:val="008B6BE3"/>
    <w:rsid w:val="008B7398"/>
    <w:rsid w:val="008B7848"/>
    <w:rsid w:val="008B7F93"/>
    <w:rsid w:val="008C015B"/>
    <w:rsid w:val="008C05AE"/>
    <w:rsid w:val="008C0F1C"/>
    <w:rsid w:val="008C1245"/>
    <w:rsid w:val="008C158D"/>
    <w:rsid w:val="008C15A7"/>
    <w:rsid w:val="008C1E05"/>
    <w:rsid w:val="008C2CE0"/>
    <w:rsid w:val="008C34BB"/>
    <w:rsid w:val="008C37F4"/>
    <w:rsid w:val="008C3A09"/>
    <w:rsid w:val="008C45E2"/>
    <w:rsid w:val="008C514C"/>
    <w:rsid w:val="008C5183"/>
    <w:rsid w:val="008C55C9"/>
    <w:rsid w:val="008C636A"/>
    <w:rsid w:val="008C7F4A"/>
    <w:rsid w:val="008D0444"/>
    <w:rsid w:val="008D0CB5"/>
    <w:rsid w:val="008D0CCF"/>
    <w:rsid w:val="008D0F92"/>
    <w:rsid w:val="008D14EF"/>
    <w:rsid w:val="008D1FDF"/>
    <w:rsid w:val="008D1FFF"/>
    <w:rsid w:val="008D22EF"/>
    <w:rsid w:val="008D2EF2"/>
    <w:rsid w:val="008D3001"/>
    <w:rsid w:val="008D34FE"/>
    <w:rsid w:val="008D365B"/>
    <w:rsid w:val="008D3726"/>
    <w:rsid w:val="008D3B0A"/>
    <w:rsid w:val="008D3C1E"/>
    <w:rsid w:val="008D3C67"/>
    <w:rsid w:val="008D49EE"/>
    <w:rsid w:val="008D4B5E"/>
    <w:rsid w:val="008D4BB4"/>
    <w:rsid w:val="008D4CB0"/>
    <w:rsid w:val="008D5922"/>
    <w:rsid w:val="008D5B6C"/>
    <w:rsid w:val="008D5C31"/>
    <w:rsid w:val="008D6397"/>
    <w:rsid w:val="008D65A5"/>
    <w:rsid w:val="008D73C9"/>
    <w:rsid w:val="008D7726"/>
    <w:rsid w:val="008D7C11"/>
    <w:rsid w:val="008E153A"/>
    <w:rsid w:val="008E16BF"/>
    <w:rsid w:val="008E16EE"/>
    <w:rsid w:val="008E1BA9"/>
    <w:rsid w:val="008E238C"/>
    <w:rsid w:val="008E2820"/>
    <w:rsid w:val="008E2DE0"/>
    <w:rsid w:val="008E3049"/>
    <w:rsid w:val="008E3216"/>
    <w:rsid w:val="008E35A3"/>
    <w:rsid w:val="008E3B0F"/>
    <w:rsid w:val="008E467D"/>
    <w:rsid w:val="008E4984"/>
    <w:rsid w:val="008E549C"/>
    <w:rsid w:val="008E54A6"/>
    <w:rsid w:val="008E5981"/>
    <w:rsid w:val="008E5E17"/>
    <w:rsid w:val="008E6925"/>
    <w:rsid w:val="008E6AFB"/>
    <w:rsid w:val="008E7033"/>
    <w:rsid w:val="008E70CA"/>
    <w:rsid w:val="008E7274"/>
    <w:rsid w:val="008E738B"/>
    <w:rsid w:val="008F0562"/>
    <w:rsid w:val="008F0C9A"/>
    <w:rsid w:val="008F0EE9"/>
    <w:rsid w:val="008F1EAC"/>
    <w:rsid w:val="008F2241"/>
    <w:rsid w:val="008F260B"/>
    <w:rsid w:val="008F281F"/>
    <w:rsid w:val="008F2B86"/>
    <w:rsid w:val="008F4075"/>
    <w:rsid w:val="008F54F8"/>
    <w:rsid w:val="008F5CD9"/>
    <w:rsid w:val="008F5D2E"/>
    <w:rsid w:val="008F65BC"/>
    <w:rsid w:val="00901FBF"/>
    <w:rsid w:val="00902555"/>
    <w:rsid w:val="0090300C"/>
    <w:rsid w:val="00903478"/>
    <w:rsid w:val="00903784"/>
    <w:rsid w:val="00904225"/>
    <w:rsid w:val="0090436B"/>
    <w:rsid w:val="00904C37"/>
    <w:rsid w:val="00904CED"/>
    <w:rsid w:val="00904F05"/>
    <w:rsid w:val="009056BF"/>
    <w:rsid w:val="00905F4C"/>
    <w:rsid w:val="00906529"/>
    <w:rsid w:val="009066AF"/>
    <w:rsid w:val="0090684D"/>
    <w:rsid w:val="00906B22"/>
    <w:rsid w:val="00906E65"/>
    <w:rsid w:val="009075A6"/>
    <w:rsid w:val="009077EB"/>
    <w:rsid w:val="00907E47"/>
    <w:rsid w:val="0091025D"/>
    <w:rsid w:val="009105C7"/>
    <w:rsid w:val="00910E7F"/>
    <w:rsid w:val="00911774"/>
    <w:rsid w:val="00911A60"/>
    <w:rsid w:val="00911CBE"/>
    <w:rsid w:val="00912B42"/>
    <w:rsid w:val="00913B89"/>
    <w:rsid w:val="009140D3"/>
    <w:rsid w:val="009140F8"/>
    <w:rsid w:val="0091413B"/>
    <w:rsid w:val="009144D5"/>
    <w:rsid w:val="009146E0"/>
    <w:rsid w:val="0091471F"/>
    <w:rsid w:val="00915F98"/>
    <w:rsid w:val="00915FA3"/>
    <w:rsid w:val="0091694C"/>
    <w:rsid w:val="00916A95"/>
    <w:rsid w:val="00917301"/>
    <w:rsid w:val="009173CF"/>
    <w:rsid w:val="009174CB"/>
    <w:rsid w:val="00917CB0"/>
    <w:rsid w:val="0092082C"/>
    <w:rsid w:val="009208F3"/>
    <w:rsid w:val="009210D7"/>
    <w:rsid w:val="009211CA"/>
    <w:rsid w:val="009215EE"/>
    <w:rsid w:val="00921773"/>
    <w:rsid w:val="009217F8"/>
    <w:rsid w:val="00922837"/>
    <w:rsid w:val="00922959"/>
    <w:rsid w:val="00922A09"/>
    <w:rsid w:val="00923359"/>
    <w:rsid w:val="0092400A"/>
    <w:rsid w:val="0092470E"/>
    <w:rsid w:val="0092474F"/>
    <w:rsid w:val="00925187"/>
    <w:rsid w:val="00925594"/>
    <w:rsid w:val="00925807"/>
    <w:rsid w:val="00925A21"/>
    <w:rsid w:val="0092605C"/>
    <w:rsid w:val="009260D4"/>
    <w:rsid w:val="0092709C"/>
    <w:rsid w:val="0092717F"/>
    <w:rsid w:val="009274A4"/>
    <w:rsid w:val="00927744"/>
    <w:rsid w:val="00927AA3"/>
    <w:rsid w:val="00927B05"/>
    <w:rsid w:val="00927E4C"/>
    <w:rsid w:val="00927EF3"/>
    <w:rsid w:val="009303F4"/>
    <w:rsid w:val="00930540"/>
    <w:rsid w:val="00930F4E"/>
    <w:rsid w:val="0093111F"/>
    <w:rsid w:val="0093226C"/>
    <w:rsid w:val="00932ACB"/>
    <w:rsid w:val="00932E3D"/>
    <w:rsid w:val="00934466"/>
    <w:rsid w:val="00934F4D"/>
    <w:rsid w:val="00935886"/>
    <w:rsid w:val="00935D65"/>
    <w:rsid w:val="00936062"/>
    <w:rsid w:val="00936469"/>
    <w:rsid w:val="00936F7D"/>
    <w:rsid w:val="009376AE"/>
    <w:rsid w:val="00937CBE"/>
    <w:rsid w:val="009407D7"/>
    <w:rsid w:val="00940A89"/>
    <w:rsid w:val="0094103E"/>
    <w:rsid w:val="0094138A"/>
    <w:rsid w:val="00941EF0"/>
    <w:rsid w:val="00942969"/>
    <w:rsid w:val="009431EC"/>
    <w:rsid w:val="00943A2C"/>
    <w:rsid w:val="00944087"/>
    <w:rsid w:val="00944925"/>
    <w:rsid w:val="00944D62"/>
    <w:rsid w:val="00944D8D"/>
    <w:rsid w:val="00944E74"/>
    <w:rsid w:val="00945602"/>
    <w:rsid w:val="00945823"/>
    <w:rsid w:val="00945E16"/>
    <w:rsid w:val="0094610C"/>
    <w:rsid w:val="00946323"/>
    <w:rsid w:val="00946A7D"/>
    <w:rsid w:val="00947184"/>
    <w:rsid w:val="00950114"/>
    <w:rsid w:val="0095012E"/>
    <w:rsid w:val="00950322"/>
    <w:rsid w:val="00950C01"/>
    <w:rsid w:val="00950EED"/>
    <w:rsid w:val="009510DD"/>
    <w:rsid w:val="00951934"/>
    <w:rsid w:val="0095207B"/>
    <w:rsid w:val="009524AD"/>
    <w:rsid w:val="0095274A"/>
    <w:rsid w:val="0095366E"/>
    <w:rsid w:val="00953B33"/>
    <w:rsid w:val="00954157"/>
    <w:rsid w:val="00954267"/>
    <w:rsid w:val="00954498"/>
    <w:rsid w:val="00954A36"/>
    <w:rsid w:val="00954AFE"/>
    <w:rsid w:val="00954C8C"/>
    <w:rsid w:val="00954CEC"/>
    <w:rsid w:val="00954E46"/>
    <w:rsid w:val="0095560D"/>
    <w:rsid w:val="00955D39"/>
    <w:rsid w:val="009561B1"/>
    <w:rsid w:val="0095642F"/>
    <w:rsid w:val="00956ACE"/>
    <w:rsid w:val="00956CAA"/>
    <w:rsid w:val="009572A0"/>
    <w:rsid w:val="00957556"/>
    <w:rsid w:val="0095764D"/>
    <w:rsid w:val="0095788A"/>
    <w:rsid w:val="00957D24"/>
    <w:rsid w:val="0096085F"/>
    <w:rsid w:val="00960937"/>
    <w:rsid w:val="00960DCF"/>
    <w:rsid w:val="00960EA8"/>
    <w:rsid w:val="00961142"/>
    <w:rsid w:val="0096139B"/>
    <w:rsid w:val="00961434"/>
    <w:rsid w:val="00961B53"/>
    <w:rsid w:val="00961D2D"/>
    <w:rsid w:val="00961E83"/>
    <w:rsid w:val="009623BC"/>
    <w:rsid w:val="00963264"/>
    <w:rsid w:val="0096389D"/>
    <w:rsid w:val="00963AD2"/>
    <w:rsid w:val="00963CEF"/>
    <w:rsid w:val="00963EEC"/>
    <w:rsid w:val="00965A73"/>
    <w:rsid w:val="009666EC"/>
    <w:rsid w:val="00966F55"/>
    <w:rsid w:val="0096710F"/>
    <w:rsid w:val="009671D4"/>
    <w:rsid w:val="009676C0"/>
    <w:rsid w:val="00967ABE"/>
    <w:rsid w:val="00971A42"/>
    <w:rsid w:val="00971D87"/>
    <w:rsid w:val="00972128"/>
    <w:rsid w:val="00972890"/>
    <w:rsid w:val="00972B88"/>
    <w:rsid w:val="009738BA"/>
    <w:rsid w:val="00973A3C"/>
    <w:rsid w:val="00973C1E"/>
    <w:rsid w:val="00973E14"/>
    <w:rsid w:val="00974E1C"/>
    <w:rsid w:val="009754FE"/>
    <w:rsid w:val="0097589A"/>
    <w:rsid w:val="00975B90"/>
    <w:rsid w:val="00975BCE"/>
    <w:rsid w:val="00975ECE"/>
    <w:rsid w:val="009760F5"/>
    <w:rsid w:val="00976E03"/>
    <w:rsid w:val="009771C9"/>
    <w:rsid w:val="009773A4"/>
    <w:rsid w:val="00977695"/>
    <w:rsid w:val="00977731"/>
    <w:rsid w:val="00977D7F"/>
    <w:rsid w:val="009803A9"/>
    <w:rsid w:val="009803CB"/>
    <w:rsid w:val="009803D4"/>
    <w:rsid w:val="009803F3"/>
    <w:rsid w:val="0098054E"/>
    <w:rsid w:val="009807A2"/>
    <w:rsid w:val="00980CCD"/>
    <w:rsid w:val="00981588"/>
    <w:rsid w:val="0098199C"/>
    <w:rsid w:val="009821F2"/>
    <w:rsid w:val="0098254D"/>
    <w:rsid w:val="009833E0"/>
    <w:rsid w:val="009837B4"/>
    <w:rsid w:val="009839CB"/>
    <w:rsid w:val="00983A5E"/>
    <w:rsid w:val="00983F3F"/>
    <w:rsid w:val="00984B70"/>
    <w:rsid w:val="009857F7"/>
    <w:rsid w:val="00985827"/>
    <w:rsid w:val="00985C2E"/>
    <w:rsid w:val="00985F12"/>
    <w:rsid w:val="009873F3"/>
    <w:rsid w:val="009903EC"/>
    <w:rsid w:val="00992401"/>
    <w:rsid w:val="00992510"/>
    <w:rsid w:val="00992FC1"/>
    <w:rsid w:val="00993818"/>
    <w:rsid w:val="00993886"/>
    <w:rsid w:val="00993D8D"/>
    <w:rsid w:val="0099546E"/>
    <w:rsid w:val="00995E98"/>
    <w:rsid w:val="00995FAB"/>
    <w:rsid w:val="00996BF3"/>
    <w:rsid w:val="00996F15"/>
    <w:rsid w:val="009973F2"/>
    <w:rsid w:val="00997452"/>
    <w:rsid w:val="00997BA8"/>
    <w:rsid w:val="009A06F4"/>
    <w:rsid w:val="009A0FDE"/>
    <w:rsid w:val="009A1756"/>
    <w:rsid w:val="009A19A3"/>
    <w:rsid w:val="009A2145"/>
    <w:rsid w:val="009A303F"/>
    <w:rsid w:val="009A3675"/>
    <w:rsid w:val="009A36F6"/>
    <w:rsid w:val="009A3778"/>
    <w:rsid w:val="009A3BDA"/>
    <w:rsid w:val="009A3E2E"/>
    <w:rsid w:val="009A4038"/>
    <w:rsid w:val="009A55B8"/>
    <w:rsid w:val="009A56B5"/>
    <w:rsid w:val="009A5AAF"/>
    <w:rsid w:val="009A5C67"/>
    <w:rsid w:val="009A6271"/>
    <w:rsid w:val="009A62A8"/>
    <w:rsid w:val="009A7F34"/>
    <w:rsid w:val="009B0432"/>
    <w:rsid w:val="009B0E89"/>
    <w:rsid w:val="009B15AD"/>
    <w:rsid w:val="009B2245"/>
    <w:rsid w:val="009B258E"/>
    <w:rsid w:val="009B26C5"/>
    <w:rsid w:val="009B3244"/>
    <w:rsid w:val="009B3EDC"/>
    <w:rsid w:val="009B3F6B"/>
    <w:rsid w:val="009B4340"/>
    <w:rsid w:val="009B5997"/>
    <w:rsid w:val="009B63AF"/>
    <w:rsid w:val="009B65DA"/>
    <w:rsid w:val="009B6B23"/>
    <w:rsid w:val="009B6DF2"/>
    <w:rsid w:val="009B7273"/>
    <w:rsid w:val="009B749C"/>
    <w:rsid w:val="009B7ABD"/>
    <w:rsid w:val="009B7D4E"/>
    <w:rsid w:val="009B7D5D"/>
    <w:rsid w:val="009C1641"/>
    <w:rsid w:val="009C1702"/>
    <w:rsid w:val="009C1D27"/>
    <w:rsid w:val="009C1D8D"/>
    <w:rsid w:val="009C1E50"/>
    <w:rsid w:val="009C256E"/>
    <w:rsid w:val="009C26F9"/>
    <w:rsid w:val="009C2B3E"/>
    <w:rsid w:val="009C3147"/>
    <w:rsid w:val="009C3BD9"/>
    <w:rsid w:val="009C407F"/>
    <w:rsid w:val="009C4907"/>
    <w:rsid w:val="009C4CDA"/>
    <w:rsid w:val="009C4DAF"/>
    <w:rsid w:val="009C4EE1"/>
    <w:rsid w:val="009C537B"/>
    <w:rsid w:val="009C5B82"/>
    <w:rsid w:val="009C66F6"/>
    <w:rsid w:val="009C6FC4"/>
    <w:rsid w:val="009C756E"/>
    <w:rsid w:val="009D0489"/>
    <w:rsid w:val="009D0EFD"/>
    <w:rsid w:val="009D207D"/>
    <w:rsid w:val="009D21BE"/>
    <w:rsid w:val="009D227F"/>
    <w:rsid w:val="009D22AC"/>
    <w:rsid w:val="009D327E"/>
    <w:rsid w:val="009D339D"/>
    <w:rsid w:val="009D3C3D"/>
    <w:rsid w:val="009D49A7"/>
    <w:rsid w:val="009D49FF"/>
    <w:rsid w:val="009D5288"/>
    <w:rsid w:val="009D5332"/>
    <w:rsid w:val="009D5885"/>
    <w:rsid w:val="009D6091"/>
    <w:rsid w:val="009D64C4"/>
    <w:rsid w:val="009D6A74"/>
    <w:rsid w:val="009E1828"/>
    <w:rsid w:val="009E1CEC"/>
    <w:rsid w:val="009E1DBE"/>
    <w:rsid w:val="009E1FE6"/>
    <w:rsid w:val="009E265D"/>
    <w:rsid w:val="009E284D"/>
    <w:rsid w:val="009E2AD3"/>
    <w:rsid w:val="009E385F"/>
    <w:rsid w:val="009E3D7F"/>
    <w:rsid w:val="009E4715"/>
    <w:rsid w:val="009E47E5"/>
    <w:rsid w:val="009E4FB3"/>
    <w:rsid w:val="009E5076"/>
    <w:rsid w:val="009E57EC"/>
    <w:rsid w:val="009E5856"/>
    <w:rsid w:val="009E5AA6"/>
    <w:rsid w:val="009E62DD"/>
    <w:rsid w:val="009E7B40"/>
    <w:rsid w:val="009F03CC"/>
    <w:rsid w:val="009F146F"/>
    <w:rsid w:val="009F1698"/>
    <w:rsid w:val="009F2174"/>
    <w:rsid w:val="009F218E"/>
    <w:rsid w:val="009F2335"/>
    <w:rsid w:val="009F26A3"/>
    <w:rsid w:val="009F272E"/>
    <w:rsid w:val="009F28FE"/>
    <w:rsid w:val="009F3C75"/>
    <w:rsid w:val="009F405A"/>
    <w:rsid w:val="009F44FA"/>
    <w:rsid w:val="009F4E02"/>
    <w:rsid w:val="009F53B0"/>
    <w:rsid w:val="009F5FAE"/>
    <w:rsid w:val="009F611A"/>
    <w:rsid w:val="009F623C"/>
    <w:rsid w:val="009F6297"/>
    <w:rsid w:val="009F6799"/>
    <w:rsid w:val="009F6E5B"/>
    <w:rsid w:val="009F6F5C"/>
    <w:rsid w:val="009F6FB8"/>
    <w:rsid w:val="009F73BC"/>
    <w:rsid w:val="00A000E4"/>
    <w:rsid w:val="00A0037E"/>
    <w:rsid w:val="00A00566"/>
    <w:rsid w:val="00A01303"/>
    <w:rsid w:val="00A01370"/>
    <w:rsid w:val="00A01A18"/>
    <w:rsid w:val="00A01BBA"/>
    <w:rsid w:val="00A01FA6"/>
    <w:rsid w:val="00A02B7A"/>
    <w:rsid w:val="00A02C4F"/>
    <w:rsid w:val="00A0380F"/>
    <w:rsid w:val="00A0394A"/>
    <w:rsid w:val="00A03A15"/>
    <w:rsid w:val="00A03FB1"/>
    <w:rsid w:val="00A049B6"/>
    <w:rsid w:val="00A04A09"/>
    <w:rsid w:val="00A04A75"/>
    <w:rsid w:val="00A04B7B"/>
    <w:rsid w:val="00A04CAA"/>
    <w:rsid w:val="00A05612"/>
    <w:rsid w:val="00A05821"/>
    <w:rsid w:val="00A05891"/>
    <w:rsid w:val="00A05B63"/>
    <w:rsid w:val="00A05D1D"/>
    <w:rsid w:val="00A05E17"/>
    <w:rsid w:val="00A05EA2"/>
    <w:rsid w:val="00A06326"/>
    <w:rsid w:val="00A076CC"/>
    <w:rsid w:val="00A10CC0"/>
    <w:rsid w:val="00A111B9"/>
    <w:rsid w:val="00A1128E"/>
    <w:rsid w:val="00A11574"/>
    <w:rsid w:val="00A1165C"/>
    <w:rsid w:val="00A11E0C"/>
    <w:rsid w:val="00A11E33"/>
    <w:rsid w:val="00A125D6"/>
    <w:rsid w:val="00A139B8"/>
    <w:rsid w:val="00A1422E"/>
    <w:rsid w:val="00A14E53"/>
    <w:rsid w:val="00A15580"/>
    <w:rsid w:val="00A1579D"/>
    <w:rsid w:val="00A16449"/>
    <w:rsid w:val="00A1680F"/>
    <w:rsid w:val="00A16821"/>
    <w:rsid w:val="00A16888"/>
    <w:rsid w:val="00A16C7A"/>
    <w:rsid w:val="00A16F12"/>
    <w:rsid w:val="00A175BE"/>
    <w:rsid w:val="00A202F0"/>
    <w:rsid w:val="00A2076C"/>
    <w:rsid w:val="00A20BE9"/>
    <w:rsid w:val="00A20E1C"/>
    <w:rsid w:val="00A2112E"/>
    <w:rsid w:val="00A2165B"/>
    <w:rsid w:val="00A21E3A"/>
    <w:rsid w:val="00A22425"/>
    <w:rsid w:val="00A22D92"/>
    <w:rsid w:val="00A22EFC"/>
    <w:rsid w:val="00A23922"/>
    <w:rsid w:val="00A23F8F"/>
    <w:rsid w:val="00A24683"/>
    <w:rsid w:val="00A250E6"/>
    <w:rsid w:val="00A2534C"/>
    <w:rsid w:val="00A25E11"/>
    <w:rsid w:val="00A26389"/>
    <w:rsid w:val="00A26491"/>
    <w:rsid w:val="00A26C7A"/>
    <w:rsid w:val="00A27188"/>
    <w:rsid w:val="00A27DCC"/>
    <w:rsid w:val="00A303B8"/>
    <w:rsid w:val="00A303D8"/>
    <w:rsid w:val="00A304DA"/>
    <w:rsid w:val="00A30514"/>
    <w:rsid w:val="00A30C43"/>
    <w:rsid w:val="00A30E8F"/>
    <w:rsid w:val="00A31767"/>
    <w:rsid w:val="00A31B35"/>
    <w:rsid w:val="00A3228F"/>
    <w:rsid w:val="00A327C2"/>
    <w:rsid w:val="00A32A28"/>
    <w:rsid w:val="00A32AA9"/>
    <w:rsid w:val="00A332B3"/>
    <w:rsid w:val="00A33A38"/>
    <w:rsid w:val="00A33A86"/>
    <w:rsid w:val="00A34239"/>
    <w:rsid w:val="00A34476"/>
    <w:rsid w:val="00A348CF"/>
    <w:rsid w:val="00A3491D"/>
    <w:rsid w:val="00A3516C"/>
    <w:rsid w:val="00A35416"/>
    <w:rsid w:val="00A35563"/>
    <w:rsid w:val="00A361C3"/>
    <w:rsid w:val="00A36CB7"/>
    <w:rsid w:val="00A36DA8"/>
    <w:rsid w:val="00A36EB8"/>
    <w:rsid w:val="00A37598"/>
    <w:rsid w:val="00A37622"/>
    <w:rsid w:val="00A37656"/>
    <w:rsid w:val="00A37D40"/>
    <w:rsid w:val="00A411FA"/>
    <w:rsid w:val="00A41AD5"/>
    <w:rsid w:val="00A41C41"/>
    <w:rsid w:val="00A41D44"/>
    <w:rsid w:val="00A425A8"/>
    <w:rsid w:val="00A42DB0"/>
    <w:rsid w:val="00A43DCE"/>
    <w:rsid w:val="00A44015"/>
    <w:rsid w:val="00A44EC1"/>
    <w:rsid w:val="00A44FE0"/>
    <w:rsid w:val="00A454B3"/>
    <w:rsid w:val="00A456DB"/>
    <w:rsid w:val="00A456DF"/>
    <w:rsid w:val="00A45797"/>
    <w:rsid w:val="00A45CA9"/>
    <w:rsid w:val="00A45E52"/>
    <w:rsid w:val="00A46652"/>
    <w:rsid w:val="00A467DB"/>
    <w:rsid w:val="00A467F1"/>
    <w:rsid w:val="00A46D15"/>
    <w:rsid w:val="00A46ECC"/>
    <w:rsid w:val="00A4713D"/>
    <w:rsid w:val="00A47CE6"/>
    <w:rsid w:val="00A50436"/>
    <w:rsid w:val="00A51234"/>
    <w:rsid w:val="00A5156D"/>
    <w:rsid w:val="00A51817"/>
    <w:rsid w:val="00A51EC7"/>
    <w:rsid w:val="00A52024"/>
    <w:rsid w:val="00A527F5"/>
    <w:rsid w:val="00A52DF1"/>
    <w:rsid w:val="00A5323B"/>
    <w:rsid w:val="00A5356A"/>
    <w:rsid w:val="00A535DC"/>
    <w:rsid w:val="00A53D49"/>
    <w:rsid w:val="00A54019"/>
    <w:rsid w:val="00A54AF2"/>
    <w:rsid w:val="00A54FB4"/>
    <w:rsid w:val="00A55566"/>
    <w:rsid w:val="00A5576A"/>
    <w:rsid w:val="00A5588B"/>
    <w:rsid w:val="00A55EFB"/>
    <w:rsid w:val="00A56141"/>
    <w:rsid w:val="00A56797"/>
    <w:rsid w:val="00A56DE0"/>
    <w:rsid w:val="00A5791A"/>
    <w:rsid w:val="00A57C11"/>
    <w:rsid w:val="00A600E6"/>
    <w:rsid w:val="00A601E2"/>
    <w:rsid w:val="00A61769"/>
    <w:rsid w:val="00A63C18"/>
    <w:rsid w:val="00A63D05"/>
    <w:rsid w:val="00A642C6"/>
    <w:rsid w:val="00A643B9"/>
    <w:rsid w:val="00A64DB3"/>
    <w:rsid w:val="00A650C7"/>
    <w:rsid w:val="00A662DC"/>
    <w:rsid w:val="00A66737"/>
    <w:rsid w:val="00A66CA4"/>
    <w:rsid w:val="00A66D28"/>
    <w:rsid w:val="00A6741B"/>
    <w:rsid w:val="00A67582"/>
    <w:rsid w:val="00A67877"/>
    <w:rsid w:val="00A6795B"/>
    <w:rsid w:val="00A67B44"/>
    <w:rsid w:val="00A701E5"/>
    <w:rsid w:val="00A701FA"/>
    <w:rsid w:val="00A705C9"/>
    <w:rsid w:val="00A70C7C"/>
    <w:rsid w:val="00A725D7"/>
    <w:rsid w:val="00A727E8"/>
    <w:rsid w:val="00A73245"/>
    <w:rsid w:val="00A7378C"/>
    <w:rsid w:val="00A73988"/>
    <w:rsid w:val="00A74226"/>
    <w:rsid w:val="00A747BE"/>
    <w:rsid w:val="00A74D41"/>
    <w:rsid w:val="00A74D4A"/>
    <w:rsid w:val="00A75772"/>
    <w:rsid w:val="00A757B0"/>
    <w:rsid w:val="00A75A6E"/>
    <w:rsid w:val="00A75C58"/>
    <w:rsid w:val="00A75E92"/>
    <w:rsid w:val="00A7647D"/>
    <w:rsid w:val="00A76D45"/>
    <w:rsid w:val="00A76FF3"/>
    <w:rsid w:val="00A776A4"/>
    <w:rsid w:val="00A77C54"/>
    <w:rsid w:val="00A803CB"/>
    <w:rsid w:val="00A8049D"/>
    <w:rsid w:val="00A8051B"/>
    <w:rsid w:val="00A81652"/>
    <w:rsid w:val="00A81CDD"/>
    <w:rsid w:val="00A81DF9"/>
    <w:rsid w:val="00A8210D"/>
    <w:rsid w:val="00A822C2"/>
    <w:rsid w:val="00A82990"/>
    <w:rsid w:val="00A82FA3"/>
    <w:rsid w:val="00A838A4"/>
    <w:rsid w:val="00A85D21"/>
    <w:rsid w:val="00A85EFC"/>
    <w:rsid w:val="00A8603E"/>
    <w:rsid w:val="00A864E6"/>
    <w:rsid w:val="00A86EFE"/>
    <w:rsid w:val="00A876A2"/>
    <w:rsid w:val="00A87731"/>
    <w:rsid w:val="00A8779E"/>
    <w:rsid w:val="00A87CF7"/>
    <w:rsid w:val="00A90401"/>
    <w:rsid w:val="00A90B82"/>
    <w:rsid w:val="00A921E3"/>
    <w:rsid w:val="00A92ADD"/>
    <w:rsid w:val="00A93963"/>
    <w:rsid w:val="00A9397B"/>
    <w:rsid w:val="00A943EE"/>
    <w:rsid w:val="00A94D20"/>
    <w:rsid w:val="00A95BFB"/>
    <w:rsid w:val="00A95CB6"/>
    <w:rsid w:val="00A95F8F"/>
    <w:rsid w:val="00A965BE"/>
    <w:rsid w:val="00A9691A"/>
    <w:rsid w:val="00A9752B"/>
    <w:rsid w:val="00AA0585"/>
    <w:rsid w:val="00AA0686"/>
    <w:rsid w:val="00AA07BF"/>
    <w:rsid w:val="00AA0BEC"/>
    <w:rsid w:val="00AA0CE0"/>
    <w:rsid w:val="00AA1019"/>
    <w:rsid w:val="00AA1ECE"/>
    <w:rsid w:val="00AA1ED4"/>
    <w:rsid w:val="00AA2461"/>
    <w:rsid w:val="00AA2865"/>
    <w:rsid w:val="00AA3870"/>
    <w:rsid w:val="00AA3A9B"/>
    <w:rsid w:val="00AA3BF1"/>
    <w:rsid w:val="00AA403B"/>
    <w:rsid w:val="00AA479A"/>
    <w:rsid w:val="00AA52B9"/>
    <w:rsid w:val="00AA5410"/>
    <w:rsid w:val="00AA5B57"/>
    <w:rsid w:val="00AA6848"/>
    <w:rsid w:val="00AA69E0"/>
    <w:rsid w:val="00AA74F9"/>
    <w:rsid w:val="00AB04B7"/>
    <w:rsid w:val="00AB16C6"/>
    <w:rsid w:val="00AB1903"/>
    <w:rsid w:val="00AB19C6"/>
    <w:rsid w:val="00AB1B4A"/>
    <w:rsid w:val="00AB1D60"/>
    <w:rsid w:val="00AB21C6"/>
    <w:rsid w:val="00AB2841"/>
    <w:rsid w:val="00AB33FB"/>
    <w:rsid w:val="00AB379A"/>
    <w:rsid w:val="00AB383E"/>
    <w:rsid w:val="00AB39E2"/>
    <w:rsid w:val="00AB3FB9"/>
    <w:rsid w:val="00AB499D"/>
    <w:rsid w:val="00AB4C87"/>
    <w:rsid w:val="00AB5220"/>
    <w:rsid w:val="00AB6DBA"/>
    <w:rsid w:val="00AB786B"/>
    <w:rsid w:val="00AC060B"/>
    <w:rsid w:val="00AC093C"/>
    <w:rsid w:val="00AC0EB5"/>
    <w:rsid w:val="00AC2102"/>
    <w:rsid w:val="00AC2307"/>
    <w:rsid w:val="00AC2893"/>
    <w:rsid w:val="00AC3105"/>
    <w:rsid w:val="00AC3495"/>
    <w:rsid w:val="00AC3653"/>
    <w:rsid w:val="00AC4161"/>
    <w:rsid w:val="00AC4816"/>
    <w:rsid w:val="00AC4973"/>
    <w:rsid w:val="00AC4DA0"/>
    <w:rsid w:val="00AC5223"/>
    <w:rsid w:val="00AC5930"/>
    <w:rsid w:val="00AC5D5F"/>
    <w:rsid w:val="00AC5DEE"/>
    <w:rsid w:val="00AC6047"/>
    <w:rsid w:val="00AC6D31"/>
    <w:rsid w:val="00AC6DB9"/>
    <w:rsid w:val="00AC6F7D"/>
    <w:rsid w:val="00AC7185"/>
    <w:rsid w:val="00AC720A"/>
    <w:rsid w:val="00AC797C"/>
    <w:rsid w:val="00AC7C00"/>
    <w:rsid w:val="00AC7F3C"/>
    <w:rsid w:val="00AD085E"/>
    <w:rsid w:val="00AD1290"/>
    <w:rsid w:val="00AD26B2"/>
    <w:rsid w:val="00AD276F"/>
    <w:rsid w:val="00AD4161"/>
    <w:rsid w:val="00AD430C"/>
    <w:rsid w:val="00AD4764"/>
    <w:rsid w:val="00AD53B4"/>
    <w:rsid w:val="00AD5930"/>
    <w:rsid w:val="00AD60EA"/>
    <w:rsid w:val="00AD67D4"/>
    <w:rsid w:val="00AD7A2D"/>
    <w:rsid w:val="00AE049D"/>
    <w:rsid w:val="00AE08CD"/>
    <w:rsid w:val="00AE1C62"/>
    <w:rsid w:val="00AE1D71"/>
    <w:rsid w:val="00AE2E69"/>
    <w:rsid w:val="00AE3C9E"/>
    <w:rsid w:val="00AE3EAC"/>
    <w:rsid w:val="00AE4331"/>
    <w:rsid w:val="00AE4DD5"/>
    <w:rsid w:val="00AE5080"/>
    <w:rsid w:val="00AE537E"/>
    <w:rsid w:val="00AE5D91"/>
    <w:rsid w:val="00AE614D"/>
    <w:rsid w:val="00AE677D"/>
    <w:rsid w:val="00AE67E7"/>
    <w:rsid w:val="00AE6E6A"/>
    <w:rsid w:val="00AE7355"/>
    <w:rsid w:val="00AE7594"/>
    <w:rsid w:val="00AE7849"/>
    <w:rsid w:val="00AE7893"/>
    <w:rsid w:val="00AE7977"/>
    <w:rsid w:val="00AE7C01"/>
    <w:rsid w:val="00AE7E18"/>
    <w:rsid w:val="00AF0A56"/>
    <w:rsid w:val="00AF0AF3"/>
    <w:rsid w:val="00AF1116"/>
    <w:rsid w:val="00AF1F10"/>
    <w:rsid w:val="00AF219F"/>
    <w:rsid w:val="00AF266F"/>
    <w:rsid w:val="00AF26E8"/>
    <w:rsid w:val="00AF26F1"/>
    <w:rsid w:val="00AF2C79"/>
    <w:rsid w:val="00AF2E79"/>
    <w:rsid w:val="00AF3165"/>
    <w:rsid w:val="00AF3645"/>
    <w:rsid w:val="00AF38B5"/>
    <w:rsid w:val="00AF3D39"/>
    <w:rsid w:val="00AF3F10"/>
    <w:rsid w:val="00AF4143"/>
    <w:rsid w:val="00AF41DF"/>
    <w:rsid w:val="00AF497B"/>
    <w:rsid w:val="00AF49AF"/>
    <w:rsid w:val="00AF4DF3"/>
    <w:rsid w:val="00AF572B"/>
    <w:rsid w:val="00AF582A"/>
    <w:rsid w:val="00AF6035"/>
    <w:rsid w:val="00AF63C6"/>
    <w:rsid w:val="00AF63DA"/>
    <w:rsid w:val="00AF65D9"/>
    <w:rsid w:val="00AF6754"/>
    <w:rsid w:val="00AF6A4C"/>
    <w:rsid w:val="00AF7330"/>
    <w:rsid w:val="00AF7540"/>
    <w:rsid w:val="00AF7E3F"/>
    <w:rsid w:val="00B00901"/>
    <w:rsid w:val="00B00D9A"/>
    <w:rsid w:val="00B02183"/>
    <w:rsid w:val="00B023F5"/>
    <w:rsid w:val="00B031A6"/>
    <w:rsid w:val="00B03E84"/>
    <w:rsid w:val="00B047C2"/>
    <w:rsid w:val="00B0488C"/>
    <w:rsid w:val="00B0492F"/>
    <w:rsid w:val="00B04CB1"/>
    <w:rsid w:val="00B0530E"/>
    <w:rsid w:val="00B05635"/>
    <w:rsid w:val="00B05D37"/>
    <w:rsid w:val="00B06486"/>
    <w:rsid w:val="00B06A07"/>
    <w:rsid w:val="00B06C15"/>
    <w:rsid w:val="00B074BF"/>
    <w:rsid w:val="00B07620"/>
    <w:rsid w:val="00B07867"/>
    <w:rsid w:val="00B078CD"/>
    <w:rsid w:val="00B07956"/>
    <w:rsid w:val="00B10B04"/>
    <w:rsid w:val="00B113DE"/>
    <w:rsid w:val="00B119E8"/>
    <w:rsid w:val="00B1298D"/>
    <w:rsid w:val="00B1314F"/>
    <w:rsid w:val="00B13384"/>
    <w:rsid w:val="00B15195"/>
    <w:rsid w:val="00B151CF"/>
    <w:rsid w:val="00B1524E"/>
    <w:rsid w:val="00B157CE"/>
    <w:rsid w:val="00B157EE"/>
    <w:rsid w:val="00B15B5A"/>
    <w:rsid w:val="00B16822"/>
    <w:rsid w:val="00B1741C"/>
    <w:rsid w:val="00B17A64"/>
    <w:rsid w:val="00B17E19"/>
    <w:rsid w:val="00B201C5"/>
    <w:rsid w:val="00B20E2C"/>
    <w:rsid w:val="00B2159B"/>
    <w:rsid w:val="00B21754"/>
    <w:rsid w:val="00B21AE9"/>
    <w:rsid w:val="00B21B07"/>
    <w:rsid w:val="00B2223D"/>
    <w:rsid w:val="00B2235A"/>
    <w:rsid w:val="00B22D91"/>
    <w:rsid w:val="00B22DEA"/>
    <w:rsid w:val="00B23383"/>
    <w:rsid w:val="00B23BC7"/>
    <w:rsid w:val="00B247AD"/>
    <w:rsid w:val="00B24D27"/>
    <w:rsid w:val="00B25D05"/>
    <w:rsid w:val="00B26622"/>
    <w:rsid w:val="00B26669"/>
    <w:rsid w:val="00B26DF7"/>
    <w:rsid w:val="00B276B4"/>
    <w:rsid w:val="00B27EEF"/>
    <w:rsid w:val="00B300DF"/>
    <w:rsid w:val="00B303F6"/>
    <w:rsid w:val="00B307B7"/>
    <w:rsid w:val="00B316DC"/>
    <w:rsid w:val="00B31B90"/>
    <w:rsid w:val="00B31FCF"/>
    <w:rsid w:val="00B32D20"/>
    <w:rsid w:val="00B32E30"/>
    <w:rsid w:val="00B33529"/>
    <w:rsid w:val="00B33880"/>
    <w:rsid w:val="00B33E54"/>
    <w:rsid w:val="00B348DA"/>
    <w:rsid w:val="00B3528B"/>
    <w:rsid w:val="00B353FC"/>
    <w:rsid w:val="00B3557C"/>
    <w:rsid w:val="00B358A8"/>
    <w:rsid w:val="00B36028"/>
    <w:rsid w:val="00B3672B"/>
    <w:rsid w:val="00B36C39"/>
    <w:rsid w:val="00B36DD5"/>
    <w:rsid w:val="00B370C0"/>
    <w:rsid w:val="00B379C1"/>
    <w:rsid w:val="00B37B6D"/>
    <w:rsid w:val="00B40064"/>
    <w:rsid w:val="00B40B45"/>
    <w:rsid w:val="00B41D18"/>
    <w:rsid w:val="00B42DA8"/>
    <w:rsid w:val="00B42F73"/>
    <w:rsid w:val="00B42F99"/>
    <w:rsid w:val="00B43739"/>
    <w:rsid w:val="00B437F1"/>
    <w:rsid w:val="00B45492"/>
    <w:rsid w:val="00B45978"/>
    <w:rsid w:val="00B46303"/>
    <w:rsid w:val="00B46687"/>
    <w:rsid w:val="00B466AE"/>
    <w:rsid w:val="00B4725D"/>
    <w:rsid w:val="00B4788E"/>
    <w:rsid w:val="00B501B8"/>
    <w:rsid w:val="00B50A44"/>
    <w:rsid w:val="00B50BF5"/>
    <w:rsid w:val="00B50C5D"/>
    <w:rsid w:val="00B50E29"/>
    <w:rsid w:val="00B50FD1"/>
    <w:rsid w:val="00B51011"/>
    <w:rsid w:val="00B51DB3"/>
    <w:rsid w:val="00B51F07"/>
    <w:rsid w:val="00B52852"/>
    <w:rsid w:val="00B540BE"/>
    <w:rsid w:val="00B5441F"/>
    <w:rsid w:val="00B54EF4"/>
    <w:rsid w:val="00B552E7"/>
    <w:rsid w:val="00B55524"/>
    <w:rsid w:val="00B555EC"/>
    <w:rsid w:val="00B55676"/>
    <w:rsid w:val="00B56AE0"/>
    <w:rsid w:val="00B56F2E"/>
    <w:rsid w:val="00B570D6"/>
    <w:rsid w:val="00B5747B"/>
    <w:rsid w:val="00B575BF"/>
    <w:rsid w:val="00B57B2F"/>
    <w:rsid w:val="00B57FAC"/>
    <w:rsid w:val="00B603A4"/>
    <w:rsid w:val="00B6061A"/>
    <w:rsid w:val="00B612EA"/>
    <w:rsid w:val="00B61361"/>
    <w:rsid w:val="00B618FD"/>
    <w:rsid w:val="00B61B98"/>
    <w:rsid w:val="00B61C66"/>
    <w:rsid w:val="00B62604"/>
    <w:rsid w:val="00B62DF2"/>
    <w:rsid w:val="00B6366E"/>
    <w:rsid w:val="00B63B65"/>
    <w:rsid w:val="00B63DDA"/>
    <w:rsid w:val="00B642A6"/>
    <w:rsid w:val="00B64C10"/>
    <w:rsid w:val="00B64FCF"/>
    <w:rsid w:val="00B65DB2"/>
    <w:rsid w:val="00B66A87"/>
    <w:rsid w:val="00B670F3"/>
    <w:rsid w:val="00B67392"/>
    <w:rsid w:val="00B67ACB"/>
    <w:rsid w:val="00B67B36"/>
    <w:rsid w:val="00B67CC5"/>
    <w:rsid w:val="00B706DB"/>
    <w:rsid w:val="00B712D0"/>
    <w:rsid w:val="00B7144A"/>
    <w:rsid w:val="00B71A2D"/>
    <w:rsid w:val="00B71DAB"/>
    <w:rsid w:val="00B72D56"/>
    <w:rsid w:val="00B736C7"/>
    <w:rsid w:val="00B74A31"/>
    <w:rsid w:val="00B74FD8"/>
    <w:rsid w:val="00B751A2"/>
    <w:rsid w:val="00B7544D"/>
    <w:rsid w:val="00B757E5"/>
    <w:rsid w:val="00B75ADB"/>
    <w:rsid w:val="00B75B67"/>
    <w:rsid w:val="00B76766"/>
    <w:rsid w:val="00B767FC"/>
    <w:rsid w:val="00B76E3C"/>
    <w:rsid w:val="00B80D14"/>
    <w:rsid w:val="00B812E9"/>
    <w:rsid w:val="00B81E84"/>
    <w:rsid w:val="00B81F38"/>
    <w:rsid w:val="00B81FF3"/>
    <w:rsid w:val="00B825A0"/>
    <w:rsid w:val="00B827DA"/>
    <w:rsid w:val="00B83B62"/>
    <w:rsid w:val="00B83D53"/>
    <w:rsid w:val="00B84694"/>
    <w:rsid w:val="00B84CA5"/>
    <w:rsid w:val="00B8516C"/>
    <w:rsid w:val="00B8535F"/>
    <w:rsid w:val="00B85F4B"/>
    <w:rsid w:val="00B863C1"/>
    <w:rsid w:val="00B8642C"/>
    <w:rsid w:val="00B86B61"/>
    <w:rsid w:val="00B86B75"/>
    <w:rsid w:val="00B873D8"/>
    <w:rsid w:val="00B878CD"/>
    <w:rsid w:val="00B87D59"/>
    <w:rsid w:val="00B907CD"/>
    <w:rsid w:val="00B907E0"/>
    <w:rsid w:val="00B9080F"/>
    <w:rsid w:val="00B90AE3"/>
    <w:rsid w:val="00B91816"/>
    <w:rsid w:val="00B91CB1"/>
    <w:rsid w:val="00B9249B"/>
    <w:rsid w:val="00B92830"/>
    <w:rsid w:val="00B92AA9"/>
    <w:rsid w:val="00B92E8E"/>
    <w:rsid w:val="00B930FF"/>
    <w:rsid w:val="00B9335D"/>
    <w:rsid w:val="00B93D7F"/>
    <w:rsid w:val="00B9467F"/>
    <w:rsid w:val="00B94D33"/>
    <w:rsid w:val="00B9536C"/>
    <w:rsid w:val="00B95D21"/>
    <w:rsid w:val="00B96146"/>
    <w:rsid w:val="00B964B7"/>
    <w:rsid w:val="00B9650D"/>
    <w:rsid w:val="00B97B15"/>
    <w:rsid w:val="00B97C65"/>
    <w:rsid w:val="00BA05FC"/>
    <w:rsid w:val="00BA0994"/>
    <w:rsid w:val="00BA0F8D"/>
    <w:rsid w:val="00BA10B0"/>
    <w:rsid w:val="00BA152B"/>
    <w:rsid w:val="00BA1FFB"/>
    <w:rsid w:val="00BA2519"/>
    <w:rsid w:val="00BA2AA9"/>
    <w:rsid w:val="00BA2B3F"/>
    <w:rsid w:val="00BA3086"/>
    <w:rsid w:val="00BA4768"/>
    <w:rsid w:val="00BA4AF6"/>
    <w:rsid w:val="00BA4BDF"/>
    <w:rsid w:val="00BA4CF9"/>
    <w:rsid w:val="00BA4E45"/>
    <w:rsid w:val="00BA572E"/>
    <w:rsid w:val="00BA59FB"/>
    <w:rsid w:val="00BA5D67"/>
    <w:rsid w:val="00BA60FD"/>
    <w:rsid w:val="00BA62E7"/>
    <w:rsid w:val="00BA6938"/>
    <w:rsid w:val="00BA6D76"/>
    <w:rsid w:val="00BA738B"/>
    <w:rsid w:val="00BA73C3"/>
    <w:rsid w:val="00BA762D"/>
    <w:rsid w:val="00BA7E23"/>
    <w:rsid w:val="00BA7F5B"/>
    <w:rsid w:val="00BB020D"/>
    <w:rsid w:val="00BB0974"/>
    <w:rsid w:val="00BB0A31"/>
    <w:rsid w:val="00BB0C1A"/>
    <w:rsid w:val="00BB1298"/>
    <w:rsid w:val="00BB14A3"/>
    <w:rsid w:val="00BB16E1"/>
    <w:rsid w:val="00BB1977"/>
    <w:rsid w:val="00BB1A0C"/>
    <w:rsid w:val="00BB1B8F"/>
    <w:rsid w:val="00BB1C61"/>
    <w:rsid w:val="00BB285D"/>
    <w:rsid w:val="00BB3260"/>
    <w:rsid w:val="00BB3710"/>
    <w:rsid w:val="00BB3C58"/>
    <w:rsid w:val="00BB4168"/>
    <w:rsid w:val="00BB4BDE"/>
    <w:rsid w:val="00BB4FFB"/>
    <w:rsid w:val="00BB54AB"/>
    <w:rsid w:val="00BB56C9"/>
    <w:rsid w:val="00BB5AD6"/>
    <w:rsid w:val="00BB5FF3"/>
    <w:rsid w:val="00BB648C"/>
    <w:rsid w:val="00BB6794"/>
    <w:rsid w:val="00BB732F"/>
    <w:rsid w:val="00BB74FB"/>
    <w:rsid w:val="00BB77B0"/>
    <w:rsid w:val="00BB79AE"/>
    <w:rsid w:val="00BB7BA0"/>
    <w:rsid w:val="00BB7DE8"/>
    <w:rsid w:val="00BC0343"/>
    <w:rsid w:val="00BC0879"/>
    <w:rsid w:val="00BC0E32"/>
    <w:rsid w:val="00BC15DE"/>
    <w:rsid w:val="00BC17C8"/>
    <w:rsid w:val="00BC1A22"/>
    <w:rsid w:val="00BC1C02"/>
    <w:rsid w:val="00BC2B85"/>
    <w:rsid w:val="00BC369C"/>
    <w:rsid w:val="00BC42AF"/>
    <w:rsid w:val="00BC467F"/>
    <w:rsid w:val="00BC4972"/>
    <w:rsid w:val="00BC5618"/>
    <w:rsid w:val="00BC5B19"/>
    <w:rsid w:val="00BC6897"/>
    <w:rsid w:val="00BC68A9"/>
    <w:rsid w:val="00BC6DE9"/>
    <w:rsid w:val="00BC7083"/>
    <w:rsid w:val="00BC75D1"/>
    <w:rsid w:val="00BD0203"/>
    <w:rsid w:val="00BD039E"/>
    <w:rsid w:val="00BD0F5C"/>
    <w:rsid w:val="00BD0FB7"/>
    <w:rsid w:val="00BD1106"/>
    <w:rsid w:val="00BD1A5D"/>
    <w:rsid w:val="00BD1F8C"/>
    <w:rsid w:val="00BD20BF"/>
    <w:rsid w:val="00BD2140"/>
    <w:rsid w:val="00BD2C69"/>
    <w:rsid w:val="00BD2EDA"/>
    <w:rsid w:val="00BD33D4"/>
    <w:rsid w:val="00BD34C6"/>
    <w:rsid w:val="00BD40B1"/>
    <w:rsid w:val="00BD4740"/>
    <w:rsid w:val="00BD5EB2"/>
    <w:rsid w:val="00BD625E"/>
    <w:rsid w:val="00BD7C26"/>
    <w:rsid w:val="00BE0ED3"/>
    <w:rsid w:val="00BE13AF"/>
    <w:rsid w:val="00BE1A86"/>
    <w:rsid w:val="00BE234F"/>
    <w:rsid w:val="00BE24B1"/>
    <w:rsid w:val="00BE32FE"/>
    <w:rsid w:val="00BE3553"/>
    <w:rsid w:val="00BE39EB"/>
    <w:rsid w:val="00BE47BF"/>
    <w:rsid w:val="00BE48C3"/>
    <w:rsid w:val="00BE4D69"/>
    <w:rsid w:val="00BE5374"/>
    <w:rsid w:val="00BE5963"/>
    <w:rsid w:val="00BE627A"/>
    <w:rsid w:val="00BE6804"/>
    <w:rsid w:val="00BE6CAD"/>
    <w:rsid w:val="00BE6CE8"/>
    <w:rsid w:val="00BF017B"/>
    <w:rsid w:val="00BF025A"/>
    <w:rsid w:val="00BF04D8"/>
    <w:rsid w:val="00BF0BA4"/>
    <w:rsid w:val="00BF18D2"/>
    <w:rsid w:val="00BF1BCC"/>
    <w:rsid w:val="00BF1D7F"/>
    <w:rsid w:val="00BF1DA2"/>
    <w:rsid w:val="00BF1DE7"/>
    <w:rsid w:val="00BF2E4C"/>
    <w:rsid w:val="00BF33B5"/>
    <w:rsid w:val="00BF3792"/>
    <w:rsid w:val="00BF40E5"/>
    <w:rsid w:val="00BF440F"/>
    <w:rsid w:val="00BF4F7A"/>
    <w:rsid w:val="00BF503B"/>
    <w:rsid w:val="00BF5221"/>
    <w:rsid w:val="00BF5B4F"/>
    <w:rsid w:val="00BF6118"/>
    <w:rsid w:val="00BF6F9E"/>
    <w:rsid w:val="00BF7C54"/>
    <w:rsid w:val="00BF7C99"/>
    <w:rsid w:val="00C0054F"/>
    <w:rsid w:val="00C0086E"/>
    <w:rsid w:val="00C012E3"/>
    <w:rsid w:val="00C0169C"/>
    <w:rsid w:val="00C01D5F"/>
    <w:rsid w:val="00C01DC9"/>
    <w:rsid w:val="00C02355"/>
    <w:rsid w:val="00C02AA4"/>
    <w:rsid w:val="00C0345A"/>
    <w:rsid w:val="00C03511"/>
    <w:rsid w:val="00C0480F"/>
    <w:rsid w:val="00C049A5"/>
    <w:rsid w:val="00C04C3A"/>
    <w:rsid w:val="00C05700"/>
    <w:rsid w:val="00C05C65"/>
    <w:rsid w:val="00C05DE7"/>
    <w:rsid w:val="00C06B23"/>
    <w:rsid w:val="00C06B95"/>
    <w:rsid w:val="00C074CD"/>
    <w:rsid w:val="00C07670"/>
    <w:rsid w:val="00C078EF"/>
    <w:rsid w:val="00C07D48"/>
    <w:rsid w:val="00C1030A"/>
    <w:rsid w:val="00C103B7"/>
    <w:rsid w:val="00C107C3"/>
    <w:rsid w:val="00C10A28"/>
    <w:rsid w:val="00C10DC6"/>
    <w:rsid w:val="00C10F9C"/>
    <w:rsid w:val="00C11255"/>
    <w:rsid w:val="00C11534"/>
    <w:rsid w:val="00C12458"/>
    <w:rsid w:val="00C129F0"/>
    <w:rsid w:val="00C12FD0"/>
    <w:rsid w:val="00C1320A"/>
    <w:rsid w:val="00C13520"/>
    <w:rsid w:val="00C13C04"/>
    <w:rsid w:val="00C146EE"/>
    <w:rsid w:val="00C14905"/>
    <w:rsid w:val="00C14F9B"/>
    <w:rsid w:val="00C14FAB"/>
    <w:rsid w:val="00C15F42"/>
    <w:rsid w:val="00C1610B"/>
    <w:rsid w:val="00C1611D"/>
    <w:rsid w:val="00C163AE"/>
    <w:rsid w:val="00C166B2"/>
    <w:rsid w:val="00C16971"/>
    <w:rsid w:val="00C16C9A"/>
    <w:rsid w:val="00C173E6"/>
    <w:rsid w:val="00C173E8"/>
    <w:rsid w:val="00C175E4"/>
    <w:rsid w:val="00C17866"/>
    <w:rsid w:val="00C17F9C"/>
    <w:rsid w:val="00C202F8"/>
    <w:rsid w:val="00C20802"/>
    <w:rsid w:val="00C20AB6"/>
    <w:rsid w:val="00C21252"/>
    <w:rsid w:val="00C2198D"/>
    <w:rsid w:val="00C2295E"/>
    <w:rsid w:val="00C22FE4"/>
    <w:rsid w:val="00C232E0"/>
    <w:rsid w:val="00C23822"/>
    <w:rsid w:val="00C23DB1"/>
    <w:rsid w:val="00C2422E"/>
    <w:rsid w:val="00C24444"/>
    <w:rsid w:val="00C247B4"/>
    <w:rsid w:val="00C249D9"/>
    <w:rsid w:val="00C24B5E"/>
    <w:rsid w:val="00C2534F"/>
    <w:rsid w:val="00C253C3"/>
    <w:rsid w:val="00C255EF"/>
    <w:rsid w:val="00C25620"/>
    <w:rsid w:val="00C25AF2"/>
    <w:rsid w:val="00C278AF"/>
    <w:rsid w:val="00C27FC3"/>
    <w:rsid w:val="00C30058"/>
    <w:rsid w:val="00C3088B"/>
    <w:rsid w:val="00C30904"/>
    <w:rsid w:val="00C317A2"/>
    <w:rsid w:val="00C33188"/>
    <w:rsid w:val="00C3387E"/>
    <w:rsid w:val="00C34384"/>
    <w:rsid w:val="00C343FC"/>
    <w:rsid w:val="00C344A9"/>
    <w:rsid w:val="00C34838"/>
    <w:rsid w:val="00C34867"/>
    <w:rsid w:val="00C348B8"/>
    <w:rsid w:val="00C353D0"/>
    <w:rsid w:val="00C36021"/>
    <w:rsid w:val="00C3651F"/>
    <w:rsid w:val="00C36633"/>
    <w:rsid w:val="00C36DE0"/>
    <w:rsid w:val="00C36E9D"/>
    <w:rsid w:val="00C36F6C"/>
    <w:rsid w:val="00C370C9"/>
    <w:rsid w:val="00C37337"/>
    <w:rsid w:val="00C37656"/>
    <w:rsid w:val="00C37C86"/>
    <w:rsid w:val="00C4019A"/>
    <w:rsid w:val="00C40264"/>
    <w:rsid w:val="00C40C27"/>
    <w:rsid w:val="00C412B1"/>
    <w:rsid w:val="00C416D0"/>
    <w:rsid w:val="00C41772"/>
    <w:rsid w:val="00C41A71"/>
    <w:rsid w:val="00C42278"/>
    <w:rsid w:val="00C4248D"/>
    <w:rsid w:val="00C434BD"/>
    <w:rsid w:val="00C43C7C"/>
    <w:rsid w:val="00C4436C"/>
    <w:rsid w:val="00C44504"/>
    <w:rsid w:val="00C4481F"/>
    <w:rsid w:val="00C449FB"/>
    <w:rsid w:val="00C44E0F"/>
    <w:rsid w:val="00C45F09"/>
    <w:rsid w:val="00C461B2"/>
    <w:rsid w:val="00C46297"/>
    <w:rsid w:val="00C4711A"/>
    <w:rsid w:val="00C4761A"/>
    <w:rsid w:val="00C47B35"/>
    <w:rsid w:val="00C47C8E"/>
    <w:rsid w:val="00C47E5D"/>
    <w:rsid w:val="00C47EB2"/>
    <w:rsid w:val="00C5111F"/>
    <w:rsid w:val="00C51823"/>
    <w:rsid w:val="00C52446"/>
    <w:rsid w:val="00C52824"/>
    <w:rsid w:val="00C52838"/>
    <w:rsid w:val="00C52B97"/>
    <w:rsid w:val="00C52FD1"/>
    <w:rsid w:val="00C5359B"/>
    <w:rsid w:val="00C53782"/>
    <w:rsid w:val="00C53AF7"/>
    <w:rsid w:val="00C53C51"/>
    <w:rsid w:val="00C554B5"/>
    <w:rsid w:val="00C5563B"/>
    <w:rsid w:val="00C55ADA"/>
    <w:rsid w:val="00C55FA5"/>
    <w:rsid w:val="00C563A8"/>
    <w:rsid w:val="00C56796"/>
    <w:rsid w:val="00C56EF2"/>
    <w:rsid w:val="00C570A6"/>
    <w:rsid w:val="00C573E9"/>
    <w:rsid w:val="00C579F3"/>
    <w:rsid w:val="00C57DFE"/>
    <w:rsid w:val="00C600B3"/>
    <w:rsid w:val="00C60144"/>
    <w:rsid w:val="00C61464"/>
    <w:rsid w:val="00C61FA1"/>
    <w:rsid w:val="00C62B44"/>
    <w:rsid w:val="00C62C26"/>
    <w:rsid w:val="00C6301A"/>
    <w:rsid w:val="00C630F8"/>
    <w:rsid w:val="00C635FB"/>
    <w:rsid w:val="00C63B38"/>
    <w:rsid w:val="00C63D31"/>
    <w:rsid w:val="00C63D7A"/>
    <w:rsid w:val="00C63EB7"/>
    <w:rsid w:val="00C64863"/>
    <w:rsid w:val="00C658BD"/>
    <w:rsid w:val="00C66530"/>
    <w:rsid w:val="00C67076"/>
    <w:rsid w:val="00C673ED"/>
    <w:rsid w:val="00C67A07"/>
    <w:rsid w:val="00C67E7D"/>
    <w:rsid w:val="00C67E8E"/>
    <w:rsid w:val="00C7047C"/>
    <w:rsid w:val="00C70520"/>
    <w:rsid w:val="00C706B4"/>
    <w:rsid w:val="00C70838"/>
    <w:rsid w:val="00C708D3"/>
    <w:rsid w:val="00C709C2"/>
    <w:rsid w:val="00C70E1F"/>
    <w:rsid w:val="00C7103C"/>
    <w:rsid w:val="00C714F9"/>
    <w:rsid w:val="00C71935"/>
    <w:rsid w:val="00C71B2E"/>
    <w:rsid w:val="00C71EB0"/>
    <w:rsid w:val="00C71ED2"/>
    <w:rsid w:val="00C72177"/>
    <w:rsid w:val="00C72359"/>
    <w:rsid w:val="00C725F5"/>
    <w:rsid w:val="00C727D4"/>
    <w:rsid w:val="00C73835"/>
    <w:rsid w:val="00C74A9E"/>
    <w:rsid w:val="00C74B8C"/>
    <w:rsid w:val="00C758B7"/>
    <w:rsid w:val="00C75A20"/>
    <w:rsid w:val="00C76D02"/>
    <w:rsid w:val="00C770AA"/>
    <w:rsid w:val="00C777D6"/>
    <w:rsid w:val="00C77BEB"/>
    <w:rsid w:val="00C8066E"/>
    <w:rsid w:val="00C816A1"/>
    <w:rsid w:val="00C8268F"/>
    <w:rsid w:val="00C827D9"/>
    <w:rsid w:val="00C82DEF"/>
    <w:rsid w:val="00C8311B"/>
    <w:rsid w:val="00C8316F"/>
    <w:rsid w:val="00C832FA"/>
    <w:rsid w:val="00C83535"/>
    <w:rsid w:val="00C83C59"/>
    <w:rsid w:val="00C83D05"/>
    <w:rsid w:val="00C83D84"/>
    <w:rsid w:val="00C83FAB"/>
    <w:rsid w:val="00C842E6"/>
    <w:rsid w:val="00C854E4"/>
    <w:rsid w:val="00C859EB"/>
    <w:rsid w:val="00C86DE1"/>
    <w:rsid w:val="00C87436"/>
    <w:rsid w:val="00C87AA4"/>
    <w:rsid w:val="00C9012E"/>
    <w:rsid w:val="00C90875"/>
    <w:rsid w:val="00C909C1"/>
    <w:rsid w:val="00C91651"/>
    <w:rsid w:val="00C917A4"/>
    <w:rsid w:val="00C91B24"/>
    <w:rsid w:val="00C91D2B"/>
    <w:rsid w:val="00C9223A"/>
    <w:rsid w:val="00C922A2"/>
    <w:rsid w:val="00C92319"/>
    <w:rsid w:val="00C9266F"/>
    <w:rsid w:val="00C93120"/>
    <w:rsid w:val="00C93831"/>
    <w:rsid w:val="00C93C2F"/>
    <w:rsid w:val="00C94225"/>
    <w:rsid w:val="00C94C89"/>
    <w:rsid w:val="00C94E8B"/>
    <w:rsid w:val="00C94F3A"/>
    <w:rsid w:val="00C95470"/>
    <w:rsid w:val="00C967DD"/>
    <w:rsid w:val="00C97CC7"/>
    <w:rsid w:val="00C97CEE"/>
    <w:rsid w:val="00CA07E9"/>
    <w:rsid w:val="00CA09A4"/>
    <w:rsid w:val="00CA11DF"/>
    <w:rsid w:val="00CA1CC5"/>
    <w:rsid w:val="00CA247F"/>
    <w:rsid w:val="00CA26EA"/>
    <w:rsid w:val="00CA2AA7"/>
    <w:rsid w:val="00CA2FB2"/>
    <w:rsid w:val="00CA3390"/>
    <w:rsid w:val="00CA3D3A"/>
    <w:rsid w:val="00CA42D6"/>
    <w:rsid w:val="00CA528A"/>
    <w:rsid w:val="00CA54D8"/>
    <w:rsid w:val="00CA5938"/>
    <w:rsid w:val="00CA59A3"/>
    <w:rsid w:val="00CA5BEA"/>
    <w:rsid w:val="00CA6A42"/>
    <w:rsid w:val="00CA6FE6"/>
    <w:rsid w:val="00CB01C8"/>
    <w:rsid w:val="00CB0D2C"/>
    <w:rsid w:val="00CB15E9"/>
    <w:rsid w:val="00CB1772"/>
    <w:rsid w:val="00CB1903"/>
    <w:rsid w:val="00CB1C4F"/>
    <w:rsid w:val="00CB1E4E"/>
    <w:rsid w:val="00CB2487"/>
    <w:rsid w:val="00CB28CA"/>
    <w:rsid w:val="00CB2BD5"/>
    <w:rsid w:val="00CB333D"/>
    <w:rsid w:val="00CB3399"/>
    <w:rsid w:val="00CB3581"/>
    <w:rsid w:val="00CB3C21"/>
    <w:rsid w:val="00CB455D"/>
    <w:rsid w:val="00CB4F37"/>
    <w:rsid w:val="00CB5C55"/>
    <w:rsid w:val="00CB5D84"/>
    <w:rsid w:val="00CB6CF6"/>
    <w:rsid w:val="00CB74A4"/>
    <w:rsid w:val="00CB75E3"/>
    <w:rsid w:val="00CB7612"/>
    <w:rsid w:val="00CC03EA"/>
    <w:rsid w:val="00CC0CEE"/>
    <w:rsid w:val="00CC119D"/>
    <w:rsid w:val="00CC13DE"/>
    <w:rsid w:val="00CC1D1A"/>
    <w:rsid w:val="00CC264D"/>
    <w:rsid w:val="00CC2D1E"/>
    <w:rsid w:val="00CC32CD"/>
    <w:rsid w:val="00CC3343"/>
    <w:rsid w:val="00CC3BF5"/>
    <w:rsid w:val="00CC3C25"/>
    <w:rsid w:val="00CC40D6"/>
    <w:rsid w:val="00CC5098"/>
    <w:rsid w:val="00CC53F6"/>
    <w:rsid w:val="00CC5658"/>
    <w:rsid w:val="00CC6098"/>
    <w:rsid w:val="00CC6260"/>
    <w:rsid w:val="00CC62EB"/>
    <w:rsid w:val="00CC6456"/>
    <w:rsid w:val="00CC6AD5"/>
    <w:rsid w:val="00CC729F"/>
    <w:rsid w:val="00CD01B6"/>
    <w:rsid w:val="00CD0308"/>
    <w:rsid w:val="00CD06DD"/>
    <w:rsid w:val="00CD11E1"/>
    <w:rsid w:val="00CD1404"/>
    <w:rsid w:val="00CD1501"/>
    <w:rsid w:val="00CD17AC"/>
    <w:rsid w:val="00CD270A"/>
    <w:rsid w:val="00CD2D09"/>
    <w:rsid w:val="00CD4749"/>
    <w:rsid w:val="00CD4A11"/>
    <w:rsid w:val="00CD4BAD"/>
    <w:rsid w:val="00CD4EC5"/>
    <w:rsid w:val="00CD59FE"/>
    <w:rsid w:val="00CD5DBA"/>
    <w:rsid w:val="00CD632F"/>
    <w:rsid w:val="00CD7937"/>
    <w:rsid w:val="00CE08B7"/>
    <w:rsid w:val="00CE08EB"/>
    <w:rsid w:val="00CE0FD5"/>
    <w:rsid w:val="00CE1191"/>
    <w:rsid w:val="00CE1E6E"/>
    <w:rsid w:val="00CE2015"/>
    <w:rsid w:val="00CE25B5"/>
    <w:rsid w:val="00CE28E3"/>
    <w:rsid w:val="00CE2996"/>
    <w:rsid w:val="00CE2A2D"/>
    <w:rsid w:val="00CE35A4"/>
    <w:rsid w:val="00CE4342"/>
    <w:rsid w:val="00CE4CD8"/>
    <w:rsid w:val="00CE4F81"/>
    <w:rsid w:val="00CE5B99"/>
    <w:rsid w:val="00CE5D1F"/>
    <w:rsid w:val="00CE6320"/>
    <w:rsid w:val="00CE695D"/>
    <w:rsid w:val="00CE6C23"/>
    <w:rsid w:val="00CE6CD7"/>
    <w:rsid w:val="00CE6DF6"/>
    <w:rsid w:val="00CE6FE5"/>
    <w:rsid w:val="00CE714D"/>
    <w:rsid w:val="00CE7B21"/>
    <w:rsid w:val="00CF04ED"/>
    <w:rsid w:val="00CF0510"/>
    <w:rsid w:val="00CF0882"/>
    <w:rsid w:val="00CF1038"/>
    <w:rsid w:val="00CF14FC"/>
    <w:rsid w:val="00CF195D"/>
    <w:rsid w:val="00CF1A2D"/>
    <w:rsid w:val="00CF218D"/>
    <w:rsid w:val="00CF239A"/>
    <w:rsid w:val="00CF2913"/>
    <w:rsid w:val="00CF2E3B"/>
    <w:rsid w:val="00CF37C1"/>
    <w:rsid w:val="00CF439F"/>
    <w:rsid w:val="00CF452E"/>
    <w:rsid w:val="00CF463D"/>
    <w:rsid w:val="00CF4D51"/>
    <w:rsid w:val="00CF5524"/>
    <w:rsid w:val="00CF58BD"/>
    <w:rsid w:val="00CF5D8F"/>
    <w:rsid w:val="00CF656B"/>
    <w:rsid w:val="00CF7120"/>
    <w:rsid w:val="00CF724C"/>
    <w:rsid w:val="00D001B4"/>
    <w:rsid w:val="00D003B7"/>
    <w:rsid w:val="00D00473"/>
    <w:rsid w:val="00D00E36"/>
    <w:rsid w:val="00D00FC7"/>
    <w:rsid w:val="00D01EF5"/>
    <w:rsid w:val="00D026D1"/>
    <w:rsid w:val="00D0282D"/>
    <w:rsid w:val="00D02932"/>
    <w:rsid w:val="00D02B95"/>
    <w:rsid w:val="00D02F4F"/>
    <w:rsid w:val="00D03A36"/>
    <w:rsid w:val="00D047F7"/>
    <w:rsid w:val="00D04CB3"/>
    <w:rsid w:val="00D04CDE"/>
    <w:rsid w:val="00D052C6"/>
    <w:rsid w:val="00D0689B"/>
    <w:rsid w:val="00D07146"/>
    <w:rsid w:val="00D07296"/>
    <w:rsid w:val="00D10319"/>
    <w:rsid w:val="00D104DE"/>
    <w:rsid w:val="00D1078A"/>
    <w:rsid w:val="00D10A80"/>
    <w:rsid w:val="00D11B6E"/>
    <w:rsid w:val="00D120D7"/>
    <w:rsid w:val="00D13BE5"/>
    <w:rsid w:val="00D13E89"/>
    <w:rsid w:val="00D14E59"/>
    <w:rsid w:val="00D16F34"/>
    <w:rsid w:val="00D17604"/>
    <w:rsid w:val="00D17E4B"/>
    <w:rsid w:val="00D20031"/>
    <w:rsid w:val="00D2042E"/>
    <w:rsid w:val="00D20AE1"/>
    <w:rsid w:val="00D20F67"/>
    <w:rsid w:val="00D210A6"/>
    <w:rsid w:val="00D214AA"/>
    <w:rsid w:val="00D224E4"/>
    <w:rsid w:val="00D22CF2"/>
    <w:rsid w:val="00D23126"/>
    <w:rsid w:val="00D23A75"/>
    <w:rsid w:val="00D23CB7"/>
    <w:rsid w:val="00D243B1"/>
    <w:rsid w:val="00D24640"/>
    <w:rsid w:val="00D246D7"/>
    <w:rsid w:val="00D24ACE"/>
    <w:rsid w:val="00D24EAB"/>
    <w:rsid w:val="00D250DF"/>
    <w:rsid w:val="00D251A0"/>
    <w:rsid w:val="00D256AA"/>
    <w:rsid w:val="00D260C2"/>
    <w:rsid w:val="00D27290"/>
    <w:rsid w:val="00D27949"/>
    <w:rsid w:val="00D27CF4"/>
    <w:rsid w:val="00D27F93"/>
    <w:rsid w:val="00D30D7A"/>
    <w:rsid w:val="00D313B3"/>
    <w:rsid w:val="00D31A98"/>
    <w:rsid w:val="00D31E66"/>
    <w:rsid w:val="00D31EB4"/>
    <w:rsid w:val="00D323BE"/>
    <w:rsid w:val="00D32471"/>
    <w:rsid w:val="00D3292B"/>
    <w:rsid w:val="00D32FF9"/>
    <w:rsid w:val="00D3338A"/>
    <w:rsid w:val="00D33BBD"/>
    <w:rsid w:val="00D33F02"/>
    <w:rsid w:val="00D34088"/>
    <w:rsid w:val="00D347C6"/>
    <w:rsid w:val="00D34C38"/>
    <w:rsid w:val="00D34DE7"/>
    <w:rsid w:val="00D34E7E"/>
    <w:rsid w:val="00D358F7"/>
    <w:rsid w:val="00D36376"/>
    <w:rsid w:val="00D364A3"/>
    <w:rsid w:val="00D36C36"/>
    <w:rsid w:val="00D36D65"/>
    <w:rsid w:val="00D36E67"/>
    <w:rsid w:val="00D37600"/>
    <w:rsid w:val="00D37EF5"/>
    <w:rsid w:val="00D4038A"/>
    <w:rsid w:val="00D40630"/>
    <w:rsid w:val="00D412BF"/>
    <w:rsid w:val="00D414DB"/>
    <w:rsid w:val="00D419C9"/>
    <w:rsid w:val="00D41E73"/>
    <w:rsid w:val="00D428B9"/>
    <w:rsid w:val="00D42E4C"/>
    <w:rsid w:val="00D42EDD"/>
    <w:rsid w:val="00D43246"/>
    <w:rsid w:val="00D43CE9"/>
    <w:rsid w:val="00D43F6A"/>
    <w:rsid w:val="00D4422C"/>
    <w:rsid w:val="00D4488F"/>
    <w:rsid w:val="00D448F4"/>
    <w:rsid w:val="00D44A54"/>
    <w:rsid w:val="00D4501F"/>
    <w:rsid w:val="00D45750"/>
    <w:rsid w:val="00D457EA"/>
    <w:rsid w:val="00D4597D"/>
    <w:rsid w:val="00D45C42"/>
    <w:rsid w:val="00D4630A"/>
    <w:rsid w:val="00D4678B"/>
    <w:rsid w:val="00D472F7"/>
    <w:rsid w:val="00D50736"/>
    <w:rsid w:val="00D50C83"/>
    <w:rsid w:val="00D516A3"/>
    <w:rsid w:val="00D517F2"/>
    <w:rsid w:val="00D522A0"/>
    <w:rsid w:val="00D5244B"/>
    <w:rsid w:val="00D52E54"/>
    <w:rsid w:val="00D52E5A"/>
    <w:rsid w:val="00D52FF5"/>
    <w:rsid w:val="00D53A10"/>
    <w:rsid w:val="00D53D89"/>
    <w:rsid w:val="00D53E6F"/>
    <w:rsid w:val="00D54611"/>
    <w:rsid w:val="00D54B6E"/>
    <w:rsid w:val="00D55029"/>
    <w:rsid w:val="00D5548B"/>
    <w:rsid w:val="00D559D8"/>
    <w:rsid w:val="00D55AFB"/>
    <w:rsid w:val="00D561B4"/>
    <w:rsid w:val="00D56444"/>
    <w:rsid w:val="00D56511"/>
    <w:rsid w:val="00D5699A"/>
    <w:rsid w:val="00D56DFA"/>
    <w:rsid w:val="00D57DBC"/>
    <w:rsid w:val="00D600C1"/>
    <w:rsid w:val="00D602CF"/>
    <w:rsid w:val="00D60622"/>
    <w:rsid w:val="00D6063B"/>
    <w:rsid w:val="00D60A34"/>
    <w:rsid w:val="00D60ABF"/>
    <w:rsid w:val="00D60B41"/>
    <w:rsid w:val="00D60E22"/>
    <w:rsid w:val="00D61250"/>
    <w:rsid w:val="00D61302"/>
    <w:rsid w:val="00D6193D"/>
    <w:rsid w:val="00D61E04"/>
    <w:rsid w:val="00D61EFB"/>
    <w:rsid w:val="00D629ED"/>
    <w:rsid w:val="00D62C93"/>
    <w:rsid w:val="00D62F4D"/>
    <w:rsid w:val="00D63999"/>
    <w:rsid w:val="00D6447A"/>
    <w:rsid w:val="00D6468C"/>
    <w:rsid w:val="00D65243"/>
    <w:rsid w:val="00D652D9"/>
    <w:rsid w:val="00D65578"/>
    <w:rsid w:val="00D665B6"/>
    <w:rsid w:val="00D675A0"/>
    <w:rsid w:val="00D676CD"/>
    <w:rsid w:val="00D67701"/>
    <w:rsid w:val="00D67C9B"/>
    <w:rsid w:val="00D7083A"/>
    <w:rsid w:val="00D70DDA"/>
    <w:rsid w:val="00D716EF"/>
    <w:rsid w:val="00D71BE1"/>
    <w:rsid w:val="00D71DF7"/>
    <w:rsid w:val="00D72295"/>
    <w:rsid w:val="00D72DE0"/>
    <w:rsid w:val="00D73370"/>
    <w:rsid w:val="00D73403"/>
    <w:rsid w:val="00D73694"/>
    <w:rsid w:val="00D73AD9"/>
    <w:rsid w:val="00D742F6"/>
    <w:rsid w:val="00D744FE"/>
    <w:rsid w:val="00D747DE"/>
    <w:rsid w:val="00D75362"/>
    <w:rsid w:val="00D753DC"/>
    <w:rsid w:val="00D75721"/>
    <w:rsid w:val="00D75F08"/>
    <w:rsid w:val="00D76277"/>
    <w:rsid w:val="00D762D5"/>
    <w:rsid w:val="00D767D1"/>
    <w:rsid w:val="00D77208"/>
    <w:rsid w:val="00D77978"/>
    <w:rsid w:val="00D779A0"/>
    <w:rsid w:val="00D808BA"/>
    <w:rsid w:val="00D80BCE"/>
    <w:rsid w:val="00D80C29"/>
    <w:rsid w:val="00D80C4F"/>
    <w:rsid w:val="00D80EBD"/>
    <w:rsid w:val="00D819DD"/>
    <w:rsid w:val="00D81ED4"/>
    <w:rsid w:val="00D81FB5"/>
    <w:rsid w:val="00D82224"/>
    <w:rsid w:val="00D829C8"/>
    <w:rsid w:val="00D82BC2"/>
    <w:rsid w:val="00D82C62"/>
    <w:rsid w:val="00D8316D"/>
    <w:rsid w:val="00D834DC"/>
    <w:rsid w:val="00D83B51"/>
    <w:rsid w:val="00D84297"/>
    <w:rsid w:val="00D84C54"/>
    <w:rsid w:val="00D84ECA"/>
    <w:rsid w:val="00D84F5A"/>
    <w:rsid w:val="00D8525E"/>
    <w:rsid w:val="00D8563B"/>
    <w:rsid w:val="00D85BEA"/>
    <w:rsid w:val="00D863CB"/>
    <w:rsid w:val="00D8722F"/>
    <w:rsid w:val="00D872EE"/>
    <w:rsid w:val="00D90263"/>
    <w:rsid w:val="00D9041B"/>
    <w:rsid w:val="00D90950"/>
    <w:rsid w:val="00D90B8C"/>
    <w:rsid w:val="00D90DBB"/>
    <w:rsid w:val="00D9141D"/>
    <w:rsid w:val="00D9175B"/>
    <w:rsid w:val="00D91EF0"/>
    <w:rsid w:val="00D92E19"/>
    <w:rsid w:val="00D92E20"/>
    <w:rsid w:val="00D93A3D"/>
    <w:rsid w:val="00D941CE"/>
    <w:rsid w:val="00D946C9"/>
    <w:rsid w:val="00D949B5"/>
    <w:rsid w:val="00D94A0E"/>
    <w:rsid w:val="00D94CA2"/>
    <w:rsid w:val="00D94CF3"/>
    <w:rsid w:val="00D95252"/>
    <w:rsid w:val="00D95859"/>
    <w:rsid w:val="00D9613A"/>
    <w:rsid w:val="00D967A8"/>
    <w:rsid w:val="00DA02AA"/>
    <w:rsid w:val="00DA058E"/>
    <w:rsid w:val="00DA0CF5"/>
    <w:rsid w:val="00DA0F1B"/>
    <w:rsid w:val="00DA1187"/>
    <w:rsid w:val="00DA1B76"/>
    <w:rsid w:val="00DA1D6F"/>
    <w:rsid w:val="00DA1E2C"/>
    <w:rsid w:val="00DA1EAF"/>
    <w:rsid w:val="00DA1F22"/>
    <w:rsid w:val="00DA2E77"/>
    <w:rsid w:val="00DA3148"/>
    <w:rsid w:val="00DA35A1"/>
    <w:rsid w:val="00DA3700"/>
    <w:rsid w:val="00DA3820"/>
    <w:rsid w:val="00DA3969"/>
    <w:rsid w:val="00DA3BA2"/>
    <w:rsid w:val="00DA444D"/>
    <w:rsid w:val="00DA4F76"/>
    <w:rsid w:val="00DA512C"/>
    <w:rsid w:val="00DA53C5"/>
    <w:rsid w:val="00DA5532"/>
    <w:rsid w:val="00DA5B5A"/>
    <w:rsid w:val="00DA5D89"/>
    <w:rsid w:val="00DA6009"/>
    <w:rsid w:val="00DA6765"/>
    <w:rsid w:val="00DA6FFE"/>
    <w:rsid w:val="00DA7573"/>
    <w:rsid w:val="00DA7591"/>
    <w:rsid w:val="00DB003C"/>
    <w:rsid w:val="00DB0340"/>
    <w:rsid w:val="00DB09F5"/>
    <w:rsid w:val="00DB137E"/>
    <w:rsid w:val="00DB1BDE"/>
    <w:rsid w:val="00DB1CE0"/>
    <w:rsid w:val="00DB1E91"/>
    <w:rsid w:val="00DB202E"/>
    <w:rsid w:val="00DB3375"/>
    <w:rsid w:val="00DB4410"/>
    <w:rsid w:val="00DB44F5"/>
    <w:rsid w:val="00DB4618"/>
    <w:rsid w:val="00DB48C1"/>
    <w:rsid w:val="00DB4D36"/>
    <w:rsid w:val="00DB5117"/>
    <w:rsid w:val="00DB541A"/>
    <w:rsid w:val="00DB6031"/>
    <w:rsid w:val="00DB6294"/>
    <w:rsid w:val="00DB664A"/>
    <w:rsid w:val="00DB7463"/>
    <w:rsid w:val="00DB7547"/>
    <w:rsid w:val="00DB7F82"/>
    <w:rsid w:val="00DC0DDE"/>
    <w:rsid w:val="00DC14AF"/>
    <w:rsid w:val="00DC1720"/>
    <w:rsid w:val="00DC17BD"/>
    <w:rsid w:val="00DC2BDD"/>
    <w:rsid w:val="00DC3271"/>
    <w:rsid w:val="00DC3468"/>
    <w:rsid w:val="00DC3485"/>
    <w:rsid w:val="00DC3633"/>
    <w:rsid w:val="00DC4108"/>
    <w:rsid w:val="00DC4398"/>
    <w:rsid w:val="00DC4463"/>
    <w:rsid w:val="00DC4832"/>
    <w:rsid w:val="00DC4EC7"/>
    <w:rsid w:val="00DC4F64"/>
    <w:rsid w:val="00DC50C5"/>
    <w:rsid w:val="00DC5886"/>
    <w:rsid w:val="00DC60B8"/>
    <w:rsid w:val="00DC611F"/>
    <w:rsid w:val="00DC64A7"/>
    <w:rsid w:val="00DC70B8"/>
    <w:rsid w:val="00DC7875"/>
    <w:rsid w:val="00DC7A60"/>
    <w:rsid w:val="00DD0434"/>
    <w:rsid w:val="00DD0953"/>
    <w:rsid w:val="00DD09A3"/>
    <w:rsid w:val="00DD0EC7"/>
    <w:rsid w:val="00DD141E"/>
    <w:rsid w:val="00DD1A95"/>
    <w:rsid w:val="00DD1EE4"/>
    <w:rsid w:val="00DD2127"/>
    <w:rsid w:val="00DD223C"/>
    <w:rsid w:val="00DD2924"/>
    <w:rsid w:val="00DD2C81"/>
    <w:rsid w:val="00DD2EA6"/>
    <w:rsid w:val="00DD43D1"/>
    <w:rsid w:val="00DD4BEB"/>
    <w:rsid w:val="00DD5020"/>
    <w:rsid w:val="00DD5608"/>
    <w:rsid w:val="00DD5A39"/>
    <w:rsid w:val="00DD5FBB"/>
    <w:rsid w:val="00DD5FD0"/>
    <w:rsid w:val="00DD62DD"/>
    <w:rsid w:val="00DD64A9"/>
    <w:rsid w:val="00DD71DC"/>
    <w:rsid w:val="00DD7D7F"/>
    <w:rsid w:val="00DE1B9D"/>
    <w:rsid w:val="00DE1C5E"/>
    <w:rsid w:val="00DE2496"/>
    <w:rsid w:val="00DE27FB"/>
    <w:rsid w:val="00DE2C2E"/>
    <w:rsid w:val="00DE2D32"/>
    <w:rsid w:val="00DE3EA6"/>
    <w:rsid w:val="00DE4CF7"/>
    <w:rsid w:val="00DE4F94"/>
    <w:rsid w:val="00DE52F8"/>
    <w:rsid w:val="00DE5A64"/>
    <w:rsid w:val="00DE5EEF"/>
    <w:rsid w:val="00DE5F87"/>
    <w:rsid w:val="00DE6088"/>
    <w:rsid w:val="00DE62A6"/>
    <w:rsid w:val="00DE63DB"/>
    <w:rsid w:val="00DE6977"/>
    <w:rsid w:val="00DE697B"/>
    <w:rsid w:val="00DE706A"/>
    <w:rsid w:val="00DE7099"/>
    <w:rsid w:val="00DE7911"/>
    <w:rsid w:val="00DF01F6"/>
    <w:rsid w:val="00DF0220"/>
    <w:rsid w:val="00DF0316"/>
    <w:rsid w:val="00DF0CD8"/>
    <w:rsid w:val="00DF0FAA"/>
    <w:rsid w:val="00DF14CE"/>
    <w:rsid w:val="00DF1820"/>
    <w:rsid w:val="00DF253B"/>
    <w:rsid w:val="00DF25B8"/>
    <w:rsid w:val="00DF3272"/>
    <w:rsid w:val="00DF32A0"/>
    <w:rsid w:val="00DF341B"/>
    <w:rsid w:val="00DF39E9"/>
    <w:rsid w:val="00DF3BDC"/>
    <w:rsid w:val="00DF431B"/>
    <w:rsid w:val="00DF525F"/>
    <w:rsid w:val="00DF54BC"/>
    <w:rsid w:val="00DF578E"/>
    <w:rsid w:val="00DF634B"/>
    <w:rsid w:val="00DF6C5F"/>
    <w:rsid w:val="00DF74D9"/>
    <w:rsid w:val="00DF76E2"/>
    <w:rsid w:val="00DF7AA4"/>
    <w:rsid w:val="00E00405"/>
    <w:rsid w:val="00E0095A"/>
    <w:rsid w:val="00E0141B"/>
    <w:rsid w:val="00E014CD"/>
    <w:rsid w:val="00E0193D"/>
    <w:rsid w:val="00E02074"/>
    <w:rsid w:val="00E0216D"/>
    <w:rsid w:val="00E02B1B"/>
    <w:rsid w:val="00E030B6"/>
    <w:rsid w:val="00E0360B"/>
    <w:rsid w:val="00E03A96"/>
    <w:rsid w:val="00E041CA"/>
    <w:rsid w:val="00E04D59"/>
    <w:rsid w:val="00E05159"/>
    <w:rsid w:val="00E056DA"/>
    <w:rsid w:val="00E05D56"/>
    <w:rsid w:val="00E068F2"/>
    <w:rsid w:val="00E0724E"/>
    <w:rsid w:val="00E07757"/>
    <w:rsid w:val="00E077D5"/>
    <w:rsid w:val="00E079B8"/>
    <w:rsid w:val="00E07F3E"/>
    <w:rsid w:val="00E105A9"/>
    <w:rsid w:val="00E10602"/>
    <w:rsid w:val="00E11A45"/>
    <w:rsid w:val="00E132CF"/>
    <w:rsid w:val="00E13576"/>
    <w:rsid w:val="00E139D9"/>
    <w:rsid w:val="00E13CED"/>
    <w:rsid w:val="00E13D0D"/>
    <w:rsid w:val="00E14130"/>
    <w:rsid w:val="00E14981"/>
    <w:rsid w:val="00E14A8A"/>
    <w:rsid w:val="00E14E80"/>
    <w:rsid w:val="00E14EB6"/>
    <w:rsid w:val="00E15056"/>
    <w:rsid w:val="00E15593"/>
    <w:rsid w:val="00E15941"/>
    <w:rsid w:val="00E15DB1"/>
    <w:rsid w:val="00E15FA7"/>
    <w:rsid w:val="00E166E3"/>
    <w:rsid w:val="00E169EC"/>
    <w:rsid w:val="00E16F46"/>
    <w:rsid w:val="00E173DC"/>
    <w:rsid w:val="00E17552"/>
    <w:rsid w:val="00E17704"/>
    <w:rsid w:val="00E17A5A"/>
    <w:rsid w:val="00E17FA5"/>
    <w:rsid w:val="00E20023"/>
    <w:rsid w:val="00E20547"/>
    <w:rsid w:val="00E20C2E"/>
    <w:rsid w:val="00E211A9"/>
    <w:rsid w:val="00E2159C"/>
    <w:rsid w:val="00E21B03"/>
    <w:rsid w:val="00E22445"/>
    <w:rsid w:val="00E22EEF"/>
    <w:rsid w:val="00E22FCD"/>
    <w:rsid w:val="00E2501B"/>
    <w:rsid w:val="00E2537A"/>
    <w:rsid w:val="00E25500"/>
    <w:rsid w:val="00E25AD6"/>
    <w:rsid w:val="00E260A3"/>
    <w:rsid w:val="00E267F4"/>
    <w:rsid w:val="00E26A01"/>
    <w:rsid w:val="00E26A73"/>
    <w:rsid w:val="00E26AFF"/>
    <w:rsid w:val="00E26D15"/>
    <w:rsid w:val="00E27DDB"/>
    <w:rsid w:val="00E27E43"/>
    <w:rsid w:val="00E27ED7"/>
    <w:rsid w:val="00E30537"/>
    <w:rsid w:val="00E30B09"/>
    <w:rsid w:val="00E30E49"/>
    <w:rsid w:val="00E30F14"/>
    <w:rsid w:val="00E31702"/>
    <w:rsid w:val="00E318C7"/>
    <w:rsid w:val="00E31B75"/>
    <w:rsid w:val="00E31C5C"/>
    <w:rsid w:val="00E32157"/>
    <w:rsid w:val="00E3242E"/>
    <w:rsid w:val="00E325EC"/>
    <w:rsid w:val="00E32C9A"/>
    <w:rsid w:val="00E32D18"/>
    <w:rsid w:val="00E32E67"/>
    <w:rsid w:val="00E32F48"/>
    <w:rsid w:val="00E330C9"/>
    <w:rsid w:val="00E3330E"/>
    <w:rsid w:val="00E3351F"/>
    <w:rsid w:val="00E33954"/>
    <w:rsid w:val="00E33992"/>
    <w:rsid w:val="00E33B6C"/>
    <w:rsid w:val="00E33CFF"/>
    <w:rsid w:val="00E33E29"/>
    <w:rsid w:val="00E3463C"/>
    <w:rsid w:val="00E34EF9"/>
    <w:rsid w:val="00E353BC"/>
    <w:rsid w:val="00E361D0"/>
    <w:rsid w:val="00E3622D"/>
    <w:rsid w:val="00E362F2"/>
    <w:rsid w:val="00E36D9A"/>
    <w:rsid w:val="00E37086"/>
    <w:rsid w:val="00E406CB"/>
    <w:rsid w:val="00E4083A"/>
    <w:rsid w:val="00E40DAE"/>
    <w:rsid w:val="00E40F62"/>
    <w:rsid w:val="00E413FE"/>
    <w:rsid w:val="00E4210D"/>
    <w:rsid w:val="00E43249"/>
    <w:rsid w:val="00E436A2"/>
    <w:rsid w:val="00E44431"/>
    <w:rsid w:val="00E458D8"/>
    <w:rsid w:val="00E46178"/>
    <w:rsid w:val="00E46487"/>
    <w:rsid w:val="00E46DAA"/>
    <w:rsid w:val="00E47789"/>
    <w:rsid w:val="00E47FF7"/>
    <w:rsid w:val="00E500B8"/>
    <w:rsid w:val="00E501F1"/>
    <w:rsid w:val="00E50585"/>
    <w:rsid w:val="00E505A6"/>
    <w:rsid w:val="00E50675"/>
    <w:rsid w:val="00E514C3"/>
    <w:rsid w:val="00E515E0"/>
    <w:rsid w:val="00E518A7"/>
    <w:rsid w:val="00E52390"/>
    <w:rsid w:val="00E529F5"/>
    <w:rsid w:val="00E531F5"/>
    <w:rsid w:val="00E5356B"/>
    <w:rsid w:val="00E53CFA"/>
    <w:rsid w:val="00E53E00"/>
    <w:rsid w:val="00E53FBE"/>
    <w:rsid w:val="00E54221"/>
    <w:rsid w:val="00E5424B"/>
    <w:rsid w:val="00E559DA"/>
    <w:rsid w:val="00E55C4D"/>
    <w:rsid w:val="00E55D07"/>
    <w:rsid w:val="00E56049"/>
    <w:rsid w:val="00E5636C"/>
    <w:rsid w:val="00E5650A"/>
    <w:rsid w:val="00E567CA"/>
    <w:rsid w:val="00E568C0"/>
    <w:rsid w:val="00E568C8"/>
    <w:rsid w:val="00E56E50"/>
    <w:rsid w:val="00E574EC"/>
    <w:rsid w:val="00E57759"/>
    <w:rsid w:val="00E57963"/>
    <w:rsid w:val="00E579CD"/>
    <w:rsid w:val="00E57F1D"/>
    <w:rsid w:val="00E57F9C"/>
    <w:rsid w:val="00E6044B"/>
    <w:rsid w:val="00E60C35"/>
    <w:rsid w:val="00E60C46"/>
    <w:rsid w:val="00E60E62"/>
    <w:rsid w:val="00E60FB5"/>
    <w:rsid w:val="00E615F9"/>
    <w:rsid w:val="00E6193C"/>
    <w:rsid w:val="00E61C15"/>
    <w:rsid w:val="00E61D81"/>
    <w:rsid w:val="00E62559"/>
    <w:rsid w:val="00E62BC2"/>
    <w:rsid w:val="00E62C0C"/>
    <w:rsid w:val="00E63114"/>
    <w:rsid w:val="00E6327F"/>
    <w:rsid w:val="00E63DAA"/>
    <w:rsid w:val="00E63F15"/>
    <w:rsid w:val="00E63F55"/>
    <w:rsid w:val="00E644A9"/>
    <w:rsid w:val="00E649E8"/>
    <w:rsid w:val="00E65361"/>
    <w:rsid w:val="00E6616B"/>
    <w:rsid w:val="00E716B6"/>
    <w:rsid w:val="00E72219"/>
    <w:rsid w:val="00E7221D"/>
    <w:rsid w:val="00E723DC"/>
    <w:rsid w:val="00E7288D"/>
    <w:rsid w:val="00E72EC0"/>
    <w:rsid w:val="00E732E7"/>
    <w:rsid w:val="00E735B9"/>
    <w:rsid w:val="00E7423C"/>
    <w:rsid w:val="00E74266"/>
    <w:rsid w:val="00E74351"/>
    <w:rsid w:val="00E7462A"/>
    <w:rsid w:val="00E74A54"/>
    <w:rsid w:val="00E7580F"/>
    <w:rsid w:val="00E75C83"/>
    <w:rsid w:val="00E7615F"/>
    <w:rsid w:val="00E76AE0"/>
    <w:rsid w:val="00E76CDD"/>
    <w:rsid w:val="00E77572"/>
    <w:rsid w:val="00E7773D"/>
    <w:rsid w:val="00E77EDC"/>
    <w:rsid w:val="00E8045F"/>
    <w:rsid w:val="00E80A66"/>
    <w:rsid w:val="00E81A87"/>
    <w:rsid w:val="00E81B4B"/>
    <w:rsid w:val="00E820F3"/>
    <w:rsid w:val="00E82138"/>
    <w:rsid w:val="00E82FAA"/>
    <w:rsid w:val="00E8325F"/>
    <w:rsid w:val="00E83948"/>
    <w:rsid w:val="00E83C56"/>
    <w:rsid w:val="00E83CF9"/>
    <w:rsid w:val="00E842F9"/>
    <w:rsid w:val="00E84DE3"/>
    <w:rsid w:val="00E853A4"/>
    <w:rsid w:val="00E860FF"/>
    <w:rsid w:val="00E86900"/>
    <w:rsid w:val="00E86F01"/>
    <w:rsid w:val="00E8711E"/>
    <w:rsid w:val="00E87360"/>
    <w:rsid w:val="00E9008D"/>
    <w:rsid w:val="00E90210"/>
    <w:rsid w:val="00E908D9"/>
    <w:rsid w:val="00E90B40"/>
    <w:rsid w:val="00E90CED"/>
    <w:rsid w:val="00E9167B"/>
    <w:rsid w:val="00E917C3"/>
    <w:rsid w:val="00E91B0A"/>
    <w:rsid w:val="00E921C0"/>
    <w:rsid w:val="00E922BC"/>
    <w:rsid w:val="00E925FC"/>
    <w:rsid w:val="00E927B7"/>
    <w:rsid w:val="00E92974"/>
    <w:rsid w:val="00E92F98"/>
    <w:rsid w:val="00E9331D"/>
    <w:rsid w:val="00E935DC"/>
    <w:rsid w:val="00E936E3"/>
    <w:rsid w:val="00E942F5"/>
    <w:rsid w:val="00E9472F"/>
    <w:rsid w:val="00E952DF"/>
    <w:rsid w:val="00E95322"/>
    <w:rsid w:val="00E95490"/>
    <w:rsid w:val="00E968C1"/>
    <w:rsid w:val="00E96D4A"/>
    <w:rsid w:val="00E971F6"/>
    <w:rsid w:val="00E9739F"/>
    <w:rsid w:val="00E97D3C"/>
    <w:rsid w:val="00EA0709"/>
    <w:rsid w:val="00EA0E54"/>
    <w:rsid w:val="00EA1019"/>
    <w:rsid w:val="00EA1043"/>
    <w:rsid w:val="00EA1769"/>
    <w:rsid w:val="00EA1A4D"/>
    <w:rsid w:val="00EA28F4"/>
    <w:rsid w:val="00EA30F9"/>
    <w:rsid w:val="00EA3671"/>
    <w:rsid w:val="00EA3C2E"/>
    <w:rsid w:val="00EA4051"/>
    <w:rsid w:val="00EA66EC"/>
    <w:rsid w:val="00EA7116"/>
    <w:rsid w:val="00EA71EC"/>
    <w:rsid w:val="00EA7D19"/>
    <w:rsid w:val="00EB0157"/>
    <w:rsid w:val="00EB0DEA"/>
    <w:rsid w:val="00EB1ABC"/>
    <w:rsid w:val="00EB1AD3"/>
    <w:rsid w:val="00EB1F63"/>
    <w:rsid w:val="00EB27BC"/>
    <w:rsid w:val="00EB2AD8"/>
    <w:rsid w:val="00EB33E4"/>
    <w:rsid w:val="00EB35A9"/>
    <w:rsid w:val="00EB362A"/>
    <w:rsid w:val="00EB3B3B"/>
    <w:rsid w:val="00EB55FF"/>
    <w:rsid w:val="00EB5A7E"/>
    <w:rsid w:val="00EB6A32"/>
    <w:rsid w:val="00EB6DC8"/>
    <w:rsid w:val="00EB6F77"/>
    <w:rsid w:val="00EB703B"/>
    <w:rsid w:val="00EB74ED"/>
    <w:rsid w:val="00EB763D"/>
    <w:rsid w:val="00EC0CA9"/>
    <w:rsid w:val="00EC15E7"/>
    <w:rsid w:val="00EC19E1"/>
    <w:rsid w:val="00EC1C0B"/>
    <w:rsid w:val="00EC282F"/>
    <w:rsid w:val="00EC28FD"/>
    <w:rsid w:val="00EC2C62"/>
    <w:rsid w:val="00EC2EC2"/>
    <w:rsid w:val="00EC3350"/>
    <w:rsid w:val="00EC33A0"/>
    <w:rsid w:val="00EC4440"/>
    <w:rsid w:val="00EC4623"/>
    <w:rsid w:val="00EC4836"/>
    <w:rsid w:val="00EC4F52"/>
    <w:rsid w:val="00EC5088"/>
    <w:rsid w:val="00EC50BF"/>
    <w:rsid w:val="00EC5465"/>
    <w:rsid w:val="00EC5BF3"/>
    <w:rsid w:val="00EC62A6"/>
    <w:rsid w:val="00EC68A2"/>
    <w:rsid w:val="00EC723F"/>
    <w:rsid w:val="00ED0B18"/>
    <w:rsid w:val="00ED19E8"/>
    <w:rsid w:val="00ED2294"/>
    <w:rsid w:val="00ED28DE"/>
    <w:rsid w:val="00ED2EB9"/>
    <w:rsid w:val="00ED3791"/>
    <w:rsid w:val="00ED3799"/>
    <w:rsid w:val="00ED3B6A"/>
    <w:rsid w:val="00ED41A2"/>
    <w:rsid w:val="00ED5960"/>
    <w:rsid w:val="00ED5B6F"/>
    <w:rsid w:val="00ED5E38"/>
    <w:rsid w:val="00ED5FA7"/>
    <w:rsid w:val="00ED779F"/>
    <w:rsid w:val="00ED7E50"/>
    <w:rsid w:val="00EE07FF"/>
    <w:rsid w:val="00EE0AEA"/>
    <w:rsid w:val="00EE0BC6"/>
    <w:rsid w:val="00EE14E7"/>
    <w:rsid w:val="00EE2043"/>
    <w:rsid w:val="00EE2079"/>
    <w:rsid w:val="00EE2704"/>
    <w:rsid w:val="00EE2970"/>
    <w:rsid w:val="00EE2D34"/>
    <w:rsid w:val="00EE3055"/>
    <w:rsid w:val="00EE3888"/>
    <w:rsid w:val="00EE3BDC"/>
    <w:rsid w:val="00EE3CE0"/>
    <w:rsid w:val="00EE3D82"/>
    <w:rsid w:val="00EE3E2E"/>
    <w:rsid w:val="00EE4490"/>
    <w:rsid w:val="00EE4744"/>
    <w:rsid w:val="00EE4B26"/>
    <w:rsid w:val="00EE4CA3"/>
    <w:rsid w:val="00EE4EEF"/>
    <w:rsid w:val="00EE51CD"/>
    <w:rsid w:val="00EE55B3"/>
    <w:rsid w:val="00EE6832"/>
    <w:rsid w:val="00EE6EB5"/>
    <w:rsid w:val="00EF1530"/>
    <w:rsid w:val="00EF1755"/>
    <w:rsid w:val="00EF2DF6"/>
    <w:rsid w:val="00EF3391"/>
    <w:rsid w:val="00EF3763"/>
    <w:rsid w:val="00EF39F0"/>
    <w:rsid w:val="00EF3D58"/>
    <w:rsid w:val="00EF4DC9"/>
    <w:rsid w:val="00EF500C"/>
    <w:rsid w:val="00EF53C1"/>
    <w:rsid w:val="00EF545A"/>
    <w:rsid w:val="00EF5BAA"/>
    <w:rsid w:val="00EF5BFC"/>
    <w:rsid w:val="00EF7063"/>
    <w:rsid w:val="00EF7084"/>
    <w:rsid w:val="00EF7A50"/>
    <w:rsid w:val="00EF7B2B"/>
    <w:rsid w:val="00F006C3"/>
    <w:rsid w:val="00F00D82"/>
    <w:rsid w:val="00F01667"/>
    <w:rsid w:val="00F01BB8"/>
    <w:rsid w:val="00F02153"/>
    <w:rsid w:val="00F02BCF"/>
    <w:rsid w:val="00F02F7E"/>
    <w:rsid w:val="00F03156"/>
    <w:rsid w:val="00F037BE"/>
    <w:rsid w:val="00F03B39"/>
    <w:rsid w:val="00F0402D"/>
    <w:rsid w:val="00F04052"/>
    <w:rsid w:val="00F0440D"/>
    <w:rsid w:val="00F04E72"/>
    <w:rsid w:val="00F04FED"/>
    <w:rsid w:val="00F05092"/>
    <w:rsid w:val="00F05481"/>
    <w:rsid w:val="00F05937"/>
    <w:rsid w:val="00F05AB3"/>
    <w:rsid w:val="00F06396"/>
    <w:rsid w:val="00F06673"/>
    <w:rsid w:val="00F06961"/>
    <w:rsid w:val="00F06A25"/>
    <w:rsid w:val="00F07286"/>
    <w:rsid w:val="00F103C3"/>
    <w:rsid w:val="00F10446"/>
    <w:rsid w:val="00F10647"/>
    <w:rsid w:val="00F1066F"/>
    <w:rsid w:val="00F10D2C"/>
    <w:rsid w:val="00F10FF3"/>
    <w:rsid w:val="00F111C0"/>
    <w:rsid w:val="00F11365"/>
    <w:rsid w:val="00F1144E"/>
    <w:rsid w:val="00F11A02"/>
    <w:rsid w:val="00F11E9E"/>
    <w:rsid w:val="00F127FB"/>
    <w:rsid w:val="00F13A00"/>
    <w:rsid w:val="00F13FCA"/>
    <w:rsid w:val="00F1415F"/>
    <w:rsid w:val="00F14201"/>
    <w:rsid w:val="00F1478D"/>
    <w:rsid w:val="00F1508C"/>
    <w:rsid w:val="00F1578E"/>
    <w:rsid w:val="00F161CC"/>
    <w:rsid w:val="00F163AA"/>
    <w:rsid w:val="00F16454"/>
    <w:rsid w:val="00F165D8"/>
    <w:rsid w:val="00F16B4B"/>
    <w:rsid w:val="00F16F0F"/>
    <w:rsid w:val="00F172E1"/>
    <w:rsid w:val="00F17430"/>
    <w:rsid w:val="00F17EBD"/>
    <w:rsid w:val="00F20763"/>
    <w:rsid w:val="00F20D28"/>
    <w:rsid w:val="00F2110B"/>
    <w:rsid w:val="00F21E07"/>
    <w:rsid w:val="00F222A3"/>
    <w:rsid w:val="00F227C8"/>
    <w:rsid w:val="00F234C4"/>
    <w:rsid w:val="00F23C45"/>
    <w:rsid w:val="00F23CB7"/>
    <w:rsid w:val="00F23FFF"/>
    <w:rsid w:val="00F256C8"/>
    <w:rsid w:val="00F257B5"/>
    <w:rsid w:val="00F2637A"/>
    <w:rsid w:val="00F264D3"/>
    <w:rsid w:val="00F265FC"/>
    <w:rsid w:val="00F2669D"/>
    <w:rsid w:val="00F26A3E"/>
    <w:rsid w:val="00F26B81"/>
    <w:rsid w:val="00F26D0E"/>
    <w:rsid w:val="00F26E34"/>
    <w:rsid w:val="00F271C8"/>
    <w:rsid w:val="00F2720E"/>
    <w:rsid w:val="00F2776D"/>
    <w:rsid w:val="00F27B12"/>
    <w:rsid w:val="00F27C81"/>
    <w:rsid w:val="00F3074F"/>
    <w:rsid w:val="00F30913"/>
    <w:rsid w:val="00F30A2B"/>
    <w:rsid w:val="00F3123C"/>
    <w:rsid w:val="00F31484"/>
    <w:rsid w:val="00F315EC"/>
    <w:rsid w:val="00F316BA"/>
    <w:rsid w:val="00F31723"/>
    <w:rsid w:val="00F31ECF"/>
    <w:rsid w:val="00F32090"/>
    <w:rsid w:val="00F3240F"/>
    <w:rsid w:val="00F32519"/>
    <w:rsid w:val="00F326B1"/>
    <w:rsid w:val="00F32C77"/>
    <w:rsid w:val="00F33EE3"/>
    <w:rsid w:val="00F345F5"/>
    <w:rsid w:val="00F3462B"/>
    <w:rsid w:val="00F346E6"/>
    <w:rsid w:val="00F3579F"/>
    <w:rsid w:val="00F35C94"/>
    <w:rsid w:val="00F35ED4"/>
    <w:rsid w:val="00F36D02"/>
    <w:rsid w:val="00F36F98"/>
    <w:rsid w:val="00F374F8"/>
    <w:rsid w:val="00F375B5"/>
    <w:rsid w:val="00F3765C"/>
    <w:rsid w:val="00F4009C"/>
    <w:rsid w:val="00F407C6"/>
    <w:rsid w:val="00F40864"/>
    <w:rsid w:val="00F4093F"/>
    <w:rsid w:val="00F40981"/>
    <w:rsid w:val="00F40F9A"/>
    <w:rsid w:val="00F414E2"/>
    <w:rsid w:val="00F41932"/>
    <w:rsid w:val="00F41AD4"/>
    <w:rsid w:val="00F421DF"/>
    <w:rsid w:val="00F42A50"/>
    <w:rsid w:val="00F43B7A"/>
    <w:rsid w:val="00F43D8C"/>
    <w:rsid w:val="00F43F55"/>
    <w:rsid w:val="00F44895"/>
    <w:rsid w:val="00F44E5F"/>
    <w:rsid w:val="00F45C02"/>
    <w:rsid w:val="00F45D81"/>
    <w:rsid w:val="00F46751"/>
    <w:rsid w:val="00F47407"/>
    <w:rsid w:val="00F47F03"/>
    <w:rsid w:val="00F47F96"/>
    <w:rsid w:val="00F50240"/>
    <w:rsid w:val="00F50585"/>
    <w:rsid w:val="00F505EC"/>
    <w:rsid w:val="00F50C4A"/>
    <w:rsid w:val="00F516E3"/>
    <w:rsid w:val="00F51F9D"/>
    <w:rsid w:val="00F52291"/>
    <w:rsid w:val="00F52A8E"/>
    <w:rsid w:val="00F531FA"/>
    <w:rsid w:val="00F53E1B"/>
    <w:rsid w:val="00F53EB0"/>
    <w:rsid w:val="00F5426E"/>
    <w:rsid w:val="00F54342"/>
    <w:rsid w:val="00F546E2"/>
    <w:rsid w:val="00F54832"/>
    <w:rsid w:val="00F54EDA"/>
    <w:rsid w:val="00F556FE"/>
    <w:rsid w:val="00F5574E"/>
    <w:rsid w:val="00F5586B"/>
    <w:rsid w:val="00F5589D"/>
    <w:rsid w:val="00F55BF6"/>
    <w:rsid w:val="00F577B4"/>
    <w:rsid w:val="00F57885"/>
    <w:rsid w:val="00F57B22"/>
    <w:rsid w:val="00F60347"/>
    <w:rsid w:val="00F6044E"/>
    <w:rsid w:val="00F60950"/>
    <w:rsid w:val="00F61EF3"/>
    <w:rsid w:val="00F6253C"/>
    <w:rsid w:val="00F62C91"/>
    <w:rsid w:val="00F630C2"/>
    <w:rsid w:val="00F63DC4"/>
    <w:rsid w:val="00F63F51"/>
    <w:rsid w:val="00F64374"/>
    <w:rsid w:val="00F64B5E"/>
    <w:rsid w:val="00F64B94"/>
    <w:rsid w:val="00F64C00"/>
    <w:rsid w:val="00F64ED1"/>
    <w:rsid w:val="00F6545A"/>
    <w:rsid w:val="00F65BD6"/>
    <w:rsid w:val="00F65DF5"/>
    <w:rsid w:val="00F660E7"/>
    <w:rsid w:val="00F66144"/>
    <w:rsid w:val="00F664C4"/>
    <w:rsid w:val="00F66565"/>
    <w:rsid w:val="00F66F23"/>
    <w:rsid w:val="00F6713F"/>
    <w:rsid w:val="00F6726F"/>
    <w:rsid w:val="00F67629"/>
    <w:rsid w:val="00F67CAD"/>
    <w:rsid w:val="00F67D85"/>
    <w:rsid w:val="00F701B3"/>
    <w:rsid w:val="00F7142F"/>
    <w:rsid w:val="00F719B0"/>
    <w:rsid w:val="00F71BD9"/>
    <w:rsid w:val="00F71C4C"/>
    <w:rsid w:val="00F73211"/>
    <w:rsid w:val="00F73851"/>
    <w:rsid w:val="00F74B51"/>
    <w:rsid w:val="00F74DA1"/>
    <w:rsid w:val="00F761EE"/>
    <w:rsid w:val="00F76605"/>
    <w:rsid w:val="00F76DA1"/>
    <w:rsid w:val="00F76E8C"/>
    <w:rsid w:val="00F775FC"/>
    <w:rsid w:val="00F8030F"/>
    <w:rsid w:val="00F80CF7"/>
    <w:rsid w:val="00F81082"/>
    <w:rsid w:val="00F81362"/>
    <w:rsid w:val="00F81622"/>
    <w:rsid w:val="00F81978"/>
    <w:rsid w:val="00F81E71"/>
    <w:rsid w:val="00F81F00"/>
    <w:rsid w:val="00F82232"/>
    <w:rsid w:val="00F82DC9"/>
    <w:rsid w:val="00F830E0"/>
    <w:rsid w:val="00F836ED"/>
    <w:rsid w:val="00F838E4"/>
    <w:rsid w:val="00F8459C"/>
    <w:rsid w:val="00F84890"/>
    <w:rsid w:val="00F850FE"/>
    <w:rsid w:val="00F85245"/>
    <w:rsid w:val="00F85437"/>
    <w:rsid w:val="00F854EE"/>
    <w:rsid w:val="00F85B24"/>
    <w:rsid w:val="00F85F4F"/>
    <w:rsid w:val="00F86362"/>
    <w:rsid w:val="00F9089A"/>
    <w:rsid w:val="00F91353"/>
    <w:rsid w:val="00F91AD7"/>
    <w:rsid w:val="00F91DAF"/>
    <w:rsid w:val="00F91E67"/>
    <w:rsid w:val="00F92659"/>
    <w:rsid w:val="00F92D17"/>
    <w:rsid w:val="00F93463"/>
    <w:rsid w:val="00F935EF"/>
    <w:rsid w:val="00F94A16"/>
    <w:rsid w:val="00F94AA5"/>
    <w:rsid w:val="00F94D46"/>
    <w:rsid w:val="00F96090"/>
    <w:rsid w:val="00F96399"/>
    <w:rsid w:val="00F963FE"/>
    <w:rsid w:val="00F965F7"/>
    <w:rsid w:val="00F9684A"/>
    <w:rsid w:val="00F96D57"/>
    <w:rsid w:val="00F96DE1"/>
    <w:rsid w:val="00F970E8"/>
    <w:rsid w:val="00F97425"/>
    <w:rsid w:val="00F97E01"/>
    <w:rsid w:val="00F97F89"/>
    <w:rsid w:val="00FA03CE"/>
    <w:rsid w:val="00FA078A"/>
    <w:rsid w:val="00FA079F"/>
    <w:rsid w:val="00FA0825"/>
    <w:rsid w:val="00FA08AD"/>
    <w:rsid w:val="00FA0FA2"/>
    <w:rsid w:val="00FA0FA7"/>
    <w:rsid w:val="00FA15BB"/>
    <w:rsid w:val="00FA1738"/>
    <w:rsid w:val="00FA1C1D"/>
    <w:rsid w:val="00FA2193"/>
    <w:rsid w:val="00FA2B1C"/>
    <w:rsid w:val="00FA2F27"/>
    <w:rsid w:val="00FA2FA4"/>
    <w:rsid w:val="00FA32B1"/>
    <w:rsid w:val="00FA34A6"/>
    <w:rsid w:val="00FA357E"/>
    <w:rsid w:val="00FA37BE"/>
    <w:rsid w:val="00FA4150"/>
    <w:rsid w:val="00FA450F"/>
    <w:rsid w:val="00FA4D9C"/>
    <w:rsid w:val="00FA5766"/>
    <w:rsid w:val="00FA5F5A"/>
    <w:rsid w:val="00FA5FCE"/>
    <w:rsid w:val="00FA6998"/>
    <w:rsid w:val="00FA6B61"/>
    <w:rsid w:val="00FA77F4"/>
    <w:rsid w:val="00FA7803"/>
    <w:rsid w:val="00FA78BB"/>
    <w:rsid w:val="00FA7D7D"/>
    <w:rsid w:val="00FB0279"/>
    <w:rsid w:val="00FB08AB"/>
    <w:rsid w:val="00FB0BE1"/>
    <w:rsid w:val="00FB0DFA"/>
    <w:rsid w:val="00FB143A"/>
    <w:rsid w:val="00FB1F9F"/>
    <w:rsid w:val="00FB2280"/>
    <w:rsid w:val="00FB2F24"/>
    <w:rsid w:val="00FB31E2"/>
    <w:rsid w:val="00FB37C1"/>
    <w:rsid w:val="00FB3E52"/>
    <w:rsid w:val="00FB4FDF"/>
    <w:rsid w:val="00FB5298"/>
    <w:rsid w:val="00FB5C0C"/>
    <w:rsid w:val="00FB5D89"/>
    <w:rsid w:val="00FB620D"/>
    <w:rsid w:val="00FB6599"/>
    <w:rsid w:val="00FB6F67"/>
    <w:rsid w:val="00FB7159"/>
    <w:rsid w:val="00FC03E4"/>
    <w:rsid w:val="00FC0AD7"/>
    <w:rsid w:val="00FC0D4A"/>
    <w:rsid w:val="00FC10DE"/>
    <w:rsid w:val="00FC1B66"/>
    <w:rsid w:val="00FC2C8A"/>
    <w:rsid w:val="00FC2D5F"/>
    <w:rsid w:val="00FC52D1"/>
    <w:rsid w:val="00FC542C"/>
    <w:rsid w:val="00FC54A2"/>
    <w:rsid w:val="00FC5603"/>
    <w:rsid w:val="00FC577A"/>
    <w:rsid w:val="00FC7199"/>
    <w:rsid w:val="00FC772A"/>
    <w:rsid w:val="00FC7A34"/>
    <w:rsid w:val="00FD04F3"/>
    <w:rsid w:val="00FD084F"/>
    <w:rsid w:val="00FD09FC"/>
    <w:rsid w:val="00FD0B28"/>
    <w:rsid w:val="00FD0E71"/>
    <w:rsid w:val="00FD17BA"/>
    <w:rsid w:val="00FD1F66"/>
    <w:rsid w:val="00FD263B"/>
    <w:rsid w:val="00FD2978"/>
    <w:rsid w:val="00FD2AFE"/>
    <w:rsid w:val="00FD2C9D"/>
    <w:rsid w:val="00FD2F74"/>
    <w:rsid w:val="00FD32A7"/>
    <w:rsid w:val="00FD3B17"/>
    <w:rsid w:val="00FD3B94"/>
    <w:rsid w:val="00FD3EED"/>
    <w:rsid w:val="00FD40DD"/>
    <w:rsid w:val="00FD43B3"/>
    <w:rsid w:val="00FD45EF"/>
    <w:rsid w:val="00FD4BB8"/>
    <w:rsid w:val="00FD55A6"/>
    <w:rsid w:val="00FD5941"/>
    <w:rsid w:val="00FD5A8C"/>
    <w:rsid w:val="00FD6295"/>
    <w:rsid w:val="00FE0156"/>
    <w:rsid w:val="00FE0289"/>
    <w:rsid w:val="00FE1118"/>
    <w:rsid w:val="00FE3098"/>
    <w:rsid w:val="00FE30B5"/>
    <w:rsid w:val="00FE3156"/>
    <w:rsid w:val="00FE3F0E"/>
    <w:rsid w:val="00FE3FDB"/>
    <w:rsid w:val="00FE40E5"/>
    <w:rsid w:val="00FE4739"/>
    <w:rsid w:val="00FE4963"/>
    <w:rsid w:val="00FE4DB2"/>
    <w:rsid w:val="00FE500F"/>
    <w:rsid w:val="00FE51D8"/>
    <w:rsid w:val="00FE6101"/>
    <w:rsid w:val="00FE646F"/>
    <w:rsid w:val="00FE681D"/>
    <w:rsid w:val="00FE74DF"/>
    <w:rsid w:val="00FE7730"/>
    <w:rsid w:val="00FE7F08"/>
    <w:rsid w:val="00FF0933"/>
    <w:rsid w:val="00FF0CD6"/>
    <w:rsid w:val="00FF0DBD"/>
    <w:rsid w:val="00FF1E9B"/>
    <w:rsid w:val="00FF20B9"/>
    <w:rsid w:val="00FF2100"/>
    <w:rsid w:val="00FF2AE8"/>
    <w:rsid w:val="00FF30AA"/>
    <w:rsid w:val="00FF30F3"/>
    <w:rsid w:val="00FF3A07"/>
    <w:rsid w:val="00FF3C02"/>
    <w:rsid w:val="00FF3FEA"/>
    <w:rsid w:val="00FF4089"/>
    <w:rsid w:val="00FF4874"/>
    <w:rsid w:val="00FF49AA"/>
    <w:rsid w:val="00FF4C68"/>
    <w:rsid w:val="00FF56DA"/>
    <w:rsid w:val="00FF5AE3"/>
    <w:rsid w:val="00FF676A"/>
    <w:rsid w:val="00FF7214"/>
    <w:rsid w:val="00FF74AB"/>
    <w:rsid w:val="00FF75E9"/>
    <w:rsid w:val="00FF7679"/>
    <w:rsid w:val="00FF7998"/>
    <w:rsid w:val="0171718B"/>
    <w:rsid w:val="1D3AAD92"/>
    <w:rsid w:val="2BE22C92"/>
    <w:rsid w:val="2D7DFCF3"/>
    <w:rsid w:val="3BCFEA22"/>
    <w:rsid w:val="3F029E30"/>
    <w:rsid w:val="3F8268FA"/>
    <w:rsid w:val="4A749BD9"/>
    <w:rsid w:val="5246D3CA"/>
    <w:rsid w:val="57B884E5"/>
    <w:rsid w:val="631975F0"/>
    <w:rsid w:val="6BF1A63A"/>
    <w:rsid w:val="7A8F0CA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95B"/>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paragraph" w:styleId="Heading5">
    <w:name w:val="heading 5"/>
    <w:basedOn w:val="Normal"/>
    <w:next w:val="Normal"/>
    <w:link w:val="Heading5Char"/>
    <w:uiPriority w:val="9"/>
    <w:unhideWhenUsed/>
    <w:qFormat/>
    <w:rsid w:val="003850A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B20E2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c"/>
    <w:basedOn w:val="Normal"/>
    <w:next w:val="Normal"/>
    <w:link w:val="CaptionChar"/>
    <w:uiPriority w:val="35"/>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Symbol" w:hAnsi="Segoe UI Symbol"/>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basedOn w:val="DefaultParagraphFont"/>
    <w:link w:val="Caption"/>
    <w:uiPriority w:val="35"/>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CMA Table Template,PBAC table,MSD Table Grid,HealthConsult,HTAtableplain,Lash Style Table,Dossier table,Section 3- footnotes"/>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Numbered para,BulletPoints,Section heading,Bullet point,List Paragraph1,List Paragraph11,Recommendation,Body Text Bullet Points,Footnote,ES Paragraph,PBAC ES Paragraph,PBAC normal points,Bullet List,Figure_name,Numbered Indented Text,lp1"/>
    <w:basedOn w:val="Normal"/>
    <w:link w:val="ListParagraphChar"/>
    <w:uiPriority w:val="72"/>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CD5DBA"/>
    <w:pPr>
      <w:keepNext/>
      <w:tabs>
        <w:tab w:val="left" w:pos="1134"/>
      </w:tabs>
      <w:spacing w:after="60" w:line="240" w:lineRule="auto"/>
      <w:ind w:left="1134" w:hanging="1134"/>
      <w:jc w:val="both"/>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Numbered para Char,BulletPoints Char,Section heading Char,Bullet point Char,List Paragraph1 Char,List Paragraph11 Char,Recommendation Char,Body Text Bullet Points Char,Footnote Char,ES Paragraph Char,PBAC ES Paragraph Char,lp1 Char"/>
    <w:basedOn w:val="DefaultParagraphFont"/>
    <w:link w:val="ListParagraph"/>
    <w:uiPriority w:val="72"/>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078A8"/>
    <w:pPr>
      <w:spacing w:before="40" w:after="40" w:line="240" w:lineRule="auto"/>
      <w:contextualSpacing/>
      <w:jc w:val="both"/>
    </w:pPr>
    <w:rPr>
      <w:rFonts w:ascii="Arial Narrow" w:hAnsi="Arial Narrow" w:cs="Arial"/>
      <w:sz w:val="18"/>
    </w:rPr>
  </w:style>
  <w:style w:type="character" w:customStyle="1" w:styleId="TablenotesChar0">
    <w:name w:val="Table notes Char"/>
    <w:basedOn w:val="DefaultParagraphFont"/>
    <w:link w:val="Tablenotes0"/>
    <w:rsid w:val="001078A8"/>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AA0686"/>
    <w:rPr>
      <w:rFonts w:ascii="Arial Narrow" w:eastAsia="Times New Roman" w:hAnsi="Arial Narrow" w:cs="Arial"/>
      <w:sz w:val="20"/>
      <w:szCs w:val="20"/>
      <w:lang w:eastAsia="en-AU"/>
    </w:rPr>
  </w:style>
  <w:style w:type="paragraph" w:customStyle="1" w:styleId="TableFooter">
    <w:name w:val="Table Footer"/>
    <w:basedOn w:val="Normal"/>
    <w:link w:val="TableFooterChar"/>
    <w:qFormat/>
    <w:rsid w:val="00AA0686"/>
    <w:pPr>
      <w:widowControl w:val="0"/>
      <w:snapToGrid w:val="0"/>
      <w:spacing w:before="40" w:after="240" w:line="240" w:lineRule="auto"/>
      <w:contextualSpacing/>
      <w:jc w:val="both"/>
    </w:pPr>
    <w:rPr>
      <w:rFonts w:ascii="Arial Narrow" w:eastAsia="Times New Roman" w:hAnsi="Arial Narrow" w:cs="Arial"/>
      <w:sz w:val="20"/>
      <w:szCs w:val="20"/>
      <w:lang w:eastAsia="en-AU"/>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IN"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Segoe UI Symbol" w:hAnsi="Segoe UI Symbol"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Segoe UI Symbol" w:hAnsi="Segoe UI Symbol"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Segoe UI Symbol" w:hAnsi="Segoe UI Symbol"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iPriority w:val="99"/>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Normal"/>
    <w:next w:val="Normal"/>
    <w:qFormat/>
    <w:rsid w:val="00361DA0"/>
    <w:pPr>
      <w:keepNext/>
      <w:keepLines/>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customStyle="1" w:styleId="UnresolvedMention3">
    <w:name w:val="Unresolved Mention3"/>
    <w:basedOn w:val="DefaultParagraphFont"/>
    <w:uiPriority w:val="99"/>
    <w:semiHidden/>
    <w:unhideWhenUsed/>
    <w:rsid w:val="00BE13AF"/>
    <w:rPr>
      <w:color w:val="605E5C"/>
      <w:shd w:val="clear" w:color="auto" w:fill="E1DFDD"/>
    </w:rPr>
  </w:style>
  <w:style w:type="character" w:customStyle="1" w:styleId="Heading5Char">
    <w:name w:val="Heading 5 Char"/>
    <w:basedOn w:val="DefaultParagraphFont"/>
    <w:link w:val="Heading5"/>
    <w:uiPriority w:val="9"/>
    <w:rsid w:val="003850AD"/>
    <w:rPr>
      <w:rFonts w:asciiTheme="majorHAnsi" w:eastAsiaTheme="majorEastAsia" w:hAnsiTheme="majorHAnsi" w:cstheme="majorBidi"/>
      <w:color w:val="2E74B5" w:themeColor="accent1" w:themeShade="BF"/>
    </w:rPr>
  </w:style>
  <w:style w:type="paragraph" w:customStyle="1" w:styleId="EndNoteBibliographyTitle">
    <w:name w:val="EndNote Bibliography Title"/>
    <w:basedOn w:val="Normal"/>
    <w:link w:val="EndNoteBibliographyTitleChar"/>
    <w:rsid w:val="001C1D9D"/>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1C1D9D"/>
    <w:rPr>
      <w:rFonts w:ascii="Franklin Gothic Book" w:hAnsi="Franklin Gothic Book"/>
      <w:noProof/>
      <w:lang w:val="en-US"/>
    </w:rPr>
  </w:style>
  <w:style w:type="paragraph" w:customStyle="1" w:styleId="EndNoteBibliography">
    <w:name w:val="EndNote Bibliography"/>
    <w:basedOn w:val="Normal"/>
    <w:link w:val="EndNoteBibliographyChar"/>
    <w:rsid w:val="001C1D9D"/>
    <w:pPr>
      <w:spacing w:line="240" w:lineRule="auto"/>
    </w:pPr>
    <w:rPr>
      <w:noProof/>
      <w:lang w:val="en-US"/>
    </w:rPr>
  </w:style>
  <w:style w:type="character" w:customStyle="1" w:styleId="EndNoteBibliographyChar">
    <w:name w:val="EndNote Bibliography Char"/>
    <w:basedOn w:val="DefaultParagraphFont"/>
    <w:link w:val="EndNoteBibliography"/>
    <w:rsid w:val="001C1D9D"/>
    <w:rPr>
      <w:rFonts w:ascii="Franklin Gothic Book" w:hAnsi="Franklin Gothic Book"/>
      <w:noProof/>
      <w:lang w:val="en-US"/>
    </w:rPr>
  </w:style>
  <w:style w:type="numbering" w:customStyle="1" w:styleId="CurrentList1">
    <w:name w:val="Current List1"/>
    <w:uiPriority w:val="99"/>
    <w:rsid w:val="000158A1"/>
    <w:pPr>
      <w:numPr>
        <w:numId w:val="10"/>
      </w:numPr>
    </w:pPr>
  </w:style>
  <w:style w:type="paragraph" w:customStyle="1" w:styleId="TableNotes1">
    <w:name w:val="Table Notes"/>
    <w:basedOn w:val="Normal"/>
    <w:next w:val="Normal"/>
    <w:link w:val="TableNotesChar1"/>
    <w:autoRedefine/>
    <w:qFormat/>
    <w:rsid w:val="009F6297"/>
    <w:pPr>
      <w:widowControl w:val="0"/>
      <w:spacing w:before="0" w:after="360" w:line="240" w:lineRule="auto"/>
      <w:contextualSpacing/>
    </w:pPr>
    <w:rPr>
      <w:rFonts w:ascii="Arial Narrow" w:hAnsi="Arial Narrow" w:cs="Arial"/>
      <w:iCs/>
      <w:snapToGrid w:val="0"/>
      <w:sz w:val="18"/>
      <w:szCs w:val="24"/>
      <w:lang w:eastAsia="en-AU"/>
    </w:rPr>
  </w:style>
  <w:style w:type="character" w:customStyle="1" w:styleId="TableNotesChar1">
    <w:name w:val="Table Notes Char"/>
    <w:basedOn w:val="DefaultParagraphFont"/>
    <w:link w:val="TableNotes1"/>
    <w:locked/>
    <w:rsid w:val="009F6297"/>
    <w:rPr>
      <w:rFonts w:ascii="Arial Narrow" w:hAnsi="Arial Narrow" w:cs="Arial"/>
      <w:iCs/>
      <w:snapToGrid w:val="0"/>
      <w:sz w:val="18"/>
      <w:szCs w:val="24"/>
      <w:lang w:eastAsia="en-AU"/>
    </w:rPr>
  </w:style>
  <w:style w:type="numbering" w:customStyle="1" w:styleId="CurrentList2">
    <w:name w:val="Current List2"/>
    <w:uiPriority w:val="99"/>
    <w:rsid w:val="00440807"/>
    <w:pPr>
      <w:numPr>
        <w:numId w:val="11"/>
      </w:numPr>
    </w:pPr>
  </w:style>
  <w:style w:type="paragraph" w:styleId="NoSpacing">
    <w:name w:val="No Spacing"/>
    <w:uiPriority w:val="1"/>
    <w:qFormat/>
    <w:rsid w:val="00E55C4D"/>
    <w:pPr>
      <w:spacing w:after="0" w:line="240" w:lineRule="auto"/>
    </w:pPr>
    <w:rPr>
      <w:rFonts w:ascii="Calibri" w:eastAsia="Calibri" w:hAnsi="Calibri" w:cs="Times New Roman"/>
    </w:rPr>
  </w:style>
  <w:style w:type="character" w:customStyle="1" w:styleId="Heading6Char">
    <w:name w:val="Heading 6 Char"/>
    <w:basedOn w:val="DefaultParagraphFont"/>
    <w:link w:val="Heading6"/>
    <w:uiPriority w:val="9"/>
    <w:rsid w:val="00B20E2C"/>
    <w:rPr>
      <w:rFonts w:asciiTheme="majorHAnsi" w:eastAsiaTheme="majorEastAsia" w:hAnsiTheme="majorHAnsi" w:cstheme="majorBidi"/>
      <w:color w:val="1F4D78" w:themeColor="accent1" w:themeShade="7F"/>
    </w:rPr>
  </w:style>
  <w:style w:type="table" w:customStyle="1" w:styleId="ASDTable1">
    <w:name w:val="ASD Table1"/>
    <w:basedOn w:val="TableNormal"/>
    <w:next w:val="TableGrid"/>
    <w:uiPriority w:val="59"/>
    <w:rsid w:val="00C62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935DD"/>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11">
    <w:name w:val="Table Grid11"/>
    <w:basedOn w:val="TableNormal"/>
    <w:next w:val="TableGrid"/>
    <w:locked/>
    <w:rsid w:val="00055E91"/>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Symbol" w:hAnsi="Segoe UI Symbol"/>
        <w:b w:val="0"/>
        <w:sz w:val="20"/>
      </w:rPr>
    </w:tblStylePr>
  </w:style>
  <w:style w:type="table" w:customStyle="1" w:styleId="ASDTable2">
    <w:name w:val="ASD Table2"/>
    <w:basedOn w:val="TableNormal"/>
    <w:next w:val="TableGrid"/>
    <w:uiPriority w:val="59"/>
    <w:rsid w:val="00055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055E91"/>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table" w:customStyle="1" w:styleId="PBACTableStyle1">
    <w:name w:val="PBAC Table Style1"/>
    <w:basedOn w:val="TableGrid10"/>
    <w:uiPriority w:val="99"/>
    <w:rsid w:val="00055E91"/>
    <w:pPr>
      <w:widowControl w:val="0"/>
      <w:spacing w:before="120" w:after="0" w:line="240" w:lineRule="auto"/>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Segoe UI Symbol" w:hAnsi="Segoe UI Symbol"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Segoe UI Symbol" w:hAnsi="Segoe UI Symbol"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Segoe UI Symbol" w:hAnsi="Segoe UI Symbol"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TableGrid110">
    <w:name w:val="Table Grid 11"/>
    <w:basedOn w:val="TableNormal"/>
    <w:next w:val="TableGrid10"/>
    <w:uiPriority w:val="99"/>
    <w:semiHidden/>
    <w:unhideWhenUsed/>
    <w:rsid w:val="00055E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21"/>
    <w:basedOn w:val="TableNormal"/>
    <w:next w:val="TableGrid"/>
    <w:uiPriority w:val="59"/>
    <w:rsid w:val="00055E91"/>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7B2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4">
    <w:name w:val="Unresolved Mention4"/>
    <w:basedOn w:val="DefaultParagraphFont"/>
    <w:uiPriority w:val="99"/>
    <w:semiHidden/>
    <w:unhideWhenUsed/>
    <w:rsid w:val="00436EB4"/>
    <w:rPr>
      <w:color w:val="605E5C"/>
      <w:shd w:val="clear" w:color="auto" w:fill="E1DFDD"/>
    </w:rPr>
  </w:style>
  <w:style w:type="paragraph" w:customStyle="1" w:styleId="ESHeading2">
    <w:name w:val="ES Heading 2"/>
    <w:basedOn w:val="Normal"/>
    <w:link w:val="ESHeading2Char"/>
    <w:rsid w:val="009803F3"/>
    <w:pPr>
      <w:keepNext/>
      <w:keepLines/>
      <w:tabs>
        <w:tab w:val="left" w:pos="851"/>
      </w:tabs>
      <w:spacing w:before="360" w:after="200" w:line="240" w:lineRule="auto"/>
      <w:outlineLvl w:val="3"/>
    </w:pPr>
    <w:rPr>
      <w:rFonts w:ascii="Franklin Gothic Medium" w:eastAsiaTheme="majorEastAsia" w:hAnsi="Franklin Gothic Medium" w:cstheme="majorBidi"/>
      <w:i/>
      <w:sz w:val="24"/>
      <w:szCs w:val="24"/>
    </w:rPr>
  </w:style>
  <w:style w:type="character" w:customStyle="1" w:styleId="ESHeading2Char">
    <w:name w:val="ES Heading 2 Char"/>
    <w:basedOn w:val="DefaultParagraphFont"/>
    <w:link w:val="ESHeading2"/>
    <w:rsid w:val="009803F3"/>
    <w:rPr>
      <w:rFonts w:ascii="Franklin Gothic Medium" w:eastAsiaTheme="majorEastAsia" w:hAnsi="Franklin Gothic Medium" w:cstheme="majorBidi"/>
      <w:i/>
      <w:sz w:val="24"/>
      <w:szCs w:val="24"/>
    </w:rPr>
  </w:style>
  <w:style w:type="character" w:styleId="UnresolvedMention">
    <w:name w:val="Unresolved Mention"/>
    <w:basedOn w:val="DefaultParagraphFont"/>
    <w:uiPriority w:val="99"/>
    <w:unhideWhenUsed/>
    <w:rsid w:val="00CB75E3"/>
    <w:rPr>
      <w:color w:val="605E5C"/>
      <w:shd w:val="clear" w:color="auto" w:fill="E1DFDD"/>
    </w:rPr>
  </w:style>
  <w:style w:type="character" w:styleId="Mention">
    <w:name w:val="Mention"/>
    <w:basedOn w:val="DefaultParagraphFont"/>
    <w:uiPriority w:val="99"/>
    <w:unhideWhenUsed/>
    <w:rsid w:val="00B56F2E"/>
    <w:rPr>
      <w:color w:val="2B579A"/>
      <w:shd w:val="clear" w:color="auto" w:fill="E1DFDD"/>
    </w:rPr>
  </w:style>
  <w:style w:type="paragraph" w:customStyle="1" w:styleId="TableDash">
    <w:name w:val="TableDash"/>
    <w:basedOn w:val="TableText1"/>
    <w:rsid w:val="00A00566"/>
    <w:pPr>
      <w:numPr>
        <w:numId w:val="29"/>
      </w:numPr>
      <w:tabs>
        <w:tab w:val="clear" w:pos="216"/>
        <w:tab w:val="num" w:pos="432"/>
      </w:tabs>
      <w:spacing w:before="60" w:after="60" w:line="240" w:lineRule="auto"/>
      <w:jc w:val="left"/>
    </w:pPr>
    <w:rPr>
      <w:rFonts w:ascii="Franklin Gothic Book" w:hAnsi="Franklin Gothic Book" w:cs="Times New Roman"/>
      <w:color w:val="000000"/>
      <w:sz w:val="21"/>
      <w:szCs w:val="21"/>
    </w:rPr>
  </w:style>
  <w:style w:type="paragraph" w:styleId="BodyText">
    <w:name w:val="Body Text"/>
    <w:basedOn w:val="Normal"/>
    <w:link w:val="BodyTextChar"/>
    <w:rsid w:val="00840EF5"/>
    <w:pPr>
      <w:widowControl w:val="0"/>
      <w:spacing w:after="0" w:line="240" w:lineRule="auto"/>
      <w:jc w:val="both"/>
    </w:pPr>
    <w:rPr>
      <w:rFonts w:ascii="Book Antiqua" w:eastAsia="Times New Roman" w:hAnsi="Book Antiqua" w:cs="Times New Roman"/>
      <w:sz w:val="24"/>
      <w:szCs w:val="20"/>
    </w:rPr>
  </w:style>
  <w:style w:type="character" w:customStyle="1" w:styleId="BodyTextChar">
    <w:name w:val="Body Text Char"/>
    <w:basedOn w:val="DefaultParagraphFont"/>
    <w:link w:val="BodyText"/>
    <w:rsid w:val="00840EF5"/>
    <w:rPr>
      <w:rFonts w:ascii="Book Antiqua" w:eastAsia="Times New Roman" w:hAnsi="Book Antiqua" w:cs="Times New Roman"/>
      <w:sz w:val="24"/>
      <w:szCs w:val="20"/>
    </w:rPr>
  </w:style>
  <w:style w:type="character" w:customStyle="1" w:styleId="normaltextrun">
    <w:name w:val="normaltextrun"/>
    <w:basedOn w:val="DefaultParagraphFont"/>
    <w:rsid w:val="007935DD"/>
  </w:style>
  <w:style w:type="character" w:customStyle="1" w:styleId="eop">
    <w:name w:val="eop"/>
    <w:basedOn w:val="DefaultParagraphFont"/>
    <w:rsid w:val="00793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18790994">
      <w:bodyDiv w:val="1"/>
      <w:marLeft w:val="0"/>
      <w:marRight w:val="0"/>
      <w:marTop w:val="0"/>
      <w:marBottom w:val="0"/>
      <w:divBdr>
        <w:top w:val="none" w:sz="0" w:space="0" w:color="auto"/>
        <w:left w:val="none" w:sz="0" w:space="0" w:color="auto"/>
        <w:bottom w:val="none" w:sz="0" w:space="0" w:color="auto"/>
        <w:right w:val="none" w:sz="0" w:space="0" w:color="auto"/>
      </w:divBdr>
      <w:divsChild>
        <w:div w:id="737048382">
          <w:marLeft w:val="0"/>
          <w:marRight w:val="0"/>
          <w:marTop w:val="0"/>
          <w:marBottom w:val="0"/>
          <w:divBdr>
            <w:top w:val="none" w:sz="0" w:space="0" w:color="auto"/>
            <w:left w:val="none" w:sz="0" w:space="0" w:color="auto"/>
            <w:bottom w:val="none" w:sz="0" w:space="0" w:color="auto"/>
            <w:right w:val="none" w:sz="0" w:space="0" w:color="auto"/>
          </w:divBdr>
          <w:divsChild>
            <w:div w:id="270481770">
              <w:marLeft w:val="0"/>
              <w:marRight w:val="0"/>
              <w:marTop w:val="0"/>
              <w:marBottom w:val="0"/>
              <w:divBdr>
                <w:top w:val="none" w:sz="0" w:space="0" w:color="auto"/>
                <w:left w:val="none" w:sz="0" w:space="0" w:color="auto"/>
                <w:bottom w:val="none" w:sz="0" w:space="0" w:color="auto"/>
                <w:right w:val="none" w:sz="0" w:space="0" w:color="auto"/>
              </w:divBdr>
            </w:div>
            <w:div w:id="370805479">
              <w:marLeft w:val="0"/>
              <w:marRight w:val="0"/>
              <w:marTop w:val="0"/>
              <w:marBottom w:val="0"/>
              <w:divBdr>
                <w:top w:val="none" w:sz="0" w:space="0" w:color="auto"/>
                <w:left w:val="none" w:sz="0" w:space="0" w:color="auto"/>
                <w:bottom w:val="none" w:sz="0" w:space="0" w:color="auto"/>
                <w:right w:val="none" w:sz="0" w:space="0" w:color="auto"/>
              </w:divBdr>
            </w:div>
            <w:div w:id="558856458">
              <w:marLeft w:val="0"/>
              <w:marRight w:val="0"/>
              <w:marTop w:val="0"/>
              <w:marBottom w:val="0"/>
              <w:divBdr>
                <w:top w:val="none" w:sz="0" w:space="0" w:color="auto"/>
                <w:left w:val="none" w:sz="0" w:space="0" w:color="auto"/>
                <w:bottom w:val="none" w:sz="0" w:space="0" w:color="auto"/>
                <w:right w:val="none" w:sz="0" w:space="0" w:color="auto"/>
              </w:divBdr>
            </w:div>
            <w:div w:id="802231535">
              <w:marLeft w:val="0"/>
              <w:marRight w:val="0"/>
              <w:marTop w:val="0"/>
              <w:marBottom w:val="0"/>
              <w:divBdr>
                <w:top w:val="none" w:sz="0" w:space="0" w:color="auto"/>
                <w:left w:val="none" w:sz="0" w:space="0" w:color="auto"/>
                <w:bottom w:val="none" w:sz="0" w:space="0" w:color="auto"/>
                <w:right w:val="none" w:sz="0" w:space="0" w:color="auto"/>
              </w:divBdr>
            </w:div>
            <w:div w:id="1340428457">
              <w:marLeft w:val="0"/>
              <w:marRight w:val="0"/>
              <w:marTop w:val="0"/>
              <w:marBottom w:val="0"/>
              <w:divBdr>
                <w:top w:val="none" w:sz="0" w:space="0" w:color="auto"/>
                <w:left w:val="none" w:sz="0" w:space="0" w:color="auto"/>
                <w:bottom w:val="none" w:sz="0" w:space="0" w:color="auto"/>
                <w:right w:val="none" w:sz="0" w:space="0" w:color="auto"/>
              </w:divBdr>
            </w:div>
          </w:divsChild>
        </w:div>
        <w:div w:id="957226693">
          <w:marLeft w:val="0"/>
          <w:marRight w:val="0"/>
          <w:marTop w:val="0"/>
          <w:marBottom w:val="0"/>
          <w:divBdr>
            <w:top w:val="none" w:sz="0" w:space="0" w:color="auto"/>
            <w:left w:val="none" w:sz="0" w:space="0" w:color="auto"/>
            <w:bottom w:val="none" w:sz="0" w:space="0" w:color="auto"/>
            <w:right w:val="none" w:sz="0" w:space="0" w:color="auto"/>
          </w:divBdr>
          <w:divsChild>
            <w:div w:id="1131557745">
              <w:marLeft w:val="0"/>
              <w:marRight w:val="0"/>
              <w:marTop w:val="0"/>
              <w:marBottom w:val="0"/>
              <w:divBdr>
                <w:top w:val="none" w:sz="0" w:space="0" w:color="auto"/>
                <w:left w:val="none" w:sz="0" w:space="0" w:color="auto"/>
                <w:bottom w:val="none" w:sz="0" w:space="0" w:color="auto"/>
                <w:right w:val="none" w:sz="0" w:space="0" w:color="auto"/>
              </w:divBdr>
            </w:div>
            <w:div w:id="1681657281">
              <w:marLeft w:val="0"/>
              <w:marRight w:val="0"/>
              <w:marTop w:val="0"/>
              <w:marBottom w:val="0"/>
              <w:divBdr>
                <w:top w:val="none" w:sz="0" w:space="0" w:color="auto"/>
                <w:left w:val="none" w:sz="0" w:space="0" w:color="auto"/>
                <w:bottom w:val="none" w:sz="0" w:space="0" w:color="auto"/>
                <w:right w:val="none" w:sz="0" w:space="0" w:color="auto"/>
              </w:divBdr>
            </w:div>
          </w:divsChild>
        </w:div>
        <w:div w:id="1338580758">
          <w:marLeft w:val="0"/>
          <w:marRight w:val="0"/>
          <w:marTop w:val="0"/>
          <w:marBottom w:val="0"/>
          <w:divBdr>
            <w:top w:val="none" w:sz="0" w:space="0" w:color="auto"/>
            <w:left w:val="none" w:sz="0" w:space="0" w:color="auto"/>
            <w:bottom w:val="none" w:sz="0" w:space="0" w:color="auto"/>
            <w:right w:val="none" w:sz="0" w:space="0" w:color="auto"/>
          </w:divBdr>
          <w:divsChild>
            <w:div w:id="531191363">
              <w:marLeft w:val="0"/>
              <w:marRight w:val="0"/>
              <w:marTop w:val="0"/>
              <w:marBottom w:val="0"/>
              <w:divBdr>
                <w:top w:val="none" w:sz="0" w:space="0" w:color="auto"/>
                <w:left w:val="none" w:sz="0" w:space="0" w:color="auto"/>
                <w:bottom w:val="none" w:sz="0" w:space="0" w:color="auto"/>
                <w:right w:val="none" w:sz="0" w:space="0" w:color="auto"/>
              </w:divBdr>
            </w:div>
            <w:div w:id="2027097067">
              <w:marLeft w:val="0"/>
              <w:marRight w:val="0"/>
              <w:marTop w:val="0"/>
              <w:marBottom w:val="0"/>
              <w:divBdr>
                <w:top w:val="none" w:sz="0" w:space="0" w:color="auto"/>
                <w:left w:val="none" w:sz="0" w:space="0" w:color="auto"/>
                <w:bottom w:val="none" w:sz="0" w:space="0" w:color="auto"/>
                <w:right w:val="none" w:sz="0" w:space="0" w:color="auto"/>
              </w:divBdr>
            </w:div>
          </w:divsChild>
        </w:div>
        <w:div w:id="1959603556">
          <w:marLeft w:val="0"/>
          <w:marRight w:val="0"/>
          <w:marTop w:val="0"/>
          <w:marBottom w:val="0"/>
          <w:divBdr>
            <w:top w:val="none" w:sz="0" w:space="0" w:color="auto"/>
            <w:left w:val="none" w:sz="0" w:space="0" w:color="auto"/>
            <w:bottom w:val="none" w:sz="0" w:space="0" w:color="auto"/>
            <w:right w:val="none" w:sz="0" w:space="0" w:color="auto"/>
          </w:divBdr>
          <w:divsChild>
            <w:div w:id="570385718">
              <w:marLeft w:val="0"/>
              <w:marRight w:val="0"/>
              <w:marTop w:val="0"/>
              <w:marBottom w:val="0"/>
              <w:divBdr>
                <w:top w:val="none" w:sz="0" w:space="0" w:color="auto"/>
                <w:left w:val="none" w:sz="0" w:space="0" w:color="auto"/>
                <w:bottom w:val="none" w:sz="0" w:space="0" w:color="auto"/>
                <w:right w:val="none" w:sz="0" w:space="0" w:color="auto"/>
              </w:divBdr>
            </w:div>
            <w:div w:id="1833400882">
              <w:marLeft w:val="0"/>
              <w:marRight w:val="0"/>
              <w:marTop w:val="0"/>
              <w:marBottom w:val="0"/>
              <w:divBdr>
                <w:top w:val="none" w:sz="0" w:space="0" w:color="auto"/>
                <w:left w:val="none" w:sz="0" w:space="0" w:color="auto"/>
                <w:bottom w:val="none" w:sz="0" w:space="0" w:color="auto"/>
                <w:right w:val="none" w:sz="0" w:space="0" w:color="auto"/>
              </w:divBdr>
            </w:div>
            <w:div w:id="2089424166">
              <w:marLeft w:val="0"/>
              <w:marRight w:val="0"/>
              <w:marTop w:val="0"/>
              <w:marBottom w:val="0"/>
              <w:divBdr>
                <w:top w:val="none" w:sz="0" w:space="0" w:color="auto"/>
                <w:left w:val="none" w:sz="0" w:space="0" w:color="auto"/>
                <w:bottom w:val="none" w:sz="0" w:space="0" w:color="auto"/>
                <w:right w:val="none" w:sz="0" w:space="0" w:color="auto"/>
              </w:divBdr>
            </w:div>
            <w:div w:id="2132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46658450">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594244295">
      <w:bodyDiv w:val="1"/>
      <w:marLeft w:val="0"/>
      <w:marRight w:val="0"/>
      <w:marTop w:val="0"/>
      <w:marBottom w:val="0"/>
      <w:divBdr>
        <w:top w:val="none" w:sz="0" w:space="0" w:color="auto"/>
        <w:left w:val="none" w:sz="0" w:space="0" w:color="auto"/>
        <w:bottom w:val="none" w:sz="0" w:space="0" w:color="auto"/>
        <w:right w:val="none" w:sz="0" w:space="0" w:color="auto"/>
      </w:divBdr>
    </w:div>
    <w:div w:id="613639072">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07141173">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293033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442">
          <w:marLeft w:val="0"/>
          <w:marRight w:val="0"/>
          <w:marTop w:val="0"/>
          <w:marBottom w:val="0"/>
          <w:divBdr>
            <w:top w:val="none" w:sz="0" w:space="0" w:color="auto"/>
            <w:left w:val="none" w:sz="0" w:space="0" w:color="auto"/>
            <w:bottom w:val="none" w:sz="0" w:space="0" w:color="auto"/>
            <w:right w:val="none" w:sz="0" w:space="0" w:color="auto"/>
          </w:divBdr>
        </w:div>
      </w:divsChild>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01727355">
      <w:bodyDiv w:val="1"/>
      <w:marLeft w:val="0"/>
      <w:marRight w:val="0"/>
      <w:marTop w:val="0"/>
      <w:marBottom w:val="0"/>
      <w:divBdr>
        <w:top w:val="none" w:sz="0" w:space="0" w:color="auto"/>
        <w:left w:val="none" w:sz="0" w:space="0" w:color="auto"/>
        <w:bottom w:val="none" w:sz="0" w:space="0" w:color="auto"/>
        <w:right w:val="none" w:sz="0" w:space="0" w:color="auto"/>
      </w:divBdr>
    </w:div>
    <w:div w:id="810710684">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42279412">
      <w:bodyDiv w:val="1"/>
      <w:marLeft w:val="0"/>
      <w:marRight w:val="0"/>
      <w:marTop w:val="0"/>
      <w:marBottom w:val="0"/>
      <w:divBdr>
        <w:top w:val="none" w:sz="0" w:space="0" w:color="auto"/>
        <w:left w:val="none" w:sz="0" w:space="0" w:color="auto"/>
        <w:bottom w:val="none" w:sz="0" w:space="0" w:color="auto"/>
        <w:right w:val="none" w:sz="0" w:space="0" w:color="auto"/>
      </w:divBdr>
      <w:divsChild>
        <w:div w:id="17052632">
          <w:marLeft w:val="0"/>
          <w:marRight w:val="0"/>
          <w:marTop w:val="0"/>
          <w:marBottom w:val="0"/>
          <w:divBdr>
            <w:top w:val="none" w:sz="0" w:space="0" w:color="auto"/>
            <w:left w:val="none" w:sz="0" w:space="0" w:color="auto"/>
            <w:bottom w:val="none" w:sz="0" w:space="0" w:color="auto"/>
            <w:right w:val="none" w:sz="0" w:space="0" w:color="auto"/>
          </w:divBdr>
          <w:divsChild>
            <w:div w:id="330715014">
              <w:marLeft w:val="0"/>
              <w:marRight w:val="0"/>
              <w:marTop w:val="0"/>
              <w:marBottom w:val="0"/>
              <w:divBdr>
                <w:top w:val="none" w:sz="0" w:space="0" w:color="auto"/>
                <w:left w:val="none" w:sz="0" w:space="0" w:color="auto"/>
                <w:bottom w:val="none" w:sz="0" w:space="0" w:color="auto"/>
                <w:right w:val="none" w:sz="0" w:space="0" w:color="auto"/>
              </w:divBdr>
            </w:div>
            <w:div w:id="779376781">
              <w:marLeft w:val="0"/>
              <w:marRight w:val="0"/>
              <w:marTop w:val="0"/>
              <w:marBottom w:val="0"/>
              <w:divBdr>
                <w:top w:val="none" w:sz="0" w:space="0" w:color="auto"/>
                <w:left w:val="none" w:sz="0" w:space="0" w:color="auto"/>
                <w:bottom w:val="none" w:sz="0" w:space="0" w:color="auto"/>
                <w:right w:val="none" w:sz="0" w:space="0" w:color="auto"/>
              </w:divBdr>
            </w:div>
            <w:div w:id="1280452273">
              <w:marLeft w:val="0"/>
              <w:marRight w:val="0"/>
              <w:marTop w:val="0"/>
              <w:marBottom w:val="0"/>
              <w:divBdr>
                <w:top w:val="none" w:sz="0" w:space="0" w:color="auto"/>
                <w:left w:val="none" w:sz="0" w:space="0" w:color="auto"/>
                <w:bottom w:val="none" w:sz="0" w:space="0" w:color="auto"/>
                <w:right w:val="none" w:sz="0" w:space="0" w:color="auto"/>
              </w:divBdr>
            </w:div>
            <w:div w:id="1944455939">
              <w:marLeft w:val="0"/>
              <w:marRight w:val="0"/>
              <w:marTop w:val="0"/>
              <w:marBottom w:val="0"/>
              <w:divBdr>
                <w:top w:val="none" w:sz="0" w:space="0" w:color="auto"/>
                <w:left w:val="none" w:sz="0" w:space="0" w:color="auto"/>
                <w:bottom w:val="none" w:sz="0" w:space="0" w:color="auto"/>
                <w:right w:val="none" w:sz="0" w:space="0" w:color="auto"/>
              </w:divBdr>
            </w:div>
          </w:divsChild>
        </w:div>
        <w:div w:id="580338360">
          <w:marLeft w:val="0"/>
          <w:marRight w:val="0"/>
          <w:marTop w:val="0"/>
          <w:marBottom w:val="0"/>
          <w:divBdr>
            <w:top w:val="none" w:sz="0" w:space="0" w:color="auto"/>
            <w:left w:val="none" w:sz="0" w:space="0" w:color="auto"/>
            <w:bottom w:val="none" w:sz="0" w:space="0" w:color="auto"/>
            <w:right w:val="none" w:sz="0" w:space="0" w:color="auto"/>
          </w:divBdr>
          <w:divsChild>
            <w:div w:id="214006809">
              <w:marLeft w:val="0"/>
              <w:marRight w:val="0"/>
              <w:marTop w:val="0"/>
              <w:marBottom w:val="0"/>
              <w:divBdr>
                <w:top w:val="none" w:sz="0" w:space="0" w:color="auto"/>
                <w:left w:val="none" w:sz="0" w:space="0" w:color="auto"/>
                <w:bottom w:val="none" w:sz="0" w:space="0" w:color="auto"/>
                <w:right w:val="none" w:sz="0" w:space="0" w:color="auto"/>
              </w:divBdr>
            </w:div>
            <w:div w:id="2071417479">
              <w:marLeft w:val="0"/>
              <w:marRight w:val="0"/>
              <w:marTop w:val="0"/>
              <w:marBottom w:val="0"/>
              <w:divBdr>
                <w:top w:val="none" w:sz="0" w:space="0" w:color="auto"/>
                <w:left w:val="none" w:sz="0" w:space="0" w:color="auto"/>
                <w:bottom w:val="none" w:sz="0" w:space="0" w:color="auto"/>
                <w:right w:val="none" w:sz="0" w:space="0" w:color="auto"/>
              </w:divBdr>
            </w:div>
          </w:divsChild>
        </w:div>
        <w:div w:id="1488935365">
          <w:marLeft w:val="0"/>
          <w:marRight w:val="0"/>
          <w:marTop w:val="0"/>
          <w:marBottom w:val="0"/>
          <w:divBdr>
            <w:top w:val="none" w:sz="0" w:space="0" w:color="auto"/>
            <w:left w:val="none" w:sz="0" w:space="0" w:color="auto"/>
            <w:bottom w:val="none" w:sz="0" w:space="0" w:color="auto"/>
            <w:right w:val="none" w:sz="0" w:space="0" w:color="auto"/>
          </w:divBdr>
          <w:divsChild>
            <w:div w:id="196506503">
              <w:marLeft w:val="0"/>
              <w:marRight w:val="0"/>
              <w:marTop w:val="0"/>
              <w:marBottom w:val="0"/>
              <w:divBdr>
                <w:top w:val="none" w:sz="0" w:space="0" w:color="auto"/>
                <w:left w:val="none" w:sz="0" w:space="0" w:color="auto"/>
                <w:bottom w:val="none" w:sz="0" w:space="0" w:color="auto"/>
                <w:right w:val="none" w:sz="0" w:space="0" w:color="auto"/>
              </w:divBdr>
            </w:div>
            <w:div w:id="493959923">
              <w:marLeft w:val="0"/>
              <w:marRight w:val="0"/>
              <w:marTop w:val="0"/>
              <w:marBottom w:val="0"/>
              <w:divBdr>
                <w:top w:val="none" w:sz="0" w:space="0" w:color="auto"/>
                <w:left w:val="none" w:sz="0" w:space="0" w:color="auto"/>
                <w:bottom w:val="none" w:sz="0" w:space="0" w:color="auto"/>
                <w:right w:val="none" w:sz="0" w:space="0" w:color="auto"/>
              </w:divBdr>
            </w:div>
            <w:div w:id="1817994876">
              <w:marLeft w:val="0"/>
              <w:marRight w:val="0"/>
              <w:marTop w:val="0"/>
              <w:marBottom w:val="0"/>
              <w:divBdr>
                <w:top w:val="none" w:sz="0" w:space="0" w:color="auto"/>
                <w:left w:val="none" w:sz="0" w:space="0" w:color="auto"/>
                <w:bottom w:val="none" w:sz="0" w:space="0" w:color="auto"/>
                <w:right w:val="none" w:sz="0" w:space="0" w:color="auto"/>
              </w:divBdr>
            </w:div>
            <w:div w:id="1981879304">
              <w:marLeft w:val="0"/>
              <w:marRight w:val="0"/>
              <w:marTop w:val="0"/>
              <w:marBottom w:val="0"/>
              <w:divBdr>
                <w:top w:val="none" w:sz="0" w:space="0" w:color="auto"/>
                <w:left w:val="none" w:sz="0" w:space="0" w:color="auto"/>
                <w:bottom w:val="none" w:sz="0" w:space="0" w:color="auto"/>
                <w:right w:val="none" w:sz="0" w:space="0" w:color="auto"/>
              </w:divBdr>
            </w:div>
            <w:div w:id="2084256938">
              <w:marLeft w:val="0"/>
              <w:marRight w:val="0"/>
              <w:marTop w:val="0"/>
              <w:marBottom w:val="0"/>
              <w:divBdr>
                <w:top w:val="none" w:sz="0" w:space="0" w:color="auto"/>
                <w:left w:val="none" w:sz="0" w:space="0" w:color="auto"/>
                <w:bottom w:val="none" w:sz="0" w:space="0" w:color="auto"/>
                <w:right w:val="none" w:sz="0" w:space="0" w:color="auto"/>
              </w:divBdr>
            </w:div>
          </w:divsChild>
        </w:div>
        <w:div w:id="1715500302">
          <w:marLeft w:val="0"/>
          <w:marRight w:val="0"/>
          <w:marTop w:val="0"/>
          <w:marBottom w:val="0"/>
          <w:divBdr>
            <w:top w:val="none" w:sz="0" w:space="0" w:color="auto"/>
            <w:left w:val="none" w:sz="0" w:space="0" w:color="auto"/>
            <w:bottom w:val="none" w:sz="0" w:space="0" w:color="auto"/>
            <w:right w:val="none" w:sz="0" w:space="0" w:color="auto"/>
          </w:divBdr>
          <w:divsChild>
            <w:div w:id="943003949">
              <w:marLeft w:val="0"/>
              <w:marRight w:val="0"/>
              <w:marTop w:val="0"/>
              <w:marBottom w:val="0"/>
              <w:divBdr>
                <w:top w:val="none" w:sz="0" w:space="0" w:color="auto"/>
                <w:left w:val="none" w:sz="0" w:space="0" w:color="auto"/>
                <w:bottom w:val="none" w:sz="0" w:space="0" w:color="auto"/>
                <w:right w:val="none" w:sz="0" w:space="0" w:color="auto"/>
              </w:divBdr>
            </w:div>
            <w:div w:id="178653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891768617">
      <w:bodyDiv w:val="1"/>
      <w:marLeft w:val="0"/>
      <w:marRight w:val="0"/>
      <w:marTop w:val="0"/>
      <w:marBottom w:val="0"/>
      <w:divBdr>
        <w:top w:val="none" w:sz="0" w:space="0" w:color="auto"/>
        <w:left w:val="none" w:sz="0" w:space="0" w:color="auto"/>
        <w:bottom w:val="none" w:sz="0" w:space="0" w:color="auto"/>
        <w:right w:val="none" w:sz="0" w:space="0" w:color="auto"/>
      </w:divBdr>
      <w:divsChild>
        <w:div w:id="178738070">
          <w:marLeft w:val="0"/>
          <w:marRight w:val="0"/>
          <w:marTop w:val="0"/>
          <w:marBottom w:val="0"/>
          <w:divBdr>
            <w:top w:val="none" w:sz="0" w:space="0" w:color="auto"/>
            <w:left w:val="none" w:sz="0" w:space="0" w:color="auto"/>
            <w:bottom w:val="none" w:sz="0" w:space="0" w:color="auto"/>
            <w:right w:val="none" w:sz="0" w:space="0" w:color="auto"/>
          </w:divBdr>
        </w:div>
      </w:divsChild>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61611432">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95395615">
      <w:bodyDiv w:val="1"/>
      <w:marLeft w:val="0"/>
      <w:marRight w:val="0"/>
      <w:marTop w:val="0"/>
      <w:marBottom w:val="0"/>
      <w:divBdr>
        <w:top w:val="none" w:sz="0" w:space="0" w:color="auto"/>
        <w:left w:val="none" w:sz="0" w:space="0" w:color="auto"/>
        <w:bottom w:val="none" w:sz="0" w:space="0" w:color="auto"/>
        <w:right w:val="none" w:sz="0" w:space="0" w:color="auto"/>
      </w:divBdr>
      <w:divsChild>
        <w:div w:id="53235671">
          <w:marLeft w:val="288"/>
          <w:marRight w:val="0"/>
          <w:marTop w:val="86"/>
          <w:marBottom w:val="0"/>
          <w:divBdr>
            <w:top w:val="none" w:sz="0" w:space="0" w:color="auto"/>
            <w:left w:val="none" w:sz="0" w:space="0" w:color="auto"/>
            <w:bottom w:val="none" w:sz="0" w:space="0" w:color="auto"/>
            <w:right w:val="none" w:sz="0" w:space="0" w:color="auto"/>
          </w:divBdr>
        </w:div>
        <w:div w:id="127016639">
          <w:marLeft w:val="288"/>
          <w:marRight w:val="0"/>
          <w:marTop w:val="86"/>
          <w:marBottom w:val="0"/>
          <w:divBdr>
            <w:top w:val="none" w:sz="0" w:space="0" w:color="auto"/>
            <w:left w:val="none" w:sz="0" w:space="0" w:color="auto"/>
            <w:bottom w:val="none" w:sz="0" w:space="0" w:color="auto"/>
            <w:right w:val="none" w:sz="0" w:space="0" w:color="auto"/>
          </w:divBdr>
        </w:div>
        <w:div w:id="268974478">
          <w:marLeft w:val="720"/>
          <w:marRight w:val="0"/>
          <w:marTop w:val="86"/>
          <w:marBottom w:val="0"/>
          <w:divBdr>
            <w:top w:val="none" w:sz="0" w:space="0" w:color="auto"/>
            <w:left w:val="none" w:sz="0" w:space="0" w:color="auto"/>
            <w:bottom w:val="none" w:sz="0" w:space="0" w:color="auto"/>
            <w:right w:val="none" w:sz="0" w:space="0" w:color="auto"/>
          </w:divBdr>
        </w:div>
        <w:div w:id="601112080">
          <w:marLeft w:val="720"/>
          <w:marRight w:val="0"/>
          <w:marTop w:val="86"/>
          <w:marBottom w:val="0"/>
          <w:divBdr>
            <w:top w:val="none" w:sz="0" w:space="0" w:color="auto"/>
            <w:left w:val="none" w:sz="0" w:space="0" w:color="auto"/>
            <w:bottom w:val="none" w:sz="0" w:space="0" w:color="auto"/>
            <w:right w:val="none" w:sz="0" w:space="0" w:color="auto"/>
          </w:divBdr>
        </w:div>
        <w:div w:id="1174762672">
          <w:marLeft w:val="288"/>
          <w:marRight w:val="0"/>
          <w:marTop w:val="86"/>
          <w:marBottom w:val="0"/>
          <w:divBdr>
            <w:top w:val="none" w:sz="0" w:space="0" w:color="auto"/>
            <w:left w:val="none" w:sz="0" w:space="0" w:color="auto"/>
            <w:bottom w:val="none" w:sz="0" w:space="0" w:color="auto"/>
            <w:right w:val="none" w:sz="0" w:space="0" w:color="auto"/>
          </w:divBdr>
        </w:div>
        <w:div w:id="1318531350">
          <w:marLeft w:val="288"/>
          <w:marRight w:val="0"/>
          <w:marTop w:val="86"/>
          <w:marBottom w:val="0"/>
          <w:divBdr>
            <w:top w:val="none" w:sz="0" w:space="0" w:color="auto"/>
            <w:left w:val="none" w:sz="0" w:space="0" w:color="auto"/>
            <w:bottom w:val="none" w:sz="0" w:space="0" w:color="auto"/>
            <w:right w:val="none" w:sz="0" w:space="0" w:color="auto"/>
          </w:divBdr>
        </w:div>
        <w:div w:id="1732190062">
          <w:marLeft w:val="288"/>
          <w:marRight w:val="0"/>
          <w:marTop w:val="86"/>
          <w:marBottom w:val="0"/>
          <w:divBdr>
            <w:top w:val="none" w:sz="0" w:space="0" w:color="auto"/>
            <w:left w:val="none" w:sz="0" w:space="0" w:color="auto"/>
            <w:bottom w:val="none" w:sz="0" w:space="0" w:color="auto"/>
            <w:right w:val="none" w:sz="0" w:space="0" w:color="auto"/>
          </w:divBdr>
        </w:div>
        <w:div w:id="1909412010">
          <w:marLeft w:val="720"/>
          <w:marRight w:val="0"/>
          <w:marTop w:val="86"/>
          <w:marBottom w:val="0"/>
          <w:divBdr>
            <w:top w:val="none" w:sz="0" w:space="0" w:color="auto"/>
            <w:left w:val="none" w:sz="0" w:space="0" w:color="auto"/>
            <w:bottom w:val="none" w:sz="0" w:space="0" w:color="auto"/>
            <w:right w:val="none" w:sz="0" w:space="0" w:color="auto"/>
          </w:divBdr>
        </w:div>
      </w:divsChild>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20815681">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3139451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466386410">
      <w:bodyDiv w:val="1"/>
      <w:marLeft w:val="0"/>
      <w:marRight w:val="0"/>
      <w:marTop w:val="0"/>
      <w:marBottom w:val="0"/>
      <w:divBdr>
        <w:top w:val="none" w:sz="0" w:space="0" w:color="auto"/>
        <w:left w:val="none" w:sz="0" w:space="0" w:color="auto"/>
        <w:bottom w:val="none" w:sz="0" w:space="0" w:color="auto"/>
        <w:right w:val="none" w:sz="0" w:space="0" w:color="auto"/>
      </w:divBdr>
    </w:div>
    <w:div w:id="1470972972">
      <w:bodyDiv w:val="1"/>
      <w:marLeft w:val="0"/>
      <w:marRight w:val="0"/>
      <w:marTop w:val="0"/>
      <w:marBottom w:val="0"/>
      <w:divBdr>
        <w:top w:val="none" w:sz="0" w:space="0" w:color="auto"/>
        <w:left w:val="none" w:sz="0" w:space="0" w:color="auto"/>
        <w:bottom w:val="none" w:sz="0" w:space="0" w:color="auto"/>
        <w:right w:val="none" w:sz="0" w:space="0" w:color="auto"/>
      </w:divBdr>
    </w:div>
    <w:div w:id="1496066618">
      <w:bodyDiv w:val="1"/>
      <w:marLeft w:val="0"/>
      <w:marRight w:val="0"/>
      <w:marTop w:val="0"/>
      <w:marBottom w:val="0"/>
      <w:divBdr>
        <w:top w:val="none" w:sz="0" w:space="0" w:color="auto"/>
        <w:left w:val="none" w:sz="0" w:space="0" w:color="auto"/>
        <w:bottom w:val="none" w:sz="0" w:space="0" w:color="auto"/>
        <w:right w:val="none" w:sz="0" w:space="0" w:color="auto"/>
      </w:divBdr>
    </w:div>
    <w:div w:id="1548760256">
      <w:bodyDiv w:val="1"/>
      <w:marLeft w:val="0"/>
      <w:marRight w:val="0"/>
      <w:marTop w:val="0"/>
      <w:marBottom w:val="0"/>
      <w:divBdr>
        <w:top w:val="none" w:sz="0" w:space="0" w:color="auto"/>
        <w:left w:val="none" w:sz="0" w:space="0" w:color="auto"/>
        <w:bottom w:val="none" w:sz="0" w:space="0" w:color="auto"/>
        <w:right w:val="none" w:sz="0" w:space="0" w:color="auto"/>
      </w:divBdr>
      <w:divsChild>
        <w:div w:id="562058378">
          <w:marLeft w:val="0"/>
          <w:marRight w:val="0"/>
          <w:marTop w:val="0"/>
          <w:marBottom w:val="0"/>
          <w:divBdr>
            <w:top w:val="none" w:sz="0" w:space="0" w:color="auto"/>
            <w:left w:val="none" w:sz="0" w:space="0" w:color="auto"/>
            <w:bottom w:val="none" w:sz="0" w:space="0" w:color="auto"/>
            <w:right w:val="none" w:sz="0" w:space="0" w:color="auto"/>
          </w:divBdr>
        </w:div>
      </w:divsChild>
    </w:div>
    <w:div w:id="1581403942">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26428889">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76706517">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1973056474">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076387943">
      <w:bodyDiv w:val="1"/>
      <w:marLeft w:val="0"/>
      <w:marRight w:val="0"/>
      <w:marTop w:val="0"/>
      <w:marBottom w:val="0"/>
      <w:divBdr>
        <w:top w:val="none" w:sz="0" w:space="0" w:color="auto"/>
        <w:left w:val="none" w:sz="0" w:space="0" w:color="auto"/>
        <w:bottom w:val="none" w:sz="0" w:space="0" w:color="auto"/>
        <w:right w:val="none" w:sz="0" w:space="0" w:color="auto"/>
      </w:divBdr>
    </w:div>
    <w:div w:id="2085636722">
      <w:bodyDiv w:val="1"/>
      <w:marLeft w:val="0"/>
      <w:marRight w:val="0"/>
      <w:marTop w:val="0"/>
      <w:marBottom w:val="0"/>
      <w:divBdr>
        <w:top w:val="none" w:sz="0" w:space="0" w:color="auto"/>
        <w:left w:val="none" w:sz="0" w:space="0" w:color="auto"/>
        <w:bottom w:val="none" w:sz="0" w:space="0" w:color="auto"/>
        <w:right w:val="none" w:sz="0" w:space="0" w:color="auto"/>
      </w:divBdr>
    </w:div>
    <w:div w:id="2102674462">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msac.gov.au/internet/msac/publishing.nsf/Content/Home-1"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msac.gov.au/internet/msac/publishing.nsf/Content/904A22A8CF9AEC3ACA25874300802B69/$File/1689%20Final%20PSD_Jul2022-CLEAN.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bs.gov.au/reviews/pah-files/March-2022-PBAC-minu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50FB-89F2-094F-8B45-33BC5EAA9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14827</Words>
  <Characters>84517</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99146</CharactersWithSpaces>
  <SharedDoc>false</SharedDoc>
  <HLinks>
    <vt:vector size="30" baseType="variant">
      <vt:variant>
        <vt:i4>6684716</vt:i4>
      </vt:variant>
      <vt:variant>
        <vt:i4>106</vt:i4>
      </vt:variant>
      <vt:variant>
        <vt:i4>0</vt:i4>
      </vt:variant>
      <vt:variant>
        <vt:i4>5</vt:i4>
      </vt:variant>
      <vt:variant>
        <vt:lpwstr>http://msac.gov.au/internet/msac/publishing.nsf/Content/Home-1</vt:lpwstr>
      </vt:variant>
      <vt:variant>
        <vt:lpwstr/>
      </vt:variant>
      <vt:variant>
        <vt:i4>1179758</vt:i4>
      </vt:variant>
      <vt:variant>
        <vt:i4>103</vt:i4>
      </vt:variant>
      <vt:variant>
        <vt:i4>0</vt:i4>
      </vt:variant>
      <vt:variant>
        <vt:i4>5</vt:i4>
      </vt:variant>
      <vt:variant>
        <vt:lpwstr>http://msac.gov.au/internet/msac/publishing.nsf/Content/904A22A8CF9AEC3ACA25874300802B69/$File/1689 Final PSD_Jul2022-CLEAN.pdf</vt:lpwstr>
      </vt:variant>
      <vt:variant>
        <vt:lpwstr/>
      </vt:variant>
      <vt:variant>
        <vt:i4>3997744</vt:i4>
      </vt:variant>
      <vt:variant>
        <vt:i4>0</vt:i4>
      </vt:variant>
      <vt:variant>
        <vt:i4>0</vt:i4>
      </vt:variant>
      <vt:variant>
        <vt:i4>5</vt:i4>
      </vt:variant>
      <vt:variant>
        <vt:lpwstr>http://www.msac.gov.au/</vt:lpwstr>
      </vt:variant>
      <vt:variant>
        <vt:lpwstr/>
      </vt:variant>
      <vt:variant>
        <vt:i4>655365</vt:i4>
      </vt:variant>
      <vt:variant>
        <vt:i4>0</vt:i4>
      </vt:variant>
      <vt:variant>
        <vt:i4>0</vt:i4>
      </vt:variant>
      <vt:variant>
        <vt:i4>5</vt:i4>
      </vt:variant>
      <vt:variant>
        <vt:lpwstr>https://www.pbs.gov.au/reviews/pah-files/March-2022-PBAC-minutes.pdf</vt:lpwstr>
      </vt:variant>
      <vt:variant>
        <vt:lpwstr/>
      </vt:variant>
      <vt:variant>
        <vt:i4>7536722</vt:i4>
      </vt:variant>
      <vt:variant>
        <vt:i4>0</vt:i4>
      </vt:variant>
      <vt:variant>
        <vt:i4>0</vt:i4>
      </vt:variant>
      <vt:variant>
        <vt:i4>5</vt:i4>
      </vt:variant>
      <vt:variant>
        <vt:lpwstr>mailto:Finn.WOOLLEY@Health.gov.au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2023-09-29T01:49:00Z</dcterms:created>
  <dcterms:modified xsi:type="dcterms:W3CDTF">2023-09-29T01:49:00Z</dcterms:modified>
</cp:coreProperties>
</file>