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B1013" w14:textId="2F068CF0" w:rsidR="00E35D54" w:rsidRPr="00331240" w:rsidRDefault="004453D5" w:rsidP="00775E8C">
      <w:pPr>
        <w:pStyle w:val="Execsummaryheading1"/>
        <w:spacing w:after="360"/>
        <w:rPr>
          <w:lang w:val="en-AU"/>
        </w:rPr>
      </w:pPr>
      <w:r>
        <w:rPr>
          <w:lang w:val="en-AU"/>
        </w:rPr>
        <w:t xml:space="preserve">Medical Services Advisory Committee (MSAC) </w:t>
      </w:r>
      <w:r w:rsidR="00A52CA3">
        <w:rPr>
          <w:lang w:val="en-AU"/>
        </w:rPr>
        <w:t>Public Summary Document</w:t>
      </w:r>
    </w:p>
    <w:p w14:paraId="506470E8" w14:textId="538652A0" w:rsidR="00E35D54" w:rsidRPr="00331240" w:rsidRDefault="00E35D54" w:rsidP="00E35D54">
      <w:pPr>
        <w:pStyle w:val="Subtitle"/>
      </w:pPr>
      <w:r w:rsidRPr="00331240">
        <w:t xml:space="preserve">Application No. </w:t>
      </w:r>
      <w:r w:rsidR="3F4FDBF9" w:rsidRPr="00331240">
        <w:t>1701</w:t>
      </w:r>
      <w:r w:rsidRPr="00331240">
        <w:t xml:space="preserve"> – </w:t>
      </w:r>
      <w:r w:rsidR="6DEB306C" w:rsidRPr="00331240">
        <w:t>Deep brain stimulation of the thalamus for the treatment of severe refractory epilepsy</w:t>
      </w:r>
    </w:p>
    <w:p w14:paraId="384C637A" w14:textId="5574EB3F" w:rsidR="00E35D54" w:rsidRPr="00331240" w:rsidRDefault="00E35D54" w:rsidP="1032872E">
      <w:pPr>
        <w:tabs>
          <w:tab w:val="left" w:pos="3686"/>
        </w:tabs>
        <w:spacing w:after="240"/>
        <w:rPr>
          <w:rFonts w:ascii="Arial" w:hAnsi="Arial" w:cs="Arial"/>
          <w:b/>
          <w:bCs/>
          <w:highlight w:val="cyan"/>
        </w:rPr>
      </w:pPr>
      <w:r w:rsidRPr="00331240">
        <w:rPr>
          <w:rFonts w:ascii="Arial" w:hAnsi="Arial" w:cs="Arial"/>
          <w:b/>
          <w:bCs/>
        </w:rPr>
        <w:t>Applicant:</w:t>
      </w:r>
      <w:r w:rsidR="000A228E">
        <w:tab/>
      </w:r>
      <w:r w:rsidR="112A15C6" w:rsidRPr="00331240">
        <w:rPr>
          <w:rFonts w:ascii="Arial" w:hAnsi="Arial" w:cs="Arial"/>
          <w:b/>
          <w:bCs/>
        </w:rPr>
        <w:t>Neuro</w:t>
      </w:r>
      <w:r w:rsidR="00E14C9C">
        <w:rPr>
          <w:rFonts w:ascii="Arial" w:hAnsi="Arial" w:cs="Arial"/>
          <w:b/>
          <w:bCs/>
        </w:rPr>
        <w:t>sur</w:t>
      </w:r>
      <w:r w:rsidR="112A15C6" w:rsidRPr="00331240">
        <w:rPr>
          <w:rFonts w:ascii="Arial" w:hAnsi="Arial" w:cs="Arial"/>
          <w:b/>
          <w:bCs/>
        </w:rPr>
        <w:t>gical Society of Australasia</w:t>
      </w:r>
    </w:p>
    <w:p w14:paraId="616AE525" w14:textId="583DE870" w:rsidR="000C7FEE" w:rsidRDefault="00E35D54" w:rsidP="00C72C7E">
      <w:pPr>
        <w:rPr>
          <w:rFonts w:ascii="Arial" w:hAnsi="Arial" w:cs="Arial"/>
          <w:b/>
          <w:szCs w:val="24"/>
        </w:rPr>
      </w:pPr>
      <w:r w:rsidRPr="00331240">
        <w:rPr>
          <w:rFonts w:ascii="Arial" w:hAnsi="Arial" w:cs="Arial"/>
          <w:b/>
          <w:szCs w:val="24"/>
        </w:rPr>
        <w:t xml:space="preserve">Date of </w:t>
      </w:r>
      <w:r w:rsidR="00A52CA3">
        <w:rPr>
          <w:rFonts w:ascii="Arial" w:hAnsi="Arial" w:cs="Arial"/>
          <w:b/>
          <w:szCs w:val="24"/>
        </w:rPr>
        <w:t>MSA</w:t>
      </w:r>
      <w:r w:rsidR="000A228E">
        <w:rPr>
          <w:rFonts w:ascii="Arial" w:hAnsi="Arial" w:cs="Arial"/>
          <w:b/>
          <w:szCs w:val="24"/>
        </w:rPr>
        <w:t>C</w:t>
      </w:r>
      <w:r w:rsidRPr="00331240">
        <w:rPr>
          <w:rFonts w:ascii="Arial" w:hAnsi="Arial" w:cs="Arial"/>
          <w:b/>
          <w:szCs w:val="24"/>
        </w:rPr>
        <w:t xml:space="preserve"> consideration:</w:t>
      </w:r>
      <w:r w:rsidRPr="00331240">
        <w:rPr>
          <w:rFonts w:ascii="Arial" w:hAnsi="Arial" w:cs="Arial"/>
          <w:b/>
          <w:szCs w:val="24"/>
        </w:rPr>
        <w:tab/>
      </w:r>
      <w:r w:rsidR="00A52CA3">
        <w:rPr>
          <w:rFonts w:ascii="Arial" w:hAnsi="Arial" w:cs="Arial"/>
          <w:b/>
          <w:szCs w:val="24"/>
        </w:rPr>
        <w:t>30-31</w:t>
      </w:r>
      <w:r w:rsidR="000A228E">
        <w:rPr>
          <w:rFonts w:ascii="Arial" w:hAnsi="Arial" w:cs="Arial"/>
          <w:b/>
          <w:szCs w:val="24"/>
        </w:rPr>
        <w:t xml:space="preserve"> </w:t>
      </w:r>
      <w:r w:rsidR="00A52CA3">
        <w:rPr>
          <w:rFonts w:ascii="Arial" w:hAnsi="Arial" w:cs="Arial"/>
          <w:b/>
          <w:szCs w:val="24"/>
        </w:rPr>
        <w:t>March</w:t>
      </w:r>
      <w:r w:rsidR="00923FF8" w:rsidRPr="00C72C7E">
        <w:rPr>
          <w:rFonts w:ascii="Arial" w:hAnsi="Arial" w:cs="Arial"/>
          <w:b/>
          <w:szCs w:val="24"/>
        </w:rPr>
        <w:t xml:space="preserve"> 2023</w:t>
      </w:r>
    </w:p>
    <w:p w14:paraId="3CC9EF2A" w14:textId="1290DE89" w:rsidR="00A52CA3" w:rsidRPr="00775E8C" w:rsidRDefault="00A52CA3" w:rsidP="00775E8C">
      <w:pPr>
        <w:spacing w:after="24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8" w:tooltip="Link to Medical Services Advisory Committee website" w:history="1">
        <w:r w:rsidRPr="00F715D1">
          <w:rPr>
            <w:rStyle w:val="Hyperlink"/>
            <w:szCs w:val="24"/>
          </w:rPr>
          <w:t>visit the MSAC website</w:t>
        </w:r>
      </w:hyperlink>
    </w:p>
    <w:p w14:paraId="3B14FE1F" w14:textId="70537076" w:rsidR="00DE15B8" w:rsidRPr="00331240" w:rsidRDefault="00DE251C" w:rsidP="00F8006B">
      <w:pPr>
        <w:pStyle w:val="Heading2execsummary"/>
        <w:numPr>
          <w:ilvl w:val="0"/>
          <w:numId w:val="4"/>
        </w:numPr>
        <w:rPr>
          <w:lang w:val="en-AU"/>
        </w:rPr>
      </w:pPr>
      <w:bookmarkStart w:id="0" w:name="_Toc118758146"/>
      <w:bookmarkStart w:id="1" w:name="_Toc121840743"/>
      <w:r w:rsidRPr="00331240">
        <w:rPr>
          <w:lang w:val="en-AU"/>
        </w:rPr>
        <w:t xml:space="preserve">Purpose </w:t>
      </w:r>
      <w:r w:rsidRPr="00331240">
        <w:rPr>
          <w:szCs w:val="32"/>
          <w:lang w:val="en-AU"/>
        </w:rPr>
        <w:t>of</w:t>
      </w:r>
      <w:r w:rsidRPr="00331240">
        <w:rPr>
          <w:lang w:val="en-AU"/>
        </w:rPr>
        <w:t xml:space="preserve"> application</w:t>
      </w:r>
      <w:bookmarkEnd w:id="0"/>
      <w:bookmarkEnd w:id="1"/>
    </w:p>
    <w:p w14:paraId="6817E050" w14:textId="759680C5" w:rsidR="00B536C5" w:rsidRDefault="006A7F32" w:rsidP="00B536C5">
      <w:pPr>
        <w:spacing w:after="240"/>
      </w:pPr>
      <w:r w:rsidRPr="00331240">
        <w:t xml:space="preserve">An application requesting Medicare Benefits Schedule (MBS) listing of </w:t>
      </w:r>
      <w:r w:rsidR="4380EECD" w:rsidRPr="00331240">
        <w:t xml:space="preserve">deep brain stimulation (DBS) of the thalamus </w:t>
      </w:r>
      <w:r w:rsidRPr="00331240">
        <w:t>for</w:t>
      </w:r>
      <w:r w:rsidR="2789A458" w:rsidRPr="00331240">
        <w:t xml:space="preserve"> the </w:t>
      </w:r>
      <w:r w:rsidR="00D85877">
        <w:t>management</w:t>
      </w:r>
      <w:r w:rsidR="00D85877" w:rsidRPr="00331240">
        <w:t xml:space="preserve"> </w:t>
      </w:r>
      <w:r w:rsidR="2789A458" w:rsidRPr="00331240">
        <w:t>of severe</w:t>
      </w:r>
      <w:r w:rsidR="00D85877">
        <w:t xml:space="preserve"> treatment</w:t>
      </w:r>
      <w:r w:rsidR="2789A458" w:rsidRPr="00331240">
        <w:t xml:space="preserve"> refractory epilepsy </w:t>
      </w:r>
      <w:r w:rsidRPr="00331240">
        <w:t xml:space="preserve">was received from the </w:t>
      </w:r>
      <w:r w:rsidR="7ACD523B" w:rsidRPr="00331240">
        <w:t>Neuro</w:t>
      </w:r>
      <w:r w:rsidR="003B5D23">
        <w:t>surgical</w:t>
      </w:r>
      <w:r w:rsidR="7ACD523B" w:rsidRPr="00331240">
        <w:t xml:space="preserve"> Society of Australasia</w:t>
      </w:r>
      <w:r w:rsidRPr="00331240">
        <w:t xml:space="preserve"> by the Department of Health</w:t>
      </w:r>
      <w:r w:rsidR="00791AB4">
        <w:t xml:space="preserve"> and Aged Care</w:t>
      </w:r>
      <w:r w:rsidRPr="00331240">
        <w:t>.</w:t>
      </w:r>
    </w:p>
    <w:p w14:paraId="0E41E8FD" w14:textId="7E808B52" w:rsidR="00A52CA3" w:rsidRDefault="00A52CA3" w:rsidP="00A52CA3">
      <w:pPr>
        <w:pStyle w:val="Heading2"/>
        <w:numPr>
          <w:ilvl w:val="0"/>
          <w:numId w:val="0"/>
        </w:numPr>
      </w:pPr>
      <w:r>
        <w:t>2.</w:t>
      </w:r>
      <w:r>
        <w:tab/>
        <w:t>MSAC’s advice to the Minister</w:t>
      </w:r>
    </w:p>
    <w:p w14:paraId="0A5CC062" w14:textId="1F948E8C" w:rsidR="00B567A1" w:rsidRDefault="00C01485" w:rsidP="00C01485">
      <w:pPr>
        <w:rPr>
          <w:szCs w:val="24"/>
        </w:rPr>
      </w:pPr>
      <w:r w:rsidRPr="00D81A81">
        <w:t>After considering the strength of the available evidence in relation to comparative safety, clinical effectiveness</w:t>
      </w:r>
      <w:r>
        <w:t xml:space="preserve">, </w:t>
      </w:r>
      <w:r w:rsidRPr="00D81A81">
        <w:t>cost-effectiveness</w:t>
      </w:r>
      <w:r>
        <w:t xml:space="preserve"> and total cost</w:t>
      </w:r>
      <w:r w:rsidRPr="00D81A81">
        <w:t xml:space="preserve">, </w:t>
      </w:r>
      <w:r w:rsidRPr="00FA1947">
        <w:rPr>
          <w:szCs w:val="24"/>
        </w:rPr>
        <w:t>MSAC did not support the public funding of deep brain stimulation (DBS) of the anterior thalamus for the treatment of patients with severe treatment refractory epilepsy. MSAC noted the limitations of the evidence</w:t>
      </w:r>
      <w:r>
        <w:rPr>
          <w:szCs w:val="24"/>
        </w:rPr>
        <w:t>,</w:t>
      </w:r>
      <w:r w:rsidRPr="00FA1947">
        <w:rPr>
          <w:szCs w:val="24"/>
        </w:rPr>
        <w:t xml:space="preserve"> such as the </w:t>
      </w:r>
      <w:r w:rsidR="00051C2D">
        <w:rPr>
          <w:szCs w:val="24"/>
        </w:rPr>
        <w:t xml:space="preserve">age of the </w:t>
      </w:r>
      <w:r w:rsidR="00C204E2">
        <w:rPr>
          <w:szCs w:val="24"/>
        </w:rPr>
        <w:t>evidence (</w:t>
      </w:r>
      <w:r w:rsidR="00E05490">
        <w:rPr>
          <w:szCs w:val="24"/>
        </w:rPr>
        <w:t>impl</w:t>
      </w:r>
      <w:r w:rsidR="002D6BF1">
        <w:rPr>
          <w:szCs w:val="24"/>
        </w:rPr>
        <w:t>ant</w:t>
      </w:r>
      <w:r w:rsidR="00216B56">
        <w:rPr>
          <w:szCs w:val="24"/>
        </w:rPr>
        <w:t xml:space="preserve"> surgery ranging from pre-1993</w:t>
      </w:r>
      <w:r w:rsidR="00881F63">
        <w:rPr>
          <w:szCs w:val="24"/>
        </w:rPr>
        <w:t xml:space="preserve"> to 2015</w:t>
      </w:r>
      <w:r w:rsidR="00F96F5C">
        <w:rPr>
          <w:szCs w:val="24"/>
        </w:rPr>
        <w:t>)</w:t>
      </w:r>
      <w:r w:rsidRPr="00FA1947">
        <w:rPr>
          <w:szCs w:val="24"/>
        </w:rPr>
        <w:t xml:space="preserve">, the high drop-out rate in the pivotal trial, limited patient relevant outcomes, and the lack of long-term comparative safety and effectiveness data. MSAC considered that DBS was non-inferior in effectiveness and inferior in safety relative to both comparators, vagus nerve stimulation (VNS) and optimised medical therapy (OMT). MSAC noted the potential for DBS to cause further harm without clear benefit in patients who already experience a high level of disease burden. MSAC considered the economic model was driven by the time horizon </w:t>
      </w:r>
      <w:r>
        <w:rPr>
          <w:szCs w:val="24"/>
        </w:rPr>
        <w:t>that</w:t>
      </w:r>
      <w:r w:rsidRPr="00FA1947">
        <w:rPr>
          <w:szCs w:val="24"/>
        </w:rPr>
        <w:t xml:space="preserve"> had a reducing </w:t>
      </w:r>
      <w:r>
        <w:rPr>
          <w:szCs w:val="24"/>
        </w:rPr>
        <w:t>incremental cost-effectiveness ratio (</w:t>
      </w:r>
      <w:r w:rsidRPr="00FA1947">
        <w:rPr>
          <w:szCs w:val="24"/>
        </w:rPr>
        <w:t>ICER</w:t>
      </w:r>
      <w:r>
        <w:rPr>
          <w:szCs w:val="24"/>
        </w:rPr>
        <w:t>)</w:t>
      </w:r>
      <w:r w:rsidRPr="00FA1947">
        <w:rPr>
          <w:szCs w:val="24"/>
        </w:rPr>
        <w:t xml:space="preserve"> over longer time horizons but was unsupported by evidence beyond 3 months. MSAC noted the higher cost of the DBS device compared to VNS and OMT but considered the financial impact to be modest due to the small population and low risk of leakage. MSAC considered that further evidence of quality-of-life benefits for patients is needed, as well as a clearer definition of Comprehensive Epilepsy Program (CEP) referral centres.</w:t>
      </w:r>
    </w:p>
    <w:tbl>
      <w:tblPr>
        <w:tblStyle w:val="TableGrid"/>
        <w:tblW w:w="0" w:type="auto"/>
        <w:tblLook w:val="04A0" w:firstRow="1" w:lastRow="0" w:firstColumn="1" w:lastColumn="0" w:noHBand="0" w:noVBand="1"/>
        <w:tblDescription w:val="Consumer summary of MSAC consideration"/>
      </w:tblPr>
      <w:tblGrid>
        <w:gridCol w:w="9016"/>
      </w:tblGrid>
      <w:tr w:rsidR="00C01485" w:rsidRPr="00AF46D8" w14:paraId="6D0598B9" w14:textId="77777777" w:rsidTr="007774E0">
        <w:trPr>
          <w:tblHeader/>
        </w:trPr>
        <w:tc>
          <w:tcPr>
            <w:tcW w:w="9016" w:type="dxa"/>
          </w:tcPr>
          <w:p w14:paraId="16C3B50E" w14:textId="77777777" w:rsidR="00C01485" w:rsidRPr="00AF46D8" w:rsidRDefault="00C01485" w:rsidP="000E1382">
            <w:pPr>
              <w:pStyle w:val="Heading3"/>
              <w:numPr>
                <w:ilvl w:val="0"/>
                <w:numId w:val="0"/>
              </w:numPr>
              <w:spacing w:before="120" w:after="120"/>
              <w:ind w:left="720" w:hanging="720"/>
              <w:outlineLvl w:val="2"/>
              <w:rPr>
                <w:rFonts w:eastAsiaTheme="minorHAnsi" w:cstheme="minorBidi"/>
                <w:iCs/>
              </w:rPr>
            </w:pPr>
            <w:r w:rsidRPr="00AF46D8">
              <w:t>Consumer summary</w:t>
            </w:r>
          </w:p>
        </w:tc>
      </w:tr>
      <w:tr w:rsidR="00C01485" w:rsidRPr="00AF46D8" w14:paraId="529A22AB" w14:textId="77777777" w:rsidTr="007774E0">
        <w:tc>
          <w:tcPr>
            <w:tcW w:w="9016" w:type="dxa"/>
          </w:tcPr>
          <w:p w14:paraId="0AC0EBB8" w14:textId="1E184691" w:rsidR="00C01485" w:rsidRDefault="00C01485" w:rsidP="007774E0">
            <w:r w:rsidRPr="00AF46D8">
              <w:t>This is an application from</w:t>
            </w:r>
            <w:r>
              <w:t xml:space="preserve"> the </w:t>
            </w:r>
            <w:r w:rsidRPr="00361896">
              <w:t>Neurological Society of Australasia</w:t>
            </w:r>
            <w:r w:rsidRPr="00AF46D8">
              <w:t xml:space="preserve"> requesting Medicare Benefits Schedule (MBS) listing of</w:t>
            </w:r>
            <w:r>
              <w:t xml:space="preserve"> </w:t>
            </w:r>
            <w:r w:rsidRPr="00361896">
              <w:t xml:space="preserve">deep brain stimulation of the thalamus for the </w:t>
            </w:r>
            <w:r w:rsidR="00D41394">
              <w:t>management</w:t>
            </w:r>
            <w:r w:rsidRPr="00361896">
              <w:t xml:space="preserve"> of severe </w:t>
            </w:r>
            <w:r w:rsidR="006B4075">
              <w:t>treatment</w:t>
            </w:r>
            <w:r w:rsidR="006B4075" w:rsidRPr="00361896">
              <w:t xml:space="preserve"> </w:t>
            </w:r>
            <w:r w:rsidRPr="00361896">
              <w:t>refractory epilepsy</w:t>
            </w:r>
            <w:r>
              <w:t>.</w:t>
            </w:r>
          </w:p>
          <w:p w14:paraId="261FA4B9" w14:textId="0222BC4E" w:rsidR="00C01485" w:rsidRPr="006A4635" w:rsidRDefault="00C01485" w:rsidP="007774E0">
            <w:r>
              <w:t>Epilepsy is a condition where the person has e</w:t>
            </w:r>
            <w:r w:rsidR="006F6C92">
              <w:t>p</w:t>
            </w:r>
            <w:r>
              <w:t xml:space="preserve">ileptic seizures that are characterised by abnormal </w:t>
            </w:r>
            <w:r w:rsidR="00104BCA">
              <w:t xml:space="preserve">electrical </w:t>
            </w:r>
            <w:r>
              <w:t>activity</w:t>
            </w:r>
            <w:r w:rsidR="00A95E80">
              <w:t xml:space="preserve"> in the brain</w:t>
            </w:r>
            <w:r>
              <w:t xml:space="preserve">, </w:t>
            </w:r>
            <w:r w:rsidR="006141C4">
              <w:t xml:space="preserve">which can </w:t>
            </w:r>
            <w:r>
              <w:t>caus</w:t>
            </w:r>
            <w:r w:rsidR="006141C4">
              <w:t>e</w:t>
            </w:r>
            <w:r>
              <w:t xml:space="preserve"> sudden and unpredictable changes in behaviour</w:t>
            </w:r>
            <w:r w:rsidR="006141C4">
              <w:t>, movement</w:t>
            </w:r>
            <w:r>
              <w:t xml:space="preserve"> and awareness. How the seizure affects a person depends on the area of the brain affected and how long the seizure lasts. There are many different underlying causes</w:t>
            </w:r>
            <w:r w:rsidR="006141C4">
              <w:t xml:space="preserve"> of </w:t>
            </w:r>
            <w:r w:rsidR="006141C4">
              <w:lastRenderedPageBreak/>
              <w:t>epilepsy</w:t>
            </w:r>
            <w:r>
              <w:t>, including brain abnormalities</w:t>
            </w:r>
            <w:r w:rsidR="00E16851">
              <w:t xml:space="preserve"> present at birth</w:t>
            </w:r>
            <w:r>
              <w:t xml:space="preserve">, </w:t>
            </w:r>
            <w:r w:rsidR="00E16851">
              <w:t xml:space="preserve">brain </w:t>
            </w:r>
            <w:r>
              <w:t>lesions</w:t>
            </w:r>
            <w:r w:rsidR="00E16851">
              <w:t xml:space="preserve"> that have developed during a person’s lifetime</w:t>
            </w:r>
            <w:r>
              <w:t xml:space="preserve"> and genetic </w:t>
            </w:r>
            <w:r w:rsidR="006B4075">
              <w:t>causes</w:t>
            </w:r>
            <w:r>
              <w:t xml:space="preserve">. </w:t>
            </w:r>
            <w:r w:rsidR="00A07E7C">
              <w:t xml:space="preserve">“Severe </w:t>
            </w:r>
            <w:r w:rsidR="006C73E9">
              <w:t xml:space="preserve">treatment </w:t>
            </w:r>
            <w:r>
              <w:t>refractory</w:t>
            </w:r>
            <w:r w:rsidR="00A07E7C">
              <w:t xml:space="preserve"> epilepsy”</w:t>
            </w:r>
            <w:r>
              <w:t xml:space="preserve"> </w:t>
            </w:r>
            <w:r w:rsidR="006C73E9">
              <w:t>for the purpose of this application</w:t>
            </w:r>
            <w:r w:rsidR="008E4F83">
              <w:t>,</w:t>
            </w:r>
            <w:r w:rsidR="006C73E9">
              <w:t xml:space="preserve"> describes a</w:t>
            </w:r>
            <w:r>
              <w:t xml:space="preserve"> </w:t>
            </w:r>
            <w:r w:rsidR="005D07B5">
              <w:t>condition where</w:t>
            </w:r>
            <w:r>
              <w:t xml:space="preserve"> </w:t>
            </w:r>
            <w:r w:rsidR="008E4F83">
              <w:t>almost all available treatment</w:t>
            </w:r>
            <w:r w:rsidR="00222206">
              <w:t xml:space="preserve"> options</w:t>
            </w:r>
            <w:r w:rsidR="008E4F83">
              <w:t xml:space="preserve"> </w:t>
            </w:r>
            <w:r w:rsidR="005D07B5">
              <w:t xml:space="preserve">have been attempted </w:t>
            </w:r>
            <w:r w:rsidR="00115CBF">
              <w:t xml:space="preserve">(such as medications or surgery) </w:t>
            </w:r>
            <w:r w:rsidR="008E4F83">
              <w:t xml:space="preserve">to reduce the </w:t>
            </w:r>
            <w:r w:rsidR="009D4193">
              <w:t xml:space="preserve">frequency and intensity of seizures with little to no </w:t>
            </w:r>
            <w:r w:rsidR="00222206">
              <w:t>benefit</w:t>
            </w:r>
            <w:r>
              <w:t>.</w:t>
            </w:r>
          </w:p>
          <w:p w14:paraId="26FF0D7F" w14:textId="63F4AAE3" w:rsidR="00C01485" w:rsidRDefault="00C01485" w:rsidP="007774E0">
            <w:r>
              <w:t>Deep brain stimulation delivers electrical impulses to a key central location deep in the brain,</w:t>
            </w:r>
            <w:r w:rsidR="00DC4A15">
              <w:t xml:space="preserve"> called the thalamus,</w:t>
            </w:r>
            <w:r>
              <w:t xml:space="preserve"> suppressing </w:t>
            </w:r>
            <w:r w:rsidR="006311D1">
              <w:t xml:space="preserve">abnormal electrical </w:t>
            </w:r>
            <w:r w:rsidR="00C22A79">
              <w:t>activity</w:t>
            </w:r>
            <w:r w:rsidR="008F1986">
              <w:t xml:space="preserve"> </w:t>
            </w:r>
            <w:r w:rsidR="006311D1">
              <w:t xml:space="preserve">within the brain </w:t>
            </w:r>
            <w:r>
              <w:t xml:space="preserve">that </w:t>
            </w:r>
            <w:r w:rsidR="0097790E">
              <w:t>cause</w:t>
            </w:r>
            <w:r w:rsidR="003F4463">
              <w:t>s</w:t>
            </w:r>
            <w:r w:rsidR="0097790E">
              <w:t xml:space="preserve"> </w:t>
            </w:r>
            <w:r>
              <w:t>seizures. Under general anaesthetic, a neurosurgeon places electrode leads into the thalamus through small holes in the skull. The leads are connected to wires running under the skin behind the ear and down the side of the neck and are attached to a battery-powered device implanted in the upper chest</w:t>
            </w:r>
            <w:r w:rsidR="00BA305D">
              <w:t>. The device</w:t>
            </w:r>
            <w:r w:rsidR="004576B1">
              <w:t xml:space="preserve"> delivers electrical </w:t>
            </w:r>
            <w:r w:rsidR="00CB7936">
              <w:t xml:space="preserve">impulses </w:t>
            </w:r>
            <w:r w:rsidR="004576B1">
              <w:t>to the brain</w:t>
            </w:r>
            <w:r>
              <w:t xml:space="preserve">. After </w:t>
            </w:r>
            <w:r w:rsidR="00BD3CF4">
              <w:t>the device is implanted</w:t>
            </w:r>
            <w:r>
              <w:t xml:space="preserve">, the electrical </w:t>
            </w:r>
            <w:r w:rsidR="00CB7936">
              <w:t>impulses</w:t>
            </w:r>
            <w:r w:rsidR="00E73BBD">
              <w:t xml:space="preserve"> delivered by the device</w:t>
            </w:r>
            <w:r w:rsidR="00410EC4">
              <w:t xml:space="preserve"> </w:t>
            </w:r>
            <w:r>
              <w:t>are adjusted</w:t>
            </w:r>
            <w:r w:rsidR="00077AB7">
              <w:t>, with the aim of</w:t>
            </w:r>
            <w:r>
              <w:t xml:space="preserve"> </w:t>
            </w:r>
            <w:r w:rsidR="00DB7B32">
              <w:t>reduc</w:t>
            </w:r>
            <w:r w:rsidR="00077AB7">
              <w:t>ing</w:t>
            </w:r>
            <w:r w:rsidR="00DB7B32">
              <w:t xml:space="preserve"> </w:t>
            </w:r>
            <w:r w:rsidR="00077AB7">
              <w:t xml:space="preserve">how often seizures occur and </w:t>
            </w:r>
            <w:r w:rsidR="00315482">
              <w:t xml:space="preserve">how severe they are. </w:t>
            </w:r>
          </w:p>
          <w:p w14:paraId="34B17B1F" w14:textId="2EE8A346" w:rsidR="00BA1366" w:rsidRDefault="00C01485" w:rsidP="007774E0">
            <w:r>
              <w:t>MSAC compared deep brain stimulation to two other common treatmen</w:t>
            </w:r>
            <w:r w:rsidR="00083F3A">
              <w:t>t</w:t>
            </w:r>
            <w:r>
              <w:t>s,</w:t>
            </w:r>
            <w:r w:rsidR="00DA690C">
              <w:t xml:space="preserve"> </w:t>
            </w:r>
            <w:r>
              <w:t xml:space="preserve">which are vagus nerve stimulation and optimised medical therapy (medications). </w:t>
            </w:r>
            <w:r w:rsidR="2CBBE0DD">
              <w:t>Vagus nerve stimulation is similar to deep brain stimulation</w:t>
            </w:r>
            <w:r w:rsidR="00B93D02">
              <w:t xml:space="preserve"> </w:t>
            </w:r>
            <w:r w:rsidR="00386664">
              <w:t xml:space="preserve">and </w:t>
            </w:r>
            <w:r w:rsidR="00B93D02">
              <w:t>also involves the implantation of a device</w:t>
            </w:r>
            <w:r w:rsidR="00C84D3A">
              <w:t xml:space="preserve"> </w:t>
            </w:r>
            <w:r w:rsidR="0065633C">
              <w:t xml:space="preserve">in the chest </w:t>
            </w:r>
            <w:r w:rsidR="00B93D02">
              <w:t xml:space="preserve">and </w:t>
            </w:r>
            <w:r w:rsidR="00C92A91">
              <w:t>electrode</w:t>
            </w:r>
            <w:r w:rsidR="00CB7936">
              <w:t xml:space="preserve"> </w:t>
            </w:r>
            <w:r w:rsidR="00B93D02">
              <w:t>leads</w:t>
            </w:r>
            <w:r w:rsidR="00CB7936">
              <w:t xml:space="preserve"> to deliver electrical impulses</w:t>
            </w:r>
            <w:r w:rsidR="0DE408FD">
              <w:t xml:space="preserve"> and reduce the frequency and sever</w:t>
            </w:r>
            <w:r w:rsidR="695A8AC4">
              <w:t>ity of</w:t>
            </w:r>
            <w:r w:rsidR="0DE408FD">
              <w:t xml:space="preserve"> seizure</w:t>
            </w:r>
            <w:r w:rsidR="6A705B45">
              <w:t>s</w:t>
            </w:r>
            <w:r w:rsidR="681DFB65">
              <w:t>.</w:t>
            </w:r>
            <w:r w:rsidR="0065633C">
              <w:t xml:space="preserve"> The main difference is that </w:t>
            </w:r>
            <w:r w:rsidR="008F3F87">
              <w:t>in vagus nerve stimulation</w:t>
            </w:r>
            <w:r w:rsidR="0065633C">
              <w:t xml:space="preserve"> the leads </w:t>
            </w:r>
            <w:r w:rsidR="00386664">
              <w:t xml:space="preserve">are </w:t>
            </w:r>
            <w:r w:rsidR="0065633C">
              <w:t>connect</w:t>
            </w:r>
            <w:r w:rsidR="00386664">
              <w:t>ed</w:t>
            </w:r>
            <w:r w:rsidR="0065633C">
              <w:t xml:space="preserve"> to the vagus nerve</w:t>
            </w:r>
            <w:r w:rsidR="00386664">
              <w:t>, which is found</w:t>
            </w:r>
            <w:r w:rsidR="0065633C">
              <w:t xml:space="preserve"> in the </w:t>
            </w:r>
            <w:r w:rsidR="00386664">
              <w:t>neck</w:t>
            </w:r>
            <w:r w:rsidR="00002E3A">
              <w:t xml:space="preserve">, rather than </w:t>
            </w:r>
            <w:r w:rsidR="004A7105">
              <w:t xml:space="preserve">requiring </w:t>
            </w:r>
            <w:r w:rsidR="00740AA2">
              <w:t>brain surgery</w:t>
            </w:r>
            <w:r w:rsidR="00C54FF7">
              <w:t xml:space="preserve"> to place the electrodes.</w:t>
            </w:r>
          </w:p>
          <w:p w14:paraId="21B59522" w14:textId="60055D4E" w:rsidR="00C01485" w:rsidRDefault="00C01485" w:rsidP="007774E0">
            <w:r>
              <w:t xml:space="preserve">MSAC </w:t>
            </w:r>
            <w:r w:rsidR="6F5EDEB4">
              <w:t xml:space="preserve">considered </w:t>
            </w:r>
            <w:r w:rsidR="09B8AC35">
              <w:t xml:space="preserve">that </w:t>
            </w:r>
            <w:r>
              <w:t xml:space="preserve">there </w:t>
            </w:r>
            <w:r w:rsidR="3C8A8FC8">
              <w:t xml:space="preserve">was an insufficient amount of evidence </w:t>
            </w:r>
            <w:r w:rsidR="7B2F74F9">
              <w:t xml:space="preserve">presented </w:t>
            </w:r>
            <w:r w:rsidR="3C8A8FC8">
              <w:t xml:space="preserve">to </w:t>
            </w:r>
            <w:r w:rsidR="07FCA1C2">
              <w:t xml:space="preserve">confidently </w:t>
            </w:r>
            <w:r w:rsidR="3C8A8FC8">
              <w:t xml:space="preserve">support the safety and effectiveness </w:t>
            </w:r>
            <w:r w:rsidR="56D83933">
              <w:t xml:space="preserve">claims </w:t>
            </w:r>
            <w:r w:rsidR="3C8A8FC8">
              <w:t xml:space="preserve">of </w:t>
            </w:r>
            <w:r w:rsidR="5FF473BD">
              <w:t xml:space="preserve">deep brain stimulation </w:t>
            </w:r>
            <w:r w:rsidR="5AB9BCCC">
              <w:t>in epilepsy.</w:t>
            </w:r>
            <w:r w:rsidR="3C8A8FC8">
              <w:t xml:space="preserve"> </w:t>
            </w:r>
            <w:r w:rsidR="28C238E6">
              <w:t xml:space="preserve">MSAC </w:t>
            </w:r>
            <w:r w:rsidR="79FDD21A">
              <w:t xml:space="preserve">considered </w:t>
            </w:r>
            <w:r w:rsidR="437448E1">
              <w:t>there were issues with the presented evidence such as;</w:t>
            </w:r>
            <w:r w:rsidR="79FDD21A">
              <w:t xml:space="preserve"> </w:t>
            </w:r>
            <w:r w:rsidR="59C1AA52">
              <w:t>the</w:t>
            </w:r>
            <w:r>
              <w:t xml:space="preserve"> </w:t>
            </w:r>
            <w:r w:rsidR="30B176C5">
              <w:t xml:space="preserve">main </w:t>
            </w:r>
            <w:r w:rsidR="00A24856">
              <w:t>study</w:t>
            </w:r>
            <w:r w:rsidR="30B176C5">
              <w:t xml:space="preserve"> did not compare deep brain stimulation and vagus nerve stimulation for a long enough time</w:t>
            </w:r>
            <w:r w:rsidR="0A128A31">
              <w:t xml:space="preserve">, the </w:t>
            </w:r>
            <w:r w:rsidR="00CB5282">
              <w:t>number</w:t>
            </w:r>
            <w:r w:rsidR="0A128A31">
              <w:t xml:space="preserve"> of patients that stopped parti</w:t>
            </w:r>
            <w:r w:rsidR="6D296073">
              <w:t>ci</w:t>
            </w:r>
            <w:r w:rsidR="0A128A31">
              <w:t xml:space="preserve">pating in the main </w:t>
            </w:r>
            <w:r w:rsidR="00E36E19">
              <w:t>study</w:t>
            </w:r>
            <w:r w:rsidR="0A128A31">
              <w:t xml:space="preserve"> was very high and all the</w:t>
            </w:r>
            <w:r w:rsidR="30B176C5">
              <w:t xml:space="preserve"> </w:t>
            </w:r>
            <w:r>
              <w:t xml:space="preserve">studies were </w:t>
            </w:r>
            <w:r w:rsidR="003E7FA6">
              <w:t>relatively old (</w:t>
            </w:r>
            <w:r w:rsidR="009576CE">
              <w:t xml:space="preserve">they had been completed </w:t>
            </w:r>
            <w:r w:rsidR="003E7FA6">
              <w:t xml:space="preserve">at </w:t>
            </w:r>
            <w:r>
              <w:t xml:space="preserve">least 7 years </w:t>
            </w:r>
            <w:r w:rsidR="009576CE">
              <w:t>ago or more</w:t>
            </w:r>
            <w:r w:rsidR="003E7FA6">
              <w:t>)</w:t>
            </w:r>
            <w:r>
              <w:t xml:space="preserve">. </w:t>
            </w:r>
            <w:r w:rsidR="3FEB1368">
              <w:t xml:space="preserve">MSAC were also concerned about the insufficient amount of reporting </w:t>
            </w:r>
            <w:r w:rsidR="5F27E08B">
              <w:t xml:space="preserve">in the studies </w:t>
            </w:r>
            <w:r w:rsidR="3FEB1368">
              <w:t>on outcomes</w:t>
            </w:r>
            <w:r w:rsidR="4B5A5E99">
              <w:t xml:space="preserve"> and benefits</w:t>
            </w:r>
            <w:r w:rsidR="3FEB1368">
              <w:t xml:space="preserve"> that </w:t>
            </w:r>
            <w:r w:rsidR="0878BBBB">
              <w:t>are valued by</w:t>
            </w:r>
            <w:r w:rsidR="3FEB1368">
              <w:t xml:space="preserve"> patients</w:t>
            </w:r>
            <w:r w:rsidR="232F8AD5">
              <w:t xml:space="preserve"> (</w:t>
            </w:r>
            <w:r w:rsidR="009576CE">
              <w:t>e.g.</w:t>
            </w:r>
            <w:r w:rsidR="08E893D2">
              <w:t xml:space="preserve"> a difference measured on a test could be </w:t>
            </w:r>
            <w:r w:rsidR="6AF75CF8">
              <w:t xml:space="preserve">considered a benefit </w:t>
            </w:r>
            <w:r w:rsidR="08E893D2">
              <w:t>by a doctor</w:t>
            </w:r>
            <w:r w:rsidR="009576CE">
              <w:t>,</w:t>
            </w:r>
            <w:r w:rsidR="08E893D2">
              <w:t xml:space="preserve"> but a patient may not notice any </w:t>
            </w:r>
            <w:r w:rsidR="560FA782">
              <w:t xml:space="preserve">difference or improvement in their </w:t>
            </w:r>
            <w:r w:rsidR="0C97E52C">
              <w:t xml:space="preserve">day-to-day </w:t>
            </w:r>
            <w:r w:rsidR="560FA782">
              <w:t>life</w:t>
            </w:r>
            <w:r w:rsidR="3A37C473">
              <w:t>)</w:t>
            </w:r>
            <w:r w:rsidR="3FEB1368">
              <w:t xml:space="preserve">. </w:t>
            </w:r>
            <w:r>
              <w:t xml:space="preserve">MSAC </w:t>
            </w:r>
            <w:r w:rsidR="7EDC0FCC">
              <w:t>considered</w:t>
            </w:r>
            <w:r>
              <w:t xml:space="preserve"> that deep brain stimulation was not as safe</w:t>
            </w:r>
            <w:r w:rsidR="00432C9B">
              <w:t xml:space="preserve"> and</w:t>
            </w:r>
            <w:r>
              <w:t xml:space="preserve"> </w:t>
            </w:r>
            <w:r w:rsidR="00432C9B">
              <w:t xml:space="preserve">did not work better than </w:t>
            </w:r>
            <w:r w:rsidR="003B57B6">
              <w:t xml:space="preserve">the two other </w:t>
            </w:r>
            <w:r w:rsidR="00432C9B">
              <w:t xml:space="preserve">treatment </w:t>
            </w:r>
            <w:r w:rsidR="003B57B6">
              <w:t>options</w:t>
            </w:r>
            <w:r w:rsidR="00432C9B">
              <w:t xml:space="preserve"> it was </w:t>
            </w:r>
            <w:r w:rsidR="00917DD9">
              <w:t>being</w:t>
            </w:r>
            <w:r w:rsidR="00432C9B">
              <w:t xml:space="preserve"> </w:t>
            </w:r>
            <w:r w:rsidR="00917DD9">
              <w:t xml:space="preserve">compared </w:t>
            </w:r>
            <w:r w:rsidR="00432C9B">
              <w:t>to</w:t>
            </w:r>
            <w:r w:rsidR="6FA3E509">
              <w:t>.</w:t>
            </w:r>
            <w:r>
              <w:t xml:space="preserve"> </w:t>
            </w:r>
          </w:p>
          <w:p w14:paraId="4E270494" w14:textId="603201D9" w:rsidR="00C01485" w:rsidRPr="00AF46D8" w:rsidRDefault="00C01485" w:rsidP="000E1382">
            <w:pPr>
              <w:pStyle w:val="Heading3"/>
              <w:numPr>
                <w:ilvl w:val="0"/>
                <w:numId w:val="0"/>
              </w:numPr>
              <w:spacing w:before="240" w:after="120"/>
              <w:ind w:left="720" w:hanging="720"/>
              <w:outlineLvl w:val="2"/>
            </w:pPr>
            <w:r w:rsidRPr="00AF46D8">
              <w:t>MSAC’s advice to the Commonwealth Minister for Health</w:t>
            </w:r>
            <w:r w:rsidR="00C74918">
              <w:t xml:space="preserve"> and Aged Care</w:t>
            </w:r>
          </w:p>
          <w:p w14:paraId="49E789B1" w14:textId="1F1FD2BC" w:rsidR="00C01485" w:rsidRPr="00AF46D8" w:rsidRDefault="00C01485" w:rsidP="000E1382">
            <w:pPr>
              <w:spacing w:after="120"/>
            </w:pPr>
            <w:r w:rsidRPr="00FA1947">
              <w:rPr>
                <w:szCs w:val="24"/>
              </w:rPr>
              <w:t>MSAC did not support the public funding of deep brain stimulation of the thalamus for the treatment of patients with severe treatment refractory epilepsy.</w:t>
            </w:r>
            <w:r>
              <w:rPr>
                <w:szCs w:val="24"/>
              </w:rPr>
              <w:t xml:space="preserve"> MSAC noted that the evidence was relatively old and that there was not enough long-term data relating to </w:t>
            </w:r>
            <w:r w:rsidR="00432C9B">
              <w:rPr>
                <w:szCs w:val="24"/>
              </w:rPr>
              <w:t xml:space="preserve">the </w:t>
            </w:r>
            <w:r>
              <w:rPr>
                <w:szCs w:val="24"/>
              </w:rPr>
              <w:t>safety and effectiveness</w:t>
            </w:r>
            <w:r w:rsidR="00432C9B">
              <w:rPr>
                <w:szCs w:val="24"/>
              </w:rPr>
              <w:t xml:space="preserve"> of deep brain stimulation in epilepsy</w:t>
            </w:r>
            <w:r>
              <w:rPr>
                <w:szCs w:val="24"/>
              </w:rPr>
              <w:t xml:space="preserve">. </w:t>
            </w:r>
          </w:p>
        </w:tc>
      </w:tr>
    </w:tbl>
    <w:p w14:paraId="5E5F6F69" w14:textId="15B94C7F" w:rsidR="00A52CA3" w:rsidRDefault="00A52CA3" w:rsidP="007C29EB">
      <w:pPr>
        <w:pStyle w:val="Heading2"/>
        <w:numPr>
          <w:ilvl w:val="0"/>
          <w:numId w:val="0"/>
        </w:numPr>
      </w:pPr>
      <w:r>
        <w:lastRenderedPageBreak/>
        <w:t>3.</w:t>
      </w:r>
      <w:r>
        <w:tab/>
        <w:t>Summary of consideration and rationale for MSAC’s advice</w:t>
      </w:r>
    </w:p>
    <w:p w14:paraId="21301FC5" w14:textId="3CA9F43F" w:rsidR="00A2322F" w:rsidRDefault="0056395F" w:rsidP="00BE6037">
      <w:pPr>
        <w:keepLines/>
        <w:rPr>
          <w:rStyle w:val="normaltextrun"/>
          <w:color w:val="000000"/>
          <w:shd w:val="clear" w:color="auto" w:fill="FFFFFF"/>
        </w:rPr>
      </w:pPr>
      <w:r>
        <w:t xml:space="preserve">MSAC noted that this </w:t>
      </w:r>
      <w:r w:rsidR="006D7E91">
        <w:t xml:space="preserve">was </w:t>
      </w:r>
      <w:r>
        <w:t>a</w:t>
      </w:r>
      <w:r w:rsidRPr="00361896">
        <w:t xml:space="preserve">n application from the Neurological Society of Australasia requesting Medicare Benefits Schedule (MBS) listing of deep brain stimulation (DBS) of the </w:t>
      </w:r>
      <w:r w:rsidR="00844FA7">
        <w:t xml:space="preserve">anterior </w:t>
      </w:r>
      <w:r w:rsidRPr="00361896">
        <w:t xml:space="preserve">thalamus for the </w:t>
      </w:r>
      <w:r w:rsidR="00E816B7">
        <w:t>management</w:t>
      </w:r>
      <w:r w:rsidR="006748B4">
        <w:t xml:space="preserve"> </w:t>
      </w:r>
      <w:r w:rsidRPr="00361896">
        <w:t xml:space="preserve">of severe </w:t>
      </w:r>
      <w:r w:rsidR="00701365">
        <w:t xml:space="preserve">treatment </w:t>
      </w:r>
      <w:r w:rsidRPr="00361896">
        <w:t>refractory epilepsy</w:t>
      </w:r>
      <w:r>
        <w:t>.</w:t>
      </w:r>
      <w:r w:rsidRPr="00361896">
        <w:t xml:space="preserve"> </w:t>
      </w:r>
      <w:r w:rsidR="00A2322F">
        <w:t xml:space="preserve">MSAC noted the application sought to add this </w:t>
      </w:r>
      <w:r w:rsidR="00D77B52">
        <w:t xml:space="preserve">indication to </w:t>
      </w:r>
      <w:r w:rsidR="00A2322F">
        <w:t>existing MBS listings for DBS in the treatment of Parki</w:t>
      </w:r>
      <w:r w:rsidR="00D77B52">
        <w:t>n</w:t>
      </w:r>
      <w:r w:rsidR="00A2322F">
        <w:t>son’s disease</w:t>
      </w:r>
      <w:r w:rsidR="002E0600">
        <w:t xml:space="preserve">, </w:t>
      </w:r>
      <w:r w:rsidR="00D77B52">
        <w:t>essential</w:t>
      </w:r>
      <w:r w:rsidR="00A2322F">
        <w:t xml:space="preserve"> tremor </w:t>
      </w:r>
      <w:r w:rsidR="00D77B52">
        <w:t xml:space="preserve">and dystonia. </w:t>
      </w:r>
      <w:r w:rsidR="00CA1D5A">
        <w:t xml:space="preserve">MSAC noted </w:t>
      </w:r>
      <w:r w:rsidR="00622683">
        <w:t xml:space="preserve">there are very few </w:t>
      </w:r>
      <w:r w:rsidR="0080287E">
        <w:t>patients with this condition</w:t>
      </w:r>
      <w:r w:rsidR="007B6893">
        <w:t>,</w:t>
      </w:r>
      <w:r w:rsidR="0080287E">
        <w:t xml:space="preserve"> </w:t>
      </w:r>
      <w:r w:rsidR="007B6893">
        <w:t xml:space="preserve">but they </w:t>
      </w:r>
      <w:r w:rsidR="0080287E">
        <w:t xml:space="preserve">experience a high burden of disease and </w:t>
      </w:r>
      <w:r w:rsidR="00CA1D5A">
        <w:rPr>
          <w:rStyle w:val="normaltextrun"/>
          <w:color w:val="000000"/>
          <w:shd w:val="clear" w:color="auto" w:fill="FFFFFF"/>
        </w:rPr>
        <w:t xml:space="preserve">the overall aim of </w:t>
      </w:r>
      <w:r w:rsidR="00844FA7">
        <w:rPr>
          <w:rStyle w:val="normaltextrun"/>
          <w:color w:val="000000"/>
          <w:shd w:val="clear" w:color="auto" w:fill="FFFFFF"/>
        </w:rPr>
        <w:t>undergo</w:t>
      </w:r>
      <w:r w:rsidR="00362885">
        <w:rPr>
          <w:rStyle w:val="normaltextrun"/>
          <w:color w:val="000000"/>
          <w:shd w:val="clear" w:color="auto" w:fill="FFFFFF"/>
        </w:rPr>
        <w:t>ing</w:t>
      </w:r>
      <w:r w:rsidR="00844FA7">
        <w:rPr>
          <w:rStyle w:val="normaltextrun"/>
          <w:color w:val="000000"/>
          <w:shd w:val="clear" w:color="auto" w:fill="FFFFFF"/>
        </w:rPr>
        <w:t xml:space="preserve"> </w:t>
      </w:r>
      <w:r w:rsidR="00CA1D5A">
        <w:rPr>
          <w:rStyle w:val="normaltextrun"/>
          <w:color w:val="000000"/>
          <w:shd w:val="clear" w:color="auto" w:fill="FFFFFF"/>
        </w:rPr>
        <w:t xml:space="preserve">DBS is to </w:t>
      </w:r>
      <w:r w:rsidR="00191CB4">
        <w:rPr>
          <w:rStyle w:val="normaltextrun"/>
          <w:color w:val="000000"/>
          <w:shd w:val="clear" w:color="auto" w:fill="FFFFFF"/>
        </w:rPr>
        <w:t xml:space="preserve">manage the condition better </w:t>
      </w:r>
      <w:r w:rsidR="0054734B">
        <w:rPr>
          <w:rStyle w:val="normaltextrun"/>
          <w:color w:val="000000"/>
          <w:shd w:val="clear" w:color="auto" w:fill="FFFFFF"/>
        </w:rPr>
        <w:t xml:space="preserve">by </w:t>
      </w:r>
      <w:r w:rsidR="00CA1D5A">
        <w:rPr>
          <w:rStyle w:val="normaltextrun"/>
          <w:color w:val="000000"/>
          <w:shd w:val="clear" w:color="auto" w:fill="FFFFFF"/>
        </w:rPr>
        <w:t>reduc</w:t>
      </w:r>
      <w:r w:rsidR="0054734B">
        <w:rPr>
          <w:rStyle w:val="normaltextrun"/>
          <w:color w:val="000000"/>
          <w:shd w:val="clear" w:color="auto" w:fill="FFFFFF"/>
        </w:rPr>
        <w:t>ing</w:t>
      </w:r>
      <w:r w:rsidR="00CA1D5A">
        <w:rPr>
          <w:rStyle w:val="normaltextrun"/>
          <w:color w:val="000000"/>
          <w:shd w:val="clear" w:color="auto" w:fill="FFFFFF"/>
        </w:rPr>
        <w:t xml:space="preserve"> the frequency and severity of epileptic seizures and </w:t>
      </w:r>
      <w:r w:rsidR="0054734B">
        <w:rPr>
          <w:rStyle w:val="normaltextrun"/>
          <w:color w:val="000000"/>
          <w:shd w:val="clear" w:color="auto" w:fill="FFFFFF"/>
        </w:rPr>
        <w:t xml:space="preserve">thereby </w:t>
      </w:r>
      <w:r w:rsidR="00CA1D5A">
        <w:rPr>
          <w:rStyle w:val="normaltextrun"/>
          <w:color w:val="000000"/>
          <w:shd w:val="clear" w:color="auto" w:fill="FFFFFF"/>
        </w:rPr>
        <w:t>improv</w:t>
      </w:r>
      <w:r w:rsidR="002E0600">
        <w:rPr>
          <w:rStyle w:val="normaltextrun"/>
          <w:color w:val="000000"/>
          <w:shd w:val="clear" w:color="auto" w:fill="FFFFFF"/>
        </w:rPr>
        <w:t>ing</w:t>
      </w:r>
      <w:r w:rsidR="00CA1D5A">
        <w:rPr>
          <w:rStyle w:val="normaltextrun"/>
          <w:color w:val="000000"/>
          <w:shd w:val="clear" w:color="auto" w:fill="FFFFFF"/>
        </w:rPr>
        <w:t xml:space="preserve"> quality</w:t>
      </w:r>
      <w:r w:rsidR="006530B1">
        <w:rPr>
          <w:rStyle w:val="normaltextrun"/>
          <w:color w:val="000000"/>
          <w:shd w:val="clear" w:color="auto" w:fill="FFFFFF"/>
        </w:rPr>
        <w:t>-</w:t>
      </w:r>
      <w:r w:rsidR="00CA1D5A">
        <w:rPr>
          <w:rStyle w:val="normaltextrun"/>
          <w:color w:val="000000"/>
          <w:shd w:val="clear" w:color="auto" w:fill="FFFFFF"/>
        </w:rPr>
        <w:t>of</w:t>
      </w:r>
      <w:r w:rsidR="006530B1">
        <w:rPr>
          <w:rStyle w:val="normaltextrun"/>
          <w:color w:val="000000"/>
          <w:shd w:val="clear" w:color="auto" w:fill="FFFFFF"/>
        </w:rPr>
        <w:t>-</w:t>
      </w:r>
      <w:r w:rsidR="00CA1D5A">
        <w:rPr>
          <w:rStyle w:val="normaltextrun"/>
          <w:color w:val="000000"/>
          <w:shd w:val="clear" w:color="auto" w:fill="FFFFFF"/>
        </w:rPr>
        <w:t>life</w:t>
      </w:r>
      <w:r w:rsidR="006530B1">
        <w:rPr>
          <w:rStyle w:val="normaltextrun"/>
          <w:color w:val="000000"/>
          <w:shd w:val="clear" w:color="auto" w:fill="FFFFFF"/>
        </w:rPr>
        <w:t xml:space="preserve"> (QoL)</w:t>
      </w:r>
      <w:r w:rsidR="00362885">
        <w:rPr>
          <w:rStyle w:val="normaltextrun"/>
          <w:color w:val="000000"/>
          <w:shd w:val="clear" w:color="auto" w:fill="FFFFFF"/>
        </w:rPr>
        <w:t xml:space="preserve"> for the patient</w:t>
      </w:r>
      <w:r w:rsidR="00CA1D5A">
        <w:rPr>
          <w:rStyle w:val="normaltextrun"/>
          <w:color w:val="000000"/>
          <w:shd w:val="clear" w:color="auto" w:fill="FFFFFF"/>
        </w:rPr>
        <w:t xml:space="preserve">. </w:t>
      </w:r>
    </w:p>
    <w:p w14:paraId="21ED945A" w14:textId="6682E63B" w:rsidR="0056395F" w:rsidRDefault="001A184A" w:rsidP="00BE6037">
      <w:pPr>
        <w:keepLines/>
        <w:rPr>
          <w:rStyle w:val="eop"/>
          <w:color w:val="000000"/>
          <w:shd w:val="clear" w:color="auto" w:fill="FFFFFF"/>
        </w:rPr>
      </w:pPr>
      <w:r>
        <w:lastRenderedPageBreak/>
        <w:t xml:space="preserve">MSAC noted ESC advice that the </w:t>
      </w:r>
      <w:r w:rsidR="00B943D7">
        <w:t xml:space="preserve">therapy should be restricted to focal epilepsy based on the current available evidence. </w:t>
      </w:r>
      <w:r w:rsidR="006D7E91">
        <w:t>During the evaluation</w:t>
      </w:r>
      <w:r w:rsidR="00D05928">
        <w:t>,</w:t>
      </w:r>
      <w:r w:rsidR="006D7E91">
        <w:t xml:space="preserve"> severe </w:t>
      </w:r>
      <w:r w:rsidR="0048456F">
        <w:t>treatment</w:t>
      </w:r>
      <w:r w:rsidR="006D7E91">
        <w:t xml:space="preserve"> refractory epilepsy was </w:t>
      </w:r>
      <w:r w:rsidR="004A3C64">
        <w:t xml:space="preserve">used to </w:t>
      </w:r>
      <w:r w:rsidR="00D05928">
        <w:t xml:space="preserve">describe </w:t>
      </w:r>
      <w:r w:rsidR="00993F09">
        <w:t xml:space="preserve">where a </w:t>
      </w:r>
      <w:r w:rsidR="000906D1">
        <w:t>patient’s</w:t>
      </w:r>
      <w:r w:rsidR="00993F09">
        <w:t xml:space="preserve"> condition had become treatment refractory (and not just drug refractory)</w:t>
      </w:r>
      <w:r w:rsidR="009A2D5B">
        <w:t>.</w:t>
      </w:r>
      <w:r w:rsidR="0056395F" w:rsidRPr="00361896">
        <w:t xml:space="preserve"> </w:t>
      </w:r>
      <w:r w:rsidR="0078327D">
        <w:t>Drug refractory</w:t>
      </w:r>
      <w:r w:rsidR="000906D1">
        <w:t xml:space="preserve"> was defined as </w:t>
      </w:r>
      <w:r w:rsidR="00E20A0B">
        <w:t xml:space="preserve">a patient who </w:t>
      </w:r>
      <w:r w:rsidR="0056395F" w:rsidRPr="00361896">
        <w:t>continue</w:t>
      </w:r>
      <w:r w:rsidR="00E20A0B">
        <w:t>d</w:t>
      </w:r>
      <w:r w:rsidR="0056395F" w:rsidRPr="00361896">
        <w:t xml:space="preserve"> to experience seizures despite the use of 2 or more antiepileptic medications (</w:t>
      </w:r>
      <w:r w:rsidR="0056395F">
        <w:t xml:space="preserve">referred to as </w:t>
      </w:r>
      <w:r w:rsidR="00E20A0B">
        <w:t>optimised medical therapy (</w:t>
      </w:r>
      <w:r w:rsidR="0056395F">
        <w:t>OMT</w:t>
      </w:r>
      <w:r w:rsidR="00E20A0B">
        <w:t>)</w:t>
      </w:r>
      <w:r w:rsidR="0056395F">
        <w:t>)</w:t>
      </w:r>
      <w:r w:rsidR="0056395F" w:rsidRPr="00361896">
        <w:t xml:space="preserve"> at therapeutic doses. </w:t>
      </w:r>
      <w:r w:rsidR="007B6893">
        <w:t xml:space="preserve">MSAC noted that </w:t>
      </w:r>
      <w:r w:rsidR="00EA5C78">
        <w:t>I</w:t>
      </w:r>
      <w:r w:rsidR="0042453D">
        <w:t xml:space="preserve">nternational </w:t>
      </w:r>
      <w:r w:rsidR="00EA5C78">
        <w:t>L</w:t>
      </w:r>
      <w:r w:rsidR="00946F98">
        <w:t xml:space="preserve">eague </w:t>
      </w:r>
      <w:r w:rsidR="00EA5C78">
        <w:t>A</w:t>
      </w:r>
      <w:r w:rsidR="00946F98">
        <w:t xml:space="preserve">gainst </w:t>
      </w:r>
      <w:r w:rsidR="00EA5C78">
        <w:t>E</w:t>
      </w:r>
      <w:r w:rsidR="00946F98">
        <w:t xml:space="preserve">pilepsy </w:t>
      </w:r>
      <w:r w:rsidR="0042453D">
        <w:t xml:space="preserve">guidelines </w:t>
      </w:r>
      <w:r w:rsidR="00DD138B">
        <w:t>require</w:t>
      </w:r>
      <w:r w:rsidR="002F34CE">
        <w:t xml:space="preserve"> drug refractory to be</w:t>
      </w:r>
      <w:r w:rsidR="00DD138B">
        <w:t xml:space="preserve"> demonstrate</w:t>
      </w:r>
      <w:r w:rsidR="002F34CE">
        <w:t xml:space="preserve">d by resistance to </w:t>
      </w:r>
      <w:r w:rsidR="00D72271">
        <w:t>2</w:t>
      </w:r>
      <w:r w:rsidR="002F34CE">
        <w:t xml:space="preserve"> antiepileptic medications</w:t>
      </w:r>
      <w:r w:rsidR="0008417D">
        <w:rPr>
          <w:rStyle w:val="FootnoteReference"/>
        </w:rPr>
        <w:footnoteReference w:id="2"/>
      </w:r>
      <w:r w:rsidR="002F34CE">
        <w:t>.</w:t>
      </w:r>
      <w:r w:rsidR="0056395F" w:rsidRPr="00361896">
        <w:t xml:space="preserve"> </w:t>
      </w:r>
      <w:r w:rsidR="00AF431F">
        <w:t>E</w:t>
      </w:r>
      <w:r w:rsidR="0056395F" w:rsidRPr="00361896">
        <w:t xml:space="preserve">ligible patients must </w:t>
      </w:r>
      <w:r w:rsidR="00AF431F">
        <w:t>also</w:t>
      </w:r>
      <w:r w:rsidR="0056395F" w:rsidRPr="00361896">
        <w:t xml:space="preserve"> have been considered for curative resective brain surgery and be either deemed unsuitable or treated unsuccessfully. </w:t>
      </w:r>
      <w:r w:rsidR="0078327D">
        <w:t>MSAC noted ESC</w:t>
      </w:r>
      <w:r w:rsidR="00CF5FC3">
        <w:t xml:space="preserve">’s addition that patient refusal to consent to resective brain surgery should also be considered. </w:t>
      </w:r>
      <w:r w:rsidR="0056395F" w:rsidRPr="00361896">
        <w:t xml:space="preserve">Lastly, all eligible patients will have been referred to and assessed by a </w:t>
      </w:r>
      <w:r w:rsidR="00486B56">
        <w:t>comprehensive epilepsy program (</w:t>
      </w:r>
      <w:r w:rsidR="0056395F">
        <w:t>CEP</w:t>
      </w:r>
      <w:r w:rsidR="00486B56">
        <w:t>)</w:t>
      </w:r>
      <w:r w:rsidR="0056395F" w:rsidRPr="00361896">
        <w:t>, which is a 1–2-week inpatient program providing comprehensive assessment of patients with uncontrolled epilepsy.</w:t>
      </w:r>
      <w:r w:rsidR="0056395F">
        <w:rPr>
          <w:rStyle w:val="eop"/>
          <w:color w:val="000000"/>
          <w:shd w:val="clear" w:color="auto" w:fill="FFFFFF"/>
        </w:rPr>
        <w:t> </w:t>
      </w:r>
    </w:p>
    <w:p w14:paraId="3F663969" w14:textId="3CCC18A4" w:rsidR="008D20F9" w:rsidRDefault="00463EC6" w:rsidP="00BE6037">
      <w:pPr>
        <w:keepLines/>
        <w:rPr>
          <w:szCs w:val="24"/>
        </w:rPr>
      </w:pPr>
      <w:r>
        <w:t>M</w:t>
      </w:r>
      <w:r w:rsidR="0084367D" w:rsidRPr="00305347">
        <w:t xml:space="preserve">SAC </w:t>
      </w:r>
      <w:r w:rsidR="00D42A25">
        <w:t>considered that</w:t>
      </w:r>
      <w:r w:rsidR="0084367D">
        <w:t xml:space="preserve"> the </w:t>
      </w:r>
      <w:r w:rsidR="0084367D" w:rsidRPr="00305347">
        <w:rPr>
          <w:szCs w:val="24"/>
        </w:rPr>
        <w:t xml:space="preserve">small number of patients </w:t>
      </w:r>
      <w:r w:rsidR="0084367D">
        <w:rPr>
          <w:szCs w:val="24"/>
        </w:rPr>
        <w:t>included in the studies</w:t>
      </w:r>
      <w:r w:rsidR="006B3ACA">
        <w:rPr>
          <w:szCs w:val="24"/>
        </w:rPr>
        <w:t>, and the age</w:t>
      </w:r>
      <w:r w:rsidR="0084367D">
        <w:rPr>
          <w:szCs w:val="24"/>
        </w:rPr>
        <w:t xml:space="preserve"> </w:t>
      </w:r>
      <w:r w:rsidR="00D42A25">
        <w:rPr>
          <w:szCs w:val="24"/>
        </w:rPr>
        <w:t xml:space="preserve">of the studies, </w:t>
      </w:r>
      <w:r w:rsidR="00362885">
        <w:rPr>
          <w:szCs w:val="24"/>
        </w:rPr>
        <w:t xml:space="preserve">having been </w:t>
      </w:r>
      <w:r w:rsidR="00D42A25" w:rsidRPr="00305347">
        <w:rPr>
          <w:szCs w:val="24"/>
        </w:rPr>
        <w:t>conducted between the early 1990s and 2015</w:t>
      </w:r>
      <w:r w:rsidR="00570CE1">
        <w:rPr>
          <w:szCs w:val="24"/>
        </w:rPr>
        <w:t xml:space="preserve">, limited the </w:t>
      </w:r>
      <w:r w:rsidR="00570CE1" w:rsidRPr="00305347">
        <w:rPr>
          <w:szCs w:val="24"/>
        </w:rPr>
        <w:t xml:space="preserve">applicability and validity of the </w:t>
      </w:r>
      <w:r w:rsidR="00F058DF">
        <w:rPr>
          <w:szCs w:val="24"/>
        </w:rPr>
        <w:t xml:space="preserve">comparisons between </w:t>
      </w:r>
      <w:r w:rsidR="00570CE1" w:rsidRPr="00305347">
        <w:rPr>
          <w:szCs w:val="24"/>
        </w:rPr>
        <w:t>DBS and VNS</w:t>
      </w:r>
      <w:r w:rsidR="00F058DF">
        <w:rPr>
          <w:szCs w:val="24"/>
        </w:rPr>
        <w:t>, given the</w:t>
      </w:r>
      <w:r w:rsidR="00117546">
        <w:rPr>
          <w:szCs w:val="24"/>
        </w:rPr>
        <w:t xml:space="preserve"> </w:t>
      </w:r>
      <w:r w:rsidR="00FF5D2E">
        <w:rPr>
          <w:szCs w:val="24"/>
        </w:rPr>
        <w:t>improvement</w:t>
      </w:r>
      <w:r w:rsidR="00475516">
        <w:rPr>
          <w:szCs w:val="24"/>
        </w:rPr>
        <w:t>s</w:t>
      </w:r>
      <w:r w:rsidR="00FF5D2E">
        <w:rPr>
          <w:szCs w:val="24"/>
        </w:rPr>
        <w:t xml:space="preserve"> in both </w:t>
      </w:r>
      <w:r w:rsidR="00225A43">
        <w:rPr>
          <w:szCs w:val="24"/>
        </w:rPr>
        <w:t xml:space="preserve">hardware design and clinical </w:t>
      </w:r>
      <w:r w:rsidR="00E24B1B">
        <w:rPr>
          <w:szCs w:val="24"/>
        </w:rPr>
        <w:t>efficacy</w:t>
      </w:r>
      <w:r w:rsidR="00362885">
        <w:rPr>
          <w:szCs w:val="24"/>
        </w:rPr>
        <w:t xml:space="preserve"> over the last decade</w:t>
      </w:r>
      <w:r w:rsidR="00117546">
        <w:rPr>
          <w:szCs w:val="24"/>
        </w:rPr>
        <w:t>.</w:t>
      </w:r>
      <w:r w:rsidR="00F058DF">
        <w:rPr>
          <w:szCs w:val="24"/>
        </w:rPr>
        <w:t xml:space="preserve"> </w:t>
      </w:r>
      <w:r w:rsidR="00541053">
        <w:t xml:space="preserve">MSAC noted that none of the included studies directly compared DBS with OMT and only one small self-controlled case-series study </w:t>
      </w:r>
      <w:r w:rsidR="00435C9F">
        <w:t xml:space="preserve">(n=11) </w:t>
      </w:r>
      <w:r w:rsidR="00541053">
        <w:t>directly compared DBS with VNS</w:t>
      </w:r>
      <w:r w:rsidR="00721C2D">
        <w:t xml:space="preserve"> but had a high risk </w:t>
      </w:r>
      <w:r w:rsidR="0061577D">
        <w:t>of bias</w:t>
      </w:r>
      <w:r w:rsidR="00541053">
        <w:t>.</w:t>
      </w:r>
      <w:r w:rsidR="00541053" w:rsidRPr="00305347">
        <w:rPr>
          <w:szCs w:val="24"/>
        </w:rPr>
        <w:t xml:space="preserve"> </w:t>
      </w:r>
      <w:r w:rsidR="00AF431F">
        <w:rPr>
          <w:szCs w:val="24"/>
        </w:rPr>
        <w:t>MSAC noted the</w:t>
      </w:r>
      <w:r w:rsidR="0056395F" w:rsidRPr="00305347">
        <w:rPr>
          <w:szCs w:val="24"/>
        </w:rPr>
        <w:t xml:space="preserve"> </w:t>
      </w:r>
      <w:r w:rsidR="007902D5">
        <w:rPr>
          <w:szCs w:val="24"/>
        </w:rPr>
        <w:t>pi</w:t>
      </w:r>
      <w:r w:rsidR="00DD2607">
        <w:rPr>
          <w:szCs w:val="24"/>
        </w:rPr>
        <w:t xml:space="preserve">votal trial was the </w:t>
      </w:r>
      <w:r w:rsidR="0056395F" w:rsidRPr="00305347">
        <w:rPr>
          <w:szCs w:val="24"/>
        </w:rPr>
        <w:t xml:space="preserve">SANTE trial </w:t>
      </w:r>
      <w:r w:rsidR="00DD2607">
        <w:rPr>
          <w:szCs w:val="24"/>
        </w:rPr>
        <w:t>which compared DBS to sham DBS</w:t>
      </w:r>
      <w:r w:rsidR="00676F34">
        <w:rPr>
          <w:szCs w:val="24"/>
        </w:rPr>
        <w:t xml:space="preserve"> and was well-conducted with low risk of bias</w:t>
      </w:r>
      <w:r w:rsidR="00DD2607">
        <w:rPr>
          <w:szCs w:val="24"/>
        </w:rPr>
        <w:t>,</w:t>
      </w:r>
      <w:r w:rsidR="0056395F" w:rsidRPr="00305347">
        <w:rPr>
          <w:szCs w:val="24"/>
        </w:rPr>
        <w:t xml:space="preserve"> </w:t>
      </w:r>
      <w:r w:rsidR="007902D5">
        <w:rPr>
          <w:szCs w:val="24"/>
        </w:rPr>
        <w:t xml:space="preserve">but it had a </w:t>
      </w:r>
      <w:r w:rsidR="007902D5" w:rsidRPr="00305347">
        <w:rPr>
          <w:szCs w:val="24"/>
        </w:rPr>
        <w:t>high drop-out rate</w:t>
      </w:r>
      <w:r w:rsidR="007902D5">
        <w:rPr>
          <w:szCs w:val="24"/>
        </w:rPr>
        <w:t xml:space="preserve"> over an extended follow-up timeframe;</w:t>
      </w:r>
      <w:r w:rsidR="007902D5" w:rsidRPr="00305347">
        <w:rPr>
          <w:szCs w:val="24"/>
        </w:rPr>
        <w:t xml:space="preserve"> </w:t>
      </w:r>
      <w:r w:rsidR="0056395F" w:rsidRPr="00305347">
        <w:rPr>
          <w:szCs w:val="24"/>
        </w:rPr>
        <w:t>the long-term retention of subjects in the study was 66% at the 7-year visit.</w:t>
      </w:r>
      <w:r w:rsidR="0011483A">
        <w:rPr>
          <w:szCs w:val="24"/>
        </w:rPr>
        <w:t xml:space="preserve"> </w:t>
      </w:r>
      <w:r w:rsidR="00A02B42">
        <w:rPr>
          <w:szCs w:val="24"/>
        </w:rPr>
        <w:t xml:space="preserve">VNS </w:t>
      </w:r>
      <w:r w:rsidR="003834B8">
        <w:rPr>
          <w:szCs w:val="24"/>
        </w:rPr>
        <w:t>and OMT</w:t>
      </w:r>
      <w:r w:rsidR="00D74676">
        <w:rPr>
          <w:szCs w:val="24"/>
        </w:rPr>
        <w:t xml:space="preserve"> </w:t>
      </w:r>
      <w:r w:rsidR="00A02B42">
        <w:rPr>
          <w:szCs w:val="24"/>
        </w:rPr>
        <w:t>data</w:t>
      </w:r>
      <w:r w:rsidR="00D74676">
        <w:rPr>
          <w:szCs w:val="24"/>
        </w:rPr>
        <w:t xml:space="preserve"> from the</w:t>
      </w:r>
      <w:r w:rsidR="00D519DE">
        <w:rPr>
          <w:szCs w:val="24"/>
        </w:rPr>
        <w:t xml:space="preserve"> PULSE trial </w:t>
      </w:r>
      <w:r w:rsidR="008D20F9">
        <w:rPr>
          <w:szCs w:val="24"/>
        </w:rPr>
        <w:t>were</w:t>
      </w:r>
      <w:r w:rsidR="009A4A20">
        <w:rPr>
          <w:szCs w:val="24"/>
        </w:rPr>
        <w:t xml:space="preserve"> applied as an indirect comparison</w:t>
      </w:r>
      <w:r w:rsidR="006A60A8">
        <w:rPr>
          <w:szCs w:val="24"/>
        </w:rPr>
        <w:t xml:space="preserve"> for DBS versus OMT</w:t>
      </w:r>
      <w:r w:rsidR="009A4A20">
        <w:rPr>
          <w:szCs w:val="24"/>
        </w:rPr>
        <w:t xml:space="preserve">. </w:t>
      </w:r>
      <w:r w:rsidR="006E4850">
        <w:rPr>
          <w:szCs w:val="24"/>
        </w:rPr>
        <w:t xml:space="preserve">MSAC </w:t>
      </w:r>
      <w:r w:rsidR="00023148">
        <w:rPr>
          <w:szCs w:val="24"/>
        </w:rPr>
        <w:t>noted</w:t>
      </w:r>
      <w:r w:rsidR="002C28CC">
        <w:rPr>
          <w:szCs w:val="24"/>
        </w:rPr>
        <w:t xml:space="preserve"> </w:t>
      </w:r>
      <w:r w:rsidR="0056395F" w:rsidRPr="00555A2E">
        <w:rPr>
          <w:szCs w:val="24"/>
        </w:rPr>
        <w:t xml:space="preserve">the available evidence </w:t>
      </w:r>
      <w:r w:rsidR="002C28CC">
        <w:rPr>
          <w:szCs w:val="24"/>
        </w:rPr>
        <w:t xml:space="preserve">was limited </w:t>
      </w:r>
      <w:r w:rsidR="00DD5077">
        <w:rPr>
          <w:szCs w:val="24"/>
        </w:rPr>
        <w:t>on the</w:t>
      </w:r>
      <w:r w:rsidR="0056395F" w:rsidRPr="00555A2E">
        <w:rPr>
          <w:szCs w:val="24"/>
        </w:rPr>
        <w:t xml:space="preserve"> use of DBS in older patients </w:t>
      </w:r>
      <w:r w:rsidR="00DD5077">
        <w:rPr>
          <w:szCs w:val="24"/>
        </w:rPr>
        <w:t>and</w:t>
      </w:r>
      <w:r w:rsidR="0056395F" w:rsidRPr="00555A2E">
        <w:rPr>
          <w:szCs w:val="24"/>
        </w:rPr>
        <w:t xml:space="preserve"> young adults</w:t>
      </w:r>
      <w:r w:rsidR="00A24AFB">
        <w:rPr>
          <w:szCs w:val="24"/>
        </w:rPr>
        <w:t xml:space="preserve">, due to the average age of patients undergoing DBS </w:t>
      </w:r>
      <w:r w:rsidR="00023148">
        <w:rPr>
          <w:szCs w:val="24"/>
        </w:rPr>
        <w:t>in the studies</w:t>
      </w:r>
      <w:r w:rsidR="00A24AFB">
        <w:rPr>
          <w:szCs w:val="24"/>
        </w:rPr>
        <w:t xml:space="preserve"> ranging from 28 to 40 years.</w:t>
      </w:r>
      <w:r w:rsidR="00677661">
        <w:rPr>
          <w:szCs w:val="24"/>
        </w:rPr>
        <w:t xml:space="preserve"> </w:t>
      </w:r>
      <w:r w:rsidR="00C25EF2">
        <w:rPr>
          <w:szCs w:val="24"/>
        </w:rPr>
        <w:t xml:space="preserve">MSAC considered the item </w:t>
      </w:r>
      <w:r w:rsidR="00003A17">
        <w:rPr>
          <w:szCs w:val="24"/>
        </w:rPr>
        <w:t>descript</w:t>
      </w:r>
      <w:r w:rsidR="00AD59E8">
        <w:rPr>
          <w:szCs w:val="24"/>
        </w:rPr>
        <w:t xml:space="preserve">or should limit the </w:t>
      </w:r>
      <w:r w:rsidR="00ED5F6A">
        <w:rPr>
          <w:szCs w:val="24"/>
        </w:rPr>
        <w:t>item to adults.</w:t>
      </w:r>
    </w:p>
    <w:p w14:paraId="44213460" w14:textId="067BB06E" w:rsidR="0056395F" w:rsidRPr="00326AA2" w:rsidRDefault="008E60B1" w:rsidP="00BE6037">
      <w:pPr>
        <w:keepLines/>
      </w:pPr>
      <w:r w:rsidRPr="00326AA2">
        <w:t xml:space="preserve">MSAC noted the </w:t>
      </w:r>
      <w:r w:rsidR="0056395F" w:rsidRPr="00326AA2">
        <w:t xml:space="preserve">studies </w:t>
      </w:r>
      <w:r w:rsidR="00886190" w:rsidRPr="00326AA2">
        <w:t>only</w:t>
      </w:r>
      <w:r w:rsidR="006460CE" w:rsidRPr="00326AA2">
        <w:t xml:space="preserve"> </w:t>
      </w:r>
      <w:r w:rsidR="2F0F0A9B" w:rsidRPr="00326AA2">
        <w:t>provide</w:t>
      </w:r>
      <w:r w:rsidR="4248E90D" w:rsidRPr="00326AA2">
        <w:t>d</w:t>
      </w:r>
      <w:r w:rsidR="006460CE" w:rsidRPr="00326AA2">
        <w:t xml:space="preserve"> evidence on the effects of DBS in patients</w:t>
      </w:r>
      <w:r w:rsidRPr="00326AA2">
        <w:t xml:space="preserve"> with </w:t>
      </w:r>
      <w:r w:rsidR="0056395F" w:rsidRPr="00326AA2">
        <w:t>focal seizures. In some cases</w:t>
      </w:r>
      <w:r w:rsidR="0056395F" w:rsidRPr="00965FF0">
        <w:t>,</w:t>
      </w:r>
      <w:r w:rsidR="0056395F" w:rsidRPr="00326AA2">
        <w:t xml:space="preserve"> those with secondary generalised seizures were also included</w:t>
      </w:r>
      <w:r w:rsidR="0056395F" w:rsidRPr="00965FF0">
        <w:t>,</w:t>
      </w:r>
      <w:r w:rsidR="0056395F" w:rsidRPr="00326AA2">
        <w:t xml:space="preserve"> but their results could not be disaggregated. </w:t>
      </w:r>
      <w:r w:rsidR="0E6366D8" w:rsidRPr="00326AA2">
        <w:t>MSAC noted the applicant presented recent evidence from the Australian ESTEL trial</w:t>
      </w:r>
      <w:r w:rsidR="008F2606" w:rsidRPr="00BE6037" w:rsidDel="003E5D8E">
        <w:rPr>
          <w:vertAlign w:val="superscript"/>
        </w:rPr>
        <w:footnoteReference w:id="3"/>
      </w:r>
      <w:r w:rsidR="0E6366D8" w:rsidRPr="00326AA2">
        <w:t xml:space="preserve"> to support DBS in treating patients who had generalised epilepsy however, </w:t>
      </w:r>
      <w:r w:rsidR="0E6366D8" w:rsidRPr="00C10384">
        <w:t xml:space="preserve">ESC </w:t>
      </w:r>
      <w:r w:rsidR="6A7BAF5B" w:rsidRPr="00326AA2">
        <w:t>considered</w:t>
      </w:r>
      <w:r w:rsidR="1D3144D0" w:rsidRPr="00326AA2">
        <w:t xml:space="preserve"> the trial was </w:t>
      </w:r>
      <w:r w:rsidR="560E86B8" w:rsidRPr="00326AA2">
        <w:t>not relevant to</w:t>
      </w:r>
      <w:r w:rsidR="1D3144D0" w:rsidRPr="00326AA2">
        <w:t xml:space="preserve"> the scope of this </w:t>
      </w:r>
      <w:r w:rsidR="03BDA5E7" w:rsidRPr="00326AA2">
        <w:t>application</w:t>
      </w:r>
      <w:r w:rsidR="1D3144D0" w:rsidRPr="00326AA2">
        <w:t xml:space="preserve"> </w:t>
      </w:r>
      <w:r w:rsidR="4FC3D0D4" w:rsidRPr="00326AA2">
        <w:t>as the</w:t>
      </w:r>
      <w:r w:rsidR="0EA2EBF7" w:rsidRPr="00C10384">
        <w:rPr>
          <w:rFonts w:eastAsia="Franklin Gothic" w:cs="Times New Roman"/>
          <w:color w:val="000000"/>
          <w:szCs w:val="20"/>
        </w:rPr>
        <w:t xml:space="preserve"> trial population only encompassed patients with a specific neurological condition (Lennox-Gastaut syndrome) and the</w:t>
      </w:r>
      <w:r w:rsidR="00534978" w:rsidRPr="00C10384">
        <w:t xml:space="preserve"> trial</w:t>
      </w:r>
      <w:r w:rsidR="0EA2EBF7" w:rsidRPr="00C10384">
        <w:rPr>
          <w:rFonts w:eastAsia="Franklin Gothic" w:cs="Times New Roman"/>
          <w:color w:val="000000"/>
          <w:szCs w:val="20"/>
        </w:rPr>
        <w:t xml:space="preserve"> </w:t>
      </w:r>
      <w:r w:rsidR="00326AA2">
        <w:t xml:space="preserve">aimed to </w:t>
      </w:r>
      <w:r w:rsidR="0EA2EBF7" w:rsidRPr="00C10384">
        <w:rPr>
          <w:rFonts w:eastAsia="Franklin Gothic" w:cs="Times New Roman"/>
          <w:color w:val="000000"/>
          <w:szCs w:val="20"/>
        </w:rPr>
        <w:t>target the centro-median thalamus, not the anterior thalamus</w:t>
      </w:r>
      <w:r w:rsidR="04414C6D" w:rsidRPr="00C10384">
        <w:rPr>
          <w:rFonts w:eastAsia="Franklin Gothic" w:cs="Times New Roman"/>
          <w:color w:val="000000"/>
          <w:szCs w:val="20"/>
        </w:rPr>
        <w:t xml:space="preserve"> as specified in the ratified PICO population</w:t>
      </w:r>
      <w:r w:rsidR="0E6366D8" w:rsidRPr="00326AA2">
        <w:t>. MSAC also noted the trial did not report a significant difference in the patient reported outcomes between the study arms</w:t>
      </w:r>
      <w:r w:rsidR="009E4BD8" w:rsidRPr="00326AA2">
        <w:t>.</w:t>
      </w:r>
    </w:p>
    <w:p w14:paraId="724DA080" w14:textId="24CE6D02" w:rsidR="008F7158" w:rsidRDefault="0056395F" w:rsidP="00BE6037">
      <w:pPr>
        <w:keepLines/>
        <w:rPr>
          <w:szCs w:val="24"/>
        </w:rPr>
      </w:pPr>
      <w:r w:rsidRPr="00965FF0">
        <w:t>MSAC noted that an</w:t>
      </w:r>
      <w:r w:rsidRPr="00C10384">
        <w:t xml:space="preserve"> open-label </w:t>
      </w:r>
      <w:r w:rsidR="00513CFB">
        <w:t>randomised controlled trial (</w:t>
      </w:r>
      <w:r w:rsidRPr="00965FF0">
        <w:t>RCT</w:t>
      </w:r>
      <w:r w:rsidR="00513CFB">
        <w:t>)</w:t>
      </w:r>
      <w:r w:rsidRPr="00965FF0">
        <w:t xml:space="preserve"> was</w:t>
      </w:r>
      <w:r w:rsidRPr="00C10384">
        <w:t xml:space="preserve"> concluded in </w:t>
      </w:r>
      <w:r w:rsidR="000064F5">
        <w:t>November 2021</w:t>
      </w:r>
      <w:r w:rsidR="000064F5" w:rsidRPr="00BE6037">
        <w:rPr>
          <w:vertAlign w:val="superscript"/>
        </w:rPr>
        <w:footnoteReference w:id="4"/>
      </w:r>
      <w:r w:rsidR="000064F5">
        <w:t xml:space="preserve"> </w:t>
      </w:r>
      <w:r w:rsidRPr="00C10384">
        <w:t xml:space="preserve">that directly compared DBS and VNS, and that this trial may provide significant additional data to inform the question of whether DBS is more effective than VNS in the patient group relevant to this </w:t>
      </w:r>
      <w:r w:rsidR="00326AA2">
        <w:t>application</w:t>
      </w:r>
      <w:r w:rsidRPr="00965FF0">
        <w:t xml:space="preserve">. However, </w:t>
      </w:r>
      <w:r w:rsidRPr="00C10384">
        <w:t xml:space="preserve">MSAC noted that it is unclear when these results will be published. MSAC </w:t>
      </w:r>
      <w:r w:rsidR="00326AA2">
        <w:rPr>
          <w:szCs w:val="24"/>
        </w:rPr>
        <w:t xml:space="preserve">also </w:t>
      </w:r>
      <w:r w:rsidRPr="00C10384">
        <w:t>noted that forthcoming RCTs comparing DBS with OMT are unlikely.</w:t>
      </w:r>
      <w:r w:rsidR="008E60B1" w:rsidRPr="00C10384">
        <w:t xml:space="preserve"> </w:t>
      </w:r>
    </w:p>
    <w:p w14:paraId="4092B56B" w14:textId="01DE081F" w:rsidR="00D43EE5" w:rsidRDefault="003E459C" w:rsidP="00BE6037">
      <w:pPr>
        <w:keepLines/>
        <w:rPr>
          <w:szCs w:val="24"/>
        </w:rPr>
      </w:pPr>
      <w:r w:rsidRPr="00C10384">
        <w:lastRenderedPageBreak/>
        <w:t>MSAC did not agree with the applicant’s clinical claim that DBS was superior in effectiveness and non-inferior in safety versus both comparators.</w:t>
      </w:r>
      <w:r w:rsidR="00513CFB">
        <w:rPr>
          <w:szCs w:val="24"/>
        </w:rPr>
        <w:t xml:space="preserve"> </w:t>
      </w:r>
      <w:r>
        <w:rPr>
          <w:szCs w:val="24"/>
        </w:rPr>
        <w:t>M</w:t>
      </w:r>
      <w:r w:rsidR="00D01FD4">
        <w:rPr>
          <w:szCs w:val="24"/>
        </w:rPr>
        <w:t xml:space="preserve">SAC considered DBS was </w:t>
      </w:r>
      <w:r w:rsidR="0056395F" w:rsidRPr="00FA1947">
        <w:rPr>
          <w:szCs w:val="24"/>
        </w:rPr>
        <w:t xml:space="preserve">inferior in safety relative to </w:t>
      </w:r>
      <w:r w:rsidR="00D01FD4">
        <w:rPr>
          <w:szCs w:val="24"/>
        </w:rPr>
        <w:t>OMT</w:t>
      </w:r>
      <w:r w:rsidR="009D5971">
        <w:rPr>
          <w:szCs w:val="24"/>
        </w:rPr>
        <w:t xml:space="preserve"> </w:t>
      </w:r>
      <w:r w:rsidR="00F05675">
        <w:rPr>
          <w:szCs w:val="24"/>
        </w:rPr>
        <w:t>and VNS</w:t>
      </w:r>
      <w:r w:rsidR="0045249F">
        <w:rPr>
          <w:szCs w:val="24"/>
        </w:rPr>
        <w:t>,</w:t>
      </w:r>
      <w:r w:rsidR="009D5971">
        <w:rPr>
          <w:szCs w:val="24"/>
        </w:rPr>
        <w:t xml:space="preserve"> noting the </w:t>
      </w:r>
      <w:r w:rsidR="0045249F">
        <w:rPr>
          <w:szCs w:val="24"/>
        </w:rPr>
        <w:t xml:space="preserve">more </w:t>
      </w:r>
      <w:r w:rsidR="009D5971">
        <w:rPr>
          <w:szCs w:val="24"/>
        </w:rPr>
        <w:t xml:space="preserve">invasive nature of </w:t>
      </w:r>
      <w:r w:rsidR="0045249F">
        <w:rPr>
          <w:szCs w:val="24"/>
        </w:rPr>
        <w:t>surge</w:t>
      </w:r>
      <w:r w:rsidR="005D5EE4">
        <w:rPr>
          <w:szCs w:val="24"/>
        </w:rPr>
        <w:t>ry</w:t>
      </w:r>
      <w:r w:rsidR="005F156C">
        <w:rPr>
          <w:szCs w:val="24"/>
        </w:rPr>
        <w:t xml:space="preserve"> required for implementation of DBS</w:t>
      </w:r>
      <w:r w:rsidR="007803AE">
        <w:rPr>
          <w:szCs w:val="24"/>
        </w:rPr>
        <w:t>.</w:t>
      </w:r>
      <w:r w:rsidR="00D01FD4">
        <w:rPr>
          <w:szCs w:val="24"/>
        </w:rPr>
        <w:t xml:space="preserve"> </w:t>
      </w:r>
      <w:r w:rsidR="00DA672F">
        <w:rPr>
          <w:szCs w:val="24"/>
        </w:rPr>
        <w:t xml:space="preserve">MSAC also noted the </w:t>
      </w:r>
      <w:r w:rsidR="00BC0B1C">
        <w:rPr>
          <w:szCs w:val="24"/>
        </w:rPr>
        <w:t xml:space="preserve">SANTE trial reported a rate of </w:t>
      </w:r>
      <w:r w:rsidR="00280BA7">
        <w:rPr>
          <w:szCs w:val="24"/>
        </w:rPr>
        <w:t xml:space="preserve">serious device-related adverse events </w:t>
      </w:r>
      <w:r w:rsidR="00BC0B1C">
        <w:rPr>
          <w:szCs w:val="24"/>
        </w:rPr>
        <w:t xml:space="preserve">of </w:t>
      </w:r>
      <w:r w:rsidR="00B415ED">
        <w:rPr>
          <w:szCs w:val="24"/>
        </w:rPr>
        <w:t>35%</w:t>
      </w:r>
      <w:r w:rsidR="000C4C95">
        <w:rPr>
          <w:szCs w:val="24"/>
        </w:rPr>
        <w:t xml:space="preserve"> relating to DBS</w:t>
      </w:r>
      <w:r w:rsidR="00B415ED">
        <w:rPr>
          <w:szCs w:val="24"/>
        </w:rPr>
        <w:t>.</w:t>
      </w:r>
      <w:r w:rsidR="00280BA7">
        <w:rPr>
          <w:szCs w:val="24"/>
        </w:rPr>
        <w:t xml:space="preserve"> </w:t>
      </w:r>
      <w:r w:rsidR="00F05675">
        <w:rPr>
          <w:szCs w:val="24"/>
        </w:rPr>
        <w:t>MSAC considered the</w:t>
      </w:r>
      <w:r w:rsidR="00D43EE5" w:rsidRPr="00305347">
        <w:rPr>
          <w:szCs w:val="24"/>
        </w:rPr>
        <w:t xml:space="preserve"> evidence base may overestimate the rates of device-related adverse events and underestimate the effectiveness associated with DBS and may not reflect the results achievable in current practice</w:t>
      </w:r>
      <w:r w:rsidR="00054C79">
        <w:rPr>
          <w:szCs w:val="24"/>
        </w:rPr>
        <w:t xml:space="preserve"> however,</w:t>
      </w:r>
      <w:r w:rsidR="00473616">
        <w:rPr>
          <w:szCs w:val="24"/>
        </w:rPr>
        <w:t xml:space="preserve"> there is </w:t>
      </w:r>
      <w:r w:rsidR="00473616" w:rsidRPr="00FA1947">
        <w:rPr>
          <w:szCs w:val="24"/>
        </w:rPr>
        <w:t>potential for DBS to cause further harm without clear benefit in patients who already experience a high level of disease burden</w:t>
      </w:r>
      <w:r w:rsidR="00473616">
        <w:rPr>
          <w:szCs w:val="24"/>
        </w:rPr>
        <w:t>.</w:t>
      </w:r>
    </w:p>
    <w:p w14:paraId="4E8465F8" w14:textId="7173EB92" w:rsidR="0056395F" w:rsidRDefault="00CC46A6" w:rsidP="00BE6037">
      <w:pPr>
        <w:keepLines/>
        <w:rPr>
          <w:szCs w:val="24"/>
        </w:rPr>
      </w:pPr>
      <w:r>
        <w:rPr>
          <w:szCs w:val="24"/>
        </w:rPr>
        <w:t xml:space="preserve">MSAC </w:t>
      </w:r>
      <w:r w:rsidR="0056395F" w:rsidRPr="00FA1947">
        <w:rPr>
          <w:szCs w:val="24"/>
        </w:rPr>
        <w:t xml:space="preserve">considered that DBS was non-inferior in effectiveness </w:t>
      </w:r>
      <w:r w:rsidR="00AA3904">
        <w:rPr>
          <w:szCs w:val="24"/>
        </w:rPr>
        <w:t>compared to VNS</w:t>
      </w:r>
      <w:r w:rsidR="003F2ED2">
        <w:rPr>
          <w:szCs w:val="24"/>
        </w:rPr>
        <w:t>.</w:t>
      </w:r>
      <w:r w:rsidR="00AA3904">
        <w:rPr>
          <w:szCs w:val="24"/>
        </w:rPr>
        <w:t xml:space="preserve"> </w:t>
      </w:r>
      <w:r w:rsidR="003F2ED2">
        <w:rPr>
          <w:szCs w:val="24"/>
        </w:rPr>
        <w:t xml:space="preserve">MSAC considered that DBS </w:t>
      </w:r>
      <w:r w:rsidR="00AA3904">
        <w:rPr>
          <w:szCs w:val="24"/>
        </w:rPr>
        <w:t xml:space="preserve">may </w:t>
      </w:r>
      <w:r w:rsidR="00ED1D71">
        <w:rPr>
          <w:szCs w:val="24"/>
        </w:rPr>
        <w:t xml:space="preserve">potentially be </w:t>
      </w:r>
      <w:r w:rsidR="00CC6971">
        <w:rPr>
          <w:szCs w:val="24"/>
        </w:rPr>
        <w:t>superior</w:t>
      </w:r>
      <w:r w:rsidR="00ED1D71">
        <w:rPr>
          <w:szCs w:val="24"/>
        </w:rPr>
        <w:t xml:space="preserve"> compared to OMT</w:t>
      </w:r>
      <w:r w:rsidR="00CC6971">
        <w:rPr>
          <w:szCs w:val="24"/>
        </w:rPr>
        <w:t xml:space="preserve">, noting the SANTE trial reported a </w:t>
      </w:r>
      <w:r w:rsidR="00CC6971" w:rsidRPr="00B94945">
        <w:t>17% reduction in frequency of seizures compared to sham DBS/</w:t>
      </w:r>
      <w:r w:rsidR="00CC6971" w:rsidRPr="008E605A">
        <w:t>OMT</w:t>
      </w:r>
      <w:r w:rsidR="00CF1557">
        <w:t>,</w:t>
      </w:r>
      <w:r w:rsidR="00CC6971" w:rsidRPr="006530B1">
        <w:t xml:space="preserve"> </w:t>
      </w:r>
      <w:r w:rsidR="00CC6971" w:rsidRPr="008E605A">
        <w:t>but</w:t>
      </w:r>
      <w:r w:rsidR="00CC6971">
        <w:t xml:space="preserve"> there was</w:t>
      </w:r>
      <w:r w:rsidR="00CC6971" w:rsidRPr="008E605A">
        <w:t xml:space="preserve"> no</w:t>
      </w:r>
      <w:r w:rsidR="00CC6971">
        <w:t xml:space="preserve"> change in seizure severity or QoL. MSAC considered </w:t>
      </w:r>
      <w:r w:rsidR="003C592C">
        <w:t>there was no long-term direct</w:t>
      </w:r>
      <w:r w:rsidR="003F2ED2">
        <w:rPr>
          <w:szCs w:val="24"/>
        </w:rPr>
        <w:t xml:space="preserve"> comparative evidence presented to support this claim</w:t>
      </w:r>
      <w:r w:rsidR="00926808">
        <w:rPr>
          <w:szCs w:val="24"/>
        </w:rPr>
        <w:t xml:space="preserve"> following </w:t>
      </w:r>
      <w:r w:rsidR="00D459F1">
        <w:rPr>
          <w:szCs w:val="24"/>
        </w:rPr>
        <w:t xml:space="preserve">the cross over period at </w:t>
      </w:r>
      <w:r w:rsidR="008C17DB">
        <w:rPr>
          <w:szCs w:val="24"/>
        </w:rPr>
        <w:t>3 months.</w:t>
      </w:r>
      <w:r w:rsidR="003F2ED2">
        <w:rPr>
          <w:szCs w:val="24"/>
        </w:rPr>
        <w:t xml:space="preserve"> </w:t>
      </w:r>
      <w:r w:rsidR="00473616">
        <w:t>MSAC noted that 74% of patients remaining in the trial after 7 years had a median seizure frequency reduction of 50% but these results were confounded by the high drop-out rate in the non</w:t>
      </w:r>
      <w:r w:rsidR="005063D2">
        <w:t>-</w:t>
      </w:r>
      <w:r w:rsidR="00473616">
        <w:t>responders.</w:t>
      </w:r>
      <w:r w:rsidR="005A3E16">
        <w:t xml:space="preserve"> </w:t>
      </w:r>
      <w:r w:rsidR="0057714B">
        <w:t>T</w:t>
      </w:r>
      <w:r w:rsidR="005A3E16">
        <w:t xml:space="preserve">he pre-MSAC response </w:t>
      </w:r>
      <w:r w:rsidR="0057714B">
        <w:t>argued</w:t>
      </w:r>
      <w:r w:rsidR="000C5DED">
        <w:t xml:space="preserve"> </w:t>
      </w:r>
      <w:r w:rsidR="00407034">
        <w:t>that</w:t>
      </w:r>
      <w:r w:rsidR="000C5DED">
        <w:t xml:space="preserve"> DBS response improves over time</w:t>
      </w:r>
      <w:r w:rsidR="006D15FB">
        <w:t>,</w:t>
      </w:r>
      <w:r w:rsidR="000C5DED">
        <w:t xml:space="preserve"> but </w:t>
      </w:r>
      <w:r w:rsidR="0057714B">
        <w:t xml:space="preserve">MSAC </w:t>
      </w:r>
      <w:r w:rsidR="000C5DED">
        <w:t xml:space="preserve">considered </w:t>
      </w:r>
      <w:r w:rsidR="00C81749">
        <w:t>this was not</w:t>
      </w:r>
      <w:r w:rsidR="000C5DED">
        <w:t xml:space="preserve"> clearly supported with confidence by the data presented</w:t>
      </w:r>
      <w:r w:rsidR="00C81749">
        <w:t>.</w:t>
      </w:r>
      <w:r w:rsidR="0057714B">
        <w:rPr>
          <w:szCs w:val="24"/>
        </w:rPr>
        <w:t xml:space="preserve"> </w:t>
      </w:r>
      <w:r w:rsidR="00185A69">
        <w:rPr>
          <w:szCs w:val="24"/>
        </w:rPr>
        <w:t>Overall</w:t>
      </w:r>
      <w:r w:rsidR="00817F40">
        <w:rPr>
          <w:szCs w:val="24"/>
        </w:rPr>
        <w:t>,</w:t>
      </w:r>
      <w:r w:rsidR="00185A69">
        <w:rPr>
          <w:szCs w:val="24"/>
        </w:rPr>
        <w:t xml:space="preserve"> MSAC </w:t>
      </w:r>
      <w:r w:rsidR="00F967E1">
        <w:rPr>
          <w:szCs w:val="24"/>
        </w:rPr>
        <w:t xml:space="preserve">considered the </w:t>
      </w:r>
      <w:r w:rsidR="00F92DE2">
        <w:rPr>
          <w:szCs w:val="24"/>
        </w:rPr>
        <w:t>potential benefit</w:t>
      </w:r>
      <w:r w:rsidR="00010ED8">
        <w:rPr>
          <w:szCs w:val="24"/>
        </w:rPr>
        <w:t xml:space="preserve"> of DBS</w:t>
      </w:r>
      <w:r w:rsidR="00C16E21">
        <w:rPr>
          <w:szCs w:val="24"/>
        </w:rPr>
        <w:t>,</w:t>
      </w:r>
      <w:r w:rsidR="00F92DE2">
        <w:rPr>
          <w:szCs w:val="24"/>
        </w:rPr>
        <w:t xml:space="preserve"> </w:t>
      </w:r>
      <w:r w:rsidR="00C77DE4">
        <w:rPr>
          <w:szCs w:val="24"/>
        </w:rPr>
        <w:t>even in circumstances where seizure frequency may be reduced</w:t>
      </w:r>
      <w:r w:rsidR="00F52612">
        <w:rPr>
          <w:szCs w:val="24"/>
        </w:rPr>
        <w:t>,</w:t>
      </w:r>
      <w:r w:rsidR="00010ED8">
        <w:rPr>
          <w:szCs w:val="24"/>
        </w:rPr>
        <w:t xml:space="preserve"> did not balance out the </w:t>
      </w:r>
      <w:r w:rsidR="00804707">
        <w:rPr>
          <w:szCs w:val="24"/>
        </w:rPr>
        <w:t>increased risk of adverse events</w:t>
      </w:r>
      <w:r w:rsidR="0057714B">
        <w:rPr>
          <w:szCs w:val="24"/>
        </w:rPr>
        <w:t>.</w:t>
      </w:r>
      <w:r w:rsidR="00F967E1">
        <w:rPr>
          <w:szCs w:val="24"/>
        </w:rPr>
        <w:t xml:space="preserve"> </w:t>
      </w:r>
      <w:r w:rsidR="00965FF0">
        <w:rPr>
          <w:szCs w:val="24"/>
        </w:rPr>
        <w:t>MSAC also considered there were limited</w:t>
      </w:r>
      <w:r w:rsidR="00C77DE4">
        <w:rPr>
          <w:szCs w:val="24"/>
        </w:rPr>
        <w:t xml:space="preserve"> </w:t>
      </w:r>
      <w:r w:rsidR="006530B1">
        <w:rPr>
          <w:szCs w:val="24"/>
        </w:rPr>
        <w:t>QoL</w:t>
      </w:r>
      <w:r w:rsidR="00C77DE4">
        <w:rPr>
          <w:szCs w:val="24"/>
        </w:rPr>
        <w:t xml:space="preserve"> gain</w:t>
      </w:r>
      <w:r w:rsidR="00965FF0">
        <w:rPr>
          <w:szCs w:val="24"/>
        </w:rPr>
        <w:t xml:space="preserve">s seen in the presented evidence for patients. </w:t>
      </w:r>
    </w:p>
    <w:p w14:paraId="27BF6D18" w14:textId="62E3E0FD" w:rsidR="0056395F" w:rsidRDefault="0056395F" w:rsidP="00BE6037">
      <w:pPr>
        <w:keepLines/>
        <w:rPr>
          <w:szCs w:val="24"/>
        </w:rPr>
      </w:pPr>
      <w:r>
        <w:rPr>
          <w:szCs w:val="24"/>
        </w:rPr>
        <w:t>MSA</w:t>
      </w:r>
      <w:r w:rsidRPr="000B3656">
        <w:rPr>
          <w:szCs w:val="24"/>
        </w:rPr>
        <w:t>C noted the economic evaluation was a cost-utility analysis, with extrapolated time horizons of</w:t>
      </w:r>
      <w:r w:rsidR="001104E6">
        <w:rPr>
          <w:szCs w:val="24"/>
        </w:rPr>
        <w:t xml:space="preserve"> 3 months,</w:t>
      </w:r>
      <w:r w:rsidRPr="000B3656">
        <w:rPr>
          <w:szCs w:val="24"/>
        </w:rPr>
        <w:t xml:space="preserve"> 7 years and lifetime</w:t>
      </w:r>
      <w:r w:rsidR="00BE3AB6">
        <w:rPr>
          <w:szCs w:val="24"/>
        </w:rPr>
        <w:t>.</w:t>
      </w:r>
      <w:r w:rsidR="001104E6">
        <w:rPr>
          <w:szCs w:val="24"/>
        </w:rPr>
        <w:t xml:space="preserve"> </w:t>
      </w:r>
      <w:r w:rsidR="001104E6" w:rsidRPr="000B3656">
        <w:rPr>
          <w:szCs w:val="24"/>
        </w:rPr>
        <w:t>Outcomes measured were quality-adjusted life</w:t>
      </w:r>
      <w:r w:rsidR="001104E6">
        <w:rPr>
          <w:szCs w:val="24"/>
        </w:rPr>
        <w:t>-</w:t>
      </w:r>
      <w:r w:rsidR="001104E6" w:rsidRPr="000B3656">
        <w:rPr>
          <w:szCs w:val="24"/>
        </w:rPr>
        <w:t xml:space="preserve">years </w:t>
      </w:r>
      <w:r w:rsidR="001104E6">
        <w:rPr>
          <w:szCs w:val="24"/>
        </w:rPr>
        <w:t xml:space="preserve">gained </w:t>
      </w:r>
      <w:r w:rsidR="001104E6" w:rsidRPr="000B3656">
        <w:rPr>
          <w:szCs w:val="24"/>
        </w:rPr>
        <w:t xml:space="preserve">(QALYs) and </w:t>
      </w:r>
      <w:r w:rsidR="00BE512F">
        <w:rPr>
          <w:szCs w:val="24"/>
        </w:rPr>
        <w:t xml:space="preserve">change in </w:t>
      </w:r>
      <w:r w:rsidR="001104E6" w:rsidRPr="000B3656">
        <w:rPr>
          <w:szCs w:val="24"/>
        </w:rPr>
        <w:t>seizure</w:t>
      </w:r>
      <w:r w:rsidR="00B342CC">
        <w:rPr>
          <w:szCs w:val="24"/>
        </w:rPr>
        <w:t xml:space="preserve"> frequency.</w:t>
      </w:r>
      <w:r w:rsidR="00B150FC">
        <w:rPr>
          <w:szCs w:val="24"/>
        </w:rPr>
        <w:t xml:space="preserve"> </w:t>
      </w:r>
      <w:r w:rsidR="0075729C">
        <w:rPr>
          <w:szCs w:val="24"/>
        </w:rPr>
        <w:t xml:space="preserve">MSAC noted the </w:t>
      </w:r>
      <w:r w:rsidR="006966D2">
        <w:rPr>
          <w:szCs w:val="24"/>
        </w:rPr>
        <w:t xml:space="preserve">incremental cost effectiveness ratios (ICERs) </w:t>
      </w:r>
      <w:r w:rsidR="0075729C">
        <w:rPr>
          <w:szCs w:val="24"/>
        </w:rPr>
        <w:t xml:space="preserve">were high at </w:t>
      </w:r>
      <w:r w:rsidR="0075729C" w:rsidRPr="000B3656">
        <w:rPr>
          <w:szCs w:val="24"/>
        </w:rPr>
        <w:t>$1,625,659/QALY (3</w:t>
      </w:r>
      <w:r w:rsidR="0075729C" w:rsidRPr="000B3656">
        <w:rPr>
          <w:rFonts w:ascii="Arial" w:hAnsi="Arial" w:cs="Arial"/>
          <w:szCs w:val="24"/>
        </w:rPr>
        <w:t> </w:t>
      </w:r>
      <w:r w:rsidR="0075729C" w:rsidRPr="000B3656">
        <w:rPr>
          <w:szCs w:val="24"/>
        </w:rPr>
        <w:t>months), $381,796/QALY (7</w:t>
      </w:r>
      <w:r w:rsidR="0075729C" w:rsidRPr="000B3656">
        <w:rPr>
          <w:rFonts w:ascii="Arial" w:hAnsi="Arial" w:cs="Arial"/>
          <w:szCs w:val="24"/>
        </w:rPr>
        <w:t> </w:t>
      </w:r>
      <w:r w:rsidR="0075729C" w:rsidRPr="000B3656">
        <w:rPr>
          <w:szCs w:val="24"/>
        </w:rPr>
        <w:t>years) and $143,395/QALY (lifetime)</w:t>
      </w:r>
      <w:r w:rsidRPr="000B3656">
        <w:rPr>
          <w:szCs w:val="24"/>
        </w:rPr>
        <w:t>.</w:t>
      </w:r>
      <w:r w:rsidR="00107E27" w:rsidRPr="00107E27">
        <w:rPr>
          <w:szCs w:val="24"/>
        </w:rPr>
        <w:t xml:space="preserve"> </w:t>
      </w:r>
      <w:r w:rsidR="00107E27">
        <w:rPr>
          <w:szCs w:val="24"/>
        </w:rPr>
        <w:t xml:space="preserve">MSAC considered the </w:t>
      </w:r>
      <w:r w:rsidR="00E461E7">
        <w:rPr>
          <w:szCs w:val="24"/>
        </w:rPr>
        <w:t xml:space="preserve">7 year and lifetime </w:t>
      </w:r>
      <w:r w:rsidR="00107E27">
        <w:rPr>
          <w:szCs w:val="24"/>
        </w:rPr>
        <w:t>time horizon</w:t>
      </w:r>
      <w:r w:rsidR="00E461E7">
        <w:rPr>
          <w:szCs w:val="24"/>
        </w:rPr>
        <w:t>s were unsupported</w:t>
      </w:r>
      <w:r w:rsidR="00107E27">
        <w:rPr>
          <w:szCs w:val="24"/>
        </w:rPr>
        <w:t xml:space="preserve"> due to the limited evidence available from the SANTE trial with a follow up of 3 months.</w:t>
      </w:r>
      <w:r w:rsidRPr="000B3656">
        <w:rPr>
          <w:szCs w:val="24"/>
        </w:rPr>
        <w:t xml:space="preserve"> </w:t>
      </w:r>
      <w:r w:rsidR="00565B59">
        <w:rPr>
          <w:szCs w:val="24"/>
        </w:rPr>
        <w:t xml:space="preserve">MSAC </w:t>
      </w:r>
      <w:r w:rsidR="00FF06B4">
        <w:rPr>
          <w:szCs w:val="24"/>
        </w:rPr>
        <w:t xml:space="preserve">considered the lack of </w:t>
      </w:r>
      <w:r w:rsidR="000413A6">
        <w:rPr>
          <w:szCs w:val="24"/>
        </w:rPr>
        <w:t>long-term comparative data</w:t>
      </w:r>
      <w:r w:rsidR="00F360D9">
        <w:rPr>
          <w:szCs w:val="24"/>
        </w:rPr>
        <w:t xml:space="preserve"> beyond 3 months</w:t>
      </w:r>
      <w:r w:rsidR="00E461E7">
        <w:rPr>
          <w:szCs w:val="24"/>
        </w:rPr>
        <w:t xml:space="preserve"> </w:t>
      </w:r>
      <w:r w:rsidR="00565B59">
        <w:rPr>
          <w:szCs w:val="24"/>
        </w:rPr>
        <w:t xml:space="preserve">introduced </w:t>
      </w:r>
      <w:r w:rsidR="009C5D87">
        <w:rPr>
          <w:szCs w:val="24"/>
        </w:rPr>
        <w:t xml:space="preserve">uncertainties into </w:t>
      </w:r>
      <w:r w:rsidR="0075729C">
        <w:rPr>
          <w:szCs w:val="24"/>
        </w:rPr>
        <w:t>the</w:t>
      </w:r>
      <w:r w:rsidR="00D262E3">
        <w:rPr>
          <w:szCs w:val="24"/>
        </w:rPr>
        <w:t xml:space="preserve"> </w:t>
      </w:r>
      <w:r w:rsidR="009C5D87">
        <w:rPr>
          <w:szCs w:val="24"/>
        </w:rPr>
        <w:t>model</w:t>
      </w:r>
      <w:r w:rsidR="0075729C">
        <w:rPr>
          <w:szCs w:val="24"/>
        </w:rPr>
        <w:t xml:space="preserve"> where the ICERs were already considered to be high</w:t>
      </w:r>
      <w:r w:rsidR="009C5D87">
        <w:rPr>
          <w:szCs w:val="24"/>
        </w:rPr>
        <w:t xml:space="preserve">. </w:t>
      </w:r>
      <w:r w:rsidR="0075729C">
        <w:rPr>
          <w:szCs w:val="24"/>
        </w:rPr>
        <w:t>MSAC</w:t>
      </w:r>
      <w:r w:rsidR="0075729C" w:rsidRPr="000B3656">
        <w:rPr>
          <w:szCs w:val="24"/>
        </w:rPr>
        <w:t xml:space="preserve"> noted that the cost of the device and hospital care, and the percentage of responders were also important drivers of the ICER.</w:t>
      </w:r>
      <w:r w:rsidRPr="000B3656">
        <w:rPr>
          <w:szCs w:val="24"/>
        </w:rPr>
        <w:t xml:space="preserve"> </w:t>
      </w:r>
      <w:r>
        <w:rPr>
          <w:szCs w:val="24"/>
        </w:rPr>
        <w:t>MSAC</w:t>
      </w:r>
      <w:r w:rsidRPr="000B3656">
        <w:rPr>
          <w:szCs w:val="24"/>
        </w:rPr>
        <w:t xml:space="preserve"> considered the model to be inappropriate because a cost-utility analysis is based on the assumption of clinical superiority, which </w:t>
      </w:r>
      <w:r>
        <w:rPr>
          <w:szCs w:val="24"/>
        </w:rPr>
        <w:t>MSAC</w:t>
      </w:r>
      <w:r w:rsidRPr="000B3656">
        <w:rPr>
          <w:szCs w:val="24"/>
        </w:rPr>
        <w:t xml:space="preserve"> </w:t>
      </w:r>
      <w:r w:rsidR="0048761D">
        <w:rPr>
          <w:szCs w:val="24"/>
        </w:rPr>
        <w:t>did not accept</w:t>
      </w:r>
      <w:r w:rsidRPr="000B3656">
        <w:rPr>
          <w:szCs w:val="24"/>
        </w:rPr>
        <w:t xml:space="preserve">. </w:t>
      </w:r>
    </w:p>
    <w:p w14:paraId="75C8F719" w14:textId="164C0290" w:rsidR="0056395F" w:rsidRPr="00361896" w:rsidRDefault="0056395F" w:rsidP="00BE6037">
      <w:pPr>
        <w:keepLines/>
        <w:rPr>
          <w:szCs w:val="24"/>
        </w:rPr>
      </w:pPr>
      <w:r w:rsidRPr="00FA1947">
        <w:rPr>
          <w:szCs w:val="24"/>
        </w:rPr>
        <w:t xml:space="preserve">MSAC noted the higher cost of the DBS device compared to VNS and OMT but considered the financial impact </w:t>
      </w:r>
      <w:r w:rsidR="00DE636E">
        <w:rPr>
          <w:szCs w:val="24"/>
        </w:rPr>
        <w:t>would</w:t>
      </w:r>
      <w:r w:rsidR="0083242C">
        <w:rPr>
          <w:szCs w:val="24"/>
        </w:rPr>
        <w:t xml:space="preserve"> potentially</w:t>
      </w:r>
      <w:r w:rsidR="00DE636E" w:rsidRPr="00FA1947">
        <w:rPr>
          <w:szCs w:val="24"/>
        </w:rPr>
        <w:t xml:space="preserve"> </w:t>
      </w:r>
      <w:r w:rsidRPr="00FA1947">
        <w:rPr>
          <w:szCs w:val="24"/>
        </w:rPr>
        <w:t>be modest due to the small population and low risk of leakage</w:t>
      </w:r>
      <w:r>
        <w:rPr>
          <w:szCs w:val="24"/>
        </w:rPr>
        <w:t xml:space="preserve">; a </w:t>
      </w:r>
      <w:r w:rsidRPr="00361896">
        <w:rPr>
          <w:szCs w:val="24"/>
        </w:rPr>
        <w:t>total of 30 patients are estimated to receive MBS supported DBS implementation in the first year</w:t>
      </w:r>
      <w:r>
        <w:rPr>
          <w:szCs w:val="24"/>
        </w:rPr>
        <w:t xml:space="preserve">, </w:t>
      </w:r>
      <w:r w:rsidRPr="00E74FA6">
        <w:rPr>
          <w:szCs w:val="24"/>
        </w:rPr>
        <w:t>either as direct substitution for VNS or as an additional service.</w:t>
      </w:r>
      <w:r w:rsidR="00FE3DE3">
        <w:rPr>
          <w:szCs w:val="24"/>
        </w:rPr>
        <w:t xml:space="preserve"> </w:t>
      </w:r>
      <w:r w:rsidR="00FE3DE3" w:rsidRPr="00E74FA6">
        <w:rPr>
          <w:szCs w:val="24"/>
        </w:rPr>
        <w:t xml:space="preserve">Net </w:t>
      </w:r>
      <w:r w:rsidR="00FE3DE3">
        <w:rPr>
          <w:szCs w:val="24"/>
        </w:rPr>
        <w:t xml:space="preserve">increase to the </w:t>
      </w:r>
      <w:r w:rsidR="00FE3DE3" w:rsidRPr="00E74FA6">
        <w:rPr>
          <w:szCs w:val="24"/>
        </w:rPr>
        <w:t xml:space="preserve">MBS </w:t>
      </w:r>
      <w:r w:rsidR="00FE3DE3">
        <w:rPr>
          <w:szCs w:val="24"/>
        </w:rPr>
        <w:t>was estimated</w:t>
      </w:r>
      <w:r w:rsidR="0087425C">
        <w:rPr>
          <w:szCs w:val="24"/>
        </w:rPr>
        <w:t xml:space="preserve"> to be</w:t>
      </w:r>
      <w:r w:rsidR="00FE3DE3" w:rsidRPr="00E74FA6">
        <w:rPr>
          <w:szCs w:val="24"/>
        </w:rPr>
        <w:t xml:space="preserve"> </w:t>
      </w:r>
      <w:r w:rsidR="00FE3DE3">
        <w:rPr>
          <w:szCs w:val="24"/>
        </w:rPr>
        <w:t>$159,556 in year 1</w:t>
      </w:r>
      <w:r w:rsidR="00FE3DE3" w:rsidRPr="00E74FA6">
        <w:rPr>
          <w:szCs w:val="24"/>
        </w:rPr>
        <w:t xml:space="preserve"> </w:t>
      </w:r>
      <w:r w:rsidR="00A5193B">
        <w:rPr>
          <w:szCs w:val="24"/>
        </w:rPr>
        <w:t xml:space="preserve">up </w:t>
      </w:r>
      <w:r w:rsidR="00FE3DE3" w:rsidRPr="00E74FA6">
        <w:rPr>
          <w:szCs w:val="24"/>
        </w:rPr>
        <w:t>to $410,124</w:t>
      </w:r>
      <w:r w:rsidR="00FE3DE3">
        <w:rPr>
          <w:szCs w:val="24"/>
        </w:rPr>
        <w:t xml:space="preserve"> in year 6.</w:t>
      </w:r>
      <w:r w:rsidRPr="00E74FA6">
        <w:rPr>
          <w:szCs w:val="24"/>
        </w:rPr>
        <w:t xml:space="preserve"> </w:t>
      </w:r>
      <w:r w:rsidR="00E66409">
        <w:rPr>
          <w:szCs w:val="24"/>
        </w:rPr>
        <w:t xml:space="preserve">MSAC </w:t>
      </w:r>
      <w:r w:rsidR="00725235">
        <w:rPr>
          <w:szCs w:val="24"/>
        </w:rPr>
        <w:t xml:space="preserve">considered that despite the low impact to the MBS, it would be a high cost for the utility gained </w:t>
      </w:r>
      <w:r w:rsidR="00B15DCF">
        <w:rPr>
          <w:szCs w:val="24"/>
        </w:rPr>
        <w:t>with the current economic model.</w:t>
      </w:r>
      <w:r w:rsidR="00811645">
        <w:rPr>
          <w:szCs w:val="24"/>
        </w:rPr>
        <w:t xml:space="preserve"> MSAC </w:t>
      </w:r>
      <w:r w:rsidR="006E1B0B">
        <w:rPr>
          <w:szCs w:val="24"/>
        </w:rPr>
        <w:t>note</w:t>
      </w:r>
      <w:r w:rsidR="00BA10C6">
        <w:rPr>
          <w:szCs w:val="24"/>
        </w:rPr>
        <w:t>d that uptake was limited by the</w:t>
      </w:r>
      <w:r w:rsidR="005B4A1A">
        <w:rPr>
          <w:szCs w:val="24"/>
        </w:rPr>
        <w:t xml:space="preserve"> need for</w:t>
      </w:r>
      <w:r w:rsidR="00BA10C6">
        <w:rPr>
          <w:szCs w:val="24"/>
        </w:rPr>
        <w:t xml:space="preserve"> CEP referral</w:t>
      </w:r>
      <w:r w:rsidR="00B15DCF">
        <w:rPr>
          <w:szCs w:val="24"/>
        </w:rPr>
        <w:t xml:space="preserve"> </w:t>
      </w:r>
      <w:r w:rsidR="00691FDE">
        <w:rPr>
          <w:szCs w:val="24"/>
        </w:rPr>
        <w:t>so the risk of leakage was low</w:t>
      </w:r>
      <w:r w:rsidR="001F270D">
        <w:rPr>
          <w:szCs w:val="24"/>
        </w:rPr>
        <w:t xml:space="preserve">, however CEPs were </w:t>
      </w:r>
      <w:r w:rsidR="001F270D" w:rsidRPr="00361896">
        <w:rPr>
          <w:szCs w:val="24"/>
        </w:rPr>
        <w:t xml:space="preserve">not available in Tasmania, </w:t>
      </w:r>
      <w:r w:rsidR="001F270D">
        <w:rPr>
          <w:szCs w:val="24"/>
        </w:rPr>
        <w:t xml:space="preserve">the Australian Capital Territory </w:t>
      </w:r>
      <w:r w:rsidR="001F270D" w:rsidRPr="00361896">
        <w:rPr>
          <w:szCs w:val="24"/>
        </w:rPr>
        <w:t>and the Northern Territory.</w:t>
      </w:r>
      <w:r w:rsidR="001F270D">
        <w:rPr>
          <w:szCs w:val="24"/>
        </w:rPr>
        <w:t xml:space="preserve"> MSAC considered that </w:t>
      </w:r>
      <w:r w:rsidR="001C68B4">
        <w:rPr>
          <w:szCs w:val="24"/>
        </w:rPr>
        <w:t xml:space="preserve">increase in </w:t>
      </w:r>
      <w:r w:rsidR="00AD4645">
        <w:rPr>
          <w:szCs w:val="24"/>
        </w:rPr>
        <w:t xml:space="preserve">CEP availability </w:t>
      </w:r>
      <w:r w:rsidR="00370B6F">
        <w:rPr>
          <w:szCs w:val="24"/>
        </w:rPr>
        <w:t xml:space="preserve">or capacity </w:t>
      </w:r>
      <w:r w:rsidR="00AD4645">
        <w:rPr>
          <w:szCs w:val="24"/>
        </w:rPr>
        <w:t xml:space="preserve">may increase </w:t>
      </w:r>
      <w:r w:rsidR="00AB4416">
        <w:rPr>
          <w:szCs w:val="24"/>
        </w:rPr>
        <w:t xml:space="preserve">the </w:t>
      </w:r>
      <w:r w:rsidR="00154548">
        <w:rPr>
          <w:szCs w:val="24"/>
        </w:rPr>
        <w:t xml:space="preserve">uptake of DBS for epilepsy and therefore </w:t>
      </w:r>
      <w:r w:rsidR="00370B6F">
        <w:rPr>
          <w:szCs w:val="24"/>
        </w:rPr>
        <w:t xml:space="preserve">increase the </w:t>
      </w:r>
      <w:r w:rsidR="00AB4416">
        <w:rPr>
          <w:szCs w:val="24"/>
        </w:rPr>
        <w:t>costs to the MBS.</w:t>
      </w:r>
      <w:r w:rsidR="00C205C3">
        <w:rPr>
          <w:szCs w:val="24"/>
        </w:rPr>
        <w:t xml:space="preserve"> MSAC </w:t>
      </w:r>
      <w:r w:rsidR="00E12E7C">
        <w:rPr>
          <w:szCs w:val="24"/>
        </w:rPr>
        <w:t>therefore</w:t>
      </w:r>
      <w:r w:rsidR="00C205C3">
        <w:rPr>
          <w:szCs w:val="24"/>
        </w:rPr>
        <w:t xml:space="preserve"> considered that a clearer definition of CEP referral is needed</w:t>
      </w:r>
      <w:r w:rsidR="00E12E7C">
        <w:rPr>
          <w:szCs w:val="24"/>
        </w:rPr>
        <w:t xml:space="preserve"> prior to any implementation</w:t>
      </w:r>
      <w:r w:rsidR="00C205C3">
        <w:rPr>
          <w:szCs w:val="24"/>
        </w:rPr>
        <w:t>.</w:t>
      </w:r>
      <w:r w:rsidR="00E12E7C">
        <w:rPr>
          <w:szCs w:val="24"/>
        </w:rPr>
        <w:t xml:space="preserve"> </w:t>
      </w:r>
    </w:p>
    <w:p w14:paraId="51AE825B" w14:textId="2390BE58" w:rsidR="00B15DCF" w:rsidRDefault="0056395F" w:rsidP="00BE6037">
      <w:pPr>
        <w:keepLines/>
        <w:rPr>
          <w:szCs w:val="24"/>
        </w:rPr>
      </w:pPr>
      <w:r w:rsidRPr="00FA1947">
        <w:rPr>
          <w:szCs w:val="24"/>
        </w:rPr>
        <w:t xml:space="preserve">MSAC considered that further evidence </w:t>
      </w:r>
      <w:r w:rsidR="007827D2">
        <w:rPr>
          <w:szCs w:val="24"/>
        </w:rPr>
        <w:t>to support improvements in</w:t>
      </w:r>
      <w:r w:rsidRPr="00FA1947">
        <w:rPr>
          <w:szCs w:val="24"/>
        </w:rPr>
        <w:t xml:space="preserve"> </w:t>
      </w:r>
      <w:r w:rsidR="006530B1">
        <w:rPr>
          <w:szCs w:val="24"/>
        </w:rPr>
        <w:t>QoL</w:t>
      </w:r>
      <w:r w:rsidRPr="00FA1947">
        <w:rPr>
          <w:szCs w:val="24"/>
        </w:rPr>
        <w:t xml:space="preserve"> </w:t>
      </w:r>
      <w:r w:rsidR="007827D2">
        <w:rPr>
          <w:szCs w:val="24"/>
        </w:rPr>
        <w:t>outcomes</w:t>
      </w:r>
      <w:r w:rsidRPr="00FA1947">
        <w:rPr>
          <w:szCs w:val="24"/>
        </w:rPr>
        <w:t xml:space="preserve"> for patients is needed.</w:t>
      </w:r>
      <w:r>
        <w:rPr>
          <w:szCs w:val="24"/>
        </w:rPr>
        <w:t xml:space="preserve"> </w:t>
      </w:r>
      <w:r w:rsidR="00D15008">
        <w:rPr>
          <w:szCs w:val="24"/>
        </w:rPr>
        <w:t xml:space="preserve">MSAC considered the claim that DBS reduces </w:t>
      </w:r>
      <w:r w:rsidR="00C77220">
        <w:rPr>
          <w:szCs w:val="24"/>
        </w:rPr>
        <w:t xml:space="preserve">seizure frequency and severity cannot reconcile </w:t>
      </w:r>
      <w:r w:rsidR="00996179">
        <w:rPr>
          <w:szCs w:val="24"/>
        </w:rPr>
        <w:t>the lack of patient (or carer) reported benefits. MSAC considered that</w:t>
      </w:r>
      <w:r w:rsidR="00213166">
        <w:rPr>
          <w:szCs w:val="24"/>
        </w:rPr>
        <w:t xml:space="preserve"> more robust evidence is required </w:t>
      </w:r>
      <w:r w:rsidR="00106E63">
        <w:rPr>
          <w:szCs w:val="24"/>
        </w:rPr>
        <w:t xml:space="preserve">to demonstrate </w:t>
      </w:r>
      <w:r w:rsidR="00996179">
        <w:rPr>
          <w:szCs w:val="24"/>
        </w:rPr>
        <w:t xml:space="preserve">that DBS </w:t>
      </w:r>
      <w:r w:rsidR="00106E63">
        <w:rPr>
          <w:szCs w:val="24"/>
        </w:rPr>
        <w:t>offers</w:t>
      </w:r>
      <w:r w:rsidR="00996179">
        <w:rPr>
          <w:szCs w:val="24"/>
        </w:rPr>
        <w:t xml:space="preserve"> a significant benefit in effectiveness </w:t>
      </w:r>
      <w:r w:rsidR="00D93FFF">
        <w:rPr>
          <w:szCs w:val="24"/>
        </w:rPr>
        <w:t xml:space="preserve">versus </w:t>
      </w:r>
      <w:r w:rsidR="00996179">
        <w:rPr>
          <w:szCs w:val="24"/>
        </w:rPr>
        <w:t xml:space="preserve">the comparators </w:t>
      </w:r>
      <w:r w:rsidR="005906B0">
        <w:rPr>
          <w:szCs w:val="24"/>
        </w:rPr>
        <w:t>to balance out</w:t>
      </w:r>
      <w:r w:rsidR="00DE636E">
        <w:rPr>
          <w:szCs w:val="24"/>
        </w:rPr>
        <w:t xml:space="preserve"> </w:t>
      </w:r>
      <w:r w:rsidR="005906B0">
        <w:rPr>
          <w:szCs w:val="24"/>
        </w:rPr>
        <w:t xml:space="preserve">the </w:t>
      </w:r>
      <w:r w:rsidR="00DE636E">
        <w:rPr>
          <w:szCs w:val="24"/>
        </w:rPr>
        <w:t>safety</w:t>
      </w:r>
      <w:r w:rsidR="005906B0">
        <w:rPr>
          <w:szCs w:val="24"/>
        </w:rPr>
        <w:t xml:space="preserve"> concerns</w:t>
      </w:r>
      <w:r w:rsidR="003351BA">
        <w:rPr>
          <w:szCs w:val="24"/>
        </w:rPr>
        <w:t>.</w:t>
      </w:r>
    </w:p>
    <w:p w14:paraId="4C0E52C8" w14:textId="17D65CF8" w:rsidR="00DE251C" w:rsidRPr="007C29EB" w:rsidRDefault="007C29EB" w:rsidP="007C29EB">
      <w:pPr>
        <w:pStyle w:val="Heading2"/>
        <w:numPr>
          <w:ilvl w:val="0"/>
          <w:numId w:val="0"/>
        </w:numPr>
      </w:pPr>
      <w:r>
        <w:lastRenderedPageBreak/>
        <w:t>4.</w:t>
      </w:r>
      <w:r>
        <w:tab/>
        <w:t>Background</w:t>
      </w:r>
    </w:p>
    <w:p w14:paraId="4860DD61" w14:textId="77777777" w:rsidR="00983CDD" w:rsidRPr="00331240" w:rsidRDefault="00983CDD" w:rsidP="00983CDD">
      <w:r w:rsidRPr="00331240">
        <w:t xml:space="preserve">MSAC has not previously considered DBS of the thalamus for the treatment of severe refractory epilepsy in adults. </w:t>
      </w:r>
    </w:p>
    <w:p w14:paraId="4719B2D2" w14:textId="5B55466B" w:rsidR="00983CDD" w:rsidRPr="00331240" w:rsidRDefault="00983CDD" w:rsidP="00983CDD">
      <w:r w:rsidRPr="00331240">
        <w:t xml:space="preserve">DBS is currently funded by MBS in Australia for </w:t>
      </w:r>
      <w:r w:rsidR="00150DA1" w:rsidRPr="00331240">
        <w:t xml:space="preserve">the following </w:t>
      </w:r>
      <w:r w:rsidRPr="00331240">
        <w:t>indications:</w:t>
      </w:r>
    </w:p>
    <w:p w14:paraId="3FEE014C" w14:textId="717B5C19" w:rsidR="00983CDD" w:rsidRPr="00331240" w:rsidRDefault="00983CDD" w:rsidP="00F4629A">
      <w:pPr>
        <w:pStyle w:val="ListParagraph"/>
        <w:numPr>
          <w:ilvl w:val="0"/>
          <w:numId w:val="7"/>
        </w:numPr>
      </w:pPr>
      <w:r w:rsidRPr="00331240">
        <w:t>treatment of Parkinson’s disease where the patient’s response to medical therapy is not sustained and is accompanied by unacceptable motor fluctuations</w:t>
      </w:r>
    </w:p>
    <w:p w14:paraId="28B4A6BD" w14:textId="77777777" w:rsidR="00983CDD" w:rsidRPr="00331240" w:rsidRDefault="00983CDD" w:rsidP="00F4629A">
      <w:pPr>
        <w:pStyle w:val="ListParagraph"/>
        <w:numPr>
          <w:ilvl w:val="0"/>
          <w:numId w:val="7"/>
        </w:numPr>
      </w:pPr>
      <w:r w:rsidRPr="00331240">
        <w:t>treatment of essential tremor or dystonia where the patient’s symptoms cause severe disability.</w:t>
      </w:r>
    </w:p>
    <w:p w14:paraId="356D6A3E" w14:textId="00B852AC" w:rsidR="00983CDD" w:rsidRDefault="00983CDD" w:rsidP="00983CDD">
      <w:r w:rsidRPr="00331240">
        <w:t>MBS items 40851, 40852, 40854, 40856, 40858, 40860, 40862 for the above indications were introduced on the MBS from 1 November 2006</w:t>
      </w:r>
      <w:r w:rsidR="00903C65" w:rsidRPr="00331240">
        <w:t>.</w:t>
      </w:r>
      <w:r w:rsidR="00903C65" w:rsidRPr="00331240">
        <w:rPr>
          <w:rStyle w:val="FootnoteReference"/>
        </w:rPr>
        <w:footnoteReference w:id="5"/>
      </w:r>
    </w:p>
    <w:p w14:paraId="693D3763" w14:textId="04CADDA9" w:rsidR="00D64D24" w:rsidRPr="007C29EB" w:rsidRDefault="007C29EB" w:rsidP="007C29EB">
      <w:pPr>
        <w:pStyle w:val="Heading2"/>
        <w:numPr>
          <w:ilvl w:val="0"/>
          <w:numId w:val="0"/>
        </w:numPr>
      </w:pPr>
      <w:r>
        <w:t>5.</w:t>
      </w:r>
      <w:r>
        <w:tab/>
      </w:r>
      <w:bookmarkStart w:id="2" w:name="_Toc118758148"/>
      <w:bookmarkStart w:id="3" w:name="_Toc121840745"/>
      <w:r w:rsidR="00C16CFB" w:rsidRPr="00331240">
        <w:rPr>
          <w:lang w:val="en-AU"/>
        </w:rPr>
        <w:t>Prerequisites to implementation of any funding advice</w:t>
      </w:r>
      <w:bookmarkEnd w:id="2"/>
      <w:bookmarkEnd w:id="3"/>
    </w:p>
    <w:p w14:paraId="7718E459" w14:textId="19A2E412" w:rsidR="00EC18FF" w:rsidRPr="00331240" w:rsidRDefault="00F51B53" w:rsidP="002918A9">
      <w:r w:rsidRPr="00331240">
        <w:t>There are no prerequisites to the i</w:t>
      </w:r>
      <w:r w:rsidR="00B74283" w:rsidRPr="00331240">
        <w:t xml:space="preserve">mplementation of </w:t>
      </w:r>
      <w:r w:rsidR="002918A9" w:rsidRPr="00331240">
        <w:t xml:space="preserve">DBS </w:t>
      </w:r>
      <w:r w:rsidR="0033629C" w:rsidRPr="00331240">
        <w:t>of the thalamus for the treatment of severe refractory epilepsy</w:t>
      </w:r>
      <w:r w:rsidRPr="00331240">
        <w:t>. It</w:t>
      </w:r>
      <w:r w:rsidR="0033629C" w:rsidRPr="00331240">
        <w:t xml:space="preserve"> does </w:t>
      </w:r>
      <w:r w:rsidR="00C74859" w:rsidRPr="00331240">
        <w:t xml:space="preserve">not </w:t>
      </w:r>
      <w:r w:rsidR="00C577F8" w:rsidRPr="00331240">
        <w:t>depend on</w:t>
      </w:r>
      <w:r w:rsidR="00C74859" w:rsidRPr="00331240">
        <w:t xml:space="preserve"> </w:t>
      </w:r>
      <w:r w:rsidR="00B74283" w:rsidRPr="00331240">
        <w:t xml:space="preserve">approval </w:t>
      </w:r>
      <w:r w:rsidRPr="00331240">
        <w:t xml:space="preserve">of </w:t>
      </w:r>
      <w:r w:rsidR="00C74859" w:rsidRPr="00331240">
        <w:t>an</w:t>
      </w:r>
      <w:r w:rsidR="00B74283" w:rsidRPr="00331240">
        <w:t>y</w:t>
      </w:r>
      <w:r w:rsidR="00C74859" w:rsidRPr="00331240">
        <w:t xml:space="preserve"> therapeutic </w:t>
      </w:r>
      <w:r w:rsidR="00150DA1" w:rsidRPr="00331240">
        <w:t xml:space="preserve">item </w:t>
      </w:r>
      <w:r w:rsidR="00B74283" w:rsidRPr="00331240">
        <w:t xml:space="preserve">by the </w:t>
      </w:r>
      <w:r w:rsidR="000311D4" w:rsidRPr="00331240">
        <w:t>TGA</w:t>
      </w:r>
      <w:r w:rsidR="00DC3D91" w:rsidRPr="00331240">
        <w:t xml:space="preserve">, noting there </w:t>
      </w:r>
      <w:r w:rsidR="003C18FC" w:rsidRPr="00331240">
        <w:t>are</w:t>
      </w:r>
      <w:r w:rsidR="00911AB0">
        <w:t xml:space="preserve"> </w:t>
      </w:r>
      <w:r w:rsidR="00DC3D91" w:rsidRPr="00331240">
        <w:t>ARTG listing</w:t>
      </w:r>
      <w:r w:rsidR="003C18FC" w:rsidRPr="00331240">
        <w:t>s</w:t>
      </w:r>
      <w:r w:rsidR="00DC3D91" w:rsidRPr="00331240">
        <w:t xml:space="preserve"> for</w:t>
      </w:r>
      <w:r w:rsidR="005F1FC7" w:rsidRPr="00331240">
        <w:t xml:space="preserve"> a</w:t>
      </w:r>
      <w:r w:rsidR="00DC3D91" w:rsidRPr="00331240">
        <w:t xml:space="preserve"> DBS</w:t>
      </w:r>
      <w:r w:rsidR="005F1FC7" w:rsidRPr="00331240">
        <w:t xml:space="preserve"> device</w:t>
      </w:r>
      <w:r w:rsidR="00DC3D91" w:rsidRPr="00331240">
        <w:t xml:space="preserve"> </w:t>
      </w:r>
      <w:r w:rsidR="003C18FC" w:rsidRPr="00331240">
        <w:t xml:space="preserve">and </w:t>
      </w:r>
      <w:r w:rsidR="0009569C" w:rsidRPr="00331240">
        <w:t xml:space="preserve">its </w:t>
      </w:r>
      <w:r w:rsidR="003C18FC" w:rsidRPr="00331240">
        <w:t xml:space="preserve">associated components </w:t>
      </w:r>
      <w:r w:rsidR="00DC3D91" w:rsidRPr="00331240">
        <w:t>indicated for epilepsy</w:t>
      </w:r>
      <w:r w:rsidR="001F494D" w:rsidRPr="00331240">
        <w:t xml:space="preserve"> (P</w:t>
      </w:r>
      <w:r w:rsidR="003B3C85" w:rsidRPr="00331240">
        <w:t>ercept™</w:t>
      </w:r>
      <w:r w:rsidR="00645969">
        <w:t xml:space="preserve"> </w:t>
      </w:r>
      <w:r w:rsidR="003B3C85" w:rsidRPr="00331240">
        <w:t>PC)</w:t>
      </w:r>
      <w:r w:rsidR="005F1FC7" w:rsidRPr="00331240">
        <w:t>, sponsored by Medtronic</w:t>
      </w:r>
      <w:r w:rsidR="00DC3D91" w:rsidRPr="00331240">
        <w:t xml:space="preserve"> </w:t>
      </w:r>
      <w:r w:rsidR="00906803" w:rsidRPr="00331240">
        <w:t>Australasia</w:t>
      </w:r>
      <w:r w:rsidR="00044BE8" w:rsidRPr="00331240">
        <w:t xml:space="preserve"> Pty Ltd</w:t>
      </w:r>
      <w:r w:rsidR="00D45A9E" w:rsidRPr="00331240">
        <w:t xml:space="preserve"> (</w:t>
      </w:r>
      <w:r w:rsidR="00755EF1" w:rsidRPr="00331240">
        <w:fldChar w:fldCharType="begin"/>
      </w:r>
      <w:r w:rsidR="00755EF1" w:rsidRPr="00331240">
        <w:instrText xml:space="preserve"> REF _Ref120616200 \h </w:instrText>
      </w:r>
      <w:r w:rsidR="00755EF1" w:rsidRPr="00331240">
        <w:fldChar w:fldCharType="separate"/>
      </w:r>
      <w:r w:rsidR="00D4512D" w:rsidRPr="00331240">
        <w:t xml:space="preserve">Table </w:t>
      </w:r>
      <w:r w:rsidR="00D4512D">
        <w:rPr>
          <w:noProof/>
        </w:rPr>
        <w:t>1</w:t>
      </w:r>
      <w:r w:rsidR="00755EF1" w:rsidRPr="00331240">
        <w:fldChar w:fldCharType="end"/>
      </w:r>
      <w:r w:rsidR="00D45A9E" w:rsidRPr="00331240">
        <w:t xml:space="preserve">). </w:t>
      </w:r>
      <w:r w:rsidR="00313FD2" w:rsidRPr="00331240">
        <w:t>In addition</w:t>
      </w:r>
      <w:r w:rsidR="005D6391" w:rsidRPr="00331240">
        <w:t>,</w:t>
      </w:r>
      <w:r w:rsidR="00313FD2" w:rsidRPr="00331240">
        <w:t xml:space="preserve"> there are various consumables </w:t>
      </w:r>
      <w:r w:rsidR="00FC2EB8" w:rsidRPr="00331240">
        <w:t xml:space="preserve">that will be </w:t>
      </w:r>
      <w:r w:rsidR="00313FD2" w:rsidRPr="00331240">
        <w:t xml:space="preserve">used as part of the </w:t>
      </w:r>
      <w:r w:rsidR="00CE7A79" w:rsidRPr="00331240">
        <w:t>service</w:t>
      </w:r>
      <w:r w:rsidR="005D6391" w:rsidRPr="00331240">
        <w:t xml:space="preserve"> which </w:t>
      </w:r>
      <w:r w:rsidR="00250C4D" w:rsidRPr="00331240">
        <w:t xml:space="preserve">are also </w:t>
      </w:r>
      <w:r w:rsidR="00CB1BD6" w:rsidRPr="00331240">
        <w:t xml:space="preserve">listed </w:t>
      </w:r>
      <w:r w:rsidR="00250C4D" w:rsidRPr="00331240">
        <w:t>on the ARTG</w:t>
      </w:r>
      <w:r w:rsidR="00CE7A79" w:rsidRPr="00331240">
        <w:t xml:space="preserve">, </w:t>
      </w:r>
      <w:r w:rsidR="00CB1BD6" w:rsidRPr="00331240">
        <w:t>as described in</w:t>
      </w:r>
      <w:r w:rsidR="00CE7A79" w:rsidRPr="00331240">
        <w:t xml:space="preserve"> </w:t>
      </w:r>
      <w:r w:rsidR="00755EF1" w:rsidRPr="00331240">
        <w:fldChar w:fldCharType="begin"/>
      </w:r>
      <w:r w:rsidR="00755EF1" w:rsidRPr="00331240">
        <w:instrText xml:space="preserve"> REF _Ref120616215 \h </w:instrText>
      </w:r>
      <w:r w:rsidR="00755EF1" w:rsidRPr="00331240">
        <w:fldChar w:fldCharType="separate"/>
      </w:r>
      <w:r w:rsidR="00D4512D" w:rsidRPr="00331240">
        <w:t xml:space="preserve">Table </w:t>
      </w:r>
      <w:r w:rsidR="00D4512D">
        <w:rPr>
          <w:noProof/>
        </w:rPr>
        <w:t>2</w:t>
      </w:r>
      <w:r w:rsidR="00755EF1" w:rsidRPr="00331240">
        <w:fldChar w:fldCharType="end"/>
      </w:r>
      <w:r w:rsidR="00CE7A79" w:rsidRPr="00331240">
        <w:t>.</w:t>
      </w:r>
    </w:p>
    <w:p w14:paraId="5A49680C" w14:textId="4D920C2C" w:rsidR="006F009B" w:rsidRPr="00331240" w:rsidRDefault="006F009B" w:rsidP="00B94945">
      <w:pPr>
        <w:pStyle w:val="Tableheader"/>
      </w:pPr>
      <w:bookmarkStart w:id="4" w:name="_Ref120616200"/>
      <w:r w:rsidRPr="00331240">
        <w:t xml:space="preserve">Table </w:t>
      </w:r>
      <w:r w:rsidR="00B94945">
        <w:fldChar w:fldCharType="begin"/>
      </w:r>
      <w:r w:rsidR="00B94945">
        <w:instrText xml:space="preserve"> SEQ Table \* ARABIC </w:instrText>
      </w:r>
      <w:r w:rsidR="00B94945">
        <w:fldChar w:fldCharType="separate"/>
      </w:r>
      <w:r w:rsidR="00D4512D">
        <w:rPr>
          <w:noProof/>
        </w:rPr>
        <w:t>1</w:t>
      </w:r>
      <w:r w:rsidR="00B94945">
        <w:rPr>
          <w:noProof/>
        </w:rPr>
        <w:fldChar w:fldCharType="end"/>
      </w:r>
      <w:bookmarkEnd w:id="4"/>
      <w:r w:rsidRPr="00331240">
        <w:t xml:space="preserve"> Components of the Percept PC, neurostimulator</w:t>
      </w:r>
      <w:r w:rsidR="003F78B2" w:rsidRPr="00331240">
        <w:t xml:space="preserve"> (Medtronic Australasia Pty Ltd)</w:t>
      </w:r>
      <w:r w:rsidRPr="00331240">
        <w:t xml:space="preserve"> </w:t>
      </w:r>
      <w:r w:rsidR="005D6391" w:rsidRPr="00331240">
        <w:t>listed on the</w:t>
      </w:r>
      <w:r w:rsidRPr="00331240">
        <w:t xml:space="preserve"> ARTG </w:t>
      </w:r>
    </w:p>
    <w:tbl>
      <w:tblPr>
        <w:tblStyle w:val="OPTUMTableNormal"/>
        <w:tblW w:w="4952" w:type="pct"/>
        <w:tblLook w:val="01E0" w:firstRow="1" w:lastRow="1" w:firstColumn="1" w:lastColumn="1" w:noHBand="0" w:noVBand="0"/>
      </w:tblPr>
      <w:tblGrid>
        <w:gridCol w:w="7227"/>
        <w:gridCol w:w="1702"/>
      </w:tblGrid>
      <w:tr w:rsidR="00E1685F" w:rsidRPr="00331240" w14:paraId="1C960231" w14:textId="77777777" w:rsidTr="000C6AB5">
        <w:trPr>
          <w:cnfStyle w:val="100000000000" w:firstRow="1" w:lastRow="0" w:firstColumn="0" w:lastColumn="0" w:oddVBand="0" w:evenVBand="0" w:oddHBand="0" w:evenHBand="0" w:firstRowFirstColumn="0" w:firstRowLastColumn="0" w:lastRowFirstColumn="0" w:lastRowLastColumn="0"/>
          <w:trHeight w:val="413"/>
        </w:trPr>
        <w:tc>
          <w:tcPr>
            <w:tcW w:w="4047" w:type="pct"/>
          </w:tcPr>
          <w:p w14:paraId="7FE633E2" w14:textId="145E502D" w:rsidR="00E1685F" w:rsidRPr="00331240" w:rsidRDefault="00E1685F" w:rsidP="00AD72B4">
            <w:pPr>
              <w:pStyle w:val="Tabletext"/>
              <w:contextualSpacing w:val="0"/>
              <w:rPr>
                <w:b/>
                <w:bCs/>
                <w:lang w:val="en-AU"/>
              </w:rPr>
            </w:pPr>
            <w:bookmarkStart w:id="5" w:name="_Hlk120615805"/>
            <w:r w:rsidRPr="00331240">
              <w:rPr>
                <w:b/>
                <w:bCs/>
                <w:lang w:val="en-AU"/>
              </w:rPr>
              <w:t>Summary for ARTG entry</w:t>
            </w:r>
          </w:p>
        </w:tc>
        <w:tc>
          <w:tcPr>
            <w:tcW w:w="953" w:type="pct"/>
          </w:tcPr>
          <w:p w14:paraId="3D61586B" w14:textId="0F37B0A1" w:rsidR="00E1685F" w:rsidRPr="00331240" w:rsidRDefault="00E1685F" w:rsidP="00AD72B4">
            <w:pPr>
              <w:pStyle w:val="Tabletext"/>
              <w:contextualSpacing w:val="0"/>
              <w:rPr>
                <w:b/>
                <w:bCs/>
                <w:lang w:val="en-AU"/>
              </w:rPr>
            </w:pPr>
            <w:r w:rsidRPr="00331240">
              <w:rPr>
                <w:b/>
                <w:bCs/>
                <w:lang w:val="en-AU"/>
              </w:rPr>
              <w:t>ARTG number</w:t>
            </w:r>
          </w:p>
        </w:tc>
      </w:tr>
      <w:tr w:rsidR="00E1685F" w:rsidRPr="00331240" w14:paraId="75E5E44E" w14:textId="77777777" w:rsidTr="000C6AB5">
        <w:trPr>
          <w:trHeight w:val="418"/>
        </w:trPr>
        <w:tc>
          <w:tcPr>
            <w:tcW w:w="4047" w:type="pct"/>
          </w:tcPr>
          <w:p w14:paraId="41DEC99F" w14:textId="5922614D" w:rsidR="00E1685F" w:rsidRPr="00331240" w:rsidRDefault="00E1685F" w:rsidP="00AD72B4">
            <w:pPr>
              <w:pStyle w:val="Tabletext"/>
              <w:contextualSpacing w:val="0"/>
              <w:rPr>
                <w:lang w:val="en-AU"/>
              </w:rPr>
            </w:pPr>
            <w:r w:rsidRPr="00331240">
              <w:rPr>
                <w:lang w:val="en-AU"/>
              </w:rPr>
              <w:t>Percept PC BrainSense B35200 – Brain electrical stimulation system, antitremor</w:t>
            </w:r>
          </w:p>
        </w:tc>
        <w:tc>
          <w:tcPr>
            <w:tcW w:w="953" w:type="pct"/>
          </w:tcPr>
          <w:p w14:paraId="1AE9BEF7" w14:textId="78F9442E" w:rsidR="00E1685F" w:rsidRPr="00331240" w:rsidRDefault="00E1685F" w:rsidP="00AD72B4">
            <w:pPr>
              <w:pStyle w:val="Tabletext"/>
              <w:contextualSpacing w:val="0"/>
              <w:rPr>
                <w:lang w:val="en-AU"/>
              </w:rPr>
            </w:pPr>
            <w:r w:rsidRPr="00331240">
              <w:rPr>
                <w:lang w:val="en-AU"/>
              </w:rPr>
              <w:t>351630</w:t>
            </w:r>
          </w:p>
        </w:tc>
      </w:tr>
      <w:tr w:rsidR="00E1685F" w:rsidRPr="00331240" w14:paraId="272EEF63" w14:textId="77777777" w:rsidTr="000C6AB5">
        <w:trPr>
          <w:trHeight w:val="410"/>
        </w:trPr>
        <w:tc>
          <w:tcPr>
            <w:tcW w:w="4047" w:type="pct"/>
          </w:tcPr>
          <w:p w14:paraId="0F748524" w14:textId="529F2BD5" w:rsidR="00E1685F" w:rsidRPr="00331240" w:rsidRDefault="00546C46" w:rsidP="00AD72B4">
            <w:pPr>
              <w:pStyle w:val="Tabletext"/>
              <w:contextualSpacing w:val="0"/>
              <w:rPr>
                <w:lang w:val="en-AU"/>
              </w:rPr>
            </w:pPr>
            <w:r w:rsidRPr="00331240">
              <w:rPr>
                <w:lang w:val="en-AU"/>
              </w:rPr>
              <w:t>B</w:t>
            </w:r>
            <w:r w:rsidR="009440CF" w:rsidRPr="00331240">
              <w:rPr>
                <w:lang w:val="en-AU"/>
              </w:rPr>
              <w:t>ur hole</w:t>
            </w:r>
            <w:r w:rsidR="0085583D" w:rsidRPr="00331240">
              <w:rPr>
                <w:lang w:val="en-AU"/>
              </w:rPr>
              <w:t xml:space="preserve"> cover</w:t>
            </w:r>
          </w:p>
        </w:tc>
        <w:tc>
          <w:tcPr>
            <w:tcW w:w="953" w:type="pct"/>
          </w:tcPr>
          <w:p w14:paraId="042472D9" w14:textId="4258C465" w:rsidR="00E1685F" w:rsidRPr="00331240" w:rsidRDefault="00EA4DD6" w:rsidP="00AD72B4">
            <w:pPr>
              <w:pStyle w:val="Tabletext"/>
              <w:contextualSpacing w:val="0"/>
              <w:rPr>
                <w:lang w:val="en-AU"/>
              </w:rPr>
            </w:pPr>
            <w:r w:rsidRPr="00331240">
              <w:rPr>
                <w:lang w:val="en-AU"/>
              </w:rPr>
              <w:t>151095</w:t>
            </w:r>
          </w:p>
        </w:tc>
      </w:tr>
      <w:tr w:rsidR="00E1685F" w:rsidRPr="00331240" w14:paraId="4AF37CFD" w14:textId="77777777" w:rsidTr="000C6AB5">
        <w:trPr>
          <w:trHeight w:val="417"/>
        </w:trPr>
        <w:tc>
          <w:tcPr>
            <w:tcW w:w="4047" w:type="pct"/>
          </w:tcPr>
          <w:p w14:paraId="4EA25DDD" w14:textId="5215778F" w:rsidR="00E1685F" w:rsidRPr="00331240" w:rsidRDefault="00F72326" w:rsidP="00AD72B4">
            <w:pPr>
              <w:pStyle w:val="Tabletext"/>
              <w:contextualSpacing w:val="0"/>
              <w:rPr>
                <w:lang w:val="en-AU"/>
              </w:rPr>
            </w:pPr>
            <w:r w:rsidRPr="00331240">
              <w:rPr>
                <w:lang w:val="en-AU"/>
              </w:rPr>
              <w:t>Electrode/lead</w:t>
            </w:r>
            <w:r w:rsidR="00CA3F2A" w:rsidRPr="00331240">
              <w:rPr>
                <w:lang w:val="en-AU"/>
              </w:rPr>
              <w:t>, stimulator, implantable</w:t>
            </w:r>
            <w:r w:rsidR="00EA4DD6" w:rsidRPr="00331240">
              <w:rPr>
                <w:lang w:val="en-AU"/>
              </w:rPr>
              <w:t>, neurological</w:t>
            </w:r>
            <w:r w:rsidR="0039363E" w:rsidRPr="00331240">
              <w:rPr>
                <w:lang w:val="en-AU"/>
              </w:rPr>
              <w:t>, model 3387</w:t>
            </w:r>
          </w:p>
        </w:tc>
        <w:tc>
          <w:tcPr>
            <w:tcW w:w="953" w:type="pct"/>
          </w:tcPr>
          <w:p w14:paraId="45F7CA44" w14:textId="5D8575A4" w:rsidR="00E1685F" w:rsidRPr="00331240" w:rsidRDefault="00102636" w:rsidP="00AD72B4">
            <w:pPr>
              <w:pStyle w:val="Tabletext"/>
              <w:contextualSpacing w:val="0"/>
              <w:rPr>
                <w:lang w:val="en-AU"/>
              </w:rPr>
            </w:pPr>
            <w:r w:rsidRPr="00331240">
              <w:rPr>
                <w:lang w:val="en-AU"/>
              </w:rPr>
              <w:t>137374</w:t>
            </w:r>
          </w:p>
        </w:tc>
      </w:tr>
      <w:tr w:rsidR="00102636" w:rsidRPr="00331240" w14:paraId="3270DDE5" w14:textId="77777777" w:rsidTr="000C6AB5">
        <w:trPr>
          <w:trHeight w:val="423"/>
        </w:trPr>
        <w:tc>
          <w:tcPr>
            <w:tcW w:w="4047" w:type="pct"/>
          </w:tcPr>
          <w:p w14:paraId="1ADCA687" w14:textId="4D9C807F" w:rsidR="00102636" w:rsidRPr="00331240" w:rsidRDefault="00927A62" w:rsidP="00AD72B4">
            <w:pPr>
              <w:pStyle w:val="Tabletext"/>
              <w:contextualSpacing w:val="0"/>
              <w:rPr>
                <w:lang w:val="en-AU"/>
              </w:rPr>
            </w:pPr>
            <w:r w:rsidRPr="00331240">
              <w:rPr>
                <w:lang w:val="en-AU"/>
              </w:rPr>
              <w:t xml:space="preserve">Neural-tissue electrical stimulation lead </w:t>
            </w:r>
            <w:r w:rsidR="00711BA4" w:rsidRPr="00331240">
              <w:rPr>
                <w:lang w:val="en-AU"/>
              </w:rPr>
              <w:t>adapter</w:t>
            </w:r>
          </w:p>
        </w:tc>
        <w:tc>
          <w:tcPr>
            <w:tcW w:w="953" w:type="pct"/>
          </w:tcPr>
          <w:p w14:paraId="1DED44B0" w14:textId="033DF786" w:rsidR="00102636" w:rsidRPr="00331240" w:rsidRDefault="007C19DD" w:rsidP="00AD72B4">
            <w:pPr>
              <w:pStyle w:val="Tabletext"/>
              <w:contextualSpacing w:val="0"/>
              <w:rPr>
                <w:lang w:val="en-AU"/>
              </w:rPr>
            </w:pPr>
            <w:r w:rsidRPr="00331240">
              <w:rPr>
                <w:lang w:val="en-AU"/>
              </w:rPr>
              <w:t>23</w:t>
            </w:r>
            <w:r w:rsidR="005C008D" w:rsidRPr="00331240">
              <w:rPr>
                <w:lang w:val="en-AU"/>
              </w:rPr>
              <w:t>9412</w:t>
            </w:r>
          </w:p>
        </w:tc>
      </w:tr>
      <w:tr w:rsidR="00102636" w:rsidRPr="00331240" w14:paraId="58317258" w14:textId="77777777" w:rsidTr="000C6AB5">
        <w:trPr>
          <w:trHeight w:val="414"/>
        </w:trPr>
        <w:tc>
          <w:tcPr>
            <w:tcW w:w="4047" w:type="pct"/>
          </w:tcPr>
          <w:p w14:paraId="41BE98BE" w14:textId="6AA6D26C" w:rsidR="00102636" w:rsidRPr="00331240" w:rsidRDefault="0031760B" w:rsidP="00AD72B4">
            <w:pPr>
              <w:pStyle w:val="Tabletext"/>
              <w:contextualSpacing w:val="0"/>
              <w:rPr>
                <w:lang w:val="en-AU"/>
              </w:rPr>
            </w:pPr>
            <w:r w:rsidRPr="00331240">
              <w:rPr>
                <w:lang w:val="en-AU"/>
              </w:rPr>
              <w:t>TH91D – Multi-purpose electrical stimulation system programmer</w:t>
            </w:r>
          </w:p>
        </w:tc>
        <w:tc>
          <w:tcPr>
            <w:tcW w:w="953" w:type="pct"/>
          </w:tcPr>
          <w:p w14:paraId="47F68AA3" w14:textId="49CCBD2A" w:rsidR="00102636" w:rsidRPr="00331240" w:rsidRDefault="00E25527" w:rsidP="00AD72B4">
            <w:pPr>
              <w:pStyle w:val="Tabletext"/>
              <w:contextualSpacing w:val="0"/>
              <w:rPr>
                <w:lang w:val="en-AU"/>
              </w:rPr>
            </w:pPr>
            <w:r w:rsidRPr="00331240">
              <w:rPr>
                <w:lang w:val="en-AU"/>
              </w:rPr>
              <w:t>351</w:t>
            </w:r>
            <w:r w:rsidR="00337BF2" w:rsidRPr="00331240">
              <w:rPr>
                <w:lang w:val="en-AU"/>
              </w:rPr>
              <w:t>590</w:t>
            </w:r>
          </w:p>
        </w:tc>
      </w:tr>
    </w:tbl>
    <w:p w14:paraId="77215E0B" w14:textId="0F00CD2E" w:rsidR="003F78B2" w:rsidRPr="00331240" w:rsidRDefault="003F78B2" w:rsidP="000C6AB5">
      <w:pPr>
        <w:pStyle w:val="Tableheader"/>
        <w:spacing w:before="240"/>
      </w:pPr>
      <w:bookmarkStart w:id="6" w:name="_Ref120616215"/>
      <w:bookmarkEnd w:id="5"/>
      <w:r w:rsidRPr="00331240">
        <w:t xml:space="preserve">Table </w:t>
      </w:r>
      <w:r w:rsidR="00B94945">
        <w:fldChar w:fldCharType="begin"/>
      </w:r>
      <w:r w:rsidR="00B94945">
        <w:instrText xml:space="preserve"> SEQ Table \* ARABIC </w:instrText>
      </w:r>
      <w:r w:rsidR="00B94945">
        <w:fldChar w:fldCharType="separate"/>
      </w:r>
      <w:r w:rsidR="00D4512D">
        <w:rPr>
          <w:noProof/>
        </w:rPr>
        <w:t>2</w:t>
      </w:r>
      <w:r w:rsidR="00B94945">
        <w:fldChar w:fldCharType="end"/>
      </w:r>
      <w:bookmarkEnd w:id="6"/>
      <w:r w:rsidRPr="00331240">
        <w:t xml:space="preserve"> Consumables </w:t>
      </w:r>
      <w:r w:rsidR="0083717C" w:rsidRPr="00331240">
        <w:t>(</w:t>
      </w:r>
      <w:r w:rsidR="001B28C5" w:rsidRPr="00331240">
        <w:t xml:space="preserve">all </w:t>
      </w:r>
      <w:r w:rsidR="0083717C" w:rsidRPr="00331240">
        <w:t>Medtronic Australasia</w:t>
      </w:r>
      <w:r w:rsidR="00E5682B" w:rsidRPr="00331240">
        <w:t xml:space="preserve"> Pty Ltd) </w:t>
      </w:r>
      <w:r w:rsidRPr="00331240">
        <w:t>associated with the DBS service that are listed on the ARTG</w:t>
      </w:r>
    </w:p>
    <w:tbl>
      <w:tblPr>
        <w:tblStyle w:val="OPTUMTableNormal"/>
        <w:tblW w:w="4952" w:type="pct"/>
        <w:tblLook w:val="01E0" w:firstRow="1" w:lastRow="1" w:firstColumn="1" w:lastColumn="1" w:noHBand="0" w:noVBand="0"/>
      </w:tblPr>
      <w:tblGrid>
        <w:gridCol w:w="7227"/>
        <w:gridCol w:w="1702"/>
      </w:tblGrid>
      <w:tr w:rsidR="009139F4" w:rsidRPr="00331240" w14:paraId="724A7D92" w14:textId="77777777" w:rsidTr="000C6AB5">
        <w:trPr>
          <w:cnfStyle w:val="100000000000" w:firstRow="1" w:lastRow="0" w:firstColumn="0" w:lastColumn="0" w:oddVBand="0" w:evenVBand="0" w:oddHBand="0" w:evenHBand="0" w:firstRowFirstColumn="0" w:firstRowLastColumn="0" w:lastRowFirstColumn="0" w:lastRowLastColumn="0"/>
          <w:trHeight w:val="429"/>
        </w:trPr>
        <w:tc>
          <w:tcPr>
            <w:tcW w:w="4047" w:type="pct"/>
          </w:tcPr>
          <w:p w14:paraId="395FBA05" w14:textId="77777777" w:rsidR="009139F4" w:rsidRPr="00331240" w:rsidRDefault="009139F4" w:rsidP="001335FA">
            <w:pPr>
              <w:pStyle w:val="Tabletext"/>
              <w:rPr>
                <w:b/>
                <w:bCs/>
                <w:lang w:val="en-AU"/>
              </w:rPr>
            </w:pPr>
            <w:bookmarkStart w:id="7" w:name="_Hlk120695730"/>
            <w:r w:rsidRPr="00331240">
              <w:rPr>
                <w:b/>
                <w:bCs/>
                <w:lang w:val="en-AU"/>
              </w:rPr>
              <w:t>Summary for ARTG entry</w:t>
            </w:r>
          </w:p>
        </w:tc>
        <w:tc>
          <w:tcPr>
            <w:tcW w:w="953" w:type="pct"/>
          </w:tcPr>
          <w:p w14:paraId="28702BBB" w14:textId="77777777" w:rsidR="009139F4" w:rsidRPr="00331240" w:rsidRDefault="009139F4" w:rsidP="001335FA">
            <w:pPr>
              <w:pStyle w:val="Tabletext"/>
              <w:rPr>
                <w:b/>
                <w:bCs/>
                <w:lang w:val="en-AU"/>
              </w:rPr>
            </w:pPr>
            <w:r w:rsidRPr="00331240">
              <w:rPr>
                <w:b/>
                <w:bCs/>
                <w:lang w:val="en-AU"/>
              </w:rPr>
              <w:t>ARTG number</w:t>
            </w:r>
          </w:p>
        </w:tc>
      </w:tr>
      <w:tr w:rsidR="00857E7E" w:rsidRPr="00331240" w14:paraId="551F21F7" w14:textId="77777777" w:rsidTr="000C6AB5">
        <w:trPr>
          <w:trHeight w:val="421"/>
        </w:trPr>
        <w:tc>
          <w:tcPr>
            <w:tcW w:w="4047" w:type="pct"/>
          </w:tcPr>
          <w:p w14:paraId="2EC045AC" w14:textId="0E7637FF" w:rsidR="00857E7E" w:rsidRPr="00331240" w:rsidRDefault="006F6BC5" w:rsidP="00857E7E">
            <w:pPr>
              <w:pStyle w:val="Tabletext"/>
              <w:rPr>
                <w:lang w:val="en-AU"/>
              </w:rPr>
            </w:pPr>
            <w:r w:rsidRPr="00331240">
              <w:rPr>
                <w:lang w:val="en-AU"/>
              </w:rPr>
              <w:t>T</w:t>
            </w:r>
            <w:r w:rsidR="00857E7E" w:rsidRPr="00331240">
              <w:rPr>
                <w:lang w:val="en-AU"/>
              </w:rPr>
              <w:t>unneller, ligament/tendon</w:t>
            </w:r>
          </w:p>
        </w:tc>
        <w:tc>
          <w:tcPr>
            <w:tcW w:w="953" w:type="pct"/>
          </w:tcPr>
          <w:p w14:paraId="213DA63C" w14:textId="0A2AFE10" w:rsidR="00857E7E" w:rsidRPr="00331240" w:rsidRDefault="00857E7E" w:rsidP="00857E7E">
            <w:pPr>
              <w:pStyle w:val="Tabletext"/>
              <w:rPr>
                <w:lang w:val="en-AU"/>
              </w:rPr>
            </w:pPr>
            <w:r w:rsidRPr="00331240">
              <w:rPr>
                <w:lang w:val="en-AU"/>
              </w:rPr>
              <w:t>121281</w:t>
            </w:r>
          </w:p>
        </w:tc>
      </w:tr>
      <w:tr w:rsidR="00857E7E" w:rsidRPr="00331240" w14:paraId="5CEDF5D9" w14:textId="77777777" w:rsidTr="000C6AB5">
        <w:trPr>
          <w:trHeight w:val="399"/>
        </w:trPr>
        <w:tc>
          <w:tcPr>
            <w:tcW w:w="4047" w:type="pct"/>
          </w:tcPr>
          <w:p w14:paraId="2666D63A" w14:textId="38D1B784" w:rsidR="00857E7E" w:rsidRPr="00331240" w:rsidRDefault="006F6BC5" w:rsidP="00857E7E">
            <w:pPr>
              <w:pStyle w:val="Tabletext"/>
              <w:rPr>
                <w:lang w:val="en-AU"/>
              </w:rPr>
            </w:pPr>
            <w:r w:rsidRPr="00331240">
              <w:rPr>
                <w:lang w:val="en-AU"/>
              </w:rPr>
              <w:t>E</w:t>
            </w:r>
            <w:r w:rsidR="005C4560" w:rsidRPr="00331240">
              <w:rPr>
                <w:lang w:val="en-AU"/>
              </w:rPr>
              <w:t>lectrode, electroencephalograph</w:t>
            </w:r>
          </w:p>
        </w:tc>
        <w:tc>
          <w:tcPr>
            <w:tcW w:w="953" w:type="pct"/>
          </w:tcPr>
          <w:p w14:paraId="52352C36" w14:textId="25E9F9E3" w:rsidR="00857E7E" w:rsidRPr="00331240" w:rsidRDefault="00857E7E" w:rsidP="00857E7E">
            <w:pPr>
              <w:pStyle w:val="Tabletext"/>
              <w:rPr>
                <w:lang w:val="en-AU"/>
              </w:rPr>
            </w:pPr>
            <w:r w:rsidRPr="00331240">
              <w:rPr>
                <w:lang w:val="en-AU"/>
              </w:rPr>
              <w:t>133619</w:t>
            </w:r>
          </w:p>
        </w:tc>
      </w:tr>
      <w:tr w:rsidR="00857E7E" w:rsidRPr="00331240" w14:paraId="2D285D99" w14:textId="77777777" w:rsidTr="000C6AB5">
        <w:trPr>
          <w:trHeight w:val="432"/>
        </w:trPr>
        <w:tc>
          <w:tcPr>
            <w:tcW w:w="4047" w:type="pct"/>
          </w:tcPr>
          <w:p w14:paraId="2FFD64B1" w14:textId="43E3D521" w:rsidR="00857E7E" w:rsidRPr="00331240" w:rsidRDefault="006F6BC5" w:rsidP="00857E7E">
            <w:pPr>
              <w:pStyle w:val="Tabletext"/>
              <w:rPr>
                <w:lang w:val="en-AU"/>
              </w:rPr>
            </w:pPr>
            <w:r w:rsidRPr="00331240">
              <w:rPr>
                <w:lang w:val="en-AU"/>
              </w:rPr>
              <w:t>C</w:t>
            </w:r>
            <w:r w:rsidR="00DD2822" w:rsidRPr="00331240">
              <w:rPr>
                <w:lang w:val="en-AU"/>
              </w:rPr>
              <w:t>able/lead, electroencephalograph</w:t>
            </w:r>
          </w:p>
        </w:tc>
        <w:tc>
          <w:tcPr>
            <w:tcW w:w="953" w:type="pct"/>
          </w:tcPr>
          <w:p w14:paraId="270CB27E" w14:textId="107EF40E" w:rsidR="00857E7E" w:rsidRPr="00331240" w:rsidRDefault="00857E7E" w:rsidP="00857E7E">
            <w:pPr>
              <w:pStyle w:val="Tabletext"/>
              <w:rPr>
                <w:lang w:val="en-AU"/>
              </w:rPr>
            </w:pPr>
            <w:r w:rsidRPr="00331240">
              <w:rPr>
                <w:lang w:val="en-AU"/>
              </w:rPr>
              <w:t>138186</w:t>
            </w:r>
          </w:p>
        </w:tc>
      </w:tr>
      <w:tr w:rsidR="00857E7E" w:rsidRPr="00331240" w14:paraId="02DB59FA" w14:textId="77777777" w:rsidTr="000C6AB5">
        <w:trPr>
          <w:trHeight w:val="387"/>
        </w:trPr>
        <w:tc>
          <w:tcPr>
            <w:tcW w:w="4047" w:type="pct"/>
          </w:tcPr>
          <w:p w14:paraId="009B778D" w14:textId="039D7F09" w:rsidR="00857E7E" w:rsidRPr="00331240" w:rsidRDefault="006F6BC5" w:rsidP="00857E7E">
            <w:pPr>
              <w:pStyle w:val="Tabletext"/>
              <w:rPr>
                <w:lang w:val="en-AU"/>
              </w:rPr>
            </w:pPr>
            <w:r w:rsidRPr="00331240">
              <w:rPr>
                <w:lang w:val="en-AU"/>
              </w:rPr>
              <w:t>S</w:t>
            </w:r>
            <w:r w:rsidR="00E7105D" w:rsidRPr="00331240">
              <w:rPr>
                <w:lang w:val="en-AU"/>
              </w:rPr>
              <w:t>tereotactic surgery system probe, single use</w:t>
            </w:r>
          </w:p>
        </w:tc>
        <w:tc>
          <w:tcPr>
            <w:tcW w:w="953" w:type="pct"/>
          </w:tcPr>
          <w:p w14:paraId="6745FBD7" w14:textId="1674875E" w:rsidR="00857E7E" w:rsidRPr="00331240" w:rsidRDefault="00857E7E" w:rsidP="00857E7E">
            <w:pPr>
              <w:pStyle w:val="Tabletext"/>
              <w:rPr>
                <w:lang w:val="en-AU"/>
              </w:rPr>
            </w:pPr>
            <w:r w:rsidRPr="00331240">
              <w:rPr>
                <w:lang w:val="en-AU"/>
              </w:rPr>
              <w:t>212222</w:t>
            </w:r>
          </w:p>
        </w:tc>
      </w:tr>
      <w:tr w:rsidR="00857E7E" w:rsidRPr="00331240" w14:paraId="444E9453" w14:textId="77777777" w:rsidTr="000C6AB5">
        <w:trPr>
          <w:trHeight w:val="421"/>
        </w:trPr>
        <w:tc>
          <w:tcPr>
            <w:tcW w:w="4047" w:type="pct"/>
          </w:tcPr>
          <w:p w14:paraId="341775DB" w14:textId="61835A8F" w:rsidR="00857E7E" w:rsidRPr="00331240" w:rsidRDefault="006F6BC5" w:rsidP="00857E7E">
            <w:pPr>
              <w:pStyle w:val="Tabletext"/>
              <w:rPr>
                <w:lang w:val="en-AU"/>
              </w:rPr>
            </w:pPr>
            <w:r w:rsidRPr="00331240">
              <w:rPr>
                <w:lang w:val="en-AU"/>
              </w:rPr>
              <w:t>C</w:t>
            </w:r>
            <w:r w:rsidR="00093AD3" w:rsidRPr="00331240">
              <w:rPr>
                <w:lang w:val="en-AU"/>
              </w:rPr>
              <w:t>able</w:t>
            </w:r>
            <w:r w:rsidR="00375127" w:rsidRPr="00331240">
              <w:rPr>
                <w:lang w:val="en-AU"/>
              </w:rPr>
              <w:t xml:space="preserve"> (twist lock)</w:t>
            </w:r>
          </w:p>
        </w:tc>
        <w:tc>
          <w:tcPr>
            <w:tcW w:w="953" w:type="pct"/>
          </w:tcPr>
          <w:p w14:paraId="03112895" w14:textId="784548AE" w:rsidR="00857E7E" w:rsidRPr="00331240" w:rsidRDefault="00857E7E" w:rsidP="00857E7E">
            <w:pPr>
              <w:pStyle w:val="Tabletext"/>
              <w:rPr>
                <w:lang w:val="en-AU"/>
              </w:rPr>
            </w:pPr>
            <w:r w:rsidRPr="00331240">
              <w:rPr>
                <w:lang w:val="en-AU"/>
              </w:rPr>
              <w:t>119991</w:t>
            </w:r>
          </w:p>
        </w:tc>
      </w:tr>
      <w:tr w:rsidR="00857E7E" w:rsidRPr="00331240" w14:paraId="7FE256B2" w14:textId="77777777" w:rsidTr="000C6AB5">
        <w:trPr>
          <w:trHeight w:val="413"/>
        </w:trPr>
        <w:tc>
          <w:tcPr>
            <w:tcW w:w="4047" w:type="pct"/>
          </w:tcPr>
          <w:p w14:paraId="159D16D7" w14:textId="40A4DF0D" w:rsidR="00857E7E" w:rsidRPr="00331240" w:rsidRDefault="006F6BC5" w:rsidP="00857E7E">
            <w:pPr>
              <w:pStyle w:val="Tabletext"/>
              <w:rPr>
                <w:lang w:val="en-AU"/>
              </w:rPr>
            </w:pPr>
            <w:r w:rsidRPr="00331240">
              <w:rPr>
                <w:lang w:val="en-AU"/>
              </w:rPr>
              <w:t>C</w:t>
            </w:r>
            <w:r w:rsidR="00375127" w:rsidRPr="00331240">
              <w:rPr>
                <w:lang w:val="en-AU"/>
              </w:rPr>
              <w:t>able (Alligator clip)</w:t>
            </w:r>
          </w:p>
        </w:tc>
        <w:tc>
          <w:tcPr>
            <w:tcW w:w="953" w:type="pct"/>
          </w:tcPr>
          <w:p w14:paraId="4681E2B0" w14:textId="2F54DEA9" w:rsidR="00857E7E" w:rsidRPr="00331240" w:rsidRDefault="00857E7E" w:rsidP="00857E7E">
            <w:pPr>
              <w:pStyle w:val="Tabletext"/>
              <w:rPr>
                <w:lang w:val="en-AU"/>
              </w:rPr>
            </w:pPr>
            <w:r w:rsidRPr="00331240">
              <w:rPr>
                <w:lang w:val="en-AU"/>
              </w:rPr>
              <w:t>119991</w:t>
            </w:r>
          </w:p>
        </w:tc>
      </w:tr>
      <w:tr w:rsidR="00857E7E" w:rsidRPr="00331240" w14:paraId="212BFE9E" w14:textId="77777777" w:rsidTr="000C6AB5">
        <w:trPr>
          <w:trHeight w:val="419"/>
        </w:trPr>
        <w:tc>
          <w:tcPr>
            <w:tcW w:w="4047" w:type="pct"/>
          </w:tcPr>
          <w:p w14:paraId="5AB48B72" w14:textId="3A803632" w:rsidR="00857E7E" w:rsidRPr="00331240" w:rsidRDefault="006F6BC5" w:rsidP="00857E7E">
            <w:pPr>
              <w:pStyle w:val="Tabletext"/>
              <w:rPr>
                <w:lang w:val="en-AU"/>
              </w:rPr>
            </w:pPr>
            <w:r w:rsidRPr="00331240">
              <w:rPr>
                <w:lang w:val="en-AU"/>
              </w:rPr>
              <w:lastRenderedPageBreak/>
              <w:t>Surgical procedure kit, neurosurgical, single use, non</w:t>
            </w:r>
            <w:r w:rsidR="00E81E39">
              <w:rPr>
                <w:lang w:val="en-AU"/>
              </w:rPr>
              <w:t>-</w:t>
            </w:r>
            <w:r w:rsidRPr="00331240">
              <w:rPr>
                <w:lang w:val="en-AU"/>
              </w:rPr>
              <w:t>medicated</w:t>
            </w:r>
          </w:p>
        </w:tc>
        <w:tc>
          <w:tcPr>
            <w:tcW w:w="953" w:type="pct"/>
          </w:tcPr>
          <w:p w14:paraId="5B5684A8" w14:textId="38DC3FBF" w:rsidR="00857E7E" w:rsidRPr="00331240" w:rsidRDefault="00857E7E" w:rsidP="00857E7E">
            <w:pPr>
              <w:pStyle w:val="Tabletext"/>
              <w:rPr>
                <w:lang w:val="en-AU"/>
              </w:rPr>
            </w:pPr>
            <w:r w:rsidRPr="00331240">
              <w:rPr>
                <w:lang w:val="en-AU"/>
              </w:rPr>
              <w:t>240576</w:t>
            </w:r>
          </w:p>
        </w:tc>
      </w:tr>
    </w:tbl>
    <w:bookmarkEnd w:id="7"/>
    <w:p w14:paraId="09DF9DD7" w14:textId="13DCB497" w:rsidR="007C29EB" w:rsidRPr="007C29EB" w:rsidRDefault="00D97B0C" w:rsidP="007C29EB">
      <w:pPr>
        <w:pStyle w:val="Heading2"/>
        <w:numPr>
          <w:ilvl w:val="0"/>
          <w:numId w:val="0"/>
        </w:numPr>
      </w:pPr>
      <w:r>
        <w:t>6</w:t>
      </w:r>
      <w:r w:rsidR="007C29EB">
        <w:t>.</w:t>
      </w:r>
      <w:r w:rsidR="007C29EB">
        <w:tab/>
        <w:t>Proposal for public funding</w:t>
      </w:r>
    </w:p>
    <w:p w14:paraId="440959C1" w14:textId="69A7C6A3" w:rsidR="006577D4" w:rsidRPr="00331240" w:rsidRDefault="002B47D3" w:rsidP="006577D4">
      <w:r w:rsidRPr="00331240">
        <w:t xml:space="preserve">Funding is sought </w:t>
      </w:r>
      <w:r w:rsidR="00A7748D" w:rsidRPr="00331240">
        <w:t xml:space="preserve">via the MBS </w:t>
      </w:r>
      <w:r w:rsidR="001E4C4D" w:rsidRPr="00331240">
        <w:t xml:space="preserve">by amending the </w:t>
      </w:r>
      <w:r w:rsidR="008C3855" w:rsidRPr="00331240">
        <w:t>patient population for</w:t>
      </w:r>
      <w:r w:rsidR="006577D4" w:rsidRPr="00331240">
        <w:t xml:space="preserve"> </w:t>
      </w:r>
      <w:r w:rsidR="00AD68C6" w:rsidRPr="00331240">
        <w:t xml:space="preserve">existing </w:t>
      </w:r>
      <w:r w:rsidR="006577D4" w:rsidRPr="00331240">
        <w:t>MBS items (40851, 40852, 40854, 40856, 40858, 40860, 40862) for DBS. The proposed amendments to these existing MBS items are marked in blue italics in</w:t>
      </w:r>
      <w:r w:rsidR="002E6688" w:rsidRPr="00331240">
        <w:t xml:space="preserve"> </w:t>
      </w:r>
      <w:r w:rsidR="002E6688" w:rsidRPr="00331240">
        <w:fldChar w:fldCharType="begin"/>
      </w:r>
      <w:r w:rsidR="002E6688" w:rsidRPr="00331240">
        <w:instrText xml:space="preserve"> REF _Ref116906348 \h </w:instrText>
      </w:r>
      <w:r w:rsidR="002E6688" w:rsidRPr="00331240">
        <w:fldChar w:fldCharType="separate"/>
      </w:r>
      <w:r w:rsidR="00D4512D" w:rsidRPr="00331240">
        <w:t xml:space="preserve">Table </w:t>
      </w:r>
      <w:r w:rsidR="00D4512D">
        <w:rPr>
          <w:noProof/>
        </w:rPr>
        <w:t>3</w:t>
      </w:r>
      <w:r w:rsidR="002E6688" w:rsidRPr="00331240">
        <w:fldChar w:fldCharType="end"/>
      </w:r>
      <w:r w:rsidR="006577D4" w:rsidRPr="00331240">
        <w:t xml:space="preserve"> through to</w:t>
      </w:r>
      <w:r w:rsidR="002E6688" w:rsidRPr="00331240">
        <w:t xml:space="preserve"> </w:t>
      </w:r>
      <w:r w:rsidR="002E6688" w:rsidRPr="00331240">
        <w:fldChar w:fldCharType="begin"/>
      </w:r>
      <w:r w:rsidR="002E6688" w:rsidRPr="00331240">
        <w:instrText xml:space="preserve"> REF _Ref116906356 \h </w:instrText>
      </w:r>
      <w:r w:rsidR="002E6688" w:rsidRPr="00331240">
        <w:fldChar w:fldCharType="separate"/>
      </w:r>
      <w:r w:rsidR="00D4512D" w:rsidRPr="00331240">
        <w:t xml:space="preserve">Table </w:t>
      </w:r>
      <w:r w:rsidR="00D4512D">
        <w:rPr>
          <w:noProof/>
        </w:rPr>
        <w:t>9</w:t>
      </w:r>
      <w:r w:rsidR="002E6688" w:rsidRPr="00331240">
        <w:fldChar w:fldCharType="end"/>
      </w:r>
      <w:r w:rsidR="006577D4" w:rsidRPr="00331240">
        <w:t>.</w:t>
      </w:r>
    </w:p>
    <w:p w14:paraId="35C5073F" w14:textId="03451999" w:rsidR="006577D4" w:rsidRPr="00331240" w:rsidRDefault="006577D4" w:rsidP="006577D4">
      <w:r w:rsidRPr="00331240">
        <w:t xml:space="preserve">The aim is to expand current MBS items for DBS to include </w:t>
      </w:r>
      <w:r w:rsidR="00A21BEC" w:rsidRPr="00331240">
        <w:t>adults</w:t>
      </w:r>
      <w:r w:rsidRPr="00331240">
        <w:t xml:space="preserve"> with epilepsy who have been evaluated at a </w:t>
      </w:r>
      <w:r w:rsidR="00A72175">
        <w:t>CEP</w:t>
      </w:r>
      <w:r w:rsidRPr="00331240">
        <w:t xml:space="preserve"> and have been determined to have </w:t>
      </w:r>
      <w:r w:rsidR="00D64B5F" w:rsidRPr="00331240">
        <w:t>drug refractory</w:t>
      </w:r>
      <w:r w:rsidRPr="00331240">
        <w:t xml:space="preserve"> epilepsy and who are not suitable</w:t>
      </w:r>
      <w:r w:rsidR="00A176E5" w:rsidRPr="00331240">
        <w:t xml:space="preserve"> for</w:t>
      </w:r>
      <w:r w:rsidR="001F22A3" w:rsidRPr="00331240">
        <w:t xml:space="preserve"> resective surgery</w:t>
      </w:r>
      <w:r w:rsidR="00E82701" w:rsidRPr="00331240">
        <w:t xml:space="preserve"> </w:t>
      </w:r>
      <w:r w:rsidR="006903DD" w:rsidRPr="00331240">
        <w:t>or have</w:t>
      </w:r>
      <w:r w:rsidR="00BE4421" w:rsidRPr="00331240">
        <w:t xml:space="preserve"> undergone surgery unsuccessfully</w:t>
      </w:r>
      <w:r w:rsidRPr="00331240">
        <w:t xml:space="preserve">. </w:t>
      </w:r>
    </w:p>
    <w:p w14:paraId="62B3D653" w14:textId="77777777" w:rsidR="006577D4" w:rsidRPr="00331240" w:rsidRDefault="006577D4" w:rsidP="006577D4">
      <w:r w:rsidRPr="00331240">
        <w:t>No changes have been proposed to the existing fees.</w:t>
      </w:r>
    </w:p>
    <w:p w14:paraId="0ED4A933" w14:textId="1C93453F" w:rsidR="006F7DDB" w:rsidRPr="00331240" w:rsidRDefault="006F7DDB" w:rsidP="00B94945">
      <w:pPr>
        <w:pStyle w:val="Tableheader"/>
      </w:pPr>
      <w:bookmarkStart w:id="8" w:name="_Ref116906348"/>
      <w:r w:rsidRPr="00331240">
        <w:t xml:space="preserve">Table </w:t>
      </w:r>
      <w:r w:rsidRPr="00331240">
        <w:fldChar w:fldCharType="begin"/>
      </w:r>
      <w:r w:rsidRPr="00331240">
        <w:instrText>SEQ Table \* ARABIC</w:instrText>
      </w:r>
      <w:r w:rsidRPr="00331240">
        <w:fldChar w:fldCharType="separate"/>
      </w:r>
      <w:r w:rsidR="00D4512D">
        <w:rPr>
          <w:noProof/>
        </w:rPr>
        <w:t>3</w:t>
      </w:r>
      <w:r w:rsidRPr="00331240">
        <w:fldChar w:fldCharType="end"/>
      </w:r>
      <w:bookmarkEnd w:id="8"/>
      <w:r w:rsidRPr="00331240">
        <w:tab/>
        <w:t>Proposed amendment to MBS item 40851</w:t>
      </w:r>
    </w:p>
    <w:tbl>
      <w:tblPr>
        <w:tblStyle w:val="TableGrid"/>
        <w:tblW w:w="0" w:type="auto"/>
        <w:tblLook w:val="04A0" w:firstRow="1" w:lastRow="0" w:firstColumn="1" w:lastColumn="0" w:noHBand="0" w:noVBand="1"/>
      </w:tblPr>
      <w:tblGrid>
        <w:gridCol w:w="9016"/>
      </w:tblGrid>
      <w:tr w:rsidR="006F7DDB" w:rsidRPr="00331240" w14:paraId="318C9491" w14:textId="77777777">
        <w:tc>
          <w:tcPr>
            <w:tcW w:w="9016" w:type="dxa"/>
          </w:tcPr>
          <w:p w14:paraId="0F6BB1B1" w14:textId="77777777" w:rsidR="006F7DDB" w:rsidRPr="00331240" w:rsidRDefault="006F7DDB">
            <w:pPr>
              <w:pStyle w:val="Tabletext"/>
              <w:rPr>
                <w:lang w:val="en-AU"/>
              </w:rPr>
            </w:pPr>
            <w:r w:rsidRPr="00331240">
              <w:rPr>
                <w:lang w:val="en-AU"/>
              </w:rPr>
              <w:t>Category 3 – THERAPEUTIC PROCEDURES</w:t>
            </w:r>
          </w:p>
        </w:tc>
      </w:tr>
      <w:tr w:rsidR="006F7DDB" w:rsidRPr="00331240" w14:paraId="687DDD48" w14:textId="77777777">
        <w:tc>
          <w:tcPr>
            <w:tcW w:w="9016" w:type="dxa"/>
          </w:tcPr>
          <w:p w14:paraId="792C3A2A" w14:textId="77777777" w:rsidR="006F7DDB" w:rsidRPr="00331240" w:rsidRDefault="006F7DDB">
            <w:pPr>
              <w:pStyle w:val="Tabletext"/>
              <w:spacing w:before="120"/>
              <w:contextualSpacing w:val="0"/>
              <w:rPr>
                <w:lang w:val="en-AU"/>
              </w:rPr>
            </w:pPr>
            <w:r w:rsidRPr="00331240">
              <w:rPr>
                <w:lang w:val="en-AU"/>
              </w:rPr>
              <w:t>MBS item 40851</w:t>
            </w:r>
          </w:p>
          <w:p w14:paraId="30C06601" w14:textId="41F55D48" w:rsidR="006F7DDB" w:rsidRPr="00331240" w:rsidRDefault="006F7DDB">
            <w:pPr>
              <w:pStyle w:val="Tabletext"/>
              <w:spacing w:before="120"/>
              <w:contextualSpacing w:val="0"/>
              <w:rPr>
                <w:lang w:val="en-AU"/>
              </w:rPr>
            </w:pPr>
            <w:r w:rsidRPr="00331240">
              <w:rPr>
                <w:lang w:val="en-AU"/>
              </w:rPr>
              <w:t>DEEP BRAIN STIMULATION (bilateral) functional stereotactic procedure including computer assisted anatomical localisation, physiological localisation including twist drill, burr hole craniotomy or craniectomy and insertion of electrodes for the treatment of:</w:t>
            </w:r>
          </w:p>
          <w:p w14:paraId="6015FADF" w14:textId="77777777" w:rsidR="006F7DDB" w:rsidRPr="00331240" w:rsidRDefault="006F7DDB">
            <w:pPr>
              <w:pStyle w:val="Tabletext"/>
              <w:spacing w:before="120"/>
              <w:contextualSpacing w:val="0"/>
              <w:rPr>
                <w:lang w:val="en-AU"/>
              </w:rPr>
            </w:pPr>
            <w:r w:rsidRPr="00331240">
              <w:rPr>
                <w:lang w:val="en-AU"/>
              </w:rPr>
              <w:t>Parkinson's disease where the patient's response to medical therapy is not sustained and is accompanied by unacceptable motor fluctuations; or</w:t>
            </w:r>
          </w:p>
          <w:p w14:paraId="464613EE" w14:textId="77777777" w:rsidR="006F7DDB" w:rsidRPr="00331240" w:rsidRDefault="006F7DDB">
            <w:pPr>
              <w:pStyle w:val="Tabletext"/>
              <w:spacing w:before="120"/>
              <w:contextualSpacing w:val="0"/>
              <w:rPr>
                <w:lang w:val="en-AU"/>
              </w:rPr>
            </w:pPr>
            <w:r w:rsidRPr="00331240">
              <w:rPr>
                <w:lang w:val="en-AU"/>
              </w:rPr>
              <w:t>Essential tremor or dystonia where the patient's symptoms cause severe disability; or</w:t>
            </w:r>
          </w:p>
          <w:p w14:paraId="09775FEA" w14:textId="30ADBA89" w:rsidR="006F7DDB" w:rsidRPr="00331240" w:rsidRDefault="00E068CC">
            <w:pPr>
              <w:pStyle w:val="Tabletext"/>
              <w:spacing w:before="120"/>
              <w:contextualSpacing w:val="0"/>
              <w:rPr>
                <w:i/>
                <w:iCs/>
                <w:color w:val="4472C4" w:themeColor="accent1"/>
                <w:lang w:val="en-AU"/>
              </w:rPr>
            </w:pPr>
            <w:r>
              <w:rPr>
                <w:i/>
                <w:iCs/>
                <w:color w:val="4472C4" w:themeColor="accent1"/>
                <w:lang w:val="en-AU"/>
              </w:rPr>
              <w:t>The anterior thalamus to treat people who are 18 years and older with drug-re</w:t>
            </w:r>
            <w:r w:rsidR="00701C75">
              <w:rPr>
                <w:i/>
                <w:iCs/>
                <w:color w:val="4472C4" w:themeColor="accent1"/>
                <w:lang w:val="en-AU"/>
              </w:rPr>
              <w:t>fractory</w:t>
            </w:r>
            <w:r>
              <w:rPr>
                <w:i/>
                <w:iCs/>
                <w:color w:val="4472C4" w:themeColor="accent1"/>
                <w:lang w:val="en-AU"/>
              </w:rPr>
              <w:t xml:space="preserve"> focal </w:t>
            </w:r>
            <w:r w:rsidR="006F7DDB" w:rsidRPr="00331240">
              <w:rPr>
                <w:i/>
                <w:iCs/>
                <w:color w:val="4472C4" w:themeColor="accent1"/>
                <w:lang w:val="en-AU"/>
              </w:rPr>
              <w:t xml:space="preserve">epilepsy </w:t>
            </w:r>
            <w:r>
              <w:rPr>
                <w:i/>
                <w:iCs/>
                <w:color w:val="4472C4" w:themeColor="accent1"/>
                <w:lang w:val="en-AU"/>
              </w:rPr>
              <w:t>where resection of the brain is either contraindicated</w:t>
            </w:r>
            <w:r w:rsidR="004455C0">
              <w:rPr>
                <w:i/>
                <w:iCs/>
                <w:color w:val="4472C4" w:themeColor="accent1"/>
                <w:lang w:val="en-AU"/>
              </w:rPr>
              <w:t xml:space="preserve"> or refused by the patient,</w:t>
            </w:r>
            <w:r>
              <w:rPr>
                <w:i/>
                <w:iCs/>
                <w:color w:val="4472C4" w:themeColor="accent1"/>
                <w:lang w:val="en-AU"/>
              </w:rPr>
              <w:t xml:space="preserve"> or </w:t>
            </w:r>
            <w:r w:rsidR="004455C0">
              <w:rPr>
                <w:i/>
                <w:iCs/>
                <w:color w:val="4472C4" w:themeColor="accent1"/>
                <w:lang w:val="en-AU"/>
              </w:rPr>
              <w:t xml:space="preserve">if the patient </w:t>
            </w:r>
            <w:r>
              <w:rPr>
                <w:i/>
                <w:iCs/>
                <w:color w:val="4472C4" w:themeColor="accent1"/>
                <w:lang w:val="en-AU"/>
              </w:rPr>
              <w:t xml:space="preserve">has </w:t>
            </w:r>
            <w:r w:rsidR="004455C0">
              <w:rPr>
                <w:i/>
                <w:iCs/>
                <w:color w:val="4472C4" w:themeColor="accent1"/>
                <w:lang w:val="en-AU"/>
              </w:rPr>
              <w:t xml:space="preserve">received resection of the brain but was </w:t>
            </w:r>
            <w:r>
              <w:rPr>
                <w:i/>
                <w:iCs/>
                <w:color w:val="4472C4" w:themeColor="accent1"/>
                <w:lang w:val="en-AU"/>
              </w:rPr>
              <w:t xml:space="preserve">unsuccessful in halting seizures, </w:t>
            </w:r>
            <w:r w:rsidR="006F7DDB" w:rsidRPr="00331240">
              <w:rPr>
                <w:i/>
                <w:iCs/>
                <w:color w:val="4472C4" w:themeColor="accent1"/>
                <w:lang w:val="en-AU"/>
              </w:rPr>
              <w:t>following assessment by a</w:t>
            </w:r>
            <w:r w:rsidR="00711211" w:rsidRPr="00331240">
              <w:rPr>
                <w:i/>
                <w:iCs/>
                <w:color w:val="4472C4" w:themeColor="accent1"/>
                <w:lang w:val="en-AU"/>
              </w:rPr>
              <w:t xml:space="preserve"> Comprehensive Epilepsy Program</w:t>
            </w:r>
            <w:r w:rsidR="006F7DDB" w:rsidRPr="00331240">
              <w:rPr>
                <w:i/>
                <w:iCs/>
                <w:color w:val="4472C4" w:themeColor="accent1"/>
                <w:lang w:val="en-AU"/>
              </w:rPr>
              <w:t>.</w:t>
            </w:r>
          </w:p>
          <w:p w14:paraId="43A74E4D" w14:textId="77777777" w:rsidR="006F7DDB" w:rsidRPr="00331240" w:rsidRDefault="006F7DDB">
            <w:pPr>
              <w:pStyle w:val="Tabletext"/>
              <w:spacing w:before="120"/>
              <w:contextualSpacing w:val="0"/>
              <w:rPr>
                <w:lang w:val="en-AU"/>
              </w:rPr>
            </w:pPr>
            <w:r w:rsidRPr="00331240">
              <w:rPr>
                <w:lang w:val="en-AU"/>
              </w:rPr>
              <w:t>Multiple Operation Rule</w:t>
            </w:r>
          </w:p>
          <w:p w14:paraId="0473C5F4" w14:textId="77777777" w:rsidR="006F7DDB" w:rsidRPr="00331240" w:rsidRDefault="006F7DDB">
            <w:pPr>
              <w:pStyle w:val="Tabletext"/>
              <w:spacing w:before="120"/>
              <w:contextualSpacing w:val="0"/>
              <w:rPr>
                <w:lang w:val="en-AU"/>
              </w:rPr>
            </w:pPr>
            <w:r w:rsidRPr="00331240">
              <w:rPr>
                <w:lang w:val="en-AU"/>
              </w:rPr>
              <w:t>(Anaes.) (Assist.)</w:t>
            </w:r>
          </w:p>
        </w:tc>
      </w:tr>
      <w:tr w:rsidR="006F7DDB" w:rsidRPr="00331240" w14:paraId="52551D83" w14:textId="77777777">
        <w:tc>
          <w:tcPr>
            <w:tcW w:w="9016" w:type="dxa"/>
          </w:tcPr>
          <w:p w14:paraId="3F9F0379" w14:textId="77777777" w:rsidR="006F7DDB" w:rsidRPr="00331240" w:rsidRDefault="006F7DDB">
            <w:pPr>
              <w:pStyle w:val="Tabletext"/>
              <w:rPr>
                <w:lang w:val="en-AU"/>
              </w:rPr>
            </w:pPr>
            <w:r w:rsidRPr="00331240">
              <w:rPr>
                <w:lang w:val="en-AU"/>
              </w:rPr>
              <w:t>Fee: $4,123.60 Benefit: 75% = $3,092.70</w:t>
            </w:r>
          </w:p>
        </w:tc>
      </w:tr>
    </w:tbl>
    <w:p w14:paraId="2659FB4A" w14:textId="292EDB04" w:rsidR="006F7DDB" w:rsidRPr="00331240" w:rsidRDefault="006F7DDB" w:rsidP="00B94945">
      <w:pPr>
        <w:pStyle w:val="Tableheader"/>
      </w:pPr>
      <w:r w:rsidRPr="00331240">
        <w:t xml:space="preserve">Table </w:t>
      </w:r>
      <w:r w:rsidRPr="00331240">
        <w:fldChar w:fldCharType="begin"/>
      </w:r>
      <w:r w:rsidRPr="00331240">
        <w:instrText>SEQ Table \* ARABIC</w:instrText>
      </w:r>
      <w:r w:rsidRPr="00331240">
        <w:fldChar w:fldCharType="separate"/>
      </w:r>
      <w:r w:rsidR="00D4512D">
        <w:rPr>
          <w:noProof/>
        </w:rPr>
        <w:t>4</w:t>
      </w:r>
      <w:r w:rsidRPr="00331240">
        <w:fldChar w:fldCharType="end"/>
      </w:r>
      <w:r w:rsidRPr="00331240">
        <w:tab/>
        <w:t>Proposed amendment to MBS item 40852</w:t>
      </w:r>
    </w:p>
    <w:tbl>
      <w:tblPr>
        <w:tblStyle w:val="TableGrid"/>
        <w:tblW w:w="0" w:type="auto"/>
        <w:tblLook w:val="04A0" w:firstRow="1" w:lastRow="0" w:firstColumn="1" w:lastColumn="0" w:noHBand="0" w:noVBand="1"/>
      </w:tblPr>
      <w:tblGrid>
        <w:gridCol w:w="9016"/>
      </w:tblGrid>
      <w:tr w:rsidR="006F7DDB" w:rsidRPr="00331240" w14:paraId="4E4AC694" w14:textId="77777777">
        <w:tc>
          <w:tcPr>
            <w:tcW w:w="9016" w:type="dxa"/>
          </w:tcPr>
          <w:p w14:paraId="650A1169" w14:textId="77777777" w:rsidR="006F7DDB" w:rsidRPr="00331240" w:rsidRDefault="006F7DDB">
            <w:pPr>
              <w:pStyle w:val="Tabletext"/>
              <w:rPr>
                <w:lang w:val="en-AU"/>
              </w:rPr>
            </w:pPr>
            <w:r w:rsidRPr="00331240">
              <w:rPr>
                <w:lang w:val="en-AU"/>
              </w:rPr>
              <w:t>Category 3 – THERAPEUTIC PROCEDURES</w:t>
            </w:r>
          </w:p>
        </w:tc>
      </w:tr>
      <w:tr w:rsidR="006F7DDB" w:rsidRPr="00331240" w14:paraId="3F6F808B" w14:textId="77777777">
        <w:tc>
          <w:tcPr>
            <w:tcW w:w="9016" w:type="dxa"/>
          </w:tcPr>
          <w:p w14:paraId="25B10903" w14:textId="77777777" w:rsidR="006F7DDB" w:rsidRPr="00331240" w:rsidRDefault="006F7DDB">
            <w:pPr>
              <w:pStyle w:val="Tabletext"/>
              <w:spacing w:before="120"/>
              <w:contextualSpacing w:val="0"/>
              <w:rPr>
                <w:lang w:val="en-AU"/>
              </w:rPr>
            </w:pPr>
            <w:r w:rsidRPr="00331240">
              <w:rPr>
                <w:lang w:val="en-AU"/>
              </w:rPr>
              <w:t>MBS item 40852</w:t>
            </w:r>
          </w:p>
          <w:p w14:paraId="13B38B7D" w14:textId="77777777" w:rsidR="006F7DDB" w:rsidRPr="00331240" w:rsidRDefault="006F7DDB">
            <w:pPr>
              <w:pStyle w:val="Tabletext"/>
              <w:spacing w:before="120"/>
              <w:contextualSpacing w:val="0"/>
              <w:rPr>
                <w:lang w:val="en-AU"/>
              </w:rPr>
            </w:pPr>
            <w:r w:rsidRPr="00331240">
              <w:rPr>
                <w:lang w:val="en-AU"/>
              </w:rPr>
              <w:t>Proposed item descriptor:</w:t>
            </w:r>
          </w:p>
          <w:p w14:paraId="69FAF441" w14:textId="77777777" w:rsidR="006F7DDB" w:rsidRPr="00331240" w:rsidRDefault="006F7DDB">
            <w:pPr>
              <w:pStyle w:val="Tabletext"/>
              <w:spacing w:before="120"/>
              <w:contextualSpacing w:val="0"/>
              <w:rPr>
                <w:lang w:val="en-AU"/>
              </w:rPr>
            </w:pPr>
            <w:r w:rsidRPr="00331240">
              <w:rPr>
                <w:lang w:val="en-AU"/>
              </w:rPr>
              <w:t>DEEP BRAIN STIMULATION (unilateral) subcutaneous placement of neurostimulator receiver or pulse generator for the treatment of:</w:t>
            </w:r>
          </w:p>
          <w:p w14:paraId="5B794425" w14:textId="77777777" w:rsidR="006F7DDB" w:rsidRPr="00331240" w:rsidRDefault="006F7DDB">
            <w:pPr>
              <w:pStyle w:val="Tabletext"/>
              <w:spacing w:before="120"/>
              <w:contextualSpacing w:val="0"/>
              <w:rPr>
                <w:lang w:val="en-AU"/>
              </w:rPr>
            </w:pPr>
            <w:r w:rsidRPr="00331240">
              <w:rPr>
                <w:lang w:val="en-AU"/>
              </w:rPr>
              <w:t>Parkinson's disease where the patient's response to medical therapy is not sustained and is accompanied by unacceptable motor fluctuations; or</w:t>
            </w:r>
          </w:p>
          <w:p w14:paraId="563813CF" w14:textId="77777777" w:rsidR="006F7DDB" w:rsidRPr="00331240" w:rsidRDefault="006F7DDB">
            <w:pPr>
              <w:pStyle w:val="Tabletext"/>
              <w:spacing w:before="120"/>
              <w:contextualSpacing w:val="0"/>
              <w:rPr>
                <w:lang w:val="en-AU"/>
              </w:rPr>
            </w:pPr>
            <w:r w:rsidRPr="00331240">
              <w:rPr>
                <w:lang w:val="en-AU"/>
              </w:rPr>
              <w:t>Essential tremor or dystonia where the patient's symptoms cause severe disability; or</w:t>
            </w:r>
          </w:p>
          <w:p w14:paraId="3A2C83AF" w14:textId="2AB1415D" w:rsidR="00B76FED" w:rsidRPr="00331240" w:rsidRDefault="00B76FED" w:rsidP="00B76FED">
            <w:pPr>
              <w:pStyle w:val="Tabletext"/>
              <w:spacing w:before="120"/>
              <w:contextualSpacing w:val="0"/>
              <w:rPr>
                <w:i/>
                <w:iCs/>
                <w:color w:val="4472C4" w:themeColor="accent1"/>
                <w:lang w:val="en-AU"/>
              </w:rPr>
            </w:pPr>
            <w:r>
              <w:rPr>
                <w:i/>
                <w:iCs/>
                <w:color w:val="4472C4" w:themeColor="accent1"/>
                <w:lang w:val="en-AU"/>
              </w:rPr>
              <w:t xml:space="preserve">The anterior thalamus to treat people who are 18 years and older with </w:t>
            </w:r>
            <w:r w:rsidR="00701C75">
              <w:rPr>
                <w:i/>
                <w:iCs/>
                <w:color w:val="4472C4" w:themeColor="accent1"/>
                <w:lang w:val="en-AU"/>
              </w:rPr>
              <w:t>drug-refractory</w:t>
            </w:r>
            <w:r>
              <w:rPr>
                <w:i/>
                <w:iCs/>
                <w:color w:val="4472C4" w:themeColor="accent1"/>
                <w:lang w:val="en-AU"/>
              </w:rPr>
              <w:t xml:space="preserve"> focal </w:t>
            </w:r>
            <w:r w:rsidRPr="00331240">
              <w:rPr>
                <w:i/>
                <w:iCs/>
                <w:color w:val="4472C4" w:themeColor="accent1"/>
                <w:lang w:val="en-AU"/>
              </w:rPr>
              <w:t xml:space="preserve">epilepsy </w:t>
            </w:r>
            <w:r>
              <w:rPr>
                <w:i/>
                <w:iCs/>
                <w:color w:val="4472C4" w:themeColor="accent1"/>
                <w:lang w:val="en-AU"/>
              </w:rPr>
              <w:t xml:space="preserve">where resection of the brain is either contraindicated or refused by the patient, or if the patient has received resection of the brain but was unsuccessful in halting seizures, </w:t>
            </w:r>
            <w:r w:rsidRPr="00331240">
              <w:rPr>
                <w:i/>
                <w:iCs/>
                <w:color w:val="4472C4" w:themeColor="accent1"/>
                <w:lang w:val="en-AU"/>
              </w:rPr>
              <w:t>following assessment by a Comprehensive Epilepsy Program.</w:t>
            </w:r>
          </w:p>
          <w:p w14:paraId="452E5C63" w14:textId="77777777" w:rsidR="006F7DDB" w:rsidRPr="00331240" w:rsidRDefault="006F7DDB">
            <w:pPr>
              <w:pStyle w:val="Tabletext"/>
              <w:spacing w:before="120"/>
              <w:contextualSpacing w:val="0"/>
              <w:rPr>
                <w:lang w:val="en-AU"/>
              </w:rPr>
            </w:pPr>
            <w:r w:rsidRPr="00331240">
              <w:rPr>
                <w:lang w:val="en-AU"/>
              </w:rPr>
              <w:t>Multiple Operation Rule</w:t>
            </w:r>
          </w:p>
          <w:p w14:paraId="1E9B1B35" w14:textId="77777777" w:rsidR="006F7DDB" w:rsidRPr="00331240" w:rsidRDefault="006F7DDB">
            <w:pPr>
              <w:pStyle w:val="Tabletext"/>
              <w:spacing w:before="120"/>
              <w:contextualSpacing w:val="0"/>
              <w:rPr>
                <w:lang w:val="en-AU"/>
              </w:rPr>
            </w:pPr>
            <w:r w:rsidRPr="00331240">
              <w:rPr>
                <w:lang w:val="en-AU"/>
              </w:rPr>
              <w:t>(Anaes.) (Assist.)</w:t>
            </w:r>
          </w:p>
        </w:tc>
      </w:tr>
      <w:tr w:rsidR="006F7DDB" w:rsidRPr="00331240" w14:paraId="15553501" w14:textId="77777777">
        <w:tc>
          <w:tcPr>
            <w:tcW w:w="9016" w:type="dxa"/>
          </w:tcPr>
          <w:p w14:paraId="33A3287E" w14:textId="77777777" w:rsidR="006F7DDB" w:rsidRPr="00331240" w:rsidRDefault="006F7DDB">
            <w:pPr>
              <w:pStyle w:val="Tabletext"/>
              <w:rPr>
                <w:lang w:val="en-AU"/>
              </w:rPr>
            </w:pPr>
            <w:r w:rsidRPr="00331240">
              <w:rPr>
                <w:lang w:val="en-AU"/>
              </w:rPr>
              <w:t>Fee: $354.40 Benefit: 75% = $265.80</w:t>
            </w:r>
          </w:p>
        </w:tc>
      </w:tr>
    </w:tbl>
    <w:p w14:paraId="2B04B0E0" w14:textId="77777777" w:rsidR="00AC19B6" w:rsidRDefault="00AC19B6">
      <w:pPr>
        <w:spacing w:before="0"/>
        <w:jc w:val="left"/>
        <w:rPr>
          <w:rFonts w:ascii="Arial Narrow" w:hAnsi="Arial Narrow"/>
          <w:b/>
          <w:sz w:val="20"/>
          <w:lang w:val="en-US"/>
        </w:rPr>
      </w:pPr>
      <w:r>
        <w:br w:type="page"/>
      </w:r>
    </w:p>
    <w:p w14:paraId="00DF28EE" w14:textId="7F3B8FB3" w:rsidR="006F7DDB" w:rsidRPr="00331240" w:rsidRDefault="006F7DDB" w:rsidP="00BC3794">
      <w:pPr>
        <w:pStyle w:val="Tableheader"/>
        <w:spacing w:before="240"/>
      </w:pPr>
      <w:r w:rsidRPr="00331240">
        <w:lastRenderedPageBreak/>
        <w:t xml:space="preserve">Table </w:t>
      </w:r>
      <w:r w:rsidRPr="00331240">
        <w:fldChar w:fldCharType="begin"/>
      </w:r>
      <w:r w:rsidRPr="00331240">
        <w:instrText>SEQ Table \* ARABIC</w:instrText>
      </w:r>
      <w:r w:rsidRPr="00331240">
        <w:fldChar w:fldCharType="separate"/>
      </w:r>
      <w:r w:rsidR="00D4512D">
        <w:rPr>
          <w:noProof/>
        </w:rPr>
        <w:t>5</w:t>
      </w:r>
      <w:r w:rsidRPr="00331240">
        <w:fldChar w:fldCharType="end"/>
      </w:r>
      <w:r w:rsidRPr="00331240">
        <w:tab/>
        <w:t>Proposed amendment to MBS item 40854</w:t>
      </w:r>
    </w:p>
    <w:tbl>
      <w:tblPr>
        <w:tblStyle w:val="TableGrid"/>
        <w:tblW w:w="0" w:type="auto"/>
        <w:tblLook w:val="04A0" w:firstRow="1" w:lastRow="0" w:firstColumn="1" w:lastColumn="0" w:noHBand="0" w:noVBand="1"/>
      </w:tblPr>
      <w:tblGrid>
        <w:gridCol w:w="9016"/>
      </w:tblGrid>
      <w:tr w:rsidR="006F7DDB" w:rsidRPr="00331240" w14:paraId="70F01E20" w14:textId="77777777">
        <w:tc>
          <w:tcPr>
            <w:tcW w:w="9016" w:type="dxa"/>
          </w:tcPr>
          <w:p w14:paraId="0C31E378" w14:textId="77777777" w:rsidR="006F7DDB" w:rsidRPr="00331240" w:rsidRDefault="006F7DDB">
            <w:pPr>
              <w:pStyle w:val="Tabletext"/>
              <w:rPr>
                <w:lang w:val="en-AU"/>
              </w:rPr>
            </w:pPr>
            <w:r w:rsidRPr="00331240">
              <w:rPr>
                <w:lang w:val="en-AU"/>
              </w:rPr>
              <w:t>Category 3 – THERAPEUTIC PROCEDURES</w:t>
            </w:r>
          </w:p>
        </w:tc>
      </w:tr>
      <w:tr w:rsidR="006F7DDB" w:rsidRPr="00331240" w14:paraId="68702ED1" w14:textId="77777777">
        <w:tc>
          <w:tcPr>
            <w:tcW w:w="9016" w:type="dxa"/>
          </w:tcPr>
          <w:p w14:paraId="46C0AB6C" w14:textId="77777777" w:rsidR="006F7DDB" w:rsidRPr="00331240" w:rsidRDefault="006F7DDB">
            <w:pPr>
              <w:pStyle w:val="Tabletext"/>
              <w:spacing w:before="120"/>
              <w:contextualSpacing w:val="0"/>
              <w:rPr>
                <w:lang w:val="en-AU"/>
              </w:rPr>
            </w:pPr>
            <w:r w:rsidRPr="00331240">
              <w:rPr>
                <w:lang w:val="en-AU"/>
              </w:rPr>
              <w:t>MBS item 40854</w:t>
            </w:r>
          </w:p>
          <w:p w14:paraId="687D1EC8" w14:textId="77777777" w:rsidR="006F7DDB" w:rsidRPr="00331240" w:rsidRDefault="006F7DDB">
            <w:pPr>
              <w:pStyle w:val="Tabletext"/>
              <w:spacing w:before="120"/>
              <w:contextualSpacing w:val="0"/>
              <w:rPr>
                <w:lang w:val="en-AU"/>
              </w:rPr>
            </w:pPr>
            <w:r w:rsidRPr="00331240">
              <w:rPr>
                <w:lang w:val="en-AU"/>
              </w:rPr>
              <w:t>DEEP BRAIN STIMULATION (unilateral) revision or removal of brain electrode for the treatment of:</w:t>
            </w:r>
          </w:p>
          <w:p w14:paraId="2312C29D" w14:textId="77777777" w:rsidR="006F7DDB" w:rsidRPr="00331240" w:rsidRDefault="006F7DDB">
            <w:pPr>
              <w:pStyle w:val="Tabletext"/>
              <w:spacing w:before="120"/>
              <w:contextualSpacing w:val="0"/>
              <w:rPr>
                <w:lang w:val="en-AU"/>
              </w:rPr>
            </w:pPr>
            <w:r w:rsidRPr="00331240">
              <w:rPr>
                <w:lang w:val="en-AU"/>
              </w:rPr>
              <w:t>Parkinson's disease where the patient's response to medical therapy is not sustained and is accompanied by unacceptable motor fluctuations; or</w:t>
            </w:r>
          </w:p>
          <w:p w14:paraId="21C0C05A" w14:textId="77777777" w:rsidR="006F7DDB" w:rsidRPr="00331240" w:rsidRDefault="006F7DDB">
            <w:pPr>
              <w:pStyle w:val="Tabletext"/>
              <w:spacing w:before="120"/>
              <w:contextualSpacing w:val="0"/>
              <w:rPr>
                <w:lang w:val="en-AU"/>
              </w:rPr>
            </w:pPr>
            <w:r w:rsidRPr="00331240">
              <w:rPr>
                <w:lang w:val="en-AU"/>
              </w:rPr>
              <w:t>Essential tremor or dystonia where the patient's symptoms cause severe disability; or</w:t>
            </w:r>
          </w:p>
          <w:p w14:paraId="06CC447D" w14:textId="6D255922" w:rsidR="00B76FED" w:rsidRPr="00331240" w:rsidRDefault="00B76FED" w:rsidP="00B76FED">
            <w:pPr>
              <w:pStyle w:val="Tabletext"/>
              <w:spacing w:before="120"/>
              <w:contextualSpacing w:val="0"/>
              <w:rPr>
                <w:i/>
                <w:iCs/>
                <w:color w:val="4472C4" w:themeColor="accent1"/>
                <w:lang w:val="en-AU"/>
              </w:rPr>
            </w:pPr>
            <w:r>
              <w:rPr>
                <w:i/>
                <w:iCs/>
                <w:color w:val="4472C4" w:themeColor="accent1"/>
                <w:lang w:val="en-AU"/>
              </w:rPr>
              <w:t xml:space="preserve">The anterior thalamus to treat people who are 18 years and older with </w:t>
            </w:r>
            <w:r w:rsidR="00701C75">
              <w:rPr>
                <w:i/>
                <w:iCs/>
                <w:color w:val="4472C4" w:themeColor="accent1"/>
                <w:lang w:val="en-AU"/>
              </w:rPr>
              <w:t xml:space="preserve">drug-refractory </w:t>
            </w:r>
            <w:r>
              <w:rPr>
                <w:i/>
                <w:iCs/>
                <w:color w:val="4472C4" w:themeColor="accent1"/>
                <w:lang w:val="en-AU"/>
              </w:rPr>
              <w:t xml:space="preserve">focal </w:t>
            </w:r>
            <w:r w:rsidRPr="00331240">
              <w:rPr>
                <w:i/>
                <w:iCs/>
                <w:color w:val="4472C4" w:themeColor="accent1"/>
                <w:lang w:val="en-AU"/>
              </w:rPr>
              <w:t xml:space="preserve">epilepsy </w:t>
            </w:r>
            <w:r>
              <w:rPr>
                <w:i/>
                <w:iCs/>
                <w:color w:val="4472C4" w:themeColor="accent1"/>
                <w:lang w:val="en-AU"/>
              </w:rPr>
              <w:t xml:space="preserve">where resection of the brain is either contraindicated or refused by the patient, or if the patient has received resection of the brain but was unsuccessful in halting seizures, </w:t>
            </w:r>
            <w:r w:rsidRPr="00331240">
              <w:rPr>
                <w:i/>
                <w:iCs/>
                <w:color w:val="4472C4" w:themeColor="accent1"/>
                <w:lang w:val="en-AU"/>
              </w:rPr>
              <w:t>following assessment by a Comprehensive Epilepsy Program.</w:t>
            </w:r>
          </w:p>
          <w:p w14:paraId="67995974" w14:textId="77777777" w:rsidR="006F7DDB" w:rsidRPr="00331240" w:rsidRDefault="006F7DDB">
            <w:pPr>
              <w:pStyle w:val="Tabletext"/>
              <w:spacing w:before="120"/>
              <w:contextualSpacing w:val="0"/>
              <w:rPr>
                <w:lang w:val="en-AU"/>
              </w:rPr>
            </w:pPr>
            <w:r w:rsidRPr="00331240">
              <w:rPr>
                <w:lang w:val="en-AU"/>
              </w:rPr>
              <w:t>Multiple Operation Rule</w:t>
            </w:r>
          </w:p>
          <w:p w14:paraId="01099A46" w14:textId="77777777" w:rsidR="006F7DDB" w:rsidRPr="00331240" w:rsidRDefault="006F7DDB">
            <w:pPr>
              <w:pStyle w:val="Tabletext"/>
              <w:spacing w:before="120"/>
              <w:contextualSpacing w:val="0"/>
              <w:rPr>
                <w:lang w:val="en-AU"/>
              </w:rPr>
            </w:pPr>
            <w:r w:rsidRPr="00331240">
              <w:rPr>
                <w:lang w:val="en-AU"/>
              </w:rPr>
              <w:t>(Anaes.) (Assist.)</w:t>
            </w:r>
          </w:p>
        </w:tc>
      </w:tr>
      <w:tr w:rsidR="006F7DDB" w:rsidRPr="00331240" w14:paraId="30790D1C" w14:textId="77777777">
        <w:tc>
          <w:tcPr>
            <w:tcW w:w="9016" w:type="dxa"/>
          </w:tcPr>
          <w:p w14:paraId="32C0FB64" w14:textId="77777777" w:rsidR="006F7DDB" w:rsidRPr="00331240" w:rsidRDefault="006F7DDB">
            <w:pPr>
              <w:pStyle w:val="Tabletext"/>
              <w:rPr>
                <w:lang w:val="en-AU"/>
              </w:rPr>
            </w:pPr>
            <w:r w:rsidRPr="00331240">
              <w:rPr>
                <w:lang w:val="en-AU"/>
              </w:rPr>
              <w:t>Fee: $547.70 Benefit: 75% = $410.80</w:t>
            </w:r>
          </w:p>
        </w:tc>
      </w:tr>
    </w:tbl>
    <w:p w14:paraId="2EF8C696" w14:textId="3E75D20D" w:rsidR="006F7DDB" w:rsidRPr="00331240" w:rsidRDefault="006F7DDB" w:rsidP="00BC3794">
      <w:pPr>
        <w:pStyle w:val="Tableheader"/>
        <w:spacing w:before="240"/>
      </w:pPr>
      <w:r w:rsidRPr="00331240">
        <w:t xml:space="preserve">Table </w:t>
      </w:r>
      <w:r w:rsidRPr="00331240">
        <w:fldChar w:fldCharType="begin"/>
      </w:r>
      <w:r w:rsidRPr="00331240">
        <w:instrText>SEQ Table \* ARABIC</w:instrText>
      </w:r>
      <w:r w:rsidRPr="00331240">
        <w:fldChar w:fldCharType="separate"/>
      </w:r>
      <w:r w:rsidR="00D4512D">
        <w:rPr>
          <w:noProof/>
        </w:rPr>
        <w:t>6</w:t>
      </w:r>
      <w:r w:rsidRPr="00331240">
        <w:fldChar w:fldCharType="end"/>
      </w:r>
      <w:r w:rsidRPr="00331240">
        <w:tab/>
        <w:t>Proposed amendment to MBS item 40856</w:t>
      </w:r>
    </w:p>
    <w:tbl>
      <w:tblPr>
        <w:tblStyle w:val="TableGrid"/>
        <w:tblW w:w="0" w:type="auto"/>
        <w:tblLook w:val="04A0" w:firstRow="1" w:lastRow="0" w:firstColumn="1" w:lastColumn="0" w:noHBand="0" w:noVBand="1"/>
      </w:tblPr>
      <w:tblGrid>
        <w:gridCol w:w="9016"/>
      </w:tblGrid>
      <w:tr w:rsidR="006F7DDB" w:rsidRPr="00331240" w14:paraId="789E22EE" w14:textId="77777777">
        <w:tc>
          <w:tcPr>
            <w:tcW w:w="9016" w:type="dxa"/>
          </w:tcPr>
          <w:p w14:paraId="18E7330C" w14:textId="77777777" w:rsidR="006F7DDB" w:rsidRPr="00331240" w:rsidRDefault="006F7DDB">
            <w:pPr>
              <w:pStyle w:val="Tabletext"/>
              <w:rPr>
                <w:lang w:val="en-AU"/>
              </w:rPr>
            </w:pPr>
            <w:r w:rsidRPr="00331240">
              <w:rPr>
                <w:lang w:val="en-AU"/>
              </w:rPr>
              <w:t>Category 3 – THERAPEUTIC PROCEDURES</w:t>
            </w:r>
          </w:p>
        </w:tc>
      </w:tr>
      <w:tr w:rsidR="006F7DDB" w:rsidRPr="00331240" w14:paraId="14C0FF5A" w14:textId="77777777">
        <w:tc>
          <w:tcPr>
            <w:tcW w:w="9016" w:type="dxa"/>
          </w:tcPr>
          <w:p w14:paraId="65AF00EA" w14:textId="77777777" w:rsidR="006F7DDB" w:rsidRPr="00331240" w:rsidRDefault="006F7DDB">
            <w:pPr>
              <w:pStyle w:val="Tabletext"/>
              <w:spacing w:before="120"/>
              <w:contextualSpacing w:val="0"/>
              <w:rPr>
                <w:lang w:val="en-AU"/>
              </w:rPr>
            </w:pPr>
            <w:r w:rsidRPr="00331240">
              <w:rPr>
                <w:lang w:val="en-AU"/>
              </w:rPr>
              <w:t>MBS item 40856</w:t>
            </w:r>
          </w:p>
          <w:p w14:paraId="05C305FA" w14:textId="77777777" w:rsidR="006F7DDB" w:rsidRPr="00331240" w:rsidRDefault="006F7DDB">
            <w:pPr>
              <w:pStyle w:val="Tabletext"/>
              <w:spacing w:before="120"/>
              <w:contextualSpacing w:val="0"/>
              <w:rPr>
                <w:lang w:val="en-AU"/>
              </w:rPr>
            </w:pPr>
            <w:r w:rsidRPr="00331240">
              <w:rPr>
                <w:lang w:val="en-AU"/>
              </w:rPr>
              <w:t>DEEP BRAIN STIMULATION (unilateral) removal or replacement of neurostimulator receiver or pulse generator for the treatment of:</w:t>
            </w:r>
          </w:p>
          <w:p w14:paraId="25C8E9B1" w14:textId="77777777" w:rsidR="006F7DDB" w:rsidRPr="00331240" w:rsidRDefault="006F7DDB">
            <w:pPr>
              <w:pStyle w:val="Tabletext"/>
              <w:spacing w:before="120"/>
              <w:contextualSpacing w:val="0"/>
              <w:rPr>
                <w:lang w:val="en-AU"/>
              </w:rPr>
            </w:pPr>
            <w:r w:rsidRPr="00331240">
              <w:rPr>
                <w:lang w:val="en-AU"/>
              </w:rPr>
              <w:t>Parkinson's disease where the patient's response to medical therapy is not sustained and is accompanied by unacceptable motor fluctuations; or</w:t>
            </w:r>
          </w:p>
          <w:p w14:paraId="27B9E2AD" w14:textId="77777777" w:rsidR="006F7DDB" w:rsidRPr="00331240" w:rsidRDefault="006F7DDB">
            <w:pPr>
              <w:pStyle w:val="Tabletext"/>
              <w:spacing w:before="120"/>
              <w:contextualSpacing w:val="0"/>
              <w:rPr>
                <w:lang w:val="en-AU"/>
              </w:rPr>
            </w:pPr>
            <w:r w:rsidRPr="00331240">
              <w:rPr>
                <w:lang w:val="en-AU"/>
              </w:rPr>
              <w:t>Essential tremor or dystonia where the patient's symptoms cause severe disability; or</w:t>
            </w:r>
          </w:p>
          <w:p w14:paraId="2139C33E" w14:textId="4CD3CC54" w:rsidR="006F7DDB" w:rsidRPr="00331240" w:rsidRDefault="00B76FED">
            <w:pPr>
              <w:pStyle w:val="Tabletext"/>
              <w:spacing w:before="120"/>
              <w:contextualSpacing w:val="0"/>
              <w:rPr>
                <w:i/>
                <w:iCs/>
                <w:color w:val="4472C4" w:themeColor="accent1"/>
                <w:lang w:val="en-AU"/>
              </w:rPr>
            </w:pPr>
            <w:r>
              <w:rPr>
                <w:i/>
                <w:iCs/>
                <w:color w:val="4472C4" w:themeColor="accent1"/>
                <w:lang w:val="en-AU"/>
              </w:rPr>
              <w:t xml:space="preserve">The anterior thalamus to treat people who are 18 years and older with </w:t>
            </w:r>
            <w:r w:rsidR="00701C75">
              <w:rPr>
                <w:i/>
                <w:iCs/>
                <w:color w:val="4472C4" w:themeColor="accent1"/>
                <w:lang w:val="en-AU"/>
              </w:rPr>
              <w:t xml:space="preserve">drug-refractory </w:t>
            </w:r>
            <w:r>
              <w:rPr>
                <w:i/>
                <w:iCs/>
                <w:color w:val="4472C4" w:themeColor="accent1"/>
                <w:lang w:val="en-AU"/>
              </w:rPr>
              <w:t xml:space="preserve">focal </w:t>
            </w:r>
            <w:r w:rsidRPr="00331240">
              <w:rPr>
                <w:i/>
                <w:iCs/>
                <w:color w:val="4472C4" w:themeColor="accent1"/>
                <w:lang w:val="en-AU"/>
              </w:rPr>
              <w:t xml:space="preserve">epilepsy </w:t>
            </w:r>
            <w:r>
              <w:rPr>
                <w:i/>
                <w:iCs/>
                <w:color w:val="4472C4" w:themeColor="accent1"/>
                <w:lang w:val="en-AU"/>
              </w:rPr>
              <w:t xml:space="preserve">where resection of the brain is either contraindicated or refused by the patient, or if the patient has received resection of the brain but was unsuccessful in halting seizures, </w:t>
            </w:r>
            <w:r w:rsidRPr="00331240">
              <w:rPr>
                <w:i/>
                <w:iCs/>
                <w:color w:val="4472C4" w:themeColor="accent1"/>
                <w:lang w:val="en-AU"/>
              </w:rPr>
              <w:t>following assessment by a Comprehensive Epilepsy Program.</w:t>
            </w:r>
          </w:p>
          <w:p w14:paraId="4003E46F" w14:textId="77777777" w:rsidR="006F7DDB" w:rsidRPr="00331240" w:rsidRDefault="006F7DDB">
            <w:pPr>
              <w:pStyle w:val="Tabletext"/>
              <w:spacing w:before="120"/>
              <w:contextualSpacing w:val="0"/>
              <w:rPr>
                <w:lang w:val="en-AU"/>
              </w:rPr>
            </w:pPr>
            <w:r w:rsidRPr="00331240">
              <w:rPr>
                <w:lang w:val="en-AU"/>
              </w:rPr>
              <w:t>Multiple Operation Rule</w:t>
            </w:r>
          </w:p>
          <w:p w14:paraId="705F5807" w14:textId="77777777" w:rsidR="006F7DDB" w:rsidRPr="00331240" w:rsidRDefault="006F7DDB">
            <w:pPr>
              <w:pStyle w:val="Tabletext"/>
              <w:spacing w:before="120"/>
              <w:contextualSpacing w:val="0"/>
              <w:rPr>
                <w:lang w:val="en-AU"/>
              </w:rPr>
            </w:pPr>
            <w:r w:rsidRPr="00331240">
              <w:rPr>
                <w:lang w:val="en-AU"/>
              </w:rPr>
              <w:t>(Anaes.) (Assist.)</w:t>
            </w:r>
          </w:p>
        </w:tc>
      </w:tr>
      <w:tr w:rsidR="006F7DDB" w:rsidRPr="00331240" w14:paraId="63986194" w14:textId="77777777">
        <w:tc>
          <w:tcPr>
            <w:tcW w:w="9016" w:type="dxa"/>
          </w:tcPr>
          <w:p w14:paraId="4B10EE72" w14:textId="77777777" w:rsidR="006F7DDB" w:rsidRPr="00331240" w:rsidRDefault="006F7DDB">
            <w:pPr>
              <w:pStyle w:val="Tabletext"/>
              <w:rPr>
                <w:lang w:val="en-AU"/>
              </w:rPr>
            </w:pPr>
            <w:r w:rsidRPr="00331240">
              <w:rPr>
                <w:lang w:val="en-AU"/>
              </w:rPr>
              <w:t>Fee: $265.80 Benefit: 75% = $199.35</w:t>
            </w:r>
          </w:p>
        </w:tc>
      </w:tr>
    </w:tbl>
    <w:p w14:paraId="67E4669F" w14:textId="351FD9B9" w:rsidR="006F7DDB" w:rsidRPr="00331240" w:rsidRDefault="006F7DDB" w:rsidP="00BC3794">
      <w:pPr>
        <w:pStyle w:val="Tableheader"/>
        <w:spacing w:before="240"/>
      </w:pPr>
      <w:r w:rsidRPr="00331240">
        <w:t xml:space="preserve">Table </w:t>
      </w:r>
      <w:r w:rsidRPr="00331240">
        <w:fldChar w:fldCharType="begin"/>
      </w:r>
      <w:r w:rsidRPr="00331240">
        <w:instrText>SEQ Table \* ARABIC</w:instrText>
      </w:r>
      <w:r w:rsidRPr="00331240">
        <w:fldChar w:fldCharType="separate"/>
      </w:r>
      <w:r w:rsidR="00D4512D">
        <w:rPr>
          <w:noProof/>
        </w:rPr>
        <w:t>7</w:t>
      </w:r>
      <w:r w:rsidRPr="00331240">
        <w:fldChar w:fldCharType="end"/>
      </w:r>
      <w:r w:rsidRPr="00331240">
        <w:tab/>
        <w:t>Proposed amendment to MBS item 40858</w:t>
      </w:r>
    </w:p>
    <w:tbl>
      <w:tblPr>
        <w:tblStyle w:val="TableGrid"/>
        <w:tblW w:w="0" w:type="auto"/>
        <w:tblLook w:val="04A0" w:firstRow="1" w:lastRow="0" w:firstColumn="1" w:lastColumn="0" w:noHBand="0" w:noVBand="1"/>
      </w:tblPr>
      <w:tblGrid>
        <w:gridCol w:w="9016"/>
      </w:tblGrid>
      <w:tr w:rsidR="006F7DDB" w:rsidRPr="00331240" w14:paraId="3639A3EF" w14:textId="77777777">
        <w:tc>
          <w:tcPr>
            <w:tcW w:w="9016" w:type="dxa"/>
          </w:tcPr>
          <w:p w14:paraId="4041C544" w14:textId="77777777" w:rsidR="006F7DDB" w:rsidRPr="00331240" w:rsidRDefault="006F7DDB">
            <w:pPr>
              <w:pStyle w:val="Tabletext"/>
              <w:rPr>
                <w:lang w:val="en-AU"/>
              </w:rPr>
            </w:pPr>
            <w:r w:rsidRPr="00331240">
              <w:rPr>
                <w:lang w:val="en-AU"/>
              </w:rPr>
              <w:t>Category 3 – THERAPEUTIC PROCEDURES</w:t>
            </w:r>
          </w:p>
        </w:tc>
      </w:tr>
      <w:tr w:rsidR="006F7DDB" w:rsidRPr="00331240" w14:paraId="347A6833" w14:textId="77777777">
        <w:tc>
          <w:tcPr>
            <w:tcW w:w="9016" w:type="dxa"/>
          </w:tcPr>
          <w:p w14:paraId="5C52E6AF" w14:textId="77777777" w:rsidR="006F7DDB" w:rsidRPr="00331240" w:rsidRDefault="006F7DDB">
            <w:pPr>
              <w:pStyle w:val="Tabletext"/>
              <w:spacing w:before="120"/>
              <w:contextualSpacing w:val="0"/>
              <w:rPr>
                <w:lang w:val="en-AU"/>
              </w:rPr>
            </w:pPr>
            <w:r w:rsidRPr="00331240">
              <w:rPr>
                <w:lang w:val="en-AU"/>
              </w:rPr>
              <w:t>MBS item 40858</w:t>
            </w:r>
          </w:p>
          <w:p w14:paraId="73689FC3" w14:textId="77777777" w:rsidR="006F7DDB" w:rsidRPr="00331240" w:rsidRDefault="006F7DDB">
            <w:pPr>
              <w:pStyle w:val="Tabletext"/>
              <w:spacing w:before="120"/>
              <w:contextualSpacing w:val="0"/>
              <w:rPr>
                <w:lang w:val="en-AU"/>
              </w:rPr>
            </w:pPr>
            <w:r w:rsidRPr="00331240">
              <w:rPr>
                <w:lang w:val="en-AU"/>
              </w:rPr>
              <w:t>DEEP BRAIN STIMULATION (unilateral) placement, removal or replacement of extension lead for the treatment of:</w:t>
            </w:r>
          </w:p>
          <w:p w14:paraId="0FC5F407" w14:textId="77777777" w:rsidR="006F7DDB" w:rsidRPr="00331240" w:rsidRDefault="006F7DDB">
            <w:pPr>
              <w:pStyle w:val="Tabletext"/>
              <w:spacing w:before="120"/>
              <w:contextualSpacing w:val="0"/>
              <w:rPr>
                <w:lang w:val="en-AU"/>
              </w:rPr>
            </w:pPr>
            <w:r w:rsidRPr="00331240">
              <w:rPr>
                <w:lang w:val="en-AU"/>
              </w:rPr>
              <w:t>Parkinson's disease where the patient's response to medical therapy is not sustained and is accompanied by unacceptable motor fluctuations; or</w:t>
            </w:r>
          </w:p>
          <w:p w14:paraId="382F7182" w14:textId="77777777" w:rsidR="006F7DDB" w:rsidRPr="00331240" w:rsidRDefault="006F7DDB">
            <w:pPr>
              <w:pStyle w:val="Tabletext"/>
              <w:spacing w:before="120"/>
              <w:contextualSpacing w:val="0"/>
              <w:rPr>
                <w:lang w:val="en-AU"/>
              </w:rPr>
            </w:pPr>
            <w:r w:rsidRPr="00331240">
              <w:rPr>
                <w:lang w:val="en-AU"/>
              </w:rPr>
              <w:t>Essential tremor or dystonia where the patient's symptoms cause severe disability; or</w:t>
            </w:r>
          </w:p>
          <w:p w14:paraId="0F224E37" w14:textId="745297F7" w:rsidR="006F7DDB" w:rsidRPr="00331240" w:rsidRDefault="00B76FED">
            <w:pPr>
              <w:pStyle w:val="Tabletext"/>
              <w:spacing w:before="120"/>
              <w:contextualSpacing w:val="0"/>
              <w:rPr>
                <w:i/>
                <w:iCs/>
                <w:color w:val="4472C4" w:themeColor="accent1"/>
                <w:lang w:val="en-AU"/>
              </w:rPr>
            </w:pPr>
            <w:r>
              <w:rPr>
                <w:i/>
                <w:iCs/>
                <w:color w:val="4472C4" w:themeColor="accent1"/>
                <w:lang w:val="en-AU"/>
              </w:rPr>
              <w:t xml:space="preserve">The anterior thalamus to treat people who are 18 years and older with </w:t>
            </w:r>
            <w:r w:rsidR="00701C75">
              <w:rPr>
                <w:i/>
                <w:iCs/>
                <w:color w:val="4472C4" w:themeColor="accent1"/>
                <w:lang w:val="en-AU"/>
              </w:rPr>
              <w:t xml:space="preserve">drug-refractory </w:t>
            </w:r>
            <w:r>
              <w:rPr>
                <w:i/>
                <w:iCs/>
                <w:color w:val="4472C4" w:themeColor="accent1"/>
                <w:lang w:val="en-AU"/>
              </w:rPr>
              <w:t xml:space="preserve">focal </w:t>
            </w:r>
            <w:r w:rsidRPr="00331240">
              <w:rPr>
                <w:i/>
                <w:iCs/>
                <w:color w:val="4472C4" w:themeColor="accent1"/>
                <w:lang w:val="en-AU"/>
              </w:rPr>
              <w:t xml:space="preserve">epilepsy </w:t>
            </w:r>
            <w:r>
              <w:rPr>
                <w:i/>
                <w:iCs/>
                <w:color w:val="4472C4" w:themeColor="accent1"/>
                <w:lang w:val="en-AU"/>
              </w:rPr>
              <w:t xml:space="preserve">where resection of the brain is either contraindicated or refused by the patient, or if the patient has received resection of the brain but was unsuccessful in halting seizures, </w:t>
            </w:r>
            <w:r w:rsidRPr="00331240">
              <w:rPr>
                <w:i/>
                <w:iCs/>
                <w:color w:val="4472C4" w:themeColor="accent1"/>
                <w:lang w:val="en-AU"/>
              </w:rPr>
              <w:t>following assessment by a Comprehensive Epilepsy Program.</w:t>
            </w:r>
          </w:p>
          <w:p w14:paraId="321F3A1F" w14:textId="77777777" w:rsidR="006F7DDB" w:rsidRPr="00331240" w:rsidRDefault="006F7DDB">
            <w:pPr>
              <w:pStyle w:val="Tabletext"/>
              <w:spacing w:before="120"/>
              <w:contextualSpacing w:val="0"/>
              <w:rPr>
                <w:lang w:val="en-AU"/>
              </w:rPr>
            </w:pPr>
            <w:r w:rsidRPr="00331240">
              <w:rPr>
                <w:lang w:val="en-AU"/>
              </w:rPr>
              <w:t>Multiple Operation Rule</w:t>
            </w:r>
          </w:p>
          <w:p w14:paraId="73057C31" w14:textId="77777777" w:rsidR="006F7DDB" w:rsidRPr="00331240" w:rsidRDefault="006F7DDB">
            <w:pPr>
              <w:pStyle w:val="Tabletext"/>
              <w:spacing w:before="120"/>
              <w:contextualSpacing w:val="0"/>
              <w:rPr>
                <w:lang w:val="en-AU"/>
              </w:rPr>
            </w:pPr>
            <w:r w:rsidRPr="00331240">
              <w:rPr>
                <w:lang w:val="en-AU"/>
              </w:rPr>
              <w:t>(Anaes.) (Assist.)</w:t>
            </w:r>
          </w:p>
        </w:tc>
      </w:tr>
      <w:tr w:rsidR="006F7DDB" w:rsidRPr="00331240" w14:paraId="26EAD869" w14:textId="77777777">
        <w:tc>
          <w:tcPr>
            <w:tcW w:w="9016" w:type="dxa"/>
          </w:tcPr>
          <w:p w14:paraId="56FC44DE" w14:textId="77777777" w:rsidR="006F7DDB" w:rsidRPr="00331240" w:rsidRDefault="006F7DDB">
            <w:pPr>
              <w:pStyle w:val="Tabletext"/>
              <w:rPr>
                <w:lang w:val="en-AU"/>
              </w:rPr>
            </w:pPr>
            <w:r w:rsidRPr="00331240">
              <w:rPr>
                <w:lang w:val="en-AU"/>
              </w:rPr>
              <w:t>Fee: $547.70 Benefit: 75% = $410.80</w:t>
            </w:r>
          </w:p>
        </w:tc>
      </w:tr>
    </w:tbl>
    <w:p w14:paraId="4D4A461C" w14:textId="750B1C4B" w:rsidR="0088383B" w:rsidRPr="00331240" w:rsidRDefault="0088383B">
      <w:pPr>
        <w:spacing w:before="0"/>
        <w:jc w:val="left"/>
        <w:rPr>
          <w:rFonts w:ascii="Arial Narrow" w:hAnsi="Arial Narrow"/>
          <w:b/>
          <w:iCs/>
          <w:color w:val="000000" w:themeColor="text1"/>
          <w:sz w:val="20"/>
          <w:szCs w:val="18"/>
        </w:rPr>
      </w:pPr>
    </w:p>
    <w:p w14:paraId="1A7CECDE" w14:textId="61419871" w:rsidR="006F7DDB" w:rsidRPr="00331240" w:rsidRDefault="006F7DDB" w:rsidP="00BC3794">
      <w:pPr>
        <w:pStyle w:val="Tableheader"/>
        <w:spacing w:before="240"/>
      </w:pPr>
      <w:r w:rsidRPr="00331240">
        <w:lastRenderedPageBreak/>
        <w:t xml:space="preserve">Table </w:t>
      </w:r>
      <w:r w:rsidRPr="00331240">
        <w:fldChar w:fldCharType="begin"/>
      </w:r>
      <w:r w:rsidRPr="00331240">
        <w:instrText>SEQ Table \* ARABIC</w:instrText>
      </w:r>
      <w:r w:rsidRPr="00331240">
        <w:fldChar w:fldCharType="separate"/>
      </w:r>
      <w:r w:rsidR="00D4512D">
        <w:rPr>
          <w:noProof/>
        </w:rPr>
        <w:t>8</w:t>
      </w:r>
      <w:r w:rsidRPr="00331240">
        <w:fldChar w:fldCharType="end"/>
      </w:r>
      <w:r w:rsidRPr="00331240">
        <w:tab/>
        <w:t>Proposed amendment to MBS item 40860</w:t>
      </w:r>
    </w:p>
    <w:tbl>
      <w:tblPr>
        <w:tblStyle w:val="TableGrid"/>
        <w:tblW w:w="0" w:type="auto"/>
        <w:tblLook w:val="04A0" w:firstRow="1" w:lastRow="0" w:firstColumn="1" w:lastColumn="0" w:noHBand="0" w:noVBand="1"/>
      </w:tblPr>
      <w:tblGrid>
        <w:gridCol w:w="9016"/>
      </w:tblGrid>
      <w:tr w:rsidR="006F7DDB" w:rsidRPr="00331240" w14:paraId="6AC8C00F" w14:textId="77777777">
        <w:tc>
          <w:tcPr>
            <w:tcW w:w="9016" w:type="dxa"/>
          </w:tcPr>
          <w:p w14:paraId="4597C761" w14:textId="77777777" w:rsidR="006F7DDB" w:rsidRPr="00331240" w:rsidRDefault="006F7DDB">
            <w:pPr>
              <w:pStyle w:val="Tabletext"/>
              <w:rPr>
                <w:lang w:val="en-AU"/>
              </w:rPr>
            </w:pPr>
            <w:r w:rsidRPr="00331240">
              <w:rPr>
                <w:lang w:val="en-AU"/>
              </w:rPr>
              <w:t>Category 3 – THERAPEUTIC PROCEDURES</w:t>
            </w:r>
          </w:p>
        </w:tc>
      </w:tr>
      <w:tr w:rsidR="006F7DDB" w:rsidRPr="00331240" w14:paraId="3497BD87" w14:textId="77777777">
        <w:tc>
          <w:tcPr>
            <w:tcW w:w="9016" w:type="dxa"/>
          </w:tcPr>
          <w:p w14:paraId="327CE7E7" w14:textId="77777777" w:rsidR="006F7DDB" w:rsidRPr="00331240" w:rsidRDefault="006F7DDB">
            <w:pPr>
              <w:pStyle w:val="Tabletext"/>
              <w:spacing w:before="120"/>
              <w:contextualSpacing w:val="0"/>
              <w:rPr>
                <w:lang w:val="en-AU"/>
              </w:rPr>
            </w:pPr>
            <w:r w:rsidRPr="00331240">
              <w:rPr>
                <w:lang w:val="en-AU"/>
              </w:rPr>
              <w:t>MBS item 40860</w:t>
            </w:r>
          </w:p>
          <w:p w14:paraId="7CD9447C" w14:textId="1FF9B479" w:rsidR="006F7DDB" w:rsidRPr="00331240" w:rsidRDefault="006F7DDB">
            <w:pPr>
              <w:pStyle w:val="Tabletext"/>
              <w:spacing w:before="120"/>
              <w:contextualSpacing w:val="0"/>
              <w:rPr>
                <w:lang w:val="en-AU"/>
              </w:rPr>
            </w:pPr>
            <w:r w:rsidRPr="00331240">
              <w:rPr>
                <w:lang w:val="en-AU"/>
              </w:rPr>
              <w:t>DEEP BRAIN STIMULATION (unilateral) target localisation incorporating anatomical and physiological techniques, including intraoperative clinical evaluation, for the insertion of a single neurostimulation wire for the treatment of:</w:t>
            </w:r>
          </w:p>
          <w:p w14:paraId="36253266" w14:textId="77777777" w:rsidR="006F7DDB" w:rsidRPr="00331240" w:rsidRDefault="006F7DDB">
            <w:pPr>
              <w:pStyle w:val="Tabletext"/>
              <w:spacing w:before="120"/>
              <w:contextualSpacing w:val="0"/>
              <w:rPr>
                <w:lang w:val="en-AU"/>
              </w:rPr>
            </w:pPr>
            <w:r w:rsidRPr="00331240">
              <w:rPr>
                <w:lang w:val="en-AU"/>
              </w:rPr>
              <w:t>Parkinson's disease where the patient's response to medical therapy is not sustained and is accompanied by unacceptable motor fluctuations; or</w:t>
            </w:r>
          </w:p>
          <w:p w14:paraId="4C0B3584" w14:textId="77777777" w:rsidR="006F7DDB" w:rsidRPr="00331240" w:rsidRDefault="006F7DDB">
            <w:pPr>
              <w:pStyle w:val="Tabletext"/>
              <w:spacing w:before="120"/>
              <w:contextualSpacing w:val="0"/>
              <w:rPr>
                <w:lang w:val="en-AU"/>
              </w:rPr>
            </w:pPr>
            <w:r w:rsidRPr="00331240">
              <w:rPr>
                <w:lang w:val="en-AU"/>
              </w:rPr>
              <w:t>Essential tremor or dystonia where the patient's symptoms cause severe disability; or</w:t>
            </w:r>
          </w:p>
          <w:p w14:paraId="6510E736" w14:textId="1F9CDCB0" w:rsidR="006F7DDB" w:rsidRPr="00331240" w:rsidRDefault="00B76FED">
            <w:pPr>
              <w:pStyle w:val="Tabletext"/>
              <w:spacing w:before="120"/>
              <w:contextualSpacing w:val="0"/>
              <w:rPr>
                <w:i/>
                <w:iCs/>
                <w:color w:val="4472C4" w:themeColor="accent1"/>
                <w:lang w:val="en-AU"/>
              </w:rPr>
            </w:pPr>
            <w:r>
              <w:rPr>
                <w:i/>
                <w:iCs/>
                <w:color w:val="4472C4" w:themeColor="accent1"/>
                <w:lang w:val="en-AU"/>
              </w:rPr>
              <w:t xml:space="preserve">The anterior thalamus to treat people who are 18 years and older with </w:t>
            </w:r>
            <w:r w:rsidR="00701C75">
              <w:rPr>
                <w:i/>
                <w:iCs/>
                <w:color w:val="4472C4" w:themeColor="accent1"/>
                <w:lang w:val="en-AU"/>
              </w:rPr>
              <w:t xml:space="preserve">drug-refractory </w:t>
            </w:r>
            <w:r>
              <w:rPr>
                <w:i/>
                <w:iCs/>
                <w:color w:val="4472C4" w:themeColor="accent1"/>
                <w:lang w:val="en-AU"/>
              </w:rPr>
              <w:t xml:space="preserve">focal </w:t>
            </w:r>
            <w:r w:rsidRPr="00331240">
              <w:rPr>
                <w:i/>
                <w:iCs/>
                <w:color w:val="4472C4" w:themeColor="accent1"/>
                <w:lang w:val="en-AU"/>
              </w:rPr>
              <w:t xml:space="preserve">epilepsy </w:t>
            </w:r>
            <w:r>
              <w:rPr>
                <w:i/>
                <w:iCs/>
                <w:color w:val="4472C4" w:themeColor="accent1"/>
                <w:lang w:val="en-AU"/>
              </w:rPr>
              <w:t xml:space="preserve">where resection of the brain is either contraindicated or refused by the patient, or if the patient has received resection of the brain but was unsuccessful in halting seizures, </w:t>
            </w:r>
            <w:r w:rsidRPr="00331240">
              <w:rPr>
                <w:i/>
                <w:iCs/>
                <w:color w:val="4472C4" w:themeColor="accent1"/>
                <w:lang w:val="en-AU"/>
              </w:rPr>
              <w:t>following assessment by a Comprehensive Epilepsy Program.</w:t>
            </w:r>
          </w:p>
          <w:p w14:paraId="5482EFC9" w14:textId="77777777" w:rsidR="006F7DDB" w:rsidRPr="00331240" w:rsidRDefault="006F7DDB">
            <w:pPr>
              <w:pStyle w:val="Tabletext"/>
              <w:spacing w:before="120"/>
              <w:contextualSpacing w:val="0"/>
              <w:rPr>
                <w:lang w:val="en-AU"/>
              </w:rPr>
            </w:pPr>
            <w:r w:rsidRPr="00331240">
              <w:rPr>
                <w:lang w:val="en-AU"/>
              </w:rPr>
              <w:t>Multiple Operation Rule</w:t>
            </w:r>
          </w:p>
          <w:p w14:paraId="3E35E4CF" w14:textId="77777777" w:rsidR="006F7DDB" w:rsidRPr="00331240" w:rsidRDefault="006F7DDB">
            <w:pPr>
              <w:pStyle w:val="Tabletext"/>
              <w:spacing w:before="120"/>
              <w:contextualSpacing w:val="0"/>
              <w:rPr>
                <w:lang w:val="en-AU"/>
              </w:rPr>
            </w:pPr>
            <w:r w:rsidRPr="00331240">
              <w:rPr>
                <w:lang w:val="en-AU"/>
              </w:rPr>
              <w:t>(Anaes.) (Assist.)</w:t>
            </w:r>
          </w:p>
        </w:tc>
      </w:tr>
      <w:tr w:rsidR="006F7DDB" w:rsidRPr="00331240" w14:paraId="35166A6B" w14:textId="77777777">
        <w:tc>
          <w:tcPr>
            <w:tcW w:w="9016" w:type="dxa"/>
          </w:tcPr>
          <w:p w14:paraId="3C4EC633" w14:textId="77777777" w:rsidR="006F7DDB" w:rsidRPr="00331240" w:rsidRDefault="006F7DDB">
            <w:pPr>
              <w:pStyle w:val="Tabletext"/>
              <w:rPr>
                <w:lang w:val="en-AU"/>
              </w:rPr>
            </w:pPr>
            <w:r w:rsidRPr="00331240">
              <w:rPr>
                <w:lang w:val="en-AU"/>
              </w:rPr>
              <w:t>Fee: $2,104.65 Benefit: 75% = $1,578.50</w:t>
            </w:r>
          </w:p>
        </w:tc>
      </w:tr>
    </w:tbl>
    <w:p w14:paraId="37FD672F" w14:textId="57FB3EB7" w:rsidR="006F7DDB" w:rsidRPr="00331240" w:rsidRDefault="006F7DDB" w:rsidP="00BC3794">
      <w:pPr>
        <w:pStyle w:val="Tableheader"/>
        <w:spacing w:before="240"/>
      </w:pPr>
      <w:bookmarkStart w:id="9" w:name="_Ref116906356"/>
      <w:r w:rsidRPr="00331240">
        <w:t xml:space="preserve">Table </w:t>
      </w:r>
      <w:r w:rsidRPr="00331240">
        <w:fldChar w:fldCharType="begin"/>
      </w:r>
      <w:r w:rsidRPr="00331240">
        <w:instrText>SEQ Table \* ARABIC</w:instrText>
      </w:r>
      <w:r w:rsidRPr="00331240">
        <w:fldChar w:fldCharType="separate"/>
      </w:r>
      <w:r w:rsidR="00D4512D">
        <w:rPr>
          <w:noProof/>
        </w:rPr>
        <w:t>9</w:t>
      </w:r>
      <w:r w:rsidRPr="00331240">
        <w:fldChar w:fldCharType="end"/>
      </w:r>
      <w:bookmarkEnd w:id="9"/>
      <w:r w:rsidRPr="00331240">
        <w:tab/>
        <w:t>Proposed amendment to MBS item 40862</w:t>
      </w:r>
    </w:p>
    <w:tbl>
      <w:tblPr>
        <w:tblStyle w:val="TableGrid"/>
        <w:tblW w:w="0" w:type="auto"/>
        <w:tblLook w:val="04A0" w:firstRow="1" w:lastRow="0" w:firstColumn="1" w:lastColumn="0" w:noHBand="0" w:noVBand="1"/>
      </w:tblPr>
      <w:tblGrid>
        <w:gridCol w:w="9016"/>
      </w:tblGrid>
      <w:tr w:rsidR="006F7DDB" w:rsidRPr="00331240" w14:paraId="4800A42A" w14:textId="77777777">
        <w:tc>
          <w:tcPr>
            <w:tcW w:w="9016" w:type="dxa"/>
          </w:tcPr>
          <w:p w14:paraId="0F6C4786" w14:textId="77777777" w:rsidR="006F7DDB" w:rsidRPr="00331240" w:rsidRDefault="006F7DDB">
            <w:pPr>
              <w:pStyle w:val="Tabletext"/>
              <w:rPr>
                <w:lang w:val="en-AU"/>
              </w:rPr>
            </w:pPr>
            <w:r w:rsidRPr="00331240">
              <w:rPr>
                <w:lang w:val="en-AU"/>
              </w:rPr>
              <w:t>Category 3 – THERAPEUTIC PROCEDURES</w:t>
            </w:r>
          </w:p>
        </w:tc>
      </w:tr>
      <w:tr w:rsidR="006F7DDB" w:rsidRPr="00331240" w14:paraId="4DD8D4B0" w14:textId="77777777">
        <w:tc>
          <w:tcPr>
            <w:tcW w:w="9016" w:type="dxa"/>
          </w:tcPr>
          <w:p w14:paraId="5BA6B9D8" w14:textId="77777777" w:rsidR="006F7DDB" w:rsidRPr="00331240" w:rsidRDefault="006F7DDB">
            <w:pPr>
              <w:pStyle w:val="Tabletext"/>
              <w:spacing w:before="120"/>
              <w:contextualSpacing w:val="0"/>
              <w:rPr>
                <w:lang w:val="en-AU"/>
              </w:rPr>
            </w:pPr>
            <w:r w:rsidRPr="00331240">
              <w:rPr>
                <w:lang w:val="en-AU"/>
              </w:rPr>
              <w:t>MBS item 40862</w:t>
            </w:r>
          </w:p>
          <w:p w14:paraId="26348476" w14:textId="77777777" w:rsidR="006F7DDB" w:rsidRPr="00331240" w:rsidRDefault="006F7DDB">
            <w:pPr>
              <w:pStyle w:val="Tabletext"/>
              <w:spacing w:before="120"/>
              <w:contextualSpacing w:val="0"/>
              <w:rPr>
                <w:lang w:val="en-AU"/>
              </w:rPr>
            </w:pPr>
            <w:r w:rsidRPr="00331240">
              <w:rPr>
                <w:lang w:val="en-AU"/>
              </w:rPr>
              <w:t>DEEP BRAIN STIMULATION (unilateral) electronic analysis and programming of neurostimulator pulse generator for the treatment of:</w:t>
            </w:r>
          </w:p>
          <w:p w14:paraId="47CA7969" w14:textId="77777777" w:rsidR="006F7DDB" w:rsidRPr="00331240" w:rsidRDefault="006F7DDB">
            <w:pPr>
              <w:pStyle w:val="Tabletext"/>
              <w:spacing w:before="120"/>
              <w:contextualSpacing w:val="0"/>
              <w:rPr>
                <w:lang w:val="en-AU"/>
              </w:rPr>
            </w:pPr>
            <w:r w:rsidRPr="00331240">
              <w:rPr>
                <w:lang w:val="en-AU"/>
              </w:rPr>
              <w:t>Parkinson's disease where the patient's response to medical therapy is not sustained and is accompanied by unacceptable motor fluctuations; or</w:t>
            </w:r>
          </w:p>
          <w:p w14:paraId="3DA0831E" w14:textId="77777777" w:rsidR="006F7DDB" w:rsidRPr="00331240" w:rsidRDefault="006F7DDB">
            <w:pPr>
              <w:pStyle w:val="Tabletext"/>
              <w:spacing w:before="120"/>
              <w:contextualSpacing w:val="0"/>
              <w:rPr>
                <w:lang w:val="en-AU"/>
              </w:rPr>
            </w:pPr>
            <w:r w:rsidRPr="00331240">
              <w:rPr>
                <w:lang w:val="en-AU"/>
              </w:rPr>
              <w:t>Essential tremor or dystonia where the patient's symptoms cause severe disability; or</w:t>
            </w:r>
          </w:p>
          <w:p w14:paraId="51D2E4CC" w14:textId="5FCB0C73" w:rsidR="006F7DDB" w:rsidRPr="00331240" w:rsidRDefault="00B76FED">
            <w:pPr>
              <w:pStyle w:val="Tabletext"/>
              <w:spacing w:before="120"/>
              <w:contextualSpacing w:val="0"/>
              <w:rPr>
                <w:i/>
                <w:color w:val="4472C4" w:themeColor="accent1"/>
                <w:lang w:val="en-AU"/>
              </w:rPr>
            </w:pPr>
            <w:r>
              <w:rPr>
                <w:i/>
                <w:iCs/>
                <w:color w:val="4472C4" w:themeColor="accent1"/>
                <w:lang w:val="en-AU"/>
              </w:rPr>
              <w:t xml:space="preserve">The anterior thalamus to treat people who are 18 years and older with </w:t>
            </w:r>
            <w:r w:rsidR="00701C75">
              <w:rPr>
                <w:i/>
                <w:iCs/>
                <w:color w:val="4472C4" w:themeColor="accent1"/>
                <w:lang w:val="en-AU"/>
              </w:rPr>
              <w:t xml:space="preserve">drug-refractory </w:t>
            </w:r>
            <w:r>
              <w:rPr>
                <w:i/>
                <w:iCs/>
                <w:color w:val="4472C4" w:themeColor="accent1"/>
                <w:lang w:val="en-AU"/>
              </w:rPr>
              <w:t xml:space="preserve">focal </w:t>
            </w:r>
            <w:r w:rsidRPr="00331240">
              <w:rPr>
                <w:i/>
                <w:iCs/>
                <w:color w:val="4472C4" w:themeColor="accent1"/>
                <w:lang w:val="en-AU"/>
              </w:rPr>
              <w:t xml:space="preserve">epilepsy </w:t>
            </w:r>
            <w:r>
              <w:rPr>
                <w:i/>
                <w:iCs/>
                <w:color w:val="4472C4" w:themeColor="accent1"/>
                <w:lang w:val="en-AU"/>
              </w:rPr>
              <w:t xml:space="preserve">where resection of the brain is either contraindicated or refused by the patient, or if the patient has received resection of the brain but was unsuccessful in halting seizures, </w:t>
            </w:r>
            <w:r w:rsidRPr="00331240">
              <w:rPr>
                <w:i/>
                <w:iCs/>
                <w:color w:val="4472C4" w:themeColor="accent1"/>
                <w:lang w:val="en-AU"/>
              </w:rPr>
              <w:t>following assessment by a Comprehensive Epilepsy Program.</w:t>
            </w:r>
          </w:p>
          <w:p w14:paraId="22A04A37" w14:textId="77777777" w:rsidR="006F7DDB" w:rsidRPr="00331240" w:rsidRDefault="006F7DDB">
            <w:pPr>
              <w:pStyle w:val="Tabletext"/>
              <w:spacing w:before="120"/>
              <w:contextualSpacing w:val="0"/>
              <w:rPr>
                <w:lang w:val="en-AU"/>
              </w:rPr>
            </w:pPr>
            <w:r w:rsidRPr="00331240">
              <w:rPr>
                <w:lang w:val="en-AU"/>
              </w:rPr>
              <w:t>Multiple Operation Rule</w:t>
            </w:r>
          </w:p>
          <w:p w14:paraId="7A4BED3A" w14:textId="77777777" w:rsidR="006F7DDB" w:rsidRPr="00331240" w:rsidRDefault="006F7DDB">
            <w:pPr>
              <w:pStyle w:val="Tabletext"/>
              <w:spacing w:before="120"/>
              <w:contextualSpacing w:val="0"/>
              <w:rPr>
                <w:lang w:val="en-AU"/>
              </w:rPr>
            </w:pPr>
            <w:r w:rsidRPr="00331240">
              <w:rPr>
                <w:lang w:val="en-AU"/>
              </w:rPr>
              <w:t>(Anaes.) (Assist.)</w:t>
            </w:r>
          </w:p>
        </w:tc>
      </w:tr>
      <w:tr w:rsidR="006F7DDB" w:rsidRPr="00331240" w14:paraId="2ADC4A61" w14:textId="77777777">
        <w:tc>
          <w:tcPr>
            <w:tcW w:w="9016" w:type="dxa"/>
          </w:tcPr>
          <w:p w14:paraId="12643F47" w14:textId="77777777" w:rsidR="006F7DDB" w:rsidRPr="00331240" w:rsidRDefault="006F7DDB">
            <w:pPr>
              <w:pStyle w:val="Tabletext"/>
              <w:rPr>
                <w:lang w:val="en-AU"/>
              </w:rPr>
            </w:pPr>
            <w:r w:rsidRPr="00331240">
              <w:rPr>
                <w:lang w:val="en-AU"/>
              </w:rPr>
              <w:t>Fee: $197.40 Benefit: 75% = $148.05 85% = $167.80</w:t>
            </w:r>
          </w:p>
        </w:tc>
      </w:tr>
    </w:tbl>
    <w:p w14:paraId="44CE6319" w14:textId="4D383DC1" w:rsidR="006F7DDB" w:rsidRPr="00331240" w:rsidRDefault="00F230C1" w:rsidP="00BC3794">
      <w:pPr>
        <w:spacing w:before="240"/>
      </w:pPr>
      <w:r w:rsidRPr="00331240">
        <w:t>The</w:t>
      </w:r>
      <w:r w:rsidR="00442C1C" w:rsidRPr="00331240">
        <w:t xml:space="preserve"> delivery of DBS </w:t>
      </w:r>
      <w:r w:rsidR="00954E9A" w:rsidRPr="00331240">
        <w:t xml:space="preserve">should be restricted to neurosurgeons in conjunction with neurologists. </w:t>
      </w:r>
      <w:r w:rsidR="005D0E55" w:rsidRPr="00331240">
        <w:t>It is intended to be provided in an inpatient setting</w:t>
      </w:r>
      <w:r w:rsidR="001C0EF0" w:rsidRPr="00331240">
        <w:t xml:space="preserve"> </w:t>
      </w:r>
      <w:r w:rsidR="00A15B7C" w:rsidRPr="00331240">
        <w:t xml:space="preserve">in </w:t>
      </w:r>
      <w:r w:rsidR="001C0EF0" w:rsidRPr="00331240">
        <w:t>public or private hospital</w:t>
      </w:r>
      <w:r w:rsidR="00A15B7C" w:rsidRPr="00331240">
        <w:t>s</w:t>
      </w:r>
      <w:r w:rsidR="001C0EF0" w:rsidRPr="00331240">
        <w:t>.</w:t>
      </w:r>
    </w:p>
    <w:p w14:paraId="601FFF81" w14:textId="3A772D2C" w:rsidR="002438AE" w:rsidRPr="00331240" w:rsidRDefault="00907B53" w:rsidP="006577D4">
      <w:r w:rsidRPr="00331240">
        <w:t>An</w:t>
      </w:r>
      <w:r w:rsidR="002438AE" w:rsidRPr="00331240">
        <w:t xml:space="preserve"> issue with the proposed MBS item descriptor is that it </w:t>
      </w:r>
      <w:r w:rsidR="008C4032">
        <w:t>did</w:t>
      </w:r>
      <w:r w:rsidR="008C4032" w:rsidRPr="00331240">
        <w:t xml:space="preserve"> </w:t>
      </w:r>
      <w:r w:rsidR="002438AE" w:rsidRPr="00331240">
        <w:t xml:space="preserve">not specify which section of the brain </w:t>
      </w:r>
      <w:r w:rsidR="00FA41B4" w:rsidRPr="00331240">
        <w:t xml:space="preserve">should be treated by </w:t>
      </w:r>
      <w:r w:rsidR="002438AE" w:rsidRPr="00331240">
        <w:t xml:space="preserve">DBS for </w:t>
      </w:r>
      <w:r w:rsidR="00D64B5F" w:rsidRPr="00331240">
        <w:t>drug refractory</w:t>
      </w:r>
      <w:r w:rsidR="00286719" w:rsidRPr="00331240">
        <w:t xml:space="preserve"> epilepsy</w:t>
      </w:r>
      <w:r w:rsidR="004829DC" w:rsidRPr="00331240">
        <w:t>. In the ratified PICO</w:t>
      </w:r>
      <w:r w:rsidR="00A15B7C" w:rsidRPr="00331240">
        <w:t>,</w:t>
      </w:r>
      <w:r w:rsidR="004829DC" w:rsidRPr="00331240">
        <w:t xml:space="preserve"> PASC confirmed that </w:t>
      </w:r>
      <w:r w:rsidR="005E78FF" w:rsidRPr="00331240">
        <w:t>the proposed intervention is</w:t>
      </w:r>
      <w:r w:rsidR="00C903FA" w:rsidRPr="00331240">
        <w:t xml:space="preserve"> </w:t>
      </w:r>
      <w:r w:rsidR="00150DA1" w:rsidRPr="00331240">
        <w:rPr>
          <w:i/>
          <w:iCs/>
        </w:rPr>
        <w:t>‘</w:t>
      </w:r>
      <w:r w:rsidR="00082FD1" w:rsidRPr="00331240">
        <w:rPr>
          <w:i/>
          <w:iCs/>
        </w:rPr>
        <w:t>deep brain stimulation of the anterior nuclei of the anterior thalamus.</w:t>
      </w:r>
      <w:r w:rsidR="00150DA1" w:rsidRPr="00331240">
        <w:rPr>
          <w:i/>
          <w:iCs/>
        </w:rPr>
        <w:t>’</w:t>
      </w:r>
      <w:r w:rsidR="00082FD1" w:rsidRPr="00331240">
        <w:rPr>
          <w:i/>
          <w:iCs/>
        </w:rPr>
        <w:t xml:space="preserve"> </w:t>
      </w:r>
      <w:r w:rsidR="00082FD1" w:rsidRPr="00331240">
        <w:t>This might be important given other sections of the brain have been treated in studies</w:t>
      </w:r>
      <w:r w:rsidR="000907E4" w:rsidRPr="00331240">
        <w:t xml:space="preserve"> on DBS for drug refractory epilepsy</w:t>
      </w:r>
      <w:r w:rsidR="00082FD1" w:rsidRPr="00331240">
        <w:t xml:space="preserve">. In addition, the MBS item descriptor </w:t>
      </w:r>
      <w:r w:rsidR="008C4032">
        <w:t>did</w:t>
      </w:r>
      <w:r w:rsidR="008C4032" w:rsidRPr="00331240">
        <w:t xml:space="preserve"> </w:t>
      </w:r>
      <w:r w:rsidR="00051222" w:rsidRPr="00331240">
        <w:t>not</w:t>
      </w:r>
      <w:r w:rsidR="00082FD1" w:rsidRPr="00331240">
        <w:t xml:space="preserve"> specify th</w:t>
      </w:r>
      <w:r w:rsidR="000F1BBB" w:rsidRPr="00331240">
        <w:t xml:space="preserve">at the treatment should be limited to adults. </w:t>
      </w:r>
      <w:r w:rsidR="00B43AFD" w:rsidRPr="00331240">
        <w:t>Further, in the PICO</w:t>
      </w:r>
      <w:r w:rsidR="00051222" w:rsidRPr="00331240">
        <w:t>,</w:t>
      </w:r>
      <w:r w:rsidR="00535071" w:rsidRPr="00331240">
        <w:t xml:space="preserve"> PASC </w:t>
      </w:r>
      <w:r w:rsidR="00701C27" w:rsidRPr="00331240">
        <w:t xml:space="preserve">confirmed </w:t>
      </w:r>
      <w:r w:rsidR="007C0710" w:rsidRPr="00331240">
        <w:t>that the application proposes an amendment to the eligible population for DBS</w:t>
      </w:r>
      <w:r w:rsidR="004A5581" w:rsidRPr="00331240">
        <w:t xml:space="preserve"> </w:t>
      </w:r>
      <w:r w:rsidR="00150DA1" w:rsidRPr="00331240">
        <w:rPr>
          <w:i/>
          <w:iCs/>
        </w:rPr>
        <w:t>‘</w:t>
      </w:r>
      <w:r w:rsidR="004A5581" w:rsidRPr="00331240">
        <w:rPr>
          <w:i/>
          <w:iCs/>
        </w:rPr>
        <w:t xml:space="preserve">to encompass people with </w:t>
      </w:r>
      <w:r w:rsidR="00D64B5F" w:rsidRPr="00331240">
        <w:rPr>
          <w:i/>
          <w:iCs/>
        </w:rPr>
        <w:t>drug refractory</w:t>
      </w:r>
      <w:r w:rsidR="004A5581" w:rsidRPr="00331240">
        <w:rPr>
          <w:i/>
          <w:iCs/>
        </w:rPr>
        <w:t xml:space="preserve"> epilepsy where resection of the brain is either contraind</w:t>
      </w:r>
      <w:r w:rsidR="00140E52" w:rsidRPr="00331240">
        <w:rPr>
          <w:i/>
          <w:iCs/>
        </w:rPr>
        <w:t>icated or has been un</w:t>
      </w:r>
      <w:r w:rsidR="002827E2" w:rsidRPr="00331240">
        <w:rPr>
          <w:i/>
          <w:iCs/>
        </w:rPr>
        <w:t xml:space="preserve">successful in halting </w:t>
      </w:r>
      <w:r w:rsidR="00CD6416" w:rsidRPr="00331240">
        <w:rPr>
          <w:i/>
          <w:iCs/>
        </w:rPr>
        <w:t>seizures’</w:t>
      </w:r>
      <w:r w:rsidR="00CD6416" w:rsidRPr="00331240">
        <w:t>,</w:t>
      </w:r>
      <w:r w:rsidR="00DB44B1" w:rsidRPr="00331240">
        <w:t xml:space="preserve"> whereas the descriptor only mentions patients not suitable for resective surgery. </w:t>
      </w:r>
    </w:p>
    <w:p w14:paraId="0CF4C806" w14:textId="2EEB4E3E" w:rsidR="00C83591" w:rsidRPr="00331240" w:rsidRDefault="00C83591" w:rsidP="006577D4">
      <w:r w:rsidRPr="00331240">
        <w:t xml:space="preserve">It should be noted that there is </w:t>
      </w:r>
      <w:r w:rsidR="009828C9" w:rsidRPr="00331240">
        <w:t xml:space="preserve">also an MSAC application for </w:t>
      </w:r>
      <w:r w:rsidR="00FC1355" w:rsidRPr="00331240">
        <w:t xml:space="preserve">DBS for treatment-refractory </w:t>
      </w:r>
      <w:r w:rsidR="00645969" w:rsidRPr="00331240">
        <w:t>obsessive-compulsive</w:t>
      </w:r>
      <w:r w:rsidR="00FC1355" w:rsidRPr="00331240">
        <w:t xml:space="preserve"> disorder (application 1727) and this </w:t>
      </w:r>
      <w:r w:rsidR="00FA68E7" w:rsidRPr="00331240">
        <w:t xml:space="preserve">also proposes amendment to </w:t>
      </w:r>
      <w:r w:rsidR="0001566B" w:rsidRPr="00331240">
        <w:t>MBS item</w:t>
      </w:r>
      <w:r w:rsidR="00B81CA3">
        <w:t>s</w:t>
      </w:r>
      <w:r w:rsidR="0001566B" w:rsidRPr="00331240">
        <w:t xml:space="preserve"> </w:t>
      </w:r>
      <w:r w:rsidR="005C6D77" w:rsidRPr="00331240">
        <w:t xml:space="preserve">40851, 40852, 40854, 40856, 40858, 40860, </w:t>
      </w:r>
      <w:r w:rsidR="0001566B" w:rsidRPr="00331240">
        <w:t>40862</w:t>
      </w:r>
      <w:r w:rsidR="00A572C9" w:rsidRPr="00331240">
        <w:t xml:space="preserve"> if listed</w:t>
      </w:r>
      <w:r w:rsidR="00857864" w:rsidRPr="00331240">
        <w:t>.</w:t>
      </w:r>
      <w:r w:rsidR="00B425DE" w:rsidRPr="00331240">
        <w:t xml:space="preserve"> </w:t>
      </w:r>
    </w:p>
    <w:p w14:paraId="1508CF0A" w14:textId="4A543E5C" w:rsidR="00D97B0C" w:rsidRPr="007C29EB" w:rsidRDefault="00D97B0C" w:rsidP="00D97B0C">
      <w:pPr>
        <w:pStyle w:val="Heading2"/>
        <w:numPr>
          <w:ilvl w:val="0"/>
          <w:numId w:val="0"/>
        </w:numPr>
      </w:pPr>
      <w:r>
        <w:t>7.</w:t>
      </w:r>
      <w:r>
        <w:tab/>
        <w:t>Population</w:t>
      </w:r>
    </w:p>
    <w:p w14:paraId="483EDE73" w14:textId="09143C79" w:rsidR="00637EB9" w:rsidRPr="00331240" w:rsidRDefault="00A72175" w:rsidP="00EB3DB3">
      <w:r>
        <w:t>T</w:t>
      </w:r>
      <w:r w:rsidR="006949A8" w:rsidRPr="00331240">
        <w:t xml:space="preserve">he </w:t>
      </w:r>
      <w:r w:rsidR="00156C19" w:rsidRPr="00331240">
        <w:t>target</w:t>
      </w:r>
      <w:r w:rsidR="006949A8" w:rsidRPr="00331240">
        <w:t xml:space="preserve"> population is adult patients with </w:t>
      </w:r>
      <w:r w:rsidR="00D64B5F" w:rsidRPr="00331240">
        <w:t>drug refractory</w:t>
      </w:r>
      <w:r w:rsidR="006949A8" w:rsidRPr="00331240">
        <w:t xml:space="preserve"> </w:t>
      </w:r>
      <w:r w:rsidR="00381A3D" w:rsidRPr="00331240">
        <w:t xml:space="preserve">(focal or generalised) </w:t>
      </w:r>
      <w:r w:rsidR="006949A8" w:rsidRPr="00331240">
        <w:t>epilepsy</w:t>
      </w:r>
      <w:r w:rsidR="00970D76" w:rsidRPr="00331240">
        <w:t xml:space="preserve"> who have been assesse</w:t>
      </w:r>
      <w:r w:rsidR="00BA34E4" w:rsidRPr="00331240">
        <w:t>d by a</w:t>
      </w:r>
      <w:r w:rsidR="00711211" w:rsidRPr="00331240">
        <w:t xml:space="preserve"> </w:t>
      </w:r>
      <w:r>
        <w:t>CEP</w:t>
      </w:r>
      <w:r w:rsidR="00BA34E4" w:rsidRPr="00331240">
        <w:t xml:space="preserve"> and deemed either ineligible for curative </w:t>
      </w:r>
      <w:r w:rsidR="00E03C10" w:rsidRPr="00331240">
        <w:t>resective brain surgery</w:t>
      </w:r>
      <w:r w:rsidR="004232B2" w:rsidRPr="00331240">
        <w:t xml:space="preserve"> or</w:t>
      </w:r>
      <w:r w:rsidR="00332598" w:rsidRPr="00331240">
        <w:t xml:space="preserve"> who have</w:t>
      </w:r>
      <w:r w:rsidR="00A07752" w:rsidRPr="00331240">
        <w:t xml:space="preserve"> undergone surgery unsuccessfully. </w:t>
      </w:r>
    </w:p>
    <w:p w14:paraId="7A16C457" w14:textId="34C2FC89" w:rsidR="00381A3D" w:rsidRPr="00331240" w:rsidRDefault="00150DA1" w:rsidP="00381A3D">
      <w:r w:rsidRPr="00331240">
        <w:t xml:space="preserve">Patients with </w:t>
      </w:r>
      <w:r w:rsidR="00D64B5F" w:rsidRPr="00331240">
        <w:t>drug refractory</w:t>
      </w:r>
      <w:r w:rsidR="00381A3D" w:rsidRPr="00331240">
        <w:t xml:space="preserve"> epilepsy </w:t>
      </w:r>
      <w:r w:rsidRPr="00331240">
        <w:t>are</w:t>
      </w:r>
      <w:r w:rsidR="00381A3D" w:rsidRPr="00331240">
        <w:t xml:space="preserve"> defined </w:t>
      </w:r>
      <w:r w:rsidRPr="00331240">
        <w:t>as</w:t>
      </w:r>
      <w:r w:rsidR="00381A3D" w:rsidRPr="00331240">
        <w:t xml:space="preserve"> those who fail to become (and stay) seizure-free with adequate trials of </w:t>
      </w:r>
      <w:r w:rsidRPr="00331240">
        <w:t xml:space="preserve">2 </w:t>
      </w:r>
      <w:r w:rsidR="00381A3D" w:rsidRPr="00331240">
        <w:t xml:space="preserve">AEMs </w:t>
      </w:r>
      <w:r w:rsidR="005632B1" w:rsidRPr="00331240">
        <w:t>at therapeutic levels</w:t>
      </w:r>
      <w:r w:rsidR="006534B2" w:rsidRPr="00165893">
        <w:rPr>
          <w:vertAlign w:val="superscript"/>
        </w:rPr>
        <w:t>1</w:t>
      </w:r>
      <w:r w:rsidR="00757598" w:rsidRPr="00331240">
        <w:t>.</w:t>
      </w:r>
      <w:r w:rsidR="006534B2">
        <w:t xml:space="preserve"> </w:t>
      </w:r>
      <w:r w:rsidR="00381A3D" w:rsidRPr="00331240">
        <w:t xml:space="preserve">AEMs may be trialled </w:t>
      </w:r>
      <w:r w:rsidR="00EE2986" w:rsidRPr="00331240">
        <w:t>sequen</w:t>
      </w:r>
      <w:r w:rsidR="002F1988" w:rsidRPr="00331240">
        <w:t>tially</w:t>
      </w:r>
      <w:r w:rsidR="00381A3D" w:rsidRPr="00331240">
        <w:t xml:space="preserve"> or in conjunction with other AEMs. </w:t>
      </w:r>
      <w:r w:rsidRPr="00331240">
        <w:t>Approximately</w:t>
      </w:r>
      <w:r w:rsidR="00381A3D" w:rsidRPr="00331240">
        <w:t xml:space="preserve"> 30–40% of patients are diagnosed with </w:t>
      </w:r>
      <w:r w:rsidR="00D64B5F" w:rsidRPr="00331240">
        <w:t>drug refractory</w:t>
      </w:r>
      <w:r w:rsidR="00381A3D" w:rsidRPr="00331240">
        <w:t xml:space="preserve"> epilepsy after failed trials of AEMs</w:t>
      </w:r>
      <w:r w:rsidR="00757598" w:rsidRPr="00331240">
        <w:t>.</w:t>
      </w:r>
      <w:r w:rsidR="00757598" w:rsidRPr="00331240">
        <w:rPr>
          <w:rStyle w:val="FootnoteReference"/>
        </w:rPr>
        <w:footnoteReference w:id="6"/>
      </w:r>
    </w:p>
    <w:p w14:paraId="2504F0B2" w14:textId="52950C5B" w:rsidR="004A64FF" w:rsidRPr="00331240" w:rsidRDefault="00A72175" w:rsidP="00EB3DB3">
      <w:r>
        <w:t>CEPs</w:t>
      </w:r>
      <w:r w:rsidR="004A64FF" w:rsidRPr="00331240">
        <w:t xml:space="preserve"> are 1–2-week inpatient programs providing comprehensive assessment of patients with uncontrolled epilepsy. </w:t>
      </w:r>
      <w:r w:rsidR="00010FF4" w:rsidRPr="00331240">
        <w:t>In general, t</w:t>
      </w:r>
      <w:r w:rsidR="004A64FF" w:rsidRPr="00331240">
        <w:t xml:space="preserve">he </w:t>
      </w:r>
      <w:r w:rsidR="00150DA1" w:rsidRPr="00331240">
        <w:t>p</w:t>
      </w:r>
      <w:r w:rsidR="004A64FF" w:rsidRPr="00331240">
        <w:t>rogram aims to determine the nature and type of the patient’s episodes</w:t>
      </w:r>
      <w:r w:rsidR="000C775D" w:rsidRPr="00331240">
        <w:t xml:space="preserve"> and</w:t>
      </w:r>
      <w:r w:rsidR="004A64FF" w:rsidRPr="00331240">
        <w:t xml:space="preserve"> whether surgical treatment may be suitable. Tests conducted during the </w:t>
      </w:r>
      <w:r w:rsidR="00150DA1" w:rsidRPr="00331240">
        <w:t>p</w:t>
      </w:r>
      <w:r w:rsidR="004A64FF" w:rsidRPr="00331240">
        <w:t xml:space="preserve">rogram </w:t>
      </w:r>
      <w:r w:rsidR="0012061D" w:rsidRPr="00331240">
        <w:t xml:space="preserve">may </w:t>
      </w:r>
      <w:r w:rsidR="004A64FF" w:rsidRPr="00331240">
        <w:t>include video electroencephalography (VEEG) monitoring, assessment by a neuropsychologist, assessment for mood disorders, neurosurgical assessment of the safety and feasibility of surgery, and neuroradiological investigations</w:t>
      </w:r>
      <w:r w:rsidR="00AA2F4A" w:rsidRPr="00331240">
        <w:t>.</w:t>
      </w:r>
      <w:r w:rsidR="00AA2F4A" w:rsidRPr="00331240">
        <w:rPr>
          <w:rStyle w:val="FootnoteReference"/>
        </w:rPr>
        <w:footnoteReference w:id="7"/>
      </w:r>
    </w:p>
    <w:p w14:paraId="52DD9049" w14:textId="661D37A8" w:rsidR="001D7159" w:rsidRPr="00331240" w:rsidRDefault="001D7159" w:rsidP="00EB3DB3">
      <w:r w:rsidRPr="00331240">
        <w:t xml:space="preserve">Resective brain surgery </w:t>
      </w:r>
      <w:r w:rsidR="00474B1D" w:rsidRPr="00331240">
        <w:t xml:space="preserve">involves the </w:t>
      </w:r>
      <w:r w:rsidRPr="00331240">
        <w:t>removal of the area of the brain where seizures occur</w:t>
      </w:r>
      <w:r w:rsidR="00150DA1" w:rsidRPr="00331240">
        <w:t xml:space="preserve">. It </w:t>
      </w:r>
      <w:r w:rsidRPr="00331240">
        <w:t>is considered in patients with focal epilepsy where seizures originate from a region of the brain that can be removed with minimal risk of neurological or cognitive dysfunction</w:t>
      </w:r>
      <w:r w:rsidR="000B5DF1" w:rsidRPr="00331240">
        <w:t>.</w:t>
      </w:r>
      <w:r w:rsidR="000B5DF1" w:rsidRPr="00331240">
        <w:rPr>
          <w:rStyle w:val="FootnoteReference"/>
        </w:rPr>
        <w:footnoteReference w:id="8"/>
      </w:r>
      <w:r w:rsidRPr="00331240">
        <w:t xml:space="preserve"> The expected outcome of resective brain surgery is seizure control with medication, which may be achieved in up to 70% of patients</w:t>
      </w:r>
      <w:r w:rsidR="00E50A72" w:rsidRPr="00331240">
        <w:t>.</w:t>
      </w:r>
      <w:r w:rsidR="00E50A72" w:rsidRPr="00331240">
        <w:rPr>
          <w:rStyle w:val="FootnoteReference"/>
        </w:rPr>
        <w:footnoteReference w:id="9"/>
      </w:r>
      <w:r w:rsidRPr="00331240">
        <w:t xml:space="preserve"> </w:t>
      </w:r>
    </w:p>
    <w:p w14:paraId="16783DD4" w14:textId="38F61F79" w:rsidR="00EF756B" w:rsidRPr="00331240" w:rsidRDefault="00EF756B" w:rsidP="00EF756B">
      <w:r w:rsidRPr="00331240">
        <w:t>DBS is proposed as a replacement or alternative therapy to VNS</w:t>
      </w:r>
      <w:r w:rsidR="008817C6" w:rsidRPr="00331240">
        <w:t>,</w:t>
      </w:r>
      <w:r w:rsidRPr="00331240">
        <w:t xml:space="preserve"> which is currently </w:t>
      </w:r>
      <w:r w:rsidR="00837FA0" w:rsidRPr="00331240">
        <w:t>MBS</w:t>
      </w:r>
      <w:r w:rsidR="008817C6" w:rsidRPr="00331240">
        <w:t>-</w:t>
      </w:r>
      <w:r w:rsidRPr="00331240">
        <w:t>funded for the same patient cohort. DBS may also be used in addition to VNS,</w:t>
      </w:r>
      <w:r w:rsidR="008817C6" w:rsidRPr="00331240">
        <w:t xml:space="preserve"> </w:t>
      </w:r>
      <w:r w:rsidRPr="00331240">
        <w:t>as a new service to be delivered in the future after an unsuccessful trial of VNS</w:t>
      </w:r>
      <w:r w:rsidR="00FD22D2" w:rsidRPr="00331240">
        <w:t>.</w:t>
      </w:r>
      <w:r w:rsidR="00E131A4" w:rsidRPr="00331240">
        <w:rPr>
          <w:rStyle w:val="FootnoteReference"/>
        </w:rPr>
        <w:footnoteReference w:id="10"/>
      </w:r>
      <w:r w:rsidR="000C5870" w:rsidRPr="00331240">
        <w:t>.</w:t>
      </w:r>
      <w:r w:rsidRPr="00331240">
        <w:t xml:space="preserve"> </w:t>
      </w:r>
    </w:p>
    <w:p w14:paraId="7702AD69" w14:textId="3B07DE4B" w:rsidR="004810FF" w:rsidRPr="00331240" w:rsidRDefault="004810FF" w:rsidP="00EB3DB3">
      <w:r w:rsidRPr="00331240">
        <w:t>The decision</w:t>
      </w:r>
      <w:r w:rsidR="006B2520" w:rsidRPr="00331240">
        <w:t xml:space="preserve"> to undergo neuromodulation (DBS or VNS) to treat </w:t>
      </w:r>
      <w:r w:rsidR="00D64B5F" w:rsidRPr="00331240">
        <w:t>drug refractory</w:t>
      </w:r>
      <w:r w:rsidR="006B2520" w:rsidRPr="00331240">
        <w:t xml:space="preserve"> epilepsy is a complex one</w:t>
      </w:r>
      <w:r w:rsidR="009D5C3A" w:rsidRPr="00331240">
        <w:t>, requiring the expert opinion of qualified neurosurgeons and epilepsy neurologists practicing in a</w:t>
      </w:r>
      <w:r w:rsidR="00711211" w:rsidRPr="00331240">
        <w:t xml:space="preserve"> </w:t>
      </w:r>
      <w:r w:rsidR="00A72175">
        <w:t>CEP</w:t>
      </w:r>
      <w:r w:rsidR="009D5C3A" w:rsidRPr="00331240">
        <w:t xml:space="preserve">. </w:t>
      </w:r>
      <w:r w:rsidR="00E040B9" w:rsidRPr="00331240">
        <w:t>The decision</w:t>
      </w:r>
      <w:r w:rsidRPr="00331240">
        <w:t xml:space="preserve"> is </w:t>
      </w:r>
      <w:r w:rsidR="00E040B9" w:rsidRPr="00331240">
        <w:t>based on</w:t>
      </w:r>
      <w:r w:rsidRPr="00331240">
        <w:t xml:space="preserve"> patient factors such as seizure type and epilepsy syndrome, neuroimaging features, electrographic characteristics and up-to-date knowledge of the literature. </w:t>
      </w:r>
    </w:p>
    <w:p w14:paraId="0BAFF10F" w14:textId="37E7B7EA" w:rsidR="00AA1EFF" w:rsidRPr="00331240" w:rsidRDefault="00AA1EFF" w:rsidP="00EB3DB3">
      <w:r w:rsidRPr="00331240">
        <w:t xml:space="preserve">Currently, </w:t>
      </w:r>
      <w:r w:rsidR="00E5692C" w:rsidRPr="00331240">
        <w:t xml:space="preserve">the clinical management of people with </w:t>
      </w:r>
      <w:r w:rsidR="00D64B5F" w:rsidRPr="00331240">
        <w:t>drug refractory</w:t>
      </w:r>
      <w:r w:rsidR="00E5692C" w:rsidRPr="00331240">
        <w:t xml:space="preserve"> epilepsy</w:t>
      </w:r>
      <w:r w:rsidR="007A0DCA" w:rsidRPr="00331240">
        <w:t xml:space="preserve"> involves referral to a </w:t>
      </w:r>
      <w:r w:rsidR="00A72175">
        <w:t>CEP</w:t>
      </w:r>
      <w:r w:rsidR="007A0DCA" w:rsidRPr="00331240">
        <w:t xml:space="preserve"> for evaluation</w:t>
      </w:r>
      <w:r w:rsidR="00CD4B6B" w:rsidRPr="00331240">
        <w:t>.</w:t>
      </w:r>
      <w:r w:rsidR="00C16344" w:rsidRPr="00331240">
        <w:t xml:space="preserve"> </w:t>
      </w:r>
      <w:r w:rsidR="00E1267D" w:rsidRPr="00331240">
        <w:t>In patient</w:t>
      </w:r>
      <w:r w:rsidR="007B6515" w:rsidRPr="00331240">
        <w:t xml:space="preserve">s </w:t>
      </w:r>
      <w:r w:rsidR="00E1267D" w:rsidRPr="00331240">
        <w:t>who are ineligible for surgery</w:t>
      </w:r>
      <w:r w:rsidR="00CA7C79" w:rsidRPr="00331240">
        <w:t>,</w:t>
      </w:r>
      <w:r w:rsidR="00E1267D" w:rsidRPr="00331240">
        <w:t xml:space="preserve"> refuse </w:t>
      </w:r>
      <w:r w:rsidR="008817C6" w:rsidRPr="00331240">
        <w:t>surgery</w:t>
      </w:r>
      <w:r w:rsidR="004873B0" w:rsidRPr="00331240">
        <w:t xml:space="preserve"> or have previously failed surgery</w:t>
      </w:r>
      <w:r w:rsidR="00DA505B" w:rsidRPr="00331240">
        <w:t>,</w:t>
      </w:r>
      <w:r w:rsidR="00CF5F06" w:rsidRPr="00331240">
        <w:t xml:space="preserve"> treatment options are VNS or continued AEM therapy. </w:t>
      </w:r>
      <w:r w:rsidR="001D7EF2" w:rsidRPr="00331240">
        <w:t xml:space="preserve">The addition of DBS to the clinical management algorithm means patients </w:t>
      </w:r>
      <w:r w:rsidR="005B21F7" w:rsidRPr="00331240">
        <w:t>who are ineligible for surgery</w:t>
      </w:r>
      <w:r w:rsidR="004E417A" w:rsidRPr="00331240">
        <w:t>,</w:t>
      </w:r>
      <w:r w:rsidR="005B21F7" w:rsidRPr="00331240">
        <w:t xml:space="preserve"> refuse </w:t>
      </w:r>
      <w:r w:rsidR="000F23C5" w:rsidRPr="00331240">
        <w:t xml:space="preserve">it </w:t>
      </w:r>
      <w:r w:rsidR="004E417A" w:rsidRPr="00331240">
        <w:t xml:space="preserve">or have </w:t>
      </w:r>
      <w:r w:rsidR="008937FA" w:rsidRPr="00331240">
        <w:t>previously failed surgery</w:t>
      </w:r>
      <w:r w:rsidR="00AF48C4">
        <w:t>,</w:t>
      </w:r>
      <w:r w:rsidR="000F23C5" w:rsidRPr="00331240">
        <w:t xml:space="preserve"> </w:t>
      </w:r>
      <w:r w:rsidR="004E1CF9" w:rsidRPr="00331240">
        <w:t>have</w:t>
      </w:r>
      <w:r w:rsidR="008E4A5A" w:rsidRPr="00331240">
        <w:t xml:space="preserve"> an additional treatment option and a second</w:t>
      </w:r>
      <w:r w:rsidR="005A2F94" w:rsidRPr="00331240">
        <w:t xml:space="preserve"> option </w:t>
      </w:r>
      <w:r w:rsidR="008817C6" w:rsidRPr="00331240">
        <w:t>is available</w:t>
      </w:r>
      <w:r w:rsidR="005A2F94" w:rsidRPr="00331240">
        <w:t xml:space="preserve"> in the case of failed</w:t>
      </w:r>
      <w:r w:rsidR="008D7E8D" w:rsidRPr="00331240">
        <w:t xml:space="preserve"> VNS/</w:t>
      </w:r>
      <w:r w:rsidR="008D7E8D" w:rsidRPr="003708EB">
        <w:t>DBS</w:t>
      </w:r>
      <w:r w:rsidR="008D7E8D" w:rsidRPr="00331240">
        <w:t xml:space="preserve"> in the first instance. </w:t>
      </w:r>
    </w:p>
    <w:p w14:paraId="1CE91F99" w14:textId="2B93E020" w:rsidR="00D97B0C" w:rsidRPr="007C29EB" w:rsidRDefault="00D97B0C" w:rsidP="00D97B0C">
      <w:pPr>
        <w:pStyle w:val="Heading2"/>
        <w:numPr>
          <w:ilvl w:val="0"/>
          <w:numId w:val="0"/>
        </w:numPr>
      </w:pPr>
      <w:r>
        <w:t>8.</w:t>
      </w:r>
      <w:r>
        <w:tab/>
        <w:t>Comparator</w:t>
      </w:r>
    </w:p>
    <w:p w14:paraId="1EA946A0" w14:textId="0E655E29" w:rsidR="00551E6F" w:rsidRPr="00331240" w:rsidRDefault="00F0208D" w:rsidP="00F0208D">
      <w:r w:rsidRPr="00331240">
        <w:t xml:space="preserve">The comparators to DBS </w:t>
      </w:r>
      <w:r w:rsidR="001C02A4" w:rsidRPr="00331240">
        <w:t>of the thalamus for the treatment of severe refractory epilepsy</w:t>
      </w:r>
      <w:r w:rsidR="00D529DB" w:rsidRPr="00331240">
        <w:t xml:space="preserve"> are </w:t>
      </w:r>
      <w:r w:rsidR="00E506F3" w:rsidRPr="00331240">
        <w:t xml:space="preserve">VNS </w:t>
      </w:r>
      <w:r w:rsidR="00355AF8" w:rsidRPr="00331240">
        <w:t xml:space="preserve">and </w:t>
      </w:r>
      <w:r w:rsidR="00E506F3" w:rsidRPr="00331240">
        <w:t>optimised medical treatment</w:t>
      </w:r>
      <w:r w:rsidR="00DE707B" w:rsidRPr="00331240">
        <w:t xml:space="preserve"> (OMT)</w:t>
      </w:r>
      <w:r w:rsidR="00E506F3" w:rsidRPr="00331240">
        <w:t xml:space="preserve">. </w:t>
      </w:r>
    </w:p>
    <w:p w14:paraId="4671FD62" w14:textId="7766395B" w:rsidR="00260539" w:rsidRPr="00331240" w:rsidRDefault="00696870" w:rsidP="00F0208D">
      <w:r w:rsidRPr="00331240">
        <w:t>Similar to DBS, VNS is a neu</w:t>
      </w:r>
      <w:r w:rsidR="00067835" w:rsidRPr="00331240">
        <w:t>romodulation treatment that is a palliative, non-pharmacological</w:t>
      </w:r>
      <w:r w:rsidR="00C05B21" w:rsidRPr="00331240">
        <w:t xml:space="preserve"> </w:t>
      </w:r>
      <w:r w:rsidR="00BE7761" w:rsidRPr="00331240">
        <w:t>alternative and/or adjunct therap</w:t>
      </w:r>
      <w:r w:rsidR="00B07E41" w:rsidRPr="00331240">
        <w:t>y for the management of seizures. It is not curative.</w:t>
      </w:r>
      <w:r w:rsidR="000756A6" w:rsidRPr="00331240">
        <w:t xml:space="preserve"> It works by delivering mild pulses to the vagus nerve at regular intervals throughout the day via</w:t>
      </w:r>
      <w:r w:rsidR="005A1EB6" w:rsidRPr="00331240">
        <w:t xml:space="preserve"> a small </w:t>
      </w:r>
      <w:r w:rsidR="000828DD" w:rsidRPr="00331240">
        <w:t>generator</w:t>
      </w:r>
      <w:r w:rsidR="005A1EB6" w:rsidRPr="00331240">
        <w:t xml:space="preserve"> implanted </w:t>
      </w:r>
      <w:r w:rsidR="008C0D40" w:rsidRPr="00331240">
        <w:t>in the chest and a lead attached</w:t>
      </w:r>
      <w:r w:rsidR="008E08C0" w:rsidRPr="00331240">
        <w:t xml:space="preserve"> to the vagus nerve</w:t>
      </w:r>
      <w:r w:rsidR="0006701F" w:rsidRPr="00331240">
        <w:t xml:space="preserve"> in the neck</w:t>
      </w:r>
      <w:r w:rsidR="00C83371" w:rsidRPr="00331240">
        <w:rPr>
          <w:rStyle w:val="FootnoteReference"/>
        </w:rPr>
        <w:footnoteReference w:id="11"/>
      </w:r>
      <w:r w:rsidR="004510F4">
        <w:t>.</w:t>
      </w:r>
    </w:p>
    <w:p w14:paraId="0713BF41" w14:textId="23DB3048" w:rsidR="002E572B" w:rsidRPr="00331240" w:rsidRDefault="00260539" w:rsidP="00F0208D">
      <w:r w:rsidRPr="00331240">
        <w:t xml:space="preserve">VNS </w:t>
      </w:r>
      <w:r w:rsidR="00B51869" w:rsidRPr="00331240">
        <w:t xml:space="preserve">first </w:t>
      </w:r>
      <w:r w:rsidR="001D4B2C" w:rsidRPr="00331240">
        <w:t>received reg</w:t>
      </w:r>
      <w:r w:rsidR="00DB2566" w:rsidRPr="00331240">
        <w:t>ulatory approval in Australia</w:t>
      </w:r>
      <w:r w:rsidR="00E211F5" w:rsidRPr="00331240">
        <w:t xml:space="preserve"> in 2000</w:t>
      </w:r>
      <w:r w:rsidR="004D43CF" w:rsidRPr="00331240">
        <w:t xml:space="preserve"> and was listed</w:t>
      </w:r>
      <w:r w:rsidR="00A66B27" w:rsidRPr="00331240">
        <w:t xml:space="preserve"> on the MBS in November 2017</w:t>
      </w:r>
      <w:r w:rsidR="00C83371" w:rsidRPr="00331240">
        <w:rPr>
          <w:rStyle w:val="FootnoteReference"/>
        </w:rPr>
        <w:footnoteReference w:id="12"/>
      </w:r>
      <w:r w:rsidR="00B62143" w:rsidRPr="00331240">
        <w:t xml:space="preserve"> </w:t>
      </w:r>
      <w:r w:rsidR="007F7F34" w:rsidRPr="00331240">
        <w:rPr>
          <w:rStyle w:val="FootnoteReference"/>
        </w:rPr>
        <w:footnoteReference w:id="13"/>
      </w:r>
      <w:r w:rsidR="004510F4">
        <w:t>.</w:t>
      </w:r>
      <w:r w:rsidR="00726C6E" w:rsidRPr="00331240">
        <w:t xml:space="preserve"> </w:t>
      </w:r>
      <w:r w:rsidR="00D03703" w:rsidRPr="00331240">
        <w:t xml:space="preserve">The </w:t>
      </w:r>
      <w:r w:rsidR="00466E7F" w:rsidRPr="00331240">
        <w:t xml:space="preserve">MBS </w:t>
      </w:r>
      <w:r w:rsidR="000A6714" w:rsidRPr="00331240">
        <w:t>descriptor</w:t>
      </w:r>
      <w:r w:rsidR="007D45CD" w:rsidRPr="00331240">
        <w:t xml:space="preserve"> </w:t>
      </w:r>
      <w:r w:rsidR="008D6846" w:rsidRPr="00331240">
        <w:t>for VNS is for (a</w:t>
      </w:r>
      <w:r w:rsidR="008817C6" w:rsidRPr="00331240">
        <w:t>)</w:t>
      </w:r>
      <w:r w:rsidR="008D6846" w:rsidRPr="00331240">
        <w:t xml:space="preserve"> management of refractory generalised epilepsy</w:t>
      </w:r>
      <w:r w:rsidR="008817C6" w:rsidRPr="00331240">
        <w:t>,</w:t>
      </w:r>
      <w:r w:rsidR="008D6846" w:rsidRPr="00331240">
        <w:t xml:space="preserve"> or </w:t>
      </w:r>
      <w:r w:rsidR="003564A0" w:rsidRPr="00331240">
        <w:t xml:space="preserve">(b) treatment of refractory focal epilepsy not suitable for resective epilepsy surgery. </w:t>
      </w:r>
      <w:r w:rsidR="0038379A" w:rsidRPr="00331240">
        <w:t>The MBS item numbers relating to VNS treatment for epilepsy</w:t>
      </w:r>
      <w:r w:rsidR="006909C1" w:rsidRPr="00331240">
        <w:t xml:space="preserve"> are 40701, </w:t>
      </w:r>
      <w:r w:rsidR="00974F56" w:rsidRPr="00331240">
        <w:t>40702, 40704, 40705, 40707 and 40708</w:t>
      </w:r>
      <w:r w:rsidR="00645969">
        <w:t xml:space="preserve">. </w:t>
      </w:r>
      <w:r w:rsidR="005A1EB6" w:rsidRPr="00331240">
        <w:t xml:space="preserve">VNS is </w:t>
      </w:r>
      <w:r w:rsidR="009917EA" w:rsidRPr="00331240">
        <w:t>provided in private and public hospitals</w:t>
      </w:r>
      <w:r w:rsidR="006659F3" w:rsidRPr="00331240">
        <w:t xml:space="preserve"> in Australia</w:t>
      </w:r>
      <w:r w:rsidR="009917EA" w:rsidRPr="00331240">
        <w:t xml:space="preserve">. </w:t>
      </w:r>
    </w:p>
    <w:p w14:paraId="549D663E" w14:textId="30472DB0" w:rsidR="009E26C2" w:rsidRPr="00331240" w:rsidRDefault="00A676FE" w:rsidP="00F0208D">
      <w:r w:rsidRPr="00331240">
        <w:t>OMT</w:t>
      </w:r>
      <w:r w:rsidR="009E26C2" w:rsidRPr="00331240">
        <w:t>, or best supportive care</w:t>
      </w:r>
      <w:r w:rsidR="00EA06B3" w:rsidRPr="00331240">
        <w:t>,</w:t>
      </w:r>
      <w:r w:rsidR="00684F06" w:rsidRPr="00331240">
        <w:t xml:space="preserve"> refers to</w:t>
      </w:r>
      <w:r w:rsidR="009E26C2" w:rsidRPr="00331240">
        <w:t xml:space="preserve"> individualised therapy judged optimal by a patient’s treating physician. Since the target population is considered </w:t>
      </w:r>
      <w:r w:rsidR="00D64B5F" w:rsidRPr="00331240">
        <w:t>drug refractory</w:t>
      </w:r>
      <w:r w:rsidR="009E26C2" w:rsidRPr="00331240">
        <w:t xml:space="preserve">, </w:t>
      </w:r>
      <w:r w:rsidRPr="00331240">
        <w:t>OMT</w:t>
      </w:r>
      <w:r w:rsidR="009E26C2" w:rsidRPr="00331240">
        <w:t xml:space="preserve"> often involves changes in </w:t>
      </w:r>
      <w:r w:rsidR="000E3438" w:rsidRPr="00331240">
        <w:t>anti</w:t>
      </w:r>
      <w:r w:rsidR="00FF5642" w:rsidRPr="00331240">
        <w:t>epileptic</w:t>
      </w:r>
      <w:r w:rsidR="00C9156E" w:rsidRPr="00331240">
        <w:t xml:space="preserve"> drug</w:t>
      </w:r>
      <w:r w:rsidR="009E26C2" w:rsidRPr="00331240">
        <w:t xml:space="preserve"> type or dosage, or drug withdrawal</w:t>
      </w:r>
      <w:r w:rsidR="0053549E" w:rsidRPr="00331240">
        <w:t>.</w:t>
      </w:r>
      <w:r w:rsidR="00592143" w:rsidRPr="00331240">
        <w:rPr>
          <w:rStyle w:val="FootnoteReference"/>
        </w:rPr>
        <w:footnoteReference w:id="14"/>
      </w:r>
    </w:p>
    <w:p w14:paraId="0BE2AB65" w14:textId="31D91A78" w:rsidR="003E7398" w:rsidRPr="00D97B0C" w:rsidRDefault="00D97B0C" w:rsidP="00D97B0C">
      <w:pPr>
        <w:pStyle w:val="Heading2"/>
        <w:numPr>
          <w:ilvl w:val="0"/>
          <w:numId w:val="0"/>
        </w:numPr>
      </w:pPr>
      <w:bookmarkStart w:id="10" w:name="_Toc118758152"/>
      <w:bookmarkStart w:id="11" w:name="_Toc121840749"/>
      <w:r>
        <w:t>9.</w:t>
      </w:r>
      <w:r>
        <w:tab/>
      </w:r>
      <w:r w:rsidR="003E7398" w:rsidRPr="00331240">
        <w:rPr>
          <w:lang w:val="en-AU"/>
        </w:rPr>
        <w:t>Summary of public consultation input</w:t>
      </w:r>
      <w:bookmarkEnd w:id="10"/>
      <w:bookmarkEnd w:id="11"/>
    </w:p>
    <w:p w14:paraId="336B6A23" w14:textId="77777777" w:rsidR="008A4BD9" w:rsidRPr="00331240" w:rsidRDefault="008A4BD9" w:rsidP="008A4BD9">
      <w:r w:rsidRPr="00331240">
        <w:t>Consultation feedback was received from 2 professional organisations</w:t>
      </w:r>
      <w:r>
        <w:t>,</w:t>
      </w:r>
      <w:r w:rsidRPr="00331240">
        <w:t xml:space="preserve"> 1 consumer organisation</w:t>
      </w:r>
      <w:r>
        <w:t xml:space="preserve"> and 1 industry company that supplies medical devices such as those used for DBS</w:t>
      </w:r>
      <w:r w:rsidRPr="00331240">
        <w:t>:</w:t>
      </w:r>
    </w:p>
    <w:p w14:paraId="3AD37F6E" w14:textId="77777777" w:rsidR="008A4BD9" w:rsidRPr="00331240" w:rsidRDefault="008A4BD9" w:rsidP="008A4BD9">
      <w:pPr>
        <w:pStyle w:val="ListParagraph"/>
        <w:numPr>
          <w:ilvl w:val="0"/>
          <w:numId w:val="6"/>
        </w:numPr>
      </w:pPr>
      <w:r w:rsidRPr="00331240">
        <w:t>Epilepsy Foundation</w:t>
      </w:r>
    </w:p>
    <w:p w14:paraId="5ECC7A12" w14:textId="77777777" w:rsidR="008A4BD9" w:rsidRPr="00331240" w:rsidRDefault="008A4BD9" w:rsidP="008A4BD9">
      <w:pPr>
        <w:pStyle w:val="ListParagraph"/>
        <w:numPr>
          <w:ilvl w:val="0"/>
          <w:numId w:val="6"/>
        </w:numPr>
      </w:pPr>
      <w:r w:rsidRPr="00331240">
        <w:t>Epilepsy Society of Australia</w:t>
      </w:r>
    </w:p>
    <w:p w14:paraId="6573FFF2" w14:textId="77777777" w:rsidR="008A4BD9" w:rsidRDefault="008A4BD9" w:rsidP="008A4BD9">
      <w:pPr>
        <w:pStyle w:val="ListParagraph"/>
        <w:numPr>
          <w:ilvl w:val="0"/>
          <w:numId w:val="5"/>
        </w:numPr>
      </w:pPr>
      <w:r w:rsidRPr="00331240">
        <w:t>Movement Disorder Society of Australia and New Zealand (MDSANZ)</w:t>
      </w:r>
    </w:p>
    <w:p w14:paraId="2E2EC6F9" w14:textId="77777777" w:rsidR="008A4BD9" w:rsidRPr="00331240" w:rsidRDefault="008A4BD9" w:rsidP="008A4BD9">
      <w:pPr>
        <w:pStyle w:val="ListParagraph"/>
        <w:numPr>
          <w:ilvl w:val="0"/>
          <w:numId w:val="5"/>
        </w:numPr>
      </w:pPr>
      <w:r>
        <w:t xml:space="preserve">Abbott Medical </w:t>
      </w:r>
    </w:p>
    <w:p w14:paraId="5394130D" w14:textId="77777777" w:rsidR="008A4BD9" w:rsidRPr="00331240" w:rsidRDefault="008A4BD9" w:rsidP="008A4BD9">
      <w:r w:rsidRPr="00331240">
        <w:t>The consultation feedback received was supportive of public funding for DBS of the thalamus for the treatment of drug refractory epilepsy.</w:t>
      </w:r>
    </w:p>
    <w:p w14:paraId="72ABB655" w14:textId="77777777" w:rsidR="008A4BD9" w:rsidRPr="00331240" w:rsidRDefault="008A4BD9" w:rsidP="008A4BD9">
      <w:r w:rsidRPr="00331240">
        <w:t>Consultation feedback indicated the main benefits of public funding included:</w:t>
      </w:r>
    </w:p>
    <w:p w14:paraId="407EC833" w14:textId="77777777" w:rsidR="008A4BD9" w:rsidRDefault="008A4BD9" w:rsidP="008A4BD9">
      <w:pPr>
        <w:pStyle w:val="ListParagraph"/>
        <w:numPr>
          <w:ilvl w:val="0"/>
          <w:numId w:val="5"/>
        </w:numPr>
      </w:pPr>
      <w:r w:rsidRPr="00331240">
        <w:t>improved seizure control and increased patient independence, quality of life and employability</w:t>
      </w:r>
    </w:p>
    <w:p w14:paraId="5AD326F7" w14:textId="77777777" w:rsidR="008A4BD9" w:rsidRPr="00331240" w:rsidRDefault="008A4BD9" w:rsidP="008A4BD9">
      <w:pPr>
        <w:pStyle w:val="ListParagraph"/>
        <w:numPr>
          <w:ilvl w:val="0"/>
          <w:numId w:val="5"/>
        </w:numPr>
      </w:pPr>
      <w:r>
        <w:t>reduced reliance on support services/family required</w:t>
      </w:r>
    </w:p>
    <w:p w14:paraId="718AB4C8" w14:textId="77777777" w:rsidR="008A4BD9" w:rsidRPr="00331240" w:rsidRDefault="008A4BD9" w:rsidP="008A4BD9">
      <w:pPr>
        <w:pStyle w:val="ListParagraph"/>
        <w:numPr>
          <w:ilvl w:val="0"/>
          <w:numId w:val="5"/>
        </w:numPr>
      </w:pPr>
      <w:r w:rsidRPr="00331240">
        <w:t>reduced background antiepileptic medication dosing</w:t>
      </w:r>
    </w:p>
    <w:p w14:paraId="714661CD" w14:textId="77777777" w:rsidR="008A4BD9" w:rsidRPr="00331240" w:rsidRDefault="008A4BD9" w:rsidP="008A4BD9">
      <w:pPr>
        <w:pStyle w:val="ListParagraph"/>
        <w:numPr>
          <w:ilvl w:val="0"/>
          <w:numId w:val="5"/>
        </w:numPr>
      </w:pPr>
      <w:r w:rsidRPr="00331240">
        <w:t>fewer side effects once immediate perioperative issues have settled, with benefits increasing over time</w:t>
      </w:r>
    </w:p>
    <w:p w14:paraId="3422ED22" w14:textId="77777777" w:rsidR="008A4BD9" w:rsidRPr="00331240" w:rsidRDefault="008A4BD9" w:rsidP="008A4BD9">
      <w:pPr>
        <w:pStyle w:val="ListParagraph"/>
        <w:numPr>
          <w:ilvl w:val="0"/>
          <w:numId w:val="5"/>
        </w:numPr>
      </w:pPr>
      <w:r w:rsidRPr="00331240">
        <w:t>reduced hospital admissions for recurrent seizures</w:t>
      </w:r>
    </w:p>
    <w:p w14:paraId="5D973338" w14:textId="6799FDD8" w:rsidR="00AC19B6" w:rsidRDefault="008A4BD9" w:rsidP="000E1382">
      <w:pPr>
        <w:pStyle w:val="ListParagraph"/>
        <w:numPr>
          <w:ilvl w:val="0"/>
          <w:numId w:val="5"/>
        </w:numPr>
      </w:pPr>
      <w:r w:rsidRPr="00331240">
        <w:t>reduced carer stress.</w:t>
      </w:r>
      <w:r w:rsidR="000E1382">
        <w:br w:type="page"/>
      </w:r>
    </w:p>
    <w:p w14:paraId="2662E30B" w14:textId="3D6A7DED" w:rsidR="008A4BD9" w:rsidRDefault="008A4BD9" w:rsidP="008A4BD9">
      <w:r w:rsidRPr="00331240">
        <w:t>The consultation feedback noted that the main disadvantages related to</w:t>
      </w:r>
      <w:r>
        <w:t>:</w:t>
      </w:r>
      <w:r w:rsidRPr="00331240">
        <w:t xml:space="preserve"> </w:t>
      </w:r>
    </w:p>
    <w:p w14:paraId="3AACE2C1" w14:textId="77777777" w:rsidR="008A4BD9" w:rsidRDefault="008A4BD9" w:rsidP="008A4BD9">
      <w:pPr>
        <w:pStyle w:val="ListParagraph"/>
        <w:numPr>
          <w:ilvl w:val="0"/>
          <w:numId w:val="20"/>
        </w:numPr>
      </w:pPr>
      <w:r w:rsidRPr="00331240">
        <w:t>the invasive nature of the intervention</w:t>
      </w:r>
      <w:r>
        <w:t>,</w:t>
      </w:r>
    </w:p>
    <w:p w14:paraId="1583E414" w14:textId="77777777" w:rsidR="008A4BD9" w:rsidRDefault="008A4BD9" w:rsidP="008A4BD9">
      <w:pPr>
        <w:pStyle w:val="ListParagraph"/>
        <w:numPr>
          <w:ilvl w:val="0"/>
          <w:numId w:val="20"/>
        </w:numPr>
      </w:pPr>
      <w:r w:rsidRPr="00331240">
        <w:t xml:space="preserve">the associated risk of infection, and </w:t>
      </w:r>
    </w:p>
    <w:p w14:paraId="7FD17E32" w14:textId="77777777" w:rsidR="008A4BD9" w:rsidRPr="00331240" w:rsidRDefault="008A4BD9" w:rsidP="008A4BD9">
      <w:pPr>
        <w:pStyle w:val="ListParagraph"/>
        <w:numPr>
          <w:ilvl w:val="0"/>
          <w:numId w:val="20"/>
        </w:numPr>
      </w:pPr>
      <w:r w:rsidRPr="00331240">
        <w:t>the need to replace the stimulator box for non-rechargeable devices.</w:t>
      </w:r>
    </w:p>
    <w:p w14:paraId="65C5ABE4" w14:textId="3407085A" w:rsidR="00244963" w:rsidRDefault="008A4BD9" w:rsidP="00B94945">
      <w:r>
        <w:t>The Epilepsy Foundation considered that DBS will improve the day-to-day lives of these patients, including increasing their independence, improving relationships with others and being less reliant on support services and family caring. They also considered that DBS as an available therapy for these patients will assist in reducing the overall cost of treatments and management of epilepsy to the health system.</w:t>
      </w:r>
    </w:p>
    <w:p w14:paraId="5106F967" w14:textId="525CA6CD" w:rsidR="006E6B2F" w:rsidRPr="00D97B0C" w:rsidRDefault="00D97B0C" w:rsidP="00D97B0C">
      <w:pPr>
        <w:pStyle w:val="Heading2"/>
        <w:numPr>
          <w:ilvl w:val="0"/>
          <w:numId w:val="0"/>
        </w:numPr>
      </w:pPr>
      <w:r>
        <w:t>10.</w:t>
      </w:r>
      <w:r>
        <w:tab/>
      </w:r>
      <w:bookmarkStart w:id="12" w:name="_Toc118758153"/>
      <w:bookmarkStart w:id="13" w:name="_Toc121840750"/>
      <w:r w:rsidR="00064290" w:rsidRPr="00331240">
        <w:rPr>
          <w:lang w:val="en-AU"/>
        </w:rPr>
        <w:t>Characteristics of the evidence base</w:t>
      </w:r>
      <w:bookmarkEnd w:id="12"/>
      <w:bookmarkEnd w:id="13"/>
    </w:p>
    <w:p w14:paraId="7AFCEDFD" w14:textId="6898BEFA" w:rsidR="00EA1197" w:rsidRPr="00331240" w:rsidRDefault="00EA1197" w:rsidP="003E230C">
      <w:r w:rsidRPr="00331240">
        <w:t xml:space="preserve">The comparators specified in the PICO were VNS or </w:t>
      </w:r>
      <w:r w:rsidR="00A676FE" w:rsidRPr="00331240">
        <w:t>OMT</w:t>
      </w:r>
      <w:r w:rsidRPr="00331240">
        <w:t xml:space="preserve">. However, none of the included studies compared DBS with </w:t>
      </w:r>
      <w:r w:rsidR="00A676FE" w:rsidRPr="00331240">
        <w:t>OMT</w:t>
      </w:r>
      <w:r w:rsidR="00A337C6" w:rsidRPr="00331240">
        <w:t>. O</w:t>
      </w:r>
      <w:r w:rsidRPr="00331240">
        <w:t>nly one small self-controlled case</w:t>
      </w:r>
      <w:r w:rsidR="00A337C6" w:rsidRPr="00331240">
        <w:t>-</w:t>
      </w:r>
      <w:r w:rsidRPr="00331240">
        <w:t xml:space="preserve">series study directly compared DBS with VNS. </w:t>
      </w:r>
      <w:r w:rsidR="00011AF9" w:rsidRPr="00331240">
        <w:t>S</w:t>
      </w:r>
      <w:r w:rsidR="004C642B" w:rsidRPr="00331240">
        <w:t>ince t</w:t>
      </w:r>
      <w:r w:rsidRPr="00331240">
        <w:t xml:space="preserve">he comparator for the DBS studies was sham treatment (DBS turned off), studies comparing VNS with sham treatment were sought with the aim of finding a similar comparator arm that would enable a pairwise indirect comparison of DBS and VNS. However, sham VNS requires that the unit operates at a detectable but theoretically subtherapeutic level of stimulation. </w:t>
      </w:r>
      <w:r w:rsidR="00914C07" w:rsidRPr="00331240">
        <w:t>Therefore</w:t>
      </w:r>
      <w:r w:rsidR="00C62427" w:rsidRPr="00331240">
        <w:t>,</w:t>
      </w:r>
      <w:r w:rsidRPr="00331240">
        <w:t xml:space="preserve"> neither</w:t>
      </w:r>
      <w:r w:rsidR="00C62427" w:rsidRPr="00331240">
        <w:t xml:space="preserve"> DBS or VNS sham</w:t>
      </w:r>
      <w:r w:rsidRPr="00331240">
        <w:t xml:space="preserve"> treatment is truly equivalent to </w:t>
      </w:r>
      <w:r w:rsidR="00A676FE" w:rsidRPr="00331240">
        <w:t>OMT</w:t>
      </w:r>
      <w:r w:rsidRPr="00331240">
        <w:t xml:space="preserve">, nor are they similar enough to each other to use as a common comparator in a pairwise indirect comparison. </w:t>
      </w:r>
      <w:r w:rsidR="00914C07" w:rsidRPr="00331240">
        <w:t>S</w:t>
      </w:r>
      <w:r w:rsidRPr="00331240">
        <w:t>ince there were no methodologically robust studies identified that directly compared DBS with the prespecified comparators in the PICO, the following approach was undertaken</w:t>
      </w:r>
      <w:r w:rsidR="00914C07" w:rsidRPr="00331240">
        <w:t xml:space="preserve"> to synthesis</w:t>
      </w:r>
      <w:r w:rsidR="00FA4C99" w:rsidRPr="00331240">
        <w:t>e</w:t>
      </w:r>
      <w:r w:rsidR="00914C07" w:rsidRPr="00331240">
        <w:t xml:space="preserve"> the evidence</w:t>
      </w:r>
      <w:r w:rsidR="00A337C6" w:rsidRPr="00331240">
        <w:t>:</w:t>
      </w:r>
      <w:r w:rsidRPr="00331240">
        <w:t xml:space="preserve"> </w:t>
      </w:r>
    </w:p>
    <w:p w14:paraId="07BDF878" w14:textId="1DBF1DB2" w:rsidR="00A22463" w:rsidRPr="00331240" w:rsidRDefault="00A22463" w:rsidP="00F4629A">
      <w:pPr>
        <w:numPr>
          <w:ilvl w:val="0"/>
          <w:numId w:val="8"/>
        </w:numPr>
        <w:spacing w:after="0"/>
        <w:ind w:left="714" w:hanging="357"/>
      </w:pPr>
      <w:r w:rsidRPr="00331240">
        <w:t xml:space="preserve">Data for DBS compared with </w:t>
      </w:r>
      <w:r w:rsidR="00A676FE" w:rsidRPr="00331240">
        <w:t>OMT</w:t>
      </w:r>
      <w:r w:rsidRPr="00331240">
        <w:t xml:space="preserve"> were derived from:</w:t>
      </w:r>
    </w:p>
    <w:p w14:paraId="1DF1D11D" w14:textId="66C37F80" w:rsidR="00A22463" w:rsidRPr="00331240" w:rsidRDefault="00A337C6" w:rsidP="00F4629A">
      <w:pPr>
        <w:numPr>
          <w:ilvl w:val="0"/>
          <w:numId w:val="9"/>
        </w:numPr>
        <w:spacing w:before="0" w:after="0"/>
        <w:ind w:left="1077" w:hanging="357"/>
      </w:pPr>
      <w:r w:rsidRPr="00331240">
        <w:t>2</w:t>
      </w:r>
      <w:r w:rsidR="00A22463" w:rsidRPr="00331240">
        <w:t xml:space="preserve"> randomised controlled trials (RCTs) directly comparing DBS with sham treatment (considered as a proxy for </w:t>
      </w:r>
      <w:r w:rsidR="00A676FE" w:rsidRPr="00331240">
        <w:t>OMT</w:t>
      </w:r>
      <w:r w:rsidR="00A22463" w:rsidRPr="00331240">
        <w:t>)</w:t>
      </w:r>
    </w:p>
    <w:p w14:paraId="60EFFDE1" w14:textId="7CC6D36B" w:rsidR="00A22463" w:rsidRPr="00331240" w:rsidRDefault="00AC742F" w:rsidP="00F4629A">
      <w:pPr>
        <w:numPr>
          <w:ilvl w:val="0"/>
          <w:numId w:val="9"/>
        </w:numPr>
        <w:spacing w:before="0" w:after="120"/>
        <w:ind w:left="1083" w:hanging="357"/>
      </w:pPr>
      <w:r w:rsidRPr="00331240">
        <w:t>‘benchmark’</w:t>
      </w:r>
      <w:r w:rsidR="00A22463" w:rsidRPr="00331240">
        <w:t xml:space="preserve"> data for </w:t>
      </w:r>
      <w:r w:rsidR="00A676FE" w:rsidRPr="00331240">
        <w:t>OMT</w:t>
      </w:r>
      <w:r w:rsidR="00A22463" w:rsidRPr="00331240">
        <w:t xml:space="preserve"> derived from the control arm of one RCT </w:t>
      </w:r>
    </w:p>
    <w:p w14:paraId="71EB915A" w14:textId="77777777" w:rsidR="00A22463" w:rsidRPr="00331240" w:rsidRDefault="00A22463" w:rsidP="00F4629A">
      <w:pPr>
        <w:numPr>
          <w:ilvl w:val="0"/>
          <w:numId w:val="8"/>
        </w:numPr>
        <w:spacing w:after="0"/>
        <w:ind w:hanging="357"/>
      </w:pPr>
      <w:r w:rsidRPr="00331240">
        <w:t>Data for DBS compared with VNS were derived from:</w:t>
      </w:r>
    </w:p>
    <w:p w14:paraId="75342A1F" w14:textId="328423B5" w:rsidR="00A22463" w:rsidRPr="00331240" w:rsidRDefault="00A337C6" w:rsidP="00F4629A">
      <w:pPr>
        <w:numPr>
          <w:ilvl w:val="0"/>
          <w:numId w:val="9"/>
        </w:numPr>
        <w:spacing w:before="0" w:after="0"/>
        <w:ind w:left="1077" w:hanging="357"/>
      </w:pPr>
      <w:r w:rsidRPr="00331240">
        <w:t>o</w:t>
      </w:r>
      <w:r w:rsidR="00A22463" w:rsidRPr="00331240">
        <w:t>ne self-controlled case series study</w:t>
      </w:r>
    </w:p>
    <w:p w14:paraId="6D40CDFC" w14:textId="3CD3A1C7" w:rsidR="00A22463" w:rsidRPr="00331240" w:rsidRDefault="00AC742F" w:rsidP="00F4629A">
      <w:pPr>
        <w:numPr>
          <w:ilvl w:val="0"/>
          <w:numId w:val="9"/>
        </w:numPr>
        <w:spacing w:before="0"/>
        <w:ind w:left="1077" w:hanging="357"/>
      </w:pPr>
      <w:r w:rsidRPr="00331240">
        <w:t>‘benchmark’</w:t>
      </w:r>
      <w:r w:rsidR="00A22463" w:rsidRPr="00331240">
        <w:t xml:space="preserve"> data </w:t>
      </w:r>
      <w:r w:rsidR="00FA4C99" w:rsidRPr="00331240">
        <w:t>derived</w:t>
      </w:r>
      <w:r w:rsidR="00A22463" w:rsidRPr="00331240">
        <w:t xml:space="preserve"> </w:t>
      </w:r>
      <w:r w:rsidR="00FA4C99" w:rsidRPr="00331240">
        <w:t xml:space="preserve">from </w:t>
      </w:r>
      <w:r w:rsidR="00A22463" w:rsidRPr="00331240">
        <w:t xml:space="preserve">the intervention arms of </w:t>
      </w:r>
      <w:r w:rsidR="00A337C6" w:rsidRPr="00331240">
        <w:t xml:space="preserve">4 </w:t>
      </w:r>
      <w:r w:rsidR="00A22463" w:rsidRPr="00331240">
        <w:t>RCTs on VNS</w:t>
      </w:r>
      <w:r w:rsidR="00A337C6" w:rsidRPr="00331240">
        <w:t>.</w:t>
      </w:r>
    </w:p>
    <w:p w14:paraId="0CB31810" w14:textId="1C4B4C2C" w:rsidR="0096436F" w:rsidRPr="00331240" w:rsidRDefault="00136558" w:rsidP="00EA1197">
      <w:r w:rsidRPr="00331240">
        <w:t xml:space="preserve">The key features of the included evidence </w:t>
      </w:r>
      <w:r w:rsidR="00A337C6" w:rsidRPr="00331240">
        <w:t>are</w:t>
      </w:r>
      <w:r w:rsidRPr="00331240">
        <w:t xml:space="preserve"> summarised in </w:t>
      </w:r>
      <w:r w:rsidR="008C4032">
        <w:t>the table below</w:t>
      </w:r>
      <w:r w:rsidRPr="00331240">
        <w:t xml:space="preserve">. </w:t>
      </w:r>
    </w:p>
    <w:p w14:paraId="2466E3AB" w14:textId="4523153D" w:rsidR="00AC5404" w:rsidRPr="0042297F" w:rsidRDefault="00AC5404" w:rsidP="00B94945">
      <w:pPr>
        <w:pStyle w:val="Tableheader"/>
      </w:pPr>
      <w:bookmarkStart w:id="14" w:name="_Ref80880585"/>
      <w:r w:rsidRPr="0042297F">
        <w:t xml:space="preserve">Table </w:t>
      </w:r>
      <w:r w:rsidRPr="0042297F">
        <w:fldChar w:fldCharType="begin"/>
      </w:r>
      <w:r w:rsidRPr="0042297F">
        <w:instrText>SEQ Table \* ARABIC</w:instrText>
      </w:r>
      <w:r w:rsidRPr="0042297F">
        <w:fldChar w:fldCharType="separate"/>
      </w:r>
      <w:r w:rsidR="00D4512D">
        <w:rPr>
          <w:noProof/>
        </w:rPr>
        <w:t>10</w:t>
      </w:r>
      <w:r w:rsidRPr="0042297F">
        <w:fldChar w:fldCharType="end"/>
      </w:r>
      <w:bookmarkEnd w:id="14"/>
      <w:r w:rsidRPr="0042297F">
        <w:tab/>
        <w:t xml:space="preserve">Key features of the included evidence </w:t>
      </w:r>
    </w:p>
    <w:tbl>
      <w:tblPr>
        <w:tblStyle w:val="TableGrid"/>
        <w:tblW w:w="0" w:type="auto"/>
        <w:tblLayout w:type="fixed"/>
        <w:tblLook w:val="04A0" w:firstRow="1" w:lastRow="0" w:firstColumn="1" w:lastColumn="0" w:noHBand="0" w:noVBand="1"/>
      </w:tblPr>
      <w:tblGrid>
        <w:gridCol w:w="1271"/>
        <w:gridCol w:w="709"/>
        <w:gridCol w:w="1417"/>
        <w:gridCol w:w="1134"/>
        <w:gridCol w:w="1134"/>
        <w:gridCol w:w="2268"/>
        <w:gridCol w:w="1083"/>
      </w:tblGrid>
      <w:tr w:rsidR="00636F2D" w:rsidRPr="00331240" w14:paraId="5B838E0C" w14:textId="77777777" w:rsidTr="00CD6416">
        <w:trPr>
          <w:tblHeader/>
        </w:trPr>
        <w:tc>
          <w:tcPr>
            <w:tcW w:w="1271" w:type="dxa"/>
            <w:tcBorders>
              <w:bottom w:val="single" w:sz="4" w:space="0" w:color="auto"/>
            </w:tcBorders>
            <w:shd w:val="clear" w:color="auto" w:fill="D9D9D9" w:themeFill="background1" w:themeFillShade="D9"/>
          </w:tcPr>
          <w:p w14:paraId="38A7D84D" w14:textId="7F2E8615" w:rsidR="003E1595" w:rsidRPr="00331240" w:rsidRDefault="003E1595" w:rsidP="0079699D">
            <w:pPr>
              <w:pStyle w:val="Tabletext"/>
              <w:spacing w:before="0" w:after="0"/>
              <w:rPr>
                <w:b/>
                <w:bCs/>
                <w:lang w:val="en-AU"/>
              </w:rPr>
            </w:pPr>
            <w:r w:rsidRPr="00331240">
              <w:rPr>
                <w:b/>
                <w:bCs/>
                <w:lang w:val="en-AU"/>
              </w:rPr>
              <w:t>References</w:t>
            </w:r>
          </w:p>
        </w:tc>
        <w:tc>
          <w:tcPr>
            <w:tcW w:w="709" w:type="dxa"/>
            <w:tcBorders>
              <w:bottom w:val="single" w:sz="4" w:space="0" w:color="auto"/>
            </w:tcBorders>
            <w:shd w:val="clear" w:color="auto" w:fill="D9D9D9" w:themeFill="background1" w:themeFillShade="D9"/>
          </w:tcPr>
          <w:p w14:paraId="1A21E2EF" w14:textId="36DABEA1" w:rsidR="003E1595" w:rsidRPr="00331240" w:rsidRDefault="003E1595" w:rsidP="0079699D">
            <w:pPr>
              <w:pStyle w:val="Tabletext"/>
              <w:spacing w:before="0" w:after="0"/>
              <w:rPr>
                <w:b/>
                <w:bCs/>
                <w:lang w:val="en-AU"/>
              </w:rPr>
            </w:pPr>
            <w:r w:rsidRPr="00331240">
              <w:rPr>
                <w:b/>
                <w:bCs/>
                <w:lang w:val="en-AU"/>
              </w:rPr>
              <w:t>N</w:t>
            </w:r>
          </w:p>
        </w:tc>
        <w:tc>
          <w:tcPr>
            <w:tcW w:w="1417" w:type="dxa"/>
            <w:tcBorders>
              <w:bottom w:val="single" w:sz="4" w:space="0" w:color="auto"/>
            </w:tcBorders>
            <w:shd w:val="clear" w:color="auto" w:fill="D9D9D9" w:themeFill="background1" w:themeFillShade="D9"/>
          </w:tcPr>
          <w:p w14:paraId="210B9FF3" w14:textId="46BC42DD" w:rsidR="003E1595" w:rsidRPr="00331240" w:rsidRDefault="003E1595" w:rsidP="0079699D">
            <w:pPr>
              <w:pStyle w:val="Tabletext"/>
              <w:spacing w:before="0" w:after="0"/>
              <w:rPr>
                <w:b/>
                <w:bCs/>
                <w:lang w:val="en-AU"/>
              </w:rPr>
            </w:pPr>
            <w:r w:rsidRPr="00331240">
              <w:rPr>
                <w:b/>
                <w:bCs/>
                <w:lang w:val="en-AU"/>
              </w:rPr>
              <w:t>Design/duration</w:t>
            </w:r>
          </w:p>
        </w:tc>
        <w:tc>
          <w:tcPr>
            <w:tcW w:w="1134" w:type="dxa"/>
            <w:tcBorders>
              <w:bottom w:val="single" w:sz="4" w:space="0" w:color="auto"/>
            </w:tcBorders>
            <w:shd w:val="clear" w:color="auto" w:fill="D9D9D9" w:themeFill="background1" w:themeFillShade="D9"/>
          </w:tcPr>
          <w:p w14:paraId="5603FECC" w14:textId="08EAC07E" w:rsidR="003E1595" w:rsidRPr="00331240" w:rsidRDefault="003E1595" w:rsidP="0079699D">
            <w:pPr>
              <w:pStyle w:val="Tabletext"/>
              <w:spacing w:before="0" w:after="0"/>
              <w:rPr>
                <w:b/>
                <w:bCs/>
                <w:lang w:val="en-AU"/>
              </w:rPr>
            </w:pPr>
            <w:r w:rsidRPr="00331240">
              <w:rPr>
                <w:b/>
                <w:bCs/>
                <w:lang w:val="en-AU"/>
              </w:rPr>
              <w:t>Risk of bias</w:t>
            </w:r>
          </w:p>
        </w:tc>
        <w:tc>
          <w:tcPr>
            <w:tcW w:w="1134" w:type="dxa"/>
            <w:tcBorders>
              <w:bottom w:val="single" w:sz="4" w:space="0" w:color="auto"/>
            </w:tcBorders>
            <w:shd w:val="clear" w:color="auto" w:fill="D9D9D9" w:themeFill="background1" w:themeFillShade="D9"/>
          </w:tcPr>
          <w:p w14:paraId="7252C9EC" w14:textId="13CC75DF" w:rsidR="003E1595" w:rsidRPr="00331240" w:rsidRDefault="00FE5E6C" w:rsidP="0079699D">
            <w:pPr>
              <w:pStyle w:val="Tabletext"/>
              <w:spacing w:before="0" w:after="0"/>
              <w:rPr>
                <w:b/>
                <w:bCs/>
                <w:lang w:val="en-AU"/>
              </w:rPr>
            </w:pPr>
            <w:r w:rsidRPr="00331240">
              <w:rPr>
                <w:b/>
                <w:bCs/>
                <w:lang w:val="en-AU"/>
              </w:rPr>
              <w:t>Seizure type</w:t>
            </w:r>
          </w:p>
        </w:tc>
        <w:tc>
          <w:tcPr>
            <w:tcW w:w="2268" w:type="dxa"/>
            <w:tcBorders>
              <w:bottom w:val="single" w:sz="4" w:space="0" w:color="auto"/>
            </w:tcBorders>
            <w:shd w:val="clear" w:color="auto" w:fill="D9D9D9" w:themeFill="background1" w:themeFillShade="D9"/>
          </w:tcPr>
          <w:p w14:paraId="6D195F90" w14:textId="35F7A40E" w:rsidR="003E1595" w:rsidRPr="00331240" w:rsidRDefault="003E1595" w:rsidP="0079699D">
            <w:pPr>
              <w:pStyle w:val="Tabletext"/>
              <w:spacing w:before="0" w:after="0"/>
              <w:rPr>
                <w:b/>
                <w:bCs/>
                <w:lang w:val="en-AU"/>
              </w:rPr>
            </w:pPr>
            <w:r w:rsidRPr="00331240">
              <w:rPr>
                <w:b/>
                <w:bCs/>
                <w:lang w:val="en-AU"/>
              </w:rPr>
              <w:t>Outcome(s)</w:t>
            </w:r>
          </w:p>
        </w:tc>
        <w:tc>
          <w:tcPr>
            <w:tcW w:w="1083" w:type="dxa"/>
            <w:tcBorders>
              <w:bottom w:val="single" w:sz="4" w:space="0" w:color="auto"/>
            </w:tcBorders>
            <w:shd w:val="clear" w:color="auto" w:fill="D9D9D9" w:themeFill="background1" w:themeFillShade="D9"/>
          </w:tcPr>
          <w:p w14:paraId="017408D5" w14:textId="399FC8BA" w:rsidR="003E1595" w:rsidRPr="00331240" w:rsidRDefault="003E1595" w:rsidP="0079699D">
            <w:pPr>
              <w:pStyle w:val="Tabletext"/>
              <w:spacing w:before="0" w:after="0"/>
              <w:rPr>
                <w:b/>
                <w:bCs/>
                <w:lang w:val="en-AU"/>
              </w:rPr>
            </w:pPr>
            <w:r w:rsidRPr="00331240">
              <w:rPr>
                <w:b/>
                <w:bCs/>
                <w:lang w:val="en-AU"/>
              </w:rPr>
              <w:t>Use in modelled evaluation</w:t>
            </w:r>
          </w:p>
        </w:tc>
      </w:tr>
      <w:tr w:rsidR="00A54BB8" w:rsidRPr="00331240" w14:paraId="47C57918" w14:textId="77777777" w:rsidTr="00CD6416">
        <w:tc>
          <w:tcPr>
            <w:tcW w:w="1271" w:type="dxa"/>
            <w:tcBorders>
              <w:right w:val="nil"/>
            </w:tcBorders>
          </w:tcPr>
          <w:p w14:paraId="5A38123E" w14:textId="5BD6FB9A" w:rsidR="00A54BB8" w:rsidRPr="00331240" w:rsidRDefault="00A54BB8" w:rsidP="0079699D">
            <w:pPr>
              <w:pStyle w:val="Tabletext"/>
              <w:spacing w:before="0" w:after="0"/>
              <w:rPr>
                <w:lang w:val="en-AU"/>
              </w:rPr>
            </w:pPr>
            <w:r w:rsidRPr="00331240">
              <w:rPr>
                <w:b/>
                <w:bCs/>
                <w:lang w:val="en-AU"/>
              </w:rPr>
              <w:t>DBS versus sham DBS</w:t>
            </w:r>
          </w:p>
        </w:tc>
        <w:tc>
          <w:tcPr>
            <w:tcW w:w="709" w:type="dxa"/>
            <w:tcBorders>
              <w:left w:val="nil"/>
              <w:right w:val="nil"/>
            </w:tcBorders>
          </w:tcPr>
          <w:p w14:paraId="3420AB5E" w14:textId="77777777" w:rsidR="00A54BB8" w:rsidRPr="00331240" w:rsidRDefault="00A54BB8" w:rsidP="0079699D">
            <w:pPr>
              <w:pStyle w:val="Tabletext"/>
              <w:spacing w:before="0" w:after="0"/>
              <w:rPr>
                <w:lang w:val="en-AU"/>
              </w:rPr>
            </w:pPr>
          </w:p>
        </w:tc>
        <w:tc>
          <w:tcPr>
            <w:tcW w:w="1417" w:type="dxa"/>
            <w:tcBorders>
              <w:left w:val="nil"/>
              <w:right w:val="nil"/>
            </w:tcBorders>
          </w:tcPr>
          <w:p w14:paraId="645AFCA1" w14:textId="77777777" w:rsidR="00A54BB8" w:rsidRPr="00331240" w:rsidRDefault="00A54BB8" w:rsidP="0079699D">
            <w:pPr>
              <w:pStyle w:val="Tabletext"/>
              <w:spacing w:before="0" w:after="0"/>
              <w:rPr>
                <w:lang w:val="en-AU"/>
              </w:rPr>
            </w:pPr>
          </w:p>
        </w:tc>
        <w:tc>
          <w:tcPr>
            <w:tcW w:w="1134" w:type="dxa"/>
            <w:tcBorders>
              <w:left w:val="nil"/>
              <w:right w:val="nil"/>
            </w:tcBorders>
          </w:tcPr>
          <w:p w14:paraId="119A9145" w14:textId="77777777" w:rsidR="00A54BB8" w:rsidRPr="00331240" w:rsidRDefault="00A54BB8" w:rsidP="0079699D">
            <w:pPr>
              <w:pStyle w:val="Tabletext"/>
              <w:spacing w:before="0" w:after="0"/>
              <w:rPr>
                <w:lang w:val="en-AU"/>
              </w:rPr>
            </w:pPr>
          </w:p>
        </w:tc>
        <w:tc>
          <w:tcPr>
            <w:tcW w:w="1134" w:type="dxa"/>
            <w:tcBorders>
              <w:left w:val="nil"/>
              <w:right w:val="nil"/>
            </w:tcBorders>
          </w:tcPr>
          <w:p w14:paraId="71C3C34E" w14:textId="77777777" w:rsidR="00A54BB8" w:rsidRPr="00331240" w:rsidRDefault="00A54BB8" w:rsidP="0079699D">
            <w:pPr>
              <w:pStyle w:val="Tabletext"/>
              <w:spacing w:before="0" w:after="0"/>
              <w:rPr>
                <w:lang w:val="en-AU"/>
              </w:rPr>
            </w:pPr>
          </w:p>
        </w:tc>
        <w:tc>
          <w:tcPr>
            <w:tcW w:w="2268" w:type="dxa"/>
            <w:tcBorders>
              <w:left w:val="nil"/>
              <w:right w:val="nil"/>
            </w:tcBorders>
          </w:tcPr>
          <w:p w14:paraId="7E286CDC" w14:textId="77777777" w:rsidR="00A54BB8" w:rsidRPr="00331240" w:rsidRDefault="00A54BB8" w:rsidP="0079699D">
            <w:pPr>
              <w:pStyle w:val="Tabletext"/>
              <w:spacing w:before="0" w:after="0"/>
              <w:rPr>
                <w:i/>
                <w:iCs/>
                <w:szCs w:val="20"/>
                <w:lang w:val="en-AU"/>
              </w:rPr>
            </w:pPr>
          </w:p>
        </w:tc>
        <w:tc>
          <w:tcPr>
            <w:tcW w:w="1083" w:type="dxa"/>
            <w:tcBorders>
              <w:left w:val="nil"/>
            </w:tcBorders>
          </w:tcPr>
          <w:p w14:paraId="6FE538EB" w14:textId="77777777" w:rsidR="00A54BB8" w:rsidRPr="00331240" w:rsidRDefault="00A54BB8" w:rsidP="0079699D">
            <w:pPr>
              <w:pStyle w:val="Tabletext"/>
              <w:spacing w:before="0" w:after="0"/>
              <w:rPr>
                <w:lang w:val="en-AU"/>
              </w:rPr>
            </w:pPr>
          </w:p>
        </w:tc>
      </w:tr>
      <w:tr w:rsidR="005A2F6B" w:rsidRPr="00331240" w14:paraId="420004BA" w14:textId="77777777" w:rsidTr="00CD6416">
        <w:tc>
          <w:tcPr>
            <w:tcW w:w="1271" w:type="dxa"/>
          </w:tcPr>
          <w:p w14:paraId="7A298CAF" w14:textId="21B7E0F5" w:rsidR="005A2F6B" w:rsidRPr="00331240" w:rsidRDefault="005A2F6B" w:rsidP="0079699D">
            <w:pPr>
              <w:pStyle w:val="Tabletext"/>
              <w:spacing w:before="0" w:after="0"/>
              <w:rPr>
                <w:lang w:val="en-AU"/>
              </w:rPr>
            </w:pPr>
            <w:r w:rsidRPr="00331240">
              <w:rPr>
                <w:lang w:val="en-AU"/>
              </w:rPr>
              <w:t>SANTE trial</w:t>
            </w:r>
            <w:r w:rsidR="004E375F" w:rsidRPr="00331240">
              <w:rPr>
                <w:lang w:val="en-AU"/>
              </w:rPr>
              <w:t xml:space="preserve"> 2010</w:t>
            </w:r>
          </w:p>
        </w:tc>
        <w:tc>
          <w:tcPr>
            <w:tcW w:w="709" w:type="dxa"/>
          </w:tcPr>
          <w:p w14:paraId="27070AB0" w14:textId="2E098AF3" w:rsidR="005A2F6B" w:rsidRPr="00331240" w:rsidRDefault="005A2F6B" w:rsidP="0079699D">
            <w:pPr>
              <w:pStyle w:val="Tabletext"/>
              <w:spacing w:before="0" w:after="0"/>
              <w:rPr>
                <w:lang w:val="en-AU"/>
              </w:rPr>
            </w:pPr>
            <w:r w:rsidRPr="00331240">
              <w:rPr>
                <w:lang w:val="en-AU"/>
              </w:rPr>
              <w:t>110</w:t>
            </w:r>
          </w:p>
        </w:tc>
        <w:tc>
          <w:tcPr>
            <w:tcW w:w="1417" w:type="dxa"/>
          </w:tcPr>
          <w:p w14:paraId="5431D82E" w14:textId="5CFB5FB4" w:rsidR="005A2F6B" w:rsidRPr="00331240" w:rsidRDefault="00D14533" w:rsidP="0079699D">
            <w:pPr>
              <w:pStyle w:val="Tabletext"/>
              <w:spacing w:before="0" w:after="0"/>
              <w:rPr>
                <w:lang w:val="en-AU"/>
              </w:rPr>
            </w:pPr>
            <w:r w:rsidRPr="00331240">
              <w:rPr>
                <w:lang w:val="en-AU"/>
              </w:rPr>
              <w:t xml:space="preserve">Double-blind </w:t>
            </w:r>
            <w:r w:rsidR="005A2F6B" w:rsidRPr="00331240">
              <w:rPr>
                <w:lang w:val="en-AU"/>
              </w:rPr>
              <w:t>RCT</w:t>
            </w:r>
            <w:r w:rsidR="005A2F6B" w:rsidRPr="00331240">
              <w:rPr>
                <w:lang w:val="en-AU"/>
              </w:rPr>
              <w:br/>
              <w:t xml:space="preserve">3 </w:t>
            </w:r>
            <w:r w:rsidR="00ED1602" w:rsidRPr="00331240">
              <w:rPr>
                <w:lang w:val="en-AU"/>
              </w:rPr>
              <w:t>months</w:t>
            </w:r>
            <w:r w:rsidR="005A2F6B" w:rsidRPr="00331240">
              <w:rPr>
                <w:lang w:val="en-AU"/>
              </w:rPr>
              <w:t xml:space="preserve"> blinded phase (total FU = 10 years)</w:t>
            </w:r>
            <w:r w:rsidR="005A2F6B" w:rsidRPr="00331240">
              <w:rPr>
                <w:vertAlign w:val="superscript"/>
                <w:lang w:val="en-AU"/>
              </w:rPr>
              <w:t>a</w:t>
            </w:r>
          </w:p>
        </w:tc>
        <w:tc>
          <w:tcPr>
            <w:tcW w:w="1134" w:type="dxa"/>
          </w:tcPr>
          <w:p w14:paraId="173F392D" w14:textId="122728E0" w:rsidR="005A2F6B" w:rsidRPr="00331240" w:rsidRDefault="004B41DD" w:rsidP="0079699D">
            <w:pPr>
              <w:pStyle w:val="Tabletext"/>
              <w:spacing w:before="0" w:after="0"/>
              <w:rPr>
                <w:lang w:val="en-AU"/>
              </w:rPr>
            </w:pPr>
            <w:r w:rsidRPr="00331240">
              <w:rPr>
                <w:lang w:val="en-AU"/>
              </w:rPr>
              <w:t>L</w:t>
            </w:r>
            <w:r w:rsidR="00A204EB" w:rsidRPr="00331240">
              <w:rPr>
                <w:lang w:val="en-AU"/>
              </w:rPr>
              <w:t>ow</w:t>
            </w:r>
          </w:p>
        </w:tc>
        <w:tc>
          <w:tcPr>
            <w:tcW w:w="1134" w:type="dxa"/>
          </w:tcPr>
          <w:p w14:paraId="6F812C5E" w14:textId="5C5665D8" w:rsidR="005A2F6B" w:rsidRPr="00331240" w:rsidRDefault="005A2F6B" w:rsidP="0079699D">
            <w:pPr>
              <w:pStyle w:val="Tabletext"/>
              <w:spacing w:before="0" w:after="0"/>
              <w:rPr>
                <w:lang w:val="en-AU"/>
              </w:rPr>
            </w:pPr>
            <w:r w:rsidRPr="00331240">
              <w:rPr>
                <w:lang w:val="en-AU"/>
              </w:rPr>
              <w:t>Focal, with or without secondary generalisation</w:t>
            </w:r>
          </w:p>
        </w:tc>
        <w:tc>
          <w:tcPr>
            <w:tcW w:w="2268" w:type="dxa"/>
          </w:tcPr>
          <w:p w14:paraId="608CB480" w14:textId="77777777" w:rsidR="005A2F6B" w:rsidRPr="00331240" w:rsidRDefault="005A2F6B" w:rsidP="0079699D">
            <w:pPr>
              <w:pStyle w:val="Tabletext"/>
              <w:spacing w:before="0" w:after="0"/>
              <w:rPr>
                <w:szCs w:val="20"/>
                <w:lang w:val="en-AU"/>
              </w:rPr>
            </w:pPr>
            <w:r w:rsidRPr="00331240">
              <w:rPr>
                <w:i/>
                <w:iCs/>
                <w:szCs w:val="20"/>
                <w:lang w:val="en-AU"/>
              </w:rPr>
              <w:t xml:space="preserve">Effectiveness </w:t>
            </w:r>
            <w:r w:rsidRPr="00331240">
              <w:rPr>
                <w:i/>
                <w:iCs/>
                <w:szCs w:val="20"/>
                <w:lang w:val="en-AU"/>
              </w:rPr>
              <w:br/>
            </w:r>
            <w:r w:rsidRPr="00331240">
              <w:rPr>
                <w:szCs w:val="20"/>
                <w:lang w:val="en-AU"/>
              </w:rPr>
              <w:t>Seizure frequency, seizure severity, quality of life</w:t>
            </w:r>
          </w:p>
          <w:p w14:paraId="498FF4C1" w14:textId="10F58225" w:rsidR="005A2F6B" w:rsidRPr="00331240" w:rsidRDefault="005A2F6B" w:rsidP="0079699D">
            <w:pPr>
              <w:pStyle w:val="Tabletext"/>
              <w:spacing w:before="0" w:after="0"/>
              <w:rPr>
                <w:lang w:val="en-AU"/>
              </w:rPr>
            </w:pPr>
            <w:r w:rsidRPr="00331240">
              <w:rPr>
                <w:i/>
                <w:iCs/>
                <w:szCs w:val="20"/>
                <w:lang w:val="en-AU"/>
              </w:rPr>
              <w:t>Safety</w:t>
            </w:r>
            <w:r w:rsidRPr="00331240">
              <w:rPr>
                <w:i/>
                <w:iCs/>
                <w:szCs w:val="20"/>
                <w:lang w:val="en-AU"/>
              </w:rPr>
              <w:br/>
            </w:r>
            <w:r w:rsidRPr="00331240">
              <w:rPr>
                <w:szCs w:val="20"/>
                <w:lang w:val="en-AU"/>
              </w:rPr>
              <w:t>Adverse events, neuropsychological effects</w:t>
            </w:r>
          </w:p>
        </w:tc>
        <w:tc>
          <w:tcPr>
            <w:tcW w:w="1083" w:type="dxa"/>
          </w:tcPr>
          <w:p w14:paraId="32AD6B74" w14:textId="50E698CD" w:rsidR="005A2F6B" w:rsidRPr="00331240" w:rsidRDefault="005A1744" w:rsidP="0079699D">
            <w:pPr>
              <w:pStyle w:val="Tabletext"/>
              <w:spacing w:before="0" w:after="0"/>
              <w:rPr>
                <w:lang w:val="en-AU"/>
              </w:rPr>
            </w:pPr>
            <w:r w:rsidRPr="00331240">
              <w:rPr>
                <w:lang w:val="en-AU"/>
              </w:rPr>
              <w:t>Used</w:t>
            </w:r>
          </w:p>
        </w:tc>
      </w:tr>
      <w:tr w:rsidR="005A2F6B" w:rsidRPr="00331240" w14:paraId="095BEA67" w14:textId="77777777" w:rsidTr="00CD6416">
        <w:tc>
          <w:tcPr>
            <w:tcW w:w="1271" w:type="dxa"/>
            <w:tcBorders>
              <w:bottom w:val="single" w:sz="4" w:space="0" w:color="auto"/>
            </w:tcBorders>
          </w:tcPr>
          <w:p w14:paraId="15C22745" w14:textId="7E9217B8" w:rsidR="005A2F6B" w:rsidRPr="00331240" w:rsidRDefault="005A2F6B" w:rsidP="0079699D">
            <w:pPr>
              <w:pStyle w:val="Tabletext"/>
              <w:spacing w:before="0" w:after="0"/>
              <w:rPr>
                <w:lang w:val="en-AU"/>
              </w:rPr>
            </w:pPr>
            <w:r w:rsidRPr="00331240">
              <w:rPr>
                <w:lang w:val="en-AU"/>
              </w:rPr>
              <w:t>Herrman 2019</w:t>
            </w:r>
          </w:p>
        </w:tc>
        <w:tc>
          <w:tcPr>
            <w:tcW w:w="709" w:type="dxa"/>
            <w:tcBorders>
              <w:bottom w:val="single" w:sz="4" w:space="0" w:color="auto"/>
            </w:tcBorders>
          </w:tcPr>
          <w:p w14:paraId="5469316C" w14:textId="74030841" w:rsidR="005A2F6B" w:rsidRPr="00331240" w:rsidRDefault="005A2F6B" w:rsidP="0079699D">
            <w:pPr>
              <w:pStyle w:val="Tabletext"/>
              <w:spacing w:before="0" w:after="0"/>
              <w:rPr>
                <w:lang w:val="en-AU"/>
              </w:rPr>
            </w:pPr>
            <w:r w:rsidRPr="00331240">
              <w:rPr>
                <w:lang w:val="en-AU"/>
              </w:rPr>
              <w:t>18</w:t>
            </w:r>
          </w:p>
        </w:tc>
        <w:tc>
          <w:tcPr>
            <w:tcW w:w="1417" w:type="dxa"/>
            <w:tcBorders>
              <w:bottom w:val="single" w:sz="4" w:space="0" w:color="auto"/>
            </w:tcBorders>
          </w:tcPr>
          <w:p w14:paraId="6B73652D" w14:textId="258943C7" w:rsidR="00D14533" w:rsidRPr="00331240" w:rsidRDefault="00D14533" w:rsidP="0079699D">
            <w:pPr>
              <w:pStyle w:val="Tabletext"/>
              <w:spacing w:before="0" w:after="0"/>
              <w:rPr>
                <w:lang w:val="en-AU"/>
              </w:rPr>
            </w:pPr>
            <w:r w:rsidRPr="00331240">
              <w:rPr>
                <w:lang w:val="en-AU"/>
              </w:rPr>
              <w:t>Double-blind RCT</w:t>
            </w:r>
          </w:p>
          <w:p w14:paraId="6299CE47" w14:textId="3293654B" w:rsidR="005A2F6B" w:rsidRPr="00331240" w:rsidRDefault="005A2F6B" w:rsidP="0079699D">
            <w:pPr>
              <w:pStyle w:val="Tabletext"/>
              <w:spacing w:before="0" w:after="0"/>
              <w:rPr>
                <w:lang w:val="en-AU"/>
              </w:rPr>
            </w:pPr>
            <w:r w:rsidRPr="00331240">
              <w:rPr>
                <w:lang w:val="en-AU"/>
              </w:rPr>
              <w:t xml:space="preserve">6 </w:t>
            </w:r>
            <w:r w:rsidR="00ED1602" w:rsidRPr="00331240">
              <w:rPr>
                <w:lang w:val="en-AU"/>
              </w:rPr>
              <w:t>months</w:t>
            </w:r>
            <w:r w:rsidRPr="00331240">
              <w:rPr>
                <w:lang w:val="en-AU"/>
              </w:rPr>
              <w:t xml:space="preserve"> blinded phase (total FU = 12 months)</w:t>
            </w:r>
            <w:r w:rsidRPr="00331240">
              <w:rPr>
                <w:vertAlign w:val="superscript"/>
                <w:lang w:val="en-AU"/>
              </w:rPr>
              <w:t>a</w:t>
            </w:r>
          </w:p>
        </w:tc>
        <w:tc>
          <w:tcPr>
            <w:tcW w:w="1134" w:type="dxa"/>
            <w:tcBorders>
              <w:bottom w:val="single" w:sz="4" w:space="0" w:color="auto"/>
            </w:tcBorders>
          </w:tcPr>
          <w:p w14:paraId="418B7606" w14:textId="194CED0A" w:rsidR="005A2F6B" w:rsidRPr="00331240" w:rsidRDefault="00A204EB" w:rsidP="0079699D">
            <w:pPr>
              <w:pStyle w:val="Tabletext"/>
              <w:spacing w:before="0" w:after="0"/>
              <w:rPr>
                <w:lang w:val="en-AU"/>
              </w:rPr>
            </w:pPr>
            <w:r w:rsidRPr="00331240">
              <w:rPr>
                <w:lang w:val="en-AU"/>
              </w:rPr>
              <w:t>Low</w:t>
            </w:r>
          </w:p>
        </w:tc>
        <w:tc>
          <w:tcPr>
            <w:tcW w:w="1134" w:type="dxa"/>
            <w:tcBorders>
              <w:bottom w:val="single" w:sz="4" w:space="0" w:color="auto"/>
            </w:tcBorders>
          </w:tcPr>
          <w:p w14:paraId="1E3BA42A" w14:textId="6AA1C0EE" w:rsidR="005A2F6B" w:rsidRPr="00331240" w:rsidRDefault="005A2F6B" w:rsidP="0079699D">
            <w:pPr>
              <w:pStyle w:val="Tabletext"/>
              <w:spacing w:before="0" w:after="0"/>
              <w:rPr>
                <w:lang w:val="en-AU"/>
              </w:rPr>
            </w:pPr>
            <w:r w:rsidRPr="00331240">
              <w:rPr>
                <w:lang w:val="en-AU"/>
              </w:rPr>
              <w:t>Focal, with or without secondary generalisation</w:t>
            </w:r>
          </w:p>
        </w:tc>
        <w:tc>
          <w:tcPr>
            <w:tcW w:w="2268" w:type="dxa"/>
            <w:tcBorders>
              <w:bottom w:val="single" w:sz="4" w:space="0" w:color="auto"/>
            </w:tcBorders>
          </w:tcPr>
          <w:p w14:paraId="358E91A5" w14:textId="77777777" w:rsidR="005A2F6B" w:rsidRPr="00331240" w:rsidRDefault="005A2F6B" w:rsidP="0079699D">
            <w:pPr>
              <w:pStyle w:val="Tabletext"/>
              <w:spacing w:before="0" w:after="0"/>
              <w:rPr>
                <w:szCs w:val="20"/>
                <w:lang w:val="en-AU"/>
              </w:rPr>
            </w:pPr>
            <w:r w:rsidRPr="00331240">
              <w:rPr>
                <w:i/>
                <w:iCs/>
                <w:szCs w:val="20"/>
                <w:lang w:val="en-AU"/>
              </w:rPr>
              <w:t xml:space="preserve">Effectiveness </w:t>
            </w:r>
            <w:r w:rsidRPr="00331240">
              <w:rPr>
                <w:i/>
                <w:iCs/>
                <w:szCs w:val="20"/>
                <w:lang w:val="en-AU"/>
              </w:rPr>
              <w:br/>
            </w:r>
            <w:r w:rsidRPr="00331240">
              <w:rPr>
                <w:szCs w:val="20"/>
                <w:lang w:val="en-AU"/>
              </w:rPr>
              <w:t>Seizure frequency, seizure severity</w:t>
            </w:r>
          </w:p>
          <w:p w14:paraId="7115ACE1" w14:textId="3976365E" w:rsidR="005A2F6B" w:rsidRPr="00331240" w:rsidRDefault="005A2F6B" w:rsidP="0079699D">
            <w:pPr>
              <w:pStyle w:val="Tabletext"/>
              <w:spacing w:before="0" w:after="0"/>
              <w:rPr>
                <w:lang w:val="en-AU"/>
              </w:rPr>
            </w:pPr>
            <w:r w:rsidRPr="00331240">
              <w:rPr>
                <w:i/>
                <w:iCs/>
                <w:szCs w:val="20"/>
                <w:lang w:val="en-AU"/>
              </w:rPr>
              <w:t>Safety</w:t>
            </w:r>
            <w:r w:rsidRPr="00331240">
              <w:rPr>
                <w:i/>
                <w:iCs/>
                <w:szCs w:val="20"/>
                <w:lang w:val="en-AU"/>
              </w:rPr>
              <w:br/>
            </w:r>
            <w:r w:rsidRPr="00331240">
              <w:rPr>
                <w:szCs w:val="20"/>
                <w:lang w:val="en-AU"/>
              </w:rPr>
              <w:t>Adverse events</w:t>
            </w:r>
          </w:p>
        </w:tc>
        <w:tc>
          <w:tcPr>
            <w:tcW w:w="1083" w:type="dxa"/>
            <w:tcBorders>
              <w:bottom w:val="single" w:sz="4" w:space="0" w:color="auto"/>
            </w:tcBorders>
          </w:tcPr>
          <w:p w14:paraId="67963AD5" w14:textId="27266B7E" w:rsidR="005A2F6B" w:rsidRPr="00331240" w:rsidRDefault="005A2F6B" w:rsidP="0079699D">
            <w:pPr>
              <w:pStyle w:val="Tabletext"/>
              <w:spacing w:before="0" w:after="0"/>
              <w:rPr>
                <w:lang w:val="en-AU"/>
              </w:rPr>
            </w:pPr>
            <w:r w:rsidRPr="00331240">
              <w:rPr>
                <w:lang w:val="en-AU"/>
              </w:rPr>
              <w:t>Not used</w:t>
            </w:r>
          </w:p>
        </w:tc>
      </w:tr>
      <w:tr w:rsidR="00CD46CC" w:rsidRPr="00331240" w14:paraId="192A163F" w14:textId="77777777" w:rsidTr="00CD6416">
        <w:tc>
          <w:tcPr>
            <w:tcW w:w="1271" w:type="dxa"/>
            <w:tcBorders>
              <w:right w:val="nil"/>
            </w:tcBorders>
          </w:tcPr>
          <w:p w14:paraId="1CD91EAE" w14:textId="734166E6" w:rsidR="00CD46CC" w:rsidRPr="00411CDC" w:rsidRDefault="00CD46CC" w:rsidP="0079699D">
            <w:pPr>
              <w:pStyle w:val="Tabletext"/>
              <w:spacing w:before="0" w:after="0"/>
              <w:rPr>
                <w:lang w:val="fr-FR"/>
              </w:rPr>
            </w:pPr>
            <w:r w:rsidRPr="00411CDC">
              <w:rPr>
                <w:b/>
                <w:lang w:val="fr-FR"/>
              </w:rPr>
              <w:t>DBS versus VNS (direct comparison)</w:t>
            </w:r>
          </w:p>
        </w:tc>
        <w:tc>
          <w:tcPr>
            <w:tcW w:w="709" w:type="dxa"/>
            <w:tcBorders>
              <w:left w:val="nil"/>
              <w:right w:val="nil"/>
            </w:tcBorders>
          </w:tcPr>
          <w:p w14:paraId="507AC45D" w14:textId="77777777" w:rsidR="00CD46CC" w:rsidRPr="00411CDC" w:rsidRDefault="00CD46CC" w:rsidP="0079699D">
            <w:pPr>
              <w:pStyle w:val="Tabletext"/>
              <w:spacing w:before="0" w:after="0"/>
              <w:rPr>
                <w:lang w:val="fr-FR"/>
              </w:rPr>
            </w:pPr>
          </w:p>
        </w:tc>
        <w:tc>
          <w:tcPr>
            <w:tcW w:w="1417" w:type="dxa"/>
            <w:tcBorders>
              <w:left w:val="nil"/>
              <w:right w:val="nil"/>
            </w:tcBorders>
          </w:tcPr>
          <w:p w14:paraId="10CC04BF" w14:textId="77777777" w:rsidR="00CD46CC" w:rsidRPr="00411CDC" w:rsidRDefault="00CD46CC" w:rsidP="0079699D">
            <w:pPr>
              <w:pStyle w:val="Tabletext"/>
              <w:spacing w:before="0" w:after="0"/>
              <w:rPr>
                <w:lang w:val="fr-FR"/>
              </w:rPr>
            </w:pPr>
          </w:p>
        </w:tc>
        <w:tc>
          <w:tcPr>
            <w:tcW w:w="1134" w:type="dxa"/>
            <w:tcBorders>
              <w:left w:val="nil"/>
              <w:right w:val="nil"/>
            </w:tcBorders>
          </w:tcPr>
          <w:p w14:paraId="7DDEC882" w14:textId="77777777" w:rsidR="00CD46CC" w:rsidRPr="00411CDC" w:rsidRDefault="00CD46CC" w:rsidP="0079699D">
            <w:pPr>
              <w:pStyle w:val="Tabletext"/>
              <w:spacing w:before="0" w:after="0"/>
              <w:rPr>
                <w:lang w:val="fr-FR"/>
              </w:rPr>
            </w:pPr>
          </w:p>
        </w:tc>
        <w:tc>
          <w:tcPr>
            <w:tcW w:w="1134" w:type="dxa"/>
            <w:tcBorders>
              <w:left w:val="nil"/>
              <w:right w:val="nil"/>
            </w:tcBorders>
          </w:tcPr>
          <w:p w14:paraId="66BF1B1C" w14:textId="77777777" w:rsidR="00CD46CC" w:rsidRPr="00411CDC" w:rsidRDefault="00CD46CC" w:rsidP="0079699D">
            <w:pPr>
              <w:pStyle w:val="Tabletext"/>
              <w:spacing w:before="0" w:after="0"/>
              <w:rPr>
                <w:lang w:val="fr-FR"/>
              </w:rPr>
            </w:pPr>
          </w:p>
        </w:tc>
        <w:tc>
          <w:tcPr>
            <w:tcW w:w="2268" w:type="dxa"/>
            <w:tcBorders>
              <w:left w:val="nil"/>
              <w:right w:val="nil"/>
            </w:tcBorders>
          </w:tcPr>
          <w:p w14:paraId="4C7FF2FD" w14:textId="77777777" w:rsidR="00CD46CC" w:rsidRPr="00411CDC" w:rsidRDefault="00CD46CC" w:rsidP="0079699D">
            <w:pPr>
              <w:pStyle w:val="Tabletext"/>
              <w:spacing w:before="0" w:after="0"/>
              <w:rPr>
                <w:i/>
                <w:lang w:val="fr-FR"/>
              </w:rPr>
            </w:pPr>
          </w:p>
        </w:tc>
        <w:tc>
          <w:tcPr>
            <w:tcW w:w="1083" w:type="dxa"/>
            <w:tcBorders>
              <w:left w:val="nil"/>
            </w:tcBorders>
          </w:tcPr>
          <w:p w14:paraId="6399AA60" w14:textId="77777777" w:rsidR="00CD46CC" w:rsidRPr="00411CDC" w:rsidRDefault="00CD46CC" w:rsidP="0079699D">
            <w:pPr>
              <w:pStyle w:val="Tabletext"/>
              <w:spacing w:before="0" w:after="0"/>
              <w:rPr>
                <w:lang w:val="fr-FR"/>
              </w:rPr>
            </w:pPr>
          </w:p>
        </w:tc>
      </w:tr>
      <w:tr w:rsidR="005A2F6B" w:rsidRPr="00331240" w14:paraId="45C22AE3" w14:textId="77777777" w:rsidTr="00CD6416">
        <w:tc>
          <w:tcPr>
            <w:tcW w:w="1271" w:type="dxa"/>
            <w:tcBorders>
              <w:bottom w:val="single" w:sz="4" w:space="0" w:color="auto"/>
            </w:tcBorders>
          </w:tcPr>
          <w:p w14:paraId="263C2FE9" w14:textId="12C02D3B" w:rsidR="005A2F6B" w:rsidRPr="00331240" w:rsidRDefault="005A2F6B" w:rsidP="0079699D">
            <w:pPr>
              <w:pStyle w:val="Tabletext"/>
              <w:spacing w:before="0" w:after="0"/>
              <w:rPr>
                <w:lang w:val="en-AU"/>
              </w:rPr>
            </w:pPr>
            <w:r w:rsidRPr="00331240">
              <w:rPr>
                <w:lang w:val="en-AU"/>
              </w:rPr>
              <w:t>Kulju 2018</w:t>
            </w:r>
          </w:p>
        </w:tc>
        <w:tc>
          <w:tcPr>
            <w:tcW w:w="709" w:type="dxa"/>
            <w:tcBorders>
              <w:bottom w:val="single" w:sz="4" w:space="0" w:color="auto"/>
            </w:tcBorders>
          </w:tcPr>
          <w:p w14:paraId="6E06C3DA" w14:textId="0EFC9D40" w:rsidR="005A2F6B" w:rsidRPr="00331240" w:rsidRDefault="005A2F6B" w:rsidP="0079699D">
            <w:pPr>
              <w:pStyle w:val="Tabletext"/>
              <w:spacing w:before="0" w:after="0"/>
              <w:rPr>
                <w:lang w:val="en-AU"/>
              </w:rPr>
            </w:pPr>
            <w:r w:rsidRPr="00331240">
              <w:rPr>
                <w:lang w:val="en-AU"/>
              </w:rPr>
              <w:t>11</w:t>
            </w:r>
            <w:r w:rsidR="006047E5" w:rsidRPr="00331240">
              <w:rPr>
                <w:vertAlign w:val="superscript"/>
                <w:lang w:val="en-AU"/>
              </w:rPr>
              <w:t>b</w:t>
            </w:r>
          </w:p>
        </w:tc>
        <w:tc>
          <w:tcPr>
            <w:tcW w:w="1417" w:type="dxa"/>
            <w:tcBorders>
              <w:bottom w:val="single" w:sz="4" w:space="0" w:color="auto"/>
            </w:tcBorders>
          </w:tcPr>
          <w:p w14:paraId="00424487" w14:textId="77777777" w:rsidR="002C5FB2" w:rsidRPr="00331240" w:rsidRDefault="002C5FB2" w:rsidP="0079699D">
            <w:pPr>
              <w:pStyle w:val="Tabletext"/>
              <w:spacing w:before="0" w:after="0"/>
              <w:rPr>
                <w:lang w:val="en-AU"/>
              </w:rPr>
            </w:pPr>
            <w:r w:rsidRPr="00331240">
              <w:rPr>
                <w:lang w:val="en-AU"/>
              </w:rPr>
              <w:t>Self-controlled case series study</w:t>
            </w:r>
          </w:p>
          <w:p w14:paraId="1494639B" w14:textId="71B678B9" w:rsidR="005A2F6B" w:rsidRPr="00331240" w:rsidRDefault="005A2F6B" w:rsidP="0079699D">
            <w:pPr>
              <w:pStyle w:val="Tabletext"/>
              <w:spacing w:before="0" w:after="0"/>
              <w:rPr>
                <w:lang w:val="en-AU"/>
              </w:rPr>
            </w:pPr>
            <w:r w:rsidRPr="00331240">
              <w:rPr>
                <w:lang w:val="en-AU"/>
              </w:rPr>
              <w:t>≥12 months</w:t>
            </w:r>
          </w:p>
        </w:tc>
        <w:tc>
          <w:tcPr>
            <w:tcW w:w="1134" w:type="dxa"/>
            <w:tcBorders>
              <w:bottom w:val="single" w:sz="4" w:space="0" w:color="auto"/>
            </w:tcBorders>
          </w:tcPr>
          <w:p w14:paraId="1BBDE9E2" w14:textId="7E0C94F9" w:rsidR="005A2F6B" w:rsidRPr="00331240" w:rsidRDefault="00A204EB" w:rsidP="0079699D">
            <w:pPr>
              <w:pStyle w:val="Tabletext"/>
              <w:spacing w:before="0" w:after="0"/>
              <w:rPr>
                <w:lang w:val="en-AU"/>
              </w:rPr>
            </w:pPr>
            <w:r w:rsidRPr="00331240">
              <w:rPr>
                <w:lang w:val="en-AU"/>
              </w:rPr>
              <w:t>High</w:t>
            </w:r>
          </w:p>
        </w:tc>
        <w:tc>
          <w:tcPr>
            <w:tcW w:w="1134" w:type="dxa"/>
            <w:tcBorders>
              <w:bottom w:val="single" w:sz="4" w:space="0" w:color="auto"/>
            </w:tcBorders>
          </w:tcPr>
          <w:p w14:paraId="5FC23BE5" w14:textId="2AF0F01C" w:rsidR="005A2F6B" w:rsidRPr="00331240" w:rsidRDefault="005A2F6B" w:rsidP="0079699D">
            <w:pPr>
              <w:pStyle w:val="Tabletext"/>
              <w:spacing w:before="0" w:after="0"/>
              <w:rPr>
                <w:lang w:val="en-AU"/>
              </w:rPr>
            </w:pPr>
            <w:r w:rsidRPr="00331240">
              <w:rPr>
                <w:lang w:val="en-AU"/>
              </w:rPr>
              <w:t>Focal and generalised</w:t>
            </w:r>
          </w:p>
        </w:tc>
        <w:tc>
          <w:tcPr>
            <w:tcW w:w="2268" w:type="dxa"/>
            <w:tcBorders>
              <w:bottom w:val="single" w:sz="4" w:space="0" w:color="auto"/>
            </w:tcBorders>
          </w:tcPr>
          <w:p w14:paraId="3980B442" w14:textId="1AC7A96E" w:rsidR="005A2F6B" w:rsidRPr="00331240" w:rsidRDefault="00A42B82" w:rsidP="0079699D">
            <w:pPr>
              <w:pStyle w:val="Tabletext"/>
              <w:spacing w:before="0" w:after="0"/>
              <w:rPr>
                <w:lang w:val="en-AU"/>
              </w:rPr>
            </w:pPr>
            <w:r w:rsidRPr="00331240">
              <w:rPr>
                <w:i/>
                <w:iCs/>
                <w:lang w:val="en-AU"/>
              </w:rPr>
              <w:t xml:space="preserve">Effectiveness </w:t>
            </w:r>
            <w:r w:rsidRPr="00331240">
              <w:rPr>
                <w:i/>
                <w:iCs/>
                <w:lang w:val="en-AU"/>
              </w:rPr>
              <w:br/>
            </w:r>
            <w:r w:rsidRPr="00331240">
              <w:rPr>
                <w:lang w:val="en-AU"/>
              </w:rPr>
              <w:t>Seizure frequency</w:t>
            </w:r>
          </w:p>
        </w:tc>
        <w:tc>
          <w:tcPr>
            <w:tcW w:w="1083" w:type="dxa"/>
            <w:tcBorders>
              <w:bottom w:val="single" w:sz="4" w:space="0" w:color="auto"/>
            </w:tcBorders>
          </w:tcPr>
          <w:p w14:paraId="19900951" w14:textId="58A1E8A2" w:rsidR="005A2F6B" w:rsidRPr="00331240" w:rsidRDefault="005A2F6B" w:rsidP="0079699D">
            <w:pPr>
              <w:pStyle w:val="Tabletext"/>
              <w:spacing w:before="0" w:after="0"/>
              <w:rPr>
                <w:lang w:val="en-AU"/>
              </w:rPr>
            </w:pPr>
            <w:r w:rsidRPr="00331240">
              <w:rPr>
                <w:lang w:val="en-AU"/>
              </w:rPr>
              <w:t>Not used</w:t>
            </w:r>
          </w:p>
        </w:tc>
      </w:tr>
      <w:tr w:rsidR="00564518" w:rsidRPr="00331240" w14:paraId="600A3691" w14:textId="77777777" w:rsidTr="00CD6416">
        <w:tc>
          <w:tcPr>
            <w:tcW w:w="1271" w:type="dxa"/>
            <w:tcBorders>
              <w:right w:val="nil"/>
            </w:tcBorders>
          </w:tcPr>
          <w:p w14:paraId="6D7E9E55" w14:textId="26D06300" w:rsidR="00564518" w:rsidRPr="00331240" w:rsidRDefault="00564518" w:rsidP="0079699D">
            <w:pPr>
              <w:pStyle w:val="Tabletext"/>
              <w:spacing w:before="0" w:after="0"/>
              <w:rPr>
                <w:lang w:val="en-AU"/>
              </w:rPr>
            </w:pPr>
            <w:r w:rsidRPr="00331240">
              <w:rPr>
                <w:b/>
                <w:bCs/>
                <w:lang w:val="en-AU"/>
              </w:rPr>
              <w:t>DBS versus VNS or OMT (indirect comparison)</w:t>
            </w:r>
          </w:p>
        </w:tc>
        <w:tc>
          <w:tcPr>
            <w:tcW w:w="709" w:type="dxa"/>
            <w:tcBorders>
              <w:left w:val="nil"/>
              <w:right w:val="nil"/>
            </w:tcBorders>
          </w:tcPr>
          <w:p w14:paraId="2D8D191E" w14:textId="77777777" w:rsidR="00564518" w:rsidRPr="00331240" w:rsidRDefault="00564518" w:rsidP="0079699D">
            <w:pPr>
              <w:pStyle w:val="Tabletext"/>
              <w:spacing w:before="0" w:after="0"/>
              <w:rPr>
                <w:szCs w:val="20"/>
                <w:lang w:val="en-AU" w:bidi="en-US"/>
              </w:rPr>
            </w:pPr>
          </w:p>
        </w:tc>
        <w:tc>
          <w:tcPr>
            <w:tcW w:w="1417" w:type="dxa"/>
            <w:tcBorders>
              <w:left w:val="nil"/>
              <w:right w:val="nil"/>
            </w:tcBorders>
          </w:tcPr>
          <w:p w14:paraId="19095FA7" w14:textId="77777777" w:rsidR="00564518" w:rsidRPr="00331240" w:rsidRDefault="00564518" w:rsidP="0079699D">
            <w:pPr>
              <w:pStyle w:val="Tabletext"/>
              <w:spacing w:before="0" w:after="0"/>
              <w:rPr>
                <w:lang w:val="en-AU"/>
              </w:rPr>
            </w:pPr>
          </w:p>
        </w:tc>
        <w:tc>
          <w:tcPr>
            <w:tcW w:w="1134" w:type="dxa"/>
            <w:tcBorders>
              <w:left w:val="nil"/>
              <w:right w:val="nil"/>
            </w:tcBorders>
          </w:tcPr>
          <w:p w14:paraId="17A755A6" w14:textId="77777777" w:rsidR="00564518" w:rsidRPr="00331240" w:rsidRDefault="00564518" w:rsidP="0079699D">
            <w:pPr>
              <w:pStyle w:val="Tabletext"/>
              <w:spacing w:before="0" w:after="0"/>
              <w:rPr>
                <w:lang w:val="en-AU"/>
              </w:rPr>
            </w:pPr>
          </w:p>
        </w:tc>
        <w:tc>
          <w:tcPr>
            <w:tcW w:w="1134" w:type="dxa"/>
            <w:tcBorders>
              <w:left w:val="nil"/>
              <w:right w:val="nil"/>
            </w:tcBorders>
          </w:tcPr>
          <w:p w14:paraId="098D7BD4" w14:textId="77777777" w:rsidR="00564518" w:rsidRPr="00331240" w:rsidRDefault="00564518" w:rsidP="0079699D">
            <w:pPr>
              <w:pStyle w:val="Tabletext"/>
              <w:spacing w:before="0" w:after="0"/>
              <w:rPr>
                <w:szCs w:val="20"/>
                <w:lang w:val="en-AU" w:bidi="en-US"/>
              </w:rPr>
            </w:pPr>
          </w:p>
        </w:tc>
        <w:tc>
          <w:tcPr>
            <w:tcW w:w="2268" w:type="dxa"/>
            <w:tcBorders>
              <w:left w:val="nil"/>
              <w:right w:val="nil"/>
            </w:tcBorders>
          </w:tcPr>
          <w:p w14:paraId="13D4222D" w14:textId="77777777" w:rsidR="00564518" w:rsidRPr="00331240" w:rsidRDefault="00564518" w:rsidP="0079699D">
            <w:pPr>
              <w:pStyle w:val="Tabletext"/>
              <w:spacing w:before="0" w:after="0"/>
              <w:rPr>
                <w:i/>
                <w:iCs/>
                <w:szCs w:val="20"/>
                <w:lang w:val="en-AU"/>
              </w:rPr>
            </w:pPr>
          </w:p>
        </w:tc>
        <w:tc>
          <w:tcPr>
            <w:tcW w:w="1083" w:type="dxa"/>
            <w:tcBorders>
              <w:left w:val="nil"/>
            </w:tcBorders>
          </w:tcPr>
          <w:p w14:paraId="4C2FC7A1" w14:textId="77777777" w:rsidR="00564518" w:rsidRPr="00331240" w:rsidRDefault="00564518" w:rsidP="0079699D">
            <w:pPr>
              <w:pStyle w:val="Tabletext"/>
              <w:spacing w:before="0" w:after="0"/>
              <w:rPr>
                <w:lang w:val="en-AU"/>
              </w:rPr>
            </w:pPr>
          </w:p>
        </w:tc>
      </w:tr>
      <w:tr w:rsidR="005D0AC6" w:rsidRPr="00331240" w14:paraId="33CBD32A" w14:textId="77777777" w:rsidTr="00CD6416">
        <w:tc>
          <w:tcPr>
            <w:tcW w:w="1271" w:type="dxa"/>
          </w:tcPr>
          <w:p w14:paraId="17FA3BB3" w14:textId="50692A6D" w:rsidR="005D0AC6" w:rsidRPr="00331240" w:rsidRDefault="005D0AC6" w:rsidP="0079699D">
            <w:pPr>
              <w:pStyle w:val="Tabletext"/>
              <w:spacing w:before="0" w:after="0"/>
              <w:rPr>
                <w:lang w:val="en-AU"/>
              </w:rPr>
            </w:pPr>
            <w:r w:rsidRPr="00331240">
              <w:rPr>
                <w:lang w:val="en-AU"/>
              </w:rPr>
              <w:t>PuLsE Trial</w:t>
            </w:r>
          </w:p>
        </w:tc>
        <w:tc>
          <w:tcPr>
            <w:tcW w:w="709" w:type="dxa"/>
          </w:tcPr>
          <w:p w14:paraId="75D10D54" w14:textId="29D3E8DB" w:rsidR="005D0AC6" w:rsidRPr="00331240" w:rsidRDefault="005D0AC6" w:rsidP="0079699D">
            <w:pPr>
              <w:pStyle w:val="Tabletext"/>
              <w:spacing w:before="0" w:after="0"/>
              <w:rPr>
                <w:lang w:val="en-AU"/>
              </w:rPr>
            </w:pPr>
            <w:r w:rsidRPr="00331240">
              <w:rPr>
                <w:szCs w:val="20"/>
                <w:lang w:val="en-AU" w:bidi="en-US"/>
              </w:rPr>
              <w:t>112</w:t>
            </w:r>
            <w:r w:rsidR="006047E5" w:rsidRPr="00331240">
              <w:rPr>
                <w:szCs w:val="20"/>
                <w:vertAlign w:val="superscript"/>
                <w:lang w:val="en-AU" w:bidi="en-US"/>
              </w:rPr>
              <w:t>c</w:t>
            </w:r>
          </w:p>
        </w:tc>
        <w:tc>
          <w:tcPr>
            <w:tcW w:w="1417" w:type="dxa"/>
          </w:tcPr>
          <w:p w14:paraId="69ED1534" w14:textId="4C161E77" w:rsidR="005D0AC6" w:rsidRPr="00331240" w:rsidRDefault="001E3F8A" w:rsidP="0079699D">
            <w:pPr>
              <w:pStyle w:val="Tabletext"/>
              <w:spacing w:before="0" w:after="0"/>
              <w:rPr>
                <w:lang w:val="en-AU"/>
              </w:rPr>
            </w:pPr>
            <w:r w:rsidRPr="00331240">
              <w:rPr>
                <w:lang w:val="en-AU"/>
              </w:rPr>
              <w:t xml:space="preserve">Open label </w:t>
            </w:r>
            <w:r w:rsidR="005D0AC6" w:rsidRPr="00331240">
              <w:rPr>
                <w:lang w:val="en-AU"/>
              </w:rPr>
              <w:t>RCT</w:t>
            </w:r>
            <w:r w:rsidR="00A740E4" w:rsidRPr="00331240">
              <w:rPr>
                <w:vertAlign w:val="superscript"/>
                <w:lang w:val="en-AU"/>
              </w:rPr>
              <w:t>d</w:t>
            </w:r>
          </w:p>
          <w:p w14:paraId="6FF93E68" w14:textId="2BDDFB4C" w:rsidR="005D0AC6" w:rsidRPr="00331240" w:rsidRDefault="005D0AC6" w:rsidP="0079699D">
            <w:pPr>
              <w:pStyle w:val="Tabletext"/>
              <w:spacing w:before="0" w:after="0"/>
              <w:rPr>
                <w:lang w:val="en-AU"/>
              </w:rPr>
            </w:pPr>
            <w:r w:rsidRPr="00331240">
              <w:rPr>
                <w:lang w:val="en-AU"/>
              </w:rPr>
              <w:t>12 months</w:t>
            </w:r>
          </w:p>
        </w:tc>
        <w:tc>
          <w:tcPr>
            <w:tcW w:w="1134" w:type="dxa"/>
          </w:tcPr>
          <w:p w14:paraId="47DC1564" w14:textId="6F39DD5A" w:rsidR="005D0AC6" w:rsidRPr="00331240" w:rsidRDefault="00A740E4" w:rsidP="0079699D">
            <w:pPr>
              <w:pStyle w:val="Tabletext"/>
              <w:spacing w:before="0" w:after="0"/>
              <w:rPr>
                <w:lang w:val="en-AU"/>
              </w:rPr>
            </w:pPr>
            <w:r w:rsidRPr="00331240">
              <w:rPr>
                <w:lang w:val="en-AU"/>
              </w:rPr>
              <w:t xml:space="preserve">Low </w:t>
            </w:r>
          </w:p>
        </w:tc>
        <w:tc>
          <w:tcPr>
            <w:tcW w:w="1134" w:type="dxa"/>
          </w:tcPr>
          <w:p w14:paraId="612D6FAC" w14:textId="00EBFED9" w:rsidR="005D0AC6" w:rsidRPr="00331240" w:rsidRDefault="005D0AC6" w:rsidP="0079699D">
            <w:pPr>
              <w:pStyle w:val="Tabletext"/>
              <w:spacing w:before="0" w:after="0"/>
              <w:rPr>
                <w:lang w:val="en-AU"/>
              </w:rPr>
            </w:pPr>
            <w:r w:rsidRPr="00331240">
              <w:rPr>
                <w:szCs w:val="20"/>
                <w:lang w:val="en-AU" w:bidi="en-US"/>
              </w:rPr>
              <w:t>Focal</w:t>
            </w:r>
          </w:p>
        </w:tc>
        <w:tc>
          <w:tcPr>
            <w:tcW w:w="2268" w:type="dxa"/>
          </w:tcPr>
          <w:p w14:paraId="7B4B50EA" w14:textId="77777777" w:rsidR="005D0AC6" w:rsidRPr="00331240" w:rsidRDefault="005D0AC6" w:rsidP="0079699D">
            <w:pPr>
              <w:pStyle w:val="Tabletext"/>
              <w:spacing w:before="0" w:after="0"/>
              <w:rPr>
                <w:szCs w:val="20"/>
                <w:lang w:val="en-AU"/>
              </w:rPr>
            </w:pPr>
            <w:r w:rsidRPr="00331240">
              <w:rPr>
                <w:i/>
                <w:iCs/>
                <w:szCs w:val="20"/>
                <w:lang w:val="en-AU"/>
              </w:rPr>
              <w:t xml:space="preserve">Effectiveness </w:t>
            </w:r>
            <w:r w:rsidRPr="00331240">
              <w:rPr>
                <w:i/>
                <w:iCs/>
                <w:szCs w:val="20"/>
                <w:lang w:val="en-AU"/>
              </w:rPr>
              <w:br/>
            </w:r>
            <w:r w:rsidRPr="00331240">
              <w:rPr>
                <w:szCs w:val="20"/>
                <w:lang w:val="en-AU"/>
              </w:rPr>
              <w:t>Seizure frequency, seizure severity, QoL</w:t>
            </w:r>
          </w:p>
          <w:p w14:paraId="27220B3A" w14:textId="136C1347" w:rsidR="005D0AC6" w:rsidRPr="00331240" w:rsidRDefault="005D0AC6" w:rsidP="0079699D">
            <w:pPr>
              <w:pStyle w:val="Tabletext"/>
              <w:spacing w:before="0" w:after="0"/>
              <w:rPr>
                <w:lang w:val="en-AU"/>
              </w:rPr>
            </w:pPr>
            <w:r w:rsidRPr="00331240">
              <w:rPr>
                <w:i/>
                <w:iCs/>
                <w:lang w:val="en-AU"/>
              </w:rPr>
              <w:t>Safety</w:t>
            </w:r>
            <w:r w:rsidRPr="00331240">
              <w:rPr>
                <w:i/>
                <w:iCs/>
                <w:lang w:val="en-AU"/>
              </w:rPr>
              <w:br/>
            </w:r>
            <w:r w:rsidRPr="00331240">
              <w:rPr>
                <w:lang w:val="en-AU"/>
              </w:rPr>
              <w:t>Adverse events, neuropsychological effects</w:t>
            </w:r>
          </w:p>
        </w:tc>
        <w:tc>
          <w:tcPr>
            <w:tcW w:w="1083" w:type="dxa"/>
          </w:tcPr>
          <w:p w14:paraId="60157F91" w14:textId="748767C5" w:rsidR="005D0AC6" w:rsidRPr="00331240" w:rsidRDefault="005A1744" w:rsidP="0079699D">
            <w:pPr>
              <w:pStyle w:val="Tabletext"/>
              <w:spacing w:before="0" w:after="0"/>
              <w:rPr>
                <w:lang w:val="en-AU"/>
              </w:rPr>
            </w:pPr>
            <w:r w:rsidRPr="00331240">
              <w:rPr>
                <w:lang w:val="en-AU"/>
              </w:rPr>
              <w:t>Used</w:t>
            </w:r>
          </w:p>
        </w:tc>
      </w:tr>
      <w:tr w:rsidR="005D0AC6" w:rsidRPr="00331240" w14:paraId="659596B1" w14:textId="77777777" w:rsidTr="00CD6416">
        <w:tc>
          <w:tcPr>
            <w:tcW w:w="1271" w:type="dxa"/>
          </w:tcPr>
          <w:p w14:paraId="3EDAC7D6" w14:textId="4E9CA17A" w:rsidR="005D0AC6" w:rsidRPr="00331240" w:rsidRDefault="005D0AC6" w:rsidP="0079699D">
            <w:pPr>
              <w:pStyle w:val="Tabletext"/>
              <w:spacing w:before="0" w:after="0"/>
              <w:rPr>
                <w:lang w:val="en-AU"/>
              </w:rPr>
            </w:pPr>
            <w:r w:rsidRPr="00331240">
              <w:rPr>
                <w:lang w:val="en-AU"/>
              </w:rPr>
              <w:t>Amar 1998</w:t>
            </w:r>
          </w:p>
        </w:tc>
        <w:tc>
          <w:tcPr>
            <w:tcW w:w="709" w:type="dxa"/>
          </w:tcPr>
          <w:p w14:paraId="6A3123FF" w14:textId="4EF190CE" w:rsidR="005D0AC6" w:rsidRPr="00331240" w:rsidRDefault="005D0AC6" w:rsidP="0079699D">
            <w:pPr>
              <w:pStyle w:val="Tabletext"/>
              <w:spacing w:before="0" w:after="0"/>
              <w:rPr>
                <w:lang w:val="en-AU"/>
              </w:rPr>
            </w:pPr>
            <w:r w:rsidRPr="00331240">
              <w:rPr>
                <w:szCs w:val="20"/>
                <w:lang w:val="en-AU" w:bidi="en-US"/>
              </w:rPr>
              <w:t>17</w:t>
            </w:r>
          </w:p>
        </w:tc>
        <w:tc>
          <w:tcPr>
            <w:tcW w:w="1417" w:type="dxa"/>
          </w:tcPr>
          <w:p w14:paraId="6D1B56CB" w14:textId="0F77B318" w:rsidR="005D0AC6" w:rsidRPr="00331240" w:rsidRDefault="001E3F8A" w:rsidP="0079699D">
            <w:pPr>
              <w:pStyle w:val="Tabletext"/>
              <w:spacing w:before="0" w:after="0"/>
              <w:rPr>
                <w:lang w:val="en-AU"/>
              </w:rPr>
            </w:pPr>
            <w:r w:rsidRPr="00331240">
              <w:rPr>
                <w:lang w:val="en-AU"/>
              </w:rPr>
              <w:t xml:space="preserve">Double-blind </w:t>
            </w:r>
            <w:r w:rsidR="005D0AC6" w:rsidRPr="00331240">
              <w:rPr>
                <w:lang w:val="en-AU"/>
              </w:rPr>
              <w:t>RCT</w:t>
            </w:r>
            <w:r w:rsidR="00A740E4" w:rsidRPr="00331240">
              <w:rPr>
                <w:vertAlign w:val="superscript"/>
                <w:lang w:val="en-AU"/>
              </w:rPr>
              <w:t>d</w:t>
            </w:r>
          </w:p>
          <w:p w14:paraId="7A3EE3DF" w14:textId="1770D905" w:rsidR="005D0AC6" w:rsidRPr="00331240" w:rsidRDefault="005D0AC6" w:rsidP="0079699D">
            <w:pPr>
              <w:pStyle w:val="Tabletext"/>
              <w:spacing w:before="0" w:after="0"/>
              <w:rPr>
                <w:lang w:val="en-AU"/>
              </w:rPr>
            </w:pPr>
            <w:r w:rsidRPr="00331240">
              <w:rPr>
                <w:lang w:val="en-AU"/>
              </w:rPr>
              <w:t>3 months blinded phase (total FU = 18 months)</w:t>
            </w:r>
            <w:r w:rsidR="00A15443" w:rsidRPr="00331240">
              <w:rPr>
                <w:vertAlign w:val="superscript"/>
                <w:lang w:val="en-AU"/>
              </w:rPr>
              <w:t xml:space="preserve"> a</w:t>
            </w:r>
          </w:p>
        </w:tc>
        <w:tc>
          <w:tcPr>
            <w:tcW w:w="1134" w:type="dxa"/>
          </w:tcPr>
          <w:p w14:paraId="59B8D3FA" w14:textId="13EBD63A" w:rsidR="005D0AC6" w:rsidRPr="00331240" w:rsidRDefault="00095B82" w:rsidP="0079699D">
            <w:pPr>
              <w:pStyle w:val="Tabletext"/>
              <w:spacing w:before="0" w:after="0"/>
              <w:rPr>
                <w:lang w:val="en-AU"/>
              </w:rPr>
            </w:pPr>
            <w:r w:rsidRPr="00331240">
              <w:rPr>
                <w:lang w:val="en-AU"/>
              </w:rPr>
              <w:t>M</w:t>
            </w:r>
            <w:r w:rsidR="00A740E4" w:rsidRPr="00331240">
              <w:rPr>
                <w:lang w:val="en-AU"/>
              </w:rPr>
              <w:t>oderate</w:t>
            </w:r>
            <w:r w:rsidRPr="00331240">
              <w:rPr>
                <w:lang w:val="en-AU"/>
              </w:rPr>
              <w:t xml:space="preserve"> </w:t>
            </w:r>
          </w:p>
        </w:tc>
        <w:tc>
          <w:tcPr>
            <w:tcW w:w="1134" w:type="dxa"/>
          </w:tcPr>
          <w:p w14:paraId="22A9024D" w14:textId="789C69ED" w:rsidR="005D0AC6" w:rsidRPr="00331240" w:rsidRDefault="005D0AC6" w:rsidP="0079699D">
            <w:pPr>
              <w:pStyle w:val="Tabletext"/>
              <w:spacing w:before="0" w:after="0"/>
              <w:rPr>
                <w:lang w:val="en-AU"/>
              </w:rPr>
            </w:pPr>
            <w:r w:rsidRPr="00331240">
              <w:rPr>
                <w:szCs w:val="20"/>
                <w:lang w:val="en-AU" w:bidi="en-US"/>
              </w:rPr>
              <w:t>Complex focal, with or without secondary generalisation</w:t>
            </w:r>
          </w:p>
        </w:tc>
        <w:tc>
          <w:tcPr>
            <w:tcW w:w="2268" w:type="dxa"/>
          </w:tcPr>
          <w:p w14:paraId="342C3E6B" w14:textId="77777777" w:rsidR="005D0AC6" w:rsidRPr="00331240" w:rsidRDefault="005D0AC6" w:rsidP="0079699D">
            <w:pPr>
              <w:pStyle w:val="Tabletext"/>
              <w:spacing w:before="0" w:after="0"/>
              <w:rPr>
                <w:szCs w:val="20"/>
                <w:lang w:val="en-AU"/>
              </w:rPr>
            </w:pPr>
            <w:r w:rsidRPr="00331240">
              <w:rPr>
                <w:i/>
                <w:iCs/>
                <w:szCs w:val="20"/>
                <w:lang w:val="en-AU"/>
              </w:rPr>
              <w:t>Effectiveness</w:t>
            </w:r>
            <w:r w:rsidRPr="00331240">
              <w:rPr>
                <w:i/>
                <w:iCs/>
                <w:szCs w:val="20"/>
                <w:lang w:val="en-AU"/>
              </w:rPr>
              <w:br/>
            </w:r>
            <w:r w:rsidRPr="00331240">
              <w:rPr>
                <w:szCs w:val="20"/>
                <w:lang w:val="en-AU"/>
              </w:rPr>
              <w:t>Seizure frequency</w:t>
            </w:r>
          </w:p>
          <w:p w14:paraId="48CA0DB4" w14:textId="20636E7B" w:rsidR="005D0AC6" w:rsidRPr="00331240" w:rsidRDefault="005D0AC6" w:rsidP="0079699D">
            <w:pPr>
              <w:pStyle w:val="Tabletext"/>
              <w:spacing w:before="0" w:after="0"/>
              <w:rPr>
                <w:lang w:val="en-AU"/>
              </w:rPr>
            </w:pPr>
            <w:r w:rsidRPr="00331240">
              <w:rPr>
                <w:i/>
                <w:iCs/>
                <w:szCs w:val="20"/>
                <w:lang w:val="en-AU"/>
              </w:rPr>
              <w:t>Safety</w:t>
            </w:r>
            <w:r w:rsidRPr="00331240">
              <w:rPr>
                <w:i/>
                <w:iCs/>
                <w:szCs w:val="20"/>
                <w:lang w:val="en-AU"/>
              </w:rPr>
              <w:br/>
            </w:r>
            <w:r w:rsidRPr="00331240">
              <w:rPr>
                <w:szCs w:val="20"/>
                <w:lang w:val="en-AU"/>
              </w:rPr>
              <w:t>Adverse events</w:t>
            </w:r>
          </w:p>
        </w:tc>
        <w:tc>
          <w:tcPr>
            <w:tcW w:w="1083" w:type="dxa"/>
          </w:tcPr>
          <w:p w14:paraId="0A7C820B" w14:textId="1A54F16E" w:rsidR="005D0AC6" w:rsidRPr="00331240" w:rsidRDefault="005A1744" w:rsidP="0079699D">
            <w:pPr>
              <w:pStyle w:val="Tabletext"/>
              <w:spacing w:before="0" w:after="0"/>
              <w:rPr>
                <w:lang w:val="en-AU"/>
              </w:rPr>
            </w:pPr>
            <w:r w:rsidRPr="00331240">
              <w:rPr>
                <w:lang w:val="en-AU"/>
              </w:rPr>
              <w:t>Not used</w:t>
            </w:r>
          </w:p>
        </w:tc>
      </w:tr>
      <w:tr w:rsidR="00095B82" w:rsidRPr="00331240" w14:paraId="22D76678" w14:textId="77777777" w:rsidTr="00CD6416">
        <w:tc>
          <w:tcPr>
            <w:tcW w:w="1271" w:type="dxa"/>
          </w:tcPr>
          <w:p w14:paraId="5536D9DB" w14:textId="45B6DCE2" w:rsidR="00095B82" w:rsidRPr="00331240" w:rsidRDefault="00095B82" w:rsidP="0079699D">
            <w:pPr>
              <w:pStyle w:val="Tabletext"/>
              <w:spacing w:before="0" w:after="0"/>
              <w:rPr>
                <w:lang w:val="en-AU"/>
              </w:rPr>
            </w:pPr>
            <w:r w:rsidRPr="00331240">
              <w:rPr>
                <w:lang w:val="en-AU"/>
              </w:rPr>
              <w:t>Elger 2000</w:t>
            </w:r>
          </w:p>
        </w:tc>
        <w:tc>
          <w:tcPr>
            <w:tcW w:w="709" w:type="dxa"/>
          </w:tcPr>
          <w:p w14:paraId="34507AB4" w14:textId="244D1D95" w:rsidR="00095B82" w:rsidRPr="00331240" w:rsidRDefault="00095B82" w:rsidP="0079699D">
            <w:pPr>
              <w:pStyle w:val="Tabletext"/>
              <w:spacing w:before="0" w:after="0"/>
              <w:rPr>
                <w:lang w:val="en-AU"/>
              </w:rPr>
            </w:pPr>
            <w:r w:rsidRPr="00331240">
              <w:rPr>
                <w:szCs w:val="20"/>
                <w:lang w:val="en-AU" w:bidi="en-US"/>
              </w:rPr>
              <w:t>11</w:t>
            </w:r>
          </w:p>
        </w:tc>
        <w:tc>
          <w:tcPr>
            <w:tcW w:w="1417" w:type="dxa"/>
          </w:tcPr>
          <w:p w14:paraId="08A9CE99" w14:textId="6B0606DF" w:rsidR="00095B82" w:rsidRPr="00331240" w:rsidRDefault="001E3F8A" w:rsidP="0079699D">
            <w:pPr>
              <w:pStyle w:val="Tabletext"/>
              <w:spacing w:before="0" w:after="0"/>
              <w:rPr>
                <w:lang w:val="en-AU"/>
              </w:rPr>
            </w:pPr>
            <w:r w:rsidRPr="00331240">
              <w:rPr>
                <w:lang w:val="en-AU"/>
              </w:rPr>
              <w:t xml:space="preserve">Double-blind </w:t>
            </w:r>
            <w:r w:rsidR="00095B82" w:rsidRPr="00331240">
              <w:rPr>
                <w:lang w:val="en-AU"/>
              </w:rPr>
              <w:t>RCT</w:t>
            </w:r>
            <w:r w:rsidR="00095B82" w:rsidRPr="00331240">
              <w:rPr>
                <w:vertAlign w:val="superscript"/>
                <w:lang w:val="en-AU"/>
              </w:rPr>
              <w:t>d</w:t>
            </w:r>
          </w:p>
          <w:p w14:paraId="0E80248F" w14:textId="0129897E" w:rsidR="00095B82" w:rsidRPr="00331240" w:rsidRDefault="00095B82" w:rsidP="0079699D">
            <w:pPr>
              <w:pStyle w:val="Tabletext"/>
              <w:spacing w:before="0" w:after="0"/>
              <w:rPr>
                <w:lang w:val="en-AU"/>
              </w:rPr>
            </w:pPr>
            <w:r w:rsidRPr="00331240">
              <w:rPr>
                <w:lang w:val="en-AU"/>
              </w:rPr>
              <w:t>3 months blinded phase (total FU = 6 months)</w:t>
            </w:r>
            <w:r w:rsidRPr="00331240">
              <w:rPr>
                <w:vertAlign w:val="superscript"/>
                <w:lang w:val="en-AU"/>
              </w:rPr>
              <w:t xml:space="preserve"> a</w:t>
            </w:r>
          </w:p>
        </w:tc>
        <w:tc>
          <w:tcPr>
            <w:tcW w:w="1134" w:type="dxa"/>
          </w:tcPr>
          <w:p w14:paraId="65073B44" w14:textId="2AC433B2" w:rsidR="00095B82" w:rsidRPr="00331240" w:rsidRDefault="00095B82" w:rsidP="0079699D">
            <w:pPr>
              <w:pStyle w:val="Tabletext"/>
              <w:spacing w:before="0" w:after="0"/>
              <w:rPr>
                <w:lang w:val="en-AU"/>
              </w:rPr>
            </w:pPr>
            <w:r w:rsidRPr="00331240">
              <w:rPr>
                <w:lang w:val="en-AU"/>
              </w:rPr>
              <w:t xml:space="preserve">Moderate </w:t>
            </w:r>
          </w:p>
        </w:tc>
        <w:tc>
          <w:tcPr>
            <w:tcW w:w="1134" w:type="dxa"/>
          </w:tcPr>
          <w:p w14:paraId="61799E2E" w14:textId="2398918D" w:rsidR="00095B82" w:rsidRPr="00331240" w:rsidRDefault="00095B82" w:rsidP="0079699D">
            <w:pPr>
              <w:pStyle w:val="Tabletext"/>
              <w:spacing w:before="0" w:after="0"/>
              <w:rPr>
                <w:lang w:val="en-AU"/>
              </w:rPr>
            </w:pPr>
            <w:r w:rsidRPr="00331240">
              <w:rPr>
                <w:szCs w:val="20"/>
                <w:lang w:val="en-AU" w:bidi="en-US"/>
              </w:rPr>
              <w:t>Focal</w:t>
            </w:r>
          </w:p>
        </w:tc>
        <w:tc>
          <w:tcPr>
            <w:tcW w:w="2268" w:type="dxa"/>
          </w:tcPr>
          <w:p w14:paraId="219235D5" w14:textId="77777777" w:rsidR="00095B82" w:rsidRPr="00331240" w:rsidRDefault="00095B82" w:rsidP="0079699D">
            <w:pPr>
              <w:pStyle w:val="Tabletext"/>
              <w:spacing w:before="0" w:after="0"/>
              <w:rPr>
                <w:szCs w:val="20"/>
                <w:lang w:val="en-AU"/>
              </w:rPr>
            </w:pPr>
            <w:r w:rsidRPr="00331240">
              <w:rPr>
                <w:i/>
                <w:iCs/>
                <w:szCs w:val="20"/>
                <w:lang w:val="en-AU"/>
              </w:rPr>
              <w:t xml:space="preserve">Effectiveness </w:t>
            </w:r>
            <w:r w:rsidRPr="00331240">
              <w:rPr>
                <w:szCs w:val="20"/>
                <w:lang w:val="en-AU"/>
              </w:rPr>
              <w:t>Seizure frequency</w:t>
            </w:r>
          </w:p>
          <w:p w14:paraId="11B63BEE" w14:textId="0127FB5C" w:rsidR="00095B82" w:rsidRPr="00331240" w:rsidRDefault="00095B82" w:rsidP="0079699D">
            <w:pPr>
              <w:pStyle w:val="Tabletext"/>
              <w:spacing w:before="0" w:after="0"/>
              <w:rPr>
                <w:lang w:val="en-AU"/>
              </w:rPr>
            </w:pPr>
            <w:r w:rsidRPr="00331240">
              <w:rPr>
                <w:i/>
                <w:iCs/>
                <w:szCs w:val="20"/>
                <w:lang w:val="en-AU"/>
              </w:rPr>
              <w:t>Safety</w:t>
            </w:r>
            <w:r w:rsidRPr="00331240">
              <w:rPr>
                <w:i/>
                <w:iCs/>
                <w:szCs w:val="20"/>
                <w:lang w:val="en-AU"/>
              </w:rPr>
              <w:br/>
            </w:r>
            <w:r w:rsidRPr="00331240">
              <w:rPr>
                <w:szCs w:val="20"/>
                <w:lang w:val="en-AU"/>
              </w:rPr>
              <w:t>Mood changes</w:t>
            </w:r>
          </w:p>
        </w:tc>
        <w:tc>
          <w:tcPr>
            <w:tcW w:w="1083" w:type="dxa"/>
          </w:tcPr>
          <w:p w14:paraId="1725DE8C" w14:textId="47BED9F6" w:rsidR="00095B82" w:rsidRPr="00331240" w:rsidRDefault="005A1744" w:rsidP="0079699D">
            <w:pPr>
              <w:pStyle w:val="Tabletext"/>
              <w:spacing w:before="0" w:after="0"/>
              <w:rPr>
                <w:lang w:val="en-AU"/>
              </w:rPr>
            </w:pPr>
            <w:r w:rsidRPr="00331240">
              <w:rPr>
                <w:lang w:val="en-AU"/>
              </w:rPr>
              <w:t>Not used</w:t>
            </w:r>
          </w:p>
        </w:tc>
      </w:tr>
      <w:tr w:rsidR="00095B82" w:rsidRPr="00331240" w14:paraId="4C8505FD" w14:textId="77777777" w:rsidTr="00CD6416">
        <w:tc>
          <w:tcPr>
            <w:tcW w:w="1271" w:type="dxa"/>
          </w:tcPr>
          <w:p w14:paraId="2D70C4E8" w14:textId="7162C50A" w:rsidR="00095B82" w:rsidRPr="00331240" w:rsidRDefault="00095B82" w:rsidP="0079699D">
            <w:pPr>
              <w:pStyle w:val="Tabletext"/>
              <w:spacing w:before="0" w:after="0"/>
              <w:rPr>
                <w:lang w:val="en-AU"/>
              </w:rPr>
            </w:pPr>
            <w:r w:rsidRPr="00331240">
              <w:rPr>
                <w:lang w:val="en-AU"/>
              </w:rPr>
              <w:t>Lamdy 1993</w:t>
            </w:r>
          </w:p>
        </w:tc>
        <w:tc>
          <w:tcPr>
            <w:tcW w:w="709" w:type="dxa"/>
          </w:tcPr>
          <w:p w14:paraId="5A3EB92B" w14:textId="3D74A270" w:rsidR="00095B82" w:rsidRPr="00331240" w:rsidRDefault="00095B82" w:rsidP="0079699D">
            <w:pPr>
              <w:pStyle w:val="Tabletext"/>
              <w:spacing w:before="0" w:after="0"/>
              <w:rPr>
                <w:lang w:val="en-AU"/>
              </w:rPr>
            </w:pPr>
            <w:r w:rsidRPr="00331240">
              <w:rPr>
                <w:szCs w:val="20"/>
                <w:lang w:val="en-AU" w:bidi="en-US"/>
              </w:rPr>
              <w:t>9</w:t>
            </w:r>
          </w:p>
        </w:tc>
        <w:tc>
          <w:tcPr>
            <w:tcW w:w="1417" w:type="dxa"/>
          </w:tcPr>
          <w:p w14:paraId="7CB33894" w14:textId="3D90C621" w:rsidR="00095B82" w:rsidRPr="00331240" w:rsidRDefault="001E3F8A" w:rsidP="0079699D">
            <w:pPr>
              <w:pStyle w:val="Tabletext"/>
              <w:spacing w:before="0" w:after="0"/>
              <w:rPr>
                <w:lang w:val="en-AU"/>
              </w:rPr>
            </w:pPr>
            <w:r w:rsidRPr="00331240">
              <w:rPr>
                <w:lang w:val="en-AU"/>
              </w:rPr>
              <w:t xml:space="preserve">Double-blind </w:t>
            </w:r>
            <w:r w:rsidR="00095B82" w:rsidRPr="00331240">
              <w:rPr>
                <w:lang w:val="en-AU"/>
              </w:rPr>
              <w:t>RCT</w:t>
            </w:r>
            <w:r w:rsidR="00095B82" w:rsidRPr="00331240">
              <w:rPr>
                <w:vertAlign w:val="superscript"/>
                <w:lang w:val="en-AU"/>
              </w:rPr>
              <w:t>d</w:t>
            </w:r>
          </w:p>
          <w:p w14:paraId="33528C00" w14:textId="647AF438" w:rsidR="00095B82" w:rsidRPr="00331240" w:rsidRDefault="00095B82" w:rsidP="0079699D">
            <w:pPr>
              <w:pStyle w:val="Tabletext"/>
              <w:spacing w:before="0" w:after="0"/>
              <w:rPr>
                <w:lang w:val="en-AU"/>
              </w:rPr>
            </w:pPr>
            <w:r w:rsidRPr="00331240">
              <w:rPr>
                <w:lang w:val="en-AU"/>
              </w:rPr>
              <w:t>12</w:t>
            </w:r>
            <w:r w:rsidR="000D06C0" w:rsidRPr="00331240">
              <w:rPr>
                <w:lang w:val="en-AU"/>
              </w:rPr>
              <w:t>–</w:t>
            </w:r>
            <w:r w:rsidRPr="00331240">
              <w:rPr>
                <w:lang w:val="en-AU"/>
              </w:rPr>
              <w:t>17 weeks blinded phase</w:t>
            </w:r>
            <w:r w:rsidRPr="00331240">
              <w:rPr>
                <w:lang w:val="en-AU"/>
              </w:rPr>
              <w:br/>
              <w:t>(extension 6</w:t>
            </w:r>
            <w:r w:rsidR="000D06C0" w:rsidRPr="00331240">
              <w:rPr>
                <w:lang w:val="en-AU"/>
              </w:rPr>
              <w:t>–</w:t>
            </w:r>
            <w:r w:rsidRPr="00331240">
              <w:rPr>
                <w:lang w:val="en-AU"/>
              </w:rPr>
              <w:t>26 weeks; total length of FU unclear)</w:t>
            </w:r>
            <w:r w:rsidRPr="00331240">
              <w:rPr>
                <w:vertAlign w:val="superscript"/>
                <w:lang w:val="en-AU"/>
              </w:rPr>
              <w:t xml:space="preserve"> a</w:t>
            </w:r>
          </w:p>
        </w:tc>
        <w:tc>
          <w:tcPr>
            <w:tcW w:w="1134" w:type="dxa"/>
          </w:tcPr>
          <w:p w14:paraId="00D1ACA1" w14:textId="43FFF8E6" w:rsidR="00095B82" w:rsidRPr="00331240" w:rsidRDefault="00095B82" w:rsidP="0079699D">
            <w:pPr>
              <w:pStyle w:val="Tabletext"/>
              <w:spacing w:before="0" w:after="0"/>
              <w:rPr>
                <w:lang w:val="en-AU"/>
              </w:rPr>
            </w:pPr>
            <w:r w:rsidRPr="00331240">
              <w:rPr>
                <w:lang w:val="en-AU"/>
              </w:rPr>
              <w:t xml:space="preserve">Moderate </w:t>
            </w:r>
          </w:p>
        </w:tc>
        <w:tc>
          <w:tcPr>
            <w:tcW w:w="1134" w:type="dxa"/>
          </w:tcPr>
          <w:p w14:paraId="06D83AB0" w14:textId="2F14952E" w:rsidR="00095B82" w:rsidRPr="00331240" w:rsidRDefault="00095B82" w:rsidP="0079699D">
            <w:pPr>
              <w:pStyle w:val="Tabletext"/>
              <w:spacing w:before="0" w:after="0"/>
              <w:rPr>
                <w:lang w:val="en-AU"/>
              </w:rPr>
            </w:pPr>
            <w:r w:rsidRPr="00331240">
              <w:rPr>
                <w:szCs w:val="20"/>
                <w:lang w:val="en-AU" w:bidi="en-US"/>
              </w:rPr>
              <w:t>Complex focal seizures</w:t>
            </w:r>
          </w:p>
        </w:tc>
        <w:tc>
          <w:tcPr>
            <w:tcW w:w="2268" w:type="dxa"/>
          </w:tcPr>
          <w:p w14:paraId="75E296C4" w14:textId="77777777" w:rsidR="00095B82" w:rsidRPr="00331240" w:rsidRDefault="00095B82" w:rsidP="0079699D">
            <w:pPr>
              <w:pStyle w:val="Tabletext"/>
              <w:spacing w:before="0" w:after="0"/>
              <w:rPr>
                <w:szCs w:val="20"/>
                <w:lang w:val="en-AU"/>
              </w:rPr>
            </w:pPr>
            <w:r w:rsidRPr="00331240">
              <w:rPr>
                <w:i/>
                <w:iCs/>
                <w:szCs w:val="20"/>
                <w:lang w:val="en-AU"/>
              </w:rPr>
              <w:t>Effectiveness</w:t>
            </w:r>
            <w:r w:rsidRPr="00331240">
              <w:rPr>
                <w:i/>
                <w:iCs/>
                <w:szCs w:val="20"/>
                <w:lang w:val="en-AU"/>
              </w:rPr>
              <w:br/>
            </w:r>
            <w:r w:rsidRPr="00331240">
              <w:rPr>
                <w:szCs w:val="20"/>
                <w:lang w:val="en-AU"/>
              </w:rPr>
              <w:t>Seizure frequency</w:t>
            </w:r>
          </w:p>
          <w:p w14:paraId="30502D22" w14:textId="10BECCB3" w:rsidR="00095B82" w:rsidRPr="00331240" w:rsidRDefault="00095B82" w:rsidP="0079699D">
            <w:pPr>
              <w:pStyle w:val="Tabletext"/>
              <w:spacing w:before="0" w:after="0"/>
              <w:rPr>
                <w:lang w:val="en-AU"/>
              </w:rPr>
            </w:pPr>
            <w:r w:rsidRPr="00331240">
              <w:rPr>
                <w:i/>
                <w:iCs/>
                <w:szCs w:val="20"/>
                <w:lang w:val="en-AU"/>
              </w:rPr>
              <w:t>Safety</w:t>
            </w:r>
            <w:r w:rsidRPr="00331240">
              <w:rPr>
                <w:i/>
                <w:iCs/>
                <w:szCs w:val="20"/>
                <w:lang w:val="en-AU"/>
              </w:rPr>
              <w:br/>
            </w:r>
            <w:r w:rsidRPr="00331240">
              <w:rPr>
                <w:szCs w:val="20"/>
                <w:lang w:val="en-AU"/>
              </w:rPr>
              <w:t>Adverse events</w:t>
            </w:r>
          </w:p>
        </w:tc>
        <w:tc>
          <w:tcPr>
            <w:tcW w:w="1083" w:type="dxa"/>
          </w:tcPr>
          <w:p w14:paraId="0EE0435D" w14:textId="7FBC7EE7" w:rsidR="00095B82" w:rsidRPr="00331240" w:rsidRDefault="005A1744" w:rsidP="0079699D">
            <w:pPr>
              <w:pStyle w:val="Tabletext"/>
              <w:spacing w:before="0" w:after="0"/>
              <w:rPr>
                <w:lang w:val="en-AU"/>
              </w:rPr>
            </w:pPr>
            <w:r w:rsidRPr="00331240">
              <w:rPr>
                <w:lang w:val="en-AU"/>
              </w:rPr>
              <w:t>Not used</w:t>
            </w:r>
          </w:p>
        </w:tc>
      </w:tr>
    </w:tbl>
    <w:p w14:paraId="36A3E4EA" w14:textId="0609B7D8" w:rsidR="001B171F" w:rsidRPr="00331240" w:rsidRDefault="00A12D75" w:rsidP="004C0D00">
      <w:pPr>
        <w:pStyle w:val="Notes-TableFigure"/>
        <w:rPr>
          <w:lang w:val="en-AU"/>
        </w:rPr>
      </w:pPr>
      <w:r w:rsidRPr="00331240">
        <w:rPr>
          <w:b/>
          <w:bCs/>
          <w:lang w:val="en-AU"/>
        </w:rPr>
        <w:t>Abbreviations</w:t>
      </w:r>
      <w:r w:rsidRPr="00331240">
        <w:rPr>
          <w:lang w:val="en-AU"/>
        </w:rPr>
        <w:t xml:space="preserve">: </w:t>
      </w:r>
      <w:r w:rsidR="00D14533" w:rsidRPr="00331240">
        <w:rPr>
          <w:lang w:val="en-AU"/>
        </w:rPr>
        <w:t>DBS</w:t>
      </w:r>
      <w:r w:rsidR="00B02EDF" w:rsidRPr="00331240">
        <w:rPr>
          <w:lang w:val="en-AU"/>
        </w:rPr>
        <w:t xml:space="preserve"> =</w:t>
      </w:r>
      <w:r w:rsidR="00D14533" w:rsidRPr="00331240">
        <w:rPr>
          <w:lang w:val="en-AU"/>
        </w:rPr>
        <w:t xml:space="preserve"> deep brain stimulation; FU</w:t>
      </w:r>
      <w:r w:rsidR="00B02EDF" w:rsidRPr="00331240">
        <w:rPr>
          <w:lang w:val="en-AU"/>
        </w:rPr>
        <w:t xml:space="preserve"> =</w:t>
      </w:r>
      <w:r w:rsidR="00D14533" w:rsidRPr="00331240">
        <w:rPr>
          <w:lang w:val="en-AU"/>
        </w:rPr>
        <w:t xml:space="preserve"> follow-up; </w:t>
      </w:r>
      <w:r w:rsidR="00A676FE" w:rsidRPr="00331240">
        <w:rPr>
          <w:lang w:val="en-AU"/>
        </w:rPr>
        <w:t xml:space="preserve">OMT = optimised medical treatment; </w:t>
      </w:r>
      <w:r w:rsidR="00D14533" w:rsidRPr="00331240">
        <w:rPr>
          <w:lang w:val="en-AU"/>
        </w:rPr>
        <w:t>QoL</w:t>
      </w:r>
      <w:r w:rsidR="00B02EDF" w:rsidRPr="00331240">
        <w:rPr>
          <w:lang w:val="en-AU"/>
        </w:rPr>
        <w:t xml:space="preserve"> =</w:t>
      </w:r>
      <w:r w:rsidR="00D14533" w:rsidRPr="00331240">
        <w:rPr>
          <w:lang w:val="en-AU"/>
        </w:rPr>
        <w:t xml:space="preserve"> quality of life; RCT</w:t>
      </w:r>
      <w:r w:rsidR="00B02EDF" w:rsidRPr="00331240">
        <w:rPr>
          <w:lang w:val="en-AU"/>
        </w:rPr>
        <w:t xml:space="preserve"> =</w:t>
      </w:r>
      <w:r w:rsidR="00D14533" w:rsidRPr="00331240">
        <w:rPr>
          <w:lang w:val="en-AU"/>
        </w:rPr>
        <w:t xml:space="preserve"> randomised controlled trial; VNS</w:t>
      </w:r>
      <w:r w:rsidR="00B02EDF" w:rsidRPr="00331240">
        <w:rPr>
          <w:lang w:val="en-AU"/>
        </w:rPr>
        <w:t xml:space="preserve"> =</w:t>
      </w:r>
      <w:r w:rsidR="00D14533" w:rsidRPr="00331240">
        <w:rPr>
          <w:lang w:val="en-AU"/>
        </w:rPr>
        <w:t xml:space="preserve"> vagus nerve stimulation</w:t>
      </w:r>
    </w:p>
    <w:p w14:paraId="7AB909CC" w14:textId="6CBAFD79" w:rsidR="001F7241" w:rsidRPr="00331240" w:rsidRDefault="00A12D75" w:rsidP="0040366F">
      <w:pPr>
        <w:pStyle w:val="Notes-TableFigure"/>
        <w:rPr>
          <w:lang w:val="en-AU"/>
        </w:rPr>
      </w:pPr>
      <w:r w:rsidRPr="00331240">
        <w:rPr>
          <w:b/>
          <w:bCs/>
          <w:lang w:val="en-AU"/>
        </w:rPr>
        <w:t>Note</w:t>
      </w:r>
      <w:r w:rsidRPr="00331240">
        <w:rPr>
          <w:lang w:val="en-AU"/>
        </w:rPr>
        <w:t>:</w:t>
      </w:r>
      <w:r w:rsidRPr="00331240">
        <w:rPr>
          <w:vertAlign w:val="superscript"/>
          <w:lang w:val="en-AU"/>
        </w:rPr>
        <w:t xml:space="preserve"> </w:t>
      </w:r>
      <w:r w:rsidR="001F7241" w:rsidRPr="00331240">
        <w:rPr>
          <w:vertAlign w:val="superscript"/>
          <w:lang w:val="en-AU"/>
        </w:rPr>
        <w:t>a</w:t>
      </w:r>
      <w:r w:rsidR="001F7241" w:rsidRPr="00331240">
        <w:rPr>
          <w:lang w:val="en-AU"/>
        </w:rPr>
        <w:t xml:space="preserve"> All patients received therapeutic stimulation once the randomised, blinded phase of the trial concluded (case series data)</w:t>
      </w:r>
    </w:p>
    <w:p w14:paraId="2825E1EC" w14:textId="68FADB39" w:rsidR="00F26997" w:rsidRPr="00331240" w:rsidRDefault="00F26997" w:rsidP="0040366F">
      <w:pPr>
        <w:pStyle w:val="Notes-TableFigure"/>
        <w:rPr>
          <w:lang w:val="en-AU" w:bidi="en-US"/>
        </w:rPr>
      </w:pPr>
      <w:r w:rsidRPr="00331240">
        <w:rPr>
          <w:vertAlign w:val="superscript"/>
          <w:lang w:val="en-AU"/>
        </w:rPr>
        <w:t>b</w:t>
      </w:r>
      <w:r w:rsidRPr="00331240">
        <w:rPr>
          <w:lang w:val="en-AU" w:bidi="en-US"/>
        </w:rPr>
        <w:t xml:space="preserve"> Included patients 1</w:t>
      </w:r>
      <w:r w:rsidRPr="00331240">
        <w:rPr>
          <w:lang w:val="en-AU"/>
        </w:rPr>
        <w:t>7</w:t>
      </w:r>
      <w:r w:rsidRPr="00331240">
        <w:rPr>
          <w:lang w:val="en-AU" w:bidi="en-US"/>
        </w:rPr>
        <w:t xml:space="preserve"> years of age and older</w:t>
      </w:r>
    </w:p>
    <w:p w14:paraId="49B65C01" w14:textId="5B8B53E8" w:rsidR="000F7F12" w:rsidRPr="00331240" w:rsidRDefault="00F26997" w:rsidP="0040366F">
      <w:pPr>
        <w:pStyle w:val="Notes-TableFigure"/>
        <w:rPr>
          <w:lang w:val="en-AU" w:bidi="en-US"/>
        </w:rPr>
      </w:pPr>
      <w:r w:rsidRPr="00331240">
        <w:rPr>
          <w:vertAlign w:val="superscript"/>
          <w:lang w:val="en-AU"/>
        </w:rPr>
        <w:t>c</w:t>
      </w:r>
      <w:r w:rsidRPr="00331240">
        <w:rPr>
          <w:lang w:val="en-AU"/>
        </w:rPr>
        <w:t xml:space="preserve"> </w:t>
      </w:r>
      <w:r w:rsidR="000F7F12" w:rsidRPr="00331240">
        <w:rPr>
          <w:lang w:val="en-AU" w:bidi="en-US"/>
        </w:rPr>
        <w:t>Included patients 16 years of age and older</w:t>
      </w:r>
    </w:p>
    <w:p w14:paraId="73F46874" w14:textId="40A0A9A1" w:rsidR="000F7F12" w:rsidRPr="00331240" w:rsidRDefault="0040366F" w:rsidP="0040366F">
      <w:pPr>
        <w:pStyle w:val="Notes-TableFigure"/>
        <w:rPr>
          <w:lang w:val="en-AU"/>
        </w:rPr>
      </w:pPr>
      <w:r w:rsidRPr="00331240">
        <w:rPr>
          <w:vertAlign w:val="superscript"/>
          <w:lang w:val="en-AU" w:bidi="en-US"/>
        </w:rPr>
        <w:t>d</w:t>
      </w:r>
      <w:r w:rsidR="000F7F12" w:rsidRPr="00331240">
        <w:rPr>
          <w:lang w:val="en-AU" w:bidi="en-US"/>
        </w:rPr>
        <w:t xml:space="preserve"> </w:t>
      </w:r>
      <w:r w:rsidR="000F7F12" w:rsidRPr="00331240">
        <w:rPr>
          <w:lang w:val="en-AU"/>
        </w:rPr>
        <w:t xml:space="preserve">VNS and </w:t>
      </w:r>
      <w:r w:rsidR="00A676FE" w:rsidRPr="00331240">
        <w:rPr>
          <w:lang w:val="en-AU"/>
        </w:rPr>
        <w:t>OMT</w:t>
      </w:r>
      <w:r w:rsidR="000F7F12" w:rsidRPr="00331240">
        <w:rPr>
          <w:lang w:val="en-AU"/>
        </w:rPr>
        <w:t xml:space="preserve"> arms were treated as separate datasets and, thus, were considered as case</w:t>
      </w:r>
      <w:r w:rsidR="00A337C6" w:rsidRPr="00331240">
        <w:rPr>
          <w:lang w:val="en-AU"/>
        </w:rPr>
        <w:t>-</w:t>
      </w:r>
      <w:r w:rsidR="000F7F12" w:rsidRPr="00331240">
        <w:rPr>
          <w:lang w:val="en-AU"/>
        </w:rPr>
        <w:t>series studies for this review</w:t>
      </w:r>
    </w:p>
    <w:p w14:paraId="0E614124" w14:textId="58372DAB" w:rsidR="005F17E5" w:rsidRPr="00331240" w:rsidRDefault="005F17E5" w:rsidP="005F17E5">
      <w:pPr>
        <w:rPr>
          <w:b/>
          <w:bCs/>
        </w:rPr>
      </w:pPr>
      <w:r w:rsidRPr="00331240">
        <w:rPr>
          <w:b/>
          <w:bCs/>
        </w:rPr>
        <w:t xml:space="preserve">Limitations of the evidence base </w:t>
      </w:r>
    </w:p>
    <w:p w14:paraId="154FA52F" w14:textId="0678B8DA" w:rsidR="003D408F" w:rsidRPr="00331240" w:rsidRDefault="003D408F" w:rsidP="003D408F">
      <w:pPr>
        <w:spacing w:after="240"/>
      </w:pPr>
      <w:r w:rsidRPr="00331240">
        <w:t xml:space="preserve">The evidence base was limited not only by </w:t>
      </w:r>
      <w:r w:rsidR="00CE7564" w:rsidRPr="00331240">
        <w:t xml:space="preserve">the </w:t>
      </w:r>
      <w:r w:rsidRPr="00331240">
        <w:t xml:space="preserve">small number </w:t>
      </w:r>
      <w:r w:rsidR="000D06C0" w:rsidRPr="00331240">
        <w:t>of</w:t>
      </w:r>
      <w:r w:rsidRPr="00331240">
        <w:t xml:space="preserve"> patients</w:t>
      </w:r>
      <w:r w:rsidR="00AF48C4">
        <w:t>,</w:t>
      </w:r>
      <w:r w:rsidR="00CE7564" w:rsidRPr="00331240">
        <w:t xml:space="preserve"> </w:t>
      </w:r>
      <w:r w:rsidR="00A11C3E">
        <w:t xml:space="preserve">but also the </w:t>
      </w:r>
      <w:r w:rsidR="00CE7564" w:rsidRPr="00331240">
        <w:t xml:space="preserve">lack of direct </w:t>
      </w:r>
      <w:r w:rsidR="00F21C9C" w:rsidRPr="00331240">
        <w:t>comparisons</w:t>
      </w:r>
      <w:r w:rsidR="00CE7564" w:rsidRPr="00331240">
        <w:t xml:space="preserve"> between the interventions of interest</w:t>
      </w:r>
      <w:r w:rsidRPr="00331240">
        <w:t>. The limited duration of the blinded phases of the DBS trials</w:t>
      </w:r>
      <w:r w:rsidR="00F21C9C" w:rsidRPr="00331240">
        <w:t xml:space="preserve"> also</w:t>
      </w:r>
      <w:r w:rsidR="0003616B">
        <w:t xml:space="preserve"> </w:t>
      </w:r>
      <w:r w:rsidR="000D4C1F" w:rsidRPr="00331240">
        <w:t>presents a</w:t>
      </w:r>
      <w:r w:rsidR="007D51B4" w:rsidRPr="00331240">
        <w:t xml:space="preserve"> challenge </w:t>
      </w:r>
      <w:r w:rsidR="000D4C1F" w:rsidRPr="00331240">
        <w:t>in</w:t>
      </w:r>
      <w:r w:rsidR="007D51B4" w:rsidRPr="00331240">
        <w:t xml:space="preserve"> interpreting </w:t>
      </w:r>
      <w:r w:rsidRPr="00331240">
        <w:t>the available</w:t>
      </w:r>
      <w:r w:rsidR="002956DF" w:rsidRPr="00331240">
        <w:t xml:space="preserve"> comparative</w:t>
      </w:r>
      <w:r w:rsidRPr="00331240">
        <w:t xml:space="preserve"> evidence</w:t>
      </w:r>
      <w:r w:rsidR="000D4C1F" w:rsidRPr="00331240">
        <w:t xml:space="preserve"> because</w:t>
      </w:r>
      <w:r w:rsidRPr="00331240">
        <w:t xml:space="preserve"> the extension results of these and other studies strongly suggest that the positive effects of DBS increase over time</w:t>
      </w:r>
      <w:r w:rsidR="00735E6F" w:rsidRPr="00331240">
        <w:t xml:space="preserve"> (often many months to years)</w:t>
      </w:r>
      <w:r w:rsidR="00E8595C" w:rsidRPr="00331240">
        <w:t>.</w:t>
      </w:r>
      <w:r w:rsidRPr="00331240">
        <w:t xml:space="preserve"> Whether this cumulative effect also applies to the comparators is unclear. </w:t>
      </w:r>
    </w:p>
    <w:p w14:paraId="59E77984" w14:textId="5039FF48" w:rsidR="00C03913" w:rsidRPr="00331240" w:rsidRDefault="00C03913" w:rsidP="00C03913">
      <w:pPr>
        <w:spacing w:after="240"/>
      </w:pPr>
      <w:r w:rsidRPr="00331240">
        <w:t>The oldest patient included in the DBS studies was 61 years, with the average age of participants</w:t>
      </w:r>
      <w:r w:rsidR="00930827">
        <w:t xml:space="preserve"> in each study</w:t>
      </w:r>
      <w:r w:rsidRPr="00331240">
        <w:t xml:space="preserve"> ranging from 28 to 40 years. </w:t>
      </w:r>
      <w:r w:rsidR="00C267FB" w:rsidRPr="00331240">
        <w:t>Th</w:t>
      </w:r>
      <w:r w:rsidR="00D008EF" w:rsidRPr="00331240">
        <w:t xml:space="preserve">us, </w:t>
      </w:r>
      <w:r w:rsidRPr="00331240">
        <w:t>the available evidence provides no information on the use of DBS in older patients</w:t>
      </w:r>
      <w:r w:rsidR="00C77D57" w:rsidRPr="00331240">
        <w:t xml:space="preserve"> or young adults</w:t>
      </w:r>
      <w:r w:rsidRPr="00331240">
        <w:t>. In addition, all of the patients included in the studies had focal seizures</w:t>
      </w:r>
      <w:r w:rsidR="000D06C0" w:rsidRPr="00331240">
        <w:t>. I</w:t>
      </w:r>
      <w:r w:rsidRPr="00331240">
        <w:t>n some cases those with secondary generalised seizures were also included but their results could not be disaggregated. Consequently, the studies only provide evidence on the effects of DBS in patients with focal</w:t>
      </w:r>
      <w:r w:rsidR="00224E95" w:rsidRPr="00331240">
        <w:t xml:space="preserve"> epilepsy</w:t>
      </w:r>
      <w:r w:rsidR="000D06C0" w:rsidRPr="00331240">
        <w:t>. I</w:t>
      </w:r>
      <w:r w:rsidRPr="00331240">
        <w:t xml:space="preserve">t is </w:t>
      </w:r>
      <w:r w:rsidR="000D06C0" w:rsidRPr="00331240">
        <w:t>un</w:t>
      </w:r>
      <w:r w:rsidRPr="00331240">
        <w:t xml:space="preserve">known what proportion of Australians with severe drug refractory epilepsy fit this seizure profile. </w:t>
      </w:r>
    </w:p>
    <w:p w14:paraId="5E4531FE" w14:textId="09290FA1" w:rsidR="00DB7D14" w:rsidRPr="00331240" w:rsidRDefault="00CB4EC7" w:rsidP="00DB7D14">
      <w:r w:rsidRPr="00331240">
        <w:t>An additional concern with respect to applicability is the age of the evidence base</w:t>
      </w:r>
      <w:r w:rsidR="00D55485" w:rsidRPr="00331240">
        <w:t xml:space="preserve">. The most recently conducted study completed the last DBS implant in 2015, while the VNS and other DBS studies reported on surgeries conducted at least a decade ago </w:t>
      </w:r>
      <w:r w:rsidR="003F69CC" w:rsidRPr="00331240">
        <w:t>and, in some cases,</w:t>
      </w:r>
      <w:r w:rsidR="00D55485" w:rsidRPr="00331240">
        <w:t xml:space="preserve"> nearly 3 decades ago. </w:t>
      </w:r>
      <w:r w:rsidR="003F69CC" w:rsidRPr="00331240">
        <w:t xml:space="preserve">This </w:t>
      </w:r>
      <w:r w:rsidR="00667CF7" w:rsidRPr="00331240">
        <w:t xml:space="preserve">severely limits the applicability </w:t>
      </w:r>
      <w:r w:rsidR="008922E5" w:rsidRPr="00331240">
        <w:t xml:space="preserve">and validity </w:t>
      </w:r>
      <w:r w:rsidR="00667CF7" w:rsidRPr="00331240">
        <w:t xml:space="preserve">of the DBS and VNS </w:t>
      </w:r>
      <w:r w:rsidR="008922E5" w:rsidRPr="00331240">
        <w:t>comparisons</w:t>
      </w:r>
      <w:r w:rsidR="000D06C0" w:rsidRPr="00331240">
        <w:t>,</w:t>
      </w:r>
      <w:r w:rsidR="00667CF7" w:rsidRPr="00331240">
        <w:t xml:space="preserve"> as significant improvements in both hardware design and clinical aspects have occurred since these studies were conducted</w:t>
      </w:r>
      <w:r w:rsidR="008922E5" w:rsidRPr="00331240">
        <w:t>.</w:t>
      </w:r>
      <w:r w:rsidR="002961F4" w:rsidRPr="00331240">
        <w:t xml:space="preserve"> Thus, the assessed evidence base may overestimate the rates of device-related adverse events</w:t>
      </w:r>
      <w:r w:rsidR="008A227A">
        <w:t>,</w:t>
      </w:r>
      <w:r w:rsidR="002961F4" w:rsidRPr="00331240">
        <w:t xml:space="preserve"> underestimate the effectiveness associated with </w:t>
      </w:r>
      <w:r w:rsidR="001027CE" w:rsidRPr="00331240">
        <w:t>DBS and</w:t>
      </w:r>
      <w:r w:rsidR="002961F4" w:rsidRPr="00331240">
        <w:t xml:space="preserve"> m</w:t>
      </w:r>
      <w:r w:rsidR="00BD1C23" w:rsidRPr="00331240">
        <w:t>a</w:t>
      </w:r>
      <w:r w:rsidR="002961F4" w:rsidRPr="00331240">
        <w:t>y not reflect the results achievable in current practice.</w:t>
      </w:r>
    </w:p>
    <w:p w14:paraId="2A5ABCBC" w14:textId="78B597DB" w:rsidR="00A13E01" w:rsidRPr="00331240" w:rsidRDefault="00A13E01" w:rsidP="00A13E01">
      <w:pPr>
        <w:rPr>
          <w:b/>
          <w:bCs/>
        </w:rPr>
      </w:pPr>
      <w:r w:rsidRPr="00331240">
        <w:rPr>
          <w:b/>
          <w:bCs/>
        </w:rPr>
        <w:t xml:space="preserve">Forthcoming evidence </w:t>
      </w:r>
    </w:p>
    <w:p w14:paraId="5B731B4F" w14:textId="6461CCA4" w:rsidR="00010763" w:rsidRDefault="00155C77" w:rsidP="00E207E3">
      <w:r w:rsidRPr="00331240">
        <w:t xml:space="preserve">There are unlikely to be any </w:t>
      </w:r>
      <w:r w:rsidR="00DE6268" w:rsidRPr="00331240">
        <w:t xml:space="preserve">large RCTs </w:t>
      </w:r>
      <w:r w:rsidR="00F30C68" w:rsidRPr="00331240">
        <w:t xml:space="preserve">conducted to compare </w:t>
      </w:r>
      <w:r w:rsidR="00DE6268" w:rsidRPr="00331240">
        <w:t xml:space="preserve">DBS with </w:t>
      </w:r>
      <w:r w:rsidR="00A676FE" w:rsidRPr="00331240">
        <w:t>OMT</w:t>
      </w:r>
      <w:r w:rsidR="00DE6268" w:rsidRPr="00331240">
        <w:t xml:space="preserve"> </w:t>
      </w:r>
      <w:r w:rsidR="0021056B" w:rsidRPr="00331240">
        <w:t>in the near future</w:t>
      </w:r>
      <w:r w:rsidR="000D06C0" w:rsidRPr="00331240">
        <w:t>. T</w:t>
      </w:r>
      <w:r w:rsidR="00BB589C" w:rsidRPr="00331240">
        <w:t xml:space="preserve">he SANTE trial is generally considered </w:t>
      </w:r>
      <w:r w:rsidR="000D06C0" w:rsidRPr="00331240">
        <w:t xml:space="preserve">to be </w:t>
      </w:r>
      <w:r w:rsidR="00BB589C" w:rsidRPr="00331240">
        <w:t xml:space="preserve">the seminal trial that proved the effectiveness of DBS in patients with </w:t>
      </w:r>
      <w:r w:rsidR="00D64B5F" w:rsidRPr="00331240">
        <w:t>drug refractory</w:t>
      </w:r>
      <w:r w:rsidR="00BB589C" w:rsidRPr="00331240">
        <w:t xml:space="preserve"> epilepsy, due to its quality, size and long length of follow-up. However, </w:t>
      </w:r>
      <w:r w:rsidR="00C52161" w:rsidRPr="00331240">
        <w:t xml:space="preserve">an </w:t>
      </w:r>
      <w:r w:rsidR="00F30C68" w:rsidRPr="00331240">
        <w:t>open label RCT</w:t>
      </w:r>
      <w:r w:rsidR="004510F4">
        <w:rPr>
          <w:rStyle w:val="FootnoteReference"/>
        </w:rPr>
        <w:footnoteReference w:id="15"/>
      </w:r>
      <w:r w:rsidR="009379BE" w:rsidRPr="00331240">
        <w:t>, which</w:t>
      </w:r>
      <w:r w:rsidR="00C52161" w:rsidRPr="00331240">
        <w:t xml:space="preserve"> </w:t>
      </w:r>
      <w:r w:rsidR="009379BE" w:rsidRPr="00331240">
        <w:t>began enrolling patients in 2014, has</w:t>
      </w:r>
      <w:r w:rsidR="00C52161" w:rsidRPr="00331240">
        <w:t xml:space="preserve"> compared</w:t>
      </w:r>
      <w:r w:rsidR="001C797B" w:rsidRPr="00331240">
        <w:t xml:space="preserve"> the safety, effectiveness and cost-effectiveness of DBS with VNS over two years in 62 patients with </w:t>
      </w:r>
      <w:r w:rsidR="00D64B5F" w:rsidRPr="00331240">
        <w:t>drug refractory</w:t>
      </w:r>
      <w:r w:rsidR="001C797B" w:rsidRPr="00331240">
        <w:t xml:space="preserve"> focal or multifocal epilepsy with or without secondary generalised seizures </w:t>
      </w:r>
      <w:r w:rsidR="00FF6EEC" w:rsidRPr="00331240">
        <w:t>(NCT02076698). The results of this trial</w:t>
      </w:r>
      <w:r w:rsidR="00982280" w:rsidRPr="00331240">
        <w:t>, which was completed in November 2021,</w:t>
      </w:r>
      <w:r w:rsidR="00B37A5C" w:rsidRPr="00331240">
        <w:t xml:space="preserve"> </w:t>
      </w:r>
      <w:r w:rsidR="00FF6EEC" w:rsidRPr="00331240">
        <w:t xml:space="preserve">will </w:t>
      </w:r>
      <w:r w:rsidR="00674944" w:rsidRPr="00331240">
        <w:t>provide additional data to inform the question of whether DBS is more effective than VNS in the patient group relevant to this assessment</w:t>
      </w:r>
      <w:r w:rsidR="004A1D24" w:rsidRPr="00331240">
        <w:t>.</w:t>
      </w:r>
      <w:r w:rsidR="00D86D00" w:rsidRPr="00331240">
        <w:t xml:space="preserve"> However, there is currently no </w:t>
      </w:r>
      <w:r w:rsidR="00B37A5C" w:rsidRPr="00331240">
        <w:t>indication of when these results will be published.</w:t>
      </w:r>
    </w:p>
    <w:p w14:paraId="4777E63B" w14:textId="3C6E5D06" w:rsidR="00D97B0C" w:rsidRPr="007C29EB" w:rsidRDefault="00D97B0C" w:rsidP="00D97B0C">
      <w:pPr>
        <w:pStyle w:val="Heading2"/>
        <w:numPr>
          <w:ilvl w:val="0"/>
          <w:numId w:val="0"/>
        </w:numPr>
      </w:pPr>
      <w:r>
        <w:t>11.</w:t>
      </w:r>
      <w:r>
        <w:tab/>
        <w:t>Comparative safety</w:t>
      </w:r>
    </w:p>
    <w:p w14:paraId="1E17DE48" w14:textId="193931B8" w:rsidR="0048017A" w:rsidRPr="00331240" w:rsidRDefault="00585827" w:rsidP="00BE6D6B">
      <w:pPr>
        <w:rPr>
          <w:b/>
          <w:bCs/>
        </w:rPr>
      </w:pPr>
      <w:r w:rsidRPr="00331240">
        <w:rPr>
          <w:b/>
          <w:bCs/>
        </w:rPr>
        <w:t xml:space="preserve">DBS versus sham DBS </w:t>
      </w:r>
      <w:r w:rsidR="0048017A" w:rsidRPr="00331240">
        <w:rPr>
          <w:b/>
          <w:bCs/>
        </w:rPr>
        <w:t xml:space="preserve">or </w:t>
      </w:r>
      <w:r w:rsidR="00A676FE" w:rsidRPr="00331240">
        <w:rPr>
          <w:b/>
          <w:bCs/>
        </w:rPr>
        <w:t>OMT</w:t>
      </w:r>
      <w:r w:rsidR="0048017A" w:rsidRPr="00331240">
        <w:rPr>
          <w:b/>
          <w:bCs/>
        </w:rPr>
        <w:t xml:space="preserve"> </w:t>
      </w:r>
    </w:p>
    <w:p w14:paraId="69D97067" w14:textId="4151A211" w:rsidR="00CB248A" w:rsidRPr="00331240" w:rsidRDefault="00D662AE" w:rsidP="00CB248A">
      <w:r w:rsidRPr="00331240">
        <w:t xml:space="preserve">Safety outcomes in the </w:t>
      </w:r>
      <w:r w:rsidR="000D06C0" w:rsidRPr="00331240">
        <w:t xml:space="preserve">2 </w:t>
      </w:r>
      <w:r w:rsidRPr="00331240">
        <w:t xml:space="preserve">RCTs </w:t>
      </w:r>
      <w:r w:rsidR="004E375F" w:rsidRPr="00331240">
        <w:t>(SANTE tr</w:t>
      </w:r>
      <w:r w:rsidR="002D2317" w:rsidRPr="00331240">
        <w:t>ial 2010 and Herrman 201</w:t>
      </w:r>
      <w:r w:rsidR="00DC50D2" w:rsidRPr="00331240">
        <w:t>9</w:t>
      </w:r>
      <w:r w:rsidR="002D2317" w:rsidRPr="00331240">
        <w:t xml:space="preserve">) </w:t>
      </w:r>
      <w:r w:rsidRPr="00331240">
        <w:t>were reported for each intervention arm during the double-blind phase as well as for the entire cohort once all patients started receiving active DBS</w:t>
      </w:r>
      <w:r w:rsidR="0081306C" w:rsidRPr="00331240">
        <w:t xml:space="preserve"> (</w:t>
      </w:r>
      <w:r w:rsidR="00B12181" w:rsidRPr="00331240">
        <w:t>moderate quality evidence)</w:t>
      </w:r>
      <w:r w:rsidRPr="00331240">
        <w:t>. The self-controlled case</w:t>
      </w:r>
      <w:r w:rsidR="000D06C0" w:rsidRPr="00331240">
        <w:t>-</w:t>
      </w:r>
      <w:r w:rsidRPr="00331240">
        <w:t xml:space="preserve">series study did not report safety outcomes </w:t>
      </w:r>
      <w:r w:rsidR="003E7F4D" w:rsidRPr="00331240">
        <w:t>(</w:t>
      </w:r>
      <w:r w:rsidRPr="00331240">
        <w:t>Kulju 2018</w:t>
      </w:r>
      <w:r w:rsidR="003E7F4D" w:rsidRPr="00331240">
        <w:t>)</w:t>
      </w:r>
      <w:r w:rsidRPr="00331240">
        <w:t>.</w:t>
      </w:r>
      <w:r w:rsidR="00CB248A" w:rsidRPr="00331240">
        <w:t xml:space="preserve"> It should be noted that in the </w:t>
      </w:r>
      <w:r w:rsidR="000D06C0" w:rsidRPr="00331240">
        <w:t xml:space="preserve">2 </w:t>
      </w:r>
      <w:r w:rsidR="00CB248A" w:rsidRPr="00331240">
        <w:t>DBS RCTs surgical implantations occurred from December 2003 to March 2015, so the results may no</w:t>
      </w:r>
      <w:r w:rsidR="000D06C0" w:rsidRPr="00331240">
        <w:t>t</w:t>
      </w:r>
      <w:r w:rsidR="00CB248A" w:rsidRPr="00331240">
        <w:t xml:space="preserve"> reflect</w:t>
      </w:r>
      <w:r w:rsidR="000D06C0" w:rsidRPr="00331240">
        <w:t xml:space="preserve"> </w:t>
      </w:r>
      <w:r w:rsidR="00CB248A" w:rsidRPr="00331240">
        <w:t>current DBS technology, surgical techniques and stimulation setting algorithms.</w:t>
      </w:r>
    </w:p>
    <w:p w14:paraId="207720B5" w14:textId="1A1EB86B" w:rsidR="00585827" w:rsidRPr="00331240" w:rsidRDefault="00585827" w:rsidP="00585827">
      <w:r w:rsidRPr="00331240">
        <w:t>The rates of serious and non-serious treatment-related adverse events did not differ between groups in either RCT</w:t>
      </w:r>
      <w:r w:rsidR="00445C38" w:rsidRPr="00331240">
        <w:t xml:space="preserve"> during the blinded phase</w:t>
      </w:r>
      <w:r w:rsidRPr="00331240">
        <w:t xml:space="preserve">. Serious device-related adverse events occurred in 35% of patients in the SANTE trial, the majority </w:t>
      </w:r>
      <w:r w:rsidR="009F30CA" w:rsidRPr="00331240">
        <w:t>o</w:t>
      </w:r>
      <w:r w:rsidRPr="00331240">
        <w:t>f which occurred in the first year after implantation</w:t>
      </w:r>
      <w:r w:rsidR="000D06C0" w:rsidRPr="00331240">
        <w:t xml:space="preserve">. </w:t>
      </w:r>
      <w:r w:rsidRPr="00331240">
        <w:t>The most common of these in the operative phase were improper lead positioning (8%) and implant</w:t>
      </w:r>
      <w:r w:rsidR="000D06C0" w:rsidRPr="00331240">
        <w:t>-</w:t>
      </w:r>
      <w:r w:rsidRPr="00331240">
        <w:t xml:space="preserve">site infection (4%). </w:t>
      </w:r>
    </w:p>
    <w:p w14:paraId="152E8A29" w14:textId="58EB22EC" w:rsidR="00585827" w:rsidRPr="00331240" w:rsidRDefault="00585827" w:rsidP="00585827">
      <w:r w:rsidRPr="00331240">
        <w:t xml:space="preserve">While patients receiving active stimulation were more likely to report worsening </w:t>
      </w:r>
      <w:r w:rsidR="007F66B5" w:rsidRPr="00331240">
        <w:t>of</w:t>
      </w:r>
      <w:r w:rsidR="00554EC4" w:rsidRPr="00331240">
        <w:t xml:space="preserve"> </w:t>
      </w:r>
      <w:r w:rsidR="007F66B5" w:rsidRPr="00331240">
        <w:t xml:space="preserve">previously diagnosed </w:t>
      </w:r>
      <w:r w:rsidRPr="00331240">
        <w:t>or new onset depression</w:t>
      </w:r>
      <w:r w:rsidR="00860308" w:rsidRPr="00331240">
        <w:t xml:space="preserve"> (risk ratio</w:t>
      </w:r>
      <w:r w:rsidR="00C1781D" w:rsidRPr="00331240">
        <w:t xml:space="preserve"> [RR]</w:t>
      </w:r>
      <w:r w:rsidR="00860308" w:rsidRPr="00331240">
        <w:t xml:space="preserve"> 8.15, 95% confidence interval [CI] 1.05, 62.96) </w:t>
      </w:r>
      <w:r w:rsidRPr="00331240">
        <w:t>or memory impairment</w:t>
      </w:r>
      <w:r w:rsidR="00141548" w:rsidRPr="00331240">
        <w:t xml:space="preserve"> (RR 7.13, 95% CI 0.91, 56.02)</w:t>
      </w:r>
      <w:r w:rsidR="000E3700" w:rsidRPr="00331240">
        <w:t xml:space="preserve"> </w:t>
      </w:r>
      <w:r w:rsidR="001D0235" w:rsidRPr="00331240">
        <w:t>during the blinded phase</w:t>
      </w:r>
      <w:r w:rsidRPr="00331240">
        <w:t xml:space="preserve">, this was not </w:t>
      </w:r>
      <w:r w:rsidR="00B13DE2" w:rsidRPr="00331240">
        <w:t>reflected in the</w:t>
      </w:r>
      <w:r w:rsidRPr="00331240">
        <w:t xml:space="preserve"> objective measures for depression</w:t>
      </w:r>
      <w:r w:rsidR="00C1781D" w:rsidRPr="00331240">
        <w:t>,</w:t>
      </w:r>
      <w:r w:rsidRPr="00331240">
        <w:t xml:space="preserve"> anxiety and cognition</w:t>
      </w:r>
      <w:r w:rsidR="00B13DE2" w:rsidRPr="00331240">
        <w:t>.</w:t>
      </w:r>
      <w:r w:rsidR="000B7162" w:rsidRPr="00331240">
        <w:t xml:space="preserve"> </w:t>
      </w:r>
      <w:r w:rsidRPr="00331240">
        <w:t xml:space="preserve">Most of these events were non-serious and often resolved over the long-term phase of the trial. Over the </w:t>
      </w:r>
      <w:r w:rsidR="000D06C0" w:rsidRPr="00331240">
        <w:t>7</w:t>
      </w:r>
      <w:r w:rsidRPr="00331240">
        <w:t>-year follow-up period, there were no significant objective or subjective cognitive declines</w:t>
      </w:r>
      <w:r w:rsidR="00197D8F" w:rsidRPr="00331240">
        <w:t>,</w:t>
      </w:r>
      <w:r w:rsidRPr="00331240">
        <w:t xml:space="preserve"> neurobehavioral problems or affective distress relative to baseline in the 67 patients remaining in the study. </w:t>
      </w:r>
    </w:p>
    <w:p w14:paraId="35770888" w14:textId="31BEFC9E" w:rsidR="00585827" w:rsidRPr="00331240" w:rsidRDefault="00585827" w:rsidP="00585827">
      <w:r w:rsidRPr="00331240">
        <w:t xml:space="preserve">There were significantly fewer epilepsy-related injuries in the active stimulation group over the 3-month </w:t>
      </w:r>
      <w:r w:rsidR="00FB2F79" w:rsidRPr="00331240">
        <w:t xml:space="preserve">blinded </w:t>
      </w:r>
      <w:r w:rsidRPr="00331240">
        <w:t>period</w:t>
      </w:r>
      <w:r w:rsidR="00F14BA5" w:rsidRPr="00331240">
        <w:t xml:space="preserve"> (RR 0.29, 95% CI 0.10, 0.83)</w:t>
      </w:r>
      <w:r w:rsidR="00F069C6" w:rsidRPr="00331240">
        <w:t>; none of the events were serious</w:t>
      </w:r>
      <w:r w:rsidRPr="00331240">
        <w:t xml:space="preserve">. </w:t>
      </w:r>
      <w:r w:rsidR="00F069C6" w:rsidRPr="00331240">
        <w:t xml:space="preserve">There was no discernible difference between the </w:t>
      </w:r>
      <w:r w:rsidR="000D06C0" w:rsidRPr="00331240">
        <w:t xml:space="preserve">2 </w:t>
      </w:r>
      <w:r w:rsidR="00F069C6" w:rsidRPr="00331240">
        <w:t>groups with respect to any other individual adverse event</w:t>
      </w:r>
      <w:r w:rsidR="000D06C0" w:rsidRPr="00331240">
        <w:t>s</w:t>
      </w:r>
      <w:r w:rsidR="00F069C6" w:rsidRPr="00331240">
        <w:t>. After depression, memory impairment and epilepsy-related injuries, the most commonly reported complications were anxiety, dizziness and paraesthesia (tingling, shocking, vibration or a buzzing sensation).</w:t>
      </w:r>
    </w:p>
    <w:p w14:paraId="328F27BE" w14:textId="127FA9C4" w:rsidR="00585827" w:rsidRPr="00331240" w:rsidRDefault="00585827" w:rsidP="00585827">
      <w:r w:rsidRPr="00331240">
        <w:t xml:space="preserve">Assessment of extended harms in the SANTE trial found that the most frequent device-related adverse events </w:t>
      </w:r>
      <w:r w:rsidR="00A05CE9" w:rsidRPr="00331240">
        <w:t>r</w:t>
      </w:r>
      <w:r w:rsidR="006D7EA6" w:rsidRPr="00331240">
        <w:t xml:space="preserve">eported </w:t>
      </w:r>
      <w:r w:rsidRPr="00331240">
        <w:t xml:space="preserve">over the </w:t>
      </w:r>
      <w:r w:rsidR="000D06C0" w:rsidRPr="00331240">
        <w:t>7</w:t>
      </w:r>
      <w:r w:rsidRPr="00331240">
        <w:t xml:space="preserve">-year follow-up period were pain at the implant site (32%), paraesthesia (24%), device ineffectiveness (15%) and implant site infection (14%). </w:t>
      </w:r>
      <w:r w:rsidR="006D7EA6" w:rsidRPr="00331240">
        <w:t>During this time t</w:t>
      </w:r>
      <w:r w:rsidRPr="00331240">
        <w:t>he device was removed permanently in just over a quarter of the patients, and half required neurostimulator replacement for battery depletion after 2.2 years.</w:t>
      </w:r>
      <w:r w:rsidR="00F96874" w:rsidRPr="00331240">
        <w:t xml:space="preserve"> However,</w:t>
      </w:r>
      <w:r w:rsidR="007459EC" w:rsidRPr="00331240">
        <w:t xml:space="preserve"> </w:t>
      </w:r>
      <w:r w:rsidR="00C750B0" w:rsidRPr="00331240">
        <w:t xml:space="preserve">these data were collected from older devices implanted </w:t>
      </w:r>
      <w:r w:rsidR="00767B90" w:rsidRPr="00331240">
        <w:t>between 2003 and 2007. C</w:t>
      </w:r>
      <w:r w:rsidR="007459EC" w:rsidRPr="00331240">
        <w:t>urrent DBS stimulators have a projected battery life of more than 5 years, depending on the intensity and frequency of stimulation, and there are rechargeable stimulators now available that have a 15-year longevity</w:t>
      </w:r>
      <w:r w:rsidR="00767B90" w:rsidRPr="00331240">
        <w:t>.</w:t>
      </w:r>
      <w:r w:rsidR="004731E0" w:rsidRPr="00331240">
        <w:rPr>
          <w:rStyle w:val="FootnoteReference"/>
        </w:rPr>
        <w:footnoteReference w:id="16"/>
      </w:r>
    </w:p>
    <w:p w14:paraId="2097C7DE" w14:textId="47FF8C25" w:rsidR="00BC6DD4" w:rsidRPr="00331240" w:rsidRDefault="00BC6DD4" w:rsidP="00BC6DD4">
      <w:r w:rsidRPr="00331240">
        <w:t xml:space="preserve">Even though the comparisons were head-to-head, </w:t>
      </w:r>
      <w:r w:rsidR="00890DA8" w:rsidRPr="00331240">
        <w:t xml:space="preserve">sham </w:t>
      </w:r>
      <w:r w:rsidRPr="00331240">
        <w:t xml:space="preserve">DBS is a poor proxy for assessing the potential effects of </w:t>
      </w:r>
      <w:r w:rsidR="00A676FE" w:rsidRPr="00331240">
        <w:t>OMT</w:t>
      </w:r>
      <w:r w:rsidR="00E207E3">
        <w:t xml:space="preserve"> </w:t>
      </w:r>
      <w:r w:rsidR="00E54F9D" w:rsidRPr="00331240">
        <w:t>because the insertion of DBS electrodes into the brain can cause a lesion effect that has been shown to influence patient outcomes even when the unit is inactivated</w:t>
      </w:r>
      <w:r w:rsidR="00B86421" w:rsidRPr="00331240">
        <w:t>.</w:t>
      </w:r>
      <w:r w:rsidR="00EE1697" w:rsidRPr="00331240">
        <w:t xml:space="preserve"> It is unclear to what degree this</w:t>
      </w:r>
      <w:r w:rsidR="001A4BCD" w:rsidRPr="00331240">
        <w:t xml:space="preserve">, and the </w:t>
      </w:r>
      <w:r w:rsidR="00623460" w:rsidRPr="00331240">
        <w:t>potential</w:t>
      </w:r>
      <w:r w:rsidR="001A4BCD" w:rsidRPr="00331240">
        <w:t xml:space="preserve"> placebo effect of undergoing an invasive surgery,</w:t>
      </w:r>
      <w:r w:rsidR="00E54F9D" w:rsidRPr="00331240">
        <w:t xml:space="preserve"> </w:t>
      </w:r>
      <w:r w:rsidR="002625C8" w:rsidRPr="00331240">
        <w:t>would confound</w:t>
      </w:r>
      <w:r w:rsidR="00623460" w:rsidRPr="00331240">
        <w:t xml:space="preserve"> outcomes related to medication alone. </w:t>
      </w:r>
      <w:r w:rsidRPr="00331240">
        <w:t>A</w:t>
      </w:r>
      <w:r w:rsidR="00C26739" w:rsidRPr="00331240">
        <w:t>n indirect</w:t>
      </w:r>
      <w:r w:rsidRPr="00331240">
        <w:t xml:space="preserve"> naïve comparison of DBS and </w:t>
      </w:r>
      <w:r w:rsidR="00A676FE" w:rsidRPr="00331240">
        <w:t>OMT</w:t>
      </w:r>
      <w:r w:rsidRPr="00331240">
        <w:t xml:space="preserve"> </w:t>
      </w:r>
      <w:r w:rsidR="0081306C" w:rsidRPr="00331240">
        <w:t>(low</w:t>
      </w:r>
      <w:r w:rsidR="000D06C0" w:rsidRPr="00331240">
        <w:t>-</w:t>
      </w:r>
      <w:r w:rsidR="0081306C" w:rsidRPr="00331240">
        <w:t xml:space="preserve">quality evidence) </w:t>
      </w:r>
      <w:r w:rsidRPr="00331240">
        <w:t xml:space="preserve">indicated that </w:t>
      </w:r>
      <w:r w:rsidR="006C60BE" w:rsidRPr="00331240">
        <w:t>t</w:t>
      </w:r>
      <w:r w:rsidRPr="00331240">
        <w:t xml:space="preserve">hose receiving DBS were </w:t>
      </w:r>
      <w:r w:rsidR="000D06C0" w:rsidRPr="00331240">
        <w:t xml:space="preserve">4 </w:t>
      </w:r>
      <w:r w:rsidRPr="00331240">
        <w:t xml:space="preserve">times more likely to experience an adverse event and 30 times more likely to have a serious adverse event. </w:t>
      </w:r>
    </w:p>
    <w:p w14:paraId="4F875E2B" w14:textId="276DDE03" w:rsidR="00F42552" w:rsidRPr="00411CDC" w:rsidRDefault="00F42552" w:rsidP="00F42552">
      <w:pPr>
        <w:rPr>
          <w:b/>
          <w:lang w:val="fr-FR"/>
        </w:rPr>
      </w:pPr>
      <w:r w:rsidRPr="00411CDC">
        <w:rPr>
          <w:b/>
          <w:lang w:val="fr-FR"/>
        </w:rPr>
        <w:t xml:space="preserve">DBS versus </w:t>
      </w:r>
      <w:r w:rsidR="00C26739" w:rsidRPr="00411CDC">
        <w:rPr>
          <w:b/>
          <w:lang w:val="fr-FR"/>
        </w:rPr>
        <w:t>VNS (indirect naïve comparison)</w:t>
      </w:r>
    </w:p>
    <w:p w14:paraId="5E1D2DE9" w14:textId="0D90C40A" w:rsidR="00585827" w:rsidRPr="00331240" w:rsidRDefault="00C61305" w:rsidP="00474B62">
      <w:r w:rsidRPr="00331240">
        <w:t>Four of the included RCTs with therapeutic VNS treatment arms provided data on safety and effectiveness outcomes for a naïve indirect comparison with DBS</w:t>
      </w:r>
      <w:r w:rsidR="000C54FF" w:rsidRPr="00331240">
        <w:t xml:space="preserve">. </w:t>
      </w:r>
      <w:r w:rsidR="007F6C7C" w:rsidRPr="00331240">
        <w:t>However, the VNS studies are unlikely to be representative of current practice</w:t>
      </w:r>
      <w:r w:rsidR="000D06C0" w:rsidRPr="00331240">
        <w:t>,</w:t>
      </w:r>
      <w:r w:rsidR="007F6C7C" w:rsidRPr="00331240">
        <w:t xml:space="preserve"> given that the most recent VNS study performed the last VNS surgery in 2008</w:t>
      </w:r>
      <w:r w:rsidR="000D06C0" w:rsidRPr="00331240">
        <w:t xml:space="preserve"> and</w:t>
      </w:r>
      <w:r w:rsidR="007F6C7C" w:rsidRPr="00331240">
        <w:t xml:space="preserve"> the </w:t>
      </w:r>
      <w:r w:rsidR="000D06C0" w:rsidRPr="00331240">
        <w:t xml:space="preserve">3 </w:t>
      </w:r>
      <w:r w:rsidR="007F6C7C" w:rsidRPr="00331240">
        <w:t xml:space="preserve">other studies were conducted in the 1990s. </w:t>
      </w:r>
      <w:r w:rsidR="003B6E31" w:rsidRPr="00331240">
        <w:t>The very low</w:t>
      </w:r>
      <w:r w:rsidR="000D06C0" w:rsidRPr="00331240">
        <w:t>-</w:t>
      </w:r>
      <w:r w:rsidR="003B6E31" w:rsidRPr="00331240">
        <w:t xml:space="preserve"> to low</w:t>
      </w:r>
      <w:r w:rsidR="000D06C0" w:rsidRPr="00331240">
        <w:t>-</w:t>
      </w:r>
      <w:r w:rsidR="003B6E31" w:rsidRPr="00331240">
        <w:t xml:space="preserve">quality evidence suggested that </w:t>
      </w:r>
      <w:r w:rsidR="007F6C7C" w:rsidRPr="00331240">
        <w:t xml:space="preserve">patients undergoing DBS are twice as likely to experience a treatment-related adverse event </w:t>
      </w:r>
      <w:r w:rsidR="000535B6" w:rsidRPr="00331240">
        <w:t xml:space="preserve">during the 12 months following surgery </w:t>
      </w:r>
      <w:r w:rsidR="007F6C7C" w:rsidRPr="00331240">
        <w:t xml:space="preserve">than </w:t>
      </w:r>
      <w:r w:rsidR="00D60B1A" w:rsidRPr="00331240">
        <w:t xml:space="preserve">are </w:t>
      </w:r>
      <w:r w:rsidR="007F6C7C" w:rsidRPr="00331240">
        <w:t>those who receive VNS</w:t>
      </w:r>
      <w:r w:rsidR="003B6E31" w:rsidRPr="00331240">
        <w:t>.</w:t>
      </w:r>
    </w:p>
    <w:p w14:paraId="0750C769" w14:textId="1207380F" w:rsidR="00D97B0C" w:rsidRPr="007C29EB" w:rsidRDefault="00D97B0C" w:rsidP="00D97B0C">
      <w:pPr>
        <w:pStyle w:val="Heading2"/>
        <w:numPr>
          <w:ilvl w:val="0"/>
          <w:numId w:val="0"/>
        </w:numPr>
      </w:pPr>
      <w:r>
        <w:t>12.</w:t>
      </w:r>
      <w:r>
        <w:tab/>
        <w:t>Comparative effectiveness</w:t>
      </w:r>
    </w:p>
    <w:p w14:paraId="10556D30" w14:textId="6C27CDC7" w:rsidR="009417DF" w:rsidRPr="00331240" w:rsidRDefault="009417DF" w:rsidP="009417DF">
      <w:pPr>
        <w:rPr>
          <w:b/>
          <w:bCs/>
        </w:rPr>
      </w:pPr>
      <w:r w:rsidRPr="00331240">
        <w:rPr>
          <w:b/>
          <w:bCs/>
        </w:rPr>
        <w:t xml:space="preserve">DBS versus sham DBS or </w:t>
      </w:r>
      <w:r w:rsidR="00A676FE" w:rsidRPr="00331240">
        <w:rPr>
          <w:b/>
          <w:bCs/>
        </w:rPr>
        <w:t>OMT</w:t>
      </w:r>
      <w:r w:rsidRPr="00331240">
        <w:rPr>
          <w:b/>
          <w:bCs/>
        </w:rPr>
        <w:t xml:space="preserve"> </w:t>
      </w:r>
    </w:p>
    <w:p w14:paraId="6B69558B" w14:textId="02822840" w:rsidR="007A4BAE" w:rsidRPr="00331240" w:rsidRDefault="008B49BB" w:rsidP="007A4BAE">
      <w:r w:rsidRPr="00331240">
        <w:t xml:space="preserve">Effectiveness outcomes in the </w:t>
      </w:r>
      <w:r w:rsidR="00D60B1A" w:rsidRPr="00331240">
        <w:t xml:space="preserve">2 </w:t>
      </w:r>
      <w:r w:rsidRPr="00331240">
        <w:t xml:space="preserve">RCTs were reported for each intervention arm during the double-blind phase as well as for the entire cohort once all patients started receiving active DBS </w:t>
      </w:r>
      <w:r w:rsidR="00672EEA" w:rsidRPr="00331240">
        <w:t>(SANTE trial 2010 and Herrman 201</w:t>
      </w:r>
      <w:r w:rsidR="003A0392" w:rsidRPr="00331240">
        <w:t>9</w:t>
      </w:r>
      <w:r w:rsidR="00672EEA" w:rsidRPr="00331240">
        <w:t>)</w:t>
      </w:r>
      <w:r w:rsidRPr="00331240">
        <w:t xml:space="preserve">. In </w:t>
      </w:r>
      <w:r w:rsidR="007A4BAE" w:rsidRPr="00331240">
        <w:t xml:space="preserve">the SANTE trial, the only difference observed between the </w:t>
      </w:r>
      <w:r w:rsidR="00D60B1A" w:rsidRPr="00331240">
        <w:t>2</w:t>
      </w:r>
      <w:r w:rsidR="007A4BAE" w:rsidRPr="00331240">
        <w:t xml:space="preserve"> groups was a 17% reduction in seizures in patients receiving active stimulation. There was no discernible difference between the patient groups with respect to 50% responder rate</w:t>
      </w:r>
      <w:r w:rsidR="00FA5059" w:rsidRPr="00331240">
        <w:t>s</w:t>
      </w:r>
      <w:r w:rsidR="007A4BAE" w:rsidRPr="00331240">
        <w:t xml:space="preserve">, seizure severity, quality of life or rates of </w:t>
      </w:r>
      <w:r w:rsidR="005C4DC8" w:rsidRPr="00331240">
        <w:t>ep</w:t>
      </w:r>
      <w:r w:rsidR="00B91156" w:rsidRPr="00331240">
        <w:t>ilepsy- or device-related hospitalisations</w:t>
      </w:r>
      <w:r w:rsidR="00592143" w:rsidRPr="00331240">
        <w:t>.</w:t>
      </w:r>
      <w:r w:rsidR="00592143" w:rsidRPr="00331240">
        <w:rPr>
          <w:rStyle w:val="FootnoteReference"/>
        </w:rPr>
        <w:footnoteReference w:id="17"/>
      </w:r>
      <w:r w:rsidR="007A4BAE" w:rsidRPr="00331240">
        <w:t xml:space="preserve"> </w:t>
      </w:r>
      <w:r w:rsidR="00FA5059" w:rsidRPr="00331240">
        <w:t>These results do not appear to be affected by prior VNS or epilepsy surgery, although p</w:t>
      </w:r>
      <w:r w:rsidR="00626982" w:rsidRPr="00331240">
        <w:t xml:space="preserve">atients with seizures originating from the temporal lobe </w:t>
      </w:r>
      <w:r w:rsidR="00913B87" w:rsidRPr="00331240">
        <w:t xml:space="preserve">seemed to </w:t>
      </w:r>
      <w:r w:rsidR="00626982" w:rsidRPr="00331240">
        <w:t>have better outcomes than other patients.</w:t>
      </w:r>
      <w:r w:rsidR="00637018" w:rsidRPr="00331240">
        <w:t xml:space="preserve"> </w:t>
      </w:r>
      <w:r w:rsidR="0029369B" w:rsidRPr="00331240">
        <w:t xml:space="preserve">The </w:t>
      </w:r>
      <w:r w:rsidR="007A4BAE" w:rsidRPr="00331240">
        <w:t>smaller RCT</w:t>
      </w:r>
      <w:r w:rsidR="0029369B" w:rsidRPr="00331240">
        <w:t xml:space="preserve"> </w:t>
      </w:r>
      <w:r w:rsidR="007A4BAE" w:rsidRPr="00331240">
        <w:t>of 18 patients was unable to detect any difference</w:t>
      </w:r>
      <w:r w:rsidR="00E254E1" w:rsidRPr="00331240">
        <w:t xml:space="preserve">s </w:t>
      </w:r>
      <w:r w:rsidR="007A4BAE" w:rsidRPr="00331240">
        <w:t xml:space="preserve">in seizure frequency </w:t>
      </w:r>
      <w:r w:rsidR="005E1042" w:rsidRPr="00331240">
        <w:t xml:space="preserve">between active and sham DBS </w:t>
      </w:r>
      <w:r w:rsidR="007A4BAE" w:rsidRPr="00331240">
        <w:t>after 6 months of follow-up. The authors noted that this may be due</w:t>
      </w:r>
      <w:r w:rsidR="00D60B1A" w:rsidRPr="00331240">
        <w:t>, in part,</w:t>
      </w:r>
      <w:r w:rsidR="007A4BAE" w:rsidRPr="00331240">
        <w:t xml:space="preserve"> to the small sample size, possible suboptimal electrode positioning in some patients and using fixed stimulation parameters for all patients. </w:t>
      </w:r>
    </w:p>
    <w:p w14:paraId="4A20CA3D" w14:textId="22D3BE2F" w:rsidR="00F135B6" w:rsidRPr="00331240" w:rsidRDefault="007A4BAE" w:rsidP="007A4BAE">
      <w:r w:rsidRPr="00331240">
        <w:t xml:space="preserve">It has been suggested that the effects of DBS accrue over time (months to years) and that shorter follow-up periods may negatively bias against DBS. This is borne out by the extension period of the SANTE trial, which demonstrated a significant reduction in seizure frequency </w:t>
      </w:r>
      <w:r w:rsidR="00D60B1A" w:rsidRPr="00331240">
        <w:t xml:space="preserve">7 </w:t>
      </w:r>
      <w:r w:rsidRPr="00331240">
        <w:t xml:space="preserve">years after treatment: 74% (intention-to-treat </w:t>
      </w:r>
      <w:r w:rsidR="0064460D" w:rsidRPr="00331240">
        <w:t xml:space="preserve">[ITT] </w:t>
      </w:r>
      <w:r w:rsidRPr="00331240">
        <w:t>analysis, 68%) of the remaining 50 patients were 50% responders and had a median reduction in seizure frequency of 75% (</w:t>
      </w:r>
      <w:r w:rsidR="008F45A3" w:rsidRPr="00331240">
        <w:t>ITT</w:t>
      </w:r>
      <w:r w:rsidRPr="00331240">
        <w:t xml:space="preserve"> analysis, 70%). </w:t>
      </w:r>
      <w:r w:rsidR="008C4032">
        <w:br/>
      </w:r>
      <w:r w:rsidRPr="00331240">
        <w:t xml:space="preserve">In contrast, these values for the active treatment arm at 3 months were 30% for responders and a median reduction of 35%. </w:t>
      </w:r>
      <w:r w:rsidR="00D60B1A" w:rsidRPr="00331240">
        <w:t>M</w:t>
      </w:r>
      <w:r w:rsidRPr="00331240">
        <w:t>ean</w:t>
      </w:r>
      <w:r w:rsidR="00AF2433" w:rsidRPr="00331240">
        <w:t xml:space="preserve"> Liverpool Seizure Severity Scale</w:t>
      </w:r>
      <w:r w:rsidR="008758BB" w:rsidRPr="00331240">
        <w:t xml:space="preserve"> scores</w:t>
      </w:r>
      <w:r w:rsidRPr="00331240">
        <w:t xml:space="preserve"> had decreased by 37% (N</w:t>
      </w:r>
      <w:r w:rsidR="00D60B1A" w:rsidRPr="00331240">
        <w:t xml:space="preserve"> </w:t>
      </w:r>
      <w:r w:rsidRPr="00331240">
        <w:t>=</w:t>
      </w:r>
      <w:r w:rsidR="00D60B1A" w:rsidRPr="00331240">
        <w:t xml:space="preserve"> </w:t>
      </w:r>
      <w:r w:rsidRPr="00331240">
        <w:t xml:space="preserve">67). </w:t>
      </w:r>
      <w:r w:rsidR="00F135B6" w:rsidRPr="00331240">
        <w:t xml:space="preserve">Although improvements in adjunctive medications and the selective withdrawal of patients who were doing poorly could have confounded these results, the authors of the </w:t>
      </w:r>
      <w:r w:rsidR="00C94BA8" w:rsidRPr="00331240">
        <w:t>SANTE trial</w:t>
      </w:r>
      <w:r w:rsidR="00F135B6" w:rsidRPr="00331240">
        <w:t xml:space="preserve"> noted that patients treated with new medications did not improve any faster than those with stable medication regimens. In addition, an analysis of the data using a last</w:t>
      </w:r>
      <w:r w:rsidR="00D60B1A" w:rsidRPr="00331240">
        <w:t>-</w:t>
      </w:r>
      <w:r w:rsidR="00F135B6" w:rsidRPr="00331240">
        <w:t>observation</w:t>
      </w:r>
      <w:r w:rsidR="00D60B1A" w:rsidRPr="00331240">
        <w:t>-</w:t>
      </w:r>
      <w:r w:rsidR="00F135B6" w:rsidRPr="00331240">
        <w:t>carried</w:t>
      </w:r>
      <w:r w:rsidR="00D60B1A" w:rsidRPr="00331240">
        <w:t>-</w:t>
      </w:r>
      <w:r w:rsidR="00F135B6" w:rsidRPr="00331240">
        <w:t>forward imputation found that the results were</w:t>
      </w:r>
      <w:r w:rsidR="003275A8" w:rsidRPr="00331240">
        <w:t xml:space="preserve"> similar</w:t>
      </w:r>
      <w:r w:rsidR="00F135B6" w:rsidRPr="00331240">
        <w:t>.</w:t>
      </w:r>
    </w:p>
    <w:p w14:paraId="3233DBE8" w14:textId="5FB1D441" w:rsidR="00E14BA3" w:rsidRPr="00331240" w:rsidRDefault="00DA1517" w:rsidP="007A4BAE">
      <w:r w:rsidRPr="00331240">
        <w:t>An indirect naïve comparison of DBS and OMT (low-quality evidence) indicated that patients in both groups had similar 50% responder rates</w:t>
      </w:r>
      <w:r w:rsidRPr="00331240">
        <w:rPr>
          <w:rStyle w:val="FootnoteReference"/>
        </w:rPr>
        <w:footnoteReference w:id="18"/>
      </w:r>
      <w:r w:rsidRPr="00331240">
        <w:t xml:space="preserve"> at 12 months follow-up, but those receiving DBS experienced slightly greater improvements in quality of life. The range of improvement seen in the 2 outcomes shared by the DBS sham and OMT arms of separate RCTs was very similar (50% responder rates were 26% and 24%, respectively; quality of life improvements </w:t>
      </w:r>
      <w:r w:rsidR="00CD6416" w:rsidRPr="00331240">
        <w:t>was</w:t>
      </w:r>
      <w:r w:rsidRPr="00331240">
        <w:t xml:space="preserve"> 6% and 3%, respectively), suggesting that DBS sham may approximate OMT more closely than was originally thought.</w:t>
      </w:r>
    </w:p>
    <w:p w14:paraId="71D34179" w14:textId="14E64305" w:rsidR="009417DF" w:rsidRPr="00331240" w:rsidRDefault="009417DF" w:rsidP="009417DF">
      <w:pPr>
        <w:rPr>
          <w:b/>
          <w:bCs/>
        </w:rPr>
      </w:pPr>
      <w:r w:rsidRPr="00331240">
        <w:rPr>
          <w:b/>
          <w:bCs/>
        </w:rPr>
        <w:t xml:space="preserve">DBS versus VNS </w:t>
      </w:r>
    </w:p>
    <w:p w14:paraId="1575F876" w14:textId="6B75D26E" w:rsidR="00EC0D1E" w:rsidRPr="00331240" w:rsidRDefault="00340A5D" w:rsidP="00EC0D1E">
      <w:r w:rsidRPr="00331240">
        <w:t>The</w:t>
      </w:r>
      <w:r w:rsidR="00EC0D1E" w:rsidRPr="00331240">
        <w:t xml:space="preserve"> self-controlled case</w:t>
      </w:r>
      <w:r w:rsidR="00D60B1A" w:rsidRPr="00331240">
        <w:t>-</w:t>
      </w:r>
      <w:r w:rsidR="00EC0D1E" w:rsidRPr="00331240">
        <w:t>series study of 11 patients</w:t>
      </w:r>
      <w:r w:rsidRPr="00331240">
        <w:t xml:space="preserve"> reported</w:t>
      </w:r>
      <w:r w:rsidR="00EC0D1E" w:rsidRPr="00331240">
        <w:t xml:space="preserve"> no difference between DBS and VNS in the proportion of 50% responders (46% versus 56%; RR 0.83, 95% CI 0.36, 1.94). </w:t>
      </w:r>
      <w:r w:rsidR="00F235DC" w:rsidRPr="00331240">
        <w:t>However, thi</w:t>
      </w:r>
      <w:r w:rsidR="00946680" w:rsidRPr="00331240">
        <w:t>s study</w:t>
      </w:r>
      <w:r w:rsidR="00C465D9" w:rsidRPr="00331240">
        <w:t xml:space="preserve"> had poor internal validity and</w:t>
      </w:r>
      <w:r w:rsidR="00946680" w:rsidRPr="00331240">
        <w:t xml:space="preserve"> </w:t>
      </w:r>
      <w:r w:rsidR="004D64D8" w:rsidRPr="00331240">
        <w:t>a high risk of bias</w:t>
      </w:r>
      <w:r w:rsidR="009D4A82" w:rsidRPr="00331240">
        <w:t xml:space="preserve">. </w:t>
      </w:r>
      <w:r w:rsidR="002F0F8D" w:rsidRPr="00331240">
        <w:t>In addition, even though the patients acted as their own controls, the long period of VNS treatment (ranging from 2.7 to 7.3 years) prior to undergoing DBS means that outcomes for the latter could have been confounded by the fluctuating nature of epilepsy and any other factors influenced by patient age or duration of illness. The length of the washout period between VNS removal or inactivation and DBS implantation was also not reported.</w:t>
      </w:r>
    </w:p>
    <w:p w14:paraId="3AAC7610" w14:textId="31B0513E" w:rsidR="0025715F" w:rsidRPr="00331240" w:rsidRDefault="0025715F" w:rsidP="0025715F">
      <w:r w:rsidRPr="00331240">
        <w:t xml:space="preserve">Four of the included RCTs with therapeutic VNS treatment arms provided data on effectiveness outcomes for a naïve indirect comparison with DBS. However, the differing outcomes and follow-up lengths reported in the DBS and VNS studies limited the possible comparisons. In addition, the </w:t>
      </w:r>
      <w:r w:rsidR="00562376" w:rsidRPr="00331240">
        <w:t>a</w:t>
      </w:r>
      <w:r w:rsidR="00B06BB5" w:rsidRPr="00331240">
        <w:t>ge</w:t>
      </w:r>
      <w:r w:rsidR="00995E42" w:rsidRPr="00331240">
        <w:t xml:space="preserve"> of the </w:t>
      </w:r>
      <w:r w:rsidRPr="00331240">
        <w:t xml:space="preserve">VNS studies </w:t>
      </w:r>
      <w:r w:rsidR="00B06BB5" w:rsidRPr="00331240">
        <w:t xml:space="preserve">means that they </w:t>
      </w:r>
      <w:r w:rsidRPr="00331240">
        <w:t xml:space="preserve">are unlikely to be representative of current practice given that </w:t>
      </w:r>
      <w:r w:rsidR="005930AD">
        <w:t xml:space="preserve">in </w:t>
      </w:r>
      <w:r w:rsidRPr="00331240">
        <w:t xml:space="preserve">the most recent VNS study the last VNS surgery </w:t>
      </w:r>
      <w:r w:rsidR="005930AD">
        <w:t xml:space="preserve">was performed </w:t>
      </w:r>
      <w:r w:rsidRPr="00331240">
        <w:t>in 2008</w:t>
      </w:r>
      <w:r w:rsidR="00D60B1A" w:rsidRPr="00331240">
        <w:t xml:space="preserve"> and t</w:t>
      </w:r>
      <w:r w:rsidRPr="00331240">
        <w:t xml:space="preserve">he other </w:t>
      </w:r>
      <w:r w:rsidR="00D60B1A" w:rsidRPr="00331240">
        <w:t xml:space="preserve">3 </w:t>
      </w:r>
      <w:r w:rsidRPr="00331240">
        <w:t>studies were conducted in the 1990s. The low</w:t>
      </w:r>
      <w:r w:rsidR="00D60B1A" w:rsidRPr="00331240">
        <w:t>-</w:t>
      </w:r>
      <w:r w:rsidRPr="00331240">
        <w:t xml:space="preserve"> to </w:t>
      </w:r>
      <w:r w:rsidR="00FF585B" w:rsidRPr="00331240">
        <w:t xml:space="preserve">very </w:t>
      </w:r>
      <w:r w:rsidRPr="00331240">
        <w:t>low</w:t>
      </w:r>
      <w:r w:rsidR="00D60B1A" w:rsidRPr="00331240">
        <w:t>-</w:t>
      </w:r>
      <w:r w:rsidRPr="00331240">
        <w:t>quality evidence suggested that VNS and DBS have similar efficacy in terms of responder rates, reducing seizure frequency and improving quality of life</w:t>
      </w:r>
      <w:r w:rsidR="00DE6378" w:rsidRPr="00331240">
        <w:t xml:space="preserve"> </w:t>
      </w:r>
      <w:r w:rsidR="009274B7" w:rsidRPr="00331240">
        <w:t>up to 12 months after device implantation</w:t>
      </w:r>
      <w:r w:rsidRPr="00331240">
        <w:t xml:space="preserve">. </w:t>
      </w:r>
    </w:p>
    <w:p w14:paraId="3B57CF19" w14:textId="45D1A639" w:rsidR="007D558E" w:rsidRPr="00331240" w:rsidRDefault="007D558E" w:rsidP="00CA35BA">
      <w:pPr>
        <w:rPr>
          <w:b/>
          <w:bCs/>
        </w:rPr>
      </w:pPr>
      <w:r w:rsidRPr="00331240">
        <w:rPr>
          <w:b/>
          <w:bCs/>
        </w:rPr>
        <w:t>Clinical claim</w:t>
      </w:r>
    </w:p>
    <w:p w14:paraId="2EF69173" w14:textId="56B8111E" w:rsidR="007F666C" w:rsidRPr="00331240" w:rsidRDefault="007F666C" w:rsidP="007F666C">
      <w:r w:rsidRPr="00331240">
        <w:t xml:space="preserve">The evidence suggests that bilateral anterior thalamus DBS in patients with severe </w:t>
      </w:r>
      <w:r w:rsidR="00D64B5F" w:rsidRPr="00331240">
        <w:t>drug refractory</w:t>
      </w:r>
      <w:r w:rsidRPr="00331240">
        <w:t xml:space="preserve"> </w:t>
      </w:r>
      <w:r w:rsidR="009D5F74" w:rsidRPr="00331240">
        <w:t xml:space="preserve">focal </w:t>
      </w:r>
      <w:r w:rsidRPr="00331240">
        <w:t xml:space="preserve">epilepsy who are ineligible for curative brain surgery has </w:t>
      </w:r>
      <w:r w:rsidR="006B2E28" w:rsidRPr="00C10384">
        <w:t xml:space="preserve">non-inferior </w:t>
      </w:r>
      <w:r w:rsidRPr="00C10384">
        <w:t>effectiveness</w:t>
      </w:r>
      <w:r w:rsidRPr="00331240">
        <w:t xml:space="preserve"> and </w:t>
      </w:r>
      <w:r w:rsidRPr="00C10384">
        <w:t>inferior safety</w:t>
      </w:r>
      <w:r w:rsidRPr="00331240">
        <w:t xml:space="preserve"> relative to </w:t>
      </w:r>
      <w:r w:rsidRPr="00C10384">
        <w:t xml:space="preserve">VNS </w:t>
      </w:r>
      <w:r w:rsidRPr="00331240">
        <w:t xml:space="preserve">and </w:t>
      </w:r>
      <w:r w:rsidRPr="00C10384">
        <w:t>non-inferior effectiveness</w:t>
      </w:r>
      <w:r w:rsidRPr="00331240">
        <w:t xml:space="preserve"> and </w:t>
      </w:r>
      <w:r w:rsidRPr="00C10384">
        <w:t>inferior safety</w:t>
      </w:r>
      <w:r w:rsidRPr="00331240">
        <w:t xml:space="preserve"> relative to </w:t>
      </w:r>
      <w:r w:rsidR="00A676FE" w:rsidRPr="00C10384">
        <w:t>OMT</w:t>
      </w:r>
      <w:r w:rsidRPr="00331240">
        <w:t>.</w:t>
      </w:r>
    </w:p>
    <w:p w14:paraId="6739D281" w14:textId="23E691EF" w:rsidR="00F2042F" w:rsidRPr="00331240" w:rsidRDefault="00071CBB" w:rsidP="00F2042F">
      <w:r w:rsidRPr="00331240">
        <w:t xml:space="preserve">This conclusion is based on the combined direct and indirect comparison evidence summarised in </w:t>
      </w:r>
      <w:r w:rsidR="00B02EDF" w:rsidRPr="00331240">
        <w:fldChar w:fldCharType="begin"/>
      </w:r>
      <w:r w:rsidR="00B02EDF" w:rsidRPr="00331240">
        <w:instrText xml:space="preserve"> REF _Ref118757497 \h </w:instrText>
      </w:r>
      <w:r w:rsidR="00B02EDF" w:rsidRPr="00331240">
        <w:fldChar w:fldCharType="separate"/>
      </w:r>
      <w:r w:rsidR="00D4512D" w:rsidRPr="00331240">
        <w:t xml:space="preserve">Table </w:t>
      </w:r>
      <w:r w:rsidR="00D4512D">
        <w:rPr>
          <w:noProof/>
        </w:rPr>
        <w:t>11</w:t>
      </w:r>
      <w:r w:rsidR="00B02EDF" w:rsidRPr="00331240">
        <w:fldChar w:fldCharType="end"/>
      </w:r>
      <w:r w:rsidRPr="00331240">
        <w:t>.</w:t>
      </w:r>
      <w:r w:rsidR="00F2042F" w:rsidRPr="00331240">
        <w:t xml:space="preserve"> Indirect evidence from the VNS (k = 4 studies) and DBS treatment arms (k = 2) of separate RCTs suggested that VNS and DBS have similar efficacy in terms of responder rates (k = 3), reducing seizure frequency (k = 3) and improving QoL (k = 2). However, patients undergoing DBS are </w:t>
      </w:r>
      <w:r w:rsidR="006748A9" w:rsidRPr="00331240">
        <w:t>more likely</w:t>
      </w:r>
      <w:r w:rsidR="00F2042F" w:rsidRPr="00331240">
        <w:t xml:space="preserve"> to experience a treatment-related adverse event than those who receive VNS (k = 2). Limited direct (one very small self-controlled case series study) supported the finding that there is no difference between the two treatments with respect to the proportion of 50% responders. Therefore, it was determined that DBS has equivalent effectiveness and inferior safety compared with VNS. However, the confidence in this conclusion is low since patients in the DBS RCTs likely had more severe epilepsy than those in the VNS studies, and most of the evidence was derived from a naïve indirect comparison.</w:t>
      </w:r>
    </w:p>
    <w:p w14:paraId="4CB7D336" w14:textId="08C63E74" w:rsidR="00071CBB" w:rsidRPr="00331240" w:rsidRDefault="00F2042F" w:rsidP="00071CBB">
      <w:r w:rsidRPr="00331240">
        <w:t xml:space="preserve">Direct comparative evidence (k = 2) suggested that DBS and sham treatment have similar safety profiles, but that active DBS is more effective in reducing the frequency of seizures. Indirect comparative evidence from the DBS and OMT treatment arms of two separate RCTs indicated that these treatments are equally effective at reducing seizure frequency, although DBS provides a slightly better improvement in QoL. However, patients receiving DBS are </w:t>
      </w:r>
      <w:r w:rsidR="006748A9" w:rsidRPr="00331240">
        <w:t>far</w:t>
      </w:r>
      <w:r w:rsidRPr="00331240">
        <w:t xml:space="preserve"> more likely to experience an adverse event. The range of improvement seen in the 2 outcomes (50% responder rates and QoL improvements) shared by the DBS sham (k = 2) and OMT arms (k = 1) of the separate RCTs were very similar, suggesting that DBS sham may be a closer proxy to</w:t>
      </w:r>
      <w:r w:rsidR="00DB5FCD" w:rsidRPr="00331240">
        <w:t xml:space="preserve"> OMT </w:t>
      </w:r>
      <w:r w:rsidRPr="00331240">
        <w:t>than expected. However, the potential confounding influence of the microlesion and placebo effect of DBS surgery makes it difficult to assume that DBS is an equivalent substitute for OMT. Consequently, even though it would appear that DBS is slightly superior to OMT with respect to effectiveness, the confidence in the evidence base is low, necessitating a more conservative judgement of non-inferiority.</w:t>
      </w:r>
    </w:p>
    <w:p w14:paraId="2C620375" w14:textId="541F3081" w:rsidR="00B02EDF" w:rsidRPr="00331240" w:rsidRDefault="00B02EDF" w:rsidP="00B94945">
      <w:pPr>
        <w:pStyle w:val="Tableheader"/>
      </w:pPr>
      <w:bookmarkStart w:id="15" w:name="_Ref118757497"/>
      <w:r w:rsidRPr="00331240">
        <w:t xml:space="preserve">Table </w:t>
      </w:r>
      <w:r w:rsidRPr="00331240">
        <w:fldChar w:fldCharType="begin"/>
      </w:r>
      <w:r w:rsidRPr="00331240">
        <w:instrText>SEQ Table \* ARABIC</w:instrText>
      </w:r>
      <w:r w:rsidRPr="00331240">
        <w:fldChar w:fldCharType="separate"/>
      </w:r>
      <w:r w:rsidR="00D4512D">
        <w:rPr>
          <w:noProof/>
        </w:rPr>
        <w:t>11</w:t>
      </w:r>
      <w:r w:rsidRPr="00331240">
        <w:fldChar w:fldCharType="end"/>
      </w:r>
      <w:bookmarkEnd w:id="15"/>
      <w:r w:rsidRPr="00331240">
        <w:tab/>
        <w:t>Summary of the evidence base quality and direction of effect for the DBS comparisons</w:t>
      </w:r>
    </w:p>
    <w:tbl>
      <w:tblPr>
        <w:tblStyle w:val="OPTUMTableNormal"/>
        <w:tblW w:w="5000" w:type="pct"/>
        <w:tblLook w:val="01E0" w:firstRow="1" w:lastRow="1" w:firstColumn="1" w:lastColumn="1" w:noHBand="0" w:noVBand="0"/>
      </w:tblPr>
      <w:tblGrid>
        <w:gridCol w:w="1271"/>
        <w:gridCol w:w="1836"/>
        <w:gridCol w:w="2003"/>
        <w:gridCol w:w="1803"/>
        <w:gridCol w:w="2103"/>
      </w:tblGrid>
      <w:tr w:rsidR="00366496" w:rsidRPr="00331240" w14:paraId="0BE9B7F1" w14:textId="77777777" w:rsidTr="0016104B">
        <w:trPr>
          <w:cnfStyle w:val="100000000000" w:firstRow="1" w:lastRow="0" w:firstColumn="0" w:lastColumn="0" w:oddVBand="0" w:evenVBand="0" w:oddHBand="0" w:evenHBand="0" w:firstRowFirstColumn="0" w:firstRowLastColumn="0" w:lastRowFirstColumn="0" w:lastRowLastColumn="0"/>
          <w:trHeight w:val="454"/>
        </w:trPr>
        <w:tc>
          <w:tcPr>
            <w:tcW w:w="705" w:type="pct"/>
          </w:tcPr>
          <w:p w14:paraId="234E6BAB" w14:textId="5C640ACA" w:rsidR="00366496" w:rsidRPr="00331240" w:rsidRDefault="00366496" w:rsidP="00B02EDF">
            <w:pPr>
              <w:pStyle w:val="Tabletext"/>
              <w:rPr>
                <w:b/>
                <w:bCs/>
                <w:lang w:val="en-AU"/>
              </w:rPr>
            </w:pPr>
            <w:r w:rsidRPr="00331240">
              <w:rPr>
                <w:b/>
                <w:bCs/>
                <w:lang w:val="en-AU"/>
              </w:rPr>
              <w:t>Comparator</w:t>
            </w:r>
          </w:p>
        </w:tc>
        <w:tc>
          <w:tcPr>
            <w:tcW w:w="1018" w:type="pct"/>
          </w:tcPr>
          <w:p w14:paraId="12854901" w14:textId="71B5FD07" w:rsidR="00366496" w:rsidRPr="00331240" w:rsidRDefault="00366496" w:rsidP="00B02EDF">
            <w:pPr>
              <w:pStyle w:val="Tabletext"/>
              <w:rPr>
                <w:lang w:val="en-AU"/>
              </w:rPr>
            </w:pPr>
            <w:r w:rsidRPr="00331240">
              <w:rPr>
                <w:b/>
                <w:bCs/>
                <w:lang w:val="en-AU"/>
              </w:rPr>
              <w:t>DBS effectiveness</w:t>
            </w:r>
          </w:p>
        </w:tc>
        <w:tc>
          <w:tcPr>
            <w:tcW w:w="1111" w:type="pct"/>
          </w:tcPr>
          <w:p w14:paraId="1E4E6296" w14:textId="77777777" w:rsidR="00366496" w:rsidRPr="00331240" w:rsidRDefault="00366496" w:rsidP="00B02EDF">
            <w:pPr>
              <w:pStyle w:val="Tabletext"/>
              <w:rPr>
                <w:rFonts w:ascii="Cambria Math" w:hAnsi="Cambria Math" w:cs="Cambria Math"/>
                <w:color w:val="00B050"/>
                <w:szCs w:val="20"/>
                <w:lang w:val="en-AU"/>
              </w:rPr>
            </w:pPr>
          </w:p>
        </w:tc>
        <w:tc>
          <w:tcPr>
            <w:tcW w:w="1000" w:type="pct"/>
          </w:tcPr>
          <w:p w14:paraId="4028E950" w14:textId="7CB627E8" w:rsidR="00366496" w:rsidRPr="00331240" w:rsidRDefault="00366496" w:rsidP="00B02EDF">
            <w:pPr>
              <w:pStyle w:val="Tabletext"/>
              <w:rPr>
                <w:lang w:val="en-AU"/>
              </w:rPr>
            </w:pPr>
            <w:r w:rsidRPr="00331240">
              <w:rPr>
                <w:b/>
                <w:bCs/>
                <w:lang w:val="en-AU"/>
              </w:rPr>
              <w:t>DBS safety</w:t>
            </w:r>
          </w:p>
        </w:tc>
        <w:tc>
          <w:tcPr>
            <w:tcW w:w="1166" w:type="pct"/>
          </w:tcPr>
          <w:p w14:paraId="7C8B6D36" w14:textId="77777777" w:rsidR="00366496" w:rsidRPr="00331240" w:rsidRDefault="00366496" w:rsidP="00B02EDF">
            <w:pPr>
              <w:pStyle w:val="Tabletext"/>
              <w:rPr>
                <w:rFonts w:ascii="Cambria Math" w:hAnsi="Cambria Math" w:cs="Cambria Math"/>
                <w:color w:val="00B050"/>
                <w:szCs w:val="20"/>
                <w:lang w:val="en-AU"/>
              </w:rPr>
            </w:pPr>
          </w:p>
        </w:tc>
      </w:tr>
      <w:tr w:rsidR="00F47B74" w:rsidRPr="00331240" w14:paraId="5EDE6E03" w14:textId="77777777" w:rsidTr="0016104B">
        <w:trPr>
          <w:trHeight w:val="454"/>
        </w:trPr>
        <w:tc>
          <w:tcPr>
            <w:tcW w:w="705" w:type="pct"/>
          </w:tcPr>
          <w:p w14:paraId="1A2B90D3" w14:textId="77777777" w:rsidR="00B40CEF" w:rsidRPr="00331240" w:rsidRDefault="00B40CEF" w:rsidP="00B02EDF">
            <w:pPr>
              <w:pStyle w:val="Tabletext"/>
              <w:rPr>
                <w:b/>
                <w:bCs/>
                <w:lang w:val="en-AU"/>
              </w:rPr>
            </w:pPr>
            <w:r w:rsidRPr="00331240">
              <w:rPr>
                <w:b/>
                <w:bCs/>
                <w:lang w:val="en-AU"/>
              </w:rPr>
              <w:t xml:space="preserve">DBS sham </w:t>
            </w:r>
          </w:p>
        </w:tc>
        <w:tc>
          <w:tcPr>
            <w:tcW w:w="1018" w:type="pct"/>
          </w:tcPr>
          <w:p w14:paraId="145FBE3B" w14:textId="77777777" w:rsidR="00B40CEF" w:rsidRPr="00331240" w:rsidRDefault="00B40CEF" w:rsidP="00B02EDF">
            <w:pPr>
              <w:pStyle w:val="Tabletext"/>
              <w:rPr>
                <w:lang w:val="en-AU"/>
              </w:rPr>
            </w:pPr>
            <w:r w:rsidRPr="00331240">
              <w:rPr>
                <w:lang w:val="en-AU"/>
              </w:rPr>
              <w:t>Superior</w:t>
            </w:r>
          </w:p>
        </w:tc>
        <w:tc>
          <w:tcPr>
            <w:tcW w:w="1111" w:type="pct"/>
          </w:tcPr>
          <w:p w14:paraId="38118D2A" w14:textId="77777777" w:rsidR="00B40CEF" w:rsidRPr="00331240" w:rsidRDefault="00B40CEF" w:rsidP="00B02EDF">
            <w:pPr>
              <w:pStyle w:val="Tabletext"/>
              <w:rPr>
                <w:lang w:val="en-AU"/>
              </w:rPr>
            </w:pPr>
            <w:r w:rsidRPr="00331240">
              <w:rPr>
                <w:rFonts w:ascii="Cambria Math" w:hAnsi="Cambria Math" w:cs="Cambria Math"/>
                <w:color w:val="00B050"/>
                <w:szCs w:val="20"/>
                <w:lang w:val="en-AU"/>
              </w:rPr>
              <w:t>⨁⨁⨁</w:t>
            </w:r>
            <w:r w:rsidRPr="00331240">
              <w:rPr>
                <w:rFonts w:ascii="Cambria Math" w:hAnsi="Cambria Math" w:cs="Cambria Math"/>
                <w:color w:val="C00000"/>
                <w:szCs w:val="20"/>
                <w:lang w:val="en-AU"/>
              </w:rPr>
              <w:t>⨀</w:t>
            </w:r>
            <w:r w:rsidRPr="00331240">
              <w:rPr>
                <w:rFonts w:cs="Cambria Math"/>
                <w:lang w:val="en-AU"/>
              </w:rPr>
              <w:t xml:space="preserve"> </w:t>
            </w:r>
            <w:r w:rsidRPr="00331240">
              <w:rPr>
                <w:lang w:val="en-AU"/>
              </w:rPr>
              <w:t>Moderate</w:t>
            </w:r>
          </w:p>
        </w:tc>
        <w:tc>
          <w:tcPr>
            <w:tcW w:w="1000" w:type="pct"/>
          </w:tcPr>
          <w:p w14:paraId="146152C9" w14:textId="77777777" w:rsidR="00B40CEF" w:rsidRPr="00331240" w:rsidRDefault="00B40CEF" w:rsidP="00B02EDF">
            <w:pPr>
              <w:pStyle w:val="Tabletext"/>
              <w:rPr>
                <w:lang w:val="en-AU"/>
              </w:rPr>
            </w:pPr>
            <w:r w:rsidRPr="00331240">
              <w:rPr>
                <w:lang w:val="en-AU"/>
              </w:rPr>
              <w:t>Non-inferior</w:t>
            </w:r>
          </w:p>
        </w:tc>
        <w:tc>
          <w:tcPr>
            <w:tcW w:w="1166" w:type="pct"/>
          </w:tcPr>
          <w:p w14:paraId="74B1AA47" w14:textId="77777777" w:rsidR="00B40CEF" w:rsidRPr="00331240" w:rsidRDefault="00B40CEF" w:rsidP="00B02EDF">
            <w:pPr>
              <w:pStyle w:val="Tabletext"/>
              <w:rPr>
                <w:b/>
                <w:lang w:val="en-AU"/>
              </w:rPr>
            </w:pPr>
            <w:r w:rsidRPr="00331240">
              <w:rPr>
                <w:rFonts w:ascii="Cambria Math" w:hAnsi="Cambria Math" w:cs="Cambria Math"/>
                <w:color w:val="00B050"/>
                <w:szCs w:val="20"/>
                <w:lang w:val="en-AU"/>
              </w:rPr>
              <w:t>⨁⨁⨁</w:t>
            </w:r>
            <w:r w:rsidRPr="00331240">
              <w:rPr>
                <w:rFonts w:ascii="Cambria Math" w:hAnsi="Cambria Math" w:cs="Cambria Math"/>
                <w:color w:val="C00000"/>
                <w:szCs w:val="20"/>
                <w:lang w:val="en-AU"/>
              </w:rPr>
              <w:t>⨀</w:t>
            </w:r>
            <w:r w:rsidRPr="00331240">
              <w:rPr>
                <w:rFonts w:cs="Cambria Math"/>
                <w:lang w:val="en-AU"/>
              </w:rPr>
              <w:t xml:space="preserve"> </w:t>
            </w:r>
            <w:r w:rsidRPr="00331240">
              <w:rPr>
                <w:lang w:val="en-AU"/>
              </w:rPr>
              <w:t>Moderate</w:t>
            </w:r>
          </w:p>
        </w:tc>
      </w:tr>
      <w:tr w:rsidR="00F47B74" w:rsidRPr="00331240" w14:paraId="565E047D" w14:textId="77777777" w:rsidTr="0016104B">
        <w:trPr>
          <w:trHeight w:val="454"/>
        </w:trPr>
        <w:tc>
          <w:tcPr>
            <w:tcW w:w="705" w:type="pct"/>
          </w:tcPr>
          <w:p w14:paraId="162F4BA0" w14:textId="77777777" w:rsidR="00B40CEF" w:rsidRPr="00331240" w:rsidRDefault="00B40CEF" w:rsidP="00B02EDF">
            <w:pPr>
              <w:pStyle w:val="Tabletext"/>
              <w:rPr>
                <w:lang w:val="en-AU"/>
              </w:rPr>
            </w:pPr>
            <w:r w:rsidRPr="00331240">
              <w:rPr>
                <w:b/>
                <w:bCs/>
                <w:lang w:val="en-AU"/>
              </w:rPr>
              <w:t>OMT</w:t>
            </w:r>
          </w:p>
        </w:tc>
        <w:tc>
          <w:tcPr>
            <w:tcW w:w="1018" w:type="pct"/>
          </w:tcPr>
          <w:p w14:paraId="2F74E722" w14:textId="5FE09CD3" w:rsidR="00B40CEF" w:rsidRPr="00331240" w:rsidRDefault="00B40CEF" w:rsidP="00B02EDF">
            <w:pPr>
              <w:pStyle w:val="Tabletext"/>
              <w:rPr>
                <w:lang w:val="en-AU"/>
              </w:rPr>
            </w:pPr>
            <w:r w:rsidRPr="00331240">
              <w:rPr>
                <w:lang w:val="en-AU"/>
              </w:rPr>
              <w:t>Non-inferior</w:t>
            </w:r>
          </w:p>
        </w:tc>
        <w:tc>
          <w:tcPr>
            <w:tcW w:w="1111" w:type="pct"/>
          </w:tcPr>
          <w:p w14:paraId="32D3CB0F" w14:textId="77777777" w:rsidR="00B40CEF" w:rsidRPr="00331240" w:rsidRDefault="00B40CEF" w:rsidP="00B02EDF">
            <w:pPr>
              <w:pStyle w:val="Tabletext"/>
              <w:rPr>
                <w:lang w:val="en-AU"/>
              </w:rPr>
            </w:pPr>
            <w:r w:rsidRPr="00331240">
              <w:rPr>
                <w:rFonts w:ascii="Cambria Math" w:hAnsi="Cambria Math" w:cs="Cambria Math"/>
                <w:color w:val="00B050"/>
                <w:szCs w:val="20"/>
                <w:lang w:val="en-AU"/>
              </w:rPr>
              <w:t>⨁⨁</w:t>
            </w:r>
            <w:r w:rsidRPr="00331240">
              <w:rPr>
                <w:rFonts w:ascii="Cambria Math" w:hAnsi="Cambria Math" w:cs="Cambria Math"/>
                <w:color w:val="C00000"/>
                <w:szCs w:val="20"/>
                <w:lang w:val="en-AU"/>
              </w:rPr>
              <w:t>⨀⨀</w:t>
            </w:r>
            <w:r w:rsidRPr="00331240">
              <w:rPr>
                <w:rFonts w:cs="Cambria Math"/>
                <w:lang w:val="en-AU"/>
              </w:rPr>
              <w:t xml:space="preserve"> </w:t>
            </w:r>
            <w:r w:rsidRPr="00331240">
              <w:rPr>
                <w:lang w:val="en-AU"/>
              </w:rPr>
              <w:t>Low</w:t>
            </w:r>
          </w:p>
        </w:tc>
        <w:tc>
          <w:tcPr>
            <w:tcW w:w="1000" w:type="pct"/>
          </w:tcPr>
          <w:p w14:paraId="0221D1C6" w14:textId="77777777" w:rsidR="00B40CEF" w:rsidRPr="00331240" w:rsidRDefault="00B40CEF" w:rsidP="00B02EDF">
            <w:pPr>
              <w:pStyle w:val="Tabletext"/>
              <w:rPr>
                <w:lang w:val="en-AU"/>
              </w:rPr>
            </w:pPr>
            <w:r w:rsidRPr="00331240">
              <w:rPr>
                <w:lang w:val="en-AU"/>
              </w:rPr>
              <w:t>Inferior</w:t>
            </w:r>
          </w:p>
        </w:tc>
        <w:tc>
          <w:tcPr>
            <w:tcW w:w="1166" w:type="pct"/>
          </w:tcPr>
          <w:p w14:paraId="66794BCE" w14:textId="77777777" w:rsidR="00B40CEF" w:rsidRPr="00331240" w:rsidRDefault="00B40CEF" w:rsidP="00B02EDF">
            <w:pPr>
              <w:pStyle w:val="Tabletext"/>
              <w:rPr>
                <w:lang w:val="en-AU"/>
              </w:rPr>
            </w:pPr>
            <w:r w:rsidRPr="00331240">
              <w:rPr>
                <w:rFonts w:ascii="Cambria Math" w:hAnsi="Cambria Math" w:cs="Cambria Math"/>
                <w:color w:val="00B050"/>
                <w:szCs w:val="20"/>
                <w:lang w:val="en-AU"/>
              </w:rPr>
              <w:t>⨁⨁</w:t>
            </w:r>
            <w:r w:rsidRPr="00331240">
              <w:rPr>
                <w:rFonts w:ascii="Cambria Math" w:hAnsi="Cambria Math" w:cs="Cambria Math"/>
                <w:color w:val="C00000"/>
                <w:szCs w:val="20"/>
                <w:lang w:val="en-AU"/>
              </w:rPr>
              <w:t>⨀⨀</w:t>
            </w:r>
            <w:r w:rsidRPr="00331240">
              <w:rPr>
                <w:rFonts w:cs="Cambria Math"/>
                <w:lang w:val="en-AU"/>
              </w:rPr>
              <w:t xml:space="preserve"> </w:t>
            </w:r>
            <w:r w:rsidRPr="00331240">
              <w:rPr>
                <w:lang w:val="en-AU"/>
              </w:rPr>
              <w:t>Low</w:t>
            </w:r>
          </w:p>
        </w:tc>
      </w:tr>
      <w:tr w:rsidR="00F47B74" w:rsidRPr="00331240" w14:paraId="09E8AF09" w14:textId="77777777" w:rsidTr="0016104B">
        <w:trPr>
          <w:trHeight w:val="454"/>
        </w:trPr>
        <w:tc>
          <w:tcPr>
            <w:tcW w:w="705" w:type="pct"/>
          </w:tcPr>
          <w:p w14:paraId="6FDF1A68" w14:textId="77777777" w:rsidR="00B40CEF" w:rsidRPr="00331240" w:rsidRDefault="00B40CEF" w:rsidP="00B02EDF">
            <w:pPr>
              <w:pStyle w:val="Tabletext"/>
              <w:rPr>
                <w:b/>
                <w:bCs/>
                <w:lang w:val="en-AU"/>
              </w:rPr>
            </w:pPr>
            <w:r w:rsidRPr="00331240">
              <w:rPr>
                <w:b/>
                <w:bCs/>
                <w:lang w:val="en-AU"/>
              </w:rPr>
              <w:t>VNS</w:t>
            </w:r>
          </w:p>
        </w:tc>
        <w:tc>
          <w:tcPr>
            <w:tcW w:w="1018" w:type="pct"/>
          </w:tcPr>
          <w:p w14:paraId="5D04F04E" w14:textId="77777777" w:rsidR="00B40CEF" w:rsidRPr="00331240" w:rsidRDefault="00B40CEF" w:rsidP="00B02EDF">
            <w:pPr>
              <w:pStyle w:val="Tabletext"/>
              <w:rPr>
                <w:lang w:val="en-AU"/>
              </w:rPr>
            </w:pPr>
            <w:r w:rsidRPr="00331240">
              <w:rPr>
                <w:lang w:val="en-AU"/>
              </w:rPr>
              <w:t>Non-inferior</w:t>
            </w:r>
          </w:p>
        </w:tc>
        <w:tc>
          <w:tcPr>
            <w:tcW w:w="1111" w:type="pct"/>
          </w:tcPr>
          <w:p w14:paraId="2183C92A" w14:textId="77777777" w:rsidR="00B40CEF" w:rsidRPr="00331240" w:rsidRDefault="00B40CEF" w:rsidP="00B02EDF">
            <w:pPr>
              <w:pStyle w:val="Tabletext"/>
              <w:rPr>
                <w:rFonts w:ascii="Cambria Math" w:hAnsi="Cambria Math" w:cs="Cambria Math"/>
                <w:color w:val="00B050"/>
                <w:szCs w:val="20"/>
                <w:lang w:val="en-AU"/>
              </w:rPr>
            </w:pPr>
            <w:r w:rsidRPr="00331240">
              <w:rPr>
                <w:rFonts w:ascii="Cambria Math" w:hAnsi="Cambria Math" w:cs="Cambria Math"/>
                <w:color w:val="00B050"/>
                <w:szCs w:val="20"/>
                <w:lang w:val="en-AU"/>
              </w:rPr>
              <w:t>⨁⨁</w:t>
            </w:r>
            <w:r w:rsidRPr="00331240">
              <w:rPr>
                <w:rFonts w:ascii="Cambria Math" w:hAnsi="Cambria Math" w:cs="Cambria Math"/>
                <w:color w:val="C00000"/>
                <w:szCs w:val="20"/>
                <w:lang w:val="en-AU"/>
              </w:rPr>
              <w:t xml:space="preserve">⨀⨀ </w:t>
            </w:r>
            <w:r w:rsidRPr="00331240">
              <w:rPr>
                <w:rFonts w:cs="Tahoma"/>
                <w:szCs w:val="20"/>
                <w:lang w:val="en-AU"/>
              </w:rPr>
              <w:t>Low</w:t>
            </w:r>
          </w:p>
        </w:tc>
        <w:tc>
          <w:tcPr>
            <w:tcW w:w="1000" w:type="pct"/>
          </w:tcPr>
          <w:p w14:paraId="57C90827" w14:textId="77777777" w:rsidR="00B40CEF" w:rsidRPr="00331240" w:rsidRDefault="00B40CEF" w:rsidP="00B02EDF">
            <w:pPr>
              <w:pStyle w:val="Tabletext"/>
              <w:rPr>
                <w:lang w:val="en-AU"/>
              </w:rPr>
            </w:pPr>
            <w:r w:rsidRPr="00331240">
              <w:rPr>
                <w:rFonts w:ascii="MS Gothic" w:eastAsia="MS Gothic" w:hAnsi="MS Gothic" w:cs="MS Gothic"/>
                <w:lang w:val="en-AU"/>
              </w:rPr>
              <w:t>‒</w:t>
            </w:r>
          </w:p>
        </w:tc>
        <w:tc>
          <w:tcPr>
            <w:tcW w:w="1166" w:type="pct"/>
          </w:tcPr>
          <w:p w14:paraId="564AAD56" w14:textId="77777777" w:rsidR="00B40CEF" w:rsidRPr="00331240" w:rsidRDefault="00B40CEF" w:rsidP="00B02EDF">
            <w:pPr>
              <w:pStyle w:val="Tabletext"/>
              <w:rPr>
                <w:rFonts w:ascii="Cambria Math" w:hAnsi="Cambria Math" w:cs="Cambria Math"/>
                <w:color w:val="00B050"/>
                <w:szCs w:val="20"/>
                <w:lang w:val="en-AU"/>
              </w:rPr>
            </w:pPr>
            <w:r w:rsidRPr="00331240">
              <w:rPr>
                <w:rFonts w:ascii="MS Gothic" w:eastAsia="MS Gothic" w:hAnsi="MS Gothic" w:cs="MS Gothic"/>
                <w:lang w:val="en-AU"/>
              </w:rPr>
              <w:t>‒</w:t>
            </w:r>
          </w:p>
        </w:tc>
      </w:tr>
      <w:tr w:rsidR="00F47B74" w:rsidRPr="00331240" w14:paraId="6C61B3BA" w14:textId="77777777" w:rsidTr="0016104B">
        <w:trPr>
          <w:trHeight w:val="454"/>
        </w:trPr>
        <w:tc>
          <w:tcPr>
            <w:tcW w:w="705" w:type="pct"/>
          </w:tcPr>
          <w:p w14:paraId="3E8FAA3C" w14:textId="77777777" w:rsidR="00B40CEF" w:rsidRPr="00331240" w:rsidRDefault="00B40CEF" w:rsidP="00B02EDF">
            <w:pPr>
              <w:pStyle w:val="Tabletext"/>
              <w:rPr>
                <w:lang w:val="en-AU"/>
              </w:rPr>
            </w:pPr>
            <w:r w:rsidRPr="00331240">
              <w:rPr>
                <w:b/>
                <w:bCs/>
                <w:lang w:val="en-AU"/>
              </w:rPr>
              <w:t>VNS</w:t>
            </w:r>
          </w:p>
        </w:tc>
        <w:tc>
          <w:tcPr>
            <w:tcW w:w="1018" w:type="pct"/>
          </w:tcPr>
          <w:p w14:paraId="2882A1F4" w14:textId="77777777" w:rsidR="00B40CEF" w:rsidRPr="00331240" w:rsidRDefault="00B40CEF" w:rsidP="00B02EDF">
            <w:pPr>
              <w:pStyle w:val="Tabletext"/>
              <w:rPr>
                <w:lang w:val="en-AU"/>
              </w:rPr>
            </w:pPr>
            <w:r w:rsidRPr="00331240">
              <w:rPr>
                <w:lang w:val="en-AU"/>
              </w:rPr>
              <w:t>Non-inferior</w:t>
            </w:r>
          </w:p>
        </w:tc>
        <w:tc>
          <w:tcPr>
            <w:tcW w:w="1111" w:type="pct"/>
          </w:tcPr>
          <w:p w14:paraId="368BE588" w14:textId="77777777" w:rsidR="00B40CEF" w:rsidRPr="00331240" w:rsidRDefault="00B40CEF" w:rsidP="00B02EDF">
            <w:pPr>
              <w:pStyle w:val="Tabletext"/>
              <w:rPr>
                <w:lang w:val="en-AU"/>
              </w:rPr>
            </w:pPr>
            <w:r w:rsidRPr="00331240">
              <w:rPr>
                <w:rFonts w:ascii="Cambria Math" w:hAnsi="Cambria Math" w:cs="Cambria Math"/>
                <w:color w:val="00B050"/>
                <w:szCs w:val="20"/>
                <w:lang w:val="en-AU"/>
              </w:rPr>
              <w:t>⨁⨁</w:t>
            </w:r>
            <w:r w:rsidRPr="00331240">
              <w:rPr>
                <w:rFonts w:ascii="Cambria Math" w:hAnsi="Cambria Math" w:cs="Cambria Math"/>
                <w:color w:val="C00000"/>
                <w:szCs w:val="20"/>
                <w:lang w:val="en-AU"/>
              </w:rPr>
              <w:t>⨀⨀</w:t>
            </w:r>
            <w:r w:rsidRPr="00331240">
              <w:rPr>
                <w:rFonts w:cs="Cambria Math"/>
                <w:lang w:val="en-AU"/>
              </w:rPr>
              <w:t xml:space="preserve"> </w:t>
            </w:r>
            <w:r w:rsidRPr="00331240">
              <w:rPr>
                <w:lang w:val="en-AU"/>
              </w:rPr>
              <w:t>Low</w:t>
            </w:r>
            <w:r w:rsidRPr="00331240">
              <w:rPr>
                <w:lang w:val="en-AU"/>
              </w:rPr>
              <w:br/>
            </w:r>
            <w:r w:rsidRPr="00331240">
              <w:rPr>
                <w:rFonts w:ascii="Cambria Math" w:hAnsi="Cambria Math" w:cs="Cambria Math"/>
                <w:color w:val="00B050"/>
                <w:szCs w:val="20"/>
                <w:lang w:val="en-AU"/>
              </w:rPr>
              <w:t>⨁</w:t>
            </w:r>
            <w:r w:rsidRPr="00331240">
              <w:rPr>
                <w:rFonts w:ascii="Cambria Math" w:hAnsi="Cambria Math" w:cs="Cambria Math"/>
                <w:color w:val="C00000"/>
                <w:szCs w:val="20"/>
                <w:lang w:val="en-AU"/>
              </w:rPr>
              <w:t>⨀⨀⨀</w:t>
            </w:r>
            <w:r w:rsidRPr="00331240">
              <w:rPr>
                <w:rFonts w:cs="Cambria Math"/>
                <w:color w:val="C00000"/>
                <w:szCs w:val="20"/>
                <w:lang w:val="en-AU"/>
              </w:rPr>
              <w:t xml:space="preserve"> Very low</w:t>
            </w:r>
          </w:p>
        </w:tc>
        <w:tc>
          <w:tcPr>
            <w:tcW w:w="1000" w:type="pct"/>
          </w:tcPr>
          <w:p w14:paraId="2FF16EB8" w14:textId="77777777" w:rsidR="00B40CEF" w:rsidRPr="00331240" w:rsidRDefault="00B40CEF" w:rsidP="00B02EDF">
            <w:pPr>
              <w:pStyle w:val="Tabletext"/>
              <w:rPr>
                <w:lang w:val="en-AU"/>
              </w:rPr>
            </w:pPr>
            <w:r w:rsidRPr="00331240">
              <w:rPr>
                <w:lang w:val="en-AU"/>
              </w:rPr>
              <w:t>Inferior</w:t>
            </w:r>
          </w:p>
        </w:tc>
        <w:tc>
          <w:tcPr>
            <w:tcW w:w="1166" w:type="pct"/>
          </w:tcPr>
          <w:p w14:paraId="5C315A4A" w14:textId="77777777" w:rsidR="00B40CEF" w:rsidRPr="00331240" w:rsidRDefault="00B40CEF" w:rsidP="00B02EDF">
            <w:pPr>
              <w:pStyle w:val="Tabletext"/>
              <w:rPr>
                <w:b/>
                <w:lang w:val="en-AU"/>
              </w:rPr>
            </w:pPr>
            <w:r w:rsidRPr="00331240">
              <w:rPr>
                <w:rFonts w:ascii="Cambria Math" w:hAnsi="Cambria Math" w:cs="Cambria Math"/>
                <w:color w:val="00B050"/>
                <w:szCs w:val="20"/>
                <w:lang w:val="en-AU"/>
              </w:rPr>
              <w:t>⨁⨁</w:t>
            </w:r>
            <w:r w:rsidRPr="00331240">
              <w:rPr>
                <w:rFonts w:ascii="Cambria Math" w:hAnsi="Cambria Math" w:cs="Cambria Math"/>
                <w:color w:val="C00000"/>
                <w:szCs w:val="20"/>
                <w:lang w:val="en-AU"/>
              </w:rPr>
              <w:t>⨀⨀</w:t>
            </w:r>
            <w:r w:rsidRPr="00331240">
              <w:rPr>
                <w:rFonts w:cs="Cambria Math"/>
                <w:lang w:val="en-AU"/>
              </w:rPr>
              <w:t xml:space="preserve"> </w:t>
            </w:r>
            <w:r w:rsidRPr="00331240">
              <w:rPr>
                <w:lang w:val="en-AU"/>
              </w:rPr>
              <w:t>Low</w:t>
            </w:r>
          </w:p>
        </w:tc>
      </w:tr>
    </w:tbl>
    <w:p w14:paraId="3E906870" w14:textId="7B8E8DA8" w:rsidR="002D1AB7" w:rsidRPr="00331240" w:rsidRDefault="00B02EDF" w:rsidP="00B40CEF">
      <w:pPr>
        <w:pStyle w:val="Notes-TableFigure"/>
        <w:rPr>
          <w:lang w:val="en-AU"/>
        </w:rPr>
      </w:pPr>
      <w:r w:rsidRPr="00331240">
        <w:rPr>
          <w:b/>
          <w:bCs/>
          <w:lang w:val="en-AU"/>
        </w:rPr>
        <w:t>Note</w:t>
      </w:r>
      <w:r w:rsidRPr="00331240">
        <w:rPr>
          <w:lang w:val="en-AU"/>
        </w:rPr>
        <w:t xml:space="preserve">: </w:t>
      </w:r>
      <w:r w:rsidR="008D48F3" w:rsidRPr="00331240">
        <w:rPr>
          <w:lang w:val="en-AU"/>
        </w:rPr>
        <w:t>Bolded comparator name indicates direct comparison</w:t>
      </w:r>
    </w:p>
    <w:p w14:paraId="392C43E4" w14:textId="71935E0C" w:rsidR="00366CBF" w:rsidRPr="00331240" w:rsidRDefault="00B02EDF" w:rsidP="00BE6037">
      <w:pPr>
        <w:pStyle w:val="Notes-TableFigure"/>
        <w:spacing w:after="0"/>
        <w:rPr>
          <w:lang w:val="en-AU"/>
        </w:rPr>
      </w:pPr>
      <w:r w:rsidRPr="00331240">
        <w:rPr>
          <w:b/>
          <w:bCs/>
          <w:lang w:val="en-AU"/>
        </w:rPr>
        <w:t>Abbreviations</w:t>
      </w:r>
      <w:r w:rsidRPr="00331240">
        <w:rPr>
          <w:lang w:val="en-AU"/>
        </w:rPr>
        <w:t xml:space="preserve">: </w:t>
      </w:r>
      <w:r w:rsidR="008D48F3" w:rsidRPr="00331240">
        <w:rPr>
          <w:lang w:val="en-AU"/>
        </w:rPr>
        <w:t>DBS</w:t>
      </w:r>
      <w:r w:rsidRPr="00331240">
        <w:rPr>
          <w:lang w:val="en-AU"/>
        </w:rPr>
        <w:t xml:space="preserve"> =</w:t>
      </w:r>
      <w:r w:rsidR="008D48F3" w:rsidRPr="00331240">
        <w:rPr>
          <w:lang w:val="en-AU"/>
        </w:rPr>
        <w:t xml:space="preserve"> deep brain stimulation; OMT</w:t>
      </w:r>
      <w:r w:rsidRPr="00331240">
        <w:rPr>
          <w:lang w:val="en-AU"/>
        </w:rPr>
        <w:t xml:space="preserve"> =</w:t>
      </w:r>
      <w:r w:rsidR="008D48F3" w:rsidRPr="00331240">
        <w:rPr>
          <w:lang w:val="en-AU"/>
        </w:rPr>
        <w:t xml:space="preserve"> optimised medical treatment; VNS</w:t>
      </w:r>
      <w:r w:rsidRPr="00331240">
        <w:rPr>
          <w:lang w:val="en-AU"/>
        </w:rPr>
        <w:t xml:space="preserve"> =</w:t>
      </w:r>
      <w:r w:rsidR="008D48F3" w:rsidRPr="00331240">
        <w:rPr>
          <w:lang w:val="en-AU"/>
        </w:rPr>
        <w:t xml:space="preserve"> vagus nerve stimulation</w:t>
      </w:r>
    </w:p>
    <w:p w14:paraId="39FE520B" w14:textId="2C7EE3F5" w:rsidR="00D97B0C" w:rsidRPr="007C29EB" w:rsidRDefault="00D97B0C" w:rsidP="00D97B0C">
      <w:pPr>
        <w:pStyle w:val="Heading2"/>
        <w:numPr>
          <w:ilvl w:val="0"/>
          <w:numId w:val="0"/>
        </w:numPr>
      </w:pPr>
      <w:r>
        <w:t>13.</w:t>
      </w:r>
      <w:r>
        <w:tab/>
        <w:t>Economic evaluation</w:t>
      </w:r>
    </w:p>
    <w:p w14:paraId="3CF3E48D" w14:textId="6E757D31" w:rsidR="00AA7C6B" w:rsidRPr="00331240" w:rsidRDefault="00AA7C6B" w:rsidP="00A5396D">
      <w:r w:rsidRPr="00331240">
        <w:t xml:space="preserve">An economic evaluation has been undertaken in this assessment using a cost-utility approach, given the claim of superior clinical effectiveness and non-inferior safety of DBS for treatment of </w:t>
      </w:r>
      <w:r w:rsidR="00D64B5F" w:rsidRPr="00331240">
        <w:t>drug refractory</w:t>
      </w:r>
      <w:r w:rsidRPr="00331240">
        <w:t xml:space="preserve"> epilepsy compared to VNS</w:t>
      </w:r>
      <w:r w:rsidR="00383109" w:rsidRPr="00331240">
        <w:t xml:space="preserve"> and OMT</w:t>
      </w:r>
      <w:r w:rsidRPr="00331240">
        <w:t xml:space="preserve">. The model estimates costs per year of life, costs per seizure and cost per quality adjusted life year (QALY) gained as an incremental cost-utility ratio (ICUR). </w:t>
      </w:r>
    </w:p>
    <w:p w14:paraId="7393BA3B" w14:textId="6DBFC92C" w:rsidR="00AA7C6B" w:rsidRPr="00331240" w:rsidRDefault="00AA7C6B" w:rsidP="00A5396D">
      <w:r w:rsidRPr="00331240">
        <w:t xml:space="preserve">Cost-effectiveness has been conducted for DBS compared with VNS and </w:t>
      </w:r>
      <w:r w:rsidR="002F13A1" w:rsidRPr="00331240">
        <w:t>OMT</w:t>
      </w:r>
      <w:r w:rsidRPr="00331240">
        <w:t xml:space="preserve"> for adult patients with refractory epilepsy from a health system perspective in a series of steps. The first</w:t>
      </w:r>
      <w:r w:rsidR="00D60B1A" w:rsidRPr="00331240">
        <w:t xml:space="preserve"> step (</w:t>
      </w:r>
      <w:r w:rsidRPr="00331240">
        <w:t>trial</w:t>
      </w:r>
      <w:r w:rsidR="00D60B1A" w:rsidRPr="00331240">
        <w:t xml:space="preserve"> step)</w:t>
      </w:r>
      <w:r w:rsidRPr="00331240">
        <w:t xml:space="preserve"> is for 3 months</w:t>
      </w:r>
      <w:r w:rsidR="00D60B1A" w:rsidRPr="00331240">
        <w:t>,</w:t>
      </w:r>
      <w:r w:rsidRPr="00331240">
        <w:t xml:space="preserve"> reflecting the blinded phase of the pivotal SANTE trial. Extrapolated analyses are undertaken for 7 years (open phase of SANTE trial) and a lifetime analysis.</w:t>
      </w:r>
    </w:p>
    <w:p w14:paraId="623EEB3F" w14:textId="364D91B6" w:rsidR="008C4032" w:rsidRPr="00331240" w:rsidRDefault="00AA7C6B" w:rsidP="00A5396D">
      <w:r w:rsidRPr="00331240">
        <w:t xml:space="preserve">A Markov model has been developed based on </w:t>
      </w:r>
      <w:r w:rsidR="00D60B1A" w:rsidRPr="00331240">
        <w:t xml:space="preserve">the </w:t>
      </w:r>
      <w:r w:rsidRPr="00331240">
        <w:t>structure of Chan and colleagues</w:t>
      </w:r>
      <w:r w:rsidR="007D69F3" w:rsidRPr="00331240">
        <w:rPr>
          <w:rStyle w:val="FootnoteReference"/>
        </w:rPr>
        <w:footnoteReference w:id="19"/>
      </w:r>
      <w:r w:rsidRPr="00331240">
        <w:t xml:space="preserve"> applied in Australia using local resource costs and a range of updated assumptions based on recent studies. There are </w:t>
      </w:r>
      <w:r w:rsidR="00D60B1A" w:rsidRPr="00331240">
        <w:t xml:space="preserve">4 </w:t>
      </w:r>
      <w:r w:rsidRPr="00331240">
        <w:t>states in the model</w:t>
      </w:r>
      <w:r w:rsidR="00D60B1A" w:rsidRPr="00331240">
        <w:t>:</w:t>
      </w:r>
      <w:r w:rsidRPr="00331240">
        <w:t xml:space="preserve"> </w:t>
      </w:r>
      <w:r w:rsidR="00C32072" w:rsidRPr="00331240">
        <w:t>&lt;</w:t>
      </w:r>
      <w:r w:rsidRPr="00331240">
        <w:t xml:space="preserve">50% seizure reduction (≥10 seizures per month), </w:t>
      </w:r>
      <w:r w:rsidR="00C32072" w:rsidRPr="00331240">
        <w:t>&gt;</w:t>
      </w:r>
      <w:r w:rsidRPr="00331240">
        <w:t>50% seizure reduction (0</w:t>
      </w:r>
      <w:r w:rsidR="00D60B1A" w:rsidRPr="00331240">
        <w:t>–</w:t>
      </w:r>
      <w:r w:rsidR="00C32072" w:rsidRPr="00331240">
        <w:t xml:space="preserve">10 </w:t>
      </w:r>
      <w:r w:rsidRPr="00331240">
        <w:t>seizures per month), seizure</w:t>
      </w:r>
      <w:r w:rsidR="00D60B1A" w:rsidRPr="00331240">
        <w:t>-</w:t>
      </w:r>
      <w:r w:rsidRPr="00331240">
        <w:t xml:space="preserve">free and death. Death is an absorbing state </w:t>
      </w:r>
      <w:r w:rsidR="00D63A2C" w:rsidRPr="00331240">
        <w:t xml:space="preserve">to </w:t>
      </w:r>
      <w:r w:rsidRPr="00331240">
        <w:t>which patients can transition from all states.</w:t>
      </w:r>
    </w:p>
    <w:p w14:paraId="4139F2D5" w14:textId="0908DC56" w:rsidR="00AA7C6B" w:rsidRPr="00331240" w:rsidRDefault="00AA7C6B" w:rsidP="00B94945">
      <w:pPr>
        <w:pStyle w:val="Tableheader"/>
      </w:pPr>
      <w:r w:rsidRPr="00331240">
        <w:t xml:space="preserve">Table </w:t>
      </w:r>
      <w:r w:rsidRPr="00331240">
        <w:fldChar w:fldCharType="begin"/>
      </w:r>
      <w:r w:rsidRPr="00331240">
        <w:instrText>SEQ Table \* ARABIC</w:instrText>
      </w:r>
      <w:r w:rsidRPr="00331240">
        <w:fldChar w:fldCharType="separate"/>
      </w:r>
      <w:r w:rsidR="00D4512D">
        <w:rPr>
          <w:noProof/>
        </w:rPr>
        <w:t>12</w:t>
      </w:r>
      <w:r w:rsidRPr="00331240">
        <w:fldChar w:fldCharType="end"/>
      </w:r>
      <w:r w:rsidRPr="00331240">
        <w:tab/>
        <w:t>Summary of the economic evaluation</w:t>
      </w:r>
    </w:p>
    <w:tbl>
      <w:tblPr>
        <w:tblStyle w:val="OPTUMTableNormal"/>
        <w:tblW w:w="5000" w:type="pct"/>
        <w:tblLook w:val="01E0" w:firstRow="1" w:lastRow="1" w:firstColumn="1" w:lastColumn="1" w:noHBand="0" w:noVBand="0"/>
        <w:tblCaption w:val="Table 20 Summary of the economic evaluation"/>
        <w:tblDescription w:val="This table describes the key constructs of the economic evaluation that is provided in the assessment report."/>
      </w:tblPr>
      <w:tblGrid>
        <w:gridCol w:w="2689"/>
        <w:gridCol w:w="6327"/>
      </w:tblGrid>
      <w:tr w:rsidR="00AA7C6B" w:rsidRPr="00331240" w14:paraId="1715BED4" w14:textId="77777777" w:rsidTr="0016104B">
        <w:trPr>
          <w:cnfStyle w:val="100000000000" w:firstRow="1" w:lastRow="0" w:firstColumn="0" w:lastColumn="0" w:oddVBand="0" w:evenVBand="0" w:oddHBand="0" w:evenHBand="0" w:firstRowFirstColumn="0" w:firstRowLastColumn="0" w:lastRowFirstColumn="0" w:lastRowLastColumn="0"/>
          <w:trHeight w:val="20"/>
        </w:trPr>
        <w:tc>
          <w:tcPr>
            <w:tcW w:w="1491" w:type="pct"/>
          </w:tcPr>
          <w:p w14:paraId="6725AE8B" w14:textId="77777777" w:rsidR="00AA7C6B" w:rsidRPr="00331240" w:rsidRDefault="00AA7C6B" w:rsidP="000E1382">
            <w:pPr>
              <w:pStyle w:val="Tabletext"/>
              <w:spacing w:before="0" w:after="0"/>
              <w:rPr>
                <w:b/>
                <w:lang w:val="en-AU"/>
              </w:rPr>
            </w:pPr>
            <w:r w:rsidRPr="00331240">
              <w:rPr>
                <w:b/>
                <w:lang w:val="en-AU"/>
              </w:rPr>
              <w:t>Perspective</w:t>
            </w:r>
          </w:p>
        </w:tc>
        <w:tc>
          <w:tcPr>
            <w:tcW w:w="3509" w:type="pct"/>
          </w:tcPr>
          <w:p w14:paraId="2BA5EA2E" w14:textId="2F1A9938" w:rsidR="00AA7C6B" w:rsidRPr="00331240" w:rsidRDefault="00AA7C6B" w:rsidP="000E1382">
            <w:pPr>
              <w:pStyle w:val="Tabletext"/>
              <w:spacing w:before="0" w:after="0"/>
              <w:rPr>
                <w:lang w:val="en-AU"/>
              </w:rPr>
            </w:pPr>
            <w:r w:rsidRPr="00331240">
              <w:rPr>
                <w:lang w:val="en-AU"/>
              </w:rPr>
              <w:t>Australian health system</w:t>
            </w:r>
          </w:p>
        </w:tc>
      </w:tr>
      <w:tr w:rsidR="00AA7C6B" w:rsidRPr="00331240" w14:paraId="4C63F1B1" w14:textId="77777777" w:rsidTr="0016104B">
        <w:trPr>
          <w:trHeight w:val="20"/>
        </w:trPr>
        <w:tc>
          <w:tcPr>
            <w:tcW w:w="1491" w:type="pct"/>
          </w:tcPr>
          <w:p w14:paraId="384695DF" w14:textId="77777777" w:rsidR="00AA7C6B" w:rsidRPr="00331240" w:rsidRDefault="00AA7C6B" w:rsidP="000E1382">
            <w:pPr>
              <w:pStyle w:val="Tabletext"/>
              <w:spacing w:before="0" w:after="0"/>
              <w:rPr>
                <w:b/>
                <w:lang w:val="en-AU"/>
              </w:rPr>
            </w:pPr>
            <w:r w:rsidRPr="00331240">
              <w:rPr>
                <w:b/>
                <w:lang w:val="en-AU"/>
              </w:rPr>
              <w:t>Intervention</w:t>
            </w:r>
          </w:p>
        </w:tc>
        <w:tc>
          <w:tcPr>
            <w:tcW w:w="3509" w:type="pct"/>
          </w:tcPr>
          <w:p w14:paraId="06F05119" w14:textId="5C4A0C9A" w:rsidR="00AA7C6B" w:rsidRPr="00331240" w:rsidRDefault="00D63A2C" w:rsidP="000E1382">
            <w:pPr>
              <w:pStyle w:val="Tabletext"/>
              <w:spacing w:before="0" w:after="0"/>
              <w:contextualSpacing w:val="0"/>
              <w:jc w:val="both"/>
              <w:rPr>
                <w:lang w:val="en-AU"/>
              </w:rPr>
            </w:pPr>
            <w:r w:rsidRPr="00331240">
              <w:rPr>
                <w:lang w:val="en-AU"/>
              </w:rPr>
              <w:t>DBS</w:t>
            </w:r>
          </w:p>
        </w:tc>
      </w:tr>
      <w:tr w:rsidR="00AA7C6B" w:rsidRPr="00331240" w14:paraId="123BF2BE" w14:textId="77777777" w:rsidTr="0016104B">
        <w:trPr>
          <w:trHeight w:val="20"/>
        </w:trPr>
        <w:tc>
          <w:tcPr>
            <w:tcW w:w="1491" w:type="pct"/>
          </w:tcPr>
          <w:p w14:paraId="313BE353" w14:textId="77777777" w:rsidR="00AA7C6B" w:rsidRPr="00331240" w:rsidRDefault="00AA7C6B" w:rsidP="000E1382">
            <w:pPr>
              <w:pStyle w:val="Tabletext"/>
              <w:spacing w:before="0" w:after="0"/>
              <w:rPr>
                <w:b/>
                <w:lang w:val="en-AU"/>
              </w:rPr>
            </w:pPr>
            <w:r w:rsidRPr="00331240">
              <w:rPr>
                <w:b/>
                <w:lang w:val="en-AU"/>
              </w:rPr>
              <w:t>Comparators</w:t>
            </w:r>
          </w:p>
        </w:tc>
        <w:tc>
          <w:tcPr>
            <w:tcW w:w="3509" w:type="pct"/>
          </w:tcPr>
          <w:p w14:paraId="6FC92276" w14:textId="358423D0" w:rsidR="00AA7C6B" w:rsidRPr="00CD6416" w:rsidRDefault="00D63A2C" w:rsidP="000E1382">
            <w:pPr>
              <w:pStyle w:val="Tablecontents"/>
              <w:spacing w:before="0" w:after="0"/>
              <w:jc w:val="left"/>
              <w:rPr>
                <w:rFonts w:cstheme="minorHAnsi"/>
              </w:rPr>
            </w:pPr>
            <w:r w:rsidRPr="00331240">
              <w:rPr>
                <w:rFonts w:cstheme="minorHAnsi"/>
              </w:rPr>
              <w:t>VNS</w:t>
            </w:r>
            <w:r w:rsidR="00F34350" w:rsidRPr="00331240">
              <w:rPr>
                <w:rFonts w:cstheme="minorHAnsi"/>
              </w:rPr>
              <w:t xml:space="preserve"> and OMT</w:t>
            </w:r>
          </w:p>
        </w:tc>
      </w:tr>
      <w:tr w:rsidR="00AA7C6B" w:rsidRPr="00331240" w14:paraId="01B6866C" w14:textId="77777777" w:rsidTr="0016104B">
        <w:trPr>
          <w:trHeight w:val="20"/>
        </w:trPr>
        <w:tc>
          <w:tcPr>
            <w:tcW w:w="1491" w:type="pct"/>
          </w:tcPr>
          <w:p w14:paraId="20DC2FD4" w14:textId="77777777" w:rsidR="00AA7C6B" w:rsidRPr="00331240" w:rsidRDefault="00AA7C6B" w:rsidP="000E1382">
            <w:pPr>
              <w:pStyle w:val="Tabletext"/>
              <w:spacing w:before="0" w:after="0"/>
              <w:rPr>
                <w:b/>
                <w:lang w:val="en-AU"/>
              </w:rPr>
            </w:pPr>
            <w:r w:rsidRPr="00331240">
              <w:rPr>
                <w:b/>
                <w:lang w:val="en-AU"/>
              </w:rPr>
              <w:t>Type of economic evaluation</w:t>
            </w:r>
          </w:p>
        </w:tc>
        <w:tc>
          <w:tcPr>
            <w:tcW w:w="3509" w:type="pct"/>
          </w:tcPr>
          <w:p w14:paraId="3A239276" w14:textId="77777777" w:rsidR="00AA7C6B" w:rsidRPr="00331240" w:rsidRDefault="00AA7C6B" w:rsidP="000E1382">
            <w:pPr>
              <w:pStyle w:val="Tabletext"/>
              <w:spacing w:before="0" w:after="0"/>
              <w:rPr>
                <w:lang w:val="en-AU"/>
              </w:rPr>
            </w:pPr>
            <w:r w:rsidRPr="00331240">
              <w:rPr>
                <w:lang w:val="en-AU"/>
              </w:rPr>
              <w:t>Cost-utility analysis</w:t>
            </w:r>
          </w:p>
        </w:tc>
      </w:tr>
      <w:tr w:rsidR="00AA7C6B" w:rsidRPr="00331240" w14:paraId="4BA736E2" w14:textId="77777777" w:rsidTr="0016104B">
        <w:trPr>
          <w:trHeight w:val="20"/>
        </w:trPr>
        <w:tc>
          <w:tcPr>
            <w:tcW w:w="1491" w:type="pct"/>
          </w:tcPr>
          <w:p w14:paraId="524F90A2" w14:textId="77777777" w:rsidR="00AA7C6B" w:rsidRPr="00331240" w:rsidRDefault="00AA7C6B" w:rsidP="000E1382">
            <w:pPr>
              <w:pStyle w:val="Tabletext"/>
              <w:spacing w:before="0" w:after="0"/>
              <w:rPr>
                <w:b/>
                <w:lang w:val="en-AU"/>
              </w:rPr>
            </w:pPr>
            <w:r w:rsidRPr="00331240">
              <w:rPr>
                <w:b/>
                <w:lang w:val="en-AU"/>
              </w:rPr>
              <w:t>Sources of evidence</w:t>
            </w:r>
          </w:p>
        </w:tc>
        <w:tc>
          <w:tcPr>
            <w:tcW w:w="3509" w:type="pct"/>
          </w:tcPr>
          <w:p w14:paraId="516C87EC" w14:textId="77777777" w:rsidR="00AA7C6B" w:rsidRPr="00331240" w:rsidRDefault="00AA7C6B" w:rsidP="000E1382">
            <w:pPr>
              <w:pStyle w:val="Tabletext"/>
              <w:spacing w:before="0" w:after="0"/>
              <w:rPr>
                <w:lang w:val="en-AU"/>
              </w:rPr>
            </w:pPr>
            <w:r w:rsidRPr="00331240">
              <w:rPr>
                <w:lang w:val="en-AU"/>
              </w:rPr>
              <w:t>SANTE and PULSE trials for base case</w:t>
            </w:r>
          </w:p>
        </w:tc>
      </w:tr>
      <w:tr w:rsidR="00AA7C6B" w:rsidRPr="00331240" w14:paraId="3D1C80D7" w14:textId="77777777" w:rsidTr="0016104B">
        <w:trPr>
          <w:trHeight w:val="20"/>
        </w:trPr>
        <w:tc>
          <w:tcPr>
            <w:tcW w:w="1491" w:type="pct"/>
            <w:hideMark/>
          </w:tcPr>
          <w:p w14:paraId="68F1673F" w14:textId="77777777" w:rsidR="00AA7C6B" w:rsidRPr="00331240" w:rsidRDefault="00AA7C6B" w:rsidP="000E1382">
            <w:pPr>
              <w:pStyle w:val="Tabletext"/>
              <w:spacing w:before="0" w:after="0"/>
              <w:rPr>
                <w:b/>
                <w:lang w:val="en-AU"/>
              </w:rPr>
            </w:pPr>
            <w:r w:rsidRPr="00331240">
              <w:rPr>
                <w:b/>
                <w:lang w:val="en-AU"/>
              </w:rPr>
              <w:t>Time horizon</w:t>
            </w:r>
          </w:p>
        </w:tc>
        <w:tc>
          <w:tcPr>
            <w:tcW w:w="3509" w:type="pct"/>
            <w:hideMark/>
          </w:tcPr>
          <w:p w14:paraId="1012D25A" w14:textId="62CDCB2D" w:rsidR="00AA7C6B" w:rsidRPr="00331240" w:rsidRDefault="00AA7C6B" w:rsidP="000E1382">
            <w:pPr>
              <w:pStyle w:val="Tabletext"/>
              <w:spacing w:before="0" w:after="0"/>
              <w:rPr>
                <w:lang w:val="en-AU"/>
              </w:rPr>
            </w:pPr>
            <w:r w:rsidRPr="00331240">
              <w:rPr>
                <w:lang w:val="en-AU"/>
              </w:rPr>
              <w:t>3-month trial, 7-year and lifetime extrapolated time horizons</w:t>
            </w:r>
          </w:p>
        </w:tc>
      </w:tr>
      <w:tr w:rsidR="00AA7C6B" w:rsidRPr="00331240" w14:paraId="2EF9E082" w14:textId="77777777" w:rsidTr="0016104B">
        <w:trPr>
          <w:trHeight w:val="20"/>
        </w:trPr>
        <w:tc>
          <w:tcPr>
            <w:tcW w:w="1491" w:type="pct"/>
            <w:hideMark/>
          </w:tcPr>
          <w:p w14:paraId="09879026" w14:textId="77777777" w:rsidR="00AA7C6B" w:rsidRPr="00331240" w:rsidRDefault="00AA7C6B" w:rsidP="000E1382">
            <w:pPr>
              <w:pStyle w:val="Tabletext"/>
              <w:spacing w:before="0" w:after="0"/>
              <w:rPr>
                <w:b/>
                <w:lang w:val="en-AU"/>
              </w:rPr>
            </w:pPr>
            <w:r w:rsidRPr="00331240">
              <w:rPr>
                <w:b/>
                <w:lang w:val="en-AU"/>
              </w:rPr>
              <w:t>Outcomes</w:t>
            </w:r>
          </w:p>
        </w:tc>
        <w:tc>
          <w:tcPr>
            <w:tcW w:w="3509" w:type="pct"/>
          </w:tcPr>
          <w:p w14:paraId="30B1C5B1" w14:textId="46E7BCEE" w:rsidR="00AA7C6B" w:rsidRPr="00331240" w:rsidRDefault="00AA7C6B" w:rsidP="000E1382">
            <w:pPr>
              <w:pStyle w:val="Tabletext"/>
              <w:spacing w:before="0" w:after="0"/>
              <w:rPr>
                <w:lang w:val="en-AU"/>
              </w:rPr>
            </w:pPr>
            <w:r w:rsidRPr="00331240">
              <w:rPr>
                <w:lang w:val="en-AU"/>
              </w:rPr>
              <w:t>QALY</w:t>
            </w:r>
            <w:r w:rsidR="00D63A2C" w:rsidRPr="00331240">
              <w:rPr>
                <w:lang w:val="en-AU"/>
              </w:rPr>
              <w:t>s</w:t>
            </w:r>
            <w:r w:rsidRPr="00331240">
              <w:rPr>
                <w:lang w:val="en-AU"/>
              </w:rPr>
              <w:t>/ life-years gained/seizures</w:t>
            </w:r>
          </w:p>
        </w:tc>
      </w:tr>
      <w:tr w:rsidR="00AA7C6B" w:rsidRPr="00331240" w14:paraId="19F1844B" w14:textId="77777777" w:rsidTr="0016104B">
        <w:trPr>
          <w:trHeight w:val="20"/>
        </w:trPr>
        <w:tc>
          <w:tcPr>
            <w:tcW w:w="1491" w:type="pct"/>
            <w:hideMark/>
          </w:tcPr>
          <w:p w14:paraId="4326A076" w14:textId="77777777" w:rsidR="00AA7C6B" w:rsidRPr="00331240" w:rsidRDefault="00AA7C6B" w:rsidP="000E1382">
            <w:pPr>
              <w:pStyle w:val="Tabletext"/>
              <w:spacing w:before="0" w:after="0"/>
              <w:rPr>
                <w:b/>
                <w:lang w:val="en-AU"/>
              </w:rPr>
            </w:pPr>
            <w:r w:rsidRPr="00331240">
              <w:rPr>
                <w:b/>
                <w:lang w:val="en-AU"/>
              </w:rPr>
              <w:t>Computation method</w:t>
            </w:r>
          </w:p>
        </w:tc>
        <w:tc>
          <w:tcPr>
            <w:tcW w:w="3509" w:type="pct"/>
          </w:tcPr>
          <w:p w14:paraId="3BE6A26A" w14:textId="77777777" w:rsidR="00AA7C6B" w:rsidRPr="00331240" w:rsidRDefault="00AA7C6B" w:rsidP="000E1382">
            <w:pPr>
              <w:pStyle w:val="Tabletext"/>
              <w:spacing w:before="0" w:after="0"/>
              <w:rPr>
                <w:lang w:val="en-AU"/>
              </w:rPr>
            </w:pPr>
            <w:r w:rsidRPr="00331240">
              <w:rPr>
                <w:lang w:val="en-AU"/>
              </w:rPr>
              <w:t>Cohort expected value analysis</w:t>
            </w:r>
          </w:p>
        </w:tc>
      </w:tr>
      <w:tr w:rsidR="00AA7C6B" w:rsidRPr="00331240" w14:paraId="11DE327A" w14:textId="77777777" w:rsidTr="0016104B">
        <w:trPr>
          <w:trHeight w:val="20"/>
        </w:trPr>
        <w:tc>
          <w:tcPr>
            <w:tcW w:w="1491" w:type="pct"/>
          </w:tcPr>
          <w:p w14:paraId="616CE52B" w14:textId="77777777" w:rsidR="00AA7C6B" w:rsidRPr="00331240" w:rsidRDefault="00AA7C6B" w:rsidP="000E1382">
            <w:pPr>
              <w:pStyle w:val="Tabletext"/>
              <w:spacing w:before="0" w:after="0"/>
              <w:rPr>
                <w:b/>
                <w:lang w:val="en-AU"/>
              </w:rPr>
            </w:pPr>
            <w:r w:rsidRPr="00331240">
              <w:rPr>
                <w:b/>
                <w:lang w:val="en-AU"/>
              </w:rPr>
              <w:t>Generation of base case</w:t>
            </w:r>
          </w:p>
        </w:tc>
        <w:tc>
          <w:tcPr>
            <w:tcW w:w="3509" w:type="pct"/>
          </w:tcPr>
          <w:p w14:paraId="29A09E1B" w14:textId="77777777" w:rsidR="00AA7C6B" w:rsidRPr="00331240" w:rsidRDefault="00AA7C6B" w:rsidP="000E1382">
            <w:pPr>
              <w:pStyle w:val="Tabletext"/>
              <w:spacing w:before="0" w:after="0"/>
              <w:rPr>
                <w:lang w:val="en-AU"/>
              </w:rPr>
            </w:pPr>
            <w:r w:rsidRPr="00331240">
              <w:rPr>
                <w:lang w:val="en-AU"/>
              </w:rPr>
              <w:t>Trial based</w:t>
            </w:r>
          </w:p>
        </w:tc>
      </w:tr>
      <w:tr w:rsidR="00AA7C6B" w:rsidRPr="00331240" w14:paraId="12011790" w14:textId="77777777" w:rsidTr="0016104B">
        <w:trPr>
          <w:trHeight w:val="20"/>
        </w:trPr>
        <w:tc>
          <w:tcPr>
            <w:tcW w:w="1491" w:type="pct"/>
          </w:tcPr>
          <w:p w14:paraId="14431C6F" w14:textId="77777777" w:rsidR="00AA7C6B" w:rsidRPr="00331240" w:rsidRDefault="00AA7C6B" w:rsidP="000E1382">
            <w:pPr>
              <w:pStyle w:val="Tabletext"/>
              <w:spacing w:before="0" w:after="0"/>
              <w:rPr>
                <w:b/>
                <w:lang w:val="en-AU"/>
              </w:rPr>
            </w:pPr>
            <w:r w:rsidRPr="00331240">
              <w:rPr>
                <w:b/>
                <w:lang w:val="en-AU"/>
              </w:rPr>
              <w:t>Health states</w:t>
            </w:r>
          </w:p>
        </w:tc>
        <w:tc>
          <w:tcPr>
            <w:tcW w:w="3509" w:type="pct"/>
          </w:tcPr>
          <w:p w14:paraId="6DA684F2" w14:textId="77777777" w:rsidR="00AA7C6B" w:rsidRPr="00331240" w:rsidRDefault="00AA7C6B" w:rsidP="000E1382">
            <w:pPr>
              <w:pStyle w:val="Tabletext"/>
              <w:spacing w:before="0" w:after="0"/>
              <w:rPr>
                <w:lang w:val="en-AU"/>
              </w:rPr>
            </w:pPr>
            <w:r w:rsidRPr="00331240">
              <w:rPr>
                <w:lang w:val="en-AU"/>
              </w:rPr>
              <w:t>&lt;50% seizure reduction (≥10 seizures per month)</w:t>
            </w:r>
          </w:p>
          <w:p w14:paraId="284721B7" w14:textId="340397AC" w:rsidR="00AA7C6B" w:rsidRPr="00331240" w:rsidRDefault="00AA7C6B" w:rsidP="000E1382">
            <w:pPr>
              <w:pStyle w:val="Tabletext"/>
              <w:spacing w:before="0" w:after="0"/>
              <w:rPr>
                <w:lang w:val="en-AU"/>
              </w:rPr>
            </w:pPr>
            <w:r w:rsidRPr="00331240">
              <w:rPr>
                <w:lang w:val="en-AU"/>
              </w:rPr>
              <w:t>≥50% seizure reduction (0</w:t>
            </w:r>
            <w:r w:rsidR="00D63A2C" w:rsidRPr="00331240">
              <w:rPr>
                <w:lang w:val="en-AU"/>
              </w:rPr>
              <w:t>–</w:t>
            </w:r>
            <w:r w:rsidR="00F978F4" w:rsidRPr="00331240">
              <w:rPr>
                <w:lang w:val="en-AU"/>
              </w:rPr>
              <w:t xml:space="preserve">10 </w:t>
            </w:r>
            <w:r w:rsidRPr="00331240">
              <w:rPr>
                <w:lang w:val="en-AU"/>
              </w:rPr>
              <w:t>seizures per month)</w:t>
            </w:r>
          </w:p>
          <w:p w14:paraId="4BE52F3D" w14:textId="08DE7A81" w:rsidR="00AA7C6B" w:rsidRPr="00331240" w:rsidRDefault="00AA7C6B" w:rsidP="000E1382">
            <w:pPr>
              <w:pStyle w:val="Tabletext"/>
              <w:spacing w:before="0" w:after="0"/>
              <w:rPr>
                <w:lang w:val="en-AU"/>
              </w:rPr>
            </w:pPr>
            <w:r w:rsidRPr="00331240">
              <w:rPr>
                <w:lang w:val="en-AU"/>
              </w:rPr>
              <w:t>Seizure</w:t>
            </w:r>
            <w:r w:rsidR="00D63A2C" w:rsidRPr="00331240">
              <w:rPr>
                <w:lang w:val="en-AU"/>
              </w:rPr>
              <w:t>-</w:t>
            </w:r>
            <w:r w:rsidRPr="00331240">
              <w:rPr>
                <w:lang w:val="en-AU"/>
              </w:rPr>
              <w:t>free (0 seizures per month)</w:t>
            </w:r>
          </w:p>
          <w:p w14:paraId="3252151F" w14:textId="77777777" w:rsidR="00AA7C6B" w:rsidRPr="00331240" w:rsidRDefault="00AA7C6B" w:rsidP="000E1382">
            <w:pPr>
              <w:pStyle w:val="Tabletext"/>
              <w:spacing w:before="0" w:after="0"/>
              <w:rPr>
                <w:lang w:val="en-AU"/>
              </w:rPr>
            </w:pPr>
            <w:r w:rsidRPr="00331240">
              <w:rPr>
                <w:lang w:val="en-AU"/>
              </w:rPr>
              <w:t>Death</w:t>
            </w:r>
          </w:p>
        </w:tc>
      </w:tr>
      <w:tr w:rsidR="00AA7C6B" w:rsidRPr="00331240" w14:paraId="46B974FE" w14:textId="77777777" w:rsidTr="0016104B">
        <w:trPr>
          <w:trHeight w:val="20"/>
        </w:trPr>
        <w:tc>
          <w:tcPr>
            <w:tcW w:w="1491" w:type="pct"/>
          </w:tcPr>
          <w:p w14:paraId="4EF1A5DC" w14:textId="77777777" w:rsidR="00AA7C6B" w:rsidRPr="00331240" w:rsidRDefault="00AA7C6B" w:rsidP="000E1382">
            <w:pPr>
              <w:pStyle w:val="Tabletext"/>
              <w:spacing w:before="0" w:after="0"/>
              <w:rPr>
                <w:b/>
                <w:lang w:val="en-AU"/>
              </w:rPr>
            </w:pPr>
            <w:r w:rsidRPr="00331240">
              <w:rPr>
                <w:b/>
                <w:lang w:val="en-AU"/>
              </w:rPr>
              <w:t>Transition probabilities</w:t>
            </w:r>
          </w:p>
        </w:tc>
        <w:tc>
          <w:tcPr>
            <w:tcW w:w="3509" w:type="pct"/>
          </w:tcPr>
          <w:p w14:paraId="2774CBC1" w14:textId="08B4BD6F" w:rsidR="00AA7C6B" w:rsidRPr="00331240" w:rsidRDefault="00AA7C6B" w:rsidP="000E1382">
            <w:pPr>
              <w:pStyle w:val="Tabletext"/>
              <w:spacing w:before="0" w:after="0"/>
              <w:rPr>
                <w:lang w:val="en-AU"/>
              </w:rPr>
            </w:pPr>
            <w:r w:rsidRPr="00331240">
              <w:rPr>
                <w:lang w:val="en-AU"/>
              </w:rPr>
              <w:t xml:space="preserve">SANTE trial for DBS and Rvylin PULSE trial for VNS </w:t>
            </w:r>
            <w:r w:rsidR="00F34350" w:rsidRPr="00331240">
              <w:rPr>
                <w:lang w:val="en-AU"/>
              </w:rPr>
              <w:t xml:space="preserve">and OMT </w:t>
            </w:r>
            <w:r w:rsidRPr="00331240">
              <w:rPr>
                <w:lang w:val="en-AU"/>
              </w:rPr>
              <w:t xml:space="preserve">in base case. Sensitivity analyses were conducted for VNS using E03, EO5 and Englot data, along with </w:t>
            </w:r>
            <w:r w:rsidR="00F34350" w:rsidRPr="00331240">
              <w:rPr>
                <w:lang w:val="en-AU"/>
              </w:rPr>
              <w:t xml:space="preserve">OMT alone </w:t>
            </w:r>
            <w:r w:rsidRPr="00331240">
              <w:rPr>
                <w:lang w:val="en-AU"/>
              </w:rPr>
              <w:t>comparison based on the Rvylin PULSE trial.</w:t>
            </w:r>
          </w:p>
        </w:tc>
      </w:tr>
      <w:tr w:rsidR="00AA7C6B" w:rsidRPr="00331240" w14:paraId="6E48B92D" w14:textId="77777777" w:rsidTr="0016104B">
        <w:trPr>
          <w:trHeight w:val="20"/>
        </w:trPr>
        <w:tc>
          <w:tcPr>
            <w:tcW w:w="1491" w:type="pct"/>
            <w:hideMark/>
          </w:tcPr>
          <w:p w14:paraId="53CA11DC" w14:textId="77777777" w:rsidR="00AA7C6B" w:rsidRPr="00331240" w:rsidRDefault="00AA7C6B" w:rsidP="000E1382">
            <w:pPr>
              <w:pStyle w:val="Tabletext"/>
              <w:spacing w:before="0" w:after="0"/>
              <w:rPr>
                <w:b/>
                <w:lang w:val="en-AU"/>
              </w:rPr>
            </w:pPr>
            <w:r w:rsidRPr="00331240">
              <w:rPr>
                <w:b/>
                <w:lang w:val="en-AU"/>
              </w:rPr>
              <w:t>Cycle length</w:t>
            </w:r>
          </w:p>
        </w:tc>
        <w:tc>
          <w:tcPr>
            <w:tcW w:w="3509" w:type="pct"/>
          </w:tcPr>
          <w:p w14:paraId="0A1BF9BF" w14:textId="77777777" w:rsidR="00AA7C6B" w:rsidRPr="00331240" w:rsidRDefault="00AA7C6B" w:rsidP="000E1382">
            <w:pPr>
              <w:pStyle w:val="Tabletext"/>
              <w:spacing w:before="0" w:after="0"/>
              <w:rPr>
                <w:lang w:val="en-AU"/>
              </w:rPr>
            </w:pPr>
            <w:r w:rsidRPr="00331240">
              <w:rPr>
                <w:lang w:val="en-AU"/>
              </w:rPr>
              <w:t>3 months</w:t>
            </w:r>
          </w:p>
        </w:tc>
      </w:tr>
      <w:tr w:rsidR="00AA7C6B" w:rsidRPr="00331240" w14:paraId="6A7D22FD" w14:textId="77777777" w:rsidTr="0016104B">
        <w:trPr>
          <w:trHeight w:val="20"/>
        </w:trPr>
        <w:tc>
          <w:tcPr>
            <w:tcW w:w="1491" w:type="pct"/>
            <w:hideMark/>
          </w:tcPr>
          <w:p w14:paraId="76F4D44D" w14:textId="77777777" w:rsidR="00AA7C6B" w:rsidRPr="00331240" w:rsidRDefault="00AA7C6B" w:rsidP="000E1382">
            <w:pPr>
              <w:pStyle w:val="Tabletext"/>
              <w:spacing w:before="0" w:after="0"/>
              <w:rPr>
                <w:b/>
                <w:lang w:val="en-AU"/>
              </w:rPr>
            </w:pPr>
            <w:r w:rsidRPr="00331240">
              <w:rPr>
                <w:b/>
                <w:lang w:val="en-AU"/>
              </w:rPr>
              <w:t>Discount rate</w:t>
            </w:r>
          </w:p>
        </w:tc>
        <w:tc>
          <w:tcPr>
            <w:tcW w:w="3509" w:type="pct"/>
          </w:tcPr>
          <w:p w14:paraId="29818FFA" w14:textId="283F9538" w:rsidR="00AA7C6B" w:rsidRPr="00331240" w:rsidRDefault="00AA7C6B" w:rsidP="000E1382">
            <w:pPr>
              <w:pStyle w:val="Tabletext"/>
              <w:spacing w:before="0" w:after="0"/>
              <w:rPr>
                <w:lang w:val="en-AU"/>
              </w:rPr>
            </w:pPr>
            <w:r w:rsidRPr="00331240">
              <w:rPr>
                <w:lang w:val="en-AU"/>
              </w:rPr>
              <w:t>5% used for base</w:t>
            </w:r>
            <w:r w:rsidR="00D63A2C" w:rsidRPr="00331240">
              <w:rPr>
                <w:lang w:val="en-AU"/>
              </w:rPr>
              <w:t>,</w:t>
            </w:r>
            <w:r w:rsidRPr="00331240">
              <w:rPr>
                <w:lang w:val="en-AU"/>
              </w:rPr>
              <w:t xml:space="preserve"> and 3.5% and 7% sensitivity analyses</w:t>
            </w:r>
          </w:p>
        </w:tc>
      </w:tr>
      <w:tr w:rsidR="00AA7C6B" w:rsidRPr="00331240" w14:paraId="59CDFD7E" w14:textId="77777777" w:rsidTr="0016104B">
        <w:trPr>
          <w:trHeight w:val="20"/>
        </w:trPr>
        <w:tc>
          <w:tcPr>
            <w:tcW w:w="1491" w:type="pct"/>
            <w:hideMark/>
          </w:tcPr>
          <w:p w14:paraId="5DB43473" w14:textId="77777777" w:rsidR="00AA7C6B" w:rsidRPr="00331240" w:rsidRDefault="00AA7C6B" w:rsidP="000E1382">
            <w:pPr>
              <w:pStyle w:val="Tabletext"/>
              <w:spacing w:before="0" w:after="0"/>
              <w:rPr>
                <w:b/>
                <w:lang w:val="en-AU"/>
              </w:rPr>
            </w:pPr>
            <w:r w:rsidRPr="00331240">
              <w:rPr>
                <w:b/>
                <w:lang w:val="en-AU"/>
              </w:rPr>
              <w:t>Software packages used</w:t>
            </w:r>
          </w:p>
        </w:tc>
        <w:tc>
          <w:tcPr>
            <w:tcW w:w="3509" w:type="pct"/>
          </w:tcPr>
          <w:p w14:paraId="654D193C" w14:textId="77777777" w:rsidR="00AA7C6B" w:rsidRPr="00331240" w:rsidRDefault="00AA7C6B" w:rsidP="000E1382">
            <w:pPr>
              <w:pStyle w:val="Tabletext"/>
              <w:spacing w:before="0" w:after="0"/>
              <w:rPr>
                <w:lang w:val="en-AU"/>
              </w:rPr>
            </w:pPr>
            <w:r w:rsidRPr="00331240">
              <w:rPr>
                <w:lang w:val="en-AU"/>
              </w:rPr>
              <w:t>Microsoft Excel 2010</w:t>
            </w:r>
          </w:p>
        </w:tc>
      </w:tr>
    </w:tbl>
    <w:p w14:paraId="27AD300C" w14:textId="487441F0" w:rsidR="00D63A2C" w:rsidRPr="00331240" w:rsidRDefault="00AA7C6B" w:rsidP="00BE6037">
      <w:pPr>
        <w:pStyle w:val="Notes-TableFigure"/>
        <w:spacing w:after="0"/>
        <w:rPr>
          <w:rFonts w:cstheme="minorHAnsi"/>
          <w:lang w:val="en-AU"/>
        </w:rPr>
      </w:pPr>
      <w:r w:rsidRPr="00331240">
        <w:rPr>
          <w:b/>
          <w:bCs/>
          <w:lang w:val="en-AU"/>
        </w:rPr>
        <w:t>Abbreviations</w:t>
      </w:r>
      <w:r w:rsidRPr="00331240">
        <w:rPr>
          <w:lang w:val="en-AU"/>
        </w:rPr>
        <w:t xml:space="preserve">: </w:t>
      </w:r>
      <w:r w:rsidR="00D63A2C" w:rsidRPr="00331240">
        <w:rPr>
          <w:lang w:val="en-AU"/>
        </w:rPr>
        <w:t>DBS</w:t>
      </w:r>
      <w:r w:rsidR="00A339C3" w:rsidRPr="00331240">
        <w:rPr>
          <w:lang w:val="en-AU"/>
        </w:rPr>
        <w:t xml:space="preserve"> = </w:t>
      </w:r>
      <w:r w:rsidR="00D63A2C" w:rsidRPr="00331240">
        <w:rPr>
          <w:lang w:val="en-AU"/>
        </w:rPr>
        <w:t xml:space="preserve">deep brain stimulation; </w:t>
      </w:r>
      <w:r w:rsidR="0007118D" w:rsidRPr="00331240">
        <w:rPr>
          <w:lang w:val="en-AU"/>
        </w:rPr>
        <w:t xml:space="preserve">OMT = optimal medical treatment; </w:t>
      </w:r>
      <w:r w:rsidRPr="00331240">
        <w:rPr>
          <w:lang w:val="en-AU"/>
        </w:rPr>
        <w:t>QALY</w:t>
      </w:r>
      <w:r w:rsidR="00A339C3" w:rsidRPr="00331240">
        <w:rPr>
          <w:lang w:val="en-AU"/>
        </w:rPr>
        <w:t xml:space="preserve"> = </w:t>
      </w:r>
      <w:r w:rsidRPr="00331240">
        <w:rPr>
          <w:lang w:val="en-AU"/>
        </w:rPr>
        <w:t>quality adjusted life year</w:t>
      </w:r>
      <w:r w:rsidR="00D63A2C" w:rsidRPr="00331240">
        <w:rPr>
          <w:lang w:val="en-AU"/>
        </w:rPr>
        <w:t>; VNS</w:t>
      </w:r>
      <w:r w:rsidR="00A339C3" w:rsidRPr="00331240">
        <w:rPr>
          <w:lang w:val="en-AU"/>
        </w:rPr>
        <w:t xml:space="preserve"> = </w:t>
      </w:r>
      <w:r w:rsidR="00D63A2C" w:rsidRPr="00331240">
        <w:rPr>
          <w:lang w:val="en-AU"/>
        </w:rPr>
        <w:t>v</w:t>
      </w:r>
      <w:r w:rsidR="00D63A2C" w:rsidRPr="00331240">
        <w:rPr>
          <w:rFonts w:cstheme="minorHAnsi"/>
          <w:lang w:val="en-AU"/>
        </w:rPr>
        <w:t>agus nerve stimulation</w:t>
      </w:r>
    </w:p>
    <w:p w14:paraId="0C7DB069" w14:textId="4742E552" w:rsidR="00675711" w:rsidRPr="00331240" w:rsidRDefault="00AA7C6B" w:rsidP="00A5396D">
      <w:r w:rsidRPr="00331240">
        <w:t>The incremental cost and the incremental effectiveness of DBS vers</w:t>
      </w:r>
      <w:r w:rsidR="00D63A2C" w:rsidRPr="00331240">
        <w:t>us</w:t>
      </w:r>
      <w:r w:rsidRPr="00331240">
        <w:t xml:space="preserve"> VNS </w:t>
      </w:r>
      <w:r w:rsidR="003E360F" w:rsidRPr="00331240">
        <w:t xml:space="preserve">and OMT </w:t>
      </w:r>
      <w:r w:rsidRPr="00331240">
        <w:t xml:space="preserve">are presented in </w:t>
      </w:r>
      <w:r w:rsidRPr="00331240">
        <w:fldChar w:fldCharType="begin"/>
      </w:r>
      <w:r w:rsidRPr="00331240">
        <w:instrText xml:space="preserve"> REF _Ref519363458 \h  \* MERGEFORMAT </w:instrText>
      </w:r>
      <w:r w:rsidRPr="00331240">
        <w:fldChar w:fldCharType="separate"/>
      </w:r>
      <w:r w:rsidR="00D4512D" w:rsidRPr="00331240">
        <w:t xml:space="preserve">Table </w:t>
      </w:r>
      <w:r w:rsidR="00D4512D">
        <w:t>13</w:t>
      </w:r>
      <w:r w:rsidRPr="00331240">
        <w:fldChar w:fldCharType="end"/>
      </w:r>
      <w:r w:rsidRPr="00331240">
        <w:t xml:space="preserve">. The </w:t>
      </w:r>
      <w:r w:rsidR="00D63A2C" w:rsidRPr="00331240">
        <w:t>ICUR</w:t>
      </w:r>
      <w:r w:rsidRPr="00331240">
        <w:t xml:space="preserve"> is presented as the incremental cost of achieving an additional QALY. It is evident that the lifetime </w:t>
      </w:r>
      <w:r w:rsidR="002A2556" w:rsidRPr="00331240">
        <w:t>ICUR is $143,395 per QALY gained, and the ICUR in trial period is $1,625,659.</w:t>
      </w:r>
    </w:p>
    <w:p w14:paraId="2A9BA602" w14:textId="7CD51E47" w:rsidR="00B8176F" w:rsidRPr="00331240" w:rsidRDefault="00AA7C6B" w:rsidP="00B94945">
      <w:pPr>
        <w:pStyle w:val="Tableheader"/>
      </w:pPr>
      <w:bookmarkStart w:id="16" w:name="_Toc381969877"/>
      <w:bookmarkStart w:id="17" w:name="_Ref492926630"/>
      <w:bookmarkStart w:id="18" w:name="_Ref519363458"/>
      <w:bookmarkStart w:id="19" w:name="_Ref117790988"/>
      <w:bookmarkStart w:id="20" w:name="_Toc493000479"/>
      <w:r w:rsidRPr="00331240">
        <w:t xml:space="preserve">Table </w:t>
      </w:r>
      <w:r w:rsidRPr="00331240">
        <w:fldChar w:fldCharType="begin"/>
      </w:r>
      <w:r w:rsidRPr="00331240">
        <w:instrText>SEQ Table \* ARABIC</w:instrText>
      </w:r>
      <w:r w:rsidRPr="00331240">
        <w:fldChar w:fldCharType="separate"/>
      </w:r>
      <w:r w:rsidR="00D4512D">
        <w:rPr>
          <w:noProof/>
        </w:rPr>
        <w:t>13</w:t>
      </w:r>
      <w:r w:rsidRPr="00331240">
        <w:fldChar w:fldCharType="end"/>
      </w:r>
      <w:bookmarkEnd w:id="16"/>
      <w:bookmarkEnd w:id="17"/>
      <w:bookmarkEnd w:id="18"/>
      <w:bookmarkEnd w:id="19"/>
      <w:r w:rsidR="00675711" w:rsidRPr="00331240">
        <w:tab/>
      </w:r>
      <w:r w:rsidRPr="00331240">
        <w:t xml:space="preserve"> Incremental </w:t>
      </w:r>
      <w:r w:rsidR="00D63A2C" w:rsidRPr="00331240">
        <w:t>c</w:t>
      </w:r>
      <w:r w:rsidRPr="00331240">
        <w:t xml:space="preserve">ost </w:t>
      </w:r>
      <w:r w:rsidR="00D63A2C" w:rsidRPr="00331240">
        <w:t>u</w:t>
      </w:r>
      <w:r w:rsidRPr="00331240">
        <w:t xml:space="preserve">tility </w:t>
      </w:r>
      <w:r w:rsidR="00D63A2C" w:rsidRPr="00331240">
        <w:t>r</w:t>
      </w:r>
      <w:r w:rsidRPr="00331240">
        <w:t>atio</w:t>
      </w:r>
      <w:bookmarkEnd w:id="20"/>
      <w:r w:rsidRPr="00331240">
        <w:t xml:space="preserve"> of DBS v</w:t>
      </w:r>
      <w:r w:rsidR="00D63A2C" w:rsidRPr="00331240">
        <w:t>s</w:t>
      </w:r>
      <w:r w:rsidRPr="00331240">
        <w:t xml:space="preserve"> VNS</w:t>
      </w:r>
      <w:r w:rsidR="003E360F" w:rsidRPr="00331240">
        <w:t xml:space="preserve"> and OMT</w:t>
      </w:r>
    </w:p>
    <w:tbl>
      <w:tblPr>
        <w:tblStyle w:val="OPTUMTableNormal"/>
        <w:tblW w:w="0" w:type="auto"/>
        <w:tblLayout w:type="fixed"/>
        <w:tblLook w:val="04A0" w:firstRow="1" w:lastRow="0" w:firstColumn="1" w:lastColumn="0" w:noHBand="0" w:noVBand="1"/>
      </w:tblPr>
      <w:tblGrid>
        <w:gridCol w:w="1502"/>
        <w:gridCol w:w="1503"/>
        <w:gridCol w:w="1503"/>
        <w:gridCol w:w="1502"/>
        <w:gridCol w:w="1503"/>
        <w:gridCol w:w="1503"/>
      </w:tblGrid>
      <w:tr w:rsidR="00B8176F" w:rsidRPr="00331240" w14:paraId="0B2FB69A" w14:textId="77777777" w:rsidTr="009A5326">
        <w:trPr>
          <w:cnfStyle w:val="100000000000" w:firstRow="1" w:lastRow="0" w:firstColumn="0" w:lastColumn="0" w:oddVBand="0" w:evenVBand="0" w:oddHBand="0" w:evenHBand="0" w:firstRowFirstColumn="0" w:firstRowLastColumn="0" w:lastRowFirstColumn="0" w:lastRowLastColumn="0"/>
          <w:trHeight w:val="20"/>
        </w:trPr>
        <w:tc>
          <w:tcPr>
            <w:tcW w:w="1502" w:type="dxa"/>
            <w:hideMark/>
          </w:tcPr>
          <w:p w14:paraId="303C53AC" w14:textId="77777777" w:rsidR="00B8176F" w:rsidRPr="00331240" w:rsidRDefault="00B8176F" w:rsidP="000E1382">
            <w:pPr>
              <w:pStyle w:val="Tabletext"/>
              <w:spacing w:before="0" w:after="0"/>
              <w:rPr>
                <w:b/>
                <w:bCs/>
                <w:lang w:val="en-AU"/>
              </w:rPr>
            </w:pPr>
            <w:r w:rsidRPr="00331240">
              <w:rPr>
                <w:b/>
                <w:bCs/>
                <w:lang w:val="en-AU"/>
              </w:rPr>
              <w:t> </w:t>
            </w:r>
          </w:p>
        </w:tc>
        <w:tc>
          <w:tcPr>
            <w:tcW w:w="1503" w:type="dxa"/>
            <w:hideMark/>
          </w:tcPr>
          <w:p w14:paraId="1562C920" w14:textId="77777777" w:rsidR="00B8176F" w:rsidRPr="00331240" w:rsidRDefault="00B8176F" w:rsidP="000E1382">
            <w:pPr>
              <w:pStyle w:val="Tabletext"/>
              <w:spacing w:before="0" w:after="0"/>
              <w:rPr>
                <w:b/>
                <w:bCs/>
                <w:lang w:val="en-AU"/>
              </w:rPr>
            </w:pPr>
            <w:r w:rsidRPr="00331240">
              <w:rPr>
                <w:b/>
                <w:bCs/>
                <w:lang w:val="en-AU"/>
              </w:rPr>
              <w:t>Discounted cost</w:t>
            </w:r>
          </w:p>
        </w:tc>
        <w:tc>
          <w:tcPr>
            <w:tcW w:w="1503" w:type="dxa"/>
            <w:hideMark/>
          </w:tcPr>
          <w:p w14:paraId="09CA89B9" w14:textId="77777777" w:rsidR="00B8176F" w:rsidRPr="00331240" w:rsidRDefault="00B8176F" w:rsidP="000E1382">
            <w:pPr>
              <w:pStyle w:val="Tabletext"/>
              <w:spacing w:before="0" w:after="0"/>
              <w:rPr>
                <w:b/>
                <w:bCs/>
                <w:lang w:val="en-AU"/>
              </w:rPr>
            </w:pPr>
            <w:r w:rsidRPr="00331240">
              <w:rPr>
                <w:b/>
                <w:bCs/>
                <w:lang w:val="en-AU"/>
              </w:rPr>
              <w:t>QALYs</w:t>
            </w:r>
          </w:p>
        </w:tc>
        <w:tc>
          <w:tcPr>
            <w:tcW w:w="1502" w:type="dxa"/>
            <w:hideMark/>
          </w:tcPr>
          <w:p w14:paraId="3A12416B" w14:textId="6EEC7E46" w:rsidR="00B8176F" w:rsidRPr="00331240" w:rsidRDefault="00B8176F" w:rsidP="000E1382">
            <w:pPr>
              <w:pStyle w:val="Tabletext"/>
              <w:spacing w:before="0" w:after="0"/>
              <w:rPr>
                <w:b/>
                <w:bCs/>
                <w:lang w:val="en-AU"/>
              </w:rPr>
            </w:pPr>
            <w:r w:rsidRPr="00331240">
              <w:rPr>
                <w:b/>
                <w:bCs/>
                <w:lang w:val="en-AU"/>
              </w:rPr>
              <w:t>Seizures</w:t>
            </w:r>
          </w:p>
        </w:tc>
        <w:tc>
          <w:tcPr>
            <w:tcW w:w="1503" w:type="dxa"/>
            <w:hideMark/>
          </w:tcPr>
          <w:p w14:paraId="69647D16" w14:textId="77777777" w:rsidR="00B8176F" w:rsidRPr="00331240" w:rsidRDefault="00B8176F" w:rsidP="000E1382">
            <w:pPr>
              <w:pStyle w:val="Tabletext"/>
              <w:spacing w:before="0" w:after="0"/>
              <w:rPr>
                <w:b/>
                <w:bCs/>
                <w:lang w:val="en-AU"/>
              </w:rPr>
            </w:pPr>
            <w:r w:rsidRPr="00331240">
              <w:rPr>
                <w:b/>
                <w:bCs/>
                <w:lang w:val="en-AU"/>
              </w:rPr>
              <w:t>Incremental cost per seizure avoided</w:t>
            </w:r>
          </w:p>
        </w:tc>
        <w:tc>
          <w:tcPr>
            <w:tcW w:w="1503" w:type="dxa"/>
            <w:hideMark/>
          </w:tcPr>
          <w:p w14:paraId="4F1F9F51" w14:textId="2CB9E464" w:rsidR="00B8176F" w:rsidRPr="00331240" w:rsidRDefault="00B8176F" w:rsidP="000E1382">
            <w:pPr>
              <w:pStyle w:val="Tabletext"/>
              <w:spacing w:before="0" w:after="0"/>
              <w:rPr>
                <w:b/>
                <w:bCs/>
                <w:lang w:val="en-AU"/>
              </w:rPr>
            </w:pPr>
            <w:r w:rsidRPr="00331240">
              <w:rPr>
                <w:b/>
                <w:bCs/>
                <w:lang w:val="en-AU"/>
              </w:rPr>
              <w:t xml:space="preserve">Incremental cost </w:t>
            </w:r>
            <w:r w:rsidR="00D63A2C" w:rsidRPr="00331240">
              <w:rPr>
                <w:b/>
                <w:bCs/>
                <w:lang w:val="en-AU"/>
              </w:rPr>
              <w:t xml:space="preserve">(ICUR) </w:t>
            </w:r>
            <w:r w:rsidRPr="00331240">
              <w:rPr>
                <w:b/>
                <w:bCs/>
                <w:lang w:val="en-AU"/>
              </w:rPr>
              <w:t>per QALY gained</w:t>
            </w:r>
          </w:p>
        </w:tc>
      </w:tr>
      <w:tr w:rsidR="00B8176F" w:rsidRPr="00331240" w14:paraId="3449CBE8" w14:textId="77777777" w:rsidTr="007562D0">
        <w:trPr>
          <w:trHeight w:val="20"/>
        </w:trPr>
        <w:tc>
          <w:tcPr>
            <w:tcW w:w="1502" w:type="dxa"/>
            <w:noWrap/>
            <w:hideMark/>
          </w:tcPr>
          <w:p w14:paraId="407CF30F" w14:textId="77777777" w:rsidR="00B8176F" w:rsidRPr="00331240" w:rsidRDefault="00B8176F" w:rsidP="000E1382">
            <w:pPr>
              <w:pStyle w:val="Tabletext"/>
              <w:spacing w:before="0" w:after="0"/>
              <w:rPr>
                <w:b/>
                <w:lang w:val="en-AU"/>
              </w:rPr>
            </w:pPr>
            <w:r w:rsidRPr="00331240">
              <w:rPr>
                <w:b/>
                <w:lang w:val="en-AU"/>
              </w:rPr>
              <w:t>Trial period</w:t>
            </w:r>
          </w:p>
        </w:tc>
        <w:tc>
          <w:tcPr>
            <w:tcW w:w="1503" w:type="dxa"/>
            <w:noWrap/>
            <w:hideMark/>
          </w:tcPr>
          <w:p w14:paraId="14855A5F" w14:textId="77777777" w:rsidR="00B8176F" w:rsidRPr="00331240" w:rsidRDefault="00B8176F" w:rsidP="000E1382">
            <w:pPr>
              <w:pStyle w:val="Tabletext"/>
              <w:spacing w:before="0" w:after="0"/>
              <w:rPr>
                <w:b/>
                <w:lang w:val="en-AU"/>
              </w:rPr>
            </w:pPr>
            <w:r w:rsidRPr="00331240">
              <w:rPr>
                <w:b/>
                <w:lang w:val="en-AU"/>
              </w:rPr>
              <w:t> </w:t>
            </w:r>
          </w:p>
        </w:tc>
        <w:tc>
          <w:tcPr>
            <w:tcW w:w="1503" w:type="dxa"/>
            <w:noWrap/>
            <w:hideMark/>
          </w:tcPr>
          <w:p w14:paraId="5AE8B2C5" w14:textId="77777777" w:rsidR="00B8176F" w:rsidRPr="00331240" w:rsidRDefault="00B8176F" w:rsidP="000E1382">
            <w:pPr>
              <w:pStyle w:val="Tabletext"/>
              <w:spacing w:before="0" w:after="0"/>
              <w:rPr>
                <w:b/>
                <w:lang w:val="en-AU"/>
              </w:rPr>
            </w:pPr>
            <w:r w:rsidRPr="00331240">
              <w:rPr>
                <w:b/>
                <w:lang w:val="en-AU"/>
              </w:rPr>
              <w:t> </w:t>
            </w:r>
          </w:p>
        </w:tc>
        <w:tc>
          <w:tcPr>
            <w:tcW w:w="1502" w:type="dxa"/>
            <w:noWrap/>
            <w:hideMark/>
          </w:tcPr>
          <w:p w14:paraId="2C1F1B9D" w14:textId="77777777" w:rsidR="00B8176F" w:rsidRPr="00331240" w:rsidRDefault="00B8176F" w:rsidP="000E1382">
            <w:pPr>
              <w:pStyle w:val="Tabletext"/>
              <w:spacing w:before="0" w:after="0"/>
              <w:rPr>
                <w:b/>
                <w:lang w:val="en-AU"/>
              </w:rPr>
            </w:pPr>
            <w:r w:rsidRPr="00331240">
              <w:rPr>
                <w:b/>
                <w:lang w:val="en-AU"/>
              </w:rPr>
              <w:t> </w:t>
            </w:r>
          </w:p>
        </w:tc>
        <w:tc>
          <w:tcPr>
            <w:tcW w:w="1503" w:type="dxa"/>
            <w:tcBorders>
              <w:bottom w:val="single" w:sz="4" w:space="0" w:color="auto"/>
            </w:tcBorders>
            <w:noWrap/>
            <w:hideMark/>
          </w:tcPr>
          <w:p w14:paraId="40732D07" w14:textId="77777777" w:rsidR="00B8176F" w:rsidRPr="00331240" w:rsidRDefault="00B8176F" w:rsidP="000E1382">
            <w:pPr>
              <w:pStyle w:val="Tabletext"/>
              <w:spacing w:before="0" w:after="0"/>
              <w:rPr>
                <w:b/>
                <w:lang w:val="en-AU"/>
              </w:rPr>
            </w:pPr>
            <w:r w:rsidRPr="00331240">
              <w:rPr>
                <w:b/>
                <w:lang w:val="en-AU"/>
              </w:rPr>
              <w:t> </w:t>
            </w:r>
          </w:p>
        </w:tc>
        <w:tc>
          <w:tcPr>
            <w:tcW w:w="1503" w:type="dxa"/>
            <w:tcBorders>
              <w:bottom w:val="single" w:sz="4" w:space="0" w:color="auto"/>
            </w:tcBorders>
            <w:noWrap/>
            <w:hideMark/>
          </w:tcPr>
          <w:p w14:paraId="1D933AF7" w14:textId="77777777" w:rsidR="00B8176F" w:rsidRPr="00331240" w:rsidRDefault="00B8176F" w:rsidP="000E1382">
            <w:pPr>
              <w:pStyle w:val="Tabletext"/>
              <w:spacing w:before="0" w:after="0"/>
              <w:rPr>
                <w:b/>
                <w:lang w:val="en-AU"/>
              </w:rPr>
            </w:pPr>
            <w:r w:rsidRPr="00331240">
              <w:rPr>
                <w:b/>
                <w:lang w:val="en-AU"/>
              </w:rPr>
              <w:t> </w:t>
            </w:r>
          </w:p>
        </w:tc>
      </w:tr>
      <w:tr w:rsidR="007562D0" w:rsidRPr="00331240" w14:paraId="0EC95AFD" w14:textId="77777777" w:rsidTr="007562D0">
        <w:trPr>
          <w:trHeight w:val="20"/>
        </w:trPr>
        <w:tc>
          <w:tcPr>
            <w:tcW w:w="1502" w:type="dxa"/>
            <w:noWrap/>
            <w:hideMark/>
          </w:tcPr>
          <w:p w14:paraId="0E204346" w14:textId="77777777" w:rsidR="007562D0" w:rsidRPr="00331240" w:rsidRDefault="007562D0" w:rsidP="000E1382">
            <w:pPr>
              <w:pStyle w:val="Tabletext"/>
              <w:spacing w:before="0" w:after="0"/>
              <w:rPr>
                <w:lang w:val="en-AU"/>
              </w:rPr>
            </w:pPr>
            <w:r w:rsidRPr="00331240">
              <w:rPr>
                <w:lang w:val="en-AU"/>
              </w:rPr>
              <w:t>DBS</w:t>
            </w:r>
          </w:p>
        </w:tc>
        <w:tc>
          <w:tcPr>
            <w:tcW w:w="1503" w:type="dxa"/>
            <w:noWrap/>
            <w:hideMark/>
          </w:tcPr>
          <w:p w14:paraId="06C18C8E" w14:textId="431AA448" w:rsidR="007562D0" w:rsidRPr="00331240" w:rsidRDefault="007562D0" w:rsidP="000E1382">
            <w:pPr>
              <w:pStyle w:val="Tabletext"/>
              <w:spacing w:before="0" w:after="0"/>
              <w:rPr>
                <w:lang w:val="en-AU"/>
              </w:rPr>
            </w:pPr>
            <w:r w:rsidRPr="00331240">
              <w:rPr>
                <w:rFonts w:cs="Calibri"/>
                <w:color w:val="000000"/>
                <w:szCs w:val="20"/>
                <w:lang w:val="en-AU"/>
              </w:rPr>
              <w:t>$42,818</w:t>
            </w:r>
          </w:p>
        </w:tc>
        <w:tc>
          <w:tcPr>
            <w:tcW w:w="1503" w:type="dxa"/>
            <w:noWrap/>
            <w:hideMark/>
          </w:tcPr>
          <w:p w14:paraId="4A39D8EF" w14:textId="701D4208" w:rsidR="007562D0" w:rsidRPr="00331240" w:rsidRDefault="007562D0" w:rsidP="000E1382">
            <w:pPr>
              <w:pStyle w:val="Tabletext"/>
              <w:spacing w:before="0" w:after="0"/>
              <w:rPr>
                <w:lang w:val="en-AU"/>
              </w:rPr>
            </w:pPr>
            <w:r w:rsidRPr="00331240">
              <w:rPr>
                <w:rFonts w:cs="Calibri"/>
                <w:color w:val="000000"/>
                <w:szCs w:val="20"/>
                <w:lang w:val="en-AU"/>
              </w:rPr>
              <w:t>0.34</w:t>
            </w:r>
          </w:p>
        </w:tc>
        <w:tc>
          <w:tcPr>
            <w:tcW w:w="1502" w:type="dxa"/>
            <w:noWrap/>
            <w:hideMark/>
          </w:tcPr>
          <w:p w14:paraId="28442F41" w14:textId="2D7B31FB" w:rsidR="007562D0" w:rsidRPr="00331240" w:rsidRDefault="007562D0" w:rsidP="000E1382">
            <w:pPr>
              <w:pStyle w:val="Tabletext"/>
              <w:spacing w:before="0" w:after="0"/>
              <w:rPr>
                <w:lang w:val="en-AU"/>
              </w:rPr>
            </w:pPr>
            <w:r w:rsidRPr="00331240">
              <w:rPr>
                <w:rFonts w:cs="Calibri"/>
                <w:color w:val="000000"/>
                <w:szCs w:val="20"/>
                <w:lang w:val="en-AU"/>
              </w:rPr>
              <w:t>108</w:t>
            </w:r>
          </w:p>
        </w:tc>
        <w:tc>
          <w:tcPr>
            <w:tcW w:w="1503" w:type="dxa"/>
            <w:tcBorders>
              <w:bottom w:val="nil"/>
            </w:tcBorders>
            <w:noWrap/>
          </w:tcPr>
          <w:p w14:paraId="5AD58FB4" w14:textId="6A39346F" w:rsidR="007562D0" w:rsidRPr="00331240" w:rsidRDefault="007562D0" w:rsidP="000E1382">
            <w:pPr>
              <w:pStyle w:val="Tabletext"/>
              <w:spacing w:before="0" w:after="0"/>
              <w:rPr>
                <w:lang w:val="en-AU"/>
              </w:rPr>
            </w:pPr>
          </w:p>
        </w:tc>
        <w:tc>
          <w:tcPr>
            <w:tcW w:w="1503" w:type="dxa"/>
            <w:tcBorders>
              <w:bottom w:val="nil"/>
            </w:tcBorders>
            <w:noWrap/>
          </w:tcPr>
          <w:p w14:paraId="4DF6C3FB" w14:textId="61386D88" w:rsidR="007562D0" w:rsidRPr="00331240" w:rsidRDefault="007562D0" w:rsidP="000E1382">
            <w:pPr>
              <w:pStyle w:val="Tabletext"/>
              <w:spacing w:before="0" w:after="0"/>
              <w:rPr>
                <w:lang w:val="en-AU"/>
              </w:rPr>
            </w:pPr>
          </w:p>
        </w:tc>
      </w:tr>
      <w:tr w:rsidR="007562D0" w:rsidRPr="00331240" w14:paraId="62222977" w14:textId="77777777" w:rsidTr="007562D0">
        <w:trPr>
          <w:trHeight w:val="20"/>
        </w:trPr>
        <w:tc>
          <w:tcPr>
            <w:tcW w:w="1502" w:type="dxa"/>
            <w:noWrap/>
            <w:hideMark/>
          </w:tcPr>
          <w:p w14:paraId="5DB4577A" w14:textId="54EAE537" w:rsidR="007562D0" w:rsidRPr="00331240" w:rsidRDefault="007562D0" w:rsidP="000E1382">
            <w:pPr>
              <w:pStyle w:val="Tabletext"/>
              <w:spacing w:before="0" w:after="0"/>
              <w:rPr>
                <w:lang w:val="en-AU"/>
              </w:rPr>
            </w:pPr>
            <w:r w:rsidRPr="00331240">
              <w:rPr>
                <w:lang w:val="en-AU"/>
              </w:rPr>
              <w:t>VNS and OMT</w:t>
            </w:r>
          </w:p>
        </w:tc>
        <w:tc>
          <w:tcPr>
            <w:tcW w:w="1503" w:type="dxa"/>
            <w:noWrap/>
            <w:hideMark/>
          </w:tcPr>
          <w:p w14:paraId="6A8CCCAB" w14:textId="2F9D86C1" w:rsidR="007562D0" w:rsidRPr="00331240" w:rsidRDefault="007562D0" w:rsidP="000E1382">
            <w:pPr>
              <w:pStyle w:val="Tabletext"/>
              <w:spacing w:before="0" w:after="0"/>
              <w:rPr>
                <w:lang w:val="en-AU"/>
              </w:rPr>
            </w:pPr>
            <w:r w:rsidRPr="00331240">
              <w:rPr>
                <w:rFonts w:cs="Calibri"/>
                <w:color w:val="000000"/>
                <w:szCs w:val="20"/>
                <w:lang w:val="en-AU"/>
              </w:rPr>
              <w:t>$19,998</w:t>
            </w:r>
          </w:p>
        </w:tc>
        <w:tc>
          <w:tcPr>
            <w:tcW w:w="1503" w:type="dxa"/>
            <w:noWrap/>
            <w:hideMark/>
          </w:tcPr>
          <w:p w14:paraId="3694A4CC" w14:textId="49475A54" w:rsidR="007562D0" w:rsidRPr="00331240" w:rsidRDefault="007562D0" w:rsidP="000E1382">
            <w:pPr>
              <w:pStyle w:val="Tabletext"/>
              <w:spacing w:before="0" w:after="0"/>
              <w:rPr>
                <w:lang w:val="en-AU"/>
              </w:rPr>
            </w:pPr>
            <w:r w:rsidRPr="00331240">
              <w:rPr>
                <w:rFonts w:cs="Calibri"/>
                <w:color w:val="000000"/>
                <w:szCs w:val="20"/>
                <w:lang w:val="en-AU"/>
              </w:rPr>
              <w:t>0.33</w:t>
            </w:r>
          </w:p>
        </w:tc>
        <w:tc>
          <w:tcPr>
            <w:tcW w:w="1502" w:type="dxa"/>
            <w:noWrap/>
            <w:hideMark/>
          </w:tcPr>
          <w:p w14:paraId="7F82F66E" w14:textId="5161158B" w:rsidR="007562D0" w:rsidRPr="00331240" w:rsidRDefault="007562D0" w:rsidP="000E1382">
            <w:pPr>
              <w:pStyle w:val="Tabletext"/>
              <w:spacing w:before="0" w:after="0"/>
              <w:rPr>
                <w:lang w:val="en-AU"/>
              </w:rPr>
            </w:pPr>
            <w:r w:rsidRPr="00331240">
              <w:rPr>
                <w:rFonts w:cs="Calibri"/>
                <w:color w:val="000000"/>
                <w:szCs w:val="20"/>
                <w:lang w:val="en-AU"/>
              </w:rPr>
              <w:t>117</w:t>
            </w:r>
          </w:p>
        </w:tc>
        <w:tc>
          <w:tcPr>
            <w:tcW w:w="1503" w:type="dxa"/>
            <w:tcBorders>
              <w:top w:val="nil"/>
              <w:bottom w:val="nil"/>
            </w:tcBorders>
          </w:tcPr>
          <w:p w14:paraId="5E34CF5F" w14:textId="479ADAE7" w:rsidR="007562D0" w:rsidRPr="00331240" w:rsidRDefault="007562D0" w:rsidP="000E1382">
            <w:pPr>
              <w:pStyle w:val="Tabletext"/>
              <w:spacing w:before="0" w:after="0"/>
              <w:rPr>
                <w:lang w:val="en-AU"/>
              </w:rPr>
            </w:pPr>
            <w:r w:rsidRPr="00331240">
              <w:rPr>
                <w:lang w:val="en-AU"/>
              </w:rPr>
              <w:t>$2,601</w:t>
            </w:r>
          </w:p>
        </w:tc>
        <w:tc>
          <w:tcPr>
            <w:tcW w:w="1503" w:type="dxa"/>
            <w:tcBorders>
              <w:top w:val="nil"/>
              <w:bottom w:val="nil"/>
            </w:tcBorders>
          </w:tcPr>
          <w:p w14:paraId="2B0461A1" w14:textId="148444D9" w:rsidR="007562D0" w:rsidRPr="00331240" w:rsidRDefault="007562D0" w:rsidP="000E1382">
            <w:pPr>
              <w:pStyle w:val="Tabletext"/>
              <w:spacing w:before="0" w:after="0"/>
              <w:rPr>
                <w:lang w:val="en-AU"/>
              </w:rPr>
            </w:pPr>
            <w:r w:rsidRPr="00331240">
              <w:rPr>
                <w:lang w:val="en-AU"/>
              </w:rPr>
              <w:t>$1,625,659</w:t>
            </w:r>
          </w:p>
        </w:tc>
      </w:tr>
      <w:tr w:rsidR="007562D0" w:rsidRPr="00331240" w14:paraId="557DAC85" w14:textId="77777777" w:rsidTr="007562D0">
        <w:trPr>
          <w:trHeight w:val="20"/>
        </w:trPr>
        <w:tc>
          <w:tcPr>
            <w:tcW w:w="1502" w:type="dxa"/>
            <w:noWrap/>
            <w:hideMark/>
          </w:tcPr>
          <w:p w14:paraId="539D9B1D" w14:textId="77777777" w:rsidR="007562D0" w:rsidRPr="00331240" w:rsidRDefault="007562D0" w:rsidP="000E1382">
            <w:pPr>
              <w:pStyle w:val="Tabletext"/>
              <w:spacing w:before="0" w:after="0"/>
              <w:rPr>
                <w:lang w:val="en-AU"/>
              </w:rPr>
            </w:pPr>
            <w:r w:rsidRPr="00331240">
              <w:rPr>
                <w:lang w:val="en-AU"/>
              </w:rPr>
              <w:t>Difference</w:t>
            </w:r>
          </w:p>
        </w:tc>
        <w:tc>
          <w:tcPr>
            <w:tcW w:w="1503" w:type="dxa"/>
            <w:noWrap/>
            <w:hideMark/>
          </w:tcPr>
          <w:p w14:paraId="60547C0D" w14:textId="3151FA05" w:rsidR="007562D0" w:rsidRPr="00331240" w:rsidRDefault="007562D0" w:rsidP="000E1382">
            <w:pPr>
              <w:pStyle w:val="Tabletext"/>
              <w:spacing w:before="0" w:after="0"/>
              <w:rPr>
                <w:lang w:val="en-AU"/>
              </w:rPr>
            </w:pPr>
            <w:r w:rsidRPr="00331240">
              <w:rPr>
                <w:rFonts w:cs="Calibri"/>
                <w:color w:val="000000"/>
                <w:szCs w:val="20"/>
                <w:lang w:val="en-AU"/>
              </w:rPr>
              <w:t>$22,821</w:t>
            </w:r>
          </w:p>
        </w:tc>
        <w:tc>
          <w:tcPr>
            <w:tcW w:w="1503" w:type="dxa"/>
            <w:noWrap/>
            <w:hideMark/>
          </w:tcPr>
          <w:p w14:paraId="2427FABB" w14:textId="30F16CB5" w:rsidR="007562D0" w:rsidRPr="00331240" w:rsidRDefault="007562D0" w:rsidP="000E1382">
            <w:pPr>
              <w:pStyle w:val="Tabletext"/>
              <w:spacing w:before="0" w:after="0"/>
              <w:rPr>
                <w:lang w:val="en-AU"/>
              </w:rPr>
            </w:pPr>
            <w:r w:rsidRPr="00331240">
              <w:rPr>
                <w:rFonts w:cs="Calibri"/>
                <w:color w:val="000000"/>
                <w:szCs w:val="20"/>
                <w:lang w:val="en-AU"/>
              </w:rPr>
              <w:t>0.01</w:t>
            </w:r>
          </w:p>
        </w:tc>
        <w:tc>
          <w:tcPr>
            <w:tcW w:w="1502" w:type="dxa"/>
            <w:noWrap/>
            <w:hideMark/>
          </w:tcPr>
          <w:p w14:paraId="2CCAA303" w14:textId="38E41BE5" w:rsidR="007562D0" w:rsidRPr="0016104B" w:rsidRDefault="007562D0" w:rsidP="000E1382">
            <w:pPr>
              <w:pStyle w:val="Tabletext"/>
              <w:spacing w:before="0" w:after="0"/>
              <w:rPr>
                <w:lang w:val="en-AU"/>
              </w:rPr>
            </w:pPr>
            <w:r w:rsidRPr="0016104B">
              <w:rPr>
                <w:rFonts w:cs="Calibri"/>
                <w:color w:val="000000"/>
                <w:szCs w:val="20"/>
                <w:lang w:val="en-AU"/>
              </w:rPr>
              <w:t>-9</w:t>
            </w:r>
          </w:p>
        </w:tc>
        <w:tc>
          <w:tcPr>
            <w:tcW w:w="1503" w:type="dxa"/>
            <w:tcBorders>
              <w:top w:val="nil"/>
            </w:tcBorders>
          </w:tcPr>
          <w:p w14:paraId="74DC8413" w14:textId="77777777" w:rsidR="007562D0" w:rsidRPr="00331240" w:rsidRDefault="007562D0" w:rsidP="000E1382">
            <w:pPr>
              <w:pStyle w:val="Tabletext"/>
              <w:spacing w:before="0" w:after="0"/>
              <w:rPr>
                <w:lang w:val="en-AU"/>
              </w:rPr>
            </w:pPr>
          </w:p>
        </w:tc>
        <w:tc>
          <w:tcPr>
            <w:tcW w:w="1503" w:type="dxa"/>
            <w:tcBorders>
              <w:top w:val="nil"/>
            </w:tcBorders>
          </w:tcPr>
          <w:p w14:paraId="4AC3D2E0" w14:textId="77777777" w:rsidR="007562D0" w:rsidRPr="00331240" w:rsidRDefault="007562D0" w:rsidP="000E1382">
            <w:pPr>
              <w:pStyle w:val="Tabletext"/>
              <w:spacing w:before="0" w:after="0"/>
              <w:rPr>
                <w:lang w:val="en-AU"/>
              </w:rPr>
            </w:pPr>
          </w:p>
        </w:tc>
      </w:tr>
      <w:tr w:rsidR="007562D0" w:rsidRPr="00331240" w14:paraId="0F91A8D7" w14:textId="77777777" w:rsidTr="007562D0">
        <w:trPr>
          <w:trHeight w:val="20"/>
        </w:trPr>
        <w:tc>
          <w:tcPr>
            <w:tcW w:w="1502" w:type="dxa"/>
            <w:noWrap/>
            <w:hideMark/>
          </w:tcPr>
          <w:p w14:paraId="51505FA7" w14:textId="77777777" w:rsidR="007562D0" w:rsidRPr="00331240" w:rsidRDefault="007562D0" w:rsidP="000E1382">
            <w:pPr>
              <w:pStyle w:val="Tabletext"/>
              <w:spacing w:before="0" w:after="0"/>
              <w:rPr>
                <w:b/>
                <w:lang w:val="en-AU"/>
              </w:rPr>
            </w:pPr>
            <w:r w:rsidRPr="00331240">
              <w:rPr>
                <w:b/>
                <w:lang w:val="en-AU"/>
              </w:rPr>
              <w:t>7-years</w:t>
            </w:r>
          </w:p>
        </w:tc>
        <w:tc>
          <w:tcPr>
            <w:tcW w:w="1503" w:type="dxa"/>
            <w:noWrap/>
            <w:hideMark/>
          </w:tcPr>
          <w:p w14:paraId="137274BE" w14:textId="220EE640" w:rsidR="007562D0" w:rsidRPr="00331240" w:rsidRDefault="007562D0" w:rsidP="000E1382">
            <w:pPr>
              <w:pStyle w:val="Tabletext"/>
              <w:spacing w:before="0" w:after="0"/>
              <w:rPr>
                <w:b/>
                <w:lang w:val="en-AU"/>
              </w:rPr>
            </w:pPr>
            <w:r w:rsidRPr="00331240">
              <w:rPr>
                <w:b/>
                <w:color w:val="FFFFFF"/>
                <w:lang w:val="en-AU"/>
              </w:rPr>
              <w:t> </w:t>
            </w:r>
          </w:p>
        </w:tc>
        <w:tc>
          <w:tcPr>
            <w:tcW w:w="1503" w:type="dxa"/>
            <w:noWrap/>
            <w:hideMark/>
          </w:tcPr>
          <w:p w14:paraId="28F56628" w14:textId="30A3F8B9" w:rsidR="007562D0" w:rsidRPr="00331240" w:rsidRDefault="007562D0" w:rsidP="000E1382">
            <w:pPr>
              <w:pStyle w:val="Tabletext"/>
              <w:spacing w:before="0" w:after="0"/>
              <w:rPr>
                <w:b/>
                <w:lang w:val="en-AU"/>
              </w:rPr>
            </w:pPr>
            <w:r w:rsidRPr="00331240">
              <w:rPr>
                <w:b/>
                <w:color w:val="FFFFFF"/>
                <w:lang w:val="en-AU"/>
              </w:rPr>
              <w:t> </w:t>
            </w:r>
          </w:p>
        </w:tc>
        <w:tc>
          <w:tcPr>
            <w:tcW w:w="1502" w:type="dxa"/>
            <w:noWrap/>
            <w:hideMark/>
          </w:tcPr>
          <w:p w14:paraId="695CCACB" w14:textId="1D899206" w:rsidR="007562D0" w:rsidRPr="0016104B" w:rsidRDefault="007562D0" w:rsidP="000E1382">
            <w:pPr>
              <w:pStyle w:val="Tabletext"/>
              <w:spacing w:before="0" w:after="0"/>
              <w:rPr>
                <w:b/>
                <w:lang w:val="en-AU"/>
              </w:rPr>
            </w:pPr>
            <w:r w:rsidRPr="0016104B">
              <w:rPr>
                <w:b/>
                <w:color w:val="FFFFFF"/>
                <w:lang w:val="en-AU"/>
              </w:rPr>
              <w:t> </w:t>
            </w:r>
          </w:p>
        </w:tc>
        <w:tc>
          <w:tcPr>
            <w:tcW w:w="1503" w:type="dxa"/>
            <w:tcBorders>
              <w:bottom w:val="single" w:sz="4" w:space="0" w:color="auto"/>
            </w:tcBorders>
            <w:noWrap/>
          </w:tcPr>
          <w:p w14:paraId="27DCCBC7" w14:textId="77777777" w:rsidR="007562D0" w:rsidRPr="00331240" w:rsidRDefault="007562D0" w:rsidP="000E1382">
            <w:pPr>
              <w:pStyle w:val="Tabletext"/>
              <w:spacing w:before="0" w:after="0"/>
              <w:rPr>
                <w:b/>
                <w:lang w:val="en-AU"/>
              </w:rPr>
            </w:pPr>
          </w:p>
        </w:tc>
        <w:tc>
          <w:tcPr>
            <w:tcW w:w="1503" w:type="dxa"/>
            <w:tcBorders>
              <w:bottom w:val="single" w:sz="4" w:space="0" w:color="auto"/>
            </w:tcBorders>
            <w:noWrap/>
          </w:tcPr>
          <w:p w14:paraId="5C8258B3" w14:textId="77777777" w:rsidR="007562D0" w:rsidRPr="00331240" w:rsidRDefault="007562D0" w:rsidP="000E1382">
            <w:pPr>
              <w:pStyle w:val="Tabletext"/>
              <w:spacing w:before="0" w:after="0"/>
              <w:rPr>
                <w:b/>
                <w:lang w:val="en-AU"/>
              </w:rPr>
            </w:pPr>
          </w:p>
        </w:tc>
      </w:tr>
      <w:tr w:rsidR="007562D0" w:rsidRPr="00331240" w14:paraId="1A02028B" w14:textId="77777777" w:rsidTr="007562D0">
        <w:trPr>
          <w:trHeight w:val="20"/>
        </w:trPr>
        <w:tc>
          <w:tcPr>
            <w:tcW w:w="1502" w:type="dxa"/>
            <w:noWrap/>
            <w:hideMark/>
          </w:tcPr>
          <w:p w14:paraId="62070377" w14:textId="77777777" w:rsidR="007562D0" w:rsidRPr="00331240" w:rsidRDefault="007562D0" w:rsidP="000E1382">
            <w:pPr>
              <w:pStyle w:val="Tabletext"/>
              <w:spacing w:before="0" w:after="0"/>
              <w:rPr>
                <w:lang w:val="en-AU"/>
              </w:rPr>
            </w:pPr>
            <w:r w:rsidRPr="00331240">
              <w:rPr>
                <w:lang w:val="en-AU"/>
              </w:rPr>
              <w:t>DBS</w:t>
            </w:r>
          </w:p>
        </w:tc>
        <w:tc>
          <w:tcPr>
            <w:tcW w:w="1503" w:type="dxa"/>
            <w:noWrap/>
            <w:hideMark/>
          </w:tcPr>
          <w:p w14:paraId="421CD162" w14:textId="41B3A83A" w:rsidR="007562D0" w:rsidRPr="00331240" w:rsidRDefault="007562D0" w:rsidP="000E1382">
            <w:pPr>
              <w:pStyle w:val="Tabletext"/>
              <w:spacing w:before="0" w:after="0"/>
              <w:rPr>
                <w:lang w:val="en-AU"/>
              </w:rPr>
            </w:pPr>
            <w:r w:rsidRPr="00331240">
              <w:rPr>
                <w:rFonts w:cs="Calibri"/>
                <w:color w:val="000000"/>
                <w:szCs w:val="20"/>
                <w:lang w:val="en-AU"/>
              </w:rPr>
              <w:t>$68,721</w:t>
            </w:r>
          </w:p>
        </w:tc>
        <w:tc>
          <w:tcPr>
            <w:tcW w:w="1503" w:type="dxa"/>
            <w:noWrap/>
            <w:hideMark/>
          </w:tcPr>
          <w:p w14:paraId="66997EAE" w14:textId="24498DD1" w:rsidR="007562D0" w:rsidRPr="00331240" w:rsidRDefault="007562D0" w:rsidP="000E1382">
            <w:pPr>
              <w:pStyle w:val="Tabletext"/>
              <w:spacing w:before="0" w:after="0"/>
              <w:rPr>
                <w:lang w:val="en-AU"/>
              </w:rPr>
            </w:pPr>
            <w:r w:rsidRPr="00331240">
              <w:rPr>
                <w:rFonts w:cs="Calibri"/>
                <w:color w:val="000000"/>
                <w:szCs w:val="20"/>
                <w:lang w:val="en-AU"/>
              </w:rPr>
              <w:t>4.67</w:t>
            </w:r>
          </w:p>
        </w:tc>
        <w:tc>
          <w:tcPr>
            <w:tcW w:w="1502" w:type="dxa"/>
            <w:noWrap/>
            <w:hideMark/>
          </w:tcPr>
          <w:p w14:paraId="299DD080" w14:textId="34D24F1D" w:rsidR="007562D0" w:rsidRPr="0016104B" w:rsidRDefault="007562D0" w:rsidP="000E1382">
            <w:pPr>
              <w:pStyle w:val="Tabletext"/>
              <w:spacing w:before="0" w:after="0"/>
              <w:rPr>
                <w:lang w:val="en-AU"/>
              </w:rPr>
            </w:pPr>
            <w:r w:rsidRPr="0016104B">
              <w:rPr>
                <w:rFonts w:cs="Calibri"/>
                <w:color w:val="000000"/>
                <w:szCs w:val="20"/>
                <w:lang w:val="en-AU"/>
              </w:rPr>
              <w:t>1,167</w:t>
            </w:r>
          </w:p>
        </w:tc>
        <w:tc>
          <w:tcPr>
            <w:tcW w:w="1503" w:type="dxa"/>
            <w:tcBorders>
              <w:bottom w:val="nil"/>
            </w:tcBorders>
            <w:noWrap/>
          </w:tcPr>
          <w:p w14:paraId="26547892" w14:textId="0331CA41" w:rsidR="007562D0" w:rsidRPr="00331240" w:rsidRDefault="007562D0" w:rsidP="000E1382">
            <w:pPr>
              <w:pStyle w:val="Tabletext"/>
              <w:spacing w:before="0" w:after="0"/>
              <w:rPr>
                <w:lang w:val="en-AU"/>
              </w:rPr>
            </w:pPr>
          </w:p>
        </w:tc>
        <w:tc>
          <w:tcPr>
            <w:tcW w:w="1503" w:type="dxa"/>
            <w:tcBorders>
              <w:bottom w:val="nil"/>
            </w:tcBorders>
            <w:noWrap/>
          </w:tcPr>
          <w:p w14:paraId="11A24A1D" w14:textId="2828D45D" w:rsidR="007562D0" w:rsidRPr="00331240" w:rsidRDefault="007562D0" w:rsidP="000E1382">
            <w:pPr>
              <w:pStyle w:val="Tabletext"/>
              <w:spacing w:before="0" w:after="0"/>
              <w:rPr>
                <w:lang w:val="en-AU"/>
              </w:rPr>
            </w:pPr>
          </w:p>
        </w:tc>
      </w:tr>
      <w:tr w:rsidR="007562D0" w:rsidRPr="00331240" w14:paraId="67D2B595" w14:textId="77777777" w:rsidTr="007562D0">
        <w:trPr>
          <w:trHeight w:val="20"/>
        </w:trPr>
        <w:tc>
          <w:tcPr>
            <w:tcW w:w="1502" w:type="dxa"/>
            <w:noWrap/>
            <w:hideMark/>
          </w:tcPr>
          <w:p w14:paraId="5A285753" w14:textId="408AC301" w:rsidR="007562D0" w:rsidRPr="00331240" w:rsidRDefault="007562D0" w:rsidP="000E1382">
            <w:pPr>
              <w:pStyle w:val="Tabletext"/>
              <w:spacing w:before="0" w:after="0"/>
              <w:rPr>
                <w:lang w:val="en-AU"/>
              </w:rPr>
            </w:pPr>
            <w:r w:rsidRPr="00331240">
              <w:rPr>
                <w:lang w:val="en-AU"/>
              </w:rPr>
              <w:t>VNS and OMT</w:t>
            </w:r>
          </w:p>
        </w:tc>
        <w:tc>
          <w:tcPr>
            <w:tcW w:w="1503" w:type="dxa"/>
            <w:noWrap/>
            <w:hideMark/>
          </w:tcPr>
          <w:p w14:paraId="58AAFA45" w14:textId="4167C8D5" w:rsidR="007562D0" w:rsidRPr="00331240" w:rsidRDefault="007562D0" w:rsidP="000E1382">
            <w:pPr>
              <w:pStyle w:val="Tabletext"/>
              <w:spacing w:before="0" w:after="0"/>
              <w:rPr>
                <w:lang w:val="en-AU"/>
              </w:rPr>
            </w:pPr>
            <w:r w:rsidRPr="00331240">
              <w:rPr>
                <w:rFonts w:cs="Calibri"/>
                <w:color w:val="000000"/>
                <w:szCs w:val="20"/>
                <w:lang w:val="en-AU"/>
              </w:rPr>
              <w:t>$42,548</w:t>
            </w:r>
          </w:p>
        </w:tc>
        <w:tc>
          <w:tcPr>
            <w:tcW w:w="1503" w:type="dxa"/>
            <w:noWrap/>
            <w:hideMark/>
          </w:tcPr>
          <w:p w14:paraId="32501138" w14:textId="45906414" w:rsidR="007562D0" w:rsidRPr="00331240" w:rsidRDefault="007562D0" w:rsidP="000E1382">
            <w:pPr>
              <w:pStyle w:val="Tabletext"/>
              <w:spacing w:before="0" w:after="0"/>
              <w:rPr>
                <w:lang w:val="en-AU"/>
              </w:rPr>
            </w:pPr>
            <w:r w:rsidRPr="00331240">
              <w:rPr>
                <w:rFonts w:cs="Calibri"/>
                <w:color w:val="000000"/>
                <w:szCs w:val="20"/>
                <w:lang w:val="en-AU"/>
              </w:rPr>
              <w:t>4.60</w:t>
            </w:r>
          </w:p>
        </w:tc>
        <w:tc>
          <w:tcPr>
            <w:tcW w:w="1502" w:type="dxa"/>
            <w:noWrap/>
            <w:hideMark/>
          </w:tcPr>
          <w:p w14:paraId="44B15740" w14:textId="4F5C1ECB" w:rsidR="007562D0" w:rsidRPr="0016104B" w:rsidRDefault="007562D0" w:rsidP="000E1382">
            <w:pPr>
              <w:pStyle w:val="Tabletext"/>
              <w:spacing w:before="0" w:after="0"/>
              <w:rPr>
                <w:lang w:val="en-AU"/>
              </w:rPr>
            </w:pPr>
            <w:r w:rsidRPr="0016104B">
              <w:rPr>
                <w:rFonts w:cs="Calibri"/>
                <w:color w:val="000000"/>
                <w:szCs w:val="20"/>
                <w:lang w:val="en-AU"/>
              </w:rPr>
              <w:t>1,210</w:t>
            </w:r>
          </w:p>
        </w:tc>
        <w:tc>
          <w:tcPr>
            <w:tcW w:w="1503" w:type="dxa"/>
            <w:tcBorders>
              <w:top w:val="nil"/>
              <w:bottom w:val="nil"/>
            </w:tcBorders>
          </w:tcPr>
          <w:p w14:paraId="626D1E25" w14:textId="5553D220" w:rsidR="007562D0" w:rsidRPr="00331240" w:rsidRDefault="007562D0" w:rsidP="000E1382">
            <w:pPr>
              <w:pStyle w:val="Tabletext"/>
              <w:spacing w:before="0" w:after="0"/>
              <w:rPr>
                <w:lang w:val="en-AU"/>
              </w:rPr>
            </w:pPr>
            <w:r w:rsidRPr="00331240">
              <w:rPr>
                <w:lang w:val="en-AU"/>
              </w:rPr>
              <w:t>$612</w:t>
            </w:r>
          </w:p>
        </w:tc>
        <w:tc>
          <w:tcPr>
            <w:tcW w:w="1503" w:type="dxa"/>
            <w:tcBorders>
              <w:top w:val="nil"/>
              <w:bottom w:val="nil"/>
            </w:tcBorders>
          </w:tcPr>
          <w:p w14:paraId="0F2A60DD" w14:textId="15DAE41D" w:rsidR="007562D0" w:rsidRPr="00331240" w:rsidRDefault="007562D0" w:rsidP="000E1382">
            <w:pPr>
              <w:pStyle w:val="Tabletext"/>
              <w:spacing w:before="0" w:after="0"/>
              <w:rPr>
                <w:lang w:val="en-AU"/>
              </w:rPr>
            </w:pPr>
            <w:r w:rsidRPr="00331240">
              <w:rPr>
                <w:lang w:val="en-AU"/>
              </w:rPr>
              <w:t>$381,796</w:t>
            </w:r>
          </w:p>
        </w:tc>
      </w:tr>
      <w:tr w:rsidR="007562D0" w:rsidRPr="00331240" w14:paraId="73B3627A" w14:textId="77777777" w:rsidTr="007562D0">
        <w:trPr>
          <w:trHeight w:val="20"/>
        </w:trPr>
        <w:tc>
          <w:tcPr>
            <w:tcW w:w="1502" w:type="dxa"/>
            <w:noWrap/>
            <w:hideMark/>
          </w:tcPr>
          <w:p w14:paraId="198CF0EB" w14:textId="77777777" w:rsidR="007562D0" w:rsidRPr="00331240" w:rsidRDefault="007562D0" w:rsidP="000E1382">
            <w:pPr>
              <w:pStyle w:val="Tabletext"/>
              <w:spacing w:before="0" w:after="0"/>
              <w:rPr>
                <w:lang w:val="en-AU"/>
              </w:rPr>
            </w:pPr>
            <w:r w:rsidRPr="00331240">
              <w:rPr>
                <w:lang w:val="en-AU"/>
              </w:rPr>
              <w:t>Difference</w:t>
            </w:r>
          </w:p>
        </w:tc>
        <w:tc>
          <w:tcPr>
            <w:tcW w:w="1503" w:type="dxa"/>
            <w:noWrap/>
            <w:hideMark/>
          </w:tcPr>
          <w:p w14:paraId="4F032E67" w14:textId="1C162F2F" w:rsidR="007562D0" w:rsidRPr="00331240" w:rsidRDefault="007562D0" w:rsidP="000E1382">
            <w:pPr>
              <w:pStyle w:val="Tabletext"/>
              <w:spacing w:before="0" w:after="0"/>
              <w:rPr>
                <w:lang w:val="en-AU"/>
              </w:rPr>
            </w:pPr>
            <w:r w:rsidRPr="00331240">
              <w:rPr>
                <w:rFonts w:cs="Calibri"/>
                <w:color w:val="000000"/>
                <w:szCs w:val="20"/>
                <w:lang w:val="en-AU"/>
              </w:rPr>
              <w:t>$26,173</w:t>
            </w:r>
          </w:p>
        </w:tc>
        <w:tc>
          <w:tcPr>
            <w:tcW w:w="1503" w:type="dxa"/>
            <w:noWrap/>
            <w:hideMark/>
          </w:tcPr>
          <w:p w14:paraId="481806C0" w14:textId="1A1CE4F6" w:rsidR="007562D0" w:rsidRPr="00331240" w:rsidRDefault="007562D0" w:rsidP="000E1382">
            <w:pPr>
              <w:pStyle w:val="Tabletext"/>
              <w:spacing w:before="0" w:after="0"/>
              <w:rPr>
                <w:lang w:val="en-AU"/>
              </w:rPr>
            </w:pPr>
            <w:r w:rsidRPr="00331240">
              <w:rPr>
                <w:rFonts w:cs="Calibri"/>
                <w:color w:val="000000"/>
                <w:szCs w:val="20"/>
                <w:lang w:val="en-AU"/>
              </w:rPr>
              <w:t>0.07</w:t>
            </w:r>
          </w:p>
        </w:tc>
        <w:tc>
          <w:tcPr>
            <w:tcW w:w="1502" w:type="dxa"/>
            <w:noWrap/>
            <w:hideMark/>
          </w:tcPr>
          <w:p w14:paraId="5CC7CBB7" w14:textId="61885E66" w:rsidR="007562D0" w:rsidRPr="0016104B" w:rsidRDefault="007562D0" w:rsidP="000E1382">
            <w:pPr>
              <w:pStyle w:val="Tabletext"/>
              <w:spacing w:before="0" w:after="0"/>
              <w:rPr>
                <w:lang w:val="en-AU"/>
              </w:rPr>
            </w:pPr>
            <w:r w:rsidRPr="0016104B">
              <w:rPr>
                <w:rFonts w:cs="Calibri"/>
                <w:color w:val="000000"/>
                <w:szCs w:val="20"/>
                <w:lang w:val="en-AU"/>
              </w:rPr>
              <w:t>-43</w:t>
            </w:r>
          </w:p>
        </w:tc>
        <w:tc>
          <w:tcPr>
            <w:tcW w:w="1503" w:type="dxa"/>
            <w:tcBorders>
              <w:top w:val="nil"/>
            </w:tcBorders>
          </w:tcPr>
          <w:p w14:paraId="77DF0EC2" w14:textId="77777777" w:rsidR="007562D0" w:rsidRPr="00331240" w:rsidRDefault="007562D0" w:rsidP="000E1382">
            <w:pPr>
              <w:pStyle w:val="Tabletext"/>
              <w:spacing w:before="0" w:after="0"/>
              <w:rPr>
                <w:lang w:val="en-AU"/>
              </w:rPr>
            </w:pPr>
          </w:p>
        </w:tc>
        <w:tc>
          <w:tcPr>
            <w:tcW w:w="1503" w:type="dxa"/>
            <w:tcBorders>
              <w:top w:val="nil"/>
            </w:tcBorders>
          </w:tcPr>
          <w:p w14:paraId="43461C2A" w14:textId="77777777" w:rsidR="007562D0" w:rsidRPr="00331240" w:rsidRDefault="007562D0" w:rsidP="000E1382">
            <w:pPr>
              <w:pStyle w:val="Tabletext"/>
              <w:spacing w:before="0" w:after="0"/>
              <w:rPr>
                <w:lang w:val="en-AU"/>
              </w:rPr>
            </w:pPr>
          </w:p>
        </w:tc>
      </w:tr>
      <w:tr w:rsidR="007562D0" w:rsidRPr="00331240" w14:paraId="58C667D5" w14:textId="77777777" w:rsidTr="007562D0">
        <w:trPr>
          <w:trHeight w:val="20"/>
        </w:trPr>
        <w:tc>
          <w:tcPr>
            <w:tcW w:w="1502" w:type="dxa"/>
            <w:noWrap/>
            <w:hideMark/>
          </w:tcPr>
          <w:p w14:paraId="43D5DFC0" w14:textId="77777777" w:rsidR="007562D0" w:rsidRPr="00331240" w:rsidRDefault="007562D0" w:rsidP="000E1382">
            <w:pPr>
              <w:pStyle w:val="Tabletext"/>
              <w:spacing w:before="0" w:after="0"/>
              <w:rPr>
                <w:b/>
                <w:lang w:val="en-AU"/>
              </w:rPr>
            </w:pPr>
            <w:r w:rsidRPr="00331240">
              <w:rPr>
                <w:b/>
                <w:lang w:val="en-AU"/>
              </w:rPr>
              <w:t>Lifetime</w:t>
            </w:r>
          </w:p>
        </w:tc>
        <w:tc>
          <w:tcPr>
            <w:tcW w:w="1503" w:type="dxa"/>
            <w:noWrap/>
            <w:hideMark/>
          </w:tcPr>
          <w:p w14:paraId="7EF5A548" w14:textId="479A4F43" w:rsidR="007562D0" w:rsidRPr="00331240" w:rsidRDefault="007562D0" w:rsidP="000E1382">
            <w:pPr>
              <w:pStyle w:val="Tabletext"/>
              <w:spacing w:before="0" w:after="0"/>
              <w:rPr>
                <w:b/>
                <w:lang w:val="en-AU"/>
              </w:rPr>
            </w:pPr>
            <w:r w:rsidRPr="00331240">
              <w:rPr>
                <w:b/>
                <w:color w:val="FFFFFF"/>
                <w:lang w:val="en-AU"/>
              </w:rPr>
              <w:t> </w:t>
            </w:r>
          </w:p>
        </w:tc>
        <w:tc>
          <w:tcPr>
            <w:tcW w:w="1503" w:type="dxa"/>
            <w:noWrap/>
            <w:hideMark/>
          </w:tcPr>
          <w:p w14:paraId="30D2C7DF" w14:textId="05DF9FE0" w:rsidR="007562D0" w:rsidRPr="00331240" w:rsidRDefault="007562D0" w:rsidP="000E1382">
            <w:pPr>
              <w:pStyle w:val="Tabletext"/>
              <w:spacing w:before="0" w:after="0"/>
              <w:rPr>
                <w:b/>
                <w:lang w:val="en-AU"/>
              </w:rPr>
            </w:pPr>
            <w:r w:rsidRPr="00331240">
              <w:rPr>
                <w:b/>
                <w:color w:val="FFFFFF"/>
                <w:lang w:val="en-AU"/>
              </w:rPr>
              <w:t> </w:t>
            </w:r>
          </w:p>
        </w:tc>
        <w:tc>
          <w:tcPr>
            <w:tcW w:w="1502" w:type="dxa"/>
            <w:noWrap/>
            <w:hideMark/>
          </w:tcPr>
          <w:p w14:paraId="214A94A6" w14:textId="6F050261" w:rsidR="007562D0" w:rsidRPr="0016104B" w:rsidRDefault="007562D0" w:rsidP="000E1382">
            <w:pPr>
              <w:pStyle w:val="Tabletext"/>
              <w:spacing w:before="0" w:after="0"/>
              <w:rPr>
                <w:b/>
                <w:lang w:val="en-AU"/>
              </w:rPr>
            </w:pPr>
            <w:r w:rsidRPr="0016104B">
              <w:rPr>
                <w:b/>
                <w:color w:val="FFFFFF"/>
                <w:lang w:val="en-AU"/>
              </w:rPr>
              <w:t> </w:t>
            </w:r>
          </w:p>
        </w:tc>
        <w:tc>
          <w:tcPr>
            <w:tcW w:w="1503" w:type="dxa"/>
            <w:tcBorders>
              <w:bottom w:val="single" w:sz="4" w:space="0" w:color="auto"/>
            </w:tcBorders>
            <w:noWrap/>
          </w:tcPr>
          <w:p w14:paraId="45356797" w14:textId="77777777" w:rsidR="007562D0" w:rsidRPr="00331240" w:rsidRDefault="007562D0" w:rsidP="000E1382">
            <w:pPr>
              <w:pStyle w:val="Tabletext"/>
              <w:spacing w:before="0" w:after="0"/>
              <w:rPr>
                <w:b/>
                <w:lang w:val="en-AU"/>
              </w:rPr>
            </w:pPr>
          </w:p>
        </w:tc>
        <w:tc>
          <w:tcPr>
            <w:tcW w:w="1503" w:type="dxa"/>
            <w:tcBorders>
              <w:bottom w:val="single" w:sz="4" w:space="0" w:color="auto"/>
            </w:tcBorders>
            <w:noWrap/>
          </w:tcPr>
          <w:p w14:paraId="2CD3EA0B" w14:textId="77777777" w:rsidR="007562D0" w:rsidRPr="00331240" w:rsidRDefault="007562D0" w:rsidP="000E1382">
            <w:pPr>
              <w:pStyle w:val="Tabletext"/>
              <w:spacing w:before="0" w:after="0"/>
              <w:rPr>
                <w:b/>
                <w:lang w:val="en-AU"/>
              </w:rPr>
            </w:pPr>
          </w:p>
        </w:tc>
      </w:tr>
      <w:tr w:rsidR="007562D0" w:rsidRPr="00331240" w14:paraId="570A79A5" w14:textId="77777777" w:rsidTr="007562D0">
        <w:trPr>
          <w:trHeight w:val="20"/>
        </w:trPr>
        <w:tc>
          <w:tcPr>
            <w:tcW w:w="1502" w:type="dxa"/>
            <w:noWrap/>
            <w:hideMark/>
          </w:tcPr>
          <w:p w14:paraId="4E8A4D4A" w14:textId="77777777" w:rsidR="007562D0" w:rsidRPr="00331240" w:rsidRDefault="007562D0" w:rsidP="000E1382">
            <w:pPr>
              <w:pStyle w:val="Tabletext"/>
              <w:spacing w:before="0" w:after="0"/>
              <w:rPr>
                <w:lang w:val="en-AU"/>
              </w:rPr>
            </w:pPr>
            <w:r w:rsidRPr="00331240">
              <w:rPr>
                <w:lang w:val="en-AU"/>
              </w:rPr>
              <w:t>DBS</w:t>
            </w:r>
          </w:p>
        </w:tc>
        <w:tc>
          <w:tcPr>
            <w:tcW w:w="1503" w:type="dxa"/>
            <w:noWrap/>
            <w:hideMark/>
          </w:tcPr>
          <w:p w14:paraId="2AC3F3D7" w14:textId="2E39314F" w:rsidR="007562D0" w:rsidRPr="00331240" w:rsidRDefault="007562D0" w:rsidP="000E1382">
            <w:pPr>
              <w:pStyle w:val="Tabletext"/>
              <w:spacing w:before="0" w:after="0"/>
              <w:rPr>
                <w:lang w:val="en-AU"/>
              </w:rPr>
            </w:pPr>
            <w:r w:rsidRPr="00331240">
              <w:rPr>
                <w:rFonts w:cs="Calibri"/>
                <w:color w:val="000000"/>
                <w:szCs w:val="20"/>
                <w:lang w:val="en-AU"/>
              </w:rPr>
              <w:t>$121,997</w:t>
            </w:r>
          </w:p>
        </w:tc>
        <w:tc>
          <w:tcPr>
            <w:tcW w:w="1503" w:type="dxa"/>
            <w:noWrap/>
            <w:hideMark/>
          </w:tcPr>
          <w:p w14:paraId="3A6E3E6C" w14:textId="63257718" w:rsidR="007562D0" w:rsidRPr="00331240" w:rsidRDefault="007562D0" w:rsidP="000E1382">
            <w:pPr>
              <w:pStyle w:val="Tabletext"/>
              <w:spacing w:before="0" w:after="0"/>
              <w:rPr>
                <w:lang w:val="en-AU"/>
              </w:rPr>
            </w:pPr>
            <w:r w:rsidRPr="00331240">
              <w:rPr>
                <w:rFonts w:cs="Calibri"/>
                <w:color w:val="000000"/>
                <w:szCs w:val="20"/>
                <w:lang w:val="en-AU"/>
              </w:rPr>
              <w:t>12.39</w:t>
            </w:r>
          </w:p>
        </w:tc>
        <w:tc>
          <w:tcPr>
            <w:tcW w:w="1502" w:type="dxa"/>
            <w:noWrap/>
            <w:hideMark/>
          </w:tcPr>
          <w:p w14:paraId="325D7B5E" w14:textId="2F56B3EE" w:rsidR="007562D0" w:rsidRPr="00331240" w:rsidRDefault="007562D0" w:rsidP="000E1382">
            <w:pPr>
              <w:pStyle w:val="Tabletext"/>
              <w:spacing w:before="0" w:after="0"/>
              <w:rPr>
                <w:lang w:val="en-AU"/>
              </w:rPr>
            </w:pPr>
            <w:r w:rsidRPr="00331240">
              <w:rPr>
                <w:rFonts w:cs="Calibri"/>
                <w:color w:val="000000"/>
                <w:szCs w:val="20"/>
                <w:lang w:val="en-AU"/>
              </w:rPr>
              <w:t>4,343</w:t>
            </w:r>
          </w:p>
        </w:tc>
        <w:tc>
          <w:tcPr>
            <w:tcW w:w="1503" w:type="dxa"/>
            <w:tcBorders>
              <w:bottom w:val="nil"/>
            </w:tcBorders>
            <w:noWrap/>
          </w:tcPr>
          <w:p w14:paraId="47529F96" w14:textId="2C416DA1" w:rsidR="007562D0" w:rsidRPr="00331240" w:rsidRDefault="007562D0" w:rsidP="000E1382">
            <w:pPr>
              <w:pStyle w:val="Tabletext"/>
              <w:spacing w:before="0" w:after="0"/>
              <w:rPr>
                <w:lang w:val="en-AU"/>
              </w:rPr>
            </w:pPr>
          </w:p>
        </w:tc>
        <w:tc>
          <w:tcPr>
            <w:tcW w:w="1503" w:type="dxa"/>
            <w:tcBorders>
              <w:bottom w:val="nil"/>
            </w:tcBorders>
            <w:noWrap/>
          </w:tcPr>
          <w:p w14:paraId="47C1208C" w14:textId="5F1333CC" w:rsidR="007562D0" w:rsidRPr="00331240" w:rsidRDefault="007562D0" w:rsidP="000E1382">
            <w:pPr>
              <w:pStyle w:val="Tabletext"/>
              <w:spacing w:before="0" w:after="0"/>
              <w:rPr>
                <w:lang w:val="en-AU"/>
              </w:rPr>
            </w:pPr>
          </w:p>
        </w:tc>
      </w:tr>
      <w:tr w:rsidR="007562D0" w:rsidRPr="00331240" w14:paraId="16599204" w14:textId="77777777" w:rsidTr="007562D0">
        <w:trPr>
          <w:trHeight w:val="20"/>
        </w:trPr>
        <w:tc>
          <w:tcPr>
            <w:tcW w:w="1502" w:type="dxa"/>
            <w:noWrap/>
            <w:hideMark/>
          </w:tcPr>
          <w:p w14:paraId="47E9802A" w14:textId="2B8ECA93" w:rsidR="007562D0" w:rsidRPr="00331240" w:rsidRDefault="007562D0" w:rsidP="000E1382">
            <w:pPr>
              <w:pStyle w:val="Tabletext"/>
              <w:spacing w:before="0" w:after="0"/>
              <w:rPr>
                <w:color w:val="000000"/>
                <w:lang w:val="en-AU"/>
              </w:rPr>
            </w:pPr>
            <w:r w:rsidRPr="00331240">
              <w:rPr>
                <w:color w:val="000000"/>
                <w:lang w:val="en-AU"/>
              </w:rPr>
              <w:t>VNS and OMT</w:t>
            </w:r>
          </w:p>
        </w:tc>
        <w:tc>
          <w:tcPr>
            <w:tcW w:w="1503" w:type="dxa"/>
            <w:noWrap/>
            <w:hideMark/>
          </w:tcPr>
          <w:p w14:paraId="63E6A133" w14:textId="65178DDB" w:rsidR="007562D0" w:rsidRPr="00331240" w:rsidRDefault="007562D0" w:rsidP="000E1382">
            <w:pPr>
              <w:pStyle w:val="Tabletext"/>
              <w:spacing w:before="0" w:after="0"/>
              <w:rPr>
                <w:color w:val="000000"/>
                <w:lang w:val="en-AU"/>
              </w:rPr>
            </w:pPr>
            <w:r w:rsidRPr="00331240">
              <w:rPr>
                <w:rFonts w:cs="Calibri"/>
                <w:color w:val="000000"/>
                <w:szCs w:val="20"/>
                <w:lang w:val="en-AU"/>
              </w:rPr>
              <w:t>$78,767</w:t>
            </w:r>
          </w:p>
        </w:tc>
        <w:tc>
          <w:tcPr>
            <w:tcW w:w="1503" w:type="dxa"/>
            <w:noWrap/>
            <w:hideMark/>
          </w:tcPr>
          <w:p w14:paraId="21C3087B" w14:textId="53A9F8A1" w:rsidR="007562D0" w:rsidRPr="00331240" w:rsidRDefault="007562D0" w:rsidP="000E1382">
            <w:pPr>
              <w:pStyle w:val="Tabletext"/>
              <w:spacing w:before="0" w:after="0"/>
              <w:rPr>
                <w:color w:val="000000"/>
                <w:lang w:val="en-AU"/>
              </w:rPr>
            </w:pPr>
            <w:r w:rsidRPr="00331240">
              <w:rPr>
                <w:rFonts w:cs="Calibri"/>
                <w:color w:val="000000"/>
                <w:szCs w:val="20"/>
                <w:lang w:val="en-AU"/>
              </w:rPr>
              <w:t>12.09</w:t>
            </w:r>
          </w:p>
        </w:tc>
        <w:tc>
          <w:tcPr>
            <w:tcW w:w="1502" w:type="dxa"/>
            <w:noWrap/>
            <w:hideMark/>
          </w:tcPr>
          <w:p w14:paraId="52292030" w14:textId="3AB40BCF" w:rsidR="007562D0" w:rsidRPr="00331240" w:rsidRDefault="007562D0" w:rsidP="000E1382">
            <w:pPr>
              <w:pStyle w:val="Tabletext"/>
              <w:spacing w:before="0" w:after="0"/>
              <w:rPr>
                <w:color w:val="000000"/>
                <w:lang w:val="en-AU"/>
              </w:rPr>
            </w:pPr>
            <w:r w:rsidRPr="00331240">
              <w:rPr>
                <w:rFonts w:cs="Calibri"/>
                <w:color w:val="000000"/>
                <w:szCs w:val="20"/>
                <w:lang w:val="en-AU"/>
              </w:rPr>
              <w:t>4,697</w:t>
            </w:r>
          </w:p>
        </w:tc>
        <w:tc>
          <w:tcPr>
            <w:tcW w:w="1503" w:type="dxa"/>
            <w:tcBorders>
              <w:top w:val="nil"/>
              <w:bottom w:val="nil"/>
            </w:tcBorders>
          </w:tcPr>
          <w:p w14:paraId="0EC4B28C" w14:textId="2C847569" w:rsidR="007562D0" w:rsidRPr="00331240" w:rsidRDefault="007562D0" w:rsidP="000E1382">
            <w:pPr>
              <w:pStyle w:val="Tabletext"/>
              <w:spacing w:before="0" w:after="0"/>
              <w:rPr>
                <w:color w:val="000000"/>
                <w:lang w:val="en-AU"/>
              </w:rPr>
            </w:pPr>
            <w:r w:rsidRPr="00331240">
              <w:rPr>
                <w:lang w:val="en-AU"/>
              </w:rPr>
              <w:t>$122</w:t>
            </w:r>
          </w:p>
        </w:tc>
        <w:tc>
          <w:tcPr>
            <w:tcW w:w="1503" w:type="dxa"/>
            <w:tcBorders>
              <w:top w:val="nil"/>
              <w:bottom w:val="nil"/>
            </w:tcBorders>
          </w:tcPr>
          <w:p w14:paraId="2B0267EC" w14:textId="2835DD71" w:rsidR="007562D0" w:rsidRPr="00331240" w:rsidRDefault="007562D0" w:rsidP="000E1382">
            <w:pPr>
              <w:pStyle w:val="Tabletext"/>
              <w:spacing w:before="0" w:after="0"/>
              <w:rPr>
                <w:color w:val="000000"/>
                <w:lang w:val="en-AU"/>
              </w:rPr>
            </w:pPr>
            <w:r w:rsidRPr="00331240">
              <w:rPr>
                <w:lang w:val="en-AU"/>
              </w:rPr>
              <w:t>$143,395</w:t>
            </w:r>
          </w:p>
        </w:tc>
      </w:tr>
      <w:tr w:rsidR="007562D0" w:rsidRPr="00331240" w14:paraId="606D9875" w14:textId="77777777" w:rsidTr="007562D0">
        <w:trPr>
          <w:trHeight w:val="20"/>
        </w:trPr>
        <w:tc>
          <w:tcPr>
            <w:tcW w:w="1502" w:type="dxa"/>
            <w:noWrap/>
            <w:hideMark/>
          </w:tcPr>
          <w:p w14:paraId="05436FA9" w14:textId="77777777" w:rsidR="007562D0" w:rsidRPr="00331240" w:rsidRDefault="007562D0" w:rsidP="000E1382">
            <w:pPr>
              <w:pStyle w:val="Tabletext"/>
              <w:spacing w:before="0" w:after="0"/>
              <w:rPr>
                <w:color w:val="000000"/>
                <w:lang w:val="en-AU"/>
              </w:rPr>
            </w:pPr>
            <w:r w:rsidRPr="00331240">
              <w:rPr>
                <w:color w:val="000000"/>
                <w:lang w:val="en-AU"/>
              </w:rPr>
              <w:t>Difference</w:t>
            </w:r>
          </w:p>
        </w:tc>
        <w:tc>
          <w:tcPr>
            <w:tcW w:w="1503" w:type="dxa"/>
            <w:noWrap/>
            <w:hideMark/>
          </w:tcPr>
          <w:p w14:paraId="071F4F76" w14:textId="357CF857" w:rsidR="007562D0" w:rsidRPr="00331240" w:rsidRDefault="007562D0" w:rsidP="000E1382">
            <w:pPr>
              <w:pStyle w:val="Tabletext"/>
              <w:spacing w:before="0" w:after="0"/>
              <w:rPr>
                <w:color w:val="000000"/>
                <w:lang w:val="en-AU"/>
              </w:rPr>
            </w:pPr>
            <w:r w:rsidRPr="00331240">
              <w:rPr>
                <w:rFonts w:cs="Calibri"/>
                <w:color w:val="000000"/>
                <w:szCs w:val="20"/>
                <w:lang w:val="en-AU"/>
              </w:rPr>
              <w:t>$43,230</w:t>
            </w:r>
          </w:p>
        </w:tc>
        <w:tc>
          <w:tcPr>
            <w:tcW w:w="1503" w:type="dxa"/>
            <w:noWrap/>
            <w:hideMark/>
          </w:tcPr>
          <w:p w14:paraId="573803A9" w14:textId="164FF59A" w:rsidR="007562D0" w:rsidRPr="00331240" w:rsidRDefault="007562D0" w:rsidP="000E1382">
            <w:pPr>
              <w:pStyle w:val="Tabletext"/>
              <w:spacing w:before="0" w:after="0"/>
              <w:rPr>
                <w:color w:val="000000"/>
                <w:lang w:val="en-AU"/>
              </w:rPr>
            </w:pPr>
            <w:r w:rsidRPr="00331240">
              <w:rPr>
                <w:rFonts w:cs="Calibri"/>
                <w:color w:val="000000"/>
                <w:szCs w:val="20"/>
                <w:lang w:val="en-AU"/>
              </w:rPr>
              <w:t>0.30</w:t>
            </w:r>
          </w:p>
        </w:tc>
        <w:tc>
          <w:tcPr>
            <w:tcW w:w="1502" w:type="dxa"/>
            <w:noWrap/>
            <w:hideMark/>
          </w:tcPr>
          <w:p w14:paraId="1AF1412A" w14:textId="148DE02D" w:rsidR="007562D0" w:rsidRPr="00331240" w:rsidRDefault="007562D0" w:rsidP="000E1382">
            <w:pPr>
              <w:pStyle w:val="Tabletext"/>
              <w:spacing w:before="0" w:after="0"/>
              <w:rPr>
                <w:color w:val="000000"/>
                <w:lang w:val="en-AU"/>
              </w:rPr>
            </w:pPr>
            <w:r w:rsidRPr="00331240">
              <w:rPr>
                <w:rFonts w:cs="Calibri"/>
                <w:color w:val="000000"/>
                <w:szCs w:val="20"/>
                <w:lang w:val="en-AU"/>
              </w:rPr>
              <w:t>-354</w:t>
            </w:r>
          </w:p>
        </w:tc>
        <w:tc>
          <w:tcPr>
            <w:tcW w:w="1503" w:type="dxa"/>
            <w:tcBorders>
              <w:top w:val="nil"/>
            </w:tcBorders>
          </w:tcPr>
          <w:p w14:paraId="345DA8C6" w14:textId="77777777" w:rsidR="007562D0" w:rsidRPr="00331240" w:rsidRDefault="007562D0" w:rsidP="000E1382">
            <w:pPr>
              <w:pStyle w:val="Tabletext"/>
              <w:spacing w:before="0" w:after="0"/>
              <w:rPr>
                <w:color w:val="000000"/>
                <w:lang w:val="en-AU"/>
              </w:rPr>
            </w:pPr>
          </w:p>
        </w:tc>
        <w:tc>
          <w:tcPr>
            <w:tcW w:w="1503" w:type="dxa"/>
            <w:tcBorders>
              <w:top w:val="nil"/>
            </w:tcBorders>
          </w:tcPr>
          <w:p w14:paraId="08207678" w14:textId="77777777" w:rsidR="007562D0" w:rsidRPr="00331240" w:rsidRDefault="007562D0" w:rsidP="000E1382">
            <w:pPr>
              <w:pStyle w:val="Tabletext"/>
              <w:spacing w:before="0" w:after="0"/>
              <w:rPr>
                <w:color w:val="000000"/>
                <w:lang w:val="en-AU"/>
              </w:rPr>
            </w:pPr>
          </w:p>
        </w:tc>
      </w:tr>
    </w:tbl>
    <w:p w14:paraId="41418CAE" w14:textId="7B914183" w:rsidR="00AA7C6B" w:rsidRPr="00331240" w:rsidRDefault="008D3970" w:rsidP="00A5396D">
      <w:pPr>
        <w:pStyle w:val="Notes-TableFigure"/>
        <w:rPr>
          <w:lang w:val="en-AU"/>
        </w:rPr>
      </w:pPr>
      <w:r w:rsidRPr="00331240">
        <w:rPr>
          <w:b/>
          <w:bCs/>
          <w:lang w:val="en-AU"/>
        </w:rPr>
        <w:t>Abbreviations</w:t>
      </w:r>
      <w:r w:rsidR="00A5396D" w:rsidRPr="00331240">
        <w:rPr>
          <w:lang w:val="en-AU"/>
        </w:rPr>
        <w:t xml:space="preserve">: </w:t>
      </w:r>
      <w:r w:rsidR="00AA7C6B" w:rsidRPr="00331240">
        <w:rPr>
          <w:lang w:val="en-AU"/>
        </w:rPr>
        <w:t>DBS</w:t>
      </w:r>
      <w:r w:rsidR="00A339C3" w:rsidRPr="00331240">
        <w:rPr>
          <w:lang w:val="en-AU"/>
        </w:rPr>
        <w:t xml:space="preserve"> </w:t>
      </w:r>
      <w:r w:rsidR="00AA7C6B" w:rsidRPr="00331240">
        <w:rPr>
          <w:lang w:val="en-AU"/>
        </w:rPr>
        <w:t>= deep brain stimulation</w:t>
      </w:r>
      <w:r w:rsidR="00A339C3" w:rsidRPr="00331240">
        <w:rPr>
          <w:lang w:val="en-AU"/>
        </w:rPr>
        <w:t>;</w:t>
      </w:r>
      <w:r w:rsidR="00AA7C6B" w:rsidRPr="00331240">
        <w:rPr>
          <w:lang w:val="en-AU"/>
        </w:rPr>
        <w:t xml:space="preserve"> </w:t>
      </w:r>
      <w:r w:rsidR="00A5396D" w:rsidRPr="00331240">
        <w:rPr>
          <w:lang w:val="en-AU"/>
        </w:rPr>
        <w:t>ICUR = Incremental Cost Utility Ratio</w:t>
      </w:r>
      <w:r w:rsidR="00A339C3" w:rsidRPr="00331240">
        <w:rPr>
          <w:lang w:val="en-AU"/>
        </w:rPr>
        <w:t>;</w:t>
      </w:r>
      <w:r w:rsidR="00A5396D" w:rsidRPr="00331240">
        <w:rPr>
          <w:lang w:val="en-AU"/>
        </w:rPr>
        <w:t xml:space="preserve"> </w:t>
      </w:r>
      <w:r w:rsidR="005E25F3" w:rsidRPr="00331240">
        <w:rPr>
          <w:lang w:val="en-AU"/>
        </w:rPr>
        <w:t xml:space="preserve">OMT= optimal medical treatment, </w:t>
      </w:r>
      <w:r w:rsidR="00A5396D" w:rsidRPr="00331240">
        <w:rPr>
          <w:lang w:val="en-AU"/>
        </w:rPr>
        <w:t>QALY= quality adjusted life years</w:t>
      </w:r>
      <w:r w:rsidR="00A339C3" w:rsidRPr="00331240">
        <w:rPr>
          <w:lang w:val="en-AU"/>
        </w:rPr>
        <w:t>;</w:t>
      </w:r>
      <w:r w:rsidR="00A5396D" w:rsidRPr="00331240">
        <w:rPr>
          <w:lang w:val="en-AU"/>
        </w:rPr>
        <w:t xml:space="preserve"> </w:t>
      </w:r>
      <w:r w:rsidR="00AA7C6B" w:rsidRPr="00331240">
        <w:rPr>
          <w:lang w:val="en-AU"/>
        </w:rPr>
        <w:t>VNS= vagus nerve stimulation</w:t>
      </w:r>
    </w:p>
    <w:p w14:paraId="5392D0A3" w14:textId="5BBFA788" w:rsidR="00AA7C6B" w:rsidRPr="00331240" w:rsidRDefault="00AA7C6B" w:rsidP="00A5396D">
      <w:r w:rsidRPr="00331240">
        <w:t>Key drivers</w:t>
      </w:r>
      <w:r w:rsidR="00F44869">
        <w:t xml:space="preserve"> of the model</w:t>
      </w:r>
      <w:r w:rsidRPr="00331240">
        <w:t xml:space="preserve"> are summarised in </w:t>
      </w:r>
      <w:r w:rsidRPr="00331240">
        <w:fldChar w:fldCharType="begin"/>
      </w:r>
      <w:r w:rsidRPr="00331240">
        <w:instrText xml:space="preserve"> REF _Ref520569212 \h  \* MERGEFORMAT </w:instrText>
      </w:r>
      <w:r w:rsidRPr="00331240">
        <w:fldChar w:fldCharType="separate"/>
      </w:r>
      <w:r w:rsidR="00D4512D" w:rsidRPr="00331240">
        <w:t xml:space="preserve">Table </w:t>
      </w:r>
      <w:r w:rsidR="00D4512D">
        <w:t>14</w:t>
      </w:r>
      <w:r w:rsidRPr="00331240">
        <w:fldChar w:fldCharType="end"/>
      </w:r>
      <w:r w:rsidRPr="00331240">
        <w:t xml:space="preserve">. The modelled results were most sensitive to changes in the proportion of </w:t>
      </w:r>
      <w:r w:rsidR="00F44869">
        <w:t>long-term</w:t>
      </w:r>
      <w:r w:rsidR="007A05FF" w:rsidRPr="00331240">
        <w:t xml:space="preserve"> </w:t>
      </w:r>
      <w:r w:rsidRPr="00331240">
        <w:t>responders, costs of the DBS device, cost of hospital stay following implantation and the modelling time horizon.</w:t>
      </w:r>
    </w:p>
    <w:p w14:paraId="425AD734" w14:textId="4450F9CF" w:rsidR="00AA7C6B" w:rsidRPr="00331240" w:rsidRDefault="00AA7C6B" w:rsidP="00B94945">
      <w:pPr>
        <w:pStyle w:val="Tableheader"/>
        <w:rPr>
          <w:snapToGrid w:val="0"/>
        </w:rPr>
      </w:pPr>
      <w:bookmarkStart w:id="21" w:name="_Ref520569212"/>
      <w:bookmarkStart w:id="22" w:name="_Toc493000480"/>
      <w:r w:rsidRPr="00331240">
        <w:t xml:space="preserve">Table </w:t>
      </w:r>
      <w:r w:rsidRPr="00331240">
        <w:fldChar w:fldCharType="begin"/>
      </w:r>
      <w:r w:rsidRPr="00331240">
        <w:instrText>SEQ Table \* ARABIC</w:instrText>
      </w:r>
      <w:r w:rsidRPr="00331240">
        <w:fldChar w:fldCharType="separate"/>
      </w:r>
      <w:r w:rsidR="00D4512D">
        <w:rPr>
          <w:noProof/>
        </w:rPr>
        <w:t>14</w:t>
      </w:r>
      <w:r w:rsidRPr="00331240">
        <w:fldChar w:fldCharType="end"/>
      </w:r>
      <w:bookmarkEnd w:id="21"/>
      <w:r w:rsidR="00A5396D" w:rsidRPr="00331240">
        <w:tab/>
      </w:r>
      <w:r w:rsidRPr="00331240">
        <w:rPr>
          <w:snapToGrid w:val="0"/>
        </w:rPr>
        <w:t>Key drivers of the economic model</w:t>
      </w:r>
      <w:bookmarkEnd w:id="22"/>
    </w:p>
    <w:tbl>
      <w:tblPr>
        <w:tblStyle w:val="OPTUMTableNormal"/>
        <w:tblW w:w="5000" w:type="pct"/>
        <w:tblLook w:val="04A0" w:firstRow="1" w:lastRow="0" w:firstColumn="1" w:lastColumn="0" w:noHBand="0" w:noVBand="1"/>
        <w:tblCaption w:val="Table 24 Key drivers of the economic model"/>
        <w:tblDescription w:val="This table describes what factors and assumptions in the economic model affect the incremental cost-effectiveness to the greatest extent."/>
      </w:tblPr>
      <w:tblGrid>
        <w:gridCol w:w="1131"/>
        <w:gridCol w:w="3684"/>
        <w:gridCol w:w="4201"/>
      </w:tblGrid>
      <w:tr w:rsidR="00AA7C6B" w:rsidRPr="00331240" w14:paraId="1F0631DE" w14:textId="77777777" w:rsidTr="008301A1">
        <w:trPr>
          <w:cnfStyle w:val="100000000000" w:firstRow="1" w:lastRow="0" w:firstColumn="0" w:lastColumn="0" w:oddVBand="0" w:evenVBand="0" w:oddHBand="0" w:evenHBand="0" w:firstRowFirstColumn="0" w:firstRowLastColumn="0" w:lastRowFirstColumn="0" w:lastRowLastColumn="0"/>
          <w:cantSplit/>
          <w:tblHeader/>
        </w:trPr>
        <w:tc>
          <w:tcPr>
            <w:tcW w:w="627" w:type="pct"/>
          </w:tcPr>
          <w:p w14:paraId="31FEC580" w14:textId="77777777" w:rsidR="00AA7C6B" w:rsidRPr="00331240" w:rsidRDefault="00AA7C6B" w:rsidP="00A5396D">
            <w:pPr>
              <w:pStyle w:val="Tabletext"/>
              <w:rPr>
                <w:b/>
                <w:bCs/>
                <w:snapToGrid w:val="0"/>
                <w:lang w:val="en-AU"/>
              </w:rPr>
            </w:pPr>
            <w:r w:rsidRPr="00331240">
              <w:rPr>
                <w:b/>
                <w:bCs/>
                <w:snapToGrid w:val="0"/>
                <w:lang w:val="en-AU"/>
              </w:rPr>
              <w:t>Description</w:t>
            </w:r>
          </w:p>
        </w:tc>
        <w:tc>
          <w:tcPr>
            <w:tcW w:w="2043" w:type="pct"/>
          </w:tcPr>
          <w:p w14:paraId="15EB90A6" w14:textId="77777777" w:rsidR="00AA7C6B" w:rsidRPr="00331240" w:rsidRDefault="00AA7C6B" w:rsidP="00A5396D">
            <w:pPr>
              <w:pStyle w:val="Tabletext"/>
              <w:rPr>
                <w:b/>
                <w:bCs/>
                <w:snapToGrid w:val="0"/>
                <w:lang w:val="en-AU"/>
              </w:rPr>
            </w:pPr>
            <w:r w:rsidRPr="00331240">
              <w:rPr>
                <w:b/>
                <w:bCs/>
                <w:snapToGrid w:val="0"/>
                <w:lang w:val="en-AU"/>
              </w:rPr>
              <w:t>Method/Value</w:t>
            </w:r>
          </w:p>
        </w:tc>
        <w:tc>
          <w:tcPr>
            <w:tcW w:w="2330" w:type="pct"/>
          </w:tcPr>
          <w:p w14:paraId="0918FF48" w14:textId="77777777" w:rsidR="00AA7C6B" w:rsidRPr="00331240" w:rsidRDefault="00AA7C6B" w:rsidP="00A5396D">
            <w:pPr>
              <w:pStyle w:val="Tabletext"/>
              <w:rPr>
                <w:b/>
                <w:bCs/>
                <w:snapToGrid w:val="0"/>
                <w:lang w:val="en-AU"/>
              </w:rPr>
            </w:pPr>
            <w:r w:rsidRPr="00331240">
              <w:rPr>
                <w:b/>
                <w:bCs/>
                <w:snapToGrid w:val="0"/>
                <w:lang w:val="en-AU"/>
              </w:rPr>
              <w:t>Impact</w:t>
            </w:r>
          </w:p>
        </w:tc>
      </w:tr>
      <w:tr w:rsidR="00AA7C6B" w:rsidRPr="00331240" w14:paraId="71FB3F76" w14:textId="77777777" w:rsidTr="008301A1">
        <w:trPr>
          <w:cnfStyle w:val="100000000000" w:firstRow="1" w:lastRow="0" w:firstColumn="0" w:lastColumn="0" w:oddVBand="0" w:evenVBand="0" w:oddHBand="0" w:evenHBand="0" w:firstRowFirstColumn="0" w:firstRowLastColumn="0" w:lastRowFirstColumn="0" w:lastRowLastColumn="0"/>
          <w:cantSplit/>
          <w:tblHeader/>
        </w:trPr>
        <w:tc>
          <w:tcPr>
            <w:tcW w:w="627" w:type="pct"/>
          </w:tcPr>
          <w:p w14:paraId="4BB3DAC7" w14:textId="53A1B77F" w:rsidR="00AA7C6B" w:rsidRPr="00331240" w:rsidRDefault="00AA7C6B" w:rsidP="00A5396D">
            <w:pPr>
              <w:pStyle w:val="Tabletext"/>
              <w:rPr>
                <w:snapToGrid w:val="0"/>
                <w:lang w:val="en-AU"/>
              </w:rPr>
            </w:pPr>
            <w:r w:rsidRPr="00331240">
              <w:rPr>
                <w:snapToGrid w:val="0"/>
                <w:lang w:val="en-AU"/>
              </w:rPr>
              <w:t>Time horizon</w:t>
            </w:r>
          </w:p>
        </w:tc>
        <w:tc>
          <w:tcPr>
            <w:tcW w:w="2043" w:type="pct"/>
          </w:tcPr>
          <w:p w14:paraId="4DDCE8EC" w14:textId="7E09625E" w:rsidR="00AA7C6B" w:rsidRPr="00331240" w:rsidRDefault="00AA7C6B" w:rsidP="00A5396D">
            <w:pPr>
              <w:pStyle w:val="Tabletext"/>
              <w:rPr>
                <w:snapToGrid w:val="0"/>
                <w:lang w:val="en-AU"/>
              </w:rPr>
            </w:pPr>
            <w:r w:rsidRPr="00331240">
              <w:rPr>
                <w:snapToGrid w:val="0"/>
                <w:lang w:val="en-AU"/>
              </w:rPr>
              <w:t>The time horizon of the model was varied from 3 months, 7 years and lifetime (35 years). These periods corresponded with the length of the blinded phase of the SANTE trial, the length of follow-up of the open phase of SANTE and the lifetime analysis in the Chan study.</w:t>
            </w:r>
          </w:p>
        </w:tc>
        <w:tc>
          <w:tcPr>
            <w:tcW w:w="2330" w:type="pct"/>
          </w:tcPr>
          <w:p w14:paraId="2EE07D67" w14:textId="0682CE43" w:rsidR="00AA7C6B" w:rsidRPr="00331240" w:rsidRDefault="00AA7C6B" w:rsidP="00A5396D">
            <w:pPr>
              <w:pStyle w:val="Tabletext"/>
              <w:rPr>
                <w:snapToGrid w:val="0"/>
                <w:u w:val="single"/>
                <w:lang w:val="en-AU"/>
              </w:rPr>
            </w:pPr>
            <w:r w:rsidRPr="00331240">
              <w:rPr>
                <w:snapToGrid w:val="0"/>
                <w:u w:val="single"/>
                <w:lang w:val="en-AU"/>
              </w:rPr>
              <w:t>High, longer projections favo</w:t>
            </w:r>
            <w:r w:rsidR="00A524B7" w:rsidRPr="00331240">
              <w:rPr>
                <w:snapToGrid w:val="0"/>
                <w:u w:val="single"/>
                <w:lang w:val="en-AU"/>
              </w:rPr>
              <w:t>u</w:t>
            </w:r>
            <w:r w:rsidRPr="00331240">
              <w:rPr>
                <w:snapToGrid w:val="0"/>
                <w:u w:val="single"/>
                <w:lang w:val="en-AU"/>
              </w:rPr>
              <w:t>r the intervention</w:t>
            </w:r>
          </w:p>
          <w:p w14:paraId="75379FD2" w14:textId="490FAB2E" w:rsidR="00AA7C6B" w:rsidRPr="00331240" w:rsidRDefault="00AA7C6B" w:rsidP="00A5396D">
            <w:pPr>
              <w:pStyle w:val="Tabletext"/>
              <w:rPr>
                <w:snapToGrid w:val="0"/>
                <w:lang w:val="en-AU"/>
              </w:rPr>
            </w:pPr>
            <w:r w:rsidRPr="00331240">
              <w:rPr>
                <w:snapToGrid w:val="0"/>
                <w:lang w:val="en-AU"/>
              </w:rPr>
              <w:t>DBS involves a substantial implantation surgical cost</w:t>
            </w:r>
            <w:r w:rsidR="00A524B7" w:rsidRPr="00331240">
              <w:rPr>
                <w:snapToGrid w:val="0"/>
                <w:lang w:val="en-AU"/>
              </w:rPr>
              <w:t>,</w:t>
            </w:r>
            <w:r w:rsidRPr="00331240">
              <w:rPr>
                <w:snapToGrid w:val="0"/>
                <w:lang w:val="en-AU"/>
              </w:rPr>
              <w:t xml:space="preserve"> hospital stay and device cost. These costs are spread over a longer projection of health benefits the greater the extrapolation period. Given</w:t>
            </w:r>
            <w:r w:rsidR="00A524B7" w:rsidRPr="00331240">
              <w:rPr>
                <w:snapToGrid w:val="0"/>
                <w:lang w:val="en-AU"/>
              </w:rPr>
              <w:t xml:space="preserve"> that</w:t>
            </w:r>
            <w:r w:rsidRPr="00331240">
              <w:rPr>
                <w:snapToGrid w:val="0"/>
                <w:lang w:val="en-AU"/>
              </w:rPr>
              <w:t xml:space="preserve"> the length of follow-up of the blinded trial was 3 months, there is uncertainty about modelling results beyond this time.</w:t>
            </w:r>
          </w:p>
        </w:tc>
      </w:tr>
      <w:tr w:rsidR="00AA7C6B" w:rsidRPr="00331240" w14:paraId="50C47AB6" w14:textId="77777777" w:rsidTr="008301A1">
        <w:trPr>
          <w:cnfStyle w:val="100000000000" w:firstRow="1" w:lastRow="0" w:firstColumn="0" w:lastColumn="0" w:oddVBand="0" w:evenVBand="0" w:oddHBand="0" w:evenHBand="0" w:firstRowFirstColumn="0" w:firstRowLastColumn="0" w:lastRowFirstColumn="0" w:lastRowLastColumn="0"/>
          <w:cantSplit/>
          <w:tblHeader/>
        </w:trPr>
        <w:tc>
          <w:tcPr>
            <w:tcW w:w="627" w:type="pct"/>
          </w:tcPr>
          <w:p w14:paraId="4EBE7B97" w14:textId="7926E770" w:rsidR="00AA7C6B" w:rsidRPr="00331240" w:rsidRDefault="00AA7C6B" w:rsidP="00A5396D">
            <w:pPr>
              <w:pStyle w:val="Tabletext"/>
              <w:rPr>
                <w:snapToGrid w:val="0"/>
                <w:lang w:val="en-AU"/>
              </w:rPr>
            </w:pPr>
            <w:r w:rsidRPr="00331240">
              <w:rPr>
                <w:snapToGrid w:val="0"/>
                <w:lang w:val="en-AU"/>
              </w:rPr>
              <w:t>Costs of the DBS device</w:t>
            </w:r>
          </w:p>
        </w:tc>
        <w:tc>
          <w:tcPr>
            <w:tcW w:w="2043" w:type="pct"/>
          </w:tcPr>
          <w:p w14:paraId="7C983515" w14:textId="6489AAD2" w:rsidR="00AA7C6B" w:rsidRPr="00331240" w:rsidRDefault="00AA7C6B" w:rsidP="00A5396D">
            <w:pPr>
              <w:pStyle w:val="Tabletext"/>
              <w:rPr>
                <w:snapToGrid w:val="0"/>
                <w:lang w:val="en-AU"/>
              </w:rPr>
            </w:pPr>
            <w:r w:rsidRPr="00331240">
              <w:rPr>
                <w:snapToGrid w:val="0"/>
                <w:lang w:val="en-AU"/>
              </w:rPr>
              <w:t>Costs of the device were calculated using applicant details provided in the PICO. The model assumes the Percept IPG – PC generator will be used</w:t>
            </w:r>
            <w:r w:rsidR="00A524B7" w:rsidRPr="00331240">
              <w:rPr>
                <w:snapToGrid w:val="0"/>
                <w:lang w:val="en-AU"/>
              </w:rPr>
              <w:t>,</w:t>
            </w:r>
            <w:r w:rsidRPr="00331240">
              <w:rPr>
                <w:snapToGrid w:val="0"/>
                <w:lang w:val="en-AU"/>
              </w:rPr>
              <w:t xml:space="preserve"> which is valued at $13,592. There are several other single-use consumables </w:t>
            </w:r>
            <w:r w:rsidR="00A524B7" w:rsidRPr="00331240">
              <w:rPr>
                <w:snapToGrid w:val="0"/>
                <w:lang w:val="en-AU"/>
              </w:rPr>
              <w:t xml:space="preserve">that </w:t>
            </w:r>
            <w:r w:rsidRPr="00331240">
              <w:rPr>
                <w:snapToGrid w:val="0"/>
                <w:lang w:val="en-AU"/>
              </w:rPr>
              <w:t>make the overall DBS device and consumable cost ($28,983) more expensive than VNS at $14,504.</w:t>
            </w:r>
          </w:p>
        </w:tc>
        <w:tc>
          <w:tcPr>
            <w:tcW w:w="2330" w:type="pct"/>
          </w:tcPr>
          <w:p w14:paraId="76394FAD" w14:textId="4466EDAF" w:rsidR="00AA7C6B" w:rsidRPr="00331240" w:rsidRDefault="00AA7C6B" w:rsidP="00A5396D">
            <w:pPr>
              <w:pStyle w:val="Tabletext"/>
              <w:rPr>
                <w:snapToGrid w:val="0"/>
                <w:u w:val="single"/>
                <w:lang w:val="en-AU"/>
              </w:rPr>
            </w:pPr>
            <w:r w:rsidRPr="00331240">
              <w:rPr>
                <w:snapToGrid w:val="0"/>
                <w:u w:val="single"/>
                <w:lang w:val="en-AU"/>
              </w:rPr>
              <w:t>High, any reductions favo</w:t>
            </w:r>
            <w:r w:rsidR="00A524B7" w:rsidRPr="00331240">
              <w:rPr>
                <w:snapToGrid w:val="0"/>
                <w:u w:val="single"/>
                <w:lang w:val="en-AU"/>
              </w:rPr>
              <w:t>u</w:t>
            </w:r>
            <w:r w:rsidRPr="00331240">
              <w:rPr>
                <w:snapToGrid w:val="0"/>
                <w:u w:val="single"/>
                <w:lang w:val="en-AU"/>
              </w:rPr>
              <w:t>r the intervention</w:t>
            </w:r>
          </w:p>
          <w:p w14:paraId="0FB2932A" w14:textId="5809D5FC" w:rsidR="00AA7C6B" w:rsidRPr="00331240" w:rsidRDefault="00AA7C6B" w:rsidP="00A5396D">
            <w:pPr>
              <w:pStyle w:val="Tabletext"/>
              <w:rPr>
                <w:snapToGrid w:val="0"/>
                <w:lang w:val="en-AU"/>
              </w:rPr>
            </w:pPr>
            <w:r w:rsidRPr="00331240">
              <w:rPr>
                <w:snapToGrid w:val="0"/>
                <w:lang w:val="en-AU"/>
              </w:rPr>
              <w:t>DBS implantation was calculated to cost around $</w:t>
            </w:r>
            <w:r w:rsidR="00042565" w:rsidRPr="00331240">
              <w:rPr>
                <w:snapToGrid w:val="0"/>
                <w:lang w:val="en-AU"/>
              </w:rPr>
              <w:t>$41,861.4</w:t>
            </w:r>
            <w:r w:rsidRPr="00331240">
              <w:rPr>
                <w:snapToGrid w:val="0"/>
                <w:lang w:val="en-AU"/>
              </w:rPr>
              <w:t>, with the device accounting for 7</w:t>
            </w:r>
            <w:r w:rsidR="00042565" w:rsidRPr="00331240">
              <w:rPr>
                <w:snapToGrid w:val="0"/>
                <w:lang w:val="en-AU"/>
              </w:rPr>
              <w:t>0</w:t>
            </w:r>
            <w:r w:rsidRPr="00331240">
              <w:rPr>
                <w:snapToGrid w:val="0"/>
                <w:lang w:val="en-AU"/>
              </w:rPr>
              <w:t>% of the cost. Var</w:t>
            </w:r>
            <w:r w:rsidR="00A524B7" w:rsidRPr="00331240">
              <w:rPr>
                <w:snapToGrid w:val="0"/>
                <w:lang w:val="en-AU"/>
              </w:rPr>
              <w:t>ying</w:t>
            </w:r>
            <w:r w:rsidRPr="00331240">
              <w:rPr>
                <w:snapToGrid w:val="0"/>
                <w:lang w:val="en-AU"/>
              </w:rPr>
              <w:t xml:space="preserve"> the cost by 20% ha</w:t>
            </w:r>
            <w:r w:rsidR="00A524B7" w:rsidRPr="00331240">
              <w:rPr>
                <w:snapToGrid w:val="0"/>
                <w:lang w:val="en-AU"/>
              </w:rPr>
              <w:t>s</w:t>
            </w:r>
            <w:r w:rsidRPr="00331240">
              <w:rPr>
                <w:snapToGrid w:val="0"/>
                <w:lang w:val="en-AU"/>
              </w:rPr>
              <w:t xml:space="preserve"> a large impact on the estimated ICUR. Reducing the cost of the device would make the intervention more cost-effective</w:t>
            </w:r>
          </w:p>
        </w:tc>
      </w:tr>
      <w:tr w:rsidR="00553BED" w:rsidRPr="00331240" w14:paraId="6F8561DA" w14:textId="77777777" w:rsidTr="008301A1">
        <w:trPr>
          <w:cnfStyle w:val="100000000000" w:firstRow="1" w:lastRow="0" w:firstColumn="0" w:lastColumn="0" w:oddVBand="0" w:evenVBand="0" w:oddHBand="0" w:evenHBand="0" w:firstRowFirstColumn="0" w:firstRowLastColumn="0" w:lastRowFirstColumn="0" w:lastRowLastColumn="0"/>
          <w:cantSplit/>
          <w:tblHeader/>
        </w:trPr>
        <w:tc>
          <w:tcPr>
            <w:tcW w:w="627" w:type="pct"/>
          </w:tcPr>
          <w:p w14:paraId="1CA48AC3" w14:textId="01AC2CCE" w:rsidR="00553BED" w:rsidRPr="00331240" w:rsidRDefault="00553BED" w:rsidP="00553BED">
            <w:pPr>
              <w:pStyle w:val="Tabletext"/>
              <w:rPr>
                <w:snapToGrid w:val="0"/>
                <w:lang w:val="en-AU"/>
              </w:rPr>
            </w:pPr>
            <w:r w:rsidRPr="00331240">
              <w:rPr>
                <w:snapToGrid w:val="0"/>
                <w:lang w:val="en-AU"/>
              </w:rPr>
              <w:t>Costs of the hospital care</w:t>
            </w:r>
          </w:p>
        </w:tc>
        <w:tc>
          <w:tcPr>
            <w:tcW w:w="2043" w:type="pct"/>
          </w:tcPr>
          <w:p w14:paraId="6F6C0ADE" w14:textId="0D04A3F9" w:rsidR="00553BED" w:rsidRPr="00331240" w:rsidRDefault="00553BED" w:rsidP="00553BED">
            <w:pPr>
              <w:pStyle w:val="Tabletext"/>
              <w:rPr>
                <w:snapToGrid w:val="0"/>
                <w:lang w:val="en-AU"/>
              </w:rPr>
            </w:pPr>
            <w:r w:rsidRPr="00331240">
              <w:rPr>
                <w:snapToGrid w:val="0"/>
                <w:lang w:val="en-AU"/>
              </w:rPr>
              <w:t>The MSAC submission for DBS treatment of Parkinson’s disease assumed the AR-DRG BO2B (cranial invention, minor) would be associated with the surgery and have a hospital cost of $9,768 on top of the procedure. This cost and length of hospital stay is longer than that assumed for epilepsy. The costs of hospital stay was included as a sensitivity analysis.</w:t>
            </w:r>
          </w:p>
        </w:tc>
        <w:tc>
          <w:tcPr>
            <w:tcW w:w="2330" w:type="pct"/>
          </w:tcPr>
          <w:p w14:paraId="4C3FC70D" w14:textId="77777777" w:rsidR="00553BED" w:rsidRPr="00331240" w:rsidRDefault="00553BED" w:rsidP="00553BED">
            <w:pPr>
              <w:pStyle w:val="Tabletext"/>
              <w:rPr>
                <w:snapToGrid w:val="0"/>
                <w:u w:val="single"/>
                <w:lang w:val="en-AU"/>
              </w:rPr>
            </w:pPr>
            <w:r w:rsidRPr="00331240">
              <w:rPr>
                <w:snapToGrid w:val="0"/>
                <w:u w:val="single"/>
                <w:lang w:val="en-AU"/>
              </w:rPr>
              <w:t>High, increases in days of hospital stay favour the comparator</w:t>
            </w:r>
          </w:p>
          <w:p w14:paraId="0B059081" w14:textId="08F49A77" w:rsidR="00553BED" w:rsidRPr="00331240" w:rsidRDefault="00553BED" w:rsidP="00553BED">
            <w:pPr>
              <w:pStyle w:val="Tabletext"/>
              <w:rPr>
                <w:snapToGrid w:val="0"/>
                <w:lang w:val="en-AU"/>
              </w:rPr>
            </w:pPr>
            <w:r w:rsidRPr="00331240">
              <w:rPr>
                <w:snapToGrid w:val="0"/>
                <w:lang w:val="en-AU"/>
              </w:rPr>
              <w:t>The base model assumes a hospital stay of 1–2 days, which was indicated by the applicant for DBS surgery associated with epilepsy. Any increases in days of stay for DBS favours the comparator</w:t>
            </w:r>
          </w:p>
        </w:tc>
      </w:tr>
      <w:tr w:rsidR="00AA7C6B" w:rsidRPr="00331240" w14:paraId="071E8CC3" w14:textId="77777777" w:rsidTr="008301A1">
        <w:trPr>
          <w:cnfStyle w:val="100000000000" w:firstRow="1" w:lastRow="0" w:firstColumn="0" w:lastColumn="0" w:oddVBand="0" w:evenVBand="0" w:oddHBand="0" w:evenHBand="0" w:firstRowFirstColumn="0" w:firstRowLastColumn="0" w:lastRowFirstColumn="0" w:lastRowLastColumn="0"/>
          <w:cantSplit/>
          <w:tblHeader/>
        </w:trPr>
        <w:tc>
          <w:tcPr>
            <w:tcW w:w="627" w:type="pct"/>
          </w:tcPr>
          <w:p w14:paraId="6B07E2DA" w14:textId="77777777" w:rsidR="00AA7C6B" w:rsidRPr="00331240" w:rsidRDefault="00AA7C6B" w:rsidP="00A5396D">
            <w:pPr>
              <w:pStyle w:val="Tabletext"/>
              <w:rPr>
                <w:snapToGrid w:val="0"/>
                <w:lang w:val="en-AU"/>
              </w:rPr>
            </w:pPr>
            <w:r w:rsidRPr="00331240">
              <w:rPr>
                <w:snapToGrid w:val="0"/>
                <w:lang w:val="en-AU"/>
              </w:rPr>
              <w:t>Varying the proportion of responders</w:t>
            </w:r>
          </w:p>
        </w:tc>
        <w:tc>
          <w:tcPr>
            <w:tcW w:w="2043" w:type="pct"/>
          </w:tcPr>
          <w:p w14:paraId="2896AC60" w14:textId="2AD673E4" w:rsidR="00AA7C6B" w:rsidRPr="00331240" w:rsidRDefault="00AA7C6B" w:rsidP="00A5396D">
            <w:pPr>
              <w:pStyle w:val="Tabletext"/>
              <w:rPr>
                <w:snapToGrid w:val="0"/>
                <w:lang w:val="en-AU"/>
              </w:rPr>
            </w:pPr>
            <w:r w:rsidRPr="00331240">
              <w:rPr>
                <w:snapToGrid w:val="0"/>
                <w:lang w:val="en-AU"/>
              </w:rPr>
              <w:t xml:space="preserve">The base model uses the responder proportion at 3 months from the SANTE trial and proportions up to </w:t>
            </w:r>
            <w:r w:rsidR="00A524B7" w:rsidRPr="00331240">
              <w:rPr>
                <w:snapToGrid w:val="0"/>
                <w:lang w:val="en-AU"/>
              </w:rPr>
              <w:t xml:space="preserve">7 </w:t>
            </w:r>
            <w:r w:rsidRPr="00331240">
              <w:rPr>
                <w:snapToGrid w:val="0"/>
                <w:lang w:val="en-AU"/>
              </w:rPr>
              <w:t xml:space="preserve">years using the open phase of the trial. </w:t>
            </w:r>
            <w:r w:rsidR="008439C2" w:rsidRPr="00331240">
              <w:rPr>
                <w:snapToGrid w:val="0"/>
                <w:lang w:val="en-AU"/>
              </w:rPr>
              <w:t xml:space="preserve">The open phase data is not as high quality as that from </w:t>
            </w:r>
            <w:r w:rsidR="00F24B07" w:rsidRPr="00331240">
              <w:rPr>
                <w:snapToGrid w:val="0"/>
                <w:lang w:val="en-AU"/>
              </w:rPr>
              <w:t xml:space="preserve">the shorter term </w:t>
            </w:r>
            <w:r w:rsidR="008439C2" w:rsidRPr="00331240">
              <w:rPr>
                <w:snapToGrid w:val="0"/>
                <w:lang w:val="en-AU"/>
              </w:rPr>
              <w:t>blinded randomi</w:t>
            </w:r>
            <w:r w:rsidR="0026133A">
              <w:rPr>
                <w:snapToGrid w:val="0"/>
                <w:lang w:val="en-AU"/>
              </w:rPr>
              <w:t>s</w:t>
            </w:r>
            <w:r w:rsidR="008439C2" w:rsidRPr="00331240">
              <w:rPr>
                <w:snapToGrid w:val="0"/>
                <w:lang w:val="en-AU"/>
              </w:rPr>
              <w:t>ed trials.</w:t>
            </w:r>
          </w:p>
        </w:tc>
        <w:tc>
          <w:tcPr>
            <w:tcW w:w="2330" w:type="pct"/>
          </w:tcPr>
          <w:p w14:paraId="375F96FF" w14:textId="77777777" w:rsidR="00AA7C6B" w:rsidRPr="00331240" w:rsidRDefault="00AA7C6B" w:rsidP="00A5396D">
            <w:pPr>
              <w:pStyle w:val="Tabletext"/>
              <w:rPr>
                <w:snapToGrid w:val="0"/>
                <w:u w:val="single"/>
                <w:lang w:val="en-AU"/>
              </w:rPr>
            </w:pPr>
            <w:r w:rsidRPr="00331240">
              <w:rPr>
                <w:snapToGrid w:val="0"/>
                <w:u w:val="single"/>
                <w:lang w:val="en-AU"/>
              </w:rPr>
              <w:t>High, direction uncertain</w:t>
            </w:r>
          </w:p>
          <w:p w14:paraId="69309059" w14:textId="0028AF33" w:rsidR="00AA7C6B" w:rsidRPr="00331240" w:rsidRDefault="00AA7C6B" w:rsidP="00A5396D">
            <w:pPr>
              <w:pStyle w:val="Tabletext"/>
              <w:rPr>
                <w:snapToGrid w:val="0"/>
                <w:lang w:val="en-AU"/>
              </w:rPr>
            </w:pPr>
            <w:r w:rsidRPr="00331240">
              <w:rPr>
                <w:snapToGrid w:val="0"/>
                <w:lang w:val="en-AU"/>
              </w:rPr>
              <w:t>Varying responder proportions has a large impact on model results. The same impact was evident for the VNS arm. The nature of the bias is uncertain but has a large impact on model results.</w:t>
            </w:r>
          </w:p>
        </w:tc>
      </w:tr>
      <w:tr w:rsidR="00AA7C6B" w:rsidRPr="00331240" w14:paraId="27BCD606" w14:textId="77777777" w:rsidTr="008301A1">
        <w:trPr>
          <w:cnfStyle w:val="100000000000" w:firstRow="1" w:lastRow="0" w:firstColumn="0" w:lastColumn="0" w:oddVBand="0" w:evenVBand="0" w:oddHBand="0" w:evenHBand="0" w:firstRowFirstColumn="0" w:firstRowLastColumn="0" w:lastRowFirstColumn="0" w:lastRowLastColumn="0"/>
          <w:cantSplit/>
          <w:tblHeader/>
        </w:trPr>
        <w:tc>
          <w:tcPr>
            <w:tcW w:w="627" w:type="pct"/>
          </w:tcPr>
          <w:p w14:paraId="3A0AD3EE" w14:textId="77777777" w:rsidR="00AA7C6B" w:rsidRPr="00331240" w:rsidRDefault="00AA7C6B" w:rsidP="00A5396D">
            <w:pPr>
              <w:pStyle w:val="Tabletext"/>
              <w:rPr>
                <w:snapToGrid w:val="0"/>
                <w:lang w:val="en-AU"/>
              </w:rPr>
            </w:pPr>
            <w:r w:rsidRPr="00331240">
              <w:rPr>
                <w:snapToGrid w:val="0"/>
                <w:lang w:val="en-AU"/>
              </w:rPr>
              <w:t>Utilities</w:t>
            </w:r>
          </w:p>
        </w:tc>
        <w:tc>
          <w:tcPr>
            <w:tcW w:w="2043" w:type="pct"/>
          </w:tcPr>
          <w:p w14:paraId="4C71290D" w14:textId="1788DA7F" w:rsidR="00AA7C6B" w:rsidRPr="00331240" w:rsidRDefault="00AA7C6B" w:rsidP="00A5396D">
            <w:pPr>
              <w:pStyle w:val="Tabletext"/>
              <w:rPr>
                <w:snapToGrid w:val="0"/>
                <w:lang w:val="en-AU"/>
              </w:rPr>
            </w:pPr>
            <w:r w:rsidRPr="00331240">
              <w:rPr>
                <w:snapToGrid w:val="0"/>
                <w:lang w:val="en-AU"/>
              </w:rPr>
              <w:t>Base model utilities were sourced from the Messori study. The sample of 81 patients used in this analysis was small, so it is difficult to generali</w:t>
            </w:r>
            <w:r w:rsidR="00A524B7" w:rsidRPr="00331240">
              <w:rPr>
                <w:snapToGrid w:val="0"/>
                <w:lang w:val="en-AU"/>
              </w:rPr>
              <w:t>s</w:t>
            </w:r>
            <w:r w:rsidRPr="00331240">
              <w:rPr>
                <w:snapToGrid w:val="0"/>
                <w:lang w:val="en-AU"/>
              </w:rPr>
              <w:t xml:space="preserve">e results to the Australian context. </w:t>
            </w:r>
          </w:p>
        </w:tc>
        <w:tc>
          <w:tcPr>
            <w:tcW w:w="2330" w:type="pct"/>
          </w:tcPr>
          <w:p w14:paraId="2C40BE87" w14:textId="77777777" w:rsidR="00AA7C6B" w:rsidRPr="00331240" w:rsidRDefault="00AA7C6B" w:rsidP="00A5396D">
            <w:pPr>
              <w:pStyle w:val="Tabletext"/>
              <w:rPr>
                <w:snapToGrid w:val="0"/>
                <w:u w:val="single"/>
                <w:lang w:val="en-AU"/>
              </w:rPr>
            </w:pPr>
            <w:r w:rsidRPr="00331240">
              <w:rPr>
                <w:snapToGrid w:val="0"/>
                <w:u w:val="single"/>
                <w:lang w:val="en-AU"/>
              </w:rPr>
              <w:t>High, direction uncertain</w:t>
            </w:r>
          </w:p>
          <w:p w14:paraId="4AD9FC9C" w14:textId="0D533BC4" w:rsidR="00AA7C6B" w:rsidRPr="00331240" w:rsidRDefault="00AA7C6B" w:rsidP="00A5396D">
            <w:pPr>
              <w:pStyle w:val="Tabletext"/>
              <w:rPr>
                <w:snapToGrid w:val="0"/>
                <w:u w:val="single"/>
                <w:lang w:val="en-AU"/>
              </w:rPr>
            </w:pPr>
            <w:r w:rsidRPr="00331240">
              <w:rPr>
                <w:snapToGrid w:val="0"/>
                <w:lang w:val="en-AU"/>
              </w:rPr>
              <w:t>Varying utilities by 20% has a large impact on model results. The model does not capture seizure severity</w:t>
            </w:r>
            <w:r w:rsidR="00A524B7" w:rsidRPr="00331240">
              <w:rPr>
                <w:snapToGrid w:val="0"/>
                <w:lang w:val="en-AU"/>
              </w:rPr>
              <w:t>,</w:t>
            </w:r>
            <w:r w:rsidRPr="00331240">
              <w:rPr>
                <w:snapToGrid w:val="0"/>
                <w:lang w:val="en-AU"/>
              </w:rPr>
              <w:t xml:space="preserve"> which also limits health benefit calculations</w:t>
            </w:r>
          </w:p>
        </w:tc>
      </w:tr>
    </w:tbl>
    <w:p w14:paraId="126B667F" w14:textId="25E67329" w:rsidR="00AA7C6B" w:rsidRPr="00331240" w:rsidRDefault="00556A8F" w:rsidP="00556A8F">
      <w:pPr>
        <w:pStyle w:val="Tablenotes0"/>
        <w:rPr>
          <w:lang w:val="en-AU"/>
        </w:rPr>
      </w:pPr>
      <w:r w:rsidRPr="00331240">
        <w:rPr>
          <w:b/>
          <w:bCs/>
          <w:lang w:val="en-AU"/>
        </w:rPr>
        <w:t>Abbreviations:</w:t>
      </w:r>
      <w:r w:rsidRPr="00331240">
        <w:rPr>
          <w:lang w:val="en-AU"/>
        </w:rPr>
        <w:t xml:space="preserve"> </w:t>
      </w:r>
      <w:r w:rsidR="00197D6F" w:rsidRPr="00331240">
        <w:rPr>
          <w:lang w:val="en-AU"/>
        </w:rPr>
        <w:t>AR-DRG = Australian Refined Diagnosis Related Groups</w:t>
      </w:r>
      <w:r w:rsidR="00137D10" w:rsidRPr="00331240">
        <w:rPr>
          <w:lang w:val="en-AU"/>
        </w:rPr>
        <w:t xml:space="preserve">; DBS = deep brain stimulation; ICUR = </w:t>
      </w:r>
      <w:r w:rsidR="0035600B" w:rsidRPr="00331240">
        <w:rPr>
          <w:lang w:val="en-AU"/>
        </w:rPr>
        <w:t xml:space="preserve">incremental cost utility ratio; </w:t>
      </w:r>
      <w:r w:rsidR="00D02140" w:rsidRPr="00331240">
        <w:rPr>
          <w:lang w:val="en-AU"/>
        </w:rPr>
        <w:t xml:space="preserve">MSAC = Medical Services Advisory Committee; VNS = vagus nerve stimulation </w:t>
      </w:r>
    </w:p>
    <w:p w14:paraId="3D47C019" w14:textId="2F4986B0" w:rsidR="00AA7C6B" w:rsidRPr="00331240" w:rsidRDefault="00AA7C6B" w:rsidP="00A5396D">
      <w:r w:rsidRPr="00331240">
        <w:t xml:space="preserve">Key concerns with the economic evaluation </w:t>
      </w:r>
      <w:r w:rsidR="00A524B7" w:rsidRPr="00331240">
        <w:t>are</w:t>
      </w:r>
      <w:r w:rsidRPr="00331240">
        <w:t xml:space="preserve"> that no head-to-head studies were identified in the clinical evaluation compar</w:t>
      </w:r>
      <w:r w:rsidR="00A524B7" w:rsidRPr="00331240">
        <w:t>ing</w:t>
      </w:r>
      <w:r w:rsidRPr="00331240">
        <w:t xml:space="preserve"> DBS to VNS</w:t>
      </w:r>
      <w:r w:rsidR="003A1736" w:rsidRPr="00331240">
        <w:t xml:space="preserve"> and OMT</w:t>
      </w:r>
      <w:r w:rsidRPr="00331240">
        <w:t>, clinical evidence ha</w:t>
      </w:r>
      <w:r w:rsidR="00A524B7" w:rsidRPr="00331240">
        <w:t>d</w:t>
      </w:r>
      <w:r w:rsidRPr="00331240">
        <w:t xml:space="preserve"> limited maximum follow-up</w:t>
      </w:r>
      <w:r w:rsidR="00A524B7" w:rsidRPr="00331240">
        <w:t>,</w:t>
      </w:r>
      <w:r w:rsidRPr="00331240">
        <w:t xml:space="preserve"> and utilities for epilepsy health states were taken from the study of Messori et al., 1998</w:t>
      </w:r>
      <w:r w:rsidR="00A524B7" w:rsidRPr="00331240">
        <w:t>,</w:t>
      </w:r>
      <w:r w:rsidRPr="00331240">
        <w:t xml:space="preserve"> which had a limited sample of 81 patients. Each of these issues affect parameters </w:t>
      </w:r>
      <w:r w:rsidR="00A524B7" w:rsidRPr="00331240">
        <w:t>that</w:t>
      </w:r>
      <w:r w:rsidRPr="00331240">
        <w:t xml:space="preserve"> impact economic modelling results. </w:t>
      </w:r>
    </w:p>
    <w:p w14:paraId="7A633B02" w14:textId="23F7C8B4" w:rsidR="00AA7C6B" w:rsidRPr="00331240" w:rsidRDefault="00AA7C6B" w:rsidP="00A5396D">
      <w:r w:rsidRPr="00331240">
        <w:t xml:space="preserve">Sensitivity analyses are presented for the </w:t>
      </w:r>
      <w:r w:rsidR="00FD4402" w:rsidRPr="00331240">
        <w:t>7</w:t>
      </w:r>
      <w:r w:rsidRPr="00331240">
        <w:t xml:space="preserve">-year analysis using the univariate changes outlined in </w:t>
      </w:r>
      <w:r w:rsidRPr="00331240">
        <w:fldChar w:fldCharType="begin"/>
      </w:r>
      <w:r w:rsidRPr="00331240">
        <w:instrText xml:space="preserve"> REF _Ref117791456 \h  \* MERGEFORMAT </w:instrText>
      </w:r>
      <w:r w:rsidRPr="00331240">
        <w:fldChar w:fldCharType="separate"/>
      </w:r>
      <w:r w:rsidR="00D4512D" w:rsidRPr="00331240">
        <w:t xml:space="preserve">Table </w:t>
      </w:r>
      <w:r w:rsidR="00D4512D">
        <w:t>15</w:t>
      </w:r>
      <w:r w:rsidRPr="00331240">
        <w:fldChar w:fldCharType="end"/>
      </w:r>
      <w:r w:rsidRPr="00331240">
        <w:t xml:space="preserve"> and scenario analyses in </w:t>
      </w:r>
      <w:r w:rsidRPr="00331240">
        <w:fldChar w:fldCharType="begin"/>
      </w:r>
      <w:r w:rsidRPr="00331240">
        <w:instrText xml:space="preserve"> REF _Ref117792419 \h  \* MERGEFORMAT </w:instrText>
      </w:r>
      <w:r w:rsidRPr="00331240">
        <w:fldChar w:fldCharType="separate"/>
      </w:r>
      <w:r w:rsidR="00D4512D" w:rsidRPr="00331240">
        <w:t xml:space="preserve">Table </w:t>
      </w:r>
      <w:r w:rsidR="00D4512D">
        <w:t>16</w:t>
      </w:r>
      <w:r w:rsidRPr="00331240">
        <w:fldChar w:fldCharType="end"/>
      </w:r>
      <w:r w:rsidRPr="00331240">
        <w:t xml:space="preserve">. Univariate sensitivity analysis involved changing </w:t>
      </w:r>
      <w:r w:rsidR="00812BDB" w:rsidRPr="00331240">
        <w:t>utility, unit cost, and battery life</w:t>
      </w:r>
      <w:r w:rsidRPr="00331240">
        <w:t xml:space="preserve"> values by 20% </w:t>
      </w:r>
      <w:r w:rsidR="00812BDB" w:rsidRPr="00331240">
        <w:t xml:space="preserve">and transition probabilities by 5% </w:t>
      </w:r>
      <w:r w:rsidRPr="00331240">
        <w:t>to test the robustness of modelling results to key assumptions. Scenario analyses relate to structural assumptions and data sources included in the model.</w:t>
      </w:r>
      <w:r w:rsidR="004919D6" w:rsidRPr="00331240">
        <w:t xml:space="preserve"> Parameters having the largest impact on results are presented in the following tables.</w:t>
      </w:r>
    </w:p>
    <w:p w14:paraId="4BDBB63C" w14:textId="63A06F70" w:rsidR="00AA7C6B" w:rsidRPr="00331240" w:rsidRDefault="00AA7C6B" w:rsidP="00B94945">
      <w:pPr>
        <w:pStyle w:val="Tableheader"/>
      </w:pPr>
      <w:bookmarkStart w:id="23" w:name="_Ref117791456"/>
      <w:r w:rsidRPr="00331240">
        <w:t xml:space="preserve">Table </w:t>
      </w:r>
      <w:r w:rsidRPr="00331240">
        <w:fldChar w:fldCharType="begin"/>
      </w:r>
      <w:r w:rsidRPr="00331240">
        <w:instrText>SEQ Table \* ARABIC</w:instrText>
      </w:r>
      <w:r w:rsidRPr="00331240">
        <w:fldChar w:fldCharType="separate"/>
      </w:r>
      <w:r w:rsidR="00D4512D">
        <w:rPr>
          <w:noProof/>
        </w:rPr>
        <w:t>15</w:t>
      </w:r>
      <w:r w:rsidRPr="00331240">
        <w:fldChar w:fldCharType="end"/>
      </w:r>
      <w:bookmarkEnd w:id="23"/>
      <w:r w:rsidR="000E6016" w:rsidRPr="00331240">
        <w:tab/>
      </w:r>
      <w:r w:rsidRPr="00331240">
        <w:t>Univariate sensitivity analysis DBS v</w:t>
      </w:r>
      <w:r w:rsidR="00FD4402" w:rsidRPr="00331240">
        <w:t>s</w:t>
      </w:r>
      <w:r w:rsidRPr="00331240">
        <w:t xml:space="preserve"> VNS </w:t>
      </w:r>
      <w:r w:rsidR="003A1736" w:rsidRPr="00331240">
        <w:t xml:space="preserve">and OMT </w:t>
      </w:r>
      <w:r w:rsidRPr="00331240">
        <w:t>7-year analysis</w:t>
      </w:r>
    </w:p>
    <w:tbl>
      <w:tblPr>
        <w:tblStyle w:val="OPTUMTableNormal"/>
        <w:tblW w:w="5000" w:type="pct"/>
        <w:tblLook w:val="04A0" w:firstRow="1" w:lastRow="0" w:firstColumn="1" w:lastColumn="0" w:noHBand="0" w:noVBand="1"/>
      </w:tblPr>
      <w:tblGrid>
        <w:gridCol w:w="2819"/>
        <w:gridCol w:w="1536"/>
        <w:gridCol w:w="1538"/>
        <w:gridCol w:w="1538"/>
        <w:gridCol w:w="1585"/>
      </w:tblGrid>
      <w:tr w:rsidR="008A4D3B" w:rsidRPr="00331240" w14:paraId="6AD365F4" w14:textId="77777777" w:rsidTr="008301A1">
        <w:trPr>
          <w:cnfStyle w:val="100000000000" w:firstRow="1" w:lastRow="0" w:firstColumn="0" w:lastColumn="0" w:oddVBand="0" w:evenVBand="0" w:oddHBand="0" w:evenHBand="0" w:firstRowFirstColumn="0" w:firstRowLastColumn="0" w:lastRowFirstColumn="0" w:lastRowLastColumn="0"/>
          <w:trHeight w:val="405"/>
          <w:tblHeader/>
        </w:trPr>
        <w:tc>
          <w:tcPr>
            <w:tcW w:w="1563" w:type="pct"/>
            <w:hideMark/>
          </w:tcPr>
          <w:p w14:paraId="5CBFDFDB" w14:textId="77777777" w:rsidR="008A4D3B" w:rsidRPr="00331240" w:rsidRDefault="008A4D3B" w:rsidP="000E6016">
            <w:pPr>
              <w:pStyle w:val="Tabletext"/>
              <w:rPr>
                <w:b/>
                <w:bCs/>
                <w:lang w:val="en-AU"/>
              </w:rPr>
            </w:pPr>
            <w:bookmarkStart w:id="24" w:name="_Hlk118659227"/>
            <w:r w:rsidRPr="00331240">
              <w:rPr>
                <w:b/>
                <w:bCs/>
                <w:lang w:val="en-AU"/>
              </w:rPr>
              <w:t>Parameter</w:t>
            </w:r>
          </w:p>
        </w:tc>
        <w:tc>
          <w:tcPr>
            <w:tcW w:w="852" w:type="pct"/>
            <w:hideMark/>
          </w:tcPr>
          <w:p w14:paraId="47FBC793" w14:textId="77777777" w:rsidR="008A4D3B" w:rsidRPr="00331240" w:rsidRDefault="008A4D3B" w:rsidP="000E6016">
            <w:pPr>
              <w:pStyle w:val="Tabletext"/>
              <w:rPr>
                <w:b/>
                <w:bCs/>
                <w:lang w:val="en-AU"/>
              </w:rPr>
            </w:pPr>
            <w:r w:rsidRPr="00331240">
              <w:rPr>
                <w:b/>
                <w:bCs/>
                <w:lang w:val="en-AU"/>
              </w:rPr>
              <w:t>Analysis</w:t>
            </w:r>
          </w:p>
        </w:tc>
        <w:tc>
          <w:tcPr>
            <w:tcW w:w="853" w:type="pct"/>
            <w:hideMark/>
          </w:tcPr>
          <w:p w14:paraId="21242546" w14:textId="77777777" w:rsidR="008A4D3B" w:rsidRPr="00331240" w:rsidRDefault="008A4D3B" w:rsidP="000E6016">
            <w:pPr>
              <w:pStyle w:val="Tabletext"/>
              <w:rPr>
                <w:b/>
                <w:bCs/>
                <w:lang w:val="en-AU"/>
              </w:rPr>
            </w:pPr>
            <w:r w:rsidRPr="00331240">
              <w:rPr>
                <w:b/>
                <w:bCs/>
                <w:lang w:val="en-AU"/>
              </w:rPr>
              <w:t>Incremental cost</w:t>
            </w:r>
          </w:p>
        </w:tc>
        <w:tc>
          <w:tcPr>
            <w:tcW w:w="853" w:type="pct"/>
            <w:hideMark/>
          </w:tcPr>
          <w:p w14:paraId="02B6C43A" w14:textId="77777777" w:rsidR="008A4D3B" w:rsidRPr="00331240" w:rsidRDefault="008A4D3B" w:rsidP="000E6016">
            <w:pPr>
              <w:pStyle w:val="Tabletext"/>
              <w:rPr>
                <w:b/>
                <w:bCs/>
                <w:lang w:val="en-AU"/>
              </w:rPr>
            </w:pPr>
            <w:r w:rsidRPr="00331240">
              <w:rPr>
                <w:b/>
                <w:bCs/>
                <w:lang w:val="en-AU"/>
              </w:rPr>
              <w:t>Incremental effect</w:t>
            </w:r>
          </w:p>
        </w:tc>
        <w:tc>
          <w:tcPr>
            <w:tcW w:w="879" w:type="pct"/>
            <w:hideMark/>
          </w:tcPr>
          <w:p w14:paraId="389297B9" w14:textId="32C0CF47" w:rsidR="008A4D3B" w:rsidRPr="00331240" w:rsidRDefault="008A4D3B" w:rsidP="000E6016">
            <w:pPr>
              <w:pStyle w:val="Tabletext"/>
              <w:rPr>
                <w:b/>
                <w:bCs/>
                <w:lang w:val="en-AU"/>
              </w:rPr>
            </w:pPr>
            <w:r w:rsidRPr="00331240">
              <w:rPr>
                <w:b/>
                <w:bCs/>
                <w:lang w:val="en-AU"/>
              </w:rPr>
              <w:t>IC</w:t>
            </w:r>
            <w:r w:rsidR="0064482C" w:rsidRPr="00331240">
              <w:rPr>
                <w:b/>
                <w:bCs/>
                <w:lang w:val="en-AU"/>
              </w:rPr>
              <w:t>U</w:t>
            </w:r>
            <w:r w:rsidRPr="00331240">
              <w:rPr>
                <w:b/>
                <w:bCs/>
                <w:lang w:val="en-AU"/>
              </w:rPr>
              <w:t>R</w:t>
            </w:r>
          </w:p>
        </w:tc>
      </w:tr>
      <w:tr w:rsidR="007D0D78" w:rsidRPr="00331240" w14:paraId="0CA08A63" w14:textId="77777777" w:rsidTr="008301A1">
        <w:trPr>
          <w:cnfStyle w:val="100000000000" w:firstRow="1" w:lastRow="0" w:firstColumn="0" w:lastColumn="0" w:oddVBand="0" w:evenVBand="0" w:oddHBand="0" w:evenHBand="0" w:firstRowFirstColumn="0" w:firstRowLastColumn="0" w:lastRowFirstColumn="0" w:lastRowLastColumn="0"/>
          <w:trHeight w:val="270"/>
          <w:tblHeader/>
        </w:trPr>
        <w:tc>
          <w:tcPr>
            <w:tcW w:w="1563" w:type="pct"/>
            <w:shd w:val="clear" w:color="auto" w:fill="auto"/>
            <w:hideMark/>
          </w:tcPr>
          <w:p w14:paraId="4AFB3900" w14:textId="77777777" w:rsidR="007D0D78" w:rsidRPr="00331240" w:rsidRDefault="007D0D78" w:rsidP="007D0D78">
            <w:pPr>
              <w:pStyle w:val="Tabletext"/>
              <w:rPr>
                <w:b/>
                <w:lang w:val="en-AU"/>
              </w:rPr>
            </w:pPr>
            <w:r w:rsidRPr="00331240">
              <w:rPr>
                <w:b/>
                <w:lang w:val="en-AU"/>
              </w:rPr>
              <w:t>7-year extrapolation</w:t>
            </w:r>
          </w:p>
        </w:tc>
        <w:tc>
          <w:tcPr>
            <w:tcW w:w="852" w:type="pct"/>
            <w:shd w:val="clear" w:color="auto" w:fill="auto"/>
            <w:noWrap/>
            <w:hideMark/>
          </w:tcPr>
          <w:p w14:paraId="22C69C7A" w14:textId="77777777" w:rsidR="007D0D78" w:rsidRPr="00331240" w:rsidRDefault="007D0D78" w:rsidP="007D0D78">
            <w:pPr>
              <w:pStyle w:val="Tabletext"/>
              <w:rPr>
                <w:b/>
                <w:lang w:val="en-AU"/>
              </w:rPr>
            </w:pPr>
            <w:r w:rsidRPr="00331240">
              <w:rPr>
                <w:b/>
                <w:lang w:val="en-AU"/>
              </w:rPr>
              <w:t> </w:t>
            </w:r>
          </w:p>
        </w:tc>
        <w:tc>
          <w:tcPr>
            <w:tcW w:w="853" w:type="pct"/>
            <w:shd w:val="clear" w:color="auto" w:fill="auto"/>
            <w:noWrap/>
          </w:tcPr>
          <w:p w14:paraId="386DC83E" w14:textId="29DC9942" w:rsidR="007D0D78" w:rsidRPr="00331240" w:rsidRDefault="007D0D78" w:rsidP="007D0D78">
            <w:pPr>
              <w:pStyle w:val="Tabletext"/>
              <w:rPr>
                <w:b/>
                <w:lang w:val="en-AU"/>
              </w:rPr>
            </w:pPr>
            <w:r w:rsidRPr="00331240">
              <w:rPr>
                <w:rFonts w:cs="Calibri"/>
                <w:color w:val="000000"/>
                <w:szCs w:val="20"/>
                <w:lang w:val="en-AU"/>
              </w:rPr>
              <w:t>$26,173</w:t>
            </w:r>
          </w:p>
        </w:tc>
        <w:tc>
          <w:tcPr>
            <w:tcW w:w="853" w:type="pct"/>
            <w:shd w:val="clear" w:color="auto" w:fill="auto"/>
            <w:noWrap/>
          </w:tcPr>
          <w:p w14:paraId="66A7B6C8" w14:textId="0EF030E0" w:rsidR="007D0D78" w:rsidRPr="00331240" w:rsidRDefault="007D0D78" w:rsidP="007D0D78">
            <w:pPr>
              <w:pStyle w:val="Tabletext"/>
              <w:rPr>
                <w:b/>
                <w:lang w:val="en-AU"/>
              </w:rPr>
            </w:pPr>
            <w:r w:rsidRPr="00331240">
              <w:rPr>
                <w:rFonts w:cs="Calibri"/>
                <w:color w:val="000000"/>
                <w:szCs w:val="20"/>
                <w:lang w:val="en-AU"/>
              </w:rPr>
              <w:t>0.07</w:t>
            </w:r>
          </w:p>
        </w:tc>
        <w:tc>
          <w:tcPr>
            <w:tcW w:w="879" w:type="pct"/>
            <w:shd w:val="clear" w:color="auto" w:fill="auto"/>
            <w:noWrap/>
          </w:tcPr>
          <w:p w14:paraId="4B1C02B4" w14:textId="2F8FC82F" w:rsidR="007D0D78" w:rsidRPr="00331240" w:rsidRDefault="007D0D78" w:rsidP="007D0D78">
            <w:pPr>
              <w:pStyle w:val="Tabletext"/>
              <w:rPr>
                <w:b/>
                <w:lang w:val="en-AU"/>
              </w:rPr>
            </w:pPr>
            <w:r w:rsidRPr="00331240">
              <w:rPr>
                <w:rFonts w:cs="Calibri"/>
                <w:color w:val="000000"/>
                <w:szCs w:val="20"/>
                <w:lang w:val="en-AU"/>
              </w:rPr>
              <w:t>$381,796</w:t>
            </w:r>
          </w:p>
        </w:tc>
      </w:tr>
      <w:tr w:rsidR="006D56CE" w:rsidRPr="00331240" w14:paraId="68E8F817" w14:textId="77777777" w:rsidTr="008301A1">
        <w:trPr>
          <w:cnfStyle w:val="100000000000" w:firstRow="1" w:lastRow="0" w:firstColumn="0" w:lastColumn="0" w:oddVBand="0" w:evenVBand="0" w:oddHBand="0" w:evenHBand="0" w:firstRowFirstColumn="0" w:firstRowLastColumn="0" w:lastRowFirstColumn="0" w:lastRowLastColumn="0"/>
          <w:trHeight w:val="255"/>
          <w:tblHeader/>
        </w:trPr>
        <w:tc>
          <w:tcPr>
            <w:tcW w:w="1563" w:type="pct"/>
            <w:hideMark/>
          </w:tcPr>
          <w:p w14:paraId="00B6233A" w14:textId="77777777" w:rsidR="006D56CE" w:rsidRPr="00331240" w:rsidRDefault="006D56CE" w:rsidP="006D56CE">
            <w:pPr>
              <w:pStyle w:val="Tabletext"/>
              <w:rPr>
                <w:lang w:val="en-AU"/>
              </w:rPr>
            </w:pPr>
            <w:r w:rsidRPr="00331240">
              <w:rPr>
                <w:lang w:val="en-AU"/>
              </w:rPr>
              <w:t>Utilities</w:t>
            </w:r>
          </w:p>
        </w:tc>
        <w:tc>
          <w:tcPr>
            <w:tcW w:w="852" w:type="pct"/>
          </w:tcPr>
          <w:p w14:paraId="66722715" w14:textId="0991D45B" w:rsidR="006D56CE" w:rsidRPr="00331240" w:rsidRDefault="006D56CE" w:rsidP="006D56CE">
            <w:pPr>
              <w:pStyle w:val="Tabletext"/>
              <w:rPr>
                <w:lang w:val="en-AU"/>
              </w:rPr>
            </w:pPr>
          </w:p>
        </w:tc>
        <w:tc>
          <w:tcPr>
            <w:tcW w:w="853" w:type="pct"/>
          </w:tcPr>
          <w:p w14:paraId="4452479E" w14:textId="013BCC69" w:rsidR="006D56CE" w:rsidRPr="00331240" w:rsidRDefault="006D56CE" w:rsidP="006D56CE">
            <w:pPr>
              <w:pStyle w:val="Tabletext"/>
              <w:rPr>
                <w:lang w:val="en-AU"/>
              </w:rPr>
            </w:pPr>
          </w:p>
        </w:tc>
        <w:tc>
          <w:tcPr>
            <w:tcW w:w="853" w:type="pct"/>
          </w:tcPr>
          <w:p w14:paraId="2392486D" w14:textId="0EFFAA7A" w:rsidR="006D56CE" w:rsidRPr="00331240" w:rsidRDefault="006D56CE" w:rsidP="006D56CE">
            <w:pPr>
              <w:pStyle w:val="Tabletext"/>
              <w:rPr>
                <w:lang w:val="en-AU"/>
              </w:rPr>
            </w:pPr>
          </w:p>
        </w:tc>
        <w:tc>
          <w:tcPr>
            <w:tcW w:w="879" w:type="pct"/>
          </w:tcPr>
          <w:p w14:paraId="3DF130C6" w14:textId="3BADA0D4" w:rsidR="006D56CE" w:rsidRPr="00331240" w:rsidRDefault="006D56CE" w:rsidP="006D56CE">
            <w:pPr>
              <w:pStyle w:val="Tabletext"/>
              <w:rPr>
                <w:lang w:val="en-AU"/>
              </w:rPr>
            </w:pPr>
          </w:p>
        </w:tc>
      </w:tr>
      <w:tr w:rsidR="00A22EE1" w:rsidRPr="00331240" w14:paraId="451F5D46" w14:textId="77777777" w:rsidTr="008301A1">
        <w:trPr>
          <w:cnfStyle w:val="100000000000" w:firstRow="1" w:lastRow="0" w:firstColumn="0" w:lastColumn="0" w:oddVBand="0" w:evenVBand="0" w:oddHBand="0" w:evenHBand="0" w:firstRowFirstColumn="0" w:firstRowLastColumn="0" w:lastRowFirstColumn="0" w:lastRowLastColumn="0"/>
          <w:trHeight w:val="300"/>
          <w:tblHeader/>
        </w:trPr>
        <w:tc>
          <w:tcPr>
            <w:tcW w:w="1563" w:type="pct"/>
            <w:shd w:val="clear" w:color="auto" w:fill="auto"/>
            <w:hideMark/>
          </w:tcPr>
          <w:p w14:paraId="4C82743B" w14:textId="77777777" w:rsidR="00A22EE1" w:rsidRPr="00331240" w:rsidRDefault="00A22EE1" w:rsidP="00A22EE1">
            <w:pPr>
              <w:pStyle w:val="Tabletext"/>
              <w:rPr>
                <w:lang w:val="en-AU"/>
              </w:rPr>
            </w:pPr>
            <w:r w:rsidRPr="00331240">
              <w:rPr>
                <w:lang w:val="en-AU"/>
              </w:rPr>
              <w:t>≥50% disutility (-0.11)</w:t>
            </w:r>
          </w:p>
        </w:tc>
        <w:tc>
          <w:tcPr>
            <w:tcW w:w="852" w:type="pct"/>
            <w:shd w:val="clear" w:color="auto" w:fill="auto"/>
            <w:hideMark/>
          </w:tcPr>
          <w:p w14:paraId="43B1C829" w14:textId="77777777" w:rsidR="00A22EE1" w:rsidRPr="00331240" w:rsidRDefault="00A22EE1" w:rsidP="00A22EE1">
            <w:pPr>
              <w:pStyle w:val="Tabletext"/>
              <w:rPr>
                <w:lang w:val="en-AU"/>
              </w:rPr>
            </w:pPr>
            <w:r w:rsidRPr="00331240">
              <w:rPr>
                <w:lang w:val="en-AU"/>
              </w:rPr>
              <w:t>-0.13</w:t>
            </w:r>
          </w:p>
        </w:tc>
        <w:tc>
          <w:tcPr>
            <w:tcW w:w="853" w:type="pct"/>
            <w:shd w:val="clear" w:color="auto" w:fill="auto"/>
          </w:tcPr>
          <w:p w14:paraId="1658A6BD" w14:textId="39FF7F80" w:rsidR="00A22EE1" w:rsidRPr="00331240" w:rsidRDefault="00A22EE1" w:rsidP="00A22EE1">
            <w:pPr>
              <w:pStyle w:val="Tabletext"/>
              <w:rPr>
                <w:lang w:val="en-AU"/>
              </w:rPr>
            </w:pPr>
            <w:r w:rsidRPr="00331240">
              <w:rPr>
                <w:rFonts w:cs="Calibri"/>
                <w:color w:val="000000"/>
                <w:szCs w:val="20"/>
                <w:lang w:val="en-AU"/>
              </w:rPr>
              <w:t>$26,173</w:t>
            </w:r>
          </w:p>
        </w:tc>
        <w:tc>
          <w:tcPr>
            <w:tcW w:w="853" w:type="pct"/>
            <w:shd w:val="clear" w:color="auto" w:fill="auto"/>
          </w:tcPr>
          <w:p w14:paraId="62014BF8" w14:textId="19CB35D5" w:rsidR="00A22EE1" w:rsidRPr="00331240" w:rsidRDefault="00A22EE1" w:rsidP="00A22EE1">
            <w:pPr>
              <w:pStyle w:val="Tabletext"/>
              <w:rPr>
                <w:lang w:val="en-AU"/>
              </w:rPr>
            </w:pPr>
            <w:r w:rsidRPr="00331240">
              <w:rPr>
                <w:rFonts w:cs="Calibri"/>
                <w:color w:val="000000"/>
                <w:szCs w:val="20"/>
                <w:lang w:val="en-AU"/>
              </w:rPr>
              <w:t>0.06</w:t>
            </w:r>
          </w:p>
        </w:tc>
        <w:tc>
          <w:tcPr>
            <w:tcW w:w="879" w:type="pct"/>
            <w:shd w:val="clear" w:color="auto" w:fill="auto"/>
          </w:tcPr>
          <w:p w14:paraId="66CC427B" w14:textId="23DCE82C" w:rsidR="00A22EE1" w:rsidRPr="00331240" w:rsidRDefault="00A22EE1" w:rsidP="00A22EE1">
            <w:pPr>
              <w:pStyle w:val="Tabletext"/>
              <w:rPr>
                <w:lang w:val="en-AU"/>
              </w:rPr>
            </w:pPr>
            <w:r w:rsidRPr="00331240">
              <w:rPr>
                <w:rFonts w:cs="Calibri"/>
                <w:color w:val="000000"/>
                <w:szCs w:val="20"/>
                <w:lang w:val="en-AU"/>
              </w:rPr>
              <w:t>$443,786</w:t>
            </w:r>
          </w:p>
        </w:tc>
      </w:tr>
      <w:tr w:rsidR="00A22EE1" w:rsidRPr="00331240" w14:paraId="4D7B5E79" w14:textId="77777777" w:rsidTr="008301A1">
        <w:trPr>
          <w:cnfStyle w:val="100000000000" w:firstRow="1" w:lastRow="0" w:firstColumn="0" w:lastColumn="0" w:oddVBand="0" w:evenVBand="0" w:oddHBand="0" w:evenHBand="0" w:firstRowFirstColumn="0" w:firstRowLastColumn="0" w:lastRowFirstColumn="0" w:lastRowLastColumn="0"/>
          <w:trHeight w:val="300"/>
          <w:tblHeader/>
        </w:trPr>
        <w:tc>
          <w:tcPr>
            <w:tcW w:w="1563" w:type="pct"/>
            <w:shd w:val="clear" w:color="auto" w:fill="auto"/>
            <w:hideMark/>
          </w:tcPr>
          <w:p w14:paraId="5F4A122E" w14:textId="4220271F" w:rsidR="00A22EE1" w:rsidRPr="00331240" w:rsidRDefault="00A22EE1" w:rsidP="00A22EE1">
            <w:pPr>
              <w:pStyle w:val="Tabletext"/>
              <w:rPr>
                <w:lang w:val="en-AU"/>
              </w:rPr>
            </w:pPr>
          </w:p>
        </w:tc>
        <w:tc>
          <w:tcPr>
            <w:tcW w:w="852" w:type="pct"/>
            <w:shd w:val="clear" w:color="auto" w:fill="auto"/>
            <w:hideMark/>
          </w:tcPr>
          <w:p w14:paraId="37A8610D" w14:textId="77777777" w:rsidR="00A22EE1" w:rsidRPr="00331240" w:rsidRDefault="00A22EE1" w:rsidP="00A22EE1">
            <w:pPr>
              <w:pStyle w:val="Tabletext"/>
              <w:rPr>
                <w:lang w:val="en-AU"/>
              </w:rPr>
            </w:pPr>
            <w:r w:rsidRPr="00331240">
              <w:rPr>
                <w:lang w:val="en-AU"/>
              </w:rPr>
              <w:t>-0.09</w:t>
            </w:r>
          </w:p>
        </w:tc>
        <w:tc>
          <w:tcPr>
            <w:tcW w:w="853" w:type="pct"/>
            <w:shd w:val="clear" w:color="auto" w:fill="auto"/>
          </w:tcPr>
          <w:p w14:paraId="51A0109B" w14:textId="6CC3B7DF" w:rsidR="00A22EE1" w:rsidRPr="00331240" w:rsidRDefault="00A22EE1" w:rsidP="00A22EE1">
            <w:pPr>
              <w:pStyle w:val="Tabletext"/>
              <w:rPr>
                <w:lang w:val="en-AU"/>
              </w:rPr>
            </w:pPr>
            <w:r w:rsidRPr="00331240">
              <w:rPr>
                <w:rFonts w:cs="Calibri"/>
                <w:color w:val="000000"/>
                <w:szCs w:val="20"/>
                <w:lang w:val="en-AU"/>
              </w:rPr>
              <w:t>$26,173</w:t>
            </w:r>
          </w:p>
        </w:tc>
        <w:tc>
          <w:tcPr>
            <w:tcW w:w="853" w:type="pct"/>
            <w:shd w:val="clear" w:color="auto" w:fill="auto"/>
          </w:tcPr>
          <w:p w14:paraId="04A9DED5" w14:textId="2B71E8B0" w:rsidR="00A22EE1" w:rsidRPr="00331240" w:rsidRDefault="00A22EE1" w:rsidP="00A22EE1">
            <w:pPr>
              <w:pStyle w:val="Tabletext"/>
              <w:rPr>
                <w:lang w:val="en-AU"/>
              </w:rPr>
            </w:pPr>
            <w:r w:rsidRPr="00331240">
              <w:rPr>
                <w:rFonts w:cs="Calibri"/>
                <w:color w:val="000000"/>
                <w:szCs w:val="20"/>
                <w:lang w:val="en-AU"/>
              </w:rPr>
              <w:t>0.08</w:t>
            </w:r>
          </w:p>
        </w:tc>
        <w:tc>
          <w:tcPr>
            <w:tcW w:w="879" w:type="pct"/>
            <w:shd w:val="clear" w:color="auto" w:fill="auto"/>
          </w:tcPr>
          <w:p w14:paraId="03D640AA" w14:textId="4BF87962" w:rsidR="00A22EE1" w:rsidRPr="00331240" w:rsidRDefault="00A22EE1" w:rsidP="00A22EE1">
            <w:pPr>
              <w:pStyle w:val="Tabletext"/>
              <w:rPr>
                <w:lang w:val="en-AU"/>
              </w:rPr>
            </w:pPr>
            <w:r w:rsidRPr="00331240">
              <w:rPr>
                <w:rFonts w:cs="Calibri"/>
                <w:color w:val="000000"/>
                <w:szCs w:val="20"/>
                <w:lang w:val="en-AU"/>
              </w:rPr>
              <w:t>$335,001</w:t>
            </w:r>
          </w:p>
        </w:tc>
      </w:tr>
      <w:tr w:rsidR="00A22EE1" w:rsidRPr="00331240" w14:paraId="5ED594AD" w14:textId="77777777" w:rsidTr="008301A1">
        <w:trPr>
          <w:cnfStyle w:val="100000000000" w:firstRow="1" w:lastRow="0" w:firstColumn="0" w:lastColumn="0" w:oddVBand="0" w:evenVBand="0" w:oddHBand="0" w:evenHBand="0" w:firstRowFirstColumn="0" w:firstRowLastColumn="0" w:lastRowFirstColumn="0" w:lastRowLastColumn="0"/>
          <w:trHeight w:val="300"/>
          <w:tblHeader/>
        </w:trPr>
        <w:tc>
          <w:tcPr>
            <w:tcW w:w="1563" w:type="pct"/>
            <w:shd w:val="clear" w:color="auto" w:fill="auto"/>
            <w:hideMark/>
          </w:tcPr>
          <w:p w14:paraId="10E421F3" w14:textId="77777777" w:rsidR="00A22EE1" w:rsidRPr="00331240" w:rsidRDefault="00A22EE1" w:rsidP="00A22EE1">
            <w:pPr>
              <w:pStyle w:val="Tabletext"/>
              <w:rPr>
                <w:lang w:val="en-AU"/>
              </w:rPr>
            </w:pPr>
            <w:r w:rsidRPr="00331240">
              <w:rPr>
                <w:lang w:val="en-AU"/>
              </w:rPr>
              <w:t>&lt;50% disutility (-0.3)</w:t>
            </w:r>
          </w:p>
        </w:tc>
        <w:tc>
          <w:tcPr>
            <w:tcW w:w="852" w:type="pct"/>
            <w:shd w:val="clear" w:color="auto" w:fill="auto"/>
            <w:hideMark/>
          </w:tcPr>
          <w:p w14:paraId="1AF72086" w14:textId="77777777" w:rsidR="00A22EE1" w:rsidRPr="00331240" w:rsidRDefault="00A22EE1" w:rsidP="00A22EE1">
            <w:pPr>
              <w:pStyle w:val="Tabletext"/>
              <w:rPr>
                <w:lang w:val="en-AU"/>
              </w:rPr>
            </w:pPr>
            <w:r w:rsidRPr="00331240">
              <w:rPr>
                <w:lang w:val="en-AU"/>
              </w:rPr>
              <w:t>-0.36</w:t>
            </w:r>
          </w:p>
        </w:tc>
        <w:tc>
          <w:tcPr>
            <w:tcW w:w="853" w:type="pct"/>
            <w:shd w:val="clear" w:color="auto" w:fill="auto"/>
          </w:tcPr>
          <w:p w14:paraId="15A785D4" w14:textId="16558F74" w:rsidR="00A22EE1" w:rsidRPr="00331240" w:rsidRDefault="00A22EE1" w:rsidP="00A22EE1">
            <w:pPr>
              <w:pStyle w:val="Tabletext"/>
              <w:rPr>
                <w:lang w:val="en-AU"/>
              </w:rPr>
            </w:pPr>
            <w:r w:rsidRPr="00331240">
              <w:rPr>
                <w:rFonts w:cs="Calibri"/>
                <w:color w:val="000000"/>
                <w:szCs w:val="20"/>
                <w:lang w:val="en-AU"/>
              </w:rPr>
              <w:t>$26,173</w:t>
            </w:r>
          </w:p>
        </w:tc>
        <w:tc>
          <w:tcPr>
            <w:tcW w:w="853" w:type="pct"/>
            <w:shd w:val="clear" w:color="auto" w:fill="auto"/>
          </w:tcPr>
          <w:p w14:paraId="56C5E4FD" w14:textId="6B6D095D" w:rsidR="00A22EE1" w:rsidRPr="00331240" w:rsidRDefault="00A22EE1" w:rsidP="00A22EE1">
            <w:pPr>
              <w:pStyle w:val="Tabletext"/>
              <w:rPr>
                <w:lang w:val="en-AU"/>
              </w:rPr>
            </w:pPr>
            <w:r w:rsidRPr="00331240">
              <w:rPr>
                <w:rFonts w:cs="Calibri"/>
                <w:color w:val="000000"/>
                <w:szCs w:val="20"/>
                <w:lang w:val="en-AU"/>
              </w:rPr>
              <w:t>0.09</w:t>
            </w:r>
          </w:p>
        </w:tc>
        <w:tc>
          <w:tcPr>
            <w:tcW w:w="879" w:type="pct"/>
            <w:shd w:val="clear" w:color="auto" w:fill="auto"/>
          </w:tcPr>
          <w:p w14:paraId="00EEA8FD" w14:textId="510D25C7" w:rsidR="00A22EE1" w:rsidRPr="00331240" w:rsidRDefault="00A22EE1" w:rsidP="00A22EE1">
            <w:pPr>
              <w:pStyle w:val="Tabletext"/>
              <w:rPr>
                <w:lang w:val="en-AU"/>
              </w:rPr>
            </w:pPr>
            <w:r w:rsidRPr="00331240">
              <w:rPr>
                <w:rFonts w:cs="Calibri"/>
                <w:color w:val="000000"/>
                <w:szCs w:val="20"/>
                <w:lang w:val="en-AU"/>
              </w:rPr>
              <w:t>$285,376</w:t>
            </w:r>
          </w:p>
        </w:tc>
      </w:tr>
      <w:tr w:rsidR="00A22EE1" w:rsidRPr="00331240" w14:paraId="148CF3EE" w14:textId="77777777" w:rsidTr="008301A1">
        <w:trPr>
          <w:cnfStyle w:val="100000000000" w:firstRow="1" w:lastRow="0" w:firstColumn="0" w:lastColumn="0" w:oddVBand="0" w:evenVBand="0" w:oddHBand="0" w:evenHBand="0" w:firstRowFirstColumn="0" w:firstRowLastColumn="0" w:lastRowFirstColumn="0" w:lastRowLastColumn="0"/>
          <w:trHeight w:val="270"/>
          <w:tblHeader/>
        </w:trPr>
        <w:tc>
          <w:tcPr>
            <w:tcW w:w="1563" w:type="pct"/>
            <w:shd w:val="clear" w:color="auto" w:fill="auto"/>
            <w:hideMark/>
          </w:tcPr>
          <w:p w14:paraId="42B5957A" w14:textId="77777777" w:rsidR="00A22EE1" w:rsidRPr="00331240" w:rsidRDefault="00A22EE1" w:rsidP="00A22EE1">
            <w:pPr>
              <w:pStyle w:val="Tabletext"/>
              <w:rPr>
                <w:lang w:val="en-AU"/>
              </w:rPr>
            </w:pPr>
            <w:r w:rsidRPr="00331240">
              <w:rPr>
                <w:lang w:val="en-AU"/>
              </w:rPr>
              <w:t> </w:t>
            </w:r>
          </w:p>
        </w:tc>
        <w:tc>
          <w:tcPr>
            <w:tcW w:w="852" w:type="pct"/>
            <w:shd w:val="clear" w:color="auto" w:fill="auto"/>
            <w:hideMark/>
          </w:tcPr>
          <w:p w14:paraId="4B344C73" w14:textId="77777777" w:rsidR="00A22EE1" w:rsidRPr="00331240" w:rsidRDefault="00A22EE1" w:rsidP="00A22EE1">
            <w:pPr>
              <w:pStyle w:val="Tabletext"/>
              <w:rPr>
                <w:lang w:val="en-AU"/>
              </w:rPr>
            </w:pPr>
            <w:r w:rsidRPr="00331240">
              <w:rPr>
                <w:lang w:val="en-AU"/>
              </w:rPr>
              <w:t>-0.24</w:t>
            </w:r>
          </w:p>
        </w:tc>
        <w:tc>
          <w:tcPr>
            <w:tcW w:w="853" w:type="pct"/>
            <w:shd w:val="clear" w:color="auto" w:fill="auto"/>
          </w:tcPr>
          <w:p w14:paraId="3065BD88" w14:textId="006F19D7" w:rsidR="00A22EE1" w:rsidRPr="00331240" w:rsidRDefault="00A22EE1" w:rsidP="00A22EE1">
            <w:pPr>
              <w:pStyle w:val="Tabletext"/>
              <w:rPr>
                <w:lang w:val="en-AU"/>
              </w:rPr>
            </w:pPr>
            <w:r w:rsidRPr="00331240">
              <w:rPr>
                <w:rFonts w:cs="Calibri"/>
                <w:color w:val="000000"/>
                <w:szCs w:val="20"/>
                <w:lang w:val="en-AU"/>
              </w:rPr>
              <w:t>$26,173</w:t>
            </w:r>
          </w:p>
        </w:tc>
        <w:tc>
          <w:tcPr>
            <w:tcW w:w="853" w:type="pct"/>
            <w:shd w:val="clear" w:color="auto" w:fill="auto"/>
          </w:tcPr>
          <w:p w14:paraId="4A24D782" w14:textId="413EF8B7" w:rsidR="00A22EE1" w:rsidRPr="00331240" w:rsidRDefault="00A22EE1" w:rsidP="00A22EE1">
            <w:pPr>
              <w:pStyle w:val="Tabletext"/>
              <w:rPr>
                <w:lang w:val="en-AU"/>
              </w:rPr>
            </w:pPr>
            <w:r w:rsidRPr="00331240">
              <w:rPr>
                <w:rFonts w:cs="Calibri"/>
                <w:color w:val="000000"/>
                <w:szCs w:val="20"/>
                <w:lang w:val="en-AU"/>
              </w:rPr>
              <w:t>0.05</w:t>
            </w:r>
          </w:p>
        </w:tc>
        <w:tc>
          <w:tcPr>
            <w:tcW w:w="879" w:type="pct"/>
            <w:shd w:val="clear" w:color="auto" w:fill="auto"/>
          </w:tcPr>
          <w:p w14:paraId="026C6C8C" w14:textId="27D85362" w:rsidR="00A22EE1" w:rsidRPr="00331240" w:rsidRDefault="00A22EE1" w:rsidP="00A22EE1">
            <w:pPr>
              <w:pStyle w:val="Tabletext"/>
              <w:rPr>
                <w:lang w:val="en-AU"/>
              </w:rPr>
            </w:pPr>
            <w:r w:rsidRPr="00331240">
              <w:rPr>
                <w:rFonts w:cs="Calibri"/>
                <w:color w:val="000000"/>
                <w:szCs w:val="20"/>
                <w:lang w:val="en-AU"/>
              </w:rPr>
              <w:t>$576,616</w:t>
            </w:r>
          </w:p>
        </w:tc>
      </w:tr>
      <w:tr w:rsidR="00961317" w:rsidRPr="00331240" w14:paraId="6FEC24B2" w14:textId="77777777" w:rsidTr="008301A1">
        <w:trPr>
          <w:cnfStyle w:val="100000000000" w:firstRow="1" w:lastRow="0" w:firstColumn="0" w:lastColumn="0" w:oddVBand="0" w:evenVBand="0" w:oddHBand="0" w:evenHBand="0" w:firstRowFirstColumn="0" w:firstRowLastColumn="0" w:lastRowFirstColumn="0" w:lastRowLastColumn="0"/>
          <w:trHeight w:val="285"/>
          <w:tblHeader/>
        </w:trPr>
        <w:tc>
          <w:tcPr>
            <w:tcW w:w="1563" w:type="pct"/>
            <w:tcBorders>
              <w:right w:val="nil"/>
            </w:tcBorders>
            <w:shd w:val="clear" w:color="auto" w:fill="auto"/>
            <w:hideMark/>
          </w:tcPr>
          <w:p w14:paraId="7E76A65C" w14:textId="77777777" w:rsidR="006D56CE" w:rsidRPr="00331240" w:rsidRDefault="006D56CE" w:rsidP="006D56CE">
            <w:pPr>
              <w:pStyle w:val="Tabletext"/>
              <w:rPr>
                <w:b/>
                <w:lang w:val="en-AU"/>
              </w:rPr>
            </w:pPr>
            <w:r w:rsidRPr="00331240">
              <w:rPr>
                <w:b/>
                <w:lang w:val="en-AU"/>
              </w:rPr>
              <w:t>Costs</w:t>
            </w:r>
          </w:p>
        </w:tc>
        <w:tc>
          <w:tcPr>
            <w:tcW w:w="852" w:type="pct"/>
            <w:tcBorders>
              <w:left w:val="nil"/>
              <w:right w:val="nil"/>
            </w:tcBorders>
            <w:shd w:val="clear" w:color="auto" w:fill="auto"/>
            <w:hideMark/>
          </w:tcPr>
          <w:p w14:paraId="28D91168" w14:textId="77777777" w:rsidR="006D56CE" w:rsidRPr="00331240" w:rsidRDefault="006D56CE" w:rsidP="006D56CE">
            <w:pPr>
              <w:pStyle w:val="Tabletext"/>
              <w:rPr>
                <w:b/>
                <w:lang w:val="en-AU"/>
              </w:rPr>
            </w:pPr>
            <w:r w:rsidRPr="00331240">
              <w:rPr>
                <w:b/>
                <w:lang w:val="en-AU"/>
              </w:rPr>
              <w:t> </w:t>
            </w:r>
          </w:p>
        </w:tc>
        <w:tc>
          <w:tcPr>
            <w:tcW w:w="853" w:type="pct"/>
            <w:tcBorders>
              <w:left w:val="nil"/>
              <w:right w:val="nil"/>
            </w:tcBorders>
            <w:shd w:val="clear" w:color="auto" w:fill="auto"/>
          </w:tcPr>
          <w:p w14:paraId="2A7D9188" w14:textId="31039FCF" w:rsidR="006D56CE" w:rsidRPr="00331240" w:rsidRDefault="006D56CE" w:rsidP="006D56CE">
            <w:pPr>
              <w:pStyle w:val="Tabletext"/>
              <w:rPr>
                <w:b/>
                <w:lang w:val="en-AU"/>
              </w:rPr>
            </w:pPr>
          </w:p>
        </w:tc>
        <w:tc>
          <w:tcPr>
            <w:tcW w:w="853" w:type="pct"/>
            <w:tcBorders>
              <w:left w:val="nil"/>
              <w:right w:val="nil"/>
            </w:tcBorders>
            <w:shd w:val="clear" w:color="auto" w:fill="auto"/>
          </w:tcPr>
          <w:p w14:paraId="2E44E493" w14:textId="73168D6E" w:rsidR="006D56CE" w:rsidRPr="00331240" w:rsidRDefault="006D56CE" w:rsidP="006D56CE">
            <w:pPr>
              <w:pStyle w:val="Tabletext"/>
              <w:rPr>
                <w:b/>
                <w:lang w:val="en-AU"/>
              </w:rPr>
            </w:pPr>
          </w:p>
        </w:tc>
        <w:tc>
          <w:tcPr>
            <w:tcW w:w="879" w:type="pct"/>
            <w:tcBorders>
              <w:left w:val="nil"/>
            </w:tcBorders>
            <w:shd w:val="clear" w:color="auto" w:fill="auto"/>
          </w:tcPr>
          <w:p w14:paraId="2401B0E6" w14:textId="433CAEDF" w:rsidR="006D56CE" w:rsidRPr="00331240" w:rsidRDefault="006D56CE" w:rsidP="006D56CE">
            <w:pPr>
              <w:pStyle w:val="Tabletext"/>
              <w:rPr>
                <w:b/>
                <w:lang w:val="en-AU"/>
              </w:rPr>
            </w:pPr>
          </w:p>
        </w:tc>
      </w:tr>
      <w:tr w:rsidR="004346AB" w:rsidRPr="00331240" w14:paraId="6715D752" w14:textId="77777777" w:rsidTr="008301A1">
        <w:trPr>
          <w:cnfStyle w:val="100000000000" w:firstRow="1" w:lastRow="0" w:firstColumn="0" w:lastColumn="0" w:oddVBand="0" w:evenVBand="0" w:oddHBand="0" w:evenHBand="0" w:firstRowFirstColumn="0" w:firstRowLastColumn="0" w:lastRowFirstColumn="0" w:lastRowLastColumn="0"/>
          <w:trHeight w:val="345"/>
          <w:tblHeader/>
        </w:trPr>
        <w:tc>
          <w:tcPr>
            <w:tcW w:w="1563" w:type="pct"/>
            <w:shd w:val="clear" w:color="auto" w:fill="auto"/>
            <w:hideMark/>
          </w:tcPr>
          <w:p w14:paraId="5148A2E5" w14:textId="486AE514" w:rsidR="004346AB" w:rsidRPr="00331240" w:rsidRDefault="004346AB" w:rsidP="004346AB">
            <w:pPr>
              <w:pStyle w:val="Tabletext"/>
              <w:rPr>
                <w:lang w:val="en-AU"/>
              </w:rPr>
            </w:pPr>
            <w:r w:rsidRPr="00331240">
              <w:rPr>
                <w:lang w:val="en-AU"/>
              </w:rPr>
              <w:t>DBS prostheses and single-use consumables ($28,983)</w:t>
            </w:r>
          </w:p>
        </w:tc>
        <w:tc>
          <w:tcPr>
            <w:tcW w:w="852" w:type="pct"/>
            <w:shd w:val="clear" w:color="auto" w:fill="auto"/>
            <w:noWrap/>
            <w:hideMark/>
          </w:tcPr>
          <w:p w14:paraId="6A9E0A20" w14:textId="77777777" w:rsidR="004346AB" w:rsidRPr="00331240" w:rsidRDefault="004346AB" w:rsidP="004346AB">
            <w:pPr>
              <w:pStyle w:val="Tabletext"/>
              <w:rPr>
                <w:lang w:val="en-AU"/>
              </w:rPr>
            </w:pPr>
            <w:r w:rsidRPr="00331240">
              <w:rPr>
                <w:lang w:val="en-AU"/>
              </w:rPr>
              <w:t>$34,780</w:t>
            </w:r>
          </w:p>
        </w:tc>
        <w:tc>
          <w:tcPr>
            <w:tcW w:w="853" w:type="pct"/>
            <w:shd w:val="clear" w:color="auto" w:fill="auto"/>
          </w:tcPr>
          <w:p w14:paraId="4BF74CC9" w14:textId="0A0D68DF" w:rsidR="004346AB" w:rsidRPr="00331240" w:rsidRDefault="004346AB" w:rsidP="004346AB">
            <w:pPr>
              <w:pStyle w:val="Tabletext"/>
              <w:rPr>
                <w:lang w:val="en-AU"/>
              </w:rPr>
            </w:pPr>
            <w:r w:rsidRPr="00331240">
              <w:rPr>
                <w:rFonts w:cs="Calibri"/>
                <w:color w:val="000000"/>
                <w:szCs w:val="20"/>
                <w:lang w:val="en-AU"/>
              </w:rPr>
              <w:t>$31,970</w:t>
            </w:r>
          </w:p>
        </w:tc>
        <w:tc>
          <w:tcPr>
            <w:tcW w:w="853" w:type="pct"/>
            <w:shd w:val="clear" w:color="auto" w:fill="auto"/>
          </w:tcPr>
          <w:p w14:paraId="694988B8" w14:textId="3F7CEDE8" w:rsidR="004346AB" w:rsidRPr="00331240" w:rsidRDefault="004346AB" w:rsidP="004346AB">
            <w:pPr>
              <w:pStyle w:val="Tabletext"/>
              <w:rPr>
                <w:lang w:val="en-AU"/>
              </w:rPr>
            </w:pPr>
            <w:r w:rsidRPr="00331240">
              <w:rPr>
                <w:rFonts w:cs="Calibri"/>
                <w:color w:val="000000"/>
                <w:szCs w:val="20"/>
                <w:lang w:val="en-AU"/>
              </w:rPr>
              <w:t>0.07</w:t>
            </w:r>
          </w:p>
        </w:tc>
        <w:tc>
          <w:tcPr>
            <w:tcW w:w="879" w:type="pct"/>
            <w:shd w:val="clear" w:color="auto" w:fill="auto"/>
          </w:tcPr>
          <w:p w14:paraId="450EE28B" w14:textId="36BFAE48" w:rsidR="004346AB" w:rsidRPr="00331240" w:rsidRDefault="004346AB" w:rsidP="004346AB">
            <w:pPr>
              <w:pStyle w:val="Tabletext"/>
              <w:rPr>
                <w:lang w:val="en-AU"/>
              </w:rPr>
            </w:pPr>
            <w:r w:rsidRPr="00331240">
              <w:rPr>
                <w:rFonts w:cs="Calibri"/>
                <w:color w:val="000000"/>
                <w:szCs w:val="20"/>
                <w:lang w:val="en-AU"/>
              </w:rPr>
              <w:t>$466,352</w:t>
            </w:r>
          </w:p>
        </w:tc>
      </w:tr>
      <w:tr w:rsidR="004346AB" w:rsidRPr="00331240" w14:paraId="349D978A" w14:textId="77777777" w:rsidTr="008301A1">
        <w:trPr>
          <w:cnfStyle w:val="100000000000" w:firstRow="1" w:lastRow="0" w:firstColumn="0" w:lastColumn="0" w:oddVBand="0" w:evenVBand="0" w:oddHBand="0" w:evenHBand="0" w:firstRowFirstColumn="0" w:firstRowLastColumn="0" w:lastRowFirstColumn="0" w:lastRowLastColumn="0"/>
          <w:trHeight w:val="300"/>
          <w:tblHeader/>
        </w:trPr>
        <w:tc>
          <w:tcPr>
            <w:tcW w:w="1563" w:type="pct"/>
            <w:shd w:val="clear" w:color="auto" w:fill="auto"/>
            <w:hideMark/>
          </w:tcPr>
          <w:p w14:paraId="4BF2430C" w14:textId="77777777" w:rsidR="004346AB" w:rsidRPr="00331240" w:rsidRDefault="004346AB" w:rsidP="004346AB">
            <w:pPr>
              <w:pStyle w:val="Tabletext"/>
              <w:rPr>
                <w:lang w:val="en-AU"/>
              </w:rPr>
            </w:pPr>
            <w:r w:rsidRPr="00331240">
              <w:rPr>
                <w:lang w:val="en-AU"/>
              </w:rPr>
              <w:t> </w:t>
            </w:r>
          </w:p>
        </w:tc>
        <w:tc>
          <w:tcPr>
            <w:tcW w:w="852" w:type="pct"/>
            <w:shd w:val="clear" w:color="auto" w:fill="auto"/>
            <w:noWrap/>
            <w:hideMark/>
          </w:tcPr>
          <w:p w14:paraId="28031088" w14:textId="77777777" w:rsidR="004346AB" w:rsidRPr="00331240" w:rsidRDefault="004346AB" w:rsidP="004346AB">
            <w:pPr>
              <w:pStyle w:val="Tabletext"/>
              <w:rPr>
                <w:lang w:val="en-AU"/>
              </w:rPr>
            </w:pPr>
            <w:r w:rsidRPr="00331240">
              <w:rPr>
                <w:lang w:val="en-AU"/>
              </w:rPr>
              <w:t>$23,186</w:t>
            </w:r>
          </w:p>
        </w:tc>
        <w:tc>
          <w:tcPr>
            <w:tcW w:w="853" w:type="pct"/>
            <w:shd w:val="clear" w:color="auto" w:fill="auto"/>
          </w:tcPr>
          <w:p w14:paraId="189DFDD6" w14:textId="728DC131" w:rsidR="004346AB" w:rsidRPr="00331240" w:rsidRDefault="004346AB" w:rsidP="004346AB">
            <w:pPr>
              <w:pStyle w:val="Tabletext"/>
              <w:rPr>
                <w:lang w:val="en-AU"/>
              </w:rPr>
            </w:pPr>
            <w:r w:rsidRPr="00331240">
              <w:rPr>
                <w:rFonts w:cs="Calibri"/>
                <w:color w:val="000000"/>
                <w:szCs w:val="20"/>
                <w:lang w:val="en-AU"/>
              </w:rPr>
              <w:t>$20,377</w:t>
            </w:r>
          </w:p>
        </w:tc>
        <w:tc>
          <w:tcPr>
            <w:tcW w:w="853" w:type="pct"/>
            <w:shd w:val="clear" w:color="auto" w:fill="auto"/>
          </w:tcPr>
          <w:p w14:paraId="001FB8B6" w14:textId="4339681E" w:rsidR="004346AB" w:rsidRPr="00331240" w:rsidRDefault="004346AB" w:rsidP="004346AB">
            <w:pPr>
              <w:pStyle w:val="Tabletext"/>
              <w:rPr>
                <w:lang w:val="en-AU"/>
              </w:rPr>
            </w:pPr>
            <w:r w:rsidRPr="00331240">
              <w:rPr>
                <w:rFonts w:cs="Calibri"/>
                <w:color w:val="000000"/>
                <w:szCs w:val="20"/>
                <w:lang w:val="en-AU"/>
              </w:rPr>
              <w:t>0.07</w:t>
            </w:r>
          </w:p>
        </w:tc>
        <w:tc>
          <w:tcPr>
            <w:tcW w:w="879" w:type="pct"/>
            <w:shd w:val="clear" w:color="auto" w:fill="auto"/>
          </w:tcPr>
          <w:p w14:paraId="5BFDD9E9" w14:textId="0C5C0F5C" w:rsidR="004346AB" w:rsidRPr="00331240" w:rsidRDefault="004346AB" w:rsidP="004346AB">
            <w:pPr>
              <w:pStyle w:val="Tabletext"/>
              <w:rPr>
                <w:lang w:val="en-AU"/>
              </w:rPr>
            </w:pPr>
            <w:r w:rsidRPr="00331240">
              <w:rPr>
                <w:rFonts w:cs="Calibri"/>
                <w:color w:val="000000"/>
                <w:szCs w:val="20"/>
                <w:lang w:val="en-AU"/>
              </w:rPr>
              <w:t>$297,239</w:t>
            </w:r>
          </w:p>
        </w:tc>
      </w:tr>
      <w:tr w:rsidR="004346AB" w:rsidRPr="00331240" w14:paraId="35EE6F60" w14:textId="77777777" w:rsidTr="008301A1">
        <w:trPr>
          <w:cnfStyle w:val="100000000000" w:firstRow="1" w:lastRow="0" w:firstColumn="0" w:lastColumn="0" w:oddVBand="0" w:evenVBand="0" w:oddHBand="0" w:evenHBand="0" w:firstRowFirstColumn="0" w:firstRowLastColumn="0" w:lastRowFirstColumn="0" w:lastRowLastColumn="0"/>
          <w:trHeight w:val="300"/>
          <w:tblHeader/>
        </w:trPr>
        <w:tc>
          <w:tcPr>
            <w:tcW w:w="1563" w:type="pct"/>
            <w:shd w:val="clear" w:color="auto" w:fill="auto"/>
            <w:hideMark/>
          </w:tcPr>
          <w:p w14:paraId="1CCB4D78" w14:textId="1F4DEB45" w:rsidR="004346AB" w:rsidRPr="00331240" w:rsidRDefault="004346AB" w:rsidP="004346AB">
            <w:pPr>
              <w:pStyle w:val="Tabletext"/>
              <w:rPr>
                <w:lang w:val="en-AU"/>
              </w:rPr>
            </w:pPr>
            <w:r w:rsidRPr="00331240">
              <w:rPr>
                <w:lang w:val="en-AU"/>
              </w:rPr>
              <w:t xml:space="preserve">VNS prostheses and single-use consumables </w:t>
            </w:r>
            <w:r w:rsidR="00A955D6" w:rsidRPr="00331240">
              <w:rPr>
                <w:lang w:val="en-AU"/>
              </w:rPr>
              <w:t>($14,504)</w:t>
            </w:r>
          </w:p>
        </w:tc>
        <w:tc>
          <w:tcPr>
            <w:tcW w:w="852" w:type="pct"/>
            <w:shd w:val="clear" w:color="auto" w:fill="auto"/>
            <w:noWrap/>
            <w:hideMark/>
          </w:tcPr>
          <w:p w14:paraId="3E67C13F" w14:textId="77777777" w:rsidR="004346AB" w:rsidRPr="00331240" w:rsidRDefault="004346AB" w:rsidP="004346AB">
            <w:pPr>
              <w:pStyle w:val="Tabletext"/>
              <w:rPr>
                <w:lang w:val="en-AU"/>
              </w:rPr>
            </w:pPr>
            <w:r w:rsidRPr="00331240">
              <w:rPr>
                <w:lang w:val="en-AU"/>
              </w:rPr>
              <w:t>$17,405</w:t>
            </w:r>
          </w:p>
        </w:tc>
        <w:tc>
          <w:tcPr>
            <w:tcW w:w="853" w:type="pct"/>
            <w:shd w:val="clear" w:color="auto" w:fill="auto"/>
          </w:tcPr>
          <w:p w14:paraId="2D6D60C2" w14:textId="42C5E256" w:rsidR="004346AB" w:rsidRPr="00331240" w:rsidRDefault="004346AB" w:rsidP="004346AB">
            <w:pPr>
              <w:pStyle w:val="Tabletext"/>
              <w:rPr>
                <w:lang w:val="en-AU"/>
              </w:rPr>
            </w:pPr>
            <w:r w:rsidRPr="00331240">
              <w:rPr>
                <w:rFonts w:cs="Calibri"/>
                <w:color w:val="000000"/>
                <w:szCs w:val="20"/>
                <w:lang w:val="en-AU"/>
              </w:rPr>
              <w:t>$23,272</w:t>
            </w:r>
          </w:p>
        </w:tc>
        <w:tc>
          <w:tcPr>
            <w:tcW w:w="853" w:type="pct"/>
            <w:shd w:val="clear" w:color="auto" w:fill="auto"/>
          </w:tcPr>
          <w:p w14:paraId="5825C845" w14:textId="3C88D3A3" w:rsidR="004346AB" w:rsidRPr="00331240" w:rsidRDefault="004346AB" w:rsidP="004346AB">
            <w:pPr>
              <w:pStyle w:val="Tabletext"/>
              <w:rPr>
                <w:lang w:val="en-AU"/>
              </w:rPr>
            </w:pPr>
            <w:r w:rsidRPr="00331240">
              <w:rPr>
                <w:rFonts w:cs="Calibri"/>
                <w:color w:val="000000"/>
                <w:szCs w:val="20"/>
                <w:lang w:val="en-AU"/>
              </w:rPr>
              <w:t>0.07</w:t>
            </w:r>
          </w:p>
        </w:tc>
        <w:tc>
          <w:tcPr>
            <w:tcW w:w="879" w:type="pct"/>
            <w:shd w:val="clear" w:color="auto" w:fill="auto"/>
          </w:tcPr>
          <w:p w14:paraId="3C80D815" w14:textId="682BD83F" w:rsidR="004346AB" w:rsidRPr="00331240" w:rsidRDefault="004346AB" w:rsidP="004346AB">
            <w:pPr>
              <w:pStyle w:val="Tabletext"/>
              <w:rPr>
                <w:lang w:val="en-AU"/>
              </w:rPr>
            </w:pPr>
            <w:r w:rsidRPr="00331240">
              <w:rPr>
                <w:rFonts w:cs="Calibri"/>
                <w:color w:val="000000"/>
                <w:szCs w:val="20"/>
                <w:lang w:val="en-AU"/>
              </w:rPr>
              <w:t>$339,481</w:t>
            </w:r>
          </w:p>
        </w:tc>
      </w:tr>
      <w:tr w:rsidR="004346AB" w:rsidRPr="00331240" w14:paraId="75C52248" w14:textId="77777777" w:rsidTr="008301A1">
        <w:trPr>
          <w:cnfStyle w:val="100000000000" w:firstRow="1" w:lastRow="0" w:firstColumn="0" w:lastColumn="0" w:oddVBand="0" w:evenVBand="0" w:oddHBand="0" w:evenHBand="0" w:firstRowFirstColumn="0" w:firstRowLastColumn="0" w:lastRowFirstColumn="0" w:lastRowLastColumn="0"/>
          <w:trHeight w:val="300"/>
          <w:tblHeader/>
        </w:trPr>
        <w:tc>
          <w:tcPr>
            <w:tcW w:w="1563" w:type="pct"/>
            <w:shd w:val="clear" w:color="auto" w:fill="auto"/>
            <w:hideMark/>
          </w:tcPr>
          <w:p w14:paraId="1733963C" w14:textId="77777777" w:rsidR="004346AB" w:rsidRPr="00331240" w:rsidRDefault="004346AB" w:rsidP="004346AB">
            <w:pPr>
              <w:pStyle w:val="Tabletext"/>
              <w:rPr>
                <w:lang w:val="en-AU"/>
              </w:rPr>
            </w:pPr>
            <w:r w:rsidRPr="00331240">
              <w:rPr>
                <w:lang w:val="en-AU"/>
              </w:rPr>
              <w:t> </w:t>
            </w:r>
          </w:p>
        </w:tc>
        <w:tc>
          <w:tcPr>
            <w:tcW w:w="852" w:type="pct"/>
            <w:shd w:val="clear" w:color="auto" w:fill="auto"/>
            <w:noWrap/>
            <w:hideMark/>
          </w:tcPr>
          <w:p w14:paraId="311745E7" w14:textId="77777777" w:rsidR="004346AB" w:rsidRPr="00331240" w:rsidRDefault="004346AB" w:rsidP="004346AB">
            <w:pPr>
              <w:pStyle w:val="Tabletext"/>
              <w:rPr>
                <w:lang w:val="en-AU"/>
              </w:rPr>
            </w:pPr>
            <w:r w:rsidRPr="00331240">
              <w:rPr>
                <w:lang w:val="en-AU"/>
              </w:rPr>
              <w:t>$11,603</w:t>
            </w:r>
          </w:p>
        </w:tc>
        <w:tc>
          <w:tcPr>
            <w:tcW w:w="853" w:type="pct"/>
            <w:shd w:val="clear" w:color="auto" w:fill="auto"/>
          </w:tcPr>
          <w:p w14:paraId="64E17B0B" w14:textId="7513E664" w:rsidR="004346AB" w:rsidRPr="00331240" w:rsidRDefault="004346AB" w:rsidP="004346AB">
            <w:pPr>
              <w:pStyle w:val="Tabletext"/>
              <w:rPr>
                <w:lang w:val="en-AU"/>
              </w:rPr>
            </w:pPr>
            <w:r w:rsidRPr="00331240">
              <w:rPr>
                <w:rFonts w:cs="Calibri"/>
                <w:color w:val="000000"/>
                <w:szCs w:val="20"/>
                <w:lang w:val="en-AU"/>
              </w:rPr>
              <w:t>$29,074</w:t>
            </w:r>
          </w:p>
        </w:tc>
        <w:tc>
          <w:tcPr>
            <w:tcW w:w="853" w:type="pct"/>
            <w:shd w:val="clear" w:color="auto" w:fill="auto"/>
          </w:tcPr>
          <w:p w14:paraId="393A43D1" w14:textId="177A6DB0" w:rsidR="004346AB" w:rsidRPr="00331240" w:rsidRDefault="004346AB" w:rsidP="004346AB">
            <w:pPr>
              <w:pStyle w:val="Tabletext"/>
              <w:rPr>
                <w:lang w:val="en-AU"/>
              </w:rPr>
            </w:pPr>
            <w:r w:rsidRPr="00331240">
              <w:rPr>
                <w:rFonts w:cs="Calibri"/>
                <w:color w:val="000000"/>
                <w:szCs w:val="20"/>
                <w:lang w:val="en-AU"/>
              </w:rPr>
              <w:t>0.07</w:t>
            </w:r>
          </w:p>
        </w:tc>
        <w:tc>
          <w:tcPr>
            <w:tcW w:w="879" w:type="pct"/>
            <w:shd w:val="clear" w:color="auto" w:fill="auto"/>
          </w:tcPr>
          <w:p w14:paraId="0B487535" w14:textId="4ECEA705" w:rsidR="004346AB" w:rsidRPr="00331240" w:rsidRDefault="004346AB" w:rsidP="004346AB">
            <w:pPr>
              <w:pStyle w:val="Tabletext"/>
              <w:rPr>
                <w:lang w:val="en-AU"/>
              </w:rPr>
            </w:pPr>
            <w:r w:rsidRPr="00331240">
              <w:rPr>
                <w:rFonts w:cs="Calibri"/>
                <w:color w:val="000000"/>
                <w:szCs w:val="20"/>
                <w:lang w:val="en-AU"/>
              </w:rPr>
              <w:t>$424,110</w:t>
            </w:r>
          </w:p>
        </w:tc>
      </w:tr>
      <w:tr w:rsidR="00AF58F6" w:rsidRPr="00331240" w14:paraId="75622926" w14:textId="77777777" w:rsidTr="008301A1">
        <w:trPr>
          <w:cnfStyle w:val="100000000000" w:firstRow="1" w:lastRow="0" w:firstColumn="0" w:lastColumn="0" w:oddVBand="0" w:evenVBand="0" w:oddHBand="0" w:evenHBand="0" w:firstRowFirstColumn="0" w:firstRowLastColumn="0" w:lastRowFirstColumn="0" w:lastRowLastColumn="0"/>
          <w:trHeight w:val="300"/>
          <w:tblHeader/>
        </w:trPr>
        <w:tc>
          <w:tcPr>
            <w:tcW w:w="1563" w:type="pct"/>
            <w:shd w:val="clear" w:color="auto" w:fill="auto"/>
            <w:hideMark/>
          </w:tcPr>
          <w:p w14:paraId="5EB4D07E" w14:textId="5EB5B745" w:rsidR="00AF58F6" w:rsidRPr="00331240" w:rsidRDefault="00AF58F6" w:rsidP="00AF58F6">
            <w:pPr>
              <w:pStyle w:val="Tabletext"/>
              <w:rPr>
                <w:lang w:val="en-AU"/>
              </w:rPr>
            </w:pPr>
            <w:r w:rsidRPr="00331240">
              <w:rPr>
                <w:lang w:val="en-AU"/>
              </w:rPr>
              <w:t>DBS battery life (5 years)</w:t>
            </w:r>
          </w:p>
        </w:tc>
        <w:tc>
          <w:tcPr>
            <w:tcW w:w="852" w:type="pct"/>
            <w:shd w:val="clear" w:color="auto" w:fill="auto"/>
            <w:noWrap/>
            <w:hideMark/>
          </w:tcPr>
          <w:p w14:paraId="59AF549A" w14:textId="77777777" w:rsidR="00AF58F6" w:rsidRPr="00331240" w:rsidRDefault="00AF58F6" w:rsidP="00AF58F6">
            <w:pPr>
              <w:pStyle w:val="Tabletext"/>
              <w:rPr>
                <w:lang w:val="en-AU"/>
              </w:rPr>
            </w:pPr>
            <w:r w:rsidRPr="00331240">
              <w:rPr>
                <w:lang w:val="en-AU"/>
              </w:rPr>
              <w:t>6.0</w:t>
            </w:r>
          </w:p>
        </w:tc>
        <w:tc>
          <w:tcPr>
            <w:tcW w:w="853" w:type="pct"/>
            <w:shd w:val="clear" w:color="auto" w:fill="auto"/>
          </w:tcPr>
          <w:p w14:paraId="364D8830" w14:textId="68EA397D" w:rsidR="00AF58F6" w:rsidRPr="00331240" w:rsidRDefault="00AF58F6" w:rsidP="00AF58F6">
            <w:pPr>
              <w:pStyle w:val="Tabletext"/>
              <w:rPr>
                <w:lang w:val="en-AU"/>
              </w:rPr>
            </w:pPr>
            <w:r w:rsidRPr="00331240">
              <w:rPr>
                <w:rFonts w:cs="Calibri"/>
                <w:color w:val="000000"/>
                <w:szCs w:val="20"/>
                <w:lang w:val="en-AU"/>
              </w:rPr>
              <w:t>$25,466</w:t>
            </w:r>
          </w:p>
        </w:tc>
        <w:tc>
          <w:tcPr>
            <w:tcW w:w="853" w:type="pct"/>
            <w:shd w:val="clear" w:color="auto" w:fill="auto"/>
          </w:tcPr>
          <w:p w14:paraId="576E7706" w14:textId="7CAC65F8" w:rsidR="00AF58F6" w:rsidRPr="00331240" w:rsidRDefault="00AF58F6" w:rsidP="00AF58F6">
            <w:pPr>
              <w:pStyle w:val="Tabletext"/>
              <w:rPr>
                <w:lang w:val="en-AU"/>
              </w:rPr>
            </w:pPr>
            <w:r w:rsidRPr="00331240">
              <w:rPr>
                <w:rFonts w:cs="Calibri"/>
                <w:color w:val="000000"/>
                <w:szCs w:val="20"/>
                <w:lang w:val="en-AU"/>
              </w:rPr>
              <w:t>$0</w:t>
            </w:r>
          </w:p>
        </w:tc>
        <w:tc>
          <w:tcPr>
            <w:tcW w:w="879" w:type="pct"/>
            <w:shd w:val="clear" w:color="auto" w:fill="auto"/>
          </w:tcPr>
          <w:p w14:paraId="43D8F600" w14:textId="7CD0DB11" w:rsidR="00AF58F6" w:rsidRPr="00331240" w:rsidRDefault="00AF58F6" w:rsidP="00AF58F6">
            <w:pPr>
              <w:pStyle w:val="Tabletext"/>
              <w:rPr>
                <w:lang w:val="en-AU"/>
              </w:rPr>
            </w:pPr>
            <w:r w:rsidRPr="00331240">
              <w:rPr>
                <w:rFonts w:cs="Calibri"/>
                <w:color w:val="000000"/>
                <w:szCs w:val="20"/>
                <w:lang w:val="en-AU"/>
              </w:rPr>
              <w:t>$371,484</w:t>
            </w:r>
          </w:p>
        </w:tc>
      </w:tr>
      <w:tr w:rsidR="00AF58F6" w:rsidRPr="00331240" w14:paraId="746A705B" w14:textId="77777777" w:rsidTr="008301A1">
        <w:trPr>
          <w:cnfStyle w:val="100000000000" w:firstRow="1" w:lastRow="0" w:firstColumn="0" w:lastColumn="0" w:oddVBand="0" w:evenVBand="0" w:oddHBand="0" w:evenHBand="0" w:firstRowFirstColumn="0" w:firstRowLastColumn="0" w:lastRowFirstColumn="0" w:lastRowLastColumn="0"/>
          <w:trHeight w:val="300"/>
          <w:tblHeader/>
        </w:trPr>
        <w:tc>
          <w:tcPr>
            <w:tcW w:w="1563" w:type="pct"/>
            <w:shd w:val="clear" w:color="auto" w:fill="auto"/>
            <w:hideMark/>
          </w:tcPr>
          <w:p w14:paraId="51D19E20" w14:textId="77777777" w:rsidR="00AF58F6" w:rsidRPr="00331240" w:rsidRDefault="00AF58F6" w:rsidP="00AF58F6">
            <w:pPr>
              <w:pStyle w:val="Tabletext"/>
              <w:rPr>
                <w:lang w:val="en-AU"/>
              </w:rPr>
            </w:pPr>
            <w:r w:rsidRPr="00331240">
              <w:rPr>
                <w:lang w:val="en-AU"/>
              </w:rPr>
              <w:t> </w:t>
            </w:r>
          </w:p>
        </w:tc>
        <w:tc>
          <w:tcPr>
            <w:tcW w:w="852" w:type="pct"/>
            <w:shd w:val="clear" w:color="auto" w:fill="auto"/>
            <w:noWrap/>
            <w:hideMark/>
          </w:tcPr>
          <w:p w14:paraId="71AC0D42" w14:textId="77777777" w:rsidR="00AF58F6" w:rsidRPr="00331240" w:rsidRDefault="00AF58F6" w:rsidP="00AF58F6">
            <w:pPr>
              <w:pStyle w:val="Tabletext"/>
              <w:rPr>
                <w:lang w:val="en-AU"/>
              </w:rPr>
            </w:pPr>
            <w:r w:rsidRPr="00331240">
              <w:rPr>
                <w:lang w:val="en-AU"/>
              </w:rPr>
              <w:t>4.0</w:t>
            </w:r>
          </w:p>
        </w:tc>
        <w:tc>
          <w:tcPr>
            <w:tcW w:w="853" w:type="pct"/>
            <w:shd w:val="clear" w:color="auto" w:fill="auto"/>
          </w:tcPr>
          <w:p w14:paraId="7085A2CC" w14:textId="737124AB" w:rsidR="00AF58F6" w:rsidRPr="00331240" w:rsidRDefault="00AF58F6" w:rsidP="00AF58F6">
            <w:pPr>
              <w:pStyle w:val="Tabletext"/>
              <w:rPr>
                <w:lang w:val="en-AU"/>
              </w:rPr>
            </w:pPr>
            <w:r w:rsidRPr="00331240">
              <w:rPr>
                <w:rFonts w:cs="Calibri"/>
                <w:color w:val="000000"/>
                <w:szCs w:val="20"/>
                <w:lang w:val="en-AU"/>
              </w:rPr>
              <w:t>$26,914</w:t>
            </w:r>
          </w:p>
        </w:tc>
        <w:tc>
          <w:tcPr>
            <w:tcW w:w="853" w:type="pct"/>
            <w:shd w:val="clear" w:color="auto" w:fill="auto"/>
          </w:tcPr>
          <w:p w14:paraId="51C355D5" w14:textId="569899F3" w:rsidR="00AF58F6" w:rsidRPr="00331240" w:rsidRDefault="00AF58F6" w:rsidP="00AF58F6">
            <w:pPr>
              <w:pStyle w:val="Tabletext"/>
              <w:rPr>
                <w:lang w:val="en-AU"/>
              </w:rPr>
            </w:pPr>
            <w:r w:rsidRPr="00331240">
              <w:rPr>
                <w:rFonts w:cs="Calibri"/>
                <w:color w:val="000000"/>
                <w:szCs w:val="20"/>
                <w:lang w:val="en-AU"/>
              </w:rPr>
              <w:t>0.07</w:t>
            </w:r>
          </w:p>
        </w:tc>
        <w:tc>
          <w:tcPr>
            <w:tcW w:w="879" w:type="pct"/>
            <w:shd w:val="clear" w:color="auto" w:fill="auto"/>
          </w:tcPr>
          <w:p w14:paraId="4DC0B19B" w14:textId="3756D36C" w:rsidR="00AF58F6" w:rsidRPr="00331240" w:rsidRDefault="00AF58F6" w:rsidP="00AF58F6">
            <w:pPr>
              <w:pStyle w:val="Tabletext"/>
              <w:rPr>
                <w:lang w:val="en-AU"/>
              </w:rPr>
            </w:pPr>
            <w:r w:rsidRPr="00331240">
              <w:rPr>
                <w:rFonts w:cs="Calibri"/>
                <w:color w:val="000000"/>
                <w:szCs w:val="20"/>
                <w:lang w:val="en-AU"/>
              </w:rPr>
              <w:t>$392,607</w:t>
            </w:r>
          </w:p>
        </w:tc>
      </w:tr>
      <w:tr w:rsidR="00AF58F6" w:rsidRPr="00331240" w14:paraId="59F89BD4" w14:textId="77777777" w:rsidTr="008301A1">
        <w:trPr>
          <w:cnfStyle w:val="100000000000" w:firstRow="1" w:lastRow="0" w:firstColumn="0" w:lastColumn="0" w:oddVBand="0" w:evenVBand="0" w:oddHBand="0" w:evenHBand="0" w:firstRowFirstColumn="0" w:firstRowLastColumn="0" w:lastRowFirstColumn="0" w:lastRowLastColumn="0"/>
          <w:trHeight w:val="300"/>
          <w:tblHeader/>
        </w:trPr>
        <w:tc>
          <w:tcPr>
            <w:tcW w:w="1563" w:type="pct"/>
            <w:shd w:val="clear" w:color="auto" w:fill="auto"/>
            <w:hideMark/>
          </w:tcPr>
          <w:p w14:paraId="32654639" w14:textId="7B298549" w:rsidR="00AF58F6" w:rsidRPr="00331240" w:rsidRDefault="00AF58F6" w:rsidP="00AF58F6">
            <w:pPr>
              <w:pStyle w:val="Tabletext"/>
              <w:rPr>
                <w:lang w:val="en-AU"/>
              </w:rPr>
            </w:pPr>
            <w:r w:rsidRPr="00331240">
              <w:rPr>
                <w:lang w:val="en-AU"/>
              </w:rPr>
              <w:t>VNS battery life (7 years)</w:t>
            </w:r>
          </w:p>
        </w:tc>
        <w:tc>
          <w:tcPr>
            <w:tcW w:w="852" w:type="pct"/>
            <w:shd w:val="clear" w:color="auto" w:fill="auto"/>
            <w:noWrap/>
            <w:hideMark/>
          </w:tcPr>
          <w:p w14:paraId="7243D996" w14:textId="18F9AF67" w:rsidR="00AF58F6" w:rsidRPr="00331240" w:rsidRDefault="00AF58F6" w:rsidP="00AF58F6">
            <w:pPr>
              <w:pStyle w:val="Tabletext"/>
              <w:rPr>
                <w:lang w:val="en-AU"/>
              </w:rPr>
            </w:pPr>
            <w:r w:rsidRPr="00331240">
              <w:rPr>
                <w:lang w:val="en-AU"/>
              </w:rPr>
              <w:t>8.0</w:t>
            </w:r>
          </w:p>
        </w:tc>
        <w:tc>
          <w:tcPr>
            <w:tcW w:w="853" w:type="pct"/>
            <w:shd w:val="clear" w:color="auto" w:fill="auto"/>
          </w:tcPr>
          <w:p w14:paraId="2FFF4A60" w14:textId="3DCABBBD" w:rsidR="00AF58F6" w:rsidRPr="00331240" w:rsidRDefault="00AF58F6" w:rsidP="00AF58F6">
            <w:pPr>
              <w:pStyle w:val="Tabletext"/>
              <w:rPr>
                <w:lang w:val="en-AU"/>
              </w:rPr>
            </w:pPr>
            <w:r w:rsidRPr="00331240">
              <w:rPr>
                <w:rFonts w:cs="Calibri"/>
                <w:color w:val="000000"/>
                <w:szCs w:val="20"/>
                <w:lang w:val="en-AU"/>
              </w:rPr>
              <w:t>$36,446</w:t>
            </w:r>
          </w:p>
        </w:tc>
        <w:tc>
          <w:tcPr>
            <w:tcW w:w="853" w:type="pct"/>
            <w:shd w:val="clear" w:color="auto" w:fill="auto"/>
          </w:tcPr>
          <w:p w14:paraId="6FD51A84" w14:textId="259119C7" w:rsidR="00AF58F6" w:rsidRPr="00331240" w:rsidRDefault="00AF58F6" w:rsidP="00AF58F6">
            <w:pPr>
              <w:pStyle w:val="Tabletext"/>
              <w:rPr>
                <w:lang w:val="en-AU"/>
              </w:rPr>
            </w:pPr>
            <w:r w:rsidRPr="00331240">
              <w:rPr>
                <w:rFonts w:cs="Calibri"/>
                <w:color w:val="000000"/>
                <w:szCs w:val="20"/>
                <w:lang w:val="en-AU"/>
              </w:rPr>
              <w:t>0.07</w:t>
            </w:r>
          </w:p>
        </w:tc>
        <w:tc>
          <w:tcPr>
            <w:tcW w:w="879" w:type="pct"/>
            <w:shd w:val="clear" w:color="auto" w:fill="auto"/>
          </w:tcPr>
          <w:p w14:paraId="5D672B65" w14:textId="4A96B225" w:rsidR="00AF58F6" w:rsidRPr="00331240" w:rsidRDefault="00AF58F6" w:rsidP="00AF58F6">
            <w:pPr>
              <w:pStyle w:val="Tabletext"/>
              <w:rPr>
                <w:lang w:val="en-AU"/>
              </w:rPr>
            </w:pPr>
            <w:r w:rsidRPr="00331240">
              <w:rPr>
                <w:rFonts w:cs="Calibri"/>
                <w:color w:val="000000"/>
                <w:szCs w:val="20"/>
                <w:lang w:val="en-AU"/>
              </w:rPr>
              <w:t>$531,640</w:t>
            </w:r>
          </w:p>
        </w:tc>
      </w:tr>
      <w:tr w:rsidR="00AF58F6" w:rsidRPr="00331240" w14:paraId="0D769905" w14:textId="77777777" w:rsidTr="008301A1">
        <w:trPr>
          <w:cnfStyle w:val="100000000000" w:firstRow="1" w:lastRow="0" w:firstColumn="0" w:lastColumn="0" w:oddVBand="0" w:evenVBand="0" w:oddHBand="0" w:evenHBand="0" w:firstRowFirstColumn="0" w:firstRowLastColumn="0" w:lastRowFirstColumn="0" w:lastRowLastColumn="0"/>
          <w:trHeight w:val="300"/>
          <w:tblHeader/>
        </w:trPr>
        <w:tc>
          <w:tcPr>
            <w:tcW w:w="1563" w:type="pct"/>
            <w:shd w:val="clear" w:color="auto" w:fill="auto"/>
            <w:hideMark/>
          </w:tcPr>
          <w:p w14:paraId="317F0190" w14:textId="77777777" w:rsidR="00AF58F6" w:rsidRPr="00331240" w:rsidRDefault="00AF58F6" w:rsidP="00AF58F6">
            <w:pPr>
              <w:pStyle w:val="Tabletext"/>
              <w:rPr>
                <w:lang w:val="en-AU"/>
              </w:rPr>
            </w:pPr>
            <w:r w:rsidRPr="00331240">
              <w:rPr>
                <w:lang w:val="en-AU"/>
              </w:rPr>
              <w:t> </w:t>
            </w:r>
          </w:p>
        </w:tc>
        <w:tc>
          <w:tcPr>
            <w:tcW w:w="852" w:type="pct"/>
            <w:shd w:val="clear" w:color="auto" w:fill="auto"/>
            <w:noWrap/>
            <w:hideMark/>
          </w:tcPr>
          <w:p w14:paraId="706BBA37" w14:textId="123D20E4" w:rsidR="00AF58F6" w:rsidRPr="00331240" w:rsidRDefault="00AF58F6" w:rsidP="00AF58F6">
            <w:pPr>
              <w:pStyle w:val="Tabletext"/>
              <w:rPr>
                <w:lang w:val="en-AU"/>
              </w:rPr>
            </w:pPr>
            <w:r w:rsidRPr="00331240">
              <w:rPr>
                <w:lang w:val="en-AU"/>
              </w:rPr>
              <w:t>6.0</w:t>
            </w:r>
          </w:p>
        </w:tc>
        <w:tc>
          <w:tcPr>
            <w:tcW w:w="853" w:type="pct"/>
            <w:shd w:val="clear" w:color="auto" w:fill="auto"/>
          </w:tcPr>
          <w:p w14:paraId="6FD3C611" w14:textId="4E239070" w:rsidR="00AF58F6" w:rsidRPr="00331240" w:rsidRDefault="00AF58F6" w:rsidP="00AF58F6">
            <w:pPr>
              <w:pStyle w:val="Tabletext"/>
              <w:rPr>
                <w:lang w:val="en-AU"/>
              </w:rPr>
            </w:pPr>
            <w:r w:rsidRPr="00331240">
              <w:rPr>
                <w:rFonts w:cs="Calibri"/>
                <w:color w:val="000000"/>
                <w:szCs w:val="20"/>
                <w:lang w:val="en-AU"/>
              </w:rPr>
              <w:t>$25,612</w:t>
            </w:r>
          </w:p>
        </w:tc>
        <w:tc>
          <w:tcPr>
            <w:tcW w:w="853" w:type="pct"/>
            <w:shd w:val="clear" w:color="auto" w:fill="auto"/>
          </w:tcPr>
          <w:p w14:paraId="2A625E35" w14:textId="4568E8B6" w:rsidR="00AF58F6" w:rsidRPr="00331240" w:rsidRDefault="00AF58F6" w:rsidP="00AF58F6">
            <w:pPr>
              <w:pStyle w:val="Tabletext"/>
              <w:rPr>
                <w:lang w:val="en-AU"/>
              </w:rPr>
            </w:pPr>
            <w:r w:rsidRPr="00331240">
              <w:rPr>
                <w:rFonts w:cs="Calibri"/>
                <w:color w:val="000000"/>
                <w:szCs w:val="20"/>
                <w:lang w:val="en-AU"/>
              </w:rPr>
              <w:t>0.07</w:t>
            </w:r>
          </w:p>
        </w:tc>
        <w:tc>
          <w:tcPr>
            <w:tcW w:w="879" w:type="pct"/>
            <w:shd w:val="clear" w:color="auto" w:fill="auto"/>
          </w:tcPr>
          <w:p w14:paraId="1AC4DD9D" w14:textId="64B467A8" w:rsidR="00AF58F6" w:rsidRPr="00331240" w:rsidRDefault="00AF58F6" w:rsidP="00AF58F6">
            <w:pPr>
              <w:pStyle w:val="Tabletext"/>
              <w:rPr>
                <w:lang w:val="en-AU"/>
              </w:rPr>
            </w:pPr>
            <w:r w:rsidRPr="00331240">
              <w:rPr>
                <w:rFonts w:cs="Calibri"/>
                <w:color w:val="000000"/>
                <w:szCs w:val="20"/>
                <w:lang w:val="en-AU"/>
              </w:rPr>
              <w:t>$373,614</w:t>
            </w:r>
          </w:p>
        </w:tc>
      </w:tr>
      <w:tr w:rsidR="00961317" w:rsidRPr="00331240" w14:paraId="6E84AA48" w14:textId="77777777" w:rsidTr="008301A1">
        <w:trPr>
          <w:cnfStyle w:val="100000000000" w:firstRow="1" w:lastRow="0" w:firstColumn="0" w:lastColumn="0" w:oddVBand="0" w:evenVBand="0" w:oddHBand="0" w:evenHBand="0" w:firstRowFirstColumn="0" w:firstRowLastColumn="0" w:lastRowFirstColumn="0" w:lastRowLastColumn="0"/>
          <w:trHeight w:val="300"/>
          <w:tblHeader/>
        </w:trPr>
        <w:tc>
          <w:tcPr>
            <w:tcW w:w="1563" w:type="pct"/>
            <w:tcBorders>
              <w:right w:val="nil"/>
            </w:tcBorders>
            <w:shd w:val="clear" w:color="auto" w:fill="auto"/>
            <w:hideMark/>
          </w:tcPr>
          <w:p w14:paraId="67CB0BB6" w14:textId="77777777" w:rsidR="006D56CE" w:rsidRPr="00331240" w:rsidRDefault="006D56CE" w:rsidP="006D56CE">
            <w:pPr>
              <w:pStyle w:val="Tabletext"/>
              <w:rPr>
                <w:b/>
                <w:lang w:val="en-AU"/>
              </w:rPr>
            </w:pPr>
            <w:r w:rsidRPr="00331240">
              <w:rPr>
                <w:b/>
                <w:lang w:val="en-AU"/>
              </w:rPr>
              <w:t>DBS transition probabilities</w:t>
            </w:r>
          </w:p>
        </w:tc>
        <w:tc>
          <w:tcPr>
            <w:tcW w:w="852" w:type="pct"/>
            <w:tcBorders>
              <w:left w:val="nil"/>
              <w:right w:val="nil"/>
            </w:tcBorders>
            <w:shd w:val="clear" w:color="auto" w:fill="auto"/>
            <w:hideMark/>
          </w:tcPr>
          <w:p w14:paraId="738D2493" w14:textId="77777777" w:rsidR="006D56CE" w:rsidRPr="00331240" w:rsidRDefault="006D56CE" w:rsidP="006D56CE">
            <w:pPr>
              <w:pStyle w:val="Tabletext"/>
              <w:rPr>
                <w:b/>
                <w:lang w:val="en-AU"/>
              </w:rPr>
            </w:pPr>
            <w:r w:rsidRPr="00331240">
              <w:rPr>
                <w:b/>
                <w:lang w:val="en-AU"/>
              </w:rPr>
              <w:t> </w:t>
            </w:r>
          </w:p>
        </w:tc>
        <w:tc>
          <w:tcPr>
            <w:tcW w:w="853" w:type="pct"/>
            <w:tcBorders>
              <w:left w:val="nil"/>
              <w:right w:val="nil"/>
            </w:tcBorders>
            <w:shd w:val="clear" w:color="auto" w:fill="auto"/>
          </w:tcPr>
          <w:p w14:paraId="08C104FB" w14:textId="77F97431" w:rsidR="006D56CE" w:rsidRPr="00331240" w:rsidRDefault="006D56CE" w:rsidP="006D56CE">
            <w:pPr>
              <w:pStyle w:val="Tabletext"/>
              <w:rPr>
                <w:b/>
                <w:lang w:val="en-AU"/>
              </w:rPr>
            </w:pPr>
          </w:p>
        </w:tc>
        <w:tc>
          <w:tcPr>
            <w:tcW w:w="853" w:type="pct"/>
            <w:tcBorders>
              <w:left w:val="nil"/>
              <w:right w:val="nil"/>
            </w:tcBorders>
            <w:shd w:val="clear" w:color="auto" w:fill="auto"/>
          </w:tcPr>
          <w:p w14:paraId="6FE8C21C" w14:textId="37EB65AD" w:rsidR="006D56CE" w:rsidRPr="00331240" w:rsidRDefault="006D56CE" w:rsidP="006D56CE">
            <w:pPr>
              <w:pStyle w:val="Tabletext"/>
              <w:rPr>
                <w:b/>
                <w:lang w:val="en-AU"/>
              </w:rPr>
            </w:pPr>
          </w:p>
        </w:tc>
        <w:tc>
          <w:tcPr>
            <w:tcW w:w="879" w:type="pct"/>
            <w:tcBorders>
              <w:left w:val="nil"/>
            </w:tcBorders>
            <w:shd w:val="clear" w:color="auto" w:fill="auto"/>
          </w:tcPr>
          <w:p w14:paraId="4F6B9D76" w14:textId="5CA86AA6" w:rsidR="006D56CE" w:rsidRPr="00331240" w:rsidRDefault="006D56CE" w:rsidP="006D56CE">
            <w:pPr>
              <w:pStyle w:val="Tabletext"/>
              <w:rPr>
                <w:b/>
                <w:lang w:val="en-AU"/>
              </w:rPr>
            </w:pPr>
          </w:p>
        </w:tc>
      </w:tr>
      <w:tr w:rsidR="002149BD" w:rsidRPr="00331240" w14:paraId="5F558486" w14:textId="77777777" w:rsidTr="008301A1">
        <w:trPr>
          <w:cnfStyle w:val="100000000000" w:firstRow="1" w:lastRow="0" w:firstColumn="0" w:lastColumn="0" w:oddVBand="0" w:evenVBand="0" w:oddHBand="0" w:evenHBand="0" w:firstRowFirstColumn="0" w:firstRowLastColumn="0" w:lastRowFirstColumn="0" w:lastRowLastColumn="0"/>
          <w:trHeight w:val="300"/>
          <w:tblHeader/>
        </w:trPr>
        <w:tc>
          <w:tcPr>
            <w:tcW w:w="1563" w:type="pct"/>
            <w:shd w:val="clear" w:color="auto" w:fill="auto"/>
            <w:hideMark/>
          </w:tcPr>
          <w:p w14:paraId="72857401" w14:textId="77777777" w:rsidR="002149BD" w:rsidRPr="00331240" w:rsidRDefault="002149BD" w:rsidP="002149BD">
            <w:pPr>
              <w:pStyle w:val="Tabletext"/>
              <w:rPr>
                <w:lang w:val="en-AU"/>
              </w:rPr>
            </w:pPr>
            <w:r w:rsidRPr="00331240">
              <w:rPr>
                <w:lang w:val="en-AU"/>
              </w:rPr>
              <w:t>&lt;50% seizure reduction → ≥50% seizure reduction</w:t>
            </w:r>
          </w:p>
        </w:tc>
        <w:tc>
          <w:tcPr>
            <w:tcW w:w="852" w:type="pct"/>
            <w:shd w:val="clear" w:color="auto" w:fill="auto"/>
            <w:hideMark/>
          </w:tcPr>
          <w:p w14:paraId="04C04147" w14:textId="3BC9D686" w:rsidR="002149BD" w:rsidRPr="00331240" w:rsidRDefault="002149BD" w:rsidP="002149BD">
            <w:pPr>
              <w:pStyle w:val="Tabletext"/>
              <w:rPr>
                <w:sz w:val="18"/>
                <w:szCs w:val="20"/>
                <w:lang w:val="en-AU"/>
              </w:rPr>
            </w:pPr>
            <w:r w:rsidRPr="00331240">
              <w:rPr>
                <w:sz w:val="18"/>
                <w:szCs w:val="20"/>
                <w:lang w:val="en-AU"/>
              </w:rPr>
              <w:t>Multiplied by 95%</w:t>
            </w:r>
          </w:p>
        </w:tc>
        <w:tc>
          <w:tcPr>
            <w:tcW w:w="853" w:type="pct"/>
            <w:shd w:val="clear" w:color="auto" w:fill="auto"/>
          </w:tcPr>
          <w:p w14:paraId="5E94FE75" w14:textId="4410431D" w:rsidR="002149BD" w:rsidRPr="00331240" w:rsidRDefault="002149BD" w:rsidP="002149BD">
            <w:pPr>
              <w:pStyle w:val="Tabletext"/>
              <w:rPr>
                <w:lang w:val="en-AU"/>
              </w:rPr>
            </w:pPr>
            <w:r w:rsidRPr="00331240">
              <w:rPr>
                <w:rFonts w:cs="Calibri"/>
                <w:color w:val="000000"/>
                <w:szCs w:val="20"/>
                <w:lang w:val="en-AU"/>
              </w:rPr>
              <w:t>$26,220</w:t>
            </w:r>
          </w:p>
        </w:tc>
        <w:tc>
          <w:tcPr>
            <w:tcW w:w="853" w:type="pct"/>
            <w:shd w:val="clear" w:color="auto" w:fill="auto"/>
          </w:tcPr>
          <w:p w14:paraId="14F2BB27" w14:textId="3EEB7D16" w:rsidR="002149BD" w:rsidRPr="00331240" w:rsidRDefault="002149BD" w:rsidP="002149BD">
            <w:pPr>
              <w:pStyle w:val="Tabletext"/>
              <w:rPr>
                <w:lang w:val="en-AU"/>
              </w:rPr>
            </w:pPr>
            <w:r w:rsidRPr="00331240">
              <w:rPr>
                <w:rFonts w:cs="Calibri"/>
                <w:color w:val="000000"/>
                <w:szCs w:val="20"/>
                <w:lang w:val="en-AU"/>
              </w:rPr>
              <w:t>0.04</w:t>
            </w:r>
          </w:p>
        </w:tc>
        <w:tc>
          <w:tcPr>
            <w:tcW w:w="879" w:type="pct"/>
            <w:shd w:val="clear" w:color="auto" w:fill="auto"/>
          </w:tcPr>
          <w:p w14:paraId="3F02892E" w14:textId="6B2A8EC1" w:rsidR="002149BD" w:rsidRPr="00331240" w:rsidRDefault="002149BD" w:rsidP="002149BD">
            <w:pPr>
              <w:pStyle w:val="Tabletext"/>
              <w:rPr>
                <w:lang w:val="en-AU"/>
              </w:rPr>
            </w:pPr>
            <w:r w:rsidRPr="00331240">
              <w:rPr>
                <w:rFonts w:cs="Calibri"/>
                <w:color w:val="000000"/>
                <w:szCs w:val="20"/>
                <w:lang w:val="en-AU"/>
              </w:rPr>
              <w:t>$587,202</w:t>
            </w:r>
          </w:p>
        </w:tc>
      </w:tr>
      <w:tr w:rsidR="002149BD" w:rsidRPr="00331240" w14:paraId="70F6D36D" w14:textId="77777777" w:rsidTr="008301A1">
        <w:trPr>
          <w:cnfStyle w:val="100000000000" w:firstRow="1" w:lastRow="0" w:firstColumn="0" w:lastColumn="0" w:oddVBand="0" w:evenVBand="0" w:oddHBand="0" w:evenHBand="0" w:firstRowFirstColumn="0" w:firstRowLastColumn="0" w:lastRowFirstColumn="0" w:lastRowLastColumn="0"/>
          <w:trHeight w:val="300"/>
          <w:tblHeader/>
        </w:trPr>
        <w:tc>
          <w:tcPr>
            <w:tcW w:w="1563" w:type="pct"/>
            <w:shd w:val="clear" w:color="auto" w:fill="auto"/>
            <w:hideMark/>
          </w:tcPr>
          <w:p w14:paraId="6EC9E836" w14:textId="77777777" w:rsidR="002149BD" w:rsidRPr="00331240" w:rsidRDefault="002149BD" w:rsidP="002149BD">
            <w:pPr>
              <w:pStyle w:val="Tabletext"/>
              <w:rPr>
                <w:lang w:val="en-AU"/>
              </w:rPr>
            </w:pPr>
            <w:r w:rsidRPr="00331240">
              <w:rPr>
                <w:lang w:val="en-AU"/>
              </w:rPr>
              <w:t> </w:t>
            </w:r>
          </w:p>
        </w:tc>
        <w:tc>
          <w:tcPr>
            <w:tcW w:w="852" w:type="pct"/>
            <w:shd w:val="clear" w:color="auto" w:fill="auto"/>
            <w:hideMark/>
          </w:tcPr>
          <w:p w14:paraId="52DE5029" w14:textId="1552354A" w:rsidR="002149BD" w:rsidRPr="00331240" w:rsidRDefault="002149BD" w:rsidP="002149BD">
            <w:pPr>
              <w:pStyle w:val="Tabletext"/>
              <w:rPr>
                <w:sz w:val="18"/>
                <w:szCs w:val="20"/>
                <w:lang w:val="en-AU"/>
              </w:rPr>
            </w:pPr>
            <w:r w:rsidRPr="00331240">
              <w:rPr>
                <w:sz w:val="18"/>
                <w:szCs w:val="20"/>
                <w:lang w:val="en-AU"/>
              </w:rPr>
              <w:t>Multiplied by 105%</w:t>
            </w:r>
          </w:p>
        </w:tc>
        <w:tc>
          <w:tcPr>
            <w:tcW w:w="853" w:type="pct"/>
            <w:shd w:val="clear" w:color="auto" w:fill="auto"/>
          </w:tcPr>
          <w:p w14:paraId="35B60824" w14:textId="5AB3732E" w:rsidR="002149BD" w:rsidRPr="00331240" w:rsidRDefault="002149BD" w:rsidP="002149BD">
            <w:pPr>
              <w:pStyle w:val="Tabletext"/>
              <w:rPr>
                <w:lang w:val="en-AU"/>
              </w:rPr>
            </w:pPr>
            <w:r w:rsidRPr="00331240">
              <w:rPr>
                <w:rFonts w:cs="Calibri"/>
                <w:color w:val="000000"/>
                <w:szCs w:val="20"/>
                <w:lang w:val="en-AU"/>
              </w:rPr>
              <w:t>$26,127</w:t>
            </w:r>
          </w:p>
        </w:tc>
        <w:tc>
          <w:tcPr>
            <w:tcW w:w="853" w:type="pct"/>
            <w:shd w:val="clear" w:color="auto" w:fill="auto"/>
          </w:tcPr>
          <w:p w14:paraId="23631F5A" w14:textId="3156894C" w:rsidR="002149BD" w:rsidRPr="00331240" w:rsidRDefault="002149BD" w:rsidP="002149BD">
            <w:pPr>
              <w:pStyle w:val="Tabletext"/>
              <w:rPr>
                <w:lang w:val="en-AU"/>
              </w:rPr>
            </w:pPr>
            <w:r w:rsidRPr="00331240">
              <w:rPr>
                <w:rFonts w:cs="Calibri"/>
                <w:color w:val="000000"/>
                <w:szCs w:val="20"/>
                <w:lang w:val="en-AU"/>
              </w:rPr>
              <w:t>0.09</w:t>
            </w:r>
          </w:p>
        </w:tc>
        <w:tc>
          <w:tcPr>
            <w:tcW w:w="879" w:type="pct"/>
            <w:shd w:val="clear" w:color="auto" w:fill="auto"/>
          </w:tcPr>
          <w:p w14:paraId="2CB6841B" w14:textId="5FDDFD6D" w:rsidR="002149BD" w:rsidRPr="00331240" w:rsidRDefault="002149BD" w:rsidP="002149BD">
            <w:pPr>
              <w:pStyle w:val="Tabletext"/>
              <w:rPr>
                <w:lang w:val="en-AU"/>
              </w:rPr>
            </w:pPr>
            <w:r w:rsidRPr="00331240">
              <w:rPr>
                <w:rFonts w:cs="Calibri"/>
                <w:color w:val="000000"/>
                <w:szCs w:val="20"/>
                <w:lang w:val="en-AU"/>
              </w:rPr>
              <w:t>$284,491</w:t>
            </w:r>
          </w:p>
        </w:tc>
      </w:tr>
      <w:tr w:rsidR="002149BD" w:rsidRPr="00331240" w14:paraId="013E8470" w14:textId="77777777" w:rsidTr="008301A1">
        <w:trPr>
          <w:cnfStyle w:val="100000000000" w:firstRow="1" w:lastRow="0" w:firstColumn="0" w:lastColumn="0" w:oddVBand="0" w:evenVBand="0" w:oddHBand="0" w:evenHBand="0" w:firstRowFirstColumn="0" w:firstRowLastColumn="0" w:lastRowFirstColumn="0" w:lastRowLastColumn="0"/>
          <w:trHeight w:val="300"/>
          <w:tblHeader/>
        </w:trPr>
        <w:tc>
          <w:tcPr>
            <w:tcW w:w="1563" w:type="pct"/>
            <w:shd w:val="clear" w:color="auto" w:fill="auto"/>
            <w:hideMark/>
          </w:tcPr>
          <w:p w14:paraId="29C85855" w14:textId="77777777" w:rsidR="002149BD" w:rsidRPr="00331240" w:rsidRDefault="002149BD" w:rsidP="002149BD">
            <w:pPr>
              <w:pStyle w:val="Tabletext"/>
              <w:rPr>
                <w:lang w:val="en-AU"/>
              </w:rPr>
            </w:pPr>
            <w:r w:rsidRPr="00331240">
              <w:rPr>
                <w:lang w:val="en-AU"/>
              </w:rPr>
              <w:t>VNS transition probabilities</w:t>
            </w:r>
          </w:p>
        </w:tc>
        <w:tc>
          <w:tcPr>
            <w:tcW w:w="852" w:type="pct"/>
            <w:shd w:val="clear" w:color="auto" w:fill="auto"/>
            <w:hideMark/>
          </w:tcPr>
          <w:p w14:paraId="05F178B1" w14:textId="77777777" w:rsidR="002149BD" w:rsidRPr="00331240" w:rsidRDefault="002149BD" w:rsidP="002149BD">
            <w:pPr>
              <w:pStyle w:val="Tabletext"/>
              <w:rPr>
                <w:lang w:val="en-AU"/>
              </w:rPr>
            </w:pPr>
            <w:r w:rsidRPr="00331240">
              <w:rPr>
                <w:lang w:val="en-AU"/>
              </w:rPr>
              <w:t> </w:t>
            </w:r>
          </w:p>
        </w:tc>
        <w:tc>
          <w:tcPr>
            <w:tcW w:w="853" w:type="pct"/>
            <w:shd w:val="clear" w:color="auto" w:fill="auto"/>
          </w:tcPr>
          <w:p w14:paraId="1BAFE08A" w14:textId="7AE5B22B" w:rsidR="002149BD" w:rsidRPr="00331240" w:rsidRDefault="002149BD" w:rsidP="002149BD">
            <w:pPr>
              <w:pStyle w:val="Tabletext"/>
              <w:rPr>
                <w:lang w:val="en-AU"/>
              </w:rPr>
            </w:pPr>
            <w:r w:rsidRPr="00331240">
              <w:rPr>
                <w:rFonts w:cs="Calibri"/>
                <w:color w:val="000000"/>
                <w:szCs w:val="20"/>
                <w:lang w:val="en-AU"/>
              </w:rPr>
              <w:t> </w:t>
            </w:r>
          </w:p>
        </w:tc>
        <w:tc>
          <w:tcPr>
            <w:tcW w:w="853" w:type="pct"/>
            <w:shd w:val="clear" w:color="auto" w:fill="auto"/>
          </w:tcPr>
          <w:p w14:paraId="4545D77D" w14:textId="58F10CD6" w:rsidR="002149BD" w:rsidRPr="00331240" w:rsidRDefault="002149BD" w:rsidP="002149BD">
            <w:pPr>
              <w:pStyle w:val="Tabletext"/>
              <w:rPr>
                <w:lang w:val="en-AU"/>
              </w:rPr>
            </w:pPr>
            <w:r w:rsidRPr="00331240">
              <w:rPr>
                <w:rFonts w:cs="Calibri"/>
                <w:color w:val="000000"/>
                <w:szCs w:val="20"/>
                <w:lang w:val="en-AU"/>
              </w:rPr>
              <w:t> </w:t>
            </w:r>
          </w:p>
        </w:tc>
        <w:tc>
          <w:tcPr>
            <w:tcW w:w="879" w:type="pct"/>
            <w:shd w:val="clear" w:color="auto" w:fill="auto"/>
          </w:tcPr>
          <w:p w14:paraId="2368A995" w14:textId="32865944" w:rsidR="002149BD" w:rsidRPr="00331240" w:rsidRDefault="002149BD" w:rsidP="002149BD">
            <w:pPr>
              <w:pStyle w:val="Tabletext"/>
              <w:rPr>
                <w:lang w:val="en-AU"/>
              </w:rPr>
            </w:pPr>
            <w:r w:rsidRPr="00331240">
              <w:rPr>
                <w:rFonts w:cs="Calibri"/>
                <w:color w:val="000000"/>
                <w:szCs w:val="20"/>
                <w:lang w:val="en-AU"/>
              </w:rPr>
              <w:t> </w:t>
            </w:r>
          </w:p>
        </w:tc>
      </w:tr>
      <w:tr w:rsidR="002149BD" w:rsidRPr="00331240" w14:paraId="3E59B46B" w14:textId="77777777" w:rsidTr="008301A1">
        <w:trPr>
          <w:cnfStyle w:val="100000000000" w:firstRow="1" w:lastRow="0" w:firstColumn="0" w:lastColumn="0" w:oddVBand="0" w:evenVBand="0" w:oddHBand="0" w:evenHBand="0" w:firstRowFirstColumn="0" w:firstRowLastColumn="0" w:lastRowFirstColumn="0" w:lastRowLastColumn="0"/>
          <w:trHeight w:val="300"/>
          <w:tblHeader/>
        </w:trPr>
        <w:tc>
          <w:tcPr>
            <w:tcW w:w="1563" w:type="pct"/>
            <w:shd w:val="clear" w:color="auto" w:fill="auto"/>
            <w:hideMark/>
          </w:tcPr>
          <w:p w14:paraId="566B5EDB" w14:textId="77777777" w:rsidR="002149BD" w:rsidRPr="00331240" w:rsidRDefault="002149BD" w:rsidP="002149BD">
            <w:pPr>
              <w:pStyle w:val="Tabletext"/>
              <w:rPr>
                <w:lang w:val="en-AU"/>
              </w:rPr>
            </w:pPr>
            <w:r w:rsidRPr="00331240">
              <w:rPr>
                <w:lang w:val="en-AU"/>
              </w:rPr>
              <w:t>&lt;50% seizure reduction → ≥50% seizure reduction</w:t>
            </w:r>
          </w:p>
        </w:tc>
        <w:tc>
          <w:tcPr>
            <w:tcW w:w="852" w:type="pct"/>
            <w:shd w:val="clear" w:color="auto" w:fill="auto"/>
            <w:hideMark/>
          </w:tcPr>
          <w:p w14:paraId="7022CACD" w14:textId="501C93DD" w:rsidR="002149BD" w:rsidRPr="00331240" w:rsidRDefault="002149BD" w:rsidP="002149BD">
            <w:pPr>
              <w:pStyle w:val="Tabletext"/>
              <w:rPr>
                <w:lang w:val="en-AU"/>
              </w:rPr>
            </w:pPr>
            <w:r w:rsidRPr="00331240">
              <w:rPr>
                <w:sz w:val="18"/>
                <w:szCs w:val="20"/>
                <w:lang w:val="en-AU"/>
              </w:rPr>
              <w:t>Multiplied by 95%</w:t>
            </w:r>
          </w:p>
        </w:tc>
        <w:tc>
          <w:tcPr>
            <w:tcW w:w="853" w:type="pct"/>
            <w:shd w:val="clear" w:color="auto" w:fill="auto"/>
          </w:tcPr>
          <w:p w14:paraId="01CB1E93" w14:textId="671B5247" w:rsidR="002149BD" w:rsidRPr="00331240" w:rsidRDefault="002149BD" w:rsidP="002149BD">
            <w:pPr>
              <w:pStyle w:val="Tabletext"/>
              <w:rPr>
                <w:lang w:val="en-AU"/>
              </w:rPr>
            </w:pPr>
            <w:r w:rsidRPr="00331240">
              <w:rPr>
                <w:rFonts w:cs="Calibri"/>
                <w:color w:val="000000"/>
                <w:szCs w:val="20"/>
                <w:lang w:val="en-AU"/>
              </w:rPr>
              <w:t>$26,138</w:t>
            </w:r>
          </w:p>
        </w:tc>
        <w:tc>
          <w:tcPr>
            <w:tcW w:w="853" w:type="pct"/>
            <w:shd w:val="clear" w:color="auto" w:fill="auto"/>
          </w:tcPr>
          <w:p w14:paraId="6860A9DE" w14:textId="1E306010" w:rsidR="002149BD" w:rsidRPr="00331240" w:rsidRDefault="002149BD" w:rsidP="002149BD">
            <w:pPr>
              <w:pStyle w:val="Tabletext"/>
              <w:rPr>
                <w:lang w:val="en-AU"/>
              </w:rPr>
            </w:pPr>
            <w:r w:rsidRPr="00331240">
              <w:rPr>
                <w:rFonts w:cs="Calibri"/>
                <w:color w:val="000000"/>
                <w:szCs w:val="20"/>
                <w:lang w:val="en-AU"/>
              </w:rPr>
              <w:t>0.09</w:t>
            </w:r>
          </w:p>
        </w:tc>
        <w:tc>
          <w:tcPr>
            <w:tcW w:w="879" w:type="pct"/>
            <w:shd w:val="clear" w:color="auto" w:fill="auto"/>
          </w:tcPr>
          <w:p w14:paraId="5F6199E4" w14:textId="40E1F95D" w:rsidR="002149BD" w:rsidRPr="00331240" w:rsidRDefault="002149BD" w:rsidP="002149BD">
            <w:pPr>
              <w:pStyle w:val="Tabletext"/>
              <w:rPr>
                <w:lang w:val="en-AU"/>
              </w:rPr>
            </w:pPr>
            <w:r w:rsidRPr="00331240">
              <w:rPr>
                <w:rFonts w:cs="Calibri"/>
                <w:color w:val="000000"/>
                <w:szCs w:val="20"/>
                <w:lang w:val="en-AU"/>
              </w:rPr>
              <w:t>$303,025</w:t>
            </w:r>
          </w:p>
        </w:tc>
      </w:tr>
      <w:tr w:rsidR="002149BD" w:rsidRPr="00331240" w14:paraId="4D34F116" w14:textId="77777777" w:rsidTr="008301A1">
        <w:trPr>
          <w:cnfStyle w:val="100000000000" w:firstRow="1" w:lastRow="0" w:firstColumn="0" w:lastColumn="0" w:oddVBand="0" w:evenVBand="0" w:oddHBand="0" w:evenHBand="0" w:firstRowFirstColumn="0" w:firstRowLastColumn="0" w:lastRowFirstColumn="0" w:lastRowLastColumn="0"/>
          <w:trHeight w:val="300"/>
          <w:tblHeader/>
        </w:trPr>
        <w:tc>
          <w:tcPr>
            <w:tcW w:w="1563" w:type="pct"/>
            <w:shd w:val="clear" w:color="auto" w:fill="auto"/>
            <w:hideMark/>
          </w:tcPr>
          <w:p w14:paraId="126B38A0" w14:textId="77777777" w:rsidR="002149BD" w:rsidRPr="00331240" w:rsidRDefault="002149BD" w:rsidP="002149BD">
            <w:pPr>
              <w:pStyle w:val="Tabletext"/>
              <w:rPr>
                <w:lang w:val="en-AU"/>
              </w:rPr>
            </w:pPr>
            <w:r w:rsidRPr="00331240">
              <w:rPr>
                <w:lang w:val="en-AU"/>
              </w:rPr>
              <w:t> </w:t>
            </w:r>
          </w:p>
        </w:tc>
        <w:tc>
          <w:tcPr>
            <w:tcW w:w="852" w:type="pct"/>
            <w:shd w:val="clear" w:color="auto" w:fill="auto"/>
            <w:hideMark/>
          </w:tcPr>
          <w:p w14:paraId="36681E1A" w14:textId="79E71C28" w:rsidR="002149BD" w:rsidRPr="00331240" w:rsidRDefault="002149BD" w:rsidP="002149BD">
            <w:pPr>
              <w:pStyle w:val="Tabletext"/>
              <w:rPr>
                <w:lang w:val="en-AU"/>
              </w:rPr>
            </w:pPr>
            <w:r w:rsidRPr="00331240">
              <w:rPr>
                <w:sz w:val="18"/>
                <w:szCs w:val="20"/>
                <w:lang w:val="en-AU"/>
              </w:rPr>
              <w:t>Multiplied by 105%</w:t>
            </w:r>
          </w:p>
        </w:tc>
        <w:tc>
          <w:tcPr>
            <w:tcW w:w="853" w:type="pct"/>
            <w:shd w:val="clear" w:color="auto" w:fill="auto"/>
          </w:tcPr>
          <w:p w14:paraId="5357AC54" w14:textId="38283D6D" w:rsidR="002149BD" w:rsidRPr="00331240" w:rsidRDefault="002149BD" w:rsidP="002149BD">
            <w:pPr>
              <w:pStyle w:val="Tabletext"/>
              <w:rPr>
                <w:lang w:val="en-AU"/>
              </w:rPr>
            </w:pPr>
            <w:r w:rsidRPr="00331240">
              <w:rPr>
                <w:rFonts w:cs="Calibri"/>
                <w:color w:val="000000"/>
                <w:szCs w:val="20"/>
                <w:lang w:val="en-AU"/>
              </w:rPr>
              <w:t>$26,207</w:t>
            </w:r>
          </w:p>
        </w:tc>
        <w:tc>
          <w:tcPr>
            <w:tcW w:w="853" w:type="pct"/>
            <w:shd w:val="clear" w:color="auto" w:fill="auto"/>
          </w:tcPr>
          <w:p w14:paraId="657AE708" w14:textId="7AC953DD" w:rsidR="002149BD" w:rsidRPr="00331240" w:rsidRDefault="002149BD" w:rsidP="002149BD">
            <w:pPr>
              <w:pStyle w:val="Tabletext"/>
              <w:rPr>
                <w:lang w:val="en-AU"/>
              </w:rPr>
            </w:pPr>
            <w:r w:rsidRPr="00331240">
              <w:rPr>
                <w:rFonts w:cs="Calibri"/>
                <w:color w:val="000000"/>
                <w:szCs w:val="20"/>
                <w:lang w:val="en-AU"/>
              </w:rPr>
              <w:t>0.05</w:t>
            </w:r>
          </w:p>
        </w:tc>
        <w:tc>
          <w:tcPr>
            <w:tcW w:w="879" w:type="pct"/>
            <w:shd w:val="clear" w:color="auto" w:fill="auto"/>
          </w:tcPr>
          <w:p w14:paraId="36FE19EA" w14:textId="18A33A40" w:rsidR="002149BD" w:rsidRPr="00331240" w:rsidRDefault="002149BD" w:rsidP="002149BD">
            <w:pPr>
              <w:pStyle w:val="Tabletext"/>
              <w:rPr>
                <w:lang w:val="en-AU"/>
              </w:rPr>
            </w:pPr>
            <w:r w:rsidRPr="00331240">
              <w:rPr>
                <w:rFonts w:cs="Calibri"/>
                <w:color w:val="000000"/>
                <w:szCs w:val="20"/>
                <w:lang w:val="en-AU"/>
              </w:rPr>
              <w:t>$509,518</w:t>
            </w:r>
          </w:p>
        </w:tc>
      </w:tr>
    </w:tbl>
    <w:bookmarkEnd w:id="24"/>
    <w:p w14:paraId="2D96F857" w14:textId="12619E57" w:rsidR="008A4D3B" w:rsidRPr="00331240" w:rsidRDefault="004636A9" w:rsidP="000E6016">
      <w:pPr>
        <w:pStyle w:val="Notes-TableFigure"/>
        <w:rPr>
          <w:lang w:val="en-AU"/>
        </w:rPr>
      </w:pPr>
      <w:r w:rsidRPr="00331240">
        <w:rPr>
          <w:b/>
          <w:bCs/>
          <w:lang w:val="en-AU"/>
        </w:rPr>
        <w:t>Abbreviations</w:t>
      </w:r>
      <w:r w:rsidRPr="00331240">
        <w:rPr>
          <w:lang w:val="en-AU"/>
        </w:rPr>
        <w:t>: DBS</w:t>
      </w:r>
      <w:r w:rsidR="00FD4402" w:rsidRPr="00331240">
        <w:rPr>
          <w:lang w:val="en-AU"/>
        </w:rPr>
        <w:t xml:space="preserve"> </w:t>
      </w:r>
      <w:r w:rsidRPr="00331240">
        <w:rPr>
          <w:lang w:val="en-AU"/>
        </w:rPr>
        <w:t>= deep brain stimulation</w:t>
      </w:r>
      <w:r w:rsidR="00A339C3" w:rsidRPr="00331240">
        <w:rPr>
          <w:lang w:val="en-AU"/>
        </w:rPr>
        <w:t xml:space="preserve">; </w:t>
      </w:r>
      <w:r w:rsidRPr="00331240">
        <w:rPr>
          <w:lang w:val="en-AU"/>
        </w:rPr>
        <w:t>VNS</w:t>
      </w:r>
      <w:r w:rsidR="00FD4402" w:rsidRPr="00331240">
        <w:rPr>
          <w:lang w:val="en-AU"/>
        </w:rPr>
        <w:t xml:space="preserve"> </w:t>
      </w:r>
      <w:r w:rsidRPr="00331240">
        <w:rPr>
          <w:lang w:val="en-AU"/>
        </w:rPr>
        <w:t>= vagus nerve stimulation</w:t>
      </w:r>
      <w:r w:rsidR="00A339C3" w:rsidRPr="00331240">
        <w:rPr>
          <w:lang w:val="en-AU"/>
        </w:rPr>
        <w:t>;</w:t>
      </w:r>
      <w:r w:rsidRPr="00331240">
        <w:rPr>
          <w:lang w:val="en-AU"/>
        </w:rPr>
        <w:t xml:space="preserve"> IC</w:t>
      </w:r>
      <w:r w:rsidR="0064482C" w:rsidRPr="00331240">
        <w:rPr>
          <w:lang w:val="en-AU"/>
        </w:rPr>
        <w:t>U</w:t>
      </w:r>
      <w:r w:rsidRPr="00331240">
        <w:rPr>
          <w:lang w:val="en-AU"/>
        </w:rPr>
        <w:t>R</w:t>
      </w:r>
      <w:r w:rsidR="00A339C3" w:rsidRPr="00331240">
        <w:rPr>
          <w:lang w:val="en-AU"/>
        </w:rPr>
        <w:t xml:space="preserve"> = </w:t>
      </w:r>
      <w:r w:rsidRPr="00331240">
        <w:rPr>
          <w:lang w:val="en-AU"/>
        </w:rPr>
        <w:t>incremental cost-</w:t>
      </w:r>
      <w:r w:rsidR="0064482C" w:rsidRPr="00331240">
        <w:rPr>
          <w:lang w:val="en-AU"/>
        </w:rPr>
        <w:t>utility</w:t>
      </w:r>
      <w:r w:rsidRPr="00331240">
        <w:rPr>
          <w:lang w:val="en-AU"/>
        </w:rPr>
        <w:t xml:space="preserve"> ratio</w:t>
      </w:r>
    </w:p>
    <w:p w14:paraId="02B7B627" w14:textId="2F08158C" w:rsidR="00C668EF" w:rsidRPr="00331240" w:rsidRDefault="00AA7C6B" w:rsidP="000E6016">
      <w:r w:rsidRPr="00331240">
        <w:t xml:space="preserve">Scenarios are included in </w:t>
      </w:r>
      <w:r w:rsidRPr="00331240">
        <w:fldChar w:fldCharType="begin"/>
      </w:r>
      <w:r w:rsidRPr="00331240">
        <w:instrText xml:space="preserve"> REF _Ref117792419 \h  \* MERGEFORMAT </w:instrText>
      </w:r>
      <w:r w:rsidRPr="00331240">
        <w:fldChar w:fldCharType="separate"/>
      </w:r>
      <w:r w:rsidR="00D4512D" w:rsidRPr="00331240">
        <w:t xml:space="preserve">Table </w:t>
      </w:r>
      <w:r w:rsidR="00D4512D">
        <w:t>16</w:t>
      </w:r>
      <w:r w:rsidRPr="00331240">
        <w:fldChar w:fldCharType="end"/>
      </w:r>
      <w:r w:rsidRPr="00331240">
        <w:t xml:space="preserve"> where VNS </w:t>
      </w:r>
      <w:r w:rsidR="002149BD" w:rsidRPr="00331240">
        <w:t xml:space="preserve">and OMT </w:t>
      </w:r>
      <w:r w:rsidRPr="00331240">
        <w:t>arm transitions are based on the results of the E03 and E05 trials and Morris</w:t>
      </w:r>
      <w:r w:rsidR="00F44869">
        <w:t xml:space="preserve"> trial</w:t>
      </w:r>
      <w:r w:rsidRPr="00331240">
        <w:t xml:space="preserve">, the comparator arm uses the </w:t>
      </w:r>
      <w:r w:rsidR="00A676FE" w:rsidRPr="00331240">
        <w:t>OMT</w:t>
      </w:r>
      <w:r w:rsidRPr="00331240">
        <w:t xml:space="preserve"> </w:t>
      </w:r>
      <w:r w:rsidR="006E3EA4" w:rsidRPr="00331240">
        <w:t xml:space="preserve">alone </w:t>
      </w:r>
      <w:r w:rsidRPr="00331240">
        <w:t>arm of Rvylin</w:t>
      </w:r>
      <w:r w:rsidR="00CE5505">
        <w:t xml:space="preserve"> </w:t>
      </w:r>
      <w:r w:rsidR="00F44869">
        <w:t>trial</w:t>
      </w:r>
      <w:r w:rsidRPr="00331240">
        <w:t xml:space="preserve"> and waning is applied to the DBS and VNS arms. There </w:t>
      </w:r>
      <w:r w:rsidR="00FD4402" w:rsidRPr="00331240">
        <w:t>are</w:t>
      </w:r>
      <w:r w:rsidRPr="00331240">
        <w:t xml:space="preserve"> no long-term data from trials to support </w:t>
      </w:r>
      <w:r w:rsidR="00AB6042" w:rsidRPr="00331240">
        <w:t>waning</w:t>
      </w:r>
      <w:r w:rsidRPr="00331240">
        <w:t xml:space="preserve"> assumptions</w:t>
      </w:r>
      <w:r w:rsidR="00FD4402" w:rsidRPr="00331240">
        <w:t>;</w:t>
      </w:r>
      <w:r w:rsidRPr="00331240">
        <w:t xml:space="preserve"> however, the inclusion of waning has an impact on the ICUR. </w:t>
      </w:r>
      <w:r w:rsidR="009F7375" w:rsidRPr="00331240">
        <w:t>The inclusion of the waning assumption and use of E03 and E05 trials and Morris data have the largest impact on the calculated ICUR.</w:t>
      </w:r>
    </w:p>
    <w:p w14:paraId="79E99E72" w14:textId="55BDEE67" w:rsidR="00AA7C6B" w:rsidRPr="00331240" w:rsidRDefault="00AA7C6B" w:rsidP="00B94945">
      <w:pPr>
        <w:pStyle w:val="Tableheader"/>
      </w:pPr>
      <w:bookmarkStart w:id="25" w:name="_Ref117792419"/>
      <w:r w:rsidRPr="00331240">
        <w:t xml:space="preserve">Table </w:t>
      </w:r>
      <w:r w:rsidRPr="00331240">
        <w:fldChar w:fldCharType="begin"/>
      </w:r>
      <w:r w:rsidRPr="00331240">
        <w:instrText>SEQ Table \* ARABIC</w:instrText>
      </w:r>
      <w:r w:rsidRPr="00331240">
        <w:fldChar w:fldCharType="separate"/>
      </w:r>
      <w:r w:rsidR="00D4512D">
        <w:rPr>
          <w:noProof/>
        </w:rPr>
        <w:t>16</w:t>
      </w:r>
      <w:r w:rsidRPr="00331240">
        <w:fldChar w:fldCharType="end"/>
      </w:r>
      <w:bookmarkEnd w:id="25"/>
      <w:r w:rsidR="008F3991" w:rsidRPr="00331240">
        <w:tab/>
      </w:r>
      <w:r w:rsidRPr="00331240">
        <w:t>Scenario sensitivity analyses</w:t>
      </w:r>
    </w:p>
    <w:tbl>
      <w:tblPr>
        <w:tblStyle w:val="OPTUMTableNormal"/>
        <w:tblW w:w="5000" w:type="pct"/>
        <w:tblLook w:val="04A0" w:firstRow="1" w:lastRow="0" w:firstColumn="1" w:lastColumn="0" w:noHBand="0" w:noVBand="1"/>
      </w:tblPr>
      <w:tblGrid>
        <w:gridCol w:w="3257"/>
        <w:gridCol w:w="1134"/>
        <w:gridCol w:w="4625"/>
      </w:tblGrid>
      <w:tr w:rsidR="00FB65BD" w:rsidRPr="00331240" w14:paraId="5D843567" w14:textId="77777777" w:rsidTr="008301A1">
        <w:trPr>
          <w:cnfStyle w:val="100000000000" w:firstRow="1" w:lastRow="0" w:firstColumn="0" w:lastColumn="0" w:oddVBand="0" w:evenVBand="0" w:oddHBand="0" w:evenHBand="0" w:firstRowFirstColumn="0" w:firstRowLastColumn="0" w:lastRowFirstColumn="0" w:lastRowLastColumn="0"/>
          <w:trHeight w:val="300"/>
          <w:tblHeader/>
        </w:trPr>
        <w:tc>
          <w:tcPr>
            <w:tcW w:w="1806" w:type="pct"/>
            <w:hideMark/>
          </w:tcPr>
          <w:p w14:paraId="02E69501" w14:textId="77777777" w:rsidR="00290917" w:rsidRPr="00331240" w:rsidRDefault="00290917" w:rsidP="007774E0">
            <w:pPr>
              <w:pStyle w:val="Tabletext"/>
              <w:rPr>
                <w:b/>
                <w:bCs/>
                <w:lang w:val="en-AU"/>
              </w:rPr>
            </w:pPr>
            <w:r w:rsidRPr="00331240">
              <w:rPr>
                <w:b/>
                <w:bCs/>
                <w:lang w:val="en-AU"/>
              </w:rPr>
              <w:t>Sensitivity analyses</w:t>
            </w:r>
          </w:p>
        </w:tc>
        <w:tc>
          <w:tcPr>
            <w:tcW w:w="629" w:type="pct"/>
            <w:hideMark/>
          </w:tcPr>
          <w:p w14:paraId="62EEEBDA" w14:textId="77777777" w:rsidR="00290917" w:rsidRPr="00331240" w:rsidRDefault="00290917" w:rsidP="007774E0">
            <w:pPr>
              <w:pStyle w:val="Tabletext"/>
              <w:rPr>
                <w:b/>
                <w:bCs/>
                <w:lang w:val="en-AU"/>
              </w:rPr>
            </w:pPr>
            <w:r w:rsidRPr="00331240">
              <w:rPr>
                <w:b/>
                <w:bCs/>
                <w:lang w:val="en-AU"/>
              </w:rPr>
              <w:t>ICUR</w:t>
            </w:r>
          </w:p>
        </w:tc>
        <w:tc>
          <w:tcPr>
            <w:tcW w:w="2565" w:type="pct"/>
            <w:hideMark/>
          </w:tcPr>
          <w:p w14:paraId="02DAF5A6" w14:textId="77777777" w:rsidR="00290917" w:rsidRPr="00331240" w:rsidRDefault="00290917" w:rsidP="007774E0">
            <w:pPr>
              <w:pStyle w:val="Tabletext"/>
              <w:rPr>
                <w:b/>
                <w:bCs/>
                <w:lang w:val="en-AU"/>
              </w:rPr>
            </w:pPr>
            <w:r w:rsidRPr="00331240">
              <w:rPr>
                <w:b/>
                <w:bCs/>
                <w:lang w:val="en-AU"/>
              </w:rPr>
              <w:t>Comments</w:t>
            </w:r>
          </w:p>
        </w:tc>
      </w:tr>
      <w:tr w:rsidR="00FB65BD" w:rsidRPr="00331240" w14:paraId="65D97BA5" w14:textId="77777777" w:rsidTr="008301A1">
        <w:trPr>
          <w:cnfStyle w:val="100000000000" w:firstRow="1" w:lastRow="0" w:firstColumn="0" w:lastColumn="0" w:oddVBand="0" w:evenVBand="0" w:oddHBand="0" w:evenHBand="0" w:firstRowFirstColumn="0" w:firstRowLastColumn="0" w:lastRowFirstColumn="0" w:lastRowLastColumn="0"/>
          <w:trHeight w:val="285"/>
          <w:tblHeader/>
        </w:trPr>
        <w:tc>
          <w:tcPr>
            <w:tcW w:w="1806" w:type="pct"/>
            <w:hideMark/>
          </w:tcPr>
          <w:p w14:paraId="3BD8E98C" w14:textId="77777777" w:rsidR="00290917" w:rsidRPr="00331240" w:rsidRDefault="00290917" w:rsidP="007774E0">
            <w:pPr>
              <w:pStyle w:val="Tabletext"/>
              <w:rPr>
                <w:b/>
                <w:bCs/>
                <w:lang w:val="en-AU"/>
              </w:rPr>
            </w:pPr>
            <w:r w:rsidRPr="00331240">
              <w:rPr>
                <w:b/>
                <w:bCs/>
                <w:lang w:val="en-AU"/>
              </w:rPr>
              <w:t>7-year analysis</w:t>
            </w:r>
          </w:p>
        </w:tc>
        <w:tc>
          <w:tcPr>
            <w:tcW w:w="629" w:type="pct"/>
          </w:tcPr>
          <w:p w14:paraId="0B846ADE" w14:textId="77777777" w:rsidR="00290917" w:rsidRPr="00331240" w:rsidRDefault="00290917" w:rsidP="007774E0">
            <w:pPr>
              <w:pStyle w:val="Tabletext"/>
              <w:rPr>
                <w:b/>
                <w:bCs/>
                <w:lang w:val="en-AU"/>
              </w:rPr>
            </w:pPr>
            <w:r w:rsidRPr="00331240">
              <w:rPr>
                <w:b/>
                <w:bCs/>
                <w:lang w:val="en-AU"/>
              </w:rPr>
              <w:t>$381,796</w:t>
            </w:r>
          </w:p>
        </w:tc>
        <w:tc>
          <w:tcPr>
            <w:tcW w:w="2565" w:type="pct"/>
            <w:hideMark/>
          </w:tcPr>
          <w:p w14:paraId="7204734E" w14:textId="77777777" w:rsidR="00290917" w:rsidRPr="00331240" w:rsidRDefault="00290917" w:rsidP="007774E0">
            <w:pPr>
              <w:pStyle w:val="Tabletext"/>
              <w:rPr>
                <w:b/>
                <w:bCs/>
                <w:lang w:val="en-AU"/>
              </w:rPr>
            </w:pPr>
            <w:r w:rsidRPr="00331240">
              <w:rPr>
                <w:b/>
                <w:bCs/>
                <w:lang w:val="en-AU"/>
              </w:rPr>
              <w:t>Results for base model 7-year projection</w:t>
            </w:r>
          </w:p>
        </w:tc>
      </w:tr>
      <w:tr w:rsidR="00FB65BD" w:rsidRPr="00331240" w14:paraId="19C0140E" w14:textId="77777777" w:rsidTr="008301A1">
        <w:trPr>
          <w:cnfStyle w:val="100000000000" w:firstRow="1" w:lastRow="0" w:firstColumn="0" w:lastColumn="0" w:oddVBand="0" w:evenVBand="0" w:oddHBand="0" w:evenHBand="0" w:firstRowFirstColumn="0" w:firstRowLastColumn="0" w:lastRowFirstColumn="0" w:lastRowLastColumn="0"/>
          <w:trHeight w:val="510"/>
          <w:tblHeader/>
        </w:trPr>
        <w:tc>
          <w:tcPr>
            <w:tcW w:w="1806" w:type="pct"/>
          </w:tcPr>
          <w:p w14:paraId="345A6C06" w14:textId="77777777" w:rsidR="00290917" w:rsidRPr="00331240" w:rsidRDefault="00290917" w:rsidP="007774E0">
            <w:pPr>
              <w:pStyle w:val="Tabletext"/>
              <w:rPr>
                <w:lang w:val="en-AU"/>
              </w:rPr>
            </w:pPr>
            <w:r w:rsidRPr="00331240">
              <w:rPr>
                <w:lang w:val="en-AU"/>
              </w:rPr>
              <w:t>E03 and E05 trials and Morris data used for VNS arm</w:t>
            </w:r>
          </w:p>
        </w:tc>
        <w:tc>
          <w:tcPr>
            <w:tcW w:w="629" w:type="pct"/>
          </w:tcPr>
          <w:p w14:paraId="0BEEFBA6" w14:textId="77777777" w:rsidR="00290917" w:rsidRPr="00331240" w:rsidRDefault="00290917" w:rsidP="007774E0">
            <w:pPr>
              <w:pStyle w:val="Tabletext"/>
              <w:rPr>
                <w:lang w:val="en-AU"/>
              </w:rPr>
            </w:pPr>
            <w:r w:rsidRPr="00331240">
              <w:rPr>
                <w:lang w:val="en-AU"/>
              </w:rPr>
              <w:t>$168,652</w:t>
            </w:r>
          </w:p>
        </w:tc>
        <w:tc>
          <w:tcPr>
            <w:tcW w:w="2565" w:type="pct"/>
          </w:tcPr>
          <w:p w14:paraId="6A38BE22" w14:textId="77777777" w:rsidR="00290917" w:rsidRPr="00331240" w:rsidRDefault="00290917" w:rsidP="007774E0">
            <w:pPr>
              <w:pStyle w:val="Tabletext"/>
              <w:rPr>
                <w:lang w:val="en-AU"/>
              </w:rPr>
            </w:pPr>
            <w:r w:rsidRPr="00331240">
              <w:rPr>
                <w:lang w:val="en-AU"/>
              </w:rPr>
              <w:t>The proportions responding at less than 12 months in the E03 and E05 trials are similar to Rvylin. The Morris study reported lower proportions of longer-term responders compared to Englot. The choice of long-term study has a large impact on results.</w:t>
            </w:r>
          </w:p>
        </w:tc>
      </w:tr>
      <w:tr w:rsidR="00FB65BD" w:rsidRPr="00331240" w14:paraId="28633F8E" w14:textId="77777777" w:rsidTr="008301A1">
        <w:trPr>
          <w:cnfStyle w:val="100000000000" w:firstRow="1" w:lastRow="0" w:firstColumn="0" w:lastColumn="0" w:oddVBand="0" w:evenVBand="0" w:oddHBand="0" w:evenHBand="0" w:firstRowFirstColumn="0" w:firstRowLastColumn="0" w:lastRowFirstColumn="0" w:lastRowLastColumn="0"/>
          <w:trHeight w:val="510"/>
          <w:tblHeader/>
        </w:trPr>
        <w:tc>
          <w:tcPr>
            <w:tcW w:w="1806" w:type="pct"/>
          </w:tcPr>
          <w:p w14:paraId="2A5D7EB0" w14:textId="1D5134D8" w:rsidR="00290917" w:rsidRPr="00331240" w:rsidRDefault="00290917" w:rsidP="007774E0">
            <w:pPr>
              <w:pStyle w:val="Tabletext"/>
              <w:rPr>
                <w:lang w:val="en-AU"/>
              </w:rPr>
            </w:pPr>
            <w:r w:rsidRPr="00331240">
              <w:rPr>
                <w:lang w:val="en-AU"/>
              </w:rPr>
              <w:t>Comparator assumes Rvylin OMT only results for DBS comparison</w:t>
            </w:r>
          </w:p>
        </w:tc>
        <w:tc>
          <w:tcPr>
            <w:tcW w:w="629" w:type="pct"/>
          </w:tcPr>
          <w:p w14:paraId="5FD1DCEF" w14:textId="77777777" w:rsidR="00290917" w:rsidRPr="00331240" w:rsidRDefault="00290917" w:rsidP="007774E0">
            <w:pPr>
              <w:pStyle w:val="Tabletext"/>
              <w:rPr>
                <w:lang w:val="en-AU"/>
              </w:rPr>
            </w:pPr>
            <w:r w:rsidRPr="00331240">
              <w:rPr>
                <w:lang w:val="en-AU"/>
              </w:rPr>
              <w:t>$137,200</w:t>
            </w:r>
          </w:p>
        </w:tc>
        <w:tc>
          <w:tcPr>
            <w:tcW w:w="2565" w:type="pct"/>
          </w:tcPr>
          <w:p w14:paraId="1115A31B" w14:textId="77777777" w:rsidR="00290917" w:rsidRPr="00331240" w:rsidRDefault="00290917" w:rsidP="007774E0">
            <w:pPr>
              <w:pStyle w:val="Tabletext"/>
              <w:rPr>
                <w:lang w:val="en-AU"/>
              </w:rPr>
            </w:pPr>
            <w:r w:rsidRPr="00331240">
              <w:rPr>
                <w:lang w:val="en-AU"/>
              </w:rPr>
              <w:t>The Rvylin trial reported 0.24 response at 12 months but did not specify the seizure-free proportion. These proportions are extrapolated for the remaining period of the model. Costs are sourced from the PBS averaged across a basket of medicines. The comparison has a large impact on results.</w:t>
            </w:r>
          </w:p>
        </w:tc>
      </w:tr>
      <w:tr w:rsidR="00FB65BD" w:rsidRPr="00331240" w14:paraId="2CF093F8" w14:textId="77777777" w:rsidTr="008301A1">
        <w:trPr>
          <w:cnfStyle w:val="100000000000" w:firstRow="1" w:lastRow="0" w:firstColumn="0" w:lastColumn="0" w:oddVBand="0" w:evenVBand="0" w:oddHBand="0" w:evenHBand="0" w:firstRowFirstColumn="0" w:firstRowLastColumn="0" w:lastRowFirstColumn="0" w:lastRowLastColumn="0"/>
          <w:trHeight w:val="510"/>
          <w:tblHeader/>
        </w:trPr>
        <w:tc>
          <w:tcPr>
            <w:tcW w:w="1806" w:type="pct"/>
          </w:tcPr>
          <w:p w14:paraId="6C820433" w14:textId="77777777" w:rsidR="00290917" w:rsidRPr="00331240" w:rsidRDefault="00290917" w:rsidP="007774E0">
            <w:pPr>
              <w:pStyle w:val="Tabletext"/>
              <w:rPr>
                <w:lang w:val="en-AU"/>
              </w:rPr>
            </w:pPr>
            <w:r w:rsidRPr="00331240">
              <w:rPr>
                <w:lang w:val="en-AU"/>
              </w:rPr>
              <w:t>Waning applied to DBS and VNS arm (0.01)</w:t>
            </w:r>
          </w:p>
        </w:tc>
        <w:tc>
          <w:tcPr>
            <w:tcW w:w="629" w:type="pct"/>
          </w:tcPr>
          <w:p w14:paraId="52E7FE94" w14:textId="77777777" w:rsidR="00290917" w:rsidRPr="00331240" w:rsidRDefault="00290917" w:rsidP="007774E0">
            <w:pPr>
              <w:pStyle w:val="Tabletext"/>
              <w:rPr>
                <w:lang w:val="en-AU"/>
              </w:rPr>
            </w:pPr>
            <w:r w:rsidRPr="00331240">
              <w:rPr>
                <w:lang w:val="en-AU"/>
              </w:rPr>
              <w:t>$434,195</w:t>
            </w:r>
          </w:p>
        </w:tc>
        <w:tc>
          <w:tcPr>
            <w:tcW w:w="2565" w:type="pct"/>
          </w:tcPr>
          <w:p w14:paraId="291E5CE4" w14:textId="1AE4DF07" w:rsidR="00290917" w:rsidRPr="00331240" w:rsidRDefault="00F731D5" w:rsidP="007774E0">
            <w:pPr>
              <w:pStyle w:val="Tabletext"/>
              <w:rPr>
                <w:lang w:val="en-AU"/>
              </w:rPr>
            </w:pPr>
            <w:r w:rsidRPr="00331240">
              <w:rPr>
                <w:lang w:val="en-AU"/>
              </w:rPr>
              <w:t>Applying w</w:t>
            </w:r>
            <w:r w:rsidR="00290917" w:rsidRPr="00331240">
              <w:rPr>
                <w:lang w:val="en-AU"/>
              </w:rPr>
              <w:t xml:space="preserve">aning </w:t>
            </w:r>
            <w:r w:rsidRPr="00331240">
              <w:rPr>
                <w:lang w:val="en-AU"/>
              </w:rPr>
              <w:t xml:space="preserve">to both arms </w:t>
            </w:r>
            <w:r w:rsidR="00290917" w:rsidRPr="00331240">
              <w:rPr>
                <w:lang w:val="en-AU"/>
              </w:rPr>
              <w:t xml:space="preserve">has a </w:t>
            </w:r>
            <w:r w:rsidRPr="00331240">
              <w:rPr>
                <w:lang w:val="en-AU"/>
              </w:rPr>
              <w:t>moderate</w:t>
            </w:r>
            <w:r w:rsidR="00290917" w:rsidRPr="00331240">
              <w:rPr>
                <w:lang w:val="en-AU"/>
              </w:rPr>
              <w:t xml:space="preserve"> impact on the estimated ICUR. The nature of waning in clinical practice is unclear.</w:t>
            </w:r>
          </w:p>
        </w:tc>
      </w:tr>
      <w:tr w:rsidR="00FB65BD" w:rsidRPr="00331240" w14:paraId="22F1F4CA" w14:textId="77777777" w:rsidTr="008301A1">
        <w:trPr>
          <w:cnfStyle w:val="100000000000" w:firstRow="1" w:lastRow="0" w:firstColumn="0" w:lastColumn="0" w:oddVBand="0" w:evenVBand="0" w:oddHBand="0" w:evenHBand="0" w:firstRowFirstColumn="0" w:firstRowLastColumn="0" w:lastRowFirstColumn="0" w:lastRowLastColumn="0"/>
          <w:trHeight w:val="510"/>
          <w:tblHeader/>
        </w:trPr>
        <w:tc>
          <w:tcPr>
            <w:tcW w:w="1806" w:type="pct"/>
          </w:tcPr>
          <w:p w14:paraId="4BAC4C45" w14:textId="77777777" w:rsidR="00290917" w:rsidRPr="00331240" w:rsidRDefault="00290917" w:rsidP="007774E0">
            <w:pPr>
              <w:pStyle w:val="Tabletext"/>
              <w:rPr>
                <w:lang w:val="en-AU"/>
              </w:rPr>
            </w:pPr>
            <w:r w:rsidRPr="00331240">
              <w:rPr>
                <w:lang w:val="en-AU"/>
              </w:rPr>
              <w:t>Waning applied to DBS arm only (0.01)</w:t>
            </w:r>
          </w:p>
        </w:tc>
        <w:tc>
          <w:tcPr>
            <w:tcW w:w="629" w:type="pct"/>
          </w:tcPr>
          <w:p w14:paraId="2BF6C0FE" w14:textId="77777777" w:rsidR="00290917" w:rsidRPr="00331240" w:rsidRDefault="00290917" w:rsidP="007774E0">
            <w:pPr>
              <w:pStyle w:val="Tabletext"/>
              <w:rPr>
                <w:lang w:val="en-AU"/>
              </w:rPr>
            </w:pPr>
            <w:r w:rsidRPr="00331240">
              <w:rPr>
                <w:lang w:val="en-AU"/>
              </w:rPr>
              <w:t>$4,521,406</w:t>
            </w:r>
          </w:p>
        </w:tc>
        <w:tc>
          <w:tcPr>
            <w:tcW w:w="2565" w:type="pct"/>
          </w:tcPr>
          <w:p w14:paraId="3456A684" w14:textId="77777777" w:rsidR="00290917" w:rsidRPr="00331240" w:rsidRDefault="00290917" w:rsidP="007774E0">
            <w:pPr>
              <w:pStyle w:val="Tabletext"/>
              <w:rPr>
                <w:lang w:val="en-AU"/>
              </w:rPr>
            </w:pPr>
            <w:r w:rsidRPr="00331240">
              <w:rPr>
                <w:lang w:val="en-AU"/>
              </w:rPr>
              <w:t>Waning has a large impact on the estimated ICUR. The nature of waning in clinical practice is unclear.</w:t>
            </w:r>
          </w:p>
        </w:tc>
      </w:tr>
      <w:tr w:rsidR="00FB65BD" w:rsidRPr="00331240" w14:paraId="357D39C7" w14:textId="77777777" w:rsidTr="008301A1">
        <w:trPr>
          <w:cnfStyle w:val="100000000000" w:firstRow="1" w:lastRow="0" w:firstColumn="0" w:lastColumn="0" w:oddVBand="0" w:evenVBand="0" w:oddHBand="0" w:evenHBand="0" w:firstRowFirstColumn="0" w:firstRowLastColumn="0" w:lastRowFirstColumn="0" w:lastRowLastColumn="0"/>
          <w:trHeight w:val="510"/>
          <w:tblHeader/>
        </w:trPr>
        <w:tc>
          <w:tcPr>
            <w:tcW w:w="1806" w:type="pct"/>
          </w:tcPr>
          <w:p w14:paraId="38E6ABE4" w14:textId="77777777" w:rsidR="00290917" w:rsidRPr="00331240" w:rsidRDefault="00290917" w:rsidP="007774E0">
            <w:pPr>
              <w:pStyle w:val="Tabletext"/>
              <w:rPr>
                <w:lang w:val="en-AU"/>
              </w:rPr>
            </w:pPr>
            <w:r w:rsidRPr="00331240">
              <w:rPr>
                <w:lang w:val="en-AU"/>
              </w:rPr>
              <w:t>Australian general population utility included for seizure-free state and Messori disutilities applied for non-responder and responder states</w:t>
            </w:r>
          </w:p>
        </w:tc>
        <w:tc>
          <w:tcPr>
            <w:tcW w:w="629" w:type="pct"/>
          </w:tcPr>
          <w:p w14:paraId="045D2C83" w14:textId="77777777" w:rsidR="00290917" w:rsidRPr="00331240" w:rsidRDefault="00290917" w:rsidP="007774E0">
            <w:pPr>
              <w:pStyle w:val="Tabletext"/>
              <w:rPr>
                <w:lang w:val="en-AU"/>
              </w:rPr>
            </w:pPr>
            <w:r w:rsidRPr="00331240">
              <w:rPr>
                <w:lang w:val="en-AU"/>
              </w:rPr>
              <w:t>$382,049</w:t>
            </w:r>
          </w:p>
        </w:tc>
        <w:tc>
          <w:tcPr>
            <w:tcW w:w="2565" w:type="pct"/>
          </w:tcPr>
          <w:p w14:paraId="05815989" w14:textId="77777777" w:rsidR="00290917" w:rsidRPr="00331240" w:rsidRDefault="00290917" w:rsidP="007774E0">
            <w:pPr>
              <w:pStyle w:val="Tabletext"/>
              <w:rPr>
                <w:lang w:val="en-AU"/>
              </w:rPr>
            </w:pPr>
            <w:r w:rsidRPr="00331240">
              <w:rPr>
                <w:lang w:val="en-AU"/>
              </w:rPr>
              <w:t>Australian general population utility for the seizure-free state and inclusion of disutilities from Messori had limited impact on results</w:t>
            </w:r>
          </w:p>
        </w:tc>
      </w:tr>
      <w:tr w:rsidR="00FB65BD" w:rsidRPr="00331240" w14:paraId="36A6AEDA" w14:textId="77777777" w:rsidTr="008301A1">
        <w:trPr>
          <w:cnfStyle w:val="100000000000" w:firstRow="1" w:lastRow="0" w:firstColumn="0" w:lastColumn="0" w:oddVBand="0" w:evenVBand="0" w:oddHBand="0" w:evenHBand="0" w:firstRowFirstColumn="0" w:firstRowLastColumn="0" w:lastRowFirstColumn="0" w:lastRowLastColumn="0"/>
          <w:trHeight w:val="510"/>
          <w:tblHeader/>
        </w:trPr>
        <w:tc>
          <w:tcPr>
            <w:tcW w:w="1806" w:type="pct"/>
          </w:tcPr>
          <w:p w14:paraId="7562F793" w14:textId="77777777" w:rsidR="00290917" w:rsidRPr="00331240" w:rsidRDefault="00290917" w:rsidP="007774E0">
            <w:pPr>
              <w:pStyle w:val="Tabletext"/>
              <w:rPr>
                <w:lang w:val="en-AU"/>
              </w:rPr>
            </w:pPr>
            <w:r w:rsidRPr="00331240">
              <w:rPr>
                <w:lang w:val="en-AU"/>
              </w:rPr>
              <w:t>Pathology and imaging costs included as part of disease management costs</w:t>
            </w:r>
          </w:p>
        </w:tc>
        <w:tc>
          <w:tcPr>
            <w:tcW w:w="629" w:type="pct"/>
          </w:tcPr>
          <w:p w14:paraId="70C0C287" w14:textId="77777777" w:rsidR="00290917" w:rsidRPr="00331240" w:rsidRDefault="00290917" w:rsidP="007774E0">
            <w:pPr>
              <w:pStyle w:val="Tabletext"/>
              <w:rPr>
                <w:lang w:val="en-AU"/>
              </w:rPr>
            </w:pPr>
            <w:r w:rsidRPr="00331240">
              <w:rPr>
                <w:lang w:val="en-AU"/>
              </w:rPr>
              <w:t>$381,766</w:t>
            </w:r>
          </w:p>
        </w:tc>
        <w:tc>
          <w:tcPr>
            <w:tcW w:w="2565" w:type="pct"/>
          </w:tcPr>
          <w:p w14:paraId="2DF3A643" w14:textId="77777777" w:rsidR="00290917" w:rsidRPr="00331240" w:rsidRDefault="00290917" w:rsidP="007774E0">
            <w:pPr>
              <w:pStyle w:val="Tabletext"/>
              <w:rPr>
                <w:lang w:val="en-AU"/>
              </w:rPr>
            </w:pPr>
            <w:r w:rsidRPr="00331240">
              <w:rPr>
                <w:lang w:val="en-AU"/>
              </w:rPr>
              <w:t>Pathology cost inclusion has no impact on results.</w:t>
            </w:r>
          </w:p>
        </w:tc>
      </w:tr>
      <w:tr w:rsidR="00FB65BD" w:rsidRPr="00331240" w14:paraId="07CE3540" w14:textId="77777777" w:rsidTr="008301A1">
        <w:trPr>
          <w:cnfStyle w:val="100000000000" w:firstRow="1" w:lastRow="0" w:firstColumn="0" w:lastColumn="0" w:oddVBand="0" w:evenVBand="0" w:oddHBand="0" w:evenHBand="0" w:firstRowFirstColumn="0" w:firstRowLastColumn="0" w:lastRowFirstColumn="0" w:lastRowLastColumn="0"/>
          <w:trHeight w:val="510"/>
          <w:tblHeader/>
        </w:trPr>
        <w:tc>
          <w:tcPr>
            <w:tcW w:w="1806" w:type="pct"/>
          </w:tcPr>
          <w:p w14:paraId="24FE8414" w14:textId="249E757F" w:rsidR="00290917" w:rsidRPr="00331240" w:rsidRDefault="00290917" w:rsidP="007774E0">
            <w:pPr>
              <w:pStyle w:val="Tabletext"/>
              <w:rPr>
                <w:lang w:val="en-AU"/>
              </w:rPr>
            </w:pPr>
            <w:r w:rsidRPr="00331240">
              <w:rPr>
                <w:lang w:val="en-AU"/>
              </w:rPr>
              <w:t xml:space="preserve">Medication costs not included </w:t>
            </w:r>
            <w:r w:rsidR="00C24808" w:rsidRPr="00331240">
              <w:rPr>
                <w:lang w:val="en-AU"/>
              </w:rPr>
              <w:t>i</w:t>
            </w:r>
            <w:r w:rsidRPr="00331240">
              <w:rPr>
                <w:lang w:val="en-AU"/>
              </w:rPr>
              <w:t>n VNS and OMT arm</w:t>
            </w:r>
          </w:p>
        </w:tc>
        <w:tc>
          <w:tcPr>
            <w:tcW w:w="629" w:type="pct"/>
          </w:tcPr>
          <w:p w14:paraId="531DBF51" w14:textId="77777777" w:rsidR="00290917" w:rsidRPr="00331240" w:rsidDel="00150C32" w:rsidRDefault="00290917" w:rsidP="007774E0">
            <w:pPr>
              <w:pStyle w:val="Tabletext"/>
              <w:rPr>
                <w:lang w:val="en-AU"/>
              </w:rPr>
            </w:pPr>
            <w:r w:rsidRPr="00331240">
              <w:rPr>
                <w:lang w:val="en-AU"/>
              </w:rPr>
              <w:t>$481,167</w:t>
            </w:r>
          </w:p>
        </w:tc>
        <w:tc>
          <w:tcPr>
            <w:tcW w:w="2565" w:type="pct"/>
          </w:tcPr>
          <w:p w14:paraId="37416E47" w14:textId="77777777" w:rsidR="00290917" w:rsidRPr="00331240" w:rsidRDefault="00290917" w:rsidP="007774E0">
            <w:pPr>
              <w:pStyle w:val="Tabletext"/>
              <w:rPr>
                <w:lang w:val="en-AU"/>
              </w:rPr>
            </w:pPr>
            <w:r w:rsidRPr="00331240">
              <w:rPr>
                <w:lang w:val="en-AU"/>
              </w:rPr>
              <w:t>Medication cost inclusion had a moderate impact on results</w:t>
            </w:r>
          </w:p>
        </w:tc>
      </w:tr>
      <w:tr w:rsidR="00FB65BD" w:rsidRPr="00331240" w14:paraId="223726B2" w14:textId="77777777" w:rsidTr="008301A1">
        <w:trPr>
          <w:cnfStyle w:val="100000000000" w:firstRow="1" w:lastRow="0" w:firstColumn="0" w:lastColumn="0" w:oddVBand="0" w:evenVBand="0" w:oddHBand="0" w:evenHBand="0" w:firstRowFirstColumn="0" w:firstRowLastColumn="0" w:lastRowFirstColumn="0" w:lastRowLastColumn="0"/>
          <w:trHeight w:val="510"/>
          <w:tblHeader/>
        </w:trPr>
        <w:tc>
          <w:tcPr>
            <w:tcW w:w="1806" w:type="pct"/>
          </w:tcPr>
          <w:p w14:paraId="3066AFD2" w14:textId="16B5BC63" w:rsidR="00290917" w:rsidRPr="00331240" w:rsidRDefault="00290917" w:rsidP="007774E0">
            <w:pPr>
              <w:pStyle w:val="Tabletext"/>
              <w:rPr>
                <w:lang w:val="en-AU"/>
              </w:rPr>
            </w:pPr>
            <w:r w:rsidRPr="00331240">
              <w:rPr>
                <w:lang w:val="en-AU"/>
              </w:rPr>
              <w:t xml:space="preserve">Medication costs not included </w:t>
            </w:r>
            <w:r w:rsidR="00822CC8" w:rsidRPr="00331240">
              <w:rPr>
                <w:lang w:val="en-AU"/>
              </w:rPr>
              <w:t>in</w:t>
            </w:r>
            <w:r w:rsidRPr="00331240">
              <w:rPr>
                <w:lang w:val="en-AU"/>
              </w:rPr>
              <w:t xml:space="preserve"> DBS arm</w:t>
            </w:r>
            <w:r w:rsidR="00822CC8" w:rsidRPr="00331240">
              <w:rPr>
                <w:lang w:val="en-AU"/>
              </w:rPr>
              <w:t>, only</w:t>
            </w:r>
          </w:p>
        </w:tc>
        <w:tc>
          <w:tcPr>
            <w:tcW w:w="629" w:type="pct"/>
          </w:tcPr>
          <w:p w14:paraId="6E73D2D8" w14:textId="77777777" w:rsidR="00290917" w:rsidRPr="00331240" w:rsidDel="00150C32" w:rsidRDefault="00290917" w:rsidP="007774E0">
            <w:pPr>
              <w:pStyle w:val="Tabletext"/>
              <w:rPr>
                <w:lang w:val="en-AU"/>
              </w:rPr>
            </w:pPr>
            <w:r w:rsidRPr="00331240">
              <w:rPr>
                <w:lang w:val="en-AU"/>
              </w:rPr>
              <w:t>$282,413</w:t>
            </w:r>
          </w:p>
        </w:tc>
        <w:tc>
          <w:tcPr>
            <w:tcW w:w="2565" w:type="pct"/>
          </w:tcPr>
          <w:p w14:paraId="6C6C9437" w14:textId="77777777" w:rsidR="00290917" w:rsidRPr="00331240" w:rsidRDefault="00290917" w:rsidP="007774E0">
            <w:pPr>
              <w:pStyle w:val="Tabletext"/>
              <w:rPr>
                <w:lang w:val="en-AU"/>
              </w:rPr>
            </w:pPr>
            <w:r w:rsidRPr="00331240">
              <w:rPr>
                <w:lang w:val="en-AU"/>
              </w:rPr>
              <w:t>Medication cost inclusion had a moderate impact on results</w:t>
            </w:r>
          </w:p>
        </w:tc>
      </w:tr>
    </w:tbl>
    <w:p w14:paraId="4AEECB96" w14:textId="1AFBEB4C" w:rsidR="00290917" w:rsidRDefault="00290917" w:rsidP="00BE6037">
      <w:pPr>
        <w:pStyle w:val="Notes-TableFigure"/>
        <w:spacing w:after="0"/>
        <w:rPr>
          <w:lang w:val="en-AU"/>
        </w:rPr>
      </w:pPr>
      <w:r w:rsidRPr="00331240">
        <w:rPr>
          <w:b/>
          <w:bCs/>
          <w:lang w:val="en-AU"/>
        </w:rPr>
        <w:t>Abbreviations</w:t>
      </w:r>
      <w:r w:rsidRPr="00331240">
        <w:rPr>
          <w:lang w:val="en-AU"/>
        </w:rPr>
        <w:t xml:space="preserve">: DBS = deep brain stimulation; ICUR = incremental cost-utility ratio; PBS = Pharmaceutical Benefits Schedule; VNS = vagus nerve stimulation </w:t>
      </w:r>
    </w:p>
    <w:p w14:paraId="66C9209B" w14:textId="383AD819" w:rsidR="00AA7C6B" w:rsidRPr="00D97B0C" w:rsidRDefault="00D97B0C" w:rsidP="00BE6037">
      <w:pPr>
        <w:pStyle w:val="Heading2"/>
        <w:numPr>
          <w:ilvl w:val="0"/>
          <w:numId w:val="0"/>
        </w:numPr>
        <w:spacing w:before="120"/>
      </w:pPr>
      <w:r>
        <w:t>14.</w:t>
      </w:r>
      <w:r>
        <w:tab/>
      </w:r>
      <w:bookmarkStart w:id="26" w:name="_Toc118758157"/>
      <w:bookmarkStart w:id="27" w:name="_Toc121840754"/>
      <w:r w:rsidR="00AA7C6B" w:rsidRPr="00331240">
        <w:rPr>
          <w:lang w:val="en-AU"/>
        </w:rPr>
        <w:t>Financial/budgetary impacts</w:t>
      </w:r>
      <w:bookmarkEnd w:id="26"/>
      <w:bookmarkEnd w:id="27"/>
    </w:p>
    <w:p w14:paraId="2E4735B3" w14:textId="1054A5FB" w:rsidR="00BD355D" w:rsidRPr="00D27BA4" w:rsidRDefault="00AA7C6B" w:rsidP="00BE6037">
      <w:pPr>
        <w:pStyle w:val="BodyTextSTD"/>
        <w:spacing w:line="240" w:lineRule="auto"/>
        <w:rPr>
          <w:rFonts w:ascii="Franklin Gothic Book" w:hAnsi="Franklin Gothic Book"/>
        </w:rPr>
      </w:pPr>
      <w:r w:rsidRPr="00331240">
        <w:rPr>
          <w:rFonts w:ascii="Franklin Gothic Book" w:hAnsi="Franklin Gothic Book"/>
        </w:rPr>
        <w:t>An epidemiologic approach is used to estimate the financial impact of the expansion</w:t>
      </w:r>
      <w:r w:rsidR="00FD4402" w:rsidRPr="00331240">
        <w:rPr>
          <w:rFonts w:ascii="Franklin Gothic Book" w:hAnsi="Franklin Gothic Book"/>
        </w:rPr>
        <w:t xml:space="preserve"> of the DBS item.</w:t>
      </w:r>
      <w:r w:rsidRPr="00331240">
        <w:rPr>
          <w:rFonts w:ascii="Franklin Gothic Book" w:hAnsi="Franklin Gothic Book"/>
        </w:rPr>
        <w:t xml:space="preserve"> First</w:t>
      </w:r>
      <w:r w:rsidR="00FD4402" w:rsidRPr="00331240">
        <w:rPr>
          <w:rFonts w:ascii="Franklin Gothic Book" w:hAnsi="Franklin Gothic Book"/>
        </w:rPr>
        <w:t>ly</w:t>
      </w:r>
      <w:r w:rsidRPr="00331240">
        <w:rPr>
          <w:rFonts w:ascii="Franklin Gothic Book" w:hAnsi="Franklin Gothic Book"/>
        </w:rPr>
        <w:t xml:space="preserve">, the prevalence of patients with </w:t>
      </w:r>
      <w:r w:rsidR="00952135" w:rsidRPr="00331240">
        <w:rPr>
          <w:rFonts w:ascii="Franklin Gothic Book" w:hAnsi="Franklin Gothic Book"/>
        </w:rPr>
        <w:t>drug r</w:t>
      </w:r>
      <w:r w:rsidR="00D22605" w:rsidRPr="00331240">
        <w:rPr>
          <w:rFonts w:ascii="Franklin Gothic Book" w:hAnsi="Franklin Gothic Book"/>
        </w:rPr>
        <w:t xml:space="preserve">efractory epilepsy </w:t>
      </w:r>
      <w:r w:rsidRPr="00331240">
        <w:rPr>
          <w:rFonts w:ascii="Franklin Gothic Book" w:hAnsi="Franklin Gothic Book"/>
        </w:rPr>
        <w:t xml:space="preserve">in Australia is estimated based on an assumed proportion of epilepsy patients taken from the literature and those entering </w:t>
      </w:r>
      <w:r w:rsidR="00A72175">
        <w:rPr>
          <w:rFonts w:ascii="Franklin Gothic Book" w:hAnsi="Franklin Gothic Book"/>
        </w:rPr>
        <w:t>CEPs</w:t>
      </w:r>
      <w:r w:rsidRPr="00331240">
        <w:rPr>
          <w:rFonts w:ascii="Franklin Gothic Book" w:hAnsi="Franklin Gothic Book"/>
        </w:rPr>
        <w:t>. Secondly, uptake of the proposed MBS-supported services with restrictions is estimated. The</w:t>
      </w:r>
      <w:r w:rsidR="00711211" w:rsidRPr="00331240">
        <w:rPr>
          <w:rFonts w:ascii="Franklin Gothic Book" w:hAnsi="Franklin Gothic Book"/>
        </w:rPr>
        <w:t xml:space="preserve"> </w:t>
      </w:r>
      <w:r w:rsidR="00A72175">
        <w:rPr>
          <w:rFonts w:ascii="Franklin Gothic Book" w:hAnsi="Franklin Gothic Book"/>
        </w:rPr>
        <w:t>CEP</w:t>
      </w:r>
      <w:r w:rsidRPr="00331240">
        <w:rPr>
          <w:rFonts w:ascii="Franklin Gothic Book" w:hAnsi="Franklin Gothic Book"/>
        </w:rPr>
        <w:t xml:space="preserve"> was estimated to include </w:t>
      </w:r>
      <w:r w:rsidR="00FD4402" w:rsidRPr="00331240">
        <w:rPr>
          <w:rFonts w:ascii="Franklin Gothic Book" w:hAnsi="Franklin Gothic Book"/>
        </w:rPr>
        <w:t xml:space="preserve">fewer </w:t>
      </w:r>
      <w:r w:rsidRPr="00331240">
        <w:rPr>
          <w:rFonts w:ascii="Franklin Gothic Book" w:hAnsi="Franklin Gothic Book"/>
        </w:rPr>
        <w:t xml:space="preserve">than 500 patients per year, so the costs of expanding the population eligible for DBS is calculated to involve a relatively small number of patients. It is </w:t>
      </w:r>
      <w:r w:rsidR="001B77B8">
        <w:rPr>
          <w:rFonts w:ascii="Franklin Gothic Book" w:hAnsi="Franklin Gothic Book"/>
        </w:rPr>
        <w:t>estimated</w:t>
      </w:r>
      <w:r w:rsidR="001B77B8" w:rsidRPr="00331240">
        <w:rPr>
          <w:rFonts w:ascii="Franklin Gothic Book" w:hAnsi="Franklin Gothic Book"/>
        </w:rPr>
        <w:t xml:space="preserve"> </w:t>
      </w:r>
      <w:r w:rsidRPr="00331240">
        <w:rPr>
          <w:rFonts w:ascii="Franklin Gothic Book" w:hAnsi="Franklin Gothic Book"/>
        </w:rPr>
        <w:t xml:space="preserve">that 30 patients </w:t>
      </w:r>
      <w:r w:rsidR="001B77B8">
        <w:rPr>
          <w:rFonts w:ascii="Franklin Gothic Book" w:hAnsi="Franklin Gothic Book"/>
        </w:rPr>
        <w:t xml:space="preserve">would be </w:t>
      </w:r>
      <w:r w:rsidRPr="00331240">
        <w:rPr>
          <w:rFonts w:ascii="Franklin Gothic Book" w:hAnsi="Franklin Gothic Book"/>
        </w:rPr>
        <w:t xml:space="preserve">implanted with DBS in </w:t>
      </w:r>
      <w:r w:rsidR="00FD4402" w:rsidRPr="00331240">
        <w:rPr>
          <w:rFonts w:ascii="Franklin Gothic Book" w:hAnsi="Franklin Gothic Book"/>
        </w:rPr>
        <w:t>y</w:t>
      </w:r>
      <w:r w:rsidRPr="00331240">
        <w:rPr>
          <w:rFonts w:ascii="Franklin Gothic Book" w:hAnsi="Franklin Gothic Book"/>
        </w:rPr>
        <w:t>ear 1</w:t>
      </w:r>
      <w:r w:rsidR="001B77B8">
        <w:rPr>
          <w:rFonts w:ascii="Franklin Gothic Book" w:hAnsi="Franklin Gothic Book"/>
        </w:rPr>
        <w:t>,</w:t>
      </w:r>
      <w:r w:rsidR="008850D8">
        <w:rPr>
          <w:rFonts w:ascii="Franklin Gothic Book" w:hAnsi="Franklin Gothic Book"/>
        </w:rPr>
        <w:t xml:space="preserve"> either as direct substitution for VNS or as an additional service.</w:t>
      </w:r>
      <w:r w:rsidRPr="00331240">
        <w:rPr>
          <w:rFonts w:ascii="Franklin Gothic Book" w:hAnsi="Franklin Gothic Book"/>
        </w:rPr>
        <w:t xml:space="preserve"> </w:t>
      </w:r>
      <w:r w:rsidR="00810AB1" w:rsidRPr="00331240">
        <w:rPr>
          <w:rFonts w:ascii="Franklin Gothic Book" w:hAnsi="Franklin Gothic Book"/>
        </w:rPr>
        <w:t xml:space="preserve">Net MBS costs </w:t>
      </w:r>
      <w:r w:rsidR="00C42DA6">
        <w:rPr>
          <w:rFonts w:ascii="Franklin Gothic Book" w:hAnsi="Franklin Gothic Book"/>
        </w:rPr>
        <w:t xml:space="preserve">would </w:t>
      </w:r>
      <w:r w:rsidR="00810AB1" w:rsidRPr="00331240">
        <w:rPr>
          <w:rFonts w:ascii="Franklin Gothic Book" w:hAnsi="Franklin Gothic Book"/>
        </w:rPr>
        <w:t xml:space="preserve">increase up to $410,124 per year </w:t>
      </w:r>
      <w:r w:rsidRPr="00331240">
        <w:rPr>
          <w:rFonts w:ascii="Franklin Gothic Book" w:hAnsi="Franklin Gothic Book"/>
        </w:rPr>
        <w:t xml:space="preserve">(See </w:t>
      </w:r>
      <w:r w:rsidRPr="00331240">
        <w:rPr>
          <w:rFonts w:ascii="Franklin Gothic Book" w:hAnsi="Franklin Gothic Book"/>
        </w:rPr>
        <w:fldChar w:fldCharType="begin"/>
      </w:r>
      <w:r w:rsidRPr="00331240">
        <w:rPr>
          <w:rFonts w:ascii="Franklin Gothic Book" w:hAnsi="Franklin Gothic Book"/>
        </w:rPr>
        <w:instrText xml:space="preserve"> REF _Ref118388337 \h </w:instrText>
      </w:r>
      <w:r w:rsidR="00317FC0" w:rsidRPr="00331240">
        <w:rPr>
          <w:rFonts w:ascii="Franklin Gothic Book" w:hAnsi="Franklin Gothic Book"/>
        </w:rPr>
        <w:instrText xml:space="preserve"> \* MERGEFORMAT </w:instrText>
      </w:r>
      <w:r w:rsidRPr="00331240">
        <w:rPr>
          <w:rFonts w:ascii="Franklin Gothic Book" w:hAnsi="Franklin Gothic Book"/>
        </w:rPr>
      </w:r>
      <w:r w:rsidRPr="00331240">
        <w:rPr>
          <w:rFonts w:ascii="Franklin Gothic Book" w:hAnsi="Franklin Gothic Book"/>
        </w:rPr>
        <w:fldChar w:fldCharType="separate"/>
      </w:r>
      <w:r w:rsidR="00D4512D" w:rsidRPr="00D4512D">
        <w:rPr>
          <w:rFonts w:ascii="Franklin Gothic Book" w:hAnsi="Franklin Gothic Book"/>
        </w:rPr>
        <w:t>Table</w:t>
      </w:r>
      <w:r w:rsidR="0002655F">
        <w:rPr>
          <w:rFonts w:ascii="Franklin Gothic Book" w:hAnsi="Franklin Gothic Book"/>
        </w:rPr>
        <w:t> </w:t>
      </w:r>
      <w:r w:rsidR="00D4512D" w:rsidRPr="00D4512D">
        <w:rPr>
          <w:rFonts w:ascii="Franklin Gothic Book" w:hAnsi="Franklin Gothic Book"/>
        </w:rPr>
        <w:t>17</w:t>
      </w:r>
      <w:r w:rsidRPr="00331240">
        <w:rPr>
          <w:rFonts w:ascii="Franklin Gothic Book" w:hAnsi="Franklin Gothic Book"/>
        </w:rPr>
        <w:fldChar w:fldCharType="end"/>
      </w:r>
      <w:r w:rsidRPr="00331240">
        <w:rPr>
          <w:rFonts w:ascii="Franklin Gothic Book" w:hAnsi="Franklin Gothic Book"/>
        </w:rPr>
        <w:t>).</w:t>
      </w:r>
    </w:p>
    <w:p w14:paraId="66DD375E" w14:textId="2962CAEB" w:rsidR="00AA7C6B" w:rsidRPr="00331240" w:rsidRDefault="00AA7C6B" w:rsidP="00B94945">
      <w:pPr>
        <w:pStyle w:val="Tableheader"/>
      </w:pPr>
      <w:bookmarkStart w:id="28" w:name="_Ref118388337"/>
      <w:r w:rsidRPr="00331240">
        <w:t xml:space="preserve">Table </w:t>
      </w:r>
      <w:r w:rsidRPr="00331240">
        <w:fldChar w:fldCharType="begin"/>
      </w:r>
      <w:r w:rsidRPr="00331240">
        <w:instrText>SEQ Table \* ARABIC</w:instrText>
      </w:r>
      <w:r w:rsidRPr="00331240">
        <w:fldChar w:fldCharType="separate"/>
      </w:r>
      <w:r w:rsidR="00D4512D">
        <w:rPr>
          <w:noProof/>
        </w:rPr>
        <w:t>17</w:t>
      </w:r>
      <w:r w:rsidRPr="00331240">
        <w:fldChar w:fldCharType="end"/>
      </w:r>
      <w:bookmarkEnd w:id="28"/>
      <w:r w:rsidR="005A4C74" w:rsidRPr="00331240">
        <w:tab/>
      </w:r>
      <w:r w:rsidRPr="00331240">
        <w:t>Net MBS cost of DBS expanded listing</w:t>
      </w:r>
    </w:p>
    <w:tbl>
      <w:tblPr>
        <w:tblStyle w:val="OPTUMTableNormal"/>
        <w:tblW w:w="5000" w:type="pct"/>
        <w:tblLook w:val="04A0" w:firstRow="1" w:lastRow="0" w:firstColumn="1" w:lastColumn="0" w:noHBand="0" w:noVBand="1"/>
      </w:tblPr>
      <w:tblGrid>
        <w:gridCol w:w="3075"/>
        <w:gridCol w:w="962"/>
        <w:gridCol w:w="961"/>
        <w:gridCol w:w="961"/>
        <w:gridCol w:w="1019"/>
        <w:gridCol w:w="1019"/>
        <w:gridCol w:w="1019"/>
      </w:tblGrid>
      <w:tr w:rsidR="0025132C" w:rsidRPr="00331240" w14:paraId="7817FC15" w14:textId="77777777" w:rsidTr="0056425E">
        <w:trPr>
          <w:cnfStyle w:val="100000000000" w:firstRow="1" w:lastRow="0" w:firstColumn="0" w:lastColumn="0" w:oddVBand="0" w:evenVBand="0" w:oddHBand="0" w:evenHBand="0" w:firstRowFirstColumn="0" w:firstRowLastColumn="0" w:lastRowFirstColumn="0" w:lastRowLastColumn="0"/>
          <w:trHeight w:val="300"/>
        </w:trPr>
        <w:tc>
          <w:tcPr>
            <w:tcW w:w="1705" w:type="pct"/>
            <w:hideMark/>
          </w:tcPr>
          <w:p w14:paraId="4FA1EC09" w14:textId="77777777" w:rsidR="00AA7C6B" w:rsidRPr="00331240" w:rsidRDefault="00AA7C6B" w:rsidP="0025132C">
            <w:pPr>
              <w:pStyle w:val="Tabletext"/>
              <w:rPr>
                <w:b/>
                <w:bCs/>
                <w:lang w:val="en-AU"/>
              </w:rPr>
            </w:pPr>
            <w:r w:rsidRPr="00331240">
              <w:rPr>
                <w:b/>
                <w:bCs/>
                <w:lang w:val="en-AU"/>
              </w:rPr>
              <w:t>Year</w:t>
            </w:r>
          </w:p>
        </w:tc>
        <w:tc>
          <w:tcPr>
            <w:tcW w:w="533" w:type="pct"/>
            <w:noWrap/>
            <w:hideMark/>
          </w:tcPr>
          <w:p w14:paraId="11E8FBC6" w14:textId="507475AC" w:rsidR="00AA7C6B" w:rsidRPr="00331240" w:rsidRDefault="008F3991" w:rsidP="0025132C">
            <w:pPr>
              <w:pStyle w:val="Tabletext"/>
              <w:rPr>
                <w:b/>
                <w:bCs/>
                <w:color w:val="000000"/>
                <w:lang w:val="en-AU"/>
              </w:rPr>
            </w:pPr>
            <w:r w:rsidRPr="00331240">
              <w:rPr>
                <w:b/>
                <w:bCs/>
                <w:color w:val="000000"/>
                <w:lang w:val="en-AU"/>
              </w:rPr>
              <w:t xml:space="preserve">Year </w:t>
            </w:r>
            <w:r w:rsidR="00AA7C6B" w:rsidRPr="00331240">
              <w:rPr>
                <w:b/>
                <w:bCs/>
                <w:color w:val="000000"/>
                <w:lang w:val="en-AU"/>
              </w:rPr>
              <w:t>1</w:t>
            </w:r>
          </w:p>
        </w:tc>
        <w:tc>
          <w:tcPr>
            <w:tcW w:w="533" w:type="pct"/>
            <w:noWrap/>
            <w:hideMark/>
          </w:tcPr>
          <w:p w14:paraId="320FA0FD" w14:textId="1B231734" w:rsidR="00AA7C6B" w:rsidRPr="00331240" w:rsidRDefault="008F3991" w:rsidP="0025132C">
            <w:pPr>
              <w:pStyle w:val="Tabletext"/>
              <w:rPr>
                <w:b/>
                <w:bCs/>
                <w:color w:val="000000"/>
                <w:lang w:val="en-AU"/>
              </w:rPr>
            </w:pPr>
            <w:r w:rsidRPr="00331240">
              <w:rPr>
                <w:b/>
                <w:bCs/>
                <w:color w:val="000000"/>
                <w:lang w:val="en-AU"/>
              </w:rPr>
              <w:t xml:space="preserve">Year </w:t>
            </w:r>
            <w:r w:rsidR="00AA7C6B" w:rsidRPr="00331240">
              <w:rPr>
                <w:b/>
                <w:bCs/>
                <w:color w:val="000000"/>
                <w:lang w:val="en-AU"/>
              </w:rPr>
              <w:t>2</w:t>
            </w:r>
          </w:p>
        </w:tc>
        <w:tc>
          <w:tcPr>
            <w:tcW w:w="533" w:type="pct"/>
            <w:noWrap/>
            <w:hideMark/>
          </w:tcPr>
          <w:p w14:paraId="1C9FDD62" w14:textId="14FB0640" w:rsidR="00AA7C6B" w:rsidRPr="00331240" w:rsidRDefault="008F3991" w:rsidP="0025132C">
            <w:pPr>
              <w:pStyle w:val="Tabletext"/>
              <w:rPr>
                <w:b/>
                <w:bCs/>
                <w:color w:val="000000"/>
                <w:lang w:val="en-AU"/>
              </w:rPr>
            </w:pPr>
            <w:r w:rsidRPr="00331240">
              <w:rPr>
                <w:b/>
                <w:bCs/>
                <w:color w:val="000000"/>
                <w:lang w:val="en-AU"/>
              </w:rPr>
              <w:t xml:space="preserve">Year </w:t>
            </w:r>
            <w:r w:rsidR="00AA7C6B" w:rsidRPr="00331240">
              <w:rPr>
                <w:b/>
                <w:bCs/>
                <w:color w:val="000000"/>
                <w:lang w:val="en-AU"/>
              </w:rPr>
              <w:t>3</w:t>
            </w:r>
          </w:p>
        </w:tc>
        <w:tc>
          <w:tcPr>
            <w:tcW w:w="565" w:type="pct"/>
            <w:noWrap/>
            <w:hideMark/>
          </w:tcPr>
          <w:p w14:paraId="3BFCB96A" w14:textId="1C320B6B" w:rsidR="00AA7C6B" w:rsidRPr="00331240" w:rsidRDefault="008F3991" w:rsidP="0025132C">
            <w:pPr>
              <w:pStyle w:val="Tabletext"/>
              <w:rPr>
                <w:b/>
                <w:bCs/>
                <w:color w:val="000000"/>
                <w:lang w:val="en-AU"/>
              </w:rPr>
            </w:pPr>
            <w:r w:rsidRPr="00331240">
              <w:rPr>
                <w:b/>
                <w:bCs/>
                <w:color w:val="000000"/>
                <w:lang w:val="en-AU"/>
              </w:rPr>
              <w:t xml:space="preserve">Year </w:t>
            </w:r>
            <w:r w:rsidR="00AA7C6B" w:rsidRPr="00331240">
              <w:rPr>
                <w:b/>
                <w:bCs/>
                <w:color w:val="000000"/>
                <w:lang w:val="en-AU"/>
              </w:rPr>
              <w:t>4</w:t>
            </w:r>
          </w:p>
        </w:tc>
        <w:tc>
          <w:tcPr>
            <w:tcW w:w="565" w:type="pct"/>
            <w:noWrap/>
            <w:hideMark/>
          </w:tcPr>
          <w:p w14:paraId="6961F5EA" w14:textId="5364F180" w:rsidR="00AA7C6B" w:rsidRPr="00331240" w:rsidRDefault="008F3991" w:rsidP="0025132C">
            <w:pPr>
              <w:pStyle w:val="Tabletext"/>
              <w:rPr>
                <w:b/>
                <w:bCs/>
                <w:color w:val="000000"/>
                <w:lang w:val="en-AU"/>
              </w:rPr>
            </w:pPr>
            <w:r w:rsidRPr="00331240">
              <w:rPr>
                <w:b/>
                <w:bCs/>
                <w:color w:val="000000"/>
                <w:lang w:val="en-AU"/>
              </w:rPr>
              <w:t xml:space="preserve">Year </w:t>
            </w:r>
            <w:r w:rsidR="00AA7C6B" w:rsidRPr="00331240">
              <w:rPr>
                <w:b/>
                <w:bCs/>
                <w:color w:val="000000"/>
                <w:lang w:val="en-AU"/>
              </w:rPr>
              <w:t>5</w:t>
            </w:r>
          </w:p>
        </w:tc>
        <w:tc>
          <w:tcPr>
            <w:tcW w:w="565" w:type="pct"/>
            <w:noWrap/>
            <w:hideMark/>
          </w:tcPr>
          <w:p w14:paraId="6E240D1D" w14:textId="5A22C476" w:rsidR="00AA7C6B" w:rsidRPr="00331240" w:rsidRDefault="008F3991" w:rsidP="0025132C">
            <w:pPr>
              <w:pStyle w:val="Tabletext"/>
              <w:rPr>
                <w:b/>
                <w:bCs/>
                <w:color w:val="000000"/>
                <w:lang w:val="en-AU"/>
              </w:rPr>
            </w:pPr>
            <w:r w:rsidRPr="00331240">
              <w:rPr>
                <w:b/>
                <w:bCs/>
                <w:color w:val="000000"/>
                <w:lang w:val="en-AU"/>
              </w:rPr>
              <w:t xml:space="preserve">Year </w:t>
            </w:r>
            <w:r w:rsidR="00AA7C6B" w:rsidRPr="00331240">
              <w:rPr>
                <w:b/>
                <w:bCs/>
                <w:color w:val="000000"/>
                <w:lang w:val="en-AU"/>
              </w:rPr>
              <w:t>6</w:t>
            </w:r>
          </w:p>
        </w:tc>
      </w:tr>
      <w:tr w:rsidR="0025132C" w:rsidRPr="00331240" w14:paraId="622F12DD" w14:textId="77777777" w:rsidTr="0056425E">
        <w:trPr>
          <w:trHeight w:val="300"/>
        </w:trPr>
        <w:tc>
          <w:tcPr>
            <w:tcW w:w="1705" w:type="pct"/>
          </w:tcPr>
          <w:p w14:paraId="4B2E96DB" w14:textId="3A624970" w:rsidR="00AA7C6B" w:rsidRPr="00331240" w:rsidRDefault="00AA7C6B" w:rsidP="0025132C">
            <w:pPr>
              <w:pStyle w:val="Tabletext"/>
              <w:rPr>
                <w:lang w:val="en-AU"/>
              </w:rPr>
            </w:pPr>
            <w:r w:rsidRPr="00331240">
              <w:rPr>
                <w:color w:val="000000"/>
                <w:lang w:val="en-AU"/>
              </w:rPr>
              <w:t xml:space="preserve">Patients with DBS initial implantation </w:t>
            </w:r>
          </w:p>
        </w:tc>
        <w:tc>
          <w:tcPr>
            <w:tcW w:w="533" w:type="pct"/>
          </w:tcPr>
          <w:p w14:paraId="555E38AF" w14:textId="77777777" w:rsidR="00AA7C6B" w:rsidRPr="00331240" w:rsidRDefault="00AA7C6B" w:rsidP="0025132C">
            <w:pPr>
              <w:pStyle w:val="Tabletext"/>
              <w:rPr>
                <w:lang w:val="en-AU"/>
              </w:rPr>
            </w:pPr>
            <w:r w:rsidRPr="00331240">
              <w:rPr>
                <w:color w:val="000000"/>
                <w:lang w:val="en-AU"/>
              </w:rPr>
              <w:t>30</w:t>
            </w:r>
          </w:p>
        </w:tc>
        <w:tc>
          <w:tcPr>
            <w:tcW w:w="533" w:type="pct"/>
          </w:tcPr>
          <w:p w14:paraId="1AB16559" w14:textId="77777777" w:rsidR="00AA7C6B" w:rsidRPr="00331240" w:rsidRDefault="00AA7C6B" w:rsidP="0025132C">
            <w:pPr>
              <w:pStyle w:val="Tabletext"/>
              <w:rPr>
                <w:lang w:val="en-AU"/>
              </w:rPr>
            </w:pPr>
            <w:r w:rsidRPr="00331240">
              <w:rPr>
                <w:color w:val="000000"/>
                <w:lang w:val="en-AU"/>
              </w:rPr>
              <w:t>36</w:t>
            </w:r>
          </w:p>
        </w:tc>
        <w:tc>
          <w:tcPr>
            <w:tcW w:w="533" w:type="pct"/>
          </w:tcPr>
          <w:p w14:paraId="2289BDA8" w14:textId="77777777" w:rsidR="00AA7C6B" w:rsidRPr="00331240" w:rsidRDefault="00AA7C6B" w:rsidP="0025132C">
            <w:pPr>
              <w:pStyle w:val="Tabletext"/>
              <w:rPr>
                <w:lang w:val="en-AU"/>
              </w:rPr>
            </w:pPr>
            <w:r w:rsidRPr="00331240">
              <w:rPr>
                <w:color w:val="000000"/>
                <w:lang w:val="en-AU"/>
              </w:rPr>
              <w:t>43</w:t>
            </w:r>
          </w:p>
        </w:tc>
        <w:tc>
          <w:tcPr>
            <w:tcW w:w="565" w:type="pct"/>
          </w:tcPr>
          <w:p w14:paraId="193DA3F6" w14:textId="77777777" w:rsidR="00AA7C6B" w:rsidRPr="00331240" w:rsidRDefault="00AA7C6B" w:rsidP="0025132C">
            <w:pPr>
              <w:pStyle w:val="Tabletext"/>
              <w:rPr>
                <w:lang w:val="en-AU"/>
              </w:rPr>
            </w:pPr>
            <w:r w:rsidRPr="00331240">
              <w:rPr>
                <w:color w:val="000000"/>
                <w:lang w:val="en-AU"/>
              </w:rPr>
              <w:t>52</w:t>
            </w:r>
          </w:p>
        </w:tc>
        <w:tc>
          <w:tcPr>
            <w:tcW w:w="565" w:type="pct"/>
          </w:tcPr>
          <w:p w14:paraId="6CC7C43E" w14:textId="77777777" w:rsidR="00AA7C6B" w:rsidRPr="00331240" w:rsidRDefault="00AA7C6B" w:rsidP="0025132C">
            <w:pPr>
              <w:pStyle w:val="Tabletext"/>
              <w:rPr>
                <w:lang w:val="en-AU"/>
              </w:rPr>
            </w:pPr>
            <w:r w:rsidRPr="00331240">
              <w:rPr>
                <w:color w:val="000000"/>
                <w:lang w:val="en-AU"/>
              </w:rPr>
              <w:t>62</w:t>
            </w:r>
          </w:p>
        </w:tc>
        <w:tc>
          <w:tcPr>
            <w:tcW w:w="565" w:type="pct"/>
          </w:tcPr>
          <w:p w14:paraId="46C08159" w14:textId="77777777" w:rsidR="00AA7C6B" w:rsidRPr="00331240" w:rsidRDefault="00AA7C6B" w:rsidP="0025132C">
            <w:pPr>
              <w:pStyle w:val="Tabletext"/>
              <w:rPr>
                <w:lang w:val="en-AU"/>
              </w:rPr>
            </w:pPr>
            <w:r w:rsidRPr="00331240">
              <w:rPr>
                <w:color w:val="000000"/>
                <w:lang w:val="en-AU"/>
              </w:rPr>
              <w:t>75</w:t>
            </w:r>
          </w:p>
        </w:tc>
      </w:tr>
      <w:tr w:rsidR="0025132C" w:rsidRPr="00331240" w14:paraId="04A245AE" w14:textId="77777777" w:rsidTr="0056425E">
        <w:trPr>
          <w:trHeight w:val="300"/>
        </w:trPr>
        <w:tc>
          <w:tcPr>
            <w:tcW w:w="1705" w:type="pct"/>
          </w:tcPr>
          <w:p w14:paraId="42F398D4" w14:textId="01B53BB2" w:rsidR="00AA7C6B" w:rsidRPr="00331240" w:rsidRDefault="00AA7C6B" w:rsidP="0025132C">
            <w:pPr>
              <w:pStyle w:val="Tabletext"/>
              <w:rPr>
                <w:lang w:val="en-AU"/>
              </w:rPr>
            </w:pPr>
            <w:r w:rsidRPr="00331240">
              <w:rPr>
                <w:color w:val="000000"/>
                <w:lang w:val="en-AU"/>
              </w:rPr>
              <w:t>Replacement DBS</w:t>
            </w:r>
          </w:p>
        </w:tc>
        <w:tc>
          <w:tcPr>
            <w:tcW w:w="533" w:type="pct"/>
          </w:tcPr>
          <w:p w14:paraId="163AD01D" w14:textId="77777777" w:rsidR="00AA7C6B" w:rsidRPr="00331240" w:rsidRDefault="00AA7C6B" w:rsidP="0025132C">
            <w:pPr>
              <w:pStyle w:val="Tabletext"/>
              <w:rPr>
                <w:lang w:val="en-AU"/>
              </w:rPr>
            </w:pPr>
            <w:r w:rsidRPr="00331240">
              <w:rPr>
                <w:color w:val="000000"/>
                <w:lang w:val="en-AU"/>
              </w:rPr>
              <w:t>0</w:t>
            </w:r>
          </w:p>
        </w:tc>
        <w:tc>
          <w:tcPr>
            <w:tcW w:w="533" w:type="pct"/>
          </w:tcPr>
          <w:p w14:paraId="694EACDE" w14:textId="77777777" w:rsidR="00AA7C6B" w:rsidRPr="00331240" w:rsidRDefault="00AA7C6B" w:rsidP="0025132C">
            <w:pPr>
              <w:pStyle w:val="Tabletext"/>
              <w:rPr>
                <w:lang w:val="en-AU"/>
              </w:rPr>
            </w:pPr>
            <w:r w:rsidRPr="00331240">
              <w:rPr>
                <w:color w:val="000000"/>
                <w:lang w:val="en-AU"/>
              </w:rPr>
              <w:t>0</w:t>
            </w:r>
          </w:p>
        </w:tc>
        <w:tc>
          <w:tcPr>
            <w:tcW w:w="533" w:type="pct"/>
          </w:tcPr>
          <w:p w14:paraId="0A4AB3AB" w14:textId="77777777" w:rsidR="00AA7C6B" w:rsidRPr="00331240" w:rsidRDefault="00AA7C6B" w:rsidP="0025132C">
            <w:pPr>
              <w:pStyle w:val="Tabletext"/>
              <w:rPr>
                <w:lang w:val="en-AU"/>
              </w:rPr>
            </w:pPr>
            <w:r w:rsidRPr="00331240">
              <w:rPr>
                <w:color w:val="000000"/>
                <w:lang w:val="en-AU"/>
              </w:rPr>
              <w:t>0</w:t>
            </w:r>
          </w:p>
        </w:tc>
        <w:tc>
          <w:tcPr>
            <w:tcW w:w="565" w:type="pct"/>
          </w:tcPr>
          <w:p w14:paraId="6EDB53A0" w14:textId="77777777" w:rsidR="00AA7C6B" w:rsidRPr="00331240" w:rsidRDefault="00AA7C6B" w:rsidP="0025132C">
            <w:pPr>
              <w:pStyle w:val="Tabletext"/>
              <w:rPr>
                <w:lang w:val="en-AU"/>
              </w:rPr>
            </w:pPr>
            <w:r w:rsidRPr="00331240">
              <w:rPr>
                <w:color w:val="000000"/>
                <w:lang w:val="en-AU"/>
              </w:rPr>
              <w:t>0</w:t>
            </w:r>
          </w:p>
        </w:tc>
        <w:tc>
          <w:tcPr>
            <w:tcW w:w="565" w:type="pct"/>
          </w:tcPr>
          <w:p w14:paraId="6F241D47" w14:textId="77777777" w:rsidR="00AA7C6B" w:rsidRPr="00331240" w:rsidRDefault="00AA7C6B" w:rsidP="0025132C">
            <w:pPr>
              <w:pStyle w:val="Tabletext"/>
              <w:rPr>
                <w:lang w:val="en-AU"/>
              </w:rPr>
            </w:pPr>
            <w:r w:rsidRPr="00331240">
              <w:rPr>
                <w:color w:val="000000"/>
                <w:lang w:val="en-AU"/>
              </w:rPr>
              <w:t>0</w:t>
            </w:r>
          </w:p>
        </w:tc>
        <w:tc>
          <w:tcPr>
            <w:tcW w:w="565" w:type="pct"/>
          </w:tcPr>
          <w:p w14:paraId="57842C3F" w14:textId="77777777" w:rsidR="00AA7C6B" w:rsidRPr="00331240" w:rsidRDefault="00AA7C6B" w:rsidP="0025132C">
            <w:pPr>
              <w:pStyle w:val="Tabletext"/>
              <w:rPr>
                <w:lang w:val="en-AU"/>
              </w:rPr>
            </w:pPr>
            <w:r w:rsidRPr="00331240">
              <w:rPr>
                <w:color w:val="000000"/>
                <w:lang w:val="en-AU"/>
              </w:rPr>
              <w:t>29</w:t>
            </w:r>
          </w:p>
        </w:tc>
      </w:tr>
      <w:tr w:rsidR="0025132C" w:rsidRPr="00331240" w14:paraId="0B5B9E3C" w14:textId="77777777" w:rsidTr="0056425E">
        <w:trPr>
          <w:trHeight w:val="300"/>
        </w:trPr>
        <w:tc>
          <w:tcPr>
            <w:tcW w:w="1705" w:type="pct"/>
          </w:tcPr>
          <w:p w14:paraId="6057E10D" w14:textId="77777777" w:rsidR="00AA7C6B" w:rsidRPr="00331240" w:rsidRDefault="00AA7C6B" w:rsidP="0025132C">
            <w:pPr>
              <w:pStyle w:val="Tabletext"/>
              <w:rPr>
                <w:lang w:val="en-AU"/>
              </w:rPr>
            </w:pPr>
            <w:r w:rsidRPr="00331240">
              <w:rPr>
                <w:color w:val="000000"/>
                <w:lang w:val="en-AU"/>
              </w:rPr>
              <w:t>Patients with VNS initial implantation</w:t>
            </w:r>
          </w:p>
        </w:tc>
        <w:tc>
          <w:tcPr>
            <w:tcW w:w="533" w:type="pct"/>
          </w:tcPr>
          <w:p w14:paraId="26619C72" w14:textId="77777777" w:rsidR="00AA7C6B" w:rsidRPr="00331240" w:rsidRDefault="00AA7C6B" w:rsidP="0025132C">
            <w:pPr>
              <w:pStyle w:val="Tabletext"/>
              <w:rPr>
                <w:lang w:val="en-AU"/>
              </w:rPr>
            </w:pPr>
            <w:r w:rsidRPr="00331240">
              <w:rPr>
                <w:color w:val="000000"/>
                <w:lang w:val="en-AU"/>
              </w:rPr>
              <w:t>-30</w:t>
            </w:r>
          </w:p>
        </w:tc>
        <w:tc>
          <w:tcPr>
            <w:tcW w:w="533" w:type="pct"/>
          </w:tcPr>
          <w:p w14:paraId="09BB8A66" w14:textId="77777777" w:rsidR="00AA7C6B" w:rsidRPr="00331240" w:rsidRDefault="00AA7C6B" w:rsidP="0025132C">
            <w:pPr>
              <w:pStyle w:val="Tabletext"/>
              <w:rPr>
                <w:lang w:val="en-AU"/>
              </w:rPr>
            </w:pPr>
            <w:r w:rsidRPr="00331240">
              <w:rPr>
                <w:color w:val="000000"/>
                <w:lang w:val="en-AU"/>
              </w:rPr>
              <w:t>-36</w:t>
            </w:r>
          </w:p>
        </w:tc>
        <w:tc>
          <w:tcPr>
            <w:tcW w:w="533" w:type="pct"/>
          </w:tcPr>
          <w:p w14:paraId="7AB91B61" w14:textId="77777777" w:rsidR="00AA7C6B" w:rsidRPr="00331240" w:rsidRDefault="00AA7C6B" w:rsidP="0025132C">
            <w:pPr>
              <w:pStyle w:val="Tabletext"/>
              <w:rPr>
                <w:lang w:val="en-AU"/>
              </w:rPr>
            </w:pPr>
            <w:r w:rsidRPr="00331240">
              <w:rPr>
                <w:color w:val="000000"/>
                <w:lang w:val="en-AU"/>
              </w:rPr>
              <w:t>-43</w:t>
            </w:r>
          </w:p>
        </w:tc>
        <w:tc>
          <w:tcPr>
            <w:tcW w:w="565" w:type="pct"/>
          </w:tcPr>
          <w:p w14:paraId="2A5C5E83" w14:textId="77777777" w:rsidR="00AA7C6B" w:rsidRPr="00331240" w:rsidRDefault="00AA7C6B" w:rsidP="0025132C">
            <w:pPr>
              <w:pStyle w:val="Tabletext"/>
              <w:rPr>
                <w:lang w:val="en-AU"/>
              </w:rPr>
            </w:pPr>
            <w:r w:rsidRPr="00331240">
              <w:rPr>
                <w:color w:val="000000"/>
                <w:lang w:val="en-AU"/>
              </w:rPr>
              <w:t>-52</w:t>
            </w:r>
          </w:p>
        </w:tc>
        <w:tc>
          <w:tcPr>
            <w:tcW w:w="565" w:type="pct"/>
          </w:tcPr>
          <w:p w14:paraId="34A28E40" w14:textId="77777777" w:rsidR="00AA7C6B" w:rsidRPr="00331240" w:rsidRDefault="00AA7C6B" w:rsidP="0025132C">
            <w:pPr>
              <w:pStyle w:val="Tabletext"/>
              <w:rPr>
                <w:lang w:val="en-AU"/>
              </w:rPr>
            </w:pPr>
            <w:r w:rsidRPr="00331240">
              <w:rPr>
                <w:color w:val="000000"/>
                <w:lang w:val="en-AU"/>
              </w:rPr>
              <w:t>-62</w:t>
            </w:r>
          </w:p>
        </w:tc>
        <w:tc>
          <w:tcPr>
            <w:tcW w:w="565" w:type="pct"/>
          </w:tcPr>
          <w:p w14:paraId="5B37EBBD" w14:textId="77777777" w:rsidR="00AA7C6B" w:rsidRPr="00331240" w:rsidRDefault="00AA7C6B" w:rsidP="0025132C">
            <w:pPr>
              <w:pStyle w:val="Tabletext"/>
              <w:rPr>
                <w:lang w:val="en-AU"/>
              </w:rPr>
            </w:pPr>
            <w:r w:rsidRPr="00331240">
              <w:rPr>
                <w:color w:val="000000"/>
                <w:lang w:val="en-AU"/>
              </w:rPr>
              <w:t>-75</w:t>
            </w:r>
          </w:p>
        </w:tc>
      </w:tr>
      <w:tr w:rsidR="0025132C" w:rsidRPr="00331240" w14:paraId="1A89E962" w14:textId="77777777" w:rsidTr="007562D0">
        <w:trPr>
          <w:trHeight w:val="300"/>
        </w:trPr>
        <w:tc>
          <w:tcPr>
            <w:tcW w:w="1705" w:type="pct"/>
            <w:tcBorders>
              <w:bottom w:val="single" w:sz="4" w:space="0" w:color="auto"/>
            </w:tcBorders>
          </w:tcPr>
          <w:p w14:paraId="54D21ED7" w14:textId="77777777" w:rsidR="00AA7C6B" w:rsidRPr="00331240" w:rsidRDefault="00AA7C6B" w:rsidP="0025132C">
            <w:pPr>
              <w:pStyle w:val="Tabletext"/>
              <w:rPr>
                <w:lang w:val="en-AU"/>
              </w:rPr>
            </w:pPr>
            <w:r w:rsidRPr="00331240">
              <w:rPr>
                <w:color w:val="000000"/>
                <w:lang w:val="en-AU"/>
              </w:rPr>
              <w:t>Replacement VNS</w:t>
            </w:r>
          </w:p>
        </w:tc>
        <w:tc>
          <w:tcPr>
            <w:tcW w:w="533" w:type="pct"/>
            <w:tcBorders>
              <w:bottom w:val="single" w:sz="4" w:space="0" w:color="auto"/>
            </w:tcBorders>
          </w:tcPr>
          <w:p w14:paraId="1BF5FD0B" w14:textId="77777777" w:rsidR="00AA7C6B" w:rsidRPr="00331240" w:rsidRDefault="00AA7C6B" w:rsidP="0025132C">
            <w:pPr>
              <w:pStyle w:val="Tabletext"/>
              <w:rPr>
                <w:lang w:val="en-AU"/>
              </w:rPr>
            </w:pPr>
            <w:r w:rsidRPr="00331240">
              <w:rPr>
                <w:color w:val="000000"/>
                <w:lang w:val="en-AU"/>
              </w:rPr>
              <w:t>0</w:t>
            </w:r>
          </w:p>
        </w:tc>
        <w:tc>
          <w:tcPr>
            <w:tcW w:w="533" w:type="pct"/>
            <w:tcBorders>
              <w:bottom w:val="single" w:sz="4" w:space="0" w:color="auto"/>
            </w:tcBorders>
          </w:tcPr>
          <w:p w14:paraId="46F947CB" w14:textId="77777777" w:rsidR="00AA7C6B" w:rsidRPr="00331240" w:rsidRDefault="00AA7C6B" w:rsidP="0025132C">
            <w:pPr>
              <w:pStyle w:val="Tabletext"/>
              <w:rPr>
                <w:lang w:val="en-AU"/>
              </w:rPr>
            </w:pPr>
            <w:r w:rsidRPr="00331240">
              <w:rPr>
                <w:color w:val="000000"/>
                <w:lang w:val="en-AU"/>
              </w:rPr>
              <w:t>0</w:t>
            </w:r>
          </w:p>
        </w:tc>
        <w:tc>
          <w:tcPr>
            <w:tcW w:w="533" w:type="pct"/>
            <w:tcBorders>
              <w:bottom w:val="single" w:sz="4" w:space="0" w:color="auto"/>
            </w:tcBorders>
          </w:tcPr>
          <w:p w14:paraId="64440472" w14:textId="77777777" w:rsidR="00AA7C6B" w:rsidRPr="00331240" w:rsidRDefault="00AA7C6B" w:rsidP="0025132C">
            <w:pPr>
              <w:pStyle w:val="Tabletext"/>
              <w:rPr>
                <w:lang w:val="en-AU"/>
              </w:rPr>
            </w:pPr>
            <w:r w:rsidRPr="00331240">
              <w:rPr>
                <w:color w:val="000000"/>
                <w:lang w:val="en-AU"/>
              </w:rPr>
              <w:t>0</w:t>
            </w:r>
          </w:p>
        </w:tc>
        <w:tc>
          <w:tcPr>
            <w:tcW w:w="565" w:type="pct"/>
            <w:tcBorders>
              <w:bottom w:val="single" w:sz="4" w:space="0" w:color="auto"/>
            </w:tcBorders>
          </w:tcPr>
          <w:p w14:paraId="206B711E" w14:textId="77777777" w:rsidR="00AA7C6B" w:rsidRPr="00331240" w:rsidRDefault="00AA7C6B" w:rsidP="0025132C">
            <w:pPr>
              <w:pStyle w:val="Tabletext"/>
              <w:rPr>
                <w:lang w:val="en-AU"/>
              </w:rPr>
            </w:pPr>
            <w:r w:rsidRPr="00331240">
              <w:rPr>
                <w:color w:val="000000"/>
                <w:lang w:val="en-AU"/>
              </w:rPr>
              <w:t>0</w:t>
            </w:r>
          </w:p>
        </w:tc>
        <w:tc>
          <w:tcPr>
            <w:tcW w:w="565" w:type="pct"/>
            <w:tcBorders>
              <w:bottom w:val="single" w:sz="4" w:space="0" w:color="auto"/>
            </w:tcBorders>
          </w:tcPr>
          <w:p w14:paraId="54DF4E5C" w14:textId="77777777" w:rsidR="00AA7C6B" w:rsidRPr="00331240" w:rsidRDefault="00AA7C6B" w:rsidP="0025132C">
            <w:pPr>
              <w:pStyle w:val="Tabletext"/>
              <w:rPr>
                <w:lang w:val="en-AU"/>
              </w:rPr>
            </w:pPr>
            <w:r w:rsidRPr="00331240">
              <w:rPr>
                <w:color w:val="000000"/>
                <w:lang w:val="en-AU"/>
              </w:rPr>
              <w:t>0</w:t>
            </w:r>
          </w:p>
        </w:tc>
        <w:tc>
          <w:tcPr>
            <w:tcW w:w="565" w:type="pct"/>
            <w:tcBorders>
              <w:bottom w:val="single" w:sz="4" w:space="0" w:color="auto"/>
            </w:tcBorders>
          </w:tcPr>
          <w:p w14:paraId="15CDFDAF" w14:textId="77777777" w:rsidR="00AA7C6B" w:rsidRPr="00331240" w:rsidRDefault="00AA7C6B" w:rsidP="0025132C">
            <w:pPr>
              <w:pStyle w:val="Tabletext"/>
              <w:rPr>
                <w:lang w:val="en-AU"/>
              </w:rPr>
            </w:pPr>
            <w:r w:rsidRPr="00331240">
              <w:rPr>
                <w:color w:val="000000"/>
                <w:lang w:val="en-AU"/>
              </w:rPr>
              <w:t>0</w:t>
            </w:r>
          </w:p>
        </w:tc>
      </w:tr>
      <w:tr w:rsidR="0025132C" w:rsidRPr="00331240" w14:paraId="7679F270" w14:textId="77777777" w:rsidTr="007562D0">
        <w:trPr>
          <w:trHeight w:val="300"/>
        </w:trPr>
        <w:tc>
          <w:tcPr>
            <w:tcW w:w="1705" w:type="pct"/>
            <w:tcBorders>
              <w:right w:val="nil"/>
            </w:tcBorders>
          </w:tcPr>
          <w:p w14:paraId="37CB2107" w14:textId="77777777" w:rsidR="00AA7C6B" w:rsidRPr="00331240" w:rsidRDefault="00AA7C6B" w:rsidP="0025132C">
            <w:pPr>
              <w:pStyle w:val="Tabletext"/>
              <w:rPr>
                <w:lang w:val="en-AU"/>
              </w:rPr>
            </w:pPr>
            <w:r w:rsidRPr="00331240">
              <w:rPr>
                <w:lang w:val="en-AU"/>
              </w:rPr>
              <w:t>MBS Costs</w:t>
            </w:r>
          </w:p>
        </w:tc>
        <w:tc>
          <w:tcPr>
            <w:tcW w:w="533" w:type="pct"/>
            <w:tcBorders>
              <w:left w:val="nil"/>
              <w:right w:val="nil"/>
            </w:tcBorders>
          </w:tcPr>
          <w:p w14:paraId="06BEEDE0" w14:textId="77777777" w:rsidR="00AA7C6B" w:rsidRPr="00331240" w:rsidRDefault="00AA7C6B" w:rsidP="0025132C">
            <w:pPr>
              <w:pStyle w:val="Tabletext"/>
              <w:rPr>
                <w:lang w:val="en-AU"/>
              </w:rPr>
            </w:pPr>
          </w:p>
        </w:tc>
        <w:tc>
          <w:tcPr>
            <w:tcW w:w="533" w:type="pct"/>
            <w:tcBorders>
              <w:left w:val="nil"/>
              <w:right w:val="nil"/>
            </w:tcBorders>
          </w:tcPr>
          <w:p w14:paraId="65B8662A" w14:textId="77777777" w:rsidR="00AA7C6B" w:rsidRPr="00331240" w:rsidRDefault="00AA7C6B" w:rsidP="0025132C">
            <w:pPr>
              <w:pStyle w:val="Tabletext"/>
              <w:rPr>
                <w:lang w:val="en-AU"/>
              </w:rPr>
            </w:pPr>
          </w:p>
        </w:tc>
        <w:tc>
          <w:tcPr>
            <w:tcW w:w="533" w:type="pct"/>
            <w:tcBorders>
              <w:left w:val="nil"/>
              <w:right w:val="nil"/>
            </w:tcBorders>
          </w:tcPr>
          <w:p w14:paraId="6E345782" w14:textId="77777777" w:rsidR="00AA7C6B" w:rsidRPr="00331240" w:rsidRDefault="00AA7C6B" w:rsidP="0025132C">
            <w:pPr>
              <w:pStyle w:val="Tabletext"/>
              <w:rPr>
                <w:lang w:val="en-AU"/>
              </w:rPr>
            </w:pPr>
          </w:p>
        </w:tc>
        <w:tc>
          <w:tcPr>
            <w:tcW w:w="565" w:type="pct"/>
            <w:tcBorders>
              <w:left w:val="nil"/>
              <w:right w:val="nil"/>
            </w:tcBorders>
          </w:tcPr>
          <w:p w14:paraId="690E18E6" w14:textId="77777777" w:rsidR="00AA7C6B" w:rsidRPr="00331240" w:rsidRDefault="00AA7C6B" w:rsidP="0025132C">
            <w:pPr>
              <w:pStyle w:val="Tabletext"/>
              <w:rPr>
                <w:lang w:val="en-AU"/>
              </w:rPr>
            </w:pPr>
          </w:p>
        </w:tc>
        <w:tc>
          <w:tcPr>
            <w:tcW w:w="565" w:type="pct"/>
            <w:tcBorders>
              <w:left w:val="nil"/>
              <w:right w:val="nil"/>
            </w:tcBorders>
          </w:tcPr>
          <w:p w14:paraId="5CDE275D" w14:textId="77777777" w:rsidR="00AA7C6B" w:rsidRPr="00331240" w:rsidRDefault="00AA7C6B" w:rsidP="0025132C">
            <w:pPr>
              <w:pStyle w:val="Tabletext"/>
              <w:rPr>
                <w:lang w:val="en-AU"/>
              </w:rPr>
            </w:pPr>
          </w:p>
        </w:tc>
        <w:tc>
          <w:tcPr>
            <w:tcW w:w="565" w:type="pct"/>
            <w:tcBorders>
              <w:left w:val="nil"/>
            </w:tcBorders>
          </w:tcPr>
          <w:p w14:paraId="519905A2" w14:textId="77777777" w:rsidR="00AA7C6B" w:rsidRPr="00331240" w:rsidRDefault="00AA7C6B" w:rsidP="0025132C">
            <w:pPr>
              <w:pStyle w:val="Tabletext"/>
              <w:rPr>
                <w:lang w:val="en-AU"/>
              </w:rPr>
            </w:pPr>
          </w:p>
        </w:tc>
      </w:tr>
      <w:tr w:rsidR="00163011" w:rsidRPr="00331240" w14:paraId="4B14C575" w14:textId="77777777" w:rsidTr="0056425E">
        <w:trPr>
          <w:trHeight w:val="300"/>
        </w:trPr>
        <w:tc>
          <w:tcPr>
            <w:tcW w:w="1705" w:type="pct"/>
            <w:hideMark/>
          </w:tcPr>
          <w:p w14:paraId="3F56A3AE" w14:textId="77777777" w:rsidR="00163011" w:rsidRPr="00331240" w:rsidRDefault="00163011" w:rsidP="00163011">
            <w:pPr>
              <w:pStyle w:val="Tabletext"/>
              <w:rPr>
                <w:lang w:val="en-AU"/>
              </w:rPr>
            </w:pPr>
            <w:r w:rsidRPr="00331240">
              <w:rPr>
                <w:lang w:val="en-AU"/>
              </w:rPr>
              <w:t>DBS</w:t>
            </w:r>
          </w:p>
        </w:tc>
        <w:tc>
          <w:tcPr>
            <w:tcW w:w="533" w:type="pct"/>
            <w:hideMark/>
          </w:tcPr>
          <w:p w14:paraId="79D220C0" w14:textId="35EBBC83" w:rsidR="00163011" w:rsidRPr="00331240" w:rsidRDefault="00163011" w:rsidP="00163011">
            <w:pPr>
              <w:pStyle w:val="Tabletext"/>
              <w:rPr>
                <w:lang w:val="en-AU"/>
              </w:rPr>
            </w:pPr>
            <w:r w:rsidRPr="00331240">
              <w:rPr>
                <w:rFonts w:cs="Calibri"/>
                <w:szCs w:val="20"/>
                <w:lang w:val="en-AU"/>
              </w:rPr>
              <w:t>$215,488</w:t>
            </w:r>
          </w:p>
        </w:tc>
        <w:tc>
          <w:tcPr>
            <w:tcW w:w="533" w:type="pct"/>
            <w:hideMark/>
          </w:tcPr>
          <w:p w14:paraId="0D3F5E17" w14:textId="2FABCB54" w:rsidR="00163011" w:rsidRPr="00331240" w:rsidRDefault="00163011" w:rsidP="00163011">
            <w:pPr>
              <w:pStyle w:val="Tabletext"/>
              <w:rPr>
                <w:lang w:val="en-AU"/>
              </w:rPr>
            </w:pPr>
            <w:r w:rsidRPr="00331240">
              <w:rPr>
                <w:rFonts w:cs="Calibri"/>
                <w:szCs w:val="20"/>
                <w:lang w:val="en-AU"/>
              </w:rPr>
              <w:t>$263,700</w:t>
            </w:r>
          </w:p>
        </w:tc>
        <w:tc>
          <w:tcPr>
            <w:tcW w:w="533" w:type="pct"/>
            <w:hideMark/>
          </w:tcPr>
          <w:p w14:paraId="5309410A" w14:textId="6CA411E8" w:rsidR="00163011" w:rsidRPr="00331240" w:rsidRDefault="00163011" w:rsidP="00163011">
            <w:pPr>
              <w:pStyle w:val="Tabletext"/>
              <w:rPr>
                <w:lang w:val="en-AU"/>
              </w:rPr>
            </w:pPr>
            <w:r w:rsidRPr="00331240">
              <w:rPr>
                <w:rFonts w:cs="Calibri"/>
                <w:szCs w:val="20"/>
                <w:lang w:val="en-AU"/>
              </w:rPr>
              <w:t>$321,555</w:t>
            </w:r>
          </w:p>
        </w:tc>
        <w:tc>
          <w:tcPr>
            <w:tcW w:w="565" w:type="pct"/>
            <w:hideMark/>
          </w:tcPr>
          <w:p w14:paraId="25110EAD" w14:textId="6D4FDA8E" w:rsidR="00163011" w:rsidRPr="00331240" w:rsidRDefault="00163011" w:rsidP="00163011">
            <w:pPr>
              <w:pStyle w:val="Tabletext"/>
              <w:rPr>
                <w:lang w:val="en-AU"/>
              </w:rPr>
            </w:pPr>
            <w:r w:rsidRPr="00331240">
              <w:rPr>
                <w:rFonts w:cs="Calibri"/>
                <w:szCs w:val="20"/>
                <w:lang w:val="en-AU"/>
              </w:rPr>
              <w:t>$390,981</w:t>
            </w:r>
          </w:p>
        </w:tc>
        <w:tc>
          <w:tcPr>
            <w:tcW w:w="565" w:type="pct"/>
            <w:hideMark/>
          </w:tcPr>
          <w:p w14:paraId="1A6CC7DC" w14:textId="2B805B5E" w:rsidR="00163011" w:rsidRPr="00331240" w:rsidRDefault="00163011" w:rsidP="00163011">
            <w:pPr>
              <w:pStyle w:val="Tabletext"/>
              <w:rPr>
                <w:lang w:val="en-AU"/>
              </w:rPr>
            </w:pPr>
            <w:r w:rsidRPr="00331240">
              <w:rPr>
                <w:rFonts w:cs="Calibri"/>
                <w:szCs w:val="20"/>
                <w:lang w:val="en-AU"/>
              </w:rPr>
              <w:t>$474,293</w:t>
            </w:r>
          </w:p>
        </w:tc>
        <w:tc>
          <w:tcPr>
            <w:tcW w:w="565" w:type="pct"/>
            <w:hideMark/>
          </w:tcPr>
          <w:p w14:paraId="5A3C0190" w14:textId="763E00A2" w:rsidR="00163011" w:rsidRPr="00331240" w:rsidRDefault="00163011" w:rsidP="00163011">
            <w:pPr>
              <w:pStyle w:val="Tabletext"/>
              <w:rPr>
                <w:lang w:val="en-AU"/>
              </w:rPr>
            </w:pPr>
            <w:r w:rsidRPr="00331240">
              <w:rPr>
                <w:rFonts w:cs="Calibri"/>
                <w:szCs w:val="20"/>
                <w:lang w:val="en-AU"/>
              </w:rPr>
              <w:t>$587,365</w:t>
            </w:r>
          </w:p>
        </w:tc>
      </w:tr>
      <w:tr w:rsidR="00163011" w:rsidRPr="00331240" w14:paraId="062EE444" w14:textId="77777777" w:rsidTr="0056425E">
        <w:trPr>
          <w:trHeight w:val="300"/>
        </w:trPr>
        <w:tc>
          <w:tcPr>
            <w:tcW w:w="1705" w:type="pct"/>
            <w:hideMark/>
          </w:tcPr>
          <w:p w14:paraId="76E7F2AA" w14:textId="77777777" w:rsidR="00163011" w:rsidRPr="00331240" w:rsidRDefault="00163011" w:rsidP="00163011">
            <w:pPr>
              <w:pStyle w:val="Tabletext"/>
              <w:rPr>
                <w:lang w:val="en-AU"/>
              </w:rPr>
            </w:pPr>
            <w:r w:rsidRPr="00331240">
              <w:rPr>
                <w:lang w:val="en-AU"/>
              </w:rPr>
              <w:t>VNS</w:t>
            </w:r>
          </w:p>
        </w:tc>
        <w:tc>
          <w:tcPr>
            <w:tcW w:w="533" w:type="pct"/>
            <w:hideMark/>
          </w:tcPr>
          <w:p w14:paraId="3B5569CE" w14:textId="43AB3EBD" w:rsidR="00163011" w:rsidRPr="00331240" w:rsidRDefault="00163011" w:rsidP="00163011">
            <w:pPr>
              <w:pStyle w:val="Tabletext"/>
              <w:rPr>
                <w:lang w:val="en-AU"/>
              </w:rPr>
            </w:pPr>
            <w:r w:rsidRPr="00331240">
              <w:rPr>
                <w:rFonts w:cs="Calibri"/>
                <w:szCs w:val="20"/>
                <w:lang w:val="en-AU"/>
              </w:rPr>
              <w:t>-$55,932</w:t>
            </w:r>
          </w:p>
        </w:tc>
        <w:tc>
          <w:tcPr>
            <w:tcW w:w="533" w:type="pct"/>
            <w:hideMark/>
          </w:tcPr>
          <w:p w14:paraId="56C8DC07" w14:textId="1B92A41E" w:rsidR="00163011" w:rsidRPr="00331240" w:rsidRDefault="00163011" w:rsidP="00163011">
            <w:pPr>
              <w:pStyle w:val="Tabletext"/>
              <w:rPr>
                <w:lang w:val="en-AU"/>
              </w:rPr>
            </w:pPr>
            <w:r w:rsidRPr="00331240">
              <w:rPr>
                <w:rFonts w:cs="Calibri"/>
                <w:szCs w:val="20"/>
                <w:lang w:val="en-AU"/>
              </w:rPr>
              <w:t>-$72,234</w:t>
            </w:r>
          </w:p>
        </w:tc>
        <w:tc>
          <w:tcPr>
            <w:tcW w:w="533" w:type="pct"/>
            <w:hideMark/>
          </w:tcPr>
          <w:p w14:paraId="72ADCA5D" w14:textId="63AEC300" w:rsidR="00163011" w:rsidRPr="00331240" w:rsidRDefault="00163011" w:rsidP="00163011">
            <w:pPr>
              <w:pStyle w:val="Tabletext"/>
              <w:rPr>
                <w:lang w:val="en-AU"/>
              </w:rPr>
            </w:pPr>
            <w:r w:rsidRPr="00331240">
              <w:rPr>
                <w:rFonts w:cs="Calibri"/>
                <w:szCs w:val="20"/>
                <w:lang w:val="en-AU"/>
              </w:rPr>
              <w:t>-$91,795</w:t>
            </w:r>
          </w:p>
        </w:tc>
        <w:tc>
          <w:tcPr>
            <w:tcW w:w="565" w:type="pct"/>
            <w:hideMark/>
          </w:tcPr>
          <w:p w14:paraId="1039391D" w14:textId="427BC85E" w:rsidR="00163011" w:rsidRPr="00331240" w:rsidRDefault="00163011" w:rsidP="00163011">
            <w:pPr>
              <w:pStyle w:val="Tabletext"/>
              <w:rPr>
                <w:lang w:val="en-AU"/>
              </w:rPr>
            </w:pPr>
            <w:r w:rsidRPr="00331240">
              <w:rPr>
                <w:rFonts w:cs="Calibri"/>
                <w:szCs w:val="20"/>
                <w:lang w:val="en-AU"/>
              </w:rPr>
              <w:t>-$115,269</w:t>
            </w:r>
          </w:p>
        </w:tc>
        <w:tc>
          <w:tcPr>
            <w:tcW w:w="565" w:type="pct"/>
            <w:hideMark/>
          </w:tcPr>
          <w:p w14:paraId="7E50D397" w14:textId="21C2912C" w:rsidR="00163011" w:rsidRPr="00331240" w:rsidRDefault="00163011" w:rsidP="00163011">
            <w:pPr>
              <w:pStyle w:val="Tabletext"/>
              <w:rPr>
                <w:lang w:val="en-AU"/>
              </w:rPr>
            </w:pPr>
            <w:r w:rsidRPr="00331240">
              <w:rPr>
                <w:rFonts w:cs="Calibri"/>
                <w:szCs w:val="20"/>
                <w:lang w:val="en-AU"/>
              </w:rPr>
              <w:t>-$143,438</w:t>
            </w:r>
          </w:p>
        </w:tc>
        <w:tc>
          <w:tcPr>
            <w:tcW w:w="565" w:type="pct"/>
            <w:hideMark/>
          </w:tcPr>
          <w:p w14:paraId="7DD241AF" w14:textId="4048025A" w:rsidR="00163011" w:rsidRPr="00331240" w:rsidRDefault="00163011" w:rsidP="00163011">
            <w:pPr>
              <w:pStyle w:val="Tabletext"/>
              <w:rPr>
                <w:lang w:val="en-AU"/>
              </w:rPr>
            </w:pPr>
            <w:r w:rsidRPr="00331240">
              <w:rPr>
                <w:rFonts w:cs="Calibri"/>
                <w:szCs w:val="20"/>
                <w:lang w:val="en-AU"/>
              </w:rPr>
              <w:t>-$177,240</w:t>
            </w:r>
          </w:p>
        </w:tc>
      </w:tr>
      <w:tr w:rsidR="00163011" w:rsidRPr="00331240" w14:paraId="0DEBB75A" w14:textId="77777777" w:rsidTr="0056425E">
        <w:trPr>
          <w:trHeight w:val="300"/>
        </w:trPr>
        <w:tc>
          <w:tcPr>
            <w:tcW w:w="1705" w:type="pct"/>
            <w:hideMark/>
          </w:tcPr>
          <w:p w14:paraId="4FF7CAC3" w14:textId="77777777" w:rsidR="00163011" w:rsidRPr="00331240" w:rsidRDefault="00163011" w:rsidP="00163011">
            <w:pPr>
              <w:pStyle w:val="Tabletext"/>
              <w:rPr>
                <w:lang w:val="en-AU"/>
              </w:rPr>
            </w:pPr>
            <w:r w:rsidRPr="00331240">
              <w:rPr>
                <w:lang w:val="en-AU"/>
              </w:rPr>
              <w:t>Net cost</w:t>
            </w:r>
          </w:p>
        </w:tc>
        <w:tc>
          <w:tcPr>
            <w:tcW w:w="533" w:type="pct"/>
            <w:noWrap/>
            <w:hideMark/>
          </w:tcPr>
          <w:p w14:paraId="702A6E4F" w14:textId="258F0778" w:rsidR="00163011" w:rsidRPr="00331240" w:rsidRDefault="00163011" w:rsidP="00163011">
            <w:pPr>
              <w:pStyle w:val="Tabletext"/>
              <w:rPr>
                <w:color w:val="000000"/>
                <w:lang w:val="en-AU"/>
              </w:rPr>
            </w:pPr>
            <w:r w:rsidRPr="00331240">
              <w:rPr>
                <w:rFonts w:cs="Calibri"/>
                <w:b/>
                <w:bCs/>
                <w:color w:val="000000"/>
                <w:szCs w:val="20"/>
                <w:lang w:val="en-AU"/>
              </w:rPr>
              <w:t>$159,556</w:t>
            </w:r>
          </w:p>
        </w:tc>
        <w:tc>
          <w:tcPr>
            <w:tcW w:w="533" w:type="pct"/>
            <w:noWrap/>
            <w:hideMark/>
          </w:tcPr>
          <w:p w14:paraId="26D6B3E1" w14:textId="7B1E5916" w:rsidR="00163011" w:rsidRPr="00331240" w:rsidRDefault="00163011" w:rsidP="00163011">
            <w:pPr>
              <w:pStyle w:val="Tabletext"/>
              <w:rPr>
                <w:color w:val="000000"/>
                <w:lang w:val="en-AU"/>
              </w:rPr>
            </w:pPr>
            <w:r w:rsidRPr="00331240">
              <w:rPr>
                <w:rFonts w:cs="Calibri"/>
                <w:b/>
                <w:bCs/>
                <w:color w:val="000000"/>
                <w:szCs w:val="20"/>
                <w:lang w:val="en-AU"/>
              </w:rPr>
              <w:t>$191,467</w:t>
            </w:r>
          </w:p>
        </w:tc>
        <w:tc>
          <w:tcPr>
            <w:tcW w:w="533" w:type="pct"/>
            <w:noWrap/>
            <w:hideMark/>
          </w:tcPr>
          <w:p w14:paraId="15BF76DD" w14:textId="564CA0AB" w:rsidR="00163011" w:rsidRPr="00331240" w:rsidRDefault="00163011" w:rsidP="00163011">
            <w:pPr>
              <w:pStyle w:val="Tabletext"/>
              <w:rPr>
                <w:color w:val="000000"/>
                <w:lang w:val="en-AU"/>
              </w:rPr>
            </w:pPr>
            <w:r w:rsidRPr="00331240">
              <w:rPr>
                <w:rFonts w:cs="Calibri"/>
                <w:b/>
                <w:bCs/>
                <w:color w:val="000000"/>
                <w:szCs w:val="20"/>
                <w:lang w:val="en-AU"/>
              </w:rPr>
              <w:t>$229,760</w:t>
            </w:r>
          </w:p>
        </w:tc>
        <w:tc>
          <w:tcPr>
            <w:tcW w:w="565" w:type="pct"/>
            <w:noWrap/>
            <w:hideMark/>
          </w:tcPr>
          <w:p w14:paraId="6D3FB1A2" w14:textId="54BCADBE" w:rsidR="00163011" w:rsidRPr="00331240" w:rsidRDefault="00163011" w:rsidP="00163011">
            <w:pPr>
              <w:pStyle w:val="Tabletext"/>
              <w:rPr>
                <w:color w:val="000000"/>
                <w:lang w:val="en-AU"/>
              </w:rPr>
            </w:pPr>
            <w:r w:rsidRPr="00331240">
              <w:rPr>
                <w:rFonts w:cs="Calibri"/>
                <w:b/>
                <w:bCs/>
                <w:color w:val="000000"/>
                <w:szCs w:val="20"/>
                <w:lang w:val="en-AU"/>
              </w:rPr>
              <w:t>$275,712</w:t>
            </w:r>
          </w:p>
        </w:tc>
        <w:tc>
          <w:tcPr>
            <w:tcW w:w="565" w:type="pct"/>
            <w:noWrap/>
            <w:hideMark/>
          </w:tcPr>
          <w:p w14:paraId="3F8E7A47" w14:textId="656221E5" w:rsidR="00163011" w:rsidRPr="00331240" w:rsidRDefault="00163011" w:rsidP="00163011">
            <w:pPr>
              <w:pStyle w:val="Tabletext"/>
              <w:rPr>
                <w:color w:val="000000"/>
                <w:lang w:val="en-AU"/>
              </w:rPr>
            </w:pPr>
            <w:r w:rsidRPr="00331240">
              <w:rPr>
                <w:rFonts w:cs="Calibri"/>
                <w:b/>
                <w:bCs/>
                <w:color w:val="000000"/>
                <w:szCs w:val="20"/>
                <w:lang w:val="en-AU"/>
              </w:rPr>
              <w:t>$330,855</w:t>
            </w:r>
          </w:p>
        </w:tc>
        <w:tc>
          <w:tcPr>
            <w:tcW w:w="565" w:type="pct"/>
            <w:noWrap/>
            <w:hideMark/>
          </w:tcPr>
          <w:p w14:paraId="57F5DB52" w14:textId="00BB4029" w:rsidR="00163011" w:rsidRPr="00331240" w:rsidRDefault="00163011" w:rsidP="00163011">
            <w:pPr>
              <w:pStyle w:val="Tabletext"/>
              <w:rPr>
                <w:color w:val="000000"/>
                <w:lang w:val="en-AU"/>
              </w:rPr>
            </w:pPr>
            <w:r w:rsidRPr="00331240">
              <w:rPr>
                <w:rFonts w:cs="Calibri"/>
                <w:b/>
                <w:bCs/>
                <w:color w:val="000000"/>
                <w:szCs w:val="20"/>
                <w:lang w:val="en-AU"/>
              </w:rPr>
              <w:t>$410,124</w:t>
            </w:r>
          </w:p>
        </w:tc>
      </w:tr>
    </w:tbl>
    <w:p w14:paraId="233C5238" w14:textId="6B1EE11F" w:rsidR="00387A93" w:rsidRPr="00331240" w:rsidRDefault="00AA7C6B" w:rsidP="005A4C74">
      <w:pPr>
        <w:pStyle w:val="Notes-TableFigure"/>
        <w:rPr>
          <w:lang w:val="en-AU"/>
        </w:rPr>
      </w:pPr>
      <w:r w:rsidRPr="00331240">
        <w:rPr>
          <w:b/>
          <w:bCs/>
          <w:lang w:val="en-AU"/>
        </w:rPr>
        <w:t>Abbreviations</w:t>
      </w:r>
      <w:r w:rsidRPr="00331240">
        <w:rPr>
          <w:lang w:val="en-AU"/>
        </w:rPr>
        <w:t>: DBS</w:t>
      </w:r>
      <w:r w:rsidR="00A339C3" w:rsidRPr="00331240">
        <w:rPr>
          <w:lang w:val="en-AU"/>
        </w:rPr>
        <w:t xml:space="preserve"> </w:t>
      </w:r>
      <w:r w:rsidRPr="00331240">
        <w:rPr>
          <w:lang w:val="en-AU"/>
        </w:rPr>
        <w:t>= deep brain stimulation</w:t>
      </w:r>
      <w:r w:rsidR="00A339C3" w:rsidRPr="00331240">
        <w:rPr>
          <w:lang w:val="en-AU"/>
        </w:rPr>
        <w:t>;</w:t>
      </w:r>
      <w:r w:rsidRPr="00331240">
        <w:rPr>
          <w:lang w:val="en-AU"/>
        </w:rPr>
        <w:t xml:space="preserve"> MBS</w:t>
      </w:r>
      <w:r w:rsidR="00A339C3" w:rsidRPr="00331240">
        <w:rPr>
          <w:lang w:val="en-AU"/>
        </w:rPr>
        <w:t xml:space="preserve"> </w:t>
      </w:r>
      <w:r w:rsidRPr="00331240">
        <w:rPr>
          <w:lang w:val="en-AU"/>
        </w:rPr>
        <w:t>= Medical Benefits Scheme</w:t>
      </w:r>
      <w:r w:rsidR="00A339C3" w:rsidRPr="00331240">
        <w:rPr>
          <w:lang w:val="en-AU"/>
        </w:rPr>
        <w:t>;</w:t>
      </w:r>
      <w:r w:rsidRPr="00331240">
        <w:rPr>
          <w:lang w:val="en-AU"/>
        </w:rPr>
        <w:t xml:space="preserve"> VNS</w:t>
      </w:r>
      <w:r w:rsidR="00A339C3" w:rsidRPr="00331240">
        <w:rPr>
          <w:lang w:val="en-AU"/>
        </w:rPr>
        <w:t xml:space="preserve"> </w:t>
      </w:r>
      <w:r w:rsidRPr="00331240">
        <w:rPr>
          <w:lang w:val="en-AU"/>
        </w:rPr>
        <w:t>= vagus nerve stimulation</w:t>
      </w:r>
    </w:p>
    <w:p w14:paraId="129473D1" w14:textId="5E19CB64" w:rsidR="00AA7C6B" w:rsidRDefault="00AA7C6B" w:rsidP="005A4C74">
      <w:r w:rsidRPr="00331240">
        <w:t xml:space="preserve">Given </w:t>
      </w:r>
      <w:r w:rsidR="00387A93" w:rsidRPr="00331240">
        <w:t xml:space="preserve">that </w:t>
      </w:r>
      <w:r w:rsidRPr="00331240">
        <w:t xml:space="preserve">the unit cost of the DBS device and </w:t>
      </w:r>
      <w:r w:rsidR="00387A93" w:rsidRPr="00331240">
        <w:t xml:space="preserve">the costs of </w:t>
      </w:r>
      <w:r w:rsidRPr="00331240">
        <w:t>single</w:t>
      </w:r>
      <w:r w:rsidR="00387A93" w:rsidRPr="00331240">
        <w:t>-</w:t>
      </w:r>
      <w:r w:rsidRPr="00331240">
        <w:t>use consumables are greater than those for VNS, the largest cost impact is associated with pro</w:t>
      </w:r>
      <w:r w:rsidR="00961E30" w:rsidRPr="00331240">
        <w:t>s</w:t>
      </w:r>
      <w:r w:rsidRPr="00331240">
        <w:t xml:space="preserve">thesis supported by private </w:t>
      </w:r>
      <w:r w:rsidR="002F6F34">
        <w:t xml:space="preserve">health </w:t>
      </w:r>
      <w:r w:rsidRPr="00331240">
        <w:t xml:space="preserve">insurance. These net costs are estimated to increase to $1,470,514 by </w:t>
      </w:r>
      <w:r w:rsidR="00387A93" w:rsidRPr="00331240">
        <w:t>y</w:t>
      </w:r>
      <w:r w:rsidRPr="00331240">
        <w:t>ear 6. The greatest uncertainty is associated with uptake. P</w:t>
      </w:r>
      <w:r w:rsidR="002E690F">
        <w:t>ASC</w:t>
      </w:r>
      <w:r w:rsidRPr="00331240">
        <w:t xml:space="preserve"> noted there is limited potential for leakage as MBS </w:t>
      </w:r>
      <w:r w:rsidR="00387A93" w:rsidRPr="00331240">
        <w:t>i</w:t>
      </w:r>
      <w:r w:rsidRPr="00331240">
        <w:t xml:space="preserve">tems are already available for other conditions where DBS is used (e.g. Parkinson’s </w:t>
      </w:r>
      <w:r w:rsidR="00387A93" w:rsidRPr="00331240">
        <w:t>d</w:t>
      </w:r>
      <w:r w:rsidRPr="00331240">
        <w:t xml:space="preserve">isease). The size of </w:t>
      </w:r>
      <w:r w:rsidR="00A72175">
        <w:t>CEPs</w:t>
      </w:r>
      <w:r w:rsidRPr="00331240">
        <w:t xml:space="preserve"> and limited number of medical professionals able to perform the service also limit </w:t>
      </w:r>
      <w:r w:rsidR="00E207E3" w:rsidRPr="00331240">
        <w:t>uptake.</w:t>
      </w:r>
    </w:p>
    <w:p w14:paraId="603A1239" w14:textId="2C0CC51B" w:rsidR="00D97B0C" w:rsidRDefault="00D97B0C" w:rsidP="00D97B0C">
      <w:pPr>
        <w:pStyle w:val="Heading2"/>
        <w:numPr>
          <w:ilvl w:val="0"/>
          <w:numId w:val="0"/>
        </w:numPr>
      </w:pPr>
      <w:r>
        <w:t>15.</w:t>
      </w:r>
      <w:r>
        <w:tab/>
        <w:t>Other relevant information</w:t>
      </w:r>
    </w:p>
    <w:p w14:paraId="23FA9BDC" w14:textId="5753B282" w:rsidR="00D97B0C" w:rsidRPr="00D97B0C" w:rsidRDefault="00D97B0C" w:rsidP="00D97B0C">
      <w:pPr>
        <w:rPr>
          <w:lang w:val="en-US"/>
        </w:rPr>
      </w:pPr>
      <w:r>
        <w:rPr>
          <w:lang w:val="en-US"/>
        </w:rPr>
        <w:t>Nil</w:t>
      </w:r>
    </w:p>
    <w:p w14:paraId="321C7F22" w14:textId="44810070" w:rsidR="00A52CA3" w:rsidRPr="00CE28E3" w:rsidRDefault="00A52CA3" w:rsidP="00A52CA3">
      <w:pPr>
        <w:pStyle w:val="Heading2"/>
        <w:numPr>
          <w:ilvl w:val="0"/>
          <w:numId w:val="0"/>
        </w:numPr>
      </w:pPr>
      <w:r>
        <w:t>16.</w:t>
      </w:r>
      <w:r>
        <w:tab/>
        <w:t>Key issues from ESC to MSAC</w:t>
      </w:r>
    </w:p>
    <w:tbl>
      <w:tblPr>
        <w:tblStyle w:val="TableGrid"/>
        <w:tblW w:w="0" w:type="auto"/>
        <w:tblLook w:val="04A0" w:firstRow="1" w:lastRow="0" w:firstColumn="1" w:lastColumn="0" w:noHBand="0" w:noVBand="1"/>
      </w:tblPr>
      <w:tblGrid>
        <w:gridCol w:w="9016"/>
      </w:tblGrid>
      <w:tr w:rsidR="00A52CA3" w:rsidRPr="00CE28E3" w14:paraId="04BB923C" w14:textId="77777777" w:rsidTr="007774E0">
        <w:tc>
          <w:tcPr>
            <w:tcW w:w="9016" w:type="dxa"/>
          </w:tcPr>
          <w:p w14:paraId="7EE63005" w14:textId="77777777" w:rsidR="00A52CA3" w:rsidRPr="008A0FB3" w:rsidRDefault="00A52CA3" w:rsidP="007774E0">
            <w:pPr>
              <w:spacing w:before="240" w:after="240"/>
              <w:rPr>
                <w:b/>
                <w:bCs/>
                <w:sz w:val="24"/>
                <w:szCs w:val="24"/>
              </w:rPr>
            </w:pPr>
            <w:r w:rsidRPr="008A0FB3">
              <w:rPr>
                <w:b/>
                <w:bCs/>
                <w:sz w:val="24"/>
                <w:szCs w:val="24"/>
              </w:rPr>
              <w:t xml:space="preserve">Main issues for MSAC consideration </w:t>
            </w:r>
          </w:p>
          <w:p w14:paraId="5FCD1D6F" w14:textId="77777777" w:rsidR="00A52CA3" w:rsidRPr="008A0FB3" w:rsidRDefault="00A52CA3" w:rsidP="007774E0">
            <w:pPr>
              <w:rPr>
                <w:b/>
              </w:rPr>
            </w:pPr>
            <w:r w:rsidRPr="008A0FB3">
              <w:rPr>
                <w:b/>
              </w:rPr>
              <w:t>Clinical issues:</w:t>
            </w:r>
          </w:p>
          <w:p w14:paraId="5AEF21A2" w14:textId="77777777" w:rsidR="00A52CA3" w:rsidRDefault="00A52CA3" w:rsidP="007774E0">
            <w:pPr>
              <w:pStyle w:val="BoxBullet"/>
              <w:pBdr>
                <w:top w:val="none" w:sz="0" w:space="0" w:color="auto"/>
                <w:bottom w:val="none" w:sz="0" w:space="0" w:color="auto"/>
              </w:pBdr>
            </w:pPr>
            <w:r>
              <w:t>The quality and volume of the evidence were low. Many of the trials presented were older (&gt;7 years old) and had several limitations. No head-to-head studies were identified which compared DBS to VNS and OMT.</w:t>
            </w:r>
          </w:p>
          <w:p w14:paraId="22EA3CCA" w14:textId="77777777" w:rsidR="00A52CA3" w:rsidRDefault="00A52CA3" w:rsidP="007774E0">
            <w:pPr>
              <w:pStyle w:val="BoxBullet"/>
              <w:pBdr>
                <w:top w:val="none" w:sz="0" w:space="0" w:color="auto"/>
                <w:bottom w:val="none" w:sz="0" w:space="0" w:color="auto"/>
              </w:pBdr>
              <w:rPr>
                <w:b/>
                <w:bCs/>
              </w:rPr>
            </w:pPr>
            <w:r>
              <w:t xml:space="preserve">The claim of non-inferior safety was not supported by the evidence, and is more likely to be inferior for both comparators largely due to the invasive nature of DBS. </w:t>
            </w:r>
          </w:p>
          <w:p w14:paraId="0F2ACB4E" w14:textId="77777777" w:rsidR="00A52CA3" w:rsidRDefault="00A52CA3" w:rsidP="007774E0">
            <w:pPr>
              <w:pStyle w:val="BoxBullet"/>
              <w:pBdr>
                <w:top w:val="none" w:sz="0" w:space="0" w:color="auto"/>
                <w:bottom w:val="none" w:sz="0" w:space="0" w:color="auto"/>
              </w:pBdr>
              <w:rPr>
                <w:b/>
                <w:bCs/>
              </w:rPr>
            </w:pPr>
            <w:r>
              <w:t>The clinical claim of superior effectiveness was not supported by the available evidence. There appears to be a lack of high-quality long-term data, and the suggestion that DBS response improves over time does not appear to be clearly supported with confidence by the data presented.</w:t>
            </w:r>
          </w:p>
          <w:p w14:paraId="77C63278" w14:textId="77777777" w:rsidR="00A52CA3" w:rsidRPr="00B94945" w:rsidRDefault="00A52CA3" w:rsidP="007774E0">
            <w:pPr>
              <w:pStyle w:val="BoxBullet"/>
              <w:pBdr>
                <w:top w:val="none" w:sz="0" w:space="0" w:color="auto"/>
                <w:bottom w:val="none" w:sz="0" w:space="0" w:color="auto"/>
              </w:pBdr>
              <w:rPr>
                <w:b/>
                <w:bCs/>
              </w:rPr>
            </w:pPr>
            <w:r>
              <w:t xml:space="preserve">The descriptors should restrict the age of patients to adults &gt;18 years old, specify the location to be targeted by DBS (anterior thalamus) and specify that DBS should be restricted to patients with focal epilepsy only. </w:t>
            </w:r>
          </w:p>
          <w:p w14:paraId="098B1C35" w14:textId="77777777" w:rsidR="00A52CA3" w:rsidRDefault="00A52CA3" w:rsidP="007774E0">
            <w:pPr>
              <w:pStyle w:val="BoxBullet"/>
              <w:pBdr>
                <w:top w:val="none" w:sz="0" w:space="0" w:color="auto"/>
                <w:bottom w:val="none" w:sz="0" w:space="0" w:color="auto"/>
              </w:pBdr>
              <w:rPr>
                <w:b/>
                <w:bCs/>
              </w:rPr>
            </w:pPr>
            <w:r>
              <w:t xml:space="preserve">Comprehensive Epilepsy Programs (CEPs) were not well defined and are not delivered in all jurisdictions or regional centres. They appear to comprise a multidisciplinary team component but further advice may be needed to clarify the service delivery. </w:t>
            </w:r>
          </w:p>
          <w:p w14:paraId="38C5E569" w14:textId="77777777" w:rsidR="00A52CA3" w:rsidRDefault="00A52CA3" w:rsidP="007774E0">
            <w:pPr>
              <w:pStyle w:val="BoxBullet"/>
              <w:pBdr>
                <w:top w:val="none" w:sz="0" w:space="0" w:color="auto"/>
                <w:bottom w:val="none" w:sz="0" w:space="0" w:color="auto"/>
              </w:pBdr>
            </w:pPr>
            <w:r>
              <w:t xml:space="preserve">Only Medtronic equipment is indicated for epilepsy and listing this for epilepsy as requested would result in Abbott and Boston Scientific equipment being used off-label. This issue should be resolved before listing. </w:t>
            </w:r>
          </w:p>
          <w:p w14:paraId="1AFEC3EA" w14:textId="77777777" w:rsidR="00A52CA3" w:rsidRPr="0044058B" w:rsidRDefault="00A52CA3" w:rsidP="007774E0">
            <w:pPr>
              <w:pStyle w:val="Instructionaltext-bullet"/>
              <w:numPr>
                <w:ilvl w:val="0"/>
                <w:numId w:val="0"/>
              </w:numPr>
              <w:rPr>
                <w:b/>
                <w:color w:val="auto"/>
              </w:rPr>
            </w:pPr>
            <w:r w:rsidRPr="0044058B">
              <w:rPr>
                <w:b/>
                <w:color w:val="auto"/>
              </w:rPr>
              <w:t>Economic issues:</w:t>
            </w:r>
          </w:p>
          <w:p w14:paraId="3AAEA886" w14:textId="77777777" w:rsidR="00A52CA3" w:rsidRDefault="00A52CA3" w:rsidP="007774E0">
            <w:pPr>
              <w:pStyle w:val="BoxBullet"/>
              <w:pBdr>
                <w:top w:val="none" w:sz="0" w:space="0" w:color="auto"/>
                <w:bottom w:val="none" w:sz="0" w:space="0" w:color="auto"/>
              </w:pBdr>
            </w:pPr>
            <w:r>
              <w:t>The results of the economic evaluation were uncertain. The cost-utility analysis was inappropriate because the clinical evidence did not support the clinical claim of superiority. The clinical evidence suggested non-inferior effectiveness and inferior safety relative to VNS and non-inferior effectiveness and inferior safety relative to OMT.</w:t>
            </w:r>
          </w:p>
          <w:p w14:paraId="5983DF37" w14:textId="77777777" w:rsidR="00A52CA3" w:rsidRDefault="00A52CA3" w:rsidP="007774E0">
            <w:pPr>
              <w:pStyle w:val="BoxBullet"/>
              <w:pBdr>
                <w:top w:val="none" w:sz="0" w:space="0" w:color="auto"/>
                <w:bottom w:val="none" w:sz="0" w:space="0" w:color="auto"/>
              </w:pBdr>
            </w:pPr>
            <w:r>
              <w:t>The 7-year and lifetime economic modelling extrapolations are not supported by clinical evidence, making the ICERs uncertain.</w:t>
            </w:r>
          </w:p>
          <w:p w14:paraId="33172636" w14:textId="77777777" w:rsidR="00A52CA3" w:rsidRDefault="00A52CA3" w:rsidP="007774E0">
            <w:pPr>
              <w:pStyle w:val="BoxBullet"/>
              <w:pBdr>
                <w:top w:val="none" w:sz="0" w:space="0" w:color="auto"/>
                <w:bottom w:val="none" w:sz="0" w:space="0" w:color="auto"/>
              </w:pBdr>
            </w:pPr>
            <w:r>
              <w:t>The utilities may not be directly applicable to the Australian population.</w:t>
            </w:r>
          </w:p>
          <w:p w14:paraId="1A21A84E" w14:textId="77777777" w:rsidR="00A52CA3" w:rsidRDefault="00A52CA3" w:rsidP="007774E0">
            <w:pPr>
              <w:pStyle w:val="BoxBullet"/>
              <w:pBdr>
                <w:top w:val="none" w:sz="0" w:space="0" w:color="auto"/>
                <w:bottom w:val="none" w:sz="0" w:space="0" w:color="auto"/>
              </w:pBdr>
              <w:rPr>
                <w:b/>
                <w:bCs/>
              </w:rPr>
            </w:pPr>
            <w:r>
              <w:t xml:space="preserve">DBS has a higher cost than VNS and OMT. The device cost, surgical costs and in-hospital length of stay are large cost components. </w:t>
            </w:r>
          </w:p>
          <w:p w14:paraId="18F09877" w14:textId="77777777" w:rsidR="00AC19B6" w:rsidRDefault="00AC19B6" w:rsidP="007774E0">
            <w:pPr>
              <w:pStyle w:val="Instructionaltext-bullet"/>
              <w:numPr>
                <w:ilvl w:val="0"/>
                <w:numId w:val="0"/>
              </w:numPr>
              <w:rPr>
                <w:b/>
                <w:color w:val="auto"/>
              </w:rPr>
            </w:pPr>
          </w:p>
          <w:p w14:paraId="18428524" w14:textId="587844B4" w:rsidR="00A52CA3" w:rsidRPr="0044058B" w:rsidRDefault="00A52CA3" w:rsidP="007774E0">
            <w:pPr>
              <w:pStyle w:val="Instructionaltext-bullet"/>
              <w:numPr>
                <w:ilvl w:val="0"/>
                <w:numId w:val="0"/>
              </w:numPr>
              <w:rPr>
                <w:b/>
                <w:color w:val="auto"/>
              </w:rPr>
            </w:pPr>
            <w:r w:rsidRPr="0044058B">
              <w:rPr>
                <w:b/>
                <w:color w:val="auto"/>
              </w:rPr>
              <w:t>Financial issues:</w:t>
            </w:r>
          </w:p>
          <w:p w14:paraId="4AFA7086" w14:textId="77777777" w:rsidR="00A52CA3" w:rsidRPr="0070319A" w:rsidRDefault="00A52CA3" w:rsidP="007774E0">
            <w:pPr>
              <w:pStyle w:val="BoxBullet"/>
              <w:pBdr>
                <w:top w:val="none" w:sz="0" w:space="0" w:color="auto"/>
                <w:bottom w:val="none" w:sz="0" w:space="0" w:color="auto"/>
              </w:pBdr>
            </w:pPr>
            <w:r>
              <w:t xml:space="preserve">The financial analysis assumes that the low patient numbers and uptake will be maintained due to the limited access to CEPs (which treats up to 500 patients only in Australia each year). However, there was uncertainty in whether the uptake could increase if CEPs are expanded to deliver care to more patients. </w:t>
            </w:r>
          </w:p>
        </w:tc>
      </w:tr>
    </w:tbl>
    <w:p w14:paraId="5EE7261B" w14:textId="77777777" w:rsidR="00A52CA3" w:rsidRDefault="00A52CA3" w:rsidP="0002655F">
      <w:pPr>
        <w:spacing w:before="240"/>
        <w:rPr>
          <w:rFonts w:eastAsia="Times New Roman" w:cs="Arial"/>
          <w:b/>
          <w:bCs/>
          <w:iCs/>
          <w:color w:val="000000"/>
          <w:sz w:val="24"/>
          <w:szCs w:val="28"/>
          <w:lang w:eastAsia="en-AU"/>
        </w:rPr>
      </w:pPr>
      <w:r>
        <w:rPr>
          <w:rFonts w:eastAsia="Times New Roman" w:cs="Arial"/>
          <w:b/>
          <w:bCs/>
          <w:iCs/>
          <w:color w:val="000000"/>
          <w:sz w:val="24"/>
          <w:szCs w:val="28"/>
          <w:lang w:eastAsia="en-AU"/>
        </w:rPr>
        <w:t>ESC discussion</w:t>
      </w:r>
    </w:p>
    <w:p w14:paraId="280F9219" w14:textId="706146D4" w:rsidR="00A52CA3" w:rsidRDefault="00A52CA3" w:rsidP="00A52CA3">
      <w:r>
        <w:t>ESC noted that this application was from the Neurosurgical Society of Australasia to amend an existing suite of Medicare Benefits Schedule (MBS) items for bilateral deep-brain stimulation (DBS), to include drug refractory epilepsy as an additional (new) indication.</w:t>
      </w:r>
      <w:r w:rsidRPr="00442AA8">
        <w:t xml:space="preserve"> </w:t>
      </w:r>
      <w:r>
        <w:t>ESC noted the comparators were vagus nerve stimulation (VNS) and optimised medical treatment (OMT). ESC considered the comparators VNS and OMT to be appropriate.</w:t>
      </w:r>
    </w:p>
    <w:p w14:paraId="78648698" w14:textId="77777777" w:rsidR="00A52CA3" w:rsidRDefault="00A52CA3" w:rsidP="00A52CA3">
      <w:r>
        <w:t>ESC noted the consultation feedback stating that DBS increased the treatment options available and the potential subsequent improvement in epilepsy control could result in patients’ increased independence, improved relationships with others, and reduced reliance on support services/family. ESC also noted the disadvantage of having to replace the stimulator box for non-rechargeable devices and queried whether wireless charging was available for devices such as that proposed.</w:t>
      </w:r>
    </w:p>
    <w:p w14:paraId="438C7A4B" w14:textId="77777777" w:rsidR="00A52CA3" w:rsidRDefault="00A52CA3" w:rsidP="00A52CA3">
      <w:r>
        <w:t xml:space="preserve">ESC noted that, currently, only Medtronic equipment is ARTG listed for the epilepsy indication. This may result in DBS devices manufactured by Abbott and Boston Scientific being used off-label – ESC considered that this risk of off-label use needs to be resolved. </w:t>
      </w:r>
    </w:p>
    <w:p w14:paraId="7F3C597F" w14:textId="77777777" w:rsidR="00A52CA3" w:rsidRDefault="00A52CA3" w:rsidP="00A52CA3">
      <w:r>
        <w:t>ESC noted that the application proposes to amend the MBS item descriptors for 40851</w:t>
      </w:r>
      <w:r w:rsidRPr="00331240">
        <w:t>, 40852, 40854, 40856, 40858, 40860</w:t>
      </w:r>
      <w:r>
        <w:t xml:space="preserve"> and</w:t>
      </w:r>
      <w:r w:rsidRPr="00331240">
        <w:t xml:space="preserve"> 40862</w:t>
      </w:r>
      <w:r>
        <w:t xml:space="preserve"> for DBS treatment of Parkinson’s disease, essential tremor or dystonia to add “Drug refractory epilepsy in patients not suitable for resective surgery following assessment by a Comprehensive Epilepsy Program (CEP)” as an additional indication. ESC advised, based on the evidence, that the descriptor should specify the age of the patients concerned (adults 18 years of age and older), the location in the brain to be targeted by DBS (anterior thalamus) and restrict it to patients with focal epilepsy only. ESC also noted that resective surgery may be refused by the patient, contraindicated or may be unsuccessful in halting seizures if the patient does receive it so this should be reflected in the item descriptors as well.</w:t>
      </w:r>
    </w:p>
    <w:p w14:paraId="49425D90" w14:textId="77777777" w:rsidR="00A52CA3" w:rsidRDefault="00A52CA3" w:rsidP="00A52CA3">
      <w:r>
        <w:t xml:space="preserve">ESC considered that CEPs required further definition to understand their structure, process, performance and outcomes. ESC noted it would be difficult to guarantee similar service delivery when it can vary across state and territory jurisdictions and over time. ESC noted there is a lack of regional access to CEPs. For example, there are no CEPs in Tasmania, the Australian Capital Territory or the Northern Territory. ESC considered that CEPs likely comprise a multidisciplinary team and are likely to be based in metropolitan specialist treatment centres, but ESC could not identify a reliable definition of CEP, even using overseas information, to support this assumption. ESC considered that since CEP may be a variable service, that details should be considered to be included in the descriptor or explanatory notes to ensure the expectation of CEP being delivered as multidisciplinary care. </w:t>
      </w:r>
    </w:p>
    <w:p w14:paraId="120C440B" w14:textId="77777777" w:rsidR="00A52CA3" w:rsidRDefault="00A52CA3" w:rsidP="00A52CA3">
      <w:r>
        <w:t>ESC noted that the current MBS item descriptors encompass both unilateral and bilateral DBS treatment for Parkinson’s patients and considered that this needs to be maintained if the proposed service were to be supported by MSAC. ESC noted that the Department stated that MBS item 40862 would likely be provided during the initial procedure where the Multiple Operation Rule would apply, but subsequent postoperative programming would be performed by a neurologist in an outpatient setting. ESC agreed with the Department proposal to retain the T8 programming item for the initial procedure and introducing a DBS programming item for ongoing management, an item for the unilateral programming and an item for bilateral programming under Cat 2 – Diagnostic Procedures and Investigations. ESC considered that, since DBS is used to treat other indications already, further clinician training would not be necessary, assuming the same trained clinicians would provide the proposed service.</w:t>
      </w:r>
    </w:p>
    <w:p w14:paraId="7B9B0E98" w14:textId="77777777" w:rsidR="00A52CA3" w:rsidRDefault="00A52CA3" w:rsidP="00A52CA3">
      <w:r>
        <w:t xml:space="preserve">ESC noted the proposed clinical management algorithm adds the intervention as an alternative treatment option to VNS or when VNS had failed to provide adequate epilepsy control. ESC noted OMT may involve drug substitution or drug withdrawal. </w:t>
      </w:r>
    </w:p>
    <w:p w14:paraId="068BCAB1" w14:textId="77777777" w:rsidR="00A52CA3" w:rsidRDefault="00A52CA3" w:rsidP="00A52CA3">
      <w:pPr>
        <w:pStyle w:val="NormalBeforeBullet"/>
      </w:pPr>
      <w:r>
        <w:t>ESC noted that the available evidence was limited. ESC noted there are no direct trials comparing OMT to DBS, but two randomised controlled trials (RCTs) comparing DBS to sham DBS surgery were presented. For these RCTs, ESC considered the risk of bias to be low, but was concerned about the validity of the sham procedure. Four RCTs were used as benchmark data/naïve comparison (with a low–moderate risk of bias). ESC noted another self-controlled case series trial comparing DBS to VNS but considered there to be a high risk of bias in this study. ESC noted the following limitations to all the trials:</w:t>
      </w:r>
    </w:p>
    <w:p w14:paraId="3BEBAA50" w14:textId="77777777" w:rsidR="00A52CA3" w:rsidRDefault="00A52CA3" w:rsidP="00F4629A">
      <w:pPr>
        <w:pStyle w:val="NormalBeforeBullet"/>
        <w:numPr>
          <w:ilvl w:val="0"/>
          <w:numId w:val="19"/>
        </w:numPr>
      </w:pPr>
      <w:r>
        <w:t>small population sizes</w:t>
      </w:r>
    </w:p>
    <w:p w14:paraId="5AF199E0" w14:textId="77777777" w:rsidR="00A52CA3" w:rsidRDefault="00A52CA3" w:rsidP="00F4629A">
      <w:pPr>
        <w:pStyle w:val="NormalBeforeBullet"/>
        <w:numPr>
          <w:ilvl w:val="0"/>
          <w:numId w:val="19"/>
        </w:numPr>
      </w:pPr>
      <w:r>
        <w:t>limited to patients with focal epilepsy</w:t>
      </w:r>
    </w:p>
    <w:p w14:paraId="01A905EA" w14:textId="77777777" w:rsidR="00A52CA3" w:rsidRDefault="00A52CA3" w:rsidP="00F4629A">
      <w:pPr>
        <w:pStyle w:val="NormalBeforeBullet"/>
        <w:numPr>
          <w:ilvl w:val="0"/>
          <w:numId w:val="19"/>
        </w:numPr>
      </w:pPr>
      <w:r>
        <w:t>limited duration for outcome data collection (there is a suggestion that the effect of DBS accumulates over time, so these studies may risk underestimating the effect)</w:t>
      </w:r>
    </w:p>
    <w:p w14:paraId="4C5485D3" w14:textId="77777777" w:rsidR="00A52CA3" w:rsidRDefault="00A52CA3" w:rsidP="00F4629A">
      <w:pPr>
        <w:pStyle w:val="NormalBeforeBullet"/>
        <w:numPr>
          <w:ilvl w:val="0"/>
          <w:numId w:val="19"/>
        </w:numPr>
      </w:pPr>
      <w:r>
        <w:t>age of study participants is 28–40 years, so the studies miss patients outside of these age groups</w:t>
      </w:r>
    </w:p>
    <w:p w14:paraId="619EC2BF" w14:textId="77777777" w:rsidR="00A52CA3" w:rsidRDefault="00A52CA3" w:rsidP="00F4629A">
      <w:pPr>
        <w:pStyle w:val="NormalBeforeBullet"/>
        <w:numPr>
          <w:ilvl w:val="0"/>
          <w:numId w:val="19"/>
        </w:numPr>
      </w:pPr>
      <w:r>
        <w:t>studies were conducted 7–30 years ago, so advancements/improvements in the technology may not have been captured.</w:t>
      </w:r>
    </w:p>
    <w:p w14:paraId="22A20F8D" w14:textId="77777777" w:rsidR="00A52CA3" w:rsidRDefault="00A52CA3" w:rsidP="00A52CA3">
      <w:r>
        <w:t>ESC noted the pre-ESC response presented recent evidence from the Australian ESTEL trial</w:t>
      </w:r>
      <w:r>
        <w:rPr>
          <w:rStyle w:val="FootnoteReference"/>
        </w:rPr>
        <w:footnoteReference w:id="20"/>
      </w:r>
      <w:r>
        <w:t xml:space="preserve"> for people who had generalised epilepsy. The results for DBS appeared to be favourable and appeared to support ongoing improvement over time. However, ESC considered this evidence to be out of scope for this application, because the trial population only encompassed patients with a specific neurological condition (Lennox-Gastaut syndrome) and the DBS targeted the centro-median thalamus, not the anterior thalamus.</w:t>
      </w:r>
      <w:r w:rsidRPr="005B72F9">
        <w:t xml:space="preserve"> </w:t>
      </w:r>
      <w:r>
        <w:t>ESC noted two ongoing or recently completed clinical trials on DBS; one was recruiting and aims to examine long-term safety and effectiveness of DBS</w:t>
      </w:r>
      <w:r>
        <w:rPr>
          <w:rStyle w:val="FootnoteReference"/>
        </w:rPr>
        <w:footnoteReference w:id="21"/>
      </w:r>
      <w:r>
        <w:t xml:space="preserve"> and the other trial aimed to examine the effectiveness of DBS in focal or multifocal epilepsy and was completed in November 2021</w:t>
      </w:r>
      <w:r>
        <w:rPr>
          <w:rStyle w:val="FootnoteReference"/>
        </w:rPr>
        <w:footnoteReference w:id="22"/>
      </w:r>
      <w:r>
        <w:t xml:space="preserve"> but no results are currently available.</w:t>
      </w:r>
    </w:p>
    <w:p w14:paraId="3E3B58DB" w14:textId="77777777" w:rsidR="00A52CA3" w:rsidRDefault="00A52CA3" w:rsidP="00A52CA3">
      <w:r>
        <w:t xml:space="preserve">ESC considered the evidence from the two trials supporting the safety outcomes to be of moderate quality. ESC noted the SANTE trial (2010) reported a rate of serious device-related adverse events (AEs) of 35%; of these, lead malposition (8%) and implant site infection (4%) were the most frequently reported AEs. Over the 7-year follow-up period, there was no difference in cognitive decline/depression or neuro-behavioural issues compared to baseline. ESC also noted fewer epilepsy-related injuries in the stimulation group (risk ratio = 0.29 at three months). ESC considered that the indirect naive comparison between DBS and OMT (low-quality evidence) suggests that patients undergoing DBS are four times more likely to experience an AE and 30 times more likely to experience a serious AE. ESC also noted treatment-related AEs are two times more likely for DBS than for VNS. ESC considered that DBS is more invasive than its comparators and involves a surgical approach into cerebral tissue, so the complications, although rare, are likely to have significantly greater clinical consequence than the adverse events related to VNS and OMT. </w:t>
      </w:r>
      <w:r w:rsidRPr="00090960">
        <w:t>ESC considered epilepsy related injuries may more appropriately be considered as an effectiveness outcome (with an inverse relationship to effectiveness) rather than a safety outcome, but inclusion as a safety outcome could explain the rationale for the applicant's claim of non-inferior safety for the intervention.</w:t>
      </w:r>
      <w:r w:rsidRPr="00090960">
        <w:rPr>
          <w:rStyle w:val="BodyTextSTDChar"/>
          <w:rFonts w:eastAsiaTheme="minorHAnsi"/>
        </w:rPr>
        <w:t xml:space="preserve">   </w:t>
      </w:r>
    </w:p>
    <w:p w14:paraId="05CCB216" w14:textId="77777777" w:rsidR="00A52CA3" w:rsidRDefault="00A52CA3" w:rsidP="00A52CA3">
      <w:r>
        <w:t xml:space="preserve">Regarding comparative effectiveness, ESC considered the effectiveness outcomes of relevance are captured: seizure frequency and severity, quality of life (QoL) and healthcare utilisation. ESC noted that the SANTE trial showed that DBS was associated with </w:t>
      </w:r>
      <w:r w:rsidRPr="008E605A">
        <w:t>a</w:t>
      </w:r>
      <w:r w:rsidRPr="00B94945">
        <w:t xml:space="preserve"> 17% reduction in frequency of seizures compared to sham DBS/</w:t>
      </w:r>
      <w:r w:rsidRPr="008E605A">
        <w:t>OMT, but no</w:t>
      </w:r>
      <w:r>
        <w:t xml:space="preserve"> change in seizure severity, QoL or hospitalisation rates. The 7-year follow-up of the SANTE trial showed that 74% of patients remaining in the study had a median seizure frequency reduction of 50%. ESC considered that these results may potentially be confounded by the withdrawal of non-responders from the study during follow-up. When comparing DBS to VNS, ESC noted there was no difference in the proportion of patients in whom seizure frequency had reduced by 50%, but this study was at a high risk of bias. ESC noted the patients in the DBS RCTs appeared to have more severe epilepsy than those in the VNS studies, so ESC considered these results to be uncertain. Other sources of uncertainty relate to the age of the data and the potential for improvements in device technology to affect outcomes. ESC considered there to be a lack of high-quality long-term data, and the suggestion that DBS response improves over time does not appear to be clearly supported with confidence by the data presented.</w:t>
      </w:r>
    </w:p>
    <w:p w14:paraId="18D8B862" w14:textId="77777777" w:rsidR="00A52CA3" w:rsidRDefault="00A52CA3" w:rsidP="00A52CA3">
      <w:r>
        <w:t>ESC noted that the aim of DBS is to reduce the frequency and severity of seizures, and to improve QoL. ESC noted the application made the clinical claim that DBS is superior in effectiveness and non-inferior in safety to both comparators. ESC considered that the evidence does not support the claim of non-inferior safety for DBS versus both comparators and considers it inferior. ESC considered the claim DBS is superior in effectiveness compared with VNS and OMT was not supported by the evidence.</w:t>
      </w:r>
    </w:p>
    <w:p w14:paraId="4D263887" w14:textId="77777777" w:rsidR="00A52CA3" w:rsidRDefault="00A52CA3" w:rsidP="00A52CA3">
      <w:r>
        <w:t>ESC noted that the economic evaluation was a cost-utility analysis, with extrapolated time horizons of 7 years and lifetime (from a 3- month base case as used in SANTE [DBS] and Rvylin PULSE [VNS and OMT] trials). Outcomes measured were quality-adjusted life years (QALYs), life-years gained and seizures. The model was simple with four health states: seizure free, &gt;50% reduction in seizures, &lt;50% reduction in seizures, and death. ESC considered the model to be inappropriate because a cost-utility analysis is based on the assumption of clinical superiority, which ESC considered was not supported by the evidence. ESC considered the clinical evidence suggested non-inferior effectiveness and inferior safety relative to VNS and non-inferior effectiveness and inferior safety relative to OMT.  In addition, the utility estimates were from a small (</w:t>
      </w:r>
      <w:r>
        <w:rPr>
          <w:i/>
          <w:iCs/>
        </w:rPr>
        <w:t>n </w:t>
      </w:r>
      <w:r>
        <w:t xml:space="preserve">= 81), older (1998) Italian study conducted </w:t>
      </w:r>
      <w:r w:rsidRPr="00541AA4">
        <w:t>as part of an evaluation of adjunctive lamotrigine therapy</w:t>
      </w:r>
      <w:r>
        <w:t>, which may limit its applicability for the Australian population. ESC noted that the key driver of the incremental cost-effective ratios (ICERs) was the time horizon, with longer extrapolations favouring the intervention, giving ICERs of $1,625,659/QALY (3 months), $381,796/QALY (7 years) and $143,395/QALY (lifetime). ESC considered these ICERs to be uncertain because the extrapolation is based on lower quality ‘open phase’ data. ESC noted that the cost of the device and hospital care, and the percentage of responders were also important drivers of the ICER. ESC also noted that non-responders were included in the &lt;50% reduction in seizures health state and considered that this affected the results but was uncertain if data were available to separate non-responders into their own health state. ESC was also concerned about the translation of clinical evidence into the economic evaluation because the clinical evidence was of low quality.</w:t>
      </w:r>
    </w:p>
    <w:p w14:paraId="1E7B6C6B" w14:textId="1B67C20B" w:rsidR="00A52CA3" w:rsidRPr="0002655F" w:rsidRDefault="00A52CA3" w:rsidP="0002655F">
      <w:r>
        <w:t>ESC noted that an epidemiological approach was used to estimate the financial impact. ESC noted that the financial analysis assumes the uptake will be 30 people in Year 1, increasing to 75 by Year 6. ESC noted this would result in a modest net cost to the MBS of $159,556 to $410,124 over six years, assuming DBS would substitute for VNS at 100%. However, ESC noted some patients may receive DBS after VNS as well. ESC was uncertain with the accuracy of the small, estimated population due to the prevalence of epilepsy in Australia being approximately 0.6%, equating to 151,000 people</w:t>
      </w:r>
      <w:r>
        <w:rPr>
          <w:rStyle w:val="FootnoteReference"/>
        </w:rPr>
        <w:footnoteReference w:id="23"/>
      </w:r>
      <w:r>
        <w:t>. ESC considered that if the drug refractory epilepsy population was approximately 30-40% of those patients (see section 5) then the number of eligible patients may be approximately 45,000-60,000 people. However, ESC noted that the CEPs, which eligible patients must be assessed by, are estimated to care for only 500 patients per year across Australia (see section 12) so their capacity would limit the uptake. ESC queried whether the uptake for DBS could significantly increase or potential leakage could occur if the CEPs are expanded in future. ESC noted that the highest increases in cost would be in relation to the prostheses costs to private health insurers. ESC noted that a number of devices are currently Iisted on the Prosthes</w:t>
      </w:r>
      <w:r w:rsidR="0002655F">
        <w:t>e</w:t>
      </w:r>
      <w:r>
        <w:t>s List, with the Medtronic sponsored device the only device indicated for use in epilepsy in Australia.</w:t>
      </w:r>
    </w:p>
    <w:p w14:paraId="5BBD6DEA" w14:textId="716EFC18" w:rsidR="00A52CA3" w:rsidRDefault="00A52CA3" w:rsidP="00A52CA3">
      <w:pPr>
        <w:pStyle w:val="Heading2"/>
        <w:numPr>
          <w:ilvl w:val="0"/>
          <w:numId w:val="0"/>
        </w:numPr>
      </w:pPr>
      <w:r>
        <w:t>17.</w:t>
      </w:r>
      <w:r>
        <w:tab/>
        <w:t>Applicant comments on MSAC’s Public Summary Document</w:t>
      </w:r>
    </w:p>
    <w:p w14:paraId="0E364718" w14:textId="416B58EE" w:rsidR="00D25200" w:rsidRDefault="00D25200" w:rsidP="00D25200">
      <w:r>
        <w:t>The Applicant would like to acknowledge their disappointment at the outcome of the MSAC review. It was stated that the evidence presented was relatively old, but this is because DBS for epilepsy is routinely available in most major centres across Europe and North America and is no longer the subject of active research. While we accept the concerns raised during the review, we are disappointed with the interpretation of the positive outcomes of the landmark, randomised control trial (SANTE) and the 10-year follow-up study. SANTE did not contain a prolonged head-to-head comparison between DBS and optimal medical therapy (OMT), because it is not possible to perform that study blinded over prolonged periods. Inserting a device and leaving it ‘off’ for prolonged periods is ethically unacceptable, and hence the pivotal studies (e.g., SANTE) had a relatively short, 3-month blinded phase. Despite this, the pivotal studies showed a treatment benefit of DBS over OMT, and follow-up open label studies have shown progressive benefit over time, consistent with the therapeutic effect of DBS being due to neuromodulation of epileptic circuits, rather than ‘seizure blocking’. The 10-year SANTE follow-up study in 2021 concluded that the long-term efficacy and safety profiles of DBS for epilepsy were favourable and stable, and the reduced frequency of the most severe seizure types would likely improve SUDEP rates (sudden unexpected death in epilepsy) (Salanova et al 2021). We are concerned that the lack of public funding for DBS further widens the gap between the standard of care provided to Australians with the most difficult to treat epilepsies, compared to other first world nations, given the lasting benefits reported for DBS treatment (e.g., reduced seizure frequency, meaningful improvements in QOL).</w:t>
      </w:r>
    </w:p>
    <w:p w14:paraId="252B57E5" w14:textId="1233699A" w:rsidR="00EF2624" w:rsidRPr="005A4362" w:rsidRDefault="00D25200" w:rsidP="00D25200">
      <w:pPr>
        <w:spacing w:after="240"/>
        <w:rPr>
          <w:color w:val="00B0F0"/>
          <w:szCs w:val="24"/>
        </w:rPr>
      </w:pPr>
      <w:r>
        <w:rPr>
          <w:rFonts w:ascii="Calibri Light" w:hAnsi="Calibri Light" w:cs="Calibri Light"/>
          <w:i/>
          <w:iCs/>
        </w:rPr>
        <w:t>Salanova V et al. SANTÉ Study Group. The SANTÉ study at 10 years of follow-up: Effectiveness, safety, and sudden unexpected death in epilepsy. Epilepsia. 2021 Jun;62(6):1306-1317. doi: 10.1111/epi.16895. Epub 2021 Apr 8. PMID: 33830503.</w:t>
      </w:r>
    </w:p>
    <w:p w14:paraId="6B9DFBFA" w14:textId="6A874110" w:rsidR="00A52CA3" w:rsidRDefault="00A52CA3" w:rsidP="00A52CA3">
      <w:pPr>
        <w:pStyle w:val="Heading2"/>
        <w:numPr>
          <w:ilvl w:val="0"/>
          <w:numId w:val="0"/>
        </w:numPr>
      </w:pPr>
      <w:r>
        <w:t>18.</w:t>
      </w:r>
      <w:r>
        <w:tab/>
        <w:t>Further information on MSAC</w:t>
      </w:r>
    </w:p>
    <w:p w14:paraId="66B22835" w14:textId="4A78258B" w:rsidR="00A52CA3" w:rsidRPr="0002655F" w:rsidRDefault="00A52CA3" w:rsidP="0002655F">
      <w:pPr>
        <w:pStyle w:val="BodyText"/>
        <w:rPr>
          <w:rFonts w:ascii="Franklin Gothic Book" w:hAnsi="Franklin Gothic Book" w:cstheme="minorBidi"/>
          <w:b/>
          <w:bCs/>
          <w:i/>
          <w:iCs/>
          <w:sz w:val="22"/>
        </w:rPr>
      </w:pPr>
      <w:r w:rsidRPr="00F309FA">
        <w:rPr>
          <w:rFonts w:ascii="Franklin Gothic Book" w:hAnsi="Franklin Gothic Book"/>
          <w:bCs/>
          <w:iCs/>
          <w:sz w:val="22"/>
        </w:rPr>
        <w:t xml:space="preserve">MSAC Terms of Reference and other information are available on the MSAC Website: </w:t>
      </w:r>
      <w:hyperlink r:id="rId9" w:tooltip="Link to the MSAC website" w:history="1">
        <w:r w:rsidRPr="00F309FA">
          <w:rPr>
            <w:rStyle w:val="Hyperlink"/>
            <w:rFonts w:ascii="Franklin Gothic Book" w:hAnsi="Franklin Gothic Book"/>
            <w:bCs/>
            <w:iCs/>
            <w:sz w:val="22"/>
          </w:rPr>
          <w:t>visit the MSAC website</w:t>
        </w:r>
      </w:hyperlink>
    </w:p>
    <w:sectPr w:rsidR="00A52CA3" w:rsidRPr="0002655F" w:rsidSect="002C12E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AB49" w14:textId="77777777" w:rsidR="00E746BC" w:rsidRDefault="00E746BC">
      <w:pPr>
        <w:spacing w:before="0" w:after="0" w:line="240" w:lineRule="auto"/>
      </w:pPr>
      <w:r>
        <w:separator/>
      </w:r>
    </w:p>
  </w:endnote>
  <w:endnote w:type="continuationSeparator" w:id="0">
    <w:p w14:paraId="797C4552" w14:textId="77777777" w:rsidR="00E746BC" w:rsidRDefault="00E746BC">
      <w:pPr>
        <w:spacing w:before="0" w:after="0" w:line="240" w:lineRule="auto"/>
      </w:pPr>
      <w:r>
        <w:continuationSeparator/>
      </w:r>
    </w:p>
  </w:endnote>
  <w:endnote w:type="continuationNotice" w:id="1">
    <w:p w14:paraId="4F4E845E" w14:textId="77777777" w:rsidR="00E746BC" w:rsidRDefault="00E746B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 Gothic">
    <w:altName w:val="Cambria"/>
    <w:panose1 w:val="00000000000000000000"/>
    <w:charset w:val="00"/>
    <w:family w:val="roman"/>
    <w:notTrueType/>
    <w:pitch w:val="default"/>
  </w:font>
  <w:font w:name="Humanist 77 7 B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67D43" w14:textId="77777777" w:rsidR="000C1BAD" w:rsidRDefault="001B171F">
    <w:pPr>
      <w:pStyle w:val="Footer"/>
    </w:pPr>
    <w:r>
      <w:fldChar w:fldCharType="begin"/>
    </w:r>
    <w:r>
      <w:instrText xml:space="preserve"> PAGE   \* MERGEFORMAT </w:instrText>
    </w:r>
    <w:r>
      <w:fldChar w:fldCharType="separate"/>
    </w:r>
    <w:r>
      <w:rPr>
        <w:noProof/>
      </w:rPr>
      <w:t>72</w:t>
    </w:r>
    <w:r>
      <w:rPr>
        <w:noProof/>
      </w:rPr>
      <w:fldChar w:fldCharType="end"/>
    </w:r>
    <w:r>
      <w:rPr>
        <w:noProof/>
      </w:rPr>
      <w:tab/>
    </w:r>
    <w:r>
      <w:rPr>
        <w:noProof/>
      </w:rPr>
      <w:tab/>
    </w:r>
    <w:r>
      <w:t xml:space="preserve">MSAC </w:t>
    </w:r>
    <w:r w:rsidRPr="00807A3E">
      <w:t xml:space="preserve">assessment report </w:t>
    </w:r>
    <w:r>
      <w:rPr>
        <w:highlight w:val="cyan"/>
      </w:rPr>
      <w:t>*</w:t>
    </w:r>
    <w:r w:rsidRPr="00052DD3">
      <w:rPr>
        <w:highlight w:val="cyan"/>
      </w:rPr>
      <w:t>XXXX</w:t>
    </w:r>
    <w:r>
      <w:rPr>
        <w:highlight w:val="cyan"/>
      </w:rPr>
      <w:t xml:space="preserve"> –</w:t>
    </w:r>
    <w:r w:rsidRPr="00052DD3">
      <w:rPr>
        <w:highlight w:val="cyan"/>
      </w:rPr>
      <w:t xml:space="preserve"> Brief heading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847"/>
      <w:docPartObj>
        <w:docPartGallery w:val="Page Numbers (Bottom of Page)"/>
        <w:docPartUnique/>
      </w:docPartObj>
    </w:sdtPr>
    <w:sdtEndPr>
      <w:rPr>
        <w:noProof/>
      </w:rPr>
    </w:sdtEndPr>
    <w:sdtContent>
      <w:p w14:paraId="328D5E84" w14:textId="10835A38" w:rsidR="000C1BAD" w:rsidRDefault="001B171F" w:rsidP="000C1BAD">
        <w:pPr>
          <w:pStyle w:val="Footer"/>
          <w:jc w:val="right"/>
        </w:pPr>
        <w:r>
          <w:fldChar w:fldCharType="begin"/>
        </w:r>
        <w:r>
          <w:instrText xml:space="preserve"> PAGE   \* MERGEFORMAT </w:instrText>
        </w:r>
        <w:r>
          <w:fldChar w:fldCharType="separate"/>
        </w:r>
        <w:r>
          <w:rPr>
            <w:noProof/>
          </w:rPr>
          <w:t>73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5135D" w14:textId="77777777" w:rsidR="005277E8" w:rsidRDefault="005277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14AD5" w14:textId="77777777" w:rsidR="00E746BC" w:rsidRDefault="00E746BC">
      <w:pPr>
        <w:spacing w:before="0" w:after="0" w:line="240" w:lineRule="auto"/>
      </w:pPr>
      <w:r>
        <w:separator/>
      </w:r>
    </w:p>
  </w:footnote>
  <w:footnote w:type="continuationSeparator" w:id="0">
    <w:p w14:paraId="58E2B8DF" w14:textId="77777777" w:rsidR="00E746BC" w:rsidRDefault="00E746BC">
      <w:pPr>
        <w:spacing w:before="0" w:after="0" w:line="240" w:lineRule="auto"/>
      </w:pPr>
      <w:r>
        <w:continuationSeparator/>
      </w:r>
    </w:p>
  </w:footnote>
  <w:footnote w:type="continuationNotice" w:id="1">
    <w:p w14:paraId="4EAC34D2" w14:textId="77777777" w:rsidR="00E746BC" w:rsidRDefault="00E746BC">
      <w:pPr>
        <w:spacing w:before="0" w:after="0" w:line="240" w:lineRule="auto"/>
      </w:pPr>
    </w:p>
  </w:footnote>
  <w:footnote w:id="2">
    <w:p w14:paraId="7BC6DD06" w14:textId="2B0682F7" w:rsidR="0008417D" w:rsidRDefault="0008417D" w:rsidP="00441E12">
      <w:pPr>
        <w:pStyle w:val="Footnotes"/>
      </w:pPr>
      <w:r>
        <w:rPr>
          <w:rStyle w:val="FootnoteReference"/>
        </w:rPr>
        <w:footnoteRef/>
      </w:r>
      <w:r w:rsidR="005E096C">
        <w:t xml:space="preserve"> </w:t>
      </w:r>
      <w:r w:rsidRPr="00757598">
        <w:t>Kwan</w:t>
      </w:r>
      <w:r>
        <w:t xml:space="preserve"> et al., 2010. D</w:t>
      </w:r>
      <w:r w:rsidRPr="00757598">
        <w:t>efinition of drug resistant epilepsy: consensus proposal by the ad hoc Task Force of the ILAE Commission on Therapeutic Strategies</w:t>
      </w:r>
      <w:r>
        <w:t xml:space="preserve">. </w:t>
      </w:r>
      <w:r w:rsidRPr="00645969">
        <w:rPr>
          <w:i/>
          <w:iCs/>
        </w:rPr>
        <w:t>Epilepsia</w:t>
      </w:r>
    </w:p>
  </w:footnote>
  <w:footnote w:id="3">
    <w:p w14:paraId="7CA1F7F4" w14:textId="6B104184" w:rsidR="004F6C62" w:rsidRDefault="00D37C51" w:rsidP="00441E12">
      <w:pPr>
        <w:pStyle w:val="Footnotes"/>
      </w:pPr>
      <w:r w:rsidRPr="00441E12">
        <w:rPr>
          <w:rStyle w:val="FootnotesChar"/>
          <w:vertAlign w:val="superscript"/>
        </w:rPr>
        <w:footnoteRef/>
      </w:r>
      <w:r w:rsidRPr="00441E12">
        <w:rPr>
          <w:rStyle w:val="FootnotesChar"/>
          <w:vertAlign w:val="superscript"/>
        </w:rPr>
        <w:t xml:space="preserve"> </w:t>
      </w:r>
      <w:r w:rsidRPr="00C10384">
        <w:rPr>
          <w:rStyle w:val="FootnotesChar"/>
        </w:rPr>
        <w:t>Dalic</w:t>
      </w:r>
      <w:r>
        <w:rPr>
          <w:rStyle w:val="FootnotesChar"/>
        </w:rPr>
        <w:t xml:space="preserve"> </w:t>
      </w:r>
      <w:r w:rsidRPr="00BE6037">
        <w:rPr>
          <w:rStyle w:val="FootnotesChar"/>
        </w:rPr>
        <w:t>et al.,</w:t>
      </w:r>
      <w:r w:rsidR="00B342CC" w:rsidRPr="00BE6037">
        <w:rPr>
          <w:rStyle w:val="FootnotesChar"/>
        </w:rPr>
        <w:t xml:space="preserve"> </w:t>
      </w:r>
      <w:r w:rsidRPr="00C10384">
        <w:rPr>
          <w:rStyle w:val="FootnotesChar"/>
        </w:rPr>
        <w:t>DBS of Thalamic Centromedian Nucleus for Lennox-Gastaut Syndrome (ESTEL Trial). Ann Neurol. 2022.</w:t>
      </w:r>
    </w:p>
  </w:footnote>
  <w:footnote w:id="4">
    <w:p w14:paraId="3979E885" w14:textId="77777777" w:rsidR="000064F5" w:rsidRPr="000E3EE2" w:rsidRDefault="000064F5" w:rsidP="00441E12">
      <w:pPr>
        <w:pStyle w:val="Footnotes"/>
        <w:rPr>
          <w:rFonts w:ascii="Times New Roman" w:hAnsi="Times New Roman" w:cs="Times New Roman"/>
          <w:sz w:val="18"/>
          <w:szCs w:val="18"/>
        </w:rPr>
      </w:pPr>
      <w:r w:rsidRPr="00441E12">
        <w:rPr>
          <w:rStyle w:val="FootnotesChar"/>
          <w:vertAlign w:val="superscript"/>
        </w:rPr>
        <w:footnoteRef/>
      </w:r>
      <w:r w:rsidRPr="00441E12">
        <w:rPr>
          <w:rStyle w:val="FootnotesChar"/>
          <w:vertAlign w:val="superscript"/>
        </w:rPr>
        <w:t xml:space="preserve"> </w:t>
      </w:r>
      <w:r w:rsidRPr="00BE6037">
        <w:rPr>
          <w:rStyle w:val="FootnotesChar"/>
        </w:rPr>
        <w:t>https://clinicaltrials.gov/ct2/show/NCT02076698</w:t>
      </w:r>
    </w:p>
  </w:footnote>
  <w:footnote w:id="5">
    <w:p w14:paraId="3DFBD464" w14:textId="214C8118" w:rsidR="00903C65" w:rsidRDefault="00903C65" w:rsidP="004E09FF">
      <w:pPr>
        <w:pStyle w:val="Footnotes"/>
      </w:pPr>
      <w:r>
        <w:rPr>
          <w:rStyle w:val="FootnoteReference"/>
        </w:rPr>
        <w:footnoteRef/>
      </w:r>
      <w:r>
        <w:t xml:space="preserve"> </w:t>
      </w:r>
      <w:r w:rsidRPr="00903C65">
        <w:t>Australian Government Department of Health and Aged Care 2022, MBS Online, viewed October 11 2022, &lt;http://www9.health.gov.au/mbs/search.cfm&gt;.</w:t>
      </w:r>
    </w:p>
  </w:footnote>
  <w:footnote w:id="6">
    <w:p w14:paraId="257B6A3B" w14:textId="7ECE1B46" w:rsidR="00757598" w:rsidRPr="00D64B5F" w:rsidRDefault="00757598" w:rsidP="004E09FF">
      <w:pPr>
        <w:pStyle w:val="Footnotes"/>
      </w:pPr>
      <w:r w:rsidRPr="00645969">
        <w:rPr>
          <w:vertAlign w:val="superscript"/>
        </w:rPr>
        <w:footnoteRef/>
      </w:r>
      <w:r>
        <w:t xml:space="preserve"> </w:t>
      </w:r>
      <w:r w:rsidR="00AA2F4A" w:rsidRPr="00D64B5F">
        <w:t>Chen</w:t>
      </w:r>
      <w:r w:rsidR="00645969">
        <w:t xml:space="preserve"> et al., 2018. </w:t>
      </w:r>
      <w:r w:rsidR="00AA2F4A" w:rsidRPr="00D64B5F">
        <w:t>Treatment Outcomes in Patients With Newly Diagnosed Epilepsy Treated With Established and New Antiepileptic Drugs: A 30-Year Longitudinal Cohort Study</w:t>
      </w:r>
      <w:r w:rsidR="00645969">
        <w:t>.</w:t>
      </w:r>
      <w:r w:rsidR="00AA2F4A" w:rsidRPr="00D64B5F">
        <w:t xml:space="preserve"> </w:t>
      </w:r>
      <w:r w:rsidR="00AA2F4A" w:rsidRPr="00645969">
        <w:rPr>
          <w:i/>
          <w:iCs/>
        </w:rPr>
        <w:t>JAMA Neurology</w:t>
      </w:r>
    </w:p>
  </w:footnote>
  <w:footnote w:id="7">
    <w:p w14:paraId="0A9C35D3" w14:textId="43F94CEF" w:rsidR="00AA2F4A" w:rsidRPr="00D64B5F" w:rsidRDefault="00AA2F4A" w:rsidP="004E09FF">
      <w:pPr>
        <w:pStyle w:val="Footnotes"/>
      </w:pPr>
      <w:r w:rsidRPr="00645969">
        <w:rPr>
          <w:vertAlign w:val="superscript"/>
        </w:rPr>
        <w:footnoteRef/>
      </w:r>
      <w:r>
        <w:t xml:space="preserve"> </w:t>
      </w:r>
      <w:r w:rsidR="000422D9">
        <w:t>A</w:t>
      </w:r>
      <w:r w:rsidR="000422D9" w:rsidRPr="00D64B5F">
        <w:t>ustralian Government Department of Health</w:t>
      </w:r>
      <w:r w:rsidR="00645969">
        <w:t>.</w:t>
      </w:r>
      <w:r w:rsidR="000422D9" w:rsidRPr="00D64B5F">
        <w:t xml:space="preserve"> 2022, Ratified PICO Confirmation - MSAC Application 1701 - Deep brain stimulation of the thalamus for the treatment of severe refractory epilepsy Medical Services Advisory Committee, Australia, &lt;http://msac.gov.au/internet/msac/publishing.nsf/Content/1701-public&gt;.</w:t>
      </w:r>
    </w:p>
  </w:footnote>
  <w:footnote w:id="8">
    <w:p w14:paraId="1AE2D55F" w14:textId="6743BB67" w:rsidR="000B5DF1" w:rsidRDefault="000B5DF1" w:rsidP="004E09FF">
      <w:pPr>
        <w:pStyle w:val="Footnotes"/>
      </w:pPr>
      <w:r w:rsidRPr="00645969">
        <w:rPr>
          <w:vertAlign w:val="superscript"/>
        </w:rPr>
        <w:footnoteRef/>
      </w:r>
      <w:r>
        <w:t xml:space="preserve"> </w:t>
      </w:r>
      <w:r w:rsidR="00E50A72" w:rsidRPr="00E50A72">
        <w:t>Miller</w:t>
      </w:r>
      <w:r w:rsidR="00645969">
        <w:t xml:space="preserve"> et al.,</w:t>
      </w:r>
      <w:r w:rsidR="00E50A72" w:rsidRPr="00E50A72">
        <w:t xml:space="preserve"> 2013</w:t>
      </w:r>
      <w:r w:rsidR="00645969">
        <w:t xml:space="preserve">. </w:t>
      </w:r>
      <w:r w:rsidR="00E50A72" w:rsidRPr="00E50A72">
        <w:t>Surgical treatment of epilepsy</w:t>
      </w:r>
      <w:r w:rsidR="00645969">
        <w:t>.</w:t>
      </w:r>
      <w:r w:rsidR="00E50A72" w:rsidRPr="00E50A72">
        <w:t xml:space="preserve"> </w:t>
      </w:r>
      <w:r w:rsidR="00E50A72" w:rsidRPr="00645969">
        <w:rPr>
          <w:i/>
          <w:iCs/>
        </w:rPr>
        <w:t>Continuum (Minneap Minn)</w:t>
      </w:r>
    </w:p>
  </w:footnote>
  <w:footnote w:id="9">
    <w:p w14:paraId="55C31DC6" w14:textId="2C794E70" w:rsidR="00E50A72" w:rsidRPr="00D64B5F" w:rsidRDefault="00E50A72" w:rsidP="004E09FF">
      <w:pPr>
        <w:pStyle w:val="Footnotes"/>
      </w:pPr>
      <w:r w:rsidRPr="00645969">
        <w:rPr>
          <w:vertAlign w:val="superscript"/>
        </w:rPr>
        <w:footnoteRef/>
      </w:r>
      <w:r>
        <w:t xml:space="preserve"> </w:t>
      </w:r>
      <w:r w:rsidR="00FD22D2" w:rsidRPr="00D64B5F">
        <w:t>Mayo Clinic</w:t>
      </w:r>
      <w:r w:rsidR="00645969">
        <w:t>.</w:t>
      </w:r>
      <w:r w:rsidR="00FD22D2" w:rsidRPr="00D64B5F">
        <w:t xml:space="preserve"> 2021, Epilepsy surgery. Patient Care &amp; Health Information., viewed 27 September 2022, &lt;https://www.mayoclinic.org/tests-procedures/epilepsy-surgery/about/pac-20393981 &gt;.</w:t>
      </w:r>
    </w:p>
  </w:footnote>
  <w:footnote w:id="10">
    <w:p w14:paraId="5E3ED2BB" w14:textId="44C2E75E" w:rsidR="00E131A4" w:rsidRPr="00D64B5F" w:rsidRDefault="00E131A4" w:rsidP="004E09FF">
      <w:pPr>
        <w:pStyle w:val="Footnotes"/>
      </w:pPr>
      <w:r w:rsidRPr="00645969">
        <w:rPr>
          <w:vertAlign w:val="superscript"/>
        </w:rPr>
        <w:footnoteRef/>
      </w:r>
      <w:r>
        <w:t xml:space="preserve"> </w:t>
      </w:r>
      <w:r w:rsidRPr="00D64B5F">
        <w:t>Australian Government Department of Health</w:t>
      </w:r>
      <w:r w:rsidR="00645969">
        <w:t>.</w:t>
      </w:r>
      <w:r w:rsidRPr="00D64B5F">
        <w:t xml:space="preserve"> 2022, Ratified PICO Confirmation - MSAC Application 1701 - Deep brain stimulation of the thalamus for the treatment of severe refractory epilepsy Medical Services Advisory Committee, Australia, &lt;http://msac.gov.au/internet/msac/publishing.nsf/Content/1701-public&gt;.</w:t>
      </w:r>
    </w:p>
  </w:footnote>
  <w:footnote w:id="11">
    <w:p w14:paraId="403EC6CF" w14:textId="65095CFA" w:rsidR="00C83371" w:rsidRPr="00C83371" w:rsidRDefault="00C83371" w:rsidP="004E09FF">
      <w:pPr>
        <w:pStyle w:val="Footnotes"/>
      </w:pPr>
      <w:r>
        <w:rPr>
          <w:rStyle w:val="FootnoteReference"/>
        </w:rPr>
        <w:footnoteRef/>
      </w:r>
      <w:r>
        <w:t xml:space="preserve"> </w:t>
      </w:r>
      <w:r w:rsidRPr="00C83371">
        <w:t>Epilepsy Action Australia 2020, Vagus Nerve Stimlulation (VNS), Epilepsy Action Australia, viewed 17 October 2022, &lt;https://www.epilepsy.org.au/about-epilepsy/managing-epilepsy/treatment/vagus-nerve-stimulation-vns/&gt;.</w:t>
      </w:r>
    </w:p>
  </w:footnote>
  <w:footnote w:id="12">
    <w:p w14:paraId="7E904037" w14:textId="14F81AD0" w:rsidR="00C83371" w:rsidRPr="007F7F34" w:rsidRDefault="00C83371" w:rsidP="004E09FF">
      <w:pPr>
        <w:pStyle w:val="Footnotes"/>
      </w:pPr>
      <w:r>
        <w:rPr>
          <w:rStyle w:val="FootnoteReference"/>
        </w:rPr>
        <w:footnoteRef/>
      </w:r>
      <w:r>
        <w:t xml:space="preserve"> </w:t>
      </w:r>
      <w:r w:rsidR="007F7F34" w:rsidRPr="007F7F34">
        <w:t>Australian Government Department of Health and Aged Care 2022, MBS Online, viewed October 11 2022, &lt;http://www9.health.gov.au/mbs/search.cfm&gt;.</w:t>
      </w:r>
    </w:p>
  </w:footnote>
  <w:footnote w:id="13">
    <w:p w14:paraId="285FF4D3" w14:textId="6309EE0B" w:rsidR="00592143" w:rsidRDefault="007F7F34" w:rsidP="004E09FF">
      <w:pPr>
        <w:pStyle w:val="Footnotes"/>
      </w:pPr>
      <w:r>
        <w:rPr>
          <w:rStyle w:val="FootnoteReference"/>
        </w:rPr>
        <w:footnoteRef/>
      </w:r>
      <w:r>
        <w:t xml:space="preserve"> </w:t>
      </w:r>
      <w:r w:rsidR="0053549E" w:rsidRPr="0053549E">
        <w:t>The Royal Children's Hospital Melbourne 2022, Vagus nerve stimulation viewed October 11 2022, &lt;https://www.rch.org.au/neurology/patient_information/vagus_nerve_stimulation/&gt;.</w:t>
      </w:r>
    </w:p>
  </w:footnote>
  <w:footnote w:id="14">
    <w:p w14:paraId="2ECF63E0" w14:textId="56E2B5AF" w:rsidR="00592143" w:rsidRDefault="00592143" w:rsidP="004E09FF">
      <w:pPr>
        <w:pStyle w:val="Footnotes"/>
      </w:pPr>
      <w:r>
        <w:rPr>
          <w:rStyle w:val="FootnoteReference"/>
        </w:rPr>
        <w:footnoteRef/>
      </w:r>
      <w:r>
        <w:t xml:space="preserve"> </w:t>
      </w:r>
      <w:r w:rsidRPr="00F73A2A">
        <w:rPr>
          <w:noProof/>
        </w:rPr>
        <w:t>Perucca</w:t>
      </w:r>
      <w:r w:rsidR="004510F4">
        <w:rPr>
          <w:noProof/>
        </w:rPr>
        <w:t xml:space="preserve"> et al.,</w:t>
      </w:r>
      <w:r w:rsidRPr="00F73A2A">
        <w:rPr>
          <w:noProof/>
        </w:rPr>
        <w:t xml:space="preserve"> 2018</w:t>
      </w:r>
      <w:r w:rsidR="004510F4">
        <w:rPr>
          <w:noProof/>
        </w:rPr>
        <w:t xml:space="preserve">. </w:t>
      </w:r>
      <w:r w:rsidRPr="00F73A2A">
        <w:rPr>
          <w:noProof/>
        </w:rPr>
        <w:t>The management of epilepsy in children and adults</w:t>
      </w:r>
      <w:r w:rsidR="004510F4">
        <w:rPr>
          <w:noProof/>
        </w:rPr>
        <w:t>.</w:t>
      </w:r>
      <w:r w:rsidRPr="00F73A2A">
        <w:rPr>
          <w:noProof/>
        </w:rPr>
        <w:t xml:space="preserve"> </w:t>
      </w:r>
      <w:r w:rsidRPr="00F73A2A">
        <w:rPr>
          <w:i/>
          <w:noProof/>
        </w:rPr>
        <w:t>Med J Aust</w:t>
      </w:r>
      <w:r w:rsidRPr="00F73A2A">
        <w:rPr>
          <w:noProof/>
        </w:rPr>
        <w:t>.</w:t>
      </w:r>
    </w:p>
  </w:footnote>
  <w:footnote w:id="15">
    <w:p w14:paraId="16F48E24" w14:textId="1EAE3EC8" w:rsidR="004510F4" w:rsidRDefault="004510F4" w:rsidP="004510F4">
      <w:pPr>
        <w:pStyle w:val="Footnotes"/>
      </w:pPr>
      <w:r>
        <w:rPr>
          <w:rStyle w:val="FootnoteReference"/>
        </w:rPr>
        <w:footnoteRef/>
      </w:r>
      <w:r>
        <w:t xml:space="preserve"> NCT02076698 - </w:t>
      </w:r>
      <w:r w:rsidRPr="004510F4">
        <w:t>Deep Brain Stimulation of the Anterior Nucleus of the Thalamus in Epilepsy (FRANCE)</w:t>
      </w:r>
      <w:r>
        <w:t>. &lt;</w:t>
      </w:r>
      <w:r w:rsidRPr="004510F4">
        <w:t>https://clinicaltrials.gov/ct2/show/NCT02076698</w:t>
      </w:r>
      <w:r>
        <w:t>&gt;</w:t>
      </w:r>
    </w:p>
  </w:footnote>
  <w:footnote w:id="16">
    <w:p w14:paraId="46A087CA" w14:textId="7C4ECBC6" w:rsidR="004731E0" w:rsidRPr="005B31B2" w:rsidRDefault="004731E0" w:rsidP="009B5C59">
      <w:pPr>
        <w:autoSpaceDE w:val="0"/>
        <w:autoSpaceDN w:val="0"/>
        <w:adjustRightInd w:val="0"/>
        <w:spacing w:before="0" w:after="0" w:line="240" w:lineRule="auto"/>
        <w:jc w:val="left"/>
        <w:rPr>
          <w:rFonts w:ascii="Arial Narrow" w:hAnsi="Arial Narrow" w:cs="Segoe UI"/>
          <w:sz w:val="16"/>
          <w:szCs w:val="16"/>
          <w:lang w:val="en-CA"/>
        </w:rPr>
      </w:pPr>
      <w:r w:rsidRPr="008301A1">
        <w:rPr>
          <w:rStyle w:val="FootnotesChar"/>
          <w:vertAlign w:val="superscript"/>
        </w:rPr>
        <w:footnoteRef/>
      </w:r>
      <w:r>
        <w:t xml:space="preserve"> </w:t>
      </w:r>
      <w:r w:rsidR="001436EF" w:rsidRPr="005B31B2">
        <w:rPr>
          <w:rFonts w:ascii="Arial Narrow" w:hAnsi="Arial Narrow" w:cs="Segoe UI"/>
          <w:sz w:val="16"/>
          <w:szCs w:val="16"/>
          <w:lang w:val="en-CA"/>
        </w:rPr>
        <w:t xml:space="preserve">Medtronic Inc. 2022. </w:t>
      </w:r>
      <w:r w:rsidR="001436EF" w:rsidRPr="008301A1">
        <w:rPr>
          <w:rFonts w:ascii="Arial Narrow" w:hAnsi="Arial Narrow" w:cs="Segoe UI"/>
          <w:sz w:val="16"/>
          <w:szCs w:val="16"/>
          <w:lang w:val="en-CA"/>
        </w:rPr>
        <w:t>Deep brain stimulation.</w:t>
      </w:r>
      <w:r w:rsidR="001436EF" w:rsidRPr="005B31B2">
        <w:rPr>
          <w:rFonts w:ascii="Arial Narrow" w:hAnsi="Arial Narrow" w:cs="Segoe UI"/>
          <w:i/>
          <w:iCs/>
          <w:sz w:val="16"/>
          <w:szCs w:val="16"/>
          <w:lang w:val="en-CA"/>
        </w:rPr>
        <w:t xml:space="preserve"> Healthcare professionals</w:t>
      </w:r>
      <w:r w:rsidR="003D083A" w:rsidRPr="005B31B2">
        <w:rPr>
          <w:rFonts w:ascii="Arial Narrow" w:hAnsi="Arial Narrow" w:cs="Segoe UI"/>
          <w:sz w:val="16"/>
          <w:szCs w:val="16"/>
          <w:lang w:val="en-CA"/>
        </w:rPr>
        <w:t xml:space="preserve">, viewed 22 November 2022, </w:t>
      </w:r>
      <w:r w:rsidR="00664A70" w:rsidRPr="005B31B2">
        <w:rPr>
          <w:rFonts w:ascii="Arial Narrow" w:hAnsi="Arial Narrow" w:cs="Segoe UI"/>
          <w:sz w:val="16"/>
          <w:szCs w:val="16"/>
          <w:lang w:val="en-CA"/>
        </w:rPr>
        <w:t>&lt;</w:t>
      </w:r>
      <w:r w:rsidR="001436EF" w:rsidRPr="005B31B2">
        <w:rPr>
          <w:rFonts w:ascii="Arial Narrow" w:hAnsi="Arial Narrow" w:cs="Segoe UI"/>
          <w:sz w:val="16"/>
          <w:szCs w:val="16"/>
          <w:lang w:val="en-CA"/>
        </w:rPr>
        <w:t>https://www.medtronic.com/ca-en/healthcare-professionals/products/neurological/deep-brain-stimulation-systems.html</w:t>
      </w:r>
      <w:r w:rsidR="00664A70" w:rsidRPr="005B31B2">
        <w:rPr>
          <w:rFonts w:ascii="Arial Narrow" w:hAnsi="Arial Narrow" w:cs="Segoe UI"/>
          <w:sz w:val="16"/>
          <w:szCs w:val="16"/>
          <w:lang w:val="en-CA"/>
        </w:rPr>
        <w:t>&gt;</w:t>
      </w:r>
      <w:r w:rsidR="001436EF" w:rsidRPr="005B31B2">
        <w:rPr>
          <w:rFonts w:ascii="Arial Narrow" w:hAnsi="Arial Narrow" w:cs="Segoe UI"/>
          <w:sz w:val="16"/>
          <w:szCs w:val="16"/>
          <w:lang w:val="en-CA"/>
        </w:rPr>
        <w:t>.</w:t>
      </w:r>
    </w:p>
  </w:footnote>
  <w:footnote w:id="17">
    <w:p w14:paraId="1501B629" w14:textId="27B8B3F1" w:rsidR="00592143" w:rsidRDefault="00592143" w:rsidP="00477899">
      <w:pPr>
        <w:pStyle w:val="Footnotes"/>
      </w:pPr>
      <w:r>
        <w:rPr>
          <w:rStyle w:val="FootnoteReference"/>
        </w:rPr>
        <w:footnoteRef/>
      </w:r>
      <w:r>
        <w:t xml:space="preserve"> </w:t>
      </w:r>
      <w:r w:rsidR="00F94A9E" w:rsidRPr="00F94A9E">
        <w:t>Medtronic</w:t>
      </w:r>
      <w:r w:rsidR="008301A1">
        <w:t xml:space="preserve"> Inc.</w:t>
      </w:r>
      <w:r w:rsidR="00F94A9E" w:rsidRPr="00F94A9E">
        <w:t xml:space="preserve"> 2010, Summary of safety and effectiveness data. Implantable multi-programmable quadripolar deep brain stimulation system for epilepsy, viewed 13 October 2022, &lt;https://www.accessdata.fda.gov/cdrh_docs/pdf/P960009S219b.pdf</w:t>
      </w:r>
      <w:r w:rsidR="008301A1">
        <w:t>&gt;</w:t>
      </w:r>
    </w:p>
  </w:footnote>
  <w:footnote w:id="18">
    <w:p w14:paraId="5E87CDE4" w14:textId="77777777" w:rsidR="00DA1517" w:rsidRPr="005B31B2" w:rsidRDefault="00DA1517" w:rsidP="00DA1517">
      <w:pPr>
        <w:pStyle w:val="FootnoteText"/>
        <w:rPr>
          <w:lang w:val="en-CA"/>
        </w:rPr>
      </w:pPr>
      <w:r>
        <w:rPr>
          <w:rStyle w:val="FootnoteReference"/>
        </w:rPr>
        <w:footnoteRef/>
      </w:r>
      <w:r>
        <w:t xml:space="preserve"> </w:t>
      </w:r>
      <w:r w:rsidRPr="005B31B2">
        <w:rPr>
          <w:rFonts w:ascii="Arial Narrow" w:hAnsi="Arial Narrow"/>
          <w:sz w:val="16"/>
          <w:szCs w:val="16"/>
        </w:rPr>
        <w:t xml:space="preserve">The proportion of patients whose seizure frequency is reduced by </w:t>
      </w:r>
      <w:r>
        <w:rPr>
          <w:rFonts w:ascii="Arial Narrow" w:hAnsi="Arial Narrow"/>
          <w:sz w:val="16"/>
          <w:szCs w:val="16"/>
        </w:rPr>
        <w:t xml:space="preserve">at least </w:t>
      </w:r>
      <w:r w:rsidRPr="005B31B2">
        <w:rPr>
          <w:rFonts w:ascii="Arial Narrow" w:hAnsi="Arial Narrow"/>
          <w:sz w:val="16"/>
          <w:szCs w:val="16"/>
        </w:rPr>
        <w:t>50%</w:t>
      </w:r>
      <w:r>
        <w:rPr>
          <w:rFonts w:ascii="Arial Narrow" w:hAnsi="Arial Narrow"/>
          <w:sz w:val="16"/>
          <w:szCs w:val="16"/>
        </w:rPr>
        <w:t xml:space="preserve"> </w:t>
      </w:r>
      <w:r w:rsidRPr="005B31B2">
        <w:rPr>
          <w:rFonts w:ascii="Arial Narrow" w:hAnsi="Arial Narrow"/>
          <w:sz w:val="16"/>
          <w:szCs w:val="16"/>
        </w:rPr>
        <w:t>compared with baseline.</w:t>
      </w:r>
    </w:p>
  </w:footnote>
  <w:footnote w:id="19">
    <w:p w14:paraId="16C00757" w14:textId="3091098C" w:rsidR="007D69F3" w:rsidRDefault="007D69F3" w:rsidP="00C668EF">
      <w:pPr>
        <w:pStyle w:val="Footnotes"/>
      </w:pPr>
      <w:r>
        <w:rPr>
          <w:rStyle w:val="FootnoteReference"/>
        </w:rPr>
        <w:footnoteRef/>
      </w:r>
      <w:r>
        <w:t xml:space="preserve"> </w:t>
      </w:r>
      <w:r w:rsidRPr="00F73A2A">
        <w:rPr>
          <w:noProof/>
        </w:rPr>
        <w:t>Chan</w:t>
      </w:r>
      <w:r w:rsidR="008301A1">
        <w:rPr>
          <w:noProof/>
        </w:rPr>
        <w:t xml:space="preserve"> et al.,</w:t>
      </w:r>
      <w:r w:rsidRPr="00F73A2A">
        <w:rPr>
          <w:noProof/>
        </w:rPr>
        <w:t xml:space="preserve"> 2022</w:t>
      </w:r>
      <w:r w:rsidR="008301A1">
        <w:rPr>
          <w:noProof/>
        </w:rPr>
        <w:t xml:space="preserve">. </w:t>
      </w:r>
      <w:r w:rsidRPr="00F73A2A">
        <w:rPr>
          <w:noProof/>
        </w:rPr>
        <w:t>Economic evaluation of deep brain stimulation compared with vagus nerve stimulation and usual care for patients with refractory epilepsy: A lifetime decision analytic model</w:t>
      </w:r>
      <w:r w:rsidR="008301A1">
        <w:rPr>
          <w:noProof/>
        </w:rPr>
        <w:t>.</w:t>
      </w:r>
      <w:r w:rsidRPr="00F73A2A">
        <w:rPr>
          <w:noProof/>
        </w:rPr>
        <w:t xml:space="preserve"> </w:t>
      </w:r>
      <w:r w:rsidRPr="00F73A2A">
        <w:rPr>
          <w:i/>
          <w:noProof/>
        </w:rPr>
        <w:t>Epilepsia</w:t>
      </w:r>
      <w:r w:rsidR="008301A1">
        <w:rPr>
          <w:noProof/>
        </w:rPr>
        <w:t>.</w:t>
      </w:r>
    </w:p>
  </w:footnote>
  <w:footnote w:id="20">
    <w:p w14:paraId="7508A34B" w14:textId="77777777" w:rsidR="00A52CA3" w:rsidRPr="00BE6037" w:rsidRDefault="00A52CA3" w:rsidP="00A52CA3">
      <w:pPr>
        <w:shd w:val="clear" w:color="auto" w:fill="FFFFFF"/>
        <w:spacing w:before="0"/>
        <w:jc w:val="left"/>
        <w:rPr>
          <w:rFonts w:ascii="Arial Narrow" w:eastAsia="Times New Roman" w:hAnsi="Arial Narrow" w:cs="Times New Roman"/>
          <w:color w:val="212121"/>
          <w:sz w:val="16"/>
          <w:szCs w:val="16"/>
          <w:lang w:eastAsia="en-AU"/>
        </w:rPr>
      </w:pPr>
      <w:r w:rsidRPr="00BE6037">
        <w:rPr>
          <w:rStyle w:val="FootnoteReference"/>
          <w:rFonts w:ascii="Arial Narrow" w:hAnsi="Arial Narrow" w:cs="Times New Roman"/>
          <w:sz w:val="16"/>
          <w:szCs w:val="16"/>
        </w:rPr>
        <w:footnoteRef/>
      </w:r>
      <w:r w:rsidRPr="00BE6037">
        <w:rPr>
          <w:rFonts w:ascii="Arial Narrow" w:hAnsi="Arial Narrow" w:cs="Times New Roman"/>
          <w:sz w:val="16"/>
          <w:szCs w:val="16"/>
        </w:rPr>
        <w:t xml:space="preserve"> </w:t>
      </w:r>
      <w:r w:rsidRPr="00BE6037">
        <w:rPr>
          <w:rFonts w:ascii="Arial Narrow" w:eastAsia="Times New Roman" w:hAnsi="Arial Narrow" w:cs="Times New Roman"/>
          <w:color w:val="212121"/>
          <w:sz w:val="16"/>
          <w:szCs w:val="16"/>
          <w:lang w:eastAsia="en-AU"/>
        </w:rPr>
        <w:t xml:space="preserve">Dalic </w:t>
      </w:r>
      <w:r w:rsidRPr="00BE6037">
        <w:rPr>
          <w:rFonts w:ascii="Arial Narrow" w:eastAsia="Times New Roman" w:hAnsi="Arial Narrow" w:cs="Times New Roman"/>
          <w:i/>
          <w:iCs/>
          <w:color w:val="212121"/>
          <w:sz w:val="16"/>
          <w:szCs w:val="16"/>
          <w:lang w:eastAsia="en-AU"/>
        </w:rPr>
        <w:t>et al.,</w:t>
      </w:r>
      <w:r w:rsidRPr="00BE6037">
        <w:rPr>
          <w:rFonts w:ascii="Arial Narrow" w:eastAsia="Times New Roman" w:hAnsi="Arial Narrow" w:cs="Times New Roman"/>
          <w:color w:val="212121"/>
          <w:sz w:val="16"/>
          <w:szCs w:val="16"/>
          <w:lang w:eastAsia="en-AU"/>
        </w:rPr>
        <w:t xml:space="preserve"> DBS of Thalamic Centromedian Nucleus for Lennox-Gastaut Syndrome (ESTEL Trial). </w:t>
      </w:r>
      <w:r w:rsidRPr="00BE6037">
        <w:rPr>
          <w:rFonts w:ascii="Arial Narrow" w:eastAsia="Times New Roman" w:hAnsi="Arial Narrow" w:cs="Times New Roman"/>
          <w:i/>
          <w:iCs/>
          <w:color w:val="212121"/>
          <w:sz w:val="16"/>
          <w:szCs w:val="16"/>
          <w:lang w:eastAsia="en-AU"/>
        </w:rPr>
        <w:t>Ann Neurol.</w:t>
      </w:r>
      <w:r w:rsidRPr="00BE6037">
        <w:rPr>
          <w:rFonts w:ascii="Arial Narrow" w:eastAsia="Times New Roman" w:hAnsi="Arial Narrow" w:cs="Times New Roman"/>
          <w:color w:val="212121"/>
          <w:sz w:val="16"/>
          <w:szCs w:val="16"/>
          <w:lang w:eastAsia="en-AU"/>
        </w:rPr>
        <w:t xml:space="preserve"> 2022</w:t>
      </w:r>
    </w:p>
  </w:footnote>
  <w:footnote w:id="21">
    <w:p w14:paraId="676D5C18" w14:textId="77777777" w:rsidR="00A52CA3" w:rsidRPr="00BE6037" w:rsidRDefault="00A52CA3" w:rsidP="00A52CA3">
      <w:pPr>
        <w:pStyle w:val="FootnoteText"/>
        <w:rPr>
          <w:rFonts w:ascii="Arial Narrow" w:hAnsi="Arial Narrow" w:cs="Times New Roman"/>
          <w:sz w:val="16"/>
          <w:szCs w:val="16"/>
        </w:rPr>
      </w:pPr>
      <w:r w:rsidRPr="00BE6037">
        <w:rPr>
          <w:rStyle w:val="FootnoteReference"/>
          <w:rFonts w:ascii="Arial Narrow" w:hAnsi="Arial Narrow" w:cs="Times New Roman"/>
          <w:sz w:val="16"/>
          <w:szCs w:val="16"/>
        </w:rPr>
        <w:footnoteRef/>
      </w:r>
      <w:r w:rsidRPr="00BE6037">
        <w:rPr>
          <w:rFonts w:ascii="Arial Narrow" w:hAnsi="Arial Narrow" w:cs="Times New Roman"/>
          <w:sz w:val="16"/>
          <w:szCs w:val="16"/>
        </w:rPr>
        <w:t xml:space="preserve"> https://clinicaltrials.gov/ct2/show/NCT03900468</w:t>
      </w:r>
    </w:p>
  </w:footnote>
  <w:footnote w:id="22">
    <w:p w14:paraId="6972FBA1" w14:textId="77777777" w:rsidR="00A52CA3" w:rsidRPr="00BE6037" w:rsidRDefault="00A52CA3" w:rsidP="00A52CA3">
      <w:pPr>
        <w:pStyle w:val="FootnoteText"/>
        <w:rPr>
          <w:rFonts w:ascii="Arial Narrow" w:hAnsi="Arial Narrow" w:cs="Times New Roman"/>
          <w:sz w:val="16"/>
          <w:szCs w:val="16"/>
        </w:rPr>
      </w:pPr>
      <w:r w:rsidRPr="00BE6037">
        <w:rPr>
          <w:rStyle w:val="FootnoteReference"/>
          <w:rFonts w:ascii="Arial Narrow" w:hAnsi="Arial Narrow" w:cs="Times New Roman"/>
          <w:sz w:val="16"/>
          <w:szCs w:val="16"/>
        </w:rPr>
        <w:footnoteRef/>
      </w:r>
      <w:r w:rsidRPr="00BE6037">
        <w:rPr>
          <w:rFonts w:ascii="Arial Narrow" w:hAnsi="Arial Narrow" w:cs="Times New Roman"/>
          <w:sz w:val="16"/>
          <w:szCs w:val="16"/>
        </w:rPr>
        <w:t xml:space="preserve"> https://clinicaltrials.gov/ct2/show/NCT02076698</w:t>
      </w:r>
    </w:p>
  </w:footnote>
  <w:footnote w:id="23">
    <w:p w14:paraId="7B2C3370" w14:textId="77777777" w:rsidR="00A52CA3" w:rsidRPr="00BE6037" w:rsidRDefault="00A52CA3" w:rsidP="00A52CA3">
      <w:pPr>
        <w:pStyle w:val="FootnoteText"/>
        <w:rPr>
          <w:rFonts w:ascii="Arial Narrow" w:hAnsi="Arial Narrow"/>
          <w:sz w:val="16"/>
          <w:szCs w:val="16"/>
        </w:rPr>
      </w:pPr>
      <w:r w:rsidRPr="00BE6037">
        <w:rPr>
          <w:rStyle w:val="FootnoteReference"/>
          <w:rFonts w:ascii="Arial Narrow" w:hAnsi="Arial Narrow"/>
          <w:sz w:val="16"/>
          <w:szCs w:val="16"/>
        </w:rPr>
        <w:footnoteRef/>
      </w:r>
      <w:r w:rsidRPr="00BE6037">
        <w:rPr>
          <w:rFonts w:ascii="Arial Narrow" w:hAnsi="Arial Narrow"/>
          <w:sz w:val="16"/>
          <w:szCs w:val="16"/>
        </w:rPr>
        <w:t xml:space="preserve"> https://www.aihw.gov.au/reports/chronic-disease/epilepsy-in-australia/contents/how-many-australians-have-epilepsy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8E81C" w14:textId="77777777" w:rsidR="005277E8" w:rsidRDefault="005277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8695A" w14:textId="77777777" w:rsidR="005277E8" w:rsidRDefault="005277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C4491" w14:textId="77777777" w:rsidR="005277E8" w:rsidRDefault="00527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5CC6"/>
    <w:multiLevelType w:val="hybridMultilevel"/>
    <w:tmpl w:val="B4383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C93FF4"/>
    <w:multiLevelType w:val="hybridMultilevel"/>
    <w:tmpl w:val="88F8F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6677EB"/>
    <w:multiLevelType w:val="hybridMultilevel"/>
    <w:tmpl w:val="90D85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113B42"/>
    <w:multiLevelType w:val="singleLevel"/>
    <w:tmpl w:val="56CEB106"/>
    <w:lvl w:ilvl="0">
      <w:start w:val="1"/>
      <w:numFmt w:val="bullet"/>
      <w:pStyle w:val="Dash"/>
      <w:lvlText w:val="–"/>
      <w:lvlJc w:val="left"/>
      <w:pPr>
        <w:tabs>
          <w:tab w:val="num" w:pos="1800"/>
        </w:tabs>
        <w:ind w:left="1800" w:hanging="360"/>
      </w:pPr>
      <w:rPr>
        <w:rFonts w:ascii="Times New Roman" w:hAnsi="Times New Roman" w:hint="default"/>
        <w:sz w:val="20"/>
      </w:rPr>
    </w:lvl>
  </w:abstractNum>
  <w:abstractNum w:abstractNumId="4" w15:restartNumberingAfterBreak="0">
    <w:nsid w:val="16BB4224"/>
    <w:multiLevelType w:val="hybridMultilevel"/>
    <w:tmpl w:val="03B0EEB8"/>
    <w:lvl w:ilvl="0" w:tplc="288E36DA">
      <w:start w:val="1"/>
      <w:numFmt w:val="bullet"/>
      <w:pStyle w:val="BoxBullet"/>
      <w:lvlText w:val=""/>
      <w:lvlJc w:val="left"/>
      <w:pPr>
        <w:tabs>
          <w:tab w:val="num" w:pos="357"/>
        </w:tabs>
        <w:ind w:left="357" w:hanging="35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EC0E03"/>
    <w:multiLevelType w:val="hybridMultilevel"/>
    <w:tmpl w:val="6C1E4B1A"/>
    <w:lvl w:ilvl="0" w:tplc="10090001">
      <w:start w:val="1"/>
      <w:numFmt w:val="bullet"/>
      <w:lvlText w:val=""/>
      <w:lvlJc w:val="left"/>
      <w:pPr>
        <w:ind w:left="720" w:hanging="360"/>
      </w:pPr>
      <w:rPr>
        <w:rFonts w:ascii="Symbol" w:hAnsi="Symbol" w:hint="default"/>
      </w:rPr>
    </w:lvl>
    <w:lvl w:ilvl="1" w:tplc="6CDEE896">
      <w:start w:val="1"/>
      <w:numFmt w:val="bullet"/>
      <w:lvlText w:val="-"/>
      <w:lvlJc w:val="left"/>
      <w:pPr>
        <w:ind w:left="1080" w:hanging="360"/>
      </w:pPr>
      <w:rPr>
        <w:rFonts w:ascii="Segoe UI" w:hAnsi="Segoe U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7" w15:restartNumberingAfterBreak="0">
    <w:nsid w:val="250574F7"/>
    <w:multiLevelType w:val="multilevel"/>
    <w:tmpl w:val="3B860E16"/>
    <w:lvl w:ilvl="0">
      <w:start w:val="1"/>
      <w:numFmt w:val="decimal"/>
      <w:pStyle w:val="Heading1"/>
      <w:lvlText w:val="Section %1"/>
      <w:lvlJc w:val="left"/>
      <w:pPr>
        <w:ind w:left="788" w:hanging="788"/>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ascii="Franklin Gothic Medium" w:hAnsi="Franklin Gothic Medium" w:hint="default"/>
        <w:color w:val="000000" w:themeColor="text1"/>
        <w:sz w:val="24"/>
      </w:rPr>
    </w:lvl>
    <w:lvl w:ilvl="3">
      <w:start w:val="1"/>
      <w:numFmt w:val="decimal"/>
      <w:lvlText w:val="%4."/>
      <w:lvlJc w:val="left"/>
      <w:pPr>
        <w:ind w:left="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BED5D83"/>
    <w:multiLevelType w:val="hybridMultilevel"/>
    <w:tmpl w:val="8D5A5B5C"/>
    <w:lvl w:ilvl="0" w:tplc="6D32A8DC">
      <w:start w:val="1"/>
      <w:numFmt w:val="decimal"/>
      <w:pStyle w:val="Heading2execsummary"/>
      <w:lvlText w:val="%1."/>
      <w:lvlJc w:val="left"/>
      <w:pPr>
        <w:ind w:left="737" w:hanging="73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3F914FB"/>
    <w:multiLevelType w:val="hybridMultilevel"/>
    <w:tmpl w:val="48DA3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803686"/>
    <w:multiLevelType w:val="hybridMultilevel"/>
    <w:tmpl w:val="AFCA6D74"/>
    <w:lvl w:ilvl="0" w:tplc="6CDEE896">
      <w:start w:val="1"/>
      <w:numFmt w:val="bullet"/>
      <w:lvlText w:val="-"/>
      <w:lvlJc w:val="left"/>
      <w:pPr>
        <w:ind w:left="1080" w:hanging="360"/>
      </w:pPr>
      <w:rPr>
        <w:rFonts w:ascii="Segoe UI" w:hAnsi="Segoe U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47095746"/>
    <w:multiLevelType w:val="hybridMultilevel"/>
    <w:tmpl w:val="C74EAE88"/>
    <w:lvl w:ilvl="0" w:tplc="2DE89AE6">
      <w:start w:val="1"/>
      <w:numFmt w:val="bullet"/>
      <w:pStyle w:val="Instructionaltext-bullet"/>
      <w:lvlText w:val=""/>
      <w:lvlJc w:val="left"/>
      <w:pPr>
        <w:ind w:left="720" w:hanging="360"/>
      </w:pPr>
      <w:rPr>
        <w:rFonts w:ascii="Symbol" w:hAnsi="Symbol" w:cs="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AC74468"/>
    <w:multiLevelType w:val="hybridMultilevel"/>
    <w:tmpl w:val="3A066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903835"/>
    <w:multiLevelType w:val="singleLevel"/>
    <w:tmpl w:val="48C4148A"/>
    <w:lvl w:ilvl="0">
      <w:numFmt w:val="bullet"/>
      <w:pStyle w:val="Bullet"/>
      <w:lvlText w:val=""/>
      <w:lvlJc w:val="left"/>
      <w:pPr>
        <w:tabs>
          <w:tab w:val="num" w:pos="1440"/>
        </w:tabs>
        <w:ind w:left="1440" w:hanging="720"/>
      </w:pPr>
      <w:rPr>
        <w:rFonts w:ascii="Symbol" w:hAnsi="Symbol" w:hint="default"/>
        <w:sz w:val="22"/>
      </w:rPr>
    </w:lvl>
  </w:abstractNum>
  <w:abstractNum w:abstractNumId="14" w15:restartNumberingAfterBreak="0">
    <w:nsid w:val="5F87056D"/>
    <w:multiLevelType w:val="hybridMultilevel"/>
    <w:tmpl w:val="5672C2A8"/>
    <w:lvl w:ilvl="0" w:tplc="5D7CD130">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BB32BE"/>
    <w:multiLevelType w:val="hybridMultilevel"/>
    <w:tmpl w:val="2788D6C6"/>
    <w:lvl w:ilvl="0" w:tplc="B0DA2C7E">
      <w:start w:val="1"/>
      <w:numFmt w:val="decimal"/>
      <w:pStyle w:val="MainBodySectionHeading-numbered"/>
      <w:lvlText w:val="A.%1"/>
      <w:lvlJc w:val="left"/>
      <w:pPr>
        <w:ind w:left="720" w:hanging="360"/>
      </w:pPr>
      <w:rPr>
        <w:rFonts w:ascii="Calibri" w:hAnsi="Calibri" w:hint="default"/>
        <w:b/>
        <w:i w:val="0"/>
        <w:color w:val="auto"/>
        <w:sz w:val="28"/>
      </w:rPr>
    </w:lvl>
    <w:lvl w:ilvl="1" w:tplc="3412F0B6" w:tentative="1">
      <w:start w:val="1"/>
      <w:numFmt w:val="lowerLetter"/>
      <w:lvlText w:val="%2."/>
      <w:lvlJc w:val="left"/>
      <w:pPr>
        <w:ind w:left="1440" w:hanging="360"/>
      </w:pPr>
    </w:lvl>
    <w:lvl w:ilvl="2" w:tplc="0A2C92E8" w:tentative="1">
      <w:start w:val="1"/>
      <w:numFmt w:val="lowerRoman"/>
      <w:lvlText w:val="%3."/>
      <w:lvlJc w:val="right"/>
      <w:pPr>
        <w:ind w:left="2160" w:hanging="180"/>
      </w:pPr>
    </w:lvl>
    <w:lvl w:ilvl="3" w:tplc="51E06328" w:tentative="1">
      <w:start w:val="1"/>
      <w:numFmt w:val="decimal"/>
      <w:lvlText w:val="%4."/>
      <w:lvlJc w:val="left"/>
      <w:pPr>
        <w:ind w:left="2880" w:hanging="360"/>
      </w:pPr>
    </w:lvl>
    <w:lvl w:ilvl="4" w:tplc="55121EB0" w:tentative="1">
      <w:start w:val="1"/>
      <w:numFmt w:val="lowerLetter"/>
      <w:lvlText w:val="%5."/>
      <w:lvlJc w:val="left"/>
      <w:pPr>
        <w:ind w:left="3600" w:hanging="360"/>
      </w:pPr>
    </w:lvl>
    <w:lvl w:ilvl="5" w:tplc="C0BC6618" w:tentative="1">
      <w:start w:val="1"/>
      <w:numFmt w:val="lowerRoman"/>
      <w:lvlText w:val="%6."/>
      <w:lvlJc w:val="right"/>
      <w:pPr>
        <w:ind w:left="4320" w:hanging="180"/>
      </w:pPr>
    </w:lvl>
    <w:lvl w:ilvl="6" w:tplc="2C762004" w:tentative="1">
      <w:start w:val="1"/>
      <w:numFmt w:val="decimal"/>
      <w:lvlText w:val="%7."/>
      <w:lvlJc w:val="left"/>
      <w:pPr>
        <w:ind w:left="5040" w:hanging="360"/>
      </w:pPr>
    </w:lvl>
    <w:lvl w:ilvl="7" w:tplc="AAE0D5E4" w:tentative="1">
      <w:start w:val="1"/>
      <w:numFmt w:val="lowerLetter"/>
      <w:lvlText w:val="%8."/>
      <w:lvlJc w:val="left"/>
      <w:pPr>
        <w:ind w:left="5760" w:hanging="360"/>
      </w:pPr>
    </w:lvl>
    <w:lvl w:ilvl="8" w:tplc="37CCD67A" w:tentative="1">
      <w:start w:val="1"/>
      <w:numFmt w:val="lowerRoman"/>
      <w:lvlText w:val="%9."/>
      <w:lvlJc w:val="right"/>
      <w:pPr>
        <w:ind w:left="6480" w:hanging="180"/>
      </w:pPr>
    </w:lvl>
  </w:abstractNum>
  <w:abstractNum w:abstractNumId="16"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200C70"/>
    <w:multiLevelType w:val="multilevel"/>
    <w:tmpl w:val="37B0CA18"/>
    <w:lvl w:ilvl="0">
      <w:start w:val="1"/>
      <w:numFmt w:val="none"/>
      <w:pStyle w:val="ESSectionHeading-numbered0"/>
      <w:lvlText w:val="A.1"/>
      <w:lvlJc w:val="left"/>
      <w:pPr>
        <w:ind w:left="1134" w:hanging="1134"/>
      </w:pPr>
      <w:rPr>
        <w:rFonts w:ascii="Calibri" w:hAnsi="Calibri" w:hint="default"/>
        <w:b/>
        <w:i w:val="0"/>
        <w:color w:val="auto"/>
        <w:sz w:val="24"/>
      </w:rPr>
    </w:lvl>
    <w:lvl w:ilvl="1">
      <w:start w:val="2"/>
      <w:numFmt w:val="decimal"/>
      <w:lvlText w:val="B.%2"/>
      <w:lvlJc w:val="left"/>
      <w:pPr>
        <w:ind w:left="1134" w:hanging="1134"/>
      </w:pPr>
      <w:rPr>
        <w:rFonts w:ascii="Calibri" w:hAnsi="Calibri" w:hint="default"/>
        <w:b/>
        <w:i w:val="0"/>
        <w:color w:val="auto"/>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8" w15:restartNumberingAfterBreak="0">
    <w:nsid w:val="7EAB4D70"/>
    <w:multiLevelType w:val="hybridMultilevel"/>
    <w:tmpl w:val="153872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abstractNumId w:val="7"/>
  </w:num>
  <w:num w:numId="2">
    <w:abstractNumId w:val="11"/>
  </w:num>
  <w:num w:numId="3">
    <w:abstractNumId w:val="8"/>
  </w:num>
  <w:num w:numId="4">
    <w:abstractNumId w:val="8"/>
    <w:lvlOverride w:ilvl="0">
      <w:startOverride w:val="1"/>
    </w:lvlOverride>
  </w:num>
  <w:num w:numId="5">
    <w:abstractNumId w:val="0"/>
  </w:num>
  <w:num w:numId="6">
    <w:abstractNumId w:val="2"/>
  </w:num>
  <w:num w:numId="7">
    <w:abstractNumId w:val="1"/>
  </w:num>
  <w:num w:numId="8">
    <w:abstractNumId w:val="5"/>
  </w:num>
  <w:num w:numId="9">
    <w:abstractNumId w:val="10"/>
  </w:num>
  <w:num w:numId="10">
    <w:abstractNumId w:val="14"/>
  </w:num>
  <w:num w:numId="11">
    <w:abstractNumId w:val="13"/>
  </w:num>
  <w:num w:numId="12">
    <w:abstractNumId w:val="3"/>
  </w:num>
  <w:num w:numId="13">
    <w:abstractNumId w:val="19"/>
  </w:num>
  <w:num w:numId="14">
    <w:abstractNumId w:val="15"/>
  </w:num>
  <w:num w:numId="15">
    <w:abstractNumId w:val="6"/>
  </w:num>
  <w:num w:numId="16">
    <w:abstractNumId w:val="17"/>
  </w:num>
  <w:num w:numId="17">
    <w:abstractNumId w:val="4"/>
  </w:num>
  <w:num w:numId="18">
    <w:abstractNumId w:val="16"/>
  </w:num>
  <w:num w:numId="19">
    <w:abstractNumId w:val="9"/>
  </w:num>
  <w:num w:numId="20">
    <w:abstractNumId w:val="12"/>
  </w:num>
  <w:num w:numId="2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xtjSzNDQ1tzQxMzVW0lEKTi0uzszPAykwNK4FALrJL7otAAAA"/>
    <w:docVar w:name="EN.InstantFormat" w:val="&lt;ENInstantFormat&gt;&lt;Enabled&gt;0&lt;/Enabled&gt;&lt;ScanUnformatted&gt;1&lt;/ScanUnformatted&gt;&lt;ScanChanges&gt;1&lt;/ScanChanges&gt;&lt;Suspended&gt;0&lt;/Suspended&gt;&lt;/ENInstantFormat&gt;"/>
    <w:docVar w:name="EN.Layout" w:val="&lt;ENLayout&gt;&lt;Style&gt;Harvard DoH&lt;/Style&gt;&lt;LeftDelim&gt;{&lt;/LeftDelim&gt;&lt;RightDelim&gt;}&lt;/RightDelim&gt;&lt;FontName&gt;Franklin Gothic Book&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5vzvtztcvpaecext2ipfva9eezwexvdxve9&quot;&gt;DBS report Endnote libr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9&lt;/item&gt;&lt;item&gt;20&lt;/item&gt;&lt;item&gt;21&lt;/item&gt;&lt;item&gt;22&lt;/item&gt;&lt;item&gt;23&lt;/item&gt;&lt;item&gt;24&lt;/item&gt;&lt;item&gt;25&lt;/item&gt;&lt;item&gt;26&lt;/item&gt;&lt;item&gt;27&lt;/item&gt;&lt;item&gt;28&lt;/item&gt;&lt;item&gt;29&lt;/item&gt;&lt;item&gt;30&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60&lt;/item&gt;&lt;item&gt;61&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1&lt;/item&gt;&lt;item&gt;82&lt;/item&gt;&lt;item&gt;84&lt;/item&gt;&lt;item&gt;85&lt;/item&gt;&lt;item&gt;86&lt;/item&gt;&lt;item&gt;87&lt;/item&gt;&lt;item&gt;88&lt;/item&gt;&lt;item&gt;89&lt;/item&gt;&lt;item&gt;90&lt;/item&gt;&lt;item&gt;91&lt;/item&gt;&lt;item&gt;92&lt;/item&gt;&lt;item&gt;94&lt;/item&gt;&lt;item&gt;95&lt;/item&gt;&lt;item&gt;96&lt;/item&gt;&lt;item&gt;98&lt;/item&gt;&lt;item&gt;99&lt;/item&gt;&lt;item&gt;100&lt;/item&gt;&lt;item&gt;101&lt;/item&gt;&lt;item&gt;102&lt;/item&gt;&lt;item&gt;103&lt;/item&gt;&lt;item&gt;141&lt;/item&gt;&lt;item&gt;144&lt;/item&gt;&lt;item&gt;152&lt;/item&gt;&lt;item&gt;153&lt;/item&gt;&lt;item&gt;165&lt;/item&gt;&lt;item&gt;169&lt;/item&gt;&lt;item&gt;172&lt;/item&gt;&lt;item&gt;185&lt;/item&gt;&lt;item&gt;188&lt;/item&gt;&lt;item&gt;189&lt;/item&gt;&lt;item&gt;198&lt;/item&gt;&lt;item&gt;217&lt;/item&gt;&lt;item&gt;223&lt;/item&gt;&lt;item&gt;227&lt;/item&gt;&lt;item&gt;245&lt;/item&gt;&lt;item&gt;290&lt;/item&gt;&lt;item&gt;301&lt;/item&gt;&lt;item&gt;311&lt;/item&gt;&lt;item&gt;315&lt;/item&gt;&lt;item&gt;317&lt;/item&gt;&lt;item&gt;338&lt;/item&gt;&lt;item&gt;370&lt;/item&gt;&lt;item&gt;372&lt;/item&gt;&lt;item&gt;373&lt;/item&gt;&lt;item&gt;376&lt;/item&gt;&lt;item&gt;393&lt;/item&gt;&lt;item&gt;416&lt;/item&gt;&lt;item&gt;419&lt;/item&gt;&lt;item&gt;439&lt;/item&gt;&lt;item&gt;458&lt;/item&gt;&lt;item&gt;470&lt;/item&gt;&lt;item&gt;482&lt;/item&gt;&lt;item&gt;508&lt;/item&gt;&lt;item&gt;511&lt;/item&gt;&lt;item&gt;514&lt;/item&gt;&lt;item&gt;535&lt;/item&gt;&lt;item&gt;536&lt;/item&gt;&lt;item&gt;537&lt;/item&gt;&lt;/record-ids&gt;&lt;/item&gt;&lt;/Libraries&gt;"/>
  </w:docVars>
  <w:rsids>
    <w:rsidRoot w:val="008F37F0"/>
    <w:rsid w:val="00000213"/>
    <w:rsid w:val="00000A84"/>
    <w:rsid w:val="00000CDF"/>
    <w:rsid w:val="00000E26"/>
    <w:rsid w:val="00001538"/>
    <w:rsid w:val="00001582"/>
    <w:rsid w:val="00001A72"/>
    <w:rsid w:val="00001D04"/>
    <w:rsid w:val="00001D08"/>
    <w:rsid w:val="000022C9"/>
    <w:rsid w:val="000022D5"/>
    <w:rsid w:val="00002523"/>
    <w:rsid w:val="00002989"/>
    <w:rsid w:val="00002B6C"/>
    <w:rsid w:val="00002DF7"/>
    <w:rsid w:val="00002E3A"/>
    <w:rsid w:val="00003A17"/>
    <w:rsid w:val="00003A32"/>
    <w:rsid w:val="00003A9F"/>
    <w:rsid w:val="00003C85"/>
    <w:rsid w:val="0000436C"/>
    <w:rsid w:val="00004684"/>
    <w:rsid w:val="0000487D"/>
    <w:rsid w:val="00004C67"/>
    <w:rsid w:val="00004C9B"/>
    <w:rsid w:val="00004E2F"/>
    <w:rsid w:val="00005346"/>
    <w:rsid w:val="00005390"/>
    <w:rsid w:val="00005446"/>
    <w:rsid w:val="00005DA0"/>
    <w:rsid w:val="00006020"/>
    <w:rsid w:val="000061F1"/>
    <w:rsid w:val="000064F5"/>
    <w:rsid w:val="00006D15"/>
    <w:rsid w:val="00006DA3"/>
    <w:rsid w:val="00006F01"/>
    <w:rsid w:val="000102E6"/>
    <w:rsid w:val="00010763"/>
    <w:rsid w:val="00010A1D"/>
    <w:rsid w:val="00010ED8"/>
    <w:rsid w:val="00010FF4"/>
    <w:rsid w:val="00011007"/>
    <w:rsid w:val="00011594"/>
    <w:rsid w:val="00011758"/>
    <w:rsid w:val="00011781"/>
    <w:rsid w:val="00011AF9"/>
    <w:rsid w:val="00011D03"/>
    <w:rsid w:val="00011D75"/>
    <w:rsid w:val="00011F15"/>
    <w:rsid w:val="00012530"/>
    <w:rsid w:val="000126F6"/>
    <w:rsid w:val="00012C30"/>
    <w:rsid w:val="00012F53"/>
    <w:rsid w:val="00012F79"/>
    <w:rsid w:val="0001310B"/>
    <w:rsid w:val="0001322C"/>
    <w:rsid w:val="0001346B"/>
    <w:rsid w:val="00013BC1"/>
    <w:rsid w:val="00013E16"/>
    <w:rsid w:val="000146C4"/>
    <w:rsid w:val="000147F4"/>
    <w:rsid w:val="00014B1A"/>
    <w:rsid w:val="00014BF8"/>
    <w:rsid w:val="00015037"/>
    <w:rsid w:val="0001566B"/>
    <w:rsid w:val="000156D7"/>
    <w:rsid w:val="00015947"/>
    <w:rsid w:val="00016324"/>
    <w:rsid w:val="0001641C"/>
    <w:rsid w:val="000168C5"/>
    <w:rsid w:val="00017025"/>
    <w:rsid w:val="0001782C"/>
    <w:rsid w:val="00017834"/>
    <w:rsid w:val="00017A4F"/>
    <w:rsid w:val="00017CD1"/>
    <w:rsid w:val="00017E57"/>
    <w:rsid w:val="00017E60"/>
    <w:rsid w:val="00020490"/>
    <w:rsid w:val="00020719"/>
    <w:rsid w:val="00020824"/>
    <w:rsid w:val="000208A0"/>
    <w:rsid w:val="00020E32"/>
    <w:rsid w:val="00021315"/>
    <w:rsid w:val="000214C8"/>
    <w:rsid w:val="000216B3"/>
    <w:rsid w:val="00021756"/>
    <w:rsid w:val="00021E1C"/>
    <w:rsid w:val="00021F2B"/>
    <w:rsid w:val="00022257"/>
    <w:rsid w:val="000222CC"/>
    <w:rsid w:val="00022A13"/>
    <w:rsid w:val="00022C04"/>
    <w:rsid w:val="00022DB7"/>
    <w:rsid w:val="00023148"/>
    <w:rsid w:val="000231BE"/>
    <w:rsid w:val="00023584"/>
    <w:rsid w:val="000237E9"/>
    <w:rsid w:val="000239E2"/>
    <w:rsid w:val="00023F2B"/>
    <w:rsid w:val="00023F67"/>
    <w:rsid w:val="0002413B"/>
    <w:rsid w:val="00024358"/>
    <w:rsid w:val="0002441E"/>
    <w:rsid w:val="000245DC"/>
    <w:rsid w:val="000248D1"/>
    <w:rsid w:val="00024C19"/>
    <w:rsid w:val="00024D7D"/>
    <w:rsid w:val="00024ECB"/>
    <w:rsid w:val="0002576D"/>
    <w:rsid w:val="00026511"/>
    <w:rsid w:val="0002655F"/>
    <w:rsid w:val="00026665"/>
    <w:rsid w:val="00026851"/>
    <w:rsid w:val="00026932"/>
    <w:rsid w:val="00026958"/>
    <w:rsid w:val="00026C3C"/>
    <w:rsid w:val="00026DDC"/>
    <w:rsid w:val="000271AF"/>
    <w:rsid w:val="0002756E"/>
    <w:rsid w:val="00027638"/>
    <w:rsid w:val="00030292"/>
    <w:rsid w:val="00030351"/>
    <w:rsid w:val="0003053F"/>
    <w:rsid w:val="0003087B"/>
    <w:rsid w:val="00030AF5"/>
    <w:rsid w:val="00030CBB"/>
    <w:rsid w:val="00031035"/>
    <w:rsid w:val="000311D4"/>
    <w:rsid w:val="00031369"/>
    <w:rsid w:val="00031428"/>
    <w:rsid w:val="0003142B"/>
    <w:rsid w:val="00031839"/>
    <w:rsid w:val="00031C81"/>
    <w:rsid w:val="000321A6"/>
    <w:rsid w:val="00032845"/>
    <w:rsid w:val="00032926"/>
    <w:rsid w:val="00032C14"/>
    <w:rsid w:val="0003324D"/>
    <w:rsid w:val="000332FF"/>
    <w:rsid w:val="000333B0"/>
    <w:rsid w:val="00033471"/>
    <w:rsid w:val="000334F2"/>
    <w:rsid w:val="000335EC"/>
    <w:rsid w:val="00033635"/>
    <w:rsid w:val="00033862"/>
    <w:rsid w:val="00033A03"/>
    <w:rsid w:val="00033C92"/>
    <w:rsid w:val="00033E31"/>
    <w:rsid w:val="000346BA"/>
    <w:rsid w:val="00034982"/>
    <w:rsid w:val="00034B6C"/>
    <w:rsid w:val="0003528E"/>
    <w:rsid w:val="000355EE"/>
    <w:rsid w:val="00035813"/>
    <w:rsid w:val="0003595F"/>
    <w:rsid w:val="00035D12"/>
    <w:rsid w:val="00035D6E"/>
    <w:rsid w:val="0003605F"/>
    <w:rsid w:val="0003616B"/>
    <w:rsid w:val="00036284"/>
    <w:rsid w:val="00036CDB"/>
    <w:rsid w:val="00036E4C"/>
    <w:rsid w:val="00036E54"/>
    <w:rsid w:val="00037132"/>
    <w:rsid w:val="0003723C"/>
    <w:rsid w:val="0003727A"/>
    <w:rsid w:val="0003738A"/>
    <w:rsid w:val="000374E2"/>
    <w:rsid w:val="0003768A"/>
    <w:rsid w:val="000378EC"/>
    <w:rsid w:val="0003791B"/>
    <w:rsid w:val="00037AFF"/>
    <w:rsid w:val="00037D87"/>
    <w:rsid w:val="00037D8B"/>
    <w:rsid w:val="00040209"/>
    <w:rsid w:val="000403AF"/>
    <w:rsid w:val="00040439"/>
    <w:rsid w:val="00040586"/>
    <w:rsid w:val="0004080A"/>
    <w:rsid w:val="000409C6"/>
    <w:rsid w:val="00040AB7"/>
    <w:rsid w:val="00040F5F"/>
    <w:rsid w:val="000413A6"/>
    <w:rsid w:val="000416A8"/>
    <w:rsid w:val="000422D9"/>
    <w:rsid w:val="000424F0"/>
    <w:rsid w:val="00042565"/>
    <w:rsid w:val="00042A00"/>
    <w:rsid w:val="00042ACF"/>
    <w:rsid w:val="00042B9B"/>
    <w:rsid w:val="0004388C"/>
    <w:rsid w:val="00043A69"/>
    <w:rsid w:val="00043BB1"/>
    <w:rsid w:val="000446ED"/>
    <w:rsid w:val="00044BE8"/>
    <w:rsid w:val="00044E32"/>
    <w:rsid w:val="00045315"/>
    <w:rsid w:val="00045F4E"/>
    <w:rsid w:val="00046892"/>
    <w:rsid w:val="00046A97"/>
    <w:rsid w:val="00046ACA"/>
    <w:rsid w:val="00046E72"/>
    <w:rsid w:val="00046FF0"/>
    <w:rsid w:val="00047052"/>
    <w:rsid w:val="000473F1"/>
    <w:rsid w:val="0004764E"/>
    <w:rsid w:val="00047655"/>
    <w:rsid w:val="000477F7"/>
    <w:rsid w:val="0005029F"/>
    <w:rsid w:val="0005076B"/>
    <w:rsid w:val="00050C3A"/>
    <w:rsid w:val="00050CB4"/>
    <w:rsid w:val="00050DF7"/>
    <w:rsid w:val="00051138"/>
    <w:rsid w:val="00051222"/>
    <w:rsid w:val="0005175A"/>
    <w:rsid w:val="000517CA"/>
    <w:rsid w:val="00051C2D"/>
    <w:rsid w:val="00051D20"/>
    <w:rsid w:val="00051E8C"/>
    <w:rsid w:val="00052643"/>
    <w:rsid w:val="00052B3F"/>
    <w:rsid w:val="00053003"/>
    <w:rsid w:val="000531A3"/>
    <w:rsid w:val="00053330"/>
    <w:rsid w:val="0005333A"/>
    <w:rsid w:val="000533DF"/>
    <w:rsid w:val="000535B6"/>
    <w:rsid w:val="00054536"/>
    <w:rsid w:val="00054A50"/>
    <w:rsid w:val="00054C5E"/>
    <w:rsid w:val="00054C79"/>
    <w:rsid w:val="00056038"/>
    <w:rsid w:val="00056E04"/>
    <w:rsid w:val="00056F1C"/>
    <w:rsid w:val="000571B5"/>
    <w:rsid w:val="000571F4"/>
    <w:rsid w:val="00057298"/>
    <w:rsid w:val="00057959"/>
    <w:rsid w:val="0006003A"/>
    <w:rsid w:val="0006007D"/>
    <w:rsid w:val="00060737"/>
    <w:rsid w:val="000607E8"/>
    <w:rsid w:val="00060C83"/>
    <w:rsid w:val="00060F75"/>
    <w:rsid w:val="0006109D"/>
    <w:rsid w:val="00061643"/>
    <w:rsid w:val="0006166A"/>
    <w:rsid w:val="00061C40"/>
    <w:rsid w:val="000620A2"/>
    <w:rsid w:val="000624DE"/>
    <w:rsid w:val="00062C69"/>
    <w:rsid w:val="00062E1A"/>
    <w:rsid w:val="00062F96"/>
    <w:rsid w:val="0006367D"/>
    <w:rsid w:val="000636A2"/>
    <w:rsid w:val="000638A2"/>
    <w:rsid w:val="00063C43"/>
    <w:rsid w:val="00063C8E"/>
    <w:rsid w:val="00064290"/>
    <w:rsid w:val="00064A87"/>
    <w:rsid w:val="00065BDC"/>
    <w:rsid w:val="00065D6D"/>
    <w:rsid w:val="000660CF"/>
    <w:rsid w:val="00066745"/>
    <w:rsid w:val="00066BD0"/>
    <w:rsid w:val="00066D62"/>
    <w:rsid w:val="00066DB3"/>
    <w:rsid w:val="00066E31"/>
    <w:rsid w:val="0006701F"/>
    <w:rsid w:val="00067140"/>
    <w:rsid w:val="00067279"/>
    <w:rsid w:val="000676AF"/>
    <w:rsid w:val="00067835"/>
    <w:rsid w:val="00067A3D"/>
    <w:rsid w:val="00067A4E"/>
    <w:rsid w:val="00067D3A"/>
    <w:rsid w:val="00067DCA"/>
    <w:rsid w:val="00070109"/>
    <w:rsid w:val="000701AD"/>
    <w:rsid w:val="00070535"/>
    <w:rsid w:val="000706DD"/>
    <w:rsid w:val="00070925"/>
    <w:rsid w:val="00070965"/>
    <w:rsid w:val="00070BB8"/>
    <w:rsid w:val="00070E07"/>
    <w:rsid w:val="0007118D"/>
    <w:rsid w:val="00071675"/>
    <w:rsid w:val="0007175F"/>
    <w:rsid w:val="00071B9A"/>
    <w:rsid w:val="00071CA8"/>
    <w:rsid w:val="00071CBB"/>
    <w:rsid w:val="00071E1A"/>
    <w:rsid w:val="00072212"/>
    <w:rsid w:val="00072233"/>
    <w:rsid w:val="00072405"/>
    <w:rsid w:val="00072793"/>
    <w:rsid w:val="00072EA1"/>
    <w:rsid w:val="000731FD"/>
    <w:rsid w:val="000732BE"/>
    <w:rsid w:val="000732DE"/>
    <w:rsid w:val="00073668"/>
    <w:rsid w:val="000737A9"/>
    <w:rsid w:val="000737FD"/>
    <w:rsid w:val="00074217"/>
    <w:rsid w:val="0007462A"/>
    <w:rsid w:val="00074A7F"/>
    <w:rsid w:val="000750AF"/>
    <w:rsid w:val="000756A6"/>
    <w:rsid w:val="00075731"/>
    <w:rsid w:val="0007600C"/>
    <w:rsid w:val="000761EF"/>
    <w:rsid w:val="00076357"/>
    <w:rsid w:val="000763AD"/>
    <w:rsid w:val="000764EA"/>
    <w:rsid w:val="00076A8E"/>
    <w:rsid w:val="00076E53"/>
    <w:rsid w:val="00076E78"/>
    <w:rsid w:val="00076F90"/>
    <w:rsid w:val="000771E8"/>
    <w:rsid w:val="00077345"/>
    <w:rsid w:val="0007750B"/>
    <w:rsid w:val="00077AB7"/>
    <w:rsid w:val="00077B21"/>
    <w:rsid w:val="00077C0D"/>
    <w:rsid w:val="00077C26"/>
    <w:rsid w:val="00080578"/>
    <w:rsid w:val="00080970"/>
    <w:rsid w:val="00080E62"/>
    <w:rsid w:val="00080EE9"/>
    <w:rsid w:val="000810D7"/>
    <w:rsid w:val="00081191"/>
    <w:rsid w:val="000815DC"/>
    <w:rsid w:val="00081709"/>
    <w:rsid w:val="000818C3"/>
    <w:rsid w:val="00081AB7"/>
    <w:rsid w:val="00081B3F"/>
    <w:rsid w:val="00081BE8"/>
    <w:rsid w:val="00081D6E"/>
    <w:rsid w:val="000825CF"/>
    <w:rsid w:val="000828DD"/>
    <w:rsid w:val="00082FAB"/>
    <w:rsid w:val="00082FD1"/>
    <w:rsid w:val="0008347B"/>
    <w:rsid w:val="00083CA4"/>
    <w:rsid w:val="00083F3A"/>
    <w:rsid w:val="00083FAF"/>
    <w:rsid w:val="0008417D"/>
    <w:rsid w:val="000848C4"/>
    <w:rsid w:val="00084B22"/>
    <w:rsid w:val="00084F18"/>
    <w:rsid w:val="00084F28"/>
    <w:rsid w:val="00085A17"/>
    <w:rsid w:val="00086057"/>
    <w:rsid w:val="0008646F"/>
    <w:rsid w:val="00086476"/>
    <w:rsid w:val="00086935"/>
    <w:rsid w:val="00086A85"/>
    <w:rsid w:val="000873EE"/>
    <w:rsid w:val="00087D99"/>
    <w:rsid w:val="00087DAB"/>
    <w:rsid w:val="00087E2C"/>
    <w:rsid w:val="000904A0"/>
    <w:rsid w:val="000906D1"/>
    <w:rsid w:val="000907E4"/>
    <w:rsid w:val="00090960"/>
    <w:rsid w:val="00090D40"/>
    <w:rsid w:val="00090D42"/>
    <w:rsid w:val="00090F78"/>
    <w:rsid w:val="00090FDC"/>
    <w:rsid w:val="0009127F"/>
    <w:rsid w:val="000914E0"/>
    <w:rsid w:val="00091723"/>
    <w:rsid w:val="00091BDE"/>
    <w:rsid w:val="00091C5C"/>
    <w:rsid w:val="00091F6A"/>
    <w:rsid w:val="00092069"/>
    <w:rsid w:val="0009217B"/>
    <w:rsid w:val="00092FF7"/>
    <w:rsid w:val="00093094"/>
    <w:rsid w:val="000930BA"/>
    <w:rsid w:val="000937DC"/>
    <w:rsid w:val="00093AD3"/>
    <w:rsid w:val="00093ADD"/>
    <w:rsid w:val="00093C81"/>
    <w:rsid w:val="00093D51"/>
    <w:rsid w:val="00093ECF"/>
    <w:rsid w:val="0009403C"/>
    <w:rsid w:val="000941BD"/>
    <w:rsid w:val="00094202"/>
    <w:rsid w:val="000945A3"/>
    <w:rsid w:val="00094735"/>
    <w:rsid w:val="000948F5"/>
    <w:rsid w:val="00095304"/>
    <w:rsid w:val="00095327"/>
    <w:rsid w:val="000954D2"/>
    <w:rsid w:val="0009569C"/>
    <w:rsid w:val="00095731"/>
    <w:rsid w:val="00095B82"/>
    <w:rsid w:val="00095DA9"/>
    <w:rsid w:val="00096005"/>
    <w:rsid w:val="0009607C"/>
    <w:rsid w:val="000964A2"/>
    <w:rsid w:val="00096743"/>
    <w:rsid w:val="000968C5"/>
    <w:rsid w:val="00096FE7"/>
    <w:rsid w:val="00097A7B"/>
    <w:rsid w:val="00097BD5"/>
    <w:rsid w:val="00097CDF"/>
    <w:rsid w:val="00097E30"/>
    <w:rsid w:val="000A04B8"/>
    <w:rsid w:val="000A0532"/>
    <w:rsid w:val="000A0767"/>
    <w:rsid w:val="000A1BCD"/>
    <w:rsid w:val="000A1CB4"/>
    <w:rsid w:val="000A1FDC"/>
    <w:rsid w:val="000A228E"/>
    <w:rsid w:val="000A254D"/>
    <w:rsid w:val="000A2DB8"/>
    <w:rsid w:val="000A2F0E"/>
    <w:rsid w:val="000A30F4"/>
    <w:rsid w:val="000A3282"/>
    <w:rsid w:val="000A32A0"/>
    <w:rsid w:val="000A34AD"/>
    <w:rsid w:val="000A359E"/>
    <w:rsid w:val="000A48D4"/>
    <w:rsid w:val="000A4991"/>
    <w:rsid w:val="000A4BB0"/>
    <w:rsid w:val="000A50AF"/>
    <w:rsid w:val="000A50E0"/>
    <w:rsid w:val="000A5180"/>
    <w:rsid w:val="000A5445"/>
    <w:rsid w:val="000A56A5"/>
    <w:rsid w:val="000A572F"/>
    <w:rsid w:val="000A5BCD"/>
    <w:rsid w:val="000A62AE"/>
    <w:rsid w:val="000A651F"/>
    <w:rsid w:val="000A65B4"/>
    <w:rsid w:val="000A6714"/>
    <w:rsid w:val="000A6CA1"/>
    <w:rsid w:val="000A6DC0"/>
    <w:rsid w:val="000A79F2"/>
    <w:rsid w:val="000A7A24"/>
    <w:rsid w:val="000A7AED"/>
    <w:rsid w:val="000B0435"/>
    <w:rsid w:val="000B072E"/>
    <w:rsid w:val="000B11C4"/>
    <w:rsid w:val="000B13C7"/>
    <w:rsid w:val="000B142C"/>
    <w:rsid w:val="000B14CB"/>
    <w:rsid w:val="000B16AC"/>
    <w:rsid w:val="000B175F"/>
    <w:rsid w:val="000B1A6B"/>
    <w:rsid w:val="000B1CC4"/>
    <w:rsid w:val="000B22A0"/>
    <w:rsid w:val="000B2481"/>
    <w:rsid w:val="000B2AD8"/>
    <w:rsid w:val="000B2E6D"/>
    <w:rsid w:val="000B3219"/>
    <w:rsid w:val="000B3297"/>
    <w:rsid w:val="000B3419"/>
    <w:rsid w:val="000B37BB"/>
    <w:rsid w:val="000B3C87"/>
    <w:rsid w:val="000B3C96"/>
    <w:rsid w:val="000B3F60"/>
    <w:rsid w:val="000B4123"/>
    <w:rsid w:val="000B430C"/>
    <w:rsid w:val="000B4355"/>
    <w:rsid w:val="000B484D"/>
    <w:rsid w:val="000B4D83"/>
    <w:rsid w:val="000B4F79"/>
    <w:rsid w:val="000B5121"/>
    <w:rsid w:val="000B5549"/>
    <w:rsid w:val="000B5BB7"/>
    <w:rsid w:val="000B5DF1"/>
    <w:rsid w:val="000B5F59"/>
    <w:rsid w:val="000B6250"/>
    <w:rsid w:val="000B6312"/>
    <w:rsid w:val="000B67E9"/>
    <w:rsid w:val="000B6EB7"/>
    <w:rsid w:val="000B6EEE"/>
    <w:rsid w:val="000B7162"/>
    <w:rsid w:val="000B72A5"/>
    <w:rsid w:val="000B73BD"/>
    <w:rsid w:val="000B7507"/>
    <w:rsid w:val="000B7590"/>
    <w:rsid w:val="000B759E"/>
    <w:rsid w:val="000B7AA7"/>
    <w:rsid w:val="000C0BA7"/>
    <w:rsid w:val="000C0F39"/>
    <w:rsid w:val="000C1214"/>
    <w:rsid w:val="000C1506"/>
    <w:rsid w:val="000C189F"/>
    <w:rsid w:val="000C1935"/>
    <w:rsid w:val="000C1BAD"/>
    <w:rsid w:val="000C1BF5"/>
    <w:rsid w:val="000C1DD4"/>
    <w:rsid w:val="000C1FAD"/>
    <w:rsid w:val="000C2194"/>
    <w:rsid w:val="000C229A"/>
    <w:rsid w:val="000C252F"/>
    <w:rsid w:val="000C2B13"/>
    <w:rsid w:val="000C2D42"/>
    <w:rsid w:val="000C2DBB"/>
    <w:rsid w:val="000C2E13"/>
    <w:rsid w:val="000C320F"/>
    <w:rsid w:val="000C32F7"/>
    <w:rsid w:val="000C404D"/>
    <w:rsid w:val="000C412D"/>
    <w:rsid w:val="000C41EA"/>
    <w:rsid w:val="000C4329"/>
    <w:rsid w:val="000C469B"/>
    <w:rsid w:val="000C4C95"/>
    <w:rsid w:val="000C51F0"/>
    <w:rsid w:val="000C5475"/>
    <w:rsid w:val="000C54FF"/>
    <w:rsid w:val="000C56C2"/>
    <w:rsid w:val="000C5870"/>
    <w:rsid w:val="000C5A56"/>
    <w:rsid w:val="000C5DED"/>
    <w:rsid w:val="000C6373"/>
    <w:rsid w:val="000C6546"/>
    <w:rsid w:val="000C69E9"/>
    <w:rsid w:val="000C6AB5"/>
    <w:rsid w:val="000C6C44"/>
    <w:rsid w:val="000C6C81"/>
    <w:rsid w:val="000C6D67"/>
    <w:rsid w:val="000C6F04"/>
    <w:rsid w:val="000C6FCC"/>
    <w:rsid w:val="000C71D4"/>
    <w:rsid w:val="000C74AC"/>
    <w:rsid w:val="000C775D"/>
    <w:rsid w:val="000C77DA"/>
    <w:rsid w:val="000C784E"/>
    <w:rsid w:val="000C7C4C"/>
    <w:rsid w:val="000C7DB0"/>
    <w:rsid w:val="000C7FEE"/>
    <w:rsid w:val="000D0202"/>
    <w:rsid w:val="000D06C0"/>
    <w:rsid w:val="000D07F7"/>
    <w:rsid w:val="000D0A03"/>
    <w:rsid w:val="000D0A45"/>
    <w:rsid w:val="000D15D9"/>
    <w:rsid w:val="000D182E"/>
    <w:rsid w:val="000D1D1E"/>
    <w:rsid w:val="000D1D69"/>
    <w:rsid w:val="000D1E54"/>
    <w:rsid w:val="000D1E85"/>
    <w:rsid w:val="000D256D"/>
    <w:rsid w:val="000D281F"/>
    <w:rsid w:val="000D2DCF"/>
    <w:rsid w:val="000D2E96"/>
    <w:rsid w:val="000D3577"/>
    <w:rsid w:val="000D3F79"/>
    <w:rsid w:val="000D4008"/>
    <w:rsid w:val="000D46BA"/>
    <w:rsid w:val="000D479D"/>
    <w:rsid w:val="000D491E"/>
    <w:rsid w:val="000D4C1F"/>
    <w:rsid w:val="000D4DA0"/>
    <w:rsid w:val="000D4EDF"/>
    <w:rsid w:val="000D50B6"/>
    <w:rsid w:val="000D50CB"/>
    <w:rsid w:val="000D5C2B"/>
    <w:rsid w:val="000D5CE8"/>
    <w:rsid w:val="000D62C4"/>
    <w:rsid w:val="000D62F5"/>
    <w:rsid w:val="000D649E"/>
    <w:rsid w:val="000D6A5D"/>
    <w:rsid w:val="000D6D0F"/>
    <w:rsid w:val="000D6EBD"/>
    <w:rsid w:val="000D75D7"/>
    <w:rsid w:val="000D766F"/>
    <w:rsid w:val="000D7791"/>
    <w:rsid w:val="000D7B09"/>
    <w:rsid w:val="000E03BC"/>
    <w:rsid w:val="000E03D2"/>
    <w:rsid w:val="000E0464"/>
    <w:rsid w:val="000E0617"/>
    <w:rsid w:val="000E0679"/>
    <w:rsid w:val="000E08F2"/>
    <w:rsid w:val="000E0A3B"/>
    <w:rsid w:val="000E0B63"/>
    <w:rsid w:val="000E0D85"/>
    <w:rsid w:val="000E0E5A"/>
    <w:rsid w:val="000E1382"/>
    <w:rsid w:val="000E1B36"/>
    <w:rsid w:val="000E1F5D"/>
    <w:rsid w:val="000E21AE"/>
    <w:rsid w:val="000E22B4"/>
    <w:rsid w:val="000E23B8"/>
    <w:rsid w:val="000E28E3"/>
    <w:rsid w:val="000E2CE0"/>
    <w:rsid w:val="000E3438"/>
    <w:rsid w:val="000E3700"/>
    <w:rsid w:val="000E373C"/>
    <w:rsid w:val="000E38E8"/>
    <w:rsid w:val="000E3D53"/>
    <w:rsid w:val="000E45CF"/>
    <w:rsid w:val="000E47DD"/>
    <w:rsid w:val="000E4C77"/>
    <w:rsid w:val="000E4FE0"/>
    <w:rsid w:val="000E5024"/>
    <w:rsid w:val="000E5122"/>
    <w:rsid w:val="000E54BD"/>
    <w:rsid w:val="000E54F0"/>
    <w:rsid w:val="000E57D0"/>
    <w:rsid w:val="000E57D6"/>
    <w:rsid w:val="000E58E1"/>
    <w:rsid w:val="000E5FF4"/>
    <w:rsid w:val="000E6016"/>
    <w:rsid w:val="000E639F"/>
    <w:rsid w:val="000E65BD"/>
    <w:rsid w:val="000E6656"/>
    <w:rsid w:val="000E669E"/>
    <w:rsid w:val="000E6B64"/>
    <w:rsid w:val="000E702E"/>
    <w:rsid w:val="000E73BF"/>
    <w:rsid w:val="000E73CE"/>
    <w:rsid w:val="000E740E"/>
    <w:rsid w:val="000E75A8"/>
    <w:rsid w:val="000E77CE"/>
    <w:rsid w:val="000E7A12"/>
    <w:rsid w:val="000F02D2"/>
    <w:rsid w:val="000F069E"/>
    <w:rsid w:val="000F083A"/>
    <w:rsid w:val="000F0E7D"/>
    <w:rsid w:val="000F0EC6"/>
    <w:rsid w:val="000F105A"/>
    <w:rsid w:val="000F11C5"/>
    <w:rsid w:val="000F180D"/>
    <w:rsid w:val="000F1BBB"/>
    <w:rsid w:val="000F1D5F"/>
    <w:rsid w:val="000F1E76"/>
    <w:rsid w:val="000F212C"/>
    <w:rsid w:val="000F23C5"/>
    <w:rsid w:val="000F281E"/>
    <w:rsid w:val="000F30D5"/>
    <w:rsid w:val="000F3343"/>
    <w:rsid w:val="000F33C8"/>
    <w:rsid w:val="000F3539"/>
    <w:rsid w:val="000F39BA"/>
    <w:rsid w:val="000F3FF0"/>
    <w:rsid w:val="000F3FF5"/>
    <w:rsid w:val="000F442F"/>
    <w:rsid w:val="000F461B"/>
    <w:rsid w:val="000F46EB"/>
    <w:rsid w:val="000F495A"/>
    <w:rsid w:val="000F4B80"/>
    <w:rsid w:val="000F4C19"/>
    <w:rsid w:val="000F4EFA"/>
    <w:rsid w:val="000F5420"/>
    <w:rsid w:val="000F54C0"/>
    <w:rsid w:val="000F5828"/>
    <w:rsid w:val="000F5C46"/>
    <w:rsid w:val="000F5C57"/>
    <w:rsid w:val="000F5C8A"/>
    <w:rsid w:val="000F5E9E"/>
    <w:rsid w:val="000F5EDA"/>
    <w:rsid w:val="000F61B9"/>
    <w:rsid w:val="000F633E"/>
    <w:rsid w:val="000F657B"/>
    <w:rsid w:val="000F6708"/>
    <w:rsid w:val="000F6CAE"/>
    <w:rsid w:val="000F7056"/>
    <w:rsid w:val="000F749C"/>
    <w:rsid w:val="000F76A2"/>
    <w:rsid w:val="000F7E5F"/>
    <w:rsid w:val="000F7F12"/>
    <w:rsid w:val="00100220"/>
    <w:rsid w:val="001006CF"/>
    <w:rsid w:val="00100822"/>
    <w:rsid w:val="00100AF7"/>
    <w:rsid w:val="001012A2"/>
    <w:rsid w:val="00101551"/>
    <w:rsid w:val="00101971"/>
    <w:rsid w:val="00101A05"/>
    <w:rsid w:val="00101CD4"/>
    <w:rsid w:val="00102636"/>
    <w:rsid w:val="001026D4"/>
    <w:rsid w:val="001027CE"/>
    <w:rsid w:val="00102E60"/>
    <w:rsid w:val="001030CB"/>
    <w:rsid w:val="001031DC"/>
    <w:rsid w:val="0010384D"/>
    <w:rsid w:val="00103A91"/>
    <w:rsid w:val="00103C60"/>
    <w:rsid w:val="0010491C"/>
    <w:rsid w:val="00104BCA"/>
    <w:rsid w:val="00104DC3"/>
    <w:rsid w:val="001059F3"/>
    <w:rsid w:val="0010622A"/>
    <w:rsid w:val="00106432"/>
    <w:rsid w:val="0010659A"/>
    <w:rsid w:val="001065A7"/>
    <w:rsid w:val="0010662B"/>
    <w:rsid w:val="00106803"/>
    <w:rsid w:val="00106973"/>
    <w:rsid w:val="00106A69"/>
    <w:rsid w:val="00106C02"/>
    <w:rsid w:val="00106E63"/>
    <w:rsid w:val="00106E79"/>
    <w:rsid w:val="00106EA9"/>
    <w:rsid w:val="00106F19"/>
    <w:rsid w:val="0010751B"/>
    <w:rsid w:val="00107802"/>
    <w:rsid w:val="00107E27"/>
    <w:rsid w:val="00107F4F"/>
    <w:rsid w:val="0011047F"/>
    <w:rsid w:val="001104E6"/>
    <w:rsid w:val="00111979"/>
    <w:rsid w:val="00111A3F"/>
    <w:rsid w:val="00112041"/>
    <w:rsid w:val="0011233E"/>
    <w:rsid w:val="00112752"/>
    <w:rsid w:val="001127E0"/>
    <w:rsid w:val="001127E5"/>
    <w:rsid w:val="00112AA4"/>
    <w:rsid w:val="001130DF"/>
    <w:rsid w:val="001130FE"/>
    <w:rsid w:val="00113744"/>
    <w:rsid w:val="0011391D"/>
    <w:rsid w:val="00113AA3"/>
    <w:rsid w:val="00113AC5"/>
    <w:rsid w:val="001141F1"/>
    <w:rsid w:val="00114543"/>
    <w:rsid w:val="00114583"/>
    <w:rsid w:val="0011483A"/>
    <w:rsid w:val="0011492C"/>
    <w:rsid w:val="00114A8E"/>
    <w:rsid w:val="00114E84"/>
    <w:rsid w:val="00115010"/>
    <w:rsid w:val="0011515E"/>
    <w:rsid w:val="001159D0"/>
    <w:rsid w:val="001159EC"/>
    <w:rsid w:val="00115C33"/>
    <w:rsid w:val="00115C3A"/>
    <w:rsid w:val="00115CBF"/>
    <w:rsid w:val="001162E9"/>
    <w:rsid w:val="00116FA5"/>
    <w:rsid w:val="00117045"/>
    <w:rsid w:val="00117107"/>
    <w:rsid w:val="00117546"/>
    <w:rsid w:val="00117778"/>
    <w:rsid w:val="0011788A"/>
    <w:rsid w:val="00117AC1"/>
    <w:rsid w:val="00117D4E"/>
    <w:rsid w:val="00117F18"/>
    <w:rsid w:val="0012061D"/>
    <w:rsid w:val="001207C3"/>
    <w:rsid w:val="00120825"/>
    <w:rsid w:val="00120B1A"/>
    <w:rsid w:val="0012119E"/>
    <w:rsid w:val="001212D2"/>
    <w:rsid w:val="00121949"/>
    <w:rsid w:val="00122288"/>
    <w:rsid w:val="0012238F"/>
    <w:rsid w:val="0012246E"/>
    <w:rsid w:val="00122487"/>
    <w:rsid w:val="00123122"/>
    <w:rsid w:val="0012328F"/>
    <w:rsid w:val="00123366"/>
    <w:rsid w:val="001233AC"/>
    <w:rsid w:val="00123708"/>
    <w:rsid w:val="00123712"/>
    <w:rsid w:val="0012376A"/>
    <w:rsid w:val="00123CE5"/>
    <w:rsid w:val="0012442C"/>
    <w:rsid w:val="00124FA2"/>
    <w:rsid w:val="00125540"/>
    <w:rsid w:val="00125653"/>
    <w:rsid w:val="00125803"/>
    <w:rsid w:val="00125873"/>
    <w:rsid w:val="00125E2C"/>
    <w:rsid w:val="00125EAA"/>
    <w:rsid w:val="001265A8"/>
    <w:rsid w:val="0012674D"/>
    <w:rsid w:val="001268F2"/>
    <w:rsid w:val="0012741F"/>
    <w:rsid w:val="00127546"/>
    <w:rsid w:val="0012764D"/>
    <w:rsid w:val="00127656"/>
    <w:rsid w:val="0012780F"/>
    <w:rsid w:val="00127BB7"/>
    <w:rsid w:val="00127BEE"/>
    <w:rsid w:val="0013041A"/>
    <w:rsid w:val="00130427"/>
    <w:rsid w:val="00130722"/>
    <w:rsid w:val="00130796"/>
    <w:rsid w:val="00130B3A"/>
    <w:rsid w:val="00130E40"/>
    <w:rsid w:val="00130EA2"/>
    <w:rsid w:val="00131222"/>
    <w:rsid w:val="0013124C"/>
    <w:rsid w:val="00131644"/>
    <w:rsid w:val="00131885"/>
    <w:rsid w:val="0013190C"/>
    <w:rsid w:val="00131E7C"/>
    <w:rsid w:val="00131FC9"/>
    <w:rsid w:val="00132106"/>
    <w:rsid w:val="0013222A"/>
    <w:rsid w:val="001327BB"/>
    <w:rsid w:val="001329EB"/>
    <w:rsid w:val="00132E1C"/>
    <w:rsid w:val="00132E72"/>
    <w:rsid w:val="001335FA"/>
    <w:rsid w:val="00133763"/>
    <w:rsid w:val="00133AA8"/>
    <w:rsid w:val="00133BF7"/>
    <w:rsid w:val="00133C1B"/>
    <w:rsid w:val="00133D7D"/>
    <w:rsid w:val="0013434C"/>
    <w:rsid w:val="001347E1"/>
    <w:rsid w:val="001348C5"/>
    <w:rsid w:val="001348E8"/>
    <w:rsid w:val="001350FA"/>
    <w:rsid w:val="001352BC"/>
    <w:rsid w:val="00135F24"/>
    <w:rsid w:val="00135F55"/>
    <w:rsid w:val="0013600E"/>
    <w:rsid w:val="00136558"/>
    <w:rsid w:val="00136893"/>
    <w:rsid w:val="001368C4"/>
    <w:rsid w:val="00137533"/>
    <w:rsid w:val="0013780C"/>
    <w:rsid w:val="00137D10"/>
    <w:rsid w:val="001409F9"/>
    <w:rsid w:val="00140C58"/>
    <w:rsid w:val="00140E02"/>
    <w:rsid w:val="00140E52"/>
    <w:rsid w:val="00140F0C"/>
    <w:rsid w:val="00141081"/>
    <w:rsid w:val="00141299"/>
    <w:rsid w:val="00141548"/>
    <w:rsid w:val="00141850"/>
    <w:rsid w:val="001418A0"/>
    <w:rsid w:val="00141B89"/>
    <w:rsid w:val="00142176"/>
    <w:rsid w:val="001428EF"/>
    <w:rsid w:val="00142986"/>
    <w:rsid w:val="00142BB3"/>
    <w:rsid w:val="00142E8A"/>
    <w:rsid w:val="00142F67"/>
    <w:rsid w:val="00143007"/>
    <w:rsid w:val="001432C2"/>
    <w:rsid w:val="001436E1"/>
    <w:rsid w:val="001436EF"/>
    <w:rsid w:val="00143BF7"/>
    <w:rsid w:val="00144022"/>
    <w:rsid w:val="001448E6"/>
    <w:rsid w:val="00144C65"/>
    <w:rsid w:val="001456B9"/>
    <w:rsid w:val="00145E72"/>
    <w:rsid w:val="00146010"/>
    <w:rsid w:val="0014601D"/>
    <w:rsid w:val="00146049"/>
    <w:rsid w:val="00146059"/>
    <w:rsid w:val="00146702"/>
    <w:rsid w:val="001468AD"/>
    <w:rsid w:val="00146AF5"/>
    <w:rsid w:val="00146C6F"/>
    <w:rsid w:val="00146D5A"/>
    <w:rsid w:val="00146EF0"/>
    <w:rsid w:val="0014705A"/>
    <w:rsid w:val="001473E0"/>
    <w:rsid w:val="001473F3"/>
    <w:rsid w:val="001474AB"/>
    <w:rsid w:val="00147AB6"/>
    <w:rsid w:val="00150573"/>
    <w:rsid w:val="0015076D"/>
    <w:rsid w:val="00150D7C"/>
    <w:rsid w:val="00150DA1"/>
    <w:rsid w:val="0015145B"/>
    <w:rsid w:val="00151768"/>
    <w:rsid w:val="00151773"/>
    <w:rsid w:val="0015180E"/>
    <w:rsid w:val="00151BDA"/>
    <w:rsid w:val="00151CA3"/>
    <w:rsid w:val="00152035"/>
    <w:rsid w:val="001520CB"/>
    <w:rsid w:val="0015255F"/>
    <w:rsid w:val="00153643"/>
    <w:rsid w:val="0015382F"/>
    <w:rsid w:val="001538C7"/>
    <w:rsid w:val="00153BE4"/>
    <w:rsid w:val="00153CFB"/>
    <w:rsid w:val="0015406F"/>
    <w:rsid w:val="0015422C"/>
    <w:rsid w:val="00154548"/>
    <w:rsid w:val="00154A66"/>
    <w:rsid w:val="00154FB7"/>
    <w:rsid w:val="00155C4A"/>
    <w:rsid w:val="00155C77"/>
    <w:rsid w:val="00155CC5"/>
    <w:rsid w:val="00155DB7"/>
    <w:rsid w:val="00156284"/>
    <w:rsid w:val="0015665D"/>
    <w:rsid w:val="00156856"/>
    <w:rsid w:val="001569D1"/>
    <w:rsid w:val="00156AD3"/>
    <w:rsid w:val="00156C19"/>
    <w:rsid w:val="00156C54"/>
    <w:rsid w:val="00157172"/>
    <w:rsid w:val="0015725F"/>
    <w:rsid w:val="0015729E"/>
    <w:rsid w:val="001579A0"/>
    <w:rsid w:val="00160859"/>
    <w:rsid w:val="00160C81"/>
    <w:rsid w:val="00160D5A"/>
    <w:rsid w:val="0016103A"/>
    <w:rsid w:val="0016104B"/>
    <w:rsid w:val="00161617"/>
    <w:rsid w:val="00161772"/>
    <w:rsid w:val="00162407"/>
    <w:rsid w:val="0016246E"/>
    <w:rsid w:val="0016273A"/>
    <w:rsid w:val="00162C9A"/>
    <w:rsid w:val="00163011"/>
    <w:rsid w:val="00163814"/>
    <w:rsid w:val="001638CA"/>
    <w:rsid w:val="00163930"/>
    <w:rsid w:val="00163A15"/>
    <w:rsid w:val="00163DA5"/>
    <w:rsid w:val="00163DBF"/>
    <w:rsid w:val="001641DD"/>
    <w:rsid w:val="001643BA"/>
    <w:rsid w:val="001648BB"/>
    <w:rsid w:val="001651FA"/>
    <w:rsid w:val="0016527C"/>
    <w:rsid w:val="001654D0"/>
    <w:rsid w:val="0016575F"/>
    <w:rsid w:val="00165881"/>
    <w:rsid w:val="00165893"/>
    <w:rsid w:val="00165971"/>
    <w:rsid w:val="00165B32"/>
    <w:rsid w:val="00166096"/>
    <w:rsid w:val="001660AE"/>
    <w:rsid w:val="00166457"/>
    <w:rsid w:val="00166672"/>
    <w:rsid w:val="00166783"/>
    <w:rsid w:val="001667A3"/>
    <w:rsid w:val="00167176"/>
    <w:rsid w:val="001671D4"/>
    <w:rsid w:val="001676A3"/>
    <w:rsid w:val="001678FC"/>
    <w:rsid w:val="001702E7"/>
    <w:rsid w:val="0017069C"/>
    <w:rsid w:val="00170BB3"/>
    <w:rsid w:val="00170BD6"/>
    <w:rsid w:val="00170C92"/>
    <w:rsid w:val="00170E5A"/>
    <w:rsid w:val="00170F2E"/>
    <w:rsid w:val="0017104C"/>
    <w:rsid w:val="001712C5"/>
    <w:rsid w:val="001712D2"/>
    <w:rsid w:val="001713EC"/>
    <w:rsid w:val="0017182B"/>
    <w:rsid w:val="00171A0A"/>
    <w:rsid w:val="00171D20"/>
    <w:rsid w:val="00171D69"/>
    <w:rsid w:val="001722E9"/>
    <w:rsid w:val="001726D5"/>
    <w:rsid w:val="001728A9"/>
    <w:rsid w:val="00173008"/>
    <w:rsid w:val="0017308C"/>
    <w:rsid w:val="0017310F"/>
    <w:rsid w:val="001734CF"/>
    <w:rsid w:val="00173577"/>
    <w:rsid w:val="001738D6"/>
    <w:rsid w:val="00173B09"/>
    <w:rsid w:val="00173CEA"/>
    <w:rsid w:val="001745F6"/>
    <w:rsid w:val="00174857"/>
    <w:rsid w:val="001748BA"/>
    <w:rsid w:val="0017490A"/>
    <w:rsid w:val="00175333"/>
    <w:rsid w:val="001759A7"/>
    <w:rsid w:val="00175B50"/>
    <w:rsid w:val="00175EDF"/>
    <w:rsid w:val="00176DE8"/>
    <w:rsid w:val="00176ED3"/>
    <w:rsid w:val="00176FFF"/>
    <w:rsid w:val="0017753F"/>
    <w:rsid w:val="00177CB5"/>
    <w:rsid w:val="001801FB"/>
    <w:rsid w:val="001807A8"/>
    <w:rsid w:val="00180942"/>
    <w:rsid w:val="00180AA8"/>
    <w:rsid w:val="00180C9E"/>
    <w:rsid w:val="00180E12"/>
    <w:rsid w:val="001811C9"/>
    <w:rsid w:val="001812EE"/>
    <w:rsid w:val="001820EE"/>
    <w:rsid w:val="001820EF"/>
    <w:rsid w:val="00182469"/>
    <w:rsid w:val="001825DF"/>
    <w:rsid w:val="00182671"/>
    <w:rsid w:val="00182C38"/>
    <w:rsid w:val="00182EDD"/>
    <w:rsid w:val="001834B9"/>
    <w:rsid w:val="00183A1E"/>
    <w:rsid w:val="00183B65"/>
    <w:rsid w:val="00183DB8"/>
    <w:rsid w:val="00184389"/>
    <w:rsid w:val="001843D4"/>
    <w:rsid w:val="0018463B"/>
    <w:rsid w:val="00184FE9"/>
    <w:rsid w:val="0018561A"/>
    <w:rsid w:val="00185A69"/>
    <w:rsid w:val="00185BB9"/>
    <w:rsid w:val="00185C2A"/>
    <w:rsid w:val="00185E77"/>
    <w:rsid w:val="001862A1"/>
    <w:rsid w:val="00186AC9"/>
    <w:rsid w:val="00186B88"/>
    <w:rsid w:val="00186C1D"/>
    <w:rsid w:val="00186C5F"/>
    <w:rsid w:val="00186CB9"/>
    <w:rsid w:val="0018715E"/>
    <w:rsid w:val="00187DC7"/>
    <w:rsid w:val="00187FED"/>
    <w:rsid w:val="0019050D"/>
    <w:rsid w:val="00190540"/>
    <w:rsid w:val="0019157D"/>
    <w:rsid w:val="00191663"/>
    <w:rsid w:val="00191CB4"/>
    <w:rsid w:val="00192034"/>
    <w:rsid w:val="001920BD"/>
    <w:rsid w:val="001921F2"/>
    <w:rsid w:val="001923AE"/>
    <w:rsid w:val="001923FD"/>
    <w:rsid w:val="001927DF"/>
    <w:rsid w:val="00192AB2"/>
    <w:rsid w:val="0019322D"/>
    <w:rsid w:val="00193490"/>
    <w:rsid w:val="0019435F"/>
    <w:rsid w:val="00194444"/>
    <w:rsid w:val="00194994"/>
    <w:rsid w:val="00194E81"/>
    <w:rsid w:val="00195066"/>
    <w:rsid w:val="00195159"/>
    <w:rsid w:val="00195301"/>
    <w:rsid w:val="0019571D"/>
    <w:rsid w:val="001957B2"/>
    <w:rsid w:val="00195814"/>
    <w:rsid w:val="001958E4"/>
    <w:rsid w:val="00195CA3"/>
    <w:rsid w:val="00195CEA"/>
    <w:rsid w:val="00195DC1"/>
    <w:rsid w:val="0019699C"/>
    <w:rsid w:val="00196D7F"/>
    <w:rsid w:val="00196DE0"/>
    <w:rsid w:val="00197147"/>
    <w:rsid w:val="0019736C"/>
    <w:rsid w:val="0019771F"/>
    <w:rsid w:val="00197BF9"/>
    <w:rsid w:val="00197D6F"/>
    <w:rsid w:val="00197D8F"/>
    <w:rsid w:val="00197E37"/>
    <w:rsid w:val="001A0072"/>
    <w:rsid w:val="001A00A7"/>
    <w:rsid w:val="001A029C"/>
    <w:rsid w:val="001A0545"/>
    <w:rsid w:val="001A089C"/>
    <w:rsid w:val="001A0F7B"/>
    <w:rsid w:val="001A0FC0"/>
    <w:rsid w:val="001A1171"/>
    <w:rsid w:val="001A11CC"/>
    <w:rsid w:val="001A1528"/>
    <w:rsid w:val="001A184A"/>
    <w:rsid w:val="001A1A1F"/>
    <w:rsid w:val="001A1ECC"/>
    <w:rsid w:val="001A222D"/>
    <w:rsid w:val="001A25CC"/>
    <w:rsid w:val="001A2A18"/>
    <w:rsid w:val="001A2C5A"/>
    <w:rsid w:val="001A2DB4"/>
    <w:rsid w:val="001A3065"/>
    <w:rsid w:val="001A34B9"/>
    <w:rsid w:val="001A3BBF"/>
    <w:rsid w:val="001A3D6B"/>
    <w:rsid w:val="001A3FCF"/>
    <w:rsid w:val="001A4258"/>
    <w:rsid w:val="001A4415"/>
    <w:rsid w:val="001A4BCD"/>
    <w:rsid w:val="001A4C37"/>
    <w:rsid w:val="001A519D"/>
    <w:rsid w:val="001A53DC"/>
    <w:rsid w:val="001A5C7A"/>
    <w:rsid w:val="001A6024"/>
    <w:rsid w:val="001A63FC"/>
    <w:rsid w:val="001A6807"/>
    <w:rsid w:val="001A6951"/>
    <w:rsid w:val="001A6D7F"/>
    <w:rsid w:val="001A707B"/>
    <w:rsid w:val="001A72BE"/>
    <w:rsid w:val="001A7736"/>
    <w:rsid w:val="001A7845"/>
    <w:rsid w:val="001A7A75"/>
    <w:rsid w:val="001A7C34"/>
    <w:rsid w:val="001A7EDA"/>
    <w:rsid w:val="001B013A"/>
    <w:rsid w:val="001B0DFE"/>
    <w:rsid w:val="001B114F"/>
    <w:rsid w:val="001B1489"/>
    <w:rsid w:val="001B171F"/>
    <w:rsid w:val="001B1963"/>
    <w:rsid w:val="001B1CF0"/>
    <w:rsid w:val="001B21FA"/>
    <w:rsid w:val="001B2535"/>
    <w:rsid w:val="001B2665"/>
    <w:rsid w:val="001B26B6"/>
    <w:rsid w:val="001B2839"/>
    <w:rsid w:val="001B28C5"/>
    <w:rsid w:val="001B28C8"/>
    <w:rsid w:val="001B2A44"/>
    <w:rsid w:val="001B312B"/>
    <w:rsid w:val="001B316E"/>
    <w:rsid w:val="001B335B"/>
    <w:rsid w:val="001B3466"/>
    <w:rsid w:val="001B3FEB"/>
    <w:rsid w:val="001B409E"/>
    <w:rsid w:val="001B46CE"/>
    <w:rsid w:val="001B4950"/>
    <w:rsid w:val="001B4B2D"/>
    <w:rsid w:val="001B4CA1"/>
    <w:rsid w:val="001B5BA7"/>
    <w:rsid w:val="001B5C70"/>
    <w:rsid w:val="001B5D65"/>
    <w:rsid w:val="001B6562"/>
    <w:rsid w:val="001B6795"/>
    <w:rsid w:val="001B6D57"/>
    <w:rsid w:val="001B700A"/>
    <w:rsid w:val="001B7014"/>
    <w:rsid w:val="001B7526"/>
    <w:rsid w:val="001B75C7"/>
    <w:rsid w:val="001B77B8"/>
    <w:rsid w:val="001B7B62"/>
    <w:rsid w:val="001B7E90"/>
    <w:rsid w:val="001B7EB3"/>
    <w:rsid w:val="001B7EEF"/>
    <w:rsid w:val="001C000C"/>
    <w:rsid w:val="001C0049"/>
    <w:rsid w:val="001C01F3"/>
    <w:rsid w:val="001C02A4"/>
    <w:rsid w:val="001C04F4"/>
    <w:rsid w:val="001C0558"/>
    <w:rsid w:val="001C0768"/>
    <w:rsid w:val="001C0822"/>
    <w:rsid w:val="001C0A51"/>
    <w:rsid w:val="001C0B98"/>
    <w:rsid w:val="001C0D55"/>
    <w:rsid w:val="001C0EF0"/>
    <w:rsid w:val="001C1195"/>
    <w:rsid w:val="001C1935"/>
    <w:rsid w:val="001C195D"/>
    <w:rsid w:val="001C1BA0"/>
    <w:rsid w:val="001C1E5F"/>
    <w:rsid w:val="001C20BF"/>
    <w:rsid w:val="001C215C"/>
    <w:rsid w:val="001C225F"/>
    <w:rsid w:val="001C22C9"/>
    <w:rsid w:val="001C261D"/>
    <w:rsid w:val="001C262E"/>
    <w:rsid w:val="001C2DCA"/>
    <w:rsid w:val="001C2E79"/>
    <w:rsid w:val="001C307D"/>
    <w:rsid w:val="001C30EF"/>
    <w:rsid w:val="001C31F3"/>
    <w:rsid w:val="001C32DD"/>
    <w:rsid w:val="001C3458"/>
    <w:rsid w:val="001C3497"/>
    <w:rsid w:val="001C3637"/>
    <w:rsid w:val="001C3CD4"/>
    <w:rsid w:val="001C3FD8"/>
    <w:rsid w:val="001C4267"/>
    <w:rsid w:val="001C4472"/>
    <w:rsid w:val="001C4BAE"/>
    <w:rsid w:val="001C4CF7"/>
    <w:rsid w:val="001C4FF9"/>
    <w:rsid w:val="001C5060"/>
    <w:rsid w:val="001C5482"/>
    <w:rsid w:val="001C54EC"/>
    <w:rsid w:val="001C58BA"/>
    <w:rsid w:val="001C5B4F"/>
    <w:rsid w:val="001C5B6A"/>
    <w:rsid w:val="001C5EDE"/>
    <w:rsid w:val="001C678A"/>
    <w:rsid w:val="001C68B4"/>
    <w:rsid w:val="001C6973"/>
    <w:rsid w:val="001C69FD"/>
    <w:rsid w:val="001C6A88"/>
    <w:rsid w:val="001C711C"/>
    <w:rsid w:val="001C72AA"/>
    <w:rsid w:val="001C7537"/>
    <w:rsid w:val="001C77D0"/>
    <w:rsid w:val="001C797B"/>
    <w:rsid w:val="001C7BA3"/>
    <w:rsid w:val="001D00C2"/>
    <w:rsid w:val="001D0235"/>
    <w:rsid w:val="001D04A3"/>
    <w:rsid w:val="001D0526"/>
    <w:rsid w:val="001D0572"/>
    <w:rsid w:val="001D09BD"/>
    <w:rsid w:val="001D0A06"/>
    <w:rsid w:val="001D1876"/>
    <w:rsid w:val="001D1C10"/>
    <w:rsid w:val="001D1FF5"/>
    <w:rsid w:val="001D22CA"/>
    <w:rsid w:val="001D23C2"/>
    <w:rsid w:val="001D27AA"/>
    <w:rsid w:val="001D2B4B"/>
    <w:rsid w:val="001D2CF2"/>
    <w:rsid w:val="001D33D6"/>
    <w:rsid w:val="001D3698"/>
    <w:rsid w:val="001D38A6"/>
    <w:rsid w:val="001D39DE"/>
    <w:rsid w:val="001D3A3C"/>
    <w:rsid w:val="001D3EFA"/>
    <w:rsid w:val="001D4287"/>
    <w:rsid w:val="001D4289"/>
    <w:rsid w:val="001D4789"/>
    <w:rsid w:val="001D4793"/>
    <w:rsid w:val="001D4799"/>
    <w:rsid w:val="001D4B2C"/>
    <w:rsid w:val="001D50FE"/>
    <w:rsid w:val="001D5191"/>
    <w:rsid w:val="001D58C4"/>
    <w:rsid w:val="001D5BC2"/>
    <w:rsid w:val="001D5D67"/>
    <w:rsid w:val="001D5FC5"/>
    <w:rsid w:val="001D5FE0"/>
    <w:rsid w:val="001D6050"/>
    <w:rsid w:val="001D627F"/>
    <w:rsid w:val="001D662A"/>
    <w:rsid w:val="001D67BC"/>
    <w:rsid w:val="001D67D7"/>
    <w:rsid w:val="001D6B66"/>
    <w:rsid w:val="001D70F4"/>
    <w:rsid w:val="001D711B"/>
    <w:rsid w:val="001D7159"/>
    <w:rsid w:val="001D75EB"/>
    <w:rsid w:val="001D75FB"/>
    <w:rsid w:val="001D7C32"/>
    <w:rsid w:val="001D7DFB"/>
    <w:rsid w:val="001D7EF2"/>
    <w:rsid w:val="001E053B"/>
    <w:rsid w:val="001E05C0"/>
    <w:rsid w:val="001E0B2D"/>
    <w:rsid w:val="001E0E33"/>
    <w:rsid w:val="001E0E6A"/>
    <w:rsid w:val="001E0F79"/>
    <w:rsid w:val="001E1280"/>
    <w:rsid w:val="001E166C"/>
    <w:rsid w:val="001E187A"/>
    <w:rsid w:val="001E18C9"/>
    <w:rsid w:val="001E198E"/>
    <w:rsid w:val="001E1A5F"/>
    <w:rsid w:val="001E1A75"/>
    <w:rsid w:val="001E1BBA"/>
    <w:rsid w:val="001E1E3A"/>
    <w:rsid w:val="001E24F6"/>
    <w:rsid w:val="001E26F7"/>
    <w:rsid w:val="001E28DF"/>
    <w:rsid w:val="001E2A2A"/>
    <w:rsid w:val="001E2A7A"/>
    <w:rsid w:val="001E2DD9"/>
    <w:rsid w:val="001E314C"/>
    <w:rsid w:val="001E366D"/>
    <w:rsid w:val="001E3786"/>
    <w:rsid w:val="001E37BF"/>
    <w:rsid w:val="001E3B71"/>
    <w:rsid w:val="001E3C89"/>
    <w:rsid w:val="001E3F8A"/>
    <w:rsid w:val="001E4524"/>
    <w:rsid w:val="001E48C9"/>
    <w:rsid w:val="001E4C4D"/>
    <w:rsid w:val="001E4CAC"/>
    <w:rsid w:val="001E57EC"/>
    <w:rsid w:val="001E58B0"/>
    <w:rsid w:val="001E596F"/>
    <w:rsid w:val="001E5991"/>
    <w:rsid w:val="001E623B"/>
    <w:rsid w:val="001E67F7"/>
    <w:rsid w:val="001E686E"/>
    <w:rsid w:val="001E7306"/>
    <w:rsid w:val="001F013F"/>
    <w:rsid w:val="001F016F"/>
    <w:rsid w:val="001F01A8"/>
    <w:rsid w:val="001F049B"/>
    <w:rsid w:val="001F0BD3"/>
    <w:rsid w:val="001F0F7E"/>
    <w:rsid w:val="001F12DF"/>
    <w:rsid w:val="001F1887"/>
    <w:rsid w:val="001F1CDB"/>
    <w:rsid w:val="001F2036"/>
    <w:rsid w:val="001F22A3"/>
    <w:rsid w:val="001F270D"/>
    <w:rsid w:val="001F29D5"/>
    <w:rsid w:val="001F3748"/>
    <w:rsid w:val="001F39BD"/>
    <w:rsid w:val="001F481A"/>
    <w:rsid w:val="001F48A5"/>
    <w:rsid w:val="001F491D"/>
    <w:rsid w:val="001F494D"/>
    <w:rsid w:val="001F495E"/>
    <w:rsid w:val="001F4DBC"/>
    <w:rsid w:val="001F5110"/>
    <w:rsid w:val="001F5832"/>
    <w:rsid w:val="001F6447"/>
    <w:rsid w:val="001F652C"/>
    <w:rsid w:val="001F6B25"/>
    <w:rsid w:val="001F6E58"/>
    <w:rsid w:val="001F6F31"/>
    <w:rsid w:val="001F7241"/>
    <w:rsid w:val="001F75C3"/>
    <w:rsid w:val="001F77F5"/>
    <w:rsid w:val="001F7E1B"/>
    <w:rsid w:val="00200062"/>
    <w:rsid w:val="00200477"/>
    <w:rsid w:val="00200F4E"/>
    <w:rsid w:val="002010BC"/>
    <w:rsid w:val="00201154"/>
    <w:rsid w:val="002011AB"/>
    <w:rsid w:val="002011FD"/>
    <w:rsid w:val="0020153E"/>
    <w:rsid w:val="00201FF5"/>
    <w:rsid w:val="00202413"/>
    <w:rsid w:val="002024A3"/>
    <w:rsid w:val="00203066"/>
    <w:rsid w:val="00203365"/>
    <w:rsid w:val="00203481"/>
    <w:rsid w:val="00203823"/>
    <w:rsid w:val="00203981"/>
    <w:rsid w:val="00203A01"/>
    <w:rsid w:val="00203DB4"/>
    <w:rsid w:val="00203F56"/>
    <w:rsid w:val="0020422D"/>
    <w:rsid w:val="00204B19"/>
    <w:rsid w:val="00204C8C"/>
    <w:rsid w:val="00204EB3"/>
    <w:rsid w:val="00205041"/>
    <w:rsid w:val="00205209"/>
    <w:rsid w:val="0020565F"/>
    <w:rsid w:val="002057BC"/>
    <w:rsid w:val="00205A4E"/>
    <w:rsid w:val="00205D33"/>
    <w:rsid w:val="00206325"/>
    <w:rsid w:val="0020652A"/>
    <w:rsid w:val="0020652F"/>
    <w:rsid w:val="002065DC"/>
    <w:rsid w:val="00207960"/>
    <w:rsid w:val="00207B5A"/>
    <w:rsid w:val="00207C2F"/>
    <w:rsid w:val="00210086"/>
    <w:rsid w:val="00210545"/>
    <w:rsid w:val="0021056B"/>
    <w:rsid w:val="002105C2"/>
    <w:rsid w:val="00210635"/>
    <w:rsid w:val="002109AD"/>
    <w:rsid w:val="00210D1F"/>
    <w:rsid w:val="002111A5"/>
    <w:rsid w:val="002115D2"/>
    <w:rsid w:val="002118FD"/>
    <w:rsid w:val="00211BBE"/>
    <w:rsid w:val="00211C21"/>
    <w:rsid w:val="00211F15"/>
    <w:rsid w:val="002121A7"/>
    <w:rsid w:val="00212378"/>
    <w:rsid w:val="00212477"/>
    <w:rsid w:val="00212505"/>
    <w:rsid w:val="0021263A"/>
    <w:rsid w:val="002126BC"/>
    <w:rsid w:val="002129CD"/>
    <w:rsid w:val="00212DE2"/>
    <w:rsid w:val="00212FC3"/>
    <w:rsid w:val="00213140"/>
    <w:rsid w:val="00213166"/>
    <w:rsid w:val="002136EE"/>
    <w:rsid w:val="00213837"/>
    <w:rsid w:val="0021492F"/>
    <w:rsid w:val="002149BD"/>
    <w:rsid w:val="002149ED"/>
    <w:rsid w:val="00214A22"/>
    <w:rsid w:val="00214C15"/>
    <w:rsid w:val="002153E6"/>
    <w:rsid w:val="002157D5"/>
    <w:rsid w:val="002158CF"/>
    <w:rsid w:val="00215DD2"/>
    <w:rsid w:val="00216A07"/>
    <w:rsid w:val="00216AB6"/>
    <w:rsid w:val="00216B56"/>
    <w:rsid w:val="00216DFC"/>
    <w:rsid w:val="00216F80"/>
    <w:rsid w:val="002174CA"/>
    <w:rsid w:val="002175AD"/>
    <w:rsid w:val="00217D3A"/>
    <w:rsid w:val="00217D74"/>
    <w:rsid w:val="00220335"/>
    <w:rsid w:val="00220E0F"/>
    <w:rsid w:val="00220E1E"/>
    <w:rsid w:val="00220FA8"/>
    <w:rsid w:val="002214D6"/>
    <w:rsid w:val="00221CA1"/>
    <w:rsid w:val="00221CDD"/>
    <w:rsid w:val="00222073"/>
    <w:rsid w:val="00222206"/>
    <w:rsid w:val="002229D7"/>
    <w:rsid w:val="00223021"/>
    <w:rsid w:val="00223085"/>
    <w:rsid w:val="002230A2"/>
    <w:rsid w:val="002234D9"/>
    <w:rsid w:val="002238EF"/>
    <w:rsid w:val="00223990"/>
    <w:rsid w:val="00223AAD"/>
    <w:rsid w:val="00223B6E"/>
    <w:rsid w:val="00223C86"/>
    <w:rsid w:val="00223F09"/>
    <w:rsid w:val="002244D2"/>
    <w:rsid w:val="002245EA"/>
    <w:rsid w:val="0022480C"/>
    <w:rsid w:val="00224A3B"/>
    <w:rsid w:val="00224A87"/>
    <w:rsid w:val="00224BE9"/>
    <w:rsid w:val="00224E95"/>
    <w:rsid w:val="00225045"/>
    <w:rsid w:val="00225A43"/>
    <w:rsid w:val="00225B8F"/>
    <w:rsid w:val="00225ECA"/>
    <w:rsid w:val="00226590"/>
    <w:rsid w:val="0022693A"/>
    <w:rsid w:val="002270E7"/>
    <w:rsid w:val="00227C4C"/>
    <w:rsid w:val="00227F67"/>
    <w:rsid w:val="002301D6"/>
    <w:rsid w:val="002306E8"/>
    <w:rsid w:val="002307A1"/>
    <w:rsid w:val="0023164B"/>
    <w:rsid w:val="002319F6"/>
    <w:rsid w:val="002326C8"/>
    <w:rsid w:val="00233142"/>
    <w:rsid w:val="00233438"/>
    <w:rsid w:val="0023427C"/>
    <w:rsid w:val="002351FA"/>
    <w:rsid w:val="0023541D"/>
    <w:rsid w:val="00235CED"/>
    <w:rsid w:val="00235D12"/>
    <w:rsid w:val="00235E34"/>
    <w:rsid w:val="00235F4F"/>
    <w:rsid w:val="002361C5"/>
    <w:rsid w:val="00236CD4"/>
    <w:rsid w:val="00236E32"/>
    <w:rsid w:val="00237269"/>
    <w:rsid w:val="00237331"/>
    <w:rsid w:val="002375CD"/>
    <w:rsid w:val="00237C90"/>
    <w:rsid w:val="002400A3"/>
    <w:rsid w:val="002402F6"/>
    <w:rsid w:val="00240637"/>
    <w:rsid w:val="002406CA"/>
    <w:rsid w:val="00240BFB"/>
    <w:rsid w:val="00240EF5"/>
    <w:rsid w:val="0024117D"/>
    <w:rsid w:val="0024124A"/>
    <w:rsid w:val="00241320"/>
    <w:rsid w:val="0024187B"/>
    <w:rsid w:val="00241AD8"/>
    <w:rsid w:val="00241D19"/>
    <w:rsid w:val="00242279"/>
    <w:rsid w:val="002427FC"/>
    <w:rsid w:val="00242B84"/>
    <w:rsid w:val="00242C2B"/>
    <w:rsid w:val="00242CCD"/>
    <w:rsid w:val="00242D61"/>
    <w:rsid w:val="00243092"/>
    <w:rsid w:val="002438AE"/>
    <w:rsid w:val="00243D64"/>
    <w:rsid w:val="00244020"/>
    <w:rsid w:val="00244277"/>
    <w:rsid w:val="0024428C"/>
    <w:rsid w:val="002446B4"/>
    <w:rsid w:val="00244800"/>
    <w:rsid w:val="00244963"/>
    <w:rsid w:val="00244F0E"/>
    <w:rsid w:val="002455CC"/>
    <w:rsid w:val="002456F3"/>
    <w:rsid w:val="002457F6"/>
    <w:rsid w:val="0024589A"/>
    <w:rsid w:val="002458A7"/>
    <w:rsid w:val="00245B27"/>
    <w:rsid w:val="00245F86"/>
    <w:rsid w:val="002465D9"/>
    <w:rsid w:val="00246883"/>
    <w:rsid w:val="00246F37"/>
    <w:rsid w:val="0024705B"/>
    <w:rsid w:val="0024779F"/>
    <w:rsid w:val="0024783B"/>
    <w:rsid w:val="00247C3E"/>
    <w:rsid w:val="002502AC"/>
    <w:rsid w:val="00250542"/>
    <w:rsid w:val="002505E0"/>
    <w:rsid w:val="002509A5"/>
    <w:rsid w:val="00250A51"/>
    <w:rsid w:val="00250C4D"/>
    <w:rsid w:val="00250CE3"/>
    <w:rsid w:val="00250E0F"/>
    <w:rsid w:val="0025104D"/>
    <w:rsid w:val="00251193"/>
    <w:rsid w:val="002511FD"/>
    <w:rsid w:val="0025132C"/>
    <w:rsid w:val="0025226A"/>
    <w:rsid w:val="002523E2"/>
    <w:rsid w:val="00252610"/>
    <w:rsid w:val="00252614"/>
    <w:rsid w:val="002526DF"/>
    <w:rsid w:val="0025285C"/>
    <w:rsid w:val="002529E5"/>
    <w:rsid w:val="00252F68"/>
    <w:rsid w:val="0025306F"/>
    <w:rsid w:val="00253108"/>
    <w:rsid w:val="0025394C"/>
    <w:rsid w:val="0025406F"/>
    <w:rsid w:val="002541AE"/>
    <w:rsid w:val="002544F1"/>
    <w:rsid w:val="00254A3B"/>
    <w:rsid w:val="00254D90"/>
    <w:rsid w:val="00255942"/>
    <w:rsid w:val="00255E4B"/>
    <w:rsid w:val="002564D1"/>
    <w:rsid w:val="0025662F"/>
    <w:rsid w:val="002568E8"/>
    <w:rsid w:val="00256CCD"/>
    <w:rsid w:val="00256DD7"/>
    <w:rsid w:val="00256EAA"/>
    <w:rsid w:val="0025715F"/>
    <w:rsid w:val="002576A3"/>
    <w:rsid w:val="002576C0"/>
    <w:rsid w:val="002578A6"/>
    <w:rsid w:val="00257DFE"/>
    <w:rsid w:val="0026008D"/>
    <w:rsid w:val="0026020B"/>
    <w:rsid w:val="00260539"/>
    <w:rsid w:val="00260F74"/>
    <w:rsid w:val="0026133A"/>
    <w:rsid w:val="0026192F"/>
    <w:rsid w:val="00261EEE"/>
    <w:rsid w:val="002625C8"/>
    <w:rsid w:val="002627E5"/>
    <w:rsid w:val="00262AB1"/>
    <w:rsid w:val="00262CBA"/>
    <w:rsid w:val="00262CDF"/>
    <w:rsid w:val="00262D96"/>
    <w:rsid w:val="002630A1"/>
    <w:rsid w:val="002637B4"/>
    <w:rsid w:val="0026393E"/>
    <w:rsid w:val="002640A4"/>
    <w:rsid w:val="0026436B"/>
    <w:rsid w:val="00264F11"/>
    <w:rsid w:val="00264FE9"/>
    <w:rsid w:val="002650E0"/>
    <w:rsid w:val="002651F4"/>
    <w:rsid w:val="00265295"/>
    <w:rsid w:val="0026543F"/>
    <w:rsid w:val="002659E8"/>
    <w:rsid w:val="002659ED"/>
    <w:rsid w:val="00265A41"/>
    <w:rsid w:val="00265AFB"/>
    <w:rsid w:val="00265D78"/>
    <w:rsid w:val="00265EAE"/>
    <w:rsid w:val="00266032"/>
    <w:rsid w:val="0026621C"/>
    <w:rsid w:val="0026690B"/>
    <w:rsid w:val="0026693A"/>
    <w:rsid w:val="00266FEA"/>
    <w:rsid w:val="0026721A"/>
    <w:rsid w:val="002675CF"/>
    <w:rsid w:val="00267BA2"/>
    <w:rsid w:val="00270399"/>
    <w:rsid w:val="00270927"/>
    <w:rsid w:val="002715E3"/>
    <w:rsid w:val="002718BC"/>
    <w:rsid w:val="00271B43"/>
    <w:rsid w:val="00271D93"/>
    <w:rsid w:val="00271E39"/>
    <w:rsid w:val="00271F27"/>
    <w:rsid w:val="00272302"/>
    <w:rsid w:val="0027255C"/>
    <w:rsid w:val="00272CAA"/>
    <w:rsid w:val="00272DF1"/>
    <w:rsid w:val="00272EA7"/>
    <w:rsid w:val="00272F9A"/>
    <w:rsid w:val="00273152"/>
    <w:rsid w:val="002732D0"/>
    <w:rsid w:val="00273527"/>
    <w:rsid w:val="0027377C"/>
    <w:rsid w:val="00273845"/>
    <w:rsid w:val="00273A09"/>
    <w:rsid w:val="00273F18"/>
    <w:rsid w:val="002740BA"/>
    <w:rsid w:val="00275087"/>
    <w:rsid w:val="002750B6"/>
    <w:rsid w:val="00275531"/>
    <w:rsid w:val="00275625"/>
    <w:rsid w:val="00275E64"/>
    <w:rsid w:val="0027608D"/>
    <w:rsid w:val="002766EB"/>
    <w:rsid w:val="00276DBD"/>
    <w:rsid w:val="00276E25"/>
    <w:rsid w:val="002771B6"/>
    <w:rsid w:val="00277F81"/>
    <w:rsid w:val="00277FCA"/>
    <w:rsid w:val="00280046"/>
    <w:rsid w:val="002803EC"/>
    <w:rsid w:val="0028066D"/>
    <w:rsid w:val="00280828"/>
    <w:rsid w:val="00280A7B"/>
    <w:rsid w:val="00280A7F"/>
    <w:rsid w:val="00280AA7"/>
    <w:rsid w:val="00280BA7"/>
    <w:rsid w:val="00280E22"/>
    <w:rsid w:val="00281215"/>
    <w:rsid w:val="002813D8"/>
    <w:rsid w:val="0028163D"/>
    <w:rsid w:val="002816BB"/>
    <w:rsid w:val="002825D5"/>
    <w:rsid w:val="002827E2"/>
    <w:rsid w:val="00282F40"/>
    <w:rsid w:val="00283226"/>
    <w:rsid w:val="002833FA"/>
    <w:rsid w:val="0028367D"/>
    <w:rsid w:val="0028380E"/>
    <w:rsid w:val="00283C19"/>
    <w:rsid w:val="00283DAC"/>
    <w:rsid w:val="0028408E"/>
    <w:rsid w:val="0028423A"/>
    <w:rsid w:val="00284320"/>
    <w:rsid w:val="002845FF"/>
    <w:rsid w:val="002849AB"/>
    <w:rsid w:val="00284BC8"/>
    <w:rsid w:val="00284BEF"/>
    <w:rsid w:val="00284D57"/>
    <w:rsid w:val="002850EF"/>
    <w:rsid w:val="0028538E"/>
    <w:rsid w:val="0028548B"/>
    <w:rsid w:val="002857AE"/>
    <w:rsid w:val="002857DC"/>
    <w:rsid w:val="00285912"/>
    <w:rsid w:val="00285BD2"/>
    <w:rsid w:val="00285C9D"/>
    <w:rsid w:val="00286109"/>
    <w:rsid w:val="002864F2"/>
    <w:rsid w:val="002865DF"/>
    <w:rsid w:val="00286719"/>
    <w:rsid w:val="002868A5"/>
    <w:rsid w:val="00286D19"/>
    <w:rsid w:val="00287313"/>
    <w:rsid w:val="002875F5"/>
    <w:rsid w:val="00287B42"/>
    <w:rsid w:val="0029040D"/>
    <w:rsid w:val="002907A1"/>
    <w:rsid w:val="00290917"/>
    <w:rsid w:val="00290A54"/>
    <w:rsid w:val="00290C18"/>
    <w:rsid w:val="002918A9"/>
    <w:rsid w:val="00292379"/>
    <w:rsid w:val="0029253D"/>
    <w:rsid w:val="0029277C"/>
    <w:rsid w:val="00292A9E"/>
    <w:rsid w:val="00292B45"/>
    <w:rsid w:val="00292DCC"/>
    <w:rsid w:val="0029318D"/>
    <w:rsid w:val="00293199"/>
    <w:rsid w:val="00293368"/>
    <w:rsid w:val="0029369B"/>
    <w:rsid w:val="00293F8B"/>
    <w:rsid w:val="0029403B"/>
    <w:rsid w:val="002942BD"/>
    <w:rsid w:val="002942CB"/>
    <w:rsid w:val="002943CA"/>
    <w:rsid w:val="00294435"/>
    <w:rsid w:val="00294742"/>
    <w:rsid w:val="00294867"/>
    <w:rsid w:val="002949E3"/>
    <w:rsid w:val="00294ACE"/>
    <w:rsid w:val="002956DF"/>
    <w:rsid w:val="002961F4"/>
    <w:rsid w:val="00296784"/>
    <w:rsid w:val="002968BB"/>
    <w:rsid w:val="00296D35"/>
    <w:rsid w:val="00296E49"/>
    <w:rsid w:val="00297A33"/>
    <w:rsid w:val="00297C22"/>
    <w:rsid w:val="002A0013"/>
    <w:rsid w:val="002A01B5"/>
    <w:rsid w:val="002A053D"/>
    <w:rsid w:val="002A05E4"/>
    <w:rsid w:val="002A0705"/>
    <w:rsid w:val="002A09C8"/>
    <w:rsid w:val="002A0D1B"/>
    <w:rsid w:val="002A0DFD"/>
    <w:rsid w:val="002A0F09"/>
    <w:rsid w:val="002A107E"/>
    <w:rsid w:val="002A12D5"/>
    <w:rsid w:val="002A139D"/>
    <w:rsid w:val="002A1A58"/>
    <w:rsid w:val="002A1D25"/>
    <w:rsid w:val="002A218D"/>
    <w:rsid w:val="002A24CF"/>
    <w:rsid w:val="002A2516"/>
    <w:rsid w:val="002A2556"/>
    <w:rsid w:val="002A2945"/>
    <w:rsid w:val="002A2DCC"/>
    <w:rsid w:val="002A32BE"/>
    <w:rsid w:val="002A32D3"/>
    <w:rsid w:val="002A34EC"/>
    <w:rsid w:val="002A3AAB"/>
    <w:rsid w:val="002A3B5C"/>
    <w:rsid w:val="002A3C6F"/>
    <w:rsid w:val="002A3F66"/>
    <w:rsid w:val="002A40FF"/>
    <w:rsid w:val="002A4474"/>
    <w:rsid w:val="002A47A3"/>
    <w:rsid w:val="002A4901"/>
    <w:rsid w:val="002A492F"/>
    <w:rsid w:val="002A4D41"/>
    <w:rsid w:val="002A4D7A"/>
    <w:rsid w:val="002A4E16"/>
    <w:rsid w:val="002A4FC6"/>
    <w:rsid w:val="002A54D6"/>
    <w:rsid w:val="002A5CD7"/>
    <w:rsid w:val="002A5E48"/>
    <w:rsid w:val="002A62DE"/>
    <w:rsid w:val="002A692A"/>
    <w:rsid w:val="002A6936"/>
    <w:rsid w:val="002A694E"/>
    <w:rsid w:val="002A6E25"/>
    <w:rsid w:val="002A6F44"/>
    <w:rsid w:val="002A718C"/>
    <w:rsid w:val="002A722C"/>
    <w:rsid w:val="002A73E7"/>
    <w:rsid w:val="002A7CA3"/>
    <w:rsid w:val="002B00FE"/>
    <w:rsid w:val="002B01D5"/>
    <w:rsid w:val="002B0240"/>
    <w:rsid w:val="002B0798"/>
    <w:rsid w:val="002B081C"/>
    <w:rsid w:val="002B093E"/>
    <w:rsid w:val="002B0BDC"/>
    <w:rsid w:val="002B0CAF"/>
    <w:rsid w:val="002B0F80"/>
    <w:rsid w:val="002B12F6"/>
    <w:rsid w:val="002B1627"/>
    <w:rsid w:val="002B16D2"/>
    <w:rsid w:val="002B1768"/>
    <w:rsid w:val="002B1954"/>
    <w:rsid w:val="002B1D64"/>
    <w:rsid w:val="002B1EC8"/>
    <w:rsid w:val="002B1F69"/>
    <w:rsid w:val="002B2274"/>
    <w:rsid w:val="002B28D9"/>
    <w:rsid w:val="002B2ED1"/>
    <w:rsid w:val="002B389C"/>
    <w:rsid w:val="002B38E4"/>
    <w:rsid w:val="002B3B65"/>
    <w:rsid w:val="002B3C11"/>
    <w:rsid w:val="002B3C44"/>
    <w:rsid w:val="002B4549"/>
    <w:rsid w:val="002B47D3"/>
    <w:rsid w:val="002B4BE2"/>
    <w:rsid w:val="002B4C0A"/>
    <w:rsid w:val="002B4DAD"/>
    <w:rsid w:val="002B5424"/>
    <w:rsid w:val="002B5815"/>
    <w:rsid w:val="002B58E7"/>
    <w:rsid w:val="002B59B2"/>
    <w:rsid w:val="002B5F37"/>
    <w:rsid w:val="002B6D8B"/>
    <w:rsid w:val="002B6DF5"/>
    <w:rsid w:val="002B721C"/>
    <w:rsid w:val="002B773B"/>
    <w:rsid w:val="002B7762"/>
    <w:rsid w:val="002B77F1"/>
    <w:rsid w:val="002B787D"/>
    <w:rsid w:val="002B7C12"/>
    <w:rsid w:val="002C0329"/>
    <w:rsid w:val="002C06F5"/>
    <w:rsid w:val="002C0D01"/>
    <w:rsid w:val="002C0E47"/>
    <w:rsid w:val="002C1224"/>
    <w:rsid w:val="002C12AC"/>
    <w:rsid w:val="002C12E2"/>
    <w:rsid w:val="002C17A4"/>
    <w:rsid w:val="002C19E7"/>
    <w:rsid w:val="002C1F25"/>
    <w:rsid w:val="002C244D"/>
    <w:rsid w:val="002C24F9"/>
    <w:rsid w:val="002C28CC"/>
    <w:rsid w:val="002C2AAA"/>
    <w:rsid w:val="002C2B1C"/>
    <w:rsid w:val="002C2D3E"/>
    <w:rsid w:val="002C3334"/>
    <w:rsid w:val="002C36A0"/>
    <w:rsid w:val="002C3F0E"/>
    <w:rsid w:val="002C3FBD"/>
    <w:rsid w:val="002C4379"/>
    <w:rsid w:val="002C43A6"/>
    <w:rsid w:val="002C4472"/>
    <w:rsid w:val="002C48D4"/>
    <w:rsid w:val="002C5BB8"/>
    <w:rsid w:val="002C5F56"/>
    <w:rsid w:val="002C5FB2"/>
    <w:rsid w:val="002C6679"/>
    <w:rsid w:val="002C6A3C"/>
    <w:rsid w:val="002C7AAA"/>
    <w:rsid w:val="002C7F7C"/>
    <w:rsid w:val="002C7FA6"/>
    <w:rsid w:val="002D0078"/>
    <w:rsid w:val="002D03B8"/>
    <w:rsid w:val="002D03C8"/>
    <w:rsid w:val="002D082C"/>
    <w:rsid w:val="002D092F"/>
    <w:rsid w:val="002D0FB4"/>
    <w:rsid w:val="002D11F8"/>
    <w:rsid w:val="002D1385"/>
    <w:rsid w:val="002D1414"/>
    <w:rsid w:val="002D16D9"/>
    <w:rsid w:val="002D17C2"/>
    <w:rsid w:val="002D1AB7"/>
    <w:rsid w:val="002D1E12"/>
    <w:rsid w:val="002D2208"/>
    <w:rsid w:val="002D222B"/>
    <w:rsid w:val="002D2291"/>
    <w:rsid w:val="002D229B"/>
    <w:rsid w:val="002D2317"/>
    <w:rsid w:val="002D25D9"/>
    <w:rsid w:val="002D266D"/>
    <w:rsid w:val="002D2757"/>
    <w:rsid w:val="002D277E"/>
    <w:rsid w:val="002D2862"/>
    <w:rsid w:val="002D2AB1"/>
    <w:rsid w:val="002D2E4F"/>
    <w:rsid w:val="002D31AA"/>
    <w:rsid w:val="002D32CB"/>
    <w:rsid w:val="002D3742"/>
    <w:rsid w:val="002D3A50"/>
    <w:rsid w:val="002D4245"/>
    <w:rsid w:val="002D4309"/>
    <w:rsid w:val="002D44E0"/>
    <w:rsid w:val="002D4AE6"/>
    <w:rsid w:val="002D4CA3"/>
    <w:rsid w:val="002D5362"/>
    <w:rsid w:val="002D53DD"/>
    <w:rsid w:val="002D5630"/>
    <w:rsid w:val="002D57B2"/>
    <w:rsid w:val="002D6624"/>
    <w:rsid w:val="002D6BF1"/>
    <w:rsid w:val="002D6E75"/>
    <w:rsid w:val="002D71B8"/>
    <w:rsid w:val="002D7328"/>
    <w:rsid w:val="002D737A"/>
    <w:rsid w:val="002D75C8"/>
    <w:rsid w:val="002D7774"/>
    <w:rsid w:val="002D7884"/>
    <w:rsid w:val="002D7ABD"/>
    <w:rsid w:val="002D7EA2"/>
    <w:rsid w:val="002E002A"/>
    <w:rsid w:val="002E0041"/>
    <w:rsid w:val="002E0395"/>
    <w:rsid w:val="002E03A1"/>
    <w:rsid w:val="002E054C"/>
    <w:rsid w:val="002E0600"/>
    <w:rsid w:val="002E085B"/>
    <w:rsid w:val="002E135F"/>
    <w:rsid w:val="002E175A"/>
    <w:rsid w:val="002E1C19"/>
    <w:rsid w:val="002E1C5E"/>
    <w:rsid w:val="002E1F77"/>
    <w:rsid w:val="002E222D"/>
    <w:rsid w:val="002E2401"/>
    <w:rsid w:val="002E2723"/>
    <w:rsid w:val="002E27AD"/>
    <w:rsid w:val="002E2C06"/>
    <w:rsid w:val="002E2C2E"/>
    <w:rsid w:val="002E3661"/>
    <w:rsid w:val="002E3717"/>
    <w:rsid w:val="002E37DF"/>
    <w:rsid w:val="002E383E"/>
    <w:rsid w:val="002E3AAB"/>
    <w:rsid w:val="002E3EA5"/>
    <w:rsid w:val="002E462A"/>
    <w:rsid w:val="002E469A"/>
    <w:rsid w:val="002E4B57"/>
    <w:rsid w:val="002E5039"/>
    <w:rsid w:val="002E519D"/>
    <w:rsid w:val="002E5312"/>
    <w:rsid w:val="002E572B"/>
    <w:rsid w:val="002E5938"/>
    <w:rsid w:val="002E59DA"/>
    <w:rsid w:val="002E62E2"/>
    <w:rsid w:val="002E6300"/>
    <w:rsid w:val="002E6688"/>
    <w:rsid w:val="002E690F"/>
    <w:rsid w:val="002E6B8B"/>
    <w:rsid w:val="002E729A"/>
    <w:rsid w:val="002E7434"/>
    <w:rsid w:val="002E753B"/>
    <w:rsid w:val="002E7DE9"/>
    <w:rsid w:val="002F00EB"/>
    <w:rsid w:val="002F0596"/>
    <w:rsid w:val="002F07DD"/>
    <w:rsid w:val="002F0F58"/>
    <w:rsid w:val="002F0F8D"/>
    <w:rsid w:val="002F10E5"/>
    <w:rsid w:val="002F13A1"/>
    <w:rsid w:val="002F16B8"/>
    <w:rsid w:val="002F16CE"/>
    <w:rsid w:val="002F1928"/>
    <w:rsid w:val="002F1988"/>
    <w:rsid w:val="002F1D18"/>
    <w:rsid w:val="002F1D8C"/>
    <w:rsid w:val="002F1EAF"/>
    <w:rsid w:val="002F23FC"/>
    <w:rsid w:val="002F248B"/>
    <w:rsid w:val="002F2736"/>
    <w:rsid w:val="002F2CB6"/>
    <w:rsid w:val="002F3203"/>
    <w:rsid w:val="002F34CE"/>
    <w:rsid w:val="002F386F"/>
    <w:rsid w:val="002F3D88"/>
    <w:rsid w:val="002F40B5"/>
    <w:rsid w:val="002F431B"/>
    <w:rsid w:val="002F4505"/>
    <w:rsid w:val="002F477B"/>
    <w:rsid w:val="002F481C"/>
    <w:rsid w:val="002F48A3"/>
    <w:rsid w:val="002F51C3"/>
    <w:rsid w:val="002F5369"/>
    <w:rsid w:val="002F54A5"/>
    <w:rsid w:val="002F54E3"/>
    <w:rsid w:val="002F5512"/>
    <w:rsid w:val="002F5BCA"/>
    <w:rsid w:val="002F5C37"/>
    <w:rsid w:val="002F5D62"/>
    <w:rsid w:val="002F5E8A"/>
    <w:rsid w:val="002F5FFA"/>
    <w:rsid w:val="002F6055"/>
    <w:rsid w:val="002F60E7"/>
    <w:rsid w:val="002F6185"/>
    <w:rsid w:val="002F62F5"/>
    <w:rsid w:val="002F63C1"/>
    <w:rsid w:val="002F6584"/>
    <w:rsid w:val="002F6678"/>
    <w:rsid w:val="002F693B"/>
    <w:rsid w:val="002F6AE3"/>
    <w:rsid w:val="002F6CF6"/>
    <w:rsid w:val="002F6F34"/>
    <w:rsid w:val="002F7124"/>
    <w:rsid w:val="002F7346"/>
    <w:rsid w:val="002F7356"/>
    <w:rsid w:val="002F7596"/>
    <w:rsid w:val="002F763F"/>
    <w:rsid w:val="002F7852"/>
    <w:rsid w:val="002F790C"/>
    <w:rsid w:val="002F7E34"/>
    <w:rsid w:val="00300052"/>
    <w:rsid w:val="003003F0"/>
    <w:rsid w:val="00300524"/>
    <w:rsid w:val="00300BAE"/>
    <w:rsid w:val="00300EC2"/>
    <w:rsid w:val="0030168F"/>
    <w:rsid w:val="00302122"/>
    <w:rsid w:val="00302165"/>
    <w:rsid w:val="0030288A"/>
    <w:rsid w:val="00302D47"/>
    <w:rsid w:val="00302FB9"/>
    <w:rsid w:val="0030324A"/>
    <w:rsid w:val="0030348B"/>
    <w:rsid w:val="003036A5"/>
    <w:rsid w:val="003036D0"/>
    <w:rsid w:val="003045A4"/>
    <w:rsid w:val="00304907"/>
    <w:rsid w:val="003049A0"/>
    <w:rsid w:val="00304AFD"/>
    <w:rsid w:val="00304CD0"/>
    <w:rsid w:val="00304DA8"/>
    <w:rsid w:val="00304F8B"/>
    <w:rsid w:val="00305069"/>
    <w:rsid w:val="00305347"/>
    <w:rsid w:val="00305413"/>
    <w:rsid w:val="0030599E"/>
    <w:rsid w:val="00305DA0"/>
    <w:rsid w:val="003060B7"/>
    <w:rsid w:val="00306142"/>
    <w:rsid w:val="00306703"/>
    <w:rsid w:val="00306A43"/>
    <w:rsid w:val="00306E43"/>
    <w:rsid w:val="00306F49"/>
    <w:rsid w:val="0030700A"/>
    <w:rsid w:val="00307953"/>
    <w:rsid w:val="00307A44"/>
    <w:rsid w:val="00307DDA"/>
    <w:rsid w:val="003100EE"/>
    <w:rsid w:val="003105BF"/>
    <w:rsid w:val="00310E6A"/>
    <w:rsid w:val="00310FBF"/>
    <w:rsid w:val="0031142D"/>
    <w:rsid w:val="003119B7"/>
    <w:rsid w:val="00312578"/>
    <w:rsid w:val="0031277E"/>
    <w:rsid w:val="00312847"/>
    <w:rsid w:val="003128B2"/>
    <w:rsid w:val="003129EB"/>
    <w:rsid w:val="0031323B"/>
    <w:rsid w:val="0031352F"/>
    <w:rsid w:val="003136A9"/>
    <w:rsid w:val="003137F2"/>
    <w:rsid w:val="00313FD2"/>
    <w:rsid w:val="00314A14"/>
    <w:rsid w:val="00314E13"/>
    <w:rsid w:val="00314FAD"/>
    <w:rsid w:val="0031506C"/>
    <w:rsid w:val="00315482"/>
    <w:rsid w:val="00315CCB"/>
    <w:rsid w:val="00315D16"/>
    <w:rsid w:val="003162E4"/>
    <w:rsid w:val="00316316"/>
    <w:rsid w:val="00316327"/>
    <w:rsid w:val="00316751"/>
    <w:rsid w:val="00316767"/>
    <w:rsid w:val="00317313"/>
    <w:rsid w:val="00317386"/>
    <w:rsid w:val="00317419"/>
    <w:rsid w:val="0031760B"/>
    <w:rsid w:val="003178D7"/>
    <w:rsid w:val="00317FC0"/>
    <w:rsid w:val="003200EF"/>
    <w:rsid w:val="00320312"/>
    <w:rsid w:val="0032063E"/>
    <w:rsid w:val="00320C8F"/>
    <w:rsid w:val="00320EFE"/>
    <w:rsid w:val="003215DA"/>
    <w:rsid w:val="003221A5"/>
    <w:rsid w:val="00322239"/>
    <w:rsid w:val="00322319"/>
    <w:rsid w:val="00322867"/>
    <w:rsid w:val="00322B67"/>
    <w:rsid w:val="003232D8"/>
    <w:rsid w:val="003233DB"/>
    <w:rsid w:val="0032349E"/>
    <w:rsid w:val="0032353F"/>
    <w:rsid w:val="00323614"/>
    <w:rsid w:val="0032370F"/>
    <w:rsid w:val="00323780"/>
    <w:rsid w:val="00323B9D"/>
    <w:rsid w:val="00323DD8"/>
    <w:rsid w:val="00323F07"/>
    <w:rsid w:val="00323FD4"/>
    <w:rsid w:val="0032454E"/>
    <w:rsid w:val="00324909"/>
    <w:rsid w:val="003250E7"/>
    <w:rsid w:val="00325179"/>
    <w:rsid w:val="003257DA"/>
    <w:rsid w:val="00325814"/>
    <w:rsid w:val="00325B5F"/>
    <w:rsid w:val="00325E50"/>
    <w:rsid w:val="003261A8"/>
    <w:rsid w:val="0032622B"/>
    <w:rsid w:val="00326386"/>
    <w:rsid w:val="0032644E"/>
    <w:rsid w:val="00326476"/>
    <w:rsid w:val="003269EF"/>
    <w:rsid w:val="00326A73"/>
    <w:rsid w:val="00326AA2"/>
    <w:rsid w:val="00326FAF"/>
    <w:rsid w:val="00327040"/>
    <w:rsid w:val="003275A8"/>
    <w:rsid w:val="00327868"/>
    <w:rsid w:val="00327980"/>
    <w:rsid w:val="00327A3D"/>
    <w:rsid w:val="00327DB2"/>
    <w:rsid w:val="00327DD8"/>
    <w:rsid w:val="00327E60"/>
    <w:rsid w:val="00327E78"/>
    <w:rsid w:val="003300A9"/>
    <w:rsid w:val="00330437"/>
    <w:rsid w:val="003307B0"/>
    <w:rsid w:val="00330A43"/>
    <w:rsid w:val="00330EE0"/>
    <w:rsid w:val="00331240"/>
    <w:rsid w:val="0033141E"/>
    <w:rsid w:val="00331465"/>
    <w:rsid w:val="0033166A"/>
    <w:rsid w:val="00331740"/>
    <w:rsid w:val="0033181D"/>
    <w:rsid w:val="00332064"/>
    <w:rsid w:val="00332461"/>
    <w:rsid w:val="00332598"/>
    <w:rsid w:val="0033271E"/>
    <w:rsid w:val="00332DC6"/>
    <w:rsid w:val="00333548"/>
    <w:rsid w:val="00333563"/>
    <w:rsid w:val="00333C45"/>
    <w:rsid w:val="003344B4"/>
    <w:rsid w:val="003345B6"/>
    <w:rsid w:val="0033482D"/>
    <w:rsid w:val="00334875"/>
    <w:rsid w:val="00334902"/>
    <w:rsid w:val="00334CF6"/>
    <w:rsid w:val="00334DCB"/>
    <w:rsid w:val="00334F20"/>
    <w:rsid w:val="003351BA"/>
    <w:rsid w:val="00335540"/>
    <w:rsid w:val="00335B9A"/>
    <w:rsid w:val="0033602D"/>
    <w:rsid w:val="0033629C"/>
    <w:rsid w:val="0033629F"/>
    <w:rsid w:val="003362BD"/>
    <w:rsid w:val="0033659D"/>
    <w:rsid w:val="00336A5A"/>
    <w:rsid w:val="00336A78"/>
    <w:rsid w:val="00336CE8"/>
    <w:rsid w:val="00336D83"/>
    <w:rsid w:val="003375F6"/>
    <w:rsid w:val="00337748"/>
    <w:rsid w:val="0033778D"/>
    <w:rsid w:val="00337824"/>
    <w:rsid w:val="00337BF2"/>
    <w:rsid w:val="00337DCA"/>
    <w:rsid w:val="00340234"/>
    <w:rsid w:val="003403D1"/>
    <w:rsid w:val="0034097C"/>
    <w:rsid w:val="00340A5C"/>
    <w:rsid w:val="00340A5D"/>
    <w:rsid w:val="00340BBB"/>
    <w:rsid w:val="00340CB6"/>
    <w:rsid w:val="00340CDE"/>
    <w:rsid w:val="00340FD3"/>
    <w:rsid w:val="00341268"/>
    <w:rsid w:val="003414FD"/>
    <w:rsid w:val="00341577"/>
    <w:rsid w:val="00341A3C"/>
    <w:rsid w:val="00342675"/>
    <w:rsid w:val="003429C5"/>
    <w:rsid w:val="00342D44"/>
    <w:rsid w:val="00342E90"/>
    <w:rsid w:val="0034346B"/>
    <w:rsid w:val="003438A7"/>
    <w:rsid w:val="00343A4A"/>
    <w:rsid w:val="00343E27"/>
    <w:rsid w:val="00344030"/>
    <w:rsid w:val="003443AA"/>
    <w:rsid w:val="00344E03"/>
    <w:rsid w:val="00345120"/>
    <w:rsid w:val="00345653"/>
    <w:rsid w:val="00345665"/>
    <w:rsid w:val="00345720"/>
    <w:rsid w:val="0034624D"/>
    <w:rsid w:val="003468E3"/>
    <w:rsid w:val="00346E53"/>
    <w:rsid w:val="0034729D"/>
    <w:rsid w:val="00347650"/>
    <w:rsid w:val="003479E2"/>
    <w:rsid w:val="00347A97"/>
    <w:rsid w:val="00347EB5"/>
    <w:rsid w:val="003500D4"/>
    <w:rsid w:val="00351135"/>
    <w:rsid w:val="0035115F"/>
    <w:rsid w:val="003511E5"/>
    <w:rsid w:val="00351D87"/>
    <w:rsid w:val="003525D2"/>
    <w:rsid w:val="0035265D"/>
    <w:rsid w:val="003527C4"/>
    <w:rsid w:val="00352989"/>
    <w:rsid w:val="00352A47"/>
    <w:rsid w:val="00352E38"/>
    <w:rsid w:val="00353363"/>
    <w:rsid w:val="00353368"/>
    <w:rsid w:val="003533CF"/>
    <w:rsid w:val="003534FE"/>
    <w:rsid w:val="00353696"/>
    <w:rsid w:val="00353880"/>
    <w:rsid w:val="00354227"/>
    <w:rsid w:val="0035427C"/>
    <w:rsid w:val="003543E2"/>
    <w:rsid w:val="003545CE"/>
    <w:rsid w:val="003546C8"/>
    <w:rsid w:val="003546D8"/>
    <w:rsid w:val="00354930"/>
    <w:rsid w:val="00354F5A"/>
    <w:rsid w:val="00355375"/>
    <w:rsid w:val="003553F4"/>
    <w:rsid w:val="003554B0"/>
    <w:rsid w:val="00355AF8"/>
    <w:rsid w:val="0035600B"/>
    <w:rsid w:val="00356134"/>
    <w:rsid w:val="003564A0"/>
    <w:rsid w:val="00356B37"/>
    <w:rsid w:val="00356F54"/>
    <w:rsid w:val="003574D2"/>
    <w:rsid w:val="003574F1"/>
    <w:rsid w:val="00357782"/>
    <w:rsid w:val="00357C84"/>
    <w:rsid w:val="00357D23"/>
    <w:rsid w:val="00357EA9"/>
    <w:rsid w:val="00357F06"/>
    <w:rsid w:val="00360A17"/>
    <w:rsid w:val="00360C48"/>
    <w:rsid w:val="0036105B"/>
    <w:rsid w:val="003610DB"/>
    <w:rsid w:val="00361405"/>
    <w:rsid w:val="003616AC"/>
    <w:rsid w:val="00361731"/>
    <w:rsid w:val="00361ADC"/>
    <w:rsid w:val="00361E53"/>
    <w:rsid w:val="00362562"/>
    <w:rsid w:val="00362885"/>
    <w:rsid w:val="003635E2"/>
    <w:rsid w:val="00363640"/>
    <w:rsid w:val="00363AE3"/>
    <w:rsid w:val="00363BCD"/>
    <w:rsid w:val="003645FB"/>
    <w:rsid w:val="00364AD1"/>
    <w:rsid w:val="00364C43"/>
    <w:rsid w:val="00365477"/>
    <w:rsid w:val="003654A8"/>
    <w:rsid w:val="00365796"/>
    <w:rsid w:val="003657D9"/>
    <w:rsid w:val="00365AFD"/>
    <w:rsid w:val="00366039"/>
    <w:rsid w:val="00366496"/>
    <w:rsid w:val="00366513"/>
    <w:rsid w:val="003665C5"/>
    <w:rsid w:val="003667B8"/>
    <w:rsid w:val="00366809"/>
    <w:rsid w:val="00366CBF"/>
    <w:rsid w:val="00366D26"/>
    <w:rsid w:val="00366F88"/>
    <w:rsid w:val="003674B2"/>
    <w:rsid w:val="00367633"/>
    <w:rsid w:val="00367985"/>
    <w:rsid w:val="00367B3B"/>
    <w:rsid w:val="0037006B"/>
    <w:rsid w:val="003701A8"/>
    <w:rsid w:val="0037051C"/>
    <w:rsid w:val="003708EB"/>
    <w:rsid w:val="00370B6F"/>
    <w:rsid w:val="00370F5E"/>
    <w:rsid w:val="00371199"/>
    <w:rsid w:val="00371319"/>
    <w:rsid w:val="00371611"/>
    <w:rsid w:val="00371657"/>
    <w:rsid w:val="003718AA"/>
    <w:rsid w:val="00371A06"/>
    <w:rsid w:val="00371B7D"/>
    <w:rsid w:val="00371D82"/>
    <w:rsid w:val="00371F8B"/>
    <w:rsid w:val="0037226F"/>
    <w:rsid w:val="00372526"/>
    <w:rsid w:val="0037262E"/>
    <w:rsid w:val="00372826"/>
    <w:rsid w:val="00372E4E"/>
    <w:rsid w:val="00372FF8"/>
    <w:rsid w:val="00373E71"/>
    <w:rsid w:val="00374238"/>
    <w:rsid w:val="0037443D"/>
    <w:rsid w:val="003744B4"/>
    <w:rsid w:val="00374966"/>
    <w:rsid w:val="00374E0D"/>
    <w:rsid w:val="00375127"/>
    <w:rsid w:val="00375343"/>
    <w:rsid w:val="00375B60"/>
    <w:rsid w:val="00375B71"/>
    <w:rsid w:val="00375B99"/>
    <w:rsid w:val="00375C05"/>
    <w:rsid w:val="00376119"/>
    <w:rsid w:val="0037616C"/>
    <w:rsid w:val="003765C7"/>
    <w:rsid w:val="00376D74"/>
    <w:rsid w:val="003772F3"/>
    <w:rsid w:val="00377443"/>
    <w:rsid w:val="00377744"/>
    <w:rsid w:val="00377797"/>
    <w:rsid w:val="003779FA"/>
    <w:rsid w:val="00377D74"/>
    <w:rsid w:val="00380FE0"/>
    <w:rsid w:val="003810C0"/>
    <w:rsid w:val="003813ED"/>
    <w:rsid w:val="0038149D"/>
    <w:rsid w:val="00381659"/>
    <w:rsid w:val="003818B8"/>
    <w:rsid w:val="0038197C"/>
    <w:rsid w:val="003819F4"/>
    <w:rsid w:val="00381A3D"/>
    <w:rsid w:val="00381C18"/>
    <w:rsid w:val="00381D86"/>
    <w:rsid w:val="003821A0"/>
    <w:rsid w:val="0038266C"/>
    <w:rsid w:val="003830AE"/>
    <w:rsid w:val="00383109"/>
    <w:rsid w:val="00383152"/>
    <w:rsid w:val="00383314"/>
    <w:rsid w:val="003834B8"/>
    <w:rsid w:val="0038379A"/>
    <w:rsid w:val="00383B4F"/>
    <w:rsid w:val="00383CD8"/>
    <w:rsid w:val="00383D34"/>
    <w:rsid w:val="0038410B"/>
    <w:rsid w:val="003844F9"/>
    <w:rsid w:val="00384A5C"/>
    <w:rsid w:val="0038531F"/>
    <w:rsid w:val="00385556"/>
    <w:rsid w:val="00385636"/>
    <w:rsid w:val="00385DD3"/>
    <w:rsid w:val="00385DE9"/>
    <w:rsid w:val="003862AB"/>
    <w:rsid w:val="00386664"/>
    <w:rsid w:val="00386BE8"/>
    <w:rsid w:val="00386F77"/>
    <w:rsid w:val="00387673"/>
    <w:rsid w:val="0038768D"/>
    <w:rsid w:val="00387715"/>
    <w:rsid w:val="003879A4"/>
    <w:rsid w:val="00387A93"/>
    <w:rsid w:val="00387D3A"/>
    <w:rsid w:val="00390603"/>
    <w:rsid w:val="00390641"/>
    <w:rsid w:val="003908EE"/>
    <w:rsid w:val="00390A12"/>
    <w:rsid w:val="00390A3A"/>
    <w:rsid w:val="00390EFB"/>
    <w:rsid w:val="003912B7"/>
    <w:rsid w:val="00391622"/>
    <w:rsid w:val="0039176E"/>
    <w:rsid w:val="00391C1F"/>
    <w:rsid w:val="00391C24"/>
    <w:rsid w:val="00391EC0"/>
    <w:rsid w:val="0039232D"/>
    <w:rsid w:val="0039249A"/>
    <w:rsid w:val="00392631"/>
    <w:rsid w:val="00392753"/>
    <w:rsid w:val="003928A3"/>
    <w:rsid w:val="003930C7"/>
    <w:rsid w:val="003933DB"/>
    <w:rsid w:val="0039358B"/>
    <w:rsid w:val="0039363E"/>
    <w:rsid w:val="00393668"/>
    <w:rsid w:val="00393A14"/>
    <w:rsid w:val="00393DAE"/>
    <w:rsid w:val="003941DF"/>
    <w:rsid w:val="0039446C"/>
    <w:rsid w:val="003944F8"/>
    <w:rsid w:val="00394639"/>
    <w:rsid w:val="00394AD2"/>
    <w:rsid w:val="00394AEC"/>
    <w:rsid w:val="00394B86"/>
    <w:rsid w:val="00394BB8"/>
    <w:rsid w:val="00394C52"/>
    <w:rsid w:val="003951B4"/>
    <w:rsid w:val="00395547"/>
    <w:rsid w:val="003961FF"/>
    <w:rsid w:val="003962B8"/>
    <w:rsid w:val="003967D0"/>
    <w:rsid w:val="00396D44"/>
    <w:rsid w:val="00396E10"/>
    <w:rsid w:val="00397290"/>
    <w:rsid w:val="003973D3"/>
    <w:rsid w:val="0039748F"/>
    <w:rsid w:val="003975D0"/>
    <w:rsid w:val="00397675"/>
    <w:rsid w:val="00397CA5"/>
    <w:rsid w:val="003A00B3"/>
    <w:rsid w:val="003A01B1"/>
    <w:rsid w:val="003A0392"/>
    <w:rsid w:val="003A04C3"/>
    <w:rsid w:val="003A0619"/>
    <w:rsid w:val="003A074F"/>
    <w:rsid w:val="003A09D6"/>
    <w:rsid w:val="003A0A2D"/>
    <w:rsid w:val="003A0FD3"/>
    <w:rsid w:val="003A114C"/>
    <w:rsid w:val="003A11DC"/>
    <w:rsid w:val="003A149E"/>
    <w:rsid w:val="003A1736"/>
    <w:rsid w:val="003A1C56"/>
    <w:rsid w:val="003A1DF8"/>
    <w:rsid w:val="003A1E88"/>
    <w:rsid w:val="003A275D"/>
    <w:rsid w:val="003A2BB4"/>
    <w:rsid w:val="003A2D9B"/>
    <w:rsid w:val="003A33D8"/>
    <w:rsid w:val="003A3768"/>
    <w:rsid w:val="003A3995"/>
    <w:rsid w:val="003A3ADF"/>
    <w:rsid w:val="003A3B3D"/>
    <w:rsid w:val="003A3B8A"/>
    <w:rsid w:val="003A3F6F"/>
    <w:rsid w:val="003A41C8"/>
    <w:rsid w:val="003A4382"/>
    <w:rsid w:val="003A451A"/>
    <w:rsid w:val="003A4675"/>
    <w:rsid w:val="003A490A"/>
    <w:rsid w:val="003A4F9B"/>
    <w:rsid w:val="003A5157"/>
    <w:rsid w:val="003A532B"/>
    <w:rsid w:val="003A555F"/>
    <w:rsid w:val="003A57CB"/>
    <w:rsid w:val="003A5B29"/>
    <w:rsid w:val="003A5C89"/>
    <w:rsid w:val="003A5EBA"/>
    <w:rsid w:val="003A6BF3"/>
    <w:rsid w:val="003A6E72"/>
    <w:rsid w:val="003A6ED9"/>
    <w:rsid w:val="003A7070"/>
    <w:rsid w:val="003A71B4"/>
    <w:rsid w:val="003A7327"/>
    <w:rsid w:val="003A7B83"/>
    <w:rsid w:val="003B0152"/>
    <w:rsid w:val="003B0333"/>
    <w:rsid w:val="003B0665"/>
    <w:rsid w:val="003B066C"/>
    <w:rsid w:val="003B0ACC"/>
    <w:rsid w:val="003B14A9"/>
    <w:rsid w:val="003B166B"/>
    <w:rsid w:val="003B1827"/>
    <w:rsid w:val="003B1A79"/>
    <w:rsid w:val="003B2500"/>
    <w:rsid w:val="003B26B4"/>
    <w:rsid w:val="003B2C50"/>
    <w:rsid w:val="003B2CCE"/>
    <w:rsid w:val="003B32BD"/>
    <w:rsid w:val="003B3486"/>
    <w:rsid w:val="003B34C3"/>
    <w:rsid w:val="003B3647"/>
    <w:rsid w:val="003B37C8"/>
    <w:rsid w:val="003B3C85"/>
    <w:rsid w:val="003B3FAD"/>
    <w:rsid w:val="003B41A4"/>
    <w:rsid w:val="003B4763"/>
    <w:rsid w:val="003B48CA"/>
    <w:rsid w:val="003B4AF2"/>
    <w:rsid w:val="003B4F76"/>
    <w:rsid w:val="003B57B6"/>
    <w:rsid w:val="003B58FF"/>
    <w:rsid w:val="003B5D23"/>
    <w:rsid w:val="003B60B8"/>
    <w:rsid w:val="003B69BC"/>
    <w:rsid w:val="003B6B3D"/>
    <w:rsid w:val="003B6E31"/>
    <w:rsid w:val="003B6F22"/>
    <w:rsid w:val="003B70D0"/>
    <w:rsid w:val="003B70E5"/>
    <w:rsid w:val="003B71E3"/>
    <w:rsid w:val="003B79BD"/>
    <w:rsid w:val="003B7C7F"/>
    <w:rsid w:val="003C068D"/>
    <w:rsid w:val="003C06F5"/>
    <w:rsid w:val="003C0700"/>
    <w:rsid w:val="003C0ADF"/>
    <w:rsid w:val="003C0D81"/>
    <w:rsid w:val="003C0D82"/>
    <w:rsid w:val="003C1096"/>
    <w:rsid w:val="003C1106"/>
    <w:rsid w:val="003C12BB"/>
    <w:rsid w:val="003C1351"/>
    <w:rsid w:val="003C15A0"/>
    <w:rsid w:val="003C16FB"/>
    <w:rsid w:val="003C181D"/>
    <w:rsid w:val="003C18FC"/>
    <w:rsid w:val="003C19EF"/>
    <w:rsid w:val="003C1BA7"/>
    <w:rsid w:val="003C27AD"/>
    <w:rsid w:val="003C28EC"/>
    <w:rsid w:val="003C2C68"/>
    <w:rsid w:val="003C3223"/>
    <w:rsid w:val="003C34F7"/>
    <w:rsid w:val="003C3671"/>
    <w:rsid w:val="003C36AD"/>
    <w:rsid w:val="003C3BB0"/>
    <w:rsid w:val="003C4622"/>
    <w:rsid w:val="003C4759"/>
    <w:rsid w:val="003C4CA0"/>
    <w:rsid w:val="003C507B"/>
    <w:rsid w:val="003C5248"/>
    <w:rsid w:val="003C541D"/>
    <w:rsid w:val="003C592C"/>
    <w:rsid w:val="003C5B60"/>
    <w:rsid w:val="003C5D62"/>
    <w:rsid w:val="003C5FB1"/>
    <w:rsid w:val="003C6349"/>
    <w:rsid w:val="003C6445"/>
    <w:rsid w:val="003C6739"/>
    <w:rsid w:val="003C6AAC"/>
    <w:rsid w:val="003C6FB7"/>
    <w:rsid w:val="003C76BB"/>
    <w:rsid w:val="003C7EC8"/>
    <w:rsid w:val="003D02D3"/>
    <w:rsid w:val="003D083A"/>
    <w:rsid w:val="003D0FFA"/>
    <w:rsid w:val="003D152E"/>
    <w:rsid w:val="003D194D"/>
    <w:rsid w:val="003D1F94"/>
    <w:rsid w:val="003D2931"/>
    <w:rsid w:val="003D2B15"/>
    <w:rsid w:val="003D31BE"/>
    <w:rsid w:val="003D3606"/>
    <w:rsid w:val="003D396A"/>
    <w:rsid w:val="003D3B90"/>
    <w:rsid w:val="003D3BA0"/>
    <w:rsid w:val="003D3CB9"/>
    <w:rsid w:val="003D408F"/>
    <w:rsid w:val="003D42C3"/>
    <w:rsid w:val="003D42D9"/>
    <w:rsid w:val="003D47AF"/>
    <w:rsid w:val="003D48D4"/>
    <w:rsid w:val="003D4A28"/>
    <w:rsid w:val="003D4C0D"/>
    <w:rsid w:val="003D544B"/>
    <w:rsid w:val="003D56F5"/>
    <w:rsid w:val="003D576E"/>
    <w:rsid w:val="003D5850"/>
    <w:rsid w:val="003D5E61"/>
    <w:rsid w:val="003D62C6"/>
    <w:rsid w:val="003D730D"/>
    <w:rsid w:val="003D7356"/>
    <w:rsid w:val="003D781D"/>
    <w:rsid w:val="003D7956"/>
    <w:rsid w:val="003D7C8B"/>
    <w:rsid w:val="003D7EBD"/>
    <w:rsid w:val="003E0179"/>
    <w:rsid w:val="003E030D"/>
    <w:rsid w:val="003E0475"/>
    <w:rsid w:val="003E05AA"/>
    <w:rsid w:val="003E06AF"/>
    <w:rsid w:val="003E0815"/>
    <w:rsid w:val="003E0903"/>
    <w:rsid w:val="003E098D"/>
    <w:rsid w:val="003E119A"/>
    <w:rsid w:val="003E1425"/>
    <w:rsid w:val="003E1595"/>
    <w:rsid w:val="003E15BC"/>
    <w:rsid w:val="003E1A43"/>
    <w:rsid w:val="003E2120"/>
    <w:rsid w:val="003E230C"/>
    <w:rsid w:val="003E2325"/>
    <w:rsid w:val="003E283B"/>
    <w:rsid w:val="003E29B2"/>
    <w:rsid w:val="003E2BBD"/>
    <w:rsid w:val="003E2DBD"/>
    <w:rsid w:val="003E3220"/>
    <w:rsid w:val="003E3452"/>
    <w:rsid w:val="003E360F"/>
    <w:rsid w:val="003E3715"/>
    <w:rsid w:val="003E3955"/>
    <w:rsid w:val="003E3C9F"/>
    <w:rsid w:val="003E3DB2"/>
    <w:rsid w:val="003E459C"/>
    <w:rsid w:val="003E45BA"/>
    <w:rsid w:val="003E48BA"/>
    <w:rsid w:val="003E4D49"/>
    <w:rsid w:val="003E4D58"/>
    <w:rsid w:val="003E5104"/>
    <w:rsid w:val="003E5172"/>
    <w:rsid w:val="003E539C"/>
    <w:rsid w:val="003E54B8"/>
    <w:rsid w:val="003E5590"/>
    <w:rsid w:val="003E560C"/>
    <w:rsid w:val="003E5D8E"/>
    <w:rsid w:val="003E61D5"/>
    <w:rsid w:val="003E6376"/>
    <w:rsid w:val="003E637A"/>
    <w:rsid w:val="003E659D"/>
    <w:rsid w:val="003E6865"/>
    <w:rsid w:val="003E6EA7"/>
    <w:rsid w:val="003E71B2"/>
    <w:rsid w:val="003E7398"/>
    <w:rsid w:val="003E742C"/>
    <w:rsid w:val="003E746C"/>
    <w:rsid w:val="003E748F"/>
    <w:rsid w:val="003E7A21"/>
    <w:rsid w:val="003E7A8F"/>
    <w:rsid w:val="003E7B60"/>
    <w:rsid w:val="003E7BAD"/>
    <w:rsid w:val="003E7D16"/>
    <w:rsid w:val="003E7D94"/>
    <w:rsid w:val="003E7DDD"/>
    <w:rsid w:val="003E7F4D"/>
    <w:rsid w:val="003E7F65"/>
    <w:rsid w:val="003E7FA6"/>
    <w:rsid w:val="003F02CF"/>
    <w:rsid w:val="003F0B07"/>
    <w:rsid w:val="003F0CCB"/>
    <w:rsid w:val="003F0D0D"/>
    <w:rsid w:val="003F10B4"/>
    <w:rsid w:val="003F12E9"/>
    <w:rsid w:val="003F17D2"/>
    <w:rsid w:val="003F1D3A"/>
    <w:rsid w:val="003F1D4E"/>
    <w:rsid w:val="003F1DAD"/>
    <w:rsid w:val="003F236A"/>
    <w:rsid w:val="003F2441"/>
    <w:rsid w:val="003F2485"/>
    <w:rsid w:val="003F2802"/>
    <w:rsid w:val="003F2812"/>
    <w:rsid w:val="003F2BB6"/>
    <w:rsid w:val="003F2ED2"/>
    <w:rsid w:val="003F2F66"/>
    <w:rsid w:val="003F31D9"/>
    <w:rsid w:val="003F37B1"/>
    <w:rsid w:val="003F393D"/>
    <w:rsid w:val="003F3B74"/>
    <w:rsid w:val="003F3D46"/>
    <w:rsid w:val="003F3E8A"/>
    <w:rsid w:val="003F41A9"/>
    <w:rsid w:val="003F43CC"/>
    <w:rsid w:val="003F4463"/>
    <w:rsid w:val="003F4563"/>
    <w:rsid w:val="003F476C"/>
    <w:rsid w:val="003F4C8A"/>
    <w:rsid w:val="003F4F46"/>
    <w:rsid w:val="003F5456"/>
    <w:rsid w:val="003F573A"/>
    <w:rsid w:val="003F59C8"/>
    <w:rsid w:val="003F5C14"/>
    <w:rsid w:val="003F5CB0"/>
    <w:rsid w:val="003F5D64"/>
    <w:rsid w:val="003F6232"/>
    <w:rsid w:val="003F66A8"/>
    <w:rsid w:val="003F66B9"/>
    <w:rsid w:val="003F69CC"/>
    <w:rsid w:val="003F6C30"/>
    <w:rsid w:val="003F6DE6"/>
    <w:rsid w:val="003F70CB"/>
    <w:rsid w:val="003F72A3"/>
    <w:rsid w:val="003F72AE"/>
    <w:rsid w:val="003F7564"/>
    <w:rsid w:val="003F76BB"/>
    <w:rsid w:val="003F78B2"/>
    <w:rsid w:val="003F7C2F"/>
    <w:rsid w:val="003F7EC9"/>
    <w:rsid w:val="003F7FAC"/>
    <w:rsid w:val="00400142"/>
    <w:rsid w:val="004004A7"/>
    <w:rsid w:val="0040069D"/>
    <w:rsid w:val="004008B0"/>
    <w:rsid w:val="00400944"/>
    <w:rsid w:val="00401012"/>
    <w:rsid w:val="004014DE"/>
    <w:rsid w:val="0040151C"/>
    <w:rsid w:val="004016CF"/>
    <w:rsid w:val="0040274E"/>
    <w:rsid w:val="0040295B"/>
    <w:rsid w:val="00402AC3"/>
    <w:rsid w:val="00402C61"/>
    <w:rsid w:val="00402D82"/>
    <w:rsid w:val="00402ED2"/>
    <w:rsid w:val="00403098"/>
    <w:rsid w:val="0040366F"/>
    <w:rsid w:val="004036A3"/>
    <w:rsid w:val="004039B9"/>
    <w:rsid w:val="00403CD5"/>
    <w:rsid w:val="00403E95"/>
    <w:rsid w:val="00403EA4"/>
    <w:rsid w:val="004045BD"/>
    <w:rsid w:val="00404796"/>
    <w:rsid w:val="0040482C"/>
    <w:rsid w:val="0040530A"/>
    <w:rsid w:val="0040547D"/>
    <w:rsid w:val="0040548F"/>
    <w:rsid w:val="004058C1"/>
    <w:rsid w:val="004059CE"/>
    <w:rsid w:val="00405C44"/>
    <w:rsid w:val="004063C9"/>
    <w:rsid w:val="00406542"/>
    <w:rsid w:val="004068F9"/>
    <w:rsid w:val="00406A0E"/>
    <w:rsid w:val="00406C8F"/>
    <w:rsid w:val="00406CCA"/>
    <w:rsid w:val="00406D8D"/>
    <w:rsid w:val="00406EA7"/>
    <w:rsid w:val="00407034"/>
    <w:rsid w:val="00407076"/>
    <w:rsid w:val="00407648"/>
    <w:rsid w:val="004077A1"/>
    <w:rsid w:val="00407C8C"/>
    <w:rsid w:val="00410705"/>
    <w:rsid w:val="004108A7"/>
    <w:rsid w:val="004109DC"/>
    <w:rsid w:val="00410AE3"/>
    <w:rsid w:val="00410EC4"/>
    <w:rsid w:val="00411775"/>
    <w:rsid w:val="004117E2"/>
    <w:rsid w:val="004119CF"/>
    <w:rsid w:val="00411CDC"/>
    <w:rsid w:val="00412172"/>
    <w:rsid w:val="0041221E"/>
    <w:rsid w:val="00412514"/>
    <w:rsid w:val="0041255B"/>
    <w:rsid w:val="00412817"/>
    <w:rsid w:val="0041331D"/>
    <w:rsid w:val="00413354"/>
    <w:rsid w:val="004136A6"/>
    <w:rsid w:val="00413B6A"/>
    <w:rsid w:val="00413DCD"/>
    <w:rsid w:val="00413DD8"/>
    <w:rsid w:val="00413EE5"/>
    <w:rsid w:val="00414057"/>
    <w:rsid w:val="00414124"/>
    <w:rsid w:val="00414952"/>
    <w:rsid w:val="00414B4A"/>
    <w:rsid w:val="00415677"/>
    <w:rsid w:val="00416173"/>
    <w:rsid w:val="004162C0"/>
    <w:rsid w:val="00416413"/>
    <w:rsid w:val="00416EB2"/>
    <w:rsid w:val="00416EC9"/>
    <w:rsid w:val="00416FC3"/>
    <w:rsid w:val="004177DC"/>
    <w:rsid w:val="00417835"/>
    <w:rsid w:val="00417D74"/>
    <w:rsid w:val="0042091C"/>
    <w:rsid w:val="004209DC"/>
    <w:rsid w:val="00420E85"/>
    <w:rsid w:val="00420F0A"/>
    <w:rsid w:val="00420F41"/>
    <w:rsid w:val="00420F91"/>
    <w:rsid w:val="00421148"/>
    <w:rsid w:val="0042117E"/>
    <w:rsid w:val="0042133A"/>
    <w:rsid w:val="00421571"/>
    <w:rsid w:val="00421E38"/>
    <w:rsid w:val="004228E5"/>
    <w:rsid w:val="0042291F"/>
    <w:rsid w:val="00422932"/>
    <w:rsid w:val="0042297F"/>
    <w:rsid w:val="00422DD6"/>
    <w:rsid w:val="004232B2"/>
    <w:rsid w:val="00423865"/>
    <w:rsid w:val="00423899"/>
    <w:rsid w:val="00423A21"/>
    <w:rsid w:val="00423EBB"/>
    <w:rsid w:val="0042453D"/>
    <w:rsid w:val="004245F7"/>
    <w:rsid w:val="00424BD3"/>
    <w:rsid w:val="00425129"/>
    <w:rsid w:val="0042521D"/>
    <w:rsid w:val="00425927"/>
    <w:rsid w:val="004259E6"/>
    <w:rsid w:val="00425D27"/>
    <w:rsid w:val="0042608C"/>
    <w:rsid w:val="0042622A"/>
    <w:rsid w:val="004265FE"/>
    <w:rsid w:val="00426776"/>
    <w:rsid w:val="0042686F"/>
    <w:rsid w:val="00426A08"/>
    <w:rsid w:val="00426A84"/>
    <w:rsid w:val="00426AE5"/>
    <w:rsid w:val="00426B78"/>
    <w:rsid w:val="00427B69"/>
    <w:rsid w:val="00427BD2"/>
    <w:rsid w:val="00427C50"/>
    <w:rsid w:val="00427E54"/>
    <w:rsid w:val="004302A1"/>
    <w:rsid w:val="0043075A"/>
    <w:rsid w:val="00430F65"/>
    <w:rsid w:val="00431119"/>
    <w:rsid w:val="00431276"/>
    <w:rsid w:val="004315C2"/>
    <w:rsid w:val="004319CE"/>
    <w:rsid w:val="004322BC"/>
    <w:rsid w:val="00432627"/>
    <w:rsid w:val="00432698"/>
    <w:rsid w:val="00432A3A"/>
    <w:rsid w:val="00432C9B"/>
    <w:rsid w:val="004331AE"/>
    <w:rsid w:val="0043321A"/>
    <w:rsid w:val="0043371B"/>
    <w:rsid w:val="004337A7"/>
    <w:rsid w:val="004337BA"/>
    <w:rsid w:val="00433A4E"/>
    <w:rsid w:val="00433F12"/>
    <w:rsid w:val="00433F14"/>
    <w:rsid w:val="004344F5"/>
    <w:rsid w:val="004346AB"/>
    <w:rsid w:val="0043490A"/>
    <w:rsid w:val="004349B2"/>
    <w:rsid w:val="00435085"/>
    <w:rsid w:val="0043517E"/>
    <w:rsid w:val="00435365"/>
    <w:rsid w:val="004353C2"/>
    <w:rsid w:val="0043540B"/>
    <w:rsid w:val="00435C9F"/>
    <w:rsid w:val="0043628E"/>
    <w:rsid w:val="004363F6"/>
    <w:rsid w:val="0043670B"/>
    <w:rsid w:val="004369CA"/>
    <w:rsid w:val="00436CBE"/>
    <w:rsid w:val="00436EAC"/>
    <w:rsid w:val="00436FCF"/>
    <w:rsid w:val="0043726F"/>
    <w:rsid w:val="00437BDF"/>
    <w:rsid w:val="00437E7F"/>
    <w:rsid w:val="00440233"/>
    <w:rsid w:val="00440581"/>
    <w:rsid w:val="004406C7"/>
    <w:rsid w:val="00440CDA"/>
    <w:rsid w:val="004410AF"/>
    <w:rsid w:val="00441B79"/>
    <w:rsid w:val="00441B90"/>
    <w:rsid w:val="00441E12"/>
    <w:rsid w:val="0044204E"/>
    <w:rsid w:val="00442AA8"/>
    <w:rsid w:val="00442C1C"/>
    <w:rsid w:val="00442E82"/>
    <w:rsid w:val="00442F1E"/>
    <w:rsid w:val="004430D3"/>
    <w:rsid w:val="0044343C"/>
    <w:rsid w:val="0044377E"/>
    <w:rsid w:val="00443E69"/>
    <w:rsid w:val="00443EEF"/>
    <w:rsid w:val="0044418E"/>
    <w:rsid w:val="0044433B"/>
    <w:rsid w:val="00444437"/>
    <w:rsid w:val="00444A49"/>
    <w:rsid w:val="00444D94"/>
    <w:rsid w:val="00444EA6"/>
    <w:rsid w:val="004452CE"/>
    <w:rsid w:val="0044538B"/>
    <w:rsid w:val="004453D5"/>
    <w:rsid w:val="0044559E"/>
    <w:rsid w:val="004455C0"/>
    <w:rsid w:val="0044570A"/>
    <w:rsid w:val="004459CC"/>
    <w:rsid w:val="00445AFB"/>
    <w:rsid w:val="00445C38"/>
    <w:rsid w:val="00446A57"/>
    <w:rsid w:val="004473EE"/>
    <w:rsid w:val="00447439"/>
    <w:rsid w:val="004474D1"/>
    <w:rsid w:val="00447747"/>
    <w:rsid w:val="00450121"/>
    <w:rsid w:val="004501FB"/>
    <w:rsid w:val="00450405"/>
    <w:rsid w:val="00450D4A"/>
    <w:rsid w:val="00450EAF"/>
    <w:rsid w:val="00451073"/>
    <w:rsid w:val="004510F4"/>
    <w:rsid w:val="00451262"/>
    <w:rsid w:val="004512E0"/>
    <w:rsid w:val="00451721"/>
    <w:rsid w:val="004517C2"/>
    <w:rsid w:val="00451C49"/>
    <w:rsid w:val="00451CAC"/>
    <w:rsid w:val="00451CC0"/>
    <w:rsid w:val="00451FFD"/>
    <w:rsid w:val="004522B0"/>
    <w:rsid w:val="00452344"/>
    <w:rsid w:val="0045249F"/>
    <w:rsid w:val="004527D6"/>
    <w:rsid w:val="00452CD1"/>
    <w:rsid w:val="00453290"/>
    <w:rsid w:val="00453556"/>
    <w:rsid w:val="004537CE"/>
    <w:rsid w:val="00453D49"/>
    <w:rsid w:val="00453D67"/>
    <w:rsid w:val="00453E87"/>
    <w:rsid w:val="0045408E"/>
    <w:rsid w:val="0045417A"/>
    <w:rsid w:val="004544BC"/>
    <w:rsid w:val="004544BF"/>
    <w:rsid w:val="0045497E"/>
    <w:rsid w:val="004549A1"/>
    <w:rsid w:val="00454AE5"/>
    <w:rsid w:val="00454BD5"/>
    <w:rsid w:val="00454D8F"/>
    <w:rsid w:val="00454D99"/>
    <w:rsid w:val="004555F5"/>
    <w:rsid w:val="004556D5"/>
    <w:rsid w:val="00455AA4"/>
    <w:rsid w:val="00455B17"/>
    <w:rsid w:val="00455B86"/>
    <w:rsid w:val="00455D9E"/>
    <w:rsid w:val="004563F7"/>
    <w:rsid w:val="004567C1"/>
    <w:rsid w:val="00456D20"/>
    <w:rsid w:val="00457461"/>
    <w:rsid w:val="00457516"/>
    <w:rsid w:val="004576B1"/>
    <w:rsid w:val="00457859"/>
    <w:rsid w:val="00457A1A"/>
    <w:rsid w:val="00457A35"/>
    <w:rsid w:val="00460325"/>
    <w:rsid w:val="004603FB"/>
    <w:rsid w:val="0046058E"/>
    <w:rsid w:val="00460CA2"/>
    <w:rsid w:val="00460D6E"/>
    <w:rsid w:val="004610E4"/>
    <w:rsid w:val="00461276"/>
    <w:rsid w:val="004612C5"/>
    <w:rsid w:val="0046176E"/>
    <w:rsid w:val="00461A13"/>
    <w:rsid w:val="00461FB3"/>
    <w:rsid w:val="00462453"/>
    <w:rsid w:val="00462457"/>
    <w:rsid w:val="0046254E"/>
    <w:rsid w:val="00462F85"/>
    <w:rsid w:val="00463062"/>
    <w:rsid w:val="004634D0"/>
    <w:rsid w:val="004636A9"/>
    <w:rsid w:val="0046399E"/>
    <w:rsid w:val="00463A9B"/>
    <w:rsid w:val="00463B78"/>
    <w:rsid w:val="00463CFE"/>
    <w:rsid w:val="00463D49"/>
    <w:rsid w:val="00463EC6"/>
    <w:rsid w:val="00463EFD"/>
    <w:rsid w:val="00463FCB"/>
    <w:rsid w:val="00464391"/>
    <w:rsid w:val="00464B19"/>
    <w:rsid w:val="00464C81"/>
    <w:rsid w:val="00464F28"/>
    <w:rsid w:val="004651C5"/>
    <w:rsid w:val="00465356"/>
    <w:rsid w:val="00465803"/>
    <w:rsid w:val="00465A80"/>
    <w:rsid w:val="00465C92"/>
    <w:rsid w:val="0046602C"/>
    <w:rsid w:val="00466285"/>
    <w:rsid w:val="00466352"/>
    <w:rsid w:val="0046685D"/>
    <w:rsid w:val="00466E7F"/>
    <w:rsid w:val="004670F9"/>
    <w:rsid w:val="00467235"/>
    <w:rsid w:val="004675FE"/>
    <w:rsid w:val="004679AD"/>
    <w:rsid w:val="004679DA"/>
    <w:rsid w:val="0047001B"/>
    <w:rsid w:val="004702BD"/>
    <w:rsid w:val="00470678"/>
    <w:rsid w:val="0047113E"/>
    <w:rsid w:val="00471975"/>
    <w:rsid w:val="00471B49"/>
    <w:rsid w:val="00471F47"/>
    <w:rsid w:val="004724AD"/>
    <w:rsid w:val="004724B2"/>
    <w:rsid w:val="004728D0"/>
    <w:rsid w:val="004729F1"/>
    <w:rsid w:val="004731D1"/>
    <w:rsid w:val="004731E0"/>
    <w:rsid w:val="004734CC"/>
    <w:rsid w:val="00473616"/>
    <w:rsid w:val="004736E6"/>
    <w:rsid w:val="00473C7D"/>
    <w:rsid w:val="00473F2F"/>
    <w:rsid w:val="0047444C"/>
    <w:rsid w:val="00474577"/>
    <w:rsid w:val="004747A4"/>
    <w:rsid w:val="00474834"/>
    <w:rsid w:val="00474A07"/>
    <w:rsid w:val="00474A0C"/>
    <w:rsid w:val="00474B05"/>
    <w:rsid w:val="00474B1D"/>
    <w:rsid w:val="00474B62"/>
    <w:rsid w:val="00474C47"/>
    <w:rsid w:val="00474EFA"/>
    <w:rsid w:val="00474F43"/>
    <w:rsid w:val="00475120"/>
    <w:rsid w:val="0047536A"/>
    <w:rsid w:val="00475397"/>
    <w:rsid w:val="00475516"/>
    <w:rsid w:val="004755E3"/>
    <w:rsid w:val="004759D9"/>
    <w:rsid w:val="00476915"/>
    <w:rsid w:val="00476CB3"/>
    <w:rsid w:val="00476E1D"/>
    <w:rsid w:val="0047779D"/>
    <w:rsid w:val="004777C0"/>
    <w:rsid w:val="004777D0"/>
    <w:rsid w:val="00477899"/>
    <w:rsid w:val="004778F3"/>
    <w:rsid w:val="00477AEA"/>
    <w:rsid w:val="0048017A"/>
    <w:rsid w:val="0048021C"/>
    <w:rsid w:val="00480493"/>
    <w:rsid w:val="0048052D"/>
    <w:rsid w:val="004805D0"/>
    <w:rsid w:val="00480CBD"/>
    <w:rsid w:val="004810C5"/>
    <w:rsid w:val="004810EF"/>
    <w:rsid w:val="004810FF"/>
    <w:rsid w:val="00481286"/>
    <w:rsid w:val="004814ED"/>
    <w:rsid w:val="004825F8"/>
    <w:rsid w:val="00482642"/>
    <w:rsid w:val="004826CB"/>
    <w:rsid w:val="004829DC"/>
    <w:rsid w:val="00482B3B"/>
    <w:rsid w:val="00483015"/>
    <w:rsid w:val="004830BA"/>
    <w:rsid w:val="00483115"/>
    <w:rsid w:val="004834D5"/>
    <w:rsid w:val="004834E6"/>
    <w:rsid w:val="00483ADB"/>
    <w:rsid w:val="00483E58"/>
    <w:rsid w:val="0048439F"/>
    <w:rsid w:val="0048456F"/>
    <w:rsid w:val="00484B57"/>
    <w:rsid w:val="00484C56"/>
    <w:rsid w:val="00484D1E"/>
    <w:rsid w:val="00484E22"/>
    <w:rsid w:val="004850D7"/>
    <w:rsid w:val="00485338"/>
    <w:rsid w:val="00486106"/>
    <w:rsid w:val="00486B56"/>
    <w:rsid w:val="00486CA0"/>
    <w:rsid w:val="00486DD3"/>
    <w:rsid w:val="004871DA"/>
    <w:rsid w:val="004873B0"/>
    <w:rsid w:val="0048761D"/>
    <w:rsid w:val="00487795"/>
    <w:rsid w:val="0048798D"/>
    <w:rsid w:val="00487AAB"/>
    <w:rsid w:val="00490040"/>
    <w:rsid w:val="00490374"/>
    <w:rsid w:val="0049063E"/>
    <w:rsid w:val="00490D42"/>
    <w:rsid w:val="004915C9"/>
    <w:rsid w:val="004919D6"/>
    <w:rsid w:val="00491C60"/>
    <w:rsid w:val="00491DEA"/>
    <w:rsid w:val="00491FAF"/>
    <w:rsid w:val="00492179"/>
    <w:rsid w:val="004921F9"/>
    <w:rsid w:val="00492212"/>
    <w:rsid w:val="00492781"/>
    <w:rsid w:val="00492F12"/>
    <w:rsid w:val="00493122"/>
    <w:rsid w:val="0049312D"/>
    <w:rsid w:val="004934E6"/>
    <w:rsid w:val="004937CF"/>
    <w:rsid w:val="0049390F"/>
    <w:rsid w:val="00493CF4"/>
    <w:rsid w:val="00493D47"/>
    <w:rsid w:val="004942DF"/>
    <w:rsid w:val="00494344"/>
    <w:rsid w:val="0049444D"/>
    <w:rsid w:val="00494677"/>
    <w:rsid w:val="00494815"/>
    <w:rsid w:val="00494B7A"/>
    <w:rsid w:val="00495444"/>
    <w:rsid w:val="00495B09"/>
    <w:rsid w:val="00495B0B"/>
    <w:rsid w:val="00495F51"/>
    <w:rsid w:val="00495F5D"/>
    <w:rsid w:val="00496062"/>
    <w:rsid w:val="004961D1"/>
    <w:rsid w:val="0049666E"/>
    <w:rsid w:val="004966C5"/>
    <w:rsid w:val="0049681E"/>
    <w:rsid w:val="00496EF1"/>
    <w:rsid w:val="0049703A"/>
    <w:rsid w:val="00497694"/>
    <w:rsid w:val="004977DC"/>
    <w:rsid w:val="0049780D"/>
    <w:rsid w:val="0049799B"/>
    <w:rsid w:val="004979F6"/>
    <w:rsid w:val="004979FF"/>
    <w:rsid w:val="00497BC2"/>
    <w:rsid w:val="004A00F7"/>
    <w:rsid w:val="004A02E4"/>
    <w:rsid w:val="004A052D"/>
    <w:rsid w:val="004A0591"/>
    <w:rsid w:val="004A0713"/>
    <w:rsid w:val="004A0754"/>
    <w:rsid w:val="004A0882"/>
    <w:rsid w:val="004A092C"/>
    <w:rsid w:val="004A0C97"/>
    <w:rsid w:val="004A0D3C"/>
    <w:rsid w:val="004A0EE9"/>
    <w:rsid w:val="004A117D"/>
    <w:rsid w:val="004A124E"/>
    <w:rsid w:val="004A12FA"/>
    <w:rsid w:val="004A137D"/>
    <w:rsid w:val="004A192C"/>
    <w:rsid w:val="004A1D24"/>
    <w:rsid w:val="004A2981"/>
    <w:rsid w:val="004A322D"/>
    <w:rsid w:val="004A32ED"/>
    <w:rsid w:val="004A3932"/>
    <w:rsid w:val="004A3C64"/>
    <w:rsid w:val="004A3D55"/>
    <w:rsid w:val="004A3FB4"/>
    <w:rsid w:val="004A40E5"/>
    <w:rsid w:val="004A41C6"/>
    <w:rsid w:val="004A44E1"/>
    <w:rsid w:val="004A4697"/>
    <w:rsid w:val="004A48BC"/>
    <w:rsid w:val="004A4AA3"/>
    <w:rsid w:val="004A4C93"/>
    <w:rsid w:val="004A4DFA"/>
    <w:rsid w:val="004A5159"/>
    <w:rsid w:val="004A5581"/>
    <w:rsid w:val="004A56E3"/>
    <w:rsid w:val="004A5793"/>
    <w:rsid w:val="004A585A"/>
    <w:rsid w:val="004A5B66"/>
    <w:rsid w:val="004A5CE3"/>
    <w:rsid w:val="004A5EDE"/>
    <w:rsid w:val="004A632F"/>
    <w:rsid w:val="004A64FF"/>
    <w:rsid w:val="004A6927"/>
    <w:rsid w:val="004A6B9D"/>
    <w:rsid w:val="004A6BDA"/>
    <w:rsid w:val="004A6D52"/>
    <w:rsid w:val="004A7105"/>
    <w:rsid w:val="004A7735"/>
    <w:rsid w:val="004A779A"/>
    <w:rsid w:val="004A7C9E"/>
    <w:rsid w:val="004A7DD8"/>
    <w:rsid w:val="004A7E23"/>
    <w:rsid w:val="004B013B"/>
    <w:rsid w:val="004B044E"/>
    <w:rsid w:val="004B06AE"/>
    <w:rsid w:val="004B0BC2"/>
    <w:rsid w:val="004B0DFA"/>
    <w:rsid w:val="004B10C5"/>
    <w:rsid w:val="004B1298"/>
    <w:rsid w:val="004B15A2"/>
    <w:rsid w:val="004B1A45"/>
    <w:rsid w:val="004B1AEB"/>
    <w:rsid w:val="004B25DF"/>
    <w:rsid w:val="004B2749"/>
    <w:rsid w:val="004B2931"/>
    <w:rsid w:val="004B2EFF"/>
    <w:rsid w:val="004B31B4"/>
    <w:rsid w:val="004B34FA"/>
    <w:rsid w:val="004B35F5"/>
    <w:rsid w:val="004B3724"/>
    <w:rsid w:val="004B41DD"/>
    <w:rsid w:val="004B4254"/>
    <w:rsid w:val="004B49B4"/>
    <w:rsid w:val="004B5218"/>
    <w:rsid w:val="004B53DD"/>
    <w:rsid w:val="004B5578"/>
    <w:rsid w:val="004B5653"/>
    <w:rsid w:val="004B5AA6"/>
    <w:rsid w:val="004B5AE5"/>
    <w:rsid w:val="004B5E0A"/>
    <w:rsid w:val="004B5EBE"/>
    <w:rsid w:val="004B5ED9"/>
    <w:rsid w:val="004B6423"/>
    <w:rsid w:val="004B6491"/>
    <w:rsid w:val="004B675E"/>
    <w:rsid w:val="004B684E"/>
    <w:rsid w:val="004B6CA4"/>
    <w:rsid w:val="004B6DDB"/>
    <w:rsid w:val="004B79F8"/>
    <w:rsid w:val="004C0D00"/>
    <w:rsid w:val="004C1260"/>
    <w:rsid w:val="004C1272"/>
    <w:rsid w:val="004C1418"/>
    <w:rsid w:val="004C155F"/>
    <w:rsid w:val="004C171F"/>
    <w:rsid w:val="004C1723"/>
    <w:rsid w:val="004C1855"/>
    <w:rsid w:val="004C1B00"/>
    <w:rsid w:val="004C1D60"/>
    <w:rsid w:val="004C1FAC"/>
    <w:rsid w:val="004C212D"/>
    <w:rsid w:val="004C21EE"/>
    <w:rsid w:val="004C288C"/>
    <w:rsid w:val="004C296F"/>
    <w:rsid w:val="004C30EA"/>
    <w:rsid w:val="004C364A"/>
    <w:rsid w:val="004C3759"/>
    <w:rsid w:val="004C4083"/>
    <w:rsid w:val="004C42FA"/>
    <w:rsid w:val="004C4BC0"/>
    <w:rsid w:val="004C4C92"/>
    <w:rsid w:val="004C4DB6"/>
    <w:rsid w:val="004C533C"/>
    <w:rsid w:val="004C5591"/>
    <w:rsid w:val="004C5959"/>
    <w:rsid w:val="004C5A7F"/>
    <w:rsid w:val="004C5E62"/>
    <w:rsid w:val="004C5E98"/>
    <w:rsid w:val="004C5FE8"/>
    <w:rsid w:val="004C62E4"/>
    <w:rsid w:val="004C642B"/>
    <w:rsid w:val="004C65EC"/>
    <w:rsid w:val="004C6972"/>
    <w:rsid w:val="004C6D9E"/>
    <w:rsid w:val="004C7273"/>
    <w:rsid w:val="004C76F8"/>
    <w:rsid w:val="004C7927"/>
    <w:rsid w:val="004D020A"/>
    <w:rsid w:val="004D0746"/>
    <w:rsid w:val="004D09DD"/>
    <w:rsid w:val="004D0A38"/>
    <w:rsid w:val="004D0EB8"/>
    <w:rsid w:val="004D109E"/>
    <w:rsid w:val="004D111D"/>
    <w:rsid w:val="004D1402"/>
    <w:rsid w:val="004D1699"/>
    <w:rsid w:val="004D1711"/>
    <w:rsid w:val="004D1987"/>
    <w:rsid w:val="004D1C68"/>
    <w:rsid w:val="004D1C7B"/>
    <w:rsid w:val="004D1E5C"/>
    <w:rsid w:val="004D2188"/>
    <w:rsid w:val="004D21E4"/>
    <w:rsid w:val="004D26D2"/>
    <w:rsid w:val="004D2CA2"/>
    <w:rsid w:val="004D3142"/>
    <w:rsid w:val="004D35C7"/>
    <w:rsid w:val="004D3B54"/>
    <w:rsid w:val="004D3CE5"/>
    <w:rsid w:val="004D3DDA"/>
    <w:rsid w:val="004D40AF"/>
    <w:rsid w:val="004D43CF"/>
    <w:rsid w:val="004D4455"/>
    <w:rsid w:val="004D44B3"/>
    <w:rsid w:val="004D47B5"/>
    <w:rsid w:val="004D4AB0"/>
    <w:rsid w:val="004D4B6C"/>
    <w:rsid w:val="004D4C09"/>
    <w:rsid w:val="004D5A94"/>
    <w:rsid w:val="004D5EA6"/>
    <w:rsid w:val="004D64D8"/>
    <w:rsid w:val="004D6973"/>
    <w:rsid w:val="004D6C3B"/>
    <w:rsid w:val="004D6C53"/>
    <w:rsid w:val="004D6C9A"/>
    <w:rsid w:val="004D6F65"/>
    <w:rsid w:val="004D725C"/>
    <w:rsid w:val="004D75B5"/>
    <w:rsid w:val="004D78D6"/>
    <w:rsid w:val="004D78F1"/>
    <w:rsid w:val="004E0788"/>
    <w:rsid w:val="004E09FF"/>
    <w:rsid w:val="004E0A76"/>
    <w:rsid w:val="004E0AB4"/>
    <w:rsid w:val="004E0B51"/>
    <w:rsid w:val="004E10A2"/>
    <w:rsid w:val="004E10C4"/>
    <w:rsid w:val="004E1253"/>
    <w:rsid w:val="004E162E"/>
    <w:rsid w:val="004E1772"/>
    <w:rsid w:val="004E17B8"/>
    <w:rsid w:val="004E1CAF"/>
    <w:rsid w:val="004E1CF9"/>
    <w:rsid w:val="004E25BB"/>
    <w:rsid w:val="004E2750"/>
    <w:rsid w:val="004E2923"/>
    <w:rsid w:val="004E2C31"/>
    <w:rsid w:val="004E3328"/>
    <w:rsid w:val="004E375F"/>
    <w:rsid w:val="004E3A64"/>
    <w:rsid w:val="004E3AF1"/>
    <w:rsid w:val="004E417A"/>
    <w:rsid w:val="004E42AD"/>
    <w:rsid w:val="004E43FB"/>
    <w:rsid w:val="004E4747"/>
    <w:rsid w:val="004E4D64"/>
    <w:rsid w:val="004E4D9A"/>
    <w:rsid w:val="004E4DA7"/>
    <w:rsid w:val="004E54C1"/>
    <w:rsid w:val="004E559E"/>
    <w:rsid w:val="004E5A9F"/>
    <w:rsid w:val="004E5B89"/>
    <w:rsid w:val="004E6408"/>
    <w:rsid w:val="004E640C"/>
    <w:rsid w:val="004E6890"/>
    <w:rsid w:val="004E6D7A"/>
    <w:rsid w:val="004E75AB"/>
    <w:rsid w:val="004E75D3"/>
    <w:rsid w:val="004E7756"/>
    <w:rsid w:val="004E7CA5"/>
    <w:rsid w:val="004E7E93"/>
    <w:rsid w:val="004F00CC"/>
    <w:rsid w:val="004F052C"/>
    <w:rsid w:val="004F0743"/>
    <w:rsid w:val="004F10BB"/>
    <w:rsid w:val="004F13F1"/>
    <w:rsid w:val="004F17A3"/>
    <w:rsid w:val="004F1943"/>
    <w:rsid w:val="004F1B95"/>
    <w:rsid w:val="004F1BF5"/>
    <w:rsid w:val="004F2374"/>
    <w:rsid w:val="004F2885"/>
    <w:rsid w:val="004F2A09"/>
    <w:rsid w:val="004F307E"/>
    <w:rsid w:val="004F3A86"/>
    <w:rsid w:val="004F3C8E"/>
    <w:rsid w:val="004F3E71"/>
    <w:rsid w:val="004F3F9C"/>
    <w:rsid w:val="004F4218"/>
    <w:rsid w:val="004F43EC"/>
    <w:rsid w:val="004F44B3"/>
    <w:rsid w:val="004F4768"/>
    <w:rsid w:val="004F500C"/>
    <w:rsid w:val="004F5044"/>
    <w:rsid w:val="004F525C"/>
    <w:rsid w:val="004F58E3"/>
    <w:rsid w:val="004F6C62"/>
    <w:rsid w:val="004F6F2F"/>
    <w:rsid w:val="004F7195"/>
    <w:rsid w:val="004F7332"/>
    <w:rsid w:val="004F7A9E"/>
    <w:rsid w:val="005000FE"/>
    <w:rsid w:val="00500627"/>
    <w:rsid w:val="0050065F"/>
    <w:rsid w:val="00500862"/>
    <w:rsid w:val="00500BFC"/>
    <w:rsid w:val="005011E7"/>
    <w:rsid w:val="0050180A"/>
    <w:rsid w:val="00501AC0"/>
    <w:rsid w:val="00501B97"/>
    <w:rsid w:val="00502387"/>
    <w:rsid w:val="0050240D"/>
    <w:rsid w:val="005025C5"/>
    <w:rsid w:val="00502997"/>
    <w:rsid w:val="005029D8"/>
    <w:rsid w:val="00502C9C"/>
    <w:rsid w:val="0050313A"/>
    <w:rsid w:val="00503537"/>
    <w:rsid w:val="005039DF"/>
    <w:rsid w:val="00503D85"/>
    <w:rsid w:val="0050436B"/>
    <w:rsid w:val="0050449A"/>
    <w:rsid w:val="005045FD"/>
    <w:rsid w:val="005049D3"/>
    <w:rsid w:val="00504CEA"/>
    <w:rsid w:val="00505243"/>
    <w:rsid w:val="00505BA7"/>
    <w:rsid w:val="00505FEE"/>
    <w:rsid w:val="0050616C"/>
    <w:rsid w:val="005063D2"/>
    <w:rsid w:val="00506A9E"/>
    <w:rsid w:val="00506F6A"/>
    <w:rsid w:val="00507017"/>
    <w:rsid w:val="00507115"/>
    <w:rsid w:val="005071FF"/>
    <w:rsid w:val="0050744E"/>
    <w:rsid w:val="0050755A"/>
    <w:rsid w:val="0050760F"/>
    <w:rsid w:val="0050764F"/>
    <w:rsid w:val="00507660"/>
    <w:rsid w:val="00507CD8"/>
    <w:rsid w:val="005107B7"/>
    <w:rsid w:val="005109A8"/>
    <w:rsid w:val="00510BE9"/>
    <w:rsid w:val="00510E2A"/>
    <w:rsid w:val="0051154C"/>
    <w:rsid w:val="0051175B"/>
    <w:rsid w:val="00511812"/>
    <w:rsid w:val="00511BDC"/>
    <w:rsid w:val="00511BE9"/>
    <w:rsid w:val="005124A4"/>
    <w:rsid w:val="005129DE"/>
    <w:rsid w:val="00513CFB"/>
    <w:rsid w:val="005142D7"/>
    <w:rsid w:val="0051434F"/>
    <w:rsid w:val="005145D0"/>
    <w:rsid w:val="00514920"/>
    <w:rsid w:val="00514B33"/>
    <w:rsid w:val="00515061"/>
    <w:rsid w:val="00515083"/>
    <w:rsid w:val="005153DE"/>
    <w:rsid w:val="0051542D"/>
    <w:rsid w:val="00515B5F"/>
    <w:rsid w:val="00515D86"/>
    <w:rsid w:val="00515EB3"/>
    <w:rsid w:val="005175B1"/>
    <w:rsid w:val="00517918"/>
    <w:rsid w:val="00517ABC"/>
    <w:rsid w:val="00517DB4"/>
    <w:rsid w:val="00520527"/>
    <w:rsid w:val="00520D9D"/>
    <w:rsid w:val="00521079"/>
    <w:rsid w:val="00521153"/>
    <w:rsid w:val="005214E7"/>
    <w:rsid w:val="005215A7"/>
    <w:rsid w:val="00521686"/>
    <w:rsid w:val="005216B9"/>
    <w:rsid w:val="00521EDE"/>
    <w:rsid w:val="00521EF3"/>
    <w:rsid w:val="00522466"/>
    <w:rsid w:val="005225B9"/>
    <w:rsid w:val="005225EC"/>
    <w:rsid w:val="005227A4"/>
    <w:rsid w:val="00522860"/>
    <w:rsid w:val="00522886"/>
    <w:rsid w:val="00522940"/>
    <w:rsid w:val="00522D2D"/>
    <w:rsid w:val="00522F1C"/>
    <w:rsid w:val="00523385"/>
    <w:rsid w:val="0052346A"/>
    <w:rsid w:val="0052366F"/>
    <w:rsid w:val="005236B1"/>
    <w:rsid w:val="00523770"/>
    <w:rsid w:val="00523ABA"/>
    <w:rsid w:val="00523CDD"/>
    <w:rsid w:val="00523E9E"/>
    <w:rsid w:val="00524099"/>
    <w:rsid w:val="0052442B"/>
    <w:rsid w:val="00524882"/>
    <w:rsid w:val="00524A7F"/>
    <w:rsid w:val="00524BF1"/>
    <w:rsid w:val="00524D4C"/>
    <w:rsid w:val="00524E0D"/>
    <w:rsid w:val="00524F22"/>
    <w:rsid w:val="00524F71"/>
    <w:rsid w:val="00524FC8"/>
    <w:rsid w:val="005252E4"/>
    <w:rsid w:val="005254FD"/>
    <w:rsid w:val="00525B3C"/>
    <w:rsid w:val="00525D95"/>
    <w:rsid w:val="00525E5A"/>
    <w:rsid w:val="00525E73"/>
    <w:rsid w:val="00526A3B"/>
    <w:rsid w:val="00526E2D"/>
    <w:rsid w:val="00526F03"/>
    <w:rsid w:val="00527605"/>
    <w:rsid w:val="005276A0"/>
    <w:rsid w:val="005276F0"/>
    <w:rsid w:val="005277E8"/>
    <w:rsid w:val="00527F6E"/>
    <w:rsid w:val="00527F8C"/>
    <w:rsid w:val="005305F0"/>
    <w:rsid w:val="00530AA9"/>
    <w:rsid w:val="005311C1"/>
    <w:rsid w:val="005315C7"/>
    <w:rsid w:val="0053160C"/>
    <w:rsid w:val="00531670"/>
    <w:rsid w:val="00531ABA"/>
    <w:rsid w:val="00531D60"/>
    <w:rsid w:val="00531E76"/>
    <w:rsid w:val="005321FE"/>
    <w:rsid w:val="0053240A"/>
    <w:rsid w:val="00532540"/>
    <w:rsid w:val="005333DD"/>
    <w:rsid w:val="005338BE"/>
    <w:rsid w:val="00533C4B"/>
    <w:rsid w:val="00533D33"/>
    <w:rsid w:val="00533DB6"/>
    <w:rsid w:val="00533DEF"/>
    <w:rsid w:val="00533F59"/>
    <w:rsid w:val="005341F6"/>
    <w:rsid w:val="00534472"/>
    <w:rsid w:val="00534779"/>
    <w:rsid w:val="00534781"/>
    <w:rsid w:val="005348CA"/>
    <w:rsid w:val="00534978"/>
    <w:rsid w:val="00534B2C"/>
    <w:rsid w:val="00534EAE"/>
    <w:rsid w:val="00534FFA"/>
    <w:rsid w:val="00535071"/>
    <w:rsid w:val="0053549E"/>
    <w:rsid w:val="0053587B"/>
    <w:rsid w:val="00535915"/>
    <w:rsid w:val="00535C71"/>
    <w:rsid w:val="00535D0F"/>
    <w:rsid w:val="0053649D"/>
    <w:rsid w:val="005365BE"/>
    <w:rsid w:val="00536ECD"/>
    <w:rsid w:val="00537255"/>
    <w:rsid w:val="00537564"/>
    <w:rsid w:val="00537784"/>
    <w:rsid w:val="00537A04"/>
    <w:rsid w:val="00537C0D"/>
    <w:rsid w:val="005400A9"/>
    <w:rsid w:val="00540218"/>
    <w:rsid w:val="00540426"/>
    <w:rsid w:val="00540497"/>
    <w:rsid w:val="005404D8"/>
    <w:rsid w:val="00540681"/>
    <w:rsid w:val="0054068C"/>
    <w:rsid w:val="00540A5E"/>
    <w:rsid w:val="00540B8B"/>
    <w:rsid w:val="00540C34"/>
    <w:rsid w:val="00540C85"/>
    <w:rsid w:val="00541053"/>
    <w:rsid w:val="005417AE"/>
    <w:rsid w:val="005418E9"/>
    <w:rsid w:val="005419DD"/>
    <w:rsid w:val="00541A13"/>
    <w:rsid w:val="00541AA4"/>
    <w:rsid w:val="00541B0D"/>
    <w:rsid w:val="00541B44"/>
    <w:rsid w:val="00542225"/>
    <w:rsid w:val="005423C2"/>
    <w:rsid w:val="005423D1"/>
    <w:rsid w:val="005429D6"/>
    <w:rsid w:val="00542AB7"/>
    <w:rsid w:val="00542AE2"/>
    <w:rsid w:val="00542B08"/>
    <w:rsid w:val="00542E2F"/>
    <w:rsid w:val="00542EDA"/>
    <w:rsid w:val="005432C7"/>
    <w:rsid w:val="0054388E"/>
    <w:rsid w:val="00543B6D"/>
    <w:rsid w:val="00543B74"/>
    <w:rsid w:val="00543D55"/>
    <w:rsid w:val="00543D79"/>
    <w:rsid w:val="0054498E"/>
    <w:rsid w:val="005449B5"/>
    <w:rsid w:val="00544BC8"/>
    <w:rsid w:val="00544DBC"/>
    <w:rsid w:val="00544EEF"/>
    <w:rsid w:val="00545A39"/>
    <w:rsid w:val="00545A96"/>
    <w:rsid w:val="00545B77"/>
    <w:rsid w:val="00545E31"/>
    <w:rsid w:val="005460BC"/>
    <w:rsid w:val="00546199"/>
    <w:rsid w:val="00546621"/>
    <w:rsid w:val="0054675D"/>
    <w:rsid w:val="005468FC"/>
    <w:rsid w:val="00546A14"/>
    <w:rsid w:val="00546C46"/>
    <w:rsid w:val="0054734B"/>
    <w:rsid w:val="005473B6"/>
    <w:rsid w:val="00547E0B"/>
    <w:rsid w:val="00547E3F"/>
    <w:rsid w:val="005501DC"/>
    <w:rsid w:val="00550240"/>
    <w:rsid w:val="005502F6"/>
    <w:rsid w:val="00550331"/>
    <w:rsid w:val="00550BA5"/>
    <w:rsid w:val="00550BFF"/>
    <w:rsid w:val="00551145"/>
    <w:rsid w:val="00551DFC"/>
    <w:rsid w:val="00551E6F"/>
    <w:rsid w:val="00552216"/>
    <w:rsid w:val="0055248F"/>
    <w:rsid w:val="0055320F"/>
    <w:rsid w:val="00553361"/>
    <w:rsid w:val="00553546"/>
    <w:rsid w:val="005536DB"/>
    <w:rsid w:val="00553743"/>
    <w:rsid w:val="00553B6E"/>
    <w:rsid w:val="00553BED"/>
    <w:rsid w:val="0055415E"/>
    <w:rsid w:val="005542BC"/>
    <w:rsid w:val="00554EC4"/>
    <w:rsid w:val="00554FF3"/>
    <w:rsid w:val="0055509F"/>
    <w:rsid w:val="0055557A"/>
    <w:rsid w:val="005556EB"/>
    <w:rsid w:val="00555906"/>
    <w:rsid w:val="0055599F"/>
    <w:rsid w:val="00555C6C"/>
    <w:rsid w:val="00555E55"/>
    <w:rsid w:val="005564E6"/>
    <w:rsid w:val="005567E8"/>
    <w:rsid w:val="00556A8F"/>
    <w:rsid w:val="00556DBA"/>
    <w:rsid w:val="00556E30"/>
    <w:rsid w:val="00556EDE"/>
    <w:rsid w:val="0055768D"/>
    <w:rsid w:val="005576E1"/>
    <w:rsid w:val="00557B94"/>
    <w:rsid w:val="00557D67"/>
    <w:rsid w:val="00560222"/>
    <w:rsid w:val="005606B1"/>
    <w:rsid w:val="00560C60"/>
    <w:rsid w:val="00560D96"/>
    <w:rsid w:val="00560DB1"/>
    <w:rsid w:val="00560F9B"/>
    <w:rsid w:val="005613F2"/>
    <w:rsid w:val="005616B6"/>
    <w:rsid w:val="0056192A"/>
    <w:rsid w:val="00561F15"/>
    <w:rsid w:val="00562376"/>
    <w:rsid w:val="00562573"/>
    <w:rsid w:val="00562723"/>
    <w:rsid w:val="005628C4"/>
    <w:rsid w:val="00562A60"/>
    <w:rsid w:val="00562A8B"/>
    <w:rsid w:val="00562DFC"/>
    <w:rsid w:val="00563083"/>
    <w:rsid w:val="0056310A"/>
    <w:rsid w:val="005632B1"/>
    <w:rsid w:val="005632FA"/>
    <w:rsid w:val="0056353B"/>
    <w:rsid w:val="005635AA"/>
    <w:rsid w:val="0056365E"/>
    <w:rsid w:val="0056365F"/>
    <w:rsid w:val="0056379D"/>
    <w:rsid w:val="00563888"/>
    <w:rsid w:val="0056395F"/>
    <w:rsid w:val="00563B3F"/>
    <w:rsid w:val="00563C05"/>
    <w:rsid w:val="00563D6B"/>
    <w:rsid w:val="00563DA0"/>
    <w:rsid w:val="00564155"/>
    <w:rsid w:val="00564174"/>
    <w:rsid w:val="00564247"/>
    <w:rsid w:val="0056425E"/>
    <w:rsid w:val="00564518"/>
    <w:rsid w:val="005645C3"/>
    <w:rsid w:val="0056488F"/>
    <w:rsid w:val="00564D43"/>
    <w:rsid w:val="00564ECE"/>
    <w:rsid w:val="0056506C"/>
    <w:rsid w:val="005654F9"/>
    <w:rsid w:val="00565B59"/>
    <w:rsid w:val="00565DC4"/>
    <w:rsid w:val="00566187"/>
    <w:rsid w:val="00566262"/>
    <w:rsid w:val="0056683D"/>
    <w:rsid w:val="00566AEC"/>
    <w:rsid w:val="00566D4C"/>
    <w:rsid w:val="005671A1"/>
    <w:rsid w:val="005700BF"/>
    <w:rsid w:val="005700FF"/>
    <w:rsid w:val="00570604"/>
    <w:rsid w:val="00570942"/>
    <w:rsid w:val="00570CE1"/>
    <w:rsid w:val="00570E07"/>
    <w:rsid w:val="00571172"/>
    <w:rsid w:val="00571247"/>
    <w:rsid w:val="0057127A"/>
    <w:rsid w:val="00571FC4"/>
    <w:rsid w:val="0057200B"/>
    <w:rsid w:val="00573183"/>
    <w:rsid w:val="005731A5"/>
    <w:rsid w:val="005735EF"/>
    <w:rsid w:val="00573925"/>
    <w:rsid w:val="00573B0C"/>
    <w:rsid w:val="00574AB0"/>
    <w:rsid w:val="00574F89"/>
    <w:rsid w:val="00575128"/>
    <w:rsid w:val="0057520F"/>
    <w:rsid w:val="005752A1"/>
    <w:rsid w:val="00575473"/>
    <w:rsid w:val="005758D0"/>
    <w:rsid w:val="00575925"/>
    <w:rsid w:val="00575A6D"/>
    <w:rsid w:val="00575D07"/>
    <w:rsid w:val="00575F1F"/>
    <w:rsid w:val="005762DF"/>
    <w:rsid w:val="00576646"/>
    <w:rsid w:val="00576FFC"/>
    <w:rsid w:val="0057714B"/>
    <w:rsid w:val="0057747E"/>
    <w:rsid w:val="00577EB9"/>
    <w:rsid w:val="0058005F"/>
    <w:rsid w:val="005800F9"/>
    <w:rsid w:val="005803D3"/>
    <w:rsid w:val="00580520"/>
    <w:rsid w:val="005805CE"/>
    <w:rsid w:val="00580878"/>
    <w:rsid w:val="00580901"/>
    <w:rsid w:val="0058099E"/>
    <w:rsid w:val="00580DEE"/>
    <w:rsid w:val="005811A7"/>
    <w:rsid w:val="005812E6"/>
    <w:rsid w:val="00581408"/>
    <w:rsid w:val="005814FF"/>
    <w:rsid w:val="005817DF"/>
    <w:rsid w:val="00581D5D"/>
    <w:rsid w:val="00581FA0"/>
    <w:rsid w:val="00582314"/>
    <w:rsid w:val="005823D8"/>
    <w:rsid w:val="00582988"/>
    <w:rsid w:val="005830BD"/>
    <w:rsid w:val="0058320C"/>
    <w:rsid w:val="005836B4"/>
    <w:rsid w:val="005836EC"/>
    <w:rsid w:val="00583C9C"/>
    <w:rsid w:val="00583F51"/>
    <w:rsid w:val="00584299"/>
    <w:rsid w:val="00584511"/>
    <w:rsid w:val="0058578D"/>
    <w:rsid w:val="00585827"/>
    <w:rsid w:val="00585B39"/>
    <w:rsid w:val="00585D9B"/>
    <w:rsid w:val="005861EA"/>
    <w:rsid w:val="00586222"/>
    <w:rsid w:val="0058647E"/>
    <w:rsid w:val="005868BE"/>
    <w:rsid w:val="00586960"/>
    <w:rsid w:val="00587122"/>
    <w:rsid w:val="005871AA"/>
    <w:rsid w:val="005872B9"/>
    <w:rsid w:val="005874EB"/>
    <w:rsid w:val="00587AF3"/>
    <w:rsid w:val="00587CEF"/>
    <w:rsid w:val="00587D13"/>
    <w:rsid w:val="005906B0"/>
    <w:rsid w:val="005907FF"/>
    <w:rsid w:val="00590AE0"/>
    <w:rsid w:val="00590EBE"/>
    <w:rsid w:val="00591757"/>
    <w:rsid w:val="00591ECE"/>
    <w:rsid w:val="00591F90"/>
    <w:rsid w:val="00592041"/>
    <w:rsid w:val="00592143"/>
    <w:rsid w:val="00592969"/>
    <w:rsid w:val="00592E2E"/>
    <w:rsid w:val="0059308C"/>
    <w:rsid w:val="005930AD"/>
    <w:rsid w:val="00593BE2"/>
    <w:rsid w:val="00593CBE"/>
    <w:rsid w:val="005945F0"/>
    <w:rsid w:val="00594BE1"/>
    <w:rsid w:val="00594D91"/>
    <w:rsid w:val="00594F84"/>
    <w:rsid w:val="00595162"/>
    <w:rsid w:val="005952A2"/>
    <w:rsid w:val="005952AD"/>
    <w:rsid w:val="00595353"/>
    <w:rsid w:val="005957C3"/>
    <w:rsid w:val="00595EF0"/>
    <w:rsid w:val="005964D9"/>
    <w:rsid w:val="00596735"/>
    <w:rsid w:val="00596974"/>
    <w:rsid w:val="00597201"/>
    <w:rsid w:val="00597976"/>
    <w:rsid w:val="00597CB5"/>
    <w:rsid w:val="00597D0A"/>
    <w:rsid w:val="00597F73"/>
    <w:rsid w:val="005A01BD"/>
    <w:rsid w:val="005A0715"/>
    <w:rsid w:val="005A0A23"/>
    <w:rsid w:val="005A0F7C"/>
    <w:rsid w:val="005A1523"/>
    <w:rsid w:val="005A1703"/>
    <w:rsid w:val="005A1744"/>
    <w:rsid w:val="005A1802"/>
    <w:rsid w:val="005A1B95"/>
    <w:rsid w:val="005A1EB6"/>
    <w:rsid w:val="005A20A0"/>
    <w:rsid w:val="005A25C5"/>
    <w:rsid w:val="005A268F"/>
    <w:rsid w:val="005A2DB0"/>
    <w:rsid w:val="005A2F6B"/>
    <w:rsid w:val="005A2F94"/>
    <w:rsid w:val="005A31B6"/>
    <w:rsid w:val="005A3264"/>
    <w:rsid w:val="005A3501"/>
    <w:rsid w:val="005A393D"/>
    <w:rsid w:val="005A3DC2"/>
    <w:rsid w:val="005A3E16"/>
    <w:rsid w:val="005A4A58"/>
    <w:rsid w:val="005A4C74"/>
    <w:rsid w:val="005A4C89"/>
    <w:rsid w:val="005A4CF6"/>
    <w:rsid w:val="005A4E98"/>
    <w:rsid w:val="005A5009"/>
    <w:rsid w:val="005A53D9"/>
    <w:rsid w:val="005A54E0"/>
    <w:rsid w:val="005A5565"/>
    <w:rsid w:val="005A57D9"/>
    <w:rsid w:val="005A5813"/>
    <w:rsid w:val="005A5A2C"/>
    <w:rsid w:val="005A5C6D"/>
    <w:rsid w:val="005A5FCE"/>
    <w:rsid w:val="005A61D2"/>
    <w:rsid w:val="005A6919"/>
    <w:rsid w:val="005A6E29"/>
    <w:rsid w:val="005A71E6"/>
    <w:rsid w:val="005A7211"/>
    <w:rsid w:val="005A73FC"/>
    <w:rsid w:val="005A7757"/>
    <w:rsid w:val="005A78CF"/>
    <w:rsid w:val="005A7BFD"/>
    <w:rsid w:val="005A7CE1"/>
    <w:rsid w:val="005B00EE"/>
    <w:rsid w:val="005B02A9"/>
    <w:rsid w:val="005B0622"/>
    <w:rsid w:val="005B06A1"/>
    <w:rsid w:val="005B0D01"/>
    <w:rsid w:val="005B14B1"/>
    <w:rsid w:val="005B1669"/>
    <w:rsid w:val="005B17CF"/>
    <w:rsid w:val="005B20E9"/>
    <w:rsid w:val="005B2153"/>
    <w:rsid w:val="005B21F7"/>
    <w:rsid w:val="005B22A8"/>
    <w:rsid w:val="005B2387"/>
    <w:rsid w:val="005B26BE"/>
    <w:rsid w:val="005B278C"/>
    <w:rsid w:val="005B2807"/>
    <w:rsid w:val="005B2CCC"/>
    <w:rsid w:val="005B2F34"/>
    <w:rsid w:val="005B31B2"/>
    <w:rsid w:val="005B3375"/>
    <w:rsid w:val="005B3982"/>
    <w:rsid w:val="005B3F41"/>
    <w:rsid w:val="005B3FB6"/>
    <w:rsid w:val="005B4146"/>
    <w:rsid w:val="005B4A1A"/>
    <w:rsid w:val="005B5057"/>
    <w:rsid w:val="005B5505"/>
    <w:rsid w:val="005B5848"/>
    <w:rsid w:val="005B5BC9"/>
    <w:rsid w:val="005B5D6D"/>
    <w:rsid w:val="005B5FCF"/>
    <w:rsid w:val="005B6374"/>
    <w:rsid w:val="005B6588"/>
    <w:rsid w:val="005B6A34"/>
    <w:rsid w:val="005B6AEA"/>
    <w:rsid w:val="005B704F"/>
    <w:rsid w:val="005B72F9"/>
    <w:rsid w:val="005B73C3"/>
    <w:rsid w:val="005B7535"/>
    <w:rsid w:val="005B7A52"/>
    <w:rsid w:val="005B7B87"/>
    <w:rsid w:val="005B7DA2"/>
    <w:rsid w:val="005B7E2A"/>
    <w:rsid w:val="005B7F05"/>
    <w:rsid w:val="005C001A"/>
    <w:rsid w:val="005C002A"/>
    <w:rsid w:val="005C008D"/>
    <w:rsid w:val="005C0251"/>
    <w:rsid w:val="005C02A7"/>
    <w:rsid w:val="005C06BE"/>
    <w:rsid w:val="005C0A0B"/>
    <w:rsid w:val="005C1380"/>
    <w:rsid w:val="005C14FA"/>
    <w:rsid w:val="005C1516"/>
    <w:rsid w:val="005C1B27"/>
    <w:rsid w:val="005C2426"/>
    <w:rsid w:val="005C2CC3"/>
    <w:rsid w:val="005C2E04"/>
    <w:rsid w:val="005C2E77"/>
    <w:rsid w:val="005C2F43"/>
    <w:rsid w:val="005C33DF"/>
    <w:rsid w:val="005C3687"/>
    <w:rsid w:val="005C3ABF"/>
    <w:rsid w:val="005C3ACF"/>
    <w:rsid w:val="005C435E"/>
    <w:rsid w:val="005C43A1"/>
    <w:rsid w:val="005C4532"/>
    <w:rsid w:val="005C4560"/>
    <w:rsid w:val="005C45B6"/>
    <w:rsid w:val="005C45E2"/>
    <w:rsid w:val="005C4991"/>
    <w:rsid w:val="005C4C8B"/>
    <w:rsid w:val="005C4CEC"/>
    <w:rsid w:val="005C4DC8"/>
    <w:rsid w:val="005C4E78"/>
    <w:rsid w:val="005C4EAD"/>
    <w:rsid w:val="005C4FC0"/>
    <w:rsid w:val="005C50C8"/>
    <w:rsid w:val="005C5CB0"/>
    <w:rsid w:val="005C5D1C"/>
    <w:rsid w:val="005C5EDD"/>
    <w:rsid w:val="005C600B"/>
    <w:rsid w:val="005C6121"/>
    <w:rsid w:val="005C6237"/>
    <w:rsid w:val="005C624C"/>
    <w:rsid w:val="005C6283"/>
    <w:rsid w:val="005C62F5"/>
    <w:rsid w:val="005C6554"/>
    <w:rsid w:val="005C683F"/>
    <w:rsid w:val="005C6D77"/>
    <w:rsid w:val="005C72FD"/>
    <w:rsid w:val="005C7457"/>
    <w:rsid w:val="005C77B5"/>
    <w:rsid w:val="005D02A1"/>
    <w:rsid w:val="005D02D3"/>
    <w:rsid w:val="005D041A"/>
    <w:rsid w:val="005D0472"/>
    <w:rsid w:val="005D05AC"/>
    <w:rsid w:val="005D07B5"/>
    <w:rsid w:val="005D090E"/>
    <w:rsid w:val="005D0AC6"/>
    <w:rsid w:val="005D0B32"/>
    <w:rsid w:val="005D0DDD"/>
    <w:rsid w:val="005D0E55"/>
    <w:rsid w:val="005D1026"/>
    <w:rsid w:val="005D1072"/>
    <w:rsid w:val="005D134D"/>
    <w:rsid w:val="005D1764"/>
    <w:rsid w:val="005D1E58"/>
    <w:rsid w:val="005D26C9"/>
    <w:rsid w:val="005D27DC"/>
    <w:rsid w:val="005D28C7"/>
    <w:rsid w:val="005D2B52"/>
    <w:rsid w:val="005D2D24"/>
    <w:rsid w:val="005D2F8D"/>
    <w:rsid w:val="005D2FE4"/>
    <w:rsid w:val="005D3109"/>
    <w:rsid w:val="005D3ABF"/>
    <w:rsid w:val="005D3F2F"/>
    <w:rsid w:val="005D40A8"/>
    <w:rsid w:val="005D427E"/>
    <w:rsid w:val="005D43D4"/>
    <w:rsid w:val="005D4578"/>
    <w:rsid w:val="005D47A4"/>
    <w:rsid w:val="005D48EF"/>
    <w:rsid w:val="005D4BC2"/>
    <w:rsid w:val="005D4C7E"/>
    <w:rsid w:val="005D5009"/>
    <w:rsid w:val="005D50AE"/>
    <w:rsid w:val="005D50EA"/>
    <w:rsid w:val="005D52DF"/>
    <w:rsid w:val="005D5A13"/>
    <w:rsid w:val="005D5EE4"/>
    <w:rsid w:val="005D6391"/>
    <w:rsid w:val="005D6690"/>
    <w:rsid w:val="005D6E93"/>
    <w:rsid w:val="005D6F5C"/>
    <w:rsid w:val="005D7122"/>
    <w:rsid w:val="005D7664"/>
    <w:rsid w:val="005D7807"/>
    <w:rsid w:val="005D78E7"/>
    <w:rsid w:val="005D7953"/>
    <w:rsid w:val="005D7E9F"/>
    <w:rsid w:val="005D7EFF"/>
    <w:rsid w:val="005D7F1C"/>
    <w:rsid w:val="005E00DC"/>
    <w:rsid w:val="005E017E"/>
    <w:rsid w:val="005E0547"/>
    <w:rsid w:val="005E05E3"/>
    <w:rsid w:val="005E096C"/>
    <w:rsid w:val="005E09D9"/>
    <w:rsid w:val="005E0A6B"/>
    <w:rsid w:val="005E1042"/>
    <w:rsid w:val="005E11D7"/>
    <w:rsid w:val="005E123B"/>
    <w:rsid w:val="005E135E"/>
    <w:rsid w:val="005E1B29"/>
    <w:rsid w:val="005E1B8D"/>
    <w:rsid w:val="005E24BE"/>
    <w:rsid w:val="005E25F3"/>
    <w:rsid w:val="005E2665"/>
    <w:rsid w:val="005E2864"/>
    <w:rsid w:val="005E29C1"/>
    <w:rsid w:val="005E2F06"/>
    <w:rsid w:val="005E3240"/>
    <w:rsid w:val="005E33E8"/>
    <w:rsid w:val="005E3970"/>
    <w:rsid w:val="005E3A3C"/>
    <w:rsid w:val="005E3BC0"/>
    <w:rsid w:val="005E3D1C"/>
    <w:rsid w:val="005E3D3C"/>
    <w:rsid w:val="005E3DE9"/>
    <w:rsid w:val="005E3FB7"/>
    <w:rsid w:val="005E4021"/>
    <w:rsid w:val="005E43B7"/>
    <w:rsid w:val="005E4490"/>
    <w:rsid w:val="005E4FDA"/>
    <w:rsid w:val="005E50F7"/>
    <w:rsid w:val="005E521A"/>
    <w:rsid w:val="005E5404"/>
    <w:rsid w:val="005E5F6E"/>
    <w:rsid w:val="005E609D"/>
    <w:rsid w:val="005E64DF"/>
    <w:rsid w:val="005E6573"/>
    <w:rsid w:val="005E6852"/>
    <w:rsid w:val="005E7176"/>
    <w:rsid w:val="005E72B0"/>
    <w:rsid w:val="005E72BA"/>
    <w:rsid w:val="005E7302"/>
    <w:rsid w:val="005E73F5"/>
    <w:rsid w:val="005E75DA"/>
    <w:rsid w:val="005E78FF"/>
    <w:rsid w:val="005E7CB8"/>
    <w:rsid w:val="005E7D4E"/>
    <w:rsid w:val="005F0018"/>
    <w:rsid w:val="005F01DA"/>
    <w:rsid w:val="005F027C"/>
    <w:rsid w:val="005F0A1D"/>
    <w:rsid w:val="005F0EF1"/>
    <w:rsid w:val="005F156C"/>
    <w:rsid w:val="005F17E5"/>
    <w:rsid w:val="005F1816"/>
    <w:rsid w:val="005F19E6"/>
    <w:rsid w:val="005F1C80"/>
    <w:rsid w:val="005F1FC7"/>
    <w:rsid w:val="005F2008"/>
    <w:rsid w:val="005F21A7"/>
    <w:rsid w:val="005F2389"/>
    <w:rsid w:val="005F2457"/>
    <w:rsid w:val="005F252C"/>
    <w:rsid w:val="005F2F79"/>
    <w:rsid w:val="005F2FA2"/>
    <w:rsid w:val="005F428A"/>
    <w:rsid w:val="005F4798"/>
    <w:rsid w:val="005F4D43"/>
    <w:rsid w:val="005F4F47"/>
    <w:rsid w:val="005F5363"/>
    <w:rsid w:val="005F54C0"/>
    <w:rsid w:val="005F54E9"/>
    <w:rsid w:val="005F559C"/>
    <w:rsid w:val="005F57FE"/>
    <w:rsid w:val="005F5982"/>
    <w:rsid w:val="005F5CC3"/>
    <w:rsid w:val="005F5D78"/>
    <w:rsid w:val="005F5DA2"/>
    <w:rsid w:val="005F61C2"/>
    <w:rsid w:val="005F647E"/>
    <w:rsid w:val="005F65B1"/>
    <w:rsid w:val="005F6861"/>
    <w:rsid w:val="005F6B20"/>
    <w:rsid w:val="005F6C91"/>
    <w:rsid w:val="005F6EB7"/>
    <w:rsid w:val="005F6FFB"/>
    <w:rsid w:val="005F724D"/>
    <w:rsid w:val="005F72B8"/>
    <w:rsid w:val="005F7BCA"/>
    <w:rsid w:val="005F7C0A"/>
    <w:rsid w:val="00600829"/>
    <w:rsid w:val="0060111E"/>
    <w:rsid w:val="00601329"/>
    <w:rsid w:val="0060135F"/>
    <w:rsid w:val="00601392"/>
    <w:rsid w:val="00601560"/>
    <w:rsid w:val="006016E1"/>
    <w:rsid w:val="00601D11"/>
    <w:rsid w:val="00601F4C"/>
    <w:rsid w:val="00602050"/>
    <w:rsid w:val="00602292"/>
    <w:rsid w:val="00602746"/>
    <w:rsid w:val="006027F8"/>
    <w:rsid w:val="00602AE9"/>
    <w:rsid w:val="00602C28"/>
    <w:rsid w:val="006031D3"/>
    <w:rsid w:val="006035C7"/>
    <w:rsid w:val="00603A74"/>
    <w:rsid w:val="00603AE7"/>
    <w:rsid w:val="00603B9F"/>
    <w:rsid w:val="00603D40"/>
    <w:rsid w:val="00603F36"/>
    <w:rsid w:val="00604662"/>
    <w:rsid w:val="0060467D"/>
    <w:rsid w:val="006047B0"/>
    <w:rsid w:val="006047E5"/>
    <w:rsid w:val="00604DCD"/>
    <w:rsid w:val="00605424"/>
    <w:rsid w:val="006054AE"/>
    <w:rsid w:val="00605517"/>
    <w:rsid w:val="00605581"/>
    <w:rsid w:val="006056F8"/>
    <w:rsid w:val="00605A77"/>
    <w:rsid w:val="00605B9B"/>
    <w:rsid w:val="00605FBE"/>
    <w:rsid w:val="00606007"/>
    <w:rsid w:val="0060643E"/>
    <w:rsid w:val="00606996"/>
    <w:rsid w:val="00606BAD"/>
    <w:rsid w:val="00606C51"/>
    <w:rsid w:val="00606EE3"/>
    <w:rsid w:val="0060752E"/>
    <w:rsid w:val="0060756F"/>
    <w:rsid w:val="00607866"/>
    <w:rsid w:val="0061010E"/>
    <w:rsid w:val="0061016E"/>
    <w:rsid w:val="00610189"/>
    <w:rsid w:val="006104BE"/>
    <w:rsid w:val="0061056A"/>
    <w:rsid w:val="00610E89"/>
    <w:rsid w:val="006115BB"/>
    <w:rsid w:val="006115E4"/>
    <w:rsid w:val="00611E02"/>
    <w:rsid w:val="00611F61"/>
    <w:rsid w:val="0061217F"/>
    <w:rsid w:val="0061271B"/>
    <w:rsid w:val="00612896"/>
    <w:rsid w:val="00612E97"/>
    <w:rsid w:val="00613159"/>
    <w:rsid w:val="00613664"/>
    <w:rsid w:val="00614023"/>
    <w:rsid w:val="006141C4"/>
    <w:rsid w:val="006144D0"/>
    <w:rsid w:val="00614A8E"/>
    <w:rsid w:val="00614F8D"/>
    <w:rsid w:val="006151B2"/>
    <w:rsid w:val="006152A5"/>
    <w:rsid w:val="0061569B"/>
    <w:rsid w:val="0061571F"/>
    <w:rsid w:val="0061577D"/>
    <w:rsid w:val="00615820"/>
    <w:rsid w:val="00616677"/>
    <w:rsid w:val="00616AE4"/>
    <w:rsid w:val="00616BEB"/>
    <w:rsid w:val="00616DF6"/>
    <w:rsid w:val="00617522"/>
    <w:rsid w:val="006178E0"/>
    <w:rsid w:val="0061791A"/>
    <w:rsid w:val="00617ACB"/>
    <w:rsid w:val="006208F1"/>
    <w:rsid w:val="00620B2D"/>
    <w:rsid w:val="00620FE4"/>
    <w:rsid w:val="006210F1"/>
    <w:rsid w:val="006211BA"/>
    <w:rsid w:val="00621624"/>
    <w:rsid w:val="00621649"/>
    <w:rsid w:val="0062185F"/>
    <w:rsid w:val="00621998"/>
    <w:rsid w:val="00621AE3"/>
    <w:rsid w:val="00621D5A"/>
    <w:rsid w:val="0062229E"/>
    <w:rsid w:val="006222CE"/>
    <w:rsid w:val="00622300"/>
    <w:rsid w:val="00622683"/>
    <w:rsid w:val="0062282B"/>
    <w:rsid w:val="00622F3A"/>
    <w:rsid w:val="00622FEE"/>
    <w:rsid w:val="0062307A"/>
    <w:rsid w:val="006230A5"/>
    <w:rsid w:val="006231DA"/>
    <w:rsid w:val="00623460"/>
    <w:rsid w:val="00623566"/>
    <w:rsid w:val="006235E3"/>
    <w:rsid w:val="00623D7A"/>
    <w:rsid w:val="00623DCA"/>
    <w:rsid w:val="00623F1D"/>
    <w:rsid w:val="0062401D"/>
    <w:rsid w:val="00624055"/>
    <w:rsid w:val="006242BC"/>
    <w:rsid w:val="006244E4"/>
    <w:rsid w:val="00624B21"/>
    <w:rsid w:val="00624BE2"/>
    <w:rsid w:val="00624CC8"/>
    <w:rsid w:val="00624E89"/>
    <w:rsid w:val="00625002"/>
    <w:rsid w:val="00625341"/>
    <w:rsid w:val="006254BA"/>
    <w:rsid w:val="00625E7E"/>
    <w:rsid w:val="00626487"/>
    <w:rsid w:val="00626982"/>
    <w:rsid w:val="006269F7"/>
    <w:rsid w:val="00626B57"/>
    <w:rsid w:val="00626E14"/>
    <w:rsid w:val="00626E2B"/>
    <w:rsid w:val="006270DB"/>
    <w:rsid w:val="00627B25"/>
    <w:rsid w:val="006300E3"/>
    <w:rsid w:val="006309AD"/>
    <w:rsid w:val="00630BB4"/>
    <w:rsid w:val="00630DBF"/>
    <w:rsid w:val="006311D1"/>
    <w:rsid w:val="00631269"/>
    <w:rsid w:val="0063130C"/>
    <w:rsid w:val="006314BA"/>
    <w:rsid w:val="0063154E"/>
    <w:rsid w:val="006317E9"/>
    <w:rsid w:val="00631F3B"/>
    <w:rsid w:val="0063240D"/>
    <w:rsid w:val="006328B5"/>
    <w:rsid w:val="00632E63"/>
    <w:rsid w:val="00632E7B"/>
    <w:rsid w:val="00633437"/>
    <w:rsid w:val="0063366F"/>
    <w:rsid w:val="006337C3"/>
    <w:rsid w:val="0063490C"/>
    <w:rsid w:val="00634948"/>
    <w:rsid w:val="00634B00"/>
    <w:rsid w:val="00634D52"/>
    <w:rsid w:val="00634EBB"/>
    <w:rsid w:val="00635770"/>
    <w:rsid w:val="0063592F"/>
    <w:rsid w:val="00635A55"/>
    <w:rsid w:val="00635FCF"/>
    <w:rsid w:val="006361FF"/>
    <w:rsid w:val="00636680"/>
    <w:rsid w:val="00636988"/>
    <w:rsid w:val="00636B7A"/>
    <w:rsid w:val="00636DFE"/>
    <w:rsid w:val="00636E82"/>
    <w:rsid w:val="00636F2D"/>
    <w:rsid w:val="00636F7D"/>
    <w:rsid w:val="00637018"/>
    <w:rsid w:val="00637600"/>
    <w:rsid w:val="00637BB7"/>
    <w:rsid w:val="00637EB9"/>
    <w:rsid w:val="006400B8"/>
    <w:rsid w:val="00640991"/>
    <w:rsid w:val="00640DE4"/>
    <w:rsid w:val="00641409"/>
    <w:rsid w:val="0064143D"/>
    <w:rsid w:val="006414D4"/>
    <w:rsid w:val="00641913"/>
    <w:rsid w:val="00641F3F"/>
    <w:rsid w:val="00641F75"/>
    <w:rsid w:val="006423B4"/>
    <w:rsid w:val="00642B38"/>
    <w:rsid w:val="00642C12"/>
    <w:rsid w:val="00642CDB"/>
    <w:rsid w:val="00642DB8"/>
    <w:rsid w:val="0064344F"/>
    <w:rsid w:val="0064346E"/>
    <w:rsid w:val="0064348F"/>
    <w:rsid w:val="0064365D"/>
    <w:rsid w:val="00643C32"/>
    <w:rsid w:val="00643C3A"/>
    <w:rsid w:val="00643DB6"/>
    <w:rsid w:val="0064460D"/>
    <w:rsid w:val="0064462E"/>
    <w:rsid w:val="006447C1"/>
    <w:rsid w:val="0064482C"/>
    <w:rsid w:val="00644B75"/>
    <w:rsid w:val="00644D97"/>
    <w:rsid w:val="00644D9F"/>
    <w:rsid w:val="00645449"/>
    <w:rsid w:val="006456B5"/>
    <w:rsid w:val="006458A4"/>
    <w:rsid w:val="00645969"/>
    <w:rsid w:val="006459A4"/>
    <w:rsid w:val="00645AA1"/>
    <w:rsid w:val="00645B69"/>
    <w:rsid w:val="00645DCD"/>
    <w:rsid w:val="00645E39"/>
    <w:rsid w:val="00645E43"/>
    <w:rsid w:val="00645F0C"/>
    <w:rsid w:val="006460CE"/>
    <w:rsid w:val="006466B0"/>
    <w:rsid w:val="00646706"/>
    <w:rsid w:val="00646CF1"/>
    <w:rsid w:val="0064708D"/>
    <w:rsid w:val="00647189"/>
    <w:rsid w:val="0064767C"/>
    <w:rsid w:val="0064786C"/>
    <w:rsid w:val="00647F9E"/>
    <w:rsid w:val="00650D11"/>
    <w:rsid w:val="00650EF6"/>
    <w:rsid w:val="00651568"/>
    <w:rsid w:val="00651703"/>
    <w:rsid w:val="00651941"/>
    <w:rsid w:val="006519BA"/>
    <w:rsid w:val="00651C37"/>
    <w:rsid w:val="00651E2F"/>
    <w:rsid w:val="00651F93"/>
    <w:rsid w:val="00652EE6"/>
    <w:rsid w:val="00652FF6"/>
    <w:rsid w:val="006530B1"/>
    <w:rsid w:val="00653248"/>
    <w:rsid w:val="006534B2"/>
    <w:rsid w:val="006535C3"/>
    <w:rsid w:val="00653692"/>
    <w:rsid w:val="0065384E"/>
    <w:rsid w:val="00653925"/>
    <w:rsid w:val="00653940"/>
    <w:rsid w:val="00653C08"/>
    <w:rsid w:val="0065402F"/>
    <w:rsid w:val="0065470B"/>
    <w:rsid w:val="00654723"/>
    <w:rsid w:val="00654EE1"/>
    <w:rsid w:val="0065547F"/>
    <w:rsid w:val="0065557F"/>
    <w:rsid w:val="006558F4"/>
    <w:rsid w:val="00655B38"/>
    <w:rsid w:val="00655D82"/>
    <w:rsid w:val="00655F7F"/>
    <w:rsid w:val="00655FD0"/>
    <w:rsid w:val="0065633C"/>
    <w:rsid w:val="0065657E"/>
    <w:rsid w:val="006566D6"/>
    <w:rsid w:val="006569D1"/>
    <w:rsid w:val="006577D4"/>
    <w:rsid w:val="0065782C"/>
    <w:rsid w:val="006578FC"/>
    <w:rsid w:val="00657963"/>
    <w:rsid w:val="006579DD"/>
    <w:rsid w:val="00657E70"/>
    <w:rsid w:val="00660343"/>
    <w:rsid w:val="0066077F"/>
    <w:rsid w:val="00660C05"/>
    <w:rsid w:val="006610A0"/>
    <w:rsid w:val="00661684"/>
    <w:rsid w:val="00661D5D"/>
    <w:rsid w:val="00661E69"/>
    <w:rsid w:val="00661F98"/>
    <w:rsid w:val="00662370"/>
    <w:rsid w:val="0066245A"/>
    <w:rsid w:val="006638E5"/>
    <w:rsid w:val="00663D24"/>
    <w:rsid w:val="00664198"/>
    <w:rsid w:val="006641C1"/>
    <w:rsid w:val="0066420E"/>
    <w:rsid w:val="00664525"/>
    <w:rsid w:val="006646FC"/>
    <w:rsid w:val="00664A70"/>
    <w:rsid w:val="00664ECE"/>
    <w:rsid w:val="00665304"/>
    <w:rsid w:val="0066536B"/>
    <w:rsid w:val="00665409"/>
    <w:rsid w:val="00665428"/>
    <w:rsid w:val="00665497"/>
    <w:rsid w:val="00665656"/>
    <w:rsid w:val="0066582B"/>
    <w:rsid w:val="006659F3"/>
    <w:rsid w:val="00665A8C"/>
    <w:rsid w:val="006663D8"/>
    <w:rsid w:val="00666D22"/>
    <w:rsid w:val="00667016"/>
    <w:rsid w:val="00667316"/>
    <w:rsid w:val="006673B2"/>
    <w:rsid w:val="00667462"/>
    <w:rsid w:val="00667B53"/>
    <w:rsid w:val="00667CF7"/>
    <w:rsid w:val="00667D95"/>
    <w:rsid w:val="00667FD1"/>
    <w:rsid w:val="00670517"/>
    <w:rsid w:val="006705CB"/>
    <w:rsid w:val="0067096B"/>
    <w:rsid w:val="00670A3A"/>
    <w:rsid w:val="00670A3C"/>
    <w:rsid w:val="0067122B"/>
    <w:rsid w:val="00671653"/>
    <w:rsid w:val="00671715"/>
    <w:rsid w:val="006717E6"/>
    <w:rsid w:val="00671EB8"/>
    <w:rsid w:val="00672008"/>
    <w:rsid w:val="006721C5"/>
    <w:rsid w:val="00672265"/>
    <w:rsid w:val="00672DBD"/>
    <w:rsid w:val="00672EEA"/>
    <w:rsid w:val="00673430"/>
    <w:rsid w:val="006736C6"/>
    <w:rsid w:val="0067479E"/>
    <w:rsid w:val="00674821"/>
    <w:rsid w:val="006748A9"/>
    <w:rsid w:val="006748B4"/>
    <w:rsid w:val="00674944"/>
    <w:rsid w:val="0067508D"/>
    <w:rsid w:val="00675199"/>
    <w:rsid w:val="0067564A"/>
    <w:rsid w:val="00675705"/>
    <w:rsid w:val="00675711"/>
    <w:rsid w:val="00675EDB"/>
    <w:rsid w:val="0067629D"/>
    <w:rsid w:val="006765C5"/>
    <w:rsid w:val="00676701"/>
    <w:rsid w:val="00676F34"/>
    <w:rsid w:val="00677545"/>
    <w:rsid w:val="00677661"/>
    <w:rsid w:val="006779BD"/>
    <w:rsid w:val="00677E62"/>
    <w:rsid w:val="006802C1"/>
    <w:rsid w:val="00680535"/>
    <w:rsid w:val="00680623"/>
    <w:rsid w:val="006807C0"/>
    <w:rsid w:val="00680AE8"/>
    <w:rsid w:val="00680BDA"/>
    <w:rsid w:val="00680C35"/>
    <w:rsid w:val="00681084"/>
    <w:rsid w:val="00681665"/>
    <w:rsid w:val="00681A46"/>
    <w:rsid w:val="00681C9F"/>
    <w:rsid w:val="00682003"/>
    <w:rsid w:val="00682796"/>
    <w:rsid w:val="00682EF7"/>
    <w:rsid w:val="006832D7"/>
    <w:rsid w:val="00683FF5"/>
    <w:rsid w:val="0068475F"/>
    <w:rsid w:val="00684887"/>
    <w:rsid w:val="006848D3"/>
    <w:rsid w:val="00684B24"/>
    <w:rsid w:val="00684DCF"/>
    <w:rsid w:val="00684F06"/>
    <w:rsid w:val="006851F8"/>
    <w:rsid w:val="0068543C"/>
    <w:rsid w:val="006857FF"/>
    <w:rsid w:val="00685EC4"/>
    <w:rsid w:val="00685F16"/>
    <w:rsid w:val="006862E6"/>
    <w:rsid w:val="0068654B"/>
    <w:rsid w:val="00686A53"/>
    <w:rsid w:val="006874FC"/>
    <w:rsid w:val="006879E8"/>
    <w:rsid w:val="00687DA9"/>
    <w:rsid w:val="00690091"/>
    <w:rsid w:val="006903DD"/>
    <w:rsid w:val="00690486"/>
    <w:rsid w:val="00690772"/>
    <w:rsid w:val="006907C2"/>
    <w:rsid w:val="006909C1"/>
    <w:rsid w:val="00690B4A"/>
    <w:rsid w:val="00690E46"/>
    <w:rsid w:val="00691757"/>
    <w:rsid w:val="00691982"/>
    <w:rsid w:val="00691D77"/>
    <w:rsid w:val="00691ED4"/>
    <w:rsid w:val="00691FDE"/>
    <w:rsid w:val="00692099"/>
    <w:rsid w:val="00692ABF"/>
    <w:rsid w:val="00692FE4"/>
    <w:rsid w:val="00693071"/>
    <w:rsid w:val="00693146"/>
    <w:rsid w:val="00693AE7"/>
    <w:rsid w:val="00693D02"/>
    <w:rsid w:val="00693D4C"/>
    <w:rsid w:val="006940D0"/>
    <w:rsid w:val="0069455E"/>
    <w:rsid w:val="006947CE"/>
    <w:rsid w:val="006949A8"/>
    <w:rsid w:val="00694A5F"/>
    <w:rsid w:val="00694F7E"/>
    <w:rsid w:val="0069534D"/>
    <w:rsid w:val="0069554E"/>
    <w:rsid w:val="00695A07"/>
    <w:rsid w:val="00695C7D"/>
    <w:rsid w:val="00696306"/>
    <w:rsid w:val="0069636C"/>
    <w:rsid w:val="00696426"/>
    <w:rsid w:val="006966D2"/>
    <w:rsid w:val="00696777"/>
    <w:rsid w:val="00696870"/>
    <w:rsid w:val="00696B59"/>
    <w:rsid w:val="00696BB6"/>
    <w:rsid w:val="00696EE8"/>
    <w:rsid w:val="00697433"/>
    <w:rsid w:val="0069775E"/>
    <w:rsid w:val="00697964"/>
    <w:rsid w:val="00697B84"/>
    <w:rsid w:val="00697CBE"/>
    <w:rsid w:val="00697E25"/>
    <w:rsid w:val="006A074A"/>
    <w:rsid w:val="006A09C5"/>
    <w:rsid w:val="006A0B25"/>
    <w:rsid w:val="006A0BA4"/>
    <w:rsid w:val="006A0E6B"/>
    <w:rsid w:val="006A112D"/>
    <w:rsid w:val="006A1383"/>
    <w:rsid w:val="006A151A"/>
    <w:rsid w:val="006A1ABD"/>
    <w:rsid w:val="006A1CE7"/>
    <w:rsid w:val="006A2095"/>
    <w:rsid w:val="006A28D5"/>
    <w:rsid w:val="006A2B7A"/>
    <w:rsid w:val="006A2BD8"/>
    <w:rsid w:val="006A2E53"/>
    <w:rsid w:val="006A2E97"/>
    <w:rsid w:val="006A2EAA"/>
    <w:rsid w:val="006A378F"/>
    <w:rsid w:val="006A39C3"/>
    <w:rsid w:val="006A3ABA"/>
    <w:rsid w:val="006A3AC5"/>
    <w:rsid w:val="006A3D88"/>
    <w:rsid w:val="006A3F52"/>
    <w:rsid w:val="006A3FB2"/>
    <w:rsid w:val="006A458E"/>
    <w:rsid w:val="006A4891"/>
    <w:rsid w:val="006A4ADF"/>
    <w:rsid w:val="006A4B8F"/>
    <w:rsid w:val="006A4CF6"/>
    <w:rsid w:val="006A509C"/>
    <w:rsid w:val="006A53A7"/>
    <w:rsid w:val="006A574A"/>
    <w:rsid w:val="006A5ECE"/>
    <w:rsid w:val="006A60A8"/>
    <w:rsid w:val="006A68B0"/>
    <w:rsid w:val="006A6953"/>
    <w:rsid w:val="006A6D88"/>
    <w:rsid w:val="006A6E90"/>
    <w:rsid w:val="006A70E2"/>
    <w:rsid w:val="006A71B2"/>
    <w:rsid w:val="006A7C5F"/>
    <w:rsid w:val="006A7F32"/>
    <w:rsid w:val="006B0029"/>
    <w:rsid w:val="006B05B3"/>
    <w:rsid w:val="006B0E8F"/>
    <w:rsid w:val="006B0EB0"/>
    <w:rsid w:val="006B1196"/>
    <w:rsid w:val="006B1777"/>
    <w:rsid w:val="006B19ED"/>
    <w:rsid w:val="006B1E44"/>
    <w:rsid w:val="006B21D4"/>
    <w:rsid w:val="006B2520"/>
    <w:rsid w:val="006B25A2"/>
    <w:rsid w:val="006B2693"/>
    <w:rsid w:val="006B2CDB"/>
    <w:rsid w:val="006B2E28"/>
    <w:rsid w:val="006B331F"/>
    <w:rsid w:val="006B3ACA"/>
    <w:rsid w:val="006B3BDE"/>
    <w:rsid w:val="006B4075"/>
    <w:rsid w:val="006B4185"/>
    <w:rsid w:val="006B42EE"/>
    <w:rsid w:val="006B4977"/>
    <w:rsid w:val="006B50C7"/>
    <w:rsid w:val="006B5104"/>
    <w:rsid w:val="006B5337"/>
    <w:rsid w:val="006B546B"/>
    <w:rsid w:val="006B5FB2"/>
    <w:rsid w:val="006B62D4"/>
    <w:rsid w:val="006B673C"/>
    <w:rsid w:val="006B69F5"/>
    <w:rsid w:val="006B6A13"/>
    <w:rsid w:val="006B6DF6"/>
    <w:rsid w:val="006B6EE5"/>
    <w:rsid w:val="006B6EEF"/>
    <w:rsid w:val="006B70C6"/>
    <w:rsid w:val="006B71F8"/>
    <w:rsid w:val="006B773E"/>
    <w:rsid w:val="006B783F"/>
    <w:rsid w:val="006B7876"/>
    <w:rsid w:val="006B7C66"/>
    <w:rsid w:val="006C0384"/>
    <w:rsid w:val="006C049E"/>
    <w:rsid w:val="006C0A77"/>
    <w:rsid w:val="006C0BA5"/>
    <w:rsid w:val="006C0DA8"/>
    <w:rsid w:val="006C0F68"/>
    <w:rsid w:val="006C1158"/>
    <w:rsid w:val="006C12F4"/>
    <w:rsid w:val="006C1603"/>
    <w:rsid w:val="006C1620"/>
    <w:rsid w:val="006C19F6"/>
    <w:rsid w:val="006C1A02"/>
    <w:rsid w:val="006C1F91"/>
    <w:rsid w:val="006C27BC"/>
    <w:rsid w:val="006C2D42"/>
    <w:rsid w:val="006C2DD5"/>
    <w:rsid w:val="006C30E4"/>
    <w:rsid w:val="006C36BB"/>
    <w:rsid w:val="006C39F8"/>
    <w:rsid w:val="006C414D"/>
    <w:rsid w:val="006C44F2"/>
    <w:rsid w:val="006C46BE"/>
    <w:rsid w:val="006C5106"/>
    <w:rsid w:val="006C5897"/>
    <w:rsid w:val="006C59EF"/>
    <w:rsid w:val="006C5B77"/>
    <w:rsid w:val="006C60BE"/>
    <w:rsid w:val="006C67FB"/>
    <w:rsid w:val="006C698B"/>
    <w:rsid w:val="006C6CD9"/>
    <w:rsid w:val="006C6E5E"/>
    <w:rsid w:val="006C70A0"/>
    <w:rsid w:val="006C73E9"/>
    <w:rsid w:val="006C777E"/>
    <w:rsid w:val="006C77B5"/>
    <w:rsid w:val="006C7C1F"/>
    <w:rsid w:val="006C7C49"/>
    <w:rsid w:val="006D04B7"/>
    <w:rsid w:val="006D0B32"/>
    <w:rsid w:val="006D15FB"/>
    <w:rsid w:val="006D1877"/>
    <w:rsid w:val="006D1A7E"/>
    <w:rsid w:val="006D200D"/>
    <w:rsid w:val="006D2297"/>
    <w:rsid w:val="006D22DA"/>
    <w:rsid w:val="006D2309"/>
    <w:rsid w:val="006D233D"/>
    <w:rsid w:val="006D2497"/>
    <w:rsid w:val="006D253A"/>
    <w:rsid w:val="006D258D"/>
    <w:rsid w:val="006D2774"/>
    <w:rsid w:val="006D28F4"/>
    <w:rsid w:val="006D290A"/>
    <w:rsid w:val="006D2C15"/>
    <w:rsid w:val="006D2F5E"/>
    <w:rsid w:val="006D342E"/>
    <w:rsid w:val="006D3596"/>
    <w:rsid w:val="006D37A3"/>
    <w:rsid w:val="006D3DB3"/>
    <w:rsid w:val="006D4703"/>
    <w:rsid w:val="006D47CC"/>
    <w:rsid w:val="006D4BC5"/>
    <w:rsid w:val="006D4D7A"/>
    <w:rsid w:val="006D5437"/>
    <w:rsid w:val="006D56CE"/>
    <w:rsid w:val="006D5D05"/>
    <w:rsid w:val="006D5E5A"/>
    <w:rsid w:val="006D5F36"/>
    <w:rsid w:val="006D5F3D"/>
    <w:rsid w:val="006D5F7D"/>
    <w:rsid w:val="006D62D1"/>
    <w:rsid w:val="006D649A"/>
    <w:rsid w:val="006D64A1"/>
    <w:rsid w:val="006D6616"/>
    <w:rsid w:val="006D6732"/>
    <w:rsid w:val="006D6C05"/>
    <w:rsid w:val="006D71F1"/>
    <w:rsid w:val="006D7734"/>
    <w:rsid w:val="006D7CCF"/>
    <w:rsid w:val="006D7D11"/>
    <w:rsid w:val="006D7DCD"/>
    <w:rsid w:val="006D7E91"/>
    <w:rsid w:val="006D7EA6"/>
    <w:rsid w:val="006E0011"/>
    <w:rsid w:val="006E00DE"/>
    <w:rsid w:val="006E05FC"/>
    <w:rsid w:val="006E0A6C"/>
    <w:rsid w:val="006E0CEF"/>
    <w:rsid w:val="006E0DA2"/>
    <w:rsid w:val="006E10D5"/>
    <w:rsid w:val="006E1B0B"/>
    <w:rsid w:val="006E1BC3"/>
    <w:rsid w:val="006E1DFC"/>
    <w:rsid w:val="006E1E8C"/>
    <w:rsid w:val="006E1EB3"/>
    <w:rsid w:val="006E278A"/>
    <w:rsid w:val="006E2BE9"/>
    <w:rsid w:val="006E32C4"/>
    <w:rsid w:val="006E3764"/>
    <w:rsid w:val="006E37AA"/>
    <w:rsid w:val="006E3C57"/>
    <w:rsid w:val="006E3EA4"/>
    <w:rsid w:val="006E40E5"/>
    <w:rsid w:val="006E4117"/>
    <w:rsid w:val="006E43D3"/>
    <w:rsid w:val="006E4850"/>
    <w:rsid w:val="006E4899"/>
    <w:rsid w:val="006E4DCE"/>
    <w:rsid w:val="006E4F38"/>
    <w:rsid w:val="006E5750"/>
    <w:rsid w:val="006E5827"/>
    <w:rsid w:val="006E5ADD"/>
    <w:rsid w:val="006E5FDA"/>
    <w:rsid w:val="006E62BA"/>
    <w:rsid w:val="006E669B"/>
    <w:rsid w:val="006E6905"/>
    <w:rsid w:val="006E6970"/>
    <w:rsid w:val="006E6B00"/>
    <w:rsid w:val="006E6B2F"/>
    <w:rsid w:val="006E743E"/>
    <w:rsid w:val="006E7E90"/>
    <w:rsid w:val="006E7EDC"/>
    <w:rsid w:val="006F009B"/>
    <w:rsid w:val="006F010F"/>
    <w:rsid w:val="006F0201"/>
    <w:rsid w:val="006F070C"/>
    <w:rsid w:val="006F08F9"/>
    <w:rsid w:val="006F094E"/>
    <w:rsid w:val="006F0E42"/>
    <w:rsid w:val="006F0FD4"/>
    <w:rsid w:val="006F1D19"/>
    <w:rsid w:val="006F1DDB"/>
    <w:rsid w:val="006F22B2"/>
    <w:rsid w:val="006F23B6"/>
    <w:rsid w:val="006F26B0"/>
    <w:rsid w:val="006F27D7"/>
    <w:rsid w:val="006F2896"/>
    <w:rsid w:val="006F29A7"/>
    <w:rsid w:val="006F29E8"/>
    <w:rsid w:val="006F2A79"/>
    <w:rsid w:val="006F2C66"/>
    <w:rsid w:val="006F2E9C"/>
    <w:rsid w:val="006F323C"/>
    <w:rsid w:val="006F331E"/>
    <w:rsid w:val="006F3404"/>
    <w:rsid w:val="006F346D"/>
    <w:rsid w:val="006F37CF"/>
    <w:rsid w:val="006F4696"/>
    <w:rsid w:val="006F48A9"/>
    <w:rsid w:val="006F4E1B"/>
    <w:rsid w:val="006F4EB6"/>
    <w:rsid w:val="006F4FC8"/>
    <w:rsid w:val="006F5110"/>
    <w:rsid w:val="006F5317"/>
    <w:rsid w:val="006F54A0"/>
    <w:rsid w:val="006F5B47"/>
    <w:rsid w:val="006F6B2C"/>
    <w:rsid w:val="006F6BC5"/>
    <w:rsid w:val="006F6C92"/>
    <w:rsid w:val="006F77A9"/>
    <w:rsid w:val="006F7C91"/>
    <w:rsid w:val="006F7DDB"/>
    <w:rsid w:val="007002DF"/>
    <w:rsid w:val="00700360"/>
    <w:rsid w:val="00700415"/>
    <w:rsid w:val="0070053C"/>
    <w:rsid w:val="00700B62"/>
    <w:rsid w:val="00700F4A"/>
    <w:rsid w:val="00701348"/>
    <w:rsid w:val="00701365"/>
    <w:rsid w:val="007016BF"/>
    <w:rsid w:val="00701A46"/>
    <w:rsid w:val="00701C27"/>
    <w:rsid w:val="00701C75"/>
    <w:rsid w:val="00701C7B"/>
    <w:rsid w:val="007020AF"/>
    <w:rsid w:val="00702641"/>
    <w:rsid w:val="00702645"/>
    <w:rsid w:val="007027DD"/>
    <w:rsid w:val="007028BC"/>
    <w:rsid w:val="00703220"/>
    <w:rsid w:val="00703282"/>
    <w:rsid w:val="007035FD"/>
    <w:rsid w:val="0070388A"/>
    <w:rsid w:val="00703B5B"/>
    <w:rsid w:val="00704217"/>
    <w:rsid w:val="007045C2"/>
    <w:rsid w:val="00705497"/>
    <w:rsid w:val="00705650"/>
    <w:rsid w:val="00705AB2"/>
    <w:rsid w:val="00705B1D"/>
    <w:rsid w:val="00705E9F"/>
    <w:rsid w:val="00706709"/>
    <w:rsid w:val="007068E2"/>
    <w:rsid w:val="00706A5C"/>
    <w:rsid w:val="00706CB6"/>
    <w:rsid w:val="00706E03"/>
    <w:rsid w:val="007071B9"/>
    <w:rsid w:val="00707365"/>
    <w:rsid w:val="007075D4"/>
    <w:rsid w:val="0071007A"/>
    <w:rsid w:val="00710635"/>
    <w:rsid w:val="00710CA0"/>
    <w:rsid w:val="00710DE9"/>
    <w:rsid w:val="00710E22"/>
    <w:rsid w:val="00710FBD"/>
    <w:rsid w:val="00711211"/>
    <w:rsid w:val="00711496"/>
    <w:rsid w:val="00711BA4"/>
    <w:rsid w:val="00711E01"/>
    <w:rsid w:val="007124BD"/>
    <w:rsid w:val="007126E9"/>
    <w:rsid w:val="007128D2"/>
    <w:rsid w:val="0071298B"/>
    <w:rsid w:val="00712BA5"/>
    <w:rsid w:val="00712EDC"/>
    <w:rsid w:val="007131A7"/>
    <w:rsid w:val="0071343A"/>
    <w:rsid w:val="00713670"/>
    <w:rsid w:val="00713734"/>
    <w:rsid w:val="00713AED"/>
    <w:rsid w:val="00713EFD"/>
    <w:rsid w:val="00714001"/>
    <w:rsid w:val="00714835"/>
    <w:rsid w:val="00714839"/>
    <w:rsid w:val="00714929"/>
    <w:rsid w:val="00714E82"/>
    <w:rsid w:val="007159EA"/>
    <w:rsid w:val="00715F9B"/>
    <w:rsid w:val="00716489"/>
    <w:rsid w:val="00716756"/>
    <w:rsid w:val="0071689A"/>
    <w:rsid w:val="00716B90"/>
    <w:rsid w:val="00716BCB"/>
    <w:rsid w:val="0071745B"/>
    <w:rsid w:val="0071757F"/>
    <w:rsid w:val="007176B7"/>
    <w:rsid w:val="00717B15"/>
    <w:rsid w:val="00717CCA"/>
    <w:rsid w:val="00717DD5"/>
    <w:rsid w:val="0072074B"/>
    <w:rsid w:val="007209CA"/>
    <w:rsid w:val="00720B1B"/>
    <w:rsid w:val="00720B34"/>
    <w:rsid w:val="00720DB6"/>
    <w:rsid w:val="00720E68"/>
    <w:rsid w:val="007212F5"/>
    <w:rsid w:val="00721910"/>
    <w:rsid w:val="00721B01"/>
    <w:rsid w:val="00721B4B"/>
    <w:rsid w:val="00721C2D"/>
    <w:rsid w:val="00721FE3"/>
    <w:rsid w:val="007223F2"/>
    <w:rsid w:val="00722634"/>
    <w:rsid w:val="007242DC"/>
    <w:rsid w:val="00724A1B"/>
    <w:rsid w:val="00724A98"/>
    <w:rsid w:val="00724B29"/>
    <w:rsid w:val="00724CC2"/>
    <w:rsid w:val="00724D3C"/>
    <w:rsid w:val="00724E15"/>
    <w:rsid w:val="00725235"/>
    <w:rsid w:val="007253CF"/>
    <w:rsid w:val="007256FD"/>
    <w:rsid w:val="00725AC4"/>
    <w:rsid w:val="00725C0B"/>
    <w:rsid w:val="00725CF5"/>
    <w:rsid w:val="00726309"/>
    <w:rsid w:val="00726328"/>
    <w:rsid w:val="007263D7"/>
    <w:rsid w:val="00726A2D"/>
    <w:rsid w:val="00726ACA"/>
    <w:rsid w:val="00726C3C"/>
    <w:rsid w:val="00726C6E"/>
    <w:rsid w:val="00727112"/>
    <w:rsid w:val="007276EF"/>
    <w:rsid w:val="00730171"/>
    <w:rsid w:val="0073031D"/>
    <w:rsid w:val="0073075D"/>
    <w:rsid w:val="00730AC4"/>
    <w:rsid w:val="0073111F"/>
    <w:rsid w:val="00731374"/>
    <w:rsid w:val="00731A45"/>
    <w:rsid w:val="00731E8C"/>
    <w:rsid w:val="0073262B"/>
    <w:rsid w:val="00732720"/>
    <w:rsid w:val="00732F5D"/>
    <w:rsid w:val="00732FB4"/>
    <w:rsid w:val="00733707"/>
    <w:rsid w:val="00733AC5"/>
    <w:rsid w:val="00733BA4"/>
    <w:rsid w:val="0073400B"/>
    <w:rsid w:val="00734162"/>
    <w:rsid w:val="00734314"/>
    <w:rsid w:val="007343D1"/>
    <w:rsid w:val="007345E3"/>
    <w:rsid w:val="00734D4F"/>
    <w:rsid w:val="00735433"/>
    <w:rsid w:val="00735565"/>
    <w:rsid w:val="0073559C"/>
    <w:rsid w:val="0073584D"/>
    <w:rsid w:val="00735A5D"/>
    <w:rsid w:val="00735B6C"/>
    <w:rsid w:val="00735E6F"/>
    <w:rsid w:val="007366F0"/>
    <w:rsid w:val="00736ADA"/>
    <w:rsid w:val="00736DB1"/>
    <w:rsid w:val="00736F44"/>
    <w:rsid w:val="00736FBC"/>
    <w:rsid w:val="007370B2"/>
    <w:rsid w:val="007375E9"/>
    <w:rsid w:val="00737802"/>
    <w:rsid w:val="00737AFF"/>
    <w:rsid w:val="007406BD"/>
    <w:rsid w:val="00740AA2"/>
    <w:rsid w:val="00740AA7"/>
    <w:rsid w:val="00741363"/>
    <w:rsid w:val="007420EB"/>
    <w:rsid w:val="00742B30"/>
    <w:rsid w:val="00742E54"/>
    <w:rsid w:val="00742F36"/>
    <w:rsid w:val="00744075"/>
    <w:rsid w:val="00744427"/>
    <w:rsid w:val="00744583"/>
    <w:rsid w:val="00744829"/>
    <w:rsid w:val="0074482E"/>
    <w:rsid w:val="0074489A"/>
    <w:rsid w:val="00744C07"/>
    <w:rsid w:val="007459EC"/>
    <w:rsid w:val="00745F2A"/>
    <w:rsid w:val="00745FAA"/>
    <w:rsid w:val="007462AB"/>
    <w:rsid w:val="00746603"/>
    <w:rsid w:val="00746C88"/>
    <w:rsid w:val="00746D1C"/>
    <w:rsid w:val="00747005"/>
    <w:rsid w:val="007472D5"/>
    <w:rsid w:val="00747308"/>
    <w:rsid w:val="00747358"/>
    <w:rsid w:val="007476B3"/>
    <w:rsid w:val="00747DCD"/>
    <w:rsid w:val="00747FE2"/>
    <w:rsid w:val="00747FF1"/>
    <w:rsid w:val="00750377"/>
    <w:rsid w:val="00750824"/>
    <w:rsid w:val="00750905"/>
    <w:rsid w:val="00750ED8"/>
    <w:rsid w:val="007511A9"/>
    <w:rsid w:val="007517C5"/>
    <w:rsid w:val="0075180B"/>
    <w:rsid w:val="00751859"/>
    <w:rsid w:val="00751ADD"/>
    <w:rsid w:val="00751D73"/>
    <w:rsid w:val="0075211A"/>
    <w:rsid w:val="00752126"/>
    <w:rsid w:val="00752512"/>
    <w:rsid w:val="007528D6"/>
    <w:rsid w:val="00752A25"/>
    <w:rsid w:val="00752CB2"/>
    <w:rsid w:val="007530EC"/>
    <w:rsid w:val="00753240"/>
    <w:rsid w:val="0075381A"/>
    <w:rsid w:val="0075385C"/>
    <w:rsid w:val="00753A53"/>
    <w:rsid w:val="00753D98"/>
    <w:rsid w:val="00754389"/>
    <w:rsid w:val="007547B9"/>
    <w:rsid w:val="00754BBD"/>
    <w:rsid w:val="00754C82"/>
    <w:rsid w:val="00754DF0"/>
    <w:rsid w:val="00754E2B"/>
    <w:rsid w:val="007552BE"/>
    <w:rsid w:val="00755662"/>
    <w:rsid w:val="007558A5"/>
    <w:rsid w:val="00755B9B"/>
    <w:rsid w:val="00755CAE"/>
    <w:rsid w:val="00755EF1"/>
    <w:rsid w:val="00756262"/>
    <w:rsid w:val="007562D0"/>
    <w:rsid w:val="00756D6B"/>
    <w:rsid w:val="0075729C"/>
    <w:rsid w:val="00757598"/>
    <w:rsid w:val="00757636"/>
    <w:rsid w:val="00757657"/>
    <w:rsid w:val="0075779F"/>
    <w:rsid w:val="007577C1"/>
    <w:rsid w:val="00757E09"/>
    <w:rsid w:val="0076015D"/>
    <w:rsid w:val="007605AD"/>
    <w:rsid w:val="007605D3"/>
    <w:rsid w:val="00760632"/>
    <w:rsid w:val="007606A3"/>
    <w:rsid w:val="007607E5"/>
    <w:rsid w:val="00760974"/>
    <w:rsid w:val="007609F4"/>
    <w:rsid w:val="00760A68"/>
    <w:rsid w:val="00760FDE"/>
    <w:rsid w:val="007613AE"/>
    <w:rsid w:val="007613C4"/>
    <w:rsid w:val="00761416"/>
    <w:rsid w:val="00761A28"/>
    <w:rsid w:val="00761AA9"/>
    <w:rsid w:val="00761ED9"/>
    <w:rsid w:val="00761FD4"/>
    <w:rsid w:val="007622F5"/>
    <w:rsid w:val="00762537"/>
    <w:rsid w:val="00762594"/>
    <w:rsid w:val="00762743"/>
    <w:rsid w:val="0076275D"/>
    <w:rsid w:val="007627A4"/>
    <w:rsid w:val="0076291F"/>
    <w:rsid w:val="00762B81"/>
    <w:rsid w:val="00762F8E"/>
    <w:rsid w:val="00763A32"/>
    <w:rsid w:val="00763D55"/>
    <w:rsid w:val="00763EE6"/>
    <w:rsid w:val="00764090"/>
    <w:rsid w:val="0076433C"/>
    <w:rsid w:val="00764999"/>
    <w:rsid w:val="007649D6"/>
    <w:rsid w:val="00764C32"/>
    <w:rsid w:val="0076542E"/>
    <w:rsid w:val="00765B86"/>
    <w:rsid w:val="0076629E"/>
    <w:rsid w:val="00766342"/>
    <w:rsid w:val="007663C4"/>
    <w:rsid w:val="007668D3"/>
    <w:rsid w:val="007671EA"/>
    <w:rsid w:val="00767B90"/>
    <w:rsid w:val="007700CA"/>
    <w:rsid w:val="00770C96"/>
    <w:rsid w:val="00770DD9"/>
    <w:rsid w:val="00771117"/>
    <w:rsid w:val="007713E0"/>
    <w:rsid w:val="007717E4"/>
    <w:rsid w:val="00771917"/>
    <w:rsid w:val="00771AC2"/>
    <w:rsid w:val="007725FE"/>
    <w:rsid w:val="0077271E"/>
    <w:rsid w:val="007728AE"/>
    <w:rsid w:val="007728BE"/>
    <w:rsid w:val="00772E57"/>
    <w:rsid w:val="00772EC6"/>
    <w:rsid w:val="00772F8E"/>
    <w:rsid w:val="00773249"/>
    <w:rsid w:val="00773A49"/>
    <w:rsid w:val="00773CB5"/>
    <w:rsid w:val="00773D60"/>
    <w:rsid w:val="00773FF7"/>
    <w:rsid w:val="00774338"/>
    <w:rsid w:val="00774447"/>
    <w:rsid w:val="0077461B"/>
    <w:rsid w:val="00774BA4"/>
    <w:rsid w:val="00774EB2"/>
    <w:rsid w:val="00775161"/>
    <w:rsid w:val="0077540B"/>
    <w:rsid w:val="00775E8C"/>
    <w:rsid w:val="00776559"/>
    <w:rsid w:val="007765E9"/>
    <w:rsid w:val="00776CF4"/>
    <w:rsid w:val="00776D2A"/>
    <w:rsid w:val="0077720A"/>
    <w:rsid w:val="007774E0"/>
    <w:rsid w:val="00777574"/>
    <w:rsid w:val="00777A60"/>
    <w:rsid w:val="00777B13"/>
    <w:rsid w:val="00777BD6"/>
    <w:rsid w:val="00777D45"/>
    <w:rsid w:val="00777E68"/>
    <w:rsid w:val="00780015"/>
    <w:rsid w:val="0078026C"/>
    <w:rsid w:val="007803AE"/>
    <w:rsid w:val="00780431"/>
    <w:rsid w:val="00780B97"/>
    <w:rsid w:val="00780C20"/>
    <w:rsid w:val="00781158"/>
    <w:rsid w:val="00781236"/>
    <w:rsid w:val="00781547"/>
    <w:rsid w:val="007816BD"/>
    <w:rsid w:val="007818EA"/>
    <w:rsid w:val="00781D9A"/>
    <w:rsid w:val="0078255D"/>
    <w:rsid w:val="007827D2"/>
    <w:rsid w:val="00782871"/>
    <w:rsid w:val="00782901"/>
    <w:rsid w:val="00782D63"/>
    <w:rsid w:val="00782F51"/>
    <w:rsid w:val="007830F5"/>
    <w:rsid w:val="0078313B"/>
    <w:rsid w:val="0078327D"/>
    <w:rsid w:val="00783329"/>
    <w:rsid w:val="007837CE"/>
    <w:rsid w:val="00783964"/>
    <w:rsid w:val="00783CCC"/>
    <w:rsid w:val="00783D37"/>
    <w:rsid w:val="00783F55"/>
    <w:rsid w:val="007842C4"/>
    <w:rsid w:val="00784606"/>
    <w:rsid w:val="0078473F"/>
    <w:rsid w:val="007848EA"/>
    <w:rsid w:val="00784BAA"/>
    <w:rsid w:val="00784CDC"/>
    <w:rsid w:val="00784DA8"/>
    <w:rsid w:val="0078548E"/>
    <w:rsid w:val="007856EB"/>
    <w:rsid w:val="00785A40"/>
    <w:rsid w:val="00785C40"/>
    <w:rsid w:val="00785CDE"/>
    <w:rsid w:val="0078610C"/>
    <w:rsid w:val="00786925"/>
    <w:rsid w:val="00786942"/>
    <w:rsid w:val="007869F0"/>
    <w:rsid w:val="00786F7F"/>
    <w:rsid w:val="0078730A"/>
    <w:rsid w:val="007874B4"/>
    <w:rsid w:val="00787504"/>
    <w:rsid w:val="00787643"/>
    <w:rsid w:val="007879C1"/>
    <w:rsid w:val="00787AB6"/>
    <w:rsid w:val="0079004A"/>
    <w:rsid w:val="007902D5"/>
    <w:rsid w:val="00790624"/>
    <w:rsid w:val="0079068D"/>
    <w:rsid w:val="007907EF"/>
    <w:rsid w:val="00790B8E"/>
    <w:rsid w:val="00790DEE"/>
    <w:rsid w:val="0079148C"/>
    <w:rsid w:val="00791559"/>
    <w:rsid w:val="00791696"/>
    <w:rsid w:val="00791787"/>
    <w:rsid w:val="007917EB"/>
    <w:rsid w:val="00791AB4"/>
    <w:rsid w:val="0079222C"/>
    <w:rsid w:val="0079232C"/>
    <w:rsid w:val="00792754"/>
    <w:rsid w:val="00792BB7"/>
    <w:rsid w:val="00792C6C"/>
    <w:rsid w:val="00792DA5"/>
    <w:rsid w:val="00792EFE"/>
    <w:rsid w:val="00793235"/>
    <w:rsid w:val="00794136"/>
    <w:rsid w:val="007942BA"/>
    <w:rsid w:val="00794A90"/>
    <w:rsid w:val="007952CA"/>
    <w:rsid w:val="007953D8"/>
    <w:rsid w:val="00795461"/>
    <w:rsid w:val="00795558"/>
    <w:rsid w:val="007955DC"/>
    <w:rsid w:val="00795681"/>
    <w:rsid w:val="007956DC"/>
    <w:rsid w:val="007958E5"/>
    <w:rsid w:val="00795912"/>
    <w:rsid w:val="00795A86"/>
    <w:rsid w:val="00795EB0"/>
    <w:rsid w:val="00796162"/>
    <w:rsid w:val="0079699D"/>
    <w:rsid w:val="00796A13"/>
    <w:rsid w:val="00796ADB"/>
    <w:rsid w:val="00796B87"/>
    <w:rsid w:val="00796DE5"/>
    <w:rsid w:val="00796F17"/>
    <w:rsid w:val="00797429"/>
    <w:rsid w:val="00797A20"/>
    <w:rsid w:val="00797B93"/>
    <w:rsid w:val="00797BF3"/>
    <w:rsid w:val="00797E7B"/>
    <w:rsid w:val="007A054D"/>
    <w:rsid w:val="007A05FF"/>
    <w:rsid w:val="007A07E5"/>
    <w:rsid w:val="007A08C1"/>
    <w:rsid w:val="007A0BD7"/>
    <w:rsid w:val="007A0DCA"/>
    <w:rsid w:val="007A0DF8"/>
    <w:rsid w:val="007A0F4A"/>
    <w:rsid w:val="007A108C"/>
    <w:rsid w:val="007A14B0"/>
    <w:rsid w:val="007A14E1"/>
    <w:rsid w:val="007A1572"/>
    <w:rsid w:val="007A15B0"/>
    <w:rsid w:val="007A18E9"/>
    <w:rsid w:val="007A1C56"/>
    <w:rsid w:val="007A1CA5"/>
    <w:rsid w:val="007A1E72"/>
    <w:rsid w:val="007A2164"/>
    <w:rsid w:val="007A246C"/>
    <w:rsid w:val="007A2474"/>
    <w:rsid w:val="007A2712"/>
    <w:rsid w:val="007A2F52"/>
    <w:rsid w:val="007A3267"/>
    <w:rsid w:val="007A326F"/>
    <w:rsid w:val="007A3574"/>
    <w:rsid w:val="007A3668"/>
    <w:rsid w:val="007A3BCB"/>
    <w:rsid w:val="007A4794"/>
    <w:rsid w:val="007A479A"/>
    <w:rsid w:val="007A4BAE"/>
    <w:rsid w:val="007A4F16"/>
    <w:rsid w:val="007A55A1"/>
    <w:rsid w:val="007A5B20"/>
    <w:rsid w:val="007A5D0F"/>
    <w:rsid w:val="007A613A"/>
    <w:rsid w:val="007A69CA"/>
    <w:rsid w:val="007A69E0"/>
    <w:rsid w:val="007A6FA0"/>
    <w:rsid w:val="007A7128"/>
    <w:rsid w:val="007A7433"/>
    <w:rsid w:val="007A749E"/>
    <w:rsid w:val="007A7716"/>
    <w:rsid w:val="007B0276"/>
    <w:rsid w:val="007B0C0C"/>
    <w:rsid w:val="007B161D"/>
    <w:rsid w:val="007B188B"/>
    <w:rsid w:val="007B1C41"/>
    <w:rsid w:val="007B25F4"/>
    <w:rsid w:val="007B2672"/>
    <w:rsid w:val="007B2791"/>
    <w:rsid w:val="007B2C33"/>
    <w:rsid w:val="007B2DF1"/>
    <w:rsid w:val="007B30E9"/>
    <w:rsid w:val="007B31E9"/>
    <w:rsid w:val="007B32DC"/>
    <w:rsid w:val="007B3385"/>
    <w:rsid w:val="007B36AD"/>
    <w:rsid w:val="007B3838"/>
    <w:rsid w:val="007B38BA"/>
    <w:rsid w:val="007B39CE"/>
    <w:rsid w:val="007B3B57"/>
    <w:rsid w:val="007B3E26"/>
    <w:rsid w:val="007B4547"/>
    <w:rsid w:val="007B4C44"/>
    <w:rsid w:val="007B4DF5"/>
    <w:rsid w:val="007B5639"/>
    <w:rsid w:val="007B5815"/>
    <w:rsid w:val="007B5900"/>
    <w:rsid w:val="007B5D5A"/>
    <w:rsid w:val="007B6384"/>
    <w:rsid w:val="007B638A"/>
    <w:rsid w:val="007B647F"/>
    <w:rsid w:val="007B6515"/>
    <w:rsid w:val="007B6893"/>
    <w:rsid w:val="007B709F"/>
    <w:rsid w:val="007B7248"/>
    <w:rsid w:val="007B742D"/>
    <w:rsid w:val="007B759C"/>
    <w:rsid w:val="007B77B0"/>
    <w:rsid w:val="007B7865"/>
    <w:rsid w:val="007C0710"/>
    <w:rsid w:val="007C071C"/>
    <w:rsid w:val="007C083C"/>
    <w:rsid w:val="007C0B17"/>
    <w:rsid w:val="007C0DB1"/>
    <w:rsid w:val="007C10AB"/>
    <w:rsid w:val="007C10B9"/>
    <w:rsid w:val="007C1283"/>
    <w:rsid w:val="007C13AC"/>
    <w:rsid w:val="007C141B"/>
    <w:rsid w:val="007C19DD"/>
    <w:rsid w:val="007C1A6E"/>
    <w:rsid w:val="007C1D14"/>
    <w:rsid w:val="007C1E9E"/>
    <w:rsid w:val="007C1F0A"/>
    <w:rsid w:val="007C2143"/>
    <w:rsid w:val="007C235F"/>
    <w:rsid w:val="007C29EB"/>
    <w:rsid w:val="007C2BE3"/>
    <w:rsid w:val="007C2F84"/>
    <w:rsid w:val="007C2F8A"/>
    <w:rsid w:val="007C36E2"/>
    <w:rsid w:val="007C39E0"/>
    <w:rsid w:val="007C3E6D"/>
    <w:rsid w:val="007C4453"/>
    <w:rsid w:val="007C4626"/>
    <w:rsid w:val="007C5002"/>
    <w:rsid w:val="007C5531"/>
    <w:rsid w:val="007C5934"/>
    <w:rsid w:val="007C5A1A"/>
    <w:rsid w:val="007C6109"/>
    <w:rsid w:val="007C62ED"/>
    <w:rsid w:val="007C62FA"/>
    <w:rsid w:val="007C646D"/>
    <w:rsid w:val="007C6CB8"/>
    <w:rsid w:val="007C6F9C"/>
    <w:rsid w:val="007C709C"/>
    <w:rsid w:val="007C7247"/>
    <w:rsid w:val="007C777E"/>
    <w:rsid w:val="007D0882"/>
    <w:rsid w:val="007D0D78"/>
    <w:rsid w:val="007D0EB5"/>
    <w:rsid w:val="007D1066"/>
    <w:rsid w:val="007D1787"/>
    <w:rsid w:val="007D17FA"/>
    <w:rsid w:val="007D19A2"/>
    <w:rsid w:val="007D1F0B"/>
    <w:rsid w:val="007D23BF"/>
    <w:rsid w:val="007D2448"/>
    <w:rsid w:val="007D24C0"/>
    <w:rsid w:val="007D2D9A"/>
    <w:rsid w:val="007D2EC2"/>
    <w:rsid w:val="007D3653"/>
    <w:rsid w:val="007D38E5"/>
    <w:rsid w:val="007D3CE5"/>
    <w:rsid w:val="007D3D09"/>
    <w:rsid w:val="007D44E8"/>
    <w:rsid w:val="007D45CD"/>
    <w:rsid w:val="007D4658"/>
    <w:rsid w:val="007D46DF"/>
    <w:rsid w:val="007D46F8"/>
    <w:rsid w:val="007D4DA0"/>
    <w:rsid w:val="007D51B4"/>
    <w:rsid w:val="007D54D1"/>
    <w:rsid w:val="007D54D2"/>
    <w:rsid w:val="007D558E"/>
    <w:rsid w:val="007D55D1"/>
    <w:rsid w:val="007D55D7"/>
    <w:rsid w:val="007D5C0B"/>
    <w:rsid w:val="007D5E78"/>
    <w:rsid w:val="007D5F7E"/>
    <w:rsid w:val="007D60AE"/>
    <w:rsid w:val="007D616F"/>
    <w:rsid w:val="007D644A"/>
    <w:rsid w:val="007D6764"/>
    <w:rsid w:val="007D6835"/>
    <w:rsid w:val="007D69F3"/>
    <w:rsid w:val="007D6C26"/>
    <w:rsid w:val="007D6E68"/>
    <w:rsid w:val="007D7000"/>
    <w:rsid w:val="007D7376"/>
    <w:rsid w:val="007D7625"/>
    <w:rsid w:val="007D762E"/>
    <w:rsid w:val="007D77EF"/>
    <w:rsid w:val="007D782B"/>
    <w:rsid w:val="007D78DA"/>
    <w:rsid w:val="007D7ABE"/>
    <w:rsid w:val="007D7BAF"/>
    <w:rsid w:val="007D7E76"/>
    <w:rsid w:val="007D7FB7"/>
    <w:rsid w:val="007E0352"/>
    <w:rsid w:val="007E04F8"/>
    <w:rsid w:val="007E052F"/>
    <w:rsid w:val="007E0FFB"/>
    <w:rsid w:val="007E1425"/>
    <w:rsid w:val="007E18C6"/>
    <w:rsid w:val="007E1AD1"/>
    <w:rsid w:val="007E2004"/>
    <w:rsid w:val="007E2746"/>
    <w:rsid w:val="007E2EA9"/>
    <w:rsid w:val="007E2EEF"/>
    <w:rsid w:val="007E2F7E"/>
    <w:rsid w:val="007E30BA"/>
    <w:rsid w:val="007E4016"/>
    <w:rsid w:val="007E4468"/>
    <w:rsid w:val="007E4596"/>
    <w:rsid w:val="007E46DC"/>
    <w:rsid w:val="007E4B38"/>
    <w:rsid w:val="007E4EE6"/>
    <w:rsid w:val="007E4FB2"/>
    <w:rsid w:val="007E56B7"/>
    <w:rsid w:val="007E5B39"/>
    <w:rsid w:val="007E6151"/>
    <w:rsid w:val="007E64DF"/>
    <w:rsid w:val="007E6565"/>
    <w:rsid w:val="007E68A2"/>
    <w:rsid w:val="007E6C43"/>
    <w:rsid w:val="007E6C55"/>
    <w:rsid w:val="007E6E56"/>
    <w:rsid w:val="007E7AD2"/>
    <w:rsid w:val="007F0009"/>
    <w:rsid w:val="007F0A6B"/>
    <w:rsid w:val="007F0E87"/>
    <w:rsid w:val="007F137F"/>
    <w:rsid w:val="007F1680"/>
    <w:rsid w:val="007F17F1"/>
    <w:rsid w:val="007F18D2"/>
    <w:rsid w:val="007F1B0B"/>
    <w:rsid w:val="007F1E06"/>
    <w:rsid w:val="007F1EDF"/>
    <w:rsid w:val="007F20D1"/>
    <w:rsid w:val="007F23D5"/>
    <w:rsid w:val="007F2430"/>
    <w:rsid w:val="007F2546"/>
    <w:rsid w:val="007F2C1B"/>
    <w:rsid w:val="007F2D95"/>
    <w:rsid w:val="007F2DD3"/>
    <w:rsid w:val="007F2E64"/>
    <w:rsid w:val="007F2F6E"/>
    <w:rsid w:val="007F3CDE"/>
    <w:rsid w:val="007F3E61"/>
    <w:rsid w:val="007F3F3B"/>
    <w:rsid w:val="007F40E2"/>
    <w:rsid w:val="007F4294"/>
    <w:rsid w:val="007F42A4"/>
    <w:rsid w:val="007F439D"/>
    <w:rsid w:val="007F4EFE"/>
    <w:rsid w:val="007F50A8"/>
    <w:rsid w:val="007F5779"/>
    <w:rsid w:val="007F5B1D"/>
    <w:rsid w:val="007F5EBD"/>
    <w:rsid w:val="007F6240"/>
    <w:rsid w:val="007F650F"/>
    <w:rsid w:val="007F65FB"/>
    <w:rsid w:val="007F6628"/>
    <w:rsid w:val="007F666C"/>
    <w:rsid w:val="007F66B5"/>
    <w:rsid w:val="007F6C7C"/>
    <w:rsid w:val="007F6D6A"/>
    <w:rsid w:val="007F7DB4"/>
    <w:rsid w:val="007F7F34"/>
    <w:rsid w:val="008005A1"/>
    <w:rsid w:val="00800645"/>
    <w:rsid w:val="0080071C"/>
    <w:rsid w:val="00800C7D"/>
    <w:rsid w:val="00800E34"/>
    <w:rsid w:val="00800FEB"/>
    <w:rsid w:val="00801096"/>
    <w:rsid w:val="0080150D"/>
    <w:rsid w:val="00801649"/>
    <w:rsid w:val="008018DD"/>
    <w:rsid w:val="00801E48"/>
    <w:rsid w:val="00801F28"/>
    <w:rsid w:val="0080221A"/>
    <w:rsid w:val="00802299"/>
    <w:rsid w:val="00802526"/>
    <w:rsid w:val="0080267C"/>
    <w:rsid w:val="0080287E"/>
    <w:rsid w:val="00802A07"/>
    <w:rsid w:val="00803013"/>
    <w:rsid w:val="0080337A"/>
    <w:rsid w:val="0080394C"/>
    <w:rsid w:val="00803F58"/>
    <w:rsid w:val="008045B9"/>
    <w:rsid w:val="008045D6"/>
    <w:rsid w:val="00804707"/>
    <w:rsid w:val="00804A4D"/>
    <w:rsid w:val="00804C07"/>
    <w:rsid w:val="0080543F"/>
    <w:rsid w:val="00805B59"/>
    <w:rsid w:val="00805DFC"/>
    <w:rsid w:val="00805EB4"/>
    <w:rsid w:val="00806172"/>
    <w:rsid w:val="0080621E"/>
    <w:rsid w:val="0080636F"/>
    <w:rsid w:val="008064B4"/>
    <w:rsid w:val="008068A5"/>
    <w:rsid w:val="00806FB6"/>
    <w:rsid w:val="00807098"/>
    <w:rsid w:val="008075BF"/>
    <w:rsid w:val="0080799E"/>
    <w:rsid w:val="00807CE3"/>
    <w:rsid w:val="0081006C"/>
    <w:rsid w:val="008107B6"/>
    <w:rsid w:val="00810AB1"/>
    <w:rsid w:val="00810E15"/>
    <w:rsid w:val="00811645"/>
    <w:rsid w:val="00811653"/>
    <w:rsid w:val="008119FF"/>
    <w:rsid w:val="00811DC5"/>
    <w:rsid w:val="008121F6"/>
    <w:rsid w:val="0081283F"/>
    <w:rsid w:val="00812BDB"/>
    <w:rsid w:val="0081306C"/>
    <w:rsid w:val="00813444"/>
    <w:rsid w:val="00813A24"/>
    <w:rsid w:val="00813E26"/>
    <w:rsid w:val="00813F40"/>
    <w:rsid w:val="008140CF"/>
    <w:rsid w:val="00814104"/>
    <w:rsid w:val="00814659"/>
    <w:rsid w:val="008148FE"/>
    <w:rsid w:val="00814F67"/>
    <w:rsid w:val="008159AA"/>
    <w:rsid w:val="00815B63"/>
    <w:rsid w:val="00815CE1"/>
    <w:rsid w:val="00815E88"/>
    <w:rsid w:val="008160A8"/>
    <w:rsid w:val="00816263"/>
    <w:rsid w:val="00816872"/>
    <w:rsid w:val="00816DCE"/>
    <w:rsid w:val="00816F39"/>
    <w:rsid w:val="0081730E"/>
    <w:rsid w:val="00817755"/>
    <w:rsid w:val="00817A62"/>
    <w:rsid w:val="00817EFA"/>
    <w:rsid w:val="00817F40"/>
    <w:rsid w:val="0082071F"/>
    <w:rsid w:val="00820E9A"/>
    <w:rsid w:val="00820EA7"/>
    <w:rsid w:val="00821A8C"/>
    <w:rsid w:val="008223A7"/>
    <w:rsid w:val="0082257B"/>
    <w:rsid w:val="00822625"/>
    <w:rsid w:val="008226D7"/>
    <w:rsid w:val="008226DF"/>
    <w:rsid w:val="00822B09"/>
    <w:rsid w:val="00822C1C"/>
    <w:rsid w:val="00822CC8"/>
    <w:rsid w:val="00822F02"/>
    <w:rsid w:val="00822F1D"/>
    <w:rsid w:val="0082322B"/>
    <w:rsid w:val="0082329B"/>
    <w:rsid w:val="00823422"/>
    <w:rsid w:val="0082354B"/>
    <w:rsid w:val="0082374B"/>
    <w:rsid w:val="00823750"/>
    <w:rsid w:val="00823A18"/>
    <w:rsid w:val="00823DC0"/>
    <w:rsid w:val="00823E05"/>
    <w:rsid w:val="0082435A"/>
    <w:rsid w:val="00824592"/>
    <w:rsid w:val="008249BB"/>
    <w:rsid w:val="00824B06"/>
    <w:rsid w:val="00824D43"/>
    <w:rsid w:val="00824E8E"/>
    <w:rsid w:val="00824E93"/>
    <w:rsid w:val="008251F8"/>
    <w:rsid w:val="008255E8"/>
    <w:rsid w:val="00825C63"/>
    <w:rsid w:val="00825F54"/>
    <w:rsid w:val="00826756"/>
    <w:rsid w:val="008268DA"/>
    <w:rsid w:val="008276C5"/>
    <w:rsid w:val="00827742"/>
    <w:rsid w:val="0082777F"/>
    <w:rsid w:val="00827843"/>
    <w:rsid w:val="00827A30"/>
    <w:rsid w:val="00827B4E"/>
    <w:rsid w:val="00827BB3"/>
    <w:rsid w:val="00827DA8"/>
    <w:rsid w:val="00827E56"/>
    <w:rsid w:val="0083011F"/>
    <w:rsid w:val="008301A1"/>
    <w:rsid w:val="00830960"/>
    <w:rsid w:val="00830ADD"/>
    <w:rsid w:val="00830BA2"/>
    <w:rsid w:val="00830EC2"/>
    <w:rsid w:val="0083109C"/>
    <w:rsid w:val="008315B0"/>
    <w:rsid w:val="008317AE"/>
    <w:rsid w:val="00831A39"/>
    <w:rsid w:val="00831A9C"/>
    <w:rsid w:val="00831E62"/>
    <w:rsid w:val="00831E90"/>
    <w:rsid w:val="00831F30"/>
    <w:rsid w:val="00832389"/>
    <w:rsid w:val="0083242C"/>
    <w:rsid w:val="0083250E"/>
    <w:rsid w:val="00832521"/>
    <w:rsid w:val="00832544"/>
    <w:rsid w:val="00832DD4"/>
    <w:rsid w:val="0083331C"/>
    <w:rsid w:val="00833465"/>
    <w:rsid w:val="00833511"/>
    <w:rsid w:val="008336C0"/>
    <w:rsid w:val="008336F7"/>
    <w:rsid w:val="008341F6"/>
    <w:rsid w:val="00834427"/>
    <w:rsid w:val="008344A9"/>
    <w:rsid w:val="00834951"/>
    <w:rsid w:val="00834AC8"/>
    <w:rsid w:val="00834ECC"/>
    <w:rsid w:val="00835029"/>
    <w:rsid w:val="00835042"/>
    <w:rsid w:val="00835169"/>
    <w:rsid w:val="00835489"/>
    <w:rsid w:val="00835747"/>
    <w:rsid w:val="00835871"/>
    <w:rsid w:val="00836951"/>
    <w:rsid w:val="00836B77"/>
    <w:rsid w:val="00836C39"/>
    <w:rsid w:val="0083717C"/>
    <w:rsid w:val="008373CA"/>
    <w:rsid w:val="00837405"/>
    <w:rsid w:val="008375F3"/>
    <w:rsid w:val="008377B1"/>
    <w:rsid w:val="00837A09"/>
    <w:rsid w:val="00837FA0"/>
    <w:rsid w:val="0084011E"/>
    <w:rsid w:val="0084012B"/>
    <w:rsid w:val="00840C9D"/>
    <w:rsid w:val="008412DD"/>
    <w:rsid w:val="00841314"/>
    <w:rsid w:val="008413C4"/>
    <w:rsid w:val="00841740"/>
    <w:rsid w:val="0084177B"/>
    <w:rsid w:val="00841913"/>
    <w:rsid w:val="00841C23"/>
    <w:rsid w:val="00842293"/>
    <w:rsid w:val="0084252E"/>
    <w:rsid w:val="00842666"/>
    <w:rsid w:val="008427C4"/>
    <w:rsid w:val="0084367D"/>
    <w:rsid w:val="00843997"/>
    <w:rsid w:val="008439C2"/>
    <w:rsid w:val="00843E7B"/>
    <w:rsid w:val="00843F6D"/>
    <w:rsid w:val="00844790"/>
    <w:rsid w:val="008449DC"/>
    <w:rsid w:val="00844B3D"/>
    <w:rsid w:val="00844D40"/>
    <w:rsid w:val="00844DE8"/>
    <w:rsid w:val="00844FA7"/>
    <w:rsid w:val="00845014"/>
    <w:rsid w:val="008450EE"/>
    <w:rsid w:val="00845447"/>
    <w:rsid w:val="0084563F"/>
    <w:rsid w:val="00845BB8"/>
    <w:rsid w:val="00845CB3"/>
    <w:rsid w:val="00846039"/>
    <w:rsid w:val="00846296"/>
    <w:rsid w:val="008463DD"/>
    <w:rsid w:val="008464A7"/>
    <w:rsid w:val="00846652"/>
    <w:rsid w:val="00846766"/>
    <w:rsid w:val="008467A3"/>
    <w:rsid w:val="00846AA3"/>
    <w:rsid w:val="00846F84"/>
    <w:rsid w:val="00847672"/>
    <w:rsid w:val="00847863"/>
    <w:rsid w:val="00847E42"/>
    <w:rsid w:val="0085004D"/>
    <w:rsid w:val="008501B8"/>
    <w:rsid w:val="008503DB"/>
    <w:rsid w:val="008505A2"/>
    <w:rsid w:val="008507DB"/>
    <w:rsid w:val="0085084D"/>
    <w:rsid w:val="00850CA2"/>
    <w:rsid w:val="00850FA1"/>
    <w:rsid w:val="0085129E"/>
    <w:rsid w:val="00851564"/>
    <w:rsid w:val="0085167C"/>
    <w:rsid w:val="008517F2"/>
    <w:rsid w:val="008517F8"/>
    <w:rsid w:val="00851E2A"/>
    <w:rsid w:val="00851E2C"/>
    <w:rsid w:val="00852227"/>
    <w:rsid w:val="00852556"/>
    <w:rsid w:val="00853070"/>
    <w:rsid w:val="008530B2"/>
    <w:rsid w:val="008530EE"/>
    <w:rsid w:val="00853F7F"/>
    <w:rsid w:val="00854033"/>
    <w:rsid w:val="0085448B"/>
    <w:rsid w:val="0085470D"/>
    <w:rsid w:val="0085509E"/>
    <w:rsid w:val="00855356"/>
    <w:rsid w:val="00855362"/>
    <w:rsid w:val="008554E6"/>
    <w:rsid w:val="008555B5"/>
    <w:rsid w:val="0085577E"/>
    <w:rsid w:val="0085583D"/>
    <w:rsid w:val="00855864"/>
    <w:rsid w:val="008558C8"/>
    <w:rsid w:val="008558F2"/>
    <w:rsid w:val="0085594B"/>
    <w:rsid w:val="00855A80"/>
    <w:rsid w:val="00856257"/>
    <w:rsid w:val="0085674B"/>
    <w:rsid w:val="0085685B"/>
    <w:rsid w:val="00856BBF"/>
    <w:rsid w:val="00856C08"/>
    <w:rsid w:val="00856D68"/>
    <w:rsid w:val="00856DC6"/>
    <w:rsid w:val="00857183"/>
    <w:rsid w:val="00857445"/>
    <w:rsid w:val="008577E0"/>
    <w:rsid w:val="00857864"/>
    <w:rsid w:val="0085791F"/>
    <w:rsid w:val="00857A2A"/>
    <w:rsid w:val="00857B9E"/>
    <w:rsid w:val="00857E7E"/>
    <w:rsid w:val="00860308"/>
    <w:rsid w:val="0086088E"/>
    <w:rsid w:val="00860A8B"/>
    <w:rsid w:val="00860DA5"/>
    <w:rsid w:val="00860EF4"/>
    <w:rsid w:val="00861576"/>
    <w:rsid w:val="0086174C"/>
    <w:rsid w:val="0086226A"/>
    <w:rsid w:val="008625B2"/>
    <w:rsid w:val="008628EC"/>
    <w:rsid w:val="008629D7"/>
    <w:rsid w:val="00862A33"/>
    <w:rsid w:val="00862B92"/>
    <w:rsid w:val="00862BF0"/>
    <w:rsid w:val="00862C7C"/>
    <w:rsid w:val="008636F4"/>
    <w:rsid w:val="00863918"/>
    <w:rsid w:val="00863CDA"/>
    <w:rsid w:val="008641B0"/>
    <w:rsid w:val="008647B8"/>
    <w:rsid w:val="00864C30"/>
    <w:rsid w:val="00864DA8"/>
    <w:rsid w:val="00864DB9"/>
    <w:rsid w:val="00865294"/>
    <w:rsid w:val="00865388"/>
    <w:rsid w:val="00865949"/>
    <w:rsid w:val="00865AD9"/>
    <w:rsid w:val="00865E74"/>
    <w:rsid w:val="00865F76"/>
    <w:rsid w:val="008664B6"/>
    <w:rsid w:val="008667BE"/>
    <w:rsid w:val="00867018"/>
    <w:rsid w:val="00867908"/>
    <w:rsid w:val="008679EA"/>
    <w:rsid w:val="00867B23"/>
    <w:rsid w:val="00867EBC"/>
    <w:rsid w:val="00867FA8"/>
    <w:rsid w:val="0087091A"/>
    <w:rsid w:val="00870B50"/>
    <w:rsid w:val="008712ED"/>
    <w:rsid w:val="008713EA"/>
    <w:rsid w:val="00871E84"/>
    <w:rsid w:val="00871E8D"/>
    <w:rsid w:val="00871EB2"/>
    <w:rsid w:val="00872459"/>
    <w:rsid w:val="00872784"/>
    <w:rsid w:val="00872BC3"/>
    <w:rsid w:val="0087348F"/>
    <w:rsid w:val="00873582"/>
    <w:rsid w:val="008735AB"/>
    <w:rsid w:val="008738DA"/>
    <w:rsid w:val="008739EE"/>
    <w:rsid w:val="00873D41"/>
    <w:rsid w:val="00874048"/>
    <w:rsid w:val="0087425C"/>
    <w:rsid w:val="00874269"/>
    <w:rsid w:val="008742C2"/>
    <w:rsid w:val="008744AB"/>
    <w:rsid w:val="0087466E"/>
    <w:rsid w:val="00874AA1"/>
    <w:rsid w:val="00875638"/>
    <w:rsid w:val="008758BB"/>
    <w:rsid w:val="00875FE3"/>
    <w:rsid w:val="00876AA8"/>
    <w:rsid w:val="00876BAF"/>
    <w:rsid w:val="00876C26"/>
    <w:rsid w:val="00876E85"/>
    <w:rsid w:val="00877177"/>
    <w:rsid w:val="00877548"/>
    <w:rsid w:val="00877C6E"/>
    <w:rsid w:val="00880009"/>
    <w:rsid w:val="0088088E"/>
    <w:rsid w:val="008811D6"/>
    <w:rsid w:val="008817C6"/>
    <w:rsid w:val="00881D92"/>
    <w:rsid w:val="00881ECD"/>
    <w:rsid w:val="00881F63"/>
    <w:rsid w:val="0088213D"/>
    <w:rsid w:val="00882165"/>
    <w:rsid w:val="008827D4"/>
    <w:rsid w:val="008828D0"/>
    <w:rsid w:val="00882AC6"/>
    <w:rsid w:val="0088309E"/>
    <w:rsid w:val="0088383B"/>
    <w:rsid w:val="00883D96"/>
    <w:rsid w:val="00884501"/>
    <w:rsid w:val="0088500C"/>
    <w:rsid w:val="008850D8"/>
    <w:rsid w:val="00885491"/>
    <w:rsid w:val="008855ED"/>
    <w:rsid w:val="00885B0E"/>
    <w:rsid w:val="00885B25"/>
    <w:rsid w:val="00885DB6"/>
    <w:rsid w:val="00885E49"/>
    <w:rsid w:val="00885E81"/>
    <w:rsid w:val="00885FDE"/>
    <w:rsid w:val="00886030"/>
    <w:rsid w:val="00886190"/>
    <w:rsid w:val="0088664E"/>
    <w:rsid w:val="008869B3"/>
    <w:rsid w:val="00886B3F"/>
    <w:rsid w:val="00886F01"/>
    <w:rsid w:val="008873D3"/>
    <w:rsid w:val="008877FC"/>
    <w:rsid w:val="00890386"/>
    <w:rsid w:val="008904B3"/>
    <w:rsid w:val="00890600"/>
    <w:rsid w:val="00890DA8"/>
    <w:rsid w:val="00890FEB"/>
    <w:rsid w:val="008913C7"/>
    <w:rsid w:val="00891431"/>
    <w:rsid w:val="00891A2F"/>
    <w:rsid w:val="00891DBA"/>
    <w:rsid w:val="00891FAD"/>
    <w:rsid w:val="008922E5"/>
    <w:rsid w:val="008923BD"/>
    <w:rsid w:val="00892519"/>
    <w:rsid w:val="0089330B"/>
    <w:rsid w:val="00893512"/>
    <w:rsid w:val="008935D1"/>
    <w:rsid w:val="00893645"/>
    <w:rsid w:val="008937FA"/>
    <w:rsid w:val="00893880"/>
    <w:rsid w:val="00893895"/>
    <w:rsid w:val="00893BDB"/>
    <w:rsid w:val="00893EBB"/>
    <w:rsid w:val="00893ED6"/>
    <w:rsid w:val="00894C2B"/>
    <w:rsid w:val="00894F87"/>
    <w:rsid w:val="00895119"/>
    <w:rsid w:val="00895233"/>
    <w:rsid w:val="00895775"/>
    <w:rsid w:val="0089580B"/>
    <w:rsid w:val="00895B29"/>
    <w:rsid w:val="008963EB"/>
    <w:rsid w:val="0089646C"/>
    <w:rsid w:val="00896697"/>
    <w:rsid w:val="0089691C"/>
    <w:rsid w:val="00896F39"/>
    <w:rsid w:val="0089705A"/>
    <w:rsid w:val="008974A6"/>
    <w:rsid w:val="008975FF"/>
    <w:rsid w:val="008976BD"/>
    <w:rsid w:val="00897868"/>
    <w:rsid w:val="008979F7"/>
    <w:rsid w:val="008A0253"/>
    <w:rsid w:val="008A04A0"/>
    <w:rsid w:val="008A05C9"/>
    <w:rsid w:val="008A0600"/>
    <w:rsid w:val="008A0F97"/>
    <w:rsid w:val="008A0FC6"/>
    <w:rsid w:val="008A1180"/>
    <w:rsid w:val="008A1618"/>
    <w:rsid w:val="008A16E2"/>
    <w:rsid w:val="008A1BE4"/>
    <w:rsid w:val="008A1C99"/>
    <w:rsid w:val="008A1F6C"/>
    <w:rsid w:val="008A227A"/>
    <w:rsid w:val="008A2903"/>
    <w:rsid w:val="008A2D49"/>
    <w:rsid w:val="008A30B1"/>
    <w:rsid w:val="008A33BA"/>
    <w:rsid w:val="008A3433"/>
    <w:rsid w:val="008A353C"/>
    <w:rsid w:val="008A386E"/>
    <w:rsid w:val="008A3D4F"/>
    <w:rsid w:val="008A3F83"/>
    <w:rsid w:val="008A412C"/>
    <w:rsid w:val="008A439C"/>
    <w:rsid w:val="008A45A3"/>
    <w:rsid w:val="008A4660"/>
    <w:rsid w:val="008A47D9"/>
    <w:rsid w:val="008A4BD9"/>
    <w:rsid w:val="008A4D3B"/>
    <w:rsid w:val="008A4D61"/>
    <w:rsid w:val="008A4EBF"/>
    <w:rsid w:val="008A4FC9"/>
    <w:rsid w:val="008A5A41"/>
    <w:rsid w:val="008A5AF1"/>
    <w:rsid w:val="008A6479"/>
    <w:rsid w:val="008A69CD"/>
    <w:rsid w:val="008A6C35"/>
    <w:rsid w:val="008A6D1E"/>
    <w:rsid w:val="008A6F17"/>
    <w:rsid w:val="008A6F7B"/>
    <w:rsid w:val="008A702D"/>
    <w:rsid w:val="008A70E8"/>
    <w:rsid w:val="008A7B81"/>
    <w:rsid w:val="008A7E54"/>
    <w:rsid w:val="008B04A6"/>
    <w:rsid w:val="008B05EE"/>
    <w:rsid w:val="008B139C"/>
    <w:rsid w:val="008B1FCB"/>
    <w:rsid w:val="008B2C58"/>
    <w:rsid w:val="008B2DFE"/>
    <w:rsid w:val="008B2E74"/>
    <w:rsid w:val="008B36E7"/>
    <w:rsid w:val="008B370D"/>
    <w:rsid w:val="008B3716"/>
    <w:rsid w:val="008B3AB2"/>
    <w:rsid w:val="008B3F4A"/>
    <w:rsid w:val="008B3F9A"/>
    <w:rsid w:val="008B3FE8"/>
    <w:rsid w:val="008B49BB"/>
    <w:rsid w:val="008B4AC5"/>
    <w:rsid w:val="008B4F5F"/>
    <w:rsid w:val="008B4F83"/>
    <w:rsid w:val="008B5265"/>
    <w:rsid w:val="008B55EF"/>
    <w:rsid w:val="008B5EC0"/>
    <w:rsid w:val="008B5EDE"/>
    <w:rsid w:val="008B5F77"/>
    <w:rsid w:val="008B606B"/>
    <w:rsid w:val="008B6E0A"/>
    <w:rsid w:val="008B7527"/>
    <w:rsid w:val="008B75E8"/>
    <w:rsid w:val="008B7696"/>
    <w:rsid w:val="008B781E"/>
    <w:rsid w:val="008C0095"/>
    <w:rsid w:val="008C0450"/>
    <w:rsid w:val="008C04B7"/>
    <w:rsid w:val="008C08B5"/>
    <w:rsid w:val="008C09E1"/>
    <w:rsid w:val="008C0D40"/>
    <w:rsid w:val="008C0D4E"/>
    <w:rsid w:val="008C0DAF"/>
    <w:rsid w:val="008C0F73"/>
    <w:rsid w:val="008C117B"/>
    <w:rsid w:val="008C154C"/>
    <w:rsid w:val="008C16A4"/>
    <w:rsid w:val="008C17DB"/>
    <w:rsid w:val="008C1B97"/>
    <w:rsid w:val="008C1DF3"/>
    <w:rsid w:val="008C2347"/>
    <w:rsid w:val="008C23ED"/>
    <w:rsid w:val="008C2494"/>
    <w:rsid w:val="008C25B6"/>
    <w:rsid w:val="008C2AFF"/>
    <w:rsid w:val="008C2B46"/>
    <w:rsid w:val="008C2CF2"/>
    <w:rsid w:val="008C2E15"/>
    <w:rsid w:val="008C30E2"/>
    <w:rsid w:val="008C3267"/>
    <w:rsid w:val="008C364D"/>
    <w:rsid w:val="008C3855"/>
    <w:rsid w:val="008C3D44"/>
    <w:rsid w:val="008C402B"/>
    <w:rsid w:val="008C4032"/>
    <w:rsid w:val="008C411C"/>
    <w:rsid w:val="008C4455"/>
    <w:rsid w:val="008C4546"/>
    <w:rsid w:val="008C463F"/>
    <w:rsid w:val="008C4AA5"/>
    <w:rsid w:val="008C4FEC"/>
    <w:rsid w:val="008C58C2"/>
    <w:rsid w:val="008C59CF"/>
    <w:rsid w:val="008C6012"/>
    <w:rsid w:val="008C6143"/>
    <w:rsid w:val="008C6330"/>
    <w:rsid w:val="008C69D3"/>
    <w:rsid w:val="008C6A2F"/>
    <w:rsid w:val="008C6F5C"/>
    <w:rsid w:val="008C72FA"/>
    <w:rsid w:val="008C739D"/>
    <w:rsid w:val="008C7601"/>
    <w:rsid w:val="008C761C"/>
    <w:rsid w:val="008C7938"/>
    <w:rsid w:val="008C7981"/>
    <w:rsid w:val="008D007D"/>
    <w:rsid w:val="008D0223"/>
    <w:rsid w:val="008D058E"/>
    <w:rsid w:val="008D06A6"/>
    <w:rsid w:val="008D06CE"/>
    <w:rsid w:val="008D0721"/>
    <w:rsid w:val="008D117D"/>
    <w:rsid w:val="008D1849"/>
    <w:rsid w:val="008D1CE5"/>
    <w:rsid w:val="008D1F4B"/>
    <w:rsid w:val="008D20F9"/>
    <w:rsid w:val="008D21C1"/>
    <w:rsid w:val="008D24FC"/>
    <w:rsid w:val="008D2786"/>
    <w:rsid w:val="008D2A58"/>
    <w:rsid w:val="008D3040"/>
    <w:rsid w:val="008D3162"/>
    <w:rsid w:val="008D3774"/>
    <w:rsid w:val="008D391E"/>
    <w:rsid w:val="008D3970"/>
    <w:rsid w:val="008D3A39"/>
    <w:rsid w:val="008D3C27"/>
    <w:rsid w:val="008D4296"/>
    <w:rsid w:val="008D4354"/>
    <w:rsid w:val="008D48F3"/>
    <w:rsid w:val="008D5462"/>
    <w:rsid w:val="008D5CB4"/>
    <w:rsid w:val="008D6000"/>
    <w:rsid w:val="008D639E"/>
    <w:rsid w:val="008D66E8"/>
    <w:rsid w:val="008D6846"/>
    <w:rsid w:val="008D6989"/>
    <w:rsid w:val="008D755B"/>
    <w:rsid w:val="008D77F8"/>
    <w:rsid w:val="008D7953"/>
    <w:rsid w:val="008D7BF5"/>
    <w:rsid w:val="008D7CAE"/>
    <w:rsid w:val="008D7E8D"/>
    <w:rsid w:val="008D7EC6"/>
    <w:rsid w:val="008D7FD1"/>
    <w:rsid w:val="008E08C0"/>
    <w:rsid w:val="008E0C20"/>
    <w:rsid w:val="008E0D9C"/>
    <w:rsid w:val="008E109E"/>
    <w:rsid w:val="008E1259"/>
    <w:rsid w:val="008E1607"/>
    <w:rsid w:val="008E1728"/>
    <w:rsid w:val="008E1D41"/>
    <w:rsid w:val="008E20E4"/>
    <w:rsid w:val="008E25BE"/>
    <w:rsid w:val="008E28C4"/>
    <w:rsid w:val="008E2BA9"/>
    <w:rsid w:val="008E3033"/>
    <w:rsid w:val="008E3385"/>
    <w:rsid w:val="008E3898"/>
    <w:rsid w:val="008E3AF1"/>
    <w:rsid w:val="008E4929"/>
    <w:rsid w:val="008E4A5A"/>
    <w:rsid w:val="008E4F6B"/>
    <w:rsid w:val="008E4F83"/>
    <w:rsid w:val="008E5057"/>
    <w:rsid w:val="008E518A"/>
    <w:rsid w:val="008E529C"/>
    <w:rsid w:val="008E52C8"/>
    <w:rsid w:val="008E53AC"/>
    <w:rsid w:val="008E5777"/>
    <w:rsid w:val="008E5C04"/>
    <w:rsid w:val="008E605A"/>
    <w:rsid w:val="008E60B1"/>
    <w:rsid w:val="008E612B"/>
    <w:rsid w:val="008E663D"/>
    <w:rsid w:val="008E6695"/>
    <w:rsid w:val="008E6768"/>
    <w:rsid w:val="008E67BF"/>
    <w:rsid w:val="008E698F"/>
    <w:rsid w:val="008E6E5F"/>
    <w:rsid w:val="008E6ECC"/>
    <w:rsid w:val="008E6F58"/>
    <w:rsid w:val="008E785D"/>
    <w:rsid w:val="008E79D7"/>
    <w:rsid w:val="008E7DDB"/>
    <w:rsid w:val="008E7E45"/>
    <w:rsid w:val="008F07AE"/>
    <w:rsid w:val="008F08D1"/>
    <w:rsid w:val="008F0D09"/>
    <w:rsid w:val="008F0D35"/>
    <w:rsid w:val="008F0FF4"/>
    <w:rsid w:val="008F11A5"/>
    <w:rsid w:val="008F1986"/>
    <w:rsid w:val="008F19FD"/>
    <w:rsid w:val="008F1FEA"/>
    <w:rsid w:val="008F2606"/>
    <w:rsid w:val="008F26D3"/>
    <w:rsid w:val="008F28A3"/>
    <w:rsid w:val="008F2D5C"/>
    <w:rsid w:val="008F2DDA"/>
    <w:rsid w:val="008F32A3"/>
    <w:rsid w:val="008F35F3"/>
    <w:rsid w:val="008F37F0"/>
    <w:rsid w:val="008F3991"/>
    <w:rsid w:val="008F39EF"/>
    <w:rsid w:val="008F3C7C"/>
    <w:rsid w:val="008F3F87"/>
    <w:rsid w:val="008F40CD"/>
    <w:rsid w:val="008F4510"/>
    <w:rsid w:val="008F45A3"/>
    <w:rsid w:val="008F477D"/>
    <w:rsid w:val="008F482C"/>
    <w:rsid w:val="008F494A"/>
    <w:rsid w:val="008F4DE1"/>
    <w:rsid w:val="008F4DFE"/>
    <w:rsid w:val="008F5453"/>
    <w:rsid w:val="008F615F"/>
    <w:rsid w:val="008F6498"/>
    <w:rsid w:val="008F6563"/>
    <w:rsid w:val="008F70BF"/>
    <w:rsid w:val="008F7158"/>
    <w:rsid w:val="008F7172"/>
    <w:rsid w:val="008F731D"/>
    <w:rsid w:val="008F745D"/>
    <w:rsid w:val="008F75D8"/>
    <w:rsid w:val="008F7ED6"/>
    <w:rsid w:val="009002F1"/>
    <w:rsid w:val="00900959"/>
    <w:rsid w:val="00900FF5"/>
    <w:rsid w:val="00901010"/>
    <w:rsid w:val="00901029"/>
    <w:rsid w:val="0090123C"/>
    <w:rsid w:val="00901570"/>
    <w:rsid w:val="00901587"/>
    <w:rsid w:val="00901D92"/>
    <w:rsid w:val="00902618"/>
    <w:rsid w:val="009026A0"/>
    <w:rsid w:val="00902783"/>
    <w:rsid w:val="009029BD"/>
    <w:rsid w:val="00902EAC"/>
    <w:rsid w:val="00902FBD"/>
    <w:rsid w:val="009033BD"/>
    <w:rsid w:val="00903572"/>
    <w:rsid w:val="00903839"/>
    <w:rsid w:val="00903857"/>
    <w:rsid w:val="00903C65"/>
    <w:rsid w:val="00903EA1"/>
    <w:rsid w:val="00904198"/>
    <w:rsid w:val="0090438C"/>
    <w:rsid w:val="009047D4"/>
    <w:rsid w:val="00905B91"/>
    <w:rsid w:val="00905F81"/>
    <w:rsid w:val="00906803"/>
    <w:rsid w:val="00906A89"/>
    <w:rsid w:val="00906A99"/>
    <w:rsid w:val="009071E5"/>
    <w:rsid w:val="009076D6"/>
    <w:rsid w:val="00907B53"/>
    <w:rsid w:val="00907CF6"/>
    <w:rsid w:val="00907D33"/>
    <w:rsid w:val="00907D45"/>
    <w:rsid w:val="009102FC"/>
    <w:rsid w:val="009104F5"/>
    <w:rsid w:val="009116B4"/>
    <w:rsid w:val="009117DB"/>
    <w:rsid w:val="00911AB0"/>
    <w:rsid w:val="0091279F"/>
    <w:rsid w:val="009129C5"/>
    <w:rsid w:val="00912D66"/>
    <w:rsid w:val="00912D76"/>
    <w:rsid w:val="00912DC9"/>
    <w:rsid w:val="00912E7F"/>
    <w:rsid w:val="00913091"/>
    <w:rsid w:val="009130BB"/>
    <w:rsid w:val="009130D2"/>
    <w:rsid w:val="009132AC"/>
    <w:rsid w:val="009135F6"/>
    <w:rsid w:val="009135FB"/>
    <w:rsid w:val="0091383D"/>
    <w:rsid w:val="009139F4"/>
    <w:rsid w:val="00913B87"/>
    <w:rsid w:val="00914257"/>
    <w:rsid w:val="00914B69"/>
    <w:rsid w:val="00914C07"/>
    <w:rsid w:val="00914C5C"/>
    <w:rsid w:val="00914E8E"/>
    <w:rsid w:val="0091510E"/>
    <w:rsid w:val="0091597F"/>
    <w:rsid w:val="00915A0C"/>
    <w:rsid w:val="009162B8"/>
    <w:rsid w:val="009163E0"/>
    <w:rsid w:val="009168D7"/>
    <w:rsid w:val="009169E3"/>
    <w:rsid w:val="00916CEF"/>
    <w:rsid w:val="009172C1"/>
    <w:rsid w:val="00917339"/>
    <w:rsid w:val="0091760F"/>
    <w:rsid w:val="009178A5"/>
    <w:rsid w:val="00917DD9"/>
    <w:rsid w:val="00917FE2"/>
    <w:rsid w:val="009204E2"/>
    <w:rsid w:val="00920865"/>
    <w:rsid w:val="00920969"/>
    <w:rsid w:val="00920B41"/>
    <w:rsid w:val="00920F30"/>
    <w:rsid w:val="00921759"/>
    <w:rsid w:val="009219BD"/>
    <w:rsid w:val="00921F70"/>
    <w:rsid w:val="00922072"/>
    <w:rsid w:val="009221AC"/>
    <w:rsid w:val="009222C3"/>
    <w:rsid w:val="00922661"/>
    <w:rsid w:val="0092291B"/>
    <w:rsid w:val="00922A9A"/>
    <w:rsid w:val="00922B48"/>
    <w:rsid w:val="00922D57"/>
    <w:rsid w:val="00922EB0"/>
    <w:rsid w:val="00923024"/>
    <w:rsid w:val="0092337A"/>
    <w:rsid w:val="009237EB"/>
    <w:rsid w:val="00923A97"/>
    <w:rsid w:val="00923E8A"/>
    <w:rsid w:val="00923FF8"/>
    <w:rsid w:val="0092400E"/>
    <w:rsid w:val="00924325"/>
    <w:rsid w:val="0092455D"/>
    <w:rsid w:val="00924854"/>
    <w:rsid w:val="00924BB7"/>
    <w:rsid w:val="00924EF5"/>
    <w:rsid w:val="00925763"/>
    <w:rsid w:val="00925D1F"/>
    <w:rsid w:val="00925EA4"/>
    <w:rsid w:val="00926290"/>
    <w:rsid w:val="00926808"/>
    <w:rsid w:val="00926C63"/>
    <w:rsid w:val="00926DEB"/>
    <w:rsid w:val="00927193"/>
    <w:rsid w:val="009274B7"/>
    <w:rsid w:val="009274DC"/>
    <w:rsid w:val="00927610"/>
    <w:rsid w:val="009278D2"/>
    <w:rsid w:val="00927A62"/>
    <w:rsid w:val="00927C2A"/>
    <w:rsid w:val="00930115"/>
    <w:rsid w:val="00930266"/>
    <w:rsid w:val="009302F6"/>
    <w:rsid w:val="0093032E"/>
    <w:rsid w:val="009304ED"/>
    <w:rsid w:val="00930827"/>
    <w:rsid w:val="009309E9"/>
    <w:rsid w:val="00930BCB"/>
    <w:rsid w:val="0093100E"/>
    <w:rsid w:val="0093149F"/>
    <w:rsid w:val="00931506"/>
    <w:rsid w:val="00931509"/>
    <w:rsid w:val="00931714"/>
    <w:rsid w:val="009318A7"/>
    <w:rsid w:val="00931A1B"/>
    <w:rsid w:val="00931B6F"/>
    <w:rsid w:val="00931C0E"/>
    <w:rsid w:val="00931DDE"/>
    <w:rsid w:val="00932057"/>
    <w:rsid w:val="009320A5"/>
    <w:rsid w:val="00932562"/>
    <w:rsid w:val="00932684"/>
    <w:rsid w:val="009326C4"/>
    <w:rsid w:val="0093395B"/>
    <w:rsid w:val="00933C51"/>
    <w:rsid w:val="0093415E"/>
    <w:rsid w:val="0093538F"/>
    <w:rsid w:val="00935450"/>
    <w:rsid w:val="00935F53"/>
    <w:rsid w:val="0093679D"/>
    <w:rsid w:val="009367D3"/>
    <w:rsid w:val="00936A44"/>
    <w:rsid w:val="00936E5A"/>
    <w:rsid w:val="00936E7C"/>
    <w:rsid w:val="00937029"/>
    <w:rsid w:val="00937547"/>
    <w:rsid w:val="009379BE"/>
    <w:rsid w:val="00937A2B"/>
    <w:rsid w:val="00940385"/>
    <w:rsid w:val="00940A29"/>
    <w:rsid w:val="00940A9F"/>
    <w:rsid w:val="00941621"/>
    <w:rsid w:val="009417DF"/>
    <w:rsid w:val="00941877"/>
    <w:rsid w:val="00942612"/>
    <w:rsid w:val="00942B2E"/>
    <w:rsid w:val="00943485"/>
    <w:rsid w:val="009434E7"/>
    <w:rsid w:val="009436B7"/>
    <w:rsid w:val="00943BD8"/>
    <w:rsid w:val="00943F05"/>
    <w:rsid w:val="00944013"/>
    <w:rsid w:val="009440A0"/>
    <w:rsid w:val="009440CF"/>
    <w:rsid w:val="00944BB9"/>
    <w:rsid w:val="00944F54"/>
    <w:rsid w:val="0094509A"/>
    <w:rsid w:val="0094528C"/>
    <w:rsid w:val="00945454"/>
    <w:rsid w:val="009454BE"/>
    <w:rsid w:val="009455FB"/>
    <w:rsid w:val="00945692"/>
    <w:rsid w:val="009459E7"/>
    <w:rsid w:val="00946084"/>
    <w:rsid w:val="0094625E"/>
    <w:rsid w:val="00946680"/>
    <w:rsid w:val="00946891"/>
    <w:rsid w:val="00946D42"/>
    <w:rsid w:val="00946DEE"/>
    <w:rsid w:val="00946F98"/>
    <w:rsid w:val="00947158"/>
    <w:rsid w:val="009473F7"/>
    <w:rsid w:val="00947507"/>
    <w:rsid w:val="0094752E"/>
    <w:rsid w:val="00947776"/>
    <w:rsid w:val="00947945"/>
    <w:rsid w:val="00947A36"/>
    <w:rsid w:val="00947B1B"/>
    <w:rsid w:val="00947DB2"/>
    <w:rsid w:val="00950BC4"/>
    <w:rsid w:val="00950E46"/>
    <w:rsid w:val="009513D6"/>
    <w:rsid w:val="009518F1"/>
    <w:rsid w:val="00952135"/>
    <w:rsid w:val="009522FE"/>
    <w:rsid w:val="00952343"/>
    <w:rsid w:val="009524FA"/>
    <w:rsid w:val="00952737"/>
    <w:rsid w:val="0095280F"/>
    <w:rsid w:val="00952955"/>
    <w:rsid w:val="009535C4"/>
    <w:rsid w:val="009535D0"/>
    <w:rsid w:val="0095391D"/>
    <w:rsid w:val="00953DAA"/>
    <w:rsid w:val="00953E16"/>
    <w:rsid w:val="009541CA"/>
    <w:rsid w:val="00954388"/>
    <w:rsid w:val="009544E8"/>
    <w:rsid w:val="00954E9A"/>
    <w:rsid w:val="00955355"/>
    <w:rsid w:val="0095543D"/>
    <w:rsid w:val="00955740"/>
    <w:rsid w:val="00955B93"/>
    <w:rsid w:val="00955ECC"/>
    <w:rsid w:val="00955ED3"/>
    <w:rsid w:val="00956247"/>
    <w:rsid w:val="00956408"/>
    <w:rsid w:val="00956556"/>
    <w:rsid w:val="00956961"/>
    <w:rsid w:val="00956B4F"/>
    <w:rsid w:val="00956CED"/>
    <w:rsid w:val="00956D3C"/>
    <w:rsid w:val="009571E0"/>
    <w:rsid w:val="009574FA"/>
    <w:rsid w:val="009576CE"/>
    <w:rsid w:val="009600B9"/>
    <w:rsid w:val="00961317"/>
    <w:rsid w:val="00961359"/>
    <w:rsid w:val="00961E26"/>
    <w:rsid w:val="00961E30"/>
    <w:rsid w:val="00962223"/>
    <w:rsid w:val="0096249B"/>
    <w:rsid w:val="00962600"/>
    <w:rsid w:val="0096274A"/>
    <w:rsid w:val="00962A39"/>
    <w:rsid w:val="00962F46"/>
    <w:rsid w:val="00963403"/>
    <w:rsid w:val="00963970"/>
    <w:rsid w:val="00963A8F"/>
    <w:rsid w:val="00963DB4"/>
    <w:rsid w:val="00963F72"/>
    <w:rsid w:val="00963FD2"/>
    <w:rsid w:val="00963FD5"/>
    <w:rsid w:val="009642EC"/>
    <w:rsid w:val="0096436F"/>
    <w:rsid w:val="00964D2B"/>
    <w:rsid w:val="00964F7F"/>
    <w:rsid w:val="009651DE"/>
    <w:rsid w:val="009654A5"/>
    <w:rsid w:val="009655AF"/>
    <w:rsid w:val="0096584C"/>
    <w:rsid w:val="00965BE8"/>
    <w:rsid w:val="00965FF0"/>
    <w:rsid w:val="00966287"/>
    <w:rsid w:val="009663B9"/>
    <w:rsid w:val="00966576"/>
    <w:rsid w:val="009670DC"/>
    <w:rsid w:val="00970029"/>
    <w:rsid w:val="009702DB"/>
    <w:rsid w:val="00970D76"/>
    <w:rsid w:val="00970FD7"/>
    <w:rsid w:val="00972596"/>
    <w:rsid w:val="009728FE"/>
    <w:rsid w:val="00972C2C"/>
    <w:rsid w:val="00972D4A"/>
    <w:rsid w:val="0097396A"/>
    <w:rsid w:val="00974018"/>
    <w:rsid w:val="009742A3"/>
    <w:rsid w:val="00974331"/>
    <w:rsid w:val="0097435A"/>
    <w:rsid w:val="00974593"/>
    <w:rsid w:val="00974801"/>
    <w:rsid w:val="009748B1"/>
    <w:rsid w:val="00974A13"/>
    <w:rsid w:val="00974E7E"/>
    <w:rsid w:val="00974F56"/>
    <w:rsid w:val="0097525B"/>
    <w:rsid w:val="00975657"/>
    <w:rsid w:val="00975731"/>
    <w:rsid w:val="00975F9A"/>
    <w:rsid w:val="00975FF9"/>
    <w:rsid w:val="0097627E"/>
    <w:rsid w:val="00976325"/>
    <w:rsid w:val="00976586"/>
    <w:rsid w:val="00977046"/>
    <w:rsid w:val="00977548"/>
    <w:rsid w:val="0097790E"/>
    <w:rsid w:val="00977A1B"/>
    <w:rsid w:val="0098073E"/>
    <w:rsid w:val="009808A6"/>
    <w:rsid w:val="00980C4C"/>
    <w:rsid w:val="00981472"/>
    <w:rsid w:val="0098155E"/>
    <w:rsid w:val="00981FAB"/>
    <w:rsid w:val="00982280"/>
    <w:rsid w:val="0098250C"/>
    <w:rsid w:val="00982627"/>
    <w:rsid w:val="009827BB"/>
    <w:rsid w:val="0098280C"/>
    <w:rsid w:val="009828C9"/>
    <w:rsid w:val="00982A78"/>
    <w:rsid w:val="00982EAA"/>
    <w:rsid w:val="009831CC"/>
    <w:rsid w:val="0098348D"/>
    <w:rsid w:val="009839BC"/>
    <w:rsid w:val="00983BE4"/>
    <w:rsid w:val="00983CDD"/>
    <w:rsid w:val="00984463"/>
    <w:rsid w:val="009845B6"/>
    <w:rsid w:val="00984613"/>
    <w:rsid w:val="00984BA3"/>
    <w:rsid w:val="009850D4"/>
    <w:rsid w:val="0098561D"/>
    <w:rsid w:val="0098598E"/>
    <w:rsid w:val="0098608C"/>
    <w:rsid w:val="009864D5"/>
    <w:rsid w:val="009865D3"/>
    <w:rsid w:val="009867CD"/>
    <w:rsid w:val="0098703E"/>
    <w:rsid w:val="0098748E"/>
    <w:rsid w:val="009874E6"/>
    <w:rsid w:val="009879E8"/>
    <w:rsid w:val="00987CF8"/>
    <w:rsid w:val="00987F73"/>
    <w:rsid w:val="0099043D"/>
    <w:rsid w:val="0099044F"/>
    <w:rsid w:val="00990751"/>
    <w:rsid w:val="00990760"/>
    <w:rsid w:val="00990C17"/>
    <w:rsid w:val="00990C71"/>
    <w:rsid w:val="00990F52"/>
    <w:rsid w:val="009917EA"/>
    <w:rsid w:val="009918E1"/>
    <w:rsid w:val="009919AF"/>
    <w:rsid w:val="00991AC3"/>
    <w:rsid w:val="00991B88"/>
    <w:rsid w:val="00991BB2"/>
    <w:rsid w:val="0099226E"/>
    <w:rsid w:val="009922E1"/>
    <w:rsid w:val="009925E9"/>
    <w:rsid w:val="009929B6"/>
    <w:rsid w:val="00992A8C"/>
    <w:rsid w:val="00992BBE"/>
    <w:rsid w:val="00992CC0"/>
    <w:rsid w:val="00992F47"/>
    <w:rsid w:val="009931D3"/>
    <w:rsid w:val="009933F2"/>
    <w:rsid w:val="0099375A"/>
    <w:rsid w:val="0099391D"/>
    <w:rsid w:val="00993F09"/>
    <w:rsid w:val="00994335"/>
    <w:rsid w:val="00994341"/>
    <w:rsid w:val="00994495"/>
    <w:rsid w:val="00994DED"/>
    <w:rsid w:val="009953AD"/>
    <w:rsid w:val="0099595E"/>
    <w:rsid w:val="00995A96"/>
    <w:rsid w:val="00995C80"/>
    <w:rsid w:val="00995D2E"/>
    <w:rsid w:val="00995E42"/>
    <w:rsid w:val="00996156"/>
    <w:rsid w:val="00996179"/>
    <w:rsid w:val="00996588"/>
    <w:rsid w:val="0099691D"/>
    <w:rsid w:val="0099694F"/>
    <w:rsid w:val="00996A06"/>
    <w:rsid w:val="00996AF3"/>
    <w:rsid w:val="00996B34"/>
    <w:rsid w:val="00996DC4"/>
    <w:rsid w:val="00997030"/>
    <w:rsid w:val="0099709C"/>
    <w:rsid w:val="00997228"/>
    <w:rsid w:val="009975AC"/>
    <w:rsid w:val="009977EB"/>
    <w:rsid w:val="00997953"/>
    <w:rsid w:val="00997A5C"/>
    <w:rsid w:val="009A04F7"/>
    <w:rsid w:val="009A0643"/>
    <w:rsid w:val="009A0669"/>
    <w:rsid w:val="009A079A"/>
    <w:rsid w:val="009A0CF0"/>
    <w:rsid w:val="009A0E23"/>
    <w:rsid w:val="009A105B"/>
    <w:rsid w:val="009A1099"/>
    <w:rsid w:val="009A13D1"/>
    <w:rsid w:val="009A18B9"/>
    <w:rsid w:val="009A1B85"/>
    <w:rsid w:val="009A1FB2"/>
    <w:rsid w:val="009A1FC7"/>
    <w:rsid w:val="009A2037"/>
    <w:rsid w:val="009A25F2"/>
    <w:rsid w:val="009A2719"/>
    <w:rsid w:val="009A2904"/>
    <w:rsid w:val="009A2D0B"/>
    <w:rsid w:val="009A2D5B"/>
    <w:rsid w:val="009A334C"/>
    <w:rsid w:val="009A3BFA"/>
    <w:rsid w:val="009A42E6"/>
    <w:rsid w:val="009A43F9"/>
    <w:rsid w:val="009A446B"/>
    <w:rsid w:val="009A4523"/>
    <w:rsid w:val="009A47BD"/>
    <w:rsid w:val="009A4A20"/>
    <w:rsid w:val="009A4A22"/>
    <w:rsid w:val="009A4DDC"/>
    <w:rsid w:val="009A5201"/>
    <w:rsid w:val="009A527A"/>
    <w:rsid w:val="009A5326"/>
    <w:rsid w:val="009A55AE"/>
    <w:rsid w:val="009A5879"/>
    <w:rsid w:val="009A60E1"/>
    <w:rsid w:val="009A6192"/>
    <w:rsid w:val="009A6937"/>
    <w:rsid w:val="009A69D1"/>
    <w:rsid w:val="009A6C1F"/>
    <w:rsid w:val="009A6ECD"/>
    <w:rsid w:val="009A759D"/>
    <w:rsid w:val="009A797F"/>
    <w:rsid w:val="009B01CC"/>
    <w:rsid w:val="009B17ED"/>
    <w:rsid w:val="009B2139"/>
    <w:rsid w:val="009B29D8"/>
    <w:rsid w:val="009B2BC2"/>
    <w:rsid w:val="009B2E01"/>
    <w:rsid w:val="009B2E2A"/>
    <w:rsid w:val="009B3B13"/>
    <w:rsid w:val="009B41FB"/>
    <w:rsid w:val="009B4809"/>
    <w:rsid w:val="009B49FE"/>
    <w:rsid w:val="009B4E07"/>
    <w:rsid w:val="009B5308"/>
    <w:rsid w:val="009B54D0"/>
    <w:rsid w:val="009B5A01"/>
    <w:rsid w:val="009B5C59"/>
    <w:rsid w:val="009B610A"/>
    <w:rsid w:val="009B6236"/>
    <w:rsid w:val="009B65E3"/>
    <w:rsid w:val="009B6987"/>
    <w:rsid w:val="009B698E"/>
    <w:rsid w:val="009B6C56"/>
    <w:rsid w:val="009B7BA5"/>
    <w:rsid w:val="009B7DC2"/>
    <w:rsid w:val="009C008A"/>
    <w:rsid w:val="009C01BA"/>
    <w:rsid w:val="009C0231"/>
    <w:rsid w:val="009C0763"/>
    <w:rsid w:val="009C0CC4"/>
    <w:rsid w:val="009C0D25"/>
    <w:rsid w:val="009C10D5"/>
    <w:rsid w:val="009C143D"/>
    <w:rsid w:val="009C1BC7"/>
    <w:rsid w:val="009C1C88"/>
    <w:rsid w:val="009C1EE7"/>
    <w:rsid w:val="009C28E4"/>
    <w:rsid w:val="009C2C73"/>
    <w:rsid w:val="009C2DFE"/>
    <w:rsid w:val="009C3411"/>
    <w:rsid w:val="009C3731"/>
    <w:rsid w:val="009C3A96"/>
    <w:rsid w:val="009C3C8F"/>
    <w:rsid w:val="009C401F"/>
    <w:rsid w:val="009C458E"/>
    <w:rsid w:val="009C489D"/>
    <w:rsid w:val="009C4D28"/>
    <w:rsid w:val="009C505D"/>
    <w:rsid w:val="009C5395"/>
    <w:rsid w:val="009C5478"/>
    <w:rsid w:val="009C54F3"/>
    <w:rsid w:val="009C5651"/>
    <w:rsid w:val="009C573D"/>
    <w:rsid w:val="009C5850"/>
    <w:rsid w:val="009C59D9"/>
    <w:rsid w:val="009C5BC5"/>
    <w:rsid w:val="009C5C9D"/>
    <w:rsid w:val="009C5D87"/>
    <w:rsid w:val="009C5DF9"/>
    <w:rsid w:val="009C5E0A"/>
    <w:rsid w:val="009C5EA6"/>
    <w:rsid w:val="009C5F91"/>
    <w:rsid w:val="009C661B"/>
    <w:rsid w:val="009C6893"/>
    <w:rsid w:val="009C6F14"/>
    <w:rsid w:val="009C7249"/>
    <w:rsid w:val="009C7466"/>
    <w:rsid w:val="009C74AA"/>
    <w:rsid w:val="009C75DE"/>
    <w:rsid w:val="009C7C7D"/>
    <w:rsid w:val="009C7CBC"/>
    <w:rsid w:val="009C7CC4"/>
    <w:rsid w:val="009C7FEF"/>
    <w:rsid w:val="009D008E"/>
    <w:rsid w:val="009D013E"/>
    <w:rsid w:val="009D09FB"/>
    <w:rsid w:val="009D0B38"/>
    <w:rsid w:val="009D0D37"/>
    <w:rsid w:val="009D0FA3"/>
    <w:rsid w:val="009D10BB"/>
    <w:rsid w:val="009D1148"/>
    <w:rsid w:val="009D12E0"/>
    <w:rsid w:val="009D135D"/>
    <w:rsid w:val="009D15C5"/>
    <w:rsid w:val="009D26BC"/>
    <w:rsid w:val="009D2C7F"/>
    <w:rsid w:val="009D2D88"/>
    <w:rsid w:val="009D30B4"/>
    <w:rsid w:val="009D32D1"/>
    <w:rsid w:val="009D366B"/>
    <w:rsid w:val="009D3D6D"/>
    <w:rsid w:val="009D4124"/>
    <w:rsid w:val="009D4193"/>
    <w:rsid w:val="009D47A2"/>
    <w:rsid w:val="009D4A0C"/>
    <w:rsid w:val="009D4A82"/>
    <w:rsid w:val="009D4ACE"/>
    <w:rsid w:val="009D4BB4"/>
    <w:rsid w:val="009D5971"/>
    <w:rsid w:val="009D5A9B"/>
    <w:rsid w:val="009D5C3A"/>
    <w:rsid w:val="009D5F74"/>
    <w:rsid w:val="009D6401"/>
    <w:rsid w:val="009D657B"/>
    <w:rsid w:val="009D682D"/>
    <w:rsid w:val="009D6C75"/>
    <w:rsid w:val="009D6F78"/>
    <w:rsid w:val="009D7841"/>
    <w:rsid w:val="009D7A00"/>
    <w:rsid w:val="009D7B42"/>
    <w:rsid w:val="009D7F48"/>
    <w:rsid w:val="009D7F98"/>
    <w:rsid w:val="009E068A"/>
    <w:rsid w:val="009E08D4"/>
    <w:rsid w:val="009E0ABF"/>
    <w:rsid w:val="009E13BA"/>
    <w:rsid w:val="009E1AEA"/>
    <w:rsid w:val="009E1D6C"/>
    <w:rsid w:val="009E1E37"/>
    <w:rsid w:val="009E1E43"/>
    <w:rsid w:val="009E22D0"/>
    <w:rsid w:val="009E24ED"/>
    <w:rsid w:val="009E26C2"/>
    <w:rsid w:val="009E2DAF"/>
    <w:rsid w:val="009E3473"/>
    <w:rsid w:val="009E3735"/>
    <w:rsid w:val="009E37C1"/>
    <w:rsid w:val="009E3B6E"/>
    <w:rsid w:val="009E3DD3"/>
    <w:rsid w:val="009E40CD"/>
    <w:rsid w:val="009E4533"/>
    <w:rsid w:val="009E4B0B"/>
    <w:rsid w:val="009E4BD8"/>
    <w:rsid w:val="009E51FF"/>
    <w:rsid w:val="009E52EA"/>
    <w:rsid w:val="009E5BBC"/>
    <w:rsid w:val="009E5CFF"/>
    <w:rsid w:val="009E6030"/>
    <w:rsid w:val="009E604F"/>
    <w:rsid w:val="009E60E3"/>
    <w:rsid w:val="009E614B"/>
    <w:rsid w:val="009E6236"/>
    <w:rsid w:val="009E6357"/>
    <w:rsid w:val="009E683B"/>
    <w:rsid w:val="009E6DF5"/>
    <w:rsid w:val="009E6FCF"/>
    <w:rsid w:val="009E7024"/>
    <w:rsid w:val="009E790F"/>
    <w:rsid w:val="009E7C58"/>
    <w:rsid w:val="009E7CCF"/>
    <w:rsid w:val="009E7D16"/>
    <w:rsid w:val="009F0100"/>
    <w:rsid w:val="009F01CC"/>
    <w:rsid w:val="009F04E2"/>
    <w:rsid w:val="009F05DD"/>
    <w:rsid w:val="009F0EE9"/>
    <w:rsid w:val="009F103C"/>
    <w:rsid w:val="009F1209"/>
    <w:rsid w:val="009F142C"/>
    <w:rsid w:val="009F19D0"/>
    <w:rsid w:val="009F2044"/>
    <w:rsid w:val="009F206E"/>
    <w:rsid w:val="009F23C9"/>
    <w:rsid w:val="009F24A7"/>
    <w:rsid w:val="009F2560"/>
    <w:rsid w:val="009F29AB"/>
    <w:rsid w:val="009F3011"/>
    <w:rsid w:val="009F30CA"/>
    <w:rsid w:val="009F32C3"/>
    <w:rsid w:val="009F32CC"/>
    <w:rsid w:val="009F3B12"/>
    <w:rsid w:val="009F3E17"/>
    <w:rsid w:val="009F4604"/>
    <w:rsid w:val="009F47C2"/>
    <w:rsid w:val="009F481C"/>
    <w:rsid w:val="009F4854"/>
    <w:rsid w:val="009F5089"/>
    <w:rsid w:val="009F5193"/>
    <w:rsid w:val="009F5B06"/>
    <w:rsid w:val="009F5DA7"/>
    <w:rsid w:val="009F5F65"/>
    <w:rsid w:val="009F671A"/>
    <w:rsid w:val="009F6CB9"/>
    <w:rsid w:val="009F6FD9"/>
    <w:rsid w:val="009F731B"/>
    <w:rsid w:val="009F7375"/>
    <w:rsid w:val="009F77F9"/>
    <w:rsid w:val="00A000E0"/>
    <w:rsid w:val="00A0010B"/>
    <w:rsid w:val="00A005C3"/>
    <w:rsid w:val="00A00748"/>
    <w:rsid w:val="00A00980"/>
    <w:rsid w:val="00A00D2B"/>
    <w:rsid w:val="00A0170D"/>
    <w:rsid w:val="00A01E0E"/>
    <w:rsid w:val="00A0224D"/>
    <w:rsid w:val="00A025BF"/>
    <w:rsid w:val="00A0289A"/>
    <w:rsid w:val="00A02B42"/>
    <w:rsid w:val="00A03054"/>
    <w:rsid w:val="00A0333D"/>
    <w:rsid w:val="00A03C00"/>
    <w:rsid w:val="00A03C7C"/>
    <w:rsid w:val="00A03CF3"/>
    <w:rsid w:val="00A03D39"/>
    <w:rsid w:val="00A03E2E"/>
    <w:rsid w:val="00A03EB5"/>
    <w:rsid w:val="00A044D0"/>
    <w:rsid w:val="00A0452F"/>
    <w:rsid w:val="00A04654"/>
    <w:rsid w:val="00A048A7"/>
    <w:rsid w:val="00A04AE1"/>
    <w:rsid w:val="00A04CD0"/>
    <w:rsid w:val="00A05682"/>
    <w:rsid w:val="00A059B9"/>
    <w:rsid w:val="00A05BDD"/>
    <w:rsid w:val="00A05CE9"/>
    <w:rsid w:val="00A05E86"/>
    <w:rsid w:val="00A06D6B"/>
    <w:rsid w:val="00A06F1A"/>
    <w:rsid w:val="00A07263"/>
    <w:rsid w:val="00A074EB"/>
    <w:rsid w:val="00A0753E"/>
    <w:rsid w:val="00A0771D"/>
    <w:rsid w:val="00A07752"/>
    <w:rsid w:val="00A0788A"/>
    <w:rsid w:val="00A07AA2"/>
    <w:rsid w:val="00A07C6E"/>
    <w:rsid w:val="00A07E7C"/>
    <w:rsid w:val="00A07F3E"/>
    <w:rsid w:val="00A07F7C"/>
    <w:rsid w:val="00A10020"/>
    <w:rsid w:val="00A1037C"/>
    <w:rsid w:val="00A11632"/>
    <w:rsid w:val="00A11833"/>
    <w:rsid w:val="00A11AE1"/>
    <w:rsid w:val="00A11C3E"/>
    <w:rsid w:val="00A11E8F"/>
    <w:rsid w:val="00A11F2D"/>
    <w:rsid w:val="00A12115"/>
    <w:rsid w:val="00A12164"/>
    <w:rsid w:val="00A1263C"/>
    <w:rsid w:val="00A12D75"/>
    <w:rsid w:val="00A12FC3"/>
    <w:rsid w:val="00A130DA"/>
    <w:rsid w:val="00A1327C"/>
    <w:rsid w:val="00A13310"/>
    <w:rsid w:val="00A13CD0"/>
    <w:rsid w:val="00A13D46"/>
    <w:rsid w:val="00A13E01"/>
    <w:rsid w:val="00A14154"/>
    <w:rsid w:val="00A14436"/>
    <w:rsid w:val="00A148B5"/>
    <w:rsid w:val="00A14A03"/>
    <w:rsid w:val="00A14CE0"/>
    <w:rsid w:val="00A151BB"/>
    <w:rsid w:val="00A15443"/>
    <w:rsid w:val="00A1544A"/>
    <w:rsid w:val="00A15460"/>
    <w:rsid w:val="00A15B7C"/>
    <w:rsid w:val="00A15DC8"/>
    <w:rsid w:val="00A16006"/>
    <w:rsid w:val="00A16285"/>
    <w:rsid w:val="00A163B3"/>
    <w:rsid w:val="00A163F6"/>
    <w:rsid w:val="00A16552"/>
    <w:rsid w:val="00A16626"/>
    <w:rsid w:val="00A16AEA"/>
    <w:rsid w:val="00A17280"/>
    <w:rsid w:val="00A1746D"/>
    <w:rsid w:val="00A176E5"/>
    <w:rsid w:val="00A17B70"/>
    <w:rsid w:val="00A17C8A"/>
    <w:rsid w:val="00A204EB"/>
    <w:rsid w:val="00A20BE9"/>
    <w:rsid w:val="00A20E1F"/>
    <w:rsid w:val="00A20FEE"/>
    <w:rsid w:val="00A21219"/>
    <w:rsid w:val="00A21491"/>
    <w:rsid w:val="00A214C1"/>
    <w:rsid w:val="00A218DA"/>
    <w:rsid w:val="00A21B66"/>
    <w:rsid w:val="00A21BEC"/>
    <w:rsid w:val="00A21F3D"/>
    <w:rsid w:val="00A22397"/>
    <w:rsid w:val="00A22463"/>
    <w:rsid w:val="00A224A7"/>
    <w:rsid w:val="00A2269E"/>
    <w:rsid w:val="00A22786"/>
    <w:rsid w:val="00A22978"/>
    <w:rsid w:val="00A22EE1"/>
    <w:rsid w:val="00A22F6D"/>
    <w:rsid w:val="00A2308E"/>
    <w:rsid w:val="00A2322F"/>
    <w:rsid w:val="00A23522"/>
    <w:rsid w:val="00A235C1"/>
    <w:rsid w:val="00A23728"/>
    <w:rsid w:val="00A23822"/>
    <w:rsid w:val="00A23A67"/>
    <w:rsid w:val="00A23DBF"/>
    <w:rsid w:val="00A23F0A"/>
    <w:rsid w:val="00A24086"/>
    <w:rsid w:val="00A24258"/>
    <w:rsid w:val="00A24468"/>
    <w:rsid w:val="00A2463D"/>
    <w:rsid w:val="00A2465F"/>
    <w:rsid w:val="00A247A2"/>
    <w:rsid w:val="00A24856"/>
    <w:rsid w:val="00A24AFB"/>
    <w:rsid w:val="00A24B3A"/>
    <w:rsid w:val="00A24F54"/>
    <w:rsid w:val="00A250FA"/>
    <w:rsid w:val="00A2534D"/>
    <w:rsid w:val="00A2561F"/>
    <w:rsid w:val="00A256A8"/>
    <w:rsid w:val="00A26217"/>
    <w:rsid w:val="00A269BC"/>
    <w:rsid w:val="00A270BD"/>
    <w:rsid w:val="00A273EF"/>
    <w:rsid w:val="00A275AA"/>
    <w:rsid w:val="00A277A9"/>
    <w:rsid w:val="00A27C36"/>
    <w:rsid w:val="00A27F8E"/>
    <w:rsid w:val="00A3029F"/>
    <w:rsid w:val="00A303D2"/>
    <w:rsid w:val="00A30432"/>
    <w:rsid w:val="00A304FE"/>
    <w:rsid w:val="00A30896"/>
    <w:rsid w:val="00A3089A"/>
    <w:rsid w:val="00A30987"/>
    <w:rsid w:val="00A3140C"/>
    <w:rsid w:val="00A316A0"/>
    <w:rsid w:val="00A31799"/>
    <w:rsid w:val="00A317EB"/>
    <w:rsid w:val="00A31C69"/>
    <w:rsid w:val="00A3231D"/>
    <w:rsid w:val="00A3239F"/>
    <w:rsid w:val="00A32541"/>
    <w:rsid w:val="00A32650"/>
    <w:rsid w:val="00A32727"/>
    <w:rsid w:val="00A330BE"/>
    <w:rsid w:val="00A33448"/>
    <w:rsid w:val="00A337C6"/>
    <w:rsid w:val="00A339C3"/>
    <w:rsid w:val="00A33E12"/>
    <w:rsid w:val="00A33E58"/>
    <w:rsid w:val="00A34374"/>
    <w:rsid w:val="00A346AD"/>
    <w:rsid w:val="00A346C2"/>
    <w:rsid w:val="00A34C89"/>
    <w:rsid w:val="00A352D9"/>
    <w:rsid w:val="00A353F4"/>
    <w:rsid w:val="00A354C0"/>
    <w:rsid w:val="00A35D38"/>
    <w:rsid w:val="00A36229"/>
    <w:rsid w:val="00A36980"/>
    <w:rsid w:val="00A36DC3"/>
    <w:rsid w:val="00A37667"/>
    <w:rsid w:val="00A37678"/>
    <w:rsid w:val="00A376B7"/>
    <w:rsid w:val="00A378D4"/>
    <w:rsid w:val="00A379EF"/>
    <w:rsid w:val="00A406A7"/>
    <w:rsid w:val="00A40859"/>
    <w:rsid w:val="00A40F78"/>
    <w:rsid w:val="00A412D8"/>
    <w:rsid w:val="00A4130B"/>
    <w:rsid w:val="00A416EA"/>
    <w:rsid w:val="00A41E0D"/>
    <w:rsid w:val="00A4222E"/>
    <w:rsid w:val="00A423A4"/>
    <w:rsid w:val="00A4287D"/>
    <w:rsid w:val="00A428A1"/>
    <w:rsid w:val="00A42B82"/>
    <w:rsid w:val="00A42C74"/>
    <w:rsid w:val="00A42CAC"/>
    <w:rsid w:val="00A42D5D"/>
    <w:rsid w:val="00A430EB"/>
    <w:rsid w:val="00A43167"/>
    <w:rsid w:val="00A43351"/>
    <w:rsid w:val="00A43389"/>
    <w:rsid w:val="00A434ED"/>
    <w:rsid w:val="00A436FA"/>
    <w:rsid w:val="00A43FBB"/>
    <w:rsid w:val="00A440FD"/>
    <w:rsid w:val="00A4414F"/>
    <w:rsid w:val="00A44676"/>
    <w:rsid w:val="00A447D2"/>
    <w:rsid w:val="00A447DA"/>
    <w:rsid w:val="00A447DB"/>
    <w:rsid w:val="00A44959"/>
    <w:rsid w:val="00A449FB"/>
    <w:rsid w:val="00A44E2C"/>
    <w:rsid w:val="00A44E66"/>
    <w:rsid w:val="00A45820"/>
    <w:rsid w:val="00A45D35"/>
    <w:rsid w:val="00A45E17"/>
    <w:rsid w:val="00A4684C"/>
    <w:rsid w:val="00A46936"/>
    <w:rsid w:val="00A46AFD"/>
    <w:rsid w:val="00A4773F"/>
    <w:rsid w:val="00A479AA"/>
    <w:rsid w:val="00A47B14"/>
    <w:rsid w:val="00A47C8B"/>
    <w:rsid w:val="00A47F59"/>
    <w:rsid w:val="00A50396"/>
    <w:rsid w:val="00A50451"/>
    <w:rsid w:val="00A504A7"/>
    <w:rsid w:val="00A50743"/>
    <w:rsid w:val="00A50A8B"/>
    <w:rsid w:val="00A50D05"/>
    <w:rsid w:val="00A50E34"/>
    <w:rsid w:val="00A51193"/>
    <w:rsid w:val="00A5175D"/>
    <w:rsid w:val="00A5193B"/>
    <w:rsid w:val="00A51B47"/>
    <w:rsid w:val="00A51C26"/>
    <w:rsid w:val="00A51C4D"/>
    <w:rsid w:val="00A51DE5"/>
    <w:rsid w:val="00A520F7"/>
    <w:rsid w:val="00A521C0"/>
    <w:rsid w:val="00A52490"/>
    <w:rsid w:val="00A524B7"/>
    <w:rsid w:val="00A5266A"/>
    <w:rsid w:val="00A52A06"/>
    <w:rsid w:val="00A52CA3"/>
    <w:rsid w:val="00A5334E"/>
    <w:rsid w:val="00A5364F"/>
    <w:rsid w:val="00A538FD"/>
    <w:rsid w:val="00A5396D"/>
    <w:rsid w:val="00A53D2A"/>
    <w:rsid w:val="00A54376"/>
    <w:rsid w:val="00A546E2"/>
    <w:rsid w:val="00A548EF"/>
    <w:rsid w:val="00A54BB8"/>
    <w:rsid w:val="00A550A8"/>
    <w:rsid w:val="00A55424"/>
    <w:rsid w:val="00A558AD"/>
    <w:rsid w:val="00A5598C"/>
    <w:rsid w:val="00A55A85"/>
    <w:rsid w:val="00A55F34"/>
    <w:rsid w:val="00A564BF"/>
    <w:rsid w:val="00A56856"/>
    <w:rsid w:val="00A56946"/>
    <w:rsid w:val="00A56A5B"/>
    <w:rsid w:val="00A56E69"/>
    <w:rsid w:val="00A572C9"/>
    <w:rsid w:val="00A57C50"/>
    <w:rsid w:val="00A57D3D"/>
    <w:rsid w:val="00A57D69"/>
    <w:rsid w:val="00A60068"/>
    <w:rsid w:val="00A6039B"/>
    <w:rsid w:val="00A603FF"/>
    <w:rsid w:val="00A60408"/>
    <w:rsid w:val="00A60659"/>
    <w:rsid w:val="00A606E2"/>
    <w:rsid w:val="00A6086C"/>
    <w:rsid w:val="00A60877"/>
    <w:rsid w:val="00A60D39"/>
    <w:rsid w:val="00A60E4E"/>
    <w:rsid w:val="00A6100D"/>
    <w:rsid w:val="00A61216"/>
    <w:rsid w:val="00A61ACA"/>
    <w:rsid w:val="00A61CE4"/>
    <w:rsid w:val="00A62145"/>
    <w:rsid w:val="00A62245"/>
    <w:rsid w:val="00A62514"/>
    <w:rsid w:val="00A6275D"/>
    <w:rsid w:val="00A62AD7"/>
    <w:rsid w:val="00A62DB9"/>
    <w:rsid w:val="00A63193"/>
    <w:rsid w:val="00A638A9"/>
    <w:rsid w:val="00A63C8B"/>
    <w:rsid w:val="00A640AC"/>
    <w:rsid w:val="00A640FF"/>
    <w:rsid w:val="00A64222"/>
    <w:rsid w:val="00A643FE"/>
    <w:rsid w:val="00A6461A"/>
    <w:rsid w:val="00A64CF1"/>
    <w:rsid w:val="00A64E1E"/>
    <w:rsid w:val="00A64F0A"/>
    <w:rsid w:val="00A65274"/>
    <w:rsid w:val="00A656DB"/>
    <w:rsid w:val="00A660A4"/>
    <w:rsid w:val="00A66281"/>
    <w:rsid w:val="00A66B27"/>
    <w:rsid w:val="00A67010"/>
    <w:rsid w:val="00A670ED"/>
    <w:rsid w:val="00A67231"/>
    <w:rsid w:val="00A676FE"/>
    <w:rsid w:val="00A679EC"/>
    <w:rsid w:val="00A67BC3"/>
    <w:rsid w:val="00A705F1"/>
    <w:rsid w:val="00A70951"/>
    <w:rsid w:val="00A70FF4"/>
    <w:rsid w:val="00A711BF"/>
    <w:rsid w:val="00A71721"/>
    <w:rsid w:val="00A71A7C"/>
    <w:rsid w:val="00A71D04"/>
    <w:rsid w:val="00A71FEA"/>
    <w:rsid w:val="00A72175"/>
    <w:rsid w:val="00A7245A"/>
    <w:rsid w:val="00A7265D"/>
    <w:rsid w:val="00A7278C"/>
    <w:rsid w:val="00A72CE5"/>
    <w:rsid w:val="00A731B3"/>
    <w:rsid w:val="00A7330F"/>
    <w:rsid w:val="00A734DC"/>
    <w:rsid w:val="00A73738"/>
    <w:rsid w:val="00A73774"/>
    <w:rsid w:val="00A737B1"/>
    <w:rsid w:val="00A7393A"/>
    <w:rsid w:val="00A73D4A"/>
    <w:rsid w:val="00A73E8C"/>
    <w:rsid w:val="00A740E4"/>
    <w:rsid w:val="00A74708"/>
    <w:rsid w:val="00A74905"/>
    <w:rsid w:val="00A74A77"/>
    <w:rsid w:val="00A74BAB"/>
    <w:rsid w:val="00A753DD"/>
    <w:rsid w:val="00A7567A"/>
    <w:rsid w:val="00A75D18"/>
    <w:rsid w:val="00A75DA1"/>
    <w:rsid w:val="00A76038"/>
    <w:rsid w:val="00A7682C"/>
    <w:rsid w:val="00A76839"/>
    <w:rsid w:val="00A77179"/>
    <w:rsid w:val="00A7748D"/>
    <w:rsid w:val="00A77557"/>
    <w:rsid w:val="00A77603"/>
    <w:rsid w:val="00A77605"/>
    <w:rsid w:val="00A7783C"/>
    <w:rsid w:val="00A77CF3"/>
    <w:rsid w:val="00A77D39"/>
    <w:rsid w:val="00A80454"/>
    <w:rsid w:val="00A8075D"/>
    <w:rsid w:val="00A80CCA"/>
    <w:rsid w:val="00A80E34"/>
    <w:rsid w:val="00A8153A"/>
    <w:rsid w:val="00A819CF"/>
    <w:rsid w:val="00A819FF"/>
    <w:rsid w:val="00A82A36"/>
    <w:rsid w:val="00A82E90"/>
    <w:rsid w:val="00A83275"/>
    <w:rsid w:val="00A8336C"/>
    <w:rsid w:val="00A8386A"/>
    <w:rsid w:val="00A83B54"/>
    <w:rsid w:val="00A83EEC"/>
    <w:rsid w:val="00A83F79"/>
    <w:rsid w:val="00A843D9"/>
    <w:rsid w:val="00A84960"/>
    <w:rsid w:val="00A8498C"/>
    <w:rsid w:val="00A850C9"/>
    <w:rsid w:val="00A85353"/>
    <w:rsid w:val="00A85722"/>
    <w:rsid w:val="00A857C7"/>
    <w:rsid w:val="00A85F6E"/>
    <w:rsid w:val="00A86881"/>
    <w:rsid w:val="00A86A85"/>
    <w:rsid w:val="00A8702B"/>
    <w:rsid w:val="00A87458"/>
    <w:rsid w:val="00A875C4"/>
    <w:rsid w:val="00A87922"/>
    <w:rsid w:val="00A87987"/>
    <w:rsid w:val="00A908F6"/>
    <w:rsid w:val="00A90F6D"/>
    <w:rsid w:val="00A90F97"/>
    <w:rsid w:val="00A9119E"/>
    <w:rsid w:val="00A911D0"/>
    <w:rsid w:val="00A9141A"/>
    <w:rsid w:val="00A915A7"/>
    <w:rsid w:val="00A91A32"/>
    <w:rsid w:val="00A91BA1"/>
    <w:rsid w:val="00A91E04"/>
    <w:rsid w:val="00A91F0F"/>
    <w:rsid w:val="00A91F8D"/>
    <w:rsid w:val="00A92D3C"/>
    <w:rsid w:val="00A93139"/>
    <w:rsid w:val="00A9374D"/>
    <w:rsid w:val="00A939E8"/>
    <w:rsid w:val="00A943F9"/>
    <w:rsid w:val="00A94503"/>
    <w:rsid w:val="00A94742"/>
    <w:rsid w:val="00A94C59"/>
    <w:rsid w:val="00A94EEF"/>
    <w:rsid w:val="00A94F9D"/>
    <w:rsid w:val="00A94FA4"/>
    <w:rsid w:val="00A950CD"/>
    <w:rsid w:val="00A95385"/>
    <w:rsid w:val="00A955D6"/>
    <w:rsid w:val="00A95648"/>
    <w:rsid w:val="00A956D6"/>
    <w:rsid w:val="00A95853"/>
    <w:rsid w:val="00A95AE8"/>
    <w:rsid w:val="00A95E5B"/>
    <w:rsid w:val="00A95E80"/>
    <w:rsid w:val="00A95F8C"/>
    <w:rsid w:val="00A9632E"/>
    <w:rsid w:val="00A96819"/>
    <w:rsid w:val="00A9693B"/>
    <w:rsid w:val="00A96C17"/>
    <w:rsid w:val="00A96D2B"/>
    <w:rsid w:val="00AA00C4"/>
    <w:rsid w:val="00AA02CE"/>
    <w:rsid w:val="00AA0AB2"/>
    <w:rsid w:val="00AA0ECE"/>
    <w:rsid w:val="00AA1018"/>
    <w:rsid w:val="00AA11C8"/>
    <w:rsid w:val="00AA195E"/>
    <w:rsid w:val="00AA19C0"/>
    <w:rsid w:val="00AA1ADB"/>
    <w:rsid w:val="00AA1DC5"/>
    <w:rsid w:val="00AA1E65"/>
    <w:rsid w:val="00AA1EFF"/>
    <w:rsid w:val="00AA223D"/>
    <w:rsid w:val="00AA2333"/>
    <w:rsid w:val="00AA233A"/>
    <w:rsid w:val="00AA2591"/>
    <w:rsid w:val="00AA2F4A"/>
    <w:rsid w:val="00AA368D"/>
    <w:rsid w:val="00AA3904"/>
    <w:rsid w:val="00AA3B2B"/>
    <w:rsid w:val="00AA3E49"/>
    <w:rsid w:val="00AA4036"/>
    <w:rsid w:val="00AA44FE"/>
    <w:rsid w:val="00AA49A3"/>
    <w:rsid w:val="00AA4BDB"/>
    <w:rsid w:val="00AA5AA3"/>
    <w:rsid w:val="00AA5B24"/>
    <w:rsid w:val="00AA6060"/>
    <w:rsid w:val="00AA61B9"/>
    <w:rsid w:val="00AA61F5"/>
    <w:rsid w:val="00AA62A6"/>
    <w:rsid w:val="00AA65EE"/>
    <w:rsid w:val="00AA6709"/>
    <w:rsid w:val="00AA67A4"/>
    <w:rsid w:val="00AA69DC"/>
    <w:rsid w:val="00AA6C45"/>
    <w:rsid w:val="00AA6C77"/>
    <w:rsid w:val="00AA778B"/>
    <w:rsid w:val="00AA79FE"/>
    <w:rsid w:val="00AA7AF4"/>
    <w:rsid w:val="00AA7C6B"/>
    <w:rsid w:val="00AA7CEE"/>
    <w:rsid w:val="00AA7EE0"/>
    <w:rsid w:val="00AB08A7"/>
    <w:rsid w:val="00AB0E2E"/>
    <w:rsid w:val="00AB11A4"/>
    <w:rsid w:val="00AB1320"/>
    <w:rsid w:val="00AB1398"/>
    <w:rsid w:val="00AB1860"/>
    <w:rsid w:val="00AB1AA2"/>
    <w:rsid w:val="00AB1B90"/>
    <w:rsid w:val="00AB1C04"/>
    <w:rsid w:val="00AB20CF"/>
    <w:rsid w:val="00AB2202"/>
    <w:rsid w:val="00AB23C5"/>
    <w:rsid w:val="00AB240C"/>
    <w:rsid w:val="00AB378F"/>
    <w:rsid w:val="00AB3EC6"/>
    <w:rsid w:val="00AB41AD"/>
    <w:rsid w:val="00AB4416"/>
    <w:rsid w:val="00AB4910"/>
    <w:rsid w:val="00AB4967"/>
    <w:rsid w:val="00AB4CC3"/>
    <w:rsid w:val="00AB4E53"/>
    <w:rsid w:val="00AB52BB"/>
    <w:rsid w:val="00AB58CD"/>
    <w:rsid w:val="00AB5D4D"/>
    <w:rsid w:val="00AB5F49"/>
    <w:rsid w:val="00AB6042"/>
    <w:rsid w:val="00AB6575"/>
    <w:rsid w:val="00AB6E7F"/>
    <w:rsid w:val="00AB6F1F"/>
    <w:rsid w:val="00AB726F"/>
    <w:rsid w:val="00AB794E"/>
    <w:rsid w:val="00AB7D62"/>
    <w:rsid w:val="00AB7DBB"/>
    <w:rsid w:val="00AC012D"/>
    <w:rsid w:val="00AC03C5"/>
    <w:rsid w:val="00AC0843"/>
    <w:rsid w:val="00AC0DC2"/>
    <w:rsid w:val="00AC0E40"/>
    <w:rsid w:val="00AC0E6B"/>
    <w:rsid w:val="00AC104B"/>
    <w:rsid w:val="00AC19B6"/>
    <w:rsid w:val="00AC1F03"/>
    <w:rsid w:val="00AC1FEE"/>
    <w:rsid w:val="00AC20C8"/>
    <w:rsid w:val="00AC2286"/>
    <w:rsid w:val="00AC27E0"/>
    <w:rsid w:val="00AC2C2F"/>
    <w:rsid w:val="00AC2C77"/>
    <w:rsid w:val="00AC2C94"/>
    <w:rsid w:val="00AC3097"/>
    <w:rsid w:val="00AC3CDA"/>
    <w:rsid w:val="00AC3FD2"/>
    <w:rsid w:val="00AC40D3"/>
    <w:rsid w:val="00AC40FE"/>
    <w:rsid w:val="00AC4711"/>
    <w:rsid w:val="00AC492F"/>
    <w:rsid w:val="00AC4BA5"/>
    <w:rsid w:val="00AC4C38"/>
    <w:rsid w:val="00AC4F7D"/>
    <w:rsid w:val="00AC5371"/>
    <w:rsid w:val="00AC5404"/>
    <w:rsid w:val="00AC54D1"/>
    <w:rsid w:val="00AC566E"/>
    <w:rsid w:val="00AC57C3"/>
    <w:rsid w:val="00AC5C60"/>
    <w:rsid w:val="00AC6620"/>
    <w:rsid w:val="00AC69D9"/>
    <w:rsid w:val="00AC6BC4"/>
    <w:rsid w:val="00AC6CB4"/>
    <w:rsid w:val="00AC6D11"/>
    <w:rsid w:val="00AC742F"/>
    <w:rsid w:val="00AC7499"/>
    <w:rsid w:val="00AC79ED"/>
    <w:rsid w:val="00AC7DA8"/>
    <w:rsid w:val="00AD03F8"/>
    <w:rsid w:val="00AD08CD"/>
    <w:rsid w:val="00AD090E"/>
    <w:rsid w:val="00AD0F04"/>
    <w:rsid w:val="00AD14E2"/>
    <w:rsid w:val="00AD15B4"/>
    <w:rsid w:val="00AD15CD"/>
    <w:rsid w:val="00AD16C2"/>
    <w:rsid w:val="00AD17C1"/>
    <w:rsid w:val="00AD1853"/>
    <w:rsid w:val="00AD1957"/>
    <w:rsid w:val="00AD1F0E"/>
    <w:rsid w:val="00AD2132"/>
    <w:rsid w:val="00AD2176"/>
    <w:rsid w:val="00AD2180"/>
    <w:rsid w:val="00AD226A"/>
    <w:rsid w:val="00AD2D72"/>
    <w:rsid w:val="00AD31B7"/>
    <w:rsid w:val="00AD3AAE"/>
    <w:rsid w:val="00AD3C15"/>
    <w:rsid w:val="00AD3C71"/>
    <w:rsid w:val="00AD3E7B"/>
    <w:rsid w:val="00AD3EC0"/>
    <w:rsid w:val="00AD4099"/>
    <w:rsid w:val="00AD4122"/>
    <w:rsid w:val="00AD4645"/>
    <w:rsid w:val="00AD4821"/>
    <w:rsid w:val="00AD488B"/>
    <w:rsid w:val="00AD4A02"/>
    <w:rsid w:val="00AD4ABA"/>
    <w:rsid w:val="00AD4C0C"/>
    <w:rsid w:val="00AD5956"/>
    <w:rsid w:val="00AD59E8"/>
    <w:rsid w:val="00AD59F2"/>
    <w:rsid w:val="00AD5FFC"/>
    <w:rsid w:val="00AD6567"/>
    <w:rsid w:val="00AD660D"/>
    <w:rsid w:val="00AD66A8"/>
    <w:rsid w:val="00AD66B2"/>
    <w:rsid w:val="00AD68C6"/>
    <w:rsid w:val="00AD6AA6"/>
    <w:rsid w:val="00AD6E5F"/>
    <w:rsid w:val="00AD6F56"/>
    <w:rsid w:val="00AD72B4"/>
    <w:rsid w:val="00AD7436"/>
    <w:rsid w:val="00AD75AF"/>
    <w:rsid w:val="00AD7678"/>
    <w:rsid w:val="00AD7923"/>
    <w:rsid w:val="00AD797B"/>
    <w:rsid w:val="00AD7D66"/>
    <w:rsid w:val="00AD7ED2"/>
    <w:rsid w:val="00AE02D2"/>
    <w:rsid w:val="00AE053A"/>
    <w:rsid w:val="00AE12BD"/>
    <w:rsid w:val="00AE16AC"/>
    <w:rsid w:val="00AE19F8"/>
    <w:rsid w:val="00AE2301"/>
    <w:rsid w:val="00AE270E"/>
    <w:rsid w:val="00AE301A"/>
    <w:rsid w:val="00AE3192"/>
    <w:rsid w:val="00AE3325"/>
    <w:rsid w:val="00AE4BD7"/>
    <w:rsid w:val="00AE4F45"/>
    <w:rsid w:val="00AE4F46"/>
    <w:rsid w:val="00AE5198"/>
    <w:rsid w:val="00AE5288"/>
    <w:rsid w:val="00AE54BD"/>
    <w:rsid w:val="00AE56CE"/>
    <w:rsid w:val="00AE5782"/>
    <w:rsid w:val="00AE5AE1"/>
    <w:rsid w:val="00AE5C7B"/>
    <w:rsid w:val="00AE6203"/>
    <w:rsid w:val="00AE67E7"/>
    <w:rsid w:val="00AE69EC"/>
    <w:rsid w:val="00AE6E57"/>
    <w:rsid w:val="00AE6F79"/>
    <w:rsid w:val="00AE761A"/>
    <w:rsid w:val="00AE7853"/>
    <w:rsid w:val="00AE7FF5"/>
    <w:rsid w:val="00AF003D"/>
    <w:rsid w:val="00AF018D"/>
    <w:rsid w:val="00AF0987"/>
    <w:rsid w:val="00AF0991"/>
    <w:rsid w:val="00AF0BEE"/>
    <w:rsid w:val="00AF0FB4"/>
    <w:rsid w:val="00AF1004"/>
    <w:rsid w:val="00AF1200"/>
    <w:rsid w:val="00AF12B8"/>
    <w:rsid w:val="00AF14EB"/>
    <w:rsid w:val="00AF1B0D"/>
    <w:rsid w:val="00AF1DF1"/>
    <w:rsid w:val="00AF2077"/>
    <w:rsid w:val="00AF2181"/>
    <w:rsid w:val="00AF2433"/>
    <w:rsid w:val="00AF2846"/>
    <w:rsid w:val="00AF295A"/>
    <w:rsid w:val="00AF2BA5"/>
    <w:rsid w:val="00AF2D22"/>
    <w:rsid w:val="00AF31F4"/>
    <w:rsid w:val="00AF3A2A"/>
    <w:rsid w:val="00AF3C48"/>
    <w:rsid w:val="00AF3CB0"/>
    <w:rsid w:val="00AF3E77"/>
    <w:rsid w:val="00AF3FB7"/>
    <w:rsid w:val="00AF3FCE"/>
    <w:rsid w:val="00AF431F"/>
    <w:rsid w:val="00AF48C4"/>
    <w:rsid w:val="00AF4E79"/>
    <w:rsid w:val="00AF4ECA"/>
    <w:rsid w:val="00AF4FDD"/>
    <w:rsid w:val="00AF5024"/>
    <w:rsid w:val="00AF5114"/>
    <w:rsid w:val="00AF520A"/>
    <w:rsid w:val="00AF5304"/>
    <w:rsid w:val="00AF533B"/>
    <w:rsid w:val="00AF5491"/>
    <w:rsid w:val="00AF55FA"/>
    <w:rsid w:val="00AF56DA"/>
    <w:rsid w:val="00AF5740"/>
    <w:rsid w:val="00AF58F6"/>
    <w:rsid w:val="00AF5D1C"/>
    <w:rsid w:val="00AF651A"/>
    <w:rsid w:val="00AF6B11"/>
    <w:rsid w:val="00AF6CC1"/>
    <w:rsid w:val="00AF7159"/>
    <w:rsid w:val="00AF737B"/>
    <w:rsid w:val="00AF7472"/>
    <w:rsid w:val="00AF7599"/>
    <w:rsid w:val="00AF791B"/>
    <w:rsid w:val="00B007A0"/>
    <w:rsid w:val="00B00B54"/>
    <w:rsid w:val="00B015CA"/>
    <w:rsid w:val="00B01F6B"/>
    <w:rsid w:val="00B0214B"/>
    <w:rsid w:val="00B021A8"/>
    <w:rsid w:val="00B0223C"/>
    <w:rsid w:val="00B0263A"/>
    <w:rsid w:val="00B026B2"/>
    <w:rsid w:val="00B02EDF"/>
    <w:rsid w:val="00B02FAE"/>
    <w:rsid w:val="00B03225"/>
    <w:rsid w:val="00B03809"/>
    <w:rsid w:val="00B03906"/>
    <w:rsid w:val="00B03D2D"/>
    <w:rsid w:val="00B0430D"/>
    <w:rsid w:val="00B04CF3"/>
    <w:rsid w:val="00B04D48"/>
    <w:rsid w:val="00B04E68"/>
    <w:rsid w:val="00B0502F"/>
    <w:rsid w:val="00B05366"/>
    <w:rsid w:val="00B05524"/>
    <w:rsid w:val="00B055A6"/>
    <w:rsid w:val="00B0575B"/>
    <w:rsid w:val="00B05AF3"/>
    <w:rsid w:val="00B06140"/>
    <w:rsid w:val="00B06693"/>
    <w:rsid w:val="00B06BB0"/>
    <w:rsid w:val="00B06BB5"/>
    <w:rsid w:val="00B06CED"/>
    <w:rsid w:val="00B06F85"/>
    <w:rsid w:val="00B0739F"/>
    <w:rsid w:val="00B075BF"/>
    <w:rsid w:val="00B076F0"/>
    <w:rsid w:val="00B07A70"/>
    <w:rsid w:val="00B07ACA"/>
    <w:rsid w:val="00B07BA6"/>
    <w:rsid w:val="00B07E41"/>
    <w:rsid w:val="00B07FA7"/>
    <w:rsid w:val="00B104B9"/>
    <w:rsid w:val="00B108D8"/>
    <w:rsid w:val="00B10BCA"/>
    <w:rsid w:val="00B10DE4"/>
    <w:rsid w:val="00B11483"/>
    <w:rsid w:val="00B11BA4"/>
    <w:rsid w:val="00B11C94"/>
    <w:rsid w:val="00B12181"/>
    <w:rsid w:val="00B123AE"/>
    <w:rsid w:val="00B1251D"/>
    <w:rsid w:val="00B12554"/>
    <w:rsid w:val="00B1268F"/>
    <w:rsid w:val="00B12B29"/>
    <w:rsid w:val="00B12EFE"/>
    <w:rsid w:val="00B13023"/>
    <w:rsid w:val="00B1304C"/>
    <w:rsid w:val="00B13201"/>
    <w:rsid w:val="00B13589"/>
    <w:rsid w:val="00B135A0"/>
    <w:rsid w:val="00B1382C"/>
    <w:rsid w:val="00B13DE2"/>
    <w:rsid w:val="00B13E5B"/>
    <w:rsid w:val="00B13FEC"/>
    <w:rsid w:val="00B14559"/>
    <w:rsid w:val="00B147BA"/>
    <w:rsid w:val="00B14D9F"/>
    <w:rsid w:val="00B150FC"/>
    <w:rsid w:val="00B151E4"/>
    <w:rsid w:val="00B15955"/>
    <w:rsid w:val="00B15DCF"/>
    <w:rsid w:val="00B160DF"/>
    <w:rsid w:val="00B161A4"/>
    <w:rsid w:val="00B16A9B"/>
    <w:rsid w:val="00B16B26"/>
    <w:rsid w:val="00B16D32"/>
    <w:rsid w:val="00B16EE6"/>
    <w:rsid w:val="00B170D8"/>
    <w:rsid w:val="00B1744C"/>
    <w:rsid w:val="00B17694"/>
    <w:rsid w:val="00B17BC3"/>
    <w:rsid w:val="00B17CEA"/>
    <w:rsid w:val="00B17DF6"/>
    <w:rsid w:val="00B20F50"/>
    <w:rsid w:val="00B21202"/>
    <w:rsid w:val="00B214CA"/>
    <w:rsid w:val="00B21B69"/>
    <w:rsid w:val="00B220ED"/>
    <w:rsid w:val="00B225DE"/>
    <w:rsid w:val="00B226DE"/>
    <w:rsid w:val="00B22813"/>
    <w:rsid w:val="00B22AD8"/>
    <w:rsid w:val="00B22B15"/>
    <w:rsid w:val="00B22C5A"/>
    <w:rsid w:val="00B2308C"/>
    <w:rsid w:val="00B230CC"/>
    <w:rsid w:val="00B232F7"/>
    <w:rsid w:val="00B2337D"/>
    <w:rsid w:val="00B233E8"/>
    <w:rsid w:val="00B23420"/>
    <w:rsid w:val="00B23481"/>
    <w:rsid w:val="00B23504"/>
    <w:rsid w:val="00B238E9"/>
    <w:rsid w:val="00B23CD2"/>
    <w:rsid w:val="00B240C9"/>
    <w:rsid w:val="00B244CB"/>
    <w:rsid w:val="00B24684"/>
    <w:rsid w:val="00B24B09"/>
    <w:rsid w:val="00B24B90"/>
    <w:rsid w:val="00B2500C"/>
    <w:rsid w:val="00B25367"/>
    <w:rsid w:val="00B2542C"/>
    <w:rsid w:val="00B254F8"/>
    <w:rsid w:val="00B25B42"/>
    <w:rsid w:val="00B264F4"/>
    <w:rsid w:val="00B26942"/>
    <w:rsid w:val="00B26A00"/>
    <w:rsid w:val="00B26D1B"/>
    <w:rsid w:val="00B26F9A"/>
    <w:rsid w:val="00B27588"/>
    <w:rsid w:val="00B277AD"/>
    <w:rsid w:val="00B278D1"/>
    <w:rsid w:val="00B27FC1"/>
    <w:rsid w:val="00B302FF"/>
    <w:rsid w:val="00B303C2"/>
    <w:rsid w:val="00B30613"/>
    <w:rsid w:val="00B308D7"/>
    <w:rsid w:val="00B30950"/>
    <w:rsid w:val="00B30A69"/>
    <w:rsid w:val="00B30AAC"/>
    <w:rsid w:val="00B310E5"/>
    <w:rsid w:val="00B312EC"/>
    <w:rsid w:val="00B312FA"/>
    <w:rsid w:val="00B315C9"/>
    <w:rsid w:val="00B317A3"/>
    <w:rsid w:val="00B31836"/>
    <w:rsid w:val="00B31AE8"/>
    <w:rsid w:val="00B31E4E"/>
    <w:rsid w:val="00B31ED3"/>
    <w:rsid w:val="00B32430"/>
    <w:rsid w:val="00B32641"/>
    <w:rsid w:val="00B3298D"/>
    <w:rsid w:val="00B3299B"/>
    <w:rsid w:val="00B33348"/>
    <w:rsid w:val="00B3358C"/>
    <w:rsid w:val="00B339F8"/>
    <w:rsid w:val="00B33D0F"/>
    <w:rsid w:val="00B33F35"/>
    <w:rsid w:val="00B33F42"/>
    <w:rsid w:val="00B3404D"/>
    <w:rsid w:val="00B3415A"/>
    <w:rsid w:val="00B3427E"/>
    <w:rsid w:val="00B342CC"/>
    <w:rsid w:val="00B3481D"/>
    <w:rsid w:val="00B3501C"/>
    <w:rsid w:val="00B3530D"/>
    <w:rsid w:val="00B35861"/>
    <w:rsid w:val="00B36756"/>
    <w:rsid w:val="00B369F0"/>
    <w:rsid w:val="00B36CC1"/>
    <w:rsid w:val="00B37A5C"/>
    <w:rsid w:val="00B37F2C"/>
    <w:rsid w:val="00B40CEF"/>
    <w:rsid w:val="00B40EFE"/>
    <w:rsid w:val="00B4152B"/>
    <w:rsid w:val="00B415ED"/>
    <w:rsid w:val="00B42549"/>
    <w:rsid w:val="00B425DE"/>
    <w:rsid w:val="00B428AE"/>
    <w:rsid w:val="00B42D65"/>
    <w:rsid w:val="00B42F68"/>
    <w:rsid w:val="00B433A8"/>
    <w:rsid w:val="00B43666"/>
    <w:rsid w:val="00B436D3"/>
    <w:rsid w:val="00B43A57"/>
    <w:rsid w:val="00B43AFD"/>
    <w:rsid w:val="00B43B4A"/>
    <w:rsid w:val="00B43D91"/>
    <w:rsid w:val="00B43DE0"/>
    <w:rsid w:val="00B43DE4"/>
    <w:rsid w:val="00B43EAF"/>
    <w:rsid w:val="00B442AB"/>
    <w:rsid w:val="00B44376"/>
    <w:rsid w:val="00B44434"/>
    <w:rsid w:val="00B44AF5"/>
    <w:rsid w:val="00B45093"/>
    <w:rsid w:val="00B4510E"/>
    <w:rsid w:val="00B45899"/>
    <w:rsid w:val="00B46065"/>
    <w:rsid w:val="00B46282"/>
    <w:rsid w:val="00B46AEE"/>
    <w:rsid w:val="00B46C87"/>
    <w:rsid w:val="00B46FA4"/>
    <w:rsid w:val="00B47296"/>
    <w:rsid w:val="00B47439"/>
    <w:rsid w:val="00B47513"/>
    <w:rsid w:val="00B47E21"/>
    <w:rsid w:val="00B47E5F"/>
    <w:rsid w:val="00B47E90"/>
    <w:rsid w:val="00B50045"/>
    <w:rsid w:val="00B5022C"/>
    <w:rsid w:val="00B5081A"/>
    <w:rsid w:val="00B50A38"/>
    <w:rsid w:val="00B50A3C"/>
    <w:rsid w:val="00B50BD6"/>
    <w:rsid w:val="00B50EE5"/>
    <w:rsid w:val="00B51291"/>
    <w:rsid w:val="00B5162D"/>
    <w:rsid w:val="00B51869"/>
    <w:rsid w:val="00B51F2B"/>
    <w:rsid w:val="00B5211B"/>
    <w:rsid w:val="00B522C2"/>
    <w:rsid w:val="00B522FB"/>
    <w:rsid w:val="00B526A8"/>
    <w:rsid w:val="00B52DBF"/>
    <w:rsid w:val="00B52F00"/>
    <w:rsid w:val="00B52F4C"/>
    <w:rsid w:val="00B5342F"/>
    <w:rsid w:val="00B534C7"/>
    <w:rsid w:val="00B536C5"/>
    <w:rsid w:val="00B5398A"/>
    <w:rsid w:val="00B53A48"/>
    <w:rsid w:val="00B54102"/>
    <w:rsid w:val="00B541B8"/>
    <w:rsid w:val="00B5484F"/>
    <w:rsid w:val="00B548C3"/>
    <w:rsid w:val="00B54A6C"/>
    <w:rsid w:val="00B54BC7"/>
    <w:rsid w:val="00B54CE2"/>
    <w:rsid w:val="00B54EFE"/>
    <w:rsid w:val="00B54F82"/>
    <w:rsid w:val="00B552B8"/>
    <w:rsid w:val="00B55555"/>
    <w:rsid w:val="00B55849"/>
    <w:rsid w:val="00B55921"/>
    <w:rsid w:val="00B55BFB"/>
    <w:rsid w:val="00B560B5"/>
    <w:rsid w:val="00B5615E"/>
    <w:rsid w:val="00B563EC"/>
    <w:rsid w:val="00B56574"/>
    <w:rsid w:val="00B565B2"/>
    <w:rsid w:val="00B567A1"/>
    <w:rsid w:val="00B56CD1"/>
    <w:rsid w:val="00B5711C"/>
    <w:rsid w:val="00B573FD"/>
    <w:rsid w:val="00B57606"/>
    <w:rsid w:val="00B577CE"/>
    <w:rsid w:val="00B57E03"/>
    <w:rsid w:val="00B601A5"/>
    <w:rsid w:val="00B60597"/>
    <w:rsid w:val="00B60743"/>
    <w:rsid w:val="00B60AD8"/>
    <w:rsid w:val="00B60EBB"/>
    <w:rsid w:val="00B6167C"/>
    <w:rsid w:val="00B61C5B"/>
    <w:rsid w:val="00B61FBB"/>
    <w:rsid w:val="00B62143"/>
    <w:rsid w:val="00B62A75"/>
    <w:rsid w:val="00B62B40"/>
    <w:rsid w:val="00B62B4D"/>
    <w:rsid w:val="00B62C54"/>
    <w:rsid w:val="00B62F55"/>
    <w:rsid w:val="00B6324B"/>
    <w:rsid w:val="00B63592"/>
    <w:rsid w:val="00B63776"/>
    <w:rsid w:val="00B63A3B"/>
    <w:rsid w:val="00B63D5A"/>
    <w:rsid w:val="00B63E8F"/>
    <w:rsid w:val="00B63F16"/>
    <w:rsid w:val="00B64008"/>
    <w:rsid w:val="00B6404D"/>
    <w:rsid w:val="00B64210"/>
    <w:rsid w:val="00B644B4"/>
    <w:rsid w:val="00B64757"/>
    <w:rsid w:val="00B648AE"/>
    <w:rsid w:val="00B64B69"/>
    <w:rsid w:val="00B64CEC"/>
    <w:rsid w:val="00B64F9F"/>
    <w:rsid w:val="00B64FE7"/>
    <w:rsid w:val="00B65282"/>
    <w:rsid w:val="00B6586C"/>
    <w:rsid w:val="00B66AB2"/>
    <w:rsid w:val="00B66C99"/>
    <w:rsid w:val="00B66CD0"/>
    <w:rsid w:val="00B66D07"/>
    <w:rsid w:val="00B66D24"/>
    <w:rsid w:val="00B67009"/>
    <w:rsid w:val="00B6735E"/>
    <w:rsid w:val="00B679BB"/>
    <w:rsid w:val="00B67A00"/>
    <w:rsid w:val="00B67E3D"/>
    <w:rsid w:val="00B67F1E"/>
    <w:rsid w:val="00B7033F"/>
    <w:rsid w:val="00B70672"/>
    <w:rsid w:val="00B71510"/>
    <w:rsid w:val="00B71655"/>
    <w:rsid w:val="00B71E87"/>
    <w:rsid w:val="00B72319"/>
    <w:rsid w:val="00B72765"/>
    <w:rsid w:val="00B72A48"/>
    <w:rsid w:val="00B72B63"/>
    <w:rsid w:val="00B72F6D"/>
    <w:rsid w:val="00B72F98"/>
    <w:rsid w:val="00B73085"/>
    <w:rsid w:val="00B73181"/>
    <w:rsid w:val="00B73425"/>
    <w:rsid w:val="00B734B3"/>
    <w:rsid w:val="00B735B2"/>
    <w:rsid w:val="00B73CAC"/>
    <w:rsid w:val="00B74283"/>
    <w:rsid w:val="00B74318"/>
    <w:rsid w:val="00B74A11"/>
    <w:rsid w:val="00B74D19"/>
    <w:rsid w:val="00B74E5F"/>
    <w:rsid w:val="00B75344"/>
    <w:rsid w:val="00B7580F"/>
    <w:rsid w:val="00B759D3"/>
    <w:rsid w:val="00B76640"/>
    <w:rsid w:val="00B767E4"/>
    <w:rsid w:val="00B76874"/>
    <w:rsid w:val="00B76C31"/>
    <w:rsid w:val="00B76D7A"/>
    <w:rsid w:val="00B76E20"/>
    <w:rsid w:val="00B76FED"/>
    <w:rsid w:val="00B77139"/>
    <w:rsid w:val="00B771B8"/>
    <w:rsid w:val="00B77204"/>
    <w:rsid w:val="00B77990"/>
    <w:rsid w:val="00B77D7B"/>
    <w:rsid w:val="00B77E4D"/>
    <w:rsid w:val="00B77EEF"/>
    <w:rsid w:val="00B7E600"/>
    <w:rsid w:val="00B8011C"/>
    <w:rsid w:val="00B80508"/>
    <w:rsid w:val="00B805E7"/>
    <w:rsid w:val="00B806AA"/>
    <w:rsid w:val="00B8073E"/>
    <w:rsid w:val="00B80CAF"/>
    <w:rsid w:val="00B80D26"/>
    <w:rsid w:val="00B80EE3"/>
    <w:rsid w:val="00B811F1"/>
    <w:rsid w:val="00B81223"/>
    <w:rsid w:val="00B8176F"/>
    <w:rsid w:val="00B818BD"/>
    <w:rsid w:val="00B819D1"/>
    <w:rsid w:val="00B81AB2"/>
    <w:rsid w:val="00B81CA3"/>
    <w:rsid w:val="00B820C8"/>
    <w:rsid w:val="00B8255F"/>
    <w:rsid w:val="00B82637"/>
    <w:rsid w:val="00B827C5"/>
    <w:rsid w:val="00B82A50"/>
    <w:rsid w:val="00B82E13"/>
    <w:rsid w:val="00B83397"/>
    <w:rsid w:val="00B833AA"/>
    <w:rsid w:val="00B83420"/>
    <w:rsid w:val="00B834B6"/>
    <w:rsid w:val="00B83534"/>
    <w:rsid w:val="00B83615"/>
    <w:rsid w:val="00B83795"/>
    <w:rsid w:val="00B83A82"/>
    <w:rsid w:val="00B84153"/>
    <w:rsid w:val="00B8461B"/>
    <w:rsid w:val="00B847A3"/>
    <w:rsid w:val="00B84ADB"/>
    <w:rsid w:val="00B84CFE"/>
    <w:rsid w:val="00B85646"/>
    <w:rsid w:val="00B85650"/>
    <w:rsid w:val="00B85C69"/>
    <w:rsid w:val="00B85CFC"/>
    <w:rsid w:val="00B85DD5"/>
    <w:rsid w:val="00B86421"/>
    <w:rsid w:val="00B864AD"/>
    <w:rsid w:val="00B86613"/>
    <w:rsid w:val="00B86641"/>
    <w:rsid w:val="00B86A4C"/>
    <w:rsid w:val="00B86A78"/>
    <w:rsid w:val="00B86F00"/>
    <w:rsid w:val="00B86FE1"/>
    <w:rsid w:val="00B873C5"/>
    <w:rsid w:val="00B87577"/>
    <w:rsid w:val="00B87795"/>
    <w:rsid w:val="00B879E8"/>
    <w:rsid w:val="00B87BB0"/>
    <w:rsid w:val="00B87E3C"/>
    <w:rsid w:val="00B901D9"/>
    <w:rsid w:val="00B9071F"/>
    <w:rsid w:val="00B90A86"/>
    <w:rsid w:val="00B90AB1"/>
    <w:rsid w:val="00B90E54"/>
    <w:rsid w:val="00B91156"/>
    <w:rsid w:val="00B911CD"/>
    <w:rsid w:val="00B915AB"/>
    <w:rsid w:val="00B917B9"/>
    <w:rsid w:val="00B9184F"/>
    <w:rsid w:val="00B91B6F"/>
    <w:rsid w:val="00B91BCD"/>
    <w:rsid w:val="00B91D94"/>
    <w:rsid w:val="00B921FB"/>
    <w:rsid w:val="00B9235B"/>
    <w:rsid w:val="00B9249E"/>
    <w:rsid w:val="00B92541"/>
    <w:rsid w:val="00B928EA"/>
    <w:rsid w:val="00B92CB2"/>
    <w:rsid w:val="00B93D02"/>
    <w:rsid w:val="00B93EED"/>
    <w:rsid w:val="00B943D7"/>
    <w:rsid w:val="00B94712"/>
    <w:rsid w:val="00B947BE"/>
    <w:rsid w:val="00B94945"/>
    <w:rsid w:val="00B95042"/>
    <w:rsid w:val="00B9547E"/>
    <w:rsid w:val="00B95652"/>
    <w:rsid w:val="00B957AB"/>
    <w:rsid w:val="00B95888"/>
    <w:rsid w:val="00B95968"/>
    <w:rsid w:val="00B95DEB"/>
    <w:rsid w:val="00B95FCB"/>
    <w:rsid w:val="00B96761"/>
    <w:rsid w:val="00B96825"/>
    <w:rsid w:val="00B96B90"/>
    <w:rsid w:val="00B96D95"/>
    <w:rsid w:val="00B9721A"/>
    <w:rsid w:val="00BA063F"/>
    <w:rsid w:val="00BA081D"/>
    <w:rsid w:val="00BA0A65"/>
    <w:rsid w:val="00BA0FF8"/>
    <w:rsid w:val="00BA10C6"/>
    <w:rsid w:val="00BA11A3"/>
    <w:rsid w:val="00BA1366"/>
    <w:rsid w:val="00BA1B97"/>
    <w:rsid w:val="00BA1F47"/>
    <w:rsid w:val="00BA23FA"/>
    <w:rsid w:val="00BA24CC"/>
    <w:rsid w:val="00BA2830"/>
    <w:rsid w:val="00BA28DE"/>
    <w:rsid w:val="00BA2A2A"/>
    <w:rsid w:val="00BA2E92"/>
    <w:rsid w:val="00BA305D"/>
    <w:rsid w:val="00BA32B2"/>
    <w:rsid w:val="00BA34E4"/>
    <w:rsid w:val="00BA3573"/>
    <w:rsid w:val="00BA3BF3"/>
    <w:rsid w:val="00BA446F"/>
    <w:rsid w:val="00BA456E"/>
    <w:rsid w:val="00BA45EC"/>
    <w:rsid w:val="00BA5155"/>
    <w:rsid w:val="00BA54DC"/>
    <w:rsid w:val="00BA5621"/>
    <w:rsid w:val="00BA56F5"/>
    <w:rsid w:val="00BA59CB"/>
    <w:rsid w:val="00BA5AF1"/>
    <w:rsid w:val="00BA5DBD"/>
    <w:rsid w:val="00BA5E42"/>
    <w:rsid w:val="00BA5F6B"/>
    <w:rsid w:val="00BA6690"/>
    <w:rsid w:val="00BA6730"/>
    <w:rsid w:val="00BA679A"/>
    <w:rsid w:val="00BA6B8F"/>
    <w:rsid w:val="00BA6DF0"/>
    <w:rsid w:val="00BA7442"/>
    <w:rsid w:val="00BA798B"/>
    <w:rsid w:val="00BA7E29"/>
    <w:rsid w:val="00BA7F1E"/>
    <w:rsid w:val="00BA7F3D"/>
    <w:rsid w:val="00BB01C5"/>
    <w:rsid w:val="00BB0922"/>
    <w:rsid w:val="00BB0AAD"/>
    <w:rsid w:val="00BB0C73"/>
    <w:rsid w:val="00BB0F00"/>
    <w:rsid w:val="00BB13B0"/>
    <w:rsid w:val="00BB150B"/>
    <w:rsid w:val="00BB1F05"/>
    <w:rsid w:val="00BB2133"/>
    <w:rsid w:val="00BB21FB"/>
    <w:rsid w:val="00BB22D7"/>
    <w:rsid w:val="00BB22E5"/>
    <w:rsid w:val="00BB290E"/>
    <w:rsid w:val="00BB2A66"/>
    <w:rsid w:val="00BB2BB6"/>
    <w:rsid w:val="00BB304B"/>
    <w:rsid w:val="00BB3678"/>
    <w:rsid w:val="00BB39F2"/>
    <w:rsid w:val="00BB4168"/>
    <w:rsid w:val="00BB422B"/>
    <w:rsid w:val="00BB4251"/>
    <w:rsid w:val="00BB4470"/>
    <w:rsid w:val="00BB45A7"/>
    <w:rsid w:val="00BB507D"/>
    <w:rsid w:val="00BB50FE"/>
    <w:rsid w:val="00BB5410"/>
    <w:rsid w:val="00BB55D6"/>
    <w:rsid w:val="00BB589C"/>
    <w:rsid w:val="00BB5F6A"/>
    <w:rsid w:val="00BB632E"/>
    <w:rsid w:val="00BB653C"/>
    <w:rsid w:val="00BB6A1A"/>
    <w:rsid w:val="00BB6DC8"/>
    <w:rsid w:val="00BB726E"/>
    <w:rsid w:val="00BB7353"/>
    <w:rsid w:val="00BB7433"/>
    <w:rsid w:val="00BB7692"/>
    <w:rsid w:val="00BB791D"/>
    <w:rsid w:val="00BC00F0"/>
    <w:rsid w:val="00BC02F3"/>
    <w:rsid w:val="00BC0B1C"/>
    <w:rsid w:val="00BC0DD7"/>
    <w:rsid w:val="00BC0E5F"/>
    <w:rsid w:val="00BC0E77"/>
    <w:rsid w:val="00BC1476"/>
    <w:rsid w:val="00BC1512"/>
    <w:rsid w:val="00BC158E"/>
    <w:rsid w:val="00BC1F04"/>
    <w:rsid w:val="00BC238F"/>
    <w:rsid w:val="00BC277D"/>
    <w:rsid w:val="00BC2C65"/>
    <w:rsid w:val="00BC2F22"/>
    <w:rsid w:val="00BC30C9"/>
    <w:rsid w:val="00BC3443"/>
    <w:rsid w:val="00BC3533"/>
    <w:rsid w:val="00BC3740"/>
    <w:rsid w:val="00BC3794"/>
    <w:rsid w:val="00BC3995"/>
    <w:rsid w:val="00BC4247"/>
    <w:rsid w:val="00BC42F3"/>
    <w:rsid w:val="00BC47B1"/>
    <w:rsid w:val="00BC4912"/>
    <w:rsid w:val="00BC4A20"/>
    <w:rsid w:val="00BC512A"/>
    <w:rsid w:val="00BC5301"/>
    <w:rsid w:val="00BC5693"/>
    <w:rsid w:val="00BC57F2"/>
    <w:rsid w:val="00BC5846"/>
    <w:rsid w:val="00BC58A3"/>
    <w:rsid w:val="00BC5F58"/>
    <w:rsid w:val="00BC5FDC"/>
    <w:rsid w:val="00BC62E4"/>
    <w:rsid w:val="00BC63ED"/>
    <w:rsid w:val="00BC68FA"/>
    <w:rsid w:val="00BC6DD4"/>
    <w:rsid w:val="00BC6E6C"/>
    <w:rsid w:val="00BC6F31"/>
    <w:rsid w:val="00BC702E"/>
    <w:rsid w:val="00BC7034"/>
    <w:rsid w:val="00BC74BD"/>
    <w:rsid w:val="00BD01CF"/>
    <w:rsid w:val="00BD0515"/>
    <w:rsid w:val="00BD0593"/>
    <w:rsid w:val="00BD0887"/>
    <w:rsid w:val="00BD08D1"/>
    <w:rsid w:val="00BD0DF0"/>
    <w:rsid w:val="00BD0F18"/>
    <w:rsid w:val="00BD11B4"/>
    <w:rsid w:val="00BD132D"/>
    <w:rsid w:val="00BD1C23"/>
    <w:rsid w:val="00BD22DB"/>
    <w:rsid w:val="00BD23E0"/>
    <w:rsid w:val="00BD26F4"/>
    <w:rsid w:val="00BD355D"/>
    <w:rsid w:val="00BD3748"/>
    <w:rsid w:val="00BD3CF4"/>
    <w:rsid w:val="00BD3EBA"/>
    <w:rsid w:val="00BD4D3A"/>
    <w:rsid w:val="00BD52D2"/>
    <w:rsid w:val="00BD5D3D"/>
    <w:rsid w:val="00BD5D4F"/>
    <w:rsid w:val="00BD5E42"/>
    <w:rsid w:val="00BD5F63"/>
    <w:rsid w:val="00BD60C7"/>
    <w:rsid w:val="00BD6247"/>
    <w:rsid w:val="00BD6532"/>
    <w:rsid w:val="00BD6850"/>
    <w:rsid w:val="00BD70A2"/>
    <w:rsid w:val="00BD7192"/>
    <w:rsid w:val="00BD71EE"/>
    <w:rsid w:val="00BD74CF"/>
    <w:rsid w:val="00BD769E"/>
    <w:rsid w:val="00BD7A90"/>
    <w:rsid w:val="00BD7D0E"/>
    <w:rsid w:val="00BE03C5"/>
    <w:rsid w:val="00BE096D"/>
    <w:rsid w:val="00BE0CC3"/>
    <w:rsid w:val="00BE1076"/>
    <w:rsid w:val="00BE1199"/>
    <w:rsid w:val="00BE1641"/>
    <w:rsid w:val="00BE172A"/>
    <w:rsid w:val="00BE1983"/>
    <w:rsid w:val="00BE19BE"/>
    <w:rsid w:val="00BE1EE6"/>
    <w:rsid w:val="00BE1F55"/>
    <w:rsid w:val="00BE20C2"/>
    <w:rsid w:val="00BE236E"/>
    <w:rsid w:val="00BE2455"/>
    <w:rsid w:val="00BE2716"/>
    <w:rsid w:val="00BE32EF"/>
    <w:rsid w:val="00BE3387"/>
    <w:rsid w:val="00BE3AB6"/>
    <w:rsid w:val="00BE4202"/>
    <w:rsid w:val="00BE42E9"/>
    <w:rsid w:val="00BE4347"/>
    <w:rsid w:val="00BE43C0"/>
    <w:rsid w:val="00BE4421"/>
    <w:rsid w:val="00BE490A"/>
    <w:rsid w:val="00BE4A1E"/>
    <w:rsid w:val="00BE4B35"/>
    <w:rsid w:val="00BE4CB1"/>
    <w:rsid w:val="00BE4F74"/>
    <w:rsid w:val="00BE512F"/>
    <w:rsid w:val="00BE550D"/>
    <w:rsid w:val="00BE6037"/>
    <w:rsid w:val="00BE650F"/>
    <w:rsid w:val="00BE6D6A"/>
    <w:rsid w:val="00BE6D6B"/>
    <w:rsid w:val="00BE6FB7"/>
    <w:rsid w:val="00BE7761"/>
    <w:rsid w:val="00BF06EE"/>
    <w:rsid w:val="00BF0C63"/>
    <w:rsid w:val="00BF0E34"/>
    <w:rsid w:val="00BF0E93"/>
    <w:rsid w:val="00BF1A8F"/>
    <w:rsid w:val="00BF1DBD"/>
    <w:rsid w:val="00BF2100"/>
    <w:rsid w:val="00BF2524"/>
    <w:rsid w:val="00BF25CC"/>
    <w:rsid w:val="00BF2692"/>
    <w:rsid w:val="00BF2700"/>
    <w:rsid w:val="00BF2776"/>
    <w:rsid w:val="00BF294F"/>
    <w:rsid w:val="00BF29CC"/>
    <w:rsid w:val="00BF2D98"/>
    <w:rsid w:val="00BF2F5E"/>
    <w:rsid w:val="00BF37CD"/>
    <w:rsid w:val="00BF3933"/>
    <w:rsid w:val="00BF467E"/>
    <w:rsid w:val="00BF48A4"/>
    <w:rsid w:val="00BF49BD"/>
    <w:rsid w:val="00BF49C2"/>
    <w:rsid w:val="00BF4B2A"/>
    <w:rsid w:val="00BF4C5D"/>
    <w:rsid w:val="00BF4E9C"/>
    <w:rsid w:val="00BF604B"/>
    <w:rsid w:val="00BF65E2"/>
    <w:rsid w:val="00BF66FE"/>
    <w:rsid w:val="00BF684C"/>
    <w:rsid w:val="00BF69D8"/>
    <w:rsid w:val="00BF6BEE"/>
    <w:rsid w:val="00BF6E52"/>
    <w:rsid w:val="00BF6EAF"/>
    <w:rsid w:val="00BF6EC5"/>
    <w:rsid w:val="00BF6F65"/>
    <w:rsid w:val="00BF70AA"/>
    <w:rsid w:val="00BF73E5"/>
    <w:rsid w:val="00BF74EF"/>
    <w:rsid w:val="00BF7DC8"/>
    <w:rsid w:val="00BF7DE8"/>
    <w:rsid w:val="00C000F4"/>
    <w:rsid w:val="00C00886"/>
    <w:rsid w:val="00C009AA"/>
    <w:rsid w:val="00C01000"/>
    <w:rsid w:val="00C01076"/>
    <w:rsid w:val="00C01485"/>
    <w:rsid w:val="00C014FC"/>
    <w:rsid w:val="00C01DE1"/>
    <w:rsid w:val="00C01E7C"/>
    <w:rsid w:val="00C01E9D"/>
    <w:rsid w:val="00C02349"/>
    <w:rsid w:val="00C023EE"/>
    <w:rsid w:val="00C024C7"/>
    <w:rsid w:val="00C028C5"/>
    <w:rsid w:val="00C02964"/>
    <w:rsid w:val="00C030FE"/>
    <w:rsid w:val="00C0352F"/>
    <w:rsid w:val="00C03913"/>
    <w:rsid w:val="00C03931"/>
    <w:rsid w:val="00C03B85"/>
    <w:rsid w:val="00C03D2D"/>
    <w:rsid w:val="00C041FE"/>
    <w:rsid w:val="00C04254"/>
    <w:rsid w:val="00C0432E"/>
    <w:rsid w:val="00C046A6"/>
    <w:rsid w:val="00C04BE5"/>
    <w:rsid w:val="00C04CD6"/>
    <w:rsid w:val="00C050AC"/>
    <w:rsid w:val="00C0556B"/>
    <w:rsid w:val="00C0578E"/>
    <w:rsid w:val="00C05971"/>
    <w:rsid w:val="00C05B21"/>
    <w:rsid w:val="00C05D80"/>
    <w:rsid w:val="00C062BE"/>
    <w:rsid w:val="00C066D3"/>
    <w:rsid w:val="00C06A3C"/>
    <w:rsid w:val="00C06EB1"/>
    <w:rsid w:val="00C073D3"/>
    <w:rsid w:val="00C07557"/>
    <w:rsid w:val="00C0789F"/>
    <w:rsid w:val="00C07EB4"/>
    <w:rsid w:val="00C10384"/>
    <w:rsid w:val="00C105B1"/>
    <w:rsid w:val="00C105F0"/>
    <w:rsid w:val="00C10618"/>
    <w:rsid w:val="00C108DC"/>
    <w:rsid w:val="00C108F6"/>
    <w:rsid w:val="00C10950"/>
    <w:rsid w:val="00C1145D"/>
    <w:rsid w:val="00C1149D"/>
    <w:rsid w:val="00C114A6"/>
    <w:rsid w:val="00C1164C"/>
    <w:rsid w:val="00C11C00"/>
    <w:rsid w:val="00C11E0F"/>
    <w:rsid w:val="00C11E8F"/>
    <w:rsid w:val="00C12208"/>
    <w:rsid w:val="00C1249C"/>
    <w:rsid w:val="00C1270E"/>
    <w:rsid w:val="00C127EE"/>
    <w:rsid w:val="00C1290B"/>
    <w:rsid w:val="00C12A26"/>
    <w:rsid w:val="00C12C1E"/>
    <w:rsid w:val="00C12DA4"/>
    <w:rsid w:val="00C13B48"/>
    <w:rsid w:val="00C14020"/>
    <w:rsid w:val="00C1407C"/>
    <w:rsid w:val="00C14217"/>
    <w:rsid w:val="00C14407"/>
    <w:rsid w:val="00C14B31"/>
    <w:rsid w:val="00C14EFC"/>
    <w:rsid w:val="00C157A0"/>
    <w:rsid w:val="00C15B6C"/>
    <w:rsid w:val="00C15C4D"/>
    <w:rsid w:val="00C15DEF"/>
    <w:rsid w:val="00C16022"/>
    <w:rsid w:val="00C16103"/>
    <w:rsid w:val="00C16344"/>
    <w:rsid w:val="00C16763"/>
    <w:rsid w:val="00C16858"/>
    <w:rsid w:val="00C16CFB"/>
    <w:rsid w:val="00C16E21"/>
    <w:rsid w:val="00C173DB"/>
    <w:rsid w:val="00C17717"/>
    <w:rsid w:val="00C1781D"/>
    <w:rsid w:val="00C20387"/>
    <w:rsid w:val="00C203C0"/>
    <w:rsid w:val="00C203CD"/>
    <w:rsid w:val="00C204E2"/>
    <w:rsid w:val="00C20518"/>
    <w:rsid w:val="00C205C3"/>
    <w:rsid w:val="00C207B0"/>
    <w:rsid w:val="00C209DC"/>
    <w:rsid w:val="00C20AAC"/>
    <w:rsid w:val="00C20CF8"/>
    <w:rsid w:val="00C21108"/>
    <w:rsid w:val="00C213DE"/>
    <w:rsid w:val="00C2148F"/>
    <w:rsid w:val="00C21840"/>
    <w:rsid w:val="00C219B9"/>
    <w:rsid w:val="00C21D64"/>
    <w:rsid w:val="00C21E39"/>
    <w:rsid w:val="00C21F43"/>
    <w:rsid w:val="00C2238E"/>
    <w:rsid w:val="00C228CF"/>
    <w:rsid w:val="00C22A2B"/>
    <w:rsid w:val="00C22A79"/>
    <w:rsid w:val="00C22AC3"/>
    <w:rsid w:val="00C22D95"/>
    <w:rsid w:val="00C22F30"/>
    <w:rsid w:val="00C231D0"/>
    <w:rsid w:val="00C23412"/>
    <w:rsid w:val="00C23D79"/>
    <w:rsid w:val="00C23FD4"/>
    <w:rsid w:val="00C23FD9"/>
    <w:rsid w:val="00C24808"/>
    <w:rsid w:val="00C24BC0"/>
    <w:rsid w:val="00C24E3D"/>
    <w:rsid w:val="00C2529A"/>
    <w:rsid w:val="00C256F7"/>
    <w:rsid w:val="00C25EF2"/>
    <w:rsid w:val="00C25F34"/>
    <w:rsid w:val="00C25FE7"/>
    <w:rsid w:val="00C26050"/>
    <w:rsid w:val="00C26739"/>
    <w:rsid w:val="00C267FB"/>
    <w:rsid w:val="00C268F1"/>
    <w:rsid w:val="00C26F5F"/>
    <w:rsid w:val="00C27A4D"/>
    <w:rsid w:val="00C30360"/>
    <w:rsid w:val="00C3044D"/>
    <w:rsid w:val="00C3072E"/>
    <w:rsid w:val="00C30E71"/>
    <w:rsid w:val="00C31052"/>
    <w:rsid w:val="00C3114A"/>
    <w:rsid w:val="00C31B2F"/>
    <w:rsid w:val="00C31B48"/>
    <w:rsid w:val="00C31BC3"/>
    <w:rsid w:val="00C31C76"/>
    <w:rsid w:val="00C32072"/>
    <w:rsid w:val="00C330FF"/>
    <w:rsid w:val="00C33549"/>
    <w:rsid w:val="00C335CB"/>
    <w:rsid w:val="00C33B8B"/>
    <w:rsid w:val="00C33C44"/>
    <w:rsid w:val="00C33DA6"/>
    <w:rsid w:val="00C34279"/>
    <w:rsid w:val="00C34812"/>
    <w:rsid w:val="00C34BA2"/>
    <w:rsid w:val="00C34D6A"/>
    <w:rsid w:val="00C34FA8"/>
    <w:rsid w:val="00C35062"/>
    <w:rsid w:val="00C350D7"/>
    <w:rsid w:val="00C35221"/>
    <w:rsid w:val="00C354A1"/>
    <w:rsid w:val="00C35C51"/>
    <w:rsid w:val="00C35EEF"/>
    <w:rsid w:val="00C35F70"/>
    <w:rsid w:val="00C36420"/>
    <w:rsid w:val="00C3677C"/>
    <w:rsid w:val="00C3683A"/>
    <w:rsid w:val="00C36A07"/>
    <w:rsid w:val="00C36CA5"/>
    <w:rsid w:val="00C36D61"/>
    <w:rsid w:val="00C37104"/>
    <w:rsid w:val="00C3740B"/>
    <w:rsid w:val="00C3762D"/>
    <w:rsid w:val="00C3769A"/>
    <w:rsid w:val="00C37BD9"/>
    <w:rsid w:val="00C40121"/>
    <w:rsid w:val="00C40252"/>
    <w:rsid w:val="00C40609"/>
    <w:rsid w:val="00C40AB6"/>
    <w:rsid w:val="00C416B9"/>
    <w:rsid w:val="00C41F77"/>
    <w:rsid w:val="00C420EF"/>
    <w:rsid w:val="00C427F8"/>
    <w:rsid w:val="00C42BA4"/>
    <w:rsid w:val="00C42DA6"/>
    <w:rsid w:val="00C42DF7"/>
    <w:rsid w:val="00C42EFC"/>
    <w:rsid w:val="00C42F82"/>
    <w:rsid w:val="00C435EE"/>
    <w:rsid w:val="00C436B6"/>
    <w:rsid w:val="00C4379F"/>
    <w:rsid w:val="00C43876"/>
    <w:rsid w:val="00C439FE"/>
    <w:rsid w:val="00C43B3F"/>
    <w:rsid w:val="00C440F5"/>
    <w:rsid w:val="00C441F4"/>
    <w:rsid w:val="00C444EE"/>
    <w:rsid w:val="00C449AC"/>
    <w:rsid w:val="00C44D9A"/>
    <w:rsid w:val="00C44DEA"/>
    <w:rsid w:val="00C4509B"/>
    <w:rsid w:val="00C45908"/>
    <w:rsid w:val="00C45A80"/>
    <w:rsid w:val="00C45E96"/>
    <w:rsid w:val="00C45FB7"/>
    <w:rsid w:val="00C45FDA"/>
    <w:rsid w:val="00C46013"/>
    <w:rsid w:val="00C4618D"/>
    <w:rsid w:val="00C465D9"/>
    <w:rsid w:val="00C46912"/>
    <w:rsid w:val="00C46B20"/>
    <w:rsid w:val="00C46B73"/>
    <w:rsid w:val="00C46CDF"/>
    <w:rsid w:val="00C46EA4"/>
    <w:rsid w:val="00C47499"/>
    <w:rsid w:val="00C475D3"/>
    <w:rsid w:val="00C476DE"/>
    <w:rsid w:val="00C478D8"/>
    <w:rsid w:val="00C479D0"/>
    <w:rsid w:val="00C47A10"/>
    <w:rsid w:val="00C47A61"/>
    <w:rsid w:val="00C47ED6"/>
    <w:rsid w:val="00C47F50"/>
    <w:rsid w:val="00C503EB"/>
    <w:rsid w:val="00C504E4"/>
    <w:rsid w:val="00C504FC"/>
    <w:rsid w:val="00C50A67"/>
    <w:rsid w:val="00C50C0D"/>
    <w:rsid w:val="00C510A6"/>
    <w:rsid w:val="00C510E2"/>
    <w:rsid w:val="00C514E2"/>
    <w:rsid w:val="00C5180F"/>
    <w:rsid w:val="00C51BE5"/>
    <w:rsid w:val="00C52161"/>
    <w:rsid w:val="00C52255"/>
    <w:rsid w:val="00C525E7"/>
    <w:rsid w:val="00C5271B"/>
    <w:rsid w:val="00C52E74"/>
    <w:rsid w:val="00C53239"/>
    <w:rsid w:val="00C5404A"/>
    <w:rsid w:val="00C5412A"/>
    <w:rsid w:val="00C54583"/>
    <w:rsid w:val="00C546BD"/>
    <w:rsid w:val="00C54D53"/>
    <w:rsid w:val="00C54FF7"/>
    <w:rsid w:val="00C55741"/>
    <w:rsid w:val="00C55FA4"/>
    <w:rsid w:val="00C56591"/>
    <w:rsid w:val="00C56C82"/>
    <w:rsid w:val="00C57017"/>
    <w:rsid w:val="00C57609"/>
    <w:rsid w:val="00C576A3"/>
    <w:rsid w:val="00C577F8"/>
    <w:rsid w:val="00C57BAD"/>
    <w:rsid w:val="00C57C8D"/>
    <w:rsid w:val="00C57CDE"/>
    <w:rsid w:val="00C57D36"/>
    <w:rsid w:val="00C604A9"/>
    <w:rsid w:val="00C60631"/>
    <w:rsid w:val="00C60A34"/>
    <w:rsid w:val="00C60B61"/>
    <w:rsid w:val="00C60DB2"/>
    <w:rsid w:val="00C61305"/>
    <w:rsid w:val="00C61372"/>
    <w:rsid w:val="00C61417"/>
    <w:rsid w:val="00C614A6"/>
    <w:rsid w:val="00C61530"/>
    <w:rsid w:val="00C6167B"/>
    <w:rsid w:val="00C61D15"/>
    <w:rsid w:val="00C61EEF"/>
    <w:rsid w:val="00C61FDB"/>
    <w:rsid w:val="00C6207F"/>
    <w:rsid w:val="00C62318"/>
    <w:rsid w:val="00C62427"/>
    <w:rsid w:val="00C624E3"/>
    <w:rsid w:val="00C62508"/>
    <w:rsid w:val="00C6274F"/>
    <w:rsid w:val="00C62B21"/>
    <w:rsid w:val="00C632FA"/>
    <w:rsid w:val="00C63A04"/>
    <w:rsid w:val="00C63D66"/>
    <w:rsid w:val="00C6498E"/>
    <w:rsid w:val="00C64E88"/>
    <w:rsid w:val="00C65756"/>
    <w:rsid w:val="00C65D3F"/>
    <w:rsid w:val="00C6624B"/>
    <w:rsid w:val="00C666C4"/>
    <w:rsid w:val="00C66793"/>
    <w:rsid w:val="00C667E8"/>
    <w:rsid w:val="00C668DB"/>
    <w:rsid w:val="00C668EF"/>
    <w:rsid w:val="00C67073"/>
    <w:rsid w:val="00C6740A"/>
    <w:rsid w:val="00C676F3"/>
    <w:rsid w:val="00C67D31"/>
    <w:rsid w:val="00C67FA1"/>
    <w:rsid w:val="00C708CB"/>
    <w:rsid w:val="00C70D71"/>
    <w:rsid w:val="00C70DCD"/>
    <w:rsid w:val="00C71677"/>
    <w:rsid w:val="00C717E6"/>
    <w:rsid w:val="00C71951"/>
    <w:rsid w:val="00C71DE7"/>
    <w:rsid w:val="00C723E2"/>
    <w:rsid w:val="00C7243B"/>
    <w:rsid w:val="00C72908"/>
    <w:rsid w:val="00C72C7E"/>
    <w:rsid w:val="00C72E5A"/>
    <w:rsid w:val="00C73E97"/>
    <w:rsid w:val="00C73FD3"/>
    <w:rsid w:val="00C7404E"/>
    <w:rsid w:val="00C74088"/>
    <w:rsid w:val="00C741C8"/>
    <w:rsid w:val="00C745C1"/>
    <w:rsid w:val="00C74859"/>
    <w:rsid w:val="00C74918"/>
    <w:rsid w:val="00C74C64"/>
    <w:rsid w:val="00C74EC3"/>
    <w:rsid w:val="00C74EF3"/>
    <w:rsid w:val="00C750B0"/>
    <w:rsid w:val="00C7577C"/>
    <w:rsid w:val="00C75827"/>
    <w:rsid w:val="00C75FC9"/>
    <w:rsid w:val="00C7641A"/>
    <w:rsid w:val="00C76540"/>
    <w:rsid w:val="00C7663A"/>
    <w:rsid w:val="00C76C5B"/>
    <w:rsid w:val="00C77220"/>
    <w:rsid w:val="00C77275"/>
    <w:rsid w:val="00C77452"/>
    <w:rsid w:val="00C7760B"/>
    <w:rsid w:val="00C77691"/>
    <w:rsid w:val="00C776FD"/>
    <w:rsid w:val="00C77D57"/>
    <w:rsid w:val="00C77DE4"/>
    <w:rsid w:val="00C8015B"/>
    <w:rsid w:val="00C8046C"/>
    <w:rsid w:val="00C80C4B"/>
    <w:rsid w:val="00C80D5F"/>
    <w:rsid w:val="00C80F0C"/>
    <w:rsid w:val="00C8103D"/>
    <w:rsid w:val="00C81173"/>
    <w:rsid w:val="00C812CF"/>
    <w:rsid w:val="00C8132D"/>
    <w:rsid w:val="00C8133A"/>
    <w:rsid w:val="00C81749"/>
    <w:rsid w:val="00C81770"/>
    <w:rsid w:val="00C82189"/>
    <w:rsid w:val="00C82217"/>
    <w:rsid w:val="00C826EF"/>
    <w:rsid w:val="00C82FF9"/>
    <w:rsid w:val="00C83371"/>
    <w:rsid w:val="00C8353A"/>
    <w:rsid w:val="00C83591"/>
    <w:rsid w:val="00C8389E"/>
    <w:rsid w:val="00C838B5"/>
    <w:rsid w:val="00C839CC"/>
    <w:rsid w:val="00C83D2F"/>
    <w:rsid w:val="00C83DD0"/>
    <w:rsid w:val="00C84005"/>
    <w:rsid w:val="00C845D3"/>
    <w:rsid w:val="00C846C2"/>
    <w:rsid w:val="00C84907"/>
    <w:rsid w:val="00C849BE"/>
    <w:rsid w:val="00C84D3A"/>
    <w:rsid w:val="00C84D6F"/>
    <w:rsid w:val="00C8530A"/>
    <w:rsid w:val="00C85409"/>
    <w:rsid w:val="00C861A0"/>
    <w:rsid w:val="00C86CDD"/>
    <w:rsid w:val="00C86CE7"/>
    <w:rsid w:val="00C870B1"/>
    <w:rsid w:val="00C87478"/>
    <w:rsid w:val="00C8783D"/>
    <w:rsid w:val="00C87BD2"/>
    <w:rsid w:val="00C87BF2"/>
    <w:rsid w:val="00C87D1A"/>
    <w:rsid w:val="00C902C1"/>
    <w:rsid w:val="00C903FA"/>
    <w:rsid w:val="00C9080C"/>
    <w:rsid w:val="00C91304"/>
    <w:rsid w:val="00C914CD"/>
    <w:rsid w:val="00C9156E"/>
    <w:rsid w:val="00C9172A"/>
    <w:rsid w:val="00C91AF4"/>
    <w:rsid w:val="00C91B40"/>
    <w:rsid w:val="00C921C8"/>
    <w:rsid w:val="00C92456"/>
    <w:rsid w:val="00C92976"/>
    <w:rsid w:val="00C92A91"/>
    <w:rsid w:val="00C92B90"/>
    <w:rsid w:val="00C92CA3"/>
    <w:rsid w:val="00C92DA2"/>
    <w:rsid w:val="00C93126"/>
    <w:rsid w:val="00C931F6"/>
    <w:rsid w:val="00C93296"/>
    <w:rsid w:val="00C93730"/>
    <w:rsid w:val="00C93A8A"/>
    <w:rsid w:val="00C93A9D"/>
    <w:rsid w:val="00C94114"/>
    <w:rsid w:val="00C943BA"/>
    <w:rsid w:val="00C94620"/>
    <w:rsid w:val="00C9493F"/>
    <w:rsid w:val="00C94945"/>
    <w:rsid w:val="00C949F7"/>
    <w:rsid w:val="00C94BA8"/>
    <w:rsid w:val="00C94BC8"/>
    <w:rsid w:val="00C95082"/>
    <w:rsid w:val="00C95188"/>
    <w:rsid w:val="00C9530F"/>
    <w:rsid w:val="00C95433"/>
    <w:rsid w:val="00C95611"/>
    <w:rsid w:val="00C95666"/>
    <w:rsid w:val="00C95739"/>
    <w:rsid w:val="00C95C05"/>
    <w:rsid w:val="00C95DC0"/>
    <w:rsid w:val="00C96073"/>
    <w:rsid w:val="00C96144"/>
    <w:rsid w:val="00C96152"/>
    <w:rsid w:val="00C96355"/>
    <w:rsid w:val="00C964A7"/>
    <w:rsid w:val="00C96544"/>
    <w:rsid w:val="00C9678B"/>
    <w:rsid w:val="00C9680F"/>
    <w:rsid w:val="00C96A57"/>
    <w:rsid w:val="00C96BB9"/>
    <w:rsid w:val="00C96C39"/>
    <w:rsid w:val="00C96D01"/>
    <w:rsid w:val="00C96E32"/>
    <w:rsid w:val="00C96EBF"/>
    <w:rsid w:val="00C96FC1"/>
    <w:rsid w:val="00C9711F"/>
    <w:rsid w:val="00C97F18"/>
    <w:rsid w:val="00CA030E"/>
    <w:rsid w:val="00CA03A5"/>
    <w:rsid w:val="00CA08C2"/>
    <w:rsid w:val="00CA10F8"/>
    <w:rsid w:val="00CA14FB"/>
    <w:rsid w:val="00CA16DD"/>
    <w:rsid w:val="00CA1834"/>
    <w:rsid w:val="00CA1D5A"/>
    <w:rsid w:val="00CA1D6E"/>
    <w:rsid w:val="00CA1DB6"/>
    <w:rsid w:val="00CA2169"/>
    <w:rsid w:val="00CA2503"/>
    <w:rsid w:val="00CA250F"/>
    <w:rsid w:val="00CA2962"/>
    <w:rsid w:val="00CA29AD"/>
    <w:rsid w:val="00CA2C00"/>
    <w:rsid w:val="00CA34CC"/>
    <w:rsid w:val="00CA35BA"/>
    <w:rsid w:val="00CA37A9"/>
    <w:rsid w:val="00CA3F2A"/>
    <w:rsid w:val="00CA4223"/>
    <w:rsid w:val="00CA4781"/>
    <w:rsid w:val="00CA4ACA"/>
    <w:rsid w:val="00CA4E3B"/>
    <w:rsid w:val="00CA4E9E"/>
    <w:rsid w:val="00CA4F22"/>
    <w:rsid w:val="00CA5566"/>
    <w:rsid w:val="00CA564B"/>
    <w:rsid w:val="00CA57B8"/>
    <w:rsid w:val="00CA5800"/>
    <w:rsid w:val="00CA5C7E"/>
    <w:rsid w:val="00CA6110"/>
    <w:rsid w:val="00CA627C"/>
    <w:rsid w:val="00CA6E22"/>
    <w:rsid w:val="00CA7581"/>
    <w:rsid w:val="00CA75A0"/>
    <w:rsid w:val="00CA7C79"/>
    <w:rsid w:val="00CA7C7B"/>
    <w:rsid w:val="00CA7CC2"/>
    <w:rsid w:val="00CA7D15"/>
    <w:rsid w:val="00CB03BD"/>
    <w:rsid w:val="00CB0586"/>
    <w:rsid w:val="00CB0822"/>
    <w:rsid w:val="00CB085C"/>
    <w:rsid w:val="00CB09F5"/>
    <w:rsid w:val="00CB0AE8"/>
    <w:rsid w:val="00CB0B30"/>
    <w:rsid w:val="00CB0E7F"/>
    <w:rsid w:val="00CB0EEB"/>
    <w:rsid w:val="00CB0F44"/>
    <w:rsid w:val="00CB1279"/>
    <w:rsid w:val="00CB1296"/>
    <w:rsid w:val="00CB12AC"/>
    <w:rsid w:val="00CB15CA"/>
    <w:rsid w:val="00CB194A"/>
    <w:rsid w:val="00CB1BD6"/>
    <w:rsid w:val="00CB1BE7"/>
    <w:rsid w:val="00CB1D1E"/>
    <w:rsid w:val="00CB1F02"/>
    <w:rsid w:val="00CB248A"/>
    <w:rsid w:val="00CB2508"/>
    <w:rsid w:val="00CB2588"/>
    <w:rsid w:val="00CB2663"/>
    <w:rsid w:val="00CB2AFD"/>
    <w:rsid w:val="00CB2D46"/>
    <w:rsid w:val="00CB330A"/>
    <w:rsid w:val="00CB3518"/>
    <w:rsid w:val="00CB3C19"/>
    <w:rsid w:val="00CB3D9E"/>
    <w:rsid w:val="00CB3F81"/>
    <w:rsid w:val="00CB41A9"/>
    <w:rsid w:val="00CB46F0"/>
    <w:rsid w:val="00CB4E51"/>
    <w:rsid w:val="00CB4EC7"/>
    <w:rsid w:val="00CB4FCF"/>
    <w:rsid w:val="00CB5090"/>
    <w:rsid w:val="00CB5282"/>
    <w:rsid w:val="00CB54A8"/>
    <w:rsid w:val="00CB57F3"/>
    <w:rsid w:val="00CB5A4C"/>
    <w:rsid w:val="00CB6072"/>
    <w:rsid w:val="00CB6157"/>
    <w:rsid w:val="00CB6319"/>
    <w:rsid w:val="00CB6440"/>
    <w:rsid w:val="00CB6514"/>
    <w:rsid w:val="00CB69FF"/>
    <w:rsid w:val="00CB6A20"/>
    <w:rsid w:val="00CB6A2B"/>
    <w:rsid w:val="00CB7019"/>
    <w:rsid w:val="00CB711B"/>
    <w:rsid w:val="00CB7936"/>
    <w:rsid w:val="00CB7CDA"/>
    <w:rsid w:val="00CC0277"/>
    <w:rsid w:val="00CC08F0"/>
    <w:rsid w:val="00CC1054"/>
    <w:rsid w:val="00CC13F6"/>
    <w:rsid w:val="00CC1A16"/>
    <w:rsid w:val="00CC235A"/>
    <w:rsid w:val="00CC2484"/>
    <w:rsid w:val="00CC2F5B"/>
    <w:rsid w:val="00CC328D"/>
    <w:rsid w:val="00CC39CF"/>
    <w:rsid w:val="00CC3B91"/>
    <w:rsid w:val="00CC43C0"/>
    <w:rsid w:val="00CC44BF"/>
    <w:rsid w:val="00CC46A6"/>
    <w:rsid w:val="00CC4945"/>
    <w:rsid w:val="00CC4F94"/>
    <w:rsid w:val="00CC4FD0"/>
    <w:rsid w:val="00CC5104"/>
    <w:rsid w:val="00CC5358"/>
    <w:rsid w:val="00CC5437"/>
    <w:rsid w:val="00CC57E3"/>
    <w:rsid w:val="00CC58AD"/>
    <w:rsid w:val="00CC5D75"/>
    <w:rsid w:val="00CC6015"/>
    <w:rsid w:val="00CC625E"/>
    <w:rsid w:val="00CC6336"/>
    <w:rsid w:val="00CC65BF"/>
    <w:rsid w:val="00CC664E"/>
    <w:rsid w:val="00CC6666"/>
    <w:rsid w:val="00CC6971"/>
    <w:rsid w:val="00CC6C54"/>
    <w:rsid w:val="00CC6E83"/>
    <w:rsid w:val="00CC7281"/>
    <w:rsid w:val="00CC752A"/>
    <w:rsid w:val="00CC7989"/>
    <w:rsid w:val="00CC7A97"/>
    <w:rsid w:val="00CC7D2A"/>
    <w:rsid w:val="00CD02BD"/>
    <w:rsid w:val="00CD034B"/>
    <w:rsid w:val="00CD06CE"/>
    <w:rsid w:val="00CD09F7"/>
    <w:rsid w:val="00CD0A0A"/>
    <w:rsid w:val="00CD0CB1"/>
    <w:rsid w:val="00CD137F"/>
    <w:rsid w:val="00CD19B7"/>
    <w:rsid w:val="00CD264A"/>
    <w:rsid w:val="00CD2812"/>
    <w:rsid w:val="00CD2C0C"/>
    <w:rsid w:val="00CD31DB"/>
    <w:rsid w:val="00CD3200"/>
    <w:rsid w:val="00CD335E"/>
    <w:rsid w:val="00CD3A64"/>
    <w:rsid w:val="00CD3B34"/>
    <w:rsid w:val="00CD3CAD"/>
    <w:rsid w:val="00CD3D53"/>
    <w:rsid w:val="00CD46CC"/>
    <w:rsid w:val="00CD4B6B"/>
    <w:rsid w:val="00CD4C6D"/>
    <w:rsid w:val="00CD4F8E"/>
    <w:rsid w:val="00CD5076"/>
    <w:rsid w:val="00CD51CA"/>
    <w:rsid w:val="00CD5268"/>
    <w:rsid w:val="00CD52CF"/>
    <w:rsid w:val="00CD533E"/>
    <w:rsid w:val="00CD5367"/>
    <w:rsid w:val="00CD6416"/>
    <w:rsid w:val="00CD678E"/>
    <w:rsid w:val="00CD6887"/>
    <w:rsid w:val="00CD6E36"/>
    <w:rsid w:val="00CD6E55"/>
    <w:rsid w:val="00CD6F18"/>
    <w:rsid w:val="00CD6F5E"/>
    <w:rsid w:val="00CD73D6"/>
    <w:rsid w:val="00CD747A"/>
    <w:rsid w:val="00CD783D"/>
    <w:rsid w:val="00CD7966"/>
    <w:rsid w:val="00CD7B98"/>
    <w:rsid w:val="00CD7E36"/>
    <w:rsid w:val="00CD7E95"/>
    <w:rsid w:val="00CD7F7C"/>
    <w:rsid w:val="00CE0074"/>
    <w:rsid w:val="00CE0169"/>
    <w:rsid w:val="00CE0221"/>
    <w:rsid w:val="00CE0523"/>
    <w:rsid w:val="00CE0750"/>
    <w:rsid w:val="00CE0DF5"/>
    <w:rsid w:val="00CE10E1"/>
    <w:rsid w:val="00CE194E"/>
    <w:rsid w:val="00CE1D3D"/>
    <w:rsid w:val="00CE202F"/>
    <w:rsid w:val="00CE234C"/>
    <w:rsid w:val="00CE2504"/>
    <w:rsid w:val="00CE2D7E"/>
    <w:rsid w:val="00CE31AC"/>
    <w:rsid w:val="00CE35D4"/>
    <w:rsid w:val="00CE36B5"/>
    <w:rsid w:val="00CE388B"/>
    <w:rsid w:val="00CE3A55"/>
    <w:rsid w:val="00CE43A3"/>
    <w:rsid w:val="00CE4602"/>
    <w:rsid w:val="00CE4737"/>
    <w:rsid w:val="00CE4E08"/>
    <w:rsid w:val="00CE4E54"/>
    <w:rsid w:val="00CE4F0D"/>
    <w:rsid w:val="00CE5153"/>
    <w:rsid w:val="00CE5505"/>
    <w:rsid w:val="00CE5C4B"/>
    <w:rsid w:val="00CE5D49"/>
    <w:rsid w:val="00CE6076"/>
    <w:rsid w:val="00CE623A"/>
    <w:rsid w:val="00CE640C"/>
    <w:rsid w:val="00CE6633"/>
    <w:rsid w:val="00CE6674"/>
    <w:rsid w:val="00CE66C4"/>
    <w:rsid w:val="00CE67D2"/>
    <w:rsid w:val="00CE7564"/>
    <w:rsid w:val="00CE789D"/>
    <w:rsid w:val="00CE792A"/>
    <w:rsid w:val="00CE79D5"/>
    <w:rsid w:val="00CE7A79"/>
    <w:rsid w:val="00CE7CA1"/>
    <w:rsid w:val="00CE7D76"/>
    <w:rsid w:val="00CF0290"/>
    <w:rsid w:val="00CF0682"/>
    <w:rsid w:val="00CF0A87"/>
    <w:rsid w:val="00CF0AEF"/>
    <w:rsid w:val="00CF0C6B"/>
    <w:rsid w:val="00CF0D1A"/>
    <w:rsid w:val="00CF0D9C"/>
    <w:rsid w:val="00CF1020"/>
    <w:rsid w:val="00CF10D4"/>
    <w:rsid w:val="00CF11E7"/>
    <w:rsid w:val="00CF1547"/>
    <w:rsid w:val="00CF1557"/>
    <w:rsid w:val="00CF1937"/>
    <w:rsid w:val="00CF22E6"/>
    <w:rsid w:val="00CF2353"/>
    <w:rsid w:val="00CF2618"/>
    <w:rsid w:val="00CF29B6"/>
    <w:rsid w:val="00CF2D58"/>
    <w:rsid w:val="00CF2FC8"/>
    <w:rsid w:val="00CF31A8"/>
    <w:rsid w:val="00CF3216"/>
    <w:rsid w:val="00CF381A"/>
    <w:rsid w:val="00CF39ED"/>
    <w:rsid w:val="00CF3E85"/>
    <w:rsid w:val="00CF4974"/>
    <w:rsid w:val="00CF49A7"/>
    <w:rsid w:val="00CF4D7F"/>
    <w:rsid w:val="00CF5563"/>
    <w:rsid w:val="00CF5691"/>
    <w:rsid w:val="00CF57E8"/>
    <w:rsid w:val="00CF5F06"/>
    <w:rsid w:val="00CF5FC3"/>
    <w:rsid w:val="00CF64BE"/>
    <w:rsid w:val="00CF667C"/>
    <w:rsid w:val="00CF68AF"/>
    <w:rsid w:val="00CF6D79"/>
    <w:rsid w:val="00CF6E17"/>
    <w:rsid w:val="00CF6E57"/>
    <w:rsid w:val="00CF7270"/>
    <w:rsid w:val="00CF78DF"/>
    <w:rsid w:val="00CF7E9E"/>
    <w:rsid w:val="00D0003D"/>
    <w:rsid w:val="00D0005F"/>
    <w:rsid w:val="00D0063B"/>
    <w:rsid w:val="00D00738"/>
    <w:rsid w:val="00D0074F"/>
    <w:rsid w:val="00D007E2"/>
    <w:rsid w:val="00D008EF"/>
    <w:rsid w:val="00D00BB3"/>
    <w:rsid w:val="00D013AC"/>
    <w:rsid w:val="00D01409"/>
    <w:rsid w:val="00D01515"/>
    <w:rsid w:val="00D01A0B"/>
    <w:rsid w:val="00D01F22"/>
    <w:rsid w:val="00D01FD4"/>
    <w:rsid w:val="00D02140"/>
    <w:rsid w:val="00D028A2"/>
    <w:rsid w:val="00D033BF"/>
    <w:rsid w:val="00D03460"/>
    <w:rsid w:val="00D03703"/>
    <w:rsid w:val="00D03E3C"/>
    <w:rsid w:val="00D03E90"/>
    <w:rsid w:val="00D0535E"/>
    <w:rsid w:val="00D05524"/>
    <w:rsid w:val="00D05558"/>
    <w:rsid w:val="00D05928"/>
    <w:rsid w:val="00D05950"/>
    <w:rsid w:val="00D06316"/>
    <w:rsid w:val="00D06871"/>
    <w:rsid w:val="00D068FA"/>
    <w:rsid w:val="00D06C0B"/>
    <w:rsid w:val="00D06D8D"/>
    <w:rsid w:val="00D06DAB"/>
    <w:rsid w:val="00D06E83"/>
    <w:rsid w:val="00D070BB"/>
    <w:rsid w:val="00D10304"/>
    <w:rsid w:val="00D10413"/>
    <w:rsid w:val="00D10717"/>
    <w:rsid w:val="00D1075A"/>
    <w:rsid w:val="00D10AEB"/>
    <w:rsid w:val="00D11174"/>
    <w:rsid w:val="00D11292"/>
    <w:rsid w:val="00D115A5"/>
    <w:rsid w:val="00D11ABB"/>
    <w:rsid w:val="00D11BBE"/>
    <w:rsid w:val="00D12001"/>
    <w:rsid w:val="00D12558"/>
    <w:rsid w:val="00D12941"/>
    <w:rsid w:val="00D129FE"/>
    <w:rsid w:val="00D12B01"/>
    <w:rsid w:val="00D12E90"/>
    <w:rsid w:val="00D12EC2"/>
    <w:rsid w:val="00D130BF"/>
    <w:rsid w:val="00D1399E"/>
    <w:rsid w:val="00D13C3E"/>
    <w:rsid w:val="00D13D7B"/>
    <w:rsid w:val="00D14093"/>
    <w:rsid w:val="00D1421E"/>
    <w:rsid w:val="00D14533"/>
    <w:rsid w:val="00D1468A"/>
    <w:rsid w:val="00D14757"/>
    <w:rsid w:val="00D148E0"/>
    <w:rsid w:val="00D14B89"/>
    <w:rsid w:val="00D14CA4"/>
    <w:rsid w:val="00D14DEB"/>
    <w:rsid w:val="00D14E14"/>
    <w:rsid w:val="00D14E56"/>
    <w:rsid w:val="00D15008"/>
    <w:rsid w:val="00D150CE"/>
    <w:rsid w:val="00D153B4"/>
    <w:rsid w:val="00D1552A"/>
    <w:rsid w:val="00D15AB3"/>
    <w:rsid w:val="00D15B14"/>
    <w:rsid w:val="00D15B24"/>
    <w:rsid w:val="00D15B38"/>
    <w:rsid w:val="00D15FD7"/>
    <w:rsid w:val="00D1603C"/>
    <w:rsid w:val="00D16341"/>
    <w:rsid w:val="00D1641F"/>
    <w:rsid w:val="00D16964"/>
    <w:rsid w:val="00D16EF9"/>
    <w:rsid w:val="00D1706B"/>
    <w:rsid w:val="00D170FD"/>
    <w:rsid w:val="00D172AC"/>
    <w:rsid w:val="00D178FF"/>
    <w:rsid w:val="00D17C11"/>
    <w:rsid w:val="00D17C62"/>
    <w:rsid w:val="00D17D16"/>
    <w:rsid w:val="00D17EC4"/>
    <w:rsid w:val="00D2021F"/>
    <w:rsid w:val="00D20332"/>
    <w:rsid w:val="00D20A8D"/>
    <w:rsid w:val="00D20F66"/>
    <w:rsid w:val="00D21046"/>
    <w:rsid w:val="00D2106E"/>
    <w:rsid w:val="00D210F2"/>
    <w:rsid w:val="00D212B0"/>
    <w:rsid w:val="00D2136C"/>
    <w:rsid w:val="00D21568"/>
    <w:rsid w:val="00D218E7"/>
    <w:rsid w:val="00D2201E"/>
    <w:rsid w:val="00D22084"/>
    <w:rsid w:val="00D22605"/>
    <w:rsid w:val="00D227F7"/>
    <w:rsid w:val="00D22B36"/>
    <w:rsid w:val="00D22EB5"/>
    <w:rsid w:val="00D23170"/>
    <w:rsid w:val="00D23891"/>
    <w:rsid w:val="00D24149"/>
    <w:rsid w:val="00D242B1"/>
    <w:rsid w:val="00D24387"/>
    <w:rsid w:val="00D24847"/>
    <w:rsid w:val="00D24909"/>
    <w:rsid w:val="00D250E0"/>
    <w:rsid w:val="00D250F1"/>
    <w:rsid w:val="00D25200"/>
    <w:rsid w:val="00D253C8"/>
    <w:rsid w:val="00D25613"/>
    <w:rsid w:val="00D2565E"/>
    <w:rsid w:val="00D258AF"/>
    <w:rsid w:val="00D25C34"/>
    <w:rsid w:val="00D25E6D"/>
    <w:rsid w:val="00D262E3"/>
    <w:rsid w:val="00D26305"/>
    <w:rsid w:val="00D26570"/>
    <w:rsid w:val="00D2665E"/>
    <w:rsid w:val="00D26773"/>
    <w:rsid w:val="00D2681A"/>
    <w:rsid w:val="00D2687F"/>
    <w:rsid w:val="00D26BF6"/>
    <w:rsid w:val="00D26CBA"/>
    <w:rsid w:val="00D26E26"/>
    <w:rsid w:val="00D26E80"/>
    <w:rsid w:val="00D26EB4"/>
    <w:rsid w:val="00D2721D"/>
    <w:rsid w:val="00D273D6"/>
    <w:rsid w:val="00D27500"/>
    <w:rsid w:val="00D27733"/>
    <w:rsid w:val="00D27BA4"/>
    <w:rsid w:val="00D3037D"/>
    <w:rsid w:val="00D3068F"/>
    <w:rsid w:val="00D306C5"/>
    <w:rsid w:val="00D30B2F"/>
    <w:rsid w:val="00D313A6"/>
    <w:rsid w:val="00D317AB"/>
    <w:rsid w:val="00D31E79"/>
    <w:rsid w:val="00D31FEB"/>
    <w:rsid w:val="00D32675"/>
    <w:rsid w:val="00D32915"/>
    <w:rsid w:val="00D32B21"/>
    <w:rsid w:val="00D3304C"/>
    <w:rsid w:val="00D335B1"/>
    <w:rsid w:val="00D335BB"/>
    <w:rsid w:val="00D336F0"/>
    <w:rsid w:val="00D33769"/>
    <w:rsid w:val="00D3380E"/>
    <w:rsid w:val="00D33816"/>
    <w:rsid w:val="00D33BED"/>
    <w:rsid w:val="00D33EC6"/>
    <w:rsid w:val="00D340BF"/>
    <w:rsid w:val="00D34B20"/>
    <w:rsid w:val="00D34E8D"/>
    <w:rsid w:val="00D34E9A"/>
    <w:rsid w:val="00D3503C"/>
    <w:rsid w:val="00D35486"/>
    <w:rsid w:val="00D3574F"/>
    <w:rsid w:val="00D35B57"/>
    <w:rsid w:val="00D35C9F"/>
    <w:rsid w:val="00D36502"/>
    <w:rsid w:val="00D3676B"/>
    <w:rsid w:val="00D36CCA"/>
    <w:rsid w:val="00D3754F"/>
    <w:rsid w:val="00D37561"/>
    <w:rsid w:val="00D37764"/>
    <w:rsid w:val="00D377D9"/>
    <w:rsid w:val="00D378AC"/>
    <w:rsid w:val="00D37C51"/>
    <w:rsid w:val="00D37CA5"/>
    <w:rsid w:val="00D37D60"/>
    <w:rsid w:val="00D40326"/>
    <w:rsid w:val="00D40413"/>
    <w:rsid w:val="00D40882"/>
    <w:rsid w:val="00D408C6"/>
    <w:rsid w:val="00D40EB4"/>
    <w:rsid w:val="00D411DB"/>
    <w:rsid w:val="00D41342"/>
    <w:rsid w:val="00D41394"/>
    <w:rsid w:val="00D414BB"/>
    <w:rsid w:val="00D41570"/>
    <w:rsid w:val="00D4186C"/>
    <w:rsid w:val="00D419AB"/>
    <w:rsid w:val="00D41B26"/>
    <w:rsid w:val="00D41F59"/>
    <w:rsid w:val="00D4212C"/>
    <w:rsid w:val="00D42455"/>
    <w:rsid w:val="00D42586"/>
    <w:rsid w:val="00D4263A"/>
    <w:rsid w:val="00D4270F"/>
    <w:rsid w:val="00D42A25"/>
    <w:rsid w:val="00D42BCA"/>
    <w:rsid w:val="00D42E70"/>
    <w:rsid w:val="00D43EE5"/>
    <w:rsid w:val="00D4420F"/>
    <w:rsid w:val="00D44484"/>
    <w:rsid w:val="00D444A0"/>
    <w:rsid w:val="00D449CF"/>
    <w:rsid w:val="00D44C62"/>
    <w:rsid w:val="00D44E65"/>
    <w:rsid w:val="00D4512D"/>
    <w:rsid w:val="00D45374"/>
    <w:rsid w:val="00D454E8"/>
    <w:rsid w:val="00D45602"/>
    <w:rsid w:val="00D459F1"/>
    <w:rsid w:val="00D45A9E"/>
    <w:rsid w:val="00D460C9"/>
    <w:rsid w:val="00D46657"/>
    <w:rsid w:val="00D472C7"/>
    <w:rsid w:val="00D47834"/>
    <w:rsid w:val="00D47DC9"/>
    <w:rsid w:val="00D47ECE"/>
    <w:rsid w:val="00D47F50"/>
    <w:rsid w:val="00D500F5"/>
    <w:rsid w:val="00D50924"/>
    <w:rsid w:val="00D50B92"/>
    <w:rsid w:val="00D50BCC"/>
    <w:rsid w:val="00D50C2D"/>
    <w:rsid w:val="00D50F18"/>
    <w:rsid w:val="00D515B9"/>
    <w:rsid w:val="00D519DE"/>
    <w:rsid w:val="00D51CEF"/>
    <w:rsid w:val="00D51DC1"/>
    <w:rsid w:val="00D5247D"/>
    <w:rsid w:val="00D528B6"/>
    <w:rsid w:val="00D52947"/>
    <w:rsid w:val="00D529DB"/>
    <w:rsid w:val="00D52CBA"/>
    <w:rsid w:val="00D53086"/>
    <w:rsid w:val="00D53B80"/>
    <w:rsid w:val="00D53C3F"/>
    <w:rsid w:val="00D53F7E"/>
    <w:rsid w:val="00D542F4"/>
    <w:rsid w:val="00D54302"/>
    <w:rsid w:val="00D544E6"/>
    <w:rsid w:val="00D54736"/>
    <w:rsid w:val="00D54975"/>
    <w:rsid w:val="00D54DAF"/>
    <w:rsid w:val="00D54E7C"/>
    <w:rsid w:val="00D550A8"/>
    <w:rsid w:val="00D553D6"/>
    <w:rsid w:val="00D55485"/>
    <w:rsid w:val="00D555F9"/>
    <w:rsid w:val="00D5568B"/>
    <w:rsid w:val="00D557C9"/>
    <w:rsid w:val="00D55F7F"/>
    <w:rsid w:val="00D560D8"/>
    <w:rsid w:val="00D5648D"/>
    <w:rsid w:val="00D56496"/>
    <w:rsid w:val="00D56CF2"/>
    <w:rsid w:val="00D56D36"/>
    <w:rsid w:val="00D571CE"/>
    <w:rsid w:val="00D57510"/>
    <w:rsid w:val="00D578C8"/>
    <w:rsid w:val="00D57AEE"/>
    <w:rsid w:val="00D57B8A"/>
    <w:rsid w:val="00D57CFE"/>
    <w:rsid w:val="00D57DA1"/>
    <w:rsid w:val="00D57DED"/>
    <w:rsid w:val="00D60619"/>
    <w:rsid w:val="00D60946"/>
    <w:rsid w:val="00D60B1A"/>
    <w:rsid w:val="00D60DF8"/>
    <w:rsid w:val="00D60FD2"/>
    <w:rsid w:val="00D612B2"/>
    <w:rsid w:val="00D6147B"/>
    <w:rsid w:val="00D614A2"/>
    <w:rsid w:val="00D619CC"/>
    <w:rsid w:val="00D61E13"/>
    <w:rsid w:val="00D6211D"/>
    <w:rsid w:val="00D621D9"/>
    <w:rsid w:val="00D628C2"/>
    <w:rsid w:val="00D629D4"/>
    <w:rsid w:val="00D62B45"/>
    <w:rsid w:val="00D62B90"/>
    <w:rsid w:val="00D6317E"/>
    <w:rsid w:val="00D63611"/>
    <w:rsid w:val="00D63955"/>
    <w:rsid w:val="00D63A2C"/>
    <w:rsid w:val="00D63B2D"/>
    <w:rsid w:val="00D642CF"/>
    <w:rsid w:val="00D6435E"/>
    <w:rsid w:val="00D64507"/>
    <w:rsid w:val="00D64533"/>
    <w:rsid w:val="00D646D5"/>
    <w:rsid w:val="00D64B5F"/>
    <w:rsid w:val="00D64C72"/>
    <w:rsid w:val="00D64D24"/>
    <w:rsid w:val="00D650CA"/>
    <w:rsid w:val="00D652C5"/>
    <w:rsid w:val="00D65960"/>
    <w:rsid w:val="00D6596F"/>
    <w:rsid w:val="00D65ADB"/>
    <w:rsid w:val="00D66162"/>
    <w:rsid w:val="00D662AE"/>
    <w:rsid w:val="00D66EE4"/>
    <w:rsid w:val="00D6740D"/>
    <w:rsid w:val="00D67792"/>
    <w:rsid w:val="00D67F3A"/>
    <w:rsid w:val="00D70014"/>
    <w:rsid w:val="00D70385"/>
    <w:rsid w:val="00D705D7"/>
    <w:rsid w:val="00D70647"/>
    <w:rsid w:val="00D70C22"/>
    <w:rsid w:val="00D70CBE"/>
    <w:rsid w:val="00D710D0"/>
    <w:rsid w:val="00D715EA"/>
    <w:rsid w:val="00D71A9E"/>
    <w:rsid w:val="00D71B7B"/>
    <w:rsid w:val="00D71C39"/>
    <w:rsid w:val="00D71FAE"/>
    <w:rsid w:val="00D72271"/>
    <w:rsid w:val="00D72718"/>
    <w:rsid w:val="00D72868"/>
    <w:rsid w:val="00D72999"/>
    <w:rsid w:val="00D72AA4"/>
    <w:rsid w:val="00D72B0F"/>
    <w:rsid w:val="00D73166"/>
    <w:rsid w:val="00D7337D"/>
    <w:rsid w:val="00D7393B"/>
    <w:rsid w:val="00D73C09"/>
    <w:rsid w:val="00D73D36"/>
    <w:rsid w:val="00D73E5F"/>
    <w:rsid w:val="00D740FC"/>
    <w:rsid w:val="00D7423D"/>
    <w:rsid w:val="00D7427F"/>
    <w:rsid w:val="00D7428A"/>
    <w:rsid w:val="00D74676"/>
    <w:rsid w:val="00D746F4"/>
    <w:rsid w:val="00D74E2C"/>
    <w:rsid w:val="00D753CF"/>
    <w:rsid w:val="00D75827"/>
    <w:rsid w:val="00D762AB"/>
    <w:rsid w:val="00D764F4"/>
    <w:rsid w:val="00D76790"/>
    <w:rsid w:val="00D76BC6"/>
    <w:rsid w:val="00D76D42"/>
    <w:rsid w:val="00D76DC1"/>
    <w:rsid w:val="00D77160"/>
    <w:rsid w:val="00D772A3"/>
    <w:rsid w:val="00D774BC"/>
    <w:rsid w:val="00D77694"/>
    <w:rsid w:val="00D776A0"/>
    <w:rsid w:val="00D7772D"/>
    <w:rsid w:val="00D77884"/>
    <w:rsid w:val="00D77B52"/>
    <w:rsid w:val="00D77EEC"/>
    <w:rsid w:val="00D801E5"/>
    <w:rsid w:val="00D8067F"/>
    <w:rsid w:val="00D80C5A"/>
    <w:rsid w:val="00D80E17"/>
    <w:rsid w:val="00D80E8C"/>
    <w:rsid w:val="00D80FCB"/>
    <w:rsid w:val="00D81B47"/>
    <w:rsid w:val="00D82326"/>
    <w:rsid w:val="00D82403"/>
    <w:rsid w:val="00D82607"/>
    <w:rsid w:val="00D8274D"/>
    <w:rsid w:val="00D82EC1"/>
    <w:rsid w:val="00D83080"/>
    <w:rsid w:val="00D83BF1"/>
    <w:rsid w:val="00D83C2A"/>
    <w:rsid w:val="00D83E3D"/>
    <w:rsid w:val="00D84331"/>
    <w:rsid w:val="00D843D4"/>
    <w:rsid w:val="00D850C5"/>
    <w:rsid w:val="00D85877"/>
    <w:rsid w:val="00D85989"/>
    <w:rsid w:val="00D85A7E"/>
    <w:rsid w:val="00D85AF6"/>
    <w:rsid w:val="00D86D00"/>
    <w:rsid w:val="00D86D56"/>
    <w:rsid w:val="00D871DD"/>
    <w:rsid w:val="00D87C5C"/>
    <w:rsid w:val="00D87DB7"/>
    <w:rsid w:val="00D87E05"/>
    <w:rsid w:val="00D900E4"/>
    <w:rsid w:val="00D9012A"/>
    <w:rsid w:val="00D9015A"/>
    <w:rsid w:val="00D90307"/>
    <w:rsid w:val="00D90A15"/>
    <w:rsid w:val="00D90A43"/>
    <w:rsid w:val="00D90D0D"/>
    <w:rsid w:val="00D913A3"/>
    <w:rsid w:val="00D9156A"/>
    <w:rsid w:val="00D91636"/>
    <w:rsid w:val="00D91740"/>
    <w:rsid w:val="00D918C3"/>
    <w:rsid w:val="00D9214E"/>
    <w:rsid w:val="00D921AA"/>
    <w:rsid w:val="00D92351"/>
    <w:rsid w:val="00D9246F"/>
    <w:rsid w:val="00D92AE9"/>
    <w:rsid w:val="00D92D9A"/>
    <w:rsid w:val="00D92F39"/>
    <w:rsid w:val="00D93100"/>
    <w:rsid w:val="00D93147"/>
    <w:rsid w:val="00D93197"/>
    <w:rsid w:val="00D93221"/>
    <w:rsid w:val="00D93FFF"/>
    <w:rsid w:val="00D9441D"/>
    <w:rsid w:val="00D945E5"/>
    <w:rsid w:val="00D94895"/>
    <w:rsid w:val="00D949CF"/>
    <w:rsid w:val="00D94A31"/>
    <w:rsid w:val="00D94A6D"/>
    <w:rsid w:val="00D94B42"/>
    <w:rsid w:val="00D94FDF"/>
    <w:rsid w:val="00D952E1"/>
    <w:rsid w:val="00D956A3"/>
    <w:rsid w:val="00D9577A"/>
    <w:rsid w:val="00D957B9"/>
    <w:rsid w:val="00D95962"/>
    <w:rsid w:val="00D95B8C"/>
    <w:rsid w:val="00D95BB5"/>
    <w:rsid w:val="00D95BBE"/>
    <w:rsid w:val="00D95F56"/>
    <w:rsid w:val="00D95F59"/>
    <w:rsid w:val="00D9616A"/>
    <w:rsid w:val="00D96256"/>
    <w:rsid w:val="00D96CC4"/>
    <w:rsid w:val="00D97018"/>
    <w:rsid w:val="00D9773C"/>
    <w:rsid w:val="00D977F6"/>
    <w:rsid w:val="00D978DD"/>
    <w:rsid w:val="00D97B0C"/>
    <w:rsid w:val="00D97E17"/>
    <w:rsid w:val="00DA00D1"/>
    <w:rsid w:val="00DA0496"/>
    <w:rsid w:val="00DA0799"/>
    <w:rsid w:val="00DA091B"/>
    <w:rsid w:val="00DA0AF6"/>
    <w:rsid w:val="00DA0D49"/>
    <w:rsid w:val="00DA11E6"/>
    <w:rsid w:val="00DA1517"/>
    <w:rsid w:val="00DA152D"/>
    <w:rsid w:val="00DA19B7"/>
    <w:rsid w:val="00DA1D0F"/>
    <w:rsid w:val="00DA1EC2"/>
    <w:rsid w:val="00DA21EC"/>
    <w:rsid w:val="00DA27D8"/>
    <w:rsid w:val="00DA2AAA"/>
    <w:rsid w:val="00DA2BC8"/>
    <w:rsid w:val="00DA2D4D"/>
    <w:rsid w:val="00DA2E71"/>
    <w:rsid w:val="00DA3A37"/>
    <w:rsid w:val="00DA3ACC"/>
    <w:rsid w:val="00DA401A"/>
    <w:rsid w:val="00DA430C"/>
    <w:rsid w:val="00DA44E6"/>
    <w:rsid w:val="00DA4808"/>
    <w:rsid w:val="00DA496A"/>
    <w:rsid w:val="00DA4994"/>
    <w:rsid w:val="00DA4AC4"/>
    <w:rsid w:val="00DA505B"/>
    <w:rsid w:val="00DA5097"/>
    <w:rsid w:val="00DA52BC"/>
    <w:rsid w:val="00DA5CE2"/>
    <w:rsid w:val="00DA618E"/>
    <w:rsid w:val="00DA658F"/>
    <w:rsid w:val="00DA672F"/>
    <w:rsid w:val="00DA67B6"/>
    <w:rsid w:val="00DA690C"/>
    <w:rsid w:val="00DA6A58"/>
    <w:rsid w:val="00DA6EC7"/>
    <w:rsid w:val="00DA7349"/>
    <w:rsid w:val="00DA74B3"/>
    <w:rsid w:val="00DA7720"/>
    <w:rsid w:val="00DA77A0"/>
    <w:rsid w:val="00DA7C67"/>
    <w:rsid w:val="00DA7E93"/>
    <w:rsid w:val="00DA7E9D"/>
    <w:rsid w:val="00DB0084"/>
    <w:rsid w:val="00DB0145"/>
    <w:rsid w:val="00DB0399"/>
    <w:rsid w:val="00DB047F"/>
    <w:rsid w:val="00DB0DE7"/>
    <w:rsid w:val="00DB1363"/>
    <w:rsid w:val="00DB1630"/>
    <w:rsid w:val="00DB168F"/>
    <w:rsid w:val="00DB1A39"/>
    <w:rsid w:val="00DB1ADC"/>
    <w:rsid w:val="00DB1BAC"/>
    <w:rsid w:val="00DB1E57"/>
    <w:rsid w:val="00DB247B"/>
    <w:rsid w:val="00DB252C"/>
    <w:rsid w:val="00DB2566"/>
    <w:rsid w:val="00DB3325"/>
    <w:rsid w:val="00DB3357"/>
    <w:rsid w:val="00DB3362"/>
    <w:rsid w:val="00DB34D7"/>
    <w:rsid w:val="00DB367C"/>
    <w:rsid w:val="00DB3B39"/>
    <w:rsid w:val="00DB3E1D"/>
    <w:rsid w:val="00DB3E1F"/>
    <w:rsid w:val="00DB4229"/>
    <w:rsid w:val="00DB44B1"/>
    <w:rsid w:val="00DB44F7"/>
    <w:rsid w:val="00DB4C14"/>
    <w:rsid w:val="00DB4CAF"/>
    <w:rsid w:val="00DB5146"/>
    <w:rsid w:val="00DB56C4"/>
    <w:rsid w:val="00DB583C"/>
    <w:rsid w:val="00DB58BC"/>
    <w:rsid w:val="00DB5C02"/>
    <w:rsid w:val="00DB5DD4"/>
    <w:rsid w:val="00DB5E0A"/>
    <w:rsid w:val="00DB5FCD"/>
    <w:rsid w:val="00DB6267"/>
    <w:rsid w:val="00DB6500"/>
    <w:rsid w:val="00DB67B9"/>
    <w:rsid w:val="00DB6958"/>
    <w:rsid w:val="00DB6D1B"/>
    <w:rsid w:val="00DB73E2"/>
    <w:rsid w:val="00DB759B"/>
    <w:rsid w:val="00DB7B32"/>
    <w:rsid w:val="00DB7D14"/>
    <w:rsid w:val="00DC0364"/>
    <w:rsid w:val="00DC0414"/>
    <w:rsid w:val="00DC04A3"/>
    <w:rsid w:val="00DC05A0"/>
    <w:rsid w:val="00DC0BE3"/>
    <w:rsid w:val="00DC0D68"/>
    <w:rsid w:val="00DC0F44"/>
    <w:rsid w:val="00DC0FFB"/>
    <w:rsid w:val="00DC1208"/>
    <w:rsid w:val="00DC1541"/>
    <w:rsid w:val="00DC160F"/>
    <w:rsid w:val="00DC16C7"/>
    <w:rsid w:val="00DC1B5F"/>
    <w:rsid w:val="00DC1C53"/>
    <w:rsid w:val="00DC1D2F"/>
    <w:rsid w:val="00DC205C"/>
    <w:rsid w:val="00DC215C"/>
    <w:rsid w:val="00DC253D"/>
    <w:rsid w:val="00DC271E"/>
    <w:rsid w:val="00DC28F9"/>
    <w:rsid w:val="00DC2A4D"/>
    <w:rsid w:val="00DC315B"/>
    <w:rsid w:val="00DC32D3"/>
    <w:rsid w:val="00DC3D91"/>
    <w:rsid w:val="00DC4342"/>
    <w:rsid w:val="00DC4433"/>
    <w:rsid w:val="00DC446F"/>
    <w:rsid w:val="00DC44DD"/>
    <w:rsid w:val="00DC486C"/>
    <w:rsid w:val="00DC4A03"/>
    <w:rsid w:val="00DC4A15"/>
    <w:rsid w:val="00DC4A74"/>
    <w:rsid w:val="00DC5016"/>
    <w:rsid w:val="00DC504A"/>
    <w:rsid w:val="00DC50D2"/>
    <w:rsid w:val="00DC5320"/>
    <w:rsid w:val="00DC5339"/>
    <w:rsid w:val="00DC55F5"/>
    <w:rsid w:val="00DC5D5D"/>
    <w:rsid w:val="00DC5E00"/>
    <w:rsid w:val="00DC5FE0"/>
    <w:rsid w:val="00DC6247"/>
    <w:rsid w:val="00DC6850"/>
    <w:rsid w:val="00DC69E0"/>
    <w:rsid w:val="00DC6DF2"/>
    <w:rsid w:val="00DC70FA"/>
    <w:rsid w:val="00DC7637"/>
    <w:rsid w:val="00DC798B"/>
    <w:rsid w:val="00DD049B"/>
    <w:rsid w:val="00DD06AE"/>
    <w:rsid w:val="00DD08AD"/>
    <w:rsid w:val="00DD0C36"/>
    <w:rsid w:val="00DD138B"/>
    <w:rsid w:val="00DD1601"/>
    <w:rsid w:val="00DD16D7"/>
    <w:rsid w:val="00DD1B09"/>
    <w:rsid w:val="00DD1C9D"/>
    <w:rsid w:val="00DD1DED"/>
    <w:rsid w:val="00DD2580"/>
    <w:rsid w:val="00DD2607"/>
    <w:rsid w:val="00DD2704"/>
    <w:rsid w:val="00DD2822"/>
    <w:rsid w:val="00DD290A"/>
    <w:rsid w:val="00DD302C"/>
    <w:rsid w:val="00DD32C6"/>
    <w:rsid w:val="00DD32CC"/>
    <w:rsid w:val="00DD3463"/>
    <w:rsid w:val="00DD351B"/>
    <w:rsid w:val="00DD3816"/>
    <w:rsid w:val="00DD3AE3"/>
    <w:rsid w:val="00DD3D8E"/>
    <w:rsid w:val="00DD40AC"/>
    <w:rsid w:val="00DD41D2"/>
    <w:rsid w:val="00DD4225"/>
    <w:rsid w:val="00DD42E8"/>
    <w:rsid w:val="00DD44F4"/>
    <w:rsid w:val="00DD47E7"/>
    <w:rsid w:val="00DD5077"/>
    <w:rsid w:val="00DD55F2"/>
    <w:rsid w:val="00DD57CA"/>
    <w:rsid w:val="00DD5834"/>
    <w:rsid w:val="00DD5B76"/>
    <w:rsid w:val="00DD5E99"/>
    <w:rsid w:val="00DD62E8"/>
    <w:rsid w:val="00DD65AD"/>
    <w:rsid w:val="00DD65CB"/>
    <w:rsid w:val="00DD6632"/>
    <w:rsid w:val="00DD6AEF"/>
    <w:rsid w:val="00DD6EC3"/>
    <w:rsid w:val="00DD711E"/>
    <w:rsid w:val="00DD71D1"/>
    <w:rsid w:val="00DD74A3"/>
    <w:rsid w:val="00DD768E"/>
    <w:rsid w:val="00DD779A"/>
    <w:rsid w:val="00DD7BA3"/>
    <w:rsid w:val="00DD7CCF"/>
    <w:rsid w:val="00DE0079"/>
    <w:rsid w:val="00DE02CA"/>
    <w:rsid w:val="00DE052E"/>
    <w:rsid w:val="00DE0668"/>
    <w:rsid w:val="00DE0EC4"/>
    <w:rsid w:val="00DE109C"/>
    <w:rsid w:val="00DE11B0"/>
    <w:rsid w:val="00DE11BD"/>
    <w:rsid w:val="00DE14A0"/>
    <w:rsid w:val="00DE15B8"/>
    <w:rsid w:val="00DE1741"/>
    <w:rsid w:val="00DE18C5"/>
    <w:rsid w:val="00DE1FB4"/>
    <w:rsid w:val="00DE200A"/>
    <w:rsid w:val="00DE2229"/>
    <w:rsid w:val="00DE238C"/>
    <w:rsid w:val="00DE251C"/>
    <w:rsid w:val="00DE2533"/>
    <w:rsid w:val="00DE264F"/>
    <w:rsid w:val="00DE2E69"/>
    <w:rsid w:val="00DE3552"/>
    <w:rsid w:val="00DE3819"/>
    <w:rsid w:val="00DE3A1E"/>
    <w:rsid w:val="00DE3C38"/>
    <w:rsid w:val="00DE419D"/>
    <w:rsid w:val="00DE4330"/>
    <w:rsid w:val="00DE46EE"/>
    <w:rsid w:val="00DE490A"/>
    <w:rsid w:val="00DE4AAD"/>
    <w:rsid w:val="00DE4DCB"/>
    <w:rsid w:val="00DE5029"/>
    <w:rsid w:val="00DE5795"/>
    <w:rsid w:val="00DE5CCD"/>
    <w:rsid w:val="00DE5E13"/>
    <w:rsid w:val="00DE5E81"/>
    <w:rsid w:val="00DE5EB7"/>
    <w:rsid w:val="00DE600C"/>
    <w:rsid w:val="00DE600D"/>
    <w:rsid w:val="00DE6268"/>
    <w:rsid w:val="00DE631F"/>
    <w:rsid w:val="00DE636E"/>
    <w:rsid w:val="00DE6378"/>
    <w:rsid w:val="00DE6474"/>
    <w:rsid w:val="00DE67B3"/>
    <w:rsid w:val="00DE68DD"/>
    <w:rsid w:val="00DE69D6"/>
    <w:rsid w:val="00DE707B"/>
    <w:rsid w:val="00DE74FD"/>
    <w:rsid w:val="00DE7638"/>
    <w:rsid w:val="00DE772B"/>
    <w:rsid w:val="00DE7BC1"/>
    <w:rsid w:val="00DE7C29"/>
    <w:rsid w:val="00DE7DE4"/>
    <w:rsid w:val="00DF09BC"/>
    <w:rsid w:val="00DF0FE8"/>
    <w:rsid w:val="00DF11BA"/>
    <w:rsid w:val="00DF1234"/>
    <w:rsid w:val="00DF133F"/>
    <w:rsid w:val="00DF14BF"/>
    <w:rsid w:val="00DF1651"/>
    <w:rsid w:val="00DF1E37"/>
    <w:rsid w:val="00DF2106"/>
    <w:rsid w:val="00DF242E"/>
    <w:rsid w:val="00DF279F"/>
    <w:rsid w:val="00DF2898"/>
    <w:rsid w:val="00DF28CE"/>
    <w:rsid w:val="00DF29B7"/>
    <w:rsid w:val="00DF2C4F"/>
    <w:rsid w:val="00DF2CAE"/>
    <w:rsid w:val="00DF2CC1"/>
    <w:rsid w:val="00DF2F16"/>
    <w:rsid w:val="00DF32B7"/>
    <w:rsid w:val="00DF331E"/>
    <w:rsid w:val="00DF37B5"/>
    <w:rsid w:val="00DF3846"/>
    <w:rsid w:val="00DF397E"/>
    <w:rsid w:val="00DF3C0B"/>
    <w:rsid w:val="00DF43AB"/>
    <w:rsid w:val="00DF463F"/>
    <w:rsid w:val="00DF4AB9"/>
    <w:rsid w:val="00DF4C1D"/>
    <w:rsid w:val="00DF4E00"/>
    <w:rsid w:val="00DF4FB0"/>
    <w:rsid w:val="00DF52F5"/>
    <w:rsid w:val="00DF5563"/>
    <w:rsid w:val="00DF5B20"/>
    <w:rsid w:val="00DF5B53"/>
    <w:rsid w:val="00DF619C"/>
    <w:rsid w:val="00DF668A"/>
    <w:rsid w:val="00DF6F34"/>
    <w:rsid w:val="00DF6FF0"/>
    <w:rsid w:val="00DF6FFE"/>
    <w:rsid w:val="00DF7459"/>
    <w:rsid w:val="00DF7500"/>
    <w:rsid w:val="00DF7571"/>
    <w:rsid w:val="00DF7E55"/>
    <w:rsid w:val="00E000AF"/>
    <w:rsid w:val="00E00A20"/>
    <w:rsid w:val="00E00BE3"/>
    <w:rsid w:val="00E00FE8"/>
    <w:rsid w:val="00E018DB"/>
    <w:rsid w:val="00E01C75"/>
    <w:rsid w:val="00E01D0B"/>
    <w:rsid w:val="00E01E7B"/>
    <w:rsid w:val="00E01FEF"/>
    <w:rsid w:val="00E0224E"/>
    <w:rsid w:val="00E02C01"/>
    <w:rsid w:val="00E02E43"/>
    <w:rsid w:val="00E02F4F"/>
    <w:rsid w:val="00E036CC"/>
    <w:rsid w:val="00E03C10"/>
    <w:rsid w:val="00E03F47"/>
    <w:rsid w:val="00E03FFF"/>
    <w:rsid w:val="00E0404A"/>
    <w:rsid w:val="00E040B9"/>
    <w:rsid w:val="00E0446D"/>
    <w:rsid w:val="00E048C7"/>
    <w:rsid w:val="00E04DFF"/>
    <w:rsid w:val="00E0526C"/>
    <w:rsid w:val="00E0539C"/>
    <w:rsid w:val="00E05490"/>
    <w:rsid w:val="00E05531"/>
    <w:rsid w:val="00E05588"/>
    <w:rsid w:val="00E05818"/>
    <w:rsid w:val="00E05AA7"/>
    <w:rsid w:val="00E0688D"/>
    <w:rsid w:val="00E068CC"/>
    <w:rsid w:val="00E06982"/>
    <w:rsid w:val="00E06E4C"/>
    <w:rsid w:val="00E06E9F"/>
    <w:rsid w:val="00E0734F"/>
    <w:rsid w:val="00E07489"/>
    <w:rsid w:val="00E075AC"/>
    <w:rsid w:val="00E0772F"/>
    <w:rsid w:val="00E07A40"/>
    <w:rsid w:val="00E07AAE"/>
    <w:rsid w:val="00E07C65"/>
    <w:rsid w:val="00E07C6F"/>
    <w:rsid w:val="00E07E17"/>
    <w:rsid w:val="00E07F78"/>
    <w:rsid w:val="00E10D05"/>
    <w:rsid w:val="00E10E1D"/>
    <w:rsid w:val="00E10FC2"/>
    <w:rsid w:val="00E110D6"/>
    <w:rsid w:val="00E118B5"/>
    <w:rsid w:val="00E1267D"/>
    <w:rsid w:val="00E12790"/>
    <w:rsid w:val="00E1279E"/>
    <w:rsid w:val="00E12D56"/>
    <w:rsid w:val="00E12E7C"/>
    <w:rsid w:val="00E131A4"/>
    <w:rsid w:val="00E13229"/>
    <w:rsid w:val="00E136DF"/>
    <w:rsid w:val="00E143D9"/>
    <w:rsid w:val="00E1460F"/>
    <w:rsid w:val="00E1478A"/>
    <w:rsid w:val="00E14968"/>
    <w:rsid w:val="00E14BA3"/>
    <w:rsid w:val="00E14C9C"/>
    <w:rsid w:val="00E156A9"/>
    <w:rsid w:val="00E15B02"/>
    <w:rsid w:val="00E15C86"/>
    <w:rsid w:val="00E15CFB"/>
    <w:rsid w:val="00E15D42"/>
    <w:rsid w:val="00E15DBD"/>
    <w:rsid w:val="00E161C6"/>
    <w:rsid w:val="00E16851"/>
    <w:rsid w:val="00E1685F"/>
    <w:rsid w:val="00E16B5D"/>
    <w:rsid w:val="00E173C2"/>
    <w:rsid w:val="00E17AAD"/>
    <w:rsid w:val="00E17D32"/>
    <w:rsid w:val="00E20199"/>
    <w:rsid w:val="00E207E3"/>
    <w:rsid w:val="00E209F3"/>
    <w:rsid w:val="00E20A0B"/>
    <w:rsid w:val="00E20DC4"/>
    <w:rsid w:val="00E20FE4"/>
    <w:rsid w:val="00E21113"/>
    <w:rsid w:val="00E211F5"/>
    <w:rsid w:val="00E21499"/>
    <w:rsid w:val="00E21A65"/>
    <w:rsid w:val="00E21B67"/>
    <w:rsid w:val="00E21F1B"/>
    <w:rsid w:val="00E23031"/>
    <w:rsid w:val="00E23738"/>
    <w:rsid w:val="00E237FD"/>
    <w:rsid w:val="00E23911"/>
    <w:rsid w:val="00E23941"/>
    <w:rsid w:val="00E239F6"/>
    <w:rsid w:val="00E23A11"/>
    <w:rsid w:val="00E24502"/>
    <w:rsid w:val="00E24B1B"/>
    <w:rsid w:val="00E24EF5"/>
    <w:rsid w:val="00E25035"/>
    <w:rsid w:val="00E251F9"/>
    <w:rsid w:val="00E25407"/>
    <w:rsid w:val="00E254E1"/>
    <w:rsid w:val="00E25527"/>
    <w:rsid w:val="00E2555F"/>
    <w:rsid w:val="00E25947"/>
    <w:rsid w:val="00E25D2B"/>
    <w:rsid w:val="00E25D5E"/>
    <w:rsid w:val="00E261A5"/>
    <w:rsid w:val="00E268CE"/>
    <w:rsid w:val="00E27189"/>
    <w:rsid w:val="00E27240"/>
    <w:rsid w:val="00E27341"/>
    <w:rsid w:val="00E27B99"/>
    <w:rsid w:val="00E27BBD"/>
    <w:rsid w:val="00E27DBB"/>
    <w:rsid w:val="00E27DE2"/>
    <w:rsid w:val="00E30111"/>
    <w:rsid w:val="00E3017A"/>
    <w:rsid w:val="00E306E6"/>
    <w:rsid w:val="00E3087C"/>
    <w:rsid w:val="00E30B8B"/>
    <w:rsid w:val="00E30D9B"/>
    <w:rsid w:val="00E30DDF"/>
    <w:rsid w:val="00E30E85"/>
    <w:rsid w:val="00E31061"/>
    <w:rsid w:val="00E316EB"/>
    <w:rsid w:val="00E3183A"/>
    <w:rsid w:val="00E319D0"/>
    <w:rsid w:val="00E31C16"/>
    <w:rsid w:val="00E32456"/>
    <w:rsid w:val="00E32B94"/>
    <w:rsid w:val="00E33085"/>
    <w:rsid w:val="00E333D0"/>
    <w:rsid w:val="00E33518"/>
    <w:rsid w:val="00E336FB"/>
    <w:rsid w:val="00E33D29"/>
    <w:rsid w:val="00E34076"/>
    <w:rsid w:val="00E340B6"/>
    <w:rsid w:val="00E34113"/>
    <w:rsid w:val="00E34296"/>
    <w:rsid w:val="00E34411"/>
    <w:rsid w:val="00E3448F"/>
    <w:rsid w:val="00E345D3"/>
    <w:rsid w:val="00E348B4"/>
    <w:rsid w:val="00E34935"/>
    <w:rsid w:val="00E34A1B"/>
    <w:rsid w:val="00E34A37"/>
    <w:rsid w:val="00E34C82"/>
    <w:rsid w:val="00E34DB7"/>
    <w:rsid w:val="00E3510A"/>
    <w:rsid w:val="00E353D7"/>
    <w:rsid w:val="00E35593"/>
    <w:rsid w:val="00E3566C"/>
    <w:rsid w:val="00E35702"/>
    <w:rsid w:val="00E357E2"/>
    <w:rsid w:val="00E35A9D"/>
    <w:rsid w:val="00E35AE1"/>
    <w:rsid w:val="00E35D54"/>
    <w:rsid w:val="00E3622B"/>
    <w:rsid w:val="00E36427"/>
    <w:rsid w:val="00E3656C"/>
    <w:rsid w:val="00E36671"/>
    <w:rsid w:val="00E36ACA"/>
    <w:rsid w:val="00E36AD6"/>
    <w:rsid w:val="00E36E19"/>
    <w:rsid w:val="00E379DE"/>
    <w:rsid w:val="00E37DB7"/>
    <w:rsid w:val="00E405C9"/>
    <w:rsid w:val="00E4068C"/>
    <w:rsid w:val="00E40C85"/>
    <w:rsid w:val="00E40CB7"/>
    <w:rsid w:val="00E41323"/>
    <w:rsid w:val="00E4145B"/>
    <w:rsid w:val="00E41B19"/>
    <w:rsid w:val="00E41F08"/>
    <w:rsid w:val="00E4243E"/>
    <w:rsid w:val="00E42606"/>
    <w:rsid w:val="00E426A6"/>
    <w:rsid w:val="00E42C8D"/>
    <w:rsid w:val="00E42D4A"/>
    <w:rsid w:val="00E430B1"/>
    <w:rsid w:val="00E43251"/>
    <w:rsid w:val="00E435E2"/>
    <w:rsid w:val="00E43623"/>
    <w:rsid w:val="00E439F4"/>
    <w:rsid w:val="00E43B49"/>
    <w:rsid w:val="00E43BD1"/>
    <w:rsid w:val="00E444D6"/>
    <w:rsid w:val="00E448A0"/>
    <w:rsid w:val="00E448FF"/>
    <w:rsid w:val="00E4553F"/>
    <w:rsid w:val="00E455F9"/>
    <w:rsid w:val="00E45745"/>
    <w:rsid w:val="00E461E7"/>
    <w:rsid w:val="00E466C9"/>
    <w:rsid w:val="00E47010"/>
    <w:rsid w:val="00E47069"/>
    <w:rsid w:val="00E4732F"/>
    <w:rsid w:val="00E47457"/>
    <w:rsid w:val="00E47EB7"/>
    <w:rsid w:val="00E501A8"/>
    <w:rsid w:val="00E505CF"/>
    <w:rsid w:val="00E50671"/>
    <w:rsid w:val="00E50675"/>
    <w:rsid w:val="00E506F3"/>
    <w:rsid w:val="00E5070A"/>
    <w:rsid w:val="00E50A72"/>
    <w:rsid w:val="00E5102B"/>
    <w:rsid w:val="00E5125E"/>
    <w:rsid w:val="00E51665"/>
    <w:rsid w:val="00E518DB"/>
    <w:rsid w:val="00E51E10"/>
    <w:rsid w:val="00E51ED9"/>
    <w:rsid w:val="00E5212F"/>
    <w:rsid w:val="00E526EC"/>
    <w:rsid w:val="00E52756"/>
    <w:rsid w:val="00E52A30"/>
    <w:rsid w:val="00E52B33"/>
    <w:rsid w:val="00E5339A"/>
    <w:rsid w:val="00E53423"/>
    <w:rsid w:val="00E53765"/>
    <w:rsid w:val="00E53A0B"/>
    <w:rsid w:val="00E53D71"/>
    <w:rsid w:val="00E53EB5"/>
    <w:rsid w:val="00E53F26"/>
    <w:rsid w:val="00E53F9C"/>
    <w:rsid w:val="00E54369"/>
    <w:rsid w:val="00E5460D"/>
    <w:rsid w:val="00E5489F"/>
    <w:rsid w:val="00E54907"/>
    <w:rsid w:val="00E54B30"/>
    <w:rsid w:val="00E54F9D"/>
    <w:rsid w:val="00E550DF"/>
    <w:rsid w:val="00E551A5"/>
    <w:rsid w:val="00E55BF3"/>
    <w:rsid w:val="00E56429"/>
    <w:rsid w:val="00E565BB"/>
    <w:rsid w:val="00E56733"/>
    <w:rsid w:val="00E5682B"/>
    <w:rsid w:val="00E56832"/>
    <w:rsid w:val="00E5692C"/>
    <w:rsid w:val="00E57530"/>
    <w:rsid w:val="00E57A34"/>
    <w:rsid w:val="00E57B24"/>
    <w:rsid w:val="00E57B41"/>
    <w:rsid w:val="00E57E52"/>
    <w:rsid w:val="00E57F6B"/>
    <w:rsid w:val="00E60838"/>
    <w:rsid w:val="00E60B2D"/>
    <w:rsid w:val="00E60D0A"/>
    <w:rsid w:val="00E60D1E"/>
    <w:rsid w:val="00E60D23"/>
    <w:rsid w:val="00E60FC3"/>
    <w:rsid w:val="00E61E6E"/>
    <w:rsid w:val="00E6230B"/>
    <w:rsid w:val="00E6233B"/>
    <w:rsid w:val="00E62449"/>
    <w:rsid w:val="00E6283F"/>
    <w:rsid w:val="00E62A06"/>
    <w:rsid w:val="00E62DD8"/>
    <w:rsid w:val="00E62EC5"/>
    <w:rsid w:val="00E62FC3"/>
    <w:rsid w:val="00E631EB"/>
    <w:rsid w:val="00E6396D"/>
    <w:rsid w:val="00E63ABA"/>
    <w:rsid w:val="00E63B1D"/>
    <w:rsid w:val="00E64493"/>
    <w:rsid w:val="00E64A64"/>
    <w:rsid w:val="00E64BAA"/>
    <w:rsid w:val="00E64D44"/>
    <w:rsid w:val="00E6525C"/>
    <w:rsid w:val="00E65268"/>
    <w:rsid w:val="00E656B4"/>
    <w:rsid w:val="00E65785"/>
    <w:rsid w:val="00E658F1"/>
    <w:rsid w:val="00E659F4"/>
    <w:rsid w:val="00E65B33"/>
    <w:rsid w:val="00E65C2B"/>
    <w:rsid w:val="00E663D0"/>
    <w:rsid w:val="00E66409"/>
    <w:rsid w:val="00E66559"/>
    <w:rsid w:val="00E66690"/>
    <w:rsid w:val="00E6707F"/>
    <w:rsid w:val="00E67191"/>
    <w:rsid w:val="00E672CE"/>
    <w:rsid w:val="00E67317"/>
    <w:rsid w:val="00E67750"/>
    <w:rsid w:val="00E70149"/>
    <w:rsid w:val="00E70E6B"/>
    <w:rsid w:val="00E7105D"/>
    <w:rsid w:val="00E71C03"/>
    <w:rsid w:val="00E71C38"/>
    <w:rsid w:val="00E71D01"/>
    <w:rsid w:val="00E7283E"/>
    <w:rsid w:val="00E728AA"/>
    <w:rsid w:val="00E72E8F"/>
    <w:rsid w:val="00E73B6D"/>
    <w:rsid w:val="00E73B78"/>
    <w:rsid w:val="00E73BBD"/>
    <w:rsid w:val="00E73DA0"/>
    <w:rsid w:val="00E741FA"/>
    <w:rsid w:val="00E7428A"/>
    <w:rsid w:val="00E746BC"/>
    <w:rsid w:val="00E74871"/>
    <w:rsid w:val="00E74EBC"/>
    <w:rsid w:val="00E75310"/>
    <w:rsid w:val="00E75774"/>
    <w:rsid w:val="00E75848"/>
    <w:rsid w:val="00E75A29"/>
    <w:rsid w:val="00E75BA3"/>
    <w:rsid w:val="00E75C3D"/>
    <w:rsid w:val="00E75E6A"/>
    <w:rsid w:val="00E76331"/>
    <w:rsid w:val="00E76A5D"/>
    <w:rsid w:val="00E76B28"/>
    <w:rsid w:val="00E76EED"/>
    <w:rsid w:val="00E771CC"/>
    <w:rsid w:val="00E778CC"/>
    <w:rsid w:val="00E77B72"/>
    <w:rsid w:val="00E77C6F"/>
    <w:rsid w:val="00E77D0F"/>
    <w:rsid w:val="00E77D12"/>
    <w:rsid w:val="00E77DAD"/>
    <w:rsid w:val="00E77E14"/>
    <w:rsid w:val="00E77FE1"/>
    <w:rsid w:val="00E804C0"/>
    <w:rsid w:val="00E806F9"/>
    <w:rsid w:val="00E80820"/>
    <w:rsid w:val="00E80C51"/>
    <w:rsid w:val="00E80DF6"/>
    <w:rsid w:val="00E81073"/>
    <w:rsid w:val="00E8128E"/>
    <w:rsid w:val="00E816B7"/>
    <w:rsid w:val="00E818DD"/>
    <w:rsid w:val="00E81E39"/>
    <w:rsid w:val="00E82701"/>
    <w:rsid w:val="00E827F7"/>
    <w:rsid w:val="00E82FCA"/>
    <w:rsid w:val="00E83764"/>
    <w:rsid w:val="00E838DD"/>
    <w:rsid w:val="00E83B71"/>
    <w:rsid w:val="00E83C09"/>
    <w:rsid w:val="00E83F9B"/>
    <w:rsid w:val="00E84221"/>
    <w:rsid w:val="00E84422"/>
    <w:rsid w:val="00E84882"/>
    <w:rsid w:val="00E84E5E"/>
    <w:rsid w:val="00E8551B"/>
    <w:rsid w:val="00E856A3"/>
    <w:rsid w:val="00E8595C"/>
    <w:rsid w:val="00E85A62"/>
    <w:rsid w:val="00E85ACA"/>
    <w:rsid w:val="00E85B37"/>
    <w:rsid w:val="00E85CCD"/>
    <w:rsid w:val="00E860DC"/>
    <w:rsid w:val="00E86513"/>
    <w:rsid w:val="00E86878"/>
    <w:rsid w:val="00E868C9"/>
    <w:rsid w:val="00E86962"/>
    <w:rsid w:val="00E869B9"/>
    <w:rsid w:val="00E86C45"/>
    <w:rsid w:val="00E87475"/>
    <w:rsid w:val="00E878CE"/>
    <w:rsid w:val="00E87DF4"/>
    <w:rsid w:val="00E90230"/>
    <w:rsid w:val="00E90E9B"/>
    <w:rsid w:val="00E91018"/>
    <w:rsid w:val="00E910AF"/>
    <w:rsid w:val="00E9114D"/>
    <w:rsid w:val="00E91616"/>
    <w:rsid w:val="00E917B1"/>
    <w:rsid w:val="00E91A82"/>
    <w:rsid w:val="00E91AED"/>
    <w:rsid w:val="00E91F1B"/>
    <w:rsid w:val="00E9218E"/>
    <w:rsid w:val="00E92659"/>
    <w:rsid w:val="00E926E8"/>
    <w:rsid w:val="00E9281F"/>
    <w:rsid w:val="00E92918"/>
    <w:rsid w:val="00E92926"/>
    <w:rsid w:val="00E92D10"/>
    <w:rsid w:val="00E93744"/>
    <w:rsid w:val="00E9376E"/>
    <w:rsid w:val="00E93BA8"/>
    <w:rsid w:val="00E93F50"/>
    <w:rsid w:val="00E93FE5"/>
    <w:rsid w:val="00E94238"/>
    <w:rsid w:val="00E9481A"/>
    <w:rsid w:val="00E948D4"/>
    <w:rsid w:val="00E94E31"/>
    <w:rsid w:val="00E94FE4"/>
    <w:rsid w:val="00E953DB"/>
    <w:rsid w:val="00E95458"/>
    <w:rsid w:val="00E958B9"/>
    <w:rsid w:val="00E95B40"/>
    <w:rsid w:val="00E95D6A"/>
    <w:rsid w:val="00E95E6E"/>
    <w:rsid w:val="00E95FCF"/>
    <w:rsid w:val="00E9613E"/>
    <w:rsid w:val="00E961AC"/>
    <w:rsid w:val="00E964A7"/>
    <w:rsid w:val="00E9677B"/>
    <w:rsid w:val="00E9689F"/>
    <w:rsid w:val="00E96A4B"/>
    <w:rsid w:val="00E96F56"/>
    <w:rsid w:val="00E974B5"/>
    <w:rsid w:val="00E97CCB"/>
    <w:rsid w:val="00EA0356"/>
    <w:rsid w:val="00EA06B3"/>
    <w:rsid w:val="00EA0793"/>
    <w:rsid w:val="00EA0978"/>
    <w:rsid w:val="00EA0CC4"/>
    <w:rsid w:val="00EA0F2D"/>
    <w:rsid w:val="00EA1197"/>
    <w:rsid w:val="00EA15E3"/>
    <w:rsid w:val="00EA206A"/>
    <w:rsid w:val="00EA2770"/>
    <w:rsid w:val="00EA2C73"/>
    <w:rsid w:val="00EA2C9C"/>
    <w:rsid w:val="00EA3311"/>
    <w:rsid w:val="00EA354D"/>
    <w:rsid w:val="00EA3895"/>
    <w:rsid w:val="00EA3B05"/>
    <w:rsid w:val="00EA3ED3"/>
    <w:rsid w:val="00EA4771"/>
    <w:rsid w:val="00EA4CEA"/>
    <w:rsid w:val="00EA4DD6"/>
    <w:rsid w:val="00EA557D"/>
    <w:rsid w:val="00EA5ADB"/>
    <w:rsid w:val="00EA5C78"/>
    <w:rsid w:val="00EA6049"/>
    <w:rsid w:val="00EA605A"/>
    <w:rsid w:val="00EA6111"/>
    <w:rsid w:val="00EA666B"/>
    <w:rsid w:val="00EA682F"/>
    <w:rsid w:val="00EA694B"/>
    <w:rsid w:val="00EA6A1E"/>
    <w:rsid w:val="00EA6E4D"/>
    <w:rsid w:val="00EA7057"/>
    <w:rsid w:val="00EA706A"/>
    <w:rsid w:val="00EA7660"/>
    <w:rsid w:val="00EA7E7D"/>
    <w:rsid w:val="00EA7E7E"/>
    <w:rsid w:val="00EA7EC0"/>
    <w:rsid w:val="00EB010F"/>
    <w:rsid w:val="00EB0191"/>
    <w:rsid w:val="00EB0293"/>
    <w:rsid w:val="00EB0E42"/>
    <w:rsid w:val="00EB10A9"/>
    <w:rsid w:val="00EB10D4"/>
    <w:rsid w:val="00EB140F"/>
    <w:rsid w:val="00EB19D0"/>
    <w:rsid w:val="00EB1A38"/>
    <w:rsid w:val="00EB1AAF"/>
    <w:rsid w:val="00EB1BA0"/>
    <w:rsid w:val="00EB1D66"/>
    <w:rsid w:val="00EB1FA3"/>
    <w:rsid w:val="00EB2E69"/>
    <w:rsid w:val="00EB388C"/>
    <w:rsid w:val="00EB3DB3"/>
    <w:rsid w:val="00EB4D7C"/>
    <w:rsid w:val="00EB51B7"/>
    <w:rsid w:val="00EB538C"/>
    <w:rsid w:val="00EB5550"/>
    <w:rsid w:val="00EB5D53"/>
    <w:rsid w:val="00EB63DA"/>
    <w:rsid w:val="00EB6907"/>
    <w:rsid w:val="00EB6B6B"/>
    <w:rsid w:val="00EB7393"/>
    <w:rsid w:val="00EB75A0"/>
    <w:rsid w:val="00EB78F0"/>
    <w:rsid w:val="00EB7B62"/>
    <w:rsid w:val="00EC01D1"/>
    <w:rsid w:val="00EC0351"/>
    <w:rsid w:val="00EC044E"/>
    <w:rsid w:val="00EC09CA"/>
    <w:rsid w:val="00EC0A4E"/>
    <w:rsid w:val="00EC0D1E"/>
    <w:rsid w:val="00EC0FE3"/>
    <w:rsid w:val="00EC114C"/>
    <w:rsid w:val="00EC14DD"/>
    <w:rsid w:val="00EC18FF"/>
    <w:rsid w:val="00EC1B56"/>
    <w:rsid w:val="00EC1D75"/>
    <w:rsid w:val="00EC1FF4"/>
    <w:rsid w:val="00EC202F"/>
    <w:rsid w:val="00EC21D6"/>
    <w:rsid w:val="00EC287C"/>
    <w:rsid w:val="00EC294D"/>
    <w:rsid w:val="00EC2BCC"/>
    <w:rsid w:val="00EC2E2E"/>
    <w:rsid w:val="00EC303D"/>
    <w:rsid w:val="00EC318C"/>
    <w:rsid w:val="00EC322D"/>
    <w:rsid w:val="00EC33B2"/>
    <w:rsid w:val="00EC33CC"/>
    <w:rsid w:val="00EC346A"/>
    <w:rsid w:val="00EC3521"/>
    <w:rsid w:val="00EC3670"/>
    <w:rsid w:val="00EC38B8"/>
    <w:rsid w:val="00EC397C"/>
    <w:rsid w:val="00EC3B8C"/>
    <w:rsid w:val="00EC3BB5"/>
    <w:rsid w:val="00EC3C37"/>
    <w:rsid w:val="00EC4167"/>
    <w:rsid w:val="00EC4304"/>
    <w:rsid w:val="00EC43FD"/>
    <w:rsid w:val="00EC47DD"/>
    <w:rsid w:val="00EC4A2C"/>
    <w:rsid w:val="00EC4C99"/>
    <w:rsid w:val="00EC4F30"/>
    <w:rsid w:val="00EC4F3D"/>
    <w:rsid w:val="00EC5DAA"/>
    <w:rsid w:val="00EC60F3"/>
    <w:rsid w:val="00EC64C0"/>
    <w:rsid w:val="00EC6701"/>
    <w:rsid w:val="00EC6770"/>
    <w:rsid w:val="00EC6840"/>
    <w:rsid w:val="00EC6DFF"/>
    <w:rsid w:val="00EC6F3D"/>
    <w:rsid w:val="00EC6F5A"/>
    <w:rsid w:val="00EC7056"/>
    <w:rsid w:val="00EC7833"/>
    <w:rsid w:val="00EC78D4"/>
    <w:rsid w:val="00EC7F58"/>
    <w:rsid w:val="00ED01AB"/>
    <w:rsid w:val="00ED072A"/>
    <w:rsid w:val="00ED0831"/>
    <w:rsid w:val="00ED094C"/>
    <w:rsid w:val="00ED0CC6"/>
    <w:rsid w:val="00ED1068"/>
    <w:rsid w:val="00ED111A"/>
    <w:rsid w:val="00ED1209"/>
    <w:rsid w:val="00ED136B"/>
    <w:rsid w:val="00ED13BC"/>
    <w:rsid w:val="00ED14B3"/>
    <w:rsid w:val="00ED1602"/>
    <w:rsid w:val="00ED1D71"/>
    <w:rsid w:val="00ED23B6"/>
    <w:rsid w:val="00ED2614"/>
    <w:rsid w:val="00ED2AD4"/>
    <w:rsid w:val="00ED2AD6"/>
    <w:rsid w:val="00ED2B93"/>
    <w:rsid w:val="00ED314D"/>
    <w:rsid w:val="00ED32F6"/>
    <w:rsid w:val="00ED3422"/>
    <w:rsid w:val="00ED35AE"/>
    <w:rsid w:val="00ED370A"/>
    <w:rsid w:val="00ED3943"/>
    <w:rsid w:val="00ED3E13"/>
    <w:rsid w:val="00ED3FCF"/>
    <w:rsid w:val="00ED44A0"/>
    <w:rsid w:val="00ED48A1"/>
    <w:rsid w:val="00ED4AC3"/>
    <w:rsid w:val="00ED5341"/>
    <w:rsid w:val="00ED5459"/>
    <w:rsid w:val="00ED567D"/>
    <w:rsid w:val="00ED5B12"/>
    <w:rsid w:val="00ED5F6A"/>
    <w:rsid w:val="00ED60D4"/>
    <w:rsid w:val="00ED6D23"/>
    <w:rsid w:val="00ED73C3"/>
    <w:rsid w:val="00ED7650"/>
    <w:rsid w:val="00ED78B1"/>
    <w:rsid w:val="00ED7DA1"/>
    <w:rsid w:val="00ED7EC7"/>
    <w:rsid w:val="00EE0235"/>
    <w:rsid w:val="00EE04E9"/>
    <w:rsid w:val="00EE059A"/>
    <w:rsid w:val="00EE0C95"/>
    <w:rsid w:val="00EE0CA8"/>
    <w:rsid w:val="00EE10BF"/>
    <w:rsid w:val="00EE1697"/>
    <w:rsid w:val="00EE16D5"/>
    <w:rsid w:val="00EE1814"/>
    <w:rsid w:val="00EE1915"/>
    <w:rsid w:val="00EE1918"/>
    <w:rsid w:val="00EE2042"/>
    <w:rsid w:val="00EE2550"/>
    <w:rsid w:val="00EE2986"/>
    <w:rsid w:val="00EE2E69"/>
    <w:rsid w:val="00EE2FAB"/>
    <w:rsid w:val="00EE30B1"/>
    <w:rsid w:val="00EE3BA5"/>
    <w:rsid w:val="00EE3CD2"/>
    <w:rsid w:val="00EE4177"/>
    <w:rsid w:val="00EE4522"/>
    <w:rsid w:val="00EE49CB"/>
    <w:rsid w:val="00EE4B25"/>
    <w:rsid w:val="00EE4C7B"/>
    <w:rsid w:val="00EE4CF5"/>
    <w:rsid w:val="00EE5104"/>
    <w:rsid w:val="00EE5335"/>
    <w:rsid w:val="00EE5A9D"/>
    <w:rsid w:val="00EE5C74"/>
    <w:rsid w:val="00EE5E79"/>
    <w:rsid w:val="00EE5F67"/>
    <w:rsid w:val="00EE5FD7"/>
    <w:rsid w:val="00EE6339"/>
    <w:rsid w:val="00EE6353"/>
    <w:rsid w:val="00EE65A7"/>
    <w:rsid w:val="00EE687B"/>
    <w:rsid w:val="00EE6B5E"/>
    <w:rsid w:val="00EE71B9"/>
    <w:rsid w:val="00EE75B2"/>
    <w:rsid w:val="00EE7D45"/>
    <w:rsid w:val="00EF0075"/>
    <w:rsid w:val="00EF05B2"/>
    <w:rsid w:val="00EF066C"/>
    <w:rsid w:val="00EF0730"/>
    <w:rsid w:val="00EF09D7"/>
    <w:rsid w:val="00EF1015"/>
    <w:rsid w:val="00EF10B0"/>
    <w:rsid w:val="00EF10CC"/>
    <w:rsid w:val="00EF1B97"/>
    <w:rsid w:val="00EF1DE8"/>
    <w:rsid w:val="00EF1F65"/>
    <w:rsid w:val="00EF2241"/>
    <w:rsid w:val="00EF2381"/>
    <w:rsid w:val="00EF24ED"/>
    <w:rsid w:val="00EF25D7"/>
    <w:rsid w:val="00EF2624"/>
    <w:rsid w:val="00EF26C5"/>
    <w:rsid w:val="00EF2A6A"/>
    <w:rsid w:val="00EF2F89"/>
    <w:rsid w:val="00EF3238"/>
    <w:rsid w:val="00EF3CC8"/>
    <w:rsid w:val="00EF3D0A"/>
    <w:rsid w:val="00EF4587"/>
    <w:rsid w:val="00EF499D"/>
    <w:rsid w:val="00EF54B9"/>
    <w:rsid w:val="00EF58F3"/>
    <w:rsid w:val="00EF5ADB"/>
    <w:rsid w:val="00EF638A"/>
    <w:rsid w:val="00EF63CB"/>
    <w:rsid w:val="00EF646B"/>
    <w:rsid w:val="00EF6BB8"/>
    <w:rsid w:val="00EF6D43"/>
    <w:rsid w:val="00EF6EC3"/>
    <w:rsid w:val="00EF7466"/>
    <w:rsid w:val="00EF756B"/>
    <w:rsid w:val="00EF774E"/>
    <w:rsid w:val="00EF7789"/>
    <w:rsid w:val="00EF77C1"/>
    <w:rsid w:val="00EF78F2"/>
    <w:rsid w:val="00EF7EB1"/>
    <w:rsid w:val="00EF7FD0"/>
    <w:rsid w:val="00F00A8E"/>
    <w:rsid w:val="00F00B87"/>
    <w:rsid w:val="00F00ECD"/>
    <w:rsid w:val="00F00F20"/>
    <w:rsid w:val="00F00FA2"/>
    <w:rsid w:val="00F0130F"/>
    <w:rsid w:val="00F01AD1"/>
    <w:rsid w:val="00F01FD7"/>
    <w:rsid w:val="00F0208D"/>
    <w:rsid w:val="00F02198"/>
    <w:rsid w:val="00F02379"/>
    <w:rsid w:val="00F0282D"/>
    <w:rsid w:val="00F0291B"/>
    <w:rsid w:val="00F02A96"/>
    <w:rsid w:val="00F02CC4"/>
    <w:rsid w:val="00F02F92"/>
    <w:rsid w:val="00F02FE6"/>
    <w:rsid w:val="00F02FF2"/>
    <w:rsid w:val="00F031E2"/>
    <w:rsid w:val="00F03208"/>
    <w:rsid w:val="00F036B6"/>
    <w:rsid w:val="00F036BB"/>
    <w:rsid w:val="00F03A18"/>
    <w:rsid w:val="00F03B0A"/>
    <w:rsid w:val="00F043B8"/>
    <w:rsid w:val="00F04530"/>
    <w:rsid w:val="00F045E9"/>
    <w:rsid w:val="00F047DB"/>
    <w:rsid w:val="00F0498B"/>
    <w:rsid w:val="00F04A20"/>
    <w:rsid w:val="00F04B40"/>
    <w:rsid w:val="00F05084"/>
    <w:rsid w:val="00F050A0"/>
    <w:rsid w:val="00F053CF"/>
    <w:rsid w:val="00F054E9"/>
    <w:rsid w:val="00F055D9"/>
    <w:rsid w:val="00F05675"/>
    <w:rsid w:val="00F058DF"/>
    <w:rsid w:val="00F064FC"/>
    <w:rsid w:val="00F06741"/>
    <w:rsid w:val="00F069C6"/>
    <w:rsid w:val="00F06D94"/>
    <w:rsid w:val="00F072DF"/>
    <w:rsid w:val="00F0741B"/>
    <w:rsid w:val="00F07465"/>
    <w:rsid w:val="00F07702"/>
    <w:rsid w:val="00F0795C"/>
    <w:rsid w:val="00F079FF"/>
    <w:rsid w:val="00F07C5A"/>
    <w:rsid w:val="00F10217"/>
    <w:rsid w:val="00F103F9"/>
    <w:rsid w:val="00F10408"/>
    <w:rsid w:val="00F106A1"/>
    <w:rsid w:val="00F106E7"/>
    <w:rsid w:val="00F10781"/>
    <w:rsid w:val="00F10817"/>
    <w:rsid w:val="00F109C1"/>
    <w:rsid w:val="00F10C21"/>
    <w:rsid w:val="00F10F67"/>
    <w:rsid w:val="00F111F4"/>
    <w:rsid w:val="00F115DB"/>
    <w:rsid w:val="00F118BB"/>
    <w:rsid w:val="00F11A65"/>
    <w:rsid w:val="00F11B79"/>
    <w:rsid w:val="00F11F15"/>
    <w:rsid w:val="00F124A0"/>
    <w:rsid w:val="00F129CF"/>
    <w:rsid w:val="00F12CB5"/>
    <w:rsid w:val="00F1317E"/>
    <w:rsid w:val="00F13255"/>
    <w:rsid w:val="00F135B6"/>
    <w:rsid w:val="00F13C08"/>
    <w:rsid w:val="00F13F1B"/>
    <w:rsid w:val="00F13F7A"/>
    <w:rsid w:val="00F140F1"/>
    <w:rsid w:val="00F1426D"/>
    <w:rsid w:val="00F148AD"/>
    <w:rsid w:val="00F14BA5"/>
    <w:rsid w:val="00F14E8B"/>
    <w:rsid w:val="00F15672"/>
    <w:rsid w:val="00F15B98"/>
    <w:rsid w:val="00F15D3C"/>
    <w:rsid w:val="00F1614B"/>
    <w:rsid w:val="00F1664B"/>
    <w:rsid w:val="00F16832"/>
    <w:rsid w:val="00F17167"/>
    <w:rsid w:val="00F1771B"/>
    <w:rsid w:val="00F17DC2"/>
    <w:rsid w:val="00F2012C"/>
    <w:rsid w:val="00F2042F"/>
    <w:rsid w:val="00F20617"/>
    <w:rsid w:val="00F209BF"/>
    <w:rsid w:val="00F20B54"/>
    <w:rsid w:val="00F20E36"/>
    <w:rsid w:val="00F20F0F"/>
    <w:rsid w:val="00F213B1"/>
    <w:rsid w:val="00F219CA"/>
    <w:rsid w:val="00F21C9C"/>
    <w:rsid w:val="00F21CE9"/>
    <w:rsid w:val="00F21E52"/>
    <w:rsid w:val="00F22A88"/>
    <w:rsid w:val="00F22CA6"/>
    <w:rsid w:val="00F22E50"/>
    <w:rsid w:val="00F230C1"/>
    <w:rsid w:val="00F230CA"/>
    <w:rsid w:val="00F23576"/>
    <w:rsid w:val="00F235DC"/>
    <w:rsid w:val="00F23BD3"/>
    <w:rsid w:val="00F24031"/>
    <w:rsid w:val="00F2436E"/>
    <w:rsid w:val="00F244A8"/>
    <w:rsid w:val="00F246C3"/>
    <w:rsid w:val="00F24B07"/>
    <w:rsid w:val="00F24B49"/>
    <w:rsid w:val="00F24C38"/>
    <w:rsid w:val="00F25AF0"/>
    <w:rsid w:val="00F2610A"/>
    <w:rsid w:val="00F2653C"/>
    <w:rsid w:val="00F26997"/>
    <w:rsid w:val="00F26B55"/>
    <w:rsid w:val="00F26B74"/>
    <w:rsid w:val="00F270C1"/>
    <w:rsid w:val="00F270FF"/>
    <w:rsid w:val="00F27134"/>
    <w:rsid w:val="00F272A1"/>
    <w:rsid w:val="00F272A7"/>
    <w:rsid w:val="00F27A48"/>
    <w:rsid w:val="00F27A4F"/>
    <w:rsid w:val="00F27D32"/>
    <w:rsid w:val="00F27EF9"/>
    <w:rsid w:val="00F3009C"/>
    <w:rsid w:val="00F305EB"/>
    <w:rsid w:val="00F305F6"/>
    <w:rsid w:val="00F30704"/>
    <w:rsid w:val="00F309BA"/>
    <w:rsid w:val="00F309CC"/>
    <w:rsid w:val="00F309F0"/>
    <w:rsid w:val="00F30C68"/>
    <w:rsid w:val="00F30CEE"/>
    <w:rsid w:val="00F30E7C"/>
    <w:rsid w:val="00F31019"/>
    <w:rsid w:val="00F31053"/>
    <w:rsid w:val="00F312D0"/>
    <w:rsid w:val="00F31739"/>
    <w:rsid w:val="00F31AC0"/>
    <w:rsid w:val="00F31CEB"/>
    <w:rsid w:val="00F31FA7"/>
    <w:rsid w:val="00F320D5"/>
    <w:rsid w:val="00F322E2"/>
    <w:rsid w:val="00F32415"/>
    <w:rsid w:val="00F32B33"/>
    <w:rsid w:val="00F32DC6"/>
    <w:rsid w:val="00F33323"/>
    <w:rsid w:val="00F33A53"/>
    <w:rsid w:val="00F34350"/>
    <w:rsid w:val="00F3454B"/>
    <w:rsid w:val="00F34692"/>
    <w:rsid w:val="00F34701"/>
    <w:rsid w:val="00F34742"/>
    <w:rsid w:val="00F348E4"/>
    <w:rsid w:val="00F34AAB"/>
    <w:rsid w:val="00F34D68"/>
    <w:rsid w:val="00F34F23"/>
    <w:rsid w:val="00F34FF5"/>
    <w:rsid w:val="00F352B1"/>
    <w:rsid w:val="00F35345"/>
    <w:rsid w:val="00F354B0"/>
    <w:rsid w:val="00F35516"/>
    <w:rsid w:val="00F35F05"/>
    <w:rsid w:val="00F360D9"/>
    <w:rsid w:val="00F36266"/>
    <w:rsid w:val="00F36518"/>
    <w:rsid w:val="00F36A12"/>
    <w:rsid w:val="00F36AB5"/>
    <w:rsid w:val="00F36AEA"/>
    <w:rsid w:val="00F36FAF"/>
    <w:rsid w:val="00F376CE"/>
    <w:rsid w:val="00F37976"/>
    <w:rsid w:val="00F379ED"/>
    <w:rsid w:val="00F400B9"/>
    <w:rsid w:val="00F40B19"/>
    <w:rsid w:val="00F414FA"/>
    <w:rsid w:val="00F415EB"/>
    <w:rsid w:val="00F4173D"/>
    <w:rsid w:val="00F4195A"/>
    <w:rsid w:val="00F41A19"/>
    <w:rsid w:val="00F41A57"/>
    <w:rsid w:val="00F41ACD"/>
    <w:rsid w:val="00F41E00"/>
    <w:rsid w:val="00F41E7C"/>
    <w:rsid w:val="00F42180"/>
    <w:rsid w:val="00F42192"/>
    <w:rsid w:val="00F42552"/>
    <w:rsid w:val="00F42653"/>
    <w:rsid w:val="00F42967"/>
    <w:rsid w:val="00F42C82"/>
    <w:rsid w:val="00F435F9"/>
    <w:rsid w:val="00F444E1"/>
    <w:rsid w:val="00F44541"/>
    <w:rsid w:val="00F4482E"/>
    <w:rsid w:val="00F44869"/>
    <w:rsid w:val="00F44C12"/>
    <w:rsid w:val="00F453A5"/>
    <w:rsid w:val="00F457F5"/>
    <w:rsid w:val="00F459AE"/>
    <w:rsid w:val="00F45A89"/>
    <w:rsid w:val="00F45B83"/>
    <w:rsid w:val="00F45C48"/>
    <w:rsid w:val="00F45C5E"/>
    <w:rsid w:val="00F45C81"/>
    <w:rsid w:val="00F45FAE"/>
    <w:rsid w:val="00F46197"/>
    <w:rsid w:val="00F4629A"/>
    <w:rsid w:val="00F4644B"/>
    <w:rsid w:val="00F46529"/>
    <w:rsid w:val="00F46544"/>
    <w:rsid w:val="00F46636"/>
    <w:rsid w:val="00F4677D"/>
    <w:rsid w:val="00F46D84"/>
    <w:rsid w:val="00F46F2C"/>
    <w:rsid w:val="00F47071"/>
    <w:rsid w:val="00F47624"/>
    <w:rsid w:val="00F47970"/>
    <w:rsid w:val="00F47B74"/>
    <w:rsid w:val="00F47C63"/>
    <w:rsid w:val="00F47E60"/>
    <w:rsid w:val="00F47EB2"/>
    <w:rsid w:val="00F47F9C"/>
    <w:rsid w:val="00F501F8"/>
    <w:rsid w:val="00F504EB"/>
    <w:rsid w:val="00F506D1"/>
    <w:rsid w:val="00F5073B"/>
    <w:rsid w:val="00F509D7"/>
    <w:rsid w:val="00F51163"/>
    <w:rsid w:val="00F516FD"/>
    <w:rsid w:val="00F51B53"/>
    <w:rsid w:val="00F51E55"/>
    <w:rsid w:val="00F51E5D"/>
    <w:rsid w:val="00F52433"/>
    <w:rsid w:val="00F5249D"/>
    <w:rsid w:val="00F524CB"/>
    <w:rsid w:val="00F52612"/>
    <w:rsid w:val="00F5272A"/>
    <w:rsid w:val="00F52A1B"/>
    <w:rsid w:val="00F52CDA"/>
    <w:rsid w:val="00F52D76"/>
    <w:rsid w:val="00F52DCA"/>
    <w:rsid w:val="00F532A3"/>
    <w:rsid w:val="00F534B5"/>
    <w:rsid w:val="00F5364B"/>
    <w:rsid w:val="00F53804"/>
    <w:rsid w:val="00F54037"/>
    <w:rsid w:val="00F542A5"/>
    <w:rsid w:val="00F54319"/>
    <w:rsid w:val="00F5433D"/>
    <w:rsid w:val="00F546AF"/>
    <w:rsid w:val="00F5471F"/>
    <w:rsid w:val="00F547F2"/>
    <w:rsid w:val="00F549F3"/>
    <w:rsid w:val="00F54C8A"/>
    <w:rsid w:val="00F5524A"/>
    <w:rsid w:val="00F552E5"/>
    <w:rsid w:val="00F5547D"/>
    <w:rsid w:val="00F554F9"/>
    <w:rsid w:val="00F55B21"/>
    <w:rsid w:val="00F55B3F"/>
    <w:rsid w:val="00F5671E"/>
    <w:rsid w:val="00F56827"/>
    <w:rsid w:val="00F56E1C"/>
    <w:rsid w:val="00F56E67"/>
    <w:rsid w:val="00F56F6B"/>
    <w:rsid w:val="00F5781F"/>
    <w:rsid w:val="00F579B6"/>
    <w:rsid w:val="00F57CCE"/>
    <w:rsid w:val="00F60319"/>
    <w:rsid w:val="00F60764"/>
    <w:rsid w:val="00F608C4"/>
    <w:rsid w:val="00F60B02"/>
    <w:rsid w:val="00F60BF3"/>
    <w:rsid w:val="00F60CFC"/>
    <w:rsid w:val="00F612F2"/>
    <w:rsid w:val="00F61C81"/>
    <w:rsid w:val="00F61D43"/>
    <w:rsid w:val="00F61DC9"/>
    <w:rsid w:val="00F62298"/>
    <w:rsid w:val="00F627BF"/>
    <w:rsid w:val="00F629AD"/>
    <w:rsid w:val="00F62A09"/>
    <w:rsid w:val="00F632DD"/>
    <w:rsid w:val="00F63457"/>
    <w:rsid w:val="00F636A0"/>
    <w:rsid w:val="00F638EA"/>
    <w:rsid w:val="00F639D4"/>
    <w:rsid w:val="00F642D7"/>
    <w:rsid w:val="00F64409"/>
    <w:rsid w:val="00F64DB9"/>
    <w:rsid w:val="00F650BA"/>
    <w:rsid w:val="00F65286"/>
    <w:rsid w:val="00F657FE"/>
    <w:rsid w:val="00F661A4"/>
    <w:rsid w:val="00F66649"/>
    <w:rsid w:val="00F66BF9"/>
    <w:rsid w:val="00F66EB3"/>
    <w:rsid w:val="00F6758A"/>
    <w:rsid w:val="00F67704"/>
    <w:rsid w:val="00F678E3"/>
    <w:rsid w:val="00F7026B"/>
    <w:rsid w:val="00F704E9"/>
    <w:rsid w:val="00F70693"/>
    <w:rsid w:val="00F7085C"/>
    <w:rsid w:val="00F70A60"/>
    <w:rsid w:val="00F70C91"/>
    <w:rsid w:val="00F70E5D"/>
    <w:rsid w:val="00F7135C"/>
    <w:rsid w:val="00F71BBA"/>
    <w:rsid w:val="00F71D44"/>
    <w:rsid w:val="00F720B1"/>
    <w:rsid w:val="00F72326"/>
    <w:rsid w:val="00F7272A"/>
    <w:rsid w:val="00F72824"/>
    <w:rsid w:val="00F72A8B"/>
    <w:rsid w:val="00F731D5"/>
    <w:rsid w:val="00F73864"/>
    <w:rsid w:val="00F738E7"/>
    <w:rsid w:val="00F73A6C"/>
    <w:rsid w:val="00F73C2E"/>
    <w:rsid w:val="00F73CE8"/>
    <w:rsid w:val="00F73EBB"/>
    <w:rsid w:val="00F74058"/>
    <w:rsid w:val="00F7408A"/>
    <w:rsid w:val="00F742E9"/>
    <w:rsid w:val="00F74438"/>
    <w:rsid w:val="00F747C3"/>
    <w:rsid w:val="00F74CE2"/>
    <w:rsid w:val="00F74F9B"/>
    <w:rsid w:val="00F74FE1"/>
    <w:rsid w:val="00F751E3"/>
    <w:rsid w:val="00F75768"/>
    <w:rsid w:val="00F75F6F"/>
    <w:rsid w:val="00F75F84"/>
    <w:rsid w:val="00F7607B"/>
    <w:rsid w:val="00F76336"/>
    <w:rsid w:val="00F76427"/>
    <w:rsid w:val="00F76683"/>
    <w:rsid w:val="00F76A8D"/>
    <w:rsid w:val="00F77341"/>
    <w:rsid w:val="00F777DC"/>
    <w:rsid w:val="00F777FC"/>
    <w:rsid w:val="00F77941"/>
    <w:rsid w:val="00F77CB7"/>
    <w:rsid w:val="00F77D06"/>
    <w:rsid w:val="00F77F00"/>
    <w:rsid w:val="00F8006B"/>
    <w:rsid w:val="00F800BC"/>
    <w:rsid w:val="00F80130"/>
    <w:rsid w:val="00F80A27"/>
    <w:rsid w:val="00F80A42"/>
    <w:rsid w:val="00F80AFA"/>
    <w:rsid w:val="00F80E78"/>
    <w:rsid w:val="00F8144C"/>
    <w:rsid w:val="00F8168B"/>
    <w:rsid w:val="00F8177E"/>
    <w:rsid w:val="00F817D0"/>
    <w:rsid w:val="00F81BD2"/>
    <w:rsid w:val="00F81EF8"/>
    <w:rsid w:val="00F826BC"/>
    <w:rsid w:val="00F828AC"/>
    <w:rsid w:val="00F82C3E"/>
    <w:rsid w:val="00F83603"/>
    <w:rsid w:val="00F83B51"/>
    <w:rsid w:val="00F83CDA"/>
    <w:rsid w:val="00F841B0"/>
    <w:rsid w:val="00F842E0"/>
    <w:rsid w:val="00F84A89"/>
    <w:rsid w:val="00F85226"/>
    <w:rsid w:val="00F85377"/>
    <w:rsid w:val="00F8571A"/>
    <w:rsid w:val="00F85CDB"/>
    <w:rsid w:val="00F85DBE"/>
    <w:rsid w:val="00F86114"/>
    <w:rsid w:val="00F86132"/>
    <w:rsid w:val="00F86183"/>
    <w:rsid w:val="00F861EC"/>
    <w:rsid w:val="00F86605"/>
    <w:rsid w:val="00F86E44"/>
    <w:rsid w:val="00F87102"/>
    <w:rsid w:val="00F8713B"/>
    <w:rsid w:val="00F8715D"/>
    <w:rsid w:val="00F871B1"/>
    <w:rsid w:val="00F87530"/>
    <w:rsid w:val="00F87864"/>
    <w:rsid w:val="00F87F64"/>
    <w:rsid w:val="00F90040"/>
    <w:rsid w:val="00F9004C"/>
    <w:rsid w:val="00F900CE"/>
    <w:rsid w:val="00F9038C"/>
    <w:rsid w:val="00F90A20"/>
    <w:rsid w:val="00F90E51"/>
    <w:rsid w:val="00F91042"/>
    <w:rsid w:val="00F915AA"/>
    <w:rsid w:val="00F916FD"/>
    <w:rsid w:val="00F91E51"/>
    <w:rsid w:val="00F91F09"/>
    <w:rsid w:val="00F92240"/>
    <w:rsid w:val="00F923FE"/>
    <w:rsid w:val="00F927A1"/>
    <w:rsid w:val="00F92C17"/>
    <w:rsid w:val="00F92DE2"/>
    <w:rsid w:val="00F935FC"/>
    <w:rsid w:val="00F93EDD"/>
    <w:rsid w:val="00F940BD"/>
    <w:rsid w:val="00F94797"/>
    <w:rsid w:val="00F9481F"/>
    <w:rsid w:val="00F94A9E"/>
    <w:rsid w:val="00F94ACF"/>
    <w:rsid w:val="00F94C01"/>
    <w:rsid w:val="00F95656"/>
    <w:rsid w:val="00F95C97"/>
    <w:rsid w:val="00F96137"/>
    <w:rsid w:val="00F961E0"/>
    <w:rsid w:val="00F96558"/>
    <w:rsid w:val="00F967E1"/>
    <w:rsid w:val="00F96808"/>
    <w:rsid w:val="00F96874"/>
    <w:rsid w:val="00F9691E"/>
    <w:rsid w:val="00F96F5C"/>
    <w:rsid w:val="00F96FC8"/>
    <w:rsid w:val="00F973FE"/>
    <w:rsid w:val="00F978F4"/>
    <w:rsid w:val="00F97D22"/>
    <w:rsid w:val="00F97E67"/>
    <w:rsid w:val="00F97FEB"/>
    <w:rsid w:val="00FA01DA"/>
    <w:rsid w:val="00FA04C3"/>
    <w:rsid w:val="00FA0779"/>
    <w:rsid w:val="00FA0D07"/>
    <w:rsid w:val="00FA0D87"/>
    <w:rsid w:val="00FA11BA"/>
    <w:rsid w:val="00FA13DB"/>
    <w:rsid w:val="00FA14F1"/>
    <w:rsid w:val="00FA15A2"/>
    <w:rsid w:val="00FA18CC"/>
    <w:rsid w:val="00FA1DB5"/>
    <w:rsid w:val="00FA21BC"/>
    <w:rsid w:val="00FA2265"/>
    <w:rsid w:val="00FA23F4"/>
    <w:rsid w:val="00FA2580"/>
    <w:rsid w:val="00FA2658"/>
    <w:rsid w:val="00FA280C"/>
    <w:rsid w:val="00FA2812"/>
    <w:rsid w:val="00FA2852"/>
    <w:rsid w:val="00FA287E"/>
    <w:rsid w:val="00FA29DC"/>
    <w:rsid w:val="00FA2CCF"/>
    <w:rsid w:val="00FA3425"/>
    <w:rsid w:val="00FA3CB5"/>
    <w:rsid w:val="00FA3CCA"/>
    <w:rsid w:val="00FA41B4"/>
    <w:rsid w:val="00FA4468"/>
    <w:rsid w:val="00FA4755"/>
    <w:rsid w:val="00FA4C99"/>
    <w:rsid w:val="00FA4D67"/>
    <w:rsid w:val="00FA5059"/>
    <w:rsid w:val="00FA50B9"/>
    <w:rsid w:val="00FA5254"/>
    <w:rsid w:val="00FA5318"/>
    <w:rsid w:val="00FA5C70"/>
    <w:rsid w:val="00FA5DFF"/>
    <w:rsid w:val="00FA5E59"/>
    <w:rsid w:val="00FA6121"/>
    <w:rsid w:val="00FA65F3"/>
    <w:rsid w:val="00FA68E7"/>
    <w:rsid w:val="00FA6922"/>
    <w:rsid w:val="00FA6DF6"/>
    <w:rsid w:val="00FA792C"/>
    <w:rsid w:val="00FA7D2B"/>
    <w:rsid w:val="00FB0008"/>
    <w:rsid w:val="00FB001F"/>
    <w:rsid w:val="00FB0059"/>
    <w:rsid w:val="00FB01DF"/>
    <w:rsid w:val="00FB029A"/>
    <w:rsid w:val="00FB02B5"/>
    <w:rsid w:val="00FB0377"/>
    <w:rsid w:val="00FB0469"/>
    <w:rsid w:val="00FB0E1B"/>
    <w:rsid w:val="00FB0E57"/>
    <w:rsid w:val="00FB0FCA"/>
    <w:rsid w:val="00FB1399"/>
    <w:rsid w:val="00FB15A0"/>
    <w:rsid w:val="00FB15E9"/>
    <w:rsid w:val="00FB180A"/>
    <w:rsid w:val="00FB1DCC"/>
    <w:rsid w:val="00FB2314"/>
    <w:rsid w:val="00FB25C4"/>
    <w:rsid w:val="00FB2ABC"/>
    <w:rsid w:val="00FB2C16"/>
    <w:rsid w:val="00FB2D20"/>
    <w:rsid w:val="00FB2F79"/>
    <w:rsid w:val="00FB313D"/>
    <w:rsid w:val="00FB367B"/>
    <w:rsid w:val="00FB3703"/>
    <w:rsid w:val="00FB396A"/>
    <w:rsid w:val="00FB3BF7"/>
    <w:rsid w:val="00FB3F8E"/>
    <w:rsid w:val="00FB415E"/>
    <w:rsid w:val="00FB42C3"/>
    <w:rsid w:val="00FB47B0"/>
    <w:rsid w:val="00FB4C66"/>
    <w:rsid w:val="00FB4D23"/>
    <w:rsid w:val="00FB4E6F"/>
    <w:rsid w:val="00FB4F80"/>
    <w:rsid w:val="00FB4F82"/>
    <w:rsid w:val="00FB5144"/>
    <w:rsid w:val="00FB5243"/>
    <w:rsid w:val="00FB5356"/>
    <w:rsid w:val="00FB54C6"/>
    <w:rsid w:val="00FB578F"/>
    <w:rsid w:val="00FB65BD"/>
    <w:rsid w:val="00FB67F9"/>
    <w:rsid w:val="00FB683C"/>
    <w:rsid w:val="00FB69E0"/>
    <w:rsid w:val="00FB6B2E"/>
    <w:rsid w:val="00FB7186"/>
    <w:rsid w:val="00FB7248"/>
    <w:rsid w:val="00FB72C8"/>
    <w:rsid w:val="00FB745A"/>
    <w:rsid w:val="00FB7462"/>
    <w:rsid w:val="00FB7659"/>
    <w:rsid w:val="00FB7817"/>
    <w:rsid w:val="00FB78E3"/>
    <w:rsid w:val="00FB7A9E"/>
    <w:rsid w:val="00FB7B54"/>
    <w:rsid w:val="00FC0082"/>
    <w:rsid w:val="00FC03D2"/>
    <w:rsid w:val="00FC05FD"/>
    <w:rsid w:val="00FC0B7F"/>
    <w:rsid w:val="00FC12F7"/>
    <w:rsid w:val="00FC1355"/>
    <w:rsid w:val="00FC16FA"/>
    <w:rsid w:val="00FC1B09"/>
    <w:rsid w:val="00FC1D8D"/>
    <w:rsid w:val="00FC1E36"/>
    <w:rsid w:val="00FC2399"/>
    <w:rsid w:val="00FC244A"/>
    <w:rsid w:val="00FC27C9"/>
    <w:rsid w:val="00FC2C47"/>
    <w:rsid w:val="00FC2CC3"/>
    <w:rsid w:val="00FC2D26"/>
    <w:rsid w:val="00FC2EB8"/>
    <w:rsid w:val="00FC2F16"/>
    <w:rsid w:val="00FC2F57"/>
    <w:rsid w:val="00FC33F8"/>
    <w:rsid w:val="00FC3609"/>
    <w:rsid w:val="00FC3633"/>
    <w:rsid w:val="00FC3665"/>
    <w:rsid w:val="00FC3DB6"/>
    <w:rsid w:val="00FC40E2"/>
    <w:rsid w:val="00FC410F"/>
    <w:rsid w:val="00FC4284"/>
    <w:rsid w:val="00FC4555"/>
    <w:rsid w:val="00FC4905"/>
    <w:rsid w:val="00FC4989"/>
    <w:rsid w:val="00FC4A31"/>
    <w:rsid w:val="00FC4E53"/>
    <w:rsid w:val="00FC5237"/>
    <w:rsid w:val="00FC5373"/>
    <w:rsid w:val="00FC55CC"/>
    <w:rsid w:val="00FC5A59"/>
    <w:rsid w:val="00FC6B5C"/>
    <w:rsid w:val="00FC6D33"/>
    <w:rsid w:val="00FC7088"/>
    <w:rsid w:val="00FC7573"/>
    <w:rsid w:val="00FC76B9"/>
    <w:rsid w:val="00FC795B"/>
    <w:rsid w:val="00FD1292"/>
    <w:rsid w:val="00FD1AD2"/>
    <w:rsid w:val="00FD204A"/>
    <w:rsid w:val="00FD22D2"/>
    <w:rsid w:val="00FD29C5"/>
    <w:rsid w:val="00FD2D7C"/>
    <w:rsid w:val="00FD378B"/>
    <w:rsid w:val="00FD3967"/>
    <w:rsid w:val="00FD3D2B"/>
    <w:rsid w:val="00FD3D36"/>
    <w:rsid w:val="00FD3DBA"/>
    <w:rsid w:val="00FD3F3D"/>
    <w:rsid w:val="00FD430E"/>
    <w:rsid w:val="00FD4402"/>
    <w:rsid w:val="00FD537E"/>
    <w:rsid w:val="00FD5649"/>
    <w:rsid w:val="00FD5966"/>
    <w:rsid w:val="00FD5A58"/>
    <w:rsid w:val="00FD5C9B"/>
    <w:rsid w:val="00FD5D59"/>
    <w:rsid w:val="00FD5EF3"/>
    <w:rsid w:val="00FD6008"/>
    <w:rsid w:val="00FD6452"/>
    <w:rsid w:val="00FD650D"/>
    <w:rsid w:val="00FD6828"/>
    <w:rsid w:val="00FD6A6F"/>
    <w:rsid w:val="00FD6ACA"/>
    <w:rsid w:val="00FD6BD1"/>
    <w:rsid w:val="00FD6C6B"/>
    <w:rsid w:val="00FD6DCB"/>
    <w:rsid w:val="00FD70D1"/>
    <w:rsid w:val="00FD72F0"/>
    <w:rsid w:val="00FD7570"/>
    <w:rsid w:val="00FD77C5"/>
    <w:rsid w:val="00FE094E"/>
    <w:rsid w:val="00FE0DDF"/>
    <w:rsid w:val="00FE0FB1"/>
    <w:rsid w:val="00FE1155"/>
    <w:rsid w:val="00FE12D5"/>
    <w:rsid w:val="00FE188D"/>
    <w:rsid w:val="00FE1F1D"/>
    <w:rsid w:val="00FE2091"/>
    <w:rsid w:val="00FE22CB"/>
    <w:rsid w:val="00FE22FB"/>
    <w:rsid w:val="00FE231E"/>
    <w:rsid w:val="00FE2625"/>
    <w:rsid w:val="00FE2673"/>
    <w:rsid w:val="00FE2F59"/>
    <w:rsid w:val="00FE3279"/>
    <w:rsid w:val="00FE3DE3"/>
    <w:rsid w:val="00FE3EE1"/>
    <w:rsid w:val="00FE4024"/>
    <w:rsid w:val="00FE44C2"/>
    <w:rsid w:val="00FE4C83"/>
    <w:rsid w:val="00FE50A3"/>
    <w:rsid w:val="00FE51A1"/>
    <w:rsid w:val="00FE5732"/>
    <w:rsid w:val="00FE5951"/>
    <w:rsid w:val="00FE5A62"/>
    <w:rsid w:val="00FE5BE0"/>
    <w:rsid w:val="00FE5DE8"/>
    <w:rsid w:val="00FE5E6C"/>
    <w:rsid w:val="00FE66AE"/>
    <w:rsid w:val="00FE6E7A"/>
    <w:rsid w:val="00FE7194"/>
    <w:rsid w:val="00FE73EC"/>
    <w:rsid w:val="00FE769D"/>
    <w:rsid w:val="00FE7829"/>
    <w:rsid w:val="00FE799B"/>
    <w:rsid w:val="00FE79B3"/>
    <w:rsid w:val="00FF0233"/>
    <w:rsid w:val="00FF0349"/>
    <w:rsid w:val="00FF03C1"/>
    <w:rsid w:val="00FF0483"/>
    <w:rsid w:val="00FF06B4"/>
    <w:rsid w:val="00FF0EDE"/>
    <w:rsid w:val="00FF0FE5"/>
    <w:rsid w:val="00FF13BC"/>
    <w:rsid w:val="00FF148A"/>
    <w:rsid w:val="00FF14EE"/>
    <w:rsid w:val="00FF1DB0"/>
    <w:rsid w:val="00FF237F"/>
    <w:rsid w:val="00FF24AE"/>
    <w:rsid w:val="00FF284E"/>
    <w:rsid w:val="00FF2C36"/>
    <w:rsid w:val="00FF2F42"/>
    <w:rsid w:val="00FF31B3"/>
    <w:rsid w:val="00FF347F"/>
    <w:rsid w:val="00FF3B26"/>
    <w:rsid w:val="00FF3F25"/>
    <w:rsid w:val="00FF4795"/>
    <w:rsid w:val="00FF4830"/>
    <w:rsid w:val="00FF4C0B"/>
    <w:rsid w:val="00FF4ED6"/>
    <w:rsid w:val="00FF5104"/>
    <w:rsid w:val="00FF53E5"/>
    <w:rsid w:val="00FF5445"/>
    <w:rsid w:val="00FF5479"/>
    <w:rsid w:val="00FF5642"/>
    <w:rsid w:val="00FF5738"/>
    <w:rsid w:val="00FF585B"/>
    <w:rsid w:val="00FF5A49"/>
    <w:rsid w:val="00FF5D2E"/>
    <w:rsid w:val="00FF5D6D"/>
    <w:rsid w:val="00FF603D"/>
    <w:rsid w:val="00FF6EEC"/>
    <w:rsid w:val="00FF6FB5"/>
    <w:rsid w:val="00FF701B"/>
    <w:rsid w:val="00FF746C"/>
    <w:rsid w:val="00FF7E85"/>
    <w:rsid w:val="01473645"/>
    <w:rsid w:val="01C6E898"/>
    <w:rsid w:val="022538D5"/>
    <w:rsid w:val="032FBD78"/>
    <w:rsid w:val="033335C7"/>
    <w:rsid w:val="037C4971"/>
    <w:rsid w:val="03BDA5E7"/>
    <w:rsid w:val="04414C6D"/>
    <w:rsid w:val="04C8A7F1"/>
    <w:rsid w:val="0525560C"/>
    <w:rsid w:val="05DD0C28"/>
    <w:rsid w:val="060E6C5F"/>
    <w:rsid w:val="06A97700"/>
    <w:rsid w:val="06E30371"/>
    <w:rsid w:val="07751FFE"/>
    <w:rsid w:val="07BE44D2"/>
    <w:rsid w:val="07C689D9"/>
    <w:rsid w:val="07F7D2F8"/>
    <w:rsid w:val="07FCA1C2"/>
    <w:rsid w:val="0878BBBB"/>
    <w:rsid w:val="08E893D2"/>
    <w:rsid w:val="09B8AC35"/>
    <w:rsid w:val="09C78854"/>
    <w:rsid w:val="0A128A31"/>
    <w:rsid w:val="0BF6B26B"/>
    <w:rsid w:val="0BFF041D"/>
    <w:rsid w:val="0C89D26E"/>
    <w:rsid w:val="0C97E52C"/>
    <w:rsid w:val="0D09F634"/>
    <w:rsid w:val="0DB52D73"/>
    <w:rsid w:val="0DBD5764"/>
    <w:rsid w:val="0DD6F3BF"/>
    <w:rsid w:val="0DE408FD"/>
    <w:rsid w:val="0DE526F5"/>
    <w:rsid w:val="0E6366D8"/>
    <w:rsid w:val="0EA2EBF7"/>
    <w:rsid w:val="0EB5ED6D"/>
    <w:rsid w:val="0F638594"/>
    <w:rsid w:val="1032872E"/>
    <w:rsid w:val="105ACC79"/>
    <w:rsid w:val="10E91944"/>
    <w:rsid w:val="110AC76D"/>
    <w:rsid w:val="11287530"/>
    <w:rsid w:val="112A15C6"/>
    <w:rsid w:val="11652718"/>
    <w:rsid w:val="11987B1D"/>
    <w:rsid w:val="12638BB5"/>
    <w:rsid w:val="12664324"/>
    <w:rsid w:val="126A24E2"/>
    <w:rsid w:val="127913DD"/>
    <w:rsid w:val="12DFA29A"/>
    <w:rsid w:val="133869E3"/>
    <w:rsid w:val="134931E2"/>
    <w:rsid w:val="13495E89"/>
    <w:rsid w:val="14663CD5"/>
    <w:rsid w:val="147424A0"/>
    <w:rsid w:val="14B3EE51"/>
    <w:rsid w:val="15A1C5A4"/>
    <w:rsid w:val="15D499F6"/>
    <w:rsid w:val="15ED7F90"/>
    <w:rsid w:val="15FE2040"/>
    <w:rsid w:val="16917AD7"/>
    <w:rsid w:val="16ED04E1"/>
    <w:rsid w:val="17E7C415"/>
    <w:rsid w:val="187AF77E"/>
    <w:rsid w:val="18C82B8F"/>
    <w:rsid w:val="18D67B2B"/>
    <w:rsid w:val="18E60273"/>
    <w:rsid w:val="199CC5CC"/>
    <w:rsid w:val="1A588A78"/>
    <w:rsid w:val="1BBCAFBF"/>
    <w:rsid w:val="1D2857FE"/>
    <w:rsid w:val="1D3144D0"/>
    <w:rsid w:val="1DED3863"/>
    <w:rsid w:val="1E30ADB3"/>
    <w:rsid w:val="1E5A02D0"/>
    <w:rsid w:val="1EC5807D"/>
    <w:rsid w:val="1EDB7397"/>
    <w:rsid w:val="1F54B62F"/>
    <w:rsid w:val="20B41163"/>
    <w:rsid w:val="20B6A43F"/>
    <w:rsid w:val="20C2029D"/>
    <w:rsid w:val="212473FB"/>
    <w:rsid w:val="231F08C9"/>
    <w:rsid w:val="232F8AD5"/>
    <w:rsid w:val="23817109"/>
    <w:rsid w:val="25CEF0DB"/>
    <w:rsid w:val="26CC1CD7"/>
    <w:rsid w:val="26D6E476"/>
    <w:rsid w:val="2789A458"/>
    <w:rsid w:val="278DF486"/>
    <w:rsid w:val="285C542A"/>
    <w:rsid w:val="28BBBAEA"/>
    <w:rsid w:val="28C238E6"/>
    <w:rsid w:val="29F4529B"/>
    <w:rsid w:val="2A6710D2"/>
    <w:rsid w:val="2B8E2AEC"/>
    <w:rsid w:val="2C15F01B"/>
    <w:rsid w:val="2C38633B"/>
    <w:rsid w:val="2C904697"/>
    <w:rsid w:val="2CBBE0DD"/>
    <w:rsid w:val="2D3E3874"/>
    <w:rsid w:val="2E12FBB2"/>
    <w:rsid w:val="2F075767"/>
    <w:rsid w:val="2F0F0A9B"/>
    <w:rsid w:val="2F299355"/>
    <w:rsid w:val="2FBB65CF"/>
    <w:rsid w:val="308E1C89"/>
    <w:rsid w:val="30B176C5"/>
    <w:rsid w:val="30BD7256"/>
    <w:rsid w:val="32BE8CCB"/>
    <w:rsid w:val="32E5AB42"/>
    <w:rsid w:val="33129824"/>
    <w:rsid w:val="33AC495C"/>
    <w:rsid w:val="355137DF"/>
    <w:rsid w:val="3668F12A"/>
    <w:rsid w:val="37609048"/>
    <w:rsid w:val="37F8031B"/>
    <w:rsid w:val="38D85C20"/>
    <w:rsid w:val="390E01F5"/>
    <w:rsid w:val="39693C96"/>
    <w:rsid w:val="3A1CBB7C"/>
    <w:rsid w:val="3A37C473"/>
    <w:rsid w:val="3A84258B"/>
    <w:rsid w:val="3C8A8FC8"/>
    <w:rsid w:val="3DD30F9D"/>
    <w:rsid w:val="3DF4C501"/>
    <w:rsid w:val="3E07DDA7"/>
    <w:rsid w:val="3E9D3690"/>
    <w:rsid w:val="3EA27EDC"/>
    <w:rsid w:val="3EC81A25"/>
    <w:rsid w:val="3F157E5A"/>
    <w:rsid w:val="3F4FDBF9"/>
    <w:rsid w:val="3F925289"/>
    <w:rsid w:val="3FCAC735"/>
    <w:rsid w:val="3FEB1368"/>
    <w:rsid w:val="40C3F4AC"/>
    <w:rsid w:val="41122309"/>
    <w:rsid w:val="415E6B14"/>
    <w:rsid w:val="4248E90D"/>
    <w:rsid w:val="42C4544E"/>
    <w:rsid w:val="42C4767F"/>
    <w:rsid w:val="42F7471D"/>
    <w:rsid w:val="4369DFC9"/>
    <w:rsid w:val="437448E1"/>
    <w:rsid w:val="4380EECD"/>
    <w:rsid w:val="43EB5156"/>
    <w:rsid w:val="44432633"/>
    <w:rsid w:val="4631F8E4"/>
    <w:rsid w:val="4654D43B"/>
    <w:rsid w:val="49A7F722"/>
    <w:rsid w:val="49B39DEC"/>
    <w:rsid w:val="4A76A745"/>
    <w:rsid w:val="4A9FD687"/>
    <w:rsid w:val="4B1824B5"/>
    <w:rsid w:val="4B4D6F6C"/>
    <w:rsid w:val="4B5A5E99"/>
    <w:rsid w:val="4B885279"/>
    <w:rsid w:val="4B899641"/>
    <w:rsid w:val="4C4F3E91"/>
    <w:rsid w:val="4C7C6A49"/>
    <w:rsid w:val="4D919BB8"/>
    <w:rsid w:val="4DD03712"/>
    <w:rsid w:val="4F689D9A"/>
    <w:rsid w:val="4FC3D0D4"/>
    <w:rsid w:val="4FDF827F"/>
    <w:rsid w:val="51771F65"/>
    <w:rsid w:val="51803A9F"/>
    <w:rsid w:val="51E94DB3"/>
    <w:rsid w:val="52C6C7F6"/>
    <w:rsid w:val="53149535"/>
    <w:rsid w:val="550939EB"/>
    <w:rsid w:val="55C6EEA5"/>
    <w:rsid w:val="560E86B8"/>
    <w:rsid w:val="560FA782"/>
    <w:rsid w:val="56CBA211"/>
    <w:rsid w:val="56D83933"/>
    <w:rsid w:val="56F49D3A"/>
    <w:rsid w:val="57E3974E"/>
    <w:rsid w:val="58B81204"/>
    <w:rsid w:val="59C1AA52"/>
    <w:rsid w:val="5A57DD53"/>
    <w:rsid w:val="5AB9BCCC"/>
    <w:rsid w:val="5B672104"/>
    <w:rsid w:val="5B738185"/>
    <w:rsid w:val="5BC153AD"/>
    <w:rsid w:val="5C5FE915"/>
    <w:rsid w:val="5D29A8BE"/>
    <w:rsid w:val="5E3AB3D2"/>
    <w:rsid w:val="5E448BE4"/>
    <w:rsid w:val="5E850809"/>
    <w:rsid w:val="5F0C33D0"/>
    <w:rsid w:val="5F27E08B"/>
    <w:rsid w:val="5F45D8BA"/>
    <w:rsid w:val="5F6E3FFE"/>
    <w:rsid w:val="5FF473BD"/>
    <w:rsid w:val="603F8EFF"/>
    <w:rsid w:val="605A556E"/>
    <w:rsid w:val="605F1BBC"/>
    <w:rsid w:val="60614980"/>
    <w:rsid w:val="62F9F220"/>
    <w:rsid w:val="633D0E15"/>
    <w:rsid w:val="640FABF3"/>
    <w:rsid w:val="6468F3A8"/>
    <w:rsid w:val="6560E0B6"/>
    <w:rsid w:val="657A70CD"/>
    <w:rsid w:val="66169D26"/>
    <w:rsid w:val="67463A92"/>
    <w:rsid w:val="674EF166"/>
    <w:rsid w:val="67930E2E"/>
    <w:rsid w:val="681DFB65"/>
    <w:rsid w:val="68E8B366"/>
    <w:rsid w:val="6923C2EB"/>
    <w:rsid w:val="695A8AC4"/>
    <w:rsid w:val="6A705B45"/>
    <w:rsid w:val="6A7BAF5B"/>
    <w:rsid w:val="6AF75CF8"/>
    <w:rsid w:val="6D296073"/>
    <w:rsid w:val="6D97D81E"/>
    <w:rsid w:val="6DCAE7BB"/>
    <w:rsid w:val="6DEB306C"/>
    <w:rsid w:val="6F5EDEB4"/>
    <w:rsid w:val="6F9AD1F3"/>
    <w:rsid w:val="6FA3E509"/>
    <w:rsid w:val="6FF29C10"/>
    <w:rsid w:val="709354A5"/>
    <w:rsid w:val="70C01415"/>
    <w:rsid w:val="712207A2"/>
    <w:rsid w:val="717C6941"/>
    <w:rsid w:val="71855701"/>
    <w:rsid w:val="71875BD3"/>
    <w:rsid w:val="71C9250F"/>
    <w:rsid w:val="71F4B879"/>
    <w:rsid w:val="72A4B36D"/>
    <w:rsid w:val="730BEAAB"/>
    <w:rsid w:val="7378B7D3"/>
    <w:rsid w:val="74799D64"/>
    <w:rsid w:val="7534AB56"/>
    <w:rsid w:val="77C82CAA"/>
    <w:rsid w:val="77DCFDEE"/>
    <w:rsid w:val="785EC52B"/>
    <w:rsid w:val="78ABE2BB"/>
    <w:rsid w:val="794E1224"/>
    <w:rsid w:val="799D0F8A"/>
    <w:rsid w:val="79B61ADB"/>
    <w:rsid w:val="79F019B7"/>
    <w:rsid w:val="79FDD21A"/>
    <w:rsid w:val="7A374827"/>
    <w:rsid w:val="7A57A6E3"/>
    <w:rsid w:val="7A79CCA7"/>
    <w:rsid w:val="7AC4DA70"/>
    <w:rsid w:val="7ACD523B"/>
    <w:rsid w:val="7B2F74F9"/>
    <w:rsid w:val="7D86E6EE"/>
    <w:rsid w:val="7EDC0FCC"/>
    <w:rsid w:val="7F1E13DE"/>
    <w:rsid w:val="7F50BC72"/>
    <w:rsid w:val="7F6865B2"/>
    <w:rsid w:val="7FC9FEE8"/>
    <w:rsid w:val="7FD9355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CF6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42F"/>
    <w:pPr>
      <w:spacing w:before="120"/>
      <w:jc w:val="both"/>
    </w:pPr>
    <w:rPr>
      <w:rFonts w:ascii="Franklin Gothic Book" w:hAnsi="Franklin Gothic Book"/>
    </w:rPr>
  </w:style>
  <w:style w:type="paragraph" w:styleId="Heading1">
    <w:name w:val="heading 1"/>
    <w:basedOn w:val="Normal"/>
    <w:next w:val="Normal"/>
    <w:link w:val="Heading1Char"/>
    <w:uiPriority w:val="9"/>
    <w:qFormat/>
    <w:rsid w:val="00243092"/>
    <w:pPr>
      <w:keepNext/>
      <w:keepLines/>
      <w:numPr>
        <w:numId w:val="1"/>
      </w:numPr>
      <w:pBdr>
        <w:bottom w:val="single" w:sz="4" w:space="1" w:color="auto"/>
      </w:pBdr>
      <w:spacing w:before="600" w:after="480" w:line="240" w:lineRule="auto"/>
      <w:outlineLvl w:val="0"/>
    </w:pPr>
    <w:rPr>
      <w:rFonts w:ascii="Franklin Gothic Medium" w:eastAsiaTheme="majorEastAsia" w:hAnsi="Franklin Gothic Medium" w:cstheme="majorBidi"/>
      <w:color w:val="000000" w:themeColor="text1"/>
      <w:sz w:val="44"/>
      <w:szCs w:val="32"/>
      <w:lang w:val="en-US"/>
    </w:rPr>
  </w:style>
  <w:style w:type="paragraph" w:styleId="Heading2">
    <w:name w:val="heading 2"/>
    <w:basedOn w:val="Normal"/>
    <w:next w:val="Normal"/>
    <w:link w:val="Heading2Char"/>
    <w:unhideWhenUsed/>
    <w:qFormat/>
    <w:rsid w:val="003060B7"/>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lang w:val="en-US"/>
    </w:rPr>
  </w:style>
  <w:style w:type="paragraph" w:styleId="Heading3">
    <w:name w:val="heading 3"/>
    <w:basedOn w:val="Normal"/>
    <w:next w:val="Normal"/>
    <w:link w:val="Heading3Char"/>
    <w:uiPriority w:val="1"/>
    <w:unhideWhenUsed/>
    <w:qFormat/>
    <w:rsid w:val="00BC238F"/>
    <w:pPr>
      <w:keepNext/>
      <w:keepLines/>
      <w:numPr>
        <w:ilvl w:val="2"/>
        <w:numId w:val="1"/>
      </w:numPr>
      <w:spacing w:before="360" w:after="200" w:line="240" w:lineRule="auto"/>
      <w:outlineLvl w:val="2"/>
    </w:pPr>
    <w:rPr>
      <w:rFonts w:ascii="Franklin Gothic Medium" w:eastAsiaTheme="majorEastAsia" w:hAnsi="Franklin Gothic Medium" w:cstheme="majorBidi"/>
      <w:color w:val="000000" w:themeColor="text1"/>
      <w:sz w:val="24"/>
      <w:szCs w:val="24"/>
      <w:lang w:val="en-US"/>
    </w:rPr>
  </w:style>
  <w:style w:type="paragraph" w:styleId="Heading4">
    <w:name w:val="heading 4"/>
    <w:basedOn w:val="Normal"/>
    <w:next w:val="Normal"/>
    <w:link w:val="Heading4Char"/>
    <w:uiPriority w:val="1"/>
    <w:unhideWhenUsed/>
    <w:qFormat/>
    <w:rsid w:val="00333563"/>
    <w:pPr>
      <w:keepNext/>
      <w:keepLines/>
      <w:spacing w:before="360" w:after="200" w:line="240" w:lineRule="auto"/>
      <w:outlineLvl w:val="3"/>
    </w:pPr>
    <w:rPr>
      <w:rFonts w:ascii="Franklin Gothic Medium" w:eastAsiaTheme="majorEastAsia" w:hAnsi="Franklin Gothic Medium" w:cstheme="majorBidi"/>
      <w:i/>
      <w:iCs/>
      <w:color w:val="000000" w:themeColor="text1"/>
      <w:sz w:val="24"/>
    </w:rPr>
  </w:style>
  <w:style w:type="paragraph" w:styleId="Heading5">
    <w:name w:val="heading 5"/>
    <w:basedOn w:val="Normal"/>
    <w:next w:val="Normal"/>
    <w:link w:val="Heading5Char"/>
    <w:qFormat/>
    <w:rsid w:val="00B71510"/>
    <w:pPr>
      <w:keepNext/>
      <w:spacing w:before="0" w:after="60" w:line="312" w:lineRule="auto"/>
      <w:outlineLvl w:val="4"/>
    </w:pPr>
    <w:rPr>
      <w:rFonts w:ascii="Calibri" w:eastAsia="Times New Roman" w:hAnsi="Calibri" w:cs="Tahoma"/>
      <w:b/>
      <w:i/>
      <w:lang w:eastAsia="en-AU"/>
    </w:rPr>
  </w:style>
  <w:style w:type="paragraph" w:styleId="Heading6">
    <w:name w:val="heading 6"/>
    <w:basedOn w:val="Normal"/>
    <w:next w:val="Normal"/>
    <w:link w:val="Heading6Char"/>
    <w:qFormat/>
    <w:rsid w:val="0098280C"/>
    <w:pPr>
      <w:keepNext/>
      <w:spacing w:before="0" w:after="0" w:line="240" w:lineRule="auto"/>
      <w:outlineLvl w:val="5"/>
    </w:pPr>
    <w:rPr>
      <w:rFonts w:ascii="Calibri" w:eastAsia="Times New Roman" w:hAnsi="Calibri" w:cs="Tahoma"/>
      <w:u w:val="single"/>
      <w:lang w:eastAsia="en-AU"/>
    </w:rPr>
  </w:style>
  <w:style w:type="paragraph" w:styleId="Heading7">
    <w:name w:val="heading 7"/>
    <w:basedOn w:val="Normal"/>
    <w:next w:val="Normal"/>
    <w:link w:val="Heading7Char"/>
    <w:rsid w:val="0098280C"/>
    <w:pPr>
      <w:keepNext/>
      <w:spacing w:before="0" w:after="0" w:line="240" w:lineRule="auto"/>
      <w:outlineLvl w:val="6"/>
    </w:pPr>
    <w:rPr>
      <w:rFonts w:ascii="Calibri" w:eastAsia="Times New Roman" w:hAnsi="Calibri" w:cs="Tahoma"/>
      <w:i/>
      <w:lang w:eastAsia="en-AU"/>
    </w:rPr>
  </w:style>
  <w:style w:type="paragraph" w:styleId="Heading8">
    <w:name w:val="heading 8"/>
    <w:basedOn w:val="Normal"/>
    <w:next w:val="Normal"/>
    <w:link w:val="Heading8Char"/>
    <w:rsid w:val="0098280C"/>
    <w:pPr>
      <w:keepNext/>
      <w:spacing w:before="0" w:after="0" w:line="240" w:lineRule="auto"/>
      <w:outlineLvl w:val="7"/>
    </w:pPr>
    <w:rPr>
      <w:rFonts w:ascii="Calibri" w:eastAsia="Times New Roman" w:hAnsi="Calibri" w:cs="Tahoma"/>
      <w:u w:val="single"/>
      <w:lang w:eastAsia="en-AU"/>
    </w:rPr>
  </w:style>
  <w:style w:type="paragraph" w:styleId="Heading9">
    <w:name w:val="heading 9"/>
    <w:basedOn w:val="Normal"/>
    <w:next w:val="Normal"/>
    <w:link w:val="Heading9Char"/>
    <w:rsid w:val="0098280C"/>
    <w:pPr>
      <w:keepNext/>
      <w:spacing w:before="0" w:after="0" w:line="240" w:lineRule="auto"/>
      <w:outlineLvl w:val="8"/>
    </w:pPr>
    <w:rPr>
      <w:rFonts w:ascii="Calibri" w:eastAsia="Times New Roman" w:hAnsi="Calibri" w:cs="Tahom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092"/>
    <w:rPr>
      <w:rFonts w:ascii="Franklin Gothic Medium" w:eastAsiaTheme="majorEastAsia" w:hAnsi="Franklin Gothic Medium" w:cstheme="majorBidi"/>
      <w:color w:val="000000" w:themeColor="text1"/>
      <w:sz w:val="44"/>
      <w:szCs w:val="32"/>
      <w:lang w:val="en-US"/>
    </w:rPr>
  </w:style>
  <w:style w:type="character" w:customStyle="1" w:styleId="Heading2Char">
    <w:name w:val="Heading 2 Char"/>
    <w:basedOn w:val="DefaultParagraphFont"/>
    <w:link w:val="Heading2"/>
    <w:rsid w:val="003060B7"/>
    <w:rPr>
      <w:rFonts w:ascii="Franklin Gothic Medium" w:eastAsiaTheme="majorEastAsia" w:hAnsi="Franklin Gothic Medium" w:cstheme="majorBidi"/>
      <w:color w:val="000000" w:themeColor="text1"/>
      <w:sz w:val="32"/>
      <w:szCs w:val="26"/>
      <w:lang w:val="en-US"/>
    </w:rPr>
  </w:style>
  <w:style w:type="character" w:customStyle="1" w:styleId="Heading3Char">
    <w:name w:val="Heading 3 Char"/>
    <w:basedOn w:val="DefaultParagraphFont"/>
    <w:link w:val="Heading3"/>
    <w:uiPriority w:val="1"/>
    <w:rsid w:val="00BC238F"/>
    <w:rPr>
      <w:rFonts w:ascii="Franklin Gothic Medium" w:eastAsiaTheme="majorEastAsia" w:hAnsi="Franklin Gothic Medium" w:cstheme="majorBidi"/>
      <w:color w:val="000000" w:themeColor="text1"/>
      <w:sz w:val="24"/>
      <w:szCs w:val="24"/>
      <w:lang w:val="en-US"/>
    </w:rPr>
  </w:style>
  <w:style w:type="character" w:customStyle="1" w:styleId="Heading4Char">
    <w:name w:val="Heading 4 Char"/>
    <w:basedOn w:val="DefaultParagraphFont"/>
    <w:link w:val="Heading4"/>
    <w:uiPriority w:val="1"/>
    <w:rsid w:val="00333563"/>
    <w:rPr>
      <w:rFonts w:ascii="Franklin Gothic Medium" w:eastAsiaTheme="majorEastAsia" w:hAnsi="Franklin Gothic Medium" w:cstheme="majorBidi"/>
      <w:i/>
      <w:iCs/>
      <w:color w:val="000000" w:themeColor="text1"/>
      <w:sz w:val="24"/>
    </w:rPr>
  </w:style>
  <w:style w:type="paragraph" w:styleId="Caption">
    <w:name w:val="caption"/>
    <w:aliases w:val="Table/Figure caption,Table and Figure Name,Table and Figure name,Caption Char2 Char,Caption Char Char Char2,Caption Char1 Char Char Char1,Caption Char2 Char Char Char1 Char1,Caption Char Char1 Char Char Char1 Char1"/>
    <w:basedOn w:val="Normal"/>
    <w:next w:val="Normal"/>
    <w:link w:val="CaptionChar"/>
    <w:unhideWhenUsed/>
    <w:qFormat/>
    <w:rsid w:val="008E2BA9"/>
    <w:pPr>
      <w:keepNext/>
      <w:tabs>
        <w:tab w:val="left" w:pos="1134"/>
      </w:tabs>
      <w:spacing w:before="360" w:after="120" w:line="240" w:lineRule="auto"/>
    </w:pPr>
    <w:rPr>
      <w:rFonts w:ascii="Arial Narrow" w:hAnsi="Arial Narrow"/>
      <w:b/>
      <w:iCs/>
      <w:color w:val="000000" w:themeColor="text1"/>
      <w:sz w:val="20"/>
      <w:szCs w:val="18"/>
    </w:rPr>
  </w:style>
  <w:style w:type="table" w:styleId="TableGrid">
    <w:name w:val="Table Grid"/>
    <w:aliases w:val="Summary box,Table Gridbeth,RTI AMCP Table,new style,ASD Table,HealthConsult,HTAtableplain"/>
    <w:basedOn w:val="TableNormal"/>
    <w:rsid w:val="00DE6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DE68DD"/>
    <w:pPr>
      <w:keepNext/>
      <w:spacing w:after="60" w:line="240" w:lineRule="auto"/>
    </w:pPr>
    <w:rPr>
      <w:rFonts w:ascii="Arial Narrow" w:hAnsi="Arial Narrow"/>
      <w:b/>
      <w:sz w:val="20"/>
      <w:lang w:val="en-US"/>
    </w:rPr>
  </w:style>
  <w:style w:type="paragraph" w:customStyle="1" w:styleId="Tabletext">
    <w:name w:val="Table text"/>
    <w:basedOn w:val="Normal"/>
    <w:link w:val="TabletextChar"/>
    <w:qFormat/>
    <w:rsid w:val="000571B5"/>
    <w:pPr>
      <w:spacing w:before="40" w:after="40" w:line="240" w:lineRule="auto"/>
      <w:contextualSpacing/>
      <w:jc w:val="left"/>
    </w:pPr>
    <w:rPr>
      <w:rFonts w:ascii="Arial Narrow" w:hAnsi="Arial Narrow"/>
      <w:sz w:val="20"/>
      <w:lang w:val="en-US"/>
    </w:rPr>
  </w:style>
  <w:style w:type="character" w:customStyle="1" w:styleId="TableheaderChar">
    <w:name w:val="Table header Char"/>
    <w:basedOn w:val="DefaultParagraphFont"/>
    <w:link w:val="Tableheader"/>
    <w:rsid w:val="00DE68DD"/>
    <w:rPr>
      <w:rFonts w:ascii="Arial Narrow" w:hAnsi="Arial Narrow"/>
      <w:b/>
      <w:sz w:val="20"/>
      <w:lang w:val="en-US"/>
    </w:rPr>
  </w:style>
  <w:style w:type="paragraph" w:customStyle="1" w:styleId="Notes-TableFigure">
    <w:name w:val="Notes - Table/Figure"/>
    <w:basedOn w:val="Normal"/>
    <w:link w:val="Notes-TableFigureChar"/>
    <w:qFormat/>
    <w:rsid w:val="002D31AA"/>
    <w:pPr>
      <w:spacing w:before="0" w:after="360" w:line="240" w:lineRule="auto"/>
      <w:contextualSpacing/>
    </w:pPr>
    <w:rPr>
      <w:rFonts w:ascii="Arial Narrow" w:hAnsi="Arial Narrow"/>
      <w:sz w:val="18"/>
      <w:lang w:val="en-US"/>
    </w:rPr>
  </w:style>
  <w:style w:type="character" w:customStyle="1" w:styleId="TabletextChar">
    <w:name w:val="Table text Char"/>
    <w:basedOn w:val="DefaultParagraphFont"/>
    <w:link w:val="Tabletext"/>
    <w:rsid w:val="000571B5"/>
    <w:rPr>
      <w:rFonts w:ascii="Arial Narrow" w:hAnsi="Arial Narrow"/>
      <w:sz w:val="20"/>
      <w:lang w:val="en-US"/>
    </w:rPr>
  </w:style>
  <w:style w:type="paragraph" w:styleId="ListParagraph">
    <w:name w:val="List Paragraph"/>
    <w:aliases w:val="Paragraph,List Paragraph1"/>
    <w:basedOn w:val="Normal"/>
    <w:link w:val="ListParagraphChar"/>
    <w:uiPriority w:val="34"/>
    <w:qFormat/>
    <w:rsid w:val="003E54B8"/>
    <w:pPr>
      <w:ind w:left="720"/>
      <w:contextualSpacing/>
    </w:pPr>
  </w:style>
  <w:style w:type="character" w:customStyle="1" w:styleId="Notes-TableFigureChar">
    <w:name w:val="Notes - Table/Figure Char"/>
    <w:basedOn w:val="DefaultParagraphFont"/>
    <w:link w:val="Notes-TableFigure"/>
    <w:rsid w:val="002D31AA"/>
    <w:rPr>
      <w:rFonts w:ascii="Arial Narrow" w:hAnsi="Arial Narrow"/>
      <w:sz w:val="18"/>
      <w:lang w:val="en-US"/>
    </w:rPr>
  </w:style>
  <w:style w:type="paragraph" w:customStyle="1" w:styleId="Instructionaltext">
    <w:name w:val="Instructional text"/>
    <w:basedOn w:val="Normal"/>
    <w:link w:val="InstructionaltextChar"/>
    <w:qFormat/>
    <w:rsid w:val="0044418E"/>
    <w:rPr>
      <w:color w:val="258221"/>
    </w:rPr>
  </w:style>
  <w:style w:type="paragraph" w:customStyle="1" w:styleId="Crossreftoguidelines">
    <w:name w:val="Cross ref to guidelines"/>
    <w:basedOn w:val="Instructionaltext"/>
    <w:link w:val="CrossreftoguidelinesChar"/>
    <w:qFormat/>
    <w:rsid w:val="008D06A6"/>
    <w:rPr>
      <w:b/>
      <w:color w:val="0070C0"/>
    </w:rPr>
  </w:style>
  <w:style w:type="character" w:customStyle="1" w:styleId="InstructionaltextChar">
    <w:name w:val="Instructional text Char"/>
    <w:basedOn w:val="DefaultParagraphFont"/>
    <w:link w:val="Instructionaltext"/>
    <w:rsid w:val="0044418E"/>
    <w:rPr>
      <w:rFonts w:ascii="Franklin Gothic Book" w:hAnsi="Franklin Gothic Book"/>
      <w:color w:val="258221"/>
    </w:rPr>
  </w:style>
  <w:style w:type="paragraph" w:styleId="Date">
    <w:name w:val="Date"/>
    <w:basedOn w:val="Normal"/>
    <w:next w:val="Normal"/>
    <w:link w:val="DateChar"/>
    <w:rsid w:val="00BC0DD7"/>
    <w:pPr>
      <w:spacing w:before="1134" w:after="800"/>
      <w:ind w:left="4536"/>
    </w:pPr>
    <w:rPr>
      <w:rFonts w:ascii="Arial" w:eastAsia="Times New Roman" w:hAnsi="Arial" w:cs="Tahoma"/>
      <w:b/>
      <w:sz w:val="36"/>
      <w:lang w:eastAsia="en-AU"/>
    </w:rPr>
  </w:style>
  <w:style w:type="character" w:customStyle="1" w:styleId="CrossreftoguidelinesChar">
    <w:name w:val="Cross ref to guidelines Char"/>
    <w:basedOn w:val="InstructionaltextChar"/>
    <w:link w:val="Crossreftoguidelines"/>
    <w:rsid w:val="008D06A6"/>
    <w:rPr>
      <w:rFonts w:ascii="Franklin Gothic Book" w:hAnsi="Franklin Gothic Book"/>
      <w:b/>
      <w:color w:val="0070C0"/>
    </w:rPr>
  </w:style>
  <w:style w:type="character" w:customStyle="1" w:styleId="DateChar">
    <w:name w:val="Date Char"/>
    <w:basedOn w:val="DefaultParagraphFont"/>
    <w:link w:val="Date"/>
    <w:rsid w:val="00BC0DD7"/>
    <w:rPr>
      <w:rFonts w:ascii="Arial" w:eastAsia="Times New Roman" w:hAnsi="Arial" w:cs="Tahoma"/>
      <w:b/>
      <w:sz w:val="36"/>
      <w:lang w:eastAsia="en-AU"/>
    </w:rPr>
  </w:style>
  <w:style w:type="paragraph" w:customStyle="1" w:styleId="PublicationTitle">
    <w:name w:val="PublicationTitle"/>
    <w:basedOn w:val="Normal"/>
    <w:rsid w:val="00BC0DD7"/>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BC0DD7"/>
    <w:pPr>
      <w:spacing w:before="1701"/>
      <w:ind w:left="4536"/>
    </w:pPr>
    <w:rPr>
      <w:rFonts w:ascii="Arial" w:eastAsia="Times New Roman" w:hAnsi="Arial" w:cs="Tahoma"/>
      <w:b/>
      <w:sz w:val="32"/>
      <w:lang w:eastAsia="en-AU"/>
    </w:rPr>
  </w:style>
  <w:style w:type="paragraph" w:styleId="Footer">
    <w:name w:val="footer"/>
    <w:basedOn w:val="Normal"/>
    <w:link w:val="FooterChar"/>
    <w:uiPriority w:val="99"/>
    <w:unhideWhenUsed/>
    <w:rsid w:val="00BC0D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DD7"/>
    <w:rPr>
      <w:rFonts w:ascii="Franklin Gothic Book" w:hAnsi="Franklin Gothic Book"/>
    </w:rPr>
  </w:style>
  <w:style w:type="paragraph" w:customStyle="1" w:styleId="Instructionalheading">
    <w:name w:val="Instructional heading"/>
    <w:basedOn w:val="Normal"/>
    <w:next w:val="Normal"/>
    <w:link w:val="InstructionalheadingChar"/>
    <w:qFormat/>
    <w:rsid w:val="00AC3FD2"/>
    <w:pPr>
      <w:pBdr>
        <w:bottom w:val="single" w:sz="4" w:space="1" w:color="auto"/>
      </w:pBdr>
    </w:pPr>
    <w:rPr>
      <w:rFonts w:ascii="Franklin Gothic Medium" w:hAnsi="Franklin Gothic Medium"/>
      <w:color w:val="258221"/>
      <w:sz w:val="44"/>
    </w:rPr>
  </w:style>
  <w:style w:type="paragraph" w:customStyle="1" w:styleId="Non-numberedHeading1">
    <w:name w:val="Non-numbered Heading 1"/>
    <w:basedOn w:val="Heading1"/>
    <w:next w:val="Normal"/>
    <w:link w:val="Non-numberedHeading1Char"/>
    <w:qFormat/>
    <w:rsid w:val="00A56A5B"/>
    <w:pPr>
      <w:numPr>
        <w:numId w:val="0"/>
      </w:numPr>
    </w:pPr>
  </w:style>
  <w:style w:type="character" w:customStyle="1" w:styleId="InstructionalheadingChar">
    <w:name w:val="Instructional heading Char"/>
    <w:basedOn w:val="DefaultParagraphFont"/>
    <w:link w:val="Instructionalheading"/>
    <w:rsid w:val="00AC3FD2"/>
    <w:rPr>
      <w:rFonts w:ascii="Franklin Gothic Medium" w:hAnsi="Franklin Gothic Medium"/>
      <w:color w:val="258221"/>
      <w:sz w:val="44"/>
    </w:rPr>
  </w:style>
  <w:style w:type="character" w:customStyle="1" w:styleId="ListParagraphChar">
    <w:name w:val="List Paragraph Char"/>
    <w:aliases w:val="Paragraph Char,List Paragraph1 Char"/>
    <w:basedOn w:val="DefaultParagraphFont"/>
    <w:link w:val="ListParagraph"/>
    <w:uiPriority w:val="34"/>
    <w:rsid w:val="000F461B"/>
    <w:rPr>
      <w:rFonts w:ascii="Franklin Gothic Book" w:hAnsi="Franklin Gothic Book"/>
    </w:rPr>
  </w:style>
  <w:style w:type="character" w:customStyle="1" w:styleId="Non-numberedHeading1Char">
    <w:name w:val="Non-numbered Heading 1 Char"/>
    <w:basedOn w:val="Heading1Char"/>
    <w:link w:val="Non-numberedHeading1"/>
    <w:rsid w:val="00A56A5B"/>
    <w:rPr>
      <w:rFonts w:ascii="Franklin Gothic Medium" w:eastAsiaTheme="majorEastAsia" w:hAnsi="Franklin Gothic Medium" w:cstheme="majorBidi"/>
      <w:color w:val="000000" w:themeColor="text1"/>
      <w:sz w:val="44"/>
      <w:szCs w:val="32"/>
      <w:lang w:val="en-US"/>
    </w:rPr>
  </w:style>
  <w:style w:type="paragraph" w:styleId="Subtitle">
    <w:name w:val="Subtitle"/>
    <w:basedOn w:val="Normal"/>
    <w:next w:val="Normal"/>
    <w:link w:val="SubtitleChar"/>
    <w:qFormat/>
    <w:rsid w:val="00E35D54"/>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E35D54"/>
    <w:rPr>
      <w:rFonts w:ascii="Arial" w:eastAsia="Times New Roman" w:hAnsi="Arial" w:cs="Arial"/>
      <w:b/>
      <w:bCs/>
      <w:i/>
      <w:color w:val="000080"/>
      <w:sz w:val="28"/>
      <w:szCs w:val="28"/>
      <w:lang w:eastAsia="en-AU"/>
    </w:rPr>
  </w:style>
  <w:style w:type="paragraph" w:customStyle="1" w:styleId="Instructionaltext-bullet">
    <w:name w:val="Instructional text - bullet"/>
    <w:basedOn w:val="Instructionaltext"/>
    <w:qFormat/>
    <w:rsid w:val="00374238"/>
    <w:pPr>
      <w:numPr>
        <w:numId w:val="2"/>
      </w:numPr>
      <w:spacing w:before="0" w:after="0"/>
    </w:pPr>
  </w:style>
  <w:style w:type="paragraph" w:customStyle="1" w:styleId="Execsummaryheading1">
    <w:name w:val="Exec summary heading 1"/>
    <w:basedOn w:val="Heading1"/>
    <w:link w:val="Execsummaryheading1Char"/>
    <w:qFormat/>
    <w:rsid w:val="000B73BD"/>
    <w:pPr>
      <w:numPr>
        <w:numId w:val="0"/>
      </w:numPr>
      <w:pBdr>
        <w:bottom w:val="none" w:sz="0" w:space="0" w:color="auto"/>
      </w:pBdr>
      <w:spacing w:before="480" w:after="240"/>
      <w:ind w:left="788"/>
      <w:jc w:val="center"/>
    </w:pPr>
    <w:rPr>
      <w:rFonts w:ascii="Arial" w:hAnsi="Arial" w:cs="Arial"/>
      <w:b/>
      <w:bCs/>
      <w:color w:val="000080"/>
      <w:sz w:val="36"/>
      <w:szCs w:val="36"/>
    </w:rPr>
  </w:style>
  <w:style w:type="paragraph" w:customStyle="1" w:styleId="Heading2execsummary">
    <w:name w:val="Heading 2 exec summary"/>
    <w:basedOn w:val="Heading2"/>
    <w:next w:val="Normal"/>
    <w:link w:val="Heading2execsummaryChar"/>
    <w:qFormat/>
    <w:rsid w:val="00DE15B8"/>
    <w:pPr>
      <w:numPr>
        <w:ilvl w:val="0"/>
        <w:numId w:val="3"/>
      </w:numPr>
      <w:spacing w:before="0"/>
    </w:pPr>
  </w:style>
  <w:style w:type="character" w:customStyle="1" w:styleId="Execsummaryheading1Char">
    <w:name w:val="Exec summary heading 1 Char"/>
    <w:basedOn w:val="Heading1Char"/>
    <w:link w:val="Execsummaryheading1"/>
    <w:rsid w:val="000B73BD"/>
    <w:rPr>
      <w:rFonts w:ascii="Arial" w:eastAsiaTheme="majorEastAsia" w:hAnsi="Arial" w:cs="Arial"/>
      <w:b/>
      <w:bCs/>
      <w:color w:val="000080"/>
      <w:sz w:val="36"/>
      <w:szCs w:val="36"/>
      <w:lang w:val="en-US"/>
    </w:rPr>
  </w:style>
  <w:style w:type="paragraph" w:customStyle="1" w:styleId="Guidelinescross-ref">
    <w:name w:val="Guidelines cross-ref"/>
    <w:basedOn w:val="Normal"/>
    <w:rsid w:val="00ED567D"/>
    <w:pPr>
      <w:spacing w:before="240" w:after="240"/>
    </w:pPr>
    <w:rPr>
      <w:b/>
      <w:color w:val="0070C0"/>
      <w:sz w:val="24"/>
    </w:rPr>
  </w:style>
  <w:style w:type="character" w:customStyle="1" w:styleId="Heading2execsummaryChar">
    <w:name w:val="Heading 2 exec summary Char"/>
    <w:basedOn w:val="Heading2Char"/>
    <w:link w:val="Heading2execsummary"/>
    <w:rsid w:val="00DE15B8"/>
    <w:rPr>
      <w:rFonts w:ascii="Franklin Gothic Medium" w:eastAsiaTheme="majorEastAsia" w:hAnsi="Franklin Gothic Medium" w:cstheme="majorBidi"/>
      <w:color w:val="000000" w:themeColor="text1"/>
      <w:sz w:val="32"/>
      <w:szCs w:val="26"/>
      <w:lang w:val="en-US"/>
    </w:rPr>
  </w:style>
  <w:style w:type="character" w:styleId="CommentReference">
    <w:name w:val="annotation reference"/>
    <w:basedOn w:val="DefaultParagraphFont"/>
    <w:uiPriority w:val="99"/>
    <w:unhideWhenUsed/>
    <w:rsid w:val="00B160DF"/>
    <w:rPr>
      <w:sz w:val="16"/>
      <w:szCs w:val="16"/>
    </w:rPr>
  </w:style>
  <w:style w:type="paragraph" w:styleId="CommentText">
    <w:name w:val="annotation text"/>
    <w:basedOn w:val="Normal"/>
    <w:link w:val="CommentTextChar"/>
    <w:uiPriority w:val="99"/>
    <w:unhideWhenUsed/>
    <w:rsid w:val="00B160DF"/>
    <w:pPr>
      <w:spacing w:line="240" w:lineRule="auto"/>
    </w:pPr>
    <w:rPr>
      <w:sz w:val="20"/>
      <w:szCs w:val="20"/>
    </w:rPr>
  </w:style>
  <w:style w:type="character" w:customStyle="1" w:styleId="CommentTextChar">
    <w:name w:val="Comment Text Char"/>
    <w:basedOn w:val="DefaultParagraphFont"/>
    <w:link w:val="CommentText"/>
    <w:uiPriority w:val="99"/>
    <w:rsid w:val="00B160DF"/>
    <w:rPr>
      <w:rFonts w:ascii="Franklin Gothic Book" w:hAnsi="Franklin Gothic Book"/>
      <w:sz w:val="20"/>
      <w:szCs w:val="20"/>
    </w:rPr>
  </w:style>
  <w:style w:type="paragraph" w:styleId="CommentSubject">
    <w:name w:val="annotation subject"/>
    <w:basedOn w:val="CommentText"/>
    <w:next w:val="CommentText"/>
    <w:link w:val="CommentSubjectChar"/>
    <w:semiHidden/>
    <w:unhideWhenUsed/>
    <w:rsid w:val="00B160DF"/>
    <w:rPr>
      <w:b/>
      <w:bCs/>
    </w:rPr>
  </w:style>
  <w:style w:type="character" w:customStyle="1" w:styleId="CommentSubjectChar">
    <w:name w:val="Comment Subject Char"/>
    <w:basedOn w:val="CommentTextChar"/>
    <w:link w:val="CommentSubject"/>
    <w:uiPriority w:val="99"/>
    <w:semiHidden/>
    <w:rsid w:val="00B160DF"/>
    <w:rPr>
      <w:rFonts w:ascii="Franklin Gothic Book" w:hAnsi="Franklin Gothic Book"/>
      <w:b/>
      <w:bCs/>
      <w:sz w:val="20"/>
      <w:szCs w:val="20"/>
    </w:rPr>
  </w:style>
  <w:style w:type="paragraph" w:customStyle="1" w:styleId="Tableinstructions">
    <w:name w:val="Table instructions"/>
    <w:basedOn w:val="Tabletext"/>
    <w:link w:val="TableinstructionsChar"/>
    <w:qFormat/>
    <w:rsid w:val="006558F4"/>
    <w:rPr>
      <w:color w:val="258221"/>
    </w:rPr>
  </w:style>
  <w:style w:type="character" w:customStyle="1" w:styleId="TableinstructionsChar">
    <w:name w:val="Table instructions Char"/>
    <w:basedOn w:val="TabletextChar"/>
    <w:link w:val="Tableinstructions"/>
    <w:rsid w:val="006558F4"/>
    <w:rPr>
      <w:rFonts w:ascii="Arial Narrow" w:hAnsi="Arial Narrow"/>
      <w:color w:val="258221"/>
      <w:sz w:val="20"/>
      <w:lang w:val="en-US"/>
    </w:rPr>
  </w:style>
  <w:style w:type="paragraph" w:customStyle="1" w:styleId="Heading2nonumbers">
    <w:name w:val="Heading 2 no numbers"/>
    <w:basedOn w:val="Heading2"/>
    <w:next w:val="Normal"/>
    <w:link w:val="Heading2nonumbersChar"/>
    <w:qFormat/>
    <w:rsid w:val="0070388A"/>
    <w:pPr>
      <w:numPr>
        <w:ilvl w:val="0"/>
        <w:numId w:val="0"/>
      </w:numPr>
    </w:pPr>
  </w:style>
  <w:style w:type="paragraph" w:customStyle="1" w:styleId="Heading3nonumbers">
    <w:name w:val="Heading 3 no numbers"/>
    <w:basedOn w:val="Heading3"/>
    <w:next w:val="Normal"/>
    <w:link w:val="Heading3nonumbersChar"/>
    <w:qFormat/>
    <w:rsid w:val="0070388A"/>
    <w:pPr>
      <w:numPr>
        <w:ilvl w:val="0"/>
        <w:numId w:val="0"/>
      </w:numPr>
    </w:pPr>
  </w:style>
  <w:style w:type="character" w:customStyle="1" w:styleId="Heading2nonumbersChar">
    <w:name w:val="Heading 2 no numbers Char"/>
    <w:basedOn w:val="Heading2Char"/>
    <w:link w:val="Heading2nonumbers"/>
    <w:rsid w:val="0070388A"/>
    <w:rPr>
      <w:rFonts w:ascii="Franklin Gothic Medium" w:eastAsiaTheme="majorEastAsia" w:hAnsi="Franklin Gothic Medium" w:cstheme="majorBidi"/>
      <w:color w:val="000000" w:themeColor="text1"/>
      <w:sz w:val="32"/>
      <w:szCs w:val="26"/>
      <w:lang w:val="en-US"/>
    </w:rPr>
  </w:style>
  <w:style w:type="paragraph" w:styleId="FootnoteText">
    <w:name w:val="footnote text"/>
    <w:basedOn w:val="Normal"/>
    <w:link w:val="FootnoteTextChar"/>
    <w:uiPriority w:val="99"/>
    <w:semiHidden/>
    <w:unhideWhenUsed/>
    <w:rsid w:val="008B2E74"/>
    <w:pPr>
      <w:spacing w:before="0" w:after="0" w:line="240" w:lineRule="auto"/>
    </w:pPr>
    <w:rPr>
      <w:sz w:val="20"/>
      <w:szCs w:val="20"/>
    </w:rPr>
  </w:style>
  <w:style w:type="character" w:customStyle="1" w:styleId="Heading3nonumbersChar">
    <w:name w:val="Heading 3 no numbers Char"/>
    <w:basedOn w:val="Heading3Char"/>
    <w:link w:val="Heading3nonumbers"/>
    <w:rsid w:val="0070388A"/>
    <w:rPr>
      <w:rFonts w:ascii="Franklin Gothic Medium" w:eastAsiaTheme="majorEastAsia" w:hAnsi="Franklin Gothic Medium" w:cstheme="majorBidi"/>
      <w:color w:val="000000" w:themeColor="text1"/>
      <w:sz w:val="24"/>
      <w:szCs w:val="24"/>
      <w:lang w:val="en-US"/>
    </w:rPr>
  </w:style>
  <w:style w:type="character" w:customStyle="1" w:styleId="FootnoteTextChar">
    <w:name w:val="Footnote Text Char"/>
    <w:basedOn w:val="DefaultParagraphFont"/>
    <w:link w:val="FootnoteText"/>
    <w:uiPriority w:val="99"/>
    <w:semiHidden/>
    <w:rsid w:val="008B2E74"/>
    <w:rPr>
      <w:rFonts w:ascii="Franklin Gothic Book" w:hAnsi="Franklin Gothic Book"/>
      <w:sz w:val="20"/>
      <w:szCs w:val="20"/>
    </w:rPr>
  </w:style>
  <w:style w:type="character" w:styleId="FootnoteReference">
    <w:name w:val="footnote reference"/>
    <w:basedOn w:val="DefaultParagraphFont"/>
    <w:uiPriority w:val="99"/>
    <w:semiHidden/>
    <w:unhideWhenUsed/>
    <w:rsid w:val="008B2E74"/>
    <w:rPr>
      <w:vertAlign w:val="superscript"/>
    </w:rPr>
  </w:style>
  <w:style w:type="paragraph" w:customStyle="1" w:styleId="Heading1nonumbers">
    <w:name w:val="Heading 1 no numbers"/>
    <w:basedOn w:val="Heading1"/>
    <w:next w:val="Normal"/>
    <w:link w:val="Heading1nonumbersChar"/>
    <w:qFormat/>
    <w:rsid w:val="00FB2D20"/>
    <w:pPr>
      <w:numPr>
        <w:numId w:val="0"/>
      </w:numPr>
    </w:pPr>
  </w:style>
  <w:style w:type="character" w:customStyle="1" w:styleId="Heading1nonumbersChar">
    <w:name w:val="Heading 1 no numbers Char"/>
    <w:basedOn w:val="Heading1Char"/>
    <w:link w:val="Heading1nonumbers"/>
    <w:rsid w:val="00FB2D20"/>
    <w:rPr>
      <w:rFonts w:ascii="Franklin Gothic Medium" w:eastAsiaTheme="majorEastAsia" w:hAnsi="Franklin Gothic Medium" w:cstheme="majorBidi"/>
      <w:color w:val="000000" w:themeColor="text1"/>
      <w:sz w:val="44"/>
      <w:szCs w:val="32"/>
      <w:lang w:val="en-US"/>
    </w:rPr>
  </w:style>
  <w:style w:type="paragraph" w:styleId="Header">
    <w:name w:val="header"/>
    <w:basedOn w:val="Normal"/>
    <w:link w:val="HeaderChar"/>
    <w:unhideWhenUsed/>
    <w:rsid w:val="007F2E64"/>
    <w:pPr>
      <w:tabs>
        <w:tab w:val="center" w:pos="4513"/>
        <w:tab w:val="right" w:pos="9026"/>
      </w:tabs>
      <w:spacing w:before="0" w:after="0" w:line="240" w:lineRule="auto"/>
    </w:pPr>
  </w:style>
  <w:style w:type="character" w:customStyle="1" w:styleId="HeaderChar">
    <w:name w:val="Header Char"/>
    <w:basedOn w:val="DefaultParagraphFont"/>
    <w:link w:val="Header"/>
    <w:rsid w:val="007F2E64"/>
    <w:rPr>
      <w:rFonts w:ascii="Franklin Gothic Book" w:hAnsi="Franklin Gothic Book"/>
    </w:rPr>
  </w:style>
  <w:style w:type="character" w:styleId="Mention">
    <w:name w:val="Mention"/>
    <w:basedOn w:val="DefaultParagraphFont"/>
    <w:uiPriority w:val="99"/>
    <w:unhideWhenUsed/>
    <w:rsid w:val="00B43DE0"/>
    <w:rPr>
      <w:color w:val="2B579A"/>
      <w:shd w:val="clear" w:color="auto" w:fill="E1DFDD"/>
    </w:rPr>
  </w:style>
  <w:style w:type="character" w:styleId="Hyperlink">
    <w:name w:val="Hyperlink"/>
    <w:basedOn w:val="DefaultParagraphFont"/>
    <w:uiPriority w:val="99"/>
    <w:unhideWhenUsed/>
    <w:rsid w:val="00747FF1"/>
    <w:rPr>
      <w:color w:val="0563C1" w:themeColor="hyperlink"/>
      <w:u w:val="single"/>
    </w:rPr>
  </w:style>
  <w:style w:type="character" w:styleId="UnresolvedMention">
    <w:name w:val="Unresolved Mention"/>
    <w:basedOn w:val="DefaultParagraphFont"/>
    <w:uiPriority w:val="99"/>
    <w:unhideWhenUsed/>
    <w:rsid w:val="00747FF1"/>
    <w:rPr>
      <w:color w:val="605E5C"/>
      <w:shd w:val="clear" w:color="auto" w:fill="E1DFDD"/>
    </w:rPr>
  </w:style>
  <w:style w:type="paragraph" w:styleId="Revision">
    <w:name w:val="Revision"/>
    <w:hidden/>
    <w:uiPriority w:val="99"/>
    <w:semiHidden/>
    <w:rsid w:val="004A3932"/>
    <w:pPr>
      <w:spacing w:after="0" w:line="240" w:lineRule="auto"/>
    </w:pPr>
    <w:rPr>
      <w:rFonts w:ascii="Franklin Gothic Book" w:hAnsi="Franklin Gothic Book"/>
    </w:rPr>
  </w:style>
  <w:style w:type="paragraph" w:customStyle="1" w:styleId="Default">
    <w:name w:val="Default"/>
    <w:rsid w:val="00DB047F"/>
    <w:pPr>
      <w:autoSpaceDE w:val="0"/>
      <w:autoSpaceDN w:val="0"/>
      <w:adjustRightInd w:val="0"/>
      <w:spacing w:after="0" w:line="240" w:lineRule="auto"/>
    </w:pPr>
    <w:rPr>
      <w:rFonts w:ascii="Calibri" w:hAnsi="Calibri" w:cs="Calibri"/>
      <w:color w:val="000000"/>
      <w:sz w:val="24"/>
      <w:szCs w:val="24"/>
    </w:rPr>
  </w:style>
  <w:style w:type="paragraph" w:customStyle="1" w:styleId="TableName">
    <w:name w:val="TableName"/>
    <w:basedOn w:val="Normal"/>
    <w:link w:val="TableNameChar"/>
    <w:qFormat/>
    <w:rsid w:val="00061C40"/>
    <w:pPr>
      <w:keepNext/>
      <w:keepLines/>
      <w:spacing w:before="0" w:after="240" w:line="240" w:lineRule="auto"/>
      <w:ind w:left="1134" w:hanging="1134"/>
    </w:pPr>
    <w:rPr>
      <w:rFonts w:ascii="Franklin Gothic Medium" w:hAnsi="Franklin Gothic Medium"/>
    </w:rPr>
  </w:style>
  <w:style w:type="paragraph" w:customStyle="1" w:styleId="TableHeading">
    <w:name w:val="TableHeading"/>
    <w:basedOn w:val="Normal"/>
    <w:link w:val="TableHeadingChar"/>
    <w:qFormat/>
    <w:rsid w:val="00061C40"/>
    <w:pPr>
      <w:keepNext/>
      <w:keepLines/>
      <w:spacing w:before="0" w:after="60" w:line="240" w:lineRule="auto"/>
    </w:pPr>
    <w:rPr>
      <w:rFonts w:asciiTheme="minorHAnsi" w:hAnsiTheme="minorHAnsi"/>
      <w:b/>
      <w:sz w:val="20"/>
    </w:rPr>
  </w:style>
  <w:style w:type="character" w:customStyle="1" w:styleId="TableHeadingChar">
    <w:name w:val="TableHeading Char"/>
    <w:link w:val="TableHeading"/>
    <w:rsid w:val="00061C40"/>
    <w:rPr>
      <w:b/>
      <w:sz w:val="20"/>
    </w:rPr>
  </w:style>
  <w:style w:type="paragraph" w:customStyle="1" w:styleId="TableFigNoteLast">
    <w:name w:val="TableFigNote Last"/>
    <w:basedOn w:val="Normal"/>
    <w:qFormat/>
    <w:rsid w:val="00061C40"/>
    <w:pPr>
      <w:keepNext/>
      <w:spacing w:before="0" w:after="360" w:line="240" w:lineRule="auto"/>
    </w:pPr>
    <w:rPr>
      <w:rFonts w:asciiTheme="minorHAnsi" w:hAnsiTheme="minorHAnsi"/>
      <w:sz w:val="18"/>
    </w:rPr>
  </w:style>
  <w:style w:type="paragraph" w:customStyle="1" w:styleId="TableText0">
    <w:name w:val="TableText"/>
    <w:basedOn w:val="Normal"/>
    <w:link w:val="TableTextChar0"/>
    <w:qFormat/>
    <w:rsid w:val="00061C40"/>
    <w:pPr>
      <w:widowControl w:val="0"/>
      <w:spacing w:before="60" w:after="60" w:line="240" w:lineRule="auto"/>
    </w:pPr>
    <w:rPr>
      <w:rFonts w:ascii="Calibri" w:eastAsia="Times New Roman" w:hAnsi="Calibri" w:cs="Times New Roman"/>
      <w:color w:val="000000"/>
      <w:sz w:val="20"/>
      <w:szCs w:val="21"/>
      <w:lang w:eastAsia="en-AU"/>
    </w:rPr>
  </w:style>
  <w:style w:type="paragraph" w:customStyle="1" w:styleId="TableFigNoteHanging">
    <w:name w:val="TableFigNoteHanging"/>
    <w:basedOn w:val="Normal"/>
    <w:qFormat/>
    <w:rsid w:val="00061C40"/>
    <w:pPr>
      <w:keepNext/>
      <w:keepLines/>
      <w:spacing w:before="0" w:after="120" w:line="240" w:lineRule="auto"/>
      <w:ind w:left="142" w:hanging="142"/>
    </w:pPr>
    <w:rPr>
      <w:rFonts w:asciiTheme="minorHAnsi" w:hAnsiTheme="minorHAnsi"/>
      <w:sz w:val="18"/>
    </w:rPr>
  </w:style>
  <w:style w:type="paragraph" w:customStyle="1" w:styleId="TableHeader0">
    <w:name w:val="Table Header"/>
    <w:basedOn w:val="Normal"/>
    <w:link w:val="TableHeaderChar0"/>
    <w:qFormat/>
    <w:rsid w:val="00B6167C"/>
    <w:pPr>
      <w:keepNext/>
      <w:spacing w:after="120" w:line="240" w:lineRule="auto"/>
    </w:pPr>
    <w:rPr>
      <w:rFonts w:ascii="Arial" w:hAnsi="Arial"/>
      <w:b/>
      <w:bCs/>
      <w:sz w:val="20"/>
    </w:rPr>
  </w:style>
  <w:style w:type="character" w:customStyle="1" w:styleId="TableHeaderChar0">
    <w:name w:val="Table Header Char"/>
    <w:basedOn w:val="DefaultParagraphFont"/>
    <w:link w:val="TableHeader0"/>
    <w:rsid w:val="00B6167C"/>
    <w:rPr>
      <w:rFonts w:ascii="Arial" w:hAnsi="Arial"/>
      <w:b/>
      <w:bCs/>
      <w:sz w:val="20"/>
    </w:rPr>
  </w:style>
  <w:style w:type="table" w:styleId="PlainTable2">
    <w:name w:val="Plain Table 2"/>
    <w:basedOn w:val="TableNormal"/>
    <w:uiPriority w:val="42"/>
    <w:rsid w:val="003B6F22"/>
    <w:pPr>
      <w:spacing w:after="0" w:line="240" w:lineRule="auto"/>
    </w:pPr>
    <w:rPr>
      <w:rFonts w:ascii="Times New Roman" w:eastAsia="Times New Roman" w:hAnsi="Times New Roman" w:cs="Times New Roman"/>
      <w:sz w:val="20"/>
      <w:szCs w:val="20"/>
      <w:lang w:val="de-CH"/>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aptionChar">
    <w:name w:val="Caption Char"/>
    <w:aliases w:val="Table/Figure caption Char,Table and Figure Name Char,Table and Figure name Char,Caption Char2 Char Char,Caption Char Char Char2 Char,Caption Char1 Char Char Char1 Char,Caption Char2 Char Char Char1 Char1 Char"/>
    <w:link w:val="Caption"/>
    <w:locked/>
    <w:rsid w:val="008E2BA9"/>
    <w:rPr>
      <w:rFonts w:ascii="Arial Narrow" w:hAnsi="Arial Narrow"/>
      <w:b/>
      <w:iCs/>
      <w:color w:val="000000" w:themeColor="text1"/>
      <w:sz w:val="20"/>
      <w:szCs w:val="18"/>
    </w:rPr>
  </w:style>
  <w:style w:type="character" w:styleId="FollowedHyperlink">
    <w:name w:val="FollowedHyperlink"/>
    <w:basedOn w:val="DefaultParagraphFont"/>
    <w:unhideWhenUsed/>
    <w:rsid w:val="00A737B1"/>
    <w:rPr>
      <w:color w:val="954F72" w:themeColor="followedHyperlink"/>
      <w:u w:val="single"/>
    </w:rPr>
  </w:style>
  <w:style w:type="paragraph" w:styleId="BodyText">
    <w:name w:val="Body Text"/>
    <w:basedOn w:val="Normal"/>
    <w:link w:val="BodyTextChar"/>
    <w:rsid w:val="00F47C63"/>
    <w:pPr>
      <w:widowControl w:val="0"/>
      <w:spacing w:after="0" w:line="240" w:lineRule="auto"/>
    </w:pPr>
    <w:rPr>
      <w:rFonts w:ascii="Book Antiqua" w:eastAsia="Times New Roman" w:hAnsi="Book Antiqua" w:cs="Times New Roman"/>
      <w:sz w:val="24"/>
      <w:szCs w:val="20"/>
    </w:rPr>
  </w:style>
  <w:style w:type="character" w:customStyle="1" w:styleId="BodyTextChar">
    <w:name w:val="Body Text Char"/>
    <w:basedOn w:val="DefaultParagraphFont"/>
    <w:link w:val="BodyText"/>
    <w:rsid w:val="00F47C63"/>
    <w:rPr>
      <w:rFonts w:ascii="Book Antiqua" w:eastAsia="Times New Roman" w:hAnsi="Book Antiqua" w:cs="Times New Roman"/>
      <w:sz w:val="24"/>
      <w:szCs w:val="20"/>
    </w:rPr>
  </w:style>
  <w:style w:type="table" w:customStyle="1" w:styleId="TableGrid1">
    <w:name w:val="Table Grid1"/>
    <w:basedOn w:val="TableNormal"/>
    <w:next w:val="TableGrid"/>
    <w:rsid w:val="006535C3"/>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s">
    <w:name w:val="TableBullets"/>
    <w:basedOn w:val="Tabletext"/>
    <w:link w:val="TableBulletsChar"/>
    <w:qFormat/>
    <w:rsid w:val="002505E0"/>
    <w:pPr>
      <w:numPr>
        <w:numId w:val="10"/>
      </w:numPr>
      <w:spacing w:before="60" w:after="60"/>
      <w:contextualSpacing w:val="0"/>
    </w:pPr>
    <w:rPr>
      <w:rFonts w:eastAsia="Times New Roman" w:cs="Times New Roman"/>
      <w:sz w:val="18"/>
      <w:szCs w:val="20"/>
    </w:rPr>
  </w:style>
  <w:style w:type="character" w:customStyle="1" w:styleId="TableBulletsChar">
    <w:name w:val="TableBullets Char"/>
    <w:basedOn w:val="TabletextChar"/>
    <w:link w:val="TableBullets"/>
    <w:rsid w:val="002505E0"/>
    <w:rPr>
      <w:rFonts w:ascii="Arial Narrow" w:eastAsia="Times New Roman" w:hAnsi="Arial Narrow" w:cs="Times New Roman"/>
      <w:sz w:val="18"/>
      <w:szCs w:val="20"/>
      <w:lang w:val="en-US"/>
    </w:rPr>
  </w:style>
  <w:style w:type="paragraph" w:customStyle="1" w:styleId="pf0">
    <w:name w:val="pf0"/>
    <w:basedOn w:val="Normal"/>
    <w:rsid w:val="00690772"/>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cf01">
    <w:name w:val="cf01"/>
    <w:basedOn w:val="DefaultParagraphFont"/>
    <w:rsid w:val="00690772"/>
    <w:rPr>
      <w:rFonts w:ascii="Segoe UI" w:hAnsi="Segoe UI" w:cs="Segoe UI" w:hint="default"/>
      <w:sz w:val="18"/>
      <w:szCs w:val="18"/>
    </w:rPr>
  </w:style>
  <w:style w:type="character" w:customStyle="1" w:styleId="cf11">
    <w:name w:val="cf11"/>
    <w:basedOn w:val="DefaultParagraphFont"/>
    <w:rsid w:val="00690772"/>
    <w:rPr>
      <w:rFonts w:ascii="Segoe UI" w:hAnsi="Segoe UI" w:cs="Segoe UI" w:hint="default"/>
      <w:sz w:val="18"/>
      <w:szCs w:val="18"/>
    </w:rPr>
  </w:style>
  <w:style w:type="character" w:customStyle="1" w:styleId="Heading5Char">
    <w:name w:val="Heading 5 Char"/>
    <w:basedOn w:val="DefaultParagraphFont"/>
    <w:link w:val="Heading5"/>
    <w:rsid w:val="00B71510"/>
    <w:rPr>
      <w:rFonts w:ascii="Calibri" w:eastAsia="Times New Roman" w:hAnsi="Calibri" w:cs="Tahoma"/>
      <w:b/>
      <w:i/>
      <w:lang w:eastAsia="en-AU"/>
    </w:rPr>
  </w:style>
  <w:style w:type="character" w:customStyle="1" w:styleId="TableTextChar0">
    <w:name w:val="TableText Char"/>
    <w:basedOn w:val="DefaultParagraphFont"/>
    <w:link w:val="TableText0"/>
    <w:rsid w:val="004B6DDB"/>
    <w:rPr>
      <w:rFonts w:ascii="Calibri" w:eastAsia="Times New Roman" w:hAnsi="Calibri" w:cs="Times New Roman"/>
      <w:color w:val="000000"/>
      <w:sz w:val="20"/>
      <w:szCs w:val="21"/>
      <w:lang w:eastAsia="en-AU"/>
    </w:rPr>
  </w:style>
  <w:style w:type="table" w:customStyle="1" w:styleId="TableGridbeth2">
    <w:name w:val="Table Gridbeth2"/>
    <w:basedOn w:val="TableNormal"/>
    <w:next w:val="TableGrid"/>
    <w:uiPriority w:val="59"/>
    <w:rsid w:val="00B71510"/>
    <w:pPr>
      <w:spacing w:after="0" w:line="312" w:lineRule="auto"/>
    </w:pPr>
    <w:rPr>
      <w:rFonts w:ascii="Arial Narrow" w:eastAsia="SimSu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customStyle="1" w:styleId="Tablenotes">
    <w:name w:val="Tablenotes"/>
    <w:basedOn w:val="Normal"/>
    <w:link w:val="TablenotesChar"/>
    <w:qFormat/>
    <w:rsid w:val="00B71510"/>
    <w:pPr>
      <w:widowControl w:val="0"/>
      <w:spacing w:before="0"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B71510"/>
    <w:rPr>
      <w:rFonts w:ascii="Arial Narrow" w:eastAsia="Times New Roman" w:hAnsi="Arial Narrow" w:cs="Arial"/>
      <w:snapToGrid w:val="0"/>
      <w:sz w:val="18"/>
      <w:szCs w:val="20"/>
    </w:rPr>
  </w:style>
  <w:style w:type="paragraph" w:customStyle="1" w:styleId="Tablenotes0">
    <w:name w:val="Table notes"/>
    <w:basedOn w:val="Tablenotes"/>
    <w:link w:val="TablenotesChar0"/>
    <w:qFormat/>
    <w:rsid w:val="00B71510"/>
    <w:pPr>
      <w:spacing w:after="240"/>
    </w:pPr>
    <w:rPr>
      <w:rFonts w:eastAsia="SimSun"/>
      <w:lang w:val="en-US" w:eastAsia="en-AU"/>
    </w:rPr>
  </w:style>
  <w:style w:type="character" w:customStyle="1" w:styleId="TablenotesChar0">
    <w:name w:val="Table notes Char"/>
    <w:basedOn w:val="TabletextChar"/>
    <w:link w:val="Tablenotes0"/>
    <w:rsid w:val="00B71510"/>
    <w:rPr>
      <w:rFonts w:ascii="Arial Narrow" w:eastAsia="SimSun" w:hAnsi="Arial Narrow" w:cs="Arial"/>
      <w:snapToGrid w:val="0"/>
      <w:sz w:val="18"/>
      <w:szCs w:val="20"/>
      <w:lang w:val="en-US" w:eastAsia="en-AU"/>
    </w:rPr>
  </w:style>
  <w:style w:type="character" w:customStyle="1" w:styleId="Heading6Char">
    <w:name w:val="Heading 6 Char"/>
    <w:basedOn w:val="DefaultParagraphFont"/>
    <w:link w:val="Heading6"/>
    <w:rsid w:val="0098280C"/>
    <w:rPr>
      <w:rFonts w:ascii="Calibri" w:eastAsia="Times New Roman" w:hAnsi="Calibri" w:cs="Tahoma"/>
      <w:u w:val="single"/>
      <w:lang w:eastAsia="en-AU"/>
    </w:rPr>
  </w:style>
  <w:style w:type="character" w:customStyle="1" w:styleId="Heading7Char">
    <w:name w:val="Heading 7 Char"/>
    <w:basedOn w:val="DefaultParagraphFont"/>
    <w:link w:val="Heading7"/>
    <w:rsid w:val="0098280C"/>
    <w:rPr>
      <w:rFonts w:ascii="Calibri" w:eastAsia="Times New Roman" w:hAnsi="Calibri" w:cs="Tahoma"/>
      <w:i/>
      <w:lang w:eastAsia="en-AU"/>
    </w:rPr>
  </w:style>
  <w:style w:type="character" w:customStyle="1" w:styleId="Heading8Char">
    <w:name w:val="Heading 8 Char"/>
    <w:basedOn w:val="DefaultParagraphFont"/>
    <w:link w:val="Heading8"/>
    <w:rsid w:val="0098280C"/>
    <w:rPr>
      <w:rFonts w:ascii="Calibri" w:eastAsia="Times New Roman" w:hAnsi="Calibri" w:cs="Tahoma"/>
      <w:u w:val="single"/>
      <w:lang w:eastAsia="en-AU"/>
    </w:rPr>
  </w:style>
  <w:style w:type="character" w:customStyle="1" w:styleId="Heading9Char">
    <w:name w:val="Heading 9 Char"/>
    <w:basedOn w:val="DefaultParagraphFont"/>
    <w:link w:val="Heading9"/>
    <w:rsid w:val="0098280C"/>
    <w:rPr>
      <w:rFonts w:ascii="Calibri" w:eastAsia="Times New Roman" w:hAnsi="Calibri" w:cs="Tahoma"/>
      <w:lang w:eastAsia="en-AU"/>
    </w:rPr>
  </w:style>
  <w:style w:type="paragraph" w:customStyle="1" w:styleId="Bullet">
    <w:name w:val="Bullet"/>
    <w:basedOn w:val="Normal"/>
    <w:qFormat/>
    <w:rsid w:val="0098280C"/>
    <w:pPr>
      <w:numPr>
        <w:numId w:val="11"/>
      </w:numPr>
      <w:spacing w:before="0" w:after="0" w:line="240" w:lineRule="auto"/>
    </w:pPr>
    <w:rPr>
      <w:rFonts w:ascii="Calibri" w:eastAsia="Times New Roman" w:hAnsi="Calibri" w:cs="Tahoma"/>
      <w:lang w:eastAsia="en-AU"/>
    </w:rPr>
  </w:style>
  <w:style w:type="paragraph" w:customStyle="1" w:styleId="Summaryboxtext">
    <w:name w:val="Summary box text"/>
    <w:basedOn w:val="Normal"/>
    <w:rsid w:val="0098280C"/>
    <w:pPr>
      <w:spacing w:before="0" w:after="100" w:afterAutospacing="1" w:line="240" w:lineRule="auto"/>
    </w:pPr>
    <w:rPr>
      <w:rFonts w:ascii="Arial Narrow" w:eastAsia="Times New Roman" w:hAnsi="Arial Narrow" w:cs="Tahoma"/>
      <w:lang w:eastAsia="en-AU"/>
    </w:rPr>
  </w:style>
  <w:style w:type="paragraph" w:customStyle="1" w:styleId="Summaryboxheading">
    <w:name w:val="Summary box heading"/>
    <w:basedOn w:val="Summaryboxtext"/>
    <w:rsid w:val="0098280C"/>
    <w:pPr>
      <w:spacing w:before="120"/>
    </w:pPr>
    <w:rPr>
      <w:b/>
    </w:rPr>
  </w:style>
  <w:style w:type="paragraph" w:customStyle="1" w:styleId="Heading2a">
    <w:name w:val="Heading 2a"/>
    <w:basedOn w:val="Heading2"/>
    <w:rsid w:val="0098280C"/>
    <w:pPr>
      <w:keepLines w:val="0"/>
      <w:numPr>
        <w:ilvl w:val="0"/>
        <w:numId w:val="0"/>
      </w:numPr>
      <w:spacing w:before="240" w:after="0"/>
      <w:outlineLvl w:val="9"/>
    </w:pPr>
    <w:rPr>
      <w:rFonts w:ascii="Calibri" w:eastAsia="Times New Roman" w:hAnsi="Calibri" w:cs="Tahoma"/>
      <w:b/>
      <w:smallCaps/>
      <w:color w:val="auto"/>
      <w:sz w:val="22"/>
      <w:szCs w:val="22"/>
      <w:lang w:val="en-AU" w:eastAsia="en-AU"/>
    </w:rPr>
  </w:style>
  <w:style w:type="character" w:styleId="PageNumber">
    <w:name w:val="page number"/>
    <w:rsid w:val="0098280C"/>
    <w:rPr>
      <w:rFonts w:ascii="Tahoma" w:hAnsi="Tahoma"/>
      <w:b/>
      <w:sz w:val="18"/>
    </w:rPr>
  </w:style>
  <w:style w:type="paragraph" w:customStyle="1" w:styleId="References">
    <w:name w:val="References"/>
    <w:basedOn w:val="Normal"/>
    <w:rsid w:val="0098280C"/>
    <w:pPr>
      <w:keepLines/>
      <w:spacing w:before="0" w:after="0" w:line="240" w:lineRule="auto"/>
      <w:ind w:left="1440" w:hanging="720"/>
    </w:pPr>
    <w:rPr>
      <w:rFonts w:ascii="Calibri" w:eastAsia="Times New Roman" w:hAnsi="Calibri" w:cs="Tahoma"/>
      <w:lang w:eastAsia="en-AU"/>
    </w:rPr>
  </w:style>
  <w:style w:type="paragraph" w:styleId="TableofFigures">
    <w:name w:val="table of figures"/>
    <w:basedOn w:val="Normal"/>
    <w:next w:val="Normal"/>
    <w:uiPriority w:val="99"/>
    <w:rsid w:val="0098280C"/>
    <w:pPr>
      <w:tabs>
        <w:tab w:val="left" w:pos="1800"/>
        <w:tab w:val="right" w:leader="dot" w:pos="9017"/>
      </w:tabs>
      <w:spacing w:before="0" w:after="120" w:line="240" w:lineRule="auto"/>
      <w:ind w:left="1800" w:right="720" w:hanging="1080"/>
    </w:pPr>
    <w:rPr>
      <w:rFonts w:ascii="Calibri" w:eastAsia="Times New Roman" w:hAnsi="Calibri" w:cs="Tahoma"/>
      <w:noProof/>
      <w:lang w:eastAsia="en-AU"/>
    </w:rPr>
  </w:style>
  <w:style w:type="character" w:customStyle="1" w:styleId="TableNameChar">
    <w:name w:val="TableName Char"/>
    <w:link w:val="TableName"/>
    <w:rsid w:val="0098280C"/>
    <w:rPr>
      <w:rFonts w:ascii="Franklin Gothic Medium" w:hAnsi="Franklin Gothic Medium"/>
    </w:rPr>
  </w:style>
  <w:style w:type="paragraph" w:customStyle="1" w:styleId="TableNotes1">
    <w:name w:val="TableNotes"/>
    <w:basedOn w:val="TableText0"/>
    <w:link w:val="TableNotesChar1"/>
    <w:rsid w:val="0098280C"/>
    <w:pPr>
      <w:keepLines/>
      <w:widowControl/>
      <w:spacing w:before="0" w:after="360"/>
      <w:ind w:left="720"/>
      <w:contextualSpacing/>
    </w:pPr>
    <w:rPr>
      <w:rFonts w:ascii="Arial Narrow" w:hAnsi="Arial Narrow" w:cs="Tahoma"/>
      <w:color w:val="auto"/>
      <w:sz w:val="16"/>
      <w:szCs w:val="22"/>
    </w:rPr>
  </w:style>
  <w:style w:type="character" w:customStyle="1" w:styleId="TableNotesChar1">
    <w:name w:val="TableNotes Char"/>
    <w:link w:val="TableNotes1"/>
    <w:rsid w:val="0098280C"/>
    <w:rPr>
      <w:rFonts w:ascii="Arial Narrow" w:eastAsia="Times New Roman" w:hAnsi="Arial Narrow" w:cs="Tahoma"/>
      <w:sz w:val="16"/>
      <w:lang w:eastAsia="en-AU"/>
    </w:rPr>
  </w:style>
  <w:style w:type="paragraph" w:styleId="Title">
    <w:name w:val="Title"/>
    <w:basedOn w:val="Normal"/>
    <w:link w:val="TitleChar"/>
    <w:qFormat/>
    <w:rsid w:val="0098280C"/>
    <w:pPr>
      <w:spacing w:before="0" w:after="0" w:line="240" w:lineRule="auto"/>
      <w:jc w:val="center"/>
    </w:pPr>
    <w:rPr>
      <w:rFonts w:ascii="Arial" w:eastAsia="Times New Roman" w:hAnsi="Arial" w:cs="Tahoma"/>
      <w:b/>
      <w:smallCaps/>
      <w:sz w:val="44"/>
      <w:lang w:eastAsia="en-AU"/>
    </w:rPr>
  </w:style>
  <w:style w:type="character" w:customStyle="1" w:styleId="TitleChar">
    <w:name w:val="Title Char"/>
    <w:basedOn w:val="DefaultParagraphFont"/>
    <w:link w:val="Title"/>
    <w:rsid w:val="0098280C"/>
    <w:rPr>
      <w:rFonts w:ascii="Arial" w:eastAsia="Times New Roman" w:hAnsi="Arial" w:cs="Tahoma"/>
      <w:b/>
      <w:smallCaps/>
      <w:sz w:val="44"/>
      <w:lang w:eastAsia="en-AU"/>
    </w:rPr>
  </w:style>
  <w:style w:type="paragraph" w:styleId="TOC1">
    <w:name w:val="toc 1"/>
    <w:basedOn w:val="Normal"/>
    <w:next w:val="Normal"/>
    <w:autoRedefine/>
    <w:uiPriority w:val="39"/>
    <w:qFormat/>
    <w:rsid w:val="00597F73"/>
    <w:pPr>
      <w:tabs>
        <w:tab w:val="left" w:pos="1276"/>
        <w:tab w:val="right" w:leader="dot" w:pos="9017"/>
      </w:tabs>
      <w:spacing w:after="60" w:line="240" w:lineRule="auto"/>
      <w:ind w:right="-46"/>
    </w:pPr>
    <w:rPr>
      <w:rFonts w:ascii="Calibri" w:eastAsia="Times New Roman" w:hAnsi="Calibri" w:cs="Tahoma"/>
      <w:b/>
      <w:noProof/>
      <w:lang w:eastAsia="en-AU"/>
    </w:rPr>
  </w:style>
  <w:style w:type="paragraph" w:styleId="TOC2">
    <w:name w:val="toc 2"/>
    <w:basedOn w:val="Normal"/>
    <w:next w:val="Normal"/>
    <w:autoRedefine/>
    <w:uiPriority w:val="39"/>
    <w:qFormat/>
    <w:rsid w:val="0098280C"/>
    <w:pPr>
      <w:tabs>
        <w:tab w:val="right" w:leader="dot" w:pos="9017"/>
      </w:tabs>
      <w:spacing w:before="0" w:after="60" w:line="240" w:lineRule="auto"/>
      <w:ind w:left="851" w:right="720"/>
    </w:pPr>
    <w:rPr>
      <w:rFonts w:ascii="Calibri" w:eastAsia="Times New Roman" w:hAnsi="Calibri" w:cs="Tahoma"/>
      <w:noProof/>
      <w:lang w:eastAsia="en-AU"/>
    </w:rPr>
  </w:style>
  <w:style w:type="paragraph" w:styleId="TOC3">
    <w:name w:val="toc 3"/>
    <w:basedOn w:val="Normal"/>
    <w:next w:val="Normal"/>
    <w:autoRedefine/>
    <w:uiPriority w:val="39"/>
    <w:qFormat/>
    <w:rsid w:val="0098280C"/>
    <w:pPr>
      <w:tabs>
        <w:tab w:val="right" w:leader="dot" w:pos="9016"/>
      </w:tabs>
      <w:spacing w:before="0" w:after="0" w:line="240" w:lineRule="auto"/>
      <w:ind w:left="1418"/>
    </w:pPr>
    <w:rPr>
      <w:rFonts w:ascii="Calibri" w:eastAsia="Times New Roman" w:hAnsi="Calibri" w:cs="Tahoma"/>
      <w:noProof/>
      <w:lang w:eastAsia="en-AU"/>
    </w:rPr>
  </w:style>
  <w:style w:type="paragraph" w:styleId="TOC4">
    <w:name w:val="toc 4"/>
    <w:basedOn w:val="Normal"/>
    <w:next w:val="Normal"/>
    <w:autoRedefine/>
    <w:uiPriority w:val="39"/>
    <w:rsid w:val="0098280C"/>
    <w:pPr>
      <w:spacing w:before="0" w:after="0" w:line="240" w:lineRule="auto"/>
      <w:ind w:left="660"/>
    </w:pPr>
    <w:rPr>
      <w:rFonts w:ascii="Calibri" w:eastAsia="Times New Roman" w:hAnsi="Calibri" w:cs="Tahoma"/>
      <w:lang w:eastAsia="en-AU"/>
    </w:rPr>
  </w:style>
  <w:style w:type="paragraph" w:styleId="TOC5">
    <w:name w:val="toc 5"/>
    <w:basedOn w:val="Normal"/>
    <w:next w:val="Normal"/>
    <w:autoRedefine/>
    <w:uiPriority w:val="39"/>
    <w:rsid w:val="0098280C"/>
    <w:pPr>
      <w:spacing w:before="0" w:after="0" w:line="240" w:lineRule="auto"/>
      <w:ind w:left="880"/>
    </w:pPr>
    <w:rPr>
      <w:rFonts w:ascii="Calibri" w:eastAsia="Times New Roman" w:hAnsi="Calibri" w:cs="Tahoma"/>
      <w:lang w:eastAsia="en-AU"/>
    </w:rPr>
  </w:style>
  <w:style w:type="paragraph" w:styleId="TOC6">
    <w:name w:val="toc 6"/>
    <w:basedOn w:val="Normal"/>
    <w:next w:val="Normal"/>
    <w:autoRedefine/>
    <w:uiPriority w:val="39"/>
    <w:rsid w:val="0098280C"/>
    <w:pPr>
      <w:spacing w:before="0" w:after="0" w:line="240" w:lineRule="auto"/>
      <w:ind w:left="1100"/>
    </w:pPr>
    <w:rPr>
      <w:rFonts w:ascii="Calibri" w:eastAsia="Times New Roman" w:hAnsi="Calibri" w:cs="Tahoma"/>
      <w:lang w:eastAsia="en-AU"/>
    </w:rPr>
  </w:style>
  <w:style w:type="paragraph" w:styleId="TOC7">
    <w:name w:val="toc 7"/>
    <w:basedOn w:val="Normal"/>
    <w:next w:val="Normal"/>
    <w:autoRedefine/>
    <w:uiPriority w:val="39"/>
    <w:rsid w:val="0098280C"/>
    <w:pPr>
      <w:spacing w:before="0" w:after="0" w:line="240" w:lineRule="auto"/>
      <w:ind w:left="1320"/>
    </w:pPr>
    <w:rPr>
      <w:rFonts w:ascii="Calibri" w:eastAsia="Times New Roman" w:hAnsi="Calibri" w:cs="Tahoma"/>
      <w:lang w:eastAsia="en-AU"/>
    </w:rPr>
  </w:style>
  <w:style w:type="paragraph" w:styleId="TOC8">
    <w:name w:val="toc 8"/>
    <w:basedOn w:val="Normal"/>
    <w:next w:val="Normal"/>
    <w:autoRedefine/>
    <w:uiPriority w:val="39"/>
    <w:rsid w:val="0098280C"/>
    <w:pPr>
      <w:spacing w:before="0" w:after="0" w:line="240" w:lineRule="auto"/>
      <w:ind w:left="1540"/>
    </w:pPr>
    <w:rPr>
      <w:rFonts w:ascii="Calibri" w:eastAsia="Times New Roman" w:hAnsi="Calibri" w:cs="Tahoma"/>
      <w:lang w:eastAsia="en-AU"/>
    </w:rPr>
  </w:style>
  <w:style w:type="paragraph" w:styleId="TOC9">
    <w:name w:val="toc 9"/>
    <w:basedOn w:val="Normal"/>
    <w:next w:val="Normal"/>
    <w:autoRedefine/>
    <w:uiPriority w:val="39"/>
    <w:rsid w:val="0098280C"/>
    <w:pPr>
      <w:spacing w:before="0" w:after="0" w:line="240" w:lineRule="auto"/>
      <w:ind w:left="1760"/>
    </w:pPr>
    <w:rPr>
      <w:rFonts w:ascii="Calibri" w:eastAsia="Times New Roman" w:hAnsi="Calibri" w:cs="Tahoma"/>
      <w:lang w:eastAsia="en-AU"/>
    </w:rPr>
  </w:style>
  <w:style w:type="paragraph" w:customStyle="1" w:styleId="Dash">
    <w:name w:val="Dash"/>
    <w:basedOn w:val="Normal"/>
    <w:rsid w:val="0098280C"/>
    <w:pPr>
      <w:numPr>
        <w:numId w:val="12"/>
      </w:numPr>
      <w:spacing w:before="0" w:after="0" w:line="240" w:lineRule="auto"/>
    </w:pPr>
    <w:rPr>
      <w:rFonts w:ascii="Calibri" w:eastAsia="Times New Roman" w:hAnsi="Calibri" w:cs="Tahoma"/>
      <w:lang w:eastAsia="en-AU"/>
    </w:rPr>
  </w:style>
  <w:style w:type="paragraph" w:styleId="Quote">
    <w:name w:val="Quote"/>
    <w:basedOn w:val="Normal"/>
    <w:link w:val="QuoteChar"/>
    <w:rsid w:val="0098280C"/>
    <w:pPr>
      <w:keepLines/>
      <w:spacing w:before="0" w:after="0" w:line="240" w:lineRule="auto"/>
      <w:ind w:left="1440" w:right="720"/>
    </w:pPr>
    <w:rPr>
      <w:rFonts w:ascii="Calibri" w:eastAsia="Times New Roman" w:hAnsi="Calibri" w:cs="Tahoma"/>
      <w:lang w:eastAsia="en-AU"/>
    </w:rPr>
  </w:style>
  <w:style w:type="character" w:customStyle="1" w:styleId="QuoteChar">
    <w:name w:val="Quote Char"/>
    <w:basedOn w:val="DefaultParagraphFont"/>
    <w:link w:val="Quote"/>
    <w:rsid w:val="0098280C"/>
    <w:rPr>
      <w:rFonts w:ascii="Calibri" w:eastAsia="Times New Roman" w:hAnsi="Calibri" w:cs="Tahoma"/>
      <w:lang w:eastAsia="en-AU"/>
    </w:rPr>
  </w:style>
  <w:style w:type="paragraph" w:styleId="BalloonText">
    <w:name w:val="Balloon Text"/>
    <w:basedOn w:val="Normal"/>
    <w:link w:val="BalloonTextChar"/>
    <w:semiHidden/>
    <w:rsid w:val="0098280C"/>
    <w:pPr>
      <w:spacing w:before="0" w:after="0" w:line="240" w:lineRule="auto"/>
    </w:pPr>
    <w:rPr>
      <w:rFonts w:ascii="Calibri" w:eastAsia="Times New Roman" w:hAnsi="Calibri" w:cs="Tahoma"/>
      <w:sz w:val="16"/>
      <w:szCs w:val="16"/>
      <w:lang w:eastAsia="en-AU"/>
    </w:rPr>
  </w:style>
  <w:style w:type="character" w:customStyle="1" w:styleId="BalloonTextChar">
    <w:name w:val="Balloon Text Char"/>
    <w:basedOn w:val="DefaultParagraphFont"/>
    <w:link w:val="BalloonText"/>
    <w:uiPriority w:val="99"/>
    <w:semiHidden/>
    <w:rsid w:val="0098280C"/>
    <w:rPr>
      <w:rFonts w:ascii="Calibri" w:eastAsia="Times New Roman" w:hAnsi="Calibri" w:cs="Tahoma"/>
      <w:sz w:val="16"/>
      <w:szCs w:val="16"/>
      <w:lang w:eastAsia="en-AU"/>
    </w:rPr>
  </w:style>
  <w:style w:type="paragraph" w:customStyle="1" w:styleId="TableHeading0">
    <w:name w:val="Table Heading"/>
    <w:basedOn w:val="Normal"/>
    <w:next w:val="Normal"/>
    <w:rsid w:val="0098280C"/>
    <w:pPr>
      <w:keepNext/>
      <w:spacing w:before="40" w:after="40" w:line="240" w:lineRule="auto"/>
    </w:pPr>
    <w:rPr>
      <w:rFonts w:ascii="Arial" w:eastAsia="Times New Roman" w:hAnsi="Arial" w:cs="Tahoma"/>
      <w:b/>
      <w:sz w:val="18"/>
      <w:lang w:val="en-GB"/>
    </w:rPr>
  </w:style>
  <w:style w:type="paragraph" w:customStyle="1" w:styleId="TableText1">
    <w:name w:val="Table Text"/>
    <w:basedOn w:val="Normal"/>
    <w:link w:val="TableTextChar1"/>
    <w:rsid w:val="0098280C"/>
    <w:pPr>
      <w:keepNext/>
      <w:spacing w:before="40" w:after="40" w:line="240" w:lineRule="auto"/>
    </w:pPr>
    <w:rPr>
      <w:rFonts w:ascii="Arial Narrow" w:eastAsia="Times New Roman" w:hAnsi="Arial Narrow" w:cs="Tahoma"/>
      <w:sz w:val="20"/>
    </w:rPr>
  </w:style>
  <w:style w:type="character" w:customStyle="1" w:styleId="TableTextChar1">
    <w:name w:val="Table Text Char"/>
    <w:link w:val="TableText1"/>
    <w:rsid w:val="0098280C"/>
    <w:rPr>
      <w:rFonts w:ascii="Arial Narrow" w:eastAsia="Times New Roman" w:hAnsi="Arial Narrow" w:cs="Tahoma"/>
      <w:sz w:val="20"/>
    </w:rPr>
  </w:style>
  <w:style w:type="paragraph" w:customStyle="1" w:styleId="Boxname">
    <w:name w:val="Box name"/>
    <w:basedOn w:val="TableName"/>
    <w:link w:val="BoxnameChar"/>
    <w:rsid w:val="0098280C"/>
    <w:pPr>
      <w:keepLines w:val="0"/>
      <w:spacing w:before="40" w:after="40"/>
      <w:ind w:left="1440" w:hanging="720"/>
    </w:pPr>
    <w:rPr>
      <w:rFonts w:ascii="Arial Narrow" w:eastAsia="Times New Roman" w:hAnsi="Arial Narrow" w:cs="Tahoma"/>
      <w:b/>
      <w:sz w:val="20"/>
      <w:lang w:eastAsia="en-AU"/>
    </w:rPr>
  </w:style>
  <w:style w:type="character" w:customStyle="1" w:styleId="BoxnameChar">
    <w:name w:val="Box name Char"/>
    <w:basedOn w:val="TableNameChar"/>
    <w:link w:val="Boxname"/>
    <w:rsid w:val="0098280C"/>
    <w:rPr>
      <w:rFonts w:ascii="Arial Narrow" w:eastAsia="Times New Roman" w:hAnsi="Arial Narrow" w:cs="Tahoma"/>
      <w:b/>
      <w:sz w:val="20"/>
      <w:lang w:eastAsia="en-AU"/>
    </w:rPr>
  </w:style>
  <w:style w:type="paragraph" w:customStyle="1" w:styleId="StyleTableTextArialNarrowFirstline045cm">
    <w:name w:val="Style Table Text + Arial Narrow First line:  0.45 cm"/>
    <w:basedOn w:val="TableText1"/>
    <w:rsid w:val="0098280C"/>
    <w:pPr>
      <w:spacing w:after="360"/>
      <w:ind w:firstLine="720"/>
    </w:pPr>
  </w:style>
  <w:style w:type="paragraph" w:customStyle="1" w:styleId="TableNamea">
    <w:name w:val="Table Name(a)"/>
    <w:basedOn w:val="Normal"/>
    <w:rsid w:val="0098280C"/>
    <w:pPr>
      <w:keepNext/>
      <w:spacing w:after="120" w:line="240" w:lineRule="auto"/>
      <w:ind w:left="1077" w:hanging="1077"/>
    </w:pPr>
    <w:rPr>
      <w:rFonts w:ascii="Arial" w:eastAsia="Times New Roman" w:hAnsi="Arial" w:cs="Tahoma"/>
      <w:b/>
      <w:sz w:val="20"/>
    </w:rPr>
  </w:style>
  <w:style w:type="paragraph" w:styleId="DocumentMap">
    <w:name w:val="Document Map"/>
    <w:basedOn w:val="Normal"/>
    <w:link w:val="DocumentMapChar"/>
    <w:rsid w:val="0098280C"/>
    <w:pPr>
      <w:spacing w:before="0" w:after="0" w:line="240" w:lineRule="auto"/>
    </w:pPr>
    <w:rPr>
      <w:rFonts w:ascii="Calibri" w:eastAsia="Times New Roman" w:hAnsi="Calibri" w:cs="Tahoma"/>
      <w:sz w:val="16"/>
      <w:szCs w:val="16"/>
      <w:lang w:eastAsia="en-AU"/>
    </w:rPr>
  </w:style>
  <w:style w:type="character" w:customStyle="1" w:styleId="DocumentMapChar">
    <w:name w:val="Document Map Char"/>
    <w:basedOn w:val="DefaultParagraphFont"/>
    <w:link w:val="DocumentMap"/>
    <w:rsid w:val="0098280C"/>
    <w:rPr>
      <w:rFonts w:ascii="Calibri" w:eastAsia="Times New Roman" w:hAnsi="Calibri" w:cs="Tahoma"/>
      <w:sz w:val="16"/>
      <w:szCs w:val="16"/>
      <w:lang w:eastAsia="en-AU"/>
    </w:rPr>
  </w:style>
  <w:style w:type="paragraph" w:customStyle="1" w:styleId="figureheading">
    <w:name w:val="figure heading"/>
    <w:basedOn w:val="Normal"/>
    <w:rsid w:val="0098280C"/>
    <w:pPr>
      <w:keepNext/>
      <w:spacing w:after="120" w:line="240" w:lineRule="auto"/>
      <w:ind w:left="1077" w:hanging="1077"/>
    </w:pPr>
    <w:rPr>
      <w:rFonts w:ascii="Arial" w:eastAsia="Times New Roman" w:hAnsi="Arial" w:cs="Tahoma"/>
      <w:b/>
      <w:sz w:val="20"/>
    </w:rPr>
  </w:style>
  <w:style w:type="paragraph" w:customStyle="1" w:styleId="Nnumberedlist">
    <w:name w:val="Nnumbered list"/>
    <w:basedOn w:val="Normal"/>
    <w:rsid w:val="0098280C"/>
    <w:pPr>
      <w:numPr>
        <w:numId w:val="13"/>
      </w:numPr>
      <w:spacing w:before="0" w:after="0" w:line="240" w:lineRule="auto"/>
    </w:pPr>
    <w:rPr>
      <w:rFonts w:ascii="Calibri" w:eastAsia="Times New Roman" w:hAnsi="Calibri" w:cs="Tahoma"/>
      <w:lang w:eastAsia="en-AU"/>
    </w:rPr>
  </w:style>
  <w:style w:type="paragraph" w:customStyle="1" w:styleId="Figure">
    <w:name w:val="Figure"/>
    <w:basedOn w:val="TableName"/>
    <w:rsid w:val="0098280C"/>
    <w:pPr>
      <w:keepLines w:val="0"/>
      <w:spacing w:before="120" w:after="120"/>
      <w:ind w:left="1800" w:hanging="1080"/>
    </w:pPr>
    <w:rPr>
      <w:rFonts w:ascii="Arial Narrow" w:eastAsia="Times New Roman" w:hAnsi="Arial Narrow" w:cs="Tahoma"/>
      <w:b/>
      <w:sz w:val="20"/>
      <w:lang w:eastAsia="en-AU"/>
    </w:rPr>
  </w:style>
  <w:style w:type="paragraph" w:styleId="NormalWeb">
    <w:name w:val="Normal (Web)"/>
    <w:basedOn w:val="Normal"/>
    <w:uiPriority w:val="99"/>
    <w:rsid w:val="0098280C"/>
    <w:pPr>
      <w:spacing w:before="100" w:beforeAutospacing="1" w:after="100" w:afterAutospacing="1" w:line="240" w:lineRule="auto"/>
    </w:pPr>
    <w:rPr>
      <w:rFonts w:ascii="Times New Roman" w:eastAsia="Times New Roman" w:hAnsi="Times New Roman" w:cs="Tahoma"/>
      <w:color w:val="000000"/>
      <w:szCs w:val="24"/>
      <w:lang w:val="en-US"/>
    </w:rPr>
  </w:style>
  <w:style w:type="paragraph" w:customStyle="1" w:styleId="Equation">
    <w:name w:val="Equation"/>
    <w:basedOn w:val="Header"/>
    <w:rsid w:val="0098280C"/>
    <w:pPr>
      <w:tabs>
        <w:tab w:val="clear" w:pos="4513"/>
        <w:tab w:val="clear" w:pos="9026"/>
      </w:tabs>
    </w:pPr>
    <w:rPr>
      <w:rFonts w:ascii="Arial Narrow" w:eastAsia="Times New Roman" w:hAnsi="Arial Narrow" w:cs="Tahoma"/>
      <w:sz w:val="20"/>
      <w:lang w:eastAsia="en-AU"/>
    </w:rPr>
  </w:style>
  <w:style w:type="paragraph" w:customStyle="1" w:styleId="AHTAaddresslines">
    <w:name w:val="AHTA address lines"/>
    <w:basedOn w:val="PlainText"/>
    <w:rsid w:val="0098280C"/>
    <w:pPr>
      <w:spacing w:line="210" w:lineRule="exact"/>
    </w:pPr>
    <w:rPr>
      <w:rFonts w:ascii="Arial Narrow" w:eastAsia="Times" w:hAnsi="Arial Narrow" w:cs="Times New Roman"/>
      <w:i/>
      <w:color w:val="000080"/>
      <w:sz w:val="16"/>
    </w:rPr>
  </w:style>
  <w:style w:type="paragraph" w:styleId="PlainText">
    <w:name w:val="Plain Text"/>
    <w:basedOn w:val="Normal"/>
    <w:link w:val="PlainTextChar"/>
    <w:rsid w:val="0098280C"/>
    <w:pPr>
      <w:spacing w:before="0" w:after="0" w:line="240" w:lineRule="auto"/>
    </w:pPr>
    <w:rPr>
      <w:rFonts w:ascii="Courier New" w:eastAsia="Times New Roman" w:hAnsi="Courier New" w:cs="Courier New"/>
      <w:sz w:val="20"/>
    </w:rPr>
  </w:style>
  <w:style w:type="character" w:customStyle="1" w:styleId="PlainTextChar">
    <w:name w:val="Plain Text Char"/>
    <w:basedOn w:val="DefaultParagraphFont"/>
    <w:link w:val="PlainText"/>
    <w:rsid w:val="0098280C"/>
    <w:rPr>
      <w:rFonts w:ascii="Courier New" w:eastAsia="Times New Roman" w:hAnsi="Courier New" w:cs="Courier New"/>
      <w:sz w:val="20"/>
    </w:rPr>
  </w:style>
  <w:style w:type="character" w:styleId="Strong">
    <w:name w:val="Strong"/>
    <w:uiPriority w:val="22"/>
    <w:rsid w:val="0098280C"/>
    <w:rPr>
      <w:b/>
      <w:bCs/>
    </w:rPr>
  </w:style>
  <w:style w:type="character" w:customStyle="1" w:styleId="regulartext">
    <w:name w:val="regulartext"/>
    <w:basedOn w:val="DefaultParagraphFont"/>
    <w:rsid w:val="0098280C"/>
  </w:style>
  <w:style w:type="paragraph" w:customStyle="1" w:styleId="bodytext0">
    <w:name w:val="bodytext"/>
    <w:basedOn w:val="Normal"/>
    <w:rsid w:val="0098280C"/>
    <w:pPr>
      <w:spacing w:before="100" w:beforeAutospacing="1" w:after="0" w:line="240" w:lineRule="auto"/>
    </w:pPr>
    <w:rPr>
      <w:rFonts w:asciiTheme="minorHAnsi" w:eastAsia="Times New Roman" w:hAnsiTheme="minorHAnsi" w:cs="Tahoma"/>
      <w:szCs w:val="24"/>
      <w:lang w:eastAsia="en-AU"/>
    </w:rPr>
  </w:style>
  <w:style w:type="character" w:customStyle="1" w:styleId="mainsubheader1">
    <w:name w:val="mainsubheader1"/>
    <w:rsid w:val="0098280C"/>
    <w:rPr>
      <w:b/>
      <w:bCs/>
    </w:rPr>
  </w:style>
  <w:style w:type="paragraph" w:customStyle="1" w:styleId="Bullet12">
    <w:name w:val="Bullet+12"/>
    <w:basedOn w:val="Normal"/>
    <w:rsid w:val="0098280C"/>
    <w:pPr>
      <w:tabs>
        <w:tab w:val="num" w:pos="357"/>
      </w:tabs>
      <w:spacing w:before="0" w:after="0" w:line="240" w:lineRule="auto"/>
      <w:ind w:left="357" w:hanging="357"/>
    </w:pPr>
    <w:rPr>
      <w:rFonts w:ascii="Times New Roman" w:eastAsia="Times New Roman" w:hAnsi="Times New Roman" w:cs="Tahoma"/>
    </w:rPr>
  </w:style>
  <w:style w:type="paragraph" w:customStyle="1" w:styleId="Bullet6">
    <w:name w:val="Bullet+6"/>
    <w:basedOn w:val="Normal"/>
    <w:rsid w:val="0098280C"/>
    <w:pPr>
      <w:tabs>
        <w:tab w:val="num" w:pos="578"/>
      </w:tabs>
      <w:spacing w:before="0" w:after="0" w:line="240" w:lineRule="auto"/>
      <w:ind w:left="578" w:hanging="360"/>
    </w:pPr>
    <w:rPr>
      <w:rFonts w:ascii="Times New Roman" w:eastAsia="Times New Roman" w:hAnsi="Times New Roman" w:cs="Tahoma"/>
      <w:szCs w:val="24"/>
      <w:lang w:eastAsia="en-AU"/>
    </w:rPr>
  </w:style>
  <w:style w:type="table" w:styleId="TableClassic1">
    <w:name w:val="Table Classic 1"/>
    <w:basedOn w:val="TableNormal"/>
    <w:rsid w:val="0098280C"/>
    <w:pPr>
      <w:spacing w:after="240" w:line="312" w:lineRule="auto"/>
      <w:jc w:val="both"/>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EndnoteText">
    <w:name w:val="endnote text"/>
    <w:basedOn w:val="Normal"/>
    <w:link w:val="EndnoteTextChar"/>
    <w:rsid w:val="0098280C"/>
    <w:pPr>
      <w:spacing w:before="0"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98280C"/>
    <w:rPr>
      <w:rFonts w:ascii="Times New Roman" w:eastAsia="Times New Roman" w:hAnsi="Times New Roman" w:cs="Times New Roman"/>
      <w:sz w:val="20"/>
      <w:szCs w:val="20"/>
    </w:rPr>
  </w:style>
  <w:style w:type="paragraph" w:customStyle="1" w:styleId="Style1">
    <w:name w:val="Style1"/>
    <w:basedOn w:val="Normal"/>
    <w:rsid w:val="0098280C"/>
    <w:pPr>
      <w:tabs>
        <w:tab w:val="left" w:pos="720"/>
      </w:tabs>
      <w:spacing w:before="0" w:after="0" w:line="240" w:lineRule="auto"/>
    </w:pPr>
    <w:rPr>
      <w:rFonts w:ascii="Bookman Old Style" w:eastAsia="Times New Roman" w:hAnsi="Bookman Old Style" w:cs="Times New Roman"/>
      <w:sz w:val="20"/>
      <w:szCs w:val="20"/>
      <w:lang w:val="en-US"/>
    </w:rPr>
  </w:style>
  <w:style w:type="character" w:styleId="Emphasis">
    <w:name w:val="Emphasis"/>
    <w:basedOn w:val="DefaultParagraphFont"/>
    <w:uiPriority w:val="20"/>
    <w:rsid w:val="0098280C"/>
    <w:rPr>
      <w:b/>
      <w:bCs/>
      <w:i w:val="0"/>
      <w:iCs w:val="0"/>
    </w:rPr>
  </w:style>
  <w:style w:type="character" w:customStyle="1" w:styleId="st1">
    <w:name w:val="st1"/>
    <w:basedOn w:val="DefaultParagraphFont"/>
    <w:rsid w:val="0098280C"/>
  </w:style>
  <w:style w:type="table" w:customStyle="1" w:styleId="TableGrid2">
    <w:name w:val="Table Grid2"/>
    <w:basedOn w:val="TableNormal"/>
    <w:next w:val="TableGrid"/>
    <w:rsid w:val="0098280C"/>
    <w:pPr>
      <w:spacing w:before="40" w:after="40" w:line="240" w:lineRule="auto"/>
      <w:jc w:val="both"/>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w:hAnsi="Franklin Gothic"/>
        <w:b w:val="0"/>
        <w:sz w:val="20"/>
      </w:rPr>
    </w:tblStylePr>
  </w:style>
  <w:style w:type="paragraph" w:customStyle="1" w:styleId="desc">
    <w:name w:val="desc"/>
    <w:basedOn w:val="Normal"/>
    <w:rsid w:val="0098280C"/>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details">
    <w:name w:val="details"/>
    <w:basedOn w:val="Normal"/>
    <w:rsid w:val="0098280C"/>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jrnl">
    <w:name w:val="jrnl"/>
    <w:basedOn w:val="DefaultParagraphFont"/>
    <w:rsid w:val="0098280C"/>
  </w:style>
  <w:style w:type="character" w:customStyle="1" w:styleId="A5">
    <w:name w:val="A5"/>
    <w:uiPriority w:val="99"/>
    <w:rsid w:val="0098280C"/>
    <w:rPr>
      <w:rFonts w:cs="Humanist 77 7 BT"/>
      <w:color w:val="000000"/>
      <w:sz w:val="11"/>
      <w:szCs w:val="11"/>
    </w:rPr>
  </w:style>
  <w:style w:type="paragraph" w:styleId="TOCHeading">
    <w:name w:val="TOC Heading"/>
    <w:basedOn w:val="Heading1"/>
    <w:next w:val="Normal"/>
    <w:uiPriority w:val="39"/>
    <w:unhideWhenUsed/>
    <w:qFormat/>
    <w:rsid w:val="0098280C"/>
    <w:pPr>
      <w:numPr>
        <w:numId w:val="0"/>
      </w:numPr>
      <w:pBdr>
        <w:bottom w:val="none" w:sz="0" w:space="0" w:color="auto"/>
      </w:pBdr>
      <w:spacing w:before="480" w:after="0" w:line="276" w:lineRule="auto"/>
      <w:outlineLvl w:val="9"/>
    </w:pPr>
    <w:rPr>
      <w:rFonts w:asciiTheme="majorHAnsi" w:hAnsiTheme="majorHAnsi"/>
      <w:b/>
      <w:bCs/>
      <w:smallCaps/>
      <w:color w:val="2F5496" w:themeColor="accent1" w:themeShade="BF"/>
      <w:sz w:val="28"/>
      <w:szCs w:val="28"/>
    </w:rPr>
  </w:style>
  <w:style w:type="character" w:customStyle="1" w:styleId="highlight">
    <w:name w:val="highlight"/>
    <w:basedOn w:val="DefaultParagraphFont"/>
    <w:rsid w:val="0098280C"/>
  </w:style>
  <w:style w:type="paragraph" w:customStyle="1" w:styleId="ESSectionHeading-numbered0">
    <w:name w:val="ES. Section Heading - numbered"/>
    <w:basedOn w:val="Heading3"/>
    <w:link w:val="ESSectionHeading-numberedChar"/>
    <w:rsid w:val="0098280C"/>
    <w:pPr>
      <w:keepLines w:val="0"/>
      <w:numPr>
        <w:ilvl w:val="0"/>
        <w:numId w:val="16"/>
      </w:numPr>
      <w:spacing w:before="240" w:after="120"/>
    </w:pPr>
    <w:rPr>
      <w:rFonts w:ascii="Calibri" w:eastAsia="Times New Roman" w:hAnsi="Calibri" w:cs="Tahoma"/>
      <w:b/>
      <w:smallCaps/>
      <w:lang w:eastAsia="en-AU"/>
    </w:rPr>
  </w:style>
  <w:style w:type="paragraph" w:customStyle="1" w:styleId="MainBodySectionHeading-numbered">
    <w:name w:val="Main Body Section Heading - numbered"/>
    <w:basedOn w:val="Heading2"/>
    <w:link w:val="MainBodySectionHeading-numberedChar"/>
    <w:rsid w:val="0098280C"/>
    <w:pPr>
      <w:keepLines w:val="0"/>
      <w:numPr>
        <w:ilvl w:val="0"/>
        <w:numId w:val="14"/>
      </w:numPr>
      <w:spacing w:before="240" w:after="0"/>
      <w:ind w:left="567" w:hanging="567"/>
    </w:pPr>
    <w:rPr>
      <w:rFonts w:ascii="Calibri" w:eastAsia="Times New Roman" w:hAnsi="Calibri" w:cs="Tahoma"/>
      <w:b/>
      <w:smallCaps/>
      <w:sz w:val="28"/>
      <w:lang w:eastAsia="en-AU"/>
    </w:rPr>
  </w:style>
  <w:style w:type="character" w:customStyle="1" w:styleId="ESSectionHeading-numberedChar">
    <w:name w:val="ES. Section Heading - numbered Char"/>
    <w:basedOn w:val="Heading3Char"/>
    <w:link w:val="ESSectionHeading-numbered0"/>
    <w:rsid w:val="0098280C"/>
    <w:rPr>
      <w:rFonts w:ascii="Calibri" w:eastAsia="Times New Roman" w:hAnsi="Calibri" w:cs="Tahoma"/>
      <w:b/>
      <w:smallCaps/>
      <w:color w:val="000000" w:themeColor="text1"/>
      <w:sz w:val="24"/>
      <w:szCs w:val="24"/>
      <w:lang w:val="en-US" w:eastAsia="en-AU"/>
    </w:rPr>
  </w:style>
  <w:style w:type="character" w:customStyle="1" w:styleId="MainBodySectionHeading-numberedChar">
    <w:name w:val="Main Body Section Heading - numbered Char"/>
    <w:basedOn w:val="Heading2Char"/>
    <w:link w:val="MainBodySectionHeading-numbered"/>
    <w:rsid w:val="0098280C"/>
    <w:rPr>
      <w:rFonts w:ascii="Calibri" w:eastAsia="Times New Roman" w:hAnsi="Calibri" w:cs="Tahoma"/>
      <w:b/>
      <w:smallCaps/>
      <w:color w:val="000000" w:themeColor="text1"/>
      <w:sz w:val="28"/>
      <w:szCs w:val="26"/>
      <w:lang w:val="en-US" w:eastAsia="en-AU"/>
    </w:rPr>
  </w:style>
  <w:style w:type="numbering" w:customStyle="1" w:styleId="ESSectionheading-numbered">
    <w:name w:val="ES. Section heading - numbered"/>
    <w:uiPriority w:val="99"/>
    <w:rsid w:val="0098280C"/>
    <w:pPr>
      <w:numPr>
        <w:numId w:val="15"/>
      </w:numPr>
    </w:pPr>
  </w:style>
  <w:style w:type="paragraph" w:customStyle="1" w:styleId="ESNumberedSectionHeading">
    <w:name w:val="ES Numbered Section Heading"/>
    <w:basedOn w:val="ESSectionHeading-numbered0"/>
    <w:link w:val="ESNumberedSectionHeadingChar"/>
    <w:qFormat/>
    <w:rsid w:val="0098280C"/>
    <w:pPr>
      <w:numPr>
        <w:numId w:val="0"/>
      </w:numPr>
      <w:ind w:left="1134" w:hanging="1134"/>
    </w:pPr>
  </w:style>
  <w:style w:type="character" w:customStyle="1" w:styleId="ESNumberedSectionHeadingChar">
    <w:name w:val="ES Numbered Section Heading Char"/>
    <w:basedOn w:val="ESSectionHeading-numberedChar"/>
    <w:link w:val="ESNumberedSectionHeading"/>
    <w:rsid w:val="0098280C"/>
    <w:rPr>
      <w:rFonts w:ascii="Calibri" w:eastAsia="Times New Roman" w:hAnsi="Calibri" w:cs="Tahoma"/>
      <w:b/>
      <w:smallCaps/>
      <w:color w:val="000000" w:themeColor="text1"/>
      <w:sz w:val="24"/>
      <w:szCs w:val="24"/>
      <w:lang w:val="en-US" w:eastAsia="en-AU"/>
    </w:rPr>
  </w:style>
  <w:style w:type="paragraph" w:customStyle="1" w:styleId="TableNotes18">
    <w:name w:val="TableNotes+18"/>
    <w:basedOn w:val="TableText0"/>
    <w:uiPriority w:val="99"/>
    <w:rsid w:val="0098280C"/>
    <w:pPr>
      <w:keepLines/>
      <w:widowControl/>
      <w:spacing w:before="0" w:after="360"/>
      <w:ind w:left="720"/>
    </w:pPr>
    <w:rPr>
      <w:rFonts w:ascii="Arial Narrow" w:hAnsi="Arial Narrow"/>
      <w:sz w:val="18"/>
    </w:rPr>
  </w:style>
  <w:style w:type="paragraph" w:customStyle="1" w:styleId="TableNotes00">
    <w:name w:val="TableNotes+0"/>
    <w:basedOn w:val="TableNotes18"/>
    <w:uiPriority w:val="99"/>
    <w:rsid w:val="0098280C"/>
    <w:pPr>
      <w:keepNext/>
      <w:spacing w:after="0"/>
    </w:pPr>
  </w:style>
  <w:style w:type="paragraph" w:customStyle="1" w:styleId="TFAbbrevs0">
    <w:name w:val="TFAbbrevs+0"/>
    <w:basedOn w:val="Normal"/>
    <w:qFormat/>
    <w:rsid w:val="0098280C"/>
    <w:pPr>
      <w:keepNext/>
      <w:keepLines/>
      <w:spacing w:before="0" w:after="0" w:line="240" w:lineRule="auto"/>
    </w:pPr>
    <w:rPr>
      <w:rFonts w:ascii="Arial Narrow" w:eastAsia="Times New Roman" w:hAnsi="Arial Narrow" w:cs="Times New Roman"/>
      <w:color w:val="000000"/>
      <w:sz w:val="18"/>
      <w:szCs w:val="18"/>
      <w:lang w:eastAsia="en-AU"/>
    </w:rPr>
  </w:style>
  <w:style w:type="paragraph" w:customStyle="1" w:styleId="TFAbbrevs18">
    <w:name w:val="TFAbbrevs+18"/>
    <w:basedOn w:val="TFAbbrevs0"/>
    <w:next w:val="Normal"/>
    <w:qFormat/>
    <w:rsid w:val="0098280C"/>
    <w:pPr>
      <w:spacing w:after="360"/>
    </w:pPr>
  </w:style>
  <w:style w:type="paragraph" w:customStyle="1" w:styleId="Comment">
    <w:name w:val="Comment"/>
    <w:basedOn w:val="Normal"/>
    <w:link w:val="CommentChar"/>
    <w:rsid w:val="0098280C"/>
    <w:pPr>
      <w:tabs>
        <w:tab w:val="num" w:pos="720"/>
      </w:tabs>
      <w:spacing w:before="0" w:after="0" w:line="240" w:lineRule="auto"/>
    </w:pPr>
    <w:rPr>
      <w:rFonts w:ascii="Calibri" w:eastAsia="Times New Roman" w:hAnsi="Calibri" w:cs="Tahoma"/>
      <w:i/>
      <w:lang w:eastAsia="en-AU"/>
    </w:rPr>
  </w:style>
  <w:style w:type="character" w:customStyle="1" w:styleId="CommentChar">
    <w:name w:val="Comment Char"/>
    <w:basedOn w:val="DefaultParagraphFont"/>
    <w:link w:val="Comment"/>
    <w:rsid w:val="0098280C"/>
    <w:rPr>
      <w:rFonts w:ascii="Calibri" w:eastAsia="Times New Roman" w:hAnsi="Calibri" w:cs="Tahoma"/>
      <w:i/>
      <w:lang w:eastAsia="en-AU"/>
    </w:rPr>
  </w:style>
  <w:style w:type="paragraph" w:customStyle="1" w:styleId="hidden">
    <w:name w:val="hidden"/>
    <w:basedOn w:val="Normal"/>
    <w:qFormat/>
    <w:rsid w:val="0098280C"/>
    <w:pPr>
      <w:spacing w:before="0" w:after="0" w:line="240" w:lineRule="auto"/>
    </w:pPr>
    <w:rPr>
      <w:rFonts w:ascii="Calibri" w:eastAsia="Times New Roman" w:hAnsi="Calibri" w:cs="Tahoma"/>
      <w:lang w:eastAsia="en-AU"/>
    </w:rPr>
  </w:style>
  <w:style w:type="paragraph" w:customStyle="1" w:styleId="Guidelines">
    <w:name w:val="Guidelines"/>
    <w:basedOn w:val="Normal"/>
    <w:link w:val="GuidelinesChar"/>
    <w:qFormat/>
    <w:rsid w:val="0098280C"/>
    <w:pPr>
      <w:spacing w:before="0" w:after="0" w:line="240" w:lineRule="auto"/>
    </w:pPr>
    <w:rPr>
      <w:rFonts w:ascii="Calibri" w:eastAsia="Times New Roman" w:hAnsi="Calibri" w:cs="Tahoma"/>
      <w:vanish/>
      <w:color w:val="C00000"/>
      <w:lang w:eastAsia="en-AU"/>
    </w:rPr>
  </w:style>
  <w:style w:type="character" w:customStyle="1" w:styleId="GuidelinesChar">
    <w:name w:val="Guidelines Char"/>
    <w:basedOn w:val="DefaultParagraphFont"/>
    <w:link w:val="Guidelines"/>
    <w:rsid w:val="0098280C"/>
    <w:rPr>
      <w:rFonts w:ascii="Calibri" w:eastAsia="Times New Roman" w:hAnsi="Calibri" w:cs="Tahoma"/>
      <w:vanish/>
      <w:color w:val="C00000"/>
      <w:lang w:eastAsia="en-AU"/>
    </w:rPr>
  </w:style>
  <w:style w:type="paragraph" w:customStyle="1" w:styleId="BodyTextSTD">
    <w:name w:val="Body Text STD"/>
    <w:basedOn w:val="Normal"/>
    <w:link w:val="BodyTextSTDChar"/>
    <w:qFormat/>
    <w:rsid w:val="0098280C"/>
    <w:pPr>
      <w:spacing w:before="0" w:after="0" w:line="312" w:lineRule="auto"/>
    </w:pPr>
    <w:rPr>
      <w:rFonts w:ascii="Calibri" w:eastAsia="Times New Roman" w:hAnsi="Calibri" w:cs="Tahoma"/>
      <w:lang w:eastAsia="en-AU"/>
    </w:rPr>
  </w:style>
  <w:style w:type="character" w:customStyle="1" w:styleId="BodyTextSTDChar">
    <w:name w:val="Body Text STD Char"/>
    <w:basedOn w:val="DefaultParagraphFont"/>
    <w:link w:val="BodyTextSTD"/>
    <w:rsid w:val="0098280C"/>
    <w:rPr>
      <w:rFonts w:ascii="Calibri" w:eastAsia="Times New Roman" w:hAnsi="Calibri" w:cs="Tahoma"/>
      <w:lang w:eastAsia="en-AU"/>
    </w:rPr>
  </w:style>
  <w:style w:type="paragraph" w:customStyle="1" w:styleId="TableFigNotes0">
    <w:name w:val="TableFigNotes+0"/>
    <w:basedOn w:val="Normal"/>
    <w:uiPriority w:val="4"/>
    <w:qFormat/>
    <w:rsid w:val="0098280C"/>
    <w:pPr>
      <w:keepNext/>
      <w:keepLines/>
      <w:spacing w:before="0" w:after="0" w:line="240" w:lineRule="auto"/>
    </w:pPr>
    <w:rPr>
      <w:rFonts w:ascii="Calibri" w:eastAsia="Times New Roman" w:hAnsi="Calibri" w:cs="Tahoma"/>
      <w:color w:val="000000"/>
      <w:sz w:val="16"/>
      <w:szCs w:val="18"/>
      <w:lang w:val="en-US" w:eastAsia="en-AU"/>
    </w:rPr>
  </w:style>
  <w:style w:type="table" w:customStyle="1" w:styleId="OPTUMTableNormal1">
    <w:name w:val="OPTUM Table Normal1"/>
    <w:basedOn w:val="TableNormal"/>
    <w:rsid w:val="0098280C"/>
    <w:pPr>
      <w:spacing w:before="40" w:after="20" w:line="240" w:lineRule="auto"/>
      <w:jc w:val="both"/>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OPTUMTableNormal">
    <w:name w:val="OPTUM Table Normal"/>
    <w:basedOn w:val="TableNormal"/>
    <w:rsid w:val="0098280C"/>
    <w:pPr>
      <w:spacing w:before="40" w:after="20" w:line="240" w:lineRule="auto"/>
      <w:jc w:val="both"/>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Heading5underline">
    <w:name w:val="Heading 5 underline"/>
    <w:basedOn w:val="BodyTextSTD"/>
    <w:link w:val="Heading5underlineChar"/>
    <w:qFormat/>
    <w:rsid w:val="0098280C"/>
    <w:rPr>
      <w:u w:val="single"/>
    </w:rPr>
  </w:style>
  <w:style w:type="character" w:customStyle="1" w:styleId="Heading5underlineChar">
    <w:name w:val="Heading 5 underline Char"/>
    <w:basedOn w:val="BodyTextSTDChar"/>
    <w:link w:val="Heading5underline"/>
    <w:rsid w:val="0098280C"/>
    <w:rPr>
      <w:rFonts w:ascii="Calibri" w:eastAsia="Times New Roman" w:hAnsi="Calibri" w:cs="Tahoma"/>
      <w:u w:val="single"/>
      <w:lang w:eastAsia="en-AU"/>
    </w:rPr>
  </w:style>
  <w:style w:type="paragraph" w:customStyle="1" w:styleId="TableNotes2">
    <w:name w:val="Table Notes"/>
    <w:basedOn w:val="Normal"/>
    <w:next w:val="BodyText"/>
    <w:qFormat/>
    <w:rsid w:val="0098280C"/>
    <w:pPr>
      <w:keepNext/>
      <w:keepLines/>
      <w:spacing w:before="40" w:after="0" w:line="240" w:lineRule="auto"/>
    </w:pPr>
    <w:rPr>
      <w:rFonts w:ascii="Arial" w:eastAsia="Calibri" w:hAnsi="Arial" w:cs="Arial"/>
      <w:sz w:val="16"/>
      <w:szCs w:val="16"/>
    </w:rPr>
  </w:style>
  <w:style w:type="paragraph" w:customStyle="1" w:styleId="Tablenote">
    <w:name w:val="Table note"/>
    <w:basedOn w:val="Normal"/>
    <w:link w:val="TablenoteChar"/>
    <w:qFormat/>
    <w:rsid w:val="0098280C"/>
    <w:pPr>
      <w:spacing w:before="0" w:after="0" w:line="240" w:lineRule="auto"/>
      <w:contextualSpacing/>
    </w:pPr>
    <w:rPr>
      <w:rFonts w:asciiTheme="majorHAnsi" w:eastAsia="Batang" w:hAnsiTheme="majorHAnsi" w:cstheme="minorHAnsi"/>
      <w:sz w:val="16"/>
      <w:szCs w:val="16"/>
      <w:lang w:val="en-GB"/>
    </w:rPr>
  </w:style>
  <w:style w:type="character" w:customStyle="1" w:styleId="TablenoteChar">
    <w:name w:val="Table note Char"/>
    <w:basedOn w:val="DefaultParagraphFont"/>
    <w:link w:val="Tablenote"/>
    <w:rsid w:val="0098280C"/>
    <w:rPr>
      <w:rFonts w:asciiTheme="majorHAnsi" w:eastAsia="Batang" w:hAnsiTheme="majorHAnsi" w:cstheme="minorHAnsi"/>
      <w:sz w:val="16"/>
      <w:szCs w:val="16"/>
      <w:lang w:val="en-GB"/>
    </w:rPr>
  </w:style>
  <w:style w:type="paragraph" w:customStyle="1" w:styleId="TableH1">
    <w:name w:val="Table H1"/>
    <w:basedOn w:val="BodyText"/>
    <w:uiPriority w:val="4"/>
    <w:qFormat/>
    <w:rsid w:val="0098280C"/>
    <w:pPr>
      <w:keepNext/>
      <w:widowControl/>
      <w:tabs>
        <w:tab w:val="left" w:pos="416"/>
        <w:tab w:val="left" w:pos="582"/>
        <w:tab w:val="left" w:pos="1134"/>
      </w:tabs>
      <w:spacing w:before="0" w:after="240"/>
    </w:pPr>
    <w:rPr>
      <w:rFonts w:ascii="Calibri" w:hAnsi="Calibri"/>
      <w:b/>
      <w:bCs/>
      <w:sz w:val="20"/>
      <w:lang w:val="en-US"/>
    </w:rPr>
  </w:style>
  <w:style w:type="paragraph" w:customStyle="1" w:styleId="Tablename0">
    <w:name w:val="Table name"/>
    <w:basedOn w:val="Normal"/>
    <w:uiPriority w:val="4"/>
    <w:qFormat/>
    <w:rsid w:val="0098280C"/>
    <w:pPr>
      <w:keepNext/>
      <w:tabs>
        <w:tab w:val="left" w:pos="1418"/>
      </w:tabs>
      <w:spacing w:after="120" w:line="240" w:lineRule="auto"/>
      <w:ind w:left="1418" w:hanging="1418"/>
    </w:pPr>
    <w:rPr>
      <w:rFonts w:ascii="Calibri" w:eastAsia="Times New Roman" w:hAnsi="Calibri" w:cs="Times New Roman"/>
      <w:b/>
      <w:bCs/>
      <w:szCs w:val="20"/>
    </w:rPr>
  </w:style>
  <w:style w:type="paragraph" w:customStyle="1" w:styleId="TFfootnote">
    <w:name w:val="T&amp;F footnote"/>
    <w:basedOn w:val="Tabletext"/>
    <w:next w:val="BodyText"/>
    <w:uiPriority w:val="4"/>
    <w:rsid w:val="0098280C"/>
    <w:pPr>
      <w:tabs>
        <w:tab w:val="left" w:pos="416"/>
        <w:tab w:val="left" w:pos="582"/>
      </w:tabs>
      <w:spacing w:before="0" w:after="0"/>
      <w:contextualSpacing w:val="0"/>
      <w:jc w:val="both"/>
    </w:pPr>
    <w:rPr>
      <w:rFonts w:ascii="Calibri" w:eastAsia="Times New Roman" w:hAnsi="Calibri" w:cs="Times New Roman"/>
      <w:bCs/>
      <w:sz w:val="16"/>
      <w:lang w:val="en-GB" w:eastAsia="en-GB"/>
    </w:rPr>
  </w:style>
  <w:style w:type="table" w:customStyle="1" w:styleId="TableGridLight1">
    <w:name w:val="Table Grid Light1"/>
    <w:basedOn w:val="TableNormal"/>
    <w:uiPriority w:val="40"/>
    <w:rsid w:val="0098280C"/>
    <w:pPr>
      <w:spacing w:after="0" w:line="240" w:lineRule="auto"/>
      <w:jc w:val="both"/>
    </w:pPr>
    <w:rPr>
      <w:rFonts w:ascii="Times New Roman" w:eastAsia="Times New Roman" w:hAnsi="Times New Roman"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98280C"/>
    <w:pPr>
      <w:spacing w:after="0" w:line="240" w:lineRule="auto"/>
      <w:jc w:val="both"/>
    </w:pPr>
    <w:rPr>
      <w:rFonts w:ascii="Times New Roman" w:eastAsia="Times New Roman" w:hAnsi="Times New Roman"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98280C"/>
    <w:pPr>
      <w:spacing w:after="0" w:line="240" w:lineRule="auto"/>
      <w:jc w:val="both"/>
    </w:pPr>
    <w:rPr>
      <w:rFonts w:ascii="Times New Roman" w:eastAsia="Times New Roman" w:hAnsi="Times New Roman"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1">
    <w:name w:val="Grid Table 1 Light1"/>
    <w:basedOn w:val="TableClassic1"/>
    <w:uiPriority w:val="46"/>
    <w:rsid w:val="0098280C"/>
    <w:rPr>
      <w:rFonts w:ascii="Arial Narrow" w:hAnsi="Arial Narro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cPr>
      <w:shd w:val="clear" w:color="auto" w:fill="auto"/>
    </w:tcPr>
    <w:tblStylePr w:type="firstRow">
      <w:rPr>
        <w:b/>
        <w:bCs/>
        <w:i/>
        <w:iCs/>
      </w:rPr>
      <w:tblPr/>
      <w:tcPr>
        <w:tcBorders>
          <w:bottom w:val="single" w:sz="12" w:space="0" w:color="666666" w:themeColor="text1" w:themeTint="99"/>
          <w:tl2br w:val="none" w:sz="0" w:space="0" w:color="auto"/>
          <w:tr2bl w:val="none" w:sz="0" w:space="0" w:color="auto"/>
        </w:tcBorders>
      </w:tcPr>
    </w:tblStylePr>
    <w:tblStylePr w:type="lastRow">
      <w:rPr>
        <w:b/>
        <w:bCs/>
        <w:color w:val="auto"/>
      </w:rPr>
      <w:tblPr/>
      <w:tcPr>
        <w:tcBorders>
          <w:top w:val="double" w:sz="2" w:space="0" w:color="666666" w:themeColor="text1" w:themeTint="99"/>
          <w:tl2br w:val="none" w:sz="0" w:space="0" w:color="auto"/>
          <w:tr2bl w:val="none" w:sz="0" w:space="0" w:color="auto"/>
        </w:tcBorders>
      </w:tcPr>
    </w:tblStylePr>
    <w:tblStylePr w:type="firstCol">
      <w:rPr>
        <w:b/>
        <w:bCs/>
      </w:rPr>
      <w:tblPr/>
      <w:tcPr>
        <w:tcBorders>
          <w:right w:val="single" w:sz="6" w:space="0" w:color="000000"/>
          <w:tl2br w:val="none" w:sz="0" w:space="0" w:color="auto"/>
          <w:tr2bl w:val="none" w:sz="0" w:space="0" w:color="auto"/>
        </w:tcBorders>
      </w:tcPr>
    </w:tblStylePr>
    <w:tblStylePr w:type="lastCol">
      <w:rPr>
        <w:b/>
        <w:bCs/>
      </w:r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lainTable31">
    <w:name w:val="Plain Table 31"/>
    <w:basedOn w:val="TableNormal"/>
    <w:uiPriority w:val="43"/>
    <w:rsid w:val="0098280C"/>
    <w:pPr>
      <w:spacing w:after="0" w:line="240" w:lineRule="auto"/>
      <w:jc w:val="both"/>
    </w:pPr>
    <w:rPr>
      <w:rFonts w:ascii="Times New Roman" w:eastAsia="Times New Roman" w:hAnsi="Times New Roman" w:cs="Times New Roman"/>
      <w:sz w:val="20"/>
      <w:szCs w:val="20"/>
      <w:lang w:eastAsia="en-A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98280C"/>
    <w:pPr>
      <w:spacing w:after="0" w:line="240" w:lineRule="auto"/>
      <w:jc w:val="both"/>
    </w:pPr>
    <w:rPr>
      <w:rFonts w:ascii="Times New Roman" w:eastAsia="Times New Roman" w:hAnsi="Times New Roman" w:cs="Times New Roman"/>
      <w:sz w:val="20"/>
      <w:szCs w:val="20"/>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11">
    <w:name w:val="Grid Table 1 Light - Accent 11"/>
    <w:basedOn w:val="TableNormal"/>
    <w:uiPriority w:val="46"/>
    <w:rsid w:val="0098280C"/>
    <w:pPr>
      <w:spacing w:after="0" w:line="240" w:lineRule="auto"/>
      <w:jc w:val="both"/>
    </w:pPr>
    <w:rPr>
      <w:rFonts w:ascii="Times New Roman" w:eastAsia="Times New Roman" w:hAnsi="Times New Roman" w:cs="Times New Roman"/>
      <w:sz w:val="20"/>
      <w:szCs w:val="20"/>
      <w:lang w:eastAsia="en-AU"/>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ListTable6Colorful1">
    <w:name w:val="List Table 6 Colorful1"/>
    <w:basedOn w:val="TableNormal"/>
    <w:uiPriority w:val="51"/>
    <w:rsid w:val="0098280C"/>
    <w:pPr>
      <w:spacing w:after="0" w:line="240" w:lineRule="auto"/>
      <w:jc w:val="both"/>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1">
    <w:name w:val="List Table 1 Light1"/>
    <w:basedOn w:val="TableNormal"/>
    <w:uiPriority w:val="46"/>
    <w:rsid w:val="0098280C"/>
    <w:pPr>
      <w:spacing w:after="0" w:line="240" w:lineRule="auto"/>
      <w:jc w:val="both"/>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1">
    <w:name w:val="List Table 7 Colorful1"/>
    <w:basedOn w:val="TableNormal"/>
    <w:uiPriority w:val="52"/>
    <w:rsid w:val="0098280C"/>
    <w:pPr>
      <w:spacing w:after="0" w:line="240" w:lineRule="auto"/>
      <w:jc w:val="both"/>
    </w:pPr>
    <w:rPr>
      <w:rFonts w:ascii="Times New Roman" w:eastAsia="Times New Roman" w:hAnsi="Times New Roman" w:cs="Times New Roman"/>
      <w:color w:val="000000" w:themeColor="text1"/>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21">
    <w:name w:val="List Table 21"/>
    <w:basedOn w:val="TableNormal"/>
    <w:uiPriority w:val="47"/>
    <w:rsid w:val="0098280C"/>
    <w:pPr>
      <w:spacing w:after="0" w:line="240" w:lineRule="auto"/>
      <w:jc w:val="both"/>
    </w:pPr>
    <w:rPr>
      <w:rFonts w:ascii="Times New Roman" w:eastAsia="Times New Roman" w:hAnsi="Times New Roman" w:cs="Times New Roman"/>
      <w:sz w:val="20"/>
      <w:szCs w:val="20"/>
      <w:lang w:eastAsia="en-AU"/>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1">
    <w:name w:val="List Table 31"/>
    <w:basedOn w:val="TableNormal"/>
    <w:uiPriority w:val="48"/>
    <w:rsid w:val="0098280C"/>
    <w:pPr>
      <w:spacing w:after="0" w:line="240" w:lineRule="auto"/>
      <w:jc w:val="both"/>
    </w:pPr>
    <w:rPr>
      <w:rFonts w:ascii="Times New Roman" w:eastAsia="Times New Roman" w:hAnsi="Times New Roman" w:cs="Times New Roman"/>
      <w:sz w:val="20"/>
      <w:szCs w:val="20"/>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41">
    <w:name w:val="List Table 41"/>
    <w:basedOn w:val="TableNormal"/>
    <w:uiPriority w:val="49"/>
    <w:rsid w:val="0098280C"/>
    <w:pPr>
      <w:spacing w:after="0" w:line="240" w:lineRule="auto"/>
      <w:jc w:val="both"/>
    </w:pPr>
    <w:rPr>
      <w:rFonts w:ascii="Times New Roman" w:eastAsia="Times New Roman" w:hAnsi="Times New Roman"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1">
    <w:name w:val="Grid Table 6 Colorful1"/>
    <w:basedOn w:val="TableNormal"/>
    <w:uiPriority w:val="51"/>
    <w:rsid w:val="0098280C"/>
    <w:pPr>
      <w:spacing w:after="0" w:line="240" w:lineRule="auto"/>
      <w:jc w:val="both"/>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Paragraph">
    <w:name w:val="Table Paragraph"/>
    <w:basedOn w:val="Normal"/>
    <w:uiPriority w:val="1"/>
    <w:qFormat/>
    <w:rsid w:val="0098280C"/>
    <w:pPr>
      <w:widowControl w:val="0"/>
      <w:spacing w:before="0" w:after="0" w:line="240" w:lineRule="auto"/>
    </w:pPr>
    <w:rPr>
      <w:rFonts w:asciiTheme="minorHAnsi" w:hAnsiTheme="minorHAnsi"/>
      <w:lang w:val="en-US"/>
    </w:rPr>
  </w:style>
  <w:style w:type="table" w:customStyle="1" w:styleId="Summarybox1">
    <w:name w:val="Summary box1"/>
    <w:basedOn w:val="TableNormal"/>
    <w:next w:val="TableGrid"/>
    <w:rsid w:val="0098280C"/>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footnoteChar">
    <w:name w:val="Table footnote Char"/>
    <w:basedOn w:val="DefaultParagraphFont"/>
    <w:link w:val="Tablefootnote"/>
    <w:locked/>
    <w:rsid w:val="0098280C"/>
    <w:rPr>
      <w:rFonts w:ascii="Arial Narrow" w:hAnsi="Arial Narrow" w:cs="Arial Narrow"/>
      <w:noProof/>
      <w:sz w:val="16"/>
      <w:szCs w:val="16"/>
      <w:lang w:val="en-GB"/>
    </w:rPr>
  </w:style>
  <w:style w:type="paragraph" w:customStyle="1" w:styleId="Tablefootnote">
    <w:name w:val="Table footnote"/>
    <w:basedOn w:val="Normal"/>
    <w:link w:val="TablefootnoteChar"/>
    <w:qFormat/>
    <w:rsid w:val="0098280C"/>
    <w:pPr>
      <w:keepNext/>
      <w:keepLines/>
      <w:spacing w:before="0" w:after="360" w:line="240" w:lineRule="auto"/>
      <w:contextualSpacing/>
    </w:pPr>
    <w:rPr>
      <w:rFonts w:ascii="Arial Narrow" w:hAnsi="Arial Narrow" w:cs="Arial Narrow"/>
      <w:noProof/>
      <w:sz w:val="16"/>
      <w:szCs w:val="16"/>
      <w:lang w:val="en-GB"/>
    </w:rPr>
  </w:style>
  <w:style w:type="paragraph" w:customStyle="1" w:styleId="Synopsis">
    <w:name w:val="Synopsis"/>
    <w:basedOn w:val="Normal"/>
    <w:rsid w:val="0098280C"/>
    <w:pPr>
      <w:spacing w:after="240" w:line="240" w:lineRule="auto"/>
    </w:pPr>
    <w:rPr>
      <w:rFonts w:ascii="Arial" w:eastAsia="Times New Roman" w:hAnsi="Arial" w:cs="Times New Roman"/>
      <w:sz w:val="20"/>
      <w:szCs w:val="20"/>
      <w:lang w:val="en-US"/>
    </w:rPr>
  </w:style>
  <w:style w:type="paragraph" w:styleId="NoSpacing">
    <w:name w:val="No Spacing"/>
    <w:uiPriority w:val="1"/>
    <w:qFormat/>
    <w:rsid w:val="0098280C"/>
    <w:pPr>
      <w:spacing w:after="0" w:line="240" w:lineRule="auto"/>
      <w:jc w:val="both"/>
    </w:pPr>
    <w:rPr>
      <w:lang w:val="en-US"/>
    </w:rPr>
  </w:style>
  <w:style w:type="paragraph" w:customStyle="1" w:styleId="Tablecontents">
    <w:name w:val="Table contents"/>
    <w:basedOn w:val="Normal"/>
    <w:link w:val="TablecontentsChar"/>
    <w:qFormat/>
    <w:rsid w:val="0098280C"/>
    <w:pPr>
      <w:spacing w:before="60" w:after="60" w:line="240" w:lineRule="auto"/>
      <w:contextualSpacing/>
    </w:pPr>
    <w:rPr>
      <w:rFonts w:ascii="Arial Narrow" w:eastAsia="Calibri" w:hAnsi="Arial Narrow" w:cs="Times New Roman"/>
      <w:sz w:val="20"/>
      <w:szCs w:val="20"/>
    </w:rPr>
  </w:style>
  <w:style w:type="character" w:customStyle="1" w:styleId="TablecontentsChar">
    <w:name w:val="Table contents Char"/>
    <w:basedOn w:val="DefaultParagraphFont"/>
    <w:link w:val="Tablecontents"/>
    <w:rsid w:val="0098280C"/>
    <w:rPr>
      <w:rFonts w:ascii="Arial Narrow" w:eastAsia="Calibri" w:hAnsi="Arial Narrow" w:cs="Times New Roman"/>
      <w:sz w:val="20"/>
      <w:szCs w:val="20"/>
    </w:rPr>
  </w:style>
  <w:style w:type="paragraph" w:customStyle="1" w:styleId="EndNoteBibliographyTitle">
    <w:name w:val="EndNote Bibliography Title"/>
    <w:basedOn w:val="Normal"/>
    <w:link w:val="EndNoteBibliographyTitleChar"/>
    <w:rsid w:val="0098280C"/>
    <w:pPr>
      <w:spacing w:before="0" w:after="0" w:line="240" w:lineRule="auto"/>
      <w:jc w:val="center"/>
    </w:pPr>
    <w:rPr>
      <w:rFonts w:eastAsia="Times New Roman" w:cs="Tahoma"/>
      <w:noProof/>
      <w:lang w:eastAsia="en-AU"/>
    </w:rPr>
  </w:style>
  <w:style w:type="character" w:customStyle="1" w:styleId="EndNoteBibliographyTitleChar">
    <w:name w:val="EndNote Bibliography Title Char"/>
    <w:basedOn w:val="BodyTextSTDChar"/>
    <w:link w:val="EndNoteBibliographyTitle"/>
    <w:rsid w:val="0098280C"/>
    <w:rPr>
      <w:rFonts w:ascii="Franklin Gothic Book" w:eastAsia="Times New Roman" w:hAnsi="Franklin Gothic Book" w:cs="Tahoma"/>
      <w:noProof/>
      <w:lang w:eastAsia="en-AU"/>
    </w:rPr>
  </w:style>
  <w:style w:type="paragraph" w:customStyle="1" w:styleId="EndNoteBibliography">
    <w:name w:val="EndNote Bibliography"/>
    <w:basedOn w:val="Normal"/>
    <w:link w:val="EndNoteBibliographyChar"/>
    <w:rsid w:val="0098280C"/>
    <w:pPr>
      <w:spacing w:before="0" w:after="0" w:line="240" w:lineRule="auto"/>
    </w:pPr>
    <w:rPr>
      <w:rFonts w:eastAsia="Times New Roman" w:cs="Tahoma"/>
      <w:noProof/>
      <w:lang w:eastAsia="en-AU"/>
    </w:rPr>
  </w:style>
  <w:style w:type="character" w:customStyle="1" w:styleId="EndNoteBibliographyChar">
    <w:name w:val="EndNote Bibliography Char"/>
    <w:basedOn w:val="BodyTextSTDChar"/>
    <w:link w:val="EndNoteBibliography"/>
    <w:rsid w:val="0098280C"/>
    <w:rPr>
      <w:rFonts w:ascii="Franklin Gothic Book" w:eastAsia="Times New Roman" w:hAnsi="Franklin Gothic Book" w:cs="Tahoma"/>
      <w:noProof/>
      <w:lang w:eastAsia="en-AU"/>
    </w:rPr>
  </w:style>
  <w:style w:type="table" w:customStyle="1" w:styleId="TableGrid110">
    <w:name w:val="Table Grid110"/>
    <w:basedOn w:val="TableNormal"/>
    <w:rsid w:val="0098280C"/>
    <w:pPr>
      <w:widowControl w:val="0"/>
      <w:spacing w:after="0" w:line="260" w:lineRule="atLeast"/>
    </w:pPr>
    <w:rPr>
      <w:rFonts w:ascii="Arial Narrow" w:eastAsia="Calibri" w:hAnsi="Arial Narrow" w:cs="Times New Roman"/>
      <w:sz w:val="20"/>
      <w:szCs w:val="20"/>
      <w:lang w:val="de-CH"/>
    </w:rPr>
    <w:tblPr>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sz w:val="20"/>
      </w:rPr>
      <w:tblPr/>
      <w:tcPr>
        <w:shd w:val="clear" w:color="auto" w:fill="D9D9D9"/>
      </w:tcPr>
    </w:tblStylePr>
    <w:tblStylePr w:type="lastRow">
      <w:rPr>
        <w:sz w:val="20"/>
      </w:rPr>
    </w:tblStylePr>
    <w:tblStylePr w:type="band1Vert">
      <w:rPr>
        <w:rFonts w:ascii="Franklin Gothic" w:hAnsi="Franklin Gothic"/>
        <w:sz w:val="20"/>
      </w:rPr>
    </w:tblStylePr>
    <w:tblStylePr w:type="band2Vert">
      <w:rPr>
        <w:rFonts w:ascii="Franklin Gothic" w:hAnsi="Franklin Gothic"/>
        <w:sz w:val="20"/>
      </w:rPr>
    </w:tblStylePr>
  </w:style>
  <w:style w:type="paragraph" w:customStyle="1" w:styleId="Footnotes">
    <w:name w:val="Footnotes"/>
    <w:basedOn w:val="Normal"/>
    <w:link w:val="FootnotesChar"/>
    <w:qFormat/>
    <w:rsid w:val="004E09FF"/>
    <w:pPr>
      <w:spacing w:before="0" w:after="120" w:line="240" w:lineRule="auto"/>
      <w:jc w:val="left"/>
    </w:pPr>
    <w:rPr>
      <w:rFonts w:ascii="Arial Narrow" w:hAnsi="Arial Narrow"/>
      <w:sz w:val="16"/>
      <w:szCs w:val="16"/>
    </w:rPr>
  </w:style>
  <w:style w:type="character" w:customStyle="1" w:styleId="FootnotesChar">
    <w:name w:val="Footnotes Char"/>
    <w:basedOn w:val="DefaultParagraphFont"/>
    <w:link w:val="Footnotes"/>
    <w:rsid w:val="004E09FF"/>
    <w:rPr>
      <w:rFonts w:ascii="Arial Narrow" w:hAnsi="Arial Narrow"/>
      <w:sz w:val="16"/>
      <w:szCs w:val="16"/>
    </w:rPr>
  </w:style>
  <w:style w:type="paragraph" w:customStyle="1" w:styleId="BoxBullet">
    <w:name w:val="BoxBullet"/>
    <w:basedOn w:val="Normal"/>
    <w:rsid w:val="00DA4994"/>
    <w:pPr>
      <w:numPr>
        <w:numId w:val="17"/>
      </w:numPr>
      <w:pBdr>
        <w:top w:val="single" w:sz="4" w:space="4" w:color="000000"/>
        <w:left w:val="single" w:sz="4" w:space="4" w:color="000000"/>
        <w:bottom w:val="single" w:sz="4" w:space="4" w:color="000000"/>
        <w:right w:val="single" w:sz="4" w:space="4" w:color="000000"/>
      </w:pBdr>
      <w:spacing w:before="0" w:after="120" w:line="240" w:lineRule="auto"/>
      <w:jc w:val="left"/>
    </w:pPr>
    <w:rPr>
      <w:rFonts w:eastAsia="Times New Roman" w:cs="Times New Roman"/>
      <w:color w:val="000000"/>
      <w:szCs w:val="20"/>
      <w:lang w:eastAsia="en-AU"/>
    </w:rPr>
  </w:style>
  <w:style w:type="paragraph" w:customStyle="1" w:styleId="BulletBeforeDash">
    <w:name w:val="BulletBeforeDash"/>
    <w:basedOn w:val="Normal"/>
    <w:rsid w:val="00DA4994"/>
    <w:pPr>
      <w:numPr>
        <w:numId w:val="18"/>
      </w:numPr>
      <w:spacing w:before="0" w:after="0" w:line="240" w:lineRule="auto"/>
      <w:ind w:left="0" w:firstLine="0"/>
      <w:jc w:val="left"/>
    </w:pPr>
    <w:rPr>
      <w:rFonts w:eastAsia="Times New Roman" w:cs="Times New Roman"/>
      <w:color w:val="000000"/>
      <w:szCs w:val="20"/>
      <w:lang w:eastAsia="en-AU"/>
    </w:rPr>
  </w:style>
  <w:style w:type="paragraph" w:customStyle="1" w:styleId="BulletLast">
    <w:name w:val="BulletLast"/>
    <w:basedOn w:val="Bullet"/>
    <w:qFormat/>
    <w:rsid w:val="00DA4994"/>
    <w:pPr>
      <w:numPr>
        <w:numId w:val="0"/>
      </w:numPr>
      <w:spacing w:after="240"/>
      <w:ind w:left="788" w:hanging="788"/>
      <w:jc w:val="left"/>
    </w:pPr>
    <w:rPr>
      <w:rFonts w:ascii="Franklin Gothic Book" w:hAnsi="Franklin Gothic Book" w:cs="Times New Roman"/>
      <w:color w:val="000000"/>
      <w:szCs w:val="20"/>
    </w:rPr>
  </w:style>
  <w:style w:type="paragraph" w:customStyle="1" w:styleId="NormalBeforeBullet">
    <w:name w:val="NormalBeforeBullet"/>
    <w:basedOn w:val="Normal"/>
    <w:qFormat/>
    <w:rsid w:val="00DA4994"/>
    <w:pPr>
      <w:keepNext/>
      <w:spacing w:before="0" w:after="120" w:line="240" w:lineRule="auto"/>
      <w:jc w:val="left"/>
    </w:pPr>
    <w:rPr>
      <w:rFonts w:eastAsia="Times New Roman" w:cs="Times New Roman"/>
      <w:color w:val="000000"/>
      <w:szCs w:val="20"/>
      <w:lang w:eastAsia="en-AU"/>
    </w:rPr>
  </w:style>
  <w:style w:type="character" w:customStyle="1" w:styleId="normaltextrun">
    <w:name w:val="normaltextrun"/>
    <w:basedOn w:val="DefaultParagraphFont"/>
    <w:rsid w:val="0056395F"/>
  </w:style>
  <w:style w:type="character" w:customStyle="1" w:styleId="eop">
    <w:name w:val="eop"/>
    <w:basedOn w:val="DefaultParagraphFont"/>
    <w:rsid w:val="00563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94519">
      <w:bodyDiv w:val="1"/>
      <w:marLeft w:val="0"/>
      <w:marRight w:val="0"/>
      <w:marTop w:val="0"/>
      <w:marBottom w:val="0"/>
      <w:divBdr>
        <w:top w:val="none" w:sz="0" w:space="0" w:color="auto"/>
        <w:left w:val="none" w:sz="0" w:space="0" w:color="auto"/>
        <w:bottom w:val="none" w:sz="0" w:space="0" w:color="auto"/>
        <w:right w:val="none" w:sz="0" w:space="0" w:color="auto"/>
      </w:divBdr>
    </w:div>
    <w:div w:id="284850134">
      <w:bodyDiv w:val="1"/>
      <w:marLeft w:val="0"/>
      <w:marRight w:val="0"/>
      <w:marTop w:val="0"/>
      <w:marBottom w:val="0"/>
      <w:divBdr>
        <w:top w:val="none" w:sz="0" w:space="0" w:color="auto"/>
        <w:left w:val="none" w:sz="0" w:space="0" w:color="auto"/>
        <w:bottom w:val="none" w:sz="0" w:space="0" w:color="auto"/>
        <w:right w:val="none" w:sz="0" w:space="0" w:color="auto"/>
      </w:divBdr>
      <w:divsChild>
        <w:div w:id="637298680">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290749218">
      <w:bodyDiv w:val="1"/>
      <w:marLeft w:val="0"/>
      <w:marRight w:val="0"/>
      <w:marTop w:val="0"/>
      <w:marBottom w:val="0"/>
      <w:divBdr>
        <w:top w:val="none" w:sz="0" w:space="0" w:color="auto"/>
        <w:left w:val="none" w:sz="0" w:space="0" w:color="auto"/>
        <w:bottom w:val="none" w:sz="0" w:space="0" w:color="auto"/>
        <w:right w:val="none" w:sz="0" w:space="0" w:color="auto"/>
      </w:divBdr>
    </w:div>
    <w:div w:id="435254756">
      <w:bodyDiv w:val="1"/>
      <w:marLeft w:val="0"/>
      <w:marRight w:val="0"/>
      <w:marTop w:val="0"/>
      <w:marBottom w:val="0"/>
      <w:divBdr>
        <w:top w:val="none" w:sz="0" w:space="0" w:color="auto"/>
        <w:left w:val="none" w:sz="0" w:space="0" w:color="auto"/>
        <w:bottom w:val="none" w:sz="0" w:space="0" w:color="auto"/>
        <w:right w:val="none" w:sz="0" w:space="0" w:color="auto"/>
      </w:divBdr>
    </w:div>
    <w:div w:id="615797717">
      <w:bodyDiv w:val="1"/>
      <w:marLeft w:val="0"/>
      <w:marRight w:val="0"/>
      <w:marTop w:val="0"/>
      <w:marBottom w:val="0"/>
      <w:divBdr>
        <w:top w:val="none" w:sz="0" w:space="0" w:color="auto"/>
        <w:left w:val="none" w:sz="0" w:space="0" w:color="auto"/>
        <w:bottom w:val="none" w:sz="0" w:space="0" w:color="auto"/>
        <w:right w:val="none" w:sz="0" w:space="0" w:color="auto"/>
      </w:divBdr>
    </w:div>
    <w:div w:id="744495941">
      <w:bodyDiv w:val="1"/>
      <w:marLeft w:val="0"/>
      <w:marRight w:val="0"/>
      <w:marTop w:val="0"/>
      <w:marBottom w:val="0"/>
      <w:divBdr>
        <w:top w:val="none" w:sz="0" w:space="0" w:color="auto"/>
        <w:left w:val="none" w:sz="0" w:space="0" w:color="auto"/>
        <w:bottom w:val="none" w:sz="0" w:space="0" w:color="auto"/>
        <w:right w:val="none" w:sz="0" w:space="0" w:color="auto"/>
      </w:divBdr>
    </w:div>
    <w:div w:id="808128598">
      <w:bodyDiv w:val="1"/>
      <w:marLeft w:val="0"/>
      <w:marRight w:val="0"/>
      <w:marTop w:val="0"/>
      <w:marBottom w:val="0"/>
      <w:divBdr>
        <w:top w:val="none" w:sz="0" w:space="0" w:color="auto"/>
        <w:left w:val="none" w:sz="0" w:space="0" w:color="auto"/>
        <w:bottom w:val="none" w:sz="0" w:space="0" w:color="auto"/>
        <w:right w:val="none" w:sz="0" w:space="0" w:color="auto"/>
      </w:divBdr>
    </w:div>
    <w:div w:id="878517465">
      <w:bodyDiv w:val="1"/>
      <w:marLeft w:val="0"/>
      <w:marRight w:val="0"/>
      <w:marTop w:val="0"/>
      <w:marBottom w:val="0"/>
      <w:divBdr>
        <w:top w:val="none" w:sz="0" w:space="0" w:color="auto"/>
        <w:left w:val="none" w:sz="0" w:space="0" w:color="auto"/>
        <w:bottom w:val="none" w:sz="0" w:space="0" w:color="auto"/>
        <w:right w:val="none" w:sz="0" w:space="0" w:color="auto"/>
      </w:divBdr>
    </w:div>
    <w:div w:id="1128277028">
      <w:bodyDiv w:val="1"/>
      <w:marLeft w:val="0"/>
      <w:marRight w:val="0"/>
      <w:marTop w:val="0"/>
      <w:marBottom w:val="0"/>
      <w:divBdr>
        <w:top w:val="none" w:sz="0" w:space="0" w:color="auto"/>
        <w:left w:val="none" w:sz="0" w:space="0" w:color="auto"/>
        <w:bottom w:val="none" w:sz="0" w:space="0" w:color="auto"/>
        <w:right w:val="none" w:sz="0" w:space="0" w:color="auto"/>
      </w:divBdr>
    </w:div>
    <w:div w:id="1233585031">
      <w:bodyDiv w:val="1"/>
      <w:marLeft w:val="0"/>
      <w:marRight w:val="0"/>
      <w:marTop w:val="0"/>
      <w:marBottom w:val="0"/>
      <w:divBdr>
        <w:top w:val="none" w:sz="0" w:space="0" w:color="auto"/>
        <w:left w:val="none" w:sz="0" w:space="0" w:color="auto"/>
        <w:bottom w:val="none" w:sz="0" w:space="0" w:color="auto"/>
        <w:right w:val="none" w:sz="0" w:space="0" w:color="auto"/>
      </w:divBdr>
    </w:div>
    <w:div w:id="1284582116">
      <w:bodyDiv w:val="1"/>
      <w:marLeft w:val="0"/>
      <w:marRight w:val="0"/>
      <w:marTop w:val="0"/>
      <w:marBottom w:val="0"/>
      <w:divBdr>
        <w:top w:val="none" w:sz="0" w:space="0" w:color="auto"/>
        <w:left w:val="none" w:sz="0" w:space="0" w:color="auto"/>
        <w:bottom w:val="none" w:sz="0" w:space="0" w:color="auto"/>
        <w:right w:val="none" w:sz="0" w:space="0" w:color="auto"/>
      </w:divBdr>
    </w:div>
    <w:div w:id="1376389997">
      <w:bodyDiv w:val="1"/>
      <w:marLeft w:val="0"/>
      <w:marRight w:val="0"/>
      <w:marTop w:val="0"/>
      <w:marBottom w:val="0"/>
      <w:divBdr>
        <w:top w:val="none" w:sz="0" w:space="0" w:color="auto"/>
        <w:left w:val="none" w:sz="0" w:space="0" w:color="auto"/>
        <w:bottom w:val="none" w:sz="0" w:space="0" w:color="auto"/>
        <w:right w:val="none" w:sz="0" w:space="0" w:color="auto"/>
      </w:divBdr>
    </w:div>
    <w:div w:id="1392268659">
      <w:bodyDiv w:val="1"/>
      <w:marLeft w:val="0"/>
      <w:marRight w:val="0"/>
      <w:marTop w:val="0"/>
      <w:marBottom w:val="0"/>
      <w:divBdr>
        <w:top w:val="none" w:sz="0" w:space="0" w:color="auto"/>
        <w:left w:val="none" w:sz="0" w:space="0" w:color="auto"/>
        <w:bottom w:val="none" w:sz="0" w:space="0" w:color="auto"/>
        <w:right w:val="none" w:sz="0" w:space="0" w:color="auto"/>
      </w:divBdr>
      <w:divsChild>
        <w:div w:id="945845195">
          <w:marLeft w:val="0"/>
          <w:marRight w:val="0"/>
          <w:marTop w:val="0"/>
          <w:marBottom w:val="0"/>
          <w:divBdr>
            <w:top w:val="single" w:sz="36" w:space="11" w:color="FF0000"/>
            <w:left w:val="none" w:sz="0" w:space="0" w:color="auto"/>
            <w:bottom w:val="none" w:sz="0" w:space="0" w:color="auto"/>
            <w:right w:val="none" w:sz="0" w:space="0" w:color="auto"/>
          </w:divBdr>
          <w:divsChild>
            <w:div w:id="296767532">
              <w:marLeft w:val="0"/>
              <w:marRight w:val="0"/>
              <w:marTop w:val="0"/>
              <w:marBottom w:val="0"/>
              <w:divBdr>
                <w:top w:val="none" w:sz="0" w:space="0" w:color="auto"/>
                <w:left w:val="none" w:sz="0" w:space="0" w:color="auto"/>
                <w:bottom w:val="none" w:sz="0" w:space="0" w:color="auto"/>
                <w:right w:val="none" w:sz="0" w:space="0" w:color="auto"/>
              </w:divBdr>
            </w:div>
            <w:div w:id="9609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0029">
      <w:bodyDiv w:val="1"/>
      <w:marLeft w:val="0"/>
      <w:marRight w:val="0"/>
      <w:marTop w:val="0"/>
      <w:marBottom w:val="0"/>
      <w:divBdr>
        <w:top w:val="none" w:sz="0" w:space="0" w:color="auto"/>
        <w:left w:val="none" w:sz="0" w:space="0" w:color="auto"/>
        <w:bottom w:val="none" w:sz="0" w:space="0" w:color="auto"/>
        <w:right w:val="none" w:sz="0" w:space="0" w:color="auto"/>
      </w:divBdr>
    </w:div>
    <w:div w:id="1532644647">
      <w:bodyDiv w:val="1"/>
      <w:marLeft w:val="0"/>
      <w:marRight w:val="0"/>
      <w:marTop w:val="0"/>
      <w:marBottom w:val="0"/>
      <w:divBdr>
        <w:top w:val="none" w:sz="0" w:space="0" w:color="auto"/>
        <w:left w:val="none" w:sz="0" w:space="0" w:color="auto"/>
        <w:bottom w:val="none" w:sz="0" w:space="0" w:color="auto"/>
        <w:right w:val="none" w:sz="0" w:space="0" w:color="auto"/>
      </w:divBdr>
    </w:div>
    <w:div w:id="1806387138">
      <w:bodyDiv w:val="1"/>
      <w:marLeft w:val="0"/>
      <w:marRight w:val="0"/>
      <w:marTop w:val="0"/>
      <w:marBottom w:val="0"/>
      <w:divBdr>
        <w:top w:val="none" w:sz="0" w:space="0" w:color="auto"/>
        <w:left w:val="none" w:sz="0" w:space="0" w:color="auto"/>
        <w:bottom w:val="none" w:sz="0" w:space="0" w:color="auto"/>
        <w:right w:val="none" w:sz="0" w:space="0" w:color="auto"/>
      </w:divBdr>
    </w:div>
    <w:div w:id="1904943904">
      <w:bodyDiv w:val="1"/>
      <w:marLeft w:val="0"/>
      <w:marRight w:val="0"/>
      <w:marTop w:val="0"/>
      <w:marBottom w:val="0"/>
      <w:divBdr>
        <w:top w:val="none" w:sz="0" w:space="0" w:color="auto"/>
        <w:left w:val="none" w:sz="0" w:space="0" w:color="auto"/>
        <w:bottom w:val="none" w:sz="0" w:space="0" w:color="auto"/>
        <w:right w:val="none" w:sz="0" w:space="0" w:color="auto"/>
      </w:divBdr>
    </w:div>
    <w:div w:id="1995647402">
      <w:bodyDiv w:val="1"/>
      <w:marLeft w:val="0"/>
      <w:marRight w:val="0"/>
      <w:marTop w:val="0"/>
      <w:marBottom w:val="0"/>
      <w:divBdr>
        <w:top w:val="none" w:sz="0" w:space="0" w:color="auto"/>
        <w:left w:val="none" w:sz="0" w:space="0" w:color="auto"/>
        <w:bottom w:val="none" w:sz="0" w:space="0" w:color="auto"/>
        <w:right w:val="none" w:sz="0" w:space="0" w:color="auto"/>
      </w:divBdr>
      <w:divsChild>
        <w:div w:id="1143546825">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sac.gov.au/internet/msac/publishing.nsf/Content/Home-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3E488-716D-426E-B7DF-17E869D77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12375</Words>
  <Characters>67444</Characters>
  <Application>Microsoft Office Word</Application>
  <DocSecurity>0</DocSecurity>
  <Lines>1873</Lines>
  <Paragraphs>1173</Paragraphs>
  <ScaleCrop>false</ScaleCrop>
  <Company/>
  <LinksUpToDate>false</LinksUpToDate>
  <CharactersWithSpaces>78646</CharactersWithSpaces>
  <SharedDoc>false</SharedDoc>
  <HLinks>
    <vt:vector size="12" baseType="variant">
      <vt:variant>
        <vt:i4>6684716</vt:i4>
      </vt:variant>
      <vt:variant>
        <vt:i4>87</vt:i4>
      </vt:variant>
      <vt:variant>
        <vt:i4>0</vt:i4>
      </vt:variant>
      <vt:variant>
        <vt:i4>5</vt:i4>
      </vt:variant>
      <vt:variant>
        <vt:lpwstr>http://msac.gov.au/internet/msac/publishing.nsf/Content/Home-1</vt:lpwstr>
      </vt:variant>
      <vt:variant>
        <vt:lpwstr/>
      </vt:variant>
      <vt:variant>
        <vt:i4>3997744</vt:i4>
      </vt:variant>
      <vt:variant>
        <vt:i4>0</vt:i4>
      </vt:variant>
      <vt:variant>
        <vt:i4>0</vt:i4>
      </vt:variant>
      <vt:variant>
        <vt:i4>5</vt:i4>
      </vt:variant>
      <vt:variant>
        <vt:lpwstr>http://www.msac.gov.au/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2023-07-13T03:38:00Z</dcterms:created>
  <dcterms:modified xsi:type="dcterms:W3CDTF">2023-07-13T03:38:00Z</dcterms:modified>
</cp:coreProperties>
</file>