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F5EAA" w14:textId="77777777" w:rsidR="00E44B80" w:rsidRPr="00F637B3" w:rsidRDefault="00E44B80" w:rsidP="00E44B80">
      <w:pPr>
        <w:jc w:val="center"/>
        <w:rPr>
          <w:b/>
          <w:szCs w:val="20"/>
        </w:rPr>
      </w:pPr>
      <w:r w:rsidRPr="00F637B3">
        <w:rPr>
          <w:b/>
          <w:noProof/>
          <w:szCs w:val="20"/>
          <w:lang w:eastAsia="en-AU"/>
        </w:rPr>
        <w:drawing>
          <wp:inline distT="0" distB="0" distL="0" distR="0" wp14:anchorId="08ED9E1C" wp14:editId="1ED75876">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782954B7" w14:textId="19610F16" w:rsidR="009D0881" w:rsidRPr="00AA33A4" w:rsidRDefault="008B2610" w:rsidP="009D0881">
      <w:pPr>
        <w:pStyle w:val="Title"/>
        <w:spacing w:before="2600"/>
      </w:pPr>
      <w:r w:rsidRPr="00AA33A4">
        <w:t xml:space="preserve">Application </w:t>
      </w:r>
      <w:r w:rsidR="000F0ACD">
        <w:t>1701</w:t>
      </w:r>
    </w:p>
    <w:p w14:paraId="6329015B" w14:textId="4D83734D" w:rsidR="00F34190" w:rsidRPr="009D0881" w:rsidRDefault="008D5805" w:rsidP="000F0ACD">
      <w:pPr>
        <w:pStyle w:val="Title"/>
        <w:spacing w:before="960" w:after="960"/>
        <w:rPr>
          <w:color w:val="548DD4" w:themeColor="text2" w:themeTint="99"/>
        </w:rPr>
      </w:pPr>
      <w:bookmarkStart w:id="0" w:name="_Hlk81214935"/>
      <w:r w:rsidRPr="008D5805">
        <w:rPr>
          <w:color w:val="548DD4" w:themeColor="text2" w:themeTint="99"/>
        </w:rPr>
        <w:t xml:space="preserve">Deep Brain Stimulation </w:t>
      </w:r>
      <w:r w:rsidR="00EF3A30">
        <w:rPr>
          <w:color w:val="548DD4" w:themeColor="text2" w:themeTint="99"/>
        </w:rPr>
        <w:t xml:space="preserve">of the Thalamus </w:t>
      </w:r>
      <w:r w:rsidRPr="008D5805">
        <w:rPr>
          <w:color w:val="548DD4" w:themeColor="text2" w:themeTint="99"/>
        </w:rPr>
        <w:t xml:space="preserve">for </w:t>
      </w:r>
      <w:r w:rsidR="00F34190">
        <w:rPr>
          <w:color w:val="548DD4" w:themeColor="text2" w:themeTint="99"/>
        </w:rPr>
        <w:t xml:space="preserve">the Treatment of </w:t>
      </w:r>
      <w:r w:rsidR="00CD1902">
        <w:rPr>
          <w:color w:val="548DD4" w:themeColor="text2" w:themeTint="99"/>
        </w:rPr>
        <w:t xml:space="preserve">Severe </w:t>
      </w:r>
      <w:r w:rsidR="00F34190">
        <w:rPr>
          <w:color w:val="548DD4" w:themeColor="text2" w:themeTint="99"/>
        </w:rPr>
        <w:t xml:space="preserve">Refractory </w:t>
      </w:r>
      <w:r w:rsidRPr="008D5805">
        <w:rPr>
          <w:color w:val="548DD4" w:themeColor="text2" w:themeTint="99"/>
        </w:rPr>
        <w:t xml:space="preserve">Epilepsy </w:t>
      </w:r>
    </w:p>
    <w:bookmarkEnd w:id="0"/>
    <w:p w14:paraId="496DDA19"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1654D3EA" w14:textId="77777777" w:rsidR="008B2610" w:rsidRPr="00154B00" w:rsidRDefault="008B2610" w:rsidP="003F7CB9">
      <w:r w:rsidRPr="00154B00">
        <w:t>Please use this template, along with the associ</w:t>
      </w:r>
      <w:r w:rsidR="003B605D">
        <w:t xml:space="preserve">ated </w:t>
      </w:r>
      <w:r w:rsidR="003B605D" w:rsidRPr="003B605D">
        <w:rPr>
          <w:u w:val="single"/>
        </w:rPr>
        <w:t>Application Form Instructions</w:t>
      </w:r>
      <w:r w:rsidRPr="00154B00">
        <w:t xml:space="preserve"> to prepare your application.  Please complete all questions that are applicable to the proposed service, providing relevant information only.</w:t>
      </w:r>
      <w:r w:rsidR="009F5758" w:rsidRPr="00154B00">
        <w:t xml:space="preserve">  Applications not completed in full will not be accepted.</w:t>
      </w:r>
      <w:r w:rsidR="003B605D" w:rsidRPr="003B605D">
        <w:t xml:space="preserve"> The separate </w:t>
      </w:r>
      <w:r w:rsidR="003B605D" w:rsidRPr="003B605D">
        <w:rPr>
          <w:u w:val="single"/>
        </w:rPr>
        <w:t>MSAC Guidelines</w:t>
      </w:r>
      <w:r w:rsidR="003B605D" w:rsidRPr="003B605D">
        <w:t xml:space="preserve"> should be used to guide health technology assessment (HTA) content of the Application Form</w:t>
      </w:r>
    </w:p>
    <w:p w14:paraId="4F5281E3"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w:t>
      </w:r>
      <w:r w:rsidR="003B605D">
        <w:t xml:space="preserve">eam) on the </w:t>
      </w:r>
      <w:r w:rsidR="008B2610" w:rsidRPr="00154B00">
        <w:t>email below to discuss</w:t>
      </w:r>
      <w:r w:rsidRPr="00154B00">
        <w:t xml:space="preserve"> the application form, or any other component of the Medical Services Advisory Committee process.</w:t>
      </w:r>
    </w:p>
    <w:p w14:paraId="2B4DBF0D" w14:textId="77777777" w:rsidR="009F5758" w:rsidRPr="00154B00" w:rsidRDefault="009F5758" w:rsidP="003F7CB9">
      <w:pPr>
        <w:spacing w:before="0" w:after="0"/>
      </w:pPr>
    </w:p>
    <w:p w14:paraId="60A72A8A" w14:textId="77777777" w:rsidR="009F5758" w:rsidRPr="00CC2E86" w:rsidRDefault="009F5758" w:rsidP="003F7CB9">
      <w:pPr>
        <w:spacing w:before="0" w:after="0"/>
        <w:rPr>
          <w:lang w:val="fr-FR"/>
        </w:rPr>
      </w:pPr>
      <w:proofErr w:type="gramStart"/>
      <w:r w:rsidRPr="00CC2E86">
        <w:rPr>
          <w:lang w:val="fr-FR"/>
        </w:rPr>
        <w:t>Email:</w:t>
      </w:r>
      <w:proofErr w:type="gramEnd"/>
      <w:r w:rsidRPr="00CC2E86">
        <w:rPr>
          <w:lang w:val="fr-FR"/>
        </w:rPr>
        <w:t xml:space="preserve">  </w:t>
      </w:r>
      <w:hyperlink r:id="rId12" w:tooltip="click here to email the Department of Health HTA Team" w:history="1">
        <w:r w:rsidRPr="00CC2E86">
          <w:rPr>
            <w:rStyle w:val="Hyperlink"/>
            <w:szCs w:val="20"/>
            <w:lang w:val="fr-FR"/>
          </w:rPr>
          <w:t>hta@health.gov.au</w:t>
        </w:r>
      </w:hyperlink>
    </w:p>
    <w:p w14:paraId="0817E1A7" w14:textId="77777777" w:rsidR="009F5758" w:rsidRPr="00CC2E86" w:rsidRDefault="009F5758" w:rsidP="003F7CB9">
      <w:pPr>
        <w:spacing w:before="0" w:after="0"/>
        <w:rPr>
          <w:lang w:val="fr-FR"/>
        </w:rPr>
      </w:pPr>
      <w:proofErr w:type="spellStart"/>
      <w:proofErr w:type="gramStart"/>
      <w:r w:rsidRPr="00CC2E86">
        <w:rPr>
          <w:lang w:val="fr-FR"/>
        </w:rPr>
        <w:t>Website</w:t>
      </w:r>
      <w:proofErr w:type="spellEnd"/>
      <w:r w:rsidRPr="00CC2E86">
        <w:rPr>
          <w:lang w:val="fr-FR"/>
        </w:rPr>
        <w:t>:</w:t>
      </w:r>
      <w:proofErr w:type="gramEnd"/>
      <w:r w:rsidRPr="00CC2E86">
        <w:rPr>
          <w:lang w:val="fr-FR"/>
        </w:rPr>
        <w:t xml:space="preserve">  </w:t>
      </w:r>
      <w:hyperlink r:id="rId13" w:tooltip="click here to visit the Medical Services Advisory Committee website" w:history="1">
        <w:r w:rsidR="008E6227" w:rsidRPr="00CC2E86">
          <w:rPr>
            <w:rStyle w:val="Hyperlink"/>
            <w:lang w:val="fr-FR"/>
          </w:rPr>
          <w:t>www.msac.gov.au</w:t>
        </w:r>
      </w:hyperlink>
      <w:r w:rsidR="008E6227" w:rsidRPr="00CC2E86">
        <w:rPr>
          <w:lang w:val="fr-FR"/>
        </w:rPr>
        <w:t xml:space="preserve"> </w:t>
      </w:r>
      <w:r w:rsidR="001A02E3" w:rsidRPr="00CC2E86">
        <w:rPr>
          <w:lang w:val="fr-FR"/>
        </w:rPr>
        <w:t xml:space="preserve"> </w:t>
      </w:r>
    </w:p>
    <w:p w14:paraId="17387E44" w14:textId="77777777" w:rsidR="00E04FB3" w:rsidRPr="00C776B1" w:rsidRDefault="00D73646" w:rsidP="0056015F">
      <w:pPr>
        <w:pStyle w:val="Heading1"/>
      </w:pPr>
      <w:bookmarkStart w:id="1" w:name="_Toc443555803"/>
      <w:r w:rsidRPr="00CC2E86">
        <w:rPr>
          <w:rStyle w:val="IntenseReference"/>
          <w:lang w:val="fr-FR"/>
        </w:rPr>
        <w:br w:type="page"/>
      </w:r>
      <w:bookmarkEnd w:id="1"/>
      <w:r w:rsidR="00494011">
        <w:lastRenderedPageBreak/>
        <w:t>PART 1</w:t>
      </w:r>
      <w:r w:rsidR="00F93784">
        <w:t xml:space="preserve"> – </w:t>
      </w:r>
      <w:r w:rsidR="00E04FB3" w:rsidRPr="00C776B1">
        <w:t>APPLICANT DETAILS</w:t>
      </w:r>
    </w:p>
    <w:p w14:paraId="6D50ABD3"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4ADCB58A" w14:textId="5E44BDB4"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805C36">
        <w:t>Neurosurgical</w:t>
      </w:r>
      <w:r w:rsidR="002A0E1F">
        <w:t xml:space="preserve"> Society of Australasia </w:t>
      </w:r>
    </w:p>
    <w:p w14:paraId="102D3A97" w14:textId="236BDA87" w:rsidR="00C171FB" w:rsidRPr="008F20DD" w:rsidRDefault="00C171FB" w:rsidP="00BC5BF7">
      <w:pPr>
        <w:pBdr>
          <w:top w:val="single" w:sz="4" w:space="1" w:color="auto"/>
          <w:left w:val="single" w:sz="4" w:space="4" w:color="auto"/>
          <w:bottom w:val="single" w:sz="4" w:space="1" w:color="auto"/>
          <w:right w:val="single" w:sz="4" w:space="4" w:color="auto"/>
        </w:pBdr>
        <w:spacing w:before="60" w:after="60"/>
      </w:pPr>
      <w:r>
        <w:t xml:space="preserve">Corporation name: </w:t>
      </w:r>
      <w:r w:rsidR="008F20DD" w:rsidRPr="008F20DD">
        <w:rPr>
          <w:b/>
          <w:bCs/>
          <w:highlight w:val="lightGray"/>
        </w:rPr>
        <w:t>REDACTED</w:t>
      </w:r>
    </w:p>
    <w:p w14:paraId="322D62F6" w14:textId="155CBF9F" w:rsidR="00C171FB" w:rsidRDefault="00C171FB" w:rsidP="00BC5BF7">
      <w:pPr>
        <w:pBdr>
          <w:top w:val="single" w:sz="4" w:space="1" w:color="auto"/>
          <w:left w:val="single" w:sz="4" w:space="4" w:color="auto"/>
          <w:bottom w:val="single" w:sz="4" w:space="1" w:color="auto"/>
          <w:right w:val="single" w:sz="4" w:space="4" w:color="auto"/>
        </w:pBdr>
        <w:spacing w:before="60" w:after="60"/>
      </w:pPr>
      <w:r>
        <w:t xml:space="preserve">ABN: </w:t>
      </w:r>
      <w:r w:rsidR="008F20DD" w:rsidRPr="008F20DD">
        <w:rPr>
          <w:b/>
          <w:bCs/>
          <w:highlight w:val="lightGray"/>
        </w:rPr>
        <w:t>REDACTED</w:t>
      </w:r>
    </w:p>
    <w:p w14:paraId="123A4260" w14:textId="4978BFB1" w:rsidR="00C171FB" w:rsidRDefault="00C171FB" w:rsidP="00BC5BF7">
      <w:pPr>
        <w:pBdr>
          <w:top w:val="single" w:sz="4" w:space="1" w:color="auto"/>
          <w:left w:val="single" w:sz="4" w:space="4" w:color="auto"/>
          <w:bottom w:val="single" w:sz="4" w:space="1" w:color="auto"/>
          <w:right w:val="single" w:sz="4" w:space="4" w:color="auto"/>
        </w:pBdr>
        <w:spacing w:before="60" w:after="60"/>
      </w:pPr>
      <w:r>
        <w:t xml:space="preserve">Business trading name: </w:t>
      </w:r>
      <w:r w:rsidR="008F20DD" w:rsidRPr="008F20DD">
        <w:rPr>
          <w:b/>
          <w:bCs/>
          <w:highlight w:val="lightGray"/>
        </w:rPr>
        <w:t>REDACTED</w:t>
      </w:r>
    </w:p>
    <w:p w14:paraId="60110988" w14:textId="77777777" w:rsidR="00C171FB" w:rsidRPr="00C171FB" w:rsidRDefault="00C171FB" w:rsidP="00C171FB"/>
    <w:p w14:paraId="08A78A24" w14:textId="7D33E118" w:rsidR="00C171FB" w:rsidRPr="00C171FB" w:rsidRDefault="00C171FB" w:rsidP="00C171FB">
      <w:pPr>
        <w:rPr>
          <w:b/>
        </w:rPr>
      </w:pPr>
      <w:r>
        <w:rPr>
          <w:b/>
        </w:rPr>
        <w:t xml:space="preserve">Primary contact name: </w:t>
      </w:r>
      <w:r w:rsidR="008F20DD" w:rsidRPr="008F20DD">
        <w:rPr>
          <w:b/>
          <w:bCs/>
          <w:highlight w:val="lightGray"/>
        </w:rPr>
        <w:t>REDACTED</w:t>
      </w:r>
    </w:p>
    <w:p w14:paraId="1E6B317D"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11565AE9" w14:textId="29736B18" w:rsidR="00C171FB" w:rsidRDefault="00C171FB" w:rsidP="00BC5BF7">
      <w:pPr>
        <w:pBdr>
          <w:top w:val="single" w:sz="4" w:space="1" w:color="auto"/>
          <w:left w:val="single" w:sz="4" w:space="4" w:color="auto"/>
          <w:bottom w:val="single" w:sz="4" w:space="1" w:color="auto"/>
          <w:right w:val="single" w:sz="4" w:space="4" w:color="auto"/>
        </w:pBdr>
        <w:spacing w:before="60" w:after="60"/>
      </w:pPr>
      <w:r>
        <w:t xml:space="preserve">Business: </w:t>
      </w:r>
      <w:r w:rsidR="008F20DD" w:rsidRPr="008F20DD">
        <w:rPr>
          <w:b/>
          <w:bCs/>
          <w:highlight w:val="lightGray"/>
        </w:rPr>
        <w:t>REDACTED</w:t>
      </w:r>
    </w:p>
    <w:p w14:paraId="38EA4F99" w14:textId="7DBF0E76" w:rsidR="00C171FB" w:rsidRDefault="00C171FB" w:rsidP="00BC5BF7">
      <w:pPr>
        <w:pBdr>
          <w:top w:val="single" w:sz="4" w:space="1" w:color="auto"/>
          <w:left w:val="single" w:sz="4" w:space="4" w:color="auto"/>
          <w:bottom w:val="single" w:sz="4" w:space="1" w:color="auto"/>
          <w:right w:val="single" w:sz="4" w:space="4" w:color="auto"/>
        </w:pBdr>
        <w:spacing w:before="60" w:after="60"/>
      </w:pPr>
      <w:r>
        <w:t>Mobile:</w:t>
      </w:r>
      <w:r>
        <w:tab/>
      </w:r>
      <w:r w:rsidR="00BC5BF7" w:rsidRPr="008F20DD">
        <w:rPr>
          <w:b/>
          <w:bCs/>
          <w:highlight w:val="lightGray"/>
        </w:rPr>
        <w:t>REDACTED</w:t>
      </w:r>
    </w:p>
    <w:p w14:paraId="0FFC67D8" w14:textId="730B21A4" w:rsidR="00C171FB" w:rsidRPr="00CC2E86" w:rsidRDefault="00C171FB" w:rsidP="00BC5BF7">
      <w:pPr>
        <w:pBdr>
          <w:top w:val="single" w:sz="4" w:space="1" w:color="auto"/>
          <w:left w:val="single" w:sz="4" w:space="4" w:color="auto"/>
          <w:bottom w:val="single" w:sz="4" w:space="1" w:color="auto"/>
          <w:right w:val="single" w:sz="4" w:space="4" w:color="auto"/>
        </w:pBdr>
        <w:spacing w:before="60" w:after="60"/>
        <w:rPr>
          <w:lang w:val="fr-FR"/>
        </w:rPr>
      </w:pPr>
      <w:proofErr w:type="gramStart"/>
      <w:r w:rsidRPr="00CC2E86">
        <w:rPr>
          <w:lang w:val="fr-FR"/>
        </w:rPr>
        <w:t>Email:</w:t>
      </w:r>
      <w:proofErr w:type="gramEnd"/>
      <w:r w:rsidRPr="00CC2E86">
        <w:rPr>
          <w:lang w:val="fr-FR"/>
        </w:rPr>
        <w:t xml:space="preserve"> </w:t>
      </w:r>
      <w:r w:rsidR="008F20DD" w:rsidRPr="008F20DD">
        <w:rPr>
          <w:b/>
          <w:bCs/>
          <w:highlight w:val="lightGray"/>
        </w:rPr>
        <w:t>REDACTED</w:t>
      </w:r>
    </w:p>
    <w:p w14:paraId="612872FA" w14:textId="77777777" w:rsidR="00C171FB" w:rsidRPr="00CC2E86" w:rsidRDefault="00C171FB" w:rsidP="00C171FB">
      <w:pPr>
        <w:rPr>
          <w:b/>
          <w:lang w:val="fr-FR"/>
        </w:rPr>
      </w:pPr>
    </w:p>
    <w:p w14:paraId="67CFD2C9" w14:textId="602755E9" w:rsidR="00C171FB" w:rsidRPr="007D4976" w:rsidRDefault="00C171FB" w:rsidP="00C171FB">
      <w:pPr>
        <w:rPr>
          <w:b/>
        </w:rPr>
      </w:pPr>
      <w:r w:rsidRPr="007D4976">
        <w:rPr>
          <w:b/>
        </w:rPr>
        <w:t>Alternative contact name:</w:t>
      </w:r>
      <w:r w:rsidR="001367C7" w:rsidRPr="007D4976">
        <w:rPr>
          <w:color w:val="FF0000"/>
        </w:rPr>
        <w:t xml:space="preserve"> </w:t>
      </w:r>
      <w:r w:rsidR="008F20DD" w:rsidRPr="008F20DD">
        <w:rPr>
          <w:b/>
          <w:bCs/>
          <w:highlight w:val="lightGray"/>
        </w:rPr>
        <w:t>REDACTED</w:t>
      </w:r>
    </w:p>
    <w:p w14:paraId="2AD64D6D" w14:textId="77777777" w:rsidR="00C171FB" w:rsidRPr="007D4976" w:rsidRDefault="00C171FB" w:rsidP="00C171FB">
      <w:pPr>
        <w:pBdr>
          <w:top w:val="single" w:sz="4" w:space="1" w:color="auto"/>
          <w:left w:val="single" w:sz="4" w:space="4" w:color="auto"/>
          <w:bottom w:val="single" w:sz="4" w:space="1" w:color="auto"/>
          <w:right w:val="single" w:sz="4" w:space="4" w:color="auto"/>
        </w:pBdr>
      </w:pPr>
      <w:r w:rsidRPr="007D4976">
        <w:t>Alternative contact numbers</w:t>
      </w:r>
      <w:r w:rsidRPr="007D4976">
        <w:tab/>
      </w:r>
    </w:p>
    <w:p w14:paraId="7A65115B" w14:textId="0A1F8A96" w:rsidR="00C171FB" w:rsidRPr="007D4976" w:rsidRDefault="00C171FB" w:rsidP="00BC5BF7">
      <w:pPr>
        <w:pBdr>
          <w:top w:val="single" w:sz="4" w:space="1" w:color="auto"/>
          <w:left w:val="single" w:sz="4" w:space="4" w:color="auto"/>
          <w:bottom w:val="single" w:sz="4" w:space="1" w:color="auto"/>
          <w:right w:val="single" w:sz="4" w:space="4" w:color="auto"/>
        </w:pBdr>
        <w:spacing w:before="60" w:after="60"/>
        <w:rPr>
          <w:highlight w:val="yellow"/>
        </w:rPr>
      </w:pPr>
      <w:r w:rsidRPr="007D4976">
        <w:t xml:space="preserve">Business: </w:t>
      </w:r>
      <w:r w:rsidR="008F20DD" w:rsidRPr="008F20DD">
        <w:rPr>
          <w:b/>
          <w:bCs/>
          <w:highlight w:val="lightGray"/>
        </w:rPr>
        <w:t>REDACTED</w:t>
      </w:r>
    </w:p>
    <w:p w14:paraId="1257CA32" w14:textId="172EB69D" w:rsidR="00C171FB" w:rsidRPr="00CC2E86" w:rsidRDefault="00C171FB" w:rsidP="00BC5BF7">
      <w:pPr>
        <w:pBdr>
          <w:top w:val="single" w:sz="4" w:space="1" w:color="auto"/>
          <w:left w:val="single" w:sz="4" w:space="4" w:color="auto"/>
          <w:bottom w:val="single" w:sz="4" w:space="1" w:color="auto"/>
          <w:right w:val="single" w:sz="4" w:space="4" w:color="auto"/>
        </w:pBdr>
        <w:spacing w:before="60" w:after="60"/>
        <w:rPr>
          <w:lang w:val="fr-FR"/>
        </w:rPr>
      </w:pPr>
      <w:r w:rsidRPr="00CC2E86">
        <w:rPr>
          <w:lang w:val="fr-FR"/>
        </w:rPr>
        <w:t xml:space="preserve">Mobile: </w:t>
      </w:r>
      <w:r w:rsidR="007E41C3" w:rsidRPr="008F20DD">
        <w:rPr>
          <w:b/>
          <w:bCs/>
          <w:highlight w:val="lightGray"/>
        </w:rPr>
        <w:t>REDACTED</w:t>
      </w:r>
    </w:p>
    <w:p w14:paraId="4CF496A3" w14:textId="6429ADC9" w:rsidR="00C171FB" w:rsidRPr="00CC2E86" w:rsidRDefault="00C171FB" w:rsidP="00BC5BF7">
      <w:pPr>
        <w:pBdr>
          <w:top w:val="single" w:sz="4" w:space="1" w:color="auto"/>
          <w:left w:val="single" w:sz="4" w:space="4" w:color="auto"/>
          <w:bottom w:val="single" w:sz="4" w:space="1" w:color="auto"/>
          <w:right w:val="single" w:sz="4" w:space="4" w:color="auto"/>
        </w:pBdr>
        <w:spacing w:before="60" w:after="60"/>
        <w:rPr>
          <w:lang w:val="fr-FR"/>
        </w:rPr>
      </w:pPr>
      <w:proofErr w:type="gramStart"/>
      <w:r w:rsidRPr="00CC2E86">
        <w:rPr>
          <w:lang w:val="fr-FR"/>
        </w:rPr>
        <w:t>Email:</w:t>
      </w:r>
      <w:proofErr w:type="gramEnd"/>
      <w:r w:rsidRPr="00CC2E86">
        <w:rPr>
          <w:lang w:val="fr-FR"/>
        </w:rPr>
        <w:t xml:space="preserve"> </w:t>
      </w:r>
      <w:r w:rsidR="008F20DD" w:rsidRPr="008F20DD">
        <w:rPr>
          <w:b/>
          <w:bCs/>
          <w:highlight w:val="lightGray"/>
        </w:rPr>
        <w:t>REDACTED</w:t>
      </w:r>
    </w:p>
    <w:p w14:paraId="5E43C713" w14:textId="77777777" w:rsidR="00C171FB" w:rsidRPr="00CC2E86" w:rsidRDefault="00C171FB" w:rsidP="00C171FB">
      <w:pPr>
        <w:rPr>
          <w:lang w:val="fr-FR"/>
        </w:rPr>
      </w:pPr>
    </w:p>
    <w:p w14:paraId="69391844" w14:textId="77777777" w:rsidR="00AD2E85" w:rsidRDefault="00AD2E85" w:rsidP="004A0BF4">
      <w:pPr>
        <w:pStyle w:val="Heading2"/>
      </w:pPr>
      <w:r>
        <w:t xml:space="preserve">(a) </w:t>
      </w:r>
      <w:r w:rsidRPr="00AD2E85">
        <w:t>Are you a consultant acting on behalf on an applicant?</w:t>
      </w:r>
    </w:p>
    <w:p w14:paraId="4E64C5EA" w14:textId="77777777" w:rsidR="00AD2E85" w:rsidRDefault="00AD2E85" w:rsidP="00AD2E85">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317F2F">
        <w:rPr>
          <w:szCs w:val="20"/>
        </w:rPr>
      </w:r>
      <w:r w:rsidR="00317F2F">
        <w:rPr>
          <w:szCs w:val="20"/>
        </w:rPr>
        <w:fldChar w:fldCharType="separate"/>
      </w:r>
      <w:r w:rsidRPr="00753C44">
        <w:rPr>
          <w:szCs w:val="20"/>
        </w:rPr>
        <w:fldChar w:fldCharType="end"/>
      </w:r>
      <w:r>
        <w:rPr>
          <w:szCs w:val="20"/>
        </w:rPr>
        <w:t xml:space="preserve"> Yes</w:t>
      </w:r>
    </w:p>
    <w:p w14:paraId="0B097A5A" w14:textId="73F2DAEA" w:rsidR="00AD2E85" w:rsidRPr="00753C44" w:rsidRDefault="00730228" w:rsidP="00AD2E85">
      <w:pPr>
        <w:spacing w:before="0" w:after="0"/>
        <w:ind w:left="426"/>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317F2F">
        <w:rPr>
          <w:szCs w:val="20"/>
        </w:rPr>
      </w:r>
      <w:r w:rsidR="00317F2F">
        <w:rPr>
          <w:szCs w:val="20"/>
        </w:rPr>
        <w:fldChar w:fldCharType="separate"/>
      </w:r>
      <w:r>
        <w:rPr>
          <w:szCs w:val="20"/>
        </w:rPr>
        <w:fldChar w:fldCharType="end"/>
      </w:r>
      <w:bookmarkEnd w:id="2"/>
      <w:r>
        <w:rPr>
          <w:szCs w:val="20"/>
        </w:rPr>
        <w:t xml:space="preserve"> </w:t>
      </w:r>
      <w:r w:rsidR="00AD2E85" w:rsidRPr="007F3EA4">
        <w:rPr>
          <w:szCs w:val="20"/>
        </w:rPr>
        <w:t>No</w:t>
      </w:r>
      <w:r w:rsidR="00AD2E85" w:rsidRPr="00753C44">
        <w:rPr>
          <w:szCs w:val="20"/>
        </w:rPr>
        <w:t xml:space="preserve">  </w:t>
      </w:r>
    </w:p>
    <w:p w14:paraId="05A78818" w14:textId="77777777" w:rsidR="00AD2E85" w:rsidRPr="00AD2E85" w:rsidRDefault="00AD2E85" w:rsidP="00AD2E85">
      <w:pPr>
        <w:ind w:firstLine="360"/>
        <w:rPr>
          <w:b/>
        </w:rPr>
      </w:pPr>
      <w:r w:rsidRPr="00AD2E85">
        <w:rPr>
          <w:b/>
        </w:rPr>
        <w:t>(b) If yes what is the Applicant(s) name that you are acting on behalf of?</w:t>
      </w:r>
    </w:p>
    <w:p w14:paraId="071CB971" w14:textId="46F25148" w:rsidR="00AD2E85" w:rsidRPr="00AD2E85" w:rsidRDefault="00BC5BF7" w:rsidP="00BC5BF7">
      <w:pPr>
        <w:ind w:firstLine="360"/>
      </w:pPr>
      <w:r>
        <w:t>Not applicable</w:t>
      </w:r>
    </w:p>
    <w:p w14:paraId="7402EAC8" w14:textId="77777777" w:rsidR="00534C5F" w:rsidRPr="00154B00" w:rsidRDefault="00494011" w:rsidP="004A0BF4">
      <w:pPr>
        <w:pStyle w:val="Heading2"/>
      </w:pPr>
      <w:r>
        <w:t xml:space="preserve">(a) </w:t>
      </w:r>
      <w:r w:rsidR="00534C5F">
        <w:t>Are you a lobbyist acting on behalf of an Applicant?</w:t>
      </w:r>
    </w:p>
    <w:p w14:paraId="2EF5E67B" w14:textId="77777777" w:rsidR="00A6491A" w:rsidRDefault="00A6491A" w:rsidP="00BC5BF7">
      <w:pPr>
        <w:spacing w:before="0" w:after="0"/>
        <w:ind w:firstLine="360"/>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317F2F">
        <w:rPr>
          <w:szCs w:val="20"/>
        </w:rPr>
      </w:r>
      <w:r w:rsidR="00317F2F">
        <w:rPr>
          <w:szCs w:val="20"/>
        </w:rPr>
        <w:fldChar w:fldCharType="separate"/>
      </w:r>
      <w:r w:rsidRPr="00753C44">
        <w:rPr>
          <w:szCs w:val="20"/>
        </w:rPr>
        <w:fldChar w:fldCharType="end"/>
      </w:r>
      <w:r>
        <w:rPr>
          <w:szCs w:val="20"/>
        </w:rPr>
        <w:t xml:space="preserve"> Yes</w:t>
      </w:r>
    </w:p>
    <w:p w14:paraId="2A97BED9" w14:textId="116348EB" w:rsidR="00A6491A" w:rsidRPr="00753C44" w:rsidRDefault="00730228" w:rsidP="00BC5BF7">
      <w:pPr>
        <w:spacing w:before="0" w:after="0"/>
        <w:ind w:firstLine="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17F2F">
        <w:rPr>
          <w:szCs w:val="20"/>
        </w:rPr>
      </w:r>
      <w:r w:rsidR="00317F2F">
        <w:rPr>
          <w:szCs w:val="20"/>
        </w:rPr>
        <w:fldChar w:fldCharType="separate"/>
      </w:r>
      <w:r>
        <w:rPr>
          <w:szCs w:val="20"/>
        </w:rPr>
        <w:fldChar w:fldCharType="end"/>
      </w:r>
      <w:r w:rsidR="00483F1C">
        <w:rPr>
          <w:szCs w:val="20"/>
        </w:rPr>
        <w:t xml:space="preserve">  </w:t>
      </w:r>
      <w:r w:rsidR="00A6491A" w:rsidRPr="007F3EA4">
        <w:rPr>
          <w:szCs w:val="20"/>
        </w:rPr>
        <w:t>No</w:t>
      </w:r>
      <w:r w:rsidR="00A6491A" w:rsidRPr="00753C44">
        <w:rPr>
          <w:szCs w:val="20"/>
        </w:rPr>
        <w:t xml:space="preserve">  </w:t>
      </w:r>
    </w:p>
    <w:p w14:paraId="1A814D39" w14:textId="01C3B960" w:rsidR="00534C5F" w:rsidRDefault="00534C5F" w:rsidP="00954C3D">
      <w:pPr>
        <w:pStyle w:val="Heading2"/>
        <w:numPr>
          <w:ilvl w:val="0"/>
          <w:numId w:val="2"/>
        </w:numPr>
      </w:pPr>
      <w:r w:rsidRPr="00154B00">
        <w:t xml:space="preserve">If yes, </w:t>
      </w:r>
      <w:r>
        <w:t xml:space="preserve">are </w:t>
      </w:r>
      <w:r w:rsidRPr="00FE33A6">
        <w:t>you</w:t>
      </w:r>
      <w:r>
        <w:t xml:space="preserve"> listed on the Register of Lobbyists?</w:t>
      </w:r>
    </w:p>
    <w:p w14:paraId="4CAB5072" w14:textId="6E22F08B" w:rsidR="0027267C" w:rsidRPr="0027267C" w:rsidRDefault="0027267C" w:rsidP="0027267C">
      <w:pPr>
        <w:ind w:left="360"/>
      </w:pPr>
      <w:r>
        <w:t>Not applicable.</w:t>
      </w:r>
    </w:p>
    <w:p w14:paraId="72D0837E" w14:textId="77777777" w:rsidR="00CE0F9E" w:rsidRPr="00154B00" w:rsidRDefault="00CE0F9E" w:rsidP="00954C3D">
      <w:pPr>
        <w:pStyle w:val="Heading2"/>
        <w:numPr>
          <w:ilvl w:val="0"/>
          <w:numId w:val="2"/>
        </w:numPr>
      </w:pPr>
      <w:r>
        <w:t>Have you engaged a consultant on your behalf?</w:t>
      </w:r>
    </w:p>
    <w:p w14:paraId="445160A0" w14:textId="77777777" w:rsidR="00CE0F9E" w:rsidRDefault="00CE0F9E" w:rsidP="00CE0F9E">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317F2F">
        <w:rPr>
          <w:szCs w:val="20"/>
        </w:rPr>
      </w:r>
      <w:r w:rsidR="00317F2F">
        <w:rPr>
          <w:szCs w:val="20"/>
        </w:rPr>
        <w:fldChar w:fldCharType="separate"/>
      </w:r>
      <w:r w:rsidRPr="00753C44">
        <w:rPr>
          <w:szCs w:val="20"/>
        </w:rPr>
        <w:fldChar w:fldCharType="end"/>
      </w:r>
      <w:r>
        <w:rPr>
          <w:szCs w:val="20"/>
        </w:rPr>
        <w:t xml:space="preserve"> Yes </w:t>
      </w:r>
    </w:p>
    <w:p w14:paraId="00F4AAAD" w14:textId="5DCDD5F1" w:rsidR="00CE0F9E" w:rsidRDefault="00730228" w:rsidP="00CE0F9E">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17F2F">
        <w:rPr>
          <w:szCs w:val="20"/>
        </w:rPr>
      </w:r>
      <w:r w:rsidR="00317F2F">
        <w:rPr>
          <w:szCs w:val="20"/>
        </w:rPr>
        <w:fldChar w:fldCharType="separate"/>
      </w:r>
      <w:r>
        <w:rPr>
          <w:szCs w:val="20"/>
        </w:rPr>
        <w:fldChar w:fldCharType="end"/>
      </w:r>
      <w:r>
        <w:rPr>
          <w:szCs w:val="20"/>
        </w:rPr>
        <w:t xml:space="preserve"> </w:t>
      </w:r>
      <w:r w:rsidR="00CE0F9E" w:rsidRPr="007F3EA4">
        <w:rPr>
          <w:szCs w:val="20"/>
        </w:rPr>
        <w:t>No</w:t>
      </w:r>
      <w:r w:rsidR="00CE0F9E" w:rsidRPr="00753C44">
        <w:rPr>
          <w:szCs w:val="20"/>
        </w:rPr>
        <w:t xml:space="preserve">  </w:t>
      </w:r>
    </w:p>
    <w:p w14:paraId="45446C70" w14:textId="77777777" w:rsidR="00CE0F9E" w:rsidRDefault="00CE0F9E" w:rsidP="00CE0F9E">
      <w:pPr>
        <w:spacing w:before="0" w:after="0"/>
        <w:ind w:left="426"/>
        <w:rPr>
          <w:szCs w:val="20"/>
        </w:rPr>
      </w:pPr>
    </w:p>
    <w:p w14:paraId="6D00EA5D" w14:textId="77777777" w:rsidR="00CE0F9E" w:rsidRPr="00753C44" w:rsidRDefault="00CE0F9E" w:rsidP="00CE0F9E">
      <w:pPr>
        <w:spacing w:before="0" w:after="0"/>
        <w:ind w:left="426"/>
        <w:rPr>
          <w:szCs w:val="20"/>
        </w:rPr>
      </w:pPr>
    </w:p>
    <w:p w14:paraId="572BE9BF" w14:textId="77777777" w:rsidR="00E04FB3" w:rsidRDefault="00E04FB3" w:rsidP="005C333E">
      <w:pPr>
        <w:spacing w:before="0" w:after="0"/>
        <w:ind w:left="426"/>
        <w:rPr>
          <w:b/>
          <w:szCs w:val="20"/>
        </w:rPr>
      </w:pPr>
      <w:r w:rsidRPr="00154B00">
        <w:rPr>
          <w:b/>
          <w:szCs w:val="20"/>
        </w:rPr>
        <w:br w:type="page"/>
      </w:r>
    </w:p>
    <w:p w14:paraId="4AB316E2"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5381B56A" w14:textId="77777777" w:rsidR="000B3CD0" w:rsidRDefault="000B3CD0" w:rsidP="00730C04">
      <w:pPr>
        <w:pStyle w:val="Heading2"/>
      </w:pPr>
      <w:r w:rsidRPr="00154B00">
        <w:t>Application title</w:t>
      </w:r>
      <w:r w:rsidR="00A8732C">
        <w:t xml:space="preserve"> </w:t>
      </w:r>
    </w:p>
    <w:p w14:paraId="0C8BBA90" w14:textId="16220501" w:rsidR="00D83EF8" w:rsidRDefault="007F3EA4" w:rsidP="007F3EA4">
      <w:pPr>
        <w:ind w:left="360"/>
        <w:rPr>
          <w:highlight w:val="yellow"/>
        </w:rPr>
      </w:pPr>
      <w:bookmarkStart w:id="3" w:name="_Hlk78182074"/>
      <w:r w:rsidRPr="007F3EA4">
        <w:t>Deep Brain Stimulation of the Thalamus for the Treatment of Severe Refractory Epilepsy</w:t>
      </w:r>
    </w:p>
    <w:bookmarkEnd w:id="3"/>
    <w:p w14:paraId="19E16EDD"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0E632BC5" w14:textId="1C978212" w:rsidR="00A612A4" w:rsidRDefault="00A612A4" w:rsidP="007D4976">
      <w:pPr>
        <w:ind w:left="360"/>
        <w:rPr>
          <w:szCs w:val="20"/>
        </w:rPr>
      </w:pPr>
      <w:r>
        <w:rPr>
          <w:szCs w:val="20"/>
        </w:rPr>
        <w:t xml:space="preserve">Epilepsy is a common chronic neurological condition, affecting people of all ages. The lifetime chance of a seizure is </w:t>
      </w:r>
      <w:r w:rsidR="00140C75">
        <w:rPr>
          <w:szCs w:val="20"/>
        </w:rPr>
        <w:t>3</w:t>
      </w:r>
      <w:r>
        <w:rPr>
          <w:szCs w:val="20"/>
        </w:rPr>
        <w:t xml:space="preserve">%, and around 250,000 Australians (&gt; 1%) have active epilepsy. </w:t>
      </w:r>
      <w:r w:rsidR="001A6E3C">
        <w:rPr>
          <w:szCs w:val="20"/>
        </w:rPr>
        <w:t xml:space="preserve">Around </w:t>
      </w:r>
      <w:r>
        <w:rPr>
          <w:szCs w:val="20"/>
        </w:rPr>
        <w:t>60 - 70% of individuals become seizure free on anti-epilepsy medication, but some have ongoing seizures, causing seizure related injuries, loss of independence and restricted life opportunities. For these people, brain surgery and other treatments may be considered.</w:t>
      </w:r>
    </w:p>
    <w:p w14:paraId="0D92D07A" w14:textId="56F5C54E" w:rsidR="00A612A4" w:rsidRDefault="00A612A4" w:rsidP="007D4976">
      <w:pPr>
        <w:ind w:left="360"/>
        <w:rPr>
          <w:szCs w:val="20"/>
        </w:rPr>
      </w:pPr>
      <w:r>
        <w:rPr>
          <w:szCs w:val="20"/>
        </w:rPr>
        <w:t>Epileptic seizures are characterised by abnormal brain activity, causing sudden and unpredictable changes in behaviour and awareness. The brain area affected, and duration of the seizure determine the seizure manifestations. There are many different underlying causes, including congenital brain abnormalities, acquired lesions and genetic changes.</w:t>
      </w:r>
    </w:p>
    <w:p w14:paraId="2B70A077" w14:textId="230FDA1C" w:rsidR="00A612A4" w:rsidRDefault="00A612A4" w:rsidP="007D4976">
      <w:pPr>
        <w:ind w:left="360"/>
      </w:pPr>
      <w:r>
        <w:rPr>
          <w:szCs w:val="20"/>
        </w:rPr>
        <w:t xml:space="preserve">Uncontrolled epilepsy significantly increases the risk of </w:t>
      </w:r>
      <w:r>
        <w:t>SUDEP (sudden, unexpected death in epilepsy). There are approximately 170 SUDEP- deaths/year in Australia, affecting 1 in 1,000 people with epilepsy.  Seizure control reduces the risk of SUDEP.</w:t>
      </w:r>
    </w:p>
    <w:p w14:paraId="1DA7EBDF"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0DB9A12D" w14:textId="2057C19C" w:rsidR="00B43149" w:rsidRDefault="005A1869" w:rsidP="005A1869">
      <w:pPr>
        <w:ind w:left="357"/>
        <w:rPr>
          <w:szCs w:val="20"/>
        </w:rPr>
      </w:pPr>
      <w:r w:rsidRPr="005A1869">
        <w:rPr>
          <w:szCs w:val="20"/>
        </w:rPr>
        <w:t xml:space="preserve">Deep </w:t>
      </w:r>
      <w:r w:rsidR="001A6E3C">
        <w:rPr>
          <w:szCs w:val="20"/>
        </w:rPr>
        <w:t>B</w:t>
      </w:r>
      <w:r w:rsidRPr="005A1869">
        <w:rPr>
          <w:szCs w:val="20"/>
        </w:rPr>
        <w:t xml:space="preserve">rain </w:t>
      </w:r>
      <w:r w:rsidR="001A6E3C">
        <w:rPr>
          <w:szCs w:val="20"/>
        </w:rPr>
        <w:t>S</w:t>
      </w:r>
      <w:r w:rsidRPr="005A1869">
        <w:rPr>
          <w:szCs w:val="20"/>
        </w:rPr>
        <w:t xml:space="preserve">timulation </w:t>
      </w:r>
      <w:r>
        <w:rPr>
          <w:szCs w:val="20"/>
        </w:rPr>
        <w:t xml:space="preserve">(DBS) </w:t>
      </w:r>
      <w:r w:rsidRPr="005A1869">
        <w:rPr>
          <w:szCs w:val="20"/>
        </w:rPr>
        <w:t xml:space="preserve">therapy is a surgical treatment </w:t>
      </w:r>
      <w:r>
        <w:rPr>
          <w:szCs w:val="20"/>
        </w:rPr>
        <w:t xml:space="preserve">for epilepsy, which </w:t>
      </w:r>
      <w:r w:rsidR="00EC11B5">
        <w:rPr>
          <w:szCs w:val="20"/>
        </w:rPr>
        <w:t xml:space="preserve">has </w:t>
      </w:r>
      <w:r w:rsidRPr="005A1869">
        <w:rPr>
          <w:szCs w:val="20"/>
        </w:rPr>
        <w:t xml:space="preserve">not </w:t>
      </w:r>
      <w:r w:rsidR="00EC11B5">
        <w:rPr>
          <w:szCs w:val="20"/>
        </w:rPr>
        <w:t xml:space="preserve">been </w:t>
      </w:r>
      <w:r>
        <w:rPr>
          <w:szCs w:val="20"/>
        </w:rPr>
        <w:t xml:space="preserve">adequately </w:t>
      </w:r>
      <w:r w:rsidRPr="005A1869">
        <w:rPr>
          <w:szCs w:val="20"/>
        </w:rPr>
        <w:t>controlled with medication</w:t>
      </w:r>
      <w:r>
        <w:rPr>
          <w:szCs w:val="20"/>
        </w:rPr>
        <w:t xml:space="preserve"> (medical</w:t>
      </w:r>
      <w:r w:rsidR="00B33612">
        <w:rPr>
          <w:szCs w:val="20"/>
        </w:rPr>
        <w:t>ly</w:t>
      </w:r>
      <w:r>
        <w:rPr>
          <w:szCs w:val="20"/>
        </w:rPr>
        <w:t xml:space="preserve"> refractory epilepsy) and </w:t>
      </w:r>
      <w:r w:rsidR="00B43149">
        <w:rPr>
          <w:szCs w:val="20"/>
        </w:rPr>
        <w:t xml:space="preserve">where </w:t>
      </w:r>
      <w:r w:rsidR="00B43149" w:rsidRPr="003E5DE5">
        <w:rPr>
          <w:szCs w:val="20"/>
        </w:rPr>
        <w:t xml:space="preserve">brain </w:t>
      </w:r>
      <w:r w:rsidR="006F5A37">
        <w:rPr>
          <w:szCs w:val="20"/>
        </w:rPr>
        <w:t xml:space="preserve">resective </w:t>
      </w:r>
      <w:r w:rsidR="00B43149" w:rsidRPr="00D315BB">
        <w:rPr>
          <w:szCs w:val="20"/>
        </w:rPr>
        <w:t xml:space="preserve">surgery </w:t>
      </w:r>
      <w:r w:rsidR="00B43149" w:rsidRPr="003E5DE5">
        <w:rPr>
          <w:szCs w:val="20"/>
        </w:rPr>
        <w:t>is</w:t>
      </w:r>
      <w:r w:rsidR="00EC11B5">
        <w:rPr>
          <w:szCs w:val="20"/>
        </w:rPr>
        <w:t xml:space="preserve"> either</w:t>
      </w:r>
      <w:r w:rsidR="00B43149" w:rsidRPr="003E5DE5">
        <w:rPr>
          <w:szCs w:val="20"/>
        </w:rPr>
        <w:t xml:space="preserve"> not </w:t>
      </w:r>
      <w:r w:rsidR="00EF3A30">
        <w:rPr>
          <w:szCs w:val="20"/>
        </w:rPr>
        <w:t>an option</w:t>
      </w:r>
      <w:r w:rsidR="00EC11B5">
        <w:rPr>
          <w:szCs w:val="20"/>
        </w:rPr>
        <w:t xml:space="preserve"> or has been unsuccessful in halting seizures</w:t>
      </w:r>
      <w:r w:rsidR="00EC11B5" w:rsidRPr="003E5DE5">
        <w:rPr>
          <w:szCs w:val="20"/>
        </w:rPr>
        <w:t xml:space="preserve">. </w:t>
      </w:r>
      <w:r w:rsidR="00B43149" w:rsidRPr="003E5DE5">
        <w:rPr>
          <w:szCs w:val="20"/>
        </w:rPr>
        <w:t xml:space="preserve"> </w:t>
      </w:r>
      <w:r w:rsidR="00EF32A8">
        <w:rPr>
          <w:szCs w:val="20"/>
        </w:rPr>
        <w:t>DBS</w:t>
      </w:r>
      <w:r w:rsidR="00B43149" w:rsidRPr="00F465E3">
        <w:rPr>
          <w:szCs w:val="20"/>
        </w:rPr>
        <w:t xml:space="preserve"> </w:t>
      </w:r>
      <w:r w:rsidR="00EC11B5">
        <w:rPr>
          <w:szCs w:val="20"/>
        </w:rPr>
        <w:t xml:space="preserve">delivers </w:t>
      </w:r>
      <w:r w:rsidR="00B43149" w:rsidRPr="00F465E3">
        <w:rPr>
          <w:szCs w:val="20"/>
        </w:rPr>
        <w:t>electrical impulses to</w:t>
      </w:r>
      <w:r w:rsidR="00EC11B5">
        <w:rPr>
          <w:szCs w:val="20"/>
        </w:rPr>
        <w:t xml:space="preserve"> a key central location deep in the brain, suppressing the bursts of epileptic discharges that characterise seizures.</w:t>
      </w:r>
      <w:r w:rsidR="00B43149" w:rsidRPr="00F465E3">
        <w:rPr>
          <w:szCs w:val="20"/>
        </w:rPr>
        <w:t xml:space="preserve"> </w:t>
      </w:r>
      <w:r w:rsidR="00B43149">
        <w:rPr>
          <w:szCs w:val="20"/>
        </w:rPr>
        <w:t xml:space="preserve">Under general anaesthetic, a </w:t>
      </w:r>
      <w:r w:rsidR="00B43149" w:rsidRPr="003031FE">
        <w:rPr>
          <w:szCs w:val="20"/>
        </w:rPr>
        <w:t>neurosurgeon</w:t>
      </w:r>
      <w:r w:rsidR="00B43149">
        <w:rPr>
          <w:szCs w:val="20"/>
        </w:rPr>
        <w:t xml:space="preserve"> places electrode leads</w:t>
      </w:r>
      <w:r w:rsidR="00B43149" w:rsidRPr="003031FE">
        <w:rPr>
          <w:szCs w:val="20"/>
        </w:rPr>
        <w:t xml:space="preserve"> </w:t>
      </w:r>
      <w:r w:rsidR="00B43149" w:rsidRPr="003E5DE5">
        <w:rPr>
          <w:szCs w:val="20"/>
        </w:rPr>
        <w:t>in</w:t>
      </w:r>
      <w:r w:rsidR="0042146E">
        <w:rPr>
          <w:szCs w:val="20"/>
        </w:rPr>
        <w:t>to</w:t>
      </w:r>
      <w:r w:rsidR="00B43149" w:rsidRPr="003E5DE5">
        <w:rPr>
          <w:szCs w:val="20"/>
        </w:rPr>
        <w:t xml:space="preserve"> the thalamus</w:t>
      </w:r>
      <w:r w:rsidR="00AA33A4">
        <w:rPr>
          <w:szCs w:val="20"/>
        </w:rPr>
        <w:t xml:space="preserve"> of the brain</w:t>
      </w:r>
      <w:r w:rsidR="00B43149" w:rsidRPr="003031FE">
        <w:rPr>
          <w:szCs w:val="20"/>
        </w:rPr>
        <w:t xml:space="preserve"> through small holes in the skull</w:t>
      </w:r>
      <w:r w:rsidR="00B43149">
        <w:rPr>
          <w:szCs w:val="20"/>
        </w:rPr>
        <w:t>. The leads are</w:t>
      </w:r>
      <w:r w:rsidR="00B43149" w:rsidRPr="003031FE">
        <w:rPr>
          <w:szCs w:val="20"/>
        </w:rPr>
        <w:t xml:space="preserve"> connected to wires </w:t>
      </w:r>
      <w:r w:rsidR="00B43149" w:rsidRPr="003E5DE5">
        <w:rPr>
          <w:szCs w:val="20"/>
        </w:rPr>
        <w:t>running</w:t>
      </w:r>
      <w:r w:rsidR="00B43149" w:rsidRPr="003031FE">
        <w:rPr>
          <w:szCs w:val="20"/>
        </w:rPr>
        <w:t xml:space="preserve"> under the skin behind the ear</w:t>
      </w:r>
      <w:r w:rsidR="00B43149" w:rsidRPr="003E5DE5">
        <w:rPr>
          <w:szCs w:val="20"/>
        </w:rPr>
        <w:t xml:space="preserve"> and </w:t>
      </w:r>
      <w:r w:rsidR="00EF3A30">
        <w:rPr>
          <w:szCs w:val="20"/>
        </w:rPr>
        <w:t xml:space="preserve">down the side of the </w:t>
      </w:r>
      <w:r w:rsidR="00B43149" w:rsidRPr="003031FE">
        <w:rPr>
          <w:szCs w:val="20"/>
        </w:rPr>
        <w:t xml:space="preserve">neck </w:t>
      </w:r>
      <w:r w:rsidR="00B43149">
        <w:rPr>
          <w:szCs w:val="20"/>
        </w:rPr>
        <w:t>and</w:t>
      </w:r>
      <w:r w:rsidR="00B43149" w:rsidRPr="003031FE">
        <w:rPr>
          <w:szCs w:val="20"/>
        </w:rPr>
        <w:t xml:space="preserve"> are attached to </w:t>
      </w:r>
      <w:r w:rsidR="00B43149" w:rsidRPr="003E5DE5">
        <w:rPr>
          <w:szCs w:val="20"/>
        </w:rPr>
        <w:t>a</w:t>
      </w:r>
      <w:r w:rsidR="00B43149" w:rsidRPr="003031FE">
        <w:rPr>
          <w:szCs w:val="20"/>
        </w:rPr>
        <w:t xml:space="preserve"> </w:t>
      </w:r>
      <w:r>
        <w:rPr>
          <w:szCs w:val="20"/>
        </w:rPr>
        <w:t xml:space="preserve">battery powered </w:t>
      </w:r>
      <w:bookmarkStart w:id="4" w:name="_Hlk81292068"/>
      <w:r w:rsidR="00B43149" w:rsidRPr="003031FE">
        <w:rPr>
          <w:szCs w:val="20"/>
        </w:rPr>
        <w:t>neurostimulator</w:t>
      </w:r>
      <w:r w:rsidR="00AA33A4">
        <w:rPr>
          <w:szCs w:val="20"/>
        </w:rPr>
        <w:t xml:space="preserve"> </w:t>
      </w:r>
      <w:bookmarkEnd w:id="4"/>
      <w:r w:rsidR="00AA33A4">
        <w:rPr>
          <w:szCs w:val="20"/>
        </w:rPr>
        <w:t>device</w:t>
      </w:r>
      <w:r w:rsidR="00B43149" w:rsidRPr="003031FE">
        <w:rPr>
          <w:szCs w:val="20"/>
        </w:rPr>
        <w:t xml:space="preserve"> (like a pacemaker) implanted in the upper chest</w:t>
      </w:r>
      <w:r w:rsidR="00B43149" w:rsidRPr="003E5DE5">
        <w:rPr>
          <w:szCs w:val="20"/>
        </w:rPr>
        <w:t xml:space="preserve">. </w:t>
      </w:r>
      <w:r w:rsidR="00EC11B5">
        <w:rPr>
          <w:szCs w:val="20"/>
        </w:rPr>
        <w:t xml:space="preserve">After implantation, the frequency and amplitude of the delivered electrical stimuli are adjusted to maximally suppress </w:t>
      </w:r>
      <w:r w:rsidR="00EC11B5" w:rsidRPr="00F465E3">
        <w:rPr>
          <w:szCs w:val="20"/>
        </w:rPr>
        <w:t>the frequency and severity of seizures</w:t>
      </w:r>
      <w:r w:rsidR="00EC11B5">
        <w:rPr>
          <w:szCs w:val="20"/>
        </w:rPr>
        <w:t xml:space="preserve">. </w:t>
      </w:r>
    </w:p>
    <w:p w14:paraId="6BF55BB2"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3ECBBEB7" w14:textId="20718E65" w:rsidR="00753C44" w:rsidRDefault="00596353" w:rsidP="000F0ACD">
      <w:pPr>
        <w:spacing w:before="0" w:after="0"/>
        <w:ind w:left="360"/>
        <w:rPr>
          <w:szCs w:val="20"/>
        </w:rPr>
      </w:pPr>
      <w:r w:rsidRPr="001A6E3C">
        <w:rPr>
          <w:szCs w:val="20"/>
        </w:rPr>
        <w:fldChar w:fldCharType="begin">
          <w:ffData>
            <w:name w:val=""/>
            <w:enabled/>
            <w:calcOnExit w:val="0"/>
            <w:checkBox>
              <w:sizeAuto/>
              <w:default w:val="1"/>
            </w:checkBox>
          </w:ffData>
        </w:fldChar>
      </w:r>
      <w:r w:rsidRPr="001A6E3C">
        <w:rPr>
          <w:szCs w:val="20"/>
        </w:rPr>
        <w:instrText xml:space="preserve"> FORMCHECKBOX </w:instrText>
      </w:r>
      <w:r w:rsidR="00317F2F">
        <w:rPr>
          <w:szCs w:val="20"/>
        </w:rPr>
      </w:r>
      <w:r w:rsidR="00317F2F">
        <w:rPr>
          <w:szCs w:val="20"/>
        </w:rPr>
        <w:fldChar w:fldCharType="separate"/>
      </w:r>
      <w:r w:rsidRPr="001A6E3C">
        <w:rPr>
          <w:szCs w:val="20"/>
        </w:rPr>
        <w:fldChar w:fldCharType="end"/>
      </w:r>
      <w:r w:rsidRPr="001A6E3C">
        <w:rPr>
          <w:szCs w:val="20"/>
        </w:rPr>
        <w:t xml:space="preserve"> </w:t>
      </w:r>
      <w:r w:rsidR="006B6390" w:rsidRPr="001A6E3C">
        <w:rPr>
          <w:szCs w:val="20"/>
        </w:rPr>
        <w:t>Yes</w:t>
      </w:r>
    </w:p>
    <w:p w14:paraId="2960407C" w14:textId="3F895801" w:rsidR="00753C44" w:rsidRDefault="00805C36" w:rsidP="000F0ACD">
      <w:pPr>
        <w:spacing w:before="0" w:after="0"/>
        <w:ind w:left="360"/>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317F2F">
        <w:rPr>
          <w:szCs w:val="20"/>
        </w:rPr>
      </w:r>
      <w:r w:rsidR="00317F2F">
        <w:rPr>
          <w:szCs w:val="20"/>
        </w:rPr>
        <w:fldChar w:fldCharType="separate"/>
      </w:r>
      <w:r w:rsidRPr="00753C44">
        <w:rPr>
          <w:szCs w:val="20"/>
        </w:rPr>
        <w:fldChar w:fldCharType="end"/>
      </w:r>
      <w:r w:rsidR="005409BD">
        <w:rPr>
          <w:szCs w:val="20"/>
        </w:rPr>
        <w:t xml:space="preserve"> </w:t>
      </w:r>
      <w:r w:rsidR="006B6390">
        <w:rPr>
          <w:szCs w:val="20"/>
        </w:rPr>
        <w:t>No</w:t>
      </w:r>
      <w:r w:rsidR="00753C44" w:rsidRPr="00753C44">
        <w:rPr>
          <w:szCs w:val="20"/>
        </w:rPr>
        <w:t xml:space="preserve">  </w:t>
      </w:r>
    </w:p>
    <w:p w14:paraId="6C968BE4" w14:textId="77777777" w:rsidR="000B3CD0" w:rsidRPr="0011036E" w:rsidRDefault="000B3CD0" w:rsidP="00954C3D">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6681A888" w14:textId="76B7D857" w:rsidR="00753C44" w:rsidRDefault="00596353" w:rsidP="000F0ACD">
      <w:pPr>
        <w:spacing w:before="0" w:after="0"/>
        <w:ind w:left="360"/>
        <w:rPr>
          <w:szCs w:val="20"/>
        </w:rPr>
      </w:pPr>
      <w:r>
        <w:rPr>
          <w:szCs w:val="20"/>
        </w:rPr>
        <w:fldChar w:fldCharType="begin">
          <w:ffData>
            <w:name w:val="Check2"/>
            <w:enabled/>
            <w:calcOnExit w:val="0"/>
            <w:checkBox>
              <w:sizeAuto/>
              <w:default w:val="1"/>
            </w:checkBox>
          </w:ffData>
        </w:fldChar>
      </w:r>
      <w:bookmarkStart w:id="5" w:name="Check2"/>
      <w:r>
        <w:rPr>
          <w:szCs w:val="20"/>
        </w:rPr>
        <w:instrText xml:space="preserve"> FORMCHECKBOX </w:instrText>
      </w:r>
      <w:r w:rsidR="00317F2F">
        <w:rPr>
          <w:szCs w:val="20"/>
        </w:rPr>
      </w:r>
      <w:r w:rsidR="00317F2F">
        <w:rPr>
          <w:szCs w:val="20"/>
        </w:rPr>
        <w:fldChar w:fldCharType="separate"/>
      </w:r>
      <w:r>
        <w:rPr>
          <w:szCs w:val="20"/>
        </w:rPr>
        <w:fldChar w:fldCharType="end"/>
      </w:r>
      <w:bookmarkEnd w:id="5"/>
      <w:r>
        <w:rPr>
          <w:szCs w:val="20"/>
        </w:rPr>
        <w:t xml:space="preserve"> </w:t>
      </w:r>
      <w:r w:rsidR="00753C44" w:rsidRPr="001A6E3C">
        <w:rPr>
          <w:szCs w:val="20"/>
        </w:rPr>
        <w:t>Amendment to existing MBS item(s)</w:t>
      </w:r>
    </w:p>
    <w:p w14:paraId="1C5358A6" w14:textId="75991285" w:rsidR="001A6E3C" w:rsidRPr="00753C44" w:rsidRDefault="006B6390" w:rsidP="000F0ACD">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317F2F">
        <w:rPr>
          <w:szCs w:val="20"/>
        </w:rPr>
      </w:r>
      <w:r w:rsidR="00317F2F">
        <w:rPr>
          <w:szCs w:val="20"/>
        </w:rPr>
        <w:fldChar w:fldCharType="separate"/>
      </w:r>
      <w:r w:rsidRPr="00753C44">
        <w:rPr>
          <w:szCs w:val="20"/>
        </w:rPr>
        <w:fldChar w:fldCharType="end"/>
      </w:r>
      <w:r>
        <w:rPr>
          <w:szCs w:val="20"/>
        </w:rPr>
        <w:t xml:space="preserve"> </w:t>
      </w:r>
      <w:r w:rsidR="00753C44" w:rsidRPr="00154B00">
        <w:rPr>
          <w:szCs w:val="20"/>
        </w:rPr>
        <w:t>New MBS item</w:t>
      </w:r>
      <w:r w:rsidR="00753C44">
        <w:rPr>
          <w:szCs w:val="20"/>
        </w:rPr>
        <w:t>(s)</w:t>
      </w:r>
    </w:p>
    <w:p w14:paraId="72A58F36" w14:textId="77777777" w:rsidR="000B3CD0" w:rsidRPr="0011036E" w:rsidRDefault="000B3CD0" w:rsidP="00954C3D">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A872E8">
        <w:rPr>
          <w:rStyle w:val="Strong"/>
          <w:rFonts w:asciiTheme="minorHAnsi" w:eastAsiaTheme="minorHAnsi" w:hAnsiTheme="minorHAnsi" w:cstheme="minorBidi"/>
          <w:b/>
        </w:rPr>
        <w:t>/technology</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7A501AB6" w14:textId="0C6881D0" w:rsidR="001A6E3C" w:rsidRPr="00CB12EC" w:rsidRDefault="00805C36" w:rsidP="000F0ACD">
      <w:pPr>
        <w:ind w:left="720"/>
      </w:pPr>
      <w:r w:rsidRPr="001A6E3C">
        <w:t xml:space="preserve">MBS items </w:t>
      </w:r>
      <w:r w:rsidR="006B237A">
        <w:t>40851</w:t>
      </w:r>
      <w:r w:rsidR="00F768A9">
        <w:t>, 40852, 4085</w:t>
      </w:r>
      <w:r w:rsidR="00393050">
        <w:t>4</w:t>
      </w:r>
      <w:r w:rsidR="00F768A9">
        <w:t>, 40856, 40858, 408</w:t>
      </w:r>
      <w:r w:rsidR="00FE1B28">
        <w:t>60, 40862</w:t>
      </w:r>
    </w:p>
    <w:p w14:paraId="7F54D420" w14:textId="6E4F452D" w:rsidR="006C0843" w:rsidRPr="0011036E" w:rsidRDefault="006C0843" w:rsidP="00954C3D">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745ABB85" w14:textId="77777777" w:rsidR="002A270B" w:rsidRPr="004A263B" w:rsidRDefault="002A270B" w:rsidP="00954C3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317F2F">
        <w:rPr>
          <w:b/>
          <w:szCs w:val="20"/>
        </w:rPr>
      </w:r>
      <w:r w:rsidR="00317F2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57D8CCBC" w14:textId="4F8FED75" w:rsidR="002A270B" w:rsidRPr="001A6E3C" w:rsidRDefault="00596353" w:rsidP="00954C3D">
      <w:pPr>
        <w:pStyle w:val="ListParagraph"/>
        <w:numPr>
          <w:ilvl w:val="0"/>
          <w:numId w:val="13"/>
        </w:numPr>
        <w:spacing w:before="0" w:after="0"/>
        <w:ind w:left="851" w:hanging="425"/>
        <w:rPr>
          <w:rStyle w:val="Strong"/>
          <w:b w:val="0"/>
        </w:rPr>
      </w:pPr>
      <w:r w:rsidRPr="001A6E3C">
        <w:rPr>
          <w:b/>
          <w:szCs w:val="20"/>
        </w:rPr>
        <w:fldChar w:fldCharType="begin">
          <w:ffData>
            <w:name w:val=""/>
            <w:enabled/>
            <w:calcOnExit w:val="0"/>
            <w:checkBox>
              <w:sizeAuto/>
              <w:default w:val="1"/>
            </w:checkBox>
          </w:ffData>
        </w:fldChar>
      </w:r>
      <w:r w:rsidRPr="001A6E3C">
        <w:rPr>
          <w:b/>
          <w:szCs w:val="20"/>
        </w:rPr>
        <w:instrText xml:space="preserve"> FORMCHECKBOX </w:instrText>
      </w:r>
      <w:r w:rsidR="00317F2F">
        <w:rPr>
          <w:b/>
          <w:szCs w:val="20"/>
        </w:rPr>
      </w:r>
      <w:r w:rsidR="00317F2F">
        <w:rPr>
          <w:b/>
          <w:szCs w:val="20"/>
        </w:rPr>
        <w:fldChar w:fldCharType="separate"/>
      </w:r>
      <w:r w:rsidRPr="001A6E3C">
        <w:rPr>
          <w:b/>
          <w:szCs w:val="20"/>
        </w:rPr>
        <w:fldChar w:fldCharType="end"/>
      </w:r>
      <w:r w:rsidR="002A270B" w:rsidRPr="001A6E3C">
        <w:rPr>
          <w:b/>
          <w:szCs w:val="20"/>
        </w:rPr>
        <w:t xml:space="preserve"> </w:t>
      </w:r>
      <w:r w:rsidR="002A270B" w:rsidRPr="001A6E3C">
        <w:rPr>
          <w:rStyle w:val="Strong"/>
          <w:b w:val="0"/>
        </w:rPr>
        <w:t>An amendment to the patient population under the existing item(s)</w:t>
      </w:r>
    </w:p>
    <w:p w14:paraId="33332609" w14:textId="77777777" w:rsidR="002A270B" w:rsidRPr="004A263B" w:rsidRDefault="002A270B" w:rsidP="00954C3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317F2F">
        <w:rPr>
          <w:b/>
          <w:szCs w:val="20"/>
        </w:rPr>
      </w:r>
      <w:r w:rsidR="00317F2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4C46E3A9" w14:textId="77777777" w:rsidR="002A270B" w:rsidRPr="004A263B" w:rsidRDefault="002A270B" w:rsidP="00954C3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317F2F">
        <w:rPr>
          <w:b/>
          <w:szCs w:val="20"/>
        </w:rPr>
      </w:r>
      <w:r w:rsidR="00317F2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5698B3AB" w14:textId="77777777" w:rsidR="002A270B" w:rsidRPr="004A263B" w:rsidRDefault="002A270B" w:rsidP="00954C3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317F2F">
        <w:rPr>
          <w:b/>
          <w:szCs w:val="20"/>
        </w:rPr>
      </w:r>
      <w:r w:rsidR="00317F2F">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3B3188D4" w14:textId="77777777" w:rsidR="002A270B" w:rsidRPr="004A263B" w:rsidRDefault="002A270B" w:rsidP="00954C3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317F2F">
        <w:rPr>
          <w:b/>
          <w:szCs w:val="20"/>
        </w:rPr>
      </w:r>
      <w:r w:rsidR="00317F2F">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309745B5" w14:textId="222DA985" w:rsidR="00534C5F" w:rsidRDefault="000770BA" w:rsidP="00954C3D">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4CCD1EFE" w14:textId="325D4F44" w:rsidR="00262762" w:rsidRPr="00262762" w:rsidRDefault="00262762" w:rsidP="0086495D">
      <w:pPr>
        <w:pStyle w:val="ListParagraph"/>
        <w:spacing w:before="0" w:after="0"/>
        <w:ind w:left="426"/>
      </w:pPr>
      <w:r w:rsidRPr="00262762">
        <w:rPr>
          <w:rStyle w:val="Strong"/>
          <w:b w:val="0"/>
        </w:rPr>
        <w:t>Not applicable.</w:t>
      </w:r>
    </w:p>
    <w:p w14:paraId="3659F0E5" w14:textId="77777777" w:rsidR="006B6390" w:rsidRPr="00AA2CFE" w:rsidRDefault="006B6390" w:rsidP="00954C3D">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317F2F">
        <w:rPr>
          <w:b/>
          <w:szCs w:val="20"/>
        </w:rPr>
      </w:r>
      <w:r w:rsidR="00317F2F">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337B4740" w14:textId="77777777" w:rsidR="006B6390" w:rsidRPr="00AA2CFE" w:rsidRDefault="006B6390" w:rsidP="00954C3D">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317F2F">
        <w:rPr>
          <w:b/>
          <w:szCs w:val="20"/>
        </w:rPr>
      </w:r>
      <w:r w:rsidR="00317F2F">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14:paraId="1B6935B9" w14:textId="77777777" w:rsidR="006B6390" w:rsidRPr="00AA2CFE" w:rsidRDefault="006B6390" w:rsidP="00954C3D">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317F2F">
        <w:rPr>
          <w:b/>
          <w:szCs w:val="20"/>
        </w:rPr>
      </w:r>
      <w:r w:rsidR="00317F2F">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2E3EBB05" w14:textId="7CD0FB52" w:rsidR="006B6390" w:rsidRDefault="006B6390" w:rsidP="00954C3D">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317F2F">
        <w:rPr>
          <w:b/>
          <w:szCs w:val="20"/>
        </w:rPr>
      </w:r>
      <w:r w:rsidR="00317F2F">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1056DA9C" w14:textId="77777777" w:rsidR="00C91B4F" w:rsidRDefault="00C91B4F" w:rsidP="00C91B4F">
      <w:pPr>
        <w:spacing w:before="0" w:after="0"/>
        <w:ind w:left="426"/>
        <w:rPr>
          <w:rStyle w:val="Strong"/>
          <w:b w:val="0"/>
        </w:rPr>
      </w:pPr>
    </w:p>
    <w:p w14:paraId="37998D3A" w14:textId="77777777" w:rsidR="003027BB" w:rsidRPr="007E39E4" w:rsidRDefault="00F30C22" w:rsidP="00954C3D">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3B6E541A" w14:textId="0DDF06F8" w:rsidR="0086495D" w:rsidRDefault="0086495D" w:rsidP="0086495D">
      <w:pPr>
        <w:ind w:left="360"/>
        <w:rPr>
          <w:szCs w:val="20"/>
        </w:rPr>
      </w:pPr>
      <w:r>
        <w:t>Not applicable</w:t>
      </w:r>
    </w:p>
    <w:p w14:paraId="525755D4" w14:textId="7ABAC3EB" w:rsidR="001A6E3C" w:rsidRDefault="003027BB" w:rsidP="000F0ACD">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69FB165E" w14:textId="0AB8D4CE" w:rsidR="000F0ACD" w:rsidRPr="000F0ACD" w:rsidRDefault="000F0ACD" w:rsidP="000F0ACD">
      <w:pPr>
        <w:ind w:left="360"/>
      </w:pPr>
      <w:r>
        <w:t>Not applicable</w:t>
      </w:r>
    </w:p>
    <w:p w14:paraId="69706F7F" w14:textId="77777777" w:rsidR="000B3CD0" w:rsidRDefault="000B3CD0" w:rsidP="00730C04">
      <w:pPr>
        <w:pStyle w:val="Heading2"/>
      </w:pPr>
      <w:r w:rsidRPr="00154B00">
        <w:t xml:space="preserve">What is the type of </w:t>
      </w:r>
      <w:r w:rsidR="00B45CA5">
        <w:t xml:space="preserve">medical </w:t>
      </w:r>
      <w:r w:rsidRPr="00154B00">
        <w:t>service</w:t>
      </w:r>
      <w:r w:rsidR="00B45CA5">
        <w:t>/technology?</w:t>
      </w:r>
    </w:p>
    <w:p w14:paraId="197237C0" w14:textId="4A39C14E" w:rsidR="00A6594E" w:rsidRDefault="00C606C0" w:rsidP="00BC5BF7">
      <w:pPr>
        <w:spacing w:before="0" w:after="0"/>
        <w:ind w:left="426"/>
      </w:pPr>
      <w:r w:rsidRPr="001A6E3C">
        <w:rPr>
          <w:b/>
          <w:szCs w:val="20"/>
        </w:rPr>
        <w:fldChar w:fldCharType="begin">
          <w:ffData>
            <w:name w:val=""/>
            <w:enabled/>
            <w:calcOnExit w:val="0"/>
            <w:checkBox>
              <w:sizeAuto/>
              <w:default w:val="1"/>
            </w:checkBox>
          </w:ffData>
        </w:fldChar>
      </w:r>
      <w:r w:rsidRPr="001A6E3C">
        <w:rPr>
          <w:b/>
          <w:szCs w:val="20"/>
        </w:rPr>
        <w:instrText xml:space="preserve"> FORMCHECKBOX </w:instrText>
      </w:r>
      <w:r w:rsidR="00317F2F">
        <w:rPr>
          <w:b/>
          <w:szCs w:val="20"/>
        </w:rPr>
      </w:r>
      <w:r w:rsidR="00317F2F">
        <w:rPr>
          <w:b/>
          <w:szCs w:val="20"/>
        </w:rPr>
        <w:fldChar w:fldCharType="separate"/>
      </w:r>
      <w:r w:rsidRPr="001A6E3C">
        <w:rPr>
          <w:b/>
          <w:szCs w:val="20"/>
        </w:rPr>
        <w:fldChar w:fldCharType="end"/>
      </w:r>
      <w:r w:rsidRPr="001A6E3C">
        <w:rPr>
          <w:b/>
          <w:szCs w:val="20"/>
        </w:rPr>
        <w:t xml:space="preserve"> </w:t>
      </w:r>
      <w:r w:rsidR="00A6594E" w:rsidRPr="001A6E3C">
        <w:t>Therapeutic medical service</w:t>
      </w:r>
    </w:p>
    <w:p w14:paraId="4DD187B5" w14:textId="77777777" w:rsidR="00A6594E" w:rsidRDefault="00A6594E" w:rsidP="00BC5BF7">
      <w:pPr>
        <w:spacing w:before="0" w:after="0"/>
        <w:ind w:left="42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17F2F">
        <w:rPr>
          <w:b/>
          <w:szCs w:val="20"/>
        </w:rPr>
      </w:r>
      <w:r w:rsidR="00317F2F">
        <w:rPr>
          <w:b/>
          <w:szCs w:val="20"/>
        </w:rPr>
        <w:fldChar w:fldCharType="separate"/>
      </w:r>
      <w:r w:rsidRPr="0027105F">
        <w:rPr>
          <w:b/>
          <w:szCs w:val="20"/>
        </w:rPr>
        <w:fldChar w:fldCharType="end"/>
      </w:r>
      <w:r w:rsidRPr="0027105F">
        <w:rPr>
          <w:b/>
          <w:szCs w:val="20"/>
        </w:rPr>
        <w:t xml:space="preserve"> </w:t>
      </w:r>
      <w:r>
        <w:t>Investigative medical service</w:t>
      </w:r>
    </w:p>
    <w:p w14:paraId="7A50051D" w14:textId="77777777" w:rsidR="00A6594E" w:rsidRDefault="00A6594E" w:rsidP="00BC5BF7">
      <w:pPr>
        <w:spacing w:before="0" w:after="0"/>
        <w:ind w:left="42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17F2F">
        <w:rPr>
          <w:b/>
          <w:szCs w:val="20"/>
        </w:rPr>
      </w:r>
      <w:r w:rsidR="00317F2F">
        <w:rPr>
          <w:b/>
          <w:szCs w:val="20"/>
        </w:rPr>
        <w:fldChar w:fldCharType="separate"/>
      </w:r>
      <w:r w:rsidRPr="0027105F">
        <w:rPr>
          <w:b/>
          <w:szCs w:val="20"/>
        </w:rPr>
        <w:fldChar w:fldCharType="end"/>
      </w:r>
      <w:r w:rsidRPr="0027105F">
        <w:rPr>
          <w:b/>
          <w:szCs w:val="20"/>
        </w:rPr>
        <w:t xml:space="preserve"> </w:t>
      </w:r>
      <w:r>
        <w:t>Single consultation medical service</w:t>
      </w:r>
    </w:p>
    <w:p w14:paraId="6AE12BFC" w14:textId="77777777" w:rsidR="00A6594E" w:rsidRDefault="00A6594E" w:rsidP="00BC5BF7">
      <w:pPr>
        <w:spacing w:before="0" w:after="0"/>
        <w:ind w:left="42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17F2F">
        <w:rPr>
          <w:b/>
          <w:szCs w:val="20"/>
        </w:rPr>
      </w:r>
      <w:r w:rsidR="00317F2F">
        <w:rPr>
          <w:b/>
          <w:szCs w:val="20"/>
        </w:rPr>
        <w:fldChar w:fldCharType="separate"/>
      </w:r>
      <w:r w:rsidRPr="0027105F">
        <w:rPr>
          <w:b/>
          <w:szCs w:val="20"/>
        </w:rPr>
        <w:fldChar w:fldCharType="end"/>
      </w:r>
      <w:r w:rsidRPr="0027105F">
        <w:rPr>
          <w:b/>
          <w:szCs w:val="20"/>
        </w:rPr>
        <w:t xml:space="preserve"> </w:t>
      </w:r>
      <w:r>
        <w:t>Global consultation medical service</w:t>
      </w:r>
    </w:p>
    <w:p w14:paraId="5B614587" w14:textId="77777777" w:rsidR="00A6594E" w:rsidRDefault="00A6594E" w:rsidP="00BC5BF7">
      <w:pPr>
        <w:spacing w:before="0" w:after="0"/>
        <w:ind w:left="42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17F2F">
        <w:rPr>
          <w:b/>
          <w:szCs w:val="20"/>
        </w:rPr>
      </w:r>
      <w:r w:rsidR="00317F2F">
        <w:rPr>
          <w:b/>
          <w:szCs w:val="20"/>
        </w:rPr>
        <w:fldChar w:fldCharType="separate"/>
      </w:r>
      <w:r w:rsidRPr="0027105F">
        <w:rPr>
          <w:b/>
          <w:szCs w:val="20"/>
        </w:rPr>
        <w:fldChar w:fldCharType="end"/>
      </w:r>
      <w:r w:rsidRPr="0027105F">
        <w:rPr>
          <w:b/>
          <w:szCs w:val="20"/>
        </w:rPr>
        <w:t xml:space="preserve"> </w:t>
      </w:r>
      <w:r>
        <w:t>Allied health service</w:t>
      </w:r>
    </w:p>
    <w:p w14:paraId="3DB523EF" w14:textId="77777777" w:rsidR="00A6594E" w:rsidRDefault="00A6594E" w:rsidP="00BC5BF7">
      <w:pPr>
        <w:spacing w:before="0" w:after="0"/>
        <w:ind w:left="42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17F2F">
        <w:rPr>
          <w:b/>
          <w:szCs w:val="20"/>
        </w:rPr>
      </w:r>
      <w:r w:rsidR="00317F2F">
        <w:rPr>
          <w:b/>
          <w:szCs w:val="20"/>
        </w:rPr>
        <w:fldChar w:fldCharType="separate"/>
      </w:r>
      <w:r w:rsidRPr="0027105F">
        <w:rPr>
          <w:b/>
          <w:szCs w:val="20"/>
        </w:rPr>
        <w:fldChar w:fldCharType="end"/>
      </w:r>
      <w:r w:rsidRPr="0027105F">
        <w:rPr>
          <w:b/>
          <w:szCs w:val="20"/>
        </w:rPr>
        <w:t xml:space="preserve"> </w:t>
      </w:r>
      <w:r>
        <w:t>Co-dependent technology</w:t>
      </w:r>
    </w:p>
    <w:p w14:paraId="0E875C22" w14:textId="01DF9DF0" w:rsidR="001A6E3C" w:rsidRPr="00A6594E" w:rsidRDefault="00A6594E" w:rsidP="00BC5BF7">
      <w:pPr>
        <w:spacing w:before="0" w:after="0"/>
        <w:ind w:left="42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17F2F">
        <w:rPr>
          <w:b/>
          <w:szCs w:val="20"/>
        </w:rPr>
      </w:r>
      <w:r w:rsidR="00317F2F">
        <w:rPr>
          <w:b/>
          <w:szCs w:val="20"/>
        </w:rPr>
        <w:fldChar w:fldCharType="separate"/>
      </w:r>
      <w:r w:rsidRPr="0027105F">
        <w:rPr>
          <w:b/>
          <w:szCs w:val="20"/>
        </w:rPr>
        <w:fldChar w:fldCharType="end"/>
      </w:r>
      <w:r w:rsidRPr="0027105F">
        <w:rPr>
          <w:b/>
          <w:szCs w:val="20"/>
        </w:rPr>
        <w:t xml:space="preserve"> </w:t>
      </w:r>
      <w:r>
        <w:t>Hybrid health technology</w:t>
      </w:r>
    </w:p>
    <w:p w14:paraId="007E642B" w14:textId="1DA32BE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131D6D7B" w14:textId="4A84C8B2" w:rsidR="001A6E3C" w:rsidRPr="00EE2250" w:rsidRDefault="00B12C53" w:rsidP="000F0ACD">
      <w:pPr>
        <w:ind w:left="360"/>
      </w:pPr>
      <w:r w:rsidRPr="001A6E3C">
        <w:t>Not applicable.</w:t>
      </w:r>
    </w:p>
    <w:p w14:paraId="5F5477DF"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468797D4" w14:textId="77777777" w:rsidR="00FE16C1" w:rsidRDefault="00FE16C1" w:rsidP="00BC5BF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17F2F">
        <w:rPr>
          <w:b/>
          <w:szCs w:val="20"/>
        </w:rPr>
      </w:r>
      <w:r w:rsidR="00317F2F">
        <w:rPr>
          <w:b/>
          <w:szCs w:val="20"/>
        </w:rPr>
        <w:fldChar w:fldCharType="separate"/>
      </w:r>
      <w:r w:rsidRPr="0027105F">
        <w:rPr>
          <w:b/>
          <w:szCs w:val="20"/>
        </w:rPr>
        <w:fldChar w:fldCharType="end"/>
      </w:r>
      <w:r w:rsidRPr="0027105F">
        <w:rPr>
          <w:b/>
          <w:szCs w:val="20"/>
        </w:rPr>
        <w:t xml:space="preserve"> </w:t>
      </w:r>
      <w:r>
        <w:t>Pharmaceutical / Biological</w:t>
      </w:r>
    </w:p>
    <w:p w14:paraId="5AD8767B" w14:textId="218DFDFE" w:rsidR="00FE16C1" w:rsidRDefault="00C606C0" w:rsidP="00BC5BF7">
      <w:pPr>
        <w:spacing w:before="0" w:after="0"/>
        <w:ind w:left="360"/>
      </w:pPr>
      <w:r w:rsidRPr="001A6E3C">
        <w:rPr>
          <w:b/>
          <w:szCs w:val="20"/>
        </w:rPr>
        <w:fldChar w:fldCharType="begin">
          <w:ffData>
            <w:name w:val=""/>
            <w:enabled/>
            <w:calcOnExit w:val="0"/>
            <w:checkBox>
              <w:sizeAuto/>
              <w:default w:val="1"/>
            </w:checkBox>
          </w:ffData>
        </w:fldChar>
      </w:r>
      <w:r w:rsidRPr="001A6E3C">
        <w:rPr>
          <w:b/>
          <w:szCs w:val="20"/>
        </w:rPr>
        <w:instrText xml:space="preserve"> FORMCHECKBOX </w:instrText>
      </w:r>
      <w:r w:rsidR="00317F2F">
        <w:rPr>
          <w:b/>
          <w:szCs w:val="20"/>
        </w:rPr>
      </w:r>
      <w:r w:rsidR="00317F2F">
        <w:rPr>
          <w:b/>
          <w:szCs w:val="20"/>
        </w:rPr>
        <w:fldChar w:fldCharType="separate"/>
      </w:r>
      <w:r w:rsidRPr="001A6E3C">
        <w:rPr>
          <w:b/>
          <w:szCs w:val="20"/>
        </w:rPr>
        <w:fldChar w:fldCharType="end"/>
      </w:r>
      <w:r w:rsidRPr="001A6E3C">
        <w:rPr>
          <w:b/>
          <w:szCs w:val="20"/>
        </w:rPr>
        <w:t xml:space="preserve"> </w:t>
      </w:r>
      <w:r w:rsidR="00FE16C1" w:rsidRPr="001A6E3C">
        <w:t>Prosthesis or device</w:t>
      </w:r>
    </w:p>
    <w:p w14:paraId="59733C91" w14:textId="63143EB0" w:rsidR="00262762" w:rsidRPr="00FE16C1" w:rsidRDefault="00FE16C1" w:rsidP="00BC5BF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317F2F">
        <w:rPr>
          <w:b/>
          <w:szCs w:val="20"/>
        </w:rPr>
      </w:r>
      <w:r w:rsidR="00317F2F">
        <w:rPr>
          <w:b/>
          <w:szCs w:val="20"/>
        </w:rPr>
        <w:fldChar w:fldCharType="separate"/>
      </w:r>
      <w:r w:rsidRPr="0027105F">
        <w:rPr>
          <w:b/>
          <w:szCs w:val="20"/>
        </w:rPr>
        <w:fldChar w:fldCharType="end"/>
      </w:r>
      <w:r w:rsidRPr="0027105F">
        <w:rPr>
          <w:b/>
          <w:szCs w:val="20"/>
        </w:rPr>
        <w:t xml:space="preserve"> </w:t>
      </w:r>
      <w:r>
        <w:t>No</w:t>
      </w:r>
    </w:p>
    <w:p w14:paraId="4AC74BBE" w14:textId="1BB06F20" w:rsidR="000E5439"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5AA3DF70" w14:textId="4C779B88" w:rsidR="00F615B4" w:rsidRPr="00F615B4" w:rsidRDefault="00F615B4" w:rsidP="000F0ACD">
      <w:pPr>
        <w:ind w:left="284" w:firstLine="76"/>
      </w:pPr>
      <w:r w:rsidRPr="001A6E3C">
        <w:t>Not applicable.</w:t>
      </w:r>
    </w:p>
    <w:p w14:paraId="2521D5F6" w14:textId="77777777" w:rsidR="00EC127A" w:rsidRPr="001E6958" w:rsidRDefault="000E5439" w:rsidP="00954C3D">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4AEA5585" w14:textId="1AB5C09A" w:rsidR="001A6E3C" w:rsidRPr="000F0ACD" w:rsidRDefault="00F615B4" w:rsidP="000F0ACD">
      <w:pPr>
        <w:ind w:left="284" w:firstLine="76"/>
      </w:pPr>
      <w:r w:rsidRPr="001A6E3C">
        <w:t>Not applicable.</w:t>
      </w:r>
    </w:p>
    <w:p w14:paraId="6A0B5BD4" w14:textId="49F96A66" w:rsidR="00411735" w:rsidRDefault="00411735" w:rsidP="00954C3D">
      <w:pPr>
        <w:pStyle w:val="Heading2"/>
        <w:numPr>
          <w:ilvl w:val="0"/>
          <w:numId w:val="4"/>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1274892E" w14:textId="49AAA58B" w:rsidR="001A6E3C" w:rsidRPr="000F0ACD" w:rsidRDefault="00F615B4" w:rsidP="000F0ACD">
      <w:pPr>
        <w:ind w:left="284" w:firstLine="76"/>
      </w:pPr>
      <w:r w:rsidRPr="001A6E3C">
        <w:t>Not applicable.</w:t>
      </w:r>
    </w:p>
    <w:p w14:paraId="538575BA" w14:textId="727ECF9A" w:rsidR="000E5439" w:rsidRDefault="000E5439" w:rsidP="00954C3D">
      <w:pPr>
        <w:pStyle w:val="Heading2"/>
        <w:numPr>
          <w:ilvl w:val="0"/>
          <w:numId w:val="4"/>
        </w:numPr>
      </w:pPr>
      <w:r w:rsidRPr="007E39E4">
        <w:t>If you are seeking both MBS and PBS listing</w:t>
      </w:r>
      <w:r w:rsidR="00B75965" w:rsidRPr="007E39E4">
        <w:t>, what is the trade name and generic name of the pharmaceutical?</w:t>
      </w:r>
    </w:p>
    <w:p w14:paraId="1763EC3E" w14:textId="329D97EB" w:rsidR="001A6E3C" w:rsidRPr="001E6958" w:rsidRDefault="00F615B4" w:rsidP="000F0ACD">
      <w:pPr>
        <w:ind w:left="284"/>
      </w:pPr>
      <w:r w:rsidRPr="001A6E3C">
        <w:t>Not applicable.</w:t>
      </w:r>
    </w:p>
    <w:p w14:paraId="0BC36D2D" w14:textId="71787DDB"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6340073A" w14:textId="5C283238" w:rsidR="001E6958" w:rsidRDefault="00746FE1" w:rsidP="000F0ACD">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17F2F">
        <w:rPr>
          <w:szCs w:val="20"/>
        </w:rPr>
      </w:r>
      <w:r w:rsidR="00317F2F">
        <w:rPr>
          <w:szCs w:val="20"/>
        </w:rPr>
        <w:fldChar w:fldCharType="separate"/>
      </w:r>
      <w:r>
        <w:rPr>
          <w:szCs w:val="20"/>
        </w:rPr>
        <w:fldChar w:fldCharType="end"/>
      </w:r>
      <w:r w:rsidR="001E6958" w:rsidRPr="000A5B32">
        <w:rPr>
          <w:szCs w:val="20"/>
        </w:rPr>
        <w:t xml:space="preserve"> Yes</w:t>
      </w:r>
      <w:r w:rsidR="009279C4">
        <w:rPr>
          <w:szCs w:val="20"/>
        </w:rPr>
        <w:t xml:space="preserve">. </w:t>
      </w:r>
    </w:p>
    <w:p w14:paraId="1053F8CB" w14:textId="0D1B8436" w:rsidR="001E6919" w:rsidRDefault="001E6958" w:rsidP="000F0ACD">
      <w:pPr>
        <w:spacing w:before="0" w:after="0"/>
        <w:ind w:left="360"/>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317F2F">
        <w:rPr>
          <w:szCs w:val="20"/>
        </w:rPr>
      </w:r>
      <w:r w:rsidR="00317F2F">
        <w:rPr>
          <w:szCs w:val="20"/>
        </w:rPr>
        <w:fldChar w:fldCharType="separate"/>
      </w:r>
      <w:r w:rsidRPr="000A5B32">
        <w:rPr>
          <w:szCs w:val="20"/>
        </w:rPr>
        <w:fldChar w:fldCharType="end"/>
      </w:r>
      <w:r>
        <w:rPr>
          <w:szCs w:val="20"/>
        </w:rPr>
        <w:t xml:space="preserve"> No  </w:t>
      </w:r>
    </w:p>
    <w:p w14:paraId="6A46A37A" w14:textId="77777777" w:rsidR="00BC5BF7" w:rsidRDefault="00BC5BF7" w:rsidP="000F0ACD">
      <w:pPr>
        <w:spacing w:before="0" w:after="0"/>
        <w:ind w:left="360"/>
        <w:rPr>
          <w:szCs w:val="20"/>
        </w:rPr>
      </w:pPr>
    </w:p>
    <w:p w14:paraId="1D33BFE3" w14:textId="0C9925AA" w:rsidR="000F0ACD" w:rsidRDefault="000F0ACD" w:rsidP="000F0ACD">
      <w:pPr>
        <w:spacing w:before="0" w:after="0"/>
        <w:ind w:left="360"/>
        <w:rPr>
          <w:szCs w:val="20"/>
        </w:rPr>
      </w:pPr>
      <w:r>
        <w:rPr>
          <w:szCs w:val="20"/>
        </w:rPr>
        <w:t>Please note that the DBS prosthesis which ae available for other indications in Australia are the same items that will be used in the prosed service.</w:t>
      </w:r>
    </w:p>
    <w:p w14:paraId="73ABB460" w14:textId="77777777" w:rsidR="000F0ACD" w:rsidRDefault="000F0ACD" w:rsidP="00F615B4">
      <w:pPr>
        <w:spacing w:before="0" w:after="0"/>
        <w:ind w:left="284"/>
        <w:rPr>
          <w:szCs w:val="20"/>
        </w:rPr>
      </w:pPr>
    </w:p>
    <w:p w14:paraId="461CC4E9" w14:textId="25A7BA66" w:rsidR="002D61AC" w:rsidRDefault="002D61AC" w:rsidP="00D766C0">
      <w:pPr>
        <w:jc w:val="center"/>
        <w:rPr>
          <w:szCs w:val="20"/>
        </w:rPr>
      </w:pPr>
      <w:r w:rsidRPr="00D766C0">
        <w:rPr>
          <w:b/>
          <w:bCs/>
          <w:szCs w:val="20"/>
        </w:rPr>
        <w:lastRenderedPageBreak/>
        <w:t>Percept PC – Deep Brain Stimulation implantable pulse generator</w:t>
      </w:r>
    </w:p>
    <w:tbl>
      <w:tblPr>
        <w:tblStyle w:val="TableGrid"/>
        <w:tblW w:w="10348"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1275"/>
        <w:gridCol w:w="2268"/>
        <w:gridCol w:w="1134"/>
        <w:gridCol w:w="851"/>
        <w:gridCol w:w="1276"/>
        <w:gridCol w:w="1275"/>
      </w:tblGrid>
      <w:tr w:rsidR="00A55CD4" w:rsidRPr="004B1C5C" w14:paraId="010C0DBF" w14:textId="53DA7AF6" w:rsidTr="00BC5BF7">
        <w:trPr>
          <w:trHeight w:val="734"/>
        </w:trPr>
        <w:tc>
          <w:tcPr>
            <w:tcW w:w="2269" w:type="dxa"/>
            <w:shd w:val="clear" w:color="auto" w:fill="D9D9D9" w:themeFill="background1" w:themeFillShade="D9"/>
            <w:hideMark/>
          </w:tcPr>
          <w:p w14:paraId="58BAF915" w14:textId="56E34C53" w:rsidR="00A55CD4" w:rsidRPr="004B1C5C" w:rsidRDefault="00A55CD4">
            <w:pPr>
              <w:jc w:val="center"/>
              <w:rPr>
                <w:rFonts w:cstheme="minorHAnsi"/>
                <w:b/>
                <w:bCs/>
                <w:szCs w:val="20"/>
              </w:rPr>
            </w:pPr>
            <w:r>
              <w:rPr>
                <w:rFonts w:cstheme="minorHAnsi"/>
                <w:b/>
                <w:bCs/>
                <w:szCs w:val="20"/>
              </w:rPr>
              <w:t>Trade/Clinical</w:t>
            </w:r>
            <w:r w:rsidRPr="004B1C5C">
              <w:rPr>
                <w:rFonts w:cstheme="minorHAnsi"/>
                <w:b/>
                <w:bCs/>
                <w:szCs w:val="20"/>
              </w:rPr>
              <w:t xml:space="preserve"> Name</w:t>
            </w:r>
          </w:p>
        </w:tc>
        <w:tc>
          <w:tcPr>
            <w:tcW w:w="1275" w:type="dxa"/>
            <w:shd w:val="clear" w:color="auto" w:fill="D9D9D9" w:themeFill="background1" w:themeFillShade="D9"/>
            <w:hideMark/>
          </w:tcPr>
          <w:p w14:paraId="17F27DB0" w14:textId="77777777" w:rsidR="00A55CD4" w:rsidRPr="004B1C5C" w:rsidRDefault="00A55CD4">
            <w:pPr>
              <w:jc w:val="center"/>
              <w:rPr>
                <w:rFonts w:cstheme="minorHAnsi"/>
                <w:b/>
                <w:bCs/>
                <w:szCs w:val="20"/>
              </w:rPr>
            </w:pPr>
            <w:r w:rsidRPr="004B1C5C">
              <w:rPr>
                <w:rFonts w:cstheme="minorHAnsi"/>
                <w:b/>
                <w:bCs/>
                <w:szCs w:val="20"/>
              </w:rPr>
              <w:t>Model number</w:t>
            </w:r>
          </w:p>
        </w:tc>
        <w:tc>
          <w:tcPr>
            <w:tcW w:w="2268" w:type="dxa"/>
            <w:shd w:val="clear" w:color="auto" w:fill="D9D9D9" w:themeFill="background1" w:themeFillShade="D9"/>
            <w:hideMark/>
          </w:tcPr>
          <w:p w14:paraId="4CCC815C" w14:textId="77777777" w:rsidR="00A55CD4" w:rsidRPr="004B1C5C" w:rsidRDefault="00A55CD4">
            <w:pPr>
              <w:jc w:val="center"/>
              <w:rPr>
                <w:rFonts w:cstheme="minorHAnsi"/>
                <w:b/>
                <w:bCs/>
                <w:szCs w:val="20"/>
              </w:rPr>
            </w:pPr>
            <w:r w:rsidRPr="004B1C5C">
              <w:rPr>
                <w:rFonts w:cstheme="minorHAnsi"/>
                <w:b/>
                <w:bCs/>
                <w:szCs w:val="20"/>
              </w:rPr>
              <w:t>Description</w:t>
            </w:r>
          </w:p>
        </w:tc>
        <w:tc>
          <w:tcPr>
            <w:tcW w:w="1134" w:type="dxa"/>
            <w:shd w:val="clear" w:color="auto" w:fill="D9D9D9" w:themeFill="background1" w:themeFillShade="D9"/>
            <w:hideMark/>
          </w:tcPr>
          <w:p w14:paraId="5C8B77A5" w14:textId="77777777" w:rsidR="00A55CD4" w:rsidRPr="004B1C5C" w:rsidRDefault="00A55CD4">
            <w:pPr>
              <w:jc w:val="center"/>
              <w:rPr>
                <w:rFonts w:cstheme="minorHAnsi"/>
                <w:b/>
                <w:bCs/>
                <w:szCs w:val="20"/>
              </w:rPr>
            </w:pPr>
            <w:r w:rsidRPr="004B1C5C">
              <w:rPr>
                <w:rFonts w:cstheme="minorHAnsi"/>
                <w:b/>
                <w:bCs/>
                <w:szCs w:val="20"/>
              </w:rPr>
              <w:t>Benefit per unit</w:t>
            </w:r>
          </w:p>
        </w:tc>
        <w:tc>
          <w:tcPr>
            <w:tcW w:w="851" w:type="dxa"/>
            <w:shd w:val="clear" w:color="auto" w:fill="D9D9D9" w:themeFill="background1" w:themeFillShade="D9"/>
            <w:hideMark/>
          </w:tcPr>
          <w:p w14:paraId="6D79CAE2" w14:textId="77777777" w:rsidR="00A55CD4" w:rsidRPr="004B1C5C" w:rsidRDefault="00A55CD4">
            <w:pPr>
              <w:jc w:val="center"/>
              <w:rPr>
                <w:rFonts w:cstheme="minorHAnsi"/>
                <w:b/>
                <w:bCs/>
                <w:szCs w:val="20"/>
              </w:rPr>
            </w:pPr>
            <w:r w:rsidRPr="004B1C5C">
              <w:rPr>
                <w:rFonts w:cstheme="minorHAnsi"/>
                <w:b/>
                <w:bCs/>
                <w:szCs w:val="20"/>
              </w:rPr>
              <w:t>Qty needed</w:t>
            </w:r>
          </w:p>
        </w:tc>
        <w:tc>
          <w:tcPr>
            <w:tcW w:w="1276" w:type="dxa"/>
            <w:shd w:val="clear" w:color="auto" w:fill="D9D9D9" w:themeFill="background1" w:themeFillShade="D9"/>
            <w:hideMark/>
          </w:tcPr>
          <w:p w14:paraId="7469270D" w14:textId="77777777" w:rsidR="00A55CD4" w:rsidRPr="004B1C5C" w:rsidRDefault="00A55CD4">
            <w:pPr>
              <w:jc w:val="center"/>
              <w:rPr>
                <w:rFonts w:cstheme="minorHAnsi"/>
                <w:b/>
                <w:bCs/>
                <w:szCs w:val="20"/>
              </w:rPr>
            </w:pPr>
            <w:r w:rsidRPr="004B1C5C">
              <w:rPr>
                <w:rFonts w:cstheme="minorHAnsi"/>
                <w:b/>
                <w:bCs/>
                <w:szCs w:val="20"/>
              </w:rPr>
              <w:t>Billing Code</w:t>
            </w:r>
          </w:p>
        </w:tc>
        <w:tc>
          <w:tcPr>
            <w:tcW w:w="1275" w:type="dxa"/>
            <w:shd w:val="clear" w:color="auto" w:fill="D9D9D9" w:themeFill="background1" w:themeFillShade="D9"/>
          </w:tcPr>
          <w:p w14:paraId="7FAC1843" w14:textId="555C61E4" w:rsidR="00A55CD4" w:rsidRPr="004B1C5C" w:rsidRDefault="00A55CD4">
            <w:pPr>
              <w:jc w:val="center"/>
              <w:rPr>
                <w:rFonts w:cstheme="minorHAnsi"/>
                <w:b/>
                <w:bCs/>
                <w:szCs w:val="20"/>
              </w:rPr>
            </w:pPr>
            <w:r>
              <w:rPr>
                <w:rFonts w:cstheme="minorHAnsi"/>
                <w:b/>
                <w:bCs/>
                <w:szCs w:val="20"/>
              </w:rPr>
              <w:t>ARTG Certificate</w:t>
            </w:r>
          </w:p>
        </w:tc>
      </w:tr>
      <w:tr w:rsidR="00A55CD4" w:rsidRPr="004B1C5C" w14:paraId="34A65512" w14:textId="082BCDEF" w:rsidTr="00BC5BF7">
        <w:trPr>
          <w:trHeight w:val="738"/>
        </w:trPr>
        <w:tc>
          <w:tcPr>
            <w:tcW w:w="2269" w:type="dxa"/>
            <w:hideMark/>
          </w:tcPr>
          <w:p w14:paraId="4677FAC7" w14:textId="68F3FB7E" w:rsidR="00A55CD4" w:rsidRPr="004B1C5C" w:rsidRDefault="00A55CD4">
            <w:pPr>
              <w:rPr>
                <w:rFonts w:cstheme="minorHAnsi"/>
                <w:szCs w:val="20"/>
              </w:rPr>
            </w:pPr>
            <w:r w:rsidRPr="004B1C5C">
              <w:rPr>
                <w:rFonts w:cstheme="minorHAnsi"/>
                <w:szCs w:val="20"/>
              </w:rPr>
              <w:t xml:space="preserve">Percept </w:t>
            </w:r>
            <w:r w:rsidR="000752B5">
              <w:rPr>
                <w:rFonts w:cstheme="minorHAnsi"/>
                <w:szCs w:val="20"/>
              </w:rPr>
              <w:t xml:space="preserve">PC </w:t>
            </w:r>
            <w:proofErr w:type="spellStart"/>
            <w:r w:rsidR="000752B5">
              <w:rPr>
                <w:rFonts w:cstheme="minorHAnsi"/>
                <w:szCs w:val="20"/>
              </w:rPr>
              <w:t>Brainsense</w:t>
            </w:r>
            <w:proofErr w:type="spellEnd"/>
          </w:p>
        </w:tc>
        <w:tc>
          <w:tcPr>
            <w:tcW w:w="1275" w:type="dxa"/>
            <w:hideMark/>
          </w:tcPr>
          <w:p w14:paraId="03DC8C73" w14:textId="77777777" w:rsidR="00A55CD4" w:rsidRPr="004B1C5C" w:rsidRDefault="00A55CD4">
            <w:pPr>
              <w:rPr>
                <w:rFonts w:cstheme="minorHAnsi"/>
                <w:szCs w:val="20"/>
              </w:rPr>
            </w:pPr>
            <w:r w:rsidRPr="004B1C5C">
              <w:rPr>
                <w:rFonts w:cstheme="minorHAnsi"/>
                <w:szCs w:val="20"/>
              </w:rPr>
              <w:t>B35200</w:t>
            </w:r>
          </w:p>
        </w:tc>
        <w:tc>
          <w:tcPr>
            <w:tcW w:w="2268" w:type="dxa"/>
            <w:hideMark/>
          </w:tcPr>
          <w:p w14:paraId="3F04C2C9" w14:textId="77777777" w:rsidR="00A55CD4" w:rsidRPr="004B1C5C" w:rsidRDefault="00A55CD4">
            <w:pPr>
              <w:rPr>
                <w:rFonts w:cstheme="minorHAnsi"/>
                <w:szCs w:val="20"/>
              </w:rPr>
            </w:pPr>
            <w:r w:rsidRPr="004B1C5C">
              <w:rPr>
                <w:rFonts w:cstheme="minorHAnsi"/>
                <w:szCs w:val="20"/>
              </w:rPr>
              <w:t>Implantable pulse generator</w:t>
            </w:r>
          </w:p>
        </w:tc>
        <w:tc>
          <w:tcPr>
            <w:tcW w:w="1134" w:type="dxa"/>
            <w:hideMark/>
          </w:tcPr>
          <w:p w14:paraId="34B17CE6" w14:textId="77777777" w:rsidR="00A55CD4" w:rsidRPr="004B1C5C" w:rsidRDefault="00A55CD4">
            <w:pPr>
              <w:rPr>
                <w:rFonts w:cstheme="minorHAnsi"/>
                <w:szCs w:val="20"/>
              </w:rPr>
            </w:pPr>
            <w:r w:rsidRPr="004B1C5C">
              <w:rPr>
                <w:rFonts w:cstheme="minorHAnsi"/>
                <w:szCs w:val="20"/>
              </w:rPr>
              <w:t>13592</w:t>
            </w:r>
          </w:p>
        </w:tc>
        <w:tc>
          <w:tcPr>
            <w:tcW w:w="851" w:type="dxa"/>
            <w:hideMark/>
          </w:tcPr>
          <w:p w14:paraId="18116244" w14:textId="77777777" w:rsidR="00A55CD4" w:rsidRPr="004B1C5C" w:rsidRDefault="00A55CD4">
            <w:pPr>
              <w:rPr>
                <w:rFonts w:cstheme="minorHAnsi"/>
                <w:szCs w:val="20"/>
              </w:rPr>
            </w:pPr>
            <w:r w:rsidRPr="004B1C5C">
              <w:rPr>
                <w:rFonts w:cstheme="minorHAnsi"/>
                <w:szCs w:val="20"/>
              </w:rPr>
              <w:t>1</w:t>
            </w:r>
          </w:p>
        </w:tc>
        <w:tc>
          <w:tcPr>
            <w:tcW w:w="1276" w:type="dxa"/>
            <w:hideMark/>
          </w:tcPr>
          <w:p w14:paraId="6DF394F4" w14:textId="77777777" w:rsidR="00A55CD4" w:rsidRPr="004B1C5C" w:rsidRDefault="00A55CD4">
            <w:pPr>
              <w:rPr>
                <w:rFonts w:cstheme="minorHAnsi"/>
                <w:szCs w:val="20"/>
              </w:rPr>
            </w:pPr>
            <w:r w:rsidRPr="004B1C5C">
              <w:rPr>
                <w:rFonts w:cstheme="minorHAnsi"/>
                <w:szCs w:val="20"/>
              </w:rPr>
              <w:t>MI401</w:t>
            </w:r>
          </w:p>
        </w:tc>
        <w:tc>
          <w:tcPr>
            <w:tcW w:w="1275" w:type="dxa"/>
          </w:tcPr>
          <w:p w14:paraId="13880C97" w14:textId="31722898" w:rsidR="00A55CD4" w:rsidRPr="004B1C5C" w:rsidRDefault="000752B5">
            <w:pPr>
              <w:rPr>
                <w:rFonts w:cstheme="minorHAnsi"/>
                <w:szCs w:val="20"/>
              </w:rPr>
            </w:pPr>
            <w:r>
              <w:rPr>
                <w:rFonts w:cstheme="minorHAnsi"/>
                <w:szCs w:val="20"/>
              </w:rPr>
              <w:t>351630</w:t>
            </w:r>
          </w:p>
        </w:tc>
      </w:tr>
      <w:tr w:rsidR="00A55CD4" w:rsidRPr="004B1C5C" w14:paraId="685E00F0" w14:textId="6557AA43" w:rsidTr="00BC5BF7">
        <w:trPr>
          <w:trHeight w:val="722"/>
        </w:trPr>
        <w:tc>
          <w:tcPr>
            <w:tcW w:w="2269" w:type="dxa"/>
            <w:hideMark/>
          </w:tcPr>
          <w:p w14:paraId="6C1A53E6" w14:textId="73040DD3" w:rsidR="00A55CD4" w:rsidRPr="004B1C5C" w:rsidRDefault="00A55CD4">
            <w:pPr>
              <w:rPr>
                <w:rFonts w:cstheme="minorHAnsi"/>
                <w:szCs w:val="20"/>
              </w:rPr>
            </w:pPr>
            <w:r w:rsidRPr="004B1C5C">
              <w:rPr>
                <w:rFonts w:cstheme="minorHAnsi"/>
                <w:szCs w:val="20"/>
              </w:rPr>
              <w:t>Stim</w:t>
            </w:r>
            <w:r>
              <w:rPr>
                <w:rFonts w:cstheme="minorHAnsi"/>
                <w:szCs w:val="20"/>
              </w:rPr>
              <w:t>L</w:t>
            </w:r>
            <w:r w:rsidRPr="004B1C5C">
              <w:rPr>
                <w:rFonts w:cstheme="minorHAnsi"/>
                <w:szCs w:val="20"/>
              </w:rPr>
              <w:t>oc</w:t>
            </w:r>
          </w:p>
        </w:tc>
        <w:tc>
          <w:tcPr>
            <w:tcW w:w="1275" w:type="dxa"/>
            <w:hideMark/>
          </w:tcPr>
          <w:p w14:paraId="49119FE1" w14:textId="77777777" w:rsidR="00A55CD4" w:rsidRPr="004B1C5C" w:rsidRDefault="00A55CD4">
            <w:pPr>
              <w:rPr>
                <w:rFonts w:cstheme="minorHAnsi"/>
                <w:szCs w:val="20"/>
              </w:rPr>
            </w:pPr>
            <w:r w:rsidRPr="004B1C5C">
              <w:rPr>
                <w:rFonts w:cstheme="minorHAnsi"/>
                <w:szCs w:val="20"/>
              </w:rPr>
              <w:t>924256</w:t>
            </w:r>
          </w:p>
        </w:tc>
        <w:tc>
          <w:tcPr>
            <w:tcW w:w="2268" w:type="dxa"/>
            <w:hideMark/>
          </w:tcPr>
          <w:p w14:paraId="442F685C" w14:textId="77777777" w:rsidR="00A55CD4" w:rsidRPr="004B1C5C" w:rsidRDefault="00A55CD4">
            <w:pPr>
              <w:rPr>
                <w:rFonts w:cstheme="minorHAnsi"/>
                <w:szCs w:val="20"/>
              </w:rPr>
            </w:pPr>
            <w:r w:rsidRPr="004B1C5C">
              <w:rPr>
                <w:rFonts w:cstheme="minorHAnsi"/>
                <w:szCs w:val="20"/>
              </w:rPr>
              <w:t>Bur hole cover</w:t>
            </w:r>
          </w:p>
        </w:tc>
        <w:tc>
          <w:tcPr>
            <w:tcW w:w="1134" w:type="dxa"/>
            <w:hideMark/>
          </w:tcPr>
          <w:p w14:paraId="69C3614B" w14:textId="77777777" w:rsidR="00A55CD4" w:rsidRPr="004B1C5C" w:rsidRDefault="00A55CD4">
            <w:pPr>
              <w:rPr>
                <w:rFonts w:cstheme="minorHAnsi"/>
                <w:szCs w:val="20"/>
              </w:rPr>
            </w:pPr>
            <w:r w:rsidRPr="004B1C5C">
              <w:rPr>
                <w:rFonts w:cstheme="minorHAnsi"/>
                <w:szCs w:val="20"/>
              </w:rPr>
              <w:t>497</w:t>
            </w:r>
          </w:p>
        </w:tc>
        <w:tc>
          <w:tcPr>
            <w:tcW w:w="851" w:type="dxa"/>
            <w:hideMark/>
          </w:tcPr>
          <w:p w14:paraId="07786C37" w14:textId="77777777" w:rsidR="00A55CD4" w:rsidRPr="004B1C5C" w:rsidRDefault="00A55CD4">
            <w:pPr>
              <w:rPr>
                <w:rFonts w:cstheme="minorHAnsi"/>
                <w:szCs w:val="20"/>
              </w:rPr>
            </w:pPr>
            <w:r w:rsidRPr="004B1C5C">
              <w:rPr>
                <w:rFonts w:cstheme="minorHAnsi"/>
                <w:szCs w:val="20"/>
              </w:rPr>
              <w:t>2</w:t>
            </w:r>
          </w:p>
        </w:tc>
        <w:tc>
          <w:tcPr>
            <w:tcW w:w="1276" w:type="dxa"/>
            <w:hideMark/>
          </w:tcPr>
          <w:p w14:paraId="31DC3806" w14:textId="77777777" w:rsidR="00A55CD4" w:rsidRPr="004B1C5C" w:rsidRDefault="00A55CD4">
            <w:pPr>
              <w:rPr>
                <w:rFonts w:cstheme="minorHAnsi"/>
                <w:szCs w:val="20"/>
              </w:rPr>
            </w:pPr>
            <w:r w:rsidRPr="004B1C5C">
              <w:rPr>
                <w:rFonts w:cstheme="minorHAnsi"/>
                <w:szCs w:val="20"/>
              </w:rPr>
              <w:t>MC767</w:t>
            </w:r>
          </w:p>
        </w:tc>
        <w:tc>
          <w:tcPr>
            <w:tcW w:w="1275" w:type="dxa"/>
          </w:tcPr>
          <w:p w14:paraId="6F2BA906" w14:textId="0264FC1B" w:rsidR="00A55CD4" w:rsidRPr="004B1C5C" w:rsidRDefault="000752B5">
            <w:pPr>
              <w:rPr>
                <w:rFonts w:cstheme="minorHAnsi"/>
                <w:szCs w:val="20"/>
              </w:rPr>
            </w:pPr>
            <w:r>
              <w:rPr>
                <w:rFonts w:cstheme="minorHAnsi"/>
                <w:szCs w:val="20"/>
              </w:rPr>
              <w:t>151095</w:t>
            </w:r>
          </w:p>
        </w:tc>
      </w:tr>
      <w:tr w:rsidR="00A55CD4" w:rsidRPr="004B1C5C" w14:paraId="7A567BDE" w14:textId="79003F77" w:rsidTr="00BC5BF7">
        <w:trPr>
          <w:trHeight w:val="732"/>
        </w:trPr>
        <w:tc>
          <w:tcPr>
            <w:tcW w:w="2269" w:type="dxa"/>
            <w:hideMark/>
          </w:tcPr>
          <w:p w14:paraId="7956F151" w14:textId="7D935DEC" w:rsidR="00A55CD4" w:rsidRPr="004B1C5C" w:rsidRDefault="000752B5">
            <w:pPr>
              <w:rPr>
                <w:rFonts w:cstheme="minorHAnsi"/>
                <w:szCs w:val="20"/>
              </w:rPr>
            </w:pPr>
            <w:r>
              <w:rPr>
                <w:rFonts w:cstheme="minorHAnsi"/>
                <w:szCs w:val="20"/>
              </w:rPr>
              <w:t>Model 3387 Lead</w:t>
            </w:r>
          </w:p>
        </w:tc>
        <w:tc>
          <w:tcPr>
            <w:tcW w:w="1275" w:type="dxa"/>
            <w:hideMark/>
          </w:tcPr>
          <w:p w14:paraId="1774B37A" w14:textId="77777777" w:rsidR="00A55CD4" w:rsidRPr="004B1C5C" w:rsidRDefault="00A55CD4">
            <w:pPr>
              <w:rPr>
                <w:rFonts w:cstheme="minorHAnsi"/>
                <w:szCs w:val="20"/>
              </w:rPr>
            </w:pPr>
            <w:r w:rsidRPr="004B1C5C">
              <w:rPr>
                <w:rFonts w:cstheme="minorHAnsi"/>
                <w:szCs w:val="20"/>
              </w:rPr>
              <w:t>3387-xx</w:t>
            </w:r>
          </w:p>
        </w:tc>
        <w:tc>
          <w:tcPr>
            <w:tcW w:w="2268" w:type="dxa"/>
            <w:hideMark/>
          </w:tcPr>
          <w:p w14:paraId="73161D51" w14:textId="77777777" w:rsidR="00A55CD4" w:rsidRPr="004B1C5C" w:rsidRDefault="00A55CD4">
            <w:pPr>
              <w:rPr>
                <w:rFonts w:cstheme="minorHAnsi"/>
                <w:szCs w:val="20"/>
              </w:rPr>
            </w:pPr>
            <w:r w:rsidRPr="004B1C5C">
              <w:rPr>
                <w:rFonts w:cstheme="minorHAnsi"/>
                <w:szCs w:val="20"/>
              </w:rPr>
              <w:t>Leads that are implanted into the brain</w:t>
            </w:r>
          </w:p>
        </w:tc>
        <w:tc>
          <w:tcPr>
            <w:tcW w:w="1134" w:type="dxa"/>
            <w:hideMark/>
          </w:tcPr>
          <w:p w14:paraId="326FB000" w14:textId="77777777" w:rsidR="00A55CD4" w:rsidRPr="004B1C5C" w:rsidRDefault="00A55CD4">
            <w:pPr>
              <w:rPr>
                <w:rFonts w:cstheme="minorHAnsi"/>
                <w:szCs w:val="20"/>
              </w:rPr>
            </w:pPr>
            <w:r w:rsidRPr="004B1C5C">
              <w:rPr>
                <w:rFonts w:cstheme="minorHAnsi"/>
                <w:szCs w:val="20"/>
              </w:rPr>
              <w:t>3746</w:t>
            </w:r>
          </w:p>
        </w:tc>
        <w:tc>
          <w:tcPr>
            <w:tcW w:w="851" w:type="dxa"/>
            <w:hideMark/>
          </w:tcPr>
          <w:p w14:paraId="01BFC858" w14:textId="77777777" w:rsidR="00A55CD4" w:rsidRPr="004B1C5C" w:rsidRDefault="00A55CD4">
            <w:pPr>
              <w:rPr>
                <w:rFonts w:cstheme="minorHAnsi"/>
                <w:szCs w:val="20"/>
              </w:rPr>
            </w:pPr>
            <w:r w:rsidRPr="004B1C5C">
              <w:rPr>
                <w:rFonts w:cstheme="minorHAnsi"/>
                <w:szCs w:val="20"/>
              </w:rPr>
              <w:t>2</w:t>
            </w:r>
          </w:p>
        </w:tc>
        <w:tc>
          <w:tcPr>
            <w:tcW w:w="1276" w:type="dxa"/>
            <w:hideMark/>
          </w:tcPr>
          <w:p w14:paraId="3575915D" w14:textId="77777777" w:rsidR="00A55CD4" w:rsidRPr="004B1C5C" w:rsidRDefault="00A55CD4">
            <w:pPr>
              <w:rPr>
                <w:rFonts w:cstheme="minorHAnsi"/>
                <w:szCs w:val="20"/>
              </w:rPr>
            </w:pPr>
            <w:r w:rsidRPr="004B1C5C">
              <w:rPr>
                <w:rFonts w:cstheme="minorHAnsi"/>
                <w:szCs w:val="20"/>
              </w:rPr>
              <w:t>MC244</w:t>
            </w:r>
          </w:p>
        </w:tc>
        <w:tc>
          <w:tcPr>
            <w:tcW w:w="1275" w:type="dxa"/>
          </w:tcPr>
          <w:p w14:paraId="198FB4D7" w14:textId="6A41B0F3" w:rsidR="00A55CD4" w:rsidRPr="004B1C5C" w:rsidRDefault="000752B5">
            <w:pPr>
              <w:rPr>
                <w:rFonts w:cstheme="minorHAnsi"/>
                <w:szCs w:val="20"/>
              </w:rPr>
            </w:pPr>
            <w:r>
              <w:rPr>
                <w:rFonts w:cstheme="minorHAnsi"/>
                <w:szCs w:val="20"/>
              </w:rPr>
              <w:t>137374</w:t>
            </w:r>
          </w:p>
        </w:tc>
      </w:tr>
      <w:tr w:rsidR="00A55CD4" w:rsidRPr="004B1C5C" w14:paraId="6A354378" w14:textId="39195248" w:rsidTr="00BC5BF7">
        <w:trPr>
          <w:trHeight w:val="700"/>
        </w:trPr>
        <w:tc>
          <w:tcPr>
            <w:tcW w:w="2269" w:type="dxa"/>
            <w:hideMark/>
          </w:tcPr>
          <w:p w14:paraId="62DAF7BF" w14:textId="6E0DB80A" w:rsidR="00A55CD4" w:rsidRPr="004B1C5C" w:rsidRDefault="005F4036">
            <w:pPr>
              <w:rPr>
                <w:rFonts w:cstheme="minorHAnsi"/>
                <w:szCs w:val="20"/>
              </w:rPr>
            </w:pPr>
            <w:r>
              <w:rPr>
                <w:rFonts w:cstheme="minorHAnsi"/>
                <w:szCs w:val="20"/>
              </w:rPr>
              <w:t xml:space="preserve">Lead </w:t>
            </w:r>
            <w:r w:rsidR="00A55CD4" w:rsidRPr="004B1C5C">
              <w:rPr>
                <w:rFonts w:cstheme="minorHAnsi"/>
                <w:szCs w:val="20"/>
              </w:rPr>
              <w:t>Extension</w:t>
            </w:r>
            <w:r>
              <w:rPr>
                <w:rFonts w:cstheme="minorHAnsi"/>
                <w:szCs w:val="20"/>
              </w:rPr>
              <w:t xml:space="preserve"> Kit models: 37086</w:t>
            </w:r>
          </w:p>
        </w:tc>
        <w:tc>
          <w:tcPr>
            <w:tcW w:w="1275" w:type="dxa"/>
            <w:hideMark/>
          </w:tcPr>
          <w:p w14:paraId="055F3D39" w14:textId="77777777" w:rsidR="00A55CD4" w:rsidRPr="004B1C5C" w:rsidRDefault="00A55CD4">
            <w:pPr>
              <w:rPr>
                <w:rFonts w:cstheme="minorHAnsi"/>
                <w:szCs w:val="20"/>
              </w:rPr>
            </w:pPr>
            <w:r w:rsidRPr="004B1C5C">
              <w:rPr>
                <w:rFonts w:cstheme="minorHAnsi"/>
                <w:szCs w:val="20"/>
              </w:rPr>
              <w:t>37086xx</w:t>
            </w:r>
          </w:p>
        </w:tc>
        <w:tc>
          <w:tcPr>
            <w:tcW w:w="2268" w:type="dxa"/>
            <w:hideMark/>
          </w:tcPr>
          <w:p w14:paraId="31BC5739" w14:textId="77777777" w:rsidR="00A55CD4" w:rsidRPr="004B1C5C" w:rsidRDefault="00A55CD4">
            <w:pPr>
              <w:rPr>
                <w:rFonts w:cstheme="minorHAnsi"/>
                <w:szCs w:val="20"/>
              </w:rPr>
            </w:pPr>
            <w:r w:rsidRPr="004B1C5C">
              <w:rPr>
                <w:rFonts w:cstheme="minorHAnsi"/>
                <w:szCs w:val="20"/>
              </w:rPr>
              <w:t>Accessory that connects the DBS Leads to the IPG</w:t>
            </w:r>
          </w:p>
        </w:tc>
        <w:tc>
          <w:tcPr>
            <w:tcW w:w="1134" w:type="dxa"/>
            <w:hideMark/>
          </w:tcPr>
          <w:p w14:paraId="216B034B" w14:textId="77777777" w:rsidR="00A55CD4" w:rsidRPr="004B1C5C" w:rsidRDefault="00A55CD4">
            <w:pPr>
              <w:rPr>
                <w:rFonts w:cstheme="minorHAnsi"/>
                <w:szCs w:val="20"/>
              </w:rPr>
            </w:pPr>
            <w:r w:rsidRPr="004B1C5C">
              <w:rPr>
                <w:rFonts w:cstheme="minorHAnsi"/>
                <w:szCs w:val="20"/>
              </w:rPr>
              <w:t>1895</w:t>
            </w:r>
          </w:p>
        </w:tc>
        <w:tc>
          <w:tcPr>
            <w:tcW w:w="851" w:type="dxa"/>
            <w:hideMark/>
          </w:tcPr>
          <w:p w14:paraId="216A2911" w14:textId="77777777" w:rsidR="00A55CD4" w:rsidRPr="004B1C5C" w:rsidRDefault="00A55CD4">
            <w:pPr>
              <w:rPr>
                <w:rFonts w:cstheme="minorHAnsi"/>
                <w:szCs w:val="20"/>
              </w:rPr>
            </w:pPr>
            <w:r w:rsidRPr="004B1C5C">
              <w:rPr>
                <w:rFonts w:cstheme="minorHAnsi"/>
                <w:szCs w:val="20"/>
              </w:rPr>
              <w:t>2</w:t>
            </w:r>
          </w:p>
        </w:tc>
        <w:tc>
          <w:tcPr>
            <w:tcW w:w="1276" w:type="dxa"/>
            <w:hideMark/>
          </w:tcPr>
          <w:p w14:paraId="00B63C55" w14:textId="77777777" w:rsidR="00A55CD4" w:rsidRPr="004B1C5C" w:rsidRDefault="00A55CD4">
            <w:pPr>
              <w:rPr>
                <w:rFonts w:cstheme="minorHAnsi"/>
                <w:szCs w:val="20"/>
              </w:rPr>
            </w:pPr>
            <w:r w:rsidRPr="004B1C5C">
              <w:rPr>
                <w:rFonts w:cstheme="minorHAnsi"/>
                <w:szCs w:val="20"/>
              </w:rPr>
              <w:t>MC852</w:t>
            </w:r>
          </w:p>
        </w:tc>
        <w:tc>
          <w:tcPr>
            <w:tcW w:w="1275" w:type="dxa"/>
          </w:tcPr>
          <w:p w14:paraId="1B765426" w14:textId="52A0CAAD" w:rsidR="00A55CD4" w:rsidRPr="004B1C5C" w:rsidRDefault="005F4036">
            <w:pPr>
              <w:rPr>
                <w:rFonts w:cstheme="minorHAnsi"/>
                <w:szCs w:val="20"/>
              </w:rPr>
            </w:pPr>
            <w:r>
              <w:rPr>
                <w:rFonts w:cstheme="minorHAnsi"/>
                <w:szCs w:val="20"/>
              </w:rPr>
              <w:t>239412</w:t>
            </w:r>
          </w:p>
        </w:tc>
      </w:tr>
      <w:tr w:rsidR="00A55CD4" w:rsidRPr="004B1C5C" w14:paraId="5E5D5E40" w14:textId="2586EDEE" w:rsidTr="00BC5BF7">
        <w:trPr>
          <w:trHeight w:val="824"/>
        </w:trPr>
        <w:tc>
          <w:tcPr>
            <w:tcW w:w="2269" w:type="dxa"/>
            <w:hideMark/>
          </w:tcPr>
          <w:p w14:paraId="186A5473" w14:textId="1F5A4B2D" w:rsidR="00A55CD4" w:rsidRPr="004B1C5C" w:rsidRDefault="005F4036">
            <w:pPr>
              <w:rPr>
                <w:rFonts w:cstheme="minorHAnsi"/>
                <w:szCs w:val="20"/>
              </w:rPr>
            </w:pPr>
            <w:r w:rsidRPr="005F4036">
              <w:rPr>
                <w:rFonts w:cstheme="minorHAnsi"/>
                <w:szCs w:val="20"/>
              </w:rPr>
              <w:t>TH91D Kit</w:t>
            </w:r>
            <w:r>
              <w:rPr>
                <w:rFonts w:cstheme="minorHAnsi"/>
                <w:szCs w:val="20"/>
              </w:rPr>
              <w:t>:</w:t>
            </w:r>
            <w:r w:rsidRPr="004B1C5C" w:rsidDel="005F4036">
              <w:rPr>
                <w:rFonts w:cstheme="minorHAnsi"/>
                <w:szCs w:val="20"/>
              </w:rPr>
              <w:t xml:space="preserve"> </w:t>
            </w:r>
          </w:p>
        </w:tc>
        <w:tc>
          <w:tcPr>
            <w:tcW w:w="1275" w:type="dxa"/>
            <w:hideMark/>
          </w:tcPr>
          <w:p w14:paraId="42367666" w14:textId="77777777" w:rsidR="00A55CD4" w:rsidRPr="004B1C5C" w:rsidRDefault="00A55CD4">
            <w:pPr>
              <w:rPr>
                <w:rFonts w:cstheme="minorHAnsi"/>
                <w:szCs w:val="20"/>
              </w:rPr>
            </w:pPr>
            <w:r w:rsidRPr="004B1C5C">
              <w:rPr>
                <w:rFonts w:cstheme="minorHAnsi"/>
                <w:szCs w:val="20"/>
              </w:rPr>
              <w:t>TH91D02</w:t>
            </w:r>
          </w:p>
        </w:tc>
        <w:tc>
          <w:tcPr>
            <w:tcW w:w="2268" w:type="dxa"/>
            <w:hideMark/>
          </w:tcPr>
          <w:p w14:paraId="3E6910DB" w14:textId="6602B46B" w:rsidR="00A55CD4" w:rsidRPr="004B1C5C" w:rsidRDefault="005F4036">
            <w:pPr>
              <w:rPr>
                <w:rFonts w:cstheme="minorHAnsi"/>
                <w:szCs w:val="20"/>
              </w:rPr>
            </w:pPr>
            <w:r>
              <w:rPr>
                <w:rFonts w:cstheme="minorHAnsi"/>
                <w:szCs w:val="20"/>
              </w:rPr>
              <w:t>A patient controller that a</w:t>
            </w:r>
            <w:r w:rsidRPr="004B1C5C">
              <w:rPr>
                <w:rFonts w:cstheme="minorHAnsi"/>
                <w:szCs w:val="20"/>
              </w:rPr>
              <w:t xml:space="preserve">llows </w:t>
            </w:r>
            <w:r w:rsidR="00A55CD4" w:rsidRPr="004B1C5C">
              <w:rPr>
                <w:rFonts w:cstheme="minorHAnsi"/>
                <w:szCs w:val="20"/>
              </w:rPr>
              <w:t>patient to control stimulation settings</w:t>
            </w:r>
          </w:p>
        </w:tc>
        <w:tc>
          <w:tcPr>
            <w:tcW w:w="1134" w:type="dxa"/>
            <w:hideMark/>
          </w:tcPr>
          <w:p w14:paraId="5FB86751" w14:textId="77777777" w:rsidR="00A55CD4" w:rsidRPr="004B1C5C" w:rsidRDefault="00A55CD4">
            <w:pPr>
              <w:rPr>
                <w:rFonts w:cstheme="minorHAnsi"/>
                <w:szCs w:val="20"/>
              </w:rPr>
            </w:pPr>
            <w:r w:rsidRPr="004B1C5C">
              <w:rPr>
                <w:rFonts w:cstheme="minorHAnsi"/>
                <w:szCs w:val="20"/>
              </w:rPr>
              <w:t>1264</w:t>
            </w:r>
          </w:p>
        </w:tc>
        <w:tc>
          <w:tcPr>
            <w:tcW w:w="851" w:type="dxa"/>
            <w:hideMark/>
          </w:tcPr>
          <w:p w14:paraId="40606C63" w14:textId="77777777" w:rsidR="00A55CD4" w:rsidRPr="004B1C5C" w:rsidRDefault="00A55CD4">
            <w:pPr>
              <w:rPr>
                <w:rFonts w:cstheme="minorHAnsi"/>
                <w:szCs w:val="20"/>
              </w:rPr>
            </w:pPr>
            <w:r w:rsidRPr="004B1C5C">
              <w:rPr>
                <w:rFonts w:cstheme="minorHAnsi"/>
                <w:szCs w:val="20"/>
              </w:rPr>
              <w:t>1</w:t>
            </w:r>
          </w:p>
        </w:tc>
        <w:tc>
          <w:tcPr>
            <w:tcW w:w="1276" w:type="dxa"/>
            <w:hideMark/>
          </w:tcPr>
          <w:p w14:paraId="4E2AE343" w14:textId="77777777" w:rsidR="00A55CD4" w:rsidRPr="004B1C5C" w:rsidRDefault="00A55CD4">
            <w:pPr>
              <w:rPr>
                <w:rFonts w:cstheme="minorHAnsi"/>
                <w:szCs w:val="20"/>
              </w:rPr>
            </w:pPr>
            <w:r w:rsidRPr="004B1C5C">
              <w:rPr>
                <w:rFonts w:cstheme="minorHAnsi"/>
                <w:szCs w:val="20"/>
              </w:rPr>
              <w:t>MI400</w:t>
            </w:r>
          </w:p>
        </w:tc>
        <w:tc>
          <w:tcPr>
            <w:tcW w:w="1275" w:type="dxa"/>
          </w:tcPr>
          <w:p w14:paraId="446278CF" w14:textId="17D0216E" w:rsidR="00A55CD4" w:rsidRPr="004B1C5C" w:rsidRDefault="005F4036">
            <w:pPr>
              <w:rPr>
                <w:rFonts w:cstheme="minorHAnsi"/>
                <w:szCs w:val="20"/>
              </w:rPr>
            </w:pPr>
            <w:r>
              <w:rPr>
                <w:rFonts w:cstheme="minorHAnsi"/>
                <w:szCs w:val="20"/>
              </w:rPr>
              <w:t>351590</w:t>
            </w:r>
          </w:p>
        </w:tc>
      </w:tr>
      <w:tr w:rsidR="00A55CD4" w:rsidRPr="004B1C5C" w14:paraId="52D1461E" w14:textId="10C183A1" w:rsidTr="00BC5BF7">
        <w:trPr>
          <w:trHeight w:val="978"/>
        </w:trPr>
        <w:tc>
          <w:tcPr>
            <w:tcW w:w="2269" w:type="dxa"/>
            <w:hideMark/>
          </w:tcPr>
          <w:p w14:paraId="3EF5A015" w14:textId="10D05A1F" w:rsidR="00A55CD4" w:rsidRPr="004B1C5C" w:rsidRDefault="00A55CD4">
            <w:pPr>
              <w:rPr>
                <w:rFonts w:cstheme="minorHAnsi"/>
                <w:szCs w:val="20"/>
              </w:rPr>
            </w:pPr>
            <w:r w:rsidRPr="004B1C5C">
              <w:rPr>
                <w:rFonts w:cstheme="minorHAnsi"/>
                <w:szCs w:val="20"/>
              </w:rPr>
              <w:t>Tunneller</w:t>
            </w:r>
          </w:p>
        </w:tc>
        <w:tc>
          <w:tcPr>
            <w:tcW w:w="1275" w:type="dxa"/>
            <w:hideMark/>
          </w:tcPr>
          <w:p w14:paraId="700B0F81" w14:textId="77777777" w:rsidR="00A55CD4" w:rsidRPr="004B1C5C" w:rsidRDefault="00A55CD4">
            <w:pPr>
              <w:rPr>
                <w:rFonts w:cstheme="minorHAnsi"/>
                <w:szCs w:val="20"/>
              </w:rPr>
            </w:pPr>
            <w:r w:rsidRPr="004B1C5C">
              <w:rPr>
                <w:rFonts w:cstheme="minorHAnsi"/>
                <w:szCs w:val="20"/>
              </w:rPr>
              <w:t>3755-40</w:t>
            </w:r>
          </w:p>
        </w:tc>
        <w:tc>
          <w:tcPr>
            <w:tcW w:w="2268" w:type="dxa"/>
            <w:hideMark/>
          </w:tcPr>
          <w:p w14:paraId="735ECBCF" w14:textId="77777777" w:rsidR="00A55CD4" w:rsidRPr="004B1C5C" w:rsidRDefault="00A55CD4">
            <w:pPr>
              <w:rPr>
                <w:rFonts w:cstheme="minorHAnsi"/>
                <w:szCs w:val="20"/>
              </w:rPr>
            </w:pPr>
            <w:r w:rsidRPr="004B1C5C">
              <w:rPr>
                <w:rFonts w:cstheme="minorHAnsi"/>
                <w:szCs w:val="20"/>
              </w:rPr>
              <w:t>Accessory to tunnel DBS Extensions from head to chest/abdomen</w:t>
            </w:r>
          </w:p>
        </w:tc>
        <w:tc>
          <w:tcPr>
            <w:tcW w:w="1134" w:type="dxa"/>
            <w:hideMark/>
          </w:tcPr>
          <w:p w14:paraId="16BDBF76" w14:textId="77777777" w:rsidR="00A55CD4" w:rsidRPr="004B1C5C" w:rsidRDefault="00A55CD4">
            <w:pPr>
              <w:rPr>
                <w:rFonts w:cstheme="minorHAnsi"/>
                <w:szCs w:val="20"/>
              </w:rPr>
            </w:pPr>
            <w:r w:rsidRPr="004B1C5C">
              <w:rPr>
                <w:rFonts w:cstheme="minorHAnsi"/>
                <w:szCs w:val="20"/>
              </w:rPr>
              <w:t>158</w:t>
            </w:r>
          </w:p>
        </w:tc>
        <w:tc>
          <w:tcPr>
            <w:tcW w:w="851" w:type="dxa"/>
            <w:hideMark/>
          </w:tcPr>
          <w:p w14:paraId="0866BDB4" w14:textId="77777777" w:rsidR="00A55CD4" w:rsidRPr="004B1C5C" w:rsidRDefault="00A55CD4">
            <w:pPr>
              <w:rPr>
                <w:rFonts w:cstheme="minorHAnsi"/>
                <w:szCs w:val="20"/>
              </w:rPr>
            </w:pPr>
            <w:r w:rsidRPr="004B1C5C">
              <w:rPr>
                <w:rFonts w:cstheme="minorHAnsi"/>
                <w:szCs w:val="20"/>
              </w:rPr>
              <w:t>1</w:t>
            </w:r>
          </w:p>
        </w:tc>
        <w:tc>
          <w:tcPr>
            <w:tcW w:w="1276" w:type="dxa"/>
            <w:hideMark/>
          </w:tcPr>
          <w:p w14:paraId="68885FD4" w14:textId="77777777" w:rsidR="00A55CD4" w:rsidRPr="004B1C5C" w:rsidRDefault="00A55CD4">
            <w:pPr>
              <w:rPr>
                <w:rFonts w:cstheme="minorHAnsi"/>
                <w:szCs w:val="20"/>
              </w:rPr>
            </w:pPr>
            <w:r w:rsidRPr="004B1C5C">
              <w:rPr>
                <w:rFonts w:cstheme="minorHAnsi"/>
                <w:szCs w:val="20"/>
              </w:rPr>
              <w:t>MI003</w:t>
            </w:r>
          </w:p>
        </w:tc>
        <w:tc>
          <w:tcPr>
            <w:tcW w:w="1275" w:type="dxa"/>
          </w:tcPr>
          <w:p w14:paraId="6AE37693" w14:textId="30FB6112" w:rsidR="00A55CD4" w:rsidRPr="004B1C5C" w:rsidRDefault="005F4036">
            <w:pPr>
              <w:rPr>
                <w:rFonts w:cstheme="minorHAnsi"/>
                <w:szCs w:val="20"/>
              </w:rPr>
            </w:pPr>
            <w:r>
              <w:rPr>
                <w:rFonts w:cstheme="minorHAnsi"/>
                <w:szCs w:val="20"/>
              </w:rPr>
              <w:t>121281</w:t>
            </w:r>
          </w:p>
        </w:tc>
      </w:tr>
      <w:tr w:rsidR="00A55CD4" w:rsidRPr="004B1C5C" w14:paraId="18AD7828" w14:textId="3348E35C" w:rsidTr="00BC5BF7">
        <w:trPr>
          <w:trHeight w:val="978"/>
        </w:trPr>
        <w:tc>
          <w:tcPr>
            <w:tcW w:w="2269" w:type="dxa"/>
            <w:hideMark/>
          </w:tcPr>
          <w:p w14:paraId="417BE1A3" w14:textId="77777777" w:rsidR="00A55CD4" w:rsidRPr="004B1C5C" w:rsidRDefault="00A55CD4">
            <w:pPr>
              <w:rPr>
                <w:rFonts w:cstheme="minorHAnsi"/>
                <w:szCs w:val="20"/>
              </w:rPr>
            </w:pPr>
            <w:r w:rsidRPr="004B1C5C">
              <w:rPr>
                <w:rFonts w:cstheme="minorHAnsi"/>
                <w:szCs w:val="20"/>
              </w:rPr>
              <w:t>MER Cable</w:t>
            </w:r>
          </w:p>
        </w:tc>
        <w:tc>
          <w:tcPr>
            <w:tcW w:w="1275" w:type="dxa"/>
            <w:hideMark/>
          </w:tcPr>
          <w:p w14:paraId="488C03E7" w14:textId="77777777" w:rsidR="00A55CD4" w:rsidRPr="004B1C5C" w:rsidRDefault="00A55CD4">
            <w:pPr>
              <w:rPr>
                <w:rFonts w:cstheme="minorHAnsi"/>
                <w:szCs w:val="20"/>
              </w:rPr>
            </w:pPr>
            <w:r w:rsidRPr="004B1C5C">
              <w:rPr>
                <w:rFonts w:cstheme="minorHAnsi"/>
                <w:szCs w:val="20"/>
              </w:rPr>
              <w:t>FC1020</w:t>
            </w:r>
          </w:p>
        </w:tc>
        <w:tc>
          <w:tcPr>
            <w:tcW w:w="2268" w:type="dxa"/>
            <w:hideMark/>
          </w:tcPr>
          <w:p w14:paraId="3E7E9F04" w14:textId="77777777" w:rsidR="00A55CD4" w:rsidRPr="004B1C5C" w:rsidRDefault="00A55CD4">
            <w:pPr>
              <w:rPr>
                <w:rFonts w:cstheme="minorHAnsi"/>
                <w:szCs w:val="20"/>
              </w:rPr>
            </w:pPr>
            <w:r w:rsidRPr="004B1C5C">
              <w:rPr>
                <w:rFonts w:cstheme="minorHAnsi"/>
                <w:szCs w:val="20"/>
              </w:rPr>
              <w:t>Accessory to connect microelectrode to recording amplifier</w:t>
            </w:r>
          </w:p>
        </w:tc>
        <w:tc>
          <w:tcPr>
            <w:tcW w:w="1134" w:type="dxa"/>
            <w:hideMark/>
          </w:tcPr>
          <w:p w14:paraId="1AA73E16" w14:textId="77777777" w:rsidR="00A55CD4" w:rsidRPr="004B1C5C" w:rsidRDefault="00A55CD4">
            <w:pPr>
              <w:rPr>
                <w:rFonts w:cstheme="minorHAnsi"/>
                <w:szCs w:val="20"/>
              </w:rPr>
            </w:pPr>
            <w:r w:rsidRPr="004B1C5C">
              <w:rPr>
                <w:rFonts w:cstheme="minorHAnsi"/>
                <w:szCs w:val="20"/>
              </w:rPr>
              <w:t>181</w:t>
            </w:r>
          </w:p>
        </w:tc>
        <w:tc>
          <w:tcPr>
            <w:tcW w:w="851" w:type="dxa"/>
            <w:hideMark/>
          </w:tcPr>
          <w:p w14:paraId="1D059F78" w14:textId="77777777" w:rsidR="00A55CD4" w:rsidRPr="004B1C5C" w:rsidRDefault="00A55CD4">
            <w:pPr>
              <w:rPr>
                <w:rFonts w:cstheme="minorHAnsi"/>
                <w:szCs w:val="20"/>
              </w:rPr>
            </w:pPr>
            <w:r w:rsidRPr="004B1C5C">
              <w:rPr>
                <w:rFonts w:cstheme="minorHAnsi"/>
                <w:szCs w:val="20"/>
              </w:rPr>
              <w:t>1</w:t>
            </w:r>
          </w:p>
        </w:tc>
        <w:tc>
          <w:tcPr>
            <w:tcW w:w="1276" w:type="dxa"/>
            <w:hideMark/>
          </w:tcPr>
          <w:p w14:paraId="7BC39163" w14:textId="77777777" w:rsidR="00A55CD4" w:rsidRPr="004B1C5C" w:rsidRDefault="00A55CD4">
            <w:pPr>
              <w:rPr>
                <w:rFonts w:cstheme="minorHAnsi"/>
                <w:szCs w:val="20"/>
              </w:rPr>
            </w:pPr>
            <w:r w:rsidRPr="004B1C5C">
              <w:rPr>
                <w:rFonts w:cstheme="minorHAnsi"/>
                <w:szCs w:val="20"/>
              </w:rPr>
              <w:t>MC764</w:t>
            </w:r>
          </w:p>
        </w:tc>
        <w:tc>
          <w:tcPr>
            <w:tcW w:w="1275" w:type="dxa"/>
          </w:tcPr>
          <w:p w14:paraId="0E4700F0" w14:textId="08AD6CA1" w:rsidR="00A55CD4" w:rsidRPr="004B1C5C" w:rsidRDefault="005F4036">
            <w:pPr>
              <w:rPr>
                <w:rFonts w:cstheme="minorHAnsi"/>
                <w:szCs w:val="20"/>
              </w:rPr>
            </w:pPr>
            <w:r>
              <w:rPr>
                <w:rFonts w:cstheme="minorHAnsi"/>
                <w:szCs w:val="20"/>
              </w:rPr>
              <w:t>138186</w:t>
            </w:r>
          </w:p>
        </w:tc>
      </w:tr>
      <w:tr w:rsidR="00A55CD4" w:rsidRPr="004B1C5C" w14:paraId="4A25E93D" w14:textId="54FBB9B9" w:rsidTr="00BC5BF7">
        <w:trPr>
          <w:trHeight w:val="1025"/>
        </w:trPr>
        <w:tc>
          <w:tcPr>
            <w:tcW w:w="2269" w:type="dxa"/>
            <w:hideMark/>
          </w:tcPr>
          <w:p w14:paraId="51E74D4E" w14:textId="427F914A" w:rsidR="00A55CD4" w:rsidRPr="004B1C5C" w:rsidRDefault="00A55CD4">
            <w:pPr>
              <w:rPr>
                <w:rFonts w:cstheme="minorHAnsi"/>
                <w:szCs w:val="20"/>
              </w:rPr>
            </w:pPr>
            <w:r w:rsidRPr="004B1C5C">
              <w:rPr>
                <w:rFonts w:cstheme="minorHAnsi"/>
                <w:szCs w:val="20"/>
              </w:rPr>
              <w:t>MER Canula</w:t>
            </w:r>
            <w:r w:rsidR="005F4036">
              <w:rPr>
                <w:rFonts w:cstheme="minorHAnsi"/>
                <w:szCs w:val="20"/>
              </w:rPr>
              <w:t xml:space="preserve"> / </w:t>
            </w:r>
            <w:r w:rsidR="006A6B7B" w:rsidRPr="005F4036">
              <w:rPr>
                <w:rFonts w:cstheme="minorHAnsi"/>
                <w:szCs w:val="20"/>
              </w:rPr>
              <w:t>Microtargeting</w:t>
            </w:r>
            <w:r w:rsidR="005F4036" w:rsidRPr="005F4036">
              <w:rPr>
                <w:rFonts w:cstheme="minorHAnsi"/>
                <w:szCs w:val="20"/>
              </w:rPr>
              <w:t xml:space="preserve"> Insertion Tube</w:t>
            </w:r>
          </w:p>
        </w:tc>
        <w:tc>
          <w:tcPr>
            <w:tcW w:w="1275" w:type="dxa"/>
            <w:hideMark/>
          </w:tcPr>
          <w:p w14:paraId="318D7AB6" w14:textId="77777777" w:rsidR="00A55CD4" w:rsidRPr="004B1C5C" w:rsidRDefault="00A55CD4">
            <w:pPr>
              <w:rPr>
                <w:rFonts w:cstheme="minorHAnsi"/>
                <w:szCs w:val="20"/>
              </w:rPr>
            </w:pPr>
            <w:r w:rsidRPr="004B1C5C">
              <w:rPr>
                <w:rFonts w:cstheme="minorHAnsi"/>
                <w:szCs w:val="20"/>
              </w:rPr>
              <w:t>FC1036</w:t>
            </w:r>
          </w:p>
        </w:tc>
        <w:tc>
          <w:tcPr>
            <w:tcW w:w="2268" w:type="dxa"/>
            <w:hideMark/>
          </w:tcPr>
          <w:p w14:paraId="1BA955A3" w14:textId="77777777" w:rsidR="00A55CD4" w:rsidRPr="004B1C5C" w:rsidRDefault="00A55CD4">
            <w:pPr>
              <w:rPr>
                <w:rFonts w:cstheme="minorHAnsi"/>
                <w:szCs w:val="20"/>
              </w:rPr>
            </w:pPr>
            <w:r w:rsidRPr="004B1C5C">
              <w:rPr>
                <w:rFonts w:cstheme="minorHAnsi"/>
                <w:szCs w:val="20"/>
              </w:rPr>
              <w:t>Accessory to allow MER electrode and DBS lead to reach desired target</w:t>
            </w:r>
          </w:p>
        </w:tc>
        <w:tc>
          <w:tcPr>
            <w:tcW w:w="1134" w:type="dxa"/>
            <w:hideMark/>
          </w:tcPr>
          <w:p w14:paraId="4A470690" w14:textId="77777777" w:rsidR="00A55CD4" w:rsidRPr="004B1C5C" w:rsidRDefault="00A55CD4">
            <w:pPr>
              <w:rPr>
                <w:rFonts w:cstheme="minorHAnsi"/>
                <w:szCs w:val="20"/>
              </w:rPr>
            </w:pPr>
            <w:r w:rsidRPr="004B1C5C">
              <w:rPr>
                <w:rFonts w:cstheme="minorHAnsi"/>
                <w:szCs w:val="20"/>
              </w:rPr>
              <w:t>158</w:t>
            </w:r>
          </w:p>
        </w:tc>
        <w:tc>
          <w:tcPr>
            <w:tcW w:w="851" w:type="dxa"/>
            <w:hideMark/>
          </w:tcPr>
          <w:p w14:paraId="21D38C92" w14:textId="77777777" w:rsidR="00A55CD4" w:rsidRPr="004B1C5C" w:rsidRDefault="00A55CD4">
            <w:pPr>
              <w:rPr>
                <w:rFonts w:cstheme="minorHAnsi"/>
                <w:szCs w:val="20"/>
              </w:rPr>
            </w:pPr>
            <w:r w:rsidRPr="004B1C5C">
              <w:rPr>
                <w:rFonts w:cstheme="minorHAnsi"/>
                <w:szCs w:val="20"/>
              </w:rPr>
              <w:t>1</w:t>
            </w:r>
          </w:p>
        </w:tc>
        <w:tc>
          <w:tcPr>
            <w:tcW w:w="1276" w:type="dxa"/>
            <w:hideMark/>
          </w:tcPr>
          <w:p w14:paraId="4BC470BD" w14:textId="77777777" w:rsidR="00A55CD4" w:rsidRPr="004B1C5C" w:rsidRDefault="00A55CD4">
            <w:pPr>
              <w:rPr>
                <w:rFonts w:cstheme="minorHAnsi"/>
                <w:szCs w:val="20"/>
              </w:rPr>
            </w:pPr>
            <w:r w:rsidRPr="004B1C5C">
              <w:rPr>
                <w:rFonts w:cstheme="minorHAnsi"/>
                <w:szCs w:val="20"/>
              </w:rPr>
              <w:t>MI119</w:t>
            </w:r>
          </w:p>
        </w:tc>
        <w:tc>
          <w:tcPr>
            <w:tcW w:w="1275" w:type="dxa"/>
          </w:tcPr>
          <w:p w14:paraId="5810D36F" w14:textId="54088E8C" w:rsidR="00A55CD4" w:rsidRPr="004B1C5C" w:rsidRDefault="005F4036">
            <w:pPr>
              <w:rPr>
                <w:rFonts w:cstheme="minorHAnsi"/>
                <w:szCs w:val="20"/>
              </w:rPr>
            </w:pPr>
            <w:r>
              <w:rPr>
                <w:rFonts w:cstheme="minorHAnsi"/>
                <w:szCs w:val="20"/>
              </w:rPr>
              <w:t>212222</w:t>
            </w:r>
          </w:p>
        </w:tc>
      </w:tr>
      <w:tr w:rsidR="00A55CD4" w:rsidRPr="004B1C5C" w14:paraId="367F98D6" w14:textId="188C3260" w:rsidTr="00BC5BF7">
        <w:trPr>
          <w:trHeight w:val="1124"/>
        </w:trPr>
        <w:tc>
          <w:tcPr>
            <w:tcW w:w="2269" w:type="dxa"/>
            <w:hideMark/>
          </w:tcPr>
          <w:p w14:paraId="2B719630" w14:textId="77777777" w:rsidR="00A55CD4" w:rsidRPr="004B1C5C" w:rsidRDefault="00A55CD4">
            <w:pPr>
              <w:rPr>
                <w:rFonts w:cstheme="minorHAnsi"/>
                <w:szCs w:val="20"/>
              </w:rPr>
            </w:pPr>
            <w:r w:rsidRPr="004B1C5C">
              <w:rPr>
                <w:rFonts w:cstheme="minorHAnsi"/>
                <w:szCs w:val="20"/>
              </w:rPr>
              <w:t>MER Electrode</w:t>
            </w:r>
          </w:p>
        </w:tc>
        <w:tc>
          <w:tcPr>
            <w:tcW w:w="1275" w:type="dxa"/>
            <w:hideMark/>
          </w:tcPr>
          <w:p w14:paraId="3F9B7EC9" w14:textId="77777777" w:rsidR="00A55CD4" w:rsidRPr="004B1C5C" w:rsidRDefault="00A55CD4">
            <w:pPr>
              <w:rPr>
                <w:rFonts w:cstheme="minorHAnsi"/>
                <w:szCs w:val="20"/>
              </w:rPr>
            </w:pPr>
            <w:r w:rsidRPr="004B1C5C">
              <w:rPr>
                <w:rFonts w:cstheme="minorHAnsi"/>
                <w:szCs w:val="20"/>
              </w:rPr>
              <w:t>FC2002</w:t>
            </w:r>
          </w:p>
        </w:tc>
        <w:tc>
          <w:tcPr>
            <w:tcW w:w="2268" w:type="dxa"/>
            <w:hideMark/>
          </w:tcPr>
          <w:p w14:paraId="4B5BCC92" w14:textId="77777777" w:rsidR="00A55CD4" w:rsidRPr="004B1C5C" w:rsidRDefault="00A55CD4">
            <w:pPr>
              <w:rPr>
                <w:rFonts w:cstheme="minorHAnsi"/>
                <w:szCs w:val="20"/>
              </w:rPr>
            </w:pPr>
            <w:r w:rsidRPr="004B1C5C">
              <w:rPr>
                <w:rFonts w:cstheme="minorHAnsi"/>
                <w:szCs w:val="20"/>
              </w:rPr>
              <w:t>Accessory that records brain activity and transmits to amplifier via MER cable</w:t>
            </w:r>
          </w:p>
        </w:tc>
        <w:tc>
          <w:tcPr>
            <w:tcW w:w="1134" w:type="dxa"/>
            <w:hideMark/>
          </w:tcPr>
          <w:p w14:paraId="1BC3D7EE" w14:textId="77777777" w:rsidR="00A55CD4" w:rsidRPr="004B1C5C" w:rsidRDefault="00A55CD4">
            <w:pPr>
              <w:rPr>
                <w:rFonts w:cstheme="minorHAnsi"/>
                <w:szCs w:val="20"/>
              </w:rPr>
            </w:pPr>
            <w:r w:rsidRPr="004B1C5C">
              <w:rPr>
                <w:rFonts w:cstheme="minorHAnsi"/>
                <w:szCs w:val="20"/>
              </w:rPr>
              <w:t>1354</w:t>
            </w:r>
          </w:p>
        </w:tc>
        <w:tc>
          <w:tcPr>
            <w:tcW w:w="851" w:type="dxa"/>
            <w:hideMark/>
          </w:tcPr>
          <w:p w14:paraId="433F859A" w14:textId="77777777" w:rsidR="00A55CD4" w:rsidRPr="004B1C5C" w:rsidRDefault="00A55CD4">
            <w:pPr>
              <w:rPr>
                <w:rFonts w:cstheme="minorHAnsi"/>
                <w:szCs w:val="20"/>
              </w:rPr>
            </w:pPr>
            <w:r w:rsidRPr="004B1C5C">
              <w:rPr>
                <w:rFonts w:cstheme="minorHAnsi"/>
                <w:szCs w:val="20"/>
              </w:rPr>
              <w:t>1</w:t>
            </w:r>
          </w:p>
        </w:tc>
        <w:tc>
          <w:tcPr>
            <w:tcW w:w="1276" w:type="dxa"/>
            <w:hideMark/>
          </w:tcPr>
          <w:p w14:paraId="76F52B00" w14:textId="77777777" w:rsidR="00A55CD4" w:rsidRPr="004B1C5C" w:rsidRDefault="00A55CD4">
            <w:pPr>
              <w:rPr>
                <w:rFonts w:cstheme="minorHAnsi"/>
                <w:szCs w:val="20"/>
              </w:rPr>
            </w:pPr>
            <w:r w:rsidRPr="004B1C5C">
              <w:rPr>
                <w:rFonts w:cstheme="minorHAnsi"/>
                <w:szCs w:val="20"/>
              </w:rPr>
              <w:t>MI073</w:t>
            </w:r>
          </w:p>
        </w:tc>
        <w:tc>
          <w:tcPr>
            <w:tcW w:w="1275" w:type="dxa"/>
          </w:tcPr>
          <w:p w14:paraId="557559AD" w14:textId="77ABE6F2" w:rsidR="00A55CD4" w:rsidRPr="004B1C5C" w:rsidRDefault="005F4036">
            <w:pPr>
              <w:rPr>
                <w:rFonts w:cstheme="minorHAnsi"/>
                <w:szCs w:val="20"/>
              </w:rPr>
            </w:pPr>
            <w:r>
              <w:rPr>
                <w:rFonts w:cstheme="minorHAnsi"/>
                <w:szCs w:val="20"/>
              </w:rPr>
              <w:t>133619</w:t>
            </w:r>
          </w:p>
        </w:tc>
      </w:tr>
    </w:tbl>
    <w:p w14:paraId="3AF60B8B" w14:textId="10DC8B4A" w:rsidR="00411735" w:rsidRDefault="00411735" w:rsidP="00954C3D">
      <w:pPr>
        <w:pStyle w:val="Heading2"/>
        <w:numPr>
          <w:ilvl w:val="0"/>
          <w:numId w:val="5"/>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0A2E94B7" w14:textId="60BA305C" w:rsidR="006710A0" w:rsidRPr="000F0ACD" w:rsidRDefault="00531CEF" w:rsidP="000F0ACD">
      <w:pPr>
        <w:ind w:left="284" w:firstLine="76"/>
      </w:pPr>
      <w:r>
        <w:t>Not applicable.</w:t>
      </w:r>
    </w:p>
    <w:p w14:paraId="243BE6F4" w14:textId="1539AF82" w:rsidR="00016B6E" w:rsidRPr="009939DC" w:rsidRDefault="00016B6E" w:rsidP="00954C3D">
      <w:pPr>
        <w:pStyle w:val="Heading2"/>
        <w:numPr>
          <w:ilvl w:val="0"/>
          <w:numId w:val="5"/>
        </w:numPr>
      </w:pPr>
      <w:r w:rsidRPr="009939DC">
        <w:t>Are there any other sponsor(s) and / or manufacturer(</w:t>
      </w:r>
      <w:r w:rsidR="008B729C" w:rsidRPr="009939DC">
        <w:t>s) that have a similar prosthesi</w:t>
      </w:r>
      <w:r w:rsidRPr="009939DC">
        <w:t xml:space="preserve">s or device component in the Australian </w:t>
      </w:r>
      <w:r w:rsidR="00F615B4" w:rsidRPr="009939DC">
        <w:t>marketplace</w:t>
      </w:r>
      <w:r w:rsidRPr="009939DC">
        <w:t xml:space="preserve"> which this application is relevant to?</w:t>
      </w:r>
    </w:p>
    <w:p w14:paraId="2917DB2F" w14:textId="72F0BE06" w:rsidR="009939DC" w:rsidRDefault="00E724C9" w:rsidP="000F0ACD">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17F2F">
        <w:rPr>
          <w:szCs w:val="20"/>
        </w:rPr>
      </w:r>
      <w:r w:rsidR="00317F2F">
        <w:rPr>
          <w:szCs w:val="20"/>
        </w:rPr>
        <w:fldChar w:fldCharType="separate"/>
      </w:r>
      <w:r>
        <w:rPr>
          <w:szCs w:val="20"/>
        </w:rPr>
        <w:fldChar w:fldCharType="end"/>
      </w:r>
      <w:r w:rsidR="009939DC" w:rsidRPr="000A5B32">
        <w:rPr>
          <w:szCs w:val="20"/>
        </w:rPr>
        <w:t xml:space="preserve"> Yes</w:t>
      </w:r>
      <w:r w:rsidR="00645929">
        <w:rPr>
          <w:szCs w:val="20"/>
        </w:rPr>
        <w:t xml:space="preserve">. </w:t>
      </w:r>
    </w:p>
    <w:p w14:paraId="13406AED" w14:textId="21A28A9D" w:rsidR="009939DC" w:rsidRDefault="009939DC" w:rsidP="000F0ACD">
      <w:pPr>
        <w:spacing w:before="0" w:after="0"/>
        <w:ind w:left="360"/>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317F2F">
        <w:rPr>
          <w:szCs w:val="20"/>
        </w:rPr>
      </w:r>
      <w:r w:rsidR="00317F2F">
        <w:rPr>
          <w:szCs w:val="20"/>
        </w:rPr>
        <w:fldChar w:fldCharType="separate"/>
      </w:r>
      <w:r w:rsidRPr="000A5B32">
        <w:rPr>
          <w:szCs w:val="20"/>
        </w:rPr>
        <w:fldChar w:fldCharType="end"/>
      </w:r>
      <w:r>
        <w:rPr>
          <w:szCs w:val="20"/>
        </w:rPr>
        <w:t xml:space="preserve"> No  </w:t>
      </w:r>
    </w:p>
    <w:p w14:paraId="23208584" w14:textId="77777777" w:rsidR="00BC5BF7" w:rsidRDefault="00BC5BF7" w:rsidP="000F0ACD">
      <w:pPr>
        <w:spacing w:before="0" w:after="0"/>
        <w:ind w:left="360"/>
        <w:rPr>
          <w:szCs w:val="20"/>
        </w:rPr>
      </w:pPr>
    </w:p>
    <w:p w14:paraId="432CAA0D" w14:textId="377F20F7" w:rsidR="00D23C2B" w:rsidRDefault="000F0ACD" w:rsidP="000F0ACD">
      <w:pPr>
        <w:spacing w:before="0" w:after="0"/>
        <w:ind w:left="360"/>
        <w:rPr>
          <w:szCs w:val="20"/>
        </w:rPr>
      </w:pPr>
      <w:r>
        <w:rPr>
          <w:szCs w:val="20"/>
        </w:rPr>
        <w:t>Please note, that other DBS device manufactures do not have ARTG certificates with indications for epilepsy.</w:t>
      </w:r>
    </w:p>
    <w:p w14:paraId="4C1E0A54" w14:textId="77777777" w:rsidR="00BC5BF7" w:rsidRDefault="00BC5BF7">
      <w:pPr>
        <w:spacing w:before="0" w:after="200" w:line="276" w:lineRule="auto"/>
        <w:rPr>
          <w:b/>
          <w:szCs w:val="20"/>
        </w:rPr>
      </w:pPr>
      <w:r>
        <w:br w:type="page"/>
      </w:r>
    </w:p>
    <w:p w14:paraId="64F92747" w14:textId="32FA6C6B" w:rsidR="00B47F57" w:rsidRDefault="00016B6E" w:rsidP="006710A0">
      <w:pPr>
        <w:pStyle w:val="Heading2"/>
        <w:numPr>
          <w:ilvl w:val="0"/>
          <w:numId w:val="5"/>
        </w:numPr>
      </w:pPr>
      <w:r w:rsidRPr="009939DC">
        <w:lastRenderedPageBreak/>
        <w:t>If yes, please provide the name(s) of the spon</w:t>
      </w:r>
      <w:r w:rsidR="009939DC">
        <w:t>sor(s) and / or manufacturer(s):</w:t>
      </w:r>
    </w:p>
    <w:p w14:paraId="40A25F22" w14:textId="2DEF474B" w:rsidR="00B47F57" w:rsidRDefault="00B47F57" w:rsidP="000F0ACD">
      <w:pPr>
        <w:pStyle w:val="ListParagraph"/>
        <w:numPr>
          <w:ilvl w:val="0"/>
          <w:numId w:val="44"/>
        </w:numPr>
        <w:spacing w:before="0" w:after="0"/>
        <w:ind w:left="567" w:hanging="207"/>
      </w:pPr>
      <w:r>
        <w:t>Abbott</w:t>
      </w:r>
    </w:p>
    <w:p w14:paraId="0F5A9A5B" w14:textId="33F315CD" w:rsidR="00F615B4" w:rsidRPr="009939DC" w:rsidRDefault="00B47F57" w:rsidP="000F0ACD">
      <w:pPr>
        <w:pStyle w:val="ListParagraph"/>
        <w:numPr>
          <w:ilvl w:val="0"/>
          <w:numId w:val="44"/>
        </w:numPr>
        <w:spacing w:before="0" w:after="0"/>
        <w:ind w:left="567" w:hanging="207"/>
      </w:pPr>
      <w:r>
        <w:t>Boston Scientific</w:t>
      </w:r>
    </w:p>
    <w:p w14:paraId="0716B6D8"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475353E2" w14:textId="563A3906" w:rsidR="000C19AD" w:rsidRDefault="000C19AD" w:rsidP="0067149A">
      <w:pPr>
        <w:spacing w:before="0" w:after="0"/>
        <w:ind w:left="284"/>
        <w:jc w:val="both"/>
      </w:pPr>
      <w:r>
        <w:t xml:space="preserve">The following consumables will be </w:t>
      </w:r>
      <w:r w:rsidR="0034520B">
        <w:t>used</w:t>
      </w:r>
      <w:r>
        <w:t xml:space="preserve"> as part of the service:</w:t>
      </w:r>
    </w:p>
    <w:p w14:paraId="65080C7D" w14:textId="0BAB29A6" w:rsidR="0034520B" w:rsidRDefault="0034520B" w:rsidP="0034520B">
      <w:pPr>
        <w:spacing w:before="0" w:after="0"/>
        <w:jc w:val="both"/>
      </w:pP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2397"/>
        <w:gridCol w:w="4116"/>
        <w:gridCol w:w="1294"/>
        <w:gridCol w:w="1407"/>
      </w:tblGrid>
      <w:tr w:rsidR="0034520B" w14:paraId="7ED5B30E" w14:textId="77777777" w:rsidTr="00BC5BF7">
        <w:trPr>
          <w:trHeight w:val="740"/>
        </w:trPr>
        <w:tc>
          <w:tcPr>
            <w:tcW w:w="2397" w:type="dxa"/>
            <w:shd w:val="clear" w:color="auto" w:fill="D9D9D9" w:themeFill="background1" w:themeFillShade="D9"/>
            <w:noWrap/>
            <w:tcMar>
              <w:top w:w="0" w:type="dxa"/>
              <w:left w:w="108" w:type="dxa"/>
              <w:bottom w:w="0" w:type="dxa"/>
              <w:right w:w="108" w:type="dxa"/>
            </w:tcMar>
            <w:hideMark/>
          </w:tcPr>
          <w:p w14:paraId="3B894028" w14:textId="77777777" w:rsidR="0034520B" w:rsidRPr="00C17879" w:rsidRDefault="0034520B" w:rsidP="00CC2E86">
            <w:pPr>
              <w:rPr>
                <w:b/>
                <w:bCs/>
                <w:color w:val="000000"/>
              </w:rPr>
            </w:pPr>
            <w:r w:rsidRPr="00C17879">
              <w:rPr>
                <w:b/>
                <w:bCs/>
                <w:color w:val="000000"/>
              </w:rPr>
              <w:t>Item</w:t>
            </w:r>
          </w:p>
        </w:tc>
        <w:tc>
          <w:tcPr>
            <w:tcW w:w="4116" w:type="dxa"/>
            <w:shd w:val="clear" w:color="auto" w:fill="D9D9D9" w:themeFill="background1" w:themeFillShade="D9"/>
            <w:noWrap/>
            <w:tcMar>
              <w:top w:w="0" w:type="dxa"/>
              <w:left w:w="108" w:type="dxa"/>
              <w:bottom w:w="0" w:type="dxa"/>
              <w:right w:w="108" w:type="dxa"/>
            </w:tcMar>
            <w:hideMark/>
          </w:tcPr>
          <w:p w14:paraId="1B6F02CB" w14:textId="77777777" w:rsidR="0034520B" w:rsidRPr="00C17879" w:rsidRDefault="0034520B" w:rsidP="00CC2E86">
            <w:pPr>
              <w:rPr>
                <w:b/>
                <w:bCs/>
                <w:color w:val="000000"/>
              </w:rPr>
            </w:pPr>
            <w:r w:rsidRPr="00C17879">
              <w:rPr>
                <w:b/>
                <w:bCs/>
                <w:color w:val="000000"/>
              </w:rPr>
              <w:t>Description</w:t>
            </w:r>
          </w:p>
        </w:tc>
        <w:tc>
          <w:tcPr>
            <w:tcW w:w="0" w:type="auto"/>
            <w:shd w:val="clear" w:color="auto" w:fill="D9D9D9" w:themeFill="background1" w:themeFillShade="D9"/>
            <w:noWrap/>
            <w:tcMar>
              <w:top w:w="0" w:type="dxa"/>
              <w:left w:w="108" w:type="dxa"/>
              <w:bottom w:w="0" w:type="dxa"/>
              <w:right w:w="108" w:type="dxa"/>
            </w:tcMar>
          </w:tcPr>
          <w:p w14:paraId="0CCAEB6F" w14:textId="77777777" w:rsidR="0034520B" w:rsidRPr="00C17879" w:rsidRDefault="0034520B" w:rsidP="00CC2E86">
            <w:pPr>
              <w:rPr>
                <w:b/>
                <w:bCs/>
                <w:color w:val="000000"/>
              </w:rPr>
            </w:pPr>
          </w:p>
        </w:tc>
        <w:tc>
          <w:tcPr>
            <w:tcW w:w="1407" w:type="dxa"/>
            <w:shd w:val="clear" w:color="auto" w:fill="D9D9D9" w:themeFill="background1" w:themeFillShade="D9"/>
            <w:noWrap/>
            <w:tcMar>
              <w:top w:w="0" w:type="dxa"/>
              <w:left w:w="108" w:type="dxa"/>
              <w:bottom w:w="0" w:type="dxa"/>
              <w:right w:w="108" w:type="dxa"/>
            </w:tcMar>
            <w:hideMark/>
          </w:tcPr>
          <w:p w14:paraId="5FB6B1F3" w14:textId="77777777" w:rsidR="0034520B" w:rsidRPr="00C17879" w:rsidRDefault="0034520B" w:rsidP="00CC2E86">
            <w:pPr>
              <w:rPr>
                <w:b/>
                <w:bCs/>
                <w:color w:val="000000"/>
              </w:rPr>
            </w:pPr>
            <w:r w:rsidRPr="00C17879">
              <w:rPr>
                <w:b/>
                <w:bCs/>
                <w:color w:val="000000"/>
              </w:rPr>
              <w:t>ARTG number</w:t>
            </w:r>
          </w:p>
        </w:tc>
      </w:tr>
      <w:tr w:rsidR="0034520B" w14:paraId="004A0A9A" w14:textId="77777777" w:rsidTr="00BC5BF7">
        <w:trPr>
          <w:trHeight w:val="740"/>
        </w:trPr>
        <w:tc>
          <w:tcPr>
            <w:tcW w:w="2397" w:type="dxa"/>
            <w:noWrap/>
            <w:tcMar>
              <w:top w:w="0" w:type="dxa"/>
              <w:left w:w="108" w:type="dxa"/>
              <w:bottom w:w="0" w:type="dxa"/>
              <w:right w:w="108" w:type="dxa"/>
            </w:tcMar>
            <w:hideMark/>
          </w:tcPr>
          <w:p w14:paraId="674322FC" w14:textId="0B38699B" w:rsidR="0034520B" w:rsidRDefault="0034520B" w:rsidP="00CC2E86">
            <w:pPr>
              <w:rPr>
                <w:color w:val="000000"/>
              </w:rPr>
            </w:pPr>
            <w:r>
              <w:rPr>
                <w:color w:val="000000"/>
              </w:rPr>
              <w:t>Medtronic DBS Tunnel</w:t>
            </w:r>
            <w:r w:rsidR="00227DED">
              <w:rPr>
                <w:color w:val="000000"/>
              </w:rPr>
              <w:t>l</w:t>
            </w:r>
            <w:r>
              <w:rPr>
                <w:color w:val="000000"/>
              </w:rPr>
              <w:t>ing Tool Accessory Kit</w:t>
            </w:r>
          </w:p>
        </w:tc>
        <w:tc>
          <w:tcPr>
            <w:tcW w:w="4116" w:type="dxa"/>
            <w:noWrap/>
            <w:tcMar>
              <w:top w:w="0" w:type="dxa"/>
              <w:left w:w="108" w:type="dxa"/>
              <w:bottom w:w="0" w:type="dxa"/>
              <w:right w:w="108" w:type="dxa"/>
            </w:tcMar>
            <w:hideMark/>
          </w:tcPr>
          <w:p w14:paraId="15A203FA" w14:textId="0E380C92" w:rsidR="0034520B" w:rsidRDefault="0034520B" w:rsidP="00CC2E86">
            <w:pPr>
              <w:rPr>
                <w:color w:val="000000"/>
              </w:rPr>
            </w:pPr>
            <w:r>
              <w:rPr>
                <w:color w:val="000000"/>
              </w:rPr>
              <w:t>DBS Tunne</w:t>
            </w:r>
            <w:r w:rsidR="00227DED">
              <w:rPr>
                <w:color w:val="000000"/>
              </w:rPr>
              <w:t>l</w:t>
            </w:r>
            <w:r>
              <w:rPr>
                <w:color w:val="000000"/>
              </w:rPr>
              <w:t>ling Tool Accessory Kit</w:t>
            </w:r>
          </w:p>
        </w:tc>
        <w:tc>
          <w:tcPr>
            <w:tcW w:w="0" w:type="auto"/>
            <w:noWrap/>
            <w:tcMar>
              <w:top w:w="0" w:type="dxa"/>
              <w:left w:w="108" w:type="dxa"/>
              <w:bottom w:w="0" w:type="dxa"/>
              <w:right w:w="108" w:type="dxa"/>
            </w:tcMar>
            <w:hideMark/>
          </w:tcPr>
          <w:p w14:paraId="037F4CEA" w14:textId="77777777" w:rsidR="0034520B" w:rsidRDefault="0034520B" w:rsidP="00CC2E86">
            <w:pPr>
              <w:rPr>
                <w:color w:val="000000"/>
              </w:rPr>
            </w:pPr>
            <w:r>
              <w:rPr>
                <w:color w:val="000000"/>
              </w:rPr>
              <w:t>One size only</w:t>
            </w:r>
          </w:p>
        </w:tc>
        <w:tc>
          <w:tcPr>
            <w:tcW w:w="1407" w:type="dxa"/>
            <w:noWrap/>
            <w:tcMar>
              <w:top w:w="0" w:type="dxa"/>
              <w:left w:w="108" w:type="dxa"/>
              <w:bottom w:w="0" w:type="dxa"/>
              <w:right w:w="108" w:type="dxa"/>
            </w:tcMar>
            <w:hideMark/>
          </w:tcPr>
          <w:p w14:paraId="45B65E3C" w14:textId="77777777" w:rsidR="0034520B" w:rsidRDefault="0034520B" w:rsidP="00CC2E86">
            <w:pPr>
              <w:rPr>
                <w:color w:val="000000"/>
              </w:rPr>
            </w:pPr>
            <w:r>
              <w:rPr>
                <w:color w:val="000000"/>
              </w:rPr>
              <w:t>121281</w:t>
            </w:r>
          </w:p>
        </w:tc>
      </w:tr>
      <w:tr w:rsidR="0034520B" w14:paraId="61D41ABA" w14:textId="77777777" w:rsidTr="00BC5BF7">
        <w:trPr>
          <w:trHeight w:val="740"/>
        </w:trPr>
        <w:tc>
          <w:tcPr>
            <w:tcW w:w="2397" w:type="dxa"/>
            <w:noWrap/>
            <w:tcMar>
              <w:top w:w="0" w:type="dxa"/>
              <w:left w:w="108" w:type="dxa"/>
              <w:bottom w:w="0" w:type="dxa"/>
              <w:right w:w="108" w:type="dxa"/>
            </w:tcMar>
            <w:hideMark/>
          </w:tcPr>
          <w:p w14:paraId="33857184" w14:textId="77777777" w:rsidR="0034520B" w:rsidRDefault="0034520B" w:rsidP="00CC2E86">
            <w:pPr>
              <w:rPr>
                <w:color w:val="000000"/>
              </w:rPr>
            </w:pPr>
            <w:r>
              <w:rPr>
                <w:color w:val="000000"/>
              </w:rPr>
              <w:t>Medtronic MicroTargeting Electrodes</w:t>
            </w:r>
          </w:p>
        </w:tc>
        <w:tc>
          <w:tcPr>
            <w:tcW w:w="4116" w:type="dxa"/>
            <w:noWrap/>
            <w:tcMar>
              <w:top w:w="0" w:type="dxa"/>
              <w:left w:w="108" w:type="dxa"/>
              <w:bottom w:w="0" w:type="dxa"/>
              <w:right w:w="108" w:type="dxa"/>
            </w:tcMar>
            <w:hideMark/>
          </w:tcPr>
          <w:p w14:paraId="216097F1" w14:textId="77777777" w:rsidR="0034520B" w:rsidRDefault="0034520B" w:rsidP="00CC2E86">
            <w:pPr>
              <w:rPr>
                <w:color w:val="000000"/>
              </w:rPr>
            </w:pPr>
            <w:r>
              <w:rPr>
                <w:color w:val="000000"/>
              </w:rPr>
              <w:t>Microelectrodes used for intra-operative recording of neuronal activity for DBS</w:t>
            </w:r>
          </w:p>
        </w:tc>
        <w:tc>
          <w:tcPr>
            <w:tcW w:w="0" w:type="auto"/>
            <w:noWrap/>
            <w:tcMar>
              <w:top w:w="0" w:type="dxa"/>
              <w:left w:w="108" w:type="dxa"/>
              <w:bottom w:w="0" w:type="dxa"/>
              <w:right w:w="108" w:type="dxa"/>
            </w:tcMar>
            <w:hideMark/>
          </w:tcPr>
          <w:p w14:paraId="11B1C940" w14:textId="77777777" w:rsidR="0034520B" w:rsidRDefault="0034520B" w:rsidP="00CC2E86">
            <w:pPr>
              <w:rPr>
                <w:color w:val="000000"/>
              </w:rPr>
            </w:pPr>
            <w:r>
              <w:rPr>
                <w:color w:val="000000"/>
              </w:rPr>
              <w:t>Various</w:t>
            </w:r>
          </w:p>
        </w:tc>
        <w:tc>
          <w:tcPr>
            <w:tcW w:w="1407" w:type="dxa"/>
            <w:noWrap/>
            <w:tcMar>
              <w:top w:w="0" w:type="dxa"/>
              <w:left w:w="108" w:type="dxa"/>
              <w:bottom w:w="0" w:type="dxa"/>
              <w:right w:w="108" w:type="dxa"/>
            </w:tcMar>
            <w:hideMark/>
          </w:tcPr>
          <w:p w14:paraId="6C8267C6" w14:textId="77777777" w:rsidR="0034520B" w:rsidRDefault="0034520B" w:rsidP="00CC2E86">
            <w:pPr>
              <w:rPr>
                <w:color w:val="000000"/>
              </w:rPr>
            </w:pPr>
            <w:r>
              <w:rPr>
                <w:color w:val="000000"/>
              </w:rPr>
              <w:t>133619</w:t>
            </w:r>
          </w:p>
        </w:tc>
      </w:tr>
      <w:tr w:rsidR="0034520B" w14:paraId="249BBA5D" w14:textId="77777777" w:rsidTr="00BC5BF7">
        <w:trPr>
          <w:trHeight w:val="740"/>
        </w:trPr>
        <w:tc>
          <w:tcPr>
            <w:tcW w:w="2397" w:type="dxa"/>
            <w:noWrap/>
            <w:tcMar>
              <w:top w:w="0" w:type="dxa"/>
              <w:left w:w="108" w:type="dxa"/>
              <w:bottom w:w="0" w:type="dxa"/>
              <w:right w:w="108" w:type="dxa"/>
            </w:tcMar>
            <w:hideMark/>
          </w:tcPr>
          <w:p w14:paraId="21123EE5" w14:textId="77777777" w:rsidR="0034520B" w:rsidRDefault="0034520B" w:rsidP="00CC2E86">
            <w:pPr>
              <w:rPr>
                <w:color w:val="000000"/>
              </w:rPr>
            </w:pPr>
            <w:r>
              <w:rPr>
                <w:color w:val="000000"/>
              </w:rPr>
              <w:t>Microelectrode Cable</w:t>
            </w:r>
          </w:p>
        </w:tc>
        <w:tc>
          <w:tcPr>
            <w:tcW w:w="4116" w:type="dxa"/>
            <w:noWrap/>
            <w:tcMar>
              <w:top w:w="0" w:type="dxa"/>
              <w:left w:w="108" w:type="dxa"/>
              <w:bottom w:w="0" w:type="dxa"/>
              <w:right w:w="108" w:type="dxa"/>
            </w:tcMar>
            <w:hideMark/>
          </w:tcPr>
          <w:p w14:paraId="54038B31" w14:textId="77777777" w:rsidR="0034520B" w:rsidRDefault="0034520B" w:rsidP="00CC2E86">
            <w:pPr>
              <w:rPr>
                <w:color w:val="000000"/>
              </w:rPr>
            </w:pPr>
            <w:r>
              <w:rPr>
                <w:color w:val="000000"/>
              </w:rPr>
              <w:t>Cable used for intracranial recording of neural activity prior to DBS</w:t>
            </w:r>
          </w:p>
        </w:tc>
        <w:tc>
          <w:tcPr>
            <w:tcW w:w="0" w:type="auto"/>
            <w:noWrap/>
            <w:tcMar>
              <w:top w:w="0" w:type="dxa"/>
              <w:left w:w="108" w:type="dxa"/>
              <w:bottom w:w="0" w:type="dxa"/>
              <w:right w:w="108" w:type="dxa"/>
            </w:tcMar>
            <w:hideMark/>
          </w:tcPr>
          <w:p w14:paraId="26FFB2E4" w14:textId="77777777" w:rsidR="0034520B" w:rsidRDefault="0034520B" w:rsidP="00CC2E86">
            <w:pPr>
              <w:rPr>
                <w:color w:val="000000"/>
              </w:rPr>
            </w:pPr>
            <w:r>
              <w:rPr>
                <w:color w:val="000000"/>
              </w:rPr>
              <w:t>One size</w:t>
            </w:r>
          </w:p>
        </w:tc>
        <w:tc>
          <w:tcPr>
            <w:tcW w:w="1407" w:type="dxa"/>
            <w:noWrap/>
            <w:tcMar>
              <w:top w:w="0" w:type="dxa"/>
              <w:left w:w="108" w:type="dxa"/>
              <w:bottom w:w="0" w:type="dxa"/>
              <w:right w:w="108" w:type="dxa"/>
            </w:tcMar>
            <w:hideMark/>
          </w:tcPr>
          <w:p w14:paraId="3A7E915F" w14:textId="77777777" w:rsidR="0034520B" w:rsidRDefault="0034520B" w:rsidP="00CC2E86">
            <w:pPr>
              <w:rPr>
                <w:color w:val="000000"/>
              </w:rPr>
            </w:pPr>
            <w:r>
              <w:rPr>
                <w:color w:val="000000"/>
              </w:rPr>
              <w:t>138186</w:t>
            </w:r>
          </w:p>
        </w:tc>
      </w:tr>
      <w:tr w:rsidR="0034520B" w14:paraId="56428AA0" w14:textId="77777777" w:rsidTr="00BC5BF7">
        <w:trPr>
          <w:trHeight w:val="740"/>
        </w:trPr>
        <w:tc>
          <w:tcPr>
            <w:tcW w:w="2397" w:type="dxa"/>
            <w:noWrap/>
            <w:tcMar>
              <w:top w:w="0" w:type="dxa"/>
              <w:left w:w="108" w:type="dxa"/>
              <w:bottom w:w="0" w:type="dxa"/>
              <w:right w:w="108" w:type="dxa"/>
            </w:tcMar>
            <w:hideMark/>
          </w:tcPr>
          <w:p w14:paraId="054934E4" w14:textId="77777777" w:rsidR="0034520B" w:rsidRDefault="0034520B" w:rsidP="00CC2E86">
            <w:pPr>
              <w:rPr>
                <w:color w:val="000000"/>
              </w:rPr>
            </w:pPr>
            <w:r>
              <w:rPr>
                <w:color w:val="000000"/>
              </w:rPr>
              <w:t>Electrode Insertion Tube set</w:t>
            </w:r>
          </w:p>
        </w:tc>
        <w:tc>
          <w:tcPr>
            <w:tcW w:w="4116" w:type="dxa"/>
            <w:noWrap/>
            <w:tcMar>
              <w:top w:w="0" w:type="dxa"/>
              <w:left w:w="108" w:type="dxa"/>
              <w:bottom w:w="0" w:type="dxa"/>
              <w:right w:w="108" w:type="dxa"/>
            </w:tcMar>
            <w:hideMark/>
          </w:tcPr>
          <w:p w14:paraId="647EBDA8" w14:textId="77777777" w:rsidR="0034520B" w:rsidRDefault="0034520B" w:rsidP="00CC2E86">
            <w:pPr>
              <w:rPr>
                <w:color w:val="000000"/>
              </w:rPr>
            </w:pPr>
            <w:r>
              <w:rPr>
                <w:color w:val="000000"/>
              </w:rPr>
              <w:t>Electrode Insertion Tube Set for DBS</w:t>
            </w:r>
          </w:p>
        </w:tc>
        <w:tc>
          <w:tcPr>
            <w:tcW w:w="0" w:type="auto"/>
            <w:noWrap/>
            <w:tcMar>
              <w:top w:w="0" w:type="dxa"/>
              <w:left w:w="108" w:type="dxa"/>
              <w:bottom w:w="0" w:type="dxa"/>
              <w:right w:w="108" w:type="dxa"/>
            </w:tcMar>
            <w:hideMark/>
          </w:tcPr>
          <w:p w14:paraId="6D3EC406" w14:textId="77777777" w:rsidR="0034520B" w:rsidRDefault="0034520B" w:rsidP="00CC2E86">
            <w:pPr>
              <w:rPr>
                <w:color w:val="000000"/>
              </w:rPr>
            </w:pPr>
            <w:r>
              <w:rPr>
                <w:color w:val="000000"/>
              </w:rPr>
              <w:t>One size only</w:t>
            </w:r>
          </w:p>
        </w:tc>
        <w:tc>
          <w:tcPr>
            <w:tcW w:w="1407" w:type="dxa"/>
            <w:noWrap/>
            <w:tcMar>
              <w:top w:w="0" w:type="dxa"/>
              <w:left w:w="108" w:type="dxa"/>
              <w:bottom w:w="0" w:type="dxa"/>
              <w:right w:w="108" w:type="dxa"/>
            </w:tcMar>
            <w:hideMark/>
          </w:tcPr>
          <w:p w14:paraId="1BF30CE6" w14:textId="77777777" w:rsidR="0034520B" w:rsidRDefault="0034520B" w:rsidP="00CC2E86">
            <w:pPr>
              <w:rPr>
                <w:color w:val="000000"/>
              </w:rPr>
            </w:pPr>
            <w:r>
              <w:rPr>
                <w:color w:val="000000"/>
              </w:rPr>
              <w:t>212222</w:t>
            </w:r>
          </w:p>
        </w:tc>
      </w:tr>
      <w:tr w:rsidR="0034520B" w14:paraId="76B962EB" w14:textId="77777777" w:rsidTr="00BC5BF7">
        <w:trPr>
          <w:trHeight w:val="740"/>
        </w:trPr>
        <w:tc>
          <w:tcPr>
            <w:tcW w:w="2397" w:type="dxa"/>
            <w:noWrap/>
            <w:tcMar>
              <w:top w:w="0" w:type="dxa"/>
              <w:left w:w="108" w:type="dxa"/>
              <w:bottom w:w="0" w:type="dxa"/>
              <w:right w:w="108" w:type="dxa"/>
            </w:tcMar>
            <w:hideMark/>
          </w:tcPr>
          <w:p w14:paraId="51CD095F" w14:textId="77777777" w:rsidR="0034520B" w:rsidRDefault="0034520B" w:rsidP="00CC2E86">
            <w:pPr>
              <w:rPr>
                <w:color w:val="000000"/>
              </w:rPr>
            </w:pPr>
            <w:r>
              <w:rPr>
                <w:color w:val="000000"/>
              </w:rPr>
              <w:t>Medtronic Screening Cable (Twist Lock)</w:t>
            </w:r>
          </w:p>
        </w:tc>
        <w:tc>
          <w:tcPr>
            <w:tcW w:w="4116" w:type="dxa"/>
            <w:noWrap/>
            <w:tcMar>
              <w:top w:w="0" w:type="dxa"/>
              <w:left w:w="108" w:type="dxa"/>
              <w:bottom w:w="0" w:type="dxa"/>
              <w:right w:w="108" w:type="dxa"/>
            </w:tcMar>
            <w:hideMark/>
          </w:tcPr>
          <w:p w14:paraId="41ED54E8" w14:textId="77777777" w:rsidR="0034520B" w:rsidRDefault="0034520B" w:rsidP="00CC2E86">
            <w:pPr>
              <w:rPr>
                <w:color w:val="000000"/>
              </w:rPr>
            </w:pPr>
            <w:r>
              <w:rPr>
                <w:color w:val="000000"/>
              </w:rPr>
              <w:t>Screening Cable with Twist Lock for Intraoperative testing</w:t>
            </w:r>
          </w:p>
        </w:tc>
        <w:tc>
          <w:tcPr>
            <w:tcW w:w="0" w:type="auto"/>
            <w:noWrap/>
            <w:tcMar>
              <w:top w:w="0" w:type="dxa"/>
              <w:left w:w="108" w:type="dxa"/>
              <w:bottom w:w="0" w:type="dxa"/>
              <w:right w:w="108" w:type="dxa"/>
            </w:tcMar>
            <w:hideMark/>
          </w:tcPr>
          <w:p w14:paraId="48DF287D" w14:textId="77777777" w:rsidR="0034520B" w:rsidRDefault="0034520B" w:rsidP="00CC2E86">
            <w:pPr>
              <w:rPr>
                <w:color w:val="000000"/>
              </w:rPr>
            </w:pPr>
            <w:r>
              <w:rPr>
                <w:color w:val="000000"/>
              </w:rPr>
              <w:t>One size only</w:t>
            </w:r>
          </w:p>
        </w:tc>
        <w:tc>
          <w:tcPr>
            <w:tcW w:w="1407" w:type="dxa"/>
            <w:noWrap/>
            <w:tcMar>
              <w:top w:w="0" w:type="dxa"/>
              <w:left w:w="108" w:type="dxa"/>
              <w:bottom w:w="0" w:type="dxa"/>
              <w:right w:w="108" w:type="dxa"/>
            </w:tcMar>
            <w:hideMark/>
          </w:tcPr>
          <w:p w14:paraId="342125F1" w14:textId="77777777" w:rsidR="0034520B" w:rsidRDefault="0034520B" w:rsidP="00CC2E86">
            <w:pPr>
              <w:rPr>
                <w:color w:val="000000"/>
              </w:rPr>
            </w:pPr>
            <w:r>
              <w:rPr>
                <w:color w:val="000000"/>
              </w:rPr>
              <w:t>119991</w:t>
            </w:r>
          </w:p>
        </w:tc>
      </w:tr>
      <w:tr w:rsidR="0034520B" w14:paraId="25C6459E" w14:textId="77777777" w:rsidTr="00BC5BF7">
        <w:trPr>
          <w:trHeight w:val="740"/>
        </w:trPr>
        <w:tc>
          <w:tcPr>
            <w:tcW w:w="2397" w:type="dxa"/>
            <w:noWrap/>
            <w:tcMar>
              <w:top w:w="0" w:type="dxa"/>
              <w:left w:w="108" w:type="dxa"/>
              <w:bottom w:w="0" w:type="dxa"/>
              <w:right w:w="108" w:type="dxa"/>
            </w:tcMar>
            <w:hideMark/>
          </w:tcPr>
          <w:p w14:paraId="4114BF71" w14:textId="77777777" w:rsidR="0034520B" w:rsidRDefault="0034520B" w:rsidP="00CC2E86">
            <w:pPr>
              <w:rPr>
                <w:color w:val="000000"/>
              </w:rPr>
            </w:pPr>
            <w:r>
              <w:rPr>
                <w:color w:val="000000"/>
              </w:rPr>
              <w:t>Medtronic Screening Cable (Alligator Clip)</w:t>
            </w:r>
          </w:p>
        </w:tc>
        <w:tc>
          <w:tcPr>
            <w:tcW w:w="4116" w:type="dxa"/>
            <w:noWrap/>
            <w:tcMar>
              <w:top w:w="0" w:type="dxa"/>
              <w:left w:w="108" w:type="dxa"/>
              <w:bottom w:w="0" w:type="dxa"/>
              <w:right w:w="108" w:type="dxa"/>
            </w:tcMar>
            <w:hideMark/>
          </w:tcPr>
          <w:p w14:paraId="54012572" w14:textId="77777777" w:rsidR="0034520B" w:rsidRDefault="0034520B" w:rsidP="00CC2E86">
            <w:pPr>
              <w:rPr>
                <w:color w:val="000000"/>
              </w:rPr>
            </w:pPr>
            <w:r>
              <w:rPr>
                <w:color w:val="000000"/>
              </w:rPr>
              <w:t>Screening Cable with Alligator Clip for Intraoperative testing</w:t>
            </w:r>
          </w:p>
        </w:tc>
        <w:tc>
          <w:tcPr>
            <w:tcW w:w="0" w:type="auto"/>
            <w:noWrap/>
            <w:tcMar>
              <w:top w:w="0" w:type="dxa"/>
              <w:left w:w="108" w:type="dxa"/>
              <w:bottom w:w="0" w:type="dxa"/>
              <w:right w:w="108" w:type="dxa"/>
            </w:tcMar>
            <w:hideMark/>
          </w:tcPr>
          <w:p w14:paraId="4B06669F" w14:textId="77777777" w:rsidR="0034520B" w:rsidRDefault="0034520B" w:rsidP="00CC2E86">
            <w:pPr>
              <w:rPr>
                <w:color w:val="000000"/>
              </w:rPr>
            </w:pPr>
            <w:r>
              <w:rPr>
                <w:color w:val="000000"/>
              </w:rPr>
              <w:t>One size only</w:t>
            </w:r>
          </w:p>
        </w:tc>
        <w:tc>
          <w:tcPr>
            <w:tcW w:w="1407" w:type="dxa"/>
            <w:noWrap/>
            <w:tcMar>
              <w:top w:w="0" w:type="dxa"/>
              <w:left w:w="108" w:type="dxa"/>
              <w:bottom w:w="0" w:type="dxa"/>
              <w:right w:w="108" w:type="dxa"/>
            </w:tcMar>
            <w:hideMark/>
          </w:tcPr>
          <w:p w14:paraId="4F9BC44B" w14:textId="77777777" w:rsidR="0034520B" w:rsidRDefault="0034520B" w:rsidP="00CC2E86">
            <w:pPr>
              <w:rPr>
                <w:color w:val="000000"/>
              </w:rPr>
            </w:pPr>
            <w:r>
              <w:rPr>
                <w:color w:val="000000"/>
              </w:rPr>
              <w:t>119991</w:t>
            </w:r>
          </w:p>
        </w:tc>
      </w:tr>
      <w:tr w:rsidR="0034520B" w14:paraId="6EDE8C59" w14:textId="77777777" w:rsidTr="00BC5BF7">
        <w:trPr>
          <w:trHeight w:val="740"/>
        </w:trPr>
        <w:tc>
          <w:tcPr>
            <w:tcW w:w="2397" w:type="dxa"/>
            <w:noWrap/>
            <w:tcMar>
              <w:top w:w="0" w:type="dxa"/>
              <w:left w:w="108" w:type="dxa"/>
              <w:bottom w:w="0" w:type="dxa"/>
              <w:right w:w="108" w:type="dxa"/>
            </w:tcMar>
            <w:hideMark/>
          </w:tcPr>
          <w:p w14:paraId="4269861B" w14:textId="77777777" w:rsidR="0034520B" w:rsidRDefault="0034520B" w:rsidP="00CC2E86">
            <w:pPr>
              <w:rPr>
                <w:color w:val="000000"/>
              </w:rPr>
            </w:pPr>
            <w:r>
              <w:rPr>
                <w:color w:val="000000"/>
              </w:rPr>
              <w:t>Medtronic Accessory Kit for Deep Brain Stimulation</w:t>
            </w:r>
          </w:p>
        </w:tc>
        <w:tc>
          <w:tcPr>
            <w:tcW w:w="4116" w:type="dxa"/>
            <w:noWrap/>
            <w:tcMar>
              <w:top w:w="0" w:type="dxa"/>
              <w:left w:w="108" w:type="dxa"/>
              <w:bottom w:w="0" w:type="dxa"/>
              <w:right w:w="108" w:type="dxa"/>
            </w:tcMar>
            <w:hideMark/>
          </w:tcPr>
          <w:p w14:paraId="654A8D20" w14:textId="77777777" w:rsidR="0034520B" w:rsidRDefault="0034520B" w:rsidP="00CC2E86">
            <w:pPr>
              <w:rPr>
                <w:color w:val="000000"/>
              </w:rPr>
            </w:pPr>
            <w:r>
              <w:rPr>
                <w:color w:val="000000"/>
              </w:rPr>
              <w:t>Boots accessory kit for DBS (3550-25)</w:t>
            </w:r>
          </w:p>
        </w:tc>
        <w:tc>
          <w:tcPr>
            <w:tcW w:w="0" w:type="auto"/>
            <w:noWrap/>
            <w:tcMar>
              <w:top w:w="0" w:type="dxa"/>
              <w:left w:w="108" w:type="dxa"/>
              <w:bottom w:w="0" w:type="dxa"/>
              <w:right w:w="108" w:type="dxa"/>
            </w:tcMar>
            <w:hideMark/>
          </w:tcPr>
          <w:p w14:paraId="7815043A" w14:textId="77777777" w:rsidR="0034520B" w:rsidRDefault="0034520B" w:rsidP="00CC2E86">
            <w:pPr>
              <w:rPr>
                <w:color w:val="000000"/>
              </w:rPr>
            </w:pPr>
            <w:r>
              <w:rPr>
                <w:color w:val="000000"/>
              </w:rPr>
              <w:t>N/A</w:t>
            </w:r>
          </w:p>
        </w:tc>
        <w:tc>
          <w:tcPr>
            <w:tcW w:w="1407" w:type="dxa"/>
            <w:noWrap/>
            <w:tcMar>
              <w:top w:w="0" w:type="dxa"/>
              <w:left w:w="108" w:type="dxa"/>
              <w:bottom w:w="0" w:type="dxa"/>
              <w:right w:w="108" w:type="dxa"/>
            </w:tcMar>
            <w:hideMark/>
          </w:tcPr>
          <w:p w14:paraId="59500BB9" w14:textId="77777777" w:rsidR="0034520B" w:rsidRDefault="0034520B" w:rsidP="00CC2E86">
            <w:pPr>
              <w:rPr>
                <w:color w:val="000000"/>
              </w:rPr>
            </w:pPr>
            <w:r>
              <w:rPr>
                <w:color w:val="000000"/>
              </w:rPr>
              <w:t>240576</w:t>
            </w:r>
          </w:p>
        </w:tc>
      </w:tr>
    </w:tbl>
    <w:p w14:paraId="6ABB31DC" w14:textId="77777777" w:rsidR="0034520B" w:rsidRDefault="0034520B" w:rsidP="0034520B">
      <w:pPr>
        <w:pStyle w:val="ListParagraph"/>
        <w:ind w:left="0"/>
        <w:rPr>
          <w:rFonts w:ascii="Calibri" w:hAnsi="Calibri" w:cs="Calibri"/>
          <w:color w:val="A9D18E"/>
          <w:sz w:val="22"/>
        </w:rPr>
      </w:pPr>
    </w:p>
    <w:p w14:paraId="40698EF6" w14:textId="77777777" w:rsidR="0034520B" w:rsidRDefault="0034520B" w:rsidP="0034520B">
      <w:pPr>
        <w:spacing w:before="0" w:after="0"/>
        <w:jc w:val="both"/>
      </w:pPr>
    </w:p>
    <w:p w14:paraId="32BAD8B9" w14:textId="77777777" w:rsidR="000C19AD" w:rsidRDefault="000C19AD" w:rsidP="0067149A">
      <w:pPr>
        <w:spacing w:before="0" w:after="0"/>
        <w:ind w:left="284"/>
        <w:jc w:val="both"/>
      </w:pPr>
    </w:p>
    <w:p w14:paraId="4843BFDD" w14:textId="1E9999C0" w:rsidR="00F301F1" w:rsidRPr="00855944" w:rsidRDefault="00F301F1" w:rsidP="00D766C0">
      <w:pPr>
        <w:spacing w:before="0" w:after="0"/>
        <w:jc w:val="both"/>
      </w:pPr>
    </w:p>
    <w:p w14:paraId="38D05094" w14:textId="77777777" w:rsidR="00F94DF7" w:rsidRDefault="00F94DF7">
      <w:pPr>
        <w:spacing w:before="0" w:after="200" w:line="276" w:lineRule="auto"/>
        <w:rPr>
          <w:bCs/>
          <w:color w:val="4F81BD" w:themeColor="accent1"/>
          <w:sz w:val="40"/>
          <w:szCs w:val="32"/>
        </w:rPr>
      </w:pPr>
      <w:bookmarkStart w:id="6" w:name="_Hlk80792959"/>
      <w:r>
        <w:br w:type="page"/>
      </w:r>
    </w:p>
    <w:p w14:paraId="6A24678F" w14:textId="395624D8" w:rsidR="00226777" w:rsidRDefault="00530204" w:rsidP="0056015F">
      <w:pPr>
        <w:pStyle w:val="Heading1"/>
      </w:pPr>
      <w:r>
        <w:lastRenderedPageBreak/>
        <w:t>PART 3</w:t>
      </w:r>
      <w:r w:rsidR="00F93784">
        <w:t xml:space="preserve"> – </w:t>
      </w:r>
      <w:r w:rsidR="00226777" w:rsidRPr="00C776B1">
        <w:t>INFORMATION ABOUT REGULATORY REQUIREMENTS</w:t>
      </w:r>
    </w:p>
    <w:p w14:paraId="11A5D6D5" w14:textId="77777777" w:rsidR="001A1ADF" w:rsidRPr="00A6491A" w:rsidRDefault="000E2E02" w:rsidP="000E2E02">
      <w:pPr>
        <w:pStyle w:val="Heading2"/>
      </w:pPr>
      <w:r>
        <w:t xml:space="preserve">(a) </w:t>
      </w:r>
      <w:r w:rsidRPr="000E2E02">
        <w:t>If the proposed medical service involves use of a medical de</w:t>
      </w:r>
      <w:r w:rsidR="000F3129">
        <w:t xml:space="preserve">vice, in-vitro diagnostic test, </w:t>
      </w:r>
      <w:r w:rsidRPr="000E2E02">
        <w:t>pharmaceutical product, radioactive tracer, or any other type of therapeutic good, please provide details</w:t>
      </w:r>
    </w:p>
    <w:p w14:paraId="1B657DA1" w14:textId="77777777" w:rsidR="00CF1D8B" w:rsidRPr="006149C4" w:rsidRDefault="00CF1D8B" w:rsidP="006149C4">
      <w:pPr>
        <w:pStyle w:val="Heading2"/>
        <w:numPr>
          <w:ilvl w:val="0"/>
          <w:numId w:val="0"/>
        </w:numPr>
        <w:spacing w:before="0" w:after="0"/>
      </w:pPr>
    </w:p>
    <w:p w14:paraId="1A2BBB6F" w14:textId="28C45D79" w:rsidR="00156F79" w:rsidRPr="00F94DF7" w:rsidRDefault="00D05184" w:rsidP="00F94DF7">
      <w:pPr>
        <w:spacing w:before="0" w:after="0"/>
        <w:ind w:left="360"/>
        <w:rPr>
          <w:szCs w:val="20"/>
        </w:rPr>
      </w:pPr>
      <w:r w:rsidRPr="00F94DF7">
        <w:rPr>
          <w:szCs w:val="20"/>
        </w:rPr>
        <w:t xml:space="preserve">The following </w:t>
      </w:r>
      <w:r w:rsidR="00CF1D8B" w:rsidRPr="00F94DF7">
        <w:rPr>
          <w:szCs w:val="20"/>
        </w:rPr>
        <w:t>device</w:t>
      </w:r>
      <w:r w:rsidRPr="00F94DF7">
        <w:rPr>
          <w:szCs w:val="20"/>
        </w:rPr>
        <w:t xml:space="preserve"> </w:t>
      </w:r>
      <w:r w:rsidR="00406ED6" w:rsidRPr="00F94DF7">
        <w:rPr>
          <w:szCs w:val="20"/>
        </w:rPr>
        <w:t xml:space="preserve">components </w:t>
      </w:r>
      <w:r w:rsidRPr="00F94DF7">
        <w:rPr>
          <w:szCs w:val="20"/>
        </w:rPr>
        <w:t xml:space="preserve">are </w:t>
      </w:r>
      <w:r w:rsidR="00406ED6" w:rsidRPr="00F94DF7">
        <w:rPr>
          <w:szCs w:val="20"/>
        </w:rPr>
        <w:t xml:space="preserve">required for </w:t>
      </w:r>
      <w:r w:rsidR="00EF32A8" w:rsidRPr="00F94DF7">
        <w:rPr>
          <w:szCs w:val="20"/>
        </w:rPr>
        <w:t>DBS</w:t>
      </w:r>
      <w:r w:rsidR="00406ED6" w:rsidRPr="00F94DF7">
        <w:rPr>
          <w:szCs w:val="20"/>
        </w:rPr>
        <w:t xml:space="preserve"> therapy</w:t>
      </w:r>
      <w:r w:rsidR="00CF1D8B" w:rsidRPr="00F94DF7">
        <w:rPr>
          <w:szCs w:val="20"/>
        </w:rPr>
        <w:t xml:space="preserve"> for epilepsy</w:t>
      </w:r>
      <w:r w:rsidR="00F94DF7" w:rsidRPr="00F94DF7">
        <w:rPr>
          <w:szCs w:val="20"/>
        </w:rPr>
        <w:t xml:space="preserve"> (t</w:t>
      </w:r>
      <w:r w:rsidR="00156F79" w:rsidRPr="00F94DF7">
        <w:rPr>
          <w:szCs w:val="20"/>
        </w:rPr>
        <w:t>hese are also listed for question 12b</w:t>
      </w:r>
      <w:r w:rsidR="00F94DF7" w:rsidRPr="00F94DF7">
        <w:rPr>
          <w:szCs w:val="20"/>
        </w:rPr>
        <w:t>):</w:t>
      </w:r>
    </w:p>
    <w:p w14:paraId="36C08672" w14:textId="77777777" w:rsidR="00406ED6" w:rsidRDefault="00406ED6" w:rsidP="00D05184">
      <w:pPr>
        <w:spacing w:before="0" w:after="0"/>
        <w:ind w:left="360"/>
        <w:rPr>
          <w:i/>
          <w:iCs/>
          <w:szCs w:val="20"/>
        </w:rPr>
      </w:pPr>
    </w:p>
    <w:p w14:paraId="7301686F" w14:textId="6D443920" w:rsidR="005047C4" w:rsidRPr="0013243D" w:rsidRDefault="005047C4" w:rsidP="00D05184">
      <w:pPr>
        <w:spacing w:before="0" w:after="0"/>
        <w:ind w:left="360"/>
        <w:rPr>
          <w:b/>
          <w:bCs/>
          <w:i/>
          <w:iCs/>
          <w:szCs w:val="20"/>
        </w:rPr>
      </w:pPr>
      <w:r w:rsidRPr="0013243D">
        <w:rPr>
          <w:b/>
          <w:bCs/>
          <w:i/>
          <w:iCs/>
          <w:szCs w:val="20"/>
        </w:rPr>
        <w:t xml:space="preserve">Two </w:t>
      </w:r>
      <w:r w:rsidR="00406ED6" w:rsidRPr="0013243D">
        <w:rPr>
          <w:b/>
          <w:bCs/>
          <w:i/>
          <w:iCs/>
          <w:szCs w:val="20"/>
        </w:rPr>
        <w:t xml:space="preserve">Model 3387 </w:t>
      </w:r>
      <w:r w:rsidRPr="0013243D">
        <w:rPr>
          <w:b/>
          <w:bCs/>
          <w:i/>
          <w:iCs/>
          <w:szCs w:val="20"/>
        </w:rPr>
        <w:t>lead</w:t>
      </w:r>
      <w:r w:rsidR="007602CB">
        <w:rPr>
          <w:b/>
          <w:bCs/>
          <w:i/>
          <w:iCs/>
          <w:szCs w:val="20"/>
        </w:rPr>
        <w:t>s</w:t>
      </w:r>
      <w:r w:rsidRPr="0013243D">
        <w:rPr>
          <w:b/>
          <w:bCs/>
          <w:i/>
          <w:iCs/>
          <w:szCs w:val="20"/>
        </w:rPr>
        <w:t xml:space="preserve"> would be implanted into the </w:t>
      </w:r>
      <w:r w:rsidR="00227DED" w:rsidRPr="0013243D">
        <w:rPr>
          <w:b/>
          <w:bCs/>
          <w:i/>
          <w:iCs/>
          <w:szCs w:val="20"/>
        </w:rPr>
        <w:t>thalamus</w:t>
      </w:r>
      <w:r w:rsidRPr="0013243D">
        <w:rPr>
          <w:b/>
          <w:bCs/>
          <w:i/>
          <w:iCs/>
          <w:szCs w:val="20"/>
        </w:rPr>
        <w:t>:</w:t>
      </w:r>
    </w:p>
    <w:p w14:paraId="6DCC698F" w14:textId="09150313" w:rsidR="00E51E21" w:rsidRPr="00A26343" w:rsidRDefault="00E51E21" w:rsidP="00D05184">
      <w:pPr>
        <w:spacing w:before="0" w:after="0"/>
        <w:ind w:left="1080"/>
        <w:rPr>
          <w:szCs w:val="20"/>
        </w:rPr>
      </w:pPr>
      <w:r w:rsidRPr="00A26343">
        <w:rPr>
          <w:szCs w:val="20"/>
        </w:rPr>
        <w:t>Type of therapeutic good</w:t>
      </w:r>
      <w:r>
        <w:rPr>
          <w:szCs w:val="20"/>
        </w:rPr>
        <w:t xml:space="preserve">: </w:t>
      </w:r>
      <w:r w:rsidR="005047C4">
        <w:t>Electrode/lead, stimulator, implantable, neurological</w:t>
      </w:r>
    </w:p>
    <w:p w14:paraId="55FA8703" w14:textId="7083BC0A" w:rsidR="00E51E21" w:rsidRPr="00A26343" w:rsidRDefault="00E51E21" w:rsidP="00D05184">
      <w:pPr>
        <w:spacing w:before="0" w:after="0"/>
        <w:ind w:left="1080"/>
        <w:rPr>
          <w:szCs w:val="20"/>
        </w:rPr>
      </w:pPr>
      <w:r w:rsidRPr="00A26343">
        <w:rPr>
          <w:szCs w:val="20"/>
        </w:rPr>
        <w:t>Manufacturer’s name</w:t>
      </w:r>
      <w:r>
        <w:rPr>
          <w:szCs w:val="20"/>
        </w:rPr>
        <w:t xml:space="preserve">: </w:t>
      </w:r>
      <w:r w:rsidR="005047C4">
        <w:t>Medtronic Inc.</w:t>
      </w:r>
    </w:p>
    <w:p w14:paraId="15515F94" w14:textId="72E75E5E" w:rsidR="00E51E21" w:rsidRDefault="00E51E21" w:rsidP="00D05184">
      <w:pPr>
        <w:spacing w:before="0" w:after="0"/>
        <w:ind w:left="1080"/>
      </w:pPr>
      <w:r w:rsidRPr="00A26343">
        <w:rPr>
          <w:szCs w:val="20"/>
        </w:rPr>
        <w:t>Sponsor’s name</w:t>
      </w:r>
      <w:r>
        <w:rPr>
          <w:szCs w:val="20"/>
        </w:rPr>
        <w:t xml:space="preserve">: </w:t>
      </w:r>
      <w:r w:rsidR="005047C4">
        <w:t>Medtronic Australasia Pty Ltd</w:t>
      </w:r>
    </w:p>
    <w:p w14:paraId="311C31DD" w14:textId="21B1AC8D" w:rsidR="005047C4" w:rsidRPr="0013243D" w:rsidRDefault="005047C4" w:rsidP="00D05184">
      <w:pPr>
        <w:spacing w:before="0" w:after="0"/>
        <w:ind w:left="1080"/>
        <w:rPr>
          <w:b/>
          <w:bCs/>
        </w:rPr>
      </w:pPr>
    </w:p>
    <w:p w14:paraId="5EB22CCA" w14:textId="41555DAB" w:rsidR="005047C4" w:rsidRPr="0013243D" w:rsidRDefault="005047C4" w:rsidP="00D05184">
      <w:pPr>
        <w:spacing w:before="0" w:after="0"/>
        <w:ind w:left="360"/>
        <w:rPr>
          <w:b/>
          <w:bCs/>
          <w:i/>
          <w:iCs/>
          <w:szCs w:val="20"/>
        </w:rPr>
      </w:pPr>
      <w:r w:rsidRPr="0013243D">
        <w:rPr>
          <w:b/>
          <w:bCs/>
          <w:i/>
          <w:iCs/>
          <w:szCs w:val="20"/>
        </w:rPr>
        <w:t xml:space="preserve">Two </w:t>
      </w:r>
      <w:r w:rsidR="00D05184" w:rsidRPr="0013243D">
        <w:rPr>
          <w:b/>
          <w:bCs/>
          <w:i/>
          <w:iCs/>
          <w:szCs w:val="20"/>
        </w:rPr>
        <w:t>Stim</w:t>
      </w:r>
      <w:r w:rsidR="00F94DF7">
        <w:rPr>
          <w:b/>
          <w:bCs/>
          <w:i/>
          <w:iCs/>
          <w:szCs w:val="20"/>
        </w:rPr>
        <w:t>L</w:t>
      </w:r>
      <w:r w:rsidR="00D05184" w:rsidRPr="0013243D">
        <w:rPr>
          <w:b/>
          <w:bCs/>
          <w:i/>
          <w:iCs/>
          <w:szCs w:val="20"/>
        </w:rPr>
        <w:t>oc Caps would</w:t>
      </w:r>
      <w:r w:rsidRPr="0013243D">
        <w:rPr>
          <w:b/>
          <w:bCs/>
          <w:i/>
          <w:iCs/>
          <w:szCs w:val="20"/>
        </w:rPr>
        <w:t xml:space="preserve"> be used to secure the leads to the skull to mitigate movement of the leads:</w:t>
      </w:r>
    </w:p>
    <w:p w14:paraId="2693528E" w14:textId="3A54ADC8" w:rsidR="005047C4" w:rsidRPr="00A26343" w:rsidRDefault="005047C4" w:rsidP="00D05184">
      <w:pPr>
        <w:spacing w:before="0" w:after="0"/>
        <w:ind w:left="1080"/>
        <w:rPr>
          <w:szCs w:val="20"/>
        </w:rPr>
      </w:pPr>
      <w:r w:rsidRPr="00A26343">
        <w:rPr>
          <w:szCs w:val="20"/>
        </w:rPr>
        <w:t>Type of therapeutic good</w:t>
      </w:r>
      <w:r>
        <w:rPr>
          <w:szCs w:val="20"/>
        </w:rPr>
        <w:t xml:space="preserve">: </w:t>
      </w:r>
      <w:r>
        <w:t xml:space="preserve">Cover, burr hole </w:t>
      </w:r>
    </w:p>
    <w:p w14:paraId="7CD2E31B" w14:textId="77777777" w:rsidR="005047C4" w:rsidRPr="00A26343" w:rsidRDefault="005047C4" w:rsidP="00D05184">
      <w:pPr>
        <w:spacing w:before="0" w:after="0"/>
        <w:ind w:left="1080"/>
        <w:rPr>
          <w:szCs w:val="20"/>
        </w:rPr>
      </w:pPr>
      <w:r w:rsidRPr="00A26343">
        <w:rPr>
          <w:szCs w:val="20"/>
        </w:rPr>
        <w:t>Manufacturer’s name</w:t>
      </w:r>
      <w:r>
        <w:rPr>
          <w:szCs w:val="20"/>
        </w:rPr>
        <w:t xml:space="preserve">: </w:t>
      </w:r>
      <w:r>
        <w:t>Medtronic Inc.</w:t>
      </w:r>
    </w:p>
    <w:p w14:paraId="415F74A0" w14:textId="77777777" w:rsidR="005047C4" w:rsidRDefault="005047C4" w:rsidP="00D05184">
      <w:pPr>
        <w:spacing w:before="0" w:after="0"/>
        <w:ind w:left="1080"/>
      </w:pPr>
      <w:r w:rsidRPr="00A26343">
        <w:rPr>
          <w:szCs w:val="20"/>
        </w:rPr>
        <w:t>Sponsor’s name</w:t>
      </w:r>
      <w:r>
        <w:rPr>
          <w:szCs w:val="20"/>
        </w:rPr>
        <w:t xml:space="preserve">: </w:t>
      </w:r>
      <w:r>
        <w:t>Medtronic Australasia Pty Ltd</w:t>
      </w:r>
    </w:p>
    <w:p w14:paraId="383558B7" w14:textId="4B9FED5B" w:rsidR="005047C4" w:rsidRDefault="005047C4" w:rsidP="00D05184">
      <w:pPr>
        <w:spacing w:before="0" w:after="0"/>
        <w:ind w:left="1080"/>
        <w:rPr>
          <w:szCs w:val="20"/>
        </w:rPr>
      </w:pPr>
    </w:p>
    <w:p w14:paraId="51618989" w14:textId="6AC0B8DF" w:rsidR="00406ED6" w:rsidRPr="0013243D" w:rsidRDefault="00406ED6" w:rsidP="00D05184">
      <w:pPr>
        <w:spacing w:before="0" w:after="0"/>
        <w:ind w:left="360"/>
        <w:rPr>
          <w:b/>
          <w:bCs/>
          <w:i/>
          <w:iCs/>
          <w:szCs w:val="20"/>
        </w:rPr>
      </w:pPr>
      <w:r w:rsidRPr="0013243D">
        <w:rPr>
          <w:b/>
          <w:bCs/>
          <w:i/>
          <w:iCs/>
          <w:szCs w:val="20"/>
        </w:rPr>
        <w:t>Two Neuromodulation Lead Extensions would connect to the DBS leads and then to the IPG (implantable pulse generator):</w:t>
      </w:r>
    </w:p>
    <w:p w14:paraId="047926D7" w14:textId="6C4D13E2" w:rsidR="005047C4" w:rsidRPr="00A26343" w:rsidRDefault="005047C4" w:rsidP="00D05184">
      <w:pPr>
        <w:spacing w:before="0" w:after="0"/>
        <w:ind w:left="1080"/>
        <w:rPr>
          <w:szCs w:val="20"/>
        </w:rPr>
      </w:pPr>
      <w:r w:rsidRPr="00A26343">
        <w:rPr>
          <w:szCs w:val="20"/>
        </w:rPr>
        <w:t>Type of therapeutic good</w:t>
      </w:r>
      <w:r>
        <w:rPr>
          <w:szCs w:val="20"/>
        </w:rPr>
        <w:t xml:space="preserve">: </w:t>
      </w:r>
      <w:r w:rsidR="00406ED6">
        <w:rPr>
          <w:szCs w:val="20"/>
        </w:rPr>
        <w:t xml:space="preserve">Neural tissue electrical stimulator lead adaptor </w:t>
      </w:r>
    </w:p>
    <w:p w14:paraId="36D3AD98" w14:textId="77777777" w:rsidR="005047C4" w:rsidRPr="00A26343" w:rsidRDefault="005047C4" w:rsidP="00D05184">
      <w:pPr>
        <w:spacing w:before="0" w:after="0"/>
        <w:ind w:left="1080"/>
        <w:rPr>
          <w:szCs w:val="20"/>
        </w:rPr>
      </w:pPr>
      <w:r w:rsidRPr="00A26343">
        <w:rPr>
          <w:szCs w:val="20"/>
        </w:rPr>
        <w:t>Manufacturer’s name</w:t>
      </w:r>
      <w:r>
        <w:rPr>
          <w:szCs w:val="20"/>
        </w:rPr>
        <w:t xml:space="preserve">: </w:t>
      </w:r>
      <w:r>
        <w:t>Medtronic Inc.</w:t>
      </w:r>
    </w:p>
    <w:p w14:paraId="2F096C9C" w14:textId="6E8FBC45" w:rsidR="005047C4" w:rsidRPr="00070697" w:rsidRDefault="005047C4" w:rsidP="00070697">
      <w:pPr>
        <w:spacing w:before="0" w:after="0"/>
        <w:ind w:left="1080"/>
      </w:pPr>
      <w:r w:rsidRPr="00A26343">
        <w:rPr>
          <w:szCs w:val="20"/>
        </w:rPr>
        <w:t>Sponsor’s name</w:t>
      </w:r>
      <w:r>
        <w:rPr>
          <w:szCs w:val="20"/>
        </w:rPr>
        <w:t xml:space="preserve">: </w:t>
      </w:r>
      <w:r>
        <w:t>Medtronic Australasia Pty Ltd</w:t>
      </w:r>
    </w:p>
    <w:p w14:paraId="3033CA3E" w14:textId="77777777" w:rsidR="00AB1ADE" w:rsidRDefault="00AB1ADE" w:rsidP="00AB1ADE">
      <w:pPr>
        <w:spacing w:before="0" w:after="0"/>
        <w:rPr>
          <w:i/>
          <w:iCs/>
          <w:szCs w:val="20"/>
        </w:rPr>
      </w:pPr>
    </w:p>
    <w:p w14:paraId="4AFC7FD2" w14:textId="0FAB0D8E" w:rsidR="005047C4" w:rsidRPr="0013243D" w:rsidRDefault="00406ED6" w:rsidP="00AB1ADE">
      <w:pPr>
        <w:spacing w:before="0" w:after="0"/>
        <w:ind w:left="360"/>
        <w:rPr>
          <w:b/>
          <w:bCs/>
          <w:i/>
          <w:iCs/>
          <w:szCs w:val="20"/>
        </w:rPr>
      </w:pPr>
      <w:r w:rsidRPr="0013243D">
        <w:rPr>
          <w:b/>
          <w:bCs/>
          <w:i/>
          <w:iCs/>
          <w:szCs w:val="20"/>
        </w:rPr>
        <w:t>Percept PC</w:t>
      </w:r>
      <w:r w:rsidR="00070697" w:rsidRPr="0013243D">
        <w:rPr>
          <w:b/>
          <w:bCs/>
          <w:i/>
          <w:iCs/>
          <w:szCs w:val="20"/>
        </w:rPr>
        <w:t>, an</w:t>
      </w:r>
      <w:r w:rsidRPr="0013243D">
        <w:rPr>
          <w:b/>
          <w:bCs/>
          <w:i/>
          <w:iCs/>
          <w:szCs w:val="20"/>
        </w:rPr>
        <w:t xml:space="preserve"> implantable pulse generator (IPG) </w:t>
      </w:r>
      <w:r w:rsidR="00070697" w:rsidRPr="0013243D">
        <w:rPr>
          <w:b/>
          <w:bCs/>
          <w:i/>
          <w:iCs/>
          <w:szCs w:val="20"/>
        </w:rPr>
        <w:t>would be</w:t>
      </w:r>
      <w:r w:rsidRPr="0013243D">
        <w:rPr>
          <w:b/>
          <w:bCs/>
          <w:i/>
          <w:iCs/>
          <w:szCs w:val="20"/>
        </w:rPr>
        <w:t xml:space="preserve"> implanted in</w:t>
      </w:r>
      <w:r w:rsidR="00070697" w:rsidRPr="0013243D">
        <w:rPr>
          <w:b/>
          <w:bCs/>
          <w:i/>
          <w:iCs/>
          <w:szCs w:val="20"/>
        </w:rPr>
        <w:t>to the</w:t>
      </w:r>
      <w:r w:rsidRPr="0013243D">
        <w:rPr>
          <w:b/>
          <w:bCs/>
          <w:i/>
          <w:iCs/>
          <w:szCs w:val="20"/>
        </w:rPr>
        <w:t xml:space="preserve"> chest/abdomen </w:t>
      </w:r>
      <w:r w:rsidR="00070697" w:rsidRPr="0013243D">
        <w:rPr>
          <w:b/>
          <w:bCs/>
          <w:i/>
          <w:iCs/>
          <w:szCs w:val="20"/>
        </w:rPr>
        <w:t xml:space="preserve">to </w:t>
      </w:r>
      <w:r w:rsidRPr="0013243D">
        <w:rPr>
          <w:b/>
          <w:bCs/>
          <w:i/>
          <w:iCs/>
          <w:szCs w:val="20"/>
        </w:rPr>
        <w:t>provide stimulation pulses, and sensing hardware/software</w:t>
      </w:r>
      <w:r w:rsidR="00070697" w:rsidRPr="0013243D">
        <w:rPr>
          <w:b/>
          <w:bCs/>
          <w:i/>
          <w:iCs/>
          <w:szCs w:val="20"/>
        </w:rPr>
        <w:t>:</w:t>
      </w:r>
    </w:p>
    <w:p w14:paraId="7D5C5B5C" w14:textId="3075FA35" w:rsidR="00406ED6" w:rsidRPr="00A26343" w:rsidRDefault="00406ED6" w:rsidP="00406ED6">
      <w:pPr>
        <w:spacing w:before="0" w:after="0"/>
        <w:ind w:left="720"/>
        <w:rPr>
          <w:szCs w:val="20"/>
        </w:rPr>
      </w:pPr>
      <w:r w:rsidRPr="00A26343">
        <w:rPr>
          <w:szCs w:val="20"/>
        </w:rPr>
        <w:t>Type of therapeutic good</w:t>
      </w:r>
      <w:r>
        <w:rPr>
          <w:szCs w:val="20"/>
        </w:rPr>
        <w:t xml:space="preserve">: Brain electrical stimulation system, </w:t>
      </w:r>
      <w:r w:rsidRPr="00AB1ADE">
        <w:rPr>
          <w:szCs w:val="20"/>
        </w:rPr>
        <w:t>anti-tremor</w:t>
      </w:r>
    </w:p>
    <w:p w14:paraId="5B29DF84" w14:textId="77777777" w:rsidR="00406ED6" w:rsidRPr="00A26343" w:rsidRDefault="00406ED6" w:rsidP="00406ED6">
      <w:pPr>
        <w:spacing w:before="0" w:after="0"/>
        <w:ind w:left="720"/>
        <w:rPr>
          <w:szCs w:val="20"/>
        </w:rPr>
      </w:pPr>
      <w:r w:rsidRPr="00A26343">
        <w:rPr>
          <w:szCs w:val="20"/>
        </w:rPr>
        <w:t>Manufacturer’s name</w:t>
      </w:r>
      <w:r>
        <w:rPr>
          <w:szCs w:val="20"/>
        </w:rPr>
        <w:t xml:space="preserve">: </w:t>
      </w:r>
      <w:r>
        <w:t>Medtronic Inc.</w:t>
      </w:r>
    </w:p>
    <w:p w14:paraId="7070B7F9" w14:textId="77777777" w:rsidR="00406ED6" w:rsidRDefault="00406ED6" w:rsidP="00406ED6">
      <w:pPr>
        <w:spacing w:before="0" w:after="0"/>
        <w:ind w:left="720"/>
      </w:pPr>
      <w:r w:rsidRPr="00A26343">
        <w:rPr>
          <w:szCs w:val="20"/>
        </w:rPr>
        <w:t>Sponsor’s name</w:t>
      </w:r>
      <w:r>
        <w:rPr>
          <w:szCs w:val="20"/>
        </w:rPr>
        <w:t xml:space="preserve">: </w:t>
      </w:r>
      <w:r>
        <w:t>Medtronic Australasia Pty Ltd</w:t>
      </w:r>
    </w:p>
    <w:p w14:paraId="17661B2A" w14:textId="432CE7CF" w:rsidR="005047C4" w:rsidRDefault="005047C4" w:rsidP="005047C4">
      <w:pPr>
        <w:spacing w:before="0" w:after="0"/>
        <w:ind w:left="720"/>
        <w:rPr>
          <w:szCs w:val="20"/>
        </w:rPr>
      </w:pPr>
    </w:p>
    <w:p w14:paraId="2CC5C9F7" w14:textId="36BE88A1" w:rsidR="005047C4" w:rsidRPr="0013243D" w:rsidRDefault="00070697" w:rsidP="00AB1ADE">
      <w:pPr>
        <w:spacing w:before="0" w:after="0"/>
        <w:ind w:left="360"/>
        <w:rPr>
          <w:b/>
          <w:bCs/>
          <w:i/>
          <w:iCs/>
          <w:szCs w:val="20"/>
        </w:rPr>
      </w:pPr>
      <w:r w:rsidRPr="0013243D">
        <w:rPr>
          <w:b/>
          <w:bCs/>
          <w:i/>
          <w:iCs/>
          <w:szCs w:val="20"/>
        </w:rPr>
        <w:t xml:space="preserve">A </w:t>
      </w:r>
      <w:r w:rsidR="00B3384F" w:rsidRPr="0013243D">
        <w:rPr>
          <w:b/>
          <w:bCs/>
          <w:i/>
          <w:iCs/>
          <w:szCs w:val="20"/>
        </w:rPr>
        <w:t xml:space="preserve">Clinician Programmer (CT900 A610) </w:t>
      </w:r>
      <w:r w:rsidRPr="0013243D">
        <w:rPr>
          <w:b/>
          <w:bCs/>
          <w:i/>
          <w:iCs/>
          <w:szCs w:val="20"/>
        </w:rPr>
        <w:t>is required</w:t>
      </w:r>
      <w:r w:rsidR="00B3384F" w:rsidRPr="0013243D">
        <w:rPr>
          <w:b/>
          <w:bCs/>
          <w:i/>
          <w:iCs/>
          <w:szCs w:val="20"/>
        </w:rPr>
        <w:t xml:space="preserve"> for the application that runs on the clinician</w:t>
      </w:r>
      <w:r w:rsidRPr="0013243D">
        <w:rPr>
          <w:b/>
          <w:bCs/>
          <w:i/>
          <w:iCs/>
          <w:szCs w:val="20"/>
        </w:rPr>
        <w:t>’s</w:t>
      </w:r>
      <w:r w:rsidR="00B3384F" w:rsidRPr="0013243D">
        <w:rPr>
          <w:b/>
          <w:bCs/>
          <w:i/>
          <w:iCs/>
          <w:szCs w:val="20"/>
        </w:rPr>
        <w:t xml:space="preserve"> programmer</w:t>
      </w:r>
      <w:r w:rsidRPr="0013243D">
        <w:rPr>
          <w:b/>
          <w:bCs/>
          <w:i/>
          <w:iCs/>
          <w:szCs w:val="20"/>
        </w:rPr>
        <w:t>:</w:t>
      </w:r>
    </w:p>
    <w:p w14:paraId="1405E1CE" w14:textId="06BB1F1B" w:rsidR="00B3384F" w:rsidRPr="00A26343" w:rsidRDefault="00B3384F" w:rsidP="00B3384F">
      <w:pPr>
        <w:spacing w:before="0" w:after="0"/>
        <w:ind w:left="720"/>
        <w:rPr>
          <w:szCs w:val="20"/>
        </w:rPr>
      </w:pPr>
      <w:r w:rsidRPr="00A26343">
        <w:rPr>
          <w:szCs w:val="20"/>
        </w:rPr>
        <w:t>Type of therapeutic good</w:t>
      </w:r>
      <w:r>
        <w:rPr>
          <w:szCs w:val="20"/>
        </w:rPr>
        <w:t>: Multipurpose electrical stimulation system programmer</w:t>
      </w:r>
    </w:p>
    <w:p w14:paraId="40B46890" w14:textId="77777777" w:rsidR="00B3384F" w:rsidRPr="00A26343" w:rsidRDefault="00B3384F" w:rsidP="00B3384F">
      <w:pPr>
        <w:spacing w:before="0" w:after="0"/>
        <w:ind w:left="720"/>
        <w:rPr>
          <w:szCs w:val="20"/>
        </w:rPr>
      </w:pPr>
      <w:r w:rsidRPr="00A26343">
        <w:rPr>
          <w:szCs w:val="20"/>
        </w:rPr>
        <w:t>Manufacturer’s name</w:t>
      </w:r>
      <w:r>
        <w:rPr>
          <w:szCs w:val="20"/>
        </w:rPr>
        <w:t xml:space="preserve">: </w:t>
      </w:r>
      <w:r>
        <w:t>Medtronic Inc.</w:t>
      </w:r>
    </w:p>
    <w:p w14:paraId="641C3626" w14:textId="77777777" w:rsidR="00B3384F" w:rsidRDefault="00B3384F" w:rsidP="00B3384F">
      <w:pPr>
        <w:spacing w:before="0" w:after="0"/>
        <w:ind w:left="720"/>
      </w:pPr>
      <w:r w:rsidRPr="00A26343">
        <w:rPr>
          <w:szCs w:val="20"/>
        </w:rPr>
        <w:t>Sponsor’s name</w:t>
      </w:r>
      <w:r>
        <w:rPr>
          <w:szCs w:val="20"/>
        </w:rPr>
        <w:t xml:space="preserve">: </w:t>
      </w:r>
      <w:r>
        <w:t>Medtronic Australasia Pty Ltd</w:t>
      </w:r>
    </w:p>
    <w:p w14:paraId="2E089323" w14:textId="65BB95E9" w:rsidR="00B3384F" w:rsidRDefault="00B3384F" w:rsidP="005047C4">
      <w:pPr>
        <w:spacing w:before="0" w:after="0"/>
        <w:ind w:left="720"/>
        <w:rPr>
          <w:szCs w:val="20"/>
        </w:rPr>
      </w:pPr>
    </w:p>
    <w:p w14:paraId="571CF171" w14:textId="468C64A6" w:rsidR="00B3384F" w:rsidRPr="0013243D" w:rsidRDefault="00070697" w:rsidP="00AB1ADE">
      <w:pPr>
        <w:spacing w:before="0" w:after="0"/>
        <w:ind w:left="360"/>
        <w:rPr>
          <w:b/>
          <w:bCs/>
          <w:i/>
          <w:iCs/>
          <w:szCs w:val="20"/>
        </w:rPr>
      </w:pPr>
      <w:r w:rsidRPr="0013243D">
        <w:rPr>
          <w:b/>
          <w:bCs/>
          <w:i/>
          <w:iCs/>
          <w:szCs w:val="20"/>
        </w:rPr>
        <w:t xml:space="preserve">A </w:t>
      </w:r>
      <w:r w:rsidR="00B3384F" w:rsidRPr="0013243D">
        <w:rPr>
          <w:b/>
          <w:bCs/>
          <w:i/>
          <w:iCs/>
          <w:szCs w:val="20"/>
        </w:rPr>
        <w:t xml:space="preserve">Patient Programmer (TH91D A620) </w:t>
      </w:r>
      <w:r w:rsidRPr="0013243D">
        <w:rPr>
          <w:b/>
          <w:bCs/>
          <w:i/>
          <w:iCs/>
          <w:szCs w:val="20"/>
        </w:rPr>
        <w:t>is required</w:t>
      </w:r>
      <w:r w:rsidR="00B3384F" w:rsidRPr="0013243D">
        <w:rPr>
          <w:b/>
          <w:bCs/>
          <w:i/>
          <w:iCs/>
          <w:szCs w:val="20"/>
        </w:rPr>
        <w:t xml:space="preserve"> for the application that runs on the patient</w:t>
      </w:r>
      <w:r w:rsidRPr="0013243D">
        <w:rPr>
          <w:b/>
          <w:bCs/>
          <w:i/>
          <w:iCs/>
          <w:szCs w:val="20"/>
        </w:rPr>
        <w:t>’s</w:t>
      </w:r>
      <w:r w:rsidR="00B3384F" w:rsidRPr="0013243D">
        <w:rPr>
          <w:b/>
          <w:bCs/>
          <w:i/>
          <w:iCs/>
          <w:szCs w:val="20"/>
        </w:rPr>
        <w:t xml:space="preserve"> programmer</w:t>
      </w:r>
      <w:r w:rsidRPr="0013243D">
        <w:rPr>
          <w:b/>
          <w:bCs/>
          <w:i/>
          <w:iCs/>
          <w:szCs w:val="20"/>
        </w:rPr>
        <w:t>:</w:t>
      </w:r>
    </w:p>
    <w:p w14:paraId="34AD3804" w14:textId="0C67639B" w:rsidR="00B3384F" w:rsidRPr="00A26343" w:rsidRDefault="00B3384F" w:rsidP="00B3384F">
      <w:pPr>
        <w:spacing w:before="0" w:after="0"/>
        <w:ind w:left="720"/>
        <w:rPr>
          <w:szCs w:val="20"/>
        </w:rPr>
      </w:pPr>
      <w:r w:rsidRPr="00A26343">
        <w:rPr>
          <w:szCs w:val="20"/>
        </w:rPr>
        <w:t>Type of therapeutic good</w:t>
      </w:r>
      <w:r>
        <w:rPr>
          <w:szCs w:val="20"/>
        </w:rPr>
        <w:t>: Multipurpose electrical stimulation system programmer</w:t>
      </w:r>
    </w:p>
    <w:p w14:paraId="744AB376" w14:textId="77777777" w:rsidR="00B3384F" w:rsidRPr="00A26343" w:rsidRDefault="00B3384F" w:rsidP="00B3384F">
      <w:pPr>
        <w:spacing w:before="0" w:after="0"/>
        <w:ind w:left="720"/>
        <w:rPr>
          <w:szCs w:val="20"/>
        </w:rPr>
      </w:pPr>
      <w:r w:rsidRPr="00A26343">
        <w:rPr>
          <w:szCs w:val="20"/>
        </w:rPr>
        <w:t>Manufacturer’s name</w:t>
      </w:r>
      <w:r>
        <w:rPr>
          <w:szCs w:val="20"/>
        </w:rPr>
        <w:t xml:space="preserve">: </w:t>
      </w:r>
      <w:r>
        <w:t>Medtronic Inc.</w:t>
      </w:r>
    </w:p>
    <w:p w14:paraId="70D3B70A" w14:textId="496027FC" w:rsidR="00B3384F" w:rsidRDefault="00B3384F" w:rsidP="00B3384F">
      <w:pPr>
        <w:spacing w:before="0" w:after="0"/>
        <w:ind w:left="720"/>
      </w:pPr>
      <w:r w:rsidRPr="00A26343">
        <w:rPr>
          <w:szCs w:val="20"/>
        </w:rPr>
        <w:t>Sponsor’s name</w:t>
      </w:r>
      <w:r>
        <w:rPr>
          <w:szCs w:val="20"/>
        </w:rPr>
        <w:t xml:space="preserve">: </w:t>
      </w:r>
      <w:r>
        <w:t>Medtronic Australasia Pty Ltd</w:t>
      </w:r>
    </w:p>
    <w:p w14:paraId="301EBA6E" w14:textId="77777777" w:rsidR="0013243D" w:rsidRDefault="0013243D" w:rsidP="00B3384F">
      <w:pPr>
        <w:spacing w:before="0" w:after="0"/>
        <w:ind w:left="720"/>
      </w:pPr>
    </w:p>
    <w:p w14:paraId="24574FA6" w14:textId="5A31BCB4" w:rsidR="0034520B" w:rsidRDefault="0034520B" w:rsidP="0034520B">
      <w:pPr>
        <w:spacing w:before="0" w:after="0"/>
        <w:ind w:left="360"/>
      </w:pPr>
      <w:r>
        <w:t>Also required for the procedure are some of the accessories listed above (micro electrodes, cannulas</w:t>
      </w:r>
      <w:r w:rsidR="00645929">
        <w:t xml:space="preserve"> </w:t>
      </w:r>
      <w:r>
        <w:t>etc.):</w:t>
      </w:r>
    </w:p>
    <w:p w14:paraId="7B1EEF6D" w14:textId="0E8ED010" w:rsidR="000F0ACD" w:rsidRDefault="000F0ACD">
      <w:pPr>
        <w:spacing w:before="0" w:after="200" w:line="276" w:lineRule="auto"/>
      </w:pPr>
      <w:r>
        <w:br w:type="page"/>
      </w:r>
    </w:p>
    <w:p w14:paraId="17D0B91A" w14:textId="77777777" w:rsidR="0034520B" w:rsidRDefault="0034520B" w:rsidP="00156F79">
      <w:pPr>
        <w:spacing w:before="0" w:after="0"/>
      </w:pPr>
    </w:p>
    <w:tbl>
      <w:tblPr>
        <w:tblW w:w="0" w:type="auto"/>
        <w:tblInd w:w="132"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2459"/>
        <w:gridCol w:w="3495"/>
        <w:gridCol w:w="1559"/>
        <w:gridCol w:w="1361"/>
      </w:tblGrid>
      <w:tr w:rsidR="00156F79" w14:paraId="6338434F" w14:textId="77777777" w:rsidTr="00BC5BF7">
        <w:trPr>
          <w:trHeight w:val="537"/>
        </w:trPr>
        <w:tc>
          <w:tcPr>
            <w:tcW w:w="2459" w:type="dxa"/>
            <w:shd w:val="clear" w:color="auto" w:fill="D9D9D9" w:themeFill="background1" w:themeFillShade="D9"/>
            <w:noWrap/>
            <w:tcMar>
              <w:top w:w="0" w:type="dxa"/>
              <w:left w:w="108" w:type="dxa"/>
              <w:bottom w:w="0" w:type="dxa"/>
              <w:right w:w="108" w:type="dxa"/>
            </w:tcMar>
            <w:hideMark/>
          </w:tcPr>
          <w:p w14:paraId="59B6FDAE" w14:textId="77777777" w:rsidR="00156F79" w:rsidRDefault="00156F79">
            <w:pPr>
              <w:spacing w:line="276" w:lineRule="auto"/>
              <w:rPr>
                <w:b/>
                <w:bCs/>
                <w:color w:val="000000"/>
              </w:rPr>
            </w:pPr>
            <w:r>
              <w:rPr>
                <w:b/>
                <w:bCs/>
                <w:color w:val="000000"/>
              </w:rPr>
              <w:t>Item</w:t>
            </w:r>
          </w:p>
        </w:tc>
        <w:tc>
          <w:tcPr>
            <w:tcW w:w="3495" w:type="dxa"/>
            <w:shd w:val="clear" w:color="auto" w:fill="D9D9D9" w:themeFill="background1" w:themeFillShade="D9"/>
            <w:noWrap/>
            <w:tcMar>
              <w:top w:w="0" w:type="dxa"/>
              <w:left w:w="108" w:type="dxa"/>
              <w:bottom w:w="0" w:type="dxa"/>
              <w:right w:w="108" w:type="dxa"/>
            </w:tcMar>
            <w:hideMark/>
          </w:tcPr>
          <w:p w14:paraId="5C2EE269" w14:textId="77777777" w:rsidR="00156F79" w:rsidRDefault="00156F79">
            <w:pPr>
              <w:spacing w:line="276" w:lineRule="auto"/>
              <w:rPr>
                <w:b/>
                <w:bCs/>
                <w:color w:val="000000"/>
              </w:rPr>
            </w:pPr>
            <w:r>
              <w:rPr>
                <w:b/>
                <w:bCs/>
                <w:color w:val="000000"/>
              </w:rPr>
              <w:t>Description</w:t>
            </w:r>
          </w:p>
        </w:tc>
        <w:tc>
          <w:tcPr>
            <w:tcW w:w="1559" w:type="dxa"/>
            <w:shd w:val="clear" w:color="auto" w:fill="D9D9D9" w:themeFill="background1" w:themeFillShade="D9"/>
            <w:noWrap/>
            <w:tcMar>
              <w:top w:w="0" w:type="dxa"/>
              <w:left w:w="108" w:type="dxa"/>
              <w:bottom w:w="0" w:type="dxa"/>
              <w:right w:w="108" w:type="dxa"/>
            </w:tcMar>
          </w:tcPr>
          <w:p w14:paraId="0DB0CD0F" w14:textId="77777777" w:rsidR="00156F79" w:rsidRDefault="00156F79">
            <w:pPr>
              <w:spacing w:line="276" w:lineRule="auto"/>
              <w:rPr>
                <w:b/>
                <w:bCs/>
                <w:color w:val="000000"/>
              </w:rPr>
            </w:pPr>
          </w:p>
        </w:tc>
        <w:tc>
          <w:tcPr>
            <w:tcW w:w="1361" w:type="dxa"/>
            <w:shd w:val="clear" w:color="auto" w:fill="D9D9D9" w:themeFill="background1" w:themeFillShade="D9"/>
            <w:noWrap/>
            <w:tcMar>
              <w:top w:w="0" w:type="dxa"/>
              <w:left w:w="108" w:type="dxa"/>
              <w:bottom w:w="0" w:type="dxa"/>
              <w:right w:w="108" w:type="dxa"/>
            </w:tcMar>
            <w:hideMark/>
          </w:tcPr>
          <w:p w14:paraId="52B7760A" w14:textId="4F74516C" w:rsidR="00156F79" w:rsidRDefault="00156F79">
            <w:pPr>
              <w:spacing w:line="276" w:lineRule="auto"/>
              <w:rPr>
                <w:b/>
                <w:bCs/>
                <w:color w:val="000000"/>
              </w:rPr>
            </w:pPr>
            <w:r>
              <w:rPr>
                <w:b/>
                <w:bCs/>
                <w:color w:val="000000"/>
              </w:rPr>
              <w:t xml:space="preserve">ARTG </w:t>
            </w:r>
            <w:r w:rsidR="001264E7">
              <w:rPr>
                <w:b/>
                <w:bCs/>
                <w:color w:val="000000"/>
              </w:rPr>
              <w:t>N</w:t>
            </w:r>
            <w:r>
              <w:rPr>
                <w:b/>
                <w:bCs/>
                <w:color w:val="000000"/>
              </w:rPr>
              <w:t>umber</w:t>
            </w:r>
          </w:p>
        </w:tc>
      </w:tr>
      <w:tr w:rsidR="00156F79" w14:paraId="1F38B365" w14:textId="77777777" w:rsidTr="00BC5BF7">
        <w:trPr>
          <w:trHeight w:val="537"/>
        </w:trPr>
        <w:tc>
          <w:tcPr>
            <w:tcW w:w="2459" w:type="dxa"/>
            <w:noWrap/>
            <w:tcMar>
              <w:top w:w="0" w:type="dxa"/>
              <w:left w:w="108" w:type="dxa"/>
              <w:bottom w:w="0" w:type="dxa"/>
              <w:right w:w="108" w:type="dxa"/>
            </w:tcMar>
            <w:hideMark/>
          </w:tcPr>
          <w:p w14:paraId="007B1A33" w14:textId="77777777" w:rsidR="00156F79" w:rsidRDefault="00156F79">
            <w:pPr>
              <w:spacing w:line="276" w:lineRule="auto"/>
              <w:rPr>
                <w:color w:val="000000"/>
              </w:rPr>
            </w:pPr>
            <w:r>
              <w:rPr>
                <w:color w:val="000000"/>
              </w:rPr>
              <w:t>Medtronic DBS Tunnelling Tool Accessory Kit</w:t>
            </w:r>
          </w:p>
        </w:tc>
        <w:tc>
          <w:tcPr>
            <w:tcW w:w="3495" w:type="dxa"/>
            <w:noWrap/>
            <w:tcMar>
              <w:top w:w="0" w:type="dxa"/>
              <w:left w:w="108" w:type="dxa"/>
              <w:bottom w:w="0" w:type="dxa"/>
              <w:right w:w="108" w:type="dxa"/>
            </w:tcMar>
            <w:hideMark/>
          </w:tcPr>
          <w:p w14:paraId="0DA8CA9B" w14:textId="77777777" w:rsidR="00156F79" w:rsidRDefault="00156F79">
            <w:pPr>
              <w:spacing w:line="276" w:lineRule="auto"/>
              <w:rPr>
                <w:color w:val="000000"/>
              </w:rPr>
            </w:pPr>
            <w:r>
              <w:rPr>
                <w:color w:val="000000"/>
              </w:rPr>
              <w:t>DBS Tunnelling Tool Accessory Kit</w:t>
            </w:r>
          </w:p>
        </w:tc>
        <w:tc>
          <w:tcPr>
            <w:tcW w:w="1559" w:type="dxa"/>
            <w:noWrap/>
            <w:tcMar>
              <w:top w:w="0" w:type="dxa"/>
              <w:left w:w="108" w:type="dxa"/>
              <w:bottom w:w="0" w:type="dxa"/>
              <w:right w:w="108" w:type="dxa"/>
            </w:tcMar>
            <w:hideMark/>
          </w:tcPr>
          <w:p w14:paraId="1F715901" w14:textId="77777777" w:rsidR="00156F79" w:rsidRDefault="00156F79">
            <w:pPr>
              <w:spacing w:line="276" w:lineRule="auto"/>
              <w:rPr>
                <w:color w:val="000000"/>
              </w:rPr>
            </w:pPr>
            <w:r>
              <w:rPr>
                <w:color w:val="000000"/>
              </w:rPr>
              <w:t>One size only</w:t>
            </w:r>
          </w:p>
        </w:tc>
        <w:tc>
          <w:tcPr>
            <w:tcW w:w="1361" w:type="dxa"/>
            <w:noWrap/>
            <w:tcMar>
              <w:top w:w="0" w:type="dxa"/>
              <w:left w:w="108" w:type="dxa"/>
              <w:bottom w:w="0" w:type="dxa"/>
              <w:right w:w="108" w:type="dxa"/>
            </w:tcMar>
            <w:hideMark/>
          </w:tcPr>
          <w:p w14:paraId="5A703F49" w14:textId="77777777" w:rsidR="00156F79" w:rsidRDefault="00156F79">
            <w:pPr>
              <w:spacing w:line="276" w:lineRule="auto"/>
              <w:rPr>
                <w:color w:val="000000"/>
              </w:rPr>
            </w:pPr>
            <w:r>
              <w:rPr>
                <w:color w:val="000000"/>
              </w:rPr>
              <w:t>121281</w:t>
            </w:r>
          </w:p>
        </w:tc>
      </w:tr>
      <w:tr w:rsidR="00156F79" w14:paraId="5583B876" w14:textId="77777777" w:rsidTr="00BC5BF7">
        <w:trPr>
          <w:trHeight w:val="537"/>
        </w:trPr>
        <w:tc>
          <w:tcPr>
            <w:tcW w:w="2459" w:type="dxa"/>
            <w:noWrap/>
            <w:tcMar>
              <w:top w:w="0" w:type="dxa"/>
              <w:left w:w="108" w:type="dxa"/>
              <w:bottom w:w="0" w:type="dxa"/>
              <w:right w:w="108" w:type="dxa"/>
            </w:tcMar>
            <w:hideMark/>
          </w:tcPr>
          <w:p w14:paraId="5D46D9A5" w14:textId="77777777" w:rsidR="00156F79" w:rsidRDefault="00156F79">
            <w:pPr>
              <w:spacing w:line="276" w:lineRule="auto"/>
              <w:rPr>
                <w:color w:val="000000"/>
              </w:rPr>
            </w:pPr>
            <w:r>
              <w:rPr>
                <w:color w:val="000000"/>
              </w:rPr>
              <w:t>Medtronic MicroTargeting Electrodes</w:t>
            </w:r>
          </w:p>
        </w:tc>
        <w:tc>
          <w:tcPr>
            <w:tcW w:w="3495" w:type="dxa"/>
            <w:noWrap/>
            <w:tcMar>
              <w:top w:w="0" w:type="dxa"/>
              <w:left w:w="108" w:type="dxa"/>
              <w:bottom w:w="0" w:type="dxa"/>
              <w:right w:w="108" w:type="dxa"/>
            </w:tcMar>
            <w:hideMark/>
          </w:tcPr>
          <w:p w14:paraId="02187260" w14:textId="77777777" w:rsidR="00156F79" w:rsidRDefault="00156F79">
            <w:pPr>
              <w:spacing w:line="276" w:lineRule="auto"/>
              <w:rPr>
                <w:color w:val="000000"/>
              </w:rPr>
            </w:pPr>
            <w:r>
              <w:rPr>
                <w:color w:val="000000"/>
              </w:rPr>
              <w:t>Microelectrodes used for intra-operative recording of neuronal activity for DBS</w:t>
            </w:r>
          </w:p>
        </w:tc>
        <w:tc>
          <w:tcPr>
            <w:tcW w:w="1559" w:type="dxa"/>
            <w:noWrap/>
            <w:tcMar>
              <w:top w:w="0" w:type="dxa"/>
              <w:left w:w="108" w:type="dxa"/>
              <w:bottom w:w="0" w:type="dxa"/>
              <w:right w:w="108" w:type="dxa"/>
            </w:tcMar>
            <w:hideMark/>
          </w:tcPr>
          <w:p w14:paraId="7EE881C5" w14:textId="77777777" w:rsidR="00156F79" w:rsidRDefault="00156F79">
            <w:pPr>
              <w:spacing w:line="276" w:lineRule="auto"/>
              <w:rPr>
                <w:color w:val="000000"/>
              </w:rPr>
            </w:pPr>
            <w:r>
              <w:rPr>
                <w:color w:val="000000"/>
              </w:rPr>
              <w:t>Various</w:t>
            </w:r>
          </w:p>
        </w:tc>
        <w:tc>
          <w:tcPr>
            <w:tcW w:w="1361" w:type="dxa"/>
            <w:noWrap/>
            <w:tcMar>
              <w:top w:w="0" w:type="dxa"/>
              <w:left w:w="108" w:type="dxa"/>
              <w:bottom w:w="0" w:type="dxa"/>
              <w:right w:w="108" w:type="dxa"/>
            </w:tcMar>
            <w:hideMark/>
          </w:tcPr>
          <w:p w14:paraId="38C76BEA" w14:textId="77777777" w:rsidR="00156F79" w:rsidRDefault="00156F79">
            <w:pPr>
              <w:spacing w:line="276" w:lineRule="auto"/>
              <w:rPr>
                <w:color w:val="000000"/>
              </w:rPr>
            </w:pPr>
            <w:r>
              <w:rPr>
                <w:color w:val="000000"/>
              </w:rPr>
              <w:t>133619</w:t>
            </w:r>
          </w:p>
        </w:tc>
      </w:tr>
      <w:tr w:rsidR="00156F79" w14:paraId="7E6A8C9A" w14:textId="77777777" w:rsidTr="00BC5BF7">
        <w:trPr>
          <w:trHeight w:val="537"/>
        </w:trPr>
        <w:tc>
          <w:tcPr>
            <w:tcW w:w="2459" w:type="dxa"/>
            <w:noWrap/>
            <w:tcMar>
              <w:top w:w="0" w:type="dxa"/>
              <w:left w:w="108" w:type="dxa"/>
              <w:bottom w:w="0" w:type="dxa"/>
              <w:right w:w="108" w:type="dxa"/>
            </w:tcMar>
            <w:hideMark/>
          </w:tcPr>
          <w:p w14:paraId="39487982" w14:textId="77777777" w:rsidR="00156F79" w:rsidRDefault="00156F79">
            <w:pPr>
              <w:spacing w:line="276" w:lineRule="auto"/>
              <w:rPr>
                <w:color w:val="000000"/>
              </w:rPr>
            </w:pPr>
            <w:r>
              <w:rPr>
                <w:color w:val="000000"/>
              </w:rPr>
              <w:t>Microelectrode Cable</w:t>
            </w:r>
          </w:p>
        </w:tc>
        <w:tc>
          <w:tcPr>
            <w:tcW w:w="3495" w:type="dxa"/>
            <w:noWrap/>
            <w:tcMar>
              <w:top w:w="0" w:type="dxa"/>
              <w:left w:w="108" w:type="dxa"/>
              <w:bottom w:w="0" w:type="dxa"/>
              <w:right w:w="108" w:type="dxa"/>
            </w:tcMar>
            <w:hideMark/>
          </w:tcPr>
          <w:p w14:paraId="2C6A469F" w14:textId="77777777" w:rsidR="00156F79" w:rsidRDefault="00156F79">
            <w:pPr>
              <w:spacing w:line="276" w:lineRule="auto"/>
              <w:rPr>
                <w:color w:val="000000"/>
              </w:rPr>
            </w:pPr>
            <w:r>
              <w:rPr>
                <w:color w:val="000000"/>
              </w:rPr>
              <w:t>Cable used for intracranial recording of neural activity prior to DBS</w:t>
            </w:r>
          </w:p>
        </w:tc>
        <w:tc>
          <w:tcPr>
            <w:tcW w:w="1559" w:type="dxa"/>
            <w:noWrap/>
            <w:tcMar>
              <w:top w:w="0" w:type="dxa"/>
              <w:left w:w="108" w:type="dxa"/>
              <w:bottom w:w="0" w:type="dxa"/>
              <w:right w:w="108" w:type="dxa"/>
            </w:tcMar>
            <w:hideMark/>
          </w:tcPr>
          <w:p w14:paraId="042405CD" w14:textId="77777777" w:rsidR="00156F79" w:rsidRDefault="00156F79">
            <w:pPr>
              <w:spacing w:line="276" w:lineRule="auto"/>
              <w:rPr>
                <w:color w:val="000000"/>
              </w:rPr>
            </w:pPr>
            <w:r>
              <w:rPr>
                <w:color w:val="000000"/>
              </w:rPr>
              <w:t>One size</w:t>
            </w:r>
          </w:p>
        </w:tc>
        <w:tc>
          <w:tcPr>
            <w:tcW w:w="1361" w:type="dxa"/>
            <w:noWrap/>
            <w:tcMar>
              <w:top w:w="0" w:type="dxa"/>
              <w:left w:w="108" w:type="dxa"/>
              <w:bottom w:w="0" w:type="dxa"/>
              <w:right w:w="108" w:type="dxa"/>
            </w:tcMar>
            <w:hideMark/>
          </w:tcPr>
          <w:p w14:paraId="74FF3A40" w14:textId="77777777" w:rsidR="00156F79" w:rsidRDefault="00156F79">
            <w:pPr>
              <w:spacing w:line="276" w:lineRule="auto"/>
              <w:rPr>
                <w:color w:val="000000"/>
              </w:rPr>
            </w:pPr>
            <w:r>
              <w:rPr>
                <w:color w:val="000000"/>
              </w:rPr>
              <w:t>138186</w:t>
            </w:r>
          </w:p>
        </w:tc>
      </w:tr>
      <w:tr w:rsidR="00156F79" w14:paraId="0A27655C" w14:textId="77777777" w:rsidTr="00BC5BF7">
        <w:trPr>
          <w:trHeight w:val="537"/>
        </w:trPr>
        <w:tc>
          <w:tcPr>
            <w:tcW w:w="2459" w:type="dxa"/>
            <w:noWrap/>
            <w:tcMar>
              <w:top w:w="0" w:type="dxa"/>
              <w:left w:w="108" w:type="dxa"/>
              <w:bottom w:w="0" w:type="dxa"/>
              <w:right w:w="108" w:type="dxa"/>
            </w:tcMar>
            <w:hideMark/>
          </w:tcPr>
          <w:p w14:paraId="58A0EAC0" w14:textId="77777777" w:rsidR="00156F79" w:rsidRDefault="00156F79">
            <w:pPr>
              <w:spacing w:line="276" w:lineRule="auto"/>
              <w:rPr>
                <w:color w:val="000000"/>
              </w:rPr>
            </w:pPr>
            <w:r>
              <w:rPr>
                <w:color w:val="000000"/>
              </w:rPr>
              <w:t>Electrode Insertion Tube set</w:t>
            </w:r>
          </w:p>
        </w:tc>
        <w:tc>
          <w:tcPr>
            <w:tcW w:w="3495" w:type="dxa"/>
            <w:noWrap/>
            <w:tcMar>
              <w:top w:w="0" w:type="dxa"/>
              <w:left w:w="108" w:type="dxa"/>
              <w:bottom w:w="0" w:type="dxa"/>
              <w:right w:w="108" w:type="dxa"/>
            </w:tcMar>
            <w:hideMark/>
          </w:tcPr>
          <w:p w14:paraId="305ABCDD" w14:textId="77777777" w:rsidR="00156F79" w:rsidRDefault="00156F79">
            <w:pPr>
              <w:spacing w:line="276" w:lineRule="auto"/>
              <w:rPr>
                <w:color w:val="000000"/>
              </w:rPr>
            </w:pPr>
            <w:r>
              <w:rPr>
                <w:color w:val="000000"/>
              </w:rPr>
              <w:t>Electrode Insertion Tube Set for DBS</w:t>
            </w:r>
          </w:p>
        </w:tc>
        <w:tc>
          <w:tcPr>
            <w:tcW w:w="1559" w:type="dxa"/>
            <w:noWrap/>
            <w:tcMar>
              <w:top w:w="0" w:type="dxa"/>
              <w:left w:w="108" w:type="dxa"/>
              <w:bottom w:w="0" w:type="dxa"/>
              <w:right w:w="108" w:type="dxa"/>
            </w:tcMar>
            <w:hideMark/>
          </w:tcPr>
          <w:p w14:paraId="240C4074" w14:textId="77777777" w:rsidR="00156F79" w:rsidRDefault="00156F79">
            <w:pPr>
              <w:spacing w:line="276" w:lineRule="auto"/>
              <w:rPr>
                <w:color w:val="000000"/>
              </w:rPr>
            </w:pPr>
            <w:r>
              <w:rPr>
                <w:color w:val="000000"/>
              </w:rPr>
              <w:t>One size only</w:t>
            </w:r>
          </w:p>
        </w:tc>
        <w:tc>
          <w:tcPr>
            <w:tcW w:w="1361" w:type="dxa"/>
            <w:noWrap/>
            <w:tcMar>
              <w:top w:w="0" w:type="dxa"/>
              <w:left w:w="108" w:type="dxa"/>
              <w:bottom w:w="0" w:type="dxa"/>
              <w:right w:w="108" w:type="dxa"/>
            </w:tcMar>
            <w:hideMark/>
          </w:tcPr>
          <w:p w14:paraId="051177A3" w14:textId="77777777" w:rsidR="00156F79" w:rsidRDefault="00156F79">
            <w:pPr>
              <w:spacing w:line="276" w:lineRule="auto"/>
              <w:rPr>
                <w:color w:val="000000"/>
              </w:rPr>
            </w:pPr>
            <w:r>
              <w:rPr>
                <w:color w:val="000000"/>
              </w:rPr>
              <w:t>212222</w:t>
            </w:r>
          </w:p>
        </w:tc>
      </w:tr>
      <w:tr w:rsidR="00156F79" w14:paraId="69F78ACC" w14:textId="77777777" w:rsidTr="00BC5BF7">
        <w:trPr>
          <w:trHeight w:val="537"/>
        </w:trPr>
        <w:tc>
          <w:tcPr>
            <w:tcW w:w="2459" w:type="dxa"/>
            <w:noWrap/>
            <w:tcMar>
              <w:top w:w="0" w:type="dxa"/>
              <w:left w:w="108" w:type="dxa"/>
              <w:bottom w:w="0" w:type="dxa"/>
              <w:right w:w="108" w:type="dxa"/>
            </w:tcMar>
            <w:hideMark/>
          </w:tcPr>
          <w:p w14:paraId="2468364B" w14:textId="77777777" w:rsidR="00156F79" w:rsidRDefault="00156F79">
            <w:pPr>
              <w:spacing w:line="276" w:lineRule="auto"/>
              <w:rPr>
                <w:color w:val="000000"/>
              </w:rPr>
            </w:pPr>
            <w:r>
              <w:rPr>
                <w:color w:val="000000"/>
              </w:rPr>
              <w:t>Medtronic Screening Cable (Twist Lock)</w:t>
            </w:r>
          </w:p>
        </w:tc>
        <w:tc>
          <w:tcPr>
            <w:tcW w:w="3495" w:type="dxa"/>
            <w:noWrap/>
            <w:tcMar>
              <w:top w:w="0" w:type="dxa"/>
              <w:left w:w="108" w:type="dxa"/>
              <w:bottom w:w="0" w:type="dxa"/>
              <w:right w:w="108" w:type="dxa"/>
            </w:tcMar>
            <w:hideMark/>
          </w:tcPr>
          <w:p w14:paraId="4CF793BE" w14:textId="77777777" w:rsidR="00156F79" w:rsidRDefault="00156F79">
            <w:pPr>
              <w:spacing w:line="276" w:lineRule="auto"/>
              <w:rPr>
                <w:color w:val="000000"/>
              </w:rPr>
            </w:pPr>
            <w:r>
              <w:rPr>
                <w:color w:val="000000"/>
              </w:rPr>
              <w:t>Screening Cable with Twist Lock for Intraoperative testing</w:t>
            </w:r>
          </w:p>
        </w:tc>
        <w:tc>
          <w:tcPr>
            <w:tcW w:w="1559" w:type="dxa"/>
            <w:noWrap/>
            <w:tcMar>
              <w:top w:w="0" w:type="dxa"/>
              <w:left w:w="108" w:type="dxa"/>
              <w:bottom w:w="0" w:type="dxa"/>
              <w:right w:w="108" w:type="dxa"/>
            </w:tcMar>
            <w:hideMark/>
          </w:tcPr>
          <w:p w14:paraId="50EBB837" w14:textId="77777777" w:rsidR="00156F79" w:rsidRDefault="00156F79">
            <w:pPr>
              <w:spacing w:line="276" w:lineRule="auto"/>
              <w:rPr>
                <w:color w:val="000000"/>
              </w:rPr>
            </w:pPr>
            <w:r>
              <w:rPr>
                <w:color w:val="000000"/>
              </w:rPr>
              <w:t>One size only</w:t>
            </w:r>
          </w:p>
        </w:tc>
        <w:tc>
          <w:tcPr>
            <w:tcW w:w="1361" w:type="dxa"/>
            <w:noWrap/>
            <w:tcMar>
              <w:top w:w="0" w:type="dxa"/>
              <w:left w:w="108" w:type="dxa"/>
              <w:bottom w:w="0" w:type="dxa"/>
              <w:right w:w="108" w:type="dxa"/>
            </w:tcMar>
            <w:hideMark/>
          </w:tcPr>
          <w:p w14:paraId="7E06E7CC" w14:textId="77777777" w:rsidR="00156F79" w:rsidRDefault="00156F79">
            <w:pPr>
              <w:spacing w:line="276" w:lineRule="auto"/>
              <w:rPr>
                <w:color w:val="000000"/>
              </w:rPr>
            </w:pPr>
            <w:r>
              <w:rPr>
                <w:color w:val="000000"/>
              </w:rPr>
              <w:t>119991</w:t>
            </w:r>
          </w:p>
        </w:tc>
      </w:tr>
      <w:tr w:rsidR="00156F79" w14:paraId="22699A99" w14:textId="77777777" w:rsidTr="00BC5BF7">
        <w:trPr>
          <w:trHeight w:val="537"/>
        </w:trPr>
        <w:tc>
          <w:tcPr>
            <w:tcW w:w="2459" w:type="dxa"/>
            <w:noWrap/>
            <w:tcMar>
              <w:top w:w="0" w:type="dxa"/>
              <w:left w:w="108" w:type="dxa"/>
              <w:bottom w:w="0" w:type="dxa"/>
              <w:right w:w="108" w:type="dxa"/>
            </w:tcMar>
            <w:hideMark/>
          </w:tcPr>
          <w:p w14:paraId="5894A088" w14:textId="77777777" w:rsidR="00156F79" w:rsidRDefault="00156F79">
            <w:pPr>
              <w:spacing w:line="276" w:lineRule="auto"/>
              <w:rPr>
                <w:color w:val="000000"/>
              </w:rPr>
            </w:pPr>
            <w:r>
              <w:rPr>
                <w:color w:val="000000"/>
              </w:rPr>
              <w:t>Medtronic Screening Cable (Alligator Clip)</w:t>
            </w:r>
          </w:p>
        </w:tc>
        <w:tc>
          <w:tcPr>
            <w:tcW w:w="3495" w:type="dxa"/>
            <w:noWrap/>
            <w:tcMar>
              <w:top w:w="0" w:type="dxa"/>
              <w:left w:w="108" w:type="dxa"/>
              <w:bottom w:w="0" w:type="dxa"/>
              <w:right w:w="108" w:type="dxa"/>
            </w:tcMar>
            <w:hideMark/>
          </w:tcPr>
          <w:p w14:paraId="58DF54E0" w14:textId="77777777" w:rsidR="00156F79" w:rsidRDefault="00156F79">
            <w:pPr>
              <w:spacing w:line="276" w:lineRule="auto"/>
              <w:rPr>
                <w:color w:val="000000"/>
              </w:rPr>
            </w:pPr>
            <w:r>
              <w:rPr>
                <w:color w:val="000000"/>
              </w:rPr>
              <w:t>Screening Cable with Alligator Clip for Intraoperative testing</w:t>
            </w:r>
          </w:p>
        </w:tc>
        <w:tc>
          <w:tcPr>
            <w:tcW w:w="1559" w:type="dxa"/>
            <w:noWrap/>
            <w:tcMar>
              <w:top w:w="0" w:type="dxa"/>
              <w:left w:w="108" w:type="dxa"/>
              <w:bottom w:w="0" w:type="dxa"/>
              <w:right w:w="108" w:type="dxa"/>
            </w:tcMar>
            <w:hideMark/>
          </w:tcPr>
          <w:p w14:paraId="0AC7FC8E" w14:textId="77777777" w:rsidR="00156F79" w:rsidRDefault="00156F79">
            <w:pPr>
              <w:spacing w:line="276" w:lineRule="auto"/>
              <w:rPr>
                <w:color w:val="000000"/>
              </w:rPr>
            </w:pPr>
            <w:r>
              <w:rPr>
                <w:color w:val="000000"/>
              </w:rPr>
              <w:t>One size only</w:t>
            </w:r>
          </w:p>
        </w:tc>
        <w:tc>
          <w:tcPr>
            <w:tcW w:w="1361" w:type="dxa"/>
            <w:noWrap/>
            <w:tcMar>
              <w:top w:w="0" w:type="dxa"/>
              <w:left w:w="108" w:type="dxa"/>
              <w:bottom w:w="0" w:type="dxa"/>
              <w:right w:w="108" w:type="dxa"/>
            </w:tcMar>
            <w:hideMark/>
          </w:tcPr>
          <w:p w14:paraId="35308BA2" w14:textId="77777777" w:rsidR="00156F79" w:rsidRDefault="00156F79">
            <w:pPr>
              <w:spacing w:line="276" w:lineRule="auto"/>
              <w:rPr>
                <w:color w:val="000000"/>
              </w:rPr>
            </w:pPr>
            <w:r>
              <w:rPr>
                <w:color w:val="000000"/>
              </w:rPr>
              <w:t>119991</w:t>
            </w:r>
          </w:p>
        </w:tc>
      </w:tr>
      <w:tr w:rsidR="00156F79" w14:paraId="0A8F023C" w14:textId="77777777" w:rsidTr="00BC5BF7">
        <w:trPr>
          <w:trHeight w:val="538"/>
        </w:trPr>
        <w:tc>
          <w:tcPr>
            <w:tcW w:w="2459" w:type="dxa"/>
            <w:noWrap/>
            <w:tcMar>
              <w:top w:w="0" w:type="dxa"/>
              <w:left w:w="108" w:type="dxa"/>
              <w:bottom w:w="0" w:type="dxa"/>
              <w:right w:w="108" w:type="dxa"/>
            </w:tcMar>
            <w:hideMark/>
          </w:tcPr>
          <w:p w14:paraId="485CA3C4" w14:textId="77777777" w:rsidR="00156F79" w:rsidRDefault="00156F79">
            <w:pPr>
              <w:spacing w:line="276" w:lineRule="auto"/>
              <w:rPr>
                <w:color w:val="000000"/>
              </w:rPr>
            </w:pPr>
            <w:r>
              <w:rPr>
                <w:color w:val="000000"/>
              </w:rPr>
              <w:t>Medtronic Accessory Kit for Deep Brain Stimulation</w:t>
            </w:r>
          </w:p>
        </w:tc>
        <w:tc>
          <w:tcPr>
            <w:tcW w:w="3495" w:type="dxa"/>
            <w:noWrap/>
            <w:tcMar>
              <w:top w:w="0" w:type="dxa"/>
              <w:left w:w="108" w:type="dxa"/>
              <w:bottom w:w="0" w:type="dxa"/>
              <w:right w:w="108" w:type="dxa"/>
            </w:tcMar>
            <w:hideMark/>
          </w:tcPr>
          <w:p w14:paraId="25037B49" w14:textId="77777777" w:rsidR="00156F79" w:rsidRDefault="00156F79">
            <w:pPr>
              <w:spacing w:line="276" w:lineRule="auto"/>
              <w:rPr>
                <w:color w:val="000000"/>
              </w:rPr>
            </w:pPr>
            <w:r>
              <w:rPr>
                <w:color w:val="000000"/>
              </w:rPr>
              <w:t>Boots accessory kit for DBS (3550-25)</w:t>
            </w:r>
          </w:p>
        </w:tc>
        <w:tc>
          <w:tcPr>
            <w:tcW w:w="1559" w:type="dxa"/>
            <w:noWrap/>
            <w:tcMar>
              <w:top w:w="0" w:type="dxa"/>
              <w:left w:w="108" w:type="dxa"/>
              <w:bottom w:w="0" w:type="dxa"/>
              <w:right w:w="108" w:type="dxa"/>
            </w:tcMar>
            <w:hideMark/>
          </w:tcPr>
          <w:p w14:paraId="119D5446" w14:textId="77777777" w:rsidR="00156F79" w:rsidRDefault="00156F79">
            <w:pPr>
              <w:spacing w:line="276" w:lineRule="auto"/>
              <w:rPr>
                <w:color w:val="000000"/>
              </w:rPr>
            </w:pPr>
            <w:r>
              <w:rPr>
                <w:color w:val="000000"/>
              </w:rPr>
              <w:t>N/A</w:t>
            </w:r>
          </w:p>
        </w:tc>
        <w:tc>
          <w:tcPr>
            <w:tcW w:w="1361" w:type="dxa"/>
            <w:noWrap/>
            <w:tcMar>
              <w:top w:w="0" w:type="dxa"/>
              <w:left w:w="108" w:type="dxa"/>
              <w:bottom w:w="0" w:type="dxa"/>
              <w:right w:w="108" w:type="dxa"/>
            </w:tcMar>
            <w:hideMark/>
          </w:tcPr>
          <w:p w14:paraId="5BB6B01C" w14:textId="77777777" w:rsidR="00156F79" w:rsidRDefault="00156F79">
            <w:pPr>
              <w:spacing w:line="276" w:lineRule="auto"/>
              <w:rPr>
                <w:color w:val="000000"/>
              </w:rPr>
            </w:pPr>
            <w:r>
              <w:rPr>
                <w:color w:val="000000"/>
              </w:rPr>
              <w:t>240576</w:t>
            </w:r>
          </w:p>
        </w:tc>
      </w:tr>
      <w:tr w:rsidR="00156F79" w14:paraId="2AFF2905" w14:textId="77777777" w:rsidTr="00BC5BF7">
        <w:trPr>
          <w:trHeight w:val="538"/>
        </w:trPr>
        <w:tc>
          <w:tcPr>
            <w:tcW w:w="2459" w:type="dxa"/>
            <w:noWrap/>
            <w:tcMar>
              <w:top w:w="0" w:type="dxa"/>
              <w:left w:w="108" w:type="dxa"/>
              <w:bottom w:w="0" w:type="dxa"/>
              <w:right w:w="108" w:type="dxa"/>
            </w:tcMar>
            <w:hideMark/>
          </w:tcPr>
          <w:p w14:paraId="2B556607" w14:textId="77777777" w:rsidR="00156F79" w:rsidRDefault="00156F79">
            <w:pPr>
              <w:spacing w:line="276" w:lineRule="auto"/>
              <w:rPr>
                <w:color w:val="000000"/>
              </w:rPr>
            </w:pPr>
            <w:r>
              <w:rPr>
                <w:color w:val="000000"/>
              </w:rPr>
              <w:t>Micro electrode recording system</w:t>
            </w:r>
          </w:p>
        </w:tc>
        <w:tc>
          <w:tcPr>
            <w:tcW w:w="3495" w:type="dxa"/>
            <w:noWrap/>
            <w:tcMar>
              <w:top w:w="0" w:type="dxa"/>
              <w:left w:w="108" w:type="dxa"/>
              <w:bottom w:w="0" w:type="dxa"/>
              <w:right w:w="108" w:type="dxa"/>
            </w:tcMar>
            <w:hideMark/>
          </w:tcPr>
          <w:p w14:paraId="0637F728" w14:textId="77777777" w:rsidR="00156F79" w:rsidRDefault="00156F79">
            <w:pPr>
              <w:spacing w:line="276" w:lineRule="auto"/>
              <w:rPr>
                <w:color w:val="000000"/>
              </w:rPr>
            </w:pPr>
            <w:r>
              <w:rPr>
                <w:color w:val="000000"/>
              </w:rPr>
              <w:t>Manufacturer – Medtronic, FHC, Alpha Omega</w:t>
            </w:r>
          </w:p>
        </w:tc>
        <w:tc>
          <w:tcPr>
            <w:tcW w:w="1559" w:type="dxa"/>
            <w:noWrap/>
            <w:tcMar>
              <w:top w:w="0" w:type="dxa"/>
              <w:left w:w="108" w:type="dxa"/>
              <w:bottom w:w="0" w:type="dxa"/>
              <w:right w:w="108" w:type="dxa"/>
            </w:tcMar>
          </w:tcPr>
          <w:p w14:paraId="2C11807D" w14:textId="77777777" w:rsidR="00156F79" w:rsidRDefault="00156F79">
            <w:pPr>
              <w:spacing w:line="276" w:lineRule="auto"/>
              <w:rPr>
                <w:color w:val="000000"/>
              </w:rPr>
            </w:pPr>
          </w:p>
        </w:tc>
        <w:tc>
          <w:tcPr>
            <w:tcW w:w="1361" w:type="dxa"/>
            <w:noWrap/>
            <w:tcMar>
              <w:top w:w="0" w:type="dxa"/>
              <w:left w:w="108" w:type="dxa"/>
              <w:bottom w:w="0" w:type="dxa"/>
              <w:right w:w="108" w:type="dxa"/>
            </w:tcMar>
          </w:tcPr>
          <w:p w14:paraId="367B15C6" w14:textId="28E012FE" w:rsidR="00156F79" w:rsidRPr="00262010" w:rsidRDefault="00262010">
            <w:pPr>
              <w:spacing w:line="276" w:lineRule="auto"/>
              <w:rPr>
                <w:rFonts w:cstheme="minorHAnsi"/>
                <w:color w:val="000000"/>
              </w:rPr>
            </w:pPr>
            <w:r w:rsidRPr="006A6B7B">
              <w:rPr>
                <w:rFonts w:cstheme="minorHAnsi"/>
              </w:rPr>
              <w:t>148374</w:t>
            </w:r>
          </w:p>
        </w:tc>
      </w:tr>
    </w:tbl>
    <w:p w14:paraId="467BBCC6" w14:textId="77777777" w:rsidR="00B3384F" w:rsidRPr="00A26343" w:rsidRDefault="00B3384F" w:rsidP="00B3384F">
      <w:pPr>
        <w:spacing w:before="0" w:after="0"/>
        <w:rPr>
          <w:szCs w:val="20"/>
        </w:rPr>
      </w:pPr>
    </w:p>
    <w:p w14:paraId="3A7E8803" w14:textId="648222B2" w:rsidR="00D56765" w:rsidRDefault="000E2E02" w:rsidP="00954C3D">
      <w:pPr>
        <w:pStyle w:val="Heading2"/>
        <w:numPr>
          <w:ilvl w:val="0"/>
          <w:numId w:val="6"/>
        </w:numPr>
      </w:pPr>
      <w:r>
        <w:t>Has it been listed on the Australian Register of Therapeutic Goods (ARTG) by the Therapeutic Goods</w:t>
      </w:r>
      <w:r w:rsidR="000F3129">
        <w:t xml:space="preserve"> </w:t>
      </w:r>
      <w:r>
        <w:t>Administration (TGA)? If the therapeutic good has been listed on the ARTG, please state the ARTG identification numbers, TGA-approved indication(s), and TGA-approved purpose(s).</w:t>
      </w:r>
    </w:p>
    <w:p w14:paraId="7AB5B6B4" w14:textId="45F9476D" w:rsidR="00070697" w:rsidRDefault="0013243D" w:rsidP="00070697">
      <w:pPr>
        <w:pStyle w:val="ListParagraph"/>
        <w:spacing w:before="0" w:after="0"/>
        <w:rPr>
          <w:szCs w:val="20"/>
        </w:rPr>
      </w:pPr>
      <w:r>
        <w:rPr>
          <w:szCs w:val="20"/>
        </w:rPr>
        <w:t xml:space="preserve">Yes, the </w:t>
      </w:r>
      <w:r w:rsidR="00070697">
        <w:rPr>
          <w:szCs w:val="20"/>
        </w:rPr>
        <w:t>above-mentioned DBS</w:t>
      </w:r>
      <w:r w:rsidR="00070697" w:rsidRPr="00070697">
        <w:rPr>
          <w:szCs w:val="20"/>
        </w:rPr>
        <w:t xml:space="preserve"> device system components </w:t>
      </w:r>
      <w:r w:rsidR="00070697">
        <w:rPr>
          <w:szCs w:val="20"/>
        </w:rPr>
        <w:t xml:space="preserve">have been listed on the ARTG by the TGA as indicated below: </w:t>
      </w:r>
    </w:p>
    <w:p w14:paraId="2409B32C" w14:textId="54C7A06E" w:rsidR="00070697" w:rsidRDefault="00070697" w:rsidP="00070697">
      <w:pPr>
        <w:pStyle w:val="ListParagraph"/>
        <w:spacing w:before="0" w:after="0"/>
        <w:rPr>
          <w:b/>
          <w:bCs/>
          <w:szCs w:val="20"/>
        </w:rPr>
      </w:pPr>
    </w:p>
    <w:p w14:paraId="09628AA2" w14:textId="666D339F" w:rsidR="00B8254E" w:rsidRPr="00B8254E" w:rsidRDefault="00B8254E" w:rsidP="00B8254E">
      <w:pPr>
        <w:pStyle w:val="ListParagraph"/>
        <w:spacing w:before="0" w:after="0"/>
        <w:rPr>
          <w:b/>
          <w:bCs/>
          <w:szCs w:val="20"/>
        </w:rPr>
      </w:pPr>
      <w:r>
        <w:rPr>
          <w:b/>
          <w:bCs/>
          <w:szCs w:val="20"/>
        </w:rPr>
        <w:t>DBS Leads</w:t>
      </w:r>
    </w:p>
    <w:p w14:paraId="5237D152" w14:textId="04874C89" w:rsidR="00070697" w:rsidRDefault="00070697" w:rsidP="00070697">
      <w:pPr>
        <w:pStyle w:val="ListParagraph"/>
        <w:spacing w:before="0" w:after="0"/>
        <w:rPr>
          <w:szCs w:val="20"/>
        </w:rPr>
      </w:pPr>
      <w:r w:rsidRPr="00E569FE">
        <w:rPr>
          <w:b/>
          <w:bCs/>
          <w:szCs w:val="20"/>
        </w:rPr>
        <w:t>ARTG ID:</w:t>
      </w:r>
      <w:r>
        <w:rPr>
          <w:szCs w:val="20"/>
        </w:rPr>
        <w:t xml:space="preserve"> </w:t>
      </w:r>
      <w:r w:rsidRPr="00070697">
        <w:rPr>
          <w:szCs w:val="20"/>
        </w:rPr>
        <w:t>137374</w:t>
      </w:r>
    </w:p>
    <w:p w14:paraId="4B19A75C" w14:textId="0B2BF19A" w:rsidR="007A6E80" w:rsidRPr="006149C4" w:rsidRDefault="00E569FE" w:rsidP="007A6E80">
      <w:pPr>
        <w:pStyle w:val="ListParagraph"/>
        <w:spacing w:before="0" w:after="0"/>
        <w:rPr>
          <w:szCs w:val="20"/>
        </w:rPr>
      </w:pPr>
      <w:r w:rsidRPr="00070697">
        <w:rPr>
          <w:b/>
          <w:bCs/>
          <w:szCs w:val="20"/>
        </w:rPr>
        <w:t>TGA approved indication(s), if applicable</w:t>
      </w:r>
      <w:r>
        <w:rPr>
          <w:b/>
          <w:bCs/>
          <w:szCs w:val="20"/>
        </w:rPr>
        <w:t>:</w:t>
      </w:r>
      <w:r w:rsidR="0018310E">
        <w:rPr>
          <w:b/>
          <w:bCs/>
          <w:szCs w:val="20"/>
        </w:rPr>
        <w:t xml:space="preserve"> </w:t>
      </w:r>
      <w:r w:rsidR="0018310E" w:rsidRPr="00CC4D53">
        <w:rPr>
          <w:szCs w:val="20"/>
        </w:rPr>
        <w:t>Not applicable</w:t>
      </w:r>
      <w:r w:rsidR="003F61CF">
        <w:rPr>
          <w:b/>
          <w:bCs/>
          <w:szCs w:val="20"/>
        </w:rPr>
        <w:t xml:space="preserve"> </w:t>
      </w:r>
      <w:r w:rsidR="001264E7" w:rsidRPr="001264E7">
        <w:rPr>
          <w:szCs w:val="20"/>
        </w:rPr>
        <w:t>(not discussed on RTG certificate).</w:t>
      </w:r>
    </w:p>
    <w:p w14:paraId="6DD1D1EE" w14:textId="7DB6E82A" w:rsidR="00E569FE" w:rsidRPr="00070697" w:rsidRDefault="00E569FE" w:rsidP="00E569FE">
      <w:pPr>
        <w:spacing w:before="0" w:after="0"/>
        <w:ind w:left="720"/>
        <w:rPr>
          <w:szCs w:val="20"/>
        </w:rPr>
      </w:pPr>
      <w:r w:rsidRPr="00070697">
        <w:rPr>
          <w:b/>
          <w:bCs/>
          <w:szCs w:val="20"/>
        </w:rPr>
        <w:t>TGA approved purpose(s), if applicable</w:t>
      </w:r>
      <w:r>
        <w:rPr>
          <w:b/>
          <w:bCs/>
          <w:szCs w:val="20"/>
        </w:rPr>
        <w:t xml:space="preserve">: </w:t>
      </w:r>
      <w:r w:rsidRPr="005047C4">
        <w:rPr>
          <w:szCs w:val="20"/>
        </w:rPr>
        <w:t>This lead is designed to electrically stimulate specific areas of the brain</w:t>
      </w:r>
      <w:r w:rsidRPr="00070697">
        <w:rPr>
          <w:szCs w:val="20"/>
        </w:rPr>
        <w:t xml:space="preserve"> </w:t>
      </w:r>
      <w:r w:rsidRPr="005047C4">
        <w:rPr>
          <w:szCs w:val="20"/>
        </w:rPr>
        <w:t>(deep brain stimulation) to treat drug refractory movement disorders</w:t>
      </w:r>
      <w:r w:rsidRPr="00070697">
        <w:rPr>
          <w:szCs w:val="20"/>
        </w:rPr>
        <w:t xml:space="preserve"> </w:t>
      </w:r>
      <w:r w:rsidRPr="005047C4">
        <w:rPr>
          <w:szCs w:val="20"/>
        </w:rPr>
        <w:t>(such as Parkinson</w:t>
      </w:r>
      <w:r>
        <w:rPr>
          <w:szCs w:val="20"/>
        </w:rPr>
        <w:t>’</w:t>
      </w:r>
      <w:r w:rsidRPr="005047C4">
        <w:rPr>
          <w:szCs w:val="20"/>
        </w:rPr>
        <w:t xml:space="preserve">s disease, Essential Tremor, </w:t>
      </w:r>
      <w:r w:rsidR="003F61CF" w:rsidRPr="005047C4">
        <w:rPr>
          <w:szCs w:val="20"/>
        </w:rPr>
        <w:t>Dystonia,</w:t>
      </w:r>
      <w:r w:rsidRPr="005047C4">
        <w:rPr>
          <w:szCs w:val="20"/>
        </w:rPr>
        <w:t xml:space="preserve"> and</w:t>
      </w:r>
      <w:r w:rsidRPr="00070697">
        <w:rPr>
          <w:szCs w:val="20"/>
        </w:rPr>
        <w:t xml:space="preserve"> </w:t>
      </w:r>
      <w:r w:rsidRPr="005047C4">
        <w:rPr>
          <w:szCs w:val="20"/>
        </w:rPr>
        <w:t xml:space="preserve">the treatment of </w:t>
      </w:r>
      <w:r w:rsidRPr="00AB1ADE">
        <w:rPr>
          <w:szCs w:val="20"/>
        </w:rPr>
        <w:t>epilepsy</w:t>
      </w:r>
      <w:r w:rsidRPr="005047C4">
        <w:rPr>
          <w:szCs w:val="20"/>
        </w:rPr>
        <w:t>).</w:t>
      </w:r>
    </w:p>
    <w:p w14:paraId="6ECFD1D1" w14:textId="145FAD8A" w:rsidR="00E569FE" w:rsidRDefault="00E569FE" w:rsidP="00070697">
      <w:pPr>
        <w:pStyle w:val="ListParagraph"/>
        <w:spacing w:before="0" w:after="0"/>
        <w:rPr>
          <w:b/>
          <w:bCs/>
          <w:szCs w:val="20"/>
        </w:rPr>
      </w:pPr>
    </w:p>
    <w:p w14:paraId="359155BC" w14:textId="1A899DD2" w:rsidR="00B8254E" w:rsidRPr="00B8254E" w:rsidRDefault="00B8254E" w:rsidP="00B8254E">
      <w:pPr>
        <w:pStyle w:val="ListParagraph"/>
        <w:spacing w:before="0" w:after="0"/>
        <w:rPr>
          <w:b/>
          <w:bCs/>
          <w:szCs w:val="20"/>
        </w:rPr>
      </w:pPr>
      <w:r>
        <w:rPr>
          <w:b/>
          <w:bCs/>
          <w:szCs w:val="20"/>
        </w:rPr>
        <w:t xml:space="preserve">Bur </w:t>
      </w:r>
      <w:r w:rsidR="00227DED">
        <w:rPr>
          <w:b/>
          <w:bCs/>
          <w:szCs w:val="20"/>
        </w:rPr>
        <w:t>H</w:t>
      </w:r>
      <w:r>
        <w:rPr>
          <w:b/>
          <w:bCs/>
          <w:szCs w:val="20"/>
        </w:rPr>
        <w:t xml:space="preserve">ole </w:t>
      </w:r>
      <w:r w:rsidR="00227DED">
        <w:rPr>
          <w:b/>
          <w:bCs/>
          <w:szCs w:val="20"/>
        </w:rPr>
        <w:t>C</w:t>
      </w:r>
      <w:r>
        <w:rPr>
          <w:b/>
          <w:bCs/>
          <w:szCs w:val="20"/>
        </w:rPr>
        <w:t>overs</w:t>
      </w:r>
    </w:p>
    <w:p w14:paraId="0C44BD91" w14:textId="062EC1AF" w:rsidR="00E569FE" w:rsidRDefault="00E569FE" w:rsidP="00E569FE">
      <w:pPr>
        <w:pStyle w:val="ListParagraph"/>
        <w:spacing w:before="0" w:after="0"/>
        <w:rPr>
          <w:szCs w:val="20"/>
        </w:rPr>
      </w:pPr>
      <w:r w:rsidRPr="00E569FE">
        <w:rPr>
          <w:b/>
          <w:bCs/>
          <w:szCs w:val="20"/>
        </w:rPr>
        <w:t>ARTG ID:</w:t>
      </w:r>
      <w:r>
        <w:rPr>
          <w:szCs w:val="20"/>
        </w:rPr>
        <w:t xml:space="preserve"> </w:t>
      </w:r>
      <w:r w:rsidRPr="00070697">
        <w:rPr>
          <w:szCs w:val="20"/>
        </w:rPr>
        <w:t>151095</w:t>
      </w:r>
    </w:p>
    <w:p w14:paraId="65D32288" w14:textId="6660114A" w:rsidR="00787B5A" w:rsidRDefault="00E569FE" w:rsidP="00070697">
      <w:pPr>
        <w:pStyle w:val="ListParagraph"/>
        <w:spacing w:before="0" w:after="0"/>
        <w:rPr>
          <w:szCs w:val="20"/>
        </w:rPr>
      </w:pPr>
      <w:r w:rsidRPr="00070697">
        <w:rPr>
          <w:b/>
          <w:bCs/>
          <w:szCs w:val="20"/>
        </w:rPr>
        <w:t>TGA approved indication(s), if applicable</w:t>
      </w:r>
      <w:r>
        <w:rPr>
          <w:b/>
          <w:bCs/>
          <w:szCs w:val="20"/>
        </w:rPr>
        <w:t>:</w:t>
      </w:r>
      <w:r w:rsidR="003F61CF">
        <w:rPr>
          <w:b/>
          <w:bCs/>
          <w:szCs w:val="20"/>
        </w:rPr>
        <w:t xml:space="preserve"> </w:t>
      </w:r>
      <w:r w:rsidR="00CC4D53" w:rsidRPr="00CC4D53">
        <w:rPr>
          <w:szCs w:val="20"/>
        </w:rPr>
        <w:t>Not applicable</w:t>
      </w:r>
      <w:r w:rsidR="00CC4D53">
        <w:rPr>
          <w:b/>
          <w:bCs/>
          <w:szCs w:val="20"/>
        </w:rPr>
        <w:t xml:space="preserve"> </w:t>
      </w:r>
      <w:r w:rsidR="001264E7" w:rsidRPr="001264E7">
        <w:rPr>
          <w:szCs w:val="20"/>
        </w:rPr>
        <w:t>(not discussed on RTG certificate).</w:t>
      </w:r>
    </w:p>
    <w:p w14:paraId="1B6FAAC0" w14:textId="72168AAE" w:rsidR="00070697" w:rsidRDefault="00E569FE" w:rsidP="00070697">
      <w:pPr>
        <w:pStyle w:val="ListParagraph"/>
        <w:spacing w:before="0" w:after="0"/>
        <w:rPr>
          <w:szCs w:val="20"/>
        </w:rPr>
      </w:pPr>
      <w:r w:rsidRPr="00070697">
        <w:rPr>
          <w:b/>
          <w:bCs/>
          <w:szCs w:val="20"/>
        </w:rPr>
        <w:t>TGA approved purpose(s), if applicable</w:t>
      </w:r>
      <w:r>
        <w:rPr>
          <w:b/>
          <w:bCs/>
          <w:szCs w:val="20"/>
        </w:rPr>
        <w:t xml:space="preserve">: </w:t>
      </w:r>
      <w:r w:rsidRPr="00070697">
        <w:rPr>
          <w:szCs w:val="20"/>
        </w:rPr>
        <w:t>The StimLoc is intended to be used as an implantable 14mm burr hole</w:t>
      </w:r>
      <w:r>
        <w:rPr>
          <w:szCs w:val="20"/>
        </w:rPr>
        <w:t xml:space="preserve"> </w:t>
      </w:r>
      <w:r w:rsidRPr="00070697">
        <w:rPr>
          <w:szCs w:val="20"/>
        </w:rPr>
        <w:t>cover following cranial surgery. It does not penetrate the dura. StimLoc</w:t>
      </w:r>
      <w:r>
        <w:rPr>
          <w:szCs w:val="20"/>
        </w:rPr>
        <w:t xml:space="preserve"> </w:t>
      </w:r>
      <w:r w:rsidRPr="00070697">
        <w:rPr>
          <w:szCs w:val="20"/>
        </w:rPr>
        <w:t>comes in a single pack or a pack of 2 and also contains insertion tools,</w:t>
      </w:r>
      <w:r>
        <w:rPr>
          <w:szCs w:val="20"/>
        </w:rPr>
        <w:t xml:space="preserve"> </w:t>
      </w:r>
      <w:proofErr w:type="spellStart"/>
      <w:r w:rsidRPr="00070697">
        <w:rPr>
          <w:szCs w:val="20"/>
        </w:rPr>
        <w:t>centering</w:t>
      </w:r>
      <w:proofErr w:type="spellEnd"/>
      <w:r w:rsidRPr="00070697">
        <w:rPr>
          <w:szCs w:val="20"/>
        </w:rPr>
        <w:t xml:space="preserve"> cap and screwdriver.</w:t>
      </w:r>
    </w:p>
    <w:p w14:paraId="2BC7A56F" w14:textId="4FA3D143" w:rsidR="00E569FE" w:rsidRDefault="00E569FE" w:rsidP="00070697">
      <w:pPr>
        <w:pStyle w:val="ListParagraph"/>
        <w:spacing w:before="0" w:after="0"/>
        <w:rPr>
          <w:szCs w:val="20"/>
        </w:rPr>
      </w:pPr>
    </w:p>
    <w:p w14:paraId="7278CDE6" w14:textId="77777777" w:rsidR="00BC5BF7" w:rsidRDefault="00BC5BF7">
      <w:pPr>
        <w:spacing w:before="0" w:after="200" w:line="276" w:lineRule="auto"/>
        <w:rPr>
          <w:b/>
          <w:bCs/>
          <w:szCs w:val="20"/>
        </w:rPr>
      </w:pPr>
      <w:r>
        <w:rPr>
          <w:b/>
          <w:bCs/>
          <w:szCs w:val="20"/>
        </w:rPr>
        <w:br w:type="page"/>
      </w:r>
    </w:p>
    <w:p w14:paraId="1C47353B" w14:textId="6B2E8387" w:rsidR="00F23FCE" w:rsidRDefault="00F23FCE" w:rsidP="00F23FCE">
      <w:pPr>
        <w:pStyle w:val="ListParagraph"/>
        <w:spacing w:before="0" w:after="0"/>
        <w:rPr>
          <w:b/>
          <w:bCs/>
          <w:szCs w:val="20"/>
        </w:rPr>
      </w:pPr>
      <w:r>
        <w:rPr>
          <w:b/>
          <w:bCs/>
          <w:szCs w:val="20"/>
        </w:rPr>
        <w:lastRenderedPageBreak/>
        <w:t>DBS Leads</w:t>
      </w:r>
    </w:p>
    <w:p w14:paraId="403422DE" w14:textId="3BD83BDF" w:rsidR="00E569FE" w:rsidRDefault="00E569FE" w:rsidP="00E569FE">
      <w:pPr>
        <w:pStyle w:val="ListParagraph"/>
        <w:spacing w:before="0" w:after="0"/>
        <w:rPr>
          <w:szCs w:val="20"/>
        </w:rPr>
      </w:pPr>
      <w:r w:rsidRPr="00E569FE">
        <w:rPr>
          <w:b/>
          <w:bCs/>
          <w:szCs w:val="20"/>
        </w:rPr>
        <w:t>ARTG ID:</w:t>
      </w:r>
      <w:r w:rsidRPr="00E569FE">
        <w:rPr>
          <w:szCs w:val="20"/>
        </w:rPr>
        <w:t xml:space="preserve"> </w:t>
      </w:r>
      <w:r w:rsidRPr="00E569FE">
        <w:t>239412</w:t>
      </w:r>
    </w:p>
    <w:p w14:paraId="2B2A678E" w14:textId="7AE18F77" w:rsidR="00E569FE" w:rsidRPr="00CC4D53" w:rsidRDefault="00E569FE" w:rsidP="00CC4D53">
      <w:pPr>
        <w:pStyle w:val="ListParagraph"/>
        <w:spacing w:before="0" w:after="0"/>
        <w:rPr>
          <w:szCs w:val="20"/>
        </w:rPr>
      </w:pPr>
      <w:r w:rsidRPr="00070697">
        <w:rPr>
          <w:b/>
          <w:bCs/>
          <w:szCs w:val="20"/>
        </w:rPr>
        <w:t>TGA approved indication(s), if applicable</w:t>
      </w:r>
      <w:r>
        <w:rPr>
          <w:b/>
          <w:bCs/>
          <w:szCs w:val="20"/>
        </w:rPr>
        <w:t>:</w:t>
      </w:r>
      <w:r w:rsidR="003F61CF">
        <w:rPr>
          <w:b/>
          <w:bCs/>
          <w:szCs w:val="20"/>
        </w:rPr>
        <w:t xml:space="preserve"> </w:t>
      </w:r>
      <w:r w:rsidR="00CC4D53" w:rsidRPr="00CC4D53">
        <w:rPr>
          <w:szCs w:val="20"/>
        </w:rPr>
        <w:t>Not applicable</w:t>
      </w:r>
      <w:r w:rsidR="00CC4D53">
        <w:rPr>
          <w:b/>
          <w:bCs/>
          <w:szCs w:val="20"/>
        </w:rPr>
        <w:t xml:space="preserve"> </w:t>
      </w:r>
      <w:r w:rsidR="001264E7" w:rsidRPr="001264E7">
        <w:rPr>
          <w:szCs w:val="20"/>
        </w:rPr>
        <w:t>(not discussed on RTG certificate).</w:t>
      </w:r>
    </w:p>
    <w:p w14:paraId="32922F26" w14:textId="43D6B867" w:rsidR="00E569FE" w:rsidRDefault="00E569FE" w:rsidP="00070697">
      <w:pPr>
        <w:pStyle w:val="ListParagraph"/>
        <w:spacing w:before="0" w:after="0"/>
        <w:rPr>
          <w:szCs w:val="20"/>
        </w:rPr>
      </w:pPr>
      <w:r w:rsidRPr="00070697">
        <w:rPr>
          <w:b/>
          <w:bCs/>
          <w:szCs w:val="20"/>
        </w:rPr>
        <w:t>TGA approved purpose(s), if applicable</w:t>
      </w:r>
      <w:r>
        <w:rPr>
          <w:b/>
          <w:bCs/>
          <w:szCs w:val="20"/>
        </w:rPr>
        <w:t xml:space="preserve">: </w:t>
      </w:r>
      <w:r w:rsidRPr="00070697">
        <w:rPr>
          <w:szCs w:val="20"/>
        </w:rPr>
        <w:t>The Lead Extension is part of an implanted Neuromodulation System.</w:t>
      </w:r>
    </w:p>
    <w:p w14:paraId="1F6D132C" w14:textId="36854AF6" w:rsidR="00E569FE" w:rsidRDefault="00E569FE" w:rsidP="00070697">
      <w:pPr>
        <w:pStyle w:val="ListParagraph"/>
        <w:spacing w:before="0" w:after="0"/>
        <w:rPr>
          <w:szCs w:val="20"/>
        </w:rPr>
      </w:pPr>
    </w:p>
    <w:p w14:paraId="0C35CF79" w14:textId="77777777" w:rsidR="00F23FCE" w:rsidRDefault="00F23FCE" w:rsidP="00F23FCE">
      <w:pPr>
        <w:pStyle w:val="ListParagraph"/>
        <w:spacing w:before="0" w:after="0"/>
        <w:rPr>
          <w:b/>
          <w:bCs/>
          <w:szCs w:val="20"/>
        </w:rPr>
      </w:pPr>
      <w:r>
        <w:rPr>
          <w:b/>
          <w:bCs/>
          <w:szCs w:val="20"/>
        </w:rPr>
        <w:t>Percept PC IPG</w:t>
      </w:r>
    </w:p>
    <w:p w14:paraId="4AA58BC5" w14:textId="0E129887" w:rsidR="00E569FE" w:rsidRDefault="00E569FE" w:rsidP="00E569FE">
      <w:pPr>
        <w:pStyle w:val="ListParagraph"/>
        <w:spacing w:before="0" w:after="0"/>
        <w:rPr>
          <w:szCs w:val="20"/>
        </w:rPr>
      </w:pPr>
      <w:r w:rsidRPr="00E569FE">
        <w:rPr>
          <w:b/>
          <w:bCs/>
          <w:szCs w:val="20"/>
        </w:rPr>
        <w:t>ARTG ID:</w:t>
      </w:r>
      <w:r w:rsidRPr="00E569FE">
        <w:rPr>
          <w:szCs w:val="20"/>
        </w:rPr>
        <w:t xml:space="preserve"> </w:t>
      </w:r>
      <w:r w:rsidRPr="00E569FE">
        <w:t>351630</w:t>
      </w:r>
    </w:p>
    <w:p w14:paraId="4BEFDA36" w14:textId="055439CF" w:rsidR="00E569FE" w:rsidRDefault="00E569FE" w:rsidP="00E569FE">
      <w:pPr>
        <w:pStyle w:val="ListParagraph"/>
        <w:spacing w:before="0" w:after="0"/>
        <w:rPr>
          <w:b/>
          <w:bCs/>
          <w:szCs w:val="20"/>
        </w:rPr>
      </w:pPr>
      <w:r w:rsidRPr="00070697">
        <w:rPr>
          <w:b/>
          <w:bCs/>
          <w:szCs w:val="20"/>
        </w:rPr>
        <w:t>TGA approved indication(s), if applicable</w:t>
      </w:r>
      <w:r>
        <w:rPr>
          <w:b/>
          <w:bCs/>
          <w:szCs w:val="20"/>
        </w:rPr>
        <w:t>:</w:t>
      </w:r>
      <w:r w:rsidR="00CF1D8B">
        <w:rPr>
          <w:b/>
          <w:bCs/>
          <w:szCs w:val="20"/>
        </w:rPr>
        <w:t xml:space="preserve"> </w:t>
      </w:r>
      <w:r w:rsidR="00CC4D53">
        <w:rPr>
          <w:szCs w:val="20"/>
        </w:rPr>
        <w:t>Indications discussed in approved purpose below.</w:t>
      </w:r>
    </w:p>
    <w:p w14:paraId="1A1A1A0D" w14:textId="3350CD46" w:rsidR="00227DED" w:rsidRPr="00BC5BF7" w:rsidRDefault="00E569FE" w:rsidP="00BC5BF7">
      <w:pPr>
        <w:pStyle w:val="ListParagraph"/>
        <w:spacing w:before="0" w:after="0"/>
        <w:rPr>
          <w:szCs w:val="20"/>
        </w:rPr>
      </w:pPr>
      <w:r w:rsidRPr="00070697">
        <w:rPr>
          <w:b/>
          <w:bCs/>
          <w:szCs w:val="20"/>
        </w:rPr>
        <w:t>TGA approved purpose(s), if applicable</w:t>
      </w:r>
      <w:r>
        <w:rPr>
          <w:b/>
          <w:bCs/>
          <w:szCs w:val="20"/>
        </w:rPr>
        <w:t xml:space="preserve">: </w:t>
      </w:r>
      <w:r w:rsidRPr="00E569FE">
        <w:rPr>
          <w:szCs w:val="20"/>
        </w:rPr>
        <w:t>The Percept PC system is an active implantable device</w:t>
      </w:r>
      <w:r>
        <w:rPr>
          <w:szCs w:val="20"/>
        </w:rPr>
        <w:t xml:space="preserve"> </w:t>
      </w:r>
      <w:r w:rsidRPr="00E569FE">
        <w:rPr>
          <w:szCs w:val="20"/>
        </w:rPr>
        <w:t>system for deep</w:t>
      </w:r>
      <w:r>
        <w:rPr>
          <w:szCs w:val="20"/>
        </w:rPr>
        <w:t xml:space="preserve"> </w:t>
      </w:r>
      <w:r w:rsidRPr="00E569FE">
        <w:rPr>
          <w:szCs w:val="20"/>
        </w:rPr>
        <w:t>brain stimulation (DBS) and sensing of bioelectric signals in the brain.</w:t>
      </w:r>
      <w:r>
        <w:rPr>
          <w:szCs w:val="20"/>
        </w:rPr>
        <w:t xml:space="preserve"> </w:t>
      </w:r>
      <w:r w:rsidRPr="00E569FE">
        <w:rPr>
          <w:szCs w:val="20"/>
        </w:rPr>
        <w:t>Therapy for</w:t>
      </w:r>
      <w:r>
        <w:rPr>
          <w:szCs w:val="20"/>
        </w:rPr>
        <w:t xml:space="preserve"> </w:t>
      </w:r>
      <w:r w:rsidR="00CC2E86">
        <w:rPr>
          <w:szCs w:val="20"/>
        </w:rPr>
        <w:t>m</w:t>
      </w:r>
      <w:r w:rsidRPr="00E569FE">
        <w:rPr>
          <w:szCs w:val="20"/>
        </w:rPr>
        <w:t>ovement disorders is indicated for stimulation of the</w:t>
      </w:r>
      <w:r>
        <w:rPr>
          <w:szCs w:val="20"/>
        </w:rPr>
        <w:t xml:space="preserve"> </w:t>
      </w:r>
      <w:r w:rsidRPr="00E569FE">
        <w:rPr>
          <w:szCs w:val="20"/>
        </w:rPr>
        <w:t>ventral intermediate nucleus (VIM) for patients with disabling essential</w:t>
      </w:r>
      <w:r>
        <w:rPr>
          <w:szCs w:val="20"/>
        </w:rPr>
        <w:t xml:space="preserve"> </w:t>
      </w:r>
      <w:r w:rsidRPr="00E569FE">
        <w:rPr>
          <w:szCs w:val="20"/>
        </w:rPr>
        <w:t>tremor (ET) or Parkinsonian tremor, or stimulation of the internal globus</w:t>
      </w:r>
      <w:r>
        <w:rPr>
          <w:szCs w:val="20"/>
        </w:rPr>
        <w:t xml:space="preserve"> </w:t>
      </w:r>
      <w:r w:rsidRPr="00E569FE">
        <w:rPr>
          <w:szCs w:val="20"/>
        </w:rPr>
        <w:t>pallidus (GPi) or the subthalamic nucleus (STN) for patients with</w:t>
      </w:r>
      <w:r>
        <w:rPr>
          <w:szCs w:val="20"/>
        </w:rPr>
        <w:t xml:space="preserve"> </w:t>
      </w:r>
      <w:r w:rsidRPr="00E569FE">
        <w:rPr>
          <w:szCs w:val="20"/>
        </w:rPr>
        <w:t>symptoms of Parkinson's disease (PD).</w:t>
      </w:r>
    </w:p>
    <w:p w14:paraId="3EACD726" w14:textId="4C8A68CE" w:rsidR="0013243D" w:rsidRPr="00BC5BF7" w:rsidRDefault="00E569FE" w:rsidP="00BC5BF7">
      <w:pPr>
        <w:pStyle w:val="ListParagraph"/>
        <w:spacing w:after="0"/>
        <w:contextualSpacing w:val="0"/>
        <w:rPr>
          <w:szCs w:val="20"/>
        </w:rPr>
      </w:pPr>
      <w:r w:rsidRPr="00E569FE">
        <w:rPr>
          <w:szCs w:val="20"/>
        </w:rPr>
        <w:t>DBS Therapy for movement disorders is also indicated for the</w:t>
      </w:r>
      <w:r>
        <w:rPr>
          <w:szCs w:val="20"/>
        </w:rPr>
        <w:t xml:space="preserve"> </w:t>
      </w:r>
      <w:r w:rsidRPr="00E569FE">
        <w:rPr>
          <w:szCs w:val="20"/>
        </w:rPr>
        <w:t>stimulation of the internal globus pallidus (G</w:t>
      </w:r>
      <w:r w:rsidR="00EE0374">
        <w:rPr>
          <w:szCs w:val="20"/>
        </w:rPr>
        <w:t>P</w:t>
      </w:r>
      <w:r w:rsidRPr="00E569FE">
        <w:rPr>
          <w:szCs w:val="20"/>
        </w:rPr>
        <w:t>i) or the subthalamic</w:t>
      </w:r>
      <w:r>
        <w:rPr>
          <w:szCs w:val="20"/>
        </w:rPr>
        <w:t xml:space="preserve"> </w:t>
      </w:r>
      <w:r w:rsidRPr="00E569FE">
        <w:rPr>
          <w:szCs w:val="20"/>
        </w:rPr>
        <w:t>nucleus (STN) as an aid in the management of chronic, intractable (drug</w:t>
      </w:r>
      <w:r>
        <w:rPr>
          <w:szCs w:val="20"/>
        </w:rPr>
        <w:t xml:space="preserve"> </w:t>
      </w:r>
      <w:r w:rsidRPr="00E569FE">
        <w:rPr>
          <w:szCs w:val="20"/>
        </w:rPr>
        <w:t>refractory) primary dystonia, including generalized and segmental</w:t>
      </w:r>
      <w:r>
        <w:rPr>
          <w:szCs w:val="20"/>
        </w:rPr>
        <w:t xml:space="preserve"> </w:t>
      </w:r>
      <w:r w:rsidRPr="00E569FE">
        <w:rPr>
          <w:szCs w:val="20"/>
        </w:rPr>
        <w:t>dystonia, hemidystonia and cervical dystonia (torticollis) for individuals 7</w:t>
      </w:r>
      <w:r>
        <w:rPr>
          <w:szCs w:val="20"/>
        </w:rPr>
        <w:t xml:space="preserve"> </w:t>
      </w:r>
      <w:r w:rsidRPr="00E569FE">
        <w:rPr>
          <w:szCs w:val="20"/>
        </w:rPr>
        <w:t>years and older.</w:t>
      </w:r>
    </w:p>
    <w:p w14:paraId="6D16010A" w14:textId="4698EC93" w:rsidR="0013243D" w:rsidRPr="00BC5BF7" w:rsidRDefault="00E569FE" w:rsidP="00BC5BF7">
      <w:pPr>
        <w:pStyle w:val="ListParagraph"/>
        <w:spacing w:after="0"/>
        <w:contextualSpacing w:val="0"/>
        <w:rPr>
          <w:szCs w:val="20"/>
        </w:rPr>
      </w:pPr>
      <w:r w:rsidRPr="00E569FE">
        <w:rPr>
          <w:szCs w:val="20"/>
        </w:rPr>
        <w:t xml:space="preserve">Bilateral anterior thalamic nucleus (ANT) stimulation using the </w:t>
      </w:r>
      <w:r w:rsidRPr="00AB1ADE">
        <w:rPr>
          <w:szCs w:val="20"/>
        </w:rPr>
        <w:t xml:space="preserve">Medtronic DBS system for </w:t>
      </w:r>
      <w:r w:rsidR="007602CB">
        <w:rPr>
          <w:szCs w:val="20"/>
        </w:rPr>
        <w:t>E</w:t>
      </w:r>
      <w:r w:rsidRPr="00AB1ADE">
        <w:rPr>
          <w:szCs w:val="20"/>
        </w:rPr>
        <w:t>pilepsy</w:t>
      </w:r>
      <w:r w:rsidRPr="00E569FE">
        <w:rPr>
          <w:szCs w:val="20"/>
        </w:rPr>
        <w:t xml:space="preserve"> is indicated as adjunctive therapy for reducing</w:t>
      </w:r>
      <w:r>
        <w:rPr>
          <w:szCs w:val="20"/>
        </w:rPr>
        <w:t xml:space="preserve"> </w:t>
      </w:r>
      <w:r w:rsidRPr="00E569FE">
        <w:rPr>
          <w:szCs w:val="20"/>
        </w:rPr>
        <w:t>the frequency of seizures in adults diagnosed with epilepsy</w:t>
      </w:r>
      <w:r>
        <w:rPr>
          <w:szCs w:val="20"/>
        </w:rPr>
        <w:t xml:space="preserve"> </w:t>
      </w:r>
      <w:r w:rsidRPr="00E569FE">
        <w:rPr>
          <w:szCs w:val="20"/>
        </w:rPr>
        <w:t>characterized by partial-onset seizures, with or without secondary</w:t>
      </w:r>
      <w:r>
        <w:rPr>
          <w:szCs w:val="20"/>
        </w:rPr>
        <w:t xml:space="preserve"> </w:t>
      </w:r>
      <w:r w:rsidRPr="00E569FE">
        <w:rPr>
          <w:szCs w:val="20"/>
        </w:rPr>
        <w:t>generalization, that are refractory to antiepileptic medications.</w:t>
      </w:r>
    </w:p>
    <w:p w14:paraId="3299A040" w14:textId="50C812A5" w:rsidR="00E569FE" w:rsidRDefault="00E569FE" w:rsidP="00BC5BF7">
      <w:pPr>
        <w:pStyle w:val="ListParagraph"/>
        <w:spacing w:after="0"/>
        <w:contextualSpacing w:val="0"/>
        <w:rPr>
          <w:szCs w:val="20"/>
        </w:rPr>
      </w:pPr>
      <w:r w:rsidRPr="00E569FE">
        <w:rPr>
          <w:szCs w:val="20"/>
        </w:rPr>
        <w:t>Medtronic DBS Therapy is indicated for bilateral stimulation of the</w:t>
      </w:r>
      <w:r>
        <w:rPr>
          <w:szCs w:val="20"/>
        </w:rPr>
        <w:t xml:space="preserve"> </w:t>
      </w:r>
      <w:r w:rsidRPr="00E569FE">
        <w:rPr>
          <w:szCs w:val="20"/>
        </w:rPr>
        <w:t>anterior limb of the internal capsule, AIC, as an adjunct to medications</w:t>
      </w:r>
      <w:r>
        <w:rPr>
          <w:szCs w:val="20"/>
        </w:rPr>
        <w:t xml:space="preserve"> </w:t>
      </w:r>
      <w:r w:rsidRPr="00E569FE">
        <w:rPr>
          <w:szCs w:val="20"/>
        </w:rPr>
        <w:t>and as an alternative to anterior capsulotomy for the treatment of</w:t>
      </w:r>
      <w:r>
        <w:rPr>
          <w:szCs w:val="20"/>
        </w:rPr>
        <w:t xml:space="preserve"> </w:t>
      </w:r>
      <w:r w:rsidRPr="00E569FE">
        <w:rPr>
          <w:szCs w:val="20"/>
        </w:rPr>
        <w:t>chronic, severe, treatment-resistant OCD in adult patients who have</w:t>
      </w:r>
      <w:r>
        <w:rPr>
          <w:szCs w:val="20"/>
        </w:rPr>
        <w:t xml:space="preserve"> </w:t>
      </w:r>
      <w:r w:rsidRPr="00E569FE">
        <w:rPr>
          <w:szCs w:val="20"/>
        </w:rPr>
        <w:t>failed at least three selective serotonin reuptake inhibitors (SSRIs)</w:t>
      </w:r>
    </w:p>
    <w:p w14:paraId="26802D25" w14:textId="1E5098D2" w:rsidR="00E569FE" w:rsidRDefault="00E569FE" w:rsidP="00E569FE">
      <w:pPr>
        <w:pStyle w:val="ListParagraph"/>
        <w:spacing w:before="0" w:after="0"/>
        <w:rPr>
          <w:szCs w:val="20"/>
        </w:rPr>
      </w:pPr>
    </w:p>
    <w:p w14:paraId="570AEC30" w14:textId="77777777" w:rsidR="00F23FCE" w:rsidRDefault="00F23FCE" w:rsidP="00F23FCE">
      <w:pPr>
        <w:pStyle w:val="ListParagraph"/>
        <w:spacing w:before="0" w:after="0"/>
        <w:rPr>
          <w:b/>
          <w:bCs/>
          <w:szCs w:val="20"/>
        </w:rPr>
      </w:pPr>
      <w:r>
        <w:rPr>
          <w:b/>
          <w:bCs/>
          <w:szCs w:val="20"/>
        </w:rPr>
        <w:t>Physician Programmer</w:t>
      </w:r>
    </w:p>
    <w:p w14:paraId="3DE64A13" w14:textId="52AA43D6" w:rsidR="00E569FE" w:rsidRDefault="00E569FE" w:rsidP="00E569FE">
      <w:pPr>
        <w:pStyle w:val="ListParagraph"/>
        <w:spacing w:before="0" w:after="0"/>
        <w:rPr>
          <w:szCs w:val="20"/>
        </w:rPr>
      </w:pPr>
      <w:r w:rsidRPr="00E569FE">
        <w:rPr>
          <w:b/>
          <w:bCs/>
          <w:szCs w:val="20"/>
        </w:rPr>
        <w:t>ARTG ID:</w:t>
      </w:r>
      <w:r w:rsidRPr="00E569FE">
        <w:rPr>
          <w:szCs w:val="20"/>
        </w:rPr>
        <w:t xml:space="preserve"> </w:t>
      </w:r>
      <w:r w:rsidRPr="00E569FE">
        <w:t>308196</w:t>
      </w:r>
    </w:p>
    <w:p w14:paraId="46B48DA0" w14:textId="1DF3A245" w:rsidR="00E569FE" w:rsidRPr="001264E7" w:rsidRDefault="00E569FE" w:rsidP="001264E7">
      <w:pPr>
        <w:pStyle w:val="ListParagraph"/>
        <w:spacing w:before="0" w:after="0"/>
      </w:pPr>
      <w:r w:rsidRPr="00070697">
        <w:rPr>
          <w:b/>
          <w:bCs/>
          <w:szCs w:val="20"/>
        </w:rPr>
        <w:t>TGA approved indication(s), if applicable</w:t>
      </w:r>
      <w:r>
        <w:rPr>
          <w:b/>
          <w:bCs/>
          <w:szCs w:val="20"/>
        </w:rPr>
        <w:t xml:space="preserve">: </w:t>
      </w:r>
      <w:r w:rsidR="00CC4D53" w:rsidRPr="00CC4D53">
        <w:rPr>
          <w:szCs w:val="20"/>
        </w:rPr>
        <w:t>Not applicable</w:t>
      </w:r>
      <w:r w:rsidR="00CC4D53">
        <w:rPr>
          <w:b/>
          <w:bCs/>
          <w:szCs w:val="20"/>
        </w:rPr>
        <w:t xml:space="preserve"> </w:t>
      </w:r>
      <w:r w:rsidR="001264E7" w:rsidRPr="001264E7">
        <w:rPr>
          <w:szCs w:val="20"/>
        </w:rPr>
        <w:t>(not discussed on RTG certificate).</w:t>
      </w:r>
    </w:p>
    <w:p w14:paraId="17A9FAFC" w14:textId="4D10C6FF" w:rsidR="00E569FE" w:rsidRDefault="00E569FE" w:rsidP="00E569FE">
      <w:pPr>
        <w:pStyle w:val="ListParagraph"/>
        <w:spacing w:before="0" w:after="0"/>
        <w:rPr>
          <w:szCs w:val="20"/>
        </w:rPr>
      </w:pPr>
      <w:r w:rsidRPr="00070697">
        <w:rPr>
          <w:b/>
          <w:bCs/>
          <w:szCs w:val="20"/>
        </w:rPr>
        <w:t>TGA approved purpose(s), if applicable</w:t>
      </w:r>
      <w:r>
        <w:rPr>
          <w:b/>
          <w:bCs/>
          <w:szCs w:val="20"/>
        </w:rPr>
        <w:t xml:space="preserve">: </w:t>
      </w:r>
      <w:r w:rsidRPr="00E569FE">
        <w:rPr>
          <w:szCs w:val="20"/>
        </w:rPr>
        <w:t>The Medtronic Clinician Programmer Software A610 is intended for use</w:t>
      </w:r>
      <w:r>
        <w:rPr>
          <w:szCs w:val="20"/>
        </w:rPr>
        <w:t xml:space="preserve"> </w:t>
      </w:r>
      <w:r w:rsidRPr="00E569FE">
        <w:rPr>
          <w:szCs w:val="20"/>
        </w:rPr>
        <w:t>by clinicians in the programming of neurostimulators (external and</w:t>
      </w:r>
      <w:r>
        <w:rPr>
          <w:szCs w:val="20"/>
        </w:rPr>
        <w:t xml:space="preserve"> </w:t>
      </w:r>
      <w:r w:rsidRPr="00E569FE">
        <w:rPr>
          <w:szCs w:val="20"/>
        </w:rPr>
        <w:t>implantable) for deep brain stimulation (DBS).</w:t>
      </w:r>
    </w:p>
    <w:p w14:paraId="17AEFC9B" w14:textId="2F1D833A" w:rsidR="00E569FE" w:rsidRDefault="00E569FE" w:rsidP="00E569FE">
      <w:pPr>
        <w:pStyle w:val="ListParagraph"/>
        <w:spacing w:before="0" w:after="0"/>
        <w:rPr>
          <w:szCs w:val="20"/>
        </w:rPr>
      </w:pPr>
    </w:p>
    <w:p w14:paraId="51916825" w14:textId="77777777" w:rsidR="00F23FCE" w:rsidRDefault="00F23FCE" w:rsidP="00F23FCE">
      <w:pPr>
        <w:pStyle w:val="ListParagraph"/>
        <w:spacing w:before="0" w:after="0"/>
        <w:rPr>
          <w:b/>
          <w:bCs/>
          <w:szCs w:val="20"/>
        </w:rPr>
      </w:pPr>
      <w:r>
        <w:rPr>
          <w:b/>
          <w:bCs/>
          <w:szCs w:val="20"/>
        </w:rPr>
        <w:t>Patient Programmer</w:t>
      </w:r>
    </w:p>
    <w:p w14:paraId="2781AEEA" w14:textId="32230E01" w:rsidR="00E569FE" w:rsidRDefault="00E569FE" w:rsidP="00E569FE">
      <w:pPr>
        <w:pStyle w:val="ListParagraph"/>
        <w:spacing w:before="0" w:after="0"/>
        <w:rPr>
          <w:szCs w:val="20"/>
        </w:rPr>
      </w:pPr>
      <w:r w:rsidRPr="00E569FE">
        <w:rPr>
          <w:b/>
          <w:bCs/>
          <w:szCs w:val="20"/>
        </w:rPr>
        <w:t>ARTG ID:</w:t>
      </w:r>
      <w:r w:rsidRPr="00E569FE">
        <w:rPr>
          <w:szCs w:val="20"/>
        </w:rPr>
        <w:t xml:space="preserve"> </w:t>
      </w:r>
      <w:r w:rsidRPr="00E569FE">
        <w:t>351590</w:t>
      </w:r>
    </w:p>
    <w:p w14:paraId="76AF4304" w14:textId="63DF4A73" w:rsidR="00CC4D53" w:rsidRDefault="00E569FE" w:rsidP="00E569FE">
      <w:pPr>
        <w:pStyle w:val="ListParagraph"/>
        <w:spacing w:before="0" w:after="0"/>
        <w:rPr>
          <w:color w:val="FF0000"/>
          <w:szCs w:val="20"/>
        </w:rPr>
      </w:pPr>
      <w:r w:rsidRPr="00070697">
        <w:rPr>
          <w:b/>
          <w:bCs/>
          <w:szCs w:val="20"/>
        </w:rPr>
        <w:t>TGA approved indication(s), if applicable</w:t>
      </w:r>
      <w:r>
        <w:rPr>
          <w:b/>
          <w:bCs/>
          <w:szCs w:val="20"/>
        </w:rPr>
        <w:t xml:space="preserve">: </w:t>
      </w:r>
      <w:r w:rsidR="00CC4D53" w:rsidRPr="00CC4D53">
        <w:rPr>
          <w:szCs w:val="20"/>
        </w:rPr>
        <w:t>Not applicable</w:t>
      </w:r>
      <w:r w:rsidR="00CC4D53">
        <w:rPr>
          <w:b/>
          <w:bCs/>
          <w:szCs w:val="20"/>
        </w:rPr>
        <w:t xml:space="preserve"> </w:t>
      </w:r>
      <w:r w:rsidR="001264E7" w:rsidRPr="001264E7">
        <w:rPr>
          <w:szCs w:val="20"/>
        </w:rPr>
        <w:t>(</w:t>
      </w:r>
      <w:r w:rsidR="00CC4D53" w:rsidRPr="001264E7">
        <w:rPr>
          <w:szCs w:val="20"/>
        </w:rPr>
        <w:t>not discussed on RTG certificate</w:t>
      </w:r>
      <w:r w:rsidR="001264E7" w:rsidRPr="001264E7">
        <w:rPr>
          <w:szCs w:val="20"/>
        </w:rPr>
        <w:t>).</w:t>
      </w:r>
    </w:p>
    <w:p w14:paraId="17B999A5" w14:textId="1F7FD423" w:rsidR="000F3129" w:rsidRPr="00BC5BF7" w:rsidRDefault="00E569FE" w:rsidP="00BC5BF7">
      <w:pPr>
        <w:pStyle w:val="ListParagraph"/>
        <w:spacing w:before="0"/>
        <w:contextualSpacing w:val="0"/>
        <w:rPr>
          <w:szCs w:val="20"/>
        </w:rPr>
      </w:pPr>
      <w:r w:rsidRPr="00070697">
        <w:rPr>
          <w:b/>
          <w:bCs/>
          <w:szCs w:val="20"/>
        </w:rPr>
        <w:t>TGA approved purpose(s), if applicable</w:t>
      </w:r>
      <w:r>
        <w:rPr>
          <w:b/>
          <w:bCs/>
          <w:szCs w:val="20"/>
        </w:rPr>
        <w:t xml:space="preserve">: </w:t>
      </w:r>
      <w:r w:rsidRPr="00E569FE">
        <w:rPr>
          <w:szCs w:val="20"/>
        </w:rPr>
        <w:t>The Model A620 DBS Patient Programming Application, along with the</w:t>
      </w:r>
      <w:r>
        <w:rPr>
          <w:szCs w:val="20"/>
        </w:rPr>
        <w:t xml:space="preserve"> </w:t>
      </w:r>
      <w:r w:rsidRPr="00E569FE">
        <w:rPr>
          <w:szCs w:val="20"/>
        </w:rPr>
        <w:t>TH91D handset and communicator kit, is intended to be used to view or</w:t>
      </w:r>
      <w:r>
        <w:rPr>
          <w:szCs w:val="20"/>
        </w:rPr>
        <w:t xml:space="preserve"> </w:t>
      </w:r>
      <w:r w:rsidRPr="00E569FE">
        <w:rPr>
          <w:szCs w:val="20"/>
        </w:rPr>
        <w:t>adjust DBS therapy, as prescribed by your DBS clinician.</w:t>
      </w:r>
    </w:p>
    <w:p w14:paraId="40E1066F" w14:textId="7F251C3C" w:rsidR="00B3384F" w:rsidRPr="00BC5BF7" w:rsidRDefault="000E2E02" w:rsidP="00BC5BF7">
      <w:pPr>
        <w:pStyle w:val="Heading2"/>
        <w:numPr>
          <w:ilvl w:val="0"/>
          <w:numId w:val="6"/>
        </w:numPr>
        <w:spacing w:before="0"/>
        <w:ind w:left="709" w:hanging="357"/>
        <w:contextualSpacing w:val="0"/>
      </w:pPr>
      <w:r>
        <w:t>If a</w:t>
      </w:r>
      <w:r w:rsidRPr="000E2E02">
        <w:t xml:space="preserve"> medical device is involved, has the medical device been classified by TGA as a Class III OR Active Implantable Medical Device (AIMD) under the TGA regulatory scheme for devices?</w:t>
      </w:r>
    </w:p>
    <w:p w14:paraId="06B40936" w14:textId="48B85DF6" w:rsidR="00AB1ADE" w:rsidRDefault="00AB1ADE" w:rsidP="00AB1ADE">
      <w:pPr>
        <w:spacing w:before="0" w:after="0"/>
        <w:ind w:left="720"/>
        <w:rPr>
          <w:szCs w:val="20"/>
        </w:rPr>
      </w:pPr>
      <w:r>
        <w:rPr>
          <w:szCs w:val="20"/>
        </w:rPr>
        <w:t xml:space="preserve">Components of the DBS device system have been </w:t>
      </w:r>
      <w:r w:rsidRPr="00AB1ADE">
        <w:rPr>
          <w:szCs w:val="20"/>
        </w:rPr>
        <w:t xml:space="preserve">classified by </w:t>
      </w:r>
      <w:r>
        <w:rPr>
          <w:szCs w:val="20"/>
        </w:rPr>
        <w:t xml:space="preserve">the </w:t>
      </w:r>
      <w:r w:rsidRPr="00AB1ADE">
        <w:rPr>
          <w:szCs w:val="20"/>
        </w:rPr>
        <w:t>TGA as a Class III OR Active Implantable Medical Device (AIMD) under the TGA regulatory scheme for devices</w:t>
      </w:r>
      <w:r>
        <w:rPr>
          <w:szCs w:val="20"/>
        </w:rPr>
        <w:t>. Details are listed below:</w:t>
      </w:r>
    </w:p>
    <w:p w14:paraId="62D3CD57" w14:textId="3F0CB64D" w:rsidR="00B3384F" w:rsidRDefault="00D05184" w:rsidP="00AB1ADE">
      <w:pPr>
        <w:pStyle w:val="ListParagraph"/>
        <w:numPr>
          <w:ilvl w:val="0"/>
          <w:numId w:val="33"/>
        </w:numPr>
        <w:spacing w:before="0" w:after="0"/>
      </w:pPr>
      <w:r>
        <w:t>ARTG ID: 137374 - Class III</w:t>
      </w:r>
    </w:p>
    <w:p w14:paraId="321F6EC5" w14:textId="4FA13565" w:rsidR="00D05184" w:rsidRDefault="00D05184" w:rsidP="00AB1ADE">
      <w:pPr>
        <w:pStyle w:val="ListParagraph"/>
        <w:numPr>
          <w:ilvl w:val="0"/>
          <w:numId w:val="33"/>
        </w:numPr>
        <w:spacing w:before="0" w:after="0"/>
      </w:pPr>
      <w:r>
        <w:t>ARTG ID: 251630 - AIMD</w:t>
      </w:r>
    </w:p>
    <w:p w14:paraId="034A5822" w14:textId="40A5DCB1" w:rsidR="00D05184" w:rsidRDefault="00D05184" w:rsidP="00AB1ADE">
      <w:pPr>
        <w:pStyle w:val="ListParagraph"/>
        <w:numPr>
          <w:ilvl w:val="0"/>
          <w:numId w:val="33"/>
        </w:numPr>
        <w:spacing w:before="0" w:after="0"/>
      </w:pPr>
      <w:r>
        <w:t>ARTG ID: 308196 - Class III</w:t>
      </w:r>
    </w:p>
    <w:p w14:paraId="7C249C74" w14:textId="7ACAC462" w:rsidR="00AB1ADE" w:rsidRDefault="00D05184" w:rsidP="00AB1ADE">
      <w:pPr>
        <w:pStyle w:val="ListParagraph"/>
        <w:numPr>
          <w:ilvl w:val="0"/>
          <w:numId w:val="33"/>
        </w:numPr>
        <w:spacing w:before="0" w:after="0"/>
      </w:pPr>
      <w:r>
        <w:t>ARTG ID: 351590 - Class III</w:t>
      </w:r>
    </w:p>
    <w:p w14:paraId="4B7B962C" w14:textId="7E599870" w:rsidR="0018310E" w:rsidRPr="00AB1ADE" w:rsidRDefault="0018310E" w:rsidP="00BC5BF7">
      <w:pPr>
        <w:ind w:left="720"/>
      </w:pPr>
      <w:r>
        <w:t>For completeness, please note that ARTG ID: 151095 and ARTG ID: 239412 are both listed as Class IIb.</w:t>
      </w:r>
    </w:p>
    <w:p w14:paraId="0369A86B" w14:textId="77777777" w:rsidR="000E2E02" w:rsidRDefault="000E2E02" w:rsidP="00954C3D">
      <w:pPr>
        <w:pStyle w:val="Heading2"/>
        <w:numPr>
          <w:ilvl w:val="0"/>
          <w:numId w:val="6"/>
        </w:numPr>
        <w:rPr>
          <w:bCs/>
          <w:lang w:val="en-GB"/>
        </w:rPr>
      </w:pPr>
      <w:r w:rsidRPr="000E2E02">
        <w:rPr>
          <w:bCs/>
          <w:lang w:val="en-GB"/>
        </w:rPr>
        <w:t>Is the therapeutic good classified by TGA for Research Use Only (RUO)?</w:t>
      </w:r>
    </w:p>
    <w:p w14:paraId="3A27786F" w14:textId="4809AFD8" w:rsidR="00113582" w:rsidRDefault="00113582" w:rsidP="001264E7">
      <w:pPr>
        <w:ind w:left="720"/>
        <w:rPr>
          <w:lang w:val="en-GB"/>
        </w:rPr>
      </w:pPr>
      <w:r w:rsidRPr="001264E7">
        <w:rPr>
          <w:lang w:val="en-GB"/>
        </w:rPr>
        <w:t>No.</w:t>
      </w:r>
    </w:p>
    <w:p w14:paraId="41F33F09" w14:textId="711D6D9C" w:rsidR="003421AE" w:rsidRDefault="0011369B" w:rsidP="00F24FD6">
      <w:pPr>
        <w:pStyle w:val="Heading2"/>
      </w:pPr>
      <w:r>
        <w:lastRenderedPageBreak/>
        <w:t xml:space="preserve">(a) </w:t>
      </w:r>
      <w:r w:rsidR="00F24FD6" w:rsidRPr="00FF23B8">
        <w:rPr>
          <w:u w:val="single"/>
        </w:rPr>
        <w:t>If not listed on the ARTG</w:t>
      </w:r>
      <w:r w:rsidR="00F24FD6">
        <w:t>, i</w:t>
      </w:r>
      <w:r w:rsidR="003421AE" w:rsidRPr="00A6491A">
        <w:t xml:space="preserve">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7B9BF274" w14:textId="39E460E8" w:rsidR="002A1015" w:rsidRPr="000F0ACD" w:rsidRDefault="00406ED6" w:rsidP="000F0ACD">
      <w:pPr>
        <w:ind w:left="284" w:firstLine="76"/>
      </w:pPr>
      <w:r w:rsidRPr="001264E7">
        <w:t>Not applicable.</w:t>
      </w:r>
    </w:p>
    <w:p w14:paraId="0591A78A" w14:textId="21F8F7E7" w:rsidR="00D56765" w:rsidRDefault="00FF23B8" w:rsidP="00D56765">
      <w:pPr>
        <w:pStyle w:val="Heading2"/>
        <w:numPr>
          <w:ilvl w:val="0"/>
          <w:numId w:val="7"/>
        </w:numPr>
        <w:spacing w:before="0" w:after="0"/>
      </w:pPr>
      <w:r w:rsidRPr="00154B00">
        <w:t xml:space="preserve">If </w:t>
      </w:r>
      <w:r>
        <w:t xml:space="preserve">the therapeutic good is </w:t>
      </w:r>
      <w:r w:rsidRPr="00296405">
        <w:rPr>
          <w:u w:val="single"/>
        </w:rPr>
        <w:t>not ARTG listed</w:t>
      </w:r>
      <w:r>
        <w:t xml:space="preserve">, is the therapeutic good </w:t>
      </w:r>
      <w:r w:rsidR="00B80335">
        <w:t>in the process of being considered by TGA</w:t>
      </w:r>
      <w:r>
        <w:t>?</w:t>
      </w:r>
    </w:p>
    <w:p w14:paraId="5DBCEC2F" w14:textId="096674D5" w:rsidR="00FF23B8" w:rsidRPr="000F0ACD" w:rsidRDefault="002A1015" w:rsidP="000F0ACD">
      <w:pPr>
        <w:pStyle w:val="ListParagraph"/>
        <w:ind w:left="357"/>
        <w:contextualSpacing w:val="0"/>
      </w:pPr>
      <w:r w:rsidRPr="001264E7">
        <w:t>Not applicable.</w:t>
      </w:r>
    </w:p>
    <w:p w14:paraId="33BDA15D" w14:textId="0D286176" w:rsidR="00FF23B8" w:rsidRDefault="00FF23B8" w:rsidP="00954C3D">
      <w:pPr>
        <w:pStyle w:val="ListParagraph"/>
        <w:numPr>
          <w:ilvl w:val="0"/>
          <w:numId w:val="7"/>
        </w:numPr>
        <w:rPr>
          <w:b/>
          <w:szCs w:val="20"/>
        </w:rPr>
      </w:pPr>
      <w:r w:rsidRPr="00676473">
        <w:rPr>
          <w:b/>
          <w:bCs/>
        </w:rPr>
        <w:t>If</w:t>
      </w:r>
      <w:r>
        <w:t xml:space="preserve"> </w:t>
      </w:r>
      <w:r w:rsidRPr="00FF23B8">
        <w:rPr>
          <w:b/>
          <w:szCs w:val="20"/>
        </w:rPr>
        <w:t xml:space="preserve">the therapeutic good is NOT </w:t>
      </w:r>
      <w:r>
        <w:rPr>
          <w:b/>
          <w:szCs w:val="20"/>
        </w:rPr>
        <w:t>in the process of being considered</w:t>
      </w:r>
      <w:r w:rsidRPr="00FF23B8">
        <w:rPr>
          <w:b/>
          <w:szCs w:val="20"/>
        </w:rPr>
        <w:t xml:space="preserve"> by TGA, is an application to TGA being prepared?</w:t>
      </w:r>
    </w:p>
    <w:p w14:paraId="2B401163" w14:textId="5C67134E" w:rsidR="000A110D" w:rsidRPr="000F0ACD" w:rsidRDefault="00406ED6" w:rsidP="000F0ACD">
      <w:pPr>
        <w:ind w:left="360"/>
      </w:pPr>
      <w:r w:rsidRPr="001264E7">
        <w:t>Not applicable.</w:t>
      </w:r>
    </w:p>
    <w:p w14:paraId="4E84A424" w14:textId="77777777" w:rsidR="00F83A9D" w:rsidRPr="00154B00" w:rsidRDefault="00F83A9D" w:rsidP="00F83A9D">
      <w:pPr>
        <w:rPr>
          <w:szCs w:val="20"/>
        </w:rPr>
      </w:pPr>
    </w:p>
    <w:bookmarkEnd w:id="6"/>
    <w:p w14:paraId="5199D5D7" w14:textId="77777777" w:rsidR="00DD308E" w:rsidRDefault="00DD308E">
      <w:pPr>
        <w:rPr>
          <w:b/>
          <w:sz w:val="32"/>
          <w:szCs w:val="32"/>
        </w:rPr>
        <w:sectPr w:rsidR="00DD308E" w:rsidSect="00991EE4">
          <w:footerReference w:type="default" r:id="rId14"/>
          <w:pgSz w:w="11906" w:h="16838"/>
          <w:pgMar w:top="1440" w:right="1440" w:bottom="1440" w:left="1440" w:header="708" w:footer="708" w:gutter="0"/>
          <w:pgNumType w:start="0"/>
          <w:cols w:space="708"/>
          <w:titlePg/>
          <w:docGrid w:linePitch="360"/>
        </w:sectPr>
      </w:pPr>
    </w:p>
    <w:p w14:paraId="5890D0A3" w14:textId="77777777" w:rsidR="000979E6" w:rsidRDefault="00B17CBE" w:rsidP="0054594E">
      <w:pPr>
        <w:pStyle w:val="Heading1"/>
      </w:pPr>
      <w:r>
        <w:lastRenderedPageBreak/>
        <w:t>PART 4</w:t>
      </w:r>
      <w:r w:rsidR="00DD308E">
        <w:t xml:space="preserve"> – SUMMARY</w:t>
      </w:r>
      <w:r w:rsidR="00DD308E" w:rsidRPr="00C776B1">
        <w:t xml:space="preserve"> OF EVIDENCE</w:t>
      </w:r>
      <w:r w:rsidR="001264E7">
        <w:t xml:space="preserve">    </w:t>
      </w:r>
    </w:p>
    <w:p w14:paraId="3961C81F" w14:textId="4621AC4F" w:rsidR="00DD308E" w:rsidRDefault="00643755" w:rsidP="00643755">
      <w:pPr>
        <w:pStyle w:val="Heading2"/>
        <w:rPr>
          <w:i/>
        </w:rPr>
      </w:pPr>
      <w:r w:rsidRPr="00643755">
        <w:t xml:space="preserve">Provide one or more recent (published) high quality clinical studies that support use of the proposed health service/technology. At ‘Application Form lodgement’, please do not attach full text articles; just provide a summary. </w:t>
      </w:r>
    </w:p>
    <w:p w14:paraId="44781987" w14:textId="737B4E4E" w:rsidR="00C945B8" w:rsidRDefault="004859A4" w:rsidP="0013243D">
      <w:pPr>
        <w:ind w:left="360"/>
        <w:rPr>
          <w:rFonts w:ascii="Calibri Light" w:hAnsi="Calibri Light" w:cs="Calibri Light"/>
        </w:rPr>
      </w:pPr>
      <w:r w:rsidRPr="004859A4">
        <w:rPr>
          <w:rFonts w:ascii="Calibri Light" w:hAnsi="Calibri Light" w:cs="Calibri Light"/>
        </w:rPr>
        <w:t xml:space="preserve">Abbreviations </w:t>
      </w:r>
      <w:r>
        <w:rPr>
          <w:rFonts w:ascii="Calibri Light" w:hAnsi="Calibri Light" w:cs="Calibri Light"/>
        </w:rPr>
        <w:t>u</w:t>
      </w:r>
      <w:r w:rsidRPr="004859A4">
        <w:rPr>
          <w:rFonts w:ascii="Calibri Light" w:hAnsi="Calibri Light" w:cs="Calibri Light"/>
        </w:rPr>
        <w:t xml:space="preserve">sed </w:t>
      </w:r>
      <w:r w:rsidR="0013243D">
        <w:rPr>
          <w:rFonts w:ascii="Calibri Light" w:hAnsi="Calibri Light" w:cs="Calibri Light"/>
        </w:rPr>
        <w:t>in table</w:t>
      </w:r>
      <w:r w:rsidR="00C945B8">
        <w:rPr>
          <w:rFonts w:ascii="Calibri Light" w:hAnsi="Calibri Light" w:cs="Calibri Light"/>
        </w:rPr>
        <w:t>:</w:t>
      </w:r>
    </w:p>
    <w:p w14:paraId="46129015" w14:textId="4E782DA1" w:rsidR="00A80F33" w:rsidRPr="00A80F33" w:rsidRDefault="006901FF" w:rsidP="0013243D">
      <w:pPr>
        <w:ind w:left="360"/>
        <w:rPr>
          <w:rFonts w:ascii="Bradley Hand ITC" w:hAnsi="Bradley Hand ITC" w:cs="Calibri Light"/>
          <w:b/>
          <w:bCs/>
          <w:color w:val="FF0000"/>
          <w:sz w:val="28"/>
          <w:szCs w:val="28"/>
        </w:rPr>
      </w:pPr>
      <w:r>
        <w:rPr>
          <w:rFonts w:ascii="Calibri Light" w:hAnsi="Calibri Light" w:cs="Calibri Light"/>
        </w:rPr>
        <w:t>DBS</w:t>
      </w:r>
      <w:r w:rsidR="004859A4" w:rsidRPr="004859A4">
        <w:rPr>
          <w:rFonts w:ascii="Calibri Light" w:hAnsi="Calibri Light" w:cs="Calibri Light"/>
        </w:rPr>
        <w:t xml:space="preserve"> – Deep brain stimulation / ANT – Anterior Thalamic nucleus / CM - </w:t>
      </w:r>
      <w:r w:rsidR="004859A4" w:rsidRPr="00D136FD">
        <w:rPr>
          <w:rFonts w:ascii="Calibri Light" w:hAnsi="Calibri Light" w:cs="Calibri Light"/>
        </w:rPr>
        <w:t xml:space="preserve">centromedian nucleus of the thalamus </w:t>
      </w:r>
      <w:r w:rsidR="004859A4" w:rsidRPr="004859A4">
        <w:rPr>
          <w:rFonts w:ascii="Calibri Light" w:hAnsi="Calibri Light" w:cs="Calibri Light"/>
        </w:rPr>
        <w:t xml:space="preserve">/ DRE - </w:t>
      </w:r>
      <w:r w:rsidR="004859A4" w:rsidRPr="00D136FD">
        <w:rPr>
          <w:rFonts w:ascii="Calibri Light" w:hAnsi="Calibri Light" w:cs="Calibri Light"/>
        </w:rPr>
        <w:t xml:space="preserve">drug resistant epilepsy </w:t>
      </w:r>
      <w:r w:rsidR="00C945B8">
        <w:rPr>
          <w:rFonts w:ascii="Calibri Light" w:hAnsi="Calibri Light" w:cs="Calibri Light"/>
        </w:rPr>
        <w:t xml:space="preserve">/ </w:t>
      </w:r>
      <w:r w:rsidR="00C945B8">
        <w:t xml:space="preserve">SUDEP – Sudden Unexpected Death in Epilepsy </w:t>
      </w:r>
    </w:p>
    <w:tbl>
      <w:tblPr>
        <w:tblStyle w:val="TableGrid"/>
        <w:tblW w:w="5000" w:type="pct"/>
        <w:tblLook w:val="04A0" w:firstRow="1" w:lastRow="0" w:firstColumn="1" w:lastColumn="0" w:noHBand="0" w:noVBand="1"/>
        <w:tblCaption w:val="Summary of Evidence - Published"/>
      </w:tblPr>
      <w:tblGrid>
        <w:gridCol w:w="470"/>
        <w:gridCol w:w="2077"/>
        <w:gridCol w:w="2691"/>
        <w:gridCol w:w="3970"/>
        <w:gridCol w:w="2787"/>
        <w:gridCol w:w="1953"/>
      </w:tblGrid>
      <w:tr w:rsidR="00DD308E" w14:paraId="275C19B6" w14:textId="77777777" w:rsidTr="000F0ACD">
        <w:trPr>
          <w:cantSplit/>
          <w:tblHeader/>
        </w:trPr>
        <w:tc>
          <w:tcPr>
            <w:tcW w:w="168" w:type="pct"/>
          </w:tcPr>
          <w:p w14:paraId="77472A18" w14:textId="77777777" w:rsidR="00DD308E" w:rsidRDefault="00DD308E" w:rsidP="00855944">
            <w:pPr>
              <w:pStyle w:val="TableHEADER"/>
            </w:pPr>
          </w:p>
        </w:tc>
        <w:tc>
          <w:tcPr>
            <w:tcW w:w="745" w:type="pct"/>
          </w:tcPr>
          <w:p w14:paraId="0026DCF3" w14:textId="019DC565" w:rsidR="00DD308E" w:rsidRDefault="00DD308E" w:rsidP="00855944">
            <w:pPr>
              <w:pStyle w:val="TableHEADER"/>
            </w:pPr>
            <w:r>
              <w:t>Type of study design</w:t>
            </w:r>
          </w:p>
        </w:tc>
        <w:tc>
          <w:tcPr>
            <w:tcW w:w="965" w:type="pct"/>
          </w:tcPr>
          <w:p w14:paraId="6DF6FE10" w14:textId="1EB1EEFE" w:rsidR="00DD308E" w:rsidRDefault="00DD308E" w:rsidP="00855944">
            <w:pPr>
              <w:pStyle w:val="TableHEADER"/>
            </w:pPr>
            <w:r>
              <w:t xml:space="preserve">Title of journal </w:t>
            </w:r>
            <w:r w:rsidR="00A15D64">
              <w:t>article or</w:t>
            </w:r>
            <w:r>
              <w:t xml:space="preserve"> research project </w:t>
            </w:r>
          </w:p>
        </w:tc>
        <w:tc>
          <w:tcPr>
            <w:tcW w:w="1423" w:type="pct"/>
          </w:tcPr>
          <w:p w14:paraId="377D96F6" w14:textId="2B2A46F0" w:rsidR="00DD308E" w:rsidRDefault="00DD308E" w:rsidP="00855944">
            <w:pPr>
              <w:pStyle w:val="TableHEADER"/>
            </w:pPr>
            <w:r>
              <w:t xml:space="preserve">Short description of </w:t>
            </w:r>
            <w:r w:rsidR="00A15D64">
              <w:t xml:space="preserve">research </w:t>
            </w:r>
          </w:p>
        </w:tc>
        <w:tc>
          <w:tcPr>
            <w:tcW w:w="999" w:type="pct"/>
          </w:tcPr>
          <w:p w14:paraId="681539DA" w14:textId="6B2C547B" w:rsidR="00DD308E" w:rsidRDefault="00DD308E" w:rsidP="00855944">
            <w:pPr>
              <w:pStyle w:val="TableHEADER"/>
            </w:pPr>
            <w:r w:rsidRPr="00E82F54">
              <w:t xml:space="preserve">Website link to </w:t>
            </w:r>
            <w:r>
              <w:t>journal article or research</w:t>
            </w:r>
          </w:p>
        </w:tc>
        <w:tc>
          <w:tcPr>
            <w:tcW w:w="700" w:type="pct"/>
          </w:tcPr>
          <w:p w14:paraId="11593BE9" w14:textId="08D5800A" w:rsidR="00DD308E" w:rsidRDefault="00DD308E" w:rsidP="00855944">
            <w:pPr>
              <w:pStyle w:val="TableHEADER"/>
            </w:pPr>
            <w:r w:rsidRPr="00E82F54">
              <w:t>Date</w:t>
            </w:r>
            <w:r>
              <w:t xml:space="preserve"> of publication</w:t>
            </w:r>
          </w:p>
        </w:tc>
      </w:tr>
      <w:tr w:rsidR="00134A6F" w14:paraId="51C0CD9D" w14:textId="77777777" w:rsidTr="000F0ACD">
        <w:trPr>
          <w:cantSplit/>
        </w:trPr>
        <w:tc>
          <w:tcPr>
            <w:tcW w:w="168" w:type="pct"/>
          </w:tcPr>
          <w:p w14:paraId="4F9F884A" w14:textId="2B8965DA" w:rsidR="00134A6F" w:rsidRPr="00965B6B" w:rsidRDefault="0013243D" w:rsidP="00134A6F">
            <w:pPr>
              <w:rPr>
                <w:szCs w:val="20"/>
              </w:rPr>
            </w:pPr>
            <w:r>
              <w:rPr>
                <w:szCs w:val="20"/>
              </w:rPr>
              <w:t>1</w:t>
            </w:r>
            <w:r w:rsidR="00C945B8">
              <w:rPr>
                <w:szCs w:val="20"/>
              </w:rPr>
              <w:t>.</w:t>
            </w:r>
          </w:p>
        </w:tc>
        <w:tc>
          <w:tcPr>
            <w:tcW w:w="745" w:type="pct"/>
          </w:tcPr>
          <w:p w14:paraId="363C707A" w14:textId="5ACA1815" w:rsidR="00134A6F" w:rsidRDefault="00134A6F" w:rsidP="00134A6F">
            <w:r>
              <w:t>Prospective cohort</w:t>
            </w:r>
          </w:p>
        </w:tc>
        <w:tc>
          <w:tcPr>
            <w:tcW w:w="965" w:type="pct"/>
          </w:tcPr>
          <w:p w14:paraId="383259F8" w14:textId="2DE4EA0B" w:rsidR="00134A6F" w:rsidRDefault="00134A6F" w:rsidP="00134A6F">
            <w:pPr>
              <w:spacing w:after="0"/>
            </w:pPr>
            <w:r w:rsidRPr="00D723B9">
              <w:t>The SANTÉ study at 10 years of follow-up: Effectiveness, safety, and sudden unexpected death in epilepsy</w:t>
            </w:r>
          </w:p>
          <w:p w14:paraId="7EB246F2" w14:textId="77777777" w:rsidR="00134A6F" w:rsidRDefault="00134A6F" w:rsidP="00134A6F">
            <w:pPr>
              <w:spacing w:after="0"/>
            </w:pPr>
            <w:r w:rsidRPr="00D723B9">
              <w:t>Salanova V</w:t>
            </w:r>
            <w:r>
              <w:t xml:space="preserve"> et al. </w:t>
            </w:r>
          </w:p>
          <w:p w14:paraId="47B3B9E2" w14:textId="77777777" w:rsidR="00134A6F" w:rsidRDefault="00134A6F" w:rsidP="00134A6F"/>
        </w:tc>
        <w:tc>
          <w:tcPr>
            <w:tcW w:w="1423" w:type="pct"/>
          </w:tcPr>
          <w:p w14:paraId="54EEEA78" w14:textId="0D1D0AFF" w:rsidR="00134A6F" w:rsidRDefault="00134A6F" w:rsidP="00134A6F">
            <w:r>
              <w:t>Long term (10</w:t>
            </w:r>
            <w:r w:rsidR="00C945B8">
              <w:t>yr</w:t>
            </w:r>
            <w:r>
              <w:t>) follow</w:t>
            </w:r>
            <w:r w:rsidR="00C945B8">
              <w:t>-</w:t>
            </w:r>
            <w:r>
              <w:t>up of n=110 SANTE study</w:t>
            </w:r>
            <w:r w:rsidR="00C945B8">
              <w:t xml:space="preserve"> patients</w:t>
            </w:r>
            <w:r>
              <w:t>. M</w:t>
            </w:r>
            <w:r w:rsidRPr="00D723B9">
              <w:t>edian seizure frequency percent reduction</w:t>
            </w:r>
            <w:r>
              <w:t xml:space="preserve"> </w:t>
            </w:r>
            <w:r w:rsidRPr="00D723B9">
              <w:t>was 75%</w:t>
            </w:r>
            <w:r w:rsidR="00F12476">
              <w:t xml:space="preserve"> </w:t>
            </w:r>
            <w:r w:rsidRPr="00D723B9">
              <w:t>(p &lt; .001)</w:t>
            </w:r>
            <w:r>
              <w:t>. Severe convulsive seizures were</w:t>
            </w:r>
            <w:r w:rsidRPr="00D723B9">
              <w:t xml:space="preserve"> reduced by 71%</w:t>
            </w:r>
            <w:r>
              <w:t xml:space="preserve">, and SUDEP rate was </w:t>
            </w:r>
            <w:r w:rsidRPr="00D723B9">
              <w:t>2.0 deaths for 1000 person-years</w:t>
            </w:r>
            <w:r>
              <w:t xml:space="preserve"> (significantly lower than historical cohorts of medically refractory epilepsy).</w:t>
            </w:r>
          </w:p>
        </w:tc>
        <w:tc>
          <w:tcPr>
            <w:tcW w:w="999" w:type="pct"/>
          </w:tcPr>
          <w:p w14:paraId="6CA5CF7D" w14:textId="2F5F30D0" w:rsidR="00134A6F" w:rsidRDefault="00F12476" w:rsidP="00134A6F">
            <w:r>
              <w:t xml:space="preserve">Website </w:t>
            </w:r>
            <w:hyperlink r:id="rId15" w:history="1">
              <w:r w:rsidRPr="00F12476">
                <w:rPr>
                  <w:rStyle w:val="Hyperlink"/>
                </w:rPr>
                <w:t>link</w:t>
              </w:r>
            </w:hyperlink>
            <w:r>
              <w:t xml:space="preserve"> </w:t>
            </w:r>
          </w:p>
        </w:tc>
        <w:tc>
          <w:tcPr>
            <w:tcW w:w="700" w:type="pct"/>
          </w:tcPr>
          <w:p w14:paraId="3015DCB5" w14:textId="74D9FE0A" w:rsidR="00134A6F" w:rsidRDefault="00134A6F" w:rsidP="00134A6F">
            <w:r>
              <w:t>2021</w:t>
            </w:r>
          </w:p>
        </w:tc>
      </w:tr>
      <w:tr w:rsidR="00134A6F" w14:paraId="6F4C68B3" w14:textId="77777777" w:rsidTr="000F0ACD">
        <w:trPr>
          <w:cantSplit/>
        </w:trPr>
        <w:tc>
          <w:tcPr>
            <w:tcW w:w="168" w:type="pct"/>
          </w:tcPr>
          <w:p w14:paraId="1354D01D" w14:textId="1B6E464F" w:rsidR="00134A6F" w:rsidRPr="00965B6B" w:rsidRDefault="0013243D" w:rsidP="00134A6F">
            <w:pPr>
              <w:rPr>
                <w:szCs w:val="20"/>
              </w:rPr>
            </w:pPr>
            <w:r>
              <w:rPr>
                <w:szCs w:val="20"/>
              </w:rPr>
              <w:t>2</w:t>
            </w:r>
            <w:r w:rsidR="00C945B8">
              <w:rPr>
                <w:szCs w:val="20"/>
              </w:rPr>
              <w:t>.</w:t>
            </w:r>
          </w:p>
        </w:tc>
        <w:tc>
          <w:tcPr>
            <w:tcW w:w="745" w:type="pct"/>
          </w:tcPr>
          <w:p w14:paraId="37C09318" w14:textId="3C3C29A4" w:rsidR="00134A6F" w:rsidRDefault="00134A6F" w:rsidP="00134A6F">
            <w:r w:rsidRPr="005E1A64">
              <w:rPr>
                <w:bCs/>
                <w:szCs w:val="20"/>
              </w:rPr>
              <w:t xml:space="preserve">Prospective </w:t>
            </w:r>
            <w:r>
              <w:rPr>
                <w:bCs/>
                <w:szCs w:val="20"/>
              </w:rPr>
              <w:t>cohort</w:t>
            </w:r>
          </w:p>
        </w:tc>
        <w:tc>
          <w:tcPr>
            <w:tcW w:w="965" w:type="pct"/>
          </w:tcPr>
          <w:p w14:paraId="6B164407" w14:textId="77777777" w:rsidR="00134A6F" w:rsidRDefault="00134A6F" w:rsidP="00134A6F">
            <w:pPr>
              <w:rPr>
                <w:bCs/>
                <w:szCs w:val="20"/>
              </w:rPr>
            </w:pPr>
            <w:r w:rsidRPr="00790BD6">
              <w:rPr>
                <w:bCs/>
                <w:szCs w:val="20"/>
              </w:rPr>
              <w:t>Long-term efficacy and safety of thalamic stimulation for drug-resistant partial epilepsy</w:t>
            </w:r>
            <w:r>
              <w:rPr>
                <w:bCs/>
                <w:szCs w:val="20"/>
              </w:rPr>
              <w:t>.</w:t>
            </w:r>
          </w:p>
          <w:p w14:paraId="71D7E026" w14:textId="503CBD5F" w:rsidR="00134A6F" w:rsidRPr="00D723B9" w:rsidRDefault="00134A6F" w:rsidP="00134A6F">
            <w:pPr>
              <w:spacing w:after="0"/>
            </w:pPr>
            <w:r>
              <w:rPr>
                <w:bCs/>
                <w:szCs w:val="20"/>
              </w:rPr>
              <w:t>Salanova V et al.</w:t>
            </w:r>
          </w:p>
        </w:tc>
        <w:tc>
          <w:tcPr>
            <w:tcW w:w="1423" w:type="pct"/>
          </w:tcPr>
          <w:p w14:paraId="01BF093F" w14:textId="2A834C0A" w:rsidR="00134A6F" w:rsidRDefault="00134A6F" w:rsidP="00134A6F">
            <w:r w:rsidRPr="004206D2">
              <w:t xml:space="preserve">Long term follow-up of </w:t>
            </w:r>
            <w:r w:rsidRPr="00F12476">
              <w:rPr>
                <w:shd w:val="clear" w:color="auto" w:fill="FFFFFF" w:themeFill="background1"/>
              </w:rPr>
              <w:t>n=110</w:t>
            </w:r>
            <w:r w:rsidRPr="004206D2">
              <w:t xml:space="preserve"> SANTE participants provided Class IV evidence that ANT stimulation was associated with a 69% reduction in seizure frequency</w:t>
            </w:r>
            <w:r>
              <w:t xml:space="preserve">, a </w:t>
            </w:r>
            <w:r w:rsidRPr="004206D2">
              <w:t>34% serious device-related adverse event rate at 5 year</w:t>
            </w:r>
            <w:r>
              <w:t>s and s</w:t>
            </w:r>
            <w:r w:rsidRPr="004206D2">
              <w:t>tatistically significant improvements in the Liverpool Seizure Severity Scale and Quality of Life in Epilepsy tool</w:t>
            </w:r>
            <w:r>
              <w:t xml:space="preserve">. </w:t>
            </w:r>
          </w:p>
        </w:tc>
        <w:tc>
          <w:tcPr>
            <w:tcW w:w="999" w:type="pct"/>
          </w:tcPr>
          <w:p w14:paraId="56FB0880" w14:textId="77777777" w:rsidR="00134A6F" w:rsidRDefault="00134A6F" w:rsidP="00134A6F">
            <w:pPr>
              <w:rPr>
                <w:bCs/>
                <w:szCs w:val="20"/>
              </w:rPr>
            </w:pPr>
            <w:r w:rsidRPr="00790BD6">
              <w:rPr>
                <w:bCs/>
                <w:szCs w:val="20"/>
              </w:rPr>
              <w:t xml:space="preserve">Website </w:t>
            </w:r>
            <w:hyperlink r:id="rId16" w:history="1">
              <w:r w:rsidRPr="00790BD6">
                <w:rPr>
                  <w:rStyle w:val="Hyperlink"/>
                  <w:bCs/>
                  <w:szCs w:val="20"/>
                </w:rPr>
                <w:t>link</w:t>
              </w:r>
            </w:hyperlink>
            <w:r w:rsidRPr="00790BD6">
              <w:rPr>
                <w:bCs/>
                <w:szCs w:val="20"/>
              </w:rPr>
              <w:t xml:space="preserve"> </w:t>
            </w:r>
          </w:p>
          <w:p w14:paraId="7781F1FC" w14:textId="77777777" w:rsidR="00134A6F" w:rsidRDefault="00134A6F" w:rsidP="00134A6F">
            <w:pPr>
              <w:rPr>
                <w:bCs/>
                <w:szCs w:val="20"/>
              </w:rPr>
            </w:pPr>
          </w:p>
          <w:p w14:paraId="18D257AF" w14:textId="77777777" w:rsidR="00134A6F" w:rsidRDefault="00134A6F" w:rsidP="00134A6F"/>
        </w:tc>
        <w:tc>
          <w:tcPr>
            <w:tcW w:w="700" w:type="pct"/>
          </w:tcPr>
          <w:p w14:paraId="587A84FB" w14:textId="4F2D486E" w:rsidR="00134A6F" w:rsidRDefault="00134A6F" w:rsidP="00134A6F">
            <w:r w:rsidRPr="00790BD6">
              <w:rPr>
                <w:bCs/>
                <w:szCs w:val="20"/>
              </w:rPr>
              <w:t>2015</w:t>
            </w:r>
          </w:p>
        </w:tc>
      </w:tr>
      <w:tr w:rsidR="00134A6F" w14:paraId="4BC95F91" w14:textId="77777777" w:rsidTr="000F0ACD">
        <w:trPr>
          <w:cantSplit/>
        </w:trPr>
        <w:tc>
          <w:tcPr>
            <w:tcW w:w="168" w:type="pct"/>
          </w:tcPr>
          <w:p w14:paraId="3ABC2130" w14:textId="708C1744" w:rsidR="00134A6F" w:rsidRPr="00965B6B" w:rsidRDefault="0013243D" w:rsidP="00134A6F">
            <w:pPr>
              <w:rPr>
                <w:szCs w:val="20"/>
              </w:rPr>
            </w:pPr>
            <w:r>
              <w:rPr>
                <w:szCs w:val="20"/>
              </w:rPr>
              <w:lastRenderedPageBreak/>
              <w:t>3</w:t>
            </w:r>
            <w:r w:rsidR="00C945B8">
              <w:rPr>
                <w:szCs w:val="20"/>
              </w:rPr>
              <w:t>.</w:t>
            </w:r>
          </w:p>
        </w:tc>
        <w:tc>
          <w:tcPr>
            <w:tcW w:w="745" w:type="pct"/>
          </w:tcPr>
          <w:p w14:paraId="5E520F9E" w14:textId="5741E8ED" w:rsidR="00134A6F" w:rsidRDefault="00134A6F" w:rsidP="00134A6F">
            <w:r w:rsidRPr="00910700">
              <w:t xml:space="preserve">Multicentre, double‐blind, parallel design, randomized controlled </w:t>
            </w:r>
            <w:r>
              <w:t xml:space="preserve">clinical </w:t>
            </w:r>
            <w:r w:rsidRPr="00910700">
              <w:t>trial</w:t>
            </w:r>
          </w:p>
        </w:tc>
        <w:tc>
          <w:tcPr>
            <w:tcW w:w="965" w:type="pct"/>
          </w:tcPr>
          <w:p w14:paraId="70B6AA65" w14:textId="0DFE1040" w:rsidR="00134A6F" w:rsidRDefault="00134A6F" w:rsidP="00134A6F">
            <w:r w:rsidRPr="00910700">
              <w:t>Electrical stimulation of the anterior nucleus of thalamus for treatment of refractory epilepsy</w:t>
            </w:r>
            <w:r>
              <w:t>.</w:t>
            </w:r>
            <w:r w:rsidR="005438F5">
              <w:t xml:space="preserve"> </w:t>
            </w:r>
            <w:r>
              <w:t>(SANTE trial)</w:t>
            </w:r>
          </w:p>
          <w:p w14:paraId="0D2E10CB" w14:textId="2AB3D430" w:rsidR="00134A6F" w:rsidRPr="00D723B9" w:rsidRDefault="00134A6F" w:rsidP="00134A6F">
            <w:pPr>
              <w:spacing w:after="0"/>
            </w:pPr>
            <w:r>
              <w:t>Fisher R et al.</w:t>
            </w:r>
          </w:p>
        </w:tc>
        <w:tc>
          <w:tcPr>
            <w:tcW w:w="1423" w:type="pct"/>
          </w:tcPr>
          <w:p w14:paraId="3B4700E8" w14:textId="2979BD9E" w:rsidR="00134A6F" w:rsidRDefault="00134A6F" w:rsidP="00134A6F">
            <w:r>
              <w:t xml:space="preserve">Bilateral stimulation of the </w:t>
            </w:r>
            <w:r w:rsidR="000979E6">
              <w:t>ANT</w:t>
            </w:r>
            <w:r>
              <w:t xml:space="preserve"> </w:t>
            </w:r>
            <w:r w:rsidR="000979E6">
              <w:t xml:space="preserve">in n=110 patients </w:t>
            </w:r>
            <w:r>
              <w:t>reduce</w:t>
            </w:r>
            <w:r w:rsidR="00C34512">
              <w:t>d</w:t>
            </w:r>
            <w:r>
              <w:t xml:space="preserve"> seizures in refractory epilepsy. </w:t>
            </w:r>
            <w:r w:rsidR="005438F5">
              <w:t xml:space="preserve">By </w:t>
            </w:r>
            <w:r w:rsidRPr="00AF36BB">
              <w:t xml:space="preserve">2 years, there was a 56% median percent reduction in seizure frequency; 54% of patients had a seizure reduction of at least 50%, and 14 patients were seizure-free for at least 6 months. </w:t>
            </w:r>
          </w:p>
        </w:tc>
        <w:tc>
          <w:tcPr>
            <w:tcW w:w="999" w:type="pct"/>
          </w:tcPr>
          <w:p w14:paraId="2DFA90DC" w14:textId="1F4EB55F" w:rsidR="00134A6F" w:rsidRDefault="00134A6F" w:rsidP="00134A6F">
            <w:r>
              <w:t xml:space="preserve">Website </w:t>
            </w:r>
            <w:hyperlink r:id="rId17" w:history="1">
              <w:r w:rsidRPr="002C54A1">
                <w:rPr>
                  <w:rStyle w:val="Hyperlink"/>
                  <w:bCs/>
                  <w:szCs w:val="20"/>
                </w:rPr>
                <w:t>link</w:t>
              </w:r>
            </w:hyperlink>
            <w:r w:rsidRPr="002C54A1">
              <w:rPr>
                <w:bCs/>
                <w:szCs w:val="20"/>
              </w:rPr>
              <w:t xml:space="preserve"> </w:t>
            </w:r>
          </w:p>
        </w:tc>
        <w:tc>
          <w:tcPr>
            <w:tcW w:w="700" w:type="pct"/>
          </w:tcPr>
          <w:p w14:paraId="009413D4" w14:textId="3144102B" w:rsidR="00134A6F" w:rsidRDefault="00134A6F" w:rsidP="00134A6F">
            <w:r>
              <w:t>2010</w:t>
            </w:r>
          </w:p>
        </w:tc>
      </w:tr>
      <w:tr w:rsidR="00F12476" w14:paraId="1025D952" w14:textId="77777777" w:rsidTr="000F0ACD">
        <w:trPr>
          <w:cantSplit/>
        </w:trPr>
        <w:tc>
          <w:tcPr>
            <w:tcW w:w="168" w:type="pct"/>
          </w:tcPr>
          <w:p w14:paraId="33D0D72D" w14:textId="3E6C145A" w:rsidR="00F12476" w:rsidRDefault="0013243D" w:rsidP="00F12476">
            <w:r>
              <w:t>4</w:t>
            </w:r>
            <w:r w:rsidR="00C34512">
              <w:t>.</w:t>
            </w:r>
          </w:p>
        </w:tc>
        <w:tc>
          <w:tcPr>
            <w:tcW w:w="745" w:type="pct"/>
          </w:tcPr>
          <w:p w14:paraId="6DDB9A75" w14:textId="4A825F19" w:rsidR="00F12476" w:rsidRDefault="00F12476" w:rsidP="00F12476">
            <w:pPr>
              <w:spacing w:after="0"/>
              <w:rPr>
                <w:rFonts w:ascii="Segoe UI" w:hAnsi="Segoe UI" w:cs="Segoe UI"/>
                <w:sz w:val="18"/>
                <w:szCs w:val="18"/>
              </w:rPr>
            </w:pPr>
            <w:r>
              <w:t>Prospective cohort</w:t>
            </w:r>
          </w:p>
        </w:tc>
        <w:tc>
          <w:tcPr>
            <w:tcW w:w="965" w:type="pct"/>
          </w:tcPr>
          <w:p w14:paraId="0687139C" w14:textId="77777777" w:rsidR="00F12476" w:rsidRDefault="00F12476" w:rsidP="00F12476">
            <w:pPr>
              <w:spacing w:after="0"/>
              <w:rPr>
                <w:rFonts w:ascii="Segoe UI" w:hAnsi="Segoe UI" w:cs="Segoe UI"/>
                <w:sz w:val="18"/>
                <w:szCs w:val="18"/>
              </w:rPr>
            </w:pPr>
            <w:r>
              <w:rPr>
                <w:rFonts w:ascii="Segoe UI" w:hAnsi="Segoe UI" w:cs="Segoe UI"/>
                <w:sz w:val="18"/>
                <w:szCs w:val="18"/>
              </w:rPr>
              <w:t>Memory and mood outcomes after anterior thalamic stimulation for refractory partial epilepsy.</w:t>
            </w:r>
          </w:p>
          <w:p w14:paraId="1CC174CA" w14:textId="0707ECC4" w:rsidR="00F12476" w:rsidRPr="00CC2E86" w:rsidRDefault="00F12476" w:rsidP="00F12476">
            <w:pPr>
              <w:rPr>
                <w:lang w:val="da-DK"/>
              </w:rPr>
            </w:pPr>
            <w:r w:rsidRPr="00CC2E86">
              <w:rPr>
                <w:rFonts w:ascii="Segoe UI" w:hAnsi="Segoe UI" w:cs="Segoe UI"/>
                <w:sz w:val="18"/>
                <w:szCs w:val="18"/>
                <w:lang w:val="da-DK"/>
              </w:rPr>
              <w:t>Tröster AI et al., for the SANTE group</w:t>
            </w:r>
          </w:p>
        </w:tc>
        <w:tc>
          <w:tcPr>
            <w:tcW w:w="1423" w:type="pct"/>
          </w:tcPr>
          <w:p w14:paraId="44AA2DA4" w14:textId="6A08E55B" w:rsidR="00F12476" w:rsidRDefault="007266B3" w:rsidP="00F12476">
            <w:r>
              <w:t>I</w:t>
            </w:r>
            <w:r w:rsidR="00F12476">
              <w:t>nitial increase</w:t>
            </w:r>
            <w:r>
              <w:t>s</w:t>
            </w:r>
            <w:r w:rsidR="00F12476">
              <w:t xml:space="preserve"> in subjective depression and memory scores at 6 months did not persist to any </w:t>
            </w:r>
            <w:r w:rsidR="00F12476" w:rsidRPr="005150F5">
              <w:t xml:space="preserve">significant </w:t>
            </w:r>
            <w:r w:rsidR="00F12476">
              <w:t xml:space="preserve">objective </w:t>
            </w:r>
            <w:r w:rsidR="00F12476" w:rsidRPr="005150F5">
              <w:t>cognitive declines or worsening of depression scores</w:t>
            </w:r>
            <w:r w:rsidR="00F12476">
              <w:t xml:space="preserve"> </w:t>
            </w:r>
            <w:r w:rsidR="00F12476" w:rsidRPr="005150F5">
              <w:t>through the blinded phase or open-label at 7-years.</w:t>
            </w:r>
            <w:r w:rsidR="00F12476">
              <w:t xml:space="preserve"> AEs did not result in reduced QOL measures</w:t>
            </w:r>
            <w:r>
              <w:t xml:space="preserve">. </w:t>
            </w:r>
            <w:r w:rsidR="00C34512">
              <w:t>E</w:t>
            </w:r>
            <w:r w:rsidR="00F12476" w:rsidRPr="005150F5">
              <w:t>xecutive function and attention</w:t>
            </w:r>
            <w:r w:rsidR="00F12476">
              <w:t xml:space="preserve"> </w:t>
            </w:r>
            <w:r w:rsidR="00C34512">
              <w:t xml:space="preserve">improvements </w:t>
            </w:r>
            <w:r w:rsidR="00F12476">
              <w:t>at 7 years</w:t>
            </w:r>
            <w:r>
              <w:t xml:space="preserve"> were reported.</w:t>
            </w:r>
          </w:p>
        </w:tc>
        <w:tc>
          <w:tcPr>
            <w:tcW w:w="999" w:type="pct"/>
          </w:tcPr>
          <w:p w14:paraId="4FA5D8A0" w14:textId="7ACFB17B" w:rsidR="00F12476" w:rsidRDefault="00F12476" w:rsidP="00F12476">
            <w:r>
              <w:t xml:space="preserve">Website </w:t>
            </w:r>
            <w:hyperlink r:id="rId18" w:history="1">
              <w:r w:rsidRPr="00F12476">
                <w:rPr>
                  <w:rStyle w:val="Hyperlink"/>
                </w:rPr>
                <w:t>link</w:t>
              </w:r>
            </w:hyperlink>
            <w:r>
              <w:t xml:space="preserve"> </w:t>
            </w:r>
          </w:p>
        </w:tc>
        <w:tc>
          <w:tcPr>
            <w:tcW w:w="700" w:type="pct"/>
          </w:tcPr>
          <w:p w14:paraId="2874491E" w14:textId="2A0E60B4" w:rsidR="00F12476" w:rsidRDefault="00F12476" w:rsidP="00F12476">
            <w:r>
              <w:t>2017</w:t>
            </w:r>
          </w:p>
        </w:tc>
      </w:tr>
      <w:tr w:rsidR="00F12476" w14:paraId="023555B7" w14:textId="77777777" w:rsidTr="000F0ACD">
        <w:trPr>
          <w:cantSplit/>
        </w:trPr>
        <w:tc>
          <w:tcPr>
            <w:tcW w:w="168" w:type="pct"/>
          </w:tcPr>
          <w:p w14:paraId="78E375EB" w14:textId="7253C379" w:rsidR="00F12476" w:rsidRPr="00965B6B" w:rsidRDefault="0013243D" w:rsidP="00F12476">
            <w:pPr>
              <w:rPr>
                <w:szCs w:val="20"/>
              </w:rPr>
            </w:pPr>
            <w:r>
              <w:rPr>
                <w:szCs w:val="20"/>
              </w:rPr>
              <w:t>5</w:t>
            </w:r>
            <w:r w:rsidR="00C34512">
              <w:rPr>
                <w:szCs w:val="20"/>
              </w:rPr>
              <w:t>.</w:t>
            </w:r>
          </w:p>
        </w:tc>
        <w:tc>
          <w:tcPr>
            <w:tcW w:w="745" w:type="pct"/>
          </w:tcPr>
          <w:p w14:paraId="492F9F8C" w14:textId="430F8716" w:rsidR="00F12476" w:rsidRDefault="00F12476" w:rsidP="00F12476">
            <w:r>
              <w:t>Retrospective cohort</w:t>
            </w:r>
          </w:p>
        </w:tc>
        <w:tc>
          <w:tcPr>
            <w:tcW w:w="965" w:type="pct"/>
          </w:tcPr>
          <w:p w14:paraId="2B95365D" w14:textId="441D4B3B" w:rsidR="00F12476" w:rsidRDefault="00F12476" w:rsidP="00F12476">
            <w:pPr>
              <w:spacing w:after="0"/>
            </w:pPr>
            <w:r w:rsidRPr="008262E2">
              <w:t xml:space="preserve">Long-term follow-up of anterior thalamic deep brain stimulation in epilepsy: A 11-year, single </w:t>
            </w:r>
            <w:r w:rsidR="00C34512" w:rsidRPr="008262E2">
              <w:t>centre</w:t>
            </w:r>
            <w:r w:rsidRPr="008262E2">
              <w:t xml:space="preserve"> experience. </w:t>
            </w:r>
          </w:p>
          <w:p w14:paraId="43089C58" w14:textId="16535CFD" w:rsidR="00F12476" w:rsidRPr="00D723B9" w:rsidRDefault="00F12476" w:rsidP="00F12476">
            <w:pPr>
              <w:spacing w:after="0"/>
            </w:pPr>
            <w:r w:rsidRPr="008262E2">
              <w:t>Kim SH</w:t>
            </w:r>
            <w:r>
              <w:t xml:space="preserve"> et al. </w:t>
            </w:r>
          </w:p>
        </w:tc>
        <w:tc>
          <w:tcPr>
            <w:tcW w:w="1423" w:type="pct"/>
          </w:tcPr>
          <w:p w14:paraId="3C62B7AE" w14:textId="36DDA896" w:rsidR="00F12476" w:rsidRDefault="00F12476" w:rsidP="00F12476">
            <w:r>
              <w:t>R</w:t>
            </w:r>
            <w:r w:rsidRPr="008262E2">
              <w:t>etrospective</w:t>
            </w:r>
            <w:r>
              <w:t xml:space="preserve"> analysis of </w:t>
            </w:r>
            <w:r w:rsidR="00621F35">
              <w:t>n=</w:t>
            </w:r>
            <w:r w:rsidRPr="008262E2">
              <w:t xml:space="preserve">29 consecutive </w:t>
            </w:r>
            <w:r>
              <w:t xml:space="preserve">patients with </w:t>
            </w:r>
            <w:r w:rsidRPr="008262E2">
              <w:t xml:space="preserve">refractory </w:t>
            </w:r>
            <w:r w:rsidR="00C34512" w:rsidRPr="008262E2">
              <w:t>epilepsy</w:t>
            </w:r>
            <w:r w:rsidR="00C34512">
              <w:t xml:space="preserve"> over</w:t>
            </w:r>
            <w:r w:rsidRPr="008262E2">
              <w:t xml:space="preserve"> 11-yea</w:t>
            </w:r>
            <w:r w:rsidR="00D816E6">
              <w:t>rs</w:t>
            </w:r>
            <w:r>
              <w:t xml:space="preserve">. </w:t>
            </w:r>
            <w:r w:rsidR="00621F35">
              <w:t>M</w:t>
            </w:r>
            <w:r w:rsidRPr="008262E2">
              <w:t>edian percent seizure reduction was 71.3% at 1 year</w:t>
            </w:r>
            <w:r w:rsidR="00C34512">
              <w:t>;</w:t>
            </w:r>
            <w:r w:rsidRPr="008262E2">
              <w:t>73.9% at 2 years</w:t>
            </w:r>
            <w:r w:rsidR="00C34512">
              <w:t xml:space="preserve">; </w:t>
            </w:r>
            <w:r w:rsidRPr="008262E2">
              <w:t>61.8% to 80.0% over post-implant years 3</w:t>
            </w:r>
            <w:r w:rsidR="00D816E6">
              <w:t>-</w:t>
            </w:r>
            <w:r w:rsidRPr="008262E2">
              <w:t>11 (overall 70% median reduction). In the 11-year study period, 13.8% (4/29) of subjects were seizure-free for at least 12 months.</w:t>
            </w:r>
          </w:p>
        </w:tc>
        <w:tc>
          <w:tcPr>
            <w:tcW w:w="999" w:type="pct"/>
          </w:tcPr>
          <w:p w14:paraId="322D74A4" w14:textId="618060B9" w:rsidR="00F12476" w:rsidRDefault="00621F35" w:rsidP="00F12476">
            <w:r>
              <w:t xml:space="preserve">Website </w:t>
            </w:r>
            <w:hyperlink r:id="rId19" w:history="1">
              <w:r w:rsidRPr="00621F35">
                <w:rPr>
                  <w:rStyle w:val="Hyperlink"/>
                </w:rPr>
                <w:t>link</w:t>
              </w:r>
            </w:hyperlink>
          </w:p>
        </w:tc>
        <w:tc>
          <w:tcPr>
            <w:tcW w:w="700" w:type="pct"/>
          </w:tcPr>
          <w:p w14:paraId="14E076AC" w14:textId="7FE5D1EC" w:rsidR="00F12476" w:rsidRDefault="00F12476" w:rsidP="00F12476">
            <w:r>
              <w:t>2017</w:t>
            </w:r>
          </w:p>
        </w:tc>
      </w:tr>
      <w:tr w:rsidR="00F12476" w14:paraId="5FE80C98" w14:textId="77777777" w:rsidTr="000F0ACD">
        <w:trPr>
          <w:cantSplit/>
        </w:trPr>
        <w:tc>
          <w:tcPr>
            <w:tcW w:w="168" w:type="pct"/>
          </w:tcPr>
          <w:p w14:paraId="09CDA161" w14:textId="70995AD4" w:rsidR="00F12476" w:rsidRPr="00965B6B" w:rsidRDefault="0013243D" w:rsidP="00F12476">
            <w:pPr>
              <w:rPr>
                <w:szCs w:val="20"/>
              </w:rPr>
            </w:pPr>
            <w:r>
              <w:rPr>
                <w:szCs w:val="20"/>
              </w:rPr>
              <w:lastRenderedPageBreak/>
              <w:t>6</w:t>
            </w:r>
            <w:r w:rsidR="00C34512">
              <w:rPr>
                <w:szCs w:val="20"/>
              </w:rPr>
              <w:t>.</w:t>
            </w:r>
          </w:p>
        </w:tc>
        <w:tc>
          <w:tcPr>
            <w:tcW w:w="745" w:type="pct"/>
          </w:tcPr>
          <w:p w14:paraId="30B4CBFF" w14:textId="30B0B520" w:rsidR="00F12476" w:rsidRDefault="00F12476" w:rsidP="00F12476">
            <w:r>
              <w:t>Retrospective cohort</w:t>
            </w:r>
          </w:p>
        </w:tc>
        <w:tc>
          <w:tcPr>
            <w:tcW w:w="965" w:type="pct"/>
          </w:tcPr>
          <w:p w14:paraId="4EE680EB" w14:textId="77777777" w:rsidR="00A52CEF" w:rsidRDefault="00F12476" w:rsidP="00F12476">
            <w:pPr>
              <w:pStyle w:val="NormalWeb"/>
              <w:rPr>
                <w:rFonts w:asciiTheme="minorHAnsi" w:hAnsiTheme="minorHAnsi" w:cstheme="minorHAnsi"/>
                <w:color w:val="000000" w:themeColor="text1"/>
                <w:sz w:val="20"/>
                <w:szCs w:val="20"/>
              </w:rPr>
            </w:pPr>
            <w:r w:rsidRPr="00D23D03">
              <w:rPr>
                <w:rFonts w:asciiTheme="minorHAnsi" w:hAnsiTheme="minorHAnsi" w:cstheme="minorHAnsi"/>
                <w:color w:val="000000" w:themeColor="text1"/>
                <w:sz w:val="20"/>
                <w:szCs w:val="20"/>
              </w:rPr>
              <w:t>Anatomical connectivity and efficacy of electro- therapy for seizure control: A SANTE's single-</w:t>
            </w:r>
            <w:proofErr w:type="spellStart"/>
            <w:r w:rsidRPr="00D23D03">
              <w:rPr>
                <w:rFonts w:asciiTheme="minorHAnsi" w:hAnsiTheme="minorHAnsi" w:cstheme="minorHAnsi"/>
                <w:color w:val="000000" w:themeColor="text1"/>
                <w:sz w:val="20"/>
                <w:szCs w:val="20"/>
              </w:rPr>
              <w:t>center</w:t>
            </w:r>
            <w:proofErr w:type="spellEnd"/>
            <w:r w:rsidRPr="00D23D03">
              <w:rPr>
                <w:rFonts w:asciiTheme="minorHAnsi" w:hAnsiTheme="minorHAnsi" w:cstheme="minorHAnsi"/>
                <w:color w:val="000000" w:themeColor="text1"/>
                <w:sz w:val="20"/>
                <w:szCs w:val="20"/>
              </w:rPr>
              <w:t xml:space="preserve"> regression analyses. </w:t>
            </w:r>
          </w:p>
          <w:p w14:paraId="480BEFEE" w14:textId="66F13761" w:rsidR="00F12476" w:rsidRPr="00D23D03" w:rsidRDefault="00F12476" w:rsidP="00F12476">
            <w:pPr>
              <w:pStyle w:val="NormalWeb"/>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Osorio I et al. </w:t>
            </w:r>
          </w:p>
          <w:p w14:paraId="2302D399" w14:textId="77777777" w:rsidR="00F12476" w:rsidRPr="00D723B9" w:rsidRDefault="00F12476" w:rsidP="00F12476">
            <w:pPr>
              <w:spacing w:after="0"/>
            </w:pPr>
          </w:p>
        </w:tc>
        <w:tc>
          <w:tcPr>
            <w:tcW w:w="1423" w:type="pct"/>
          </w:tcPr>
          <w:p w14:paraId="3E7C65E1" w14:textId="2D6CECF3" w:rsidR="00F12476" w:rsidRDefault="00F12476" w:rsidP="00F12476">
            <w:r>
              <w:t xml:space="preserve">Comparison of seizure frequency for 15 patients with ANT DBS for either seizure emergence from inside Papez Network (IPN) vs outside Papez Network (OPN). Degree of anatomical connectivity between stimulation target and epileptogenic networks plays a pivotal role in therapeutic efficacy. </w:t>
            </w:r>
          </w:p>
        </w:tc>
        <w:tc>
          <w:tcPr>
            <w:tcW w:w="999" w:type="pct"/>
          </w:tcPr>
          <w:p w14:paraId="396D52F5" w14:textId="78174BC8" w:rsidR="00621F35" w:rsidRDefault="00621F35" w:rsidP="00F12476">
            <w:r>
              <w:t xml:space="preserve">Website </w:t>
            </w:r>
            <w:hyperlink r:id="rId20" w:history="1">
              <w:r w:rsidRPr="00621F35">
                <w:rPr>
                  <w:rStyle w:val="Hyperlink"/>
                </w:rPr>
                <w:t>link</w:t>
              </w:r>
            </w:hyperlink>
            <w:r>
              <w:t xml:space="preserve"> </w:t>
            </w:r>
          </w:p>
          <w:p w14:paraId="455D45A6" w14:textId="40F3BCC1" w:rsidR="00F12476" w:rsidRDefault="00F12476" w:rsidP="00F12476"/>
        </w:tc>
        <w:tc>
          <w:tcPr>
            <w:tcW w:w="700" w:type="pct"/>
          </w:tcPr>
          <w:p w14:paraId="2645D423" w14:textId="51EC95BA" w:rsidR="00F12476" w:rsidRDefault="00F12476" w:rsidP="00F12476">
            <w:r>
              <w:t>2021</w:t>
            </w:r>
          </w:p>
        </w:tc>
      </w:tr>
      <w:tr w:rsidR="00F12476" w14:paraId="20CABB6F" w14:textId="77777777" w:rsidTr="000F0ACD">
        <w:trPr>
          <w:cantSplit/>
        </w:trPr>
        <w:tc>
          <w:tcPr>
            <w:tcW w:w="168" w:type="pct"/>
          </w:tcPr>
          <w:p w14:paraId="464F2A16" w14:textId="463E7D23" w:rsidR="00F12476" w:rsidRPr="00965B6B" w:rsidRDefault="0013243D" w:rsidP="00F12476">
            <w:pPr>
              <w:rPr>
                <w:szCs w:val="20"/>
              </w:rPr>
            </w:pPr>
            <w:r>
              <w:rPr>
                <w:szCs w:val="20"/>
              </w:rPr>
              <w:t>7</w:t>
            </w:r>
            <w:r w:rsidR="00C34512">
              <w:rPr>
                <w:szCs w:val="20"/>
              </w:rPr>
              <w:t>.</w:t>
            </w:r>
          </w:p>
        </w:tc>
        <w:tc>
          <w:tcPr>
            <w:tcW w:w="745" w:type="pct"/>
          </w:tcPr>
          <w:p w14:paraId="660E6116" w14:textId="2689707A" w:rsidR="00F12476" w:rsidRDefault="00F12476" w:rsidP="00F12476">
            <w:r>
              <w:t>Retrospective cohort</w:t>
            </w:r>
          </w:p>
        </w:tc>
        <w:tc>
          <w:tcPr>
            <w:tcW w:w="965" w:type="pct"/>
          </w:tcPr>
          <w:p w14:paraId="01ACCB58" w14:textId="2AACC9D8" w:rsidR="00F12476" w:rsidRDefault="00F12476" w:rsidP="00F12476">
            <w:pPr>
              <w:pStyle w:val="NormalWeb"/>
              <w:rPr>
                <w:rFonts w:asciiTheme="minorHAnsi" w:hAnsiTheme="minorHAnsi" w:cstheme="minorHAnsi"/>
                <w:color w:val="001C44"/>
                <w:sz w:val="20"/>
                <w:szCs w:val="20"/>
              </w:rPr>
            </w:pPr>
            <w:r w:rsidRPr="00D23D03">
              <w:rPr>
                <w:rFonts w:asciiTheme="minorHAnsi" w:hAnsiTheme="minorHAnsi" w:cstheme="minorHAnsi"/>
                <w:color w:val="001C44"/>
                <w:sz w:val="20"/>
                <w:szCs w:val="20"/>
              </w:rPr>
              <w:t xml:space="preserve">The Role of Anterior Thalamic Deep Brain Stimulation as an Alternative Therapy in Patients with Previously Failed Vagus Nerve Stimulation for Refractory Epilepsy </w:t>
            </w:r>
          </w:p>
          <w:p w14:paraId="50AF73B0" w14:textId="6515FECD" w:rsidR="00F12476" w:rsidRPr="00D723B9" w:rsidRDefault="00F12476" w:rsidP="00C34512">
            <w:pPr>
              <w:pStyle w:val="NormalWeb"/>
            </w:pPr>
            <w:r>
              <w:rPr>
                <w:rFonts w:asciiTheme="minorHAnsi" w:hAnsiTheme="minorHAnsi" w:cstheme="minorHAnsi"/>
                <w:sz w:val="20"/>
                <w:szCs w:val="20"/>
              </w:rPr>
              <w:t xml:space="preserve">Park HR et al. </w:t>
            </w:r>
          </w:p>
        </w:tc>
        <w:tc>
          <w:tcPr>
            <w:tcW w:w="1423" w:type="pct"/>
          </w:tcPr>
          <w:p w14:paraId="75F619F3" w14:textId="699DC831" w:rsidR="00F12476" w:rsidRDefault="00F12476" w:rsidP="00F12476">
            <w:r>
              <w:t>Studied the efficacy of 7 patients who failed VNS. 5 of the patients experienced &gt;50% seizure reduction, 1 responder reached seizure freedom. Of the two non</w:t>
            </w:r>
            <w:r w:rsidR="00621F35">
              <w:t>-</w:t>
            </w:r>
            <w:r>
              <w:t xml:space="preserve">responders, 1 subject showed improvement in seizure strength and duration. </w:t>
            </w:r>
          </w:p>
        </w:tc>
        <w:tc>
          <w:tcPr>
            <w:tcW w:w="999" w:type="pct"/>
          </w:tcPr>
          <w:p w14:paraId="35DA64A7" w14:textId="03E4954C" w:rsidR="00621F35" w:rsidRDefault="00621F35" w:rsidP="00F12476">
            <w:r>
              <w:t xml:space="preserve">Website </w:t>
            </w:r>
            <w:hyperlink r:id="rId21" w:history="1">
              <w:r w:rsidRPr="00621F35">
                <w:rPr>
                  <w:rStyle w:val="Hyperlink"/>
                </w:rPr>
                <w:t>link</w:t>
              </w:r>
            </w:hyperlink>
            <w:r>
              <w:t xml:space="preserve"> </w:t>
            </w:r>
          </w:p>
          <w:p w14:paraId="34CBAF4A" w14:textId="77777777" w:rsidR="00621F35" w:rsidRDefault="00621F35" w:rsidP="00F12476"/>
          <w:p w14:paraId="7D4E7882" w14:textId="77777777" w:rsidR="00F12476" w:rsidRDefault="00F12476" w:rsidP="00621F35"/>
        </w:tc>
        <w:tc>
          <w:tcPr>
            <w:tcW w:w="700" w:type="pct"/>
          </w:tcPr>
          <w:p w14:paraId="46720F88" w14:textId="17A5D4E9" w:rsidR="00F12476" w:rsidRDefault="00F12476" w:rsidP="00F12476">
            <w:r>
              <w:t>2019</w:t>
            </w:r>
          </w:p>
        </w:tc>
      </w:tr>
      <w:tr w:rsidR="00F12476" w14:paraId="7D72CD88" w14:textId="77777777" w:rsidTr="000F0ACD">
        <w:trPr>
          <w:cantSplit/>
        </w:trPr>
        <w:tc>
          <w:tcPr>
            <w:tcW w:w="168" w:type="pct"/>
          </w:tcPr>
          <w:p w14:paraId="54B285A3" w14:textId="57AA0060" w:rsidR="00F12476" w:rsidRPr="00965B6B" w:rsidRDefault="0013243D" w:rsidP="00F12476">
            <w:pPr>
              <w:rPr>
                <w:szCs w:val="20"/>
              </w:rPr>
            </w:pPr>
            <w:r>
              <w:rPr>
                <w:szCs w:val="20"/>
              </w:rPr>
              <w:t>8</w:t>
            </w:r>
            <w:r w:rsidR="00C34512">
              <w:rPr>
                <w:szCs w:val="20"/>
              </w:rPr>
              <w:t>.</w:t>
            </w:r>
          </w:p>
        </w:tc>
        <w:tc>
          <w:tcPr>
            <w:tcW w:w="745" w:type="pct"/>
          </w:tcPr>
          <w:p w14:paraId="5FBD9A00" w14:textId="4D42C487" w:rsidR="00F12476" w:rsidRDefault="00F12476" w:rsidP="00F12476">
            <w:r>
              <w:t>Retrospective cohort</w:t>
            </w:r>
          </w:p>
        </w:tc>
        <w:tc>
          <w:tcPr>
            <w:tcW w:w="965" w:type="pct"/>
          </w:tcPr>
          <w:p w14:paraId="157A56BF" w14:textId="77777777" w:rsidR="00F12476" w:rsidRPr="00D23D03" w:rsidRDefault="00F12476" w:rsidP="00F12476">
            <w:pPr>
              <w:pStyle w:val="NormalWeb"/>
              <w:rPr>
                <w:rFonts w:asciiTheme="minorHAnsi" w:hAnsiTheme="minorHAnsi" w:cstheme="minorHAnsi"/>
                <w:color w:val="000000" w:themeColor="text1"/>
                <w:sz w:val="20"/>
                <w:szCs w:val="20"/>
              </w:rPr>
            </w:pPr>
            <w:r w:rsidRPr="00D23D03">
              <w:rPr>
                <w:rFonts w:asciiTheme="minorHAnsi" w:hAnsiTheme="minorHAnsi" w:cstheme="minorHAnsi"/>
                <w:color w:val="000000" w:themeColor="text1"/>
                <w:sz w:val="20"/>
                <w:szCs w:val="20"/>
              </w:rPr>
              <w:t xml:space="preserve">Cognitive improvement after long-term electrical stimulation of bilateral anterior thalamic nucleus in refractory epilepsy patients </w:t>
            </w:r>
          </w:p>
          <w:p w14:paraId="07C9DF66" w14:textId="115E9FDA" w:rsidR="00F12476" w:rsidRPr="00D723B9" w:rsidRDefault="00F12476" w:rsidP="00F12476">
            <w:pPr>
              <w:spacing w:after="0"/>
            </w:pPr>
            <w:r w:rsidRPr="00D23D03">
              <w:rPr>
                <w:rFonts w:cstheme="minorHAnsi"/>
                <w:color w:val="000000" w:themeColor="text1"/>
                <w:szCs w:val="20"/>
              </w:rPr>
              <w:t>Oh YS et al.</w:t>
            </w:r>
          </w:p>
        </w:tc>
        <w:tc>
          <w:tcPr>
            <w:tcW w:w="1423" w:type="pct"/>
          </w:tcPr>
          <w:p w14:paraId="668C0705" w14:textId="151BDE15" w:rsidR="00F12476" w:rsidRDefault="00F12476" w:rsidP="00F12476">
            <w:r>
              <w:t>Stud</w:t>
            </w:r>
            <w:r w:rsidR="00C34512">
              <w:t>ied</w:t>
            </w:r>
            <w:r>
              <w:t xml:space="preserve"> cognitive and behavioural efficacy after</w:t>
            </w:r>
            <w:r w:rsidR="00C34512">
              <w:t xml:space="preserve"> </w:t>
            </w:r>
            <w:r>
              <w:t xml:space="preserve">12 months </w:t>
            </w:r>
            <w:r w:rsidR="00C34512">
              <w:t xml:space="preserve">of an </w:t>
            </w:r>
            <w:r>
              <w:t>ANT DBS implant</w:t>
            </w:r>
            <w:r w:rsidR="00C34512">
              <w:t xml:space="preserve"> in 9 patients. </w:t>
            </w:r>
            <w:r>
              <w:t>The mean seizure reduction rate was 57.9%. Cognitive testing showed favourable results for verbal fluency and improvement in delayed verbal memory. No significant changes to general abilities</w:t>
            </w:r>
            <w:r w:rsidR="00C34512">
              <w:t>. N</w:t>
            </w:r>
            <w:r>
              <w:t>o observation of significant cognitive decline.</w:t>
            </w:r>
          </w:p>
        </w:tc>
        <w:tc>
          <w:tcPr>
            <w:tcW w:w="999" w:type="pct"/>
          </w:tcPr>
          <w:p w14:paraId="3A08F9BD" w14:textId="01EBBFEA" w:rsidR="00977023" w:rsidRDefault="00977023" w:rsidP="00F12476">
            <w:r>
              <w:t xml:space="preserve">Website </w:t>
            </w:r>
            <w:hyperlink r:id="rId22" w:history="1">
              <w:r w:rsidRPr="00977023">
                <w:rPr>
                  <w:rStyle w:val="Hyperlink"/>
                </w:rPr>
                <w:t>link</w:t>
              </w:r>
            </w:hyperlink>
            <w:r>
              <w:t xml:space="preserve"> </w:t>
            </w:r>
          </w:p>
          <w:p w14:paraId="24F64926" w14:textId="06DAF760" w:rsidR="00F12476" w:rsidRDefault="00F12476" w:rsidP="00F12476"/>
        </w:tc>
        <w:tc>
          <w:tcPr>
            <w:tcW w:w="700" w:type="pct"/>
          </w:tcPr>
          <w:p w14:paraId="1760F3B9" w14:textId="75AB0CC7" w:rsidR="00F12476" w:rsidRDefault="00F12476" w:rsidP="00F12476">
            <w:r>
              <w:t>2012</w:t>
            </w:r>
          </w:p>
        </w:tc>
      </w:tr>
      <w:tr w:rsidR="00F12476" w14:paraId="1F7A05E1" w14:textId="77777777" w:rsidTr="000F0ACD">
        <w:trPr>
          <w:cantSplit/>
        </w:trPr>
        <w:tc>
          <w:tcPr>
            <w:tcW w:w="168" w:type="pct"/>
          </w:tcPr>
          <w:p w14:paraId="7375F725" w14:textId="47B45907" w:rsidR="00F12476" w:rsidRPr="00965B6B" w:rsidRDefault="0013243D" w:rsidP="00F12476">
            <w:pPr>
              <w:rPr>
                <w:szCs w:val="20"/>
              </w:rPr>
            </w:pPr>
            <w:r>
              <w:rPr>
                <w:szCs w:val="20"/>
              </w:rPr>
              <w:lastRenderedPageBreak/>
              <w:t>9</w:t>
            </w:r>
            <w:r w:rsidR="00C34512">
              <w:rPr>
                <w:szCs w:val="20"/>
              </w:rPr>
              <w:t>.</w:t>
            </w:r>
          </w:p>
        </w:tc>
        <w:tc>
          <w:tcPr>
            <w:tcW w:w="745" w:type="pct"/>
          </w:tcPr>
          <w:p w14:paraId="0F972AC6" w14:textId="6A65E206" w:rsidR="00F12476" w:rsidRPr="00ED1A67" w:rsidRDefault="00F12476" w:rsidP="00F12476">
            <w:pPr>
              <w:rPr>
                <w:szCs w:val="20"/>
              </w:rPr>
            </w:pPr>
            <w:r w:rsidRPr="00ED1A67">
              <w:rPr>
                <w:szCs w:val="20"/>
              </w:rPr>
              <w:t>Prospective cohort</w:t>
            </w:r>
          </w:p>
        </w:tc>
        <w:tc>
          <w:tcPr>
            <w:tcW w:w="965" w:type="pct"/>
          </w:tcPr>
          <w:p w14:paraId="619CFE35" w14:textId="77777777" w:rsidR="00F12476" w:rsidRPr="00ED1A67" w:rsidRDefault="00F12476" w:rsidP="00F12476">
            <w:pPr>
              <w:pStyle w:val="NormalWeb"/>
              <w:rPr>
                <w:rFonts w:asciiTheme="minorHAnsi" w:eastAsiaTheme="minorHAnsi" w:hAnsiTheme="minorHAnsi" w:cstheme="minorBidi"/>
                <w:sz w:val="20"/>
                <w:szCs w:val="20"/>
                <w:lang w:eastAsia="en-US"/>
              </w:rPr>
            </w:pPr>
            <w:r w:rsidRPr="00ED1A67">
              <w:rPr>
                <w:rFonts w:asciiTheme="minorHAnsi" w:eastAsiaTheme="minorHAnsi" w:hAnsiTheme="minorHAnsi" w:cstheme="minorBidi"/>
                <w:sz w:val="20"/>
                <w:szCs w:val="20"/>
                <w:lang w:eastAsia="en-US"/>
              </w:rPr>
              <w:t>Executive Functions May Predict Outcome in Deep Brain Stimulation of Anterior Nucleus of Thalamus for Treatment of Refractory Epilepsy</w:t>
            </w:r>
          </w:p>
          <w:p w14:paraId="3550A9CC" w14:textId="5ED12506" w:rsidR="00F12476" w:rsidRPr="00ED1A67" w:rsidRDefault="00F12476" w:rsidP="00F12476">
            <w:pPr>
              <w:spacing w:after="0"/>
              <w:rPr>
                <w:szCs w:val="20"/>
              </w:rPr>
            </w:pPr>
            <w:r w:rsidRPr="00ED1A67">
              <w:rPr>
                <w:szCs w:val="20"/>
              </w:rPr>
              <w:t>Järvenpää, S.</w:t>
            </w:r>
          </w:p>
        </w:tc>
        <w:tc>
          <w:tcPr>
            <w:tcW w:w="1423" w:type="pct"/>
          </w:tcPr>
          <w:p w14:paraId="728ED5F7" w14:textId="5619ED1D" w:rsidR="00F12476" w:rsidRPr="00ED1A67" w:rsidRDefault="00C34512" w:rsidP="00F12476">
            <w:pPr>
              <w:rPr>
                <w:szCs w:val="20"/>
              </w:rPr>
            </w:pPr>
            <w:r>
              <w:rPr>
                <w:szCs w:val="20"/>
              </w:rPr>
              <w:t>16</w:t>
            </w:r>
            <w:r w:rsidRPr="00ED1A67">
              <w:rPr>
                <w:szCs w:val="20"/>
              </w:rPr>
              <w:t xml:space="preserve"> </w:t>
            </w:r>
            <w:r w:rsidR="00F12476" w:rsidRPr="00ED1A67">
              <w:rPr>
                <w:szCs w:val="20"/>
              </w:rPr>
              <w:t>patients with refractory epilepsy treated with ANT DBS with at least 2 years of follow-up. There were 12 responders and 4 non</w:t>
            </w:r>
            <w:r w:rsidR="00977023">
              <w:rPr>
                <w:szCs w:val="20"/>
              </w:rPr>
              <w:t>-</w:t>
            </w:r>
            <w:r w:rsidR="00F12476" w:rsidRPr="00ED1A67">
              <w:rPr>
                <w:szCs w:val="20"/>
              </w:rPr>
              <w:t>responders. Responders did significantly better on neuropsychological measures of executive function and attention, compared to non-responders. The finding raises this as a potential pre-implantation measure of treatment responsiveness.</w:t>
            </w:r>
          </w:p>
        </w:tc>
        <w:tc>
          <w:tcPr>
            <w:tcW w:w="999" w:type="pct"/>
          </w:tcPr>
          <w:p w14:paraId="6CB36348" w14:textId="746CA705" w:rsidR="00F12476" w:rsidRPr="00ED1A67" w:rsidRDefault="00977023" w:rsidP="00F12476">
            <w:pPr>
              <w:rPr>
                <w:szCs w:val="20"/>
              </w:rPr>
            </w:pPr>
            <w:r>
              <w:rPr>
                <w:szCs w:val="20"/>
              </w:rPr>
              <w:t xml:space="preserve">Website </w:t>
            </w:r>
            <w:hyperlink r:id="rId23" w:history="1">
              <w:r w:rsidRPr="00977023">
                <w:rPr>
                  <w:rStyle w:val="Hyperlink"/>
                  <w:szCs w:val="20"/>
                </w:rPr>
                <w:t>link</w:t>
              </w:r>
            </w:hyperlink>
            <w:r>
              <w:rPr>
                <w:szCs w:val="20"/>
              </w:rPr>
              <w:t xml:space="preserve"> </w:t>
            </w:r>
          </w:p>
        </w:tc>
        <w:tc>
          <w:tcPr>
            <w:tcW w:w="700" w:type="pct"/>
          </w:tcPr>
          <w:p w14:paraId="38F4B96B" w14:textId="6FABB7A2" w:rsidR="00F12476" w:rsidRPr="00ED1A67" w:rsidRDefault="00F12476" w:rsidP="00F12476">
            <w:pPr>
              <w:rPr>
                <w:szCs w:val="20"/>
              </w:rPr>
            </w:pPr>
            <w:r w:rsidRPr="00ED1A67">
              <w:rPr>
                <w:szCs w:val="20"/>
              </w:rPr>
              <w:t>2018</w:t>
            </w:r>
          </w:p>
        </w:tc>
      </w:tr>
      <w:tr w:rsidR="00F12476" w14:paraId="11BADA9E" w14:textId="77777777" w:rsidTr="000F0ACD">
        <w:trPr>
          <w:cantSplit/>
        </w:trPr>
        <w:tc>
          <w:tcPr>
            <w:tcW w:w="168" w:type="pct"/>
          </w:tcPr>
          <w:p w14:paraId="1DF8E90B" w14:textId="3BAA4947" w:rsidR="00F12476" w:rsidRPr="007602CB" w:rsidRDefault="0013243D" w:rsidP="00F12476">
            <w:pPr>
              <w:rPr>
                <w:rFonts w:cstheme="minorHAnsi"/>
                <w:szCs w:val="20"/>
              </w:rPr>
            </w:pPr>
            <w:r w:rsidRPr="007602CB">
              <w:rPr>
                <w:rFonts w:cstheme="minorHAnsi"/>
                <w:szCs w:val="20"/>
              </w:rPr>
              <w:t>10</w:t>
            </w:r>
            <w:r w:rsidR="00C34512" w:rsidRPr="007602CB">
              <w:rPr>
                <w:rFonts w:cstheme="minorHAnsi"/>
                <w:szCs w:val="20"/>
              </w:rPr>
              <w:t>.</w:t>
            </w:r>
          </w:p>
        </w:tc>
        <w:tc>
          <w:tcPr>
            <w:tcW w:w="745" w:type="pct"/>
          </w:tcPr>
          <w:p w14:paraId="71110D01" w14:textId="4DD903DD" w:rsidR="00F12476" w:rsidRPr="007602CB" w:rsidRDefault="00F12476" w:rsidP="00F12476">
            <w:pPr>
              <w:rPr>
                <w:rFonts w:cstheme="minorHAnsi"/>
                <w:szCs w:val="20"/>
              </w:rPr>
            </w:pPr>
            <w:r w:rsidRPr="007602CB">
              <w:rPr>
                <w:rFonts w:cstheme="minorHAnsi"/>
                <w:szCs w:val="20"/>
              </w:rPr>
              <w:t>Retrospective cohort</w:t>
            </w:r>
          </w:p>
        </w:tc>
        <w:tc>
          <w:tcPr>
            <w:tcW w:w="965" w:type="pct"/>
          </w:tcPr>
          <w:p w14:paraId="19761293" w14:textId="77777777" w:rsidR="00F12476" w:rsidRPr="007602CB" w:rsidRDefault="00F12476" w:rsidP="00F12476">
            <w:pPr>
              <w:pStyle w:val="NormalWeb"/>
              <w:rPr>
                <w:rFonts w:asciiTheme="minorHAnsi" w:hAnsiTheme="minorHAnsi" w:cstheme="minorHAnsi"/>
                <w:sz w:val="20"/>
                <w:szCs w:val="20"/>
              </w:rPr>
            </w:pPr>
            <w:r w:rsidRPr="007602CB">
              <w:rPr>
                <w:rFonts w:asciiTheme="minorHAnsi" w:hAnsiTheme="minorHAnsi" w:cstheme="minorHAnsi"/>
                <w:sz w:val="20"/>
                <w:szCs w:val="20"/>
              </w:rPr>
              <w:t xml:space="preserve">Anterior Nucleus Deep Brain Stimulation for Refractory Epilepsy: Insights </w:t>
            </w:r>
            <w:proofErr w:type="gramStart"/>
            <w:r w:rsidRPr="007602CB">
              <w:rPr>
                <w:rFonts w:asciiTheme="minorHAnsi" w:hAnsiTheme="minorHAnsi" w:cstheme="minorHAnsi"/>
                <w:sz w:val="20"/>
                <w:szCs w:val="20"/>
              </w:rPr>
              <w:t>Into</w:t>
            </w:r>
            <w:proofErr w:type="gramEnd"/>
            <w:r w:rsidRPr="007602CB">
              <w:rPr>
                <w:rFonts w:asciiTheme="minorHAnsi" w:hAnsiTheme="minorHAnsi" w:cstheme="minorHAnsi"/>
                <w:sz w:val="20"/>
                <w:szCs w:val="20"/>
              </w:rPr>
              <w:t xml:space="preserve"> Patterns of Seizure Control and Efficacious Target.</w:t>
            </w:r>
          </w:p>
          <w:p w14:paraId="362CE08A" w14:textId="61B34A59" w:rsidR="00F12476" w:rsidRPr="007602CB" w:rsidRDefault="00F12476" w:rsidP="00F12476">
            <w:pPr>
              <w:spacing w:after="0"/>
              <w:rPr>
                <w:rFonts w:cstheme="minorHAnsi"/>
                <w:szCs w:val="20"/>
              </w:rPr>
            </w:pPr>
            <w:r w:rsidRPr="007602CB">
              <w:rPr>
                <w:rFonts w:cstheme="minorHAnsi"/>
                <w:szCs w:val="20"/>
              </w:rPr>
              <w:t>Krishna V et al.</w:t>
            </w:r>
          </w:p>
        </w:tc>
        <w:tc>
          <w:tcPr>
            <w:tcW w:w="1423" w:type="pct"/>
          </w:tcPr>
          <w:p w14:paraId="72AEEDAA" w14:textId="428D5D78" w:rsidR="005C7126" w:rsidRPr="007602CB" w:rsidRDefault="00C34512" w:rsidP="00F12476">
            <w:pPr>
              <w:rPr>
                <w:rFonts w:cstheme="minorHAnsi"/>
                <w:szCs w:val="20"/>
              </w:rPr>
            </w:pPr>
            <w:r w:rsidRPr="007602CB">
              <w:rPr>
                <w:rFonts w:cstheme="minorHAnsi"/>
                <w:szCs w:val="20"/>
              </w:rPr>
              <w:t xml:space="preserve">16 </w:t>
            </w:r>
            <w:r w:rsidR="00F12476" w:rsidRPr="007602CB">
              <w:rPr>
                <w:rFonts w:cstheme="minorHAnsi"/>
                <w:szCs w:val="20"/>
              </w:rPr>
              <w:t xml:space="preserve">patients underwent ANT DBS with at least 1 year FU. 9 patients reported an immediate decrease in seizure frequency (insertional or </w:t>
            </w:r>
            <w:proofErr w:type="spellStart"/>
            <w:r w:rsidR="00F12476" w:rsidRPr="007602CB">
              <w:rPr>
                <w:rFonts w:cstheme="minorHAnsi"/>
                <w:szCs w:val="20"/>
              </w:rPr>
              <w:t>microthalamotomy</w:t>
            </w:r>
            <w:proofErr w:type="spellEnd"/>
            <w:r w:rsidR="00F12476" w:rsidRPr="007602CB">
              <w:rPr>
                <w:rFonts w:cstheme="minorHAnsi"/>
                <w:szCs w:val="20"/>
              </w:rPr>
              <w:t xml:space="preserve"> effect). 11 patients reported long-term response, with the most efficacious target being the anteroventral ANT. The study highlights the added benefit of precise electrode placement. </w:t>
            </w:r>
          </w:p>
        </w:tc>
        <w:tc>
          <w:tcPr>
            <w:tcW w:w="999" w:type="pct"/>
          </w:tcPr>
          <w:p w14:paraId="3BE0834D" w14:textId="67C9BF90" w:rsidR="00F12476" w:rsidRPr="007602CB" w:rsidRDefault="00977023" w:rsidP="00F12476">
            <w:pPr>
              <w:rPr>
                <w:rFonts w:cstheme="minorHAnsi"/>
                <w:szCs w:val="20"/>
              </w:rPr>
            </w:pPr>
            <w:r w:rsidRPr="007602CB">
              <w:rPr>
                <w:rFonts w:cstheme="minorHAnsi"/>
                <w:szCs w:val="20"/>
              </w:rPr>
              <w:t xml:space="preserve">Website </w:t>
            </w:r>
            <w:hyperlink r:id="rId24" w:history="1">
              <w:r w:rsidRPr="007602CB">
                <w:rPr>
                  <w:rStyle w:val="Hyperlink"/>
                  <w:rFonts w:cstheme="minorHAnsi"/>
                  <w:szCs w:val="20"/>
                </w:rPr>
                <w:t>link</w:t>
              </w:r>
            </w:hyperlink>
            <w:r w:rsidRPr="007602CB">
              <w:rPr>
                <w:rFonts w:cstheme="minorHAnsi"/>
                <w:szCs w:val="20"/>
              </w:rPr>
              <w:t xml:space="preserve"> </w:t>
            </w:r>
          </w:p>
        </w:tc>
        <w:tc>
          <w:tcPr>
            <w:tcW w:w="700" w:type="pct"/>
          </w:tcPr>
          <w:p w14:paraId="2F19F438" w14:textId="2062F08E" w:rsidR="00F12476" w:rsidRPr="007602CB" w:rsidRDefault="00F12476" w:rsidP="00F12476">
            <w:pPr>
              <w:rPr>
                <w:rFonts w:cstheme="minorHAnsi"/>
                <w:szCs w:val="20"/>
              </w:rPr>
            </w:pPr>
            <w:r w:rsidRPr="007602CB">
              <w:rPr>
                <w:rFonts w:cstheme="minorHAnsi"/>
                <w:szCs w:val="20"/>
              </w:rPr>
              <w:t>2016</w:t>
            </w:r>
          </w:p>
        </w:tc>
      </w:tr>
      <w:tr w:rsidR="00F12476" w14:paraId="52393A39" w14:textId="77777777" w:rsidTr="000F0ACD">
        <w:trPr>
          <w:cantSplit/>
        </w:trPr>
        <w:tc>
          <w:tcPr>
            <w:tcW w:w="168" w:type="pct"/>
          </w:tcPr>
          <w:p w14:paraId="7ED47B52" w14:textId="0EC9F72C" w:rsidR="00F12476" w:rsidRPr="00965B6B" w:rsidRDefault="0013243D" w:rsidP="00F12476">
            <w:pPr>
              <w:rPr>
                <w:szCs w:val="20"/>
              </w:rPr>
            </w:pPr>
            <w:r>
              <w:rPr>
                <w:szCs w:val="20"/>
              </w:rPr>
              <w:t>11</w:t>
            </w:r>
            <w:r w:rsidR="00C34512">
              <w:rPr>
                <w:szCs w:val="20"/>
              </w:rPr>
              <w:t>.</w:t>
            </w:r>
          </w:p>
        </w:tc>
        <w:tc>
          <w:tcPr>
            <w:tcW w:w="745" w:type="pct"/>
          </w:tcPr>
          <w:p w14:paraId="19120FAE" w14:textId="77777777" w:rsidR="00F12476" w:rsidRDefault="00F12476" w:rsidP="00F12476">
            <w:r>
              <w:t>P</w:t>
            </w:r>
            <w:r w:rsidRPr="00B667FD">
              <w:t xml:space="preserve">rospective, </w:t>
            </w:r>
            <w:r>
              <w:t xml:space="preserve">double blinded, parallel design, </w:t>
            </w:r>
            <w:r w:rsidRPr="00B667FD">
              <w:t>randomized</w:t>
            </w:r>
            <w:r>
              <w:t xml:space="preserve"> control trial</w:t>
            </w:r>
          </w:p>
          <w:p w14:paraId="388BFED6" w14:textId="77777777" w:rsidR="00F12476" w:rsidRDefault="00F12476" w:rsidP="00F12476"/>
        </w:tc>
        <w:tc>
          <w:tcPr>
            <w:tcW w:w="965" w:type="pct"/>
          </w:tcPr>
          <w:p w14:paraId="64F035DD" w14:textId="77777777" w:rsidR="00F12476" w:rsidRDefault="00F12476" w:rsidP="00F12476">
            <w:pPr>
              <w:spacing w:after="0"/>
            </w:pPr>
            <w:r w:rsidRPr="00B667FD">
              <w:t>Anterior thalamic deep brain stimulation in refractory epilepsy: A randomized, double-blinded study</w:t>
            </w:r>
            <w:r>
              <w:t>.</w:t>
            </w:r>
          </w:p>
          <w:p w14:paraId="6E4F4D34" w14:textId="77777777" w:rsidR="00F12476" w:rsidRDefault="00F12476" w:rsidP="00F12476">
            <w:pPr>
              <w:spacing w:after="0"/>
            </w:pPr>
            <w:r w:rsidRPr="004B6F0E">
              <w:rPr>
                <w:lang w:val="sv-SE"/>
              </w:rPr>
              <w:t>Herrman</w:t>
            </w:r>
            <w:r>
              <w:t xml:space="preserve"> H et al.</w:t>
            </w:r>
          </w:p>
          <w:p w14:paraId="6DBC2FEE" w14:textId="77777777" w:rsidR="00F12476" w:rsidRPr="00D723B9" w:rsidRDefault="00F12476" w:rsidP="00F12476">
            <w:pPr>
              <w:spacing w:after="0"/>
            </w:pPr>
          </w:p>
        </w:tc>
        <w:tc>
          <w:tcPr>
            <w:tcW w:w="1423" w:type="pct"/>
          </w:tcPr>
          <w:p w14:paraId="6787B5A5" w14:textId="09A0B34C" w:rsidR="00F12476" w:rsidRDefault="005C7126" w:rsidP="00F12476">
            <w:r>
              <w:t xml:space="preserve">Studied the safety and efficacy of anterior thalamic nucleus DBS </w:t>
            </w:r>
            <w:r w:rsidRPr="005C7126">
              <w:t>in n=18 patients with f</w:t>
            </w:r>
            <w:r>
              <w:t>ocal, pharmaco-resistant epilepsy for 12 months. S</w:t>
            </w:r>
            <w:r w:rsidRPr="005C7126">
              <w:t xml:space="preserve">tudy supports results from earlier studies </w:t>
            </w:r>
            <w:r w:rsidR="004B6F0E">
              <w:t>suggesting</w:t>
            </w:r>
            <w:r w:rsidR="004B6F0E" w:rsidRPr="005C7126">
              <w:t xml:space="preserve"> </w:t>
            </w:r>
            <w:r w:rsidRPr="005C7126">
              <w:t xml:space="preserve">DBS </w:t>
            </w:r>
            <w:r w:rsidR="004B6F0E">
              <w:t xml:space="preserve">is </w:t>
            </w:r>
            <w:r w:rsidRPr="005C7126">
              <w:t>as a safe treatment option, with effects even in patients with severe, refractory epilepsy</w:t>
            </w:r>
            <w:r>
              <w:t>.</w:t>
            </w:r>
          </w:p>
        </w:tc>
        <w:tc>
          <w:tcPr>
            <w:tcW w:w="999" w:type="pct"/>
          </w:tcPr>
          <w:p w14:paraId="4681E43B" w14:textId="616BBB8C" w:rsidR="004B6F0E" w:rsidRDefault="00F12476" w:rsidP="004B6F0E">
            <w:pPr>
              <w:rPr>
                <w:rStyle w:val="Hyperlink"/>
              </w:rPr>
            </w:pPr>
            <w:r>
              <w:t xml:space="preserve">Website </w:t>
            </w:r>
            <w:hyperlink r:id="rId25" w:history="1">
              <w:r w:rsidRPr="00495230">
                <w:rPr>
                  <w:rStyle w:val="Hyperlink"/>
                </w:rPr>
                <w:t>link</w:t>
              </w:r>
            </w:hyperlink>
          </w:p>
          <w:p w14:paraId="5AE9868E" w14:textId="77777777" w:rsidR="005C7126" w:rsidRDefault="005C7126" w:rsidP="00F12476">
            <w:pPr>
              <w:rPr>
                <w:rStyle w:val="Hyperlink"/>
              </w:rPr>
            </w:pPr>
          </w:p>
          <w:p w14:paraId="5C506244" w14:textId="7EDF6318" w:rsidR="005C7126" w:rsidRDefault="005C7126" w:rsidP="005C7126"/>
        </w:tc>
        <w:tc>
          <w:tcPr>
            <w:tcW w:w="700" w:type="pct"/>
          </w:tcPr>
          <w:p w14:paraId="12D6B70D" w14:textId="2899A6FD" w:rsidR="00F12476" w:rsidRDefault="00F12476" w:rsidP="00F12476">
            <w:r>
              <w:t>2019</w:t>
            </w:r>
          </w:p>
        </w:tc>
      </w:tr>
      <w:tr w:rsidR="00F12476" w14:paraId="3981025E" w14:textId="77777777" w:rsidTr="000F0ACD">
        <w:trPr>
          <w:cantSplit/>
        </w:trPr>
        <w:tc>
          <w:tcPr>
            <w:tcW w:w="168" w:type="pct"/>
          </w:tcPr>
          <w:p w14:paraId="44A4DD3E" w14:textId="750B2D98" w:rsidR="00F12476" w:rsidRPr="00965B6B" w:rsidRDefault="0013243D" w:rsidP="00F12476">
            <w:pPr>
              <w:rPr>
                <w:szCs w:val="20"/>
              </w:rPr>
            </w:pPr>
            <w:r>
              <w:rPr>
                <w:szCs w:val="20"/>
              </w:rPr>
              <w:lastRenderedPageBreak/>
              <w:t>12</w:t>
            </w:r>
            <w:r w:rsidR="004B6F0E">
              <w:rPr>
                <w:szCs w:val="20"/>
              </w:rPr>
              <w:t>.</w:t>
            </w:r>
          </w:p>
        </w:tc>
        <w:tc>
          <w:tcPr>
            <w:tcW w:w="745" w:type="pct"/>
          </w:tcPr>
          <w:p w14:paraId="03C87F93" w14:textId="0526D709" w:rsidR="00F12476" w:rsidRDefault="00F12476" w:rsidP="00F12476">
            <w:r>
              <w:t xml:space="preserve">Prospective cohort </w:t>
            </w:r>
          </w:p>
        </w:tc>
        <w:tc>
          <w:tcPr>
            <w:tcW w:w="965" w:type="pct"/>
          </w:tcPr>
          <w:p w14:paraId="3E14263F" w14:textId="77777777" w:rsidR="00F12476" w:rsidRDefault="00F12476" w:rsidP="00F12476">
            <w:r w:rsidRPr="001E6C73">
              <w:t>Long-term outcome of anterior thalamic nucleus stimulation for intractable epilepsy</w:t>
            </w:r>
            <w:r>
              <w:t>.</w:t>
            </w:r>
          </w:p>
          <w:p w14:paraId="3DD2DB08" w14:textId="260C1EA6" w:rsidR="00F12476" w:rsidRPr="00D723B9" w:rsidRDefault="00F12476" w:rsidP="00F12476">
            <w:pPr>
              <w:spacing w:after="0"/>
            </w:pPr>
            <w:r>
              <w:t>Lee KJ et al.</w:t>
            </w:r>
          </w:p>
        </w:tc>
        <w:tc>
          <w:tcPr>
            <w:tcW w:w="1423" w:type="pct"/>
          </w:tcPr>
          <w:p w14:paraId="5D299753" w14:textId="4DBFBBDF" w:rsidR="00F12476" w:rsidRPr="0051596E" w:rsidRDefault="00F12476" w:rsidP="00F12476">
            <w:pPr>
              <w:rPr>
                <w:highlight w:val="yellow"/>
              </w:rPr>
            </w:pPr>
            <w:r>
              <w:t xml:space="preserve">Bilateral </w:t>
            </w:r>
            <w:r w:rsidRPr="00CB4B4F">
              <w:t xml:space="preserve">ATN </w:t>
            </w:r>
            <w:r>
              <w:t xml:space="preserve">DBS in </w:t>
            </w:r>
            <w:r w:rsidRPr="00CB4B4F">
              <w:t>patients with intractable epilepsy</w:t>
            </w:r>
            <w:r>
              <w:t xml:space="preserve"> (n=15). S</w:t>
            </w:r>
            <w:r w:rsidRPr="00CB4B4F">
              <w:t xml:space="preserve">ignificant decrease in the seizure frequency, with a mean reduction of 70.4% (mean follow-up, 27 months). </w:t>
            </w:r>
            <w:r>
              <w:t xml:space="preserve">4 patients had a </w:t>
            </w:r>
            <w:r>
              <w:rPr>
                <w:rFonts w:cstheme="minorHAnsi"/>
              </w:rPr>
              <w:t>≥</w:t>
            </w:r>
            <w:r>
              <w:t xml:space="preserve">90% seizure reduction and 1 patient was seizure free. </w:t>
            </w:r>
          </w:p>
        </w:tc>
        <w:tc>
          <w:tcPr>
            <w:tcW w:w="999" w:type="pct"/>
          </w:tcPr>
          <w:p w14:paraId="1F9F27B1" w14:textId="0568D777" w:rsidR="00F12476" w:rsidRDefault="00F12476" w:rsidP="00F12476">
            <w:r>
              <w:t xml:space="preserve">Website </w:t>
            </w:r>
            <w:hyperlink r:id="rId26" w:history="1">
              <w:r w:rsidRPr="00C525B6">
                <w:rPr>
                  <w:rStyle w:val="Hyperlink"/>
                </w:rPr>
                <w:t>link</w:t>
              </w:r>
            </w:hyperlink>
            <w:r>
              <w:t xml:space="preserve"> </w:t>
            </w:r>
          </w:p>
        </w:tc>
        <w:tc>
          <w:tcPr>
            <w:tcW w:w="700" w:type="pct"/>
          </w:tcPr>
          <w:p w14:paraId="37C2714A" w14:textId="221E9552" w:rsidR="00F12476" w:rsidRDefault="00F12476" w:rsidP="00F12476">
            <w:r>
              <w:t>2012</w:t>
            </w:r>
          </w:p>
        </w:tc>
      </w:tr>
      <w:tr w:rsidR="00F12476" w14:paraId="60CEA8B4" w14:textId="77777777" w:rsidTr="000F0ACD">
        <w:trPr>
          <w:cantSplit/>
        </w:trPr>
        <w:tc>
          <w:tcPr>
            <w:tcW w:w="168" w:type="pct"/>
          </w:tcPr>
          <w:p w14:paraId="44520463" w14:textId="4F9747EE" w:rsidR="00F12476" w:rsidRPr="00965B6B" w:rsidRDefault="0013243D" w:rsidP="00F12476">
            <w:pPr>
              <w:rPr>
                <w:szCs w:val="20"/>
              </w:rPr>
            </w:pPr>
            <w:r>
              <w:rPr>
                <w:szCs w:val="20"/>
              </w:rPr>
              <w:t>13</w:t>
            </w:r>
            <w:r w:rsidR="004B6F0E">
              <w:rPr>
                <w:szCs w:val="20"/>
              </w:rPr>
              <w:t>.</w:t>
            </w:r>
          </w:p>
        </w:tc>
        <w:tc>
          <w:tcPr>
            <w:tcW w:w="745" w:type="pct"/>
          </w:tcPr>
          <w:p w14:paraId="197F1F03" w14:textId="08CE0F68" w:rsidR="00F12476" w:rsidRDefault="00F12476" w:rsidP="00F12476">
            <w:r>
              <w:t>Delphi method</w:t>
            </w:r>
          </w:p>
        </w:tc>
        <w:tc>
          <w:tcPr>
            <w:tcW w:w="965" w:type="pct"/>
          </w:tcPr>
          <w:p w14:paraId="62AB662C" w14:textId="3BE479D4" w:rsidR="00F12476" w:rsidRDefault="00F12476" w:rsidP="00F12476">
            <w:pPr>
              <w:spacing w:after="0"/>
            </w:pPr>
            <w:r w:rsidRPr="005A67B2">
              <w:t>European Expert Opinion on ANT-DBS therapy for patients with drug-resistant epilepsy (a Delphi consensus).</w:t>
            </w:r>
          </w:p>
          <w:p w14:paraId="647B9C85" w14:textId="77777777" w:rsidR="00F12476" w:rsidRDefault="00F12476" w:rsidP="00F12476">
            <w:pPr>
              <w:spacing w:after="0"/>
            </w:pPr>
            <w:r w:rsidRPr="005A67B2">
              <w:t>Kaufmann E</w:t>
            </w:r>
            <w:r>
              <w:t xml:space="preserve"> et al. </w:t>
            </w:r>
          </w:p>
          <w:p w14:paraId="3CD56FC9" w14:textId="77777777" w:rsidR="00F12476" w:rsidRPr="00D723B9" w:rsidRDefault="00F12476" w:rsidP="00F12476">
            <w:pPr>
              <w:spacing w:after="0"/>
            </w:pPr>
          </w:p>
        </w:tc>
        <w:tc>
          <w:tcPr>
            <w:tcW w:w="1423" w:type="pct"/>
          </w:tcPr>
          <w:p w14:paraId="632E469D" w14:textId="58310FBC" w:rsidR="008407D7" w:rsidRDefault="00F12476" w:rsidP="00F12476">
            <w:r>
              <w:t xml:space="preserve">Expert panel 10 neurologists, 4 neurosurgeons. Delphi method consensus. Real world consensus that ANT-DBS has the potential to significantly reduce seizure frequency and severity with typical success rates in line with SANTE. </w:t>
            </w:r>
          </w:p>
        </w:tc>
        <w:tc>
          <w:tcPr>
            <w:tcW w:w="999" w:type="pct"/>
          </w:tcPr>
          <w:p w14:paraId="0157D1A7" w14:textId="7594B173" w:rsidR="00F12476" w:rsidRDefault="008407D7" w:rsidP="00F12476">
            <w:r>
              <w:t xml:space="preserve">Website </w:t>
            </w:r>
            <w:hyperlink r:id="rId27" w:history="1">
              <w:r w:rsidRPr="008407D7">
                <w:rPr>
                  <w:rStyle w:val="Hyperlink"/>
                </w:rPr>
                <w:t>link</w:t>
              </w:r>
            </w:hyperlink>
            <w:r>
              <w:t xml:space="preserve"> </w:t>
            </w:r>
          </w:p>
        </w:tc>
        <w:tc>
          <w:tcPr>
            <w:tcW w:w="700" w:type="pct"/>
          </w:tcPr>
          <w:p w14:paraId="21129444" w14:textId="76889061" w:rsidR="00F12476" w:rsidRDefault="00F12476" w:rsidP="00F12476">
            <w:r>
              <w:t>2020</w:t>
            </w:r>
          </w:p>
        </w:tc>
      </w:tr>
      <w:tr w:rsidR="00F12476" w14:paraId="111245EA" w14:textId="77777777" w:rsidTr="000F0ACD">
        <w:trPr>
          <w:cantSplit/>
        </w:trPr>
        <w:tc>
          <w:tcPr>
            <w:tcW w:w="168" w:type="pct"/>
          </w:tcPr>
          <w:p w14:paraId="0B1CF5D1" w14:textId="6D358546" w:rsidR="00F12476" w:rsidRPr="00965B6B" w:rsidRDefault="0013243D" w:rsidP="00F12476">
            <w:pPr>
              <w:rPr>
                <w:szCs w:val="20"/>
              </w:rPr>
            </w:pPr>
            <w:r>
              <w:rPr>
                <w:szCs w:val="20"/>
              </w:rPr>
              <w:t>14</w:t>
            </w:r>
            <w:r w:rsidR="004B6F0E">
              <w:rPr>
                <w:szCs w:val="20"/>
              </w:rPr>
              <w:t>.</w:t>
            </w:r>
          </w:p>
        </w:tc>
        <w:tc>
          <w:tcPr>
            <w:tcW w:w="745" w:type="pct"/>
          </w:tcPr>
          <w:p w14:paraId="710F153C" w14:textId="23000AA6" w:rsidR="00F12476" w:rsidRDefault="00F12476" w:rsidP="00F12476">
            <w:r w:rsidRPr="005E1A64">
              <w:rPr>
                <w:bCs/>
                <w:szCs w:val="20"/>
              </w:rPr>
              <w:t xml:space="preserve">Prospective </w:t>
            </w:r>
            <w:r>
              <w:rPr>
                <w:bCs/>
                <w:szCs w:val="20"/>
              </w:rPr>
              <w:t>cohort</w:t>
            </w:r>
            <w:r>
              <w:rPr>
                <w:b/>
                <w:szCs w:val="20"/>
              </w:rPr>
              <w:t xml:space="preserve"> </w:t>
            </w:r>
          </w:p>
        </w:tc>
        <w:tc>
          <w:tcPr>
            <w:tcW w:w="965" w:type="pct"/>
          </w:tcPr>
          <w:p w14:paraId="53A5388D" w14:textId="77777777" w:rsidR="00F12476" w:rsidRDefault="00F12476" w:rsidP="00F12476">
            <w:pPr>
              <w:rPr>
                <w:bCs/>
                <w:szCs w:val="20"/>
              </w:rPr>
            </w:pPr>
            <w:r w:rsidRPr="00DC78BC">
              <w:rPr>
                <w:bCs/>
                <w:szCs w:val="20"/>
              </w:rPr>
              <w:t>Outcome based definition of the anterior thalamic deep brain stimulation target in refractory epilepsy.</w:t>
            </w:r>
          </w:p>
          <w:p w14:paraId="6AAE957B" w14:textId="0477668C" w:rsidR="00F12476" w:rsidRPr="00D723B9" w:rsidRDefault="00F12476" w:rsidP="00F12476">
            <w:pPr>
              <w:spacing w:after="0"/>
            </w:pPr>
            <w:proofErr w:type="spellStart"/>
            <w:r>
              <w:rPr>
                <w:bCs/>
                <w:szCs w:val="20"/>
              </w:rPr>
              <w:t>Lehtimaki</w:t>
            </w:r>
            <w:proofErr w:type="spellEnd"/>
            <w:r>
              <w:rPr>
                <w:bCs/>
                <w:szCs w:val="20"/>
              </w:rPr>
              <w:t xml:space="preserve"> K et al.</w:t>
            </w:r>
          </w:p>
        </w:tc>
        <w:tc>
          <w:tcPr>
            <w:tcW w:w="1423" w:type="pct"/>
          </w:tcPr>
          <w:p w14:paraId="46A98519" w14:textId="67EB82A4" w:rsidR="00F12476" w:rsidRDefault="00F12476" w:rsidP="00F12476">
            <w:r>
              <w:t xml:space="preserve">Trial defining the </w:t>
            </w:r>
            <w:r w:rsidRPr="00516E1E">
              <w:t xml:space="preserve">optimal target for </w:t>
            </w:r>
            <w:r>
              <w:t xml:space="preserve">ANT </w:t>
            </w:r>
            <w:r w:rsidRPr="00516E1E">
              <w:t xml:space="preserve">DBS in refractory epilepsy in </w:t>
            </w:r>
            <w:r w:rsidRPr="00B35FCA">
              <w:rPr>
                <w:b/>
                <w:bCs/>
              </w:rPr>
              <w:t>n=</w:t>
            </w:r>
            <w:r w:rsidRPr="00516E1E">
              <w:rPr>
                <w:b/>
                <w:bCs/>
              </w:rPr>
              <w:t>15</w:t>
            </w:r>
            <w:r w:rsidRPr="00516E1E">
              <w:t xml:space="preserve"> prospectively followed patients, during a 5-year period.</w:t>
            </w:r>
            <w:r>
              <w:t xml:space="preserve"> Ideal effective region of stimulation identified, potentially improving efficacy over original RCTs. </w:t>
            </w:r>
          </w:p>
        </w:tc>
        <w:tc>
          <w:tcPr>
            <w:tcW w:w="999" w:type="pct"/>
          </w:tcPr>
          <w:p w14:paraId="7063DBC2" w14:textId="3517CFB5" w:rsidR="00F12476" w:rsidRDefault="00F12476" w:rsidP="00F12476">
            <w:r>
              <w:rPr>
                <w:bCs/>
                <w:szCs w:val="20"/>
              </w:rPr>
              <w:t xml:space="preserve">Website </w:t>
            </w:r>
            <w:hyperlink r:id="rId28" w:history="1">
              <w:r w:rsidRPr="00556F8D">
                <w:rPr>
                  <w:rStyle w:val="Hyperlink"/>
                  <w:bCs/>
                  <w:szCs w:val="20"/>
                </w:rPr>
                <w:t>link</w:t>
              </w:r>
            </w:hyperlink>
            <w:r>
              <w:rPr>
                <w:bCs/>
                <w:szCs w:val="20"/>
              </w:rPr>
              <w:t xml:space="preserve"> </w:t>
            </w:r>
          </w:p>
        </w:tc>
        <w:tc>
          <w:tcPr>
            <w:tcW w:w="700" w:type="pct"/>
          </w:tcPr>
          <w:p w14:paraId="41F28CD9" w14:textId="6D882A91" w:rsidR="00F12476" w:rsidRDefault="00F12476" w:rsidP="00F12476">
            <w:r>
              <w:rPr>
                <w:bCs/>
                <w:szCs w:val="20"/>
              </w:rPr>
              <w:t>2016</w:t>
            </w:r>
          </w:p>
        </w:tc>
      </w:tr>
      <w:tr w:rsidR="00F12476" w14:paraId="156A42C4" w14:textId="77777777" w:rsidTr="000F0ACD">
        <w:trPr>
          <w:cantSplit/>
        </w:trPr>
        <w:tc>
          <w:tcPr>
            <w:tcW w:w="168" w:type="pct"/>
          </w:tcPr>
          <w:p w14:paraId="4C4BFCCB" w14:textId="50FFB222" w:rsidR="00F12476" w:rsidRPr="00965B6B" w:rsidRDefault="0013243D" w:rsidP="00F12476">
            <w:pPr>
              <w:rPr>
                <w:szCs w:val="20"/>
              </w:rPr>
            </w:pPr>
            <w:r>
              <w:rPr>
                <w:szCs w:val="20"/>
              </w:rPr>
              <w:t>15</w:t>
            </w:r>
            <w:r w:rsidR="004B6F0E">
              <w:rPr>
                <w:szCs w:val="20"/>
              </w:rPr>
              <w:t>.</w:t>
            </w:r>
          </w:p>
        </w:tc>
        <w:tc>
          <w:tcPr>
            <w:tcW w:w="745" w:type="pct"/>
          </w:tcPr>
          <w:p w14:paraId="1A2DE020" w14:textId="6AADDC21" w:rsidR="00F12476" w:rsidRPr="005E1A64" w:rsidRDefault="00F12476" w:rsidP="00F12476">
            <w:pPr>
              <w:rPr>
                <w:bCs/>
                <w:szCs w:val="20"/>
              </w:rPr>
            </w:pPr>
            <w:r>
              <w:t>Prospective cohort</w:t>
            </w:r>
          </w:p>
        </w:tc>
        <w:tc>
          <w:tcPr>
            <w:tcW w:w="965" w:type="pct"/>
          </w:tcPr>
          <w:p w14:paraId="5CE5D8AF" w14:textId="2DFC1CAA" w:rsidR="00F12476" w:rsidRDefault="00F12476" w:rsidP="00F12476">
            <w:pPr>
              <w:spacing w:after="0"/>
            </w:pPr>
            <w:r w:rsidRPr="008B47EF">
              <w:t>Deep Brain Stimulation in Epilepsy: A Role for Modulation of the Mammillothalamic Tract in Seizure Control?</w:t>
            </w:r>
          </w:p>
          <w:p w14:paraId="6CFBE013" w14:textId="78B6A124" w:rsidR="00F12476" w:rsidRPr="00DC78BC" w:rsidRDefault="00F12476" w:rsidP="00F12476">
            <w:pPr>
              <w:rPr>
                <w:bCs/>
                <w:szCs w:val="20"/>
              </w:rPr>
            </w:pPr>
            <w:r w:rsidRPr="008B47EF">
              <w:t>Schaper FLWVJ</w:t>
            </w:r>
            <w:r>
              <w:t xml:space="preserve"> et al. </w:t>
            </w:r>
          </w:p>
        </w:tc>
        <w:tc>
          <w:tcPr>
            <w:tcW w:w="1423" w:type="pct"/>
          </w:tcPr>
          <w:p w14:paraId="15D01870" w14:textId="29F5DF2F" w:rsidR="005438F5" w:rsidRDefault="004B6F0E" w:rsidP="00F12476">
            <w:r>
              <w:t>Investigated relationship</w:t>
            </w:r>
            <w:r w:rsidR="00F12476">
              <w:t xml:space="preserve"> between seizure control and location of active contacts to the ANT-MTT junction in 20 patients with ANT-DBS. </w:t>
            </w:r>
            <w:r w:rsidR="00F12476" w:rsidRPr="009D560C">
              <w:t xml:space="preserve">After 1 </w:t>
            </w:r>
            <w:proofErr w:type="spellStart"/>
            <w:r w:rsidR="00F12476" w:rsidRPr="009D560C">
              <w:t>yr</w:t>
            </w:r>
            <w:proofErr w:type="spellEnd"/>
            <w:r w:rsidR="00F12476" w:rsidRPr="009D560C">
              <w:t xml:space="preserve"> of stimulation, patients had a median 46% reduction in total seizure frequency, 50% were responders, and 20% of patients were seizure-free.</w:t>
            </w:r>
            <w:r w:rsidR="00F12476">
              <w:t xml:space="preserve"> The stimulation zone for responders was further defined.</w:t>
            </w:r>
          </w:p>
        </w:tc>
        <w:tc>
          <w:tcPr>
            <w:tcW w:w="999" w:type="pct"/>
          </w:tcPr>
          <w:p w14:paraId="6B464AF0" w14:textId="167AE5FE" w:rsidR="00F12476" w:rsidRDefault="005438F5" w:rsidP="00F12476">
            <w:pPr>
              <w:rPr>
                <w:bCs/>
                <w:szCs w:val="20"/>
              </w:rPr>
            </w:pPr>
            <w:r>
              <w:rPr>
                <w:bCs/>
                <w:szCs w:val="20"/>
              </w:rPr>
              <w:t xml:space="preserve">Website </w:t>
            </w:r>
            <w:hyperlink r:id="rId29" w:history="1">
              <w:r w:rsidRPr="005438F5">
                <w:rPr>
                  <w:rStyle w:val="Hyperlink"/>
                  <w:bCs/>
                  <w:szCs w:val="20"/>
                </w:rPr>
                <w:t>link</w:t>
              </w:r>
            </w:hyperlink>
            <w:r>
              <w:rPr>
                <w:bCs/>
                <w:szCs w:val="20"/>
              </w:rPr>
              <w:t xml:space="preserve"> </w:t>
            </w:r>
          </w:p>
        </w:tc>
        <w:tc>
          <w:tcPr>
            <w:tcW w:w="700" w:type="pct"/>
          </w:tcPr>
          <w:p w14:paraId="02B5D99E" w14:textId="6B799F78" w:rsidR="00F12476" w:rsidRDefault="00F12476" w:rsidP="00F12476">
            <w:pPr>
              <w:rPr>
                <w:bCs/>
                <w:szCs w:val="20"/>
              </w:rPr>
            </w:pPr>
            <w:r>
              <w:t>2020</w:t>
            </w:r>
          </w:p>
        </w:tc>
      </w:tr>
      <w:tr w:rsidR="00F12476" w14:paraId="06329D0B" w14:textId="77777777" w:rsidTr="000F0ACD">
        <w:trPr>
          <w:cantSplit/>
        </w:trPr>
        <w:tc>
          <w:tcPr>
            <w:tcW w:w="168" w:type="pct"/>
          </w:tcPr>
          <w:p w14:paraId="2099BEB6" w14:textId="587FDF38" w:rsidR="00F12476" w:rsidRPr="00965B6B" w:rsidRDefault="0013243D" w:rsidP="00F12476">
            <w:pPr>
              <w:rPr>
                <w:szCs w:val="20"/>
              </w:rPr>
            </w:pPr>
            <w:r>
              <w:rPr>
                <w:szCs w:val="20"/>
              </w:rPr>
              <w:lastRenderedPageBreak/>
              <w:t>16</w:t>
            </w:r>
            <w:r w:rsidR="004B6F0E">
              <w:rPr>
                <w:szCs w:val="20"/>
              </w:rPr>
              <w:t>.</w:t>
            </w:r>
          </w:p>
        </w:tc>
        <w:tc>
          <w:tcPr>
            <w:tcW w:w="745" w:type="pct"/>
          </w:tcPr>
          <w:p w14:paraId="45361EF3" w14:textId="6F750BBA" w:rsidR="00F12476" w:rsidRPr="005E1A64" w:rsidRDefault="00F12476" w:rsidP="00F12476">
            <w:pPr>
              <w:rPr>
                <w:bCs/>
                <w:szCs w:val="20"/>
              </w:rPr>
            </w:pPr>
            <w:r>
              <w:t>Prospective cohort</w:t>
            </w:r>
          </w:p>
        </w:tc>
        <w:tc>
          <w:tcPr>
            <w:tcW w:w="965" w:type="pct"/>
          </w:tcPr>
          <w:p w14:paraId="27ACCB83" w14:textId="33F3DFFE" w:rsidR="00F12476" w:rsidRPr="00535215" w:rsidRDefault="00F12476" w:rsidP="00F12476">
            <w:pPr>
              <w:spacing w:after="0"/>
              <w:rPr>
                <w:rFonts w:ascii="Segoe UI" w:hAnsi="Segoe UI" w:cs="Segoe UI"/>
                <w:sz w:val="18"/>
                <w:szCs w:val="18"/>
              </w:rPr>
            </w:pPr>
            <w:r>
              <w:rPr>
                <w:rFonts w:ascii="Segoe UI" w:hAnsi="Segoe UI" w:cs="Segoe UI"/>
                <w:sz w:val="18"/>
                <w:szCs w:val="18"/>
              </w:rPr>
              <w:t xml:space="preserve">Defining the optimal target for anterior thalamic deep brain stimulation in patients with drug-refractory epilepsy. </w:t>
            </w:r>
          </w:p>
          <w:p w14:paraId="484E35C4" w14:textId="461FBB08" w:rsidR="00F12476" w:rsidRPr="00DC78BC" w:rsidRDefault="00F12476" w:rsidP="00F12476">
            <w:pPr>
              <w:rPr>
                <w:bCs/>
                <w:szCs w:val="20"/>
              </w:rPr>
            </w:pPr>
            <w:r>
              <w:rPr>
                <w:rFonts w:ascii="Segoe UI" w:hAnsi="Segoe UI" w:cs="Segoe UI"/>
                <w:sz w:val="18"/>
                <w:szCs w:val="18"/>
              </w:rPr>
              <w:t>Guo W</w:t>
            </w:r>
            <w:r w:rsidR="00A52CEF">
              <w:rPr>
                <w:rFonts w:ascii="Segoe UI" w:hAnsi="Segoe UI" w:cs="Segoe UI"/>
                <w:sz w:val="18"/>
                <w:szCs w:val="18"/>
              </w:rPr>
              <w:t xml:space="preserve"> </w:t>
            </w:r>
            <w:r>
              <w:rPr>
                <w:rFonts w:ascii="Segoe UI" w:hAnsi="Segoe UI" w:cs="Segoe UI"/>
                <w:sz w:val="18"/>
                <w:szCs w:val="18"/>
              </w:rPr>
              <w:t>et al.</w:t>
            </w:r>
          </w:p>
        </w:tc>
        <w:tc>
          <w:tcPr>
            <w:tcW w:w="1423" w:type="pct"/>
          </w:tcPr>
          <w:p w14:paraId="7B718E7F" w14:textId="0FF432B9" w:rsidR="00A81394" w:rsidRDefault="004B6F0E" w:rsidP="00F12476">
            <w:r>
              <w:t xml:space="preserve">Refined </w:t>
            </w:r>
            <w:r w:rsidR="00F12476">
              <w:t xml:space="preserve">the successful targeting of ATN DBS in responders (n=25 patients). 47.4% responders at 6 months. </w:t>
            </w:r>
            <w:r w:rsidR="00A81394">
              <w:t xml:space="preserve">6 </w:t>
            </w:r>
            <w:r w:rsidR="00F12476">
              <w:t xml:space="preserve">patients became responders with adjustment of </w:t>
            </w:r>
            <w:r w:rsidR="00A81394">
              <w:t>active</w:t>
            </w:r>
            <w:r w:rsidR="00F12476">
              <w:t xml:space="preserve"> contacts (total 78.9% responder rate after 6 months)</w:t>
            </w:r>
            <w:r>
              <w:t>. A</w:t>
            </w:r>
            <w:r w:rsidR="00F12476">
              <w:t xml:space="preserve">verage seizure reduction 64.3% in 1 year. With this approach responder rates can potentially be improved compared to initial RCTs. </w:t>
            </w:r>
          </w:p>
        </w:tc>
        <w:tc>
          <w:tcPr>
            <w:tcW w:w="999" w:type="pct"/>
          </w:tcPr>
          <w:p w14:paraId="0FC7B4B5" w14:textId="5C928DF3" w:rsidR="00A52CEF" w:rsidRDefault="00A52CEF" w:rsidP="00F12476">
            <w:pPr>
              <w:rPr>
                <w:bCs/>
                <w:szCs w:val="20"/>
              </w:rPr>
            </w:pPr>
            <w:r>
              <w:rPr>
                <w:bCs/>
                <w:szCs w:val="20"/>
              </w:rPr>
              <w:t xml:space="preserve">Website </w:t>
            </w:r>
            <w:hyperlink r:id="rId30" w:history="1">
              <w:r w:rsidRPr="00A52CEF">
                <w:rPr>
                  <w:rStyle w:val="Hyperlink"/>
                  <w:bCs/>
                  <w:szCs w:val="20"/>
                </w:rPr>
                <w:t>link</w:t>
              </w:r>
            </w:hyperlink>
            <w:r>
              <w:rPr>
                <w:bCs/>
                <w:szCs w:val="20"/>
              </w:rPr>
              <w:t xml:space="preserve"> </w:t>
            </w:r>
          </w:p>
          <w:p w14:paraId="01CC0165" w14:textId="77777777" w:rsidR="00A52CEF" w:rsidRDefault="00A52CEF" w:rsidP="00F12476">
            <w:pPr>
              <w:rPr>
                <w:bCs/>
                <w:szCs w:val="20"/>
              </w:rPr>
            </w:pPr>
          </w:p>
          <w:p w14:paraId="4E74865D" w14:textId="65042259" w:rsidR="00F12476" w:rsidRDefault="00A52CEF" w:rsidP="00F12476">
            <w:pPr>
              <w:rPr>
                <w:bCs/>
                <w:szCs w:val="20"/>
              </w:rPr>
            </w:pPr>
            <w:r>
              <w:rPr>
                <w:bCs/>
                <w:szCs w:val="20"/>
              </w:rPr>
              <w:t xml:space="preserve"> </w:t>
            </w:r>
          </w:p>
        </w:tc>
        <w:tc>
          <w:tcPr>
            <w:tcW w:w="700" w:type="pct"/>
          </w:tcPr>
          <w:p w14:paraId="67536ABC" w14:textId="0E3CD01F" w:rsidR="00A52CEF" w:rsidRDefault="00A52CEF" w:rsidP="00F12476">
            <w:pPr>
              <w:rPr>
                <w:bCs/>
                <w:szCs w:val="20"/>
              </w:rPr>
            </w:pPr>
            <w:r w:rsidRPr="00A81394">
              <w:rPr>
                <w:bCs/>
                <w:szCs w:val="20"/>
              </w:rPr>
              <w:t>2020</w:t>
            </w:r>
          </w:p>
        </w:tc>
      </w:tr>
      <w:tr w:rsidR="00F12476" w14:paraId="11B37417" w14:textId="77777777" w:rsidTr="000F0ACD">
        <w:trPr>
          <w:cantSplit/>
        </w:trPr>
        <w:tc>
          <w:tcPr>
            <w:tcW w:w="168" w:type="pct"/>
          </w:tcPr>
          <w:p w14:paraId="0FF2F506" w14:textId="264AAE49" w:rsidR="00F12476" w:rsidRPr="00965B6B" w:rsidRDefault="0013243D" w:rsidP="00F12476">
            <w:pPr>
              <w:rPr>
                <w:szCs w:val="20"/>
              </w:rPr>
            </w:pPr>
            <w:r>
              <w:rPr>
                <w:szCs w:val="20"/>
              </w:rPr>
              <w:t>17</w:t>
            </w:r>
            <w:r w:rsidR="004B6F0E">
              <w:rPr>
                <w:szCs w:val="20"/>
              </w:rPr>
              <w:t>.</w:t>
            </w:r>
          </w:p>
        </w:tc>
        <w:tc>
          <w:tcPr>
            <w:tcW w:w="745" w:type="pct"/>
          </w:tcPr>
          <w:p w14:paraId="76AEA358" w14:textId="59E88C85" w:rsidR="00F12476" w:rsidRPr="005E1A64" w:rsidRDefault="00F12476" w:rsidP="00F12476">
            <w:pPr>
              <w:rPr>
                <w:bCs/>
                <w:szCs w:val="20"/>
              </w:rPr>
            </w:pPr>
            <w:r>
              <w:t xml:space="preserve">Cochrane systematic review </w:t>
            </w:r>
          </w:p>
        </w:tc>
        <w:tc>
          <w:tcPr>
            <w:tcW w:w="965" w:type="pct"/>
          </w:tcPr>
          <w:p w14:paraId="4963BFBB" w14:textId="77777777" w:rsidR="00F12476" w:rsidRDefault="00F12476" w:rsidP="00F12476">
            <w:pPr>
              <w:spacing w:after="0"/>
            </w:pPr>
            <w:r w:rsidRPr="00B35FCA">
              <w:t>Deep brain and cortical stimulation for epilepsy</w:t>
            </w:r>
            <w:r>
              <w:t>.</w:t>
            </w:r>
          </w:p>
          <w:p w14:paraId="12BF349D" w14:textId="77777777" w:rsidR="00F12476" w:rsidRDefault="00F12476" w:rsidP="00F12476">
            <w:pPr>
              <w:spacing w:after="0"/>
            </w:pPr>
            <w:r w:rsidRPr="004B6F0E">
              <w:rPr>
                <w:lang w:val="de-DE"/>
              </w:rPr>
              <w:t>Sprengers</w:t>
            </w:r>
            <w:r>
              <w:t xml:space="preserve"> M et al.</w:t>
            </w:r>
          </w:p>
          <w:p w14:paraId="24BD61B4" w14:textId="77777777" w:rsidR="00F12476" w:rsidRPr="00DC78BC" w:rsidRDefault="00F12476" w:rsidP="00F12476">
            <w:pPr>
              <w:rPr>
                <w:bCs/>
                <w:szCs w:val="20"/>
              </w:rPr>
            </w:pPr>
          </w:p>
        </w:tc>
        <w:tc>
          <w:tcPr>
            <w:tcW w:w="1423" w:type="pct"/>
          </w:tcPr>
          <w:p w14:paraId="1059FE40" w14:textId="437890C7" w:rsidR="00F12476" w:rsidRDefault="00F12476" w:rsidP="00F12476">
            <w:r>
              <w:t xml:space="preserve">Assessed efficacy, safety and tolerability of DBS and cortical stimulation for refractory epilepsy. </w:t>
            </w:r>
            <w:r w:rsidRPr="000B458D">
              <w:rPr>
                <w:b/>
                <w:bCs/>
              </w:rPr>
              <w:t xml:space="preserve">12 RCTs </w:t>
            </w:r>
            <w:r>
              <w:t xml:space="preserve">identified. </w:t>
            </w:r>
            <w:r w:rsidR="00C945B8">
              <w:t>1-3</w:t>
            </w:r>
            <w:r>
              <w:t xml:space="preserve"> months of anterior thalamic DBS ((multi)focal epilepsy), responsive ictal onset zone stimulation ((multi)focal epilepsy) and hippocampal DBS (temporal lobe epilepsy) moderately reduce seizure frequency in refractory epilepsy </w:t>
            </w:r>
            <w:r w:rsidR="00C945B8">
              <w:t>patients)</w:t>
            </w:r>
            <w:r>
              <w:t xml:space="preserve">. </w:t>
            </w:r>
          </w:p>
        </w:tc>
        <w:tc>
          <w:tcPr>
            <w:tcW w:w="999" w:type="pct"/>
          </w:tcPr>
          <w:p w14:paraId="677B9824" w14:textId="49587B9B" w:rsidR="00F12476" w:rsidRDefault="00F12476" w:rsidP="00F12476">
            <w:pPr>
              <w:rPr>
                <w:bCs/>
                <w:szCs w:val="20"/>
              </w:rPr>
            </w:pPr>
            <w:r>
              <w:t xml:space="preserve">Website </w:t>
            </w:r>
            <w:hyperlink r:id="rId31" w:history="1">
              <w:r w:rsidRPr="00B35FCA">
                <w:rPr>
                  <w:rStyle w:val="Hyperlink"/>
                </w:rPr>
                <w:t>link</w:t>
              </w:r>
            </w:hyperlink>
          </w:p>
        </w:tc>
        <w:tc>
          <w:tcPr>
            <w:tcW w:w="700" w:type="pct"/>
          </w:tcPr>
          <w:p w14:paraId="0B889471" w14:textId="628AC8FE" w:rsidR="00F12476" w:rsidRDefault="00F12476" w:rsidP="00F12476">
            <w:pPr>
              <w:rPr>
                <w:bCs/>
                <w:szCs w:val="20"/>
              </w:rPr>
            </w:pPr>
            <w:r>
              <w:t>2017</w:t>
            </w:r>
          </w:p>
        </w:tc>
      </w:tr>
      <w:tr w:rsidR="00F12476" w14:paraId="4AA7522D" w14:textId="77777777" w:rsidTr="000F0ACD">
        <w:trPr>
          <w:cantSplit/>
        </w:trPr>
        <w:tc>
          <w:tcPr>
            <w:tcW w:w="168" w:type="pct"/>
          </w:tcPr>
          <w:p w14:paraId="737123D4" w14:textId="1A0D0083" w:rsidR="00F12476" w:rsidRPr="00965B6B" w:rsidRDefault="0013243D" w:rsidP="00F12476">
            <w:pPr>
              <w:rPr>
                <w:szCs w:val="20"/>
              </w:rPr>
            </w:pPr>
            <w:r>
              <w:rPr>
                <w:szCs w:val="20"/>
              </w:rPr>
              <w:t>18</w:t>
            </w:r>
            <w:r w:rsidR="004B6F0E">
              <w:rPr>
                <w:szCs w:val="20"/>
              </w:rPr>
              <w:t>.</w:t>
            </w:r>
          </w:p>
        </w:tc>
        <w:tc>
          <w:tcPr>
            <w:tcW w:w="745" w:type="pct"/>
          </w:tcPr>
          <w:p w14:paraId="56787AF1" w14:textId="4267047D" w:rsidR="00F12476" w:rsidRPr="005E1A64" w:rsidRDefault="00F12476" w:rsidP="00F12476">
            <w:pPr>
              <w:rPr>
                <w:bCs/>
                <w:szCs w:val="20"/>
              </w:rPr>
            </w:pPr>
            <w:r>
              <w:t>Systematic review</w:t>
            </w:r>
          </w:p>
        </w:tc>
        <w:tc>
          <w:tcPr>
            <w:tcW w:w="965" w:type="pct"/>
          </w:tcPr>
          <w:p w14:paraId="05241039" w14:textId="77777777" w:rsidR="00F12476" w:rsidRDefault="00F12476" w:rsidP="00F12476">
            <w:pPr>
              <w:spacing w:after="0"/>
              <w:rPr>
                <w:rFonts w:ascii="Segoe UI" w:hAnsi="Segoe UI" w:cs="Segoe UI"/>
                <w:sz w:val="18"/>
                <w:szCs w:val="18"/>
              </w:rPr>
            </w:pPr>
            <w:r>
              <w:rPr>
                <w:rFonts w:ascii="Segoe UI" w:hAnsi="Segoe UI" w:cs="Segoe UI"/>
                <w:sz w:val="18"/>
                <w:szCs w:val="18"/>
              </w:rPr>
              <w:t xml:space="preserve">Deep brain stimulation for seizure control in drug-resistant </w:t>
            </w:r>
          </w:p>
          <w:p w14:paraId="6711645D" w14:textId="538F01E5" w:rsidR="00F12476" w:rsidRPr="00DC78BC" w:rsidRDefault="00F12476" w:rsidP="00F12476">
            <w:pPr>
              <w:rPr>
                <w:bCs/>
                <w:szCs w:val="20"/>
              </w:rPr>
            </w:pPr>
            <w:r>
              <w:rPr>
                <w:rFonts w:ascii="Segoe UI" w:hAnsi="Segoe UI" w:cs="Segoe UI"/>
                <w:sz w:val="18"/>
                <w:szCs w:val="18"/>
              </w:rPr>
              <w:t>Klinger N et al.</w:t>
            </w:r>
          </w:p>
        </w:tc>
        <w:tc>
          <w:tcPr>
            <w:tcW w:w="1423" w:type="pct"/>
          </w:tcPr>
          <w:p w14:paraId="21442472" w14:textId="304887F5" w:rsidR="00F12476" w:rsidRDefault="00F12476" w:rsidP="00F12476">
            <w:r>
              <w:t xml:space="preserve">For patients with medically refractory epilepsy, where resection is not an option, DBS provides and effective means at seizure control. Bilateral ANT-DBS is well established, but other emerging targets are emerging. </w:t>
            </w:r>
          </w:p>
        </w:tc>
        <w:tc>
          <w:tcPr>
            <w:tcW w:w="999" w:type="pct"/>
          </w:tcPr>
          <w:p w14:paraId="4E36E907" w14:textId="19CACD75" w:rsidR="00F12476" w:rsidRDefault="008A64C6" w:rsidP="00F12476">
            <w:pPr>
              <w:rPr>
                <w:bCs/>
                <w:szCs w:val="20"/>
              </w:rPr>
            </w:pPr>
            <w:r>
              <w:rPr>
                <w:bCs/>
                <w:szCs w:val="20"/>
              </w:rPr>
              <w:t xml:space="preserve">Website </w:t>
            </w:r>
            <w:hyperlink r:id="rId32" w:history="1">
              <w:r w:rsidRPr="008A64C6">
                <w:rPr>
                  <w:rStyle w:val="Hyperlink"/>
                  <w:bCs/>
                  <w:szCs w:val="20"/>
                </w:rPr>
                <w:t>link</w:t>
              </w:r>
            </w:hyperlink>
            <w:r>
              <w:rPr>
                <w:bCs/>
                <w:szCs w:val="20"/>
              </w:rPr>
              <w:t xml:space="preserve"> </w:t>
            </w:r>
          </w:p>
        </w:tc>
        <w:tc>
          <w:tcPr>
            <w:tcW w:w="700" w:type="pct"/>
          </w:tcPr>
          <w:p w14:paraId="2B96938D" w14:textId="02E6D945" w:rsidR="00F12476" w:rsidRDefault="00F12476" w:rsidP="00F12476">
            <w:pPr>
              <w:rPr>
                <w:bCs/>
                <w:szCs w:val="20"/>
              </w:rPr>
            </w:pPr>
            <w:r>
              <w:t>2018</w:t>
            </w:r>
          </w:p>
        </w:tc>
      </w:tr>
      <w:tr w:rsidR="00F12476" w14:paraId="418931FA" w14:textId="77777777" w:rsidTr="000F0ACD">
        <w:trPr>
          <w:cantSplit/>
        </w:trPr>
        <w:tc>
          <w:tcPr>
            <w:tcW w:w="168" w:type="pct"/>
          </w:tcPr>
          <w:p w14:paraId="3437557D" w14:textId="266E7AB4" w:rsidR="00F12476" w:rsidRPr="00965B6B" w:rsidRDefault="0013243D" w:rsidP="00F12476">
            <w:pPr>
              <w:rPr>
                <w:szCs w:val="20"/>
              </w:rPr>
            </w:pPr>
            <w:r>
              <w:rPr>
                <w:szCs w:val="20"/>
              </w:rPr>
              <w:lastRenderedPageBreak/>
              <w:t>19</w:t>
            </w:r>
            <w:r w:rsidR="004B6F0E">
              <w:rPr>
                <w:szCs w:val="20"/>
              </w:rPr>
              <w:t>.</w:t>
            </w:r>
          </w:p>
        </w:tc>
        <w:tc>
          <w:tcPr>
            <w:tcW w:w="745" w:type="pct"/>
          </w:tcPr>
          <w:p w14:paraId="49D75F3F" w14:textId="2E68D4CB" w:rsidR="00F12476" w:rsidRPr="005E1A64" w:rsidRDefault="00F12476" w:rsidP="00F12476">
            <w:pPr>
              <w:rPr>
                <w:bCs/>
                <w:szCs w:val="20"/>
              </w:rPr>
            </w:pPr>
            <w:r>
              <w:t xml:space="preserve">Systematic review </w:t>
            </w:r>
          </w:p>
        </w:tc>
        <w:tc>
          <w:tcPr>
            <w:tcW w:w="965" w:type="pct"/>
          </w:tcPr>
          <w:p w14:paraId="06B837D5" w14:textId="77777777" w:rsidR="00F12476" w:rsidRDefault="00F12476" w:rsidP="00F12476">
            <w:pPr>
              <w:spacing w:after="0"/>
            </w:pPr>
            <w:r w:rsidRPr="000C1B69">
              <w:t>Deep Brain Stimulation as a Treatment for Refractory Epilepsy: Review of the Current State-of-the-Art</w:t>
            </w:r>
            <w:r>
              <w:t>.</w:t>
            </w:r>
          </w:p>
          <w:p w14:paraId="666DCE9F" w14:textId="64428FD0" w:rsidR="00F12476" w:rsidRPr="00DC78BC" w:rsidRDefault="00F12476" w:rsidP="00F12476">
            <w:pPr>
              <w:rPr>
                <w:bCs/>
                <w:szCs w:val="20"/>
              </w:rPr>
            </w:pPr>
            <w:r>
              <w:t>Ganguli MP et al.</w:t>
            </w:r>
          </w:p>
        </w:tc>
        <w:tc>
          <w:tcPr>
            <w:tcW w:w="1423" w:type="pct"/>
          </w:tcPr>
          <w:p w14:paraId="1D9CA8B1" w14:textId="374CF889" w:rsidR="00F12476" w:rsidRDefault="00F12476" w:rsidP="00F12476">
            <w:r>
              <w:t>Review</w:t>
            </w:r>
            <w:r w:rsidRPr="000C1B69">
              <w:t xml:space="preserve"> discuss</w:t>
            </w:r>
            <w:r>
              <w:t>es</w:t>
            </w:r>
            <w:r w:rsidRPr="000C1B69">
              <w:t xml:space="preserve"> DBS surgery and equipment, mechanisms of DBS for epilepsy, and efficacy, technological specifications, and </w:t>
            </w:r>
            <w:r w:rsidR="004B6F0E">
              <w:t xml:space="preserve">offers </w:t>
            </w:r>
            <w:r w:rsidRPr="000C1B69">
              <w:t xml:space="preserve">suggestions for future research. </w:t>
            </w:r>
            <w:r>
              <w:t>A</w:t>
            </w:r>
            <w:r w:rsidRPr="000C1B69">
              <w:t xml:space="preserve"> historical summary of experiments involving DBS for epilepsy</w:t>
            </w:r>
            <w:r>
              <w:t xml:space="preserve"> is reviewed</w:t>
            </w:r>
            <w:r w:rsidRPr="000C1B69">
              <w:t xml:space="preserve">. </w:t>
            </w:r>
            <w:r>
              <w:t>Conclude</w:t>
            </w:r>
            <w:r w:rsidR="004B6F0E">
              <w:t>s</w:t>
            </w:r>
            <w:r>
              <w:t xml:space="preserve"> </w:t>
            </w:r>
            <w:r w:rsidRPr="000C1B69">
              <w:t>that further studies are warranted for medically refractory epilepsy using DBS.</w:t>
            </w:r>
          </w:p>
        </w:tc>
        <w:tc>
          <w:tcPr>
            <w:tcW w:w="999" w:type="pct"/>
          </w:tcPr>
          <w:p w14:paraId="1E005C9A" w14:textId="123F9B7A" w:rsidR="00F12476" w:rsidRDefault="00F12476" w:rsidP="00F12476">
            <w:pPr>
              <w:rPr>
                <w:bCs/>
                <w:szCs w:val="20"/>
              </w:rPr>
            </w:pPr>
            <w:r>
              <w:t xml:space="preserve">Website </w:t>
            </w:r>
            <w:hyperlink r:id="rId33" w:history="1">
              <w:r w:rsidRPr="000C1B69">
                <w:rPr>
                  <w:rStyle w:val="Hyperlink"/>
                </w:rPr>
                <w:t>link</w:t>
              </w:r>
            </w:hyperlink>
            <w:r>
              <w:t xml:space="preserve"> </w:t>
            </w:r>
          </w:p>
        </w:tc>
        <w:tc>
          <w:tcPr>
            <w:tcW w:w="700" w:type="pct"/>
          </w:tcPr>
          <w:p w14:paraId="0EED52AB" w14:textId="2D3C59B5" w:rsidR="00F12476" w:rsidRDefault="00F12476" w:rsidP="00F12476">
            <w:pPr>
              <w:rPr>
                <w:bCs/>
                <w:szCs w:val="20"/>
              </w:rPr>
            </w:pPr>
            <w:r>
              <w:t>2017</w:t>
            </w:r>
          </w:p>
        </w:tc>
      </w:tr>
      <w:tr w:rsidR="00F12476" w14:paraId="629046CB" w14:textId="77777777" w:rsidTr="000F0ACD">
        <w:trPr>
          <w:cantSplit/>
        </w:trPr>
        <w:tc>
          <w:tcPr>
            <w:tcW w:w="168" w:type="pct"/>
          </w:tcPr>
          <w:p w14:paraId="2C8A9EA2" w14:textId="77662381" w:rsidR="00F12476" w:rsidRPr="00965B6B" w:rsidRDefault="0013243D" w:rsidP="00F12476">
            <w:pPr>
              <w:rPr>
                <w:szCs w:val="20"/>
              </w:rPr>
            </w:pPr>
            <w:r>
              <w:rPr>
                <w:szCs w:val="20"/>
              </w:rPr>
              <w:t>20</w:t>
            </w:r>
            <w:r w:rsidR="004B6F0E">
              <w:rPr>
                <w:szCs w:val="20"/>
              </w:rPr>
              <w:t>.</w:t>
            </w:r>
          </w:p>
        </w:tc>
        <w:tc>
          <w:tcPr>
            <w:tcW w:w="745" w:type="pct"/>
          </w:tcPr>
          <w:p w14:paraId="5CF469EB" w14:textId="77BABD6A" w:rsidR="00F12476" w:rsidRPr="005E1A64" w:rsidRDefault="00F12476" w:rsidP="00F12476">
            <w:pPr>
              <w:rPr>
                <w:bCs/>
                <w:szCs w:val="20"/>
              </w:rPr>
            </w:pPr>
            <w:r>
              <w:t xml:space="preserve">Systematic review </w:t>
            </w:r>
          </w:p>
        </w:tc>
        <w:tc>
          <w:tcPr>
            <w:tcW w:w="965" w:type="pct"/>
          </w:tcPr>
          <w:p w14:paraId="520188B6" w14:textId="77777777" w:rsidR="00F12476" w:rsidRDefault="00F12476" w:rsidP="00F12476">
            <w:pPr>
              <w:spacing w:after="0"/>
            </w:pPr>
            <w:r>
              <w:t>Deep brain stimulation for drug resistant epilepsy.</w:t>
            </w:r>
          </w:p>
          <w:p w14:paraId="279037A3" w14:textId="1FE69C0A" w:rsidR="00F12476" w:rsidRPr="00DC78BC" w:rsidRDefault="00F12476" w:rsidP="00F12476">
            <w:pPr>
              <w:rPr>
                <w:bCs/>
                <w:szCs w:val="20"/>
              </w:rPr>
            </w:pPr>
            <w:r>
              <w:t>Li MCH &amp; Cook MJ.</w:t>
            </w:r>
          </w:p>
        </w:tc>
        <w:tc>
          <w:tcPr>
            <w:tcW w:w="1423" w:type="pct"/>
          </w:tcPr>
          <w:p w14:paraId="62B324D4" w14:textId="15F11156" w:rsidR="00F12476" w:rsidRDefault="00F12476" w:rsidP="00F12476">
            <w:r>
              <w:t>R</w:t>
            </w:r>
            <w:r w:rsidRPr="00A35D75">
              <w:t>eview</w:t>
            </w:r>
            <w:r>
              <w:t>ed</w:t>
            </w:r>
            <w:r w:rsidRPr="00A35D75">
              <w:t xml:space="preserve"> clinical evidence on the antiepileptic effects of </w:t>
            </w:r>
            <w:r w:rsidR="004B6F0E">
              <w:t>DBS</w:t>
            </w:r>
            <w:r w:rsidRPr="00A35D75">
              <w:t xml:space="preserve"> for drug-resistant epilepsy, its safety, and the factors influencing individual outcomes.</w:t>
            </w:r>
            <w:r>
              <w:t xml:space="preserve"> Study</w:t>
            </w:r>
            <w:r w:rsidRPr="000C1B69">
              <w:t xml:space="preserve"> identified several patient, disease, and stimulation factors that potentially predict seizure outcome following DBS.</w:t>
            </w:r>
          </w:p>
        </w:tc>
        <w:tc>
          <w:tcPr>
            <w:tcW w:w="999" w:type="pct"/>
          </w:tcPr>
          <w:p w14:paraId="0D98D733" w14:textId="0EB841CE" w:rsidR="00F12476" w:rsidRDefault="00F12476" w:rsidP="00F12476">
            <w:pPr>
              <w:rPr>
                <w:bCs/>
                <w:szCs w:val="20"/>
              </w:rPr>
            </w:pPr>
            <w:r>
              <w:t xml:space="preserve">Website </w:t>
            </w:r>
            <w:hyperlink r:id="rId34" w:history="1">
              <w:r w:rsidRPr="00A35D75">
                <w:rPr>
                  <w:rStyle w:val="Hyperlink"/>
                </w:rPr>
                <w:t>link</w:t>
              </w:r>
            </w:hyperlink>
          </w:p>
        </w:tc>
        <w:tc>
          <w:tcPr>
            <w:tcW w:w="700" w:type="pct"/>
          </w:tcPr>
          <w:p w14:paraId="3B846E82" w14:textId="4DC1377A" w:rsidR="00F12476" w:rsidRDefault="00F12476" w:rsidP="00F12476">
            <w:pPr>
              <w:rPr>
                <w:bCs/>
                <w:szCs w:val="20"/>
              </w:rPr>
            </w:pPr>
            <w:r>
              <w:t>2018</w:t>
            </w:r>
          </w:p>
        </w:tc>
      </w:tr>
      <w:tr w:rsidR="00F12476" w14:paraId="39912B8B" w14:textId="77777777" w:rsidTr="000F0ACD">
        <w:trPr>
          <w:cantSplit/>
        </w:trPr>
        <w:tc>
          <w:tcPr>
            <w:tcW w:w="168" w:type="pct"/>
          </w:tcPr>
          <w:p w14:paraId="6F1503F3" w14:textId="71216BAA" w:rsidR="00F12476" w:rsidRPr="00965B6B" w:rsidRDefault="0013243D" w:rsidP="00F12476">
            <w:pPr>
              <w:rPr>
                <w:szCs w:val="20"/>
              </w:rPr>
            </w:pPr>
            <w:r>
              <w:rPr>
                <w:szCs w:val="20"/>
              </w:rPr>
              <w:t>21</w:t>
            </w:r>
            <w:r w:rsidR="004B6F0E">
              <w:rPr>
                <w:szCs w:val="20"/>
              </w:rPr>
              <w:t>.</w:t>
            </w:r>
          </w:p>
        </w:tc>
        <w:tc>
          <w:tcPr>
            <w:tcW w:w="745" w:type="pct"/>
          </w:tcPr>
          <w:p w14:paraId="14457186" w14:textId="1D91490B" w:rsidR="00F12476" w:rsidRPr="005E1A64" w:rsidRDefault="00F12476" w:rsidP="00F12476">
            <w:pPr>
              <w:rPr>
                <w:bCs/>
                <w:szCs w:val="20"/>
              </w:rPr>
            </w:pPr>
            <w:r>
              <w:t xml:space="preserve">Systematic review </w:t>
            </w:r>
          </w:p>
        </w:tc>
        <w:tc>
          <w:tcPr>
            <w:tcW w:w="965" w:type="pct"/>
          </w:tcPr>
          <w:p w14:paraId="69ABF8FF" w14:textId="77777777" w:rsidR="00F12476" w:rsidRDefault="00F12476" w:rsidP="00F12476">
            <w:pPr>
              <w:spacing w:after="0"/>
            </w:pPr>
            <w:r w:rsidRPr="00D3639B">
              <w:t>Open-loop deep brain stimulation for the treatment of epilepsy: a systematic review of clinical outcomes over the past decade (2008-present)</w:t>
            </w:r>
            <w:r>
              <w:t>.</w:t>
            </w:r>
          </w:p>
          <w:p w14:paraId="4720D90D" w14:textId="057C2BDA" w:rsidR="00F12476" w:rsidRPr="00DC78BC" w:rsidRDefault="00F12476" w:rsidP="00F12476">
            <w:pPr>
              <w:rPr>
                <w:bCs/>
                <w:szCs w:val="20"/>
              </w:rPr>
            </w:pPr>
            <w:r>
              <w:t xml:space="preserve">Zhou JJ et al. </w:t>
            </w:r>
          </w:p>
        </w:tc>
        <w:tc>
          <w:tcPr>
            <w:tcW w:w="1423" w:type="pct"/>
          </w:tcPr>
          <w:p w14:paraId="5233AA7A" w14:textId="563C180D" w:rsidR="00F12476" w:rsidRDefault="00F12476" w:rsidP="00F12476">
            <w:r>
              <w:t xml:space="preserve">Identified &amp; evaluated </w:t>
            </w:r>
            <w:r w:rsidRPr="00050F1C">
              <w:t xml:space="preserve">all studies </w:t>
            </w:r>
            <w:r>
              <w:t>on</w:t>
            </w:r>
            <w:r w:rsidRPr="00050F1C">
              <w:t xml:space="preserve"> open-loop DBS for epilepsy </w:t>
            </w:r>
            <w:r>
              <w:t>[</w:t>
            </w:r>
            <w:r w:rsidRPr="00050F1C">
              <w:t>2008 to present</w:t>
            </w:r>
            <w:r>
              <w:t xml:space="preserve">; PubMed; </w:t>
            </w:r>
            <w:r w:rsidRPr="00050F1C">
              <w:t xml:space="preserve">41 studies met </w:t>
            </w:r>
            <w:r>
              <w:t>inclusion criteria]</w:t>
            </w:r>
            <w:r w:rsidRPr="00050F1C">
              <w:t xml:space="preserve">. Level I evidence supports safety and efficacy </w:t>
            </w:r>
            <w:r>
              <w:t xml:space="preserve">ANT </w:t>
            </w:r>
            <w:r w:rsidRPr="00050F1C">
              <w:t>and hippocamp</w:t>
            </w:r>
            <w:r>
              <w:t>al stimulation</w:t>
            </w:r>
            <w:r w:rsidRPr="00050F1C">
              <w:t xml:space="preserve"> for the treatment of medically refractory epilepsy. Level III and IV evidence supports stimulation of other targets for epilepsy</w:t>
            </w:r>
            <w:r>
              <w:t>.</w:t>
            </w:r>
          </w:p>
        </w:tc>
        <w:tc>
          <w:tcPr>
            <w:tcW w:w="999" w:type="pct"/>
          </w:tcPr>
          <w:p w14:paraId="231FF399" w14:textId="1A316F1C" w:rsidR="00F12476" w:rsidRDefault="00F12476" w:rsidP="00F12476">
            <w:pPr>
              <w:rPr>
                <w:bCs/>
                <w:szCs w:val="20"/>
              </w:rPr>
            </w:pPr>
            <w:r>
              <w:t xml:space="preserve">Website </w:t>
            </w:r>
            <w:hyperlink r:id="rId35" w:history="1">
              <w:r w:rsidRPr="00D3639B">
                <w:rPr>
                  <w:rStyle w:val="Hyperlink"/>
                </w:rPr>
                <w:t>link</w:t>
              </w:r>
            </w:hyperlink>
          </w:p>
        </w:tc>
        <w:tc>
          <w:tcPr>
            <w:tcW w:w="700" w:type="pct"/>
          </w:tcPr>
          <w:p w14:paraId="1BD0EFEE" w14:textId="75804BE7" w:rsidR="00F12476" w:rsidRDefault="00F12476" w:rsidP="00F12476">
            <w:pPr>
              <w:rPr>
                <w:bCs/>
                <w:szCs w:val="20"/>
              </w:rPr>
            </w:pPr>
            <w:r>
              <w:t>2018</w:t>
            </w:r>
          </w:p>
        </w:tc>
      </w:tr>
      <w:tr w:rsidR="00F12476" w14:paraId="6A461F9A" w14:textId="77777777" w:rsidTr="000F0ACD">
        <w:trPr>
          <w:cantSplit/>
        </w:trPr>
        <w:tc>
          <w:tcPr>
            <w:tcW w:w="168" w:type="pct"/>
          </w:tcPr>
          <w:p w14:paraId="077CD3E0" w14:textId="2A2C4B2D" w:rsidR="00F12476" w:rsidRPr="00965B6B" w:rsidRDefault="0013243D" w:rsidP="00F12476">
            <w:pPr>
              <w:rPr>
                <w:szCs w:val="20"/>
              </w:rPr>
            </w:pPr>
            <w:r>
              <w:rPr>
                <w:szCs w:val="20"/>
              </w:rPr>
              <w:lastRenderedPageBreak/>
              <w:t>22</w:t>
            </w:r>
            <w:r w:rsidR="004B6F0E">
              <w:rPr>
                <w:szCs w:val="20"/>
              </w:rPr>
              <w:t>.</w:t>
            </w:r>
          </w:p>
        </w:tc>
        <w:tc>
          <w:tcPr>
            <w:tcW w:w="745" w:type="pct"/>
          </w:tcPr>
          <w:p w14:paraId="5AD8F73D" w14:textId="1D3B1B8A" w:rsidR="00F12476" w:rsidRPr="005E1A64" w:rsidRDefault="00F12476" w:rsidP="00F12476">
            <w:pPr>
              <w:rPr>
                <w:bCs/>
                <w:szCs w:val="20"/>
              </w:rPr>
            </w:pPr>
            <w:r>
              <w:t>S</w:t>
            </w:r>
            <w:r w:rsidRPr="00425720">
              <w:t>ystematic review</w:t>
            </w:r>
            <w:r>
              <w:t xml:space="preserve"> &amp; meta-analysis </w:t>
            </w:r>
          </w:p>
        </w:tc>
        <w:tc>
          <w:tcPr>
            <w:tcW w:w="965" w:type="pct"/>
          </w:tcPr>
          <w:p w14:paraId="7F9C345A" w14:textId="77777777" w:rsidR="00F12476" w:rsidRDefault="00F12476" w:rsidP="00F12476">
            <w:pPr>
              <w:spacing w:after="0"/>
            </w:pPr>
            <w:r w:rsidRPr="00425720">
              <w:t>Deep brain stimulation for refractory temporal lobe epilepsy: a systematic review and meta-analysis with an emphasis on alleviation of seizure frequency</w:t>
            </w:r>
            <w:r>
              <w:t>.</w:t>
            </w:r>
          </w:p>
          <w:p w14:paraId="5091C835" w14:textId="26915BE1" w:rsidR="00F12476" w:rsidRPr="00DC78BC" w:rsidRDefault="00F12476" w:rsidP="00F12476">
            <w:pPr>
              <w:rPr>
                <w:bCs/>
                <w:szCs w:val="20"/>
              </w:rPr>
            </w:pPr>
            <w:r>
              <w:t>Chang B &amp; Xu J.</w:t>
            </w:r>
          </w:p>
        </w:tc>
        <w:tc>
          <w:tcPr>
            <w:tcW w:w="1423" w:type="pct"/>
          </w:tcPr>
          <w:p w14:paraId="03BA8C6C" w14:textId="600BDB6F" w:rsidR="00F12476" w:rsidRDefault="00F12476" w:rsidP="00F12476">
            <w:r>
              <w:t>Identified predictors of seizure reduction (SR)</w:t>
            </w:r>
            <w:r w:rsidR="000979E6">
              <w:t xml:space="preserve"> for</w:t>
            </w:r>
            <w:r>
              <w:t xml:space="preserve"> DBS in patients with refractory temporal lobe epilepsy (TLE). Higher SR was associated with lateralization of stimulation, lateralized ictal EEG findings, and a longer follow-up period. Hippocampal and ATN</w:t>
            </w:r>
            <w:r w:rsidR="008A64C6">
              <w:t xml:space="preserve"> stimulation</w:t>
            </w:r>
            <w:r>
              <w:t xml:space="preserve"> had similar odds of producing SR. DBS is an effective for intractable TLE.</w:t>
            </w:r>
          </w:p>
        </w:tc>
        <w:tc>
          <w:tcPr>
            <w:tcW w:w="999" w:type="pct"/>
          </w:tcPr>
          <w:p w14:paraId="5FAFB8C9" w14:textId="77777777" w:rsidR="00F12476" w:rsidRDefault="00F12476" w:rsidP="00F12476">
            <w:r>
              <w:t xml:space="preserve">Website </w:t>
            </w:r>
            <w:hyperlink r:id="rId36" w:history="1">
              <w:r w:rsidRPr="00425720">
                <w:rPr>
                  <w:rStyle w:val="Hyperlink"/>
                </w:rPr>
                <w:t>link</w:t>
              </w:r>
            </w:hyperlink>
            <w:r>
              <w:t xml:space="preserve"> </w:t>
            </w:r>
          </w:p>
          <w:p w14:paraId="26A9C5AE" w14:textId="5CA9F75E" w:rsidR="00F12476" w:rsidRDefault="00F12476" w:rsidP="00F12476">
            <w:pPr>
              <w:rPr>
                <w:bCs/>
                <w:szCs w:val="20"/>
              </w:rPr>
            </w:pPr>
          </w:p>
        </w:tc>
        <w:tc>
          <w:tcPr>
            <w:tcW w:w="700" w:type="pct"/>
          </w:tcPr>
          <w:p w14:paraId="24AC0F34" w14:textId="77777777" w:rsidR="00F12476" w:rsidRDefault="00F12476" w:rsidP="00F12476">
            <w:r>
              <w:t>2017</w:t>
            </w:r>
          </w:p>
          <w:p w14:paraId="77D0146E" w14:textId="77777777" w:rsidR="00F12476" w:rsidRDefault="00F12476" w:rsidP="00F12476"/>
          <w:p w14:paraId="5A1171C3" w14:textId="77777777" w:rsidR="00F12476" w:rsidRDefault="00F12476" w:rsidP="00F12476">
            <w:pPr>
              <w:rPr>
                <w:bCs/>
                <w:szCs w:val="20"/>
              </w:rPr>
            </w:pPr>
          </w:p>
        </w:tc>
      </w:tr>
      <w:tr w:rsidR="00F12476" w14:paraId="4066069B" w14:textId="77777777" w:rsidTr="000F0ACD">
        <w:trPr>
          <w:cantSplit/>
        </w:trPr>
        <w:tc>
          <w:tcPr>
            <w:tcW w:w="168" w:type="pct"/>
          </w:tcPr>
          <w:p w14:paraId="28CB1137" w14:textId="0ABDF128" w:rsidR="00F12476" w:rsidRPr="007602CB" w:rsidRDefault="0013243D" w:rsidP="00F12476">
            <w:pPr>
              <w:rPr>
                <w:rFonts w:cstheme="minorHAnsi"/>
                <w:szCs w:val="20"/>
              </w:rPr>
            </w:pPr>
            <w:r w:rsidRPr="007602CB">
              <w:rPr>
                <w:rFonts w:cstheme="minorHAnsi"/>
                <w:szCs w:val="20"/>
              </w:rPr>
              <w:t>23</w:t>
            </w:r>
            <w:r w:rsidR="004B6F0E" w:rsidRPr="007602CB">
              <w:rPr>
                <w:rFonts w:cstheme="minorHAnsi"/>
                <w:szCs w:val="20"/>
              </w:rPr>
              <w:t>.</w:t>
            </w:r>
          </w:p>
        </w:tc>
        <w:tc>
          <w:tcPr>
            <w:tcW w:w="745" w:type="pct"/>
          </w:tcPr>
          <w:p w14:paraId="11603F21" w14:textId="434A6ABA" w:rsidR="00F12476" w:rsidRPr="007602CB" w:rsidRDefault="00F12476" w:rsidP="00F12476">
            <w:pPr>
              <w:rPr>
                <w:rFonts w:cstheme="minorHAnsi"/>
                <w:bCs/>
                <w:szCs w:val="20"/>
              </w:rPr>
            </w:pPr>
            <w:r w:rsidRPr="007602CB">
              <w:rPr>
                <w:rFonts w:cstheme="minorHAnsi"/>
                <w:szCs w:val="20"/>
              </w:rPr>
              <w:t>Systematic review</w:t>
            </w:r>
          </w:p>
        </w:tc>
        <w:tc>
          <w:tcPr>
            <w:tcW w:w="965" w:type="pct"/>
          </w:tcPr>
          <w:p w14:paraId="18ED2ADA" w14:textId="77777777" w:rsidR="00F12476" w:rsidRPr="007602CB" w:rsidRDefault="00F12476" w:rsidP="00F12476">
            <w:pPr>
              <w:spacing w:after="0"/>
              <w:rPr>
                <w:rFonts w:cstheme="minorHAnsi"/>
                <w:szCs w:val="20"/>
              </w:rPr>
            </w:pPr>
            <w:r w:rsidRPr="007602CB">
              <w:rPr>
                <w:rFonts w:cstheme="minorHAnsi"/>
                <w:szCs w:val="20"/>
              </w:rPr>
              <w:t>Deep brain stimulation of the anterior nucleus of the thalamus for drug-resistant epilepsy.</w:t>
            </w:r>
          </w:p>
          <w:p w14:paraId="5D91B965" w14:textId="77777777" w:rsidR="00F12476" w:rsidRPr="007602CB" w:rsidRDefault="00F12476" w:rsidP="00F12476">
            <w:pPr>
              <w:spacing w:after="0"/>
              <w:rPr>
                <w:rFonts w:cstheme="minorHAnsi"/>
                <w:szCs w:val="20"/>
              </w:rPr>
            </w:pPr>
          </w:p>
          <w:p w14:paraId="346287CA" w14:textId="3A824D7B" w:rsidR="00F12476" w:rsidRPr="007602CB" w:rsidRDefault="00F12476" w:rsidP="00F12476">
            <w:pPr>
              <w:rPr>
                <w:rFonts w:cstheme="minorHAnsi"/>
                <w:bCs/>
                <w:szCs w:val="20"/>
                <w:lang w:val="nl-NL"/>
              </w:rPr>
            </w:pPr>
            <w:r w:rsidRPr="007602CB">
              <w:rPr>
                <w:rFonts w:cstheme="minorHAnsi"/>
                <w:szCs w:val="20"/>
                <w:lang w:val="nl-NL"/>
              </w:rPr>
              <w:t>Bouwens Van Der Vlis TAM et al.</w:t>
            </w:r>
          </w:p>
        </w:tc>
        <w:tc>
          <w:tcPr>
            <w:tcW w:w="1423" w:type="pct"/>
          </w:tcPr>
          <w:p w14:paraId="43003011" w14:textId="183922D7" w:rsidR="00F12476" w:rsidRPr="00FA4501" w:rsidRDefault="00F12476" w:rsidP="00F12476">
            <w:pPr>
              <w:rPr>
                <w:rFonts w:cstheme="minorHAnsi"/>
                <w:szCs w:val="20"/>
              </w:rPr>
            </w:pPr>
            <w:r w:rsidRPr="00130A2A">
              <w:rPr>
                <w:rFonts w:cstheme="minorHAnsi"/>
                <w:szCs w:val="20"/>
              </w:rPr>
              <w:t>DBS represents an effective and well-tolerated therapy,</w:t>
            </w:r>
            <w:r w:rsidRPr="00FA4501">
              <w:rPr>
                <w:rFonts w:cstheme="minorHAnsi"/>
                <w:szCs w:val="20"/>
              </w:rPr>
              <w:t xml:space="preserve"> even when curative procedures or lesser invasive </w:t>
            </w:r>
            <w:proofErr w:type="spellStart"/>
            <w:r w:rsidRPr="00FA4501">
              <w:rPr>
                <w:rFonts w:cstheme="minorHAnsi"/>
                <w:szCs w:val="20"/>
              </w:rPr>
              <w:t>neuromodulative</w:t>
            </w:r>
            <w:proofErr w:type="spellEnd"/>
            <w:r w:rsidRPr="00FA4501">
              <w:rPr>
                <w:rFonts w:cstheme="minorHAnsi"/>
                <w:szCs w:val="20"/>
              </w:rPr>
              <w:t xml:space="preserve"> techniques failed. When compared to VNS, ANT</w:t>
            </w:r>
            <w:r w:rsidR="00C1668E" w:rsidRPr="00FA4501">
              <w:rPr>
                <w:rFonts w:cstheme="minorHAnsi"/>
                <w:szCs w:val="20"/>
              </w:rPr>
              <w:t xml:space="preserve"> </w:t>
            </w:r>
            <w:r w:rsidRPr="00FA4501">
              <w:rPr>
                <w:rFonts w:cstheme="minorHAnsi"/>
                <w:szCs w:val="20"/>
              </w:rPr>
              <w:t>DBS shows slightly superior treatment response.</w:t>
            </w:r>
          </w:p>
        </w:tc>
        <w:tc>
          <w:tcPr>
            <w:tcW w:w="999" w:type="pct"/>
          </w:tcPr>
          <w:p w14:paraId="7940D44A" w14:textId="6EF18031" w:rsidR="00F12476" w:rsidRPr="007602CB" w:rsidRDefault="002A1015" w:rsidP="00F12476">
            <w:pPr>
              <w:rPr>
                <w:rFonts w:cstheme="minorHAnsi"/>
                <w:bCs/>
                <w:szCs w:val="20"/>
              </w:rPr>
            </w:pPr>
            <w:r w:rsidRPr="00FA4501">
              <w:rPr>
                <w:rFonts w:cstheme="minorHAnsi"/>
                <w:bCs/>
                <w:szCs w:val="20"/>
              </w:rPr>
              <w:t xml:space="preserve">Website </w:t>
            </w:r>
            <w:hyperlink r:id="rId37" w:history="1">
              <w:r w:rsidRPr="007602CB">
                <w:rPr>
                  <w:rStyle w:val="Hyperlink"/>
                  <w:rFonts w:cstheme="minorHAnsi"/>
                  <w:bCs/>
                  <w:szCs w:val="20"/>
                </w:rPr>
                <w:t>link</w:t>
              </w:r>
            </w:hyperlink>
            <w:r w:rsidRPr="007602CB">
              <w:rPr>
                <w:rFonts w:cstheme="minorHAnsi"/>
                <w:bCs/>
                <w:szCs w:val="20"/>
              </w:rPr>
              <w:t xml:space="preserve"> </w:t>
            </w:r>
          </w:p>
        </w:tc>
        <w:tc>
          <w:tcPr>
            <w:tcW w:w="700" w:type="pct"/>
          </w:tcPr>
          <w:p w14:paraId="471D0C19" w14:textId="2DAF21E0" w:rsidR="00F12476" w:rsidRPr="00130A2A" w:rsidRDefault="00F12476" w:rsidP="00F12476">
            <w:pPr>
              <w:rPr>
                <w:rFonts w:cstheme="minorHAnsi"/>
                <w:bCs/>
                <w:szCs w:val="20"/>
              </w:rPr>
            </w:pPr>
            <w:r w:rsidRPr="00130A2A">
              <w:rPr>
                <w:rFonts w:cstheme="minorHAnsi"/>
                <w:szCs w:val="20"/>
              </w:rPr>
              <w:t>2019</w:t>
            </w:r>
          </w:p>
        </w:tc>
      </w:tr>
      <w:tr w:rsidR="00F12476" w14:paraId="638DF9A4" w14:textId="77777777" w:rsidTr="000F0ACD">
        <w:trPr>
          <w:cantSplit/>
        </w:trPr>
        <w:tc>
          <w:tcPr>
            <w:tcW w:w="168" w:type="pct"/>
          </w:tcPr>
          <w:p w14:paraId="745ED7A7" w14:textId="383FA4DE" w:rsidR="00F12476" w:rsidRPr="00965B6B" w:rsidRDefault="0013243D" w:rsidP="00F12476">
            <w:pPr>
              <w:rPr>
                <w:szCs w:val="20"/>
              </w:rPr>
            </w:pPr>
            <w:r>
              <w:rPr>
                <w:szCs w:val="20"/>
              </w:rPr>
              <w:t>24</w:t>
            </w:r>
            <w:r w:rsidR="004B6F0E">
              <w:rPr>
                <w:szCs w:val="20"/>
              </w:rPr>
              <w:t>.</w:t>
            </w:r>
          </w:p>
        </w:tc>
        <w:tc>
          <w:tcPr>
            <w:tcW w:w="745" w:type="pct"/>
          </w:tcPr>
          <w:p w14:paraId="75841042" w14:textId="25D9B933" w:rsidR="00F12476" w:rsidRPr="005E1A64" w:rsidRDefault="00F12476" w:rsidP="00F12476">
            <w:pPr>
              <w:rPr>
                <w:bCs/>
                <w:szCs w:val="20"/>
              </w:rPr>
            </w:pPr>
            <w:r>
              <w:t xml:space="preserve">Non-randomised clinical trial </w:t>
            </w:r>
          </w:p>
        </w:tc>
        <w:tc>
          <w:tcPr>
            <w:tcW w:w="965" w:type="pct"/>
          </w:tcPr>
          <w:p w14:paraId="6ADFA1E9" w14:textId="2A81DF7B" w:rsidR="00F12476" w:rsidRDefault="00F12476" w:rsidP="00F12476">
            <w:pPr>
              <w:spacing w:after="0"/>
            </w:pPr>
            <w:r w:rsidRPr="00C525B6">
              <w:t>The effect of medial pulvinar stimulation on temporal lobe seizures</w:t>
            </w:r>
            <w:r>
              <w:t>.</w:t>
            </w:r>
          </w:p>
          <w:p w14:paraId="20534D06" w14:textId="39484DB4" w:rsidR="00F12476" w:rsidRDefault="00F12476" w:rsidP="00F12476">
            <w:pPr>
              <w:spacing w:after="0"/>
            </w:pPr>
            <w:r w:rsidRPr="004B6F0E">
              <w:rPr>
                <w:lang w:val="it-IT"/>
              </w:rPr>
              <w:t>Filipescu</w:t>
            </w:r>
            <w:r>
              <w:t xml:space="preserve"> C et al.</w:t>
            </w:r>
          </w:p>
          <w:p w14:paraId="6670B813" w14:textId="77777777" w:rsidR="00F12476" w:rsidRPr="00DC78BC" w:rsidRDefault="00F12476" w:rsidP="00F12476">
            <w:pPr>
              <w:rPr>
                <w:bCs/>
                <w:szCs w:val="20"/>
              </w:rPr>
            </w:pPr>
          </w:p>
        </w:tc>
        <w:tc>
          <w:tcPr>
            <w:tcW w:w="1423" w:type="pct"/>
          </w:tcPr>
          <w:p w14:paraId="0D5293BC" w14:textId="6384663B" w:rsidR="00F12476" w:rsidRDefault="00F12476" w:rsidP="00F12476">
            <w:r>
              <w:t>P</w:t>
            </w:r>
            <w:r w:rsidRPr="006E2F64">
              <w:t>roof of concept study</w:t>
            </w:r>
            <w:r w:rsidR="004E742C">
              <w:t>.</w:t>
            </w:r>
            <w:r>
              <w:t xml:space="preserve"> </w:t>
            </w:r>
            <w:r w:rsidR="004E742C">
              <w:t>I</w:t>
            </w:r>
            <w:r w:rsidRPr="006E2F64">
              <w:t>nvestigated</w:t>
            </w:r>
            <w:r w:rsidR="00C3123C">
              <w:t xml:space="preserve"> the</w:t>
            </w:r>
            <w:r w:rsidRPr="006E2F64">
              <w:t xml:space="preserve"> electrical stimulation of the medial pulvinar (PuM) on temporal lobe seizures </w:t>
            </w:r>
            <w:r>
              <w:t xml:space="preserve">in </w:t>
            </w:r>
            <w:r w:rsidRPr="00155491">
              <w:rPr>
                <w:b/>
                <w:bCs/>
              </w:rPr>
              <w:t>8 patients</w:t>
            </w:r>
            <w:r w:rsidRPr="006E2F64">
              <w:t xml:space="preserve"> with drug-resistant temporal lobe epilepsy undergoing stereo</w:t>
            </w:r>
            <w:r w:rsidR="00C3123C">
              <w:t>-</w:t>
            </w:r>
            <w:r w:rsidRPr="006E2F64">
              <w:t>electro</w:t>
            </w:r>
            <w:r>
              <w:t>-</w:t>
            </w:r>
            <w:r w:rsidRPr="006E2F64">
              <w:t>encephalographic exploration</w:t>
            </w:r>
            <w:r>
              <w:t xml:space="preserve">. </w:t>
            </w:r>
            <w:r w:rsidRPr="006E2F64">
              <w:t xml:space="preserve">Compared to non-PuM-stimulated seizures, </w:t>
            </w:r>
            <w:r>
              <w:t>5/8</w:t>
            </w:r>
            <w:r w:rsidRPr="006E2F64">
              <w:t xml:space="preserve"> patients experienced clinically less severe seizures, </w:t>
            </w:r>
            <w:r>
              <w:t xml:space="preserve">suggesting </w:t>
            </w:r>
            <w:r w:rsidRPr="006E2F64">
              <w:t xml:space="preserve">PuM stimulation could be </w:t>
            </w:r>
            <w:r>
              <w:t>an effective DBS approach</w:t>
            </w:r>
            <w:r w:rsidRPr="006E2F64">
              <w:t>.</w:t>
            </w:r>
            <w:r>
              <w:t xml:space="preserve"> </w:t>
            </w:r>
          </w:p>
        </w:tc>
        <w:tc>
          <w:tcPr>
            <w:tcW w:w="999" w:type="pct"/>
          </w:tcPr>
          <w:p w14:paraId="33FA5D2D" w14:textId="382E1426" w:rsidR="00F12476" w:rsidRDefault="00F12476" w:rsidP="00F12476">
            <w:pPr>
              <w:rPr>
                <w:bCs/>
                <w:szCs w:val="20"/>
              </w:rPr>
            </w:pPr>
            <w:r>
              <w:t xml:space="preserve">Website </w:t>
            </w:r>
            <w:hyperlink r:id="rId38" w:history="1">
              <w:r w:rsidRPr="00C525B6">
                <w:rPr>
                  <w:rStyle w:val="Hyperlink"/>
                </w:rPr>
                <w:t>link</w:t>
              </w:r>
            </w:hyperlink>
          </w:p>
        </w:tc>
        <w:tc>
          <w:tcPr>
            <w:tcW w:w="700" w:type="pct"/>
          </w:tcPr>
          <w:p w14:paraId="26D564EF" w14:textId="50AE6864" w:rsidR="00F12476" w:rsidRDefault="00F12476" w:rsidP="00F12476">
            <w:pPr>
              <w:rPr>
                <w:bCs/>
                <w:szCs w:val="20"/>
              </w:rPr>
            </w:pPr>
            <w:r>
              <w:t>2019</w:t>
            </w:r>
          </w:p>
        </w:tc>
      </w:tr>
      <w:tr w:rsidR="00F12476" w14:paraId="72808201" w14:textId="77777777" w:rsidTr="000F0ACD">
        <w:trPr>
          <w:cantSplit/>
        </w:trPr>
        <w:tc>
          <w:tcPr>
            <w:tcW w:w="168" w:type="pct"/>
          </w:tcPr>
          <w:p w14:paraId="6549435D" w14:textId="08DAEDD0" w:rsidR="00F12476" w:rsidRPr="00965B6B" w:rsidRDefault="0013243D" w:rsidP="00F12476">
            <w:pPr>
              <w:rPr>
                <w:szCs w:val="20"/>
              </w:rPr>
            </w:pPr>
            <w:r>
              <w:rPr>
                <w:szCs w:val="20"/>
              </w:rPr>
              <w:lastRenderedPageBreak/>
              <w:t>25</w:t>
            </w:r>
            <w:r w:rsidR="00B95CAF">
              <w:rPr>
                <w:szCs w:val="20"/>
              </w:rPr>
              <w:t>.</w:t>
            </w:r>
          </w:p>
        </w:tc>
        <w:tc>
          <w:tcPr>
            <w:tcW w:w="745" w:type="pct"/>
          </w:tcPr>
          <w:p w14:paraId="46AA4590" w14:textId="355F3173" w:rsidR="00F12476" w:rsidRDefault="00F12476" w:rsidP="00F12476">
            <w:r>
              <w:t>T</w:t>
            </w:r>
            <w:r w:rsidRPr="00AD3F28">
              <w:t xml:space="preserve">wo-centre, single-blind, controlled </w:t>
            </w:r>
            <w:r>
              <w:t xml:space="preserve">clinical </w:t>
            </w:r>
            <w:r w:rsidRPr="00AD3F28">
              <w:t>trial</w:t>
            </w:r>
          </w:p>
        </w:tc>
        <w:tc>
          <w:tcPr>
            <w:tcW w:w="965" w:type="pct"/>
          </w:tcPr>
          <w:p w14:paraId="37340D69" w14:textId="119722B3" w:rsidR="00F12476" w:rsidRDefault="00F12476" w:rsidP="00F12476">
            <w:r w:rsidRPr="00AD3F28">
              <w:t>Deep brain stimulation of the centromedian thalamic nucleus for the treatment of generalized and frontal epilepsies</w:t>
            </w:r>
            <w:r>
              <w:t>.</w:t>
            </w:r>
          </w:p>
          <w:p w14:paraId="0D3B8C0B" w14:textId="6E1AD509" w:rsidR="00F12476" w:rsidRPr="005E1A64" w:rsidRDefault="00F12476" w:rsidP="00F12476">
            <w:r>
              <w:t xml:space="preserve">Valentin A et al. </w:t>
            </w:r>
          </w:p>
        </w:tc>
        <w:tc>
          <w:tcPr>
            <w:tcW w:w="1423" w:type="pct"/>
          </w:tcPr>
          <w:p w14:paraId="40783699" w14:textId="201C613B" w:rsidR="00F12476" w:rsidRPr="00746790" w:rsidRDefault="004E742C" w:rsidP="00F12476">
            <w:pPr>
              <w:rPr>
                <w:b/>
                <w:bCs/>
              </w:rPr>
            </w:pPr>
            <w:r>
              <w:t>E</w:t>
            </w:r>
            <w:r w:rsidRPr="004E742C">
              <w:t>valuate</w:t>
            </w:r>
            <w:r>
              <w:t>d</w:t>
            </w:r>
            <w:r w:rsidRPr="004E742C">
              <w:t xml:space="preserve"> bilateral centromedian thalamic nucleus (CMN) DBS for seizure control in generalized epilepsy </w:t>
            </w:r>
            <w:r w:rsidR="00EE2FDA">
              <w:t xml:space="preserve">(GE) </w:t>
            </w:r>
            <w:r w:rsidRPr="004E742C">
              <w:t xml:space="preserve">and frontal lobe epilepsy </w:t>
            </w:r>
            <w:r w:rsidR="00EE2FDA">
              <w:t>(FLE). T</w:t>
            </w:r>
            <w:r w:rsidRPr="004E742C">
              <w:t>wo-</w:t>
            </w:r>
            <w:r w:rsidR="00EE2FDA" w:rsidRPr="004E742C">
              <w:t>centre</w:t>
            </w:r>
            <w:r w:rsidRPr="004E742C">
              <w:t>, single-blind, controlled trial</w:t>
            </w:r>
            <w:r>
              <w:t xml:space="preserve"> (</w:t>
            </w:r>
            <w:r w:rsidR="00F12476">
              <w:t>11 patients</w:t>
            </w:r>
            <w:r>
              <w:t xml:space="preserve">). </w:t>
            </w:r>
            <w:r w:rsidR="00EE2FDA">
              <w:t xml:space="preserve"> </w:t>
            </w:r>
            <w:r w:rsidR="00EE2FDA" w:rsidRPr="00EE2FDA">
              <w:t>Long term results</w:t>
            </w:r>
            <w:r w:rsidR="00EE2FDA">
              <w:t>:</w:t>
            </w:r>
            <w:r w:rsidR="00EE2FDA" w:rsidRPr="00EE2FDA">
              <w:t xml:space="preserve"> 2/5 patients with FLE had &gt;50% improvement in seizure frequency; 5/6 with </w:t>
            </w:r>
            <w:r w:rsidR="00EE2FDA">
              <w:t>GE</w:t>
            </w:r>
            <w:r w:rsidR="00EE2FDA" w:rsidRPr="00EE2FDA">
              <w:t xml:space="preserve"> showed &gt;50% improvement in the frequency of major seizures</w:t>
            </w:r>
            <w:r w:rsidR="00EE2FDA">
              <w:t>.</w:t>
            </w:r>
          </w:p>
        </w:tc>
        <w:tc>
          <w:tcPr>
            <w:tcW w:w="999" w:type="pct"/>
          </w:tcPr>
          <w:p w14:paraId="5ED352B0" w14:textId="564B417E" w:rsidR="004E742C" w:rsidRDefault="00F12476" w:rsidP="00F12476">
            <w:r>
              <w:t xml:space="preserve">Website </w:t>
            </w:r>
            <w:hyperlink r:id="rId39" w:history="1">
              <w:r w:rsidRPr="0022292D">
                <w:rPr>
                  <w:rStyle w:val="Hyperlink"/>
                </w:rPr>
                <w:t>link</w:t>
              </w:r>
            </w:hyperlink>
            <w:r>
              <w:t xml:space="preserve"> </w:t>
            </w:r>
          </w:p>
        </w:tc>
        <w:tc>
          <w:tcPr>
            <w:tcW w:w="700" w:type="pct"/>
          </w:tcPr>
          <w:p w14:paraId="6C18123C" w14:textId="6FD0C8B3" w:rsidR="00F12476" w:rsidRDefault="00F12476" w:rsidP="00F12476">
            <w:r>
              <w:t>2013</w:t>
            </w:r>
          </w:p>
        </w:tc>
      </w:tr>
    </w:tbl>
    <w:p w14:paraId="5414F5FB" w14:textId="049A84FF" w:rsidR="008D5077" w:rsidRPr="000F0ACD" w:rsidRDefault="00643755" w:rsidP="000F0ACD">
      <w:pPr>
        <w:pStyle w:val="Heading2"/>
        <w:spacing w:before="240"/>
        <w:ind w:left="357" w:hanging="357"/>
        <w:rPr>
          <w:i/>
        </w:rPr>
      </w:pPr>
      <w:r w:rsidRPr="00643755">
        <w:t xml:space="preserve">Identify </w:t>
      </w:r>
      <w:r w:rsidRPr="00643755">
        <w:rPr>
          <w:u w:val="single"/>
        </w:rPr>
        <w:t>yet-to-be-published</w:t>
      </w:r>
      <w:r w:rsidRPr="00643755">
        <w:t xml:space="preserve"> research that may have results available </w:t>
      </w:r>
      <w:proofErr w:type="gramStart"/>
      <w:r w:rsidRPr="00643755">
        <w:t>in the near future</w:t>
      </w:r>
      <w:proofErr w:type="gramEnd"/>
      <w:r w:rsidRPr="00643755">
        <w:t xml:space="preserve"> (that could be relevant to your application). Do not attach full text a</w:t>
      </w:r>
      <w:r>
        <w:t>rticles; this is just a summary</w:t>
      </w:r>
      <w:r w:rsidR="004C49EF" w:rsidRPr="00643755">
        <w:rPr>
          <w:i/>
        </w:rPr>
        <w:t>.</w:t>
      </w:r>
    </w:p>
    <w:tbl>
      <w:tblPr>
        <w:tblStyle w:val="TableGrid"/>
        <w:tblW w:w="5000" w:type="pct"/>
        <w:tblLook w:val="04A0" w:firstRow="1" w:lastRow="0" w:firstColumn="1" w:lastColumn="0" w:noHBand="0" w:noVBand="1"/>
        <w:tblCaption w:val="Summary of Evidence - Yet to be Published"/>
      </w:tblPr>
      <w:tblGrid>
        <w:gridCol w:w="421"/>
        <w:gridCol w:w="2126"/>
        <w:gridCol w:w="2692"/>
        <w:gridCol w:w="4112"/>
        <w:gridCol w:w="2692"/>
        <w:gridCol w:w="1905"/>
      </w:tblGrid>
      <w:tr w:rsidR="004C49EF" w14:paraId="34CEFB17" w14:textId="77777777" w:rsidTr="000F0ACD">
        <w:trPr>
          <w:cantSplit/>
          <w:tblHeader/>
        </w:trPr>
        <w:tc>
          <w:tcPr>
            <w:tcW w:w="151" w:type="pct"/>
          </w:tcPr>
          <w:p w14:paraId="467F5E43" w14:textId="77777777" w:rsidR="004C49EF" w:rsidRDefault="004C49EF" w:rsidP="00855944">
            <w:pPr>
              <w:pStyle w:val="TableHEADER"/>
            </w:pPr>
          </w:p>
        </w:tc>
        <w:tc>
          <w:tcPr>
            <w:tcW w:w="762" w:type="pct"/>
          </w:tcPr>
          <w:p w14:paraId="1F5008FB" w14:textId="2631A8D3" w:rsidR="004C49EF" w:rsidRDefault="004C49EF" w:rsidP="00855944">
            <w:pPr>
              <w:pStyle w:val="TableHEADER"/>
            </w:pPr>
            <w:r>
              <w:t>Type of study design</w:t>
            </w:r>
          </w:p>
        </w:tc>
        <w:tc>
          <w:tcPr>
            <w:tcW w:w="965" w:type="pct"/>
          </w:tcPr>
          <w:p w14:paraId="5C755A73" w14:textId="36ECDF16" w:rsidR="004C49EF" w:rsidRDefault="004C49EF" w:rsidP="00855944">
            <w:pPr>
              <w:pStyle w:val="TableHEADER"/>
            </w:pPr>
            <w:r>
              <w:t xml:space="preserve">Title of research </w:t>
            </w:r>
          </w:p>
        </w:tc>
        <w:tc>
          <w:tcPr>
            <w:tcW w:w="1474" w:type="pct"/>
          </w:tcPr>
          <w:p w14:paraId="1D1BE2BE" w14:textId="134A587F" w:rsidR="004C49EF" w:rsidRDefault="00367C1B" w:rsidP="00855944">
            <w:pPr>
              <w:pStyle w:val="TableHEADER"/>
            </w:pPr>
            <w:r>
              <w:t xml:space="preserve">Short description of research </w:t>
            </w:r>
          </w:p>
        </w:tc>
        <w:tc>
          <w:tcPr>
            <w:tcW w:w="965" w:type="pct"/>
          </w:tcPr>
          <w:p w14:paraId="51D65B41" w14:textId="0FFCEBE4" w:rsidR="004C49EF" w:rsidRDefault="004C49EF" w:rsidP="00855944">
            <w:pPr>
              <w:pStyle w:val="TableHEADER"/>
            </w:pPr>
            <w:r w:rsidRPr="00E82F54">
              <w:t xml:space="preserve">Website link to </w:t>
            </w:r>
            <w:r>
              <w:t xml:space="preserve">research </w:t>
            </w:r>
          </w:p>
        </w:tc>
        <w:tc>
          <w:tcPr>
            <w:tcW w:w="683" w:type="pct"/>
          </w:tcPr>
          <w:p w14:paraId="2777AA5A" w14:textId="503B7027" w:rsidR="004C49EF" w:rsidRDefault="004C49EF" w:rsidP="00855944">
            <w:pPr>
              <w:pStyle w:val="TableHEADER"/>
            </w:pPr>
            <w:r w:rsidRPr="00E82F54">
              <w:t>Date</w:t>
            </w:r>
          </w:p>
        </w:tc>
      </w:tr>
      <w:tr w:rsidR="004C49EF" w14:paraId="2F4F05D2" w14:textId="77777777" w:rsidTr="000F0ACD">
        <w:trPr>
          <w:cantSplit/>
        </w:trPr>
        <w:tc>
          <w:tcPr>
            <w:tcW w:w="151" w:type="pct"/>
          </w:tcPr>
          <w:p w14:paraId="1901040A" w14:textId="3CB4C97D" w:rsidR="004C49EF" w:rsidRPr="00965B6B" w:rsidRDefault="0013243D" w:rsidP="00526478">
            <w:pPr>
              <w:rPr>
                <w:szCs w:val="20"/>
              </w:rPr>
            </w:pPr>
            <w:r>
              <w:rPr>
                <w:szCs w:val="20"/>
              </w:rPr>
              <w:t>1.</w:t>
            </w:r>
          </w:p>
        </w:tc>
        <w:tc>
          <w:tcPr>
            <w:tcW w:w="762" w:type="pct"/>
          </w:tcPr>
          <w:p w14:paraId="34A6F3F2" w14:textId="5AFD843C" w:rsidR="00EC6CF3" w:rsidRDefault="00EC6CF3" w:rsidP="00526478">
            <w:r>
              <w:t xml:space="preserve">Clinical trial </w:t>
            </w:r>
          </w:p>
          <w:p w14:paraId="5704C0BC" w14:textId="31FC3C6D" w:rsidR="004C49EF" w:rsidRDefault="00F320AC" w:rsidP="00526478">
            <w:pPr>
              <w:rPr>
                <w:b/>
                <w:szCs w:val="20"/>
              </w:rPr>
            </w:pPr>
            <w:r>
              <w:t>Randomised</w:t>
            </w:r>
            <w:r w:rsidR="0009601A">
              <w:t xml:space="preserve">, parallel assignment, open label </w:t>
            </w:r>
          </w:p>
        </w:tc>
        <w:tc>
          <w:tcPr>
            <w:tcW w:w="965" w:type="pct"/>
          </w:tcPr>
          <w:p w14:paraId="529EC0C0" w14:textId="77777777" w:rsidR="004C49EF" w:rsidRDefault="00F320AC" w:rsidP="00526478">
            <w:r w:rsidRPr="00F320AC">
              <w:t xml:space="preserve">Clinical and Medico-economical Assessment of Deep Brain Stimulation of the Anterior Nucleus of the Thalamus for the Treatment of </w:t>
            </w:r>
            <w:proofErr w:type="spellStart"/>
            <w:r w:rsidRPr="00F320AC">
              <w:t>Pharmacoresistant</w:t>
            </w:r>
            <w:proofErr w:type="spellEnd"/>
            <w:r w:rsidRPr="00F320AC">
              <w:t xml:space="preserve"> Partial Epilepsy</w:t>
            </w:r>
            <w:r w:rsidR="0009601A">
              <w:t>.</w:t>
            </w:r>
          </w:p>
          <w:p w14:paraId="7FF7342F" w14:textId="0C8E31B2" w:rsidR="0009601A" w:rsidRDefault="0009601A" w:rsidP="00526478">
            <w:pPr>
              <w:rPr>
                <w:bCs/>
                <w:szCs w:val="20"/>
              </w:rPr>
            </w:pPr>
            <w:r w:rsidRPr="0009601A">
              <w:rPr>
                <w:bCs/>
                <w:szCs w:val="20"/>
              </w:rPr>
              <w:t xml:space="preserve">NCT No. </w:t>
            </w:r>
            <w:r w:rsidR="008328B0">
              <w:rPr>
                <w:bCs/>
                <w:szCs w:val="20"/>
              </w:rPr>
              <w:t xml:space="preserve">- </w:t>
            </w:r>
            <w:r w:rsidRPr="0009601A">
              <w:rPr>
                <w:bCs/>
                <w:szCs w:val="20"/>
              </w:rPr>
              <w:t>NCT02076698</w:t>
            </w:r>
          </w:p>
          <w:p w14:paraId="6C62C29D" w14:textId="0DDA5FBD" w:rsidR="008328B0" w:rsidRPr="0009601A" w:rsidRDefault="008328B0" w:rsidP="00526478">
            <w:pPr>
              <w:rPr>
                <w:bCs/>
                <w:szCs w:val="20"/>
              </w:rPr>
            </w:pPr>
            <w:r>
              <w:rPr>
                <w:bCs/>
                <w:szCs w:val="20"/>
              </w:rPr>
              <w:t xml:space="preserve">Other Study ID no. - </w:t>
            </w:r>
            <w:r w:rsidRPr="008328B0">
              <w:rPr>
                <w:bCs/>
                <w:szCs w:val="20"/>
              </w:rPr>
              <w:t>1317 FRANCE</w:t>
            </w:r>
          </w:p>
        </w:tc>
        <w:tc>
          <w:tcPr>
            <w:tcW w:w="1474" w:type="pct"/>
          </w:tcPr>
          <w:p w14:paraId="23D0E478" w14:textId="13FF69FF" w:rsidR="004C49EF" w:rsidRDefault="0009601A" w:rsidP="00526478">
            <w:pPr>
              <w:rPr>
                <w:b/>
                <w:szCs w:val="20"/>
              </w:rPr>
            </w:pPr>
            <w:r>
              <w:t>Phase 3 c</w:t>
            </w:r>
            <w:r w:rsidR="00F320AC">
              <w:t>linical trial investigating DBS</w:t>
            </w:r>
            <w:r w:rsidR="00F320AC" w:rsidRPr="00F320AC">
              <w:t xml:space="preserve"> of the </w:t>
            </w:r>
            <w:r>
              <w:t>ANT</w:t>
            </w:r>
            <w:r w:rsidR="00F320AC">
              <w:t xml:space="preserve"> versus usual </w:t>
            </w:r>
            <w:r w:rsidR="00F320AC" w:rsidRPr="00F320AC">
              <w:t xml:space="preserve">treatment </w:t>
            </w:r>
            <w:r>
              <w:t>for</w:t>
            </w:r>
            <w:r w:rsidR="00F320AC" w:rsidRPr="00F320AC">
              <w:t xml:space="preserve"> epilepsy</w:t>
            </w:r>
            <w:r>
              <w:t>,</w:t>
            </w:r>
            <w:r w:rsidR="00F320AC" w:rsidRPr="00F320AC">
              <w:t xml:space="preserve"> including vagus nerve stimulation (VNS)</w:t>
            </w:r>
            <w:r>
              <w:t xml:space="preserve">. </w:t>
            </w:r>
            <w:r w:rsidR="009A10B0">
              <w:t>Currently recruiting. Estimated</w:t>
            </w:r>
            <w:r>
              <w:t xml:space="preserve"> study completion June 2022.</w:t>
            </w:r>
          </w:p>
        </w:tc>
        <w:tc>
          <w:tcPr>
            <w:tcW w:w="965" w:type="pct"/>
          </w:tcPr>
          <w:p w14:paraId="674943AE" w14:textId="77777777" w:rsidR="004C49EF" w:rsidRDefault="002810D9" w:rsidP="00526478">
            <w:r>
              <w:t xml:space="preserve">Website </w:t>
            </w:r>
            <w:hyperlink r:id="rId40" w:history="1">
              <w:r w:rsidRPr="002810D9">
                <w:rPr>
                  <w:rStyle w:val="Hyperlink"/>
                </w:rPr>
                <w:t>link</w:t>
              </w:r>
            </w:hyperlink>
            <w:r>
              <w:t xml:space="preserve"> </w:t>
            </w:r>
          </w:p>
          <w:p w14:paraId="6CD60773" w14:textId="77777777" w:rsidR="009A10B0" w:rsidRDefault="009A10B0" w:rsidP="00526478">
            <w:pPr>
              <w:rPr>
                <w:b/>
                <w:szCs w:val="20"/>
              </w:rPr>
            </w:pPr>
          </w:p>
          <w:p w14:paraId="21AACDF5" w14:textId="77777777" w:rsidR="009A10B0" w:rsidRDefault="009A10B0" w:rsidP="00526478">
            <w:pPr>
              <w:rPr>
                <w:b/>
                <w:szCs w:val="20"/>
              </w:rPr>
            </w:pPr>
          </w:p>
          <w:p w14:paraId="1FD98492" w14:textId="25BC8452" w:rsidR="009A10B0" w:rsidRPr="00E82F54" w:rsidRDefault="009A10B0" w:rsidP="00526478">
            <w:pPr>
              <w:rPr>
                <w:b/>
                <w:szCs w:val="20"/>
              </w:rPr>
            </w:pPr>
          </w:p>
        </w:tc>
        <w:tc>
          <w:tcPr>
            <w:tcW w:w="683" w:type="pct"/>
          </w:tcPr>
          <w:p w14:paraId="76BF989F" w14:textId="4E8DB135" w:rsidR="004C49EF" w:rsidRPr="00217D22" w:rsidRDefault="00217D22" w:rsidP="00526478">
            <w:pPr>
              <w:rPr>
                <w:bCs/>
                <w:szCs w:val="20"/>
              </w:rPr>
            </w:pPr>
            <w:r w:rsidRPr="00217D22">
              <w:rPr>
                <w:bCs/>
                <w:szCs w:val="20"/>
              </w:rPr>
              <w:t>?</w:t>
            </w:r>
          </w:p>
        </w:tc>
      </w:tr>
      <w:tr w:rsidR="004C49EF" w14:paraId="79552CAA" w14:textId="77777777" w:rsidTr="000F0ACD">
        <w:trPr>
          <w:cantSplit/>
        </w:trPr>
        <w:tc>
          <w:tcPr>
            <w:tcW w:w="151" w:type="pct"/>
          </w:tcPr>
          <w:p w14:paraId="7006C456" w14:textId="087ECF87" w:rsidR="004C49EF" w:rsidRDefault="0013243D" w:rsidP="00526478">
            <w:pPr>
              <w:rPr>
                <w:szCs w:val="20"/>
              </w:rPr>
            </w:pPr>
            <w:r>
              <w:rPr>
                <w:szCs w:val="20"/>
              </w:rPr>
              <w:lastRenderedPageBreak/>
              <w:t xml:space="preserve">2. </w:t>
            </w:r>
          </w:p>
        </w:tc>
        <w:tc>
          <w:tcPr>
            <w:tcW w:w="762" w:type="pct"/>
          </w:tcPr>
          <w:p w14:paraId="7201059A" w14:textId="77777777" w:rsidR="008F6165" w:rsidRDefault="008F6165" w:rsidP="00526478">
            <w:r>
              <w:t>Clinical trial</w:t>
            </w:r>
          </w:p>
          <w:p w14:paraId="4EA71AF7" w14:textId="6885D9CA" w:rsidR="004C49EF" w:rsidRPr="008D3228" w:rsidRDefault="008D3228" w:rsidP="00526478">
            <w:r>
              <w:t>Non-randomised (open) single group, treatment trial</w:t>
            </w:r>
          </w:p>
        </w:tc>
        <w:tc>
          <w:tcPr>
            <w:tcW w:w="965" w:type="pct"/>
          </w:tcPr>
          <w:p w14:paraId="1626DECA" w14:textId="077428B5" w:rsidR="004C49EF" w:rsidRDefault="008D3228" w:rsidP="00526478">
            <w:r>
              <w:t>Safety and Efficacy of a Deep Brain Stimulation System in Epilepsy: A Feasibility Study for Tracking Neural Excitability.</w:t>
            </w:r>
          </w:p>
          <w:p w14:paraId="7BC25C27" w14:textId="5A021C87" w:rsidR="008D3228" w:rsidRPr="00233588" w:rsidRDefault="008D3228" w:rsidP="004D0966">
            <w:r>
              <w:t>Registration No.: ACTRN12617001312336</w:t>
            </w:r>
          </w:p>
        </w:tc>
        <w:tc>
          <w:tcPr>
            <w:tcW w:w="1474" w:type="pct"/>
          </w:tcPr>
          <w:p w14:paraId="6A564FFB" w14:textId="1B57643B" w:rsidR="008D3228" w:rsidRDefault="0013243D" w:rsidP="00526478">
            <w:pPr>
              <w:rPr>
                <w:b/>
                <w:szCs w:val="20"/>
              </w:rPr>
            </w:pPr>
            <w:r>
              <w:t>Test</w:t>
            </w:r>
            <w:r w:rsidR="009A10B0">
              <w:t>ing</w:t>
            </w:r>
            <w:r w:rsidR="008D3228" w:rsidRPr="008D3228">
              <w:t xml:space="preserve"> a new device </w:t>
            </w:r>
            <w:r w:rsidR="008D3228">
              <w:t>called the ‘</w:t>
            </w:r>
            <w:r w:rsidR="008D3228" w:rsidRPr="008D3228">
              <w:t>Medtronic Activa PC+S system</w:t>
            </w:r>
            <w:r w:rsidR="008D3228">
              <w:t>’</w:t>
            </w:r>
            <w:r w:rsidR="008D3228" w:rsidRPr="008D3228">
              <w:t xml:space="preserve"> </w:t>
            </w:r>
            <w:r w:rsidR="00C945B8" w:rsidRPr="008D3228">
              <w:t>usi</w:t>
            </w:r>
            <w:r w:rsidR="00C945B8">
              <w:t>ng</w:t>
            </w:r>
            <w:r w:rsidR="008D3228" w:rsidRPr="008D3228">
              <w:t xml:space="preserve"> electrical stimulation of the brain for the treatment of epilepsy</w:t>
            </w:r>
            <w:r w:rsidR="008D3228">
              <w:t>.</w:t>
            </w:r>
            <w:r w:rsidR="008D3228" w:rsidRPr="008D3228">
              <w:t xml:space="preserve"> </w:t>
            </w:r>
            <w:r w:rsidR="00D75964">
              <w:t>E</w:t>
            </w:r>
            <w:r w:rsidR="00D75964" w:rsidRPr="008D3228">
              <w:t>lectrodes</w:t>
            </w:r>
            <w:r w:rsidR="008D3228" w:rsidRPr="008D3228">
              <w:t xml:space="preserve"> will be surgically implanted bilaterally into the hippopotamus and </w:t>
            </w:r>
            <w:r w:rsidR="00C945B8">
              <w:t>ANT</w:t>
            </w:r>
            <w:r w:rsidR="008D3228">
              <w:t>. The primary outcome is change in seizure rate. N=5</w:t>
            </w:r>
            <w:r w:rsidR="009A10B0">
              <w:t xml:space="preserve"> Recruiting.</w:t>
            </w:r>
          </w:p>
        </w:tc>
        <w:tc>
          <w:tcPr>
            <w:tcW w:w="965" w:type="pct"/>
          </w:tcPr>
          <w:p w14:paraId="646ADEFF" w14:textId="77777777" w:rsidR="004C49EF" w:rsidRDefault="008D3228" w:rsidP="00526478">
            <w:pPr>
              <w:rPr>
                <w:rStyle w:val="Hyperlink"/>
              </w:rPr>
            </w:pPr>
            <w:r>
              <w:t xml:space="preserve">Website </w:t>
            </w:r>
            <w:hyperlink r:id="rId41" w:history="1">
              <w:r w:rsidRPr="008D3228">
                <w:rPr>
                  <w:rStyle w:val="Hyperlink"/>
                </w:rPr>
                <w:t>link</w:t>
              </w:r>
            </w:hyperlink>
          </w:p>
          <w:p w14:paraId="73B73703" w14:textId="77777777" w:rsidR="009A10B0" w:rsidRDefault="009A10B0" w:rsidP="00526478">
            <w:pPr>
              <w:rPr>
                <w:rStyle w:val="Hyperlink"/>
              </w:rPr>
            </w:pPr>
          </w:p>
          <w:p w14:paraId="0C474E4B" w14:textId="36596932" w:rsidR="009A10B0" w:rsidRPr="00E82F54" w:rsidRDefault="009A10B0" w:rsidP="00526478">
            <w:pPr>
              <w:rPr>
                <w:b/>
                <w:szCs w:val="20"/>
              </w:rPr>
            </w:pPr>
          </w:p>
        </w:tc>
        <w:tc>
          <w:tcPr>
            <w:tcW w:w="683" w:type="pct"/>
          </w:tcPr>
          <w:p w14:paraId="086028D4" w14:textId="77777777" w:rsidR="007602CB" w:rsidRPr="00FA4501" w:rsidRDefault="007602CB" w:rsidP="00526478">
            <w:r w:rsidRPr="00FA4501">
              <w:t>?</w:t>
            </w:r>
          </w:p>
          <w:p w14:paraId="26933B42" w14:textId="79B20F74" w:rsidR="004C49EF" w:rsidRPr="00E82F54" w:rsidRDefault="004C49EF" w:rsidP="00526478">
            <w:pPr>
              <w:rPr>
                <w:b/>
                <w:szCs w:val="20"/>
              </w:rPr>
            </w:pPr>
          </w:p>
        </w:tc>
      </w:tr>
      <w:tr w:rsidR="008F6165" w14:paraId="06D66538" w14:textId="77777777" w:rsidTr="000F0ACD">
        <w:trPr>
          <w:cantSplit/>
        </w:trPr>
        <w:tc>
          <w:tcPr>
            <w:tcW w:w="151" w:type="pct"/>
          </w:tcPr>
          <w:p w14:paraId="3FD16CEF" w14:textId="77777777" w:rsidR="008F6165" w:rsidRDefault="008F6165" w:rsidP="00CC2E86">
            <w:pPr>
              <w:rPr>
                <w:szCs w:val="20"/>
              </w:rPr>
            </w:pPr>
            <w:r>
              <w:rPr>
                <w:szCs w:val="20"/>
              </w:rPr>
              <w:t>3.</w:t>
            </w:r>
          </w:p>
        </w:tc>
        <w:tc>
          <w:tcPr>
            <w:tcW w:w="762" w:type="pct"/>
          </w:tcPr>
          <w:p w14:paraId="604CDEDE" w14:textId="77777777" w:rsidR="008F6165" w:rsidRPr="008D5077" w:rsidRDefault="008F6165" w:rsidP="00CC2E86">
            <w:r>
              <w:t>Retrospective, o</w:t>
            </w:r>
            <w:r w:rsidRPr="008D5077">
              <w:rPr>
                <w:bCs/>
                <w:szCs w:val="20"/>
              </w:rPr>
              <w:t xml:space="preserve">bservational </w:t>
            </w:r>
          </w:p>
        </w:tc>
        <w:tc>
          <w:tcPr>
            <w:tcW w:w="965" w:type="pct"/>
          </w:tcPr>
          <w:p w14:paraId="000EE6E2" w14:textId="77777777" w:rsidR="008F6165" w:rsidRDefault="008F6165" w:rsidP="00CC2E86">
            <w:proofErr w:type="spellStart"/>
            <w:r w:rsidRPr="00EC6CF3">
              <w:t>Microendoscopic</w:t>
            </w:r>
            <w:proofErr w:type="spellEnd"/>
            <w:r w:rsidRPr="00EC6CF3">
              <w:t xml:space="preserve"> </w:t>
            </w:r>
            <w:proofErr w:type="spellStart"/>
            <w:r w:rsidRPr="00EC6CF3">
              <w:t>Transventricular</w:t>
            </w:r>
            <w:proofErr w:type="spellEnd"/>
            <w:r w:rsidRPr="00EC6CF3">
              <w:t xml:space="preserve"> Deep Brain Stimulation of the Anterior Nucleus of the Thalamus as a Safe and Efficient Treatment in Intractable Epilepsy</w:t>
            </w:r>
            <w:r>
              <w:t>.</w:t>
            </w:r>
          </w:p>
          <w:p w14:paraId="56BC25B8" w14:textId="77777777" w:rsidR="008F6165" w:rsidRDefault="008F6165" w:rsidP="00CC2E86">
            <w:pPr>
              <w:rPr>
                <w:b/>
                <w:szCs w:val="20"/>
              </w:rPr>
            </w:pPr>
          </w:p>
        </w:tc>
        <w:tc>
          <w:tcPr>
            <w:tcW w:w="1474" w:type="pct"/>
          </w:tcPr>
          <w:p w14:paraId="18D394C0" w14:textId="7A12F7F2" w:rsidR="008F6165" w:rsidRDefault="008F6165" w:rsidP="00CC2E86">
            <w:pPr>
              <w:rPr>
                <w:b/>
                <w:szCs w:val="20"/>
              </w:rPr>
            </w:pPr>
            <w:r w:rsidRPr="008D5077">
              <w:rPr>
                <w:bCs/>
                <w:szCs w:val="20"/>
              </w:rPr>
              <w:t xml:space="preserve">Reviewed </w:t>
            </w:r>
            <w:r>
              <w:rPr>
                <w:bCs/>
                <w:szCs w:val="20"/>
              </w:rPr>
              <w:t xml:space="preserve">follow up </w:t>
            </w:r>
            <w:r w:rsidRPr="008D5077">
              <w:rPr>
                <w:bCs/>
                <w:szCs w:val="20"/>
              </w:rPr>
              <w:t xml:space="preserve">data from their prospective database for patients </w:t>
            </w:r>
            <w:r>
              <w:rPr>
                <w:bCs/>
                <w:szCs w:val="20"/>
              </w:rPr>
              <w:t xml:space="preserve">18 years and over, </w:t>
            </w:r>
            <w:r w:rsidRPr="008D5077">
              <w:rPr>
                <w:bCs/>
                <w:szCs w:val="20"/>
              </w:rPr>
              <w:t>surgically treated between 2010-2019 for refractory epilepsy DBS of the ANT</w:t>
            </w:r>
            <w:r>
              <w:rPr>
                <w:bCs/>
                <w:szCs w:val="20"/>
              </w:rPr>
              <w:t xml:space="preserve">, </w:t>
            </w:r>
            <w:r w:rsidRPr="008D5077">
              <w:rPr>
                <w:bCs/>
                <w:szCs w:val="20"/>
              </w:rPr>
              <w:t xml:space="preserve">using </w:t>
            </w:r>
            <w:proofErr w:type="spellStart"/>
            <w:r w:rsidRPr="008D5077">
              <w:rPr>
                <w:bCs/>
                <w:szCs w:val="20"/>
              </w:rPr>
              <w:t>microendoscopy</w:t>
            </w:r>
            <w:proofErr w:type="spellEnd"/>
            <w:r w:rsidRPr="008D5077">
              <w:rPr>
                <w:bCs/>
                <w:szCs w:val="20"/>
              </w:rPr>
              <w:t xml:space="preserve">. All patients had a minimum follow up of 1 year. </w:t>
            </w:r>
            <w:r w:rsidR="009A10B0">
              <w:rPr>
                <w:bCs/>
                <w:szCs w:val="20"/>
              </w:rPr>
              <w:t xml:space="preserve">Recruiting. </w:t>
            </w:r>
            <w:r>
              <w:rPr>
                <w:bCs/>
                <w:szCs w:val="20"/>
              </w:rPr>
              <w:t>Study completion date December 29, 2021.</w:t>
            </w:r>
          </w:p>
        </w:tc>
        <w:tc>
          <w:tcPr>
            <w:tcW w:w="965" w:type="pct"/>
          </w:tcPr>
          <w:p w14:paraId="4A4DF727" w14:textId="05572330" w:rsidR="0013243D" w:rsidRPr="00EC6CF3" w:rsidRDefault="0013243D" w:rsidP="0013243D">
            <w:pPr>
              <w:rPr>
                <w:bCs/>
                <w:szCs w:val="20"/>
              </w:rPr>
            </w:pPr>
            <w:r>
              <w:rPr>
                <w:bCs/>
                <w:szCs w:val="20"/>
              </w:rPr>
              <w:t xml:space="preserve">Website </w:t>
            </w:r>
            <w:hyperlink r:id="rId42" w:history="1">
              <w:r w:rsidRPr="0013243D">
                <w:rPr>
                  <w:rStyle w:val="Hyperlink"/>
                  <w:bCs/>
                  <w:szCs w:val="20"/>
                </w:rPr>
                <w:t>link</w:t>
              </w:r>
            </w:hyperlink>
            <w:r>
              <w:rPr>
                <w:bCs/>
                <w:szCs w:val="20"/>
              </w:rPr>
              <w:t xml:space="preserve"> </w:t>
            </w:r>
          </w:p>
          <w:p w14:paraId="64505440" w14:textId="77777777" w:rsidR="008F6165" w:rsidRPr="00E82F54" w:rsidRDefault="008F6165">
            <w:pPr>
              <w:rPr>
                <w:b/>
                <w:szCs w:val="20"/>
              </w:rPr>
            </w:pPr>
          </w:p>
        </w:tc>
        <w:tc>
          <w:tcPr>
            <w:tcW w:w="683" w:type="pct"/>
          </w:tcPr>
          <w:p w14:paraId="78BD0785" w14:textId="4608CF5A" w:rsidR="008F6165" w:rsidRPr="00E82F54" w:rsidRDefault="00D75964" w:rsidP="00CC2E86">
            <w:pPr>
              <w:rPr>
                <w:b/>
                <w:szCs w:val="20"/>
              </w:rPr>
            </w:pPr>
            <w:r>
              <w:t>?</w:t>
            </w:r>
          </w:p>
        </w:tc>
      </w:tr>
      <w:tr w:rsidR="007602CB" w14:paraId="0FAA7D98" w14:textId="77777777" w:rsidTr="000F0ACD">
        <w:trPr>
          <w:cantSplit/>
        </w:trPr>
        <w:tc>
          <w:tcPr>
            <w:tcW w:w="151" w:type="pct"/>
          </w:tcPr>
          <w:p w14:paraId="74A2C340" w14:textId="288A3AEA" w:rsidR="007602CB" w:rsidRDefault="00FA4501" w:rsidP="007602CB">
            <w:pPr>
              <w:rPr>
                <w:szCs w:val="20"/>
              </w:rPr>
            </w:pPr>
            <w:r>
              <w:rPr>
                <w:szCs w:val="20"/>
              </w:rPr>
              <w:t>4</w:t>
            </w:r>
          </w:p>
        </w:tc>
        <w:tc>
          <w:tcPr>
            <w:tcW w:w="762" w:type="pct"/>
          </w:tcPr>
          <w:p w14:paraId="23297366" w14:textId="630F54C2" w:rsidR="007602CB" w:rsidRPr="00FA4501" w:rsidRDefault="007602CB" w:rsidP="007602CB">
            <w:r w:rsidRPr="00FA4501">
              <w:rPr>
                <w:szCs w:val="20"/>
              </w:rPr>
              <w:t>D</w:t>
            </w:r>
            <w:r w:rsidRPr="00FA4501">
              <w:t>ouble‐blind, parallel design, randomized controlled clinical trial</w:t>
            </w:r>
          </w:p>
        </w:tc>
        <w:tc>
          <w:tcPr>
            <w:tcW w:w="965" w:type="pct"/>
          </w:tcPr>
          <w:p w14:paraId="083CE15B" w14:textId="5E337FC0" w:rsidR="007602CB" w:rsidRDefault="007602CB" w:rsidP="007602CB">
            <w:r>
              <w:t>ESTEL: Electrical Stimulation of the Thalamus for Epilepsy of Lennox-</w:t>
            </w:r>
            <w:proofErr w:type="spellStart"/>
            <w:r>
              <w:t>Gastaut</w:t>
            </w:r>
            <w:proofErr w:type="spellEnd"/>
            <w:r>
              <w:t xml:space="preserve"> phenotype</w:t>
            </w:r>
          </w:p>
        </w:tc>
        <w:tc>
          <w:tcPr>
            <w:tcW w:w="1474" w:type="pct"/>
          </w:tcPr>
          <w:p w14:paraId="78B8CA74" w14:textId="77777777" w:rsidR="007602CB" w:rsidRDefault="007602CB" w:rsidP="007602CB">
            <w:r>
              <w:t>Bilateral stimulation of the CM nucleus of thalamus in n=20 patients with severe generalised epilepsy of Lennox-</w:t>
            </w:r>
            <w:proofErr w:type="spellStart"/>
            <w:r>
              <w:t>Gastaut</w:t>
            </w:r>
            <w:proofErr w:type="spellEnd"/>
            <w:r>
              <w:t xml:space="preserve"> Phenotype.  Median seizure reduction at study exit (having received </w:t>
            </w:r>
            <w:proofErr w:type="gramStart"/>
            <w:r>
              <w:t>3 or 6 months</w:t>
            </w:r>
            <w:proofErr w:type="gramEnd"/>
            <w:r>
              <w:t xml:space="preserve"> stimulation) was ~50%. </w:t>
            </w:r>
          </w:p>
          <w:p w14:paraId="229E169C" w14:textId="643BBEF2" w:rsidR="007602CB" w:rsidRDefault="007602CB" w:rsidP="007602CB">
            <w:r w:rsidRPr="001F638E">
              <w:rPr>
                <w:b/>
                <w:i/>
                <w:iCs/>
                <w:szCs w:val="20"/>
              </w:rPr>
              <w:t>(Paper under review)</w:t>
            </w:r>
          </w:p>
        </w:tc>
        <w:tc>
          <w:tcPr>
            <w:tcW w:w="965" w:type="pct"/>
          </w:tcPr>
          <w:p w14:paraId="25D61B24" w14:textId="767A6B77" w:rsidR="007602CB" w:rsidRDefault="007602CB" w:rsidP="007602CB">
            <w:r>
              <w:t xml:space="preserve">Website </w:t>
            </w:r>
            <w:hyperlink r:id="rId43" w:history="1">
              <w:r w:rsidRPr="007602CB">
                <w:rPr>
                  <w:rStyle w:val="Hyperlink"/>
                </w:rPr>
                <w:t>link</w:t>
              </w:r>
            </w:hyperlink>
          </w:p>
        </w:tc>
        <w:tc>
          <w:tcPr>
            <w:tcW w:w="683" w:type="pct"/>
          </w:tcPr>
          <w:p w14:paraId="21DBFDF6" w14:textId="5A93C5B6" w:rsidR="007602CB" w:rsidRDefault="007602CB" w:rsidP="007602CB">
            <w:r>
              <w:t>2021</w:t>
            </w:r>
          </w:p>
        </w:tc>
      </w:tr>
    </w:tbl>
    <w:p w14:paraId="7B4A4C58" w14:textId="5A267254" w:rsidR="00DD308E" w:rsidRPr="00E22F97" w:rsidRDefault="00F301F1" w:rsidP="00E22F97">
      <w:pPr>
        <w:spacing w:after="0"/>
        <w:ind w:left="426"/>
        <w:rPr>
          <w:i/>
          <w:szCs w:val="20"/>
        </w:rPr>
        <w:sectPr w:rsidR="00DD308E" w:rsidRPr="00E22F97" w:rsidSect="00DD308E">
          <w:pgSz w:w="16838" w:h="11906" w:orient="landscape"/>
          <w:pgMar w:top="1440" w:right="1440" w:bottom="1440" w:left="1440" w:header="708" w:footer="708" w:gutter="0"/>
          <w:cols w:space="708"/>
          <w:docGrid w:linePitch="360"/>
        </w:sectPr>
      </w:pPr>
      <w:r>
        <w:rPr>
          <w:b/>
          <w:sz w:val="32"/>
          <w:szCs w:val="32"/>
        </w:rPr>
        <w:br w:type="page"/>
      </w:r>
    </w:p>
    <w:p w14:paraId="6C5FD024"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32C0DECE" w14:textId="77777777" w:rsidR="00E82F54" w:rsidRDefault="00E82F54" w:rsidP="00282B37">
      <w:pPr>
        <w:pStyle w:val="Heading2"/>
      </w:pPr>
      <w:r w:rsidRPr="00CA26DD">
        <w:t>List</w:t>
      </w:r>
      <w:r w:rsidR="00282B37" w:rsidRPr="00282B37">
        <w:t xml:space="preserve"> all appropriate professional bodies/organisations representing the health professionals who provide the service. For </w:t>
      </w:r>
      <w:r w:rsidR="00282B37" w:rsidRPr="00282B37">
        <w:rPr>
          <w:u w:val="single"/>
        </w:rPr>
        <w:t>MBS-related applications</w:t>
      </w:r>
      <w:r w:rsidR="00282B37" w:rsidRPr="00282B37">
        <w:t xml:space="preserve"> ONLY, please attach a brief ‘Statement of Clinical Relevance’ from the most relevant college/society.</w:t>
      </w:r>
    </w:p>
    <w:p w14:paraId="1C60D7DD" w14:textId="0391483A" w:rsidR="0042146E" w:rsidRPr="00C27ECA" w:rsidRDefault="0042146E" w:rsidP="00C27ECA">
      <w:pPr>
        <w:pStyle w:val="ListParagraph"/>
        <w:numPr>
          <w:ilvl w:val="0"/>
          <w:numId w:val="16"/>
        </w:numPr>
      </w:pPr>
      <w:r w:rsidRPr="00C27ECA">
        <w:t xml:space="preserve">Neurosurgical Society of </w:t>
      </w:r>
      <w:r w:rsidR="00EF32A8" w:rsidRPr="00C27ECA">
        <w:t>Australasia</w:t>
      </w:r>
    </w:p>
    <w:p w14:paraId="79810695" w14:textId="7E65CF2F" w:rsidR="00362772" w:rsidRPr="00C27ECA" w:rsidRDefault="00362772" w:rsidP="00C27ECA">
      <w:pPr>
        <w:pStyle w:val="ListParagraph"/>
        <w:numPr>
          <w:ilvl w:val="0"/>
          <w:numId w:val="16"/>
        </w:numPr>
      </w:pPr>
      <w:r w:rsidRPr="00C27ECA">
        <w:t>Royal Australasian College of Surgeons</w:t>
      </w:r>
    </w:p>
    <w:p w14:paraId="4564C8B6" w14:textId="0D40BCA9" w:rsidR="00362772" w:rsidRPr="00C27ECA" w:rsidRDefault="00362772" w:rsidP="00C27ECA">
      <w:pPr>
        <w:pStyle w:val="ListParagraph"/>
        <w:numPr>
          <w:ilvl w:val="0"/>
          <w:numId w:val="16"/>
        </w:numPr>
      </w:pPr>
      <w:r w:rsidRPr="00C27ECA">
        <w:t xml:space="preserve">Australian and New Zealand Association of Neurologists </w:t>
      </w:r>
    </w:p>
    <w:p w14:paraId="113CED8E" w14:textId="22CA4925" w:rsidR="00FE66CD" w:rsidRPr="00C27ECA" w:rsidRDefault="00FE66CD" w:rsidP="00C27ECA">
      <w:pPr>
        <w:pStyle w:val="ListParagraph"/>
        <w:numPr>
          <w:ilvl w:val="0"/>
          <w:numId w:val="16"/>
        </w:numPr>
      </w:pPr>
      <w:r w:rsidRPr="00C27ECA">
        <w:t xml:space="preserve">Epilepsy Society of Australia </w:t>
      </w:r>
    </w:p>
    <w:p w14:paraId="56002CD6" w14:textId="5B3A3139" w:rsidR="0042146E" w:rsidRDefault="0042146E" w:rsidP="0042146E">
      <w:pPr>
        <w:pStyle w:val="ListParagraph"/>
        <w:ind w:left="1146"/>
        <w:rPr>
          <w:highlight w:val="yellow"/>
        </w:rPr>
      </w:pPr>
    </w:p>
    <w:p w14:paraId="627F470C" w14:textId="395C05A5" w:rsidR="002407D6" w:rsidRDefault="002407D6" w:rsidP="002407D6">
      <w:pPr>
        <w:pStyle w:val="ListParagraph"/>
        <w:ind w:left="360"/>
      </w:pPr>
      <w:r w:rsidRPr="002407D6">
        <w:t xml:space="preserve">Please find </w:t>
      </w:r>
      <w:r w:rsidRPr="002407D6">
        <w:rPr>
          <w:b/>
          <w:bCs/>
        </w:rPr>
        <w:t>attached</w:t>
      </w:r>
      <w:r w:rsidRPr="002407D6">
        <w:t xml:space="preserve"> ‘Statement</w:t>
      </w:r>
      <w:r w:rsidR="00B95CAF">
        <w:t>s</w:t>
      </w:r>
      <w:r w:rsidRPr="002407D6">
        <w:t xml:space="preserve"> of Clinical Relevance’</w:t>
      </w:r>
      <w:r w:rsidR="00C27ECA">
        <w:t xml:space="preserve">. at the end of this application. </w:t>
      </w:r>
    </w:p>
    <w:p w14:paraId="32F8A434" w14:textId="77777777" w:rsidR="002407D6" w:rsidRPr="002407D6" w:rsidRDefault="002407D6" w:rsidP="002407D6">
      <w:pPr>
        <w:pStyle w:val="ListParagraph"/>
        <w:ind w:left="360"/>
      </w:pPr>
    </w:p>
    <w:p w14:paraId="52A21313"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22F4EAB5" w14:textId="1A345577" w:rsidR="002407D6" w:rsidRDefault="00362772" w:rsidP="000F0ACD">
      <w:pPr>
        <w:pStyle w:val="ListParagraph"/>
        <w:numPr>
          <w:ilvl w:val="0"/>
          <w:numId w:val="16"/>
        </w:numPr>
      </w:pPr>
      <w:r w:rsidRPr="00C27ECA">
        <w:t>Please refer to the list above.</w:t>
      </w:r>
    </w:p>
    <w:p w14:paraId="7E5C73FB" w14:textId="77777777" w:rsidR="00E82F54" w:rsidRPr="00154B00" w:rsidRDefault="00E82F54" w:rsidP="00A75D46">
      <w:pPr>
        <w:pStyle w:val="Heading2"/>
      </w:pPr>
      <w:r w:rsidRPr="00154B00">
        <w:t>List</w:t>
      </w:r>
      <w:r w:rsidR="00A75D46" w:rsidRPr="00A75D46">
        <w:t xml:space="preserve"> the consumer organisations relevant to the proposed medical service (noting there is </w:t>
      </w:r>
      <w:r w:rsidR="00A75D46" w:rsidRPr="00A75D46">
        <w:rPr>
          <w:u w:val="single"/>
        </w:rPr>
        <w:t>NO NEED</w:t>
      </w:r>
      <w:r w:rsidR="00A75D46" w:rsidRPr="00A75D46">
        <w:t xml:space="preserve"> to attach a support letter at the ‘Application Lodgement’ stage of the MSAC process)</w:t>
      </w:r>
      <w:r w:rsidR="00197D29">
        <w:t>:</w:t>
      </w:r>
    </w:p>
    <w:p w14:paraId="53161830" w14:textId="77777777" w:rsidR="007E41C3" w:rsidRDefault="007E41C3" w:rsidP="007E41C3">
      <w:pPr>
        <w:pStyle w:val="ListParagraph"/>
        <w:numPr>
          <w:ilvl w:val="0"/>
          <w:numId w:val="17"/>
        </w:numPr>
      </w:pPr>
      <w:r>
        <w:t>Epilepsy Foundation</w:t>
      </w:r>
    </w:p>
    <w:p w14:paraId="245166A1" w14:textId="60890BA5" w:rsidR="007E41C3" w:rsidRPr="00071341" w:rsidRDefault="007E41C3" w:rsidP="007E41C3">
      <w:pPr>
        <w:pStyle w:val="ListParagraph"/>
        <w:numPr>
          <w:ilvl w:val="0"/>
          <w:numId w:val="17"/>
        </w:numPr>
      </w:pPr>
      <w:r>
        <w:t xml:space="preserve">Epilepsy Action </w:t>
      </w:r>
    </w:p>
    <w:p w14:paraId="427290EC" w14:textId="77777777" w:rsidR="003433D1" w:rsidRDefault="003433D1" w:rsidP="00530204">
      <w:pPr>
        <w:pStyle w:val="Heading2"/>
      </w:pPr>
      <w:r>
        <w:t xml:space="preserve">List the relevant </w:t>
      </w:r>
      <w:r w:rsidRPr="00EE6450">
        <w:t>sponsor</w:t>
      </w:r>
      <w:r>
        <w:t xml:space="preserve">(s) and / or manufacturer(s) who produce </w:t>
      </w:r>
      <w:r w:rsidRPr="00282B37">
        <w:rPr>
          <w:u w:val="single"/>
        </w:rPr>
        <w:t>similar</w:t>
      </w:r>
      <w:r>
        <w:t xml:space="preserve"> products relevant </w:t>
      </w:r>
      <w:r w:rsidR="00197D29">
        <w:t>to the proposed medical service:</w:t>
      </w:r>
    </w:p>
    <w:p w14:paraId="25380D1E" w14:textId="77777777" w:rsidR="007E41C3" w:rsidRDefault="007E41C3" w:rsidP="007E41C3">
      <w:pPr>
        <w:pStyle w:val="ListParagraph"/>
        <w:numPr>
          <w:ilvl w:val="0"/>
          <w:numId w:val="17"/>
        </w:numPr>
      </w:pPr>
      <w:r>
        <w:t>Medtronic Australasia Pty Ltd</w:t>
      </w:r>
    </w:p>
    <w:p w14:paraId="725C04B2" w14:textId="77777777" w:rsidR="007E41C3" w:rsidRDefault="007E41C3" w:rsidP="007E41C3">
      <w:pPr>
        <w:pStyle w:val="ListParagraph"/>
        <w:numPr>
          <w:ilvl w:val="0"/>
          <w:numId w:val="17"/>
        </w:numPr>
      </w:pPr>
      <w:r>
        <w:t>Abbott</w:t>
      </w:r>
    </w:p>
    <w:p w14:paraId="1F3D3052" w14:textId="52770A29" w:rsidR="007E41C3" w:rsidRDefault="007E41C3" w:rsidP="00317F2F">
      <w:pPr>
        <w:pStyle w:val="ListParagraph"/>
        <w:numPr>
          <w:ilvl w:val="0"/>
          <w:numId w:val="17"/>
        </w:numPr>
      </w:pPr>
      <w:r>
        <w:t xml:space="preserve">Boston Scientific </w:t>
      </w:r>
    </w:p>
    <w:p w14:paraId="0053AC4E" w14:textId="64BF892D" w:rsidR="00C27ECA" w:rsidRPr="000F0ACD" w:rsidRDefault="00362772" w:rsidP="000F0ACD">
      <w:pPr>
        <w:ind w:left="360"/>
      </w:pPr>
      <w:r>
        <w:t>Please note</w:t>
      </w:r>
      <w:r w:rsidR="00C33DC9">
        <w:t xml:space="preserve">, </w:t>
      </w:r>
      <w:r w:rsidR="00071341" w:rsidRPr="008F20DD">
        <w:rPr>
          <w:b/>
          <w:bCs/>
          <w:highlight w:val="lightGray"/>
        </w:rPr>
        <w:t>REDACTED</w:t>
      </w:r>
      <w:r w:rsidR="00071341">
        <w:t xml:space="preserve"> </w:t>
      </w:r>
      <w:r w:rsidR="00C33DC9">
        <w:t xml:space="preserve">have TGA approved devices for deep brain stimulation. However, while </w:t>
      </w:r>
      <w:r w:rsidR="00071341" w:rsidRPr="008F20DD">
        <w:rPr>
          <w:b/>
          <w:bCs/>
          <w:highlight w:val="lightGray"/>
        </w:rPr>
        <w:t>REDACTED</w:t>
      </w:r>
      <w:r w:rsidR="00071341">
        <w:t xml:space="preserve"> </w:t>
      </w:r>
      <w:r w:rsidR="00C33DC9">
        <w:t xml:space="preserve">and </w:t>
      </w:r>
      <w:r w:rsidR="00071341" w:rsidRPr="008F20DD">
        <w:rPr>
          <w:b/>
          <w:bCs/>
          <w:highlight w:val="lightGray"/>
        </w:rPr>
        <w:t>REDACTED</w:t>
      </w:r>
      <w:r w:rsidR="00071341">
        <w:t xml:space="preserve"> </w:t>
      </w:r>
      <w:r>
        <w:t xml:space="preserve">produce </w:t>
      </w:r>
      <w:r w:rsidR="00C33DC9">
        <w:t>devices that are used for deep brain stimulation procedures, their devices are not currently TGA approved</w:t>
      </w:r>
      <w:r w:rsidR="009D3DE6">
        <w:t xml:space="preserve"> for epilepsy</w:t>
      </w:r>
      <w:r w:rsidR="00FD2225">
        <w:t xml:space="preserve"> indications</w:t>
      </w:r>
      <w:r w:rsidR="00C33DC9">
        <w:t>.</w:t>
      </w:r>
    </w:p>
    <w:p w14:paraId="52DA922B" w14:textId="77777777" w:rsidR="00BA72E3" w:rsidRPr="00BA72E3" w:rsidRDefault="00BA72E3" w:rsidP="00BA72E3">
      <w:pPr>
        <w:numPr>
          <w:ilvl w:val="0"/>
          <w:numId w:val="1"/>
        </w:numPr>
        <w:rPr>
          <w:b/>
          <w:szCs w:val="20"/>
        </w:rPr>
      </w:pPr>
      <w:r w:rsidRPr="00BA72E3">
        <w:rPr>
          <w:b/>
          <w:szCs w:val="20"/>
        </w:rPr>
        <w:t>Nominate two experts that can be contacted about the proposed medical service, and current clinical management of the condition</w:t>
      </w:r>
      <w:r>
        <w:rPr>
          <w:b/>
          <w:szCs w:val="20"/>
        </w:rPr>
        <w:t>:</w:t>
      </w:r>
    </w:p>
    <w:p w14:paraId="5BE3FB11" w14:textId="07437288" w:rsidR="00C27ECA" w:rsidRPr="00987ABE" w:rsidRDefault="00987ABE" w:rsidP="00C27ECA">
      <w:pPr>
        <w:ind w:left="360"/>
        <w:rPr>
          <w:szCs w:val="20"/>
        </w:rPr>
      </w:pPr>
      <w:bookmarkStart w:id="7" w:name="_Hlk84923271"/>
      <w:r>
        <w:rPr>
          <w:szCs w:val="20"/>
        </w:rPr>
        <w:t xml:space="preserve">Name of expert 1: </w:t>
      </w:r>
      <w:r w:rsidR="00071341" w:rsidRPr="008F20DD">
        <w:rPr>
          <w:b/>
          <w:bCs/>
          <w:highlight w:val="lightGray"/>
        </w:rPr>
        <w:t>REDACTED</w:t>
      </w:r>
    </w:p>
    <w:p w14:paraId="32BCC6A5" w14:textId="59189589" w:rsidR="006D358C" w:rsidRDefault="00987ABE" w:rsidP="00C27ECA">
      <w:pPr>
        <w:ind w:left="360"/>
      </w:pPr>
      <w:r>
        <w:rPr>
          <w:szCs w:val="20"/>
        </w:rPr>
        <w:t xml:space="preserve">Telephone number(s): </w:t>
      </w:r>
      <w:r w:rsidR="00071341" w:rsidRPr="008F20DD">
        <w:rPr>
          <w:b/>
          <w:bCs/>
          <w:highlight w:val="lightGray"/>
        </w:rPr>
        <w:t>REDACTED</w:t>
      </w:r>
    </w:p>
    <w:p w14:paraId="73D0AF5B" w14:textId="6EEA1782" w:rsidR="00C27ECA" w:rsidRPr="00987ABE" w:rsidRDefault="00987ABE" w:rsidP="00C27ECA">
      <w:pPr>
        <w:ind w:left="360"/>
        <w:rPr>
          <w:szCs w:val="20"/>
        </w:rPr>
      </w:pPr>
      <w:r>
        <w:rPr>
          <w:szCs w:val="20"/>
        </w:rPr>
        <w:t xml:space="preserve">Email address: </w:t>
      </w:r>
      <w:r w:rsidR="00CE2945">
        <w:t xml:space="preserve"> </w:t>
      </w:r>
      <w:r w:rsidR="00071341" w:rsidRPr="008F20DD">
        <w:rPr>
          <w:b/>
          <w:bCs/>
          <w:highlight w:val="lightGray"/>
        </w:rPr>
        <w:t>REDACTED</w:t>
      </w:r>
    </w:p>
    <w:p w14:paraId="6A0EE4D7" w14:textId="31E3F63B" w:rsidR="00987ABE" w:rsidRPr="00987ABE" w:rsidRDefault="00987ABE" w:rsidP="00C27ECA">
      <w:pPr>
        <w:ind w:left="360"/>
        <w:rPr>
          <w:szCs w:val="20"/>
        </w:rPr>
      </w:pPr>
      <w:r>
        <w:rPr>
          <w:szCs w:val="20"/>
        </w:rPr>
        <w:t xml:space="preserve">Justification of expertise: </w:t>
      </w:r>
      <w:r w:rsidR="00C33DC9">
        <w:t xml:space="preserve"> </w:t>
      </w:r>
      <w:r w:rsidR="00071341" w:rsidRPr="008F20DD">
        <w:rPr>
          <w:b/>
          <w:bCs/>
          <w:highlight w:val="lightGray"/>
        </w:rPr>
        <w:t>REDACTED</w:t>
      </w:r>
    </w:p>
    <w:p w14:paraId="586DE8B7" w14:textId="77777777" w:rsidR="00987ABE" w:rsidRPr="00987ABE" w:rsidRDefault="00987ABE" w:rsidP="00987ABE">
      <w:pPr>
        <w:ind w:left="426"/>
        <w:rPr>
          <w:szCs w:val="20"/>
        </w:rPr>
      </w:pPr>
    </w:p>
    <w:p w14:paraId="39C70C40" w14:textId="2AA83B52" w:rsidR="0040742B" w:rsidRPr="00987ABE" w:rsidRDefault="00987ABE" w:rsidP="0040742B">
      <w:pPr>
        <w:ind w:left="360"/>
        <w:rPr>
          <w:szCs w:val="20"/>
        </w:rPr>
      </w:pPr>
      <w:r>
        <w:rPr>
          <w:szCs w:val="20"/>
        </w:rPr>
        <w:t xml:space="preserve">Name of expert 2: </w:t>
      </w:r>
      <w:r w:rsidR="00071341" w:rsidRPr="008F20DD">
        <w:rPr>
          <w:b/>
          <w:bCs/>
          <w:highlight w:val="lightGray"/>
        </w:rPr>
        <w:t>REDACTED</w:t>
      </w:r>
    </w:p>
    <w:p w14:paraId="09E896A3" w14:textId="2E695025" w:rsidR="0040742B" w:rsidRPr="00987ABE" w:rsidRDefault="00987ABE" w:rsidP="0040742B">
      <w:pPr>
        <w:ind w:left="360"/>
        <w:rPr>
          <w:szCs w:val="20"/>
        </w:rPr>
      </w:pPr>
      <w:r>
        <w:rPr>
          <w:szCs w:val="20"/>
        </w:rPr>
        <w:t xml:space="preserve">Telephone number(s): </w:t>
      </w:r>
      <w:r w:rsidR="00071341" w:rsidRPr="008F20DD">
        <w:rPr>
          <w:b/>
          <w:bCs/>
          <w:highlight w:val="lightGray"/>
        </w:rPr>
        <w:t>REDACTED</w:t>
      </w:r>
    </w:p>
    <w:p w14:paraId="01B341DB" w14:textId="64BF206D" w:rsidR="00B95CAF" w:rsidRDefault="00987ABE" w:rsidP="0040742B">
      <w:pPr>
        <w:ind w:left="360"/>
      </w:pPr>
      <w:r>
        <w:rPr>
          <w:szCs w:val="20"/>
        </w:rPr>
        <w:t xml:space="preserve">Email address: </w:t>
      </w:r>
      <w:r w:rsidR="00071341" w:rsidRPr="008F20DD">
        <w:rPr>
          <w:b/>
          <w:bCs/>
          <w:highlight w:val="lightGray"/>
        </w:rPr>
        <w:t>REDACTED</w:t>
      </w:r>
    </w:p>
    <w:p w14:paraId="0B35667B" w14:textId="61728A0D" w:rsidR="00E22F97" w:rsidRPr="00987ABE" w:rsidRDefault="00E22F97" w:rsidP="00E22F97">
      <w:pPr>
        <w:ind w:left="360"/>
        <w:rPr>
          <w:szCs w:val="20"/>
        </w:rPr>
      </w:pPr>
      <w:r>
        <w:rPr>
          <w:szCs w:val="20"/>
        </w:rPr>
        <w:t xml:space="preserve">Justification of expertise: </w:t>
      </w:r>
      <w:r>
        <w:t xml:space="preserve"> </w:t>
      </w:r>
      <w:r w:rsidR="00071341" w:rsidRPr="008F20DD">
        <w:rPr>
          <w:b/>
          <w:bCs/>
          <w:highlight w:val="lightGray"/>
        </w:rPr>
        <w:t>REDACTED</w:t>
      </w:r>
    </w:p>
    <w:p w14:paraId="13FA7A60" w14:textId="77777777" w:rsidR="00E22F97" w:rsidRDefault="00E22F97" w:rsidP="0040742B">
      <w:pPr>
        <w:ind w:left="360"/>
      </w:pPr>
    </w:p>
    <w:bookmarkEnd w:id="7"/>
    <w:p w14:paraId="09BBC825" w14:textId="30B0161B"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03F9D96F" w14:textId="77777777" w:rsidR="0021185D" w:rsidRPr="005C3AE7" w:rsidRDefault="005C3AE7" w:rsidP="000F0ACD">
      <w:pPr>
        <w:pStyle w:val="Subtitle"/>
        <w:ind w:left="0"/>
      </w:pPr>
      <w:r w:rsidRPr="005C3AE7">
        <w:t xml:space="preserve">PART 6a – </w:t>
      </w:r>
      <w:r w:rsidR="0021185D" w:rsidRPr="005C3AE7">
        <w:t>INFORMATION ABOUT THE PROPOSED POPULATION</w:t>
      </w:r>
    </w:p>
    <w:p w14:paraId="23172E53" w14:textId="06E51507" w:rsidR="0021185D"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r w:rsidR="00946B5E" w:rsidRPr="00A96329">
        <w:t>high-level</w:t>
      </w:r>
      <w:r w:rsidR="009C03FB" w:rsidRPr="00A96329">
        <w:t xml:space="preserve"> summary of associated </w:t>
      </w:r>
      <w:r w:rsidR="0018630F" w:rsidRPr="00A96329">
        <w:t>burden of disea</w:t>
      </w:r>
      <w:r w:rsidR="009C03FB" w:rsidRPr="00A96329">
        <w:t>se</w:t>
      </w:r>
      <w:r w:rsidR="0054594B" w:rsidRPr="00A96329">
        <w:t xml:space="preserve"> </w:t>
      </w:r>
      <w:r w:rsidR="00282B37">
        <w:t>(</w:t>
      </w:r>
      <w:r w:rsidR="0054594B" w:rsidRPr="00A96329">
        <w:t>in terms of both morbidity and mortality</w:t>
      </w:r>
      <w:r w:rsidR="00282B37">
        <w:t>)</w:t>
      </w:r>
      <w:r w:rsidR="00197D29">
        <w:t>:</w:t>
      </w:r>
    </w:p>
    <w:p w14:paraId="513B24B9" w14:textId="4C08C460" w:rsidR="00E46A89" w:rsidRPr="00317F2F" w:rsidRDefault="00E46A89" w:rsidP="00E46A89">
      <w:pPr>
        <w:ind w:left="426"/>
        <w:rPr>
          <w:rFonts w:cs="Arial"/>
          <w:b/>
          <w:bCs/>
          <w:i/>
          <w:iCs/>
          <w:szCs w:val="20"/>
        </w:rPr>
      </w:pPr>
      <w:r w:rsidRPr="00317F2F">
        <w:rPr>
          <w:rFonts w:cs="Arial"/>
          <w:b/>
          <w:bCs/>
          <w:i/>
          <w:iCs/>
          <w:szCs w:val="20"/>
        </w:rPr>
        <w:t>Defining Epilepsy</w:t>
      </w:r>
    </w:p>
    <w:p w14:paraId="1ACA7E59" w14:textId="77777777" w:rsidR="00422871" w:rsidRDefault="00B96953" w:rsidP="00390D19">
      <w:pPr>
        <w:ind w:left="426"/>
        <w:rPr>
          <w:rFonts w:eastAsia="Calibri" w:cs="Arial"/>
          <w:szCs w:val="20"/>
        </w:rPr>
      </w:pPr>
      <w:r w:rsidRPr="005C6B99">
        <w:rPr>
          <w:rFonts w:cs="Arial"/>
          <w:szCs w:val="20"/>
        </w:rPr>
        <w:t xml:space="preserve">Epilepsy </w:t>
      </w:r>
      <w:r>
        <w:rPr>
          <w:rFonts w:cs="Arial"/>
          <w:szCs w:val="20"/>
        </w:rPr>
        <w:t>is a serious neurological condition</w:t>
      </w:r>
      <w:r w:rsidR="00D47D74">
        <w:rPr>
          <w:rFonts w:cs="Arial"/>
          <w:szCs w:val="20"/>
        </w:rPr>
        <w:t xml:space="preserve"> affecting people of all ages, </w:t>
      </w:r>
      <w:r>
        <w:rPr>
          <w:rFonts w:cs="Arial"/>
          <w:szCs w:val="20"/>
        </w:rPr>
        <w:t>characterised by a</w:t>
      </w:r>
      <w:r w:rsidRPr="005C6B99">
        <w:rPr>
          <w:rFonts w:cs="Arial"/>
          <w:szCs w:val="20"/>
        </w:rPr>
        <w:t xml:space="preserve"> tendency for recurrent, </w:t>
      </w:r>
      <w:r w:rsidR="00386A81">
        <w:rPr>
          <w:rFonts w:cs="Arial"/>
          <w:szCs w:val="20"/>
        </w:rPr>
        <w:t>convulsive,</w:t>
      </w:r>
      <w:r w:rsidR="004F0715">
        <w:rPr>
          <w:rFonts w:cs="Arial"/>
          <w:szCs w:val="20"/>
        </w:rPr>
        <w:t xml:space="preserve"> or non-convulsive </w:t>
      </w:r>
      <w:r w:rsidRPr="005C6B99">
        <w:rPr>
          <w:rFonts w:cs="Arial"/>
          <w:szCs w:val="20"/>
        </w:rPr>
        <w:t>unprovoked seizures</w:t>
      </w:r>
      <w:r w:rsidR="00D47D74">
        <w:rPr>
          <w:rFonts w:cs="Arial"/>
          <w:szCs w:val="20"/>
        </w:rPr>
        <w:t>.</w:t>
      </w:r>
      <w:r w:rsidR="00501A21">
        <w:rPr>
          <w:rFonts w:cs="Arial"/>
          <w:szCs w:val="20"/>
        </w:rPr>
        <w:t xml:space="preserve"> </w:t>
      </w:r>
      <w:r w:rsidR="00626E4E">
        <w:rPr>
          <w:rFonts w:cs="Arial"/>
          <w:szCs w:val="20"/>
        </w:rPr>
        <w:t>Certain</w:t>
      </w:r>
      <w:r w:rsidR="009707B1" w:rsidRPr="009707B1">
        <w:rPr>
          <w:rFonts w:cs="Arial"/>
          <w:szCs w:val="20"/>
        </w:rPr>
        <w:t xml:space="preserve"> </w:t>
      </w:r>
      <w:r w:rsidR="002B2986">
        <w:rPr>
          <w:rFonts w:cs="Arial"/>
          <w:szCs w:val="20"/>
        </w:rPr>
        <w:t xml:space="preserve">triggers </w:t>
      </w:r>
      <w:r w:rsidR="00D10B6E">
        <w:rPr>
          <w:rFonts w:cs="Arial"/>
          <w:szCs w:val="20"/>
        </w:rPr>
        <w:t>may</w:t>
      </w:r>
      <w:r w:rsidR="009707B1">
        <w:rPr>
          <w:rFonts w:cs="Arial"/>
          <w:szCs w:val="20"/>
        </w:rPr>
        <w:t xml:space="preserve"> </w:t>
      </w:r>
      <w:r w:rsidR="009707B1" w:rsidRPr="009707B1">
        <w:rPr>
          <w:rFonts w:cs="Arial"/>
          <w:szCs w:val="20"/>
        </w:rPr>
        <w:t>increase the risk of seizure</w:t>
      </w:r>
      <w:r w:rsidR="00D10B6E">
        <w:rPr>
          <w:rFonts w:cs="Arial"/>
          <w:szCs w:val="20"/>
        </w:rPr>
        <w:t>s</w:t>
      </w:r>
      <w:r w:rsidR="002B2986">
        <w:rPr>
          <w:rFonts w:cs="Arial"/>
          <w:szCs w:val="20"/>
        </w:rPr>
        <w:t xml:space="preserve"> and r</w:t>
      </w:r>
      <w:r w:rsidR="009707B1" w:rsidRPr="009707B1">
        <w:rPr>
          <w:rFonts w:cs="Arial"/>
          <w:szCs w:val="20"/>
        </w:rPr>
        <w:t>ecogn</w:t>
      </w:r>
      <w:r w:rsidR="009707B1">
        <w:rPr>
          <w:rFonts w:cs="Arial"/>
          <w:szCs w:val="20"/>
        </w:rPr>
        <w:t xml:space="preserve">ition of </w:t>
      </w:r>
      <w:r w:rsidR="002B2986">
        <w:rPr>
          <w:rFonts w:cs="Arial"/>
          <w:szCs w:val="20"/>
        </w:rPr>
        <w:t xml:space="preserve">known </w:t>
      </w:r>
      <w:r w:rsidR="009707B1" w:rsidRPr="009707B1">
        <w:rPr>
          <w:rFonts w:cs="Arial"/>
          <w:szCs w:val="20"/>
        </w:rPr>
        <w:t xml:space="preserve">triggers </w:t>
      </w:r>
      <w:r w:rsidR="00626E4E">
        <w:rPr>
          <w:rFonts w:cs="Arial"/>
          <w:szCs w:val="20"/>
        </w:rPr>
        <w:t>may</w:t>
      </w:r>
      <w:r w:rsidR="009707B1" w:rsidRPr="009707B1">
        <w:rPr>
          <w:rFonts w:cs="Arial"/>
          <w:szCs w:val="20"/>
        </w:rPr>
        <w:t xml:space="preserve"> help reduce</w:t>
      </w:r>
      <w:r w:rsidR="002B2986">
        <w:rPr>
          <w:rFonts w:cs="Arial"/>
          <w:szCs w:val="20"/>
        </w:rPr>
        <w:t>/avoid</w:t>
      </w:r>
      <w:r w:rsidR="009707B1" w:rsidRPr="009707B1">
        <w:rPr>
          <w:rFonts w:cs="Arial"/>
          <w:szCs w:val="20"/>
        </w:rPr>
        <w:t xml:space="preserve"> seizures</w:t>
      </w:r>
      <w:r w:rsidR="009F7455">
        <w:rPr>
          <w:rFonts w:cs="Arial"/>
          <w:szCs w:val="20"/>
        </w:rPr>
        <w:t xml:space="preserve"> (e.g., </w:t>
      </w:r>
      <w:r w:rsidR="00626E4E">
        <w:rPr>
          <w:rFonts w:cs="Arial"/>
          <w:szCs w:val="20"/>
        </w:rPr>
        <w:t xml:space="preserve">fatigue, </w:t>
      </w:r>
      <w:r w:rsidR="009707B1" w:rsidRPr="009707B1">
        <w:rPr>
          <w:rFonts w:cs="Arial"/>
          <w:szCs w:val="20"/>
        </w:rPr>
        <w:t>stress</w:t>
      </w:r>
      <w:r w:rsidR="006D0753">
        <w:rPr>
          <w:rFonts w:cs="Arial"/>
          <w:szCs w:val="20"/>
        </w:rPr>
        <w:t xml:space="preserve"> &amp;</w:t>
      </w:r>
      <w:r w:rsidR="009707B1">
        <w:rPr>
          <w:rFonts w:cs="Arial"/>
          <w:szCs w:val="20"/>
        </w:rPr>
        <w:t xml:space="preserve"> </w:t>
      </w:r>
      <w:r w:rsidR="00626E4E">
        <w:rPr>
          <w:rFonts w:eastAsia="Calibri" w:cs="Arial"/>
          <w:szCs w:val="20"/>
        </w:rPr>
        <w:t>illness</w:t>
      </w:r>
      <w:r w:rsidR="006D0753">
        <w:rPr>
          <w:rFonts w:eastAsia="Calibri" w:cs="Arial"/>
          <w:szCs w:val="20"/>
        </w:rPr>
        <w:t>)</w:t>
      </w:r>
      <w:r w:rsidR="00422871">
        <w:rPr>
          <w:rFonts w:eastAsia="Calibri" w:cs="Arial"/>
          <w:szCs w:val="20"/>
        </w:rPr>
        <w:t>.</w:t>
      </w:r>
    </w:p>
    <w:p w14:paraId="7B61AB0A" w14:textId="4BDFFFFE" w:rsidR="0072483C" w:rsidRDefault="000B1F98" w:rsidP="00390D19">
      <w:pPr>
        <w:ind w:left="426"/>
        <w:rPr>
          <w:rFonts w:cs="Arial"/>
          <w:szCs w:val="20"/>
        </w:rPr>
      </w:pPr>
      <w:r>
        <w:rPr>
          <w:rFonts w:cs="Arial"/>
          <w:szCs w:val="20"/>
        </w:rPr>
        <w:t>The</w:t>
      </w:r>
      <w:r w:rsidR="00CE492E">
        <w:rPr>
          <w:rFonts w:cs="Arial"/>
          <w:szCs w:val="20"/>
        </w:rPr>
        <w:t xml:space="preserve"> </w:t>
      </w:r>
      <w:r w:rsidR="00B62A08">
        <w:rPr>
          <w:rFonts w:cs="Arial"/>
          <w:szCs w:val="20"/>
        </w:rPr>
        <w:t xml:space="preserve">term </w:t>
      </w:r>
      <w:r w:rsidR="00CE492E">
        <w:rPr>
          <w:rFonts w:cs="Arial"/>
          <w:szCs w:val="20"/>
        </w:rPr>
        <w:t>‘</w:t>
      </w:r>
      <w:r w:rsidR="00B62A08">
        <w:rPr>
          <w:rFonts w:cs="Arial"/>
          <w:szCs w:val="20"/>
        </w:rPr>
        <w:t>epilepsy</w:t>
      </w:r>
      <w:r w:rsidR="00CE492E">
        <w:rPr>
          <w:rFonts w:cs="Arial"/>
          <w:szCs w:val="20"/>
        </w:rPr>
        <w:t>’</w:t>
      </w:r>
      <w:r w:rsidR="00B62A08">
        <w:rPr>
          <w:rFonts w:cs="Arial"/>
          <w:szCs w:val="20"/>
        </w:rPr>
        <w:t xml:space="preserve"> </w:t>
      </w:r>
      <w:r w:rsidR="00B62A08" w:rsidRPr="00286B9D">
        <w:rPr>
          <w:rFonts w:cs="Arial"/>
          <w:szCs w:val="20"/>
        </w:rPr>
        <w:t xml:space="preserve">is an umbrella term for a diverse </w:t>
      </w:r>
      <w:r w:rsidR="00B62A08">
        <w:rPr>
          <w:rFonts w:cs="Arial"/>
          <w:szCs w:val="20"/>
        </w:rPr>
        <w:t>range of</w:t>
      </w:r>
      <w:r w:rsidR="00B62A08" w:rsidRPr="00286B9D">
        <w:rPr>
          <w:rFonts w:cs="Arial"/>
          <w:szCs w:val="20"/>
        </w:rPr>
        <w:t xml:space="preserve"> </w:t>
      </w:r>
      <w:r w:rsidR="009F7455">
        <w:rPr>
          <w:rFonts w:cs="Arial"/>
          <w:szCs w:val="20"/>
        </w:rPr>
        <w:t xml:space="preserve">neurological </w:t>
      </w:r>
      <w:r w:rsidR="00B62A08" w:rsidRPr="00286B9D">
        <w:rPr>
          <w:rFonts w:cs="Arial"/>
          <w:szCs w:val="20"/>
        </w:rPr>
        <w:t xml:space="preserve">disorders </w:t>
      </w:r>
      <w:r w:rsidR="006A1F56">
        <w:rPr>
          <w:rFonts w:cs="Arial"/>
          <w:szCs w:val="20"/>
        </w:rPr>
        <w:t xml:space="preserve">that includes many different </w:t>
      </w:r>
      <w:r w:rsidR="00B62A08" w:rsidRPr="00102778">
        <w:rPr>
          <w:rFonts w:cs="Arial"/>
          <w:szCs w:val="20"/>
        </w:rPr>
        <w:t xml:space="preserve">seizure types and syndromes, </w:t>
      </w:r>
      <w:r w:rsidR="00B62A08">
        <w:rPr>
          <w:rFonts w:cs="Arial"/>
          <w:szCs w:val="20"/>
        </w:rPr>
        <w:t xml:space="preserve">with </w:t>
      </w:r>
      <w:r w:rsidR="00B62A08" w:rsidRPr="00102778">
        <w:rPr>
          <w:rFonts w:cs="Arial"/>
          <w:szCs w:val="20"/>
        </w:rPr>
        <w:t>diverse aetiologies, and variable prognoses</w:t>
      </w:r>
      <w:r w:rsidR="00B62A08" w:rsidRPr="00B62A08">
        <w:rPr>
          <w:rFonts w:cs="Arial"/>
          <w:szCs w:val="20"/>
        </w:rPr>
        <w:t>.</w:t>
      </w:r>
      <w:r w:rsidR="00390D19">
        <w:rPr>
          <w:rFonts w:cs="Arial"/>
          <w:szCs w:val="20"/>
        </w:rPr>
        <w:t xml:space="preserve"> </w:t>
      </w:r>
      <w:r w:rsidR="00B62A08" w:rsidRPr="00390D19">
        <w:rPr>
          <w:rFonts w:cs="Arial"/>
          <w:szCs w:val="20"/>
        </w:rPr>
        <w:t xml:space="preserve">An epilepsy syndrome </w:t>
      </w:r>
      <w:r w:rsidR="00390D19">
        <w:rPr>
          <w:rFonts w:cs="Arial"/>
          <w:szCs w:val="20"/>
        </w:rPr>
        <w:t>is defined by features including</w:t>
      </w:r>
      <w:r w:rsidR="00B62A08" w:rsidRPr="00390D19">
        <w:rPr>
          <w:rFonts w:cs="Arial"/>
          <w:szCs w:val="20"/>
        </w:rPr>
        <w:t xml:space="preserve"> family history, age </w:t>
      </w:r>
      <w:r w:rsidR="00390D19">
        <w:rPr>
          <w:rFonts w:cs="Arial"/>
          <w:szCs w:val="20"/>
        </w:rPr>
        <w:t xml:space="preserve">of </w:t>
      </w:r>
      <w:r w:rsidR="00B62A08" w:rsidRPr="00390D19">
        <w:rPr>
          <w:rFonts w:cs="Arial"/>
          <w:szCs w:val="20"/>
        </w:rPr>
        <w:t xml:space="preserve">seizure </w:t>
      </w:r>
      <w:r w:rsidR="00390D19">
        <w:rPr>
          <w:rFonts w:cs="Arial"/>
          <w:szCs w:val="20"/>
        </w:rPr>
        <w:t>onset</w:t>
      </w:r>
      <w:r w:rsidR="00B62A08" w:rsidRPr="00390D19">
        <w:rPr>
          <w:rFonts w:cs="Arial"/>
          <w:szCs w:val="20"/>
        </w:rPr>
        <w:t xml:space="preserve">, seizure type(s), cause, and other linked diseases/conditions, </w:t>
      </w:r>
      <w:r w:rsidR="00390D19">
        <w:rPr>
          <w:rFonts w:cs="Arial"/>
          <w:szCs w:val="20"/>
        </w:rPr>
        <w:t xml:space="preserve">progression of </w:t>
      </w:r>
      <w:r w:rsidR="00B62A08" w:rsidRPr="00390D19">
        <w:rPr>
          <w:rFonts w:cs="Arial"/>
          <w:szCs w:val="20"/>
        </w:rPr>
        <w:t xml:space="preserve">the syndrome over time, </w:t>
      </w:r>
      <w:r w:rsidR="00390D19">
        <w:rPr>
          <w:rFonts w:cs="Arial"/>
          <w:szCs w:val="20"/>
        </w:rPr>
        <w:t xml:space="preserve">the </w:t>
      </w:r>
      <w:r w:rsidR="00B62A08" w:rsidRPr="00390D19">
        <w:rPr>
          <w:rFonts w:cs="Arial"/>
          <w:szCs w:val="20"/>
        </w:rPr>
        <w:t xml:space="preserve">presence or absence of brain abnormalities, </w:t>
      </w:r>
      <w:r w:rsidR="006D0753">
        <w:rPr>
          <w:rFonts w:cs="Arial"/>
          <w:szCs w:val="20"/>
        </w:rPr>
        <w:t>imaging</w:t>
      </w:r>
      <w:r w:rsidR="00B62A08" w:rsidRPr="00390D19">
        <w:rPr>
          <w:rFonts w:cs="Arial"/>
          <w:szCs w:val="20"/>
        </w:rPr>
        <w:t xml:space="preserve"> findings</w:t>
      </w:r>
      <w:r w:rsidR="00390D19">
        <w:rPr>
          <w:rFonts w:cs="Arial"/>
          <w:szCs w:val="20"/>
        </w:rPr>
        <w:t>, as well as</w:t>
      </w:r>
      <w:r w:rsidR="00B62A08" w:rsidRPr="00390D19">
        <w:rPr>
          <w:rFonts w:cs="Arial"/>
          <w:szCs w:val="20"/>
        </w:rPr>
        <w:t xml:space="preserve"> response to medication (Epilepsy Action Australia, Epilepsy </w:t>
      </w:r>
      <w:r w:rsidR="00315EFD">
        <w:rPr>
          <w:rFonts w:cs="Arial"/>
          <w:szCs w:val="20"/>
        </w:rPr>
        <w:t>S</w:t>
      </w:r>
      <w:r w:rsidR="00B62A08" w:rsidRPr="00390D19">
        <w:rPr>
          <w:rFonts w:cs="Arial"/>
          <w:szCs w:val="20"/>
        </w:rPr>
        <w:t>yndromes).</w:t>
      </w:r>
      <w:r w:rsidR="00390D19">
        <w:rPr>
          <w:rFonts w:cs="Arial"/>
          <w:szCs w:val="20"/>
        </w:rPr>
        <w:t xml:space="preserve"> </w:t>
      </w:r>
      <w:r w:rsidR="00B62A08" w:rsidRPr="00390D19">
        <w:rPr>
          <w:rFonts w:cs="Arial"/>
          <w:szCs w:val="20"/>
        </w:rPr>
        <w:t>Diagnosis of epilepsy by syndrome is useful for determining treatment options</w:t>
      </w:r>
      <w:r w:rsidR="00626E4E">
        <w:rPr>
          <w:rFonts w:cs="Arial"/>
          <w:szCs w:val="20"/>
        </w:rPr>
        <w:t>, prognosis, and genetic ramifications</w:t>
      </w:r>
      <w:r w:rsidR="00B62A08" w:rsidRPr="00390D19">
        <w:rPr>
          <w:rFonts w:cs="Arial"/>
          <w:szCs w:val="20"/>
        </w:rPr>
        <w:t xml:space="preserve">. </w:t>
      </w:r>
    </w:p>
    <w:p w14:paraId="2A283E88" w14:textId="1BA41A52" w:rsidR="00451230" w:rsidRDefault="00962B7B" w:rsidP="00B166FC">
      <w:pPr>
        <w:ind w:left="426"/>
        <w:rPr>
          <w:rFonts w:cs="Arial"/>
          <w:color w:val="0000FF"/>
          <w:szCs w:val="20"/>
        </w:rPr>
      </w:pPr>
      <w:r>
        <w:rPr>
          <w:rFonts w:cs="Arial"/>
          <w:szCs w:val="20"/>
        </w:rPr>
        <w:t>Around</w:t>
      </w:r>
      <w:r w:rsidR="003F1E6B" w:rsidRPr="00685CD6">
        <w:rPr>
          <w:rFonts w:cs="Arial"/>
          <w:szCs w:val="20"/>
        </w:rPr>
        <w:t xml:space="preserve"> 250,000 </w:t>
      </w:r>
      <w:r w:rsidR="003F1E6B">
        <w:rPr>
          <w:rFonts w:cs="Arial"/>
          <w:szCs w:val="20"/>
        </w:rPr>
        <w:t>Australians (</w:t>
      </w:r>
      <w:r w:rsidR="006D358C">
        <w:rPr>
          <w:rFonts w:cs="Arial"/>
          <w:szCs w:val="20"/>
        </w:rPr>
        <w:t>~</w:t>
      </w:r>
      <w:r w:rsidR="003F1E6B">
        <w:rPr>
          <w:rFonts w:cs="Arial"/>
          <w:szCs w:val="20"/>
        </w:rPr>
        <w:t xml:space="preserve"> 1% of the population) </w:t>
      </w:r>
      <w:r w:rsidR="003F1E6B" w:rsidRPr="00685CD6">
        <w:rPr>
          <w:rFonts w:cs="Arial"/>
          <w:szCs w:val="20"/>
        </w:rPr>
        <w:t>are currently diagnosed with epilepsy</w:t>
      </w:r>
      <w:r>
        <w:rPr>
          <w:rFonts w:cs="Arial"/>
          <w:szCs w:val="20"/>
        </w:rPr>
        <w:t xml:space="preserve"> </w:t>
      </w:r>
      <w:r w:rsidR="003F1E6B">
        <w:rPr>
          <w:rFonts w:cs="Arial"/>
          <w:szCs w:val="20"/>
        </w:rPr>
        <w:t>(Epilepsy Action Australia</w:t>
      </w:r>
      <w:r w:rsidR="00174FF1">
        <w:rPr>
          <w:rFonts w:cs="Arial"/>
          <w:szCs w:val="20"/>
        </w:rPr>
        <w:t xml:space="preserve"> </w:t>
      </w:r>
      <w:r w:rsidR="00174FF1" w:rsidRPr="001357A2">
        <w:rPr>
          <w:rFonts w:cs="Arial"/>
          <w:szCs w:val="20"/>
        </w:rPr>
        <w:t>2021</w:t>
      </w:r>
      <w:r w:rsidR="006A471D">
        <w:rPr>
          <w:rFonts w:cs="Arial"/>
          <w:szCs w:val="20"/>
        </w:rPr>
        <w:t xml:space="preserve">, </w:t>
      </w:r>
      <w:r w:rsidR="00174FF1" w:rsidRPr="001357A2">
        <w:rPr>
          <w:rFonts w:cs="Arial"/>
          <w:szCs w:val="20"/>
        </w:rPr>
        <w:t xml:space="preserve">Epilepsy the </w:t>
      </w:r>
      <w:r w:rsidR="00315EFD">
        <w:rPr>
          <w:rFonts w:cs="Arial"/>
          <w:szCs w:val="20"/>
        </w:rPr>
        <w:t>F</w:t>
      </w:r>
      <w:r w:rsidR="00174FF1" w:rsidRPr="001357A2">
        <w:rPr>
          <w:rFonts w:cs="Arial"/>
          <w:szCs w:val="20"/>
        </w:rPr>
        <w:t>acts</w:t>
      </w:r>
      <w:r w:rsidR="003F1E6B">
        <w:rPr>
          <w:rFonts w:cs="Arial"/>
          <w:szCs w:val="20"/>
        </w:rPr>
        <w:t>)</w:t>
      </w:r>
      <w:r w:rsidR="00451230">
        <w:rPr>
          <w:rFonts w:cs="Arial"/>
          <w:szCs w:val="20"/>
        </w:rPr>
        <w:t>. An Austra</w:t>
      </w:r>
      <w:r w:rsidR="003F1E6B">
        <w:rPr>
          <w:rFonts w:cs="Arial"/>
          <w:szCs w:val="20"/>
        </w:rPr>
        <w:t>lian Bureau of Statistics 2017 – 2018 National Health Survey reported that 0.6% of Australians of all ages were living with epilepsy (active cases)</w:t>
      </w:r>
      <w:r w:rsidR="009F7455">
        <w:rPr>
          <w:rFonts w:cs="Arial"/>
          <w:szCs w:val="20"/>
        </w:rPr>
        <w:t xml:space="preserve">. It is </w:t>
      </w:r>
      <w:r>
        <w:rPr>
          <w:rFonts w:cs="Arial"/>
          <w:szCs w:val="20"/>
        </w:rPr>
        <w:t xml:space="preserve">projected that about </w:t>
      </w:r>
      <w:r w:rsidRPr="00174FF1">
        <w:rPr>
          <w:rFonts w:cs="Arial"/>
          <w:szCs w:val="20"/>
        </w:rPr>
        <w:t>800,000 Australians will develop epilepsy</w:t>
      </w:r>
      <w:r>
        <w:rPr>
          <w:rFonts w:cs="Arial"/>
          <w:szCs w:val="20"/>
        </w:rPr>
        <w:t xml:space="preserve"> in their lifetime</w:t>
      </w:r>
      <w:r w:rsidR="009F7455">
        <w:rPr>
          <w:rFonts w:cs="Arial"/>
          <w:szCs w:val="20"/>
        </w:rPr>
        <w:t xml:space="preserve">; </w:t>
      </w:r>
      <w:r w:rsidR="002B2986">
        <w:rPr>
          <w:rFonts w:cs="Arial"/>
          <w:szCs w:val="20"/>
        </w:rPr>
        <w:t>a</w:t>
      </w:r>
      <w:r w:rsidR="0062571D">
        <w:t xml:space="preserve">pproximately 3% of </w:t>
      </w:r>
      <w:r w:rsidR="009F7455">
        <w:t>the population</w:t>
      </w:r>
      <w:r w:rsidR="0062571D">
        <w:t xml:space="preserve"> </w:t>
      </w:r>
      <w:r>
        <w:rPr>
          <w:rFonts w:cs="Arial"/>
          <w:szCs w:val="20"/>
        </w:rPr>
        <w:t>(Epilepsy Action Australia</w:t>
      </w:r>
      <w:r w:rsidR="00174FF1">
        <w:rPr>
          <w:rFonts w:cs="Arial"/>
          <w:szCs w:val="20"/>
        </w:rPr>
        <w:t xml:space="preserve"> 2021, </w:t>
      </w:r>
      <w:r w:rsidR="00174FF1" w:rsidRPr="000B1F98">
        <w:rPr>
          <w:rFonts w:cs="Arial"/>
          <w:szCs w:val="20"/>
        </w:rPr>
        <w:t>Facts &amp; Statistics</w:t>
      </w:r>
      <w:r>
        <w:rPr>
          <w:rFonts w:cs="Arial"/>
          <w:szCs w:val="20"/>
        </w:rPr>
        <w:t>).</w:t>
      </w:r>
      <w:r w:rsidR="00D377DE">
        <w:rPr>
          <w:rFonts w:cs="Arial"/>
          <w:szCs w:val="20"/>
        </w:rPr>
        <w:t xml:space="preserve"> </w:t>
      </w:r>
    </w:p>
    <w:p w14:paraId="71ED6266" w14:textId="6EF9D5DE" w:rsidR="00B166FC" w:rsidRDefault="00B166FC" w:rsidP="00B166FC">
      <w:pPr>
        <w:ind w:left="426"/>
        <w:rPr>
          <w:rFonts w:cs="Arial"/>
          <w:szCs w:val="20"/>
        </w:rPr>
      </w:pPr>
      <w:r>
        <w:rPr>
          <w:rFonts w:cs="Arial"/>
          <w:szCs w:val="20"/>
        </w:rPr>
        <w:t>T</w:t>
      </w:r>
      <w:r w:rsidRPr="002E6494">
        <w:rPr>
          <w:rFonts w:cs="Arial"/>
          <w:szCs w:val="20"/>
        </w:rPr>
        <w:t xml:space="preserve">he International League Against Epilepsy (ILAE) </w:t>
      </w:r>
      <w:r>
        <w:rPr>
          <w:rFonts w:cs="Arial"/>
          <w:szCs w:val="20"/>
        </w:rPr>
        <w:t xml:space="preserve">defines epilepsy in the presence of </w:t>
      </w:r>
      <w:r w:rsidRPr="002E6494">
        <w:rPr>
          <w:rFonts w:cs="Arial"/>
          <w:szCs w:val="20"/>
        </w:rPr>
        <w:t>any of the following</w:t>
      </w:r>
      <w:r>
        <w:rPr>
          <w:rFonts w:cs="Arial"/>
          <w:szCs w:val="20"/>
        </w:rPr>
        <w:t xml:space="preserve"> conditions 1), a</w:t>
      </w:r>
      <w:r w:rsidRPr="002E6494">
        <w:rPr>
          <w:rFonts w:cs="Arial"/>
          <w:szCs w:val="20"/>
        </w:rPr>
        <w:t>t least two unprovoked seizures occurring more than 24 hours apart</w:t>
      </w:r>
      <w:r>
        <w:rPr>
          <w:rFonts w:cs="Arial"/>
          <w:szCs w:val="20"/>
        </w:rPr>
        <w:t xml:space="preserve"> 2), o</w:t>
      </w:r>
      <w:r w:rsidRPr="002E6494">
        <w:rPr>
          <w:rFonts w:cs="Arial"/>
          <w:szCs w:val="20"/>
        </w:rPr>
        <w:t>ne unprovoked seizure and a probability of further seizures</w:t>
      </w:r>
      <w:r>
        <w:rPr>
          <w:rFonts w:cs="Arial"/>
          <w:szCs w:val="20"/>
        </w:rPr>
        <w:t>,</w:t>
      </w:r>
      <w:r w:rsidRPr="002E6494">
        <w:rPr>
          <w:rFonts w:cs="Arial"/>
          <w:szCs w:val="20"/>
        </w:rPr>
        <w:t xml:space="preserve"> similar to the general recurrence risk after two unprovoked seizures (≥60 percent) occurring over the next 10 years</w:t>
      </w:r>
      <w:r>
        <w:rPr>
          <w:rFonts w:cs="Arial"/>
          <w:szCs w:val="20"/>
        </w:rPr>
        <w:t xml:space="preserve"> and/or 3), d</w:t>
      </w:r>
      <w:r w:rsidRPr="002E6494">
        <w:rPr>
          <w:rFonts w:cs="Arial"/>
          <w:szCs w:val="20"/>
        </w:rPr>
        <w:t>iagnosis of an epilepsy syndrome</w:t>
      </w:r>
      <w:r>
        <w:rPr>
          <w:rFonts w:cs="Arial"/>
          <w:szCs w:val="20"/>
        </w:rPr>
        <w:t xml:space="preserve"> (Fisher et al. 2014).</w:t>
      </w:r>
      <w:r w:rsidRPr="00845BB5">
        <w:t xml:space="preserve"> </w:t>
      </w:r>
      <w:r w:rsidR="00315EFD">
        <w:rPr>
          <w:rFonts w:cs="Arial"/>
          <w:szCs w:val="20"/>
        </w:rPr>
        <w:t>S</w:t>
      </w:r>
      <w:r w:rsidRPr="00845BB5">
        <w:rPr>
          <w:rFonts w:cs="Arial"/>
          <w:szCs w:val="20"/>
        </w:rPr>
        <w:t>ome people meet the criteria for epilepsy at the time of a first seizure.</w:t>
      </w:r>
    </w:p>
    <w:p w14:paraId="5DC99619" w14:textId="62D790FF" w:rsidR="00433518" w:rsidRPr="0075316A" w:rsidRDefault="00433518" w:rsidP="00433518">
      <w:pPr>
        <w:ind w:left="426"/>
        <w:rPr>
          <w:rFonts w:cs="Arial"/>
          <w:szCs w:val="20"/>
        </w:rPr>
      </w:pPr>
      <w:r>
        <w:rPr>
          <w:rFonts w:cs="Arial"/>
          <w:szCs w:val="20"/>
        </w:rPr>
        <w:t xml:space="preserve">Seizures are generally classified as being focal or generalised, reflecting whether seizures begin in one or more part(s) of the brain (focal,) or both sides of the brain simultaneously (generalised). </w:t>
      </w:r>
      <w:r>
        <w:rPr>
          <w:rFonts w:eastAsia="Calibri" w:cs="Arial"/>
          <w:szCs w:val="20"/>
        </w:rPr>
        <w:t xml:space="preserve">The signs and symptoms of a seizure are determined by the </w:t>
      </w:r>
      <w:r w:rsidRPr="00C26ADC">
        <w:rPr>
          <w:rFonts w:eastAsia="Calibri" w:cs="Arial"/>
          <w:szCs w:val="20"/>
        </w:rPr>
        <w:t xml:space="preserve">brain </w:t>
      </w:r>
      <w:r>
        <w:rPr>
          <w:rFonts w:eastAsia="Calibri" w:cs="Arial"/>
          <w:szCs w:val="20"/>
        </w:rPr>
        <w:t>regions</w:t>
      </w:r>
      <w:r w:rsidRPr="00C26ADC">
        <w:rPr>
          <w:rFonts w:eastAsia="Calibri" w:cs="Arial"/>
          <w:szCs w:val="20"/>
        </w:rPr>
        <w:t xml:space="preserve"> involved</w:t>
      </w:r>
      <w:r>
        <w:rPr>
          <w:rFonts w:eastAsia="Calibri" w:cs="Arial"/>
          <w:szCs w:val="20"/>
        </w:rPr>
        <w:t>. Generalised seizures involve the whole brain and symptoms can affect the whole body, with effects ranging from brief periods of impaired responsiveness and awareness to full body convulsions and loss of consciousness, lasting minutes to hours. Focal seizure affects are determined by the region of brain where the seizure is present (e.g., a seizure in the region that controls the arm will result in uncontrollable jerking of the respective limb). They generally last a few minutes, and the person may remain in a state of confusion for minutes or hours afterwards.</w:t>
      </w:r>
    </w:p>
    <w:p w14:paraId="4313EDA1" w14:textId="3BCD9EDC" w:rsidR="002B5B77" w:rsidRPr="002B5B77" w:rsidRDefault="00946B5E" w:rsidP="00317F2F">
      <w:pPr>
        <w:ind w:left="426"/>
        <w:rPr>
          <w:rFonts w:cs="Arial"/>
          <w:szCs w:val="20"/>
        </w:rPr>
      </w:pPr>
      <w:r w:rsidRPr="00946B5E">
        <w:t>The aetiology of epilepsy is multifactorial</w:t>
      </w:r>
      <w:r w:rsidR="009D33D2">
        <w:t xml:space="preserve"> and the </w:t>
      </w:r>
      <w:r w:rsidR="002C3118">
        <w:t xml:space="preserve">ILAE </w:t>
      </w:r>
      <w:r>
        <w:rPr>
          <w:rFonts w:cs="Arial"/>
          <w:szCs w:val="20"/>
        </w:rPr>
        <w:t xml:space="preserve">broadly </w:t>
      </w:r>
      <w:r w:rsidR="002C3118">
        <w:rPr>
          <w:rFonts w:cs="Arial"/>
          <w:szCs w:val="20"/>
        </w:rPr>
        <w:t>classify</w:t>
      </w:r>
      <w:r>
        <w:rPr>
          <w:rFonts w:cs="Arial"/>
          <w:szCs w:val="20"/>
        </w:rPr>
        <w:t xml:space="preserve"> epilepsy in six aetiological categories, including genetic, structural, metabolic, immune, infectious, or unknown (around 50%) causes (</w:t>
      </w:r>
      <w:r w:rsidRPr="006A6B7B">
        <w:rPr>
          <w:rFonts w:cs="Arial"/>
          <w:szCs w:val="20"/>
        </w:rPr>
        <w:t>Scheffer</w:t>
      </w:r>
      <w:r>
        <w:rPr>
          <w:rFonts w:cs="Arial"/>
          <w:szCs w:val="20"/>
        </w:rPr>
        <w:t xml:space="preserve"> et al 2017).</w:t>
      </w:r>
      <w:r w:rsidR="002C3118">
        <w:rPr>
          <w:rFonts w:cs="Arial"/>
          <w:szCs w:val="20"/>
        </w:rPr>
        <w:t xml:space="preserve"> </w:t>
      </w:r>
      <w:r w:rsidRPr="009B48AC">
        <w:rPr>
          <w:rFonts w:eastAsia="Calibri" w:cs="Arial"/>
          <w:szCs w:val="20"/>
        </w:rPr>
        <w:t>Age at first seizure may also influence epilepsy</w:t>
      </w:r>
      <w:r w:rsidR="00C20EE1">
        <w:rPr>
          <w:rFonts w:eastAsia="Calibri" w:cs="Arial"/>
          <w:szCs w:val="20"/>
        </w:rPr>
        <w:t xml:space="preserve"> causation</w:t>
      </w:r>
      <w:r w:rsidRPr="009B48AC">
        <w:rPr>
          <w:rFonts w:eastAsia="Calibri" w:cs="Arial"/>
          <w:szCs w:val="20"/>
        </w:rPr>
        <w:t xml:space="preserve">. </w:t>
      </w:r>
      <w:r w:rsidRPr="009B48AC">
        <w:rPr>
          <w:rFonts w:cs="Arial"/>
          <w:szCs w:val="20"/>
        </w:rPr>
        <w:t>In adults, epilepsy is often due to acquired vascular, degenerative, or neoplastic aetiologies</w:t>
      </w:r>
      <w:r w:rsidR="000F6182">
        <w:rPr>
          <w:rFonts w:cs="Arial"/>
          <w:szCs w:val="20"/>
        </w:rPr>
        <w:t>;</w:t>
      </w:r>
      <w:r>
        <w:rPr>
          <w:rFonts w:cs="Arial"/>
          <w:szCs w:val="20"/>
        </w:rPr>
        <w:t xml:space="preserve"> while c</w:t>
      </w:r>
      <w:r w:rsidRPr="009B48AC">
        <w:rPr>
          <w:rFonts w:cs="Arial"/>
          <w:szCs w:val="20"/>
        </w:rPr>
        <w:t>hildhood, epilepsy is more often due to genetic</w:t>
      </w:r>
      <w:r>
        <w:rPr>
          <w:rFonts w:cs="Arial"/>
          <w:szCs w:val="20"/>
        </w:rPr>
        <w:t xml:space="preserve">, metabolic, or congenital structural </w:t>
      </w:r>
      <w:r w:rsidR="000F6182">
        <w:rPr>
          <w:rFonts w:cs="Arial"/>
          <w:szCs w:val="20"/>
        </w:rPr>
        <w:t>abnormalities</w:t>
      </w:r>
      <w:r w:rsidR="00F65A66">
        <w:rPr>
          <w:rFonts w:cs="Arial"/>
          <w:szCs w:val="20"/>
        </w:rPr>
        <w:t xml:space="preserve"> (Schachter 2021)</w:t>
      </w:r>
      <w:r w:rsidR="00591DC9">
        <w:rPr>
          <w:rFonts w:cs="Arial"/>
          <w:szCs w:val="20"/>
        </w:rPr>
        <w:t>.</w:t>
      </w:r>
    </w:p>
    <w:p w14:paraId="04937165" w14:textId="10CF1D5D" w:rsidR="00AF6220" w:rsidRPr="00317F2F" w:rsidRDefault="00AF6220" w:rsidP="00AF6220">
      <w:pPr>
        <w:ind w:left="426"/>
        <w:rPr>
          <w:rFonts w:cs="Arial"/>
          <w:b/>
          <w:bCs/>
          <w:i/>
          <w:iCs/>
          <w:szCs w:val="20"/>
        </w:rPr>
      </w:pPr>
      <w:r w:rsidRPr="00317F2F">
        <w:rPr>
          <w:rFonts w:cs="Arial"/>
          <w:b/>
          <w:bCs/>
          <w:i/>
          <w:iCs/>
          <w:szCs w:val="20"/>
        </w:rPr>
        <w:t>The Natural History of Epilepsy</w:t>
      </w:r>
      <w:r w:rsidR="005F0C0C" w:rsidRPr="00317F2F">
        <w:rPr>
          <w:rFonts w:cs="Arial"/>
          <w:b/>
          <w:bCs/>
          <w:i/>
          <w:iCs/>
          <w:szCs w:val="20"/>
        </w:rPr>
        <w:t xml:space="preserve"> </w:t>
      </w:r>
    </w:p>
    <w:p w14:paraId="70EF52CE" w14:textId="01926C6C" w:rsidR="00400B9E" w:rsidRDefault="0072454B" w:rsidP="00967739">
      <w:pPr>
        <w:ind w:left="426"/>
      </w:pPr>
      <w:r>
        <w:t xml:space="preserve">Epilepsy can begin at any </w:t>
      </w:r>
      <w:r w:rsidR="007360D7">
        <w:t>age but</w:t>
      </w:r>
      <w:r>
        <w:t xml:space="preserve"> </w:t>
      </w:r>
      <w:r w:rsidR="007360D7">
        <w:t xml:space="preserve">is </w:t>
      </w:r>
      <w:r w:rsidR="006D358C">
        <w:t xml:space="preserve">somewhat more </w:t>
      </w:r>
      <w:r>
        <w:t xml:space="preserve">commonly </w:t>
      </w:r>
      <w:r w:rsidR="007360D7">
        <w:t>diagnosed</w:t>
      </w:r>
      <w:r>
        <w:t xml:space="preserve"> in childhood or older age. </w:t>
      </w:r>
    </w:p>
    <w:p w14:paraId="409270AD" w14:textId="1F869762" w:rsidR="004B2BE7" w:rsidRDefault="006964A7" w:rsidP="004B2BE7">
      <w:pPr>
        <w:ind w:left="426"/>
        <w:rPr>
          <w:rFonts w:cs="Arial"/>
          <w:szCs w:val="20"/>
        </w:rPr>
      </w:pPr>
      <w:r>
        <w:rPr>
          <w:rFonts w:cs="Arial"/>
          <w:szCs w:val="20"/>
        </w:rPr>
        <w:t>The m</w:t>
      </w:r>
      <w:r w:rsidRPr="004858D0">
        <w:rPr>
          <w:rFonts w:cs="Arial"/>
          <w:szCs w:val="20"/>
        </w:rPr>
        <w:t>anagement of epilepsy is aimed at controlling seizures, avoiding treatment side effects, and maintaining or restoring quality of life. First line treatment involves the use of antiseizure medicatio</w:t>
      </w:r>
      <w:r w:rsidR="003059DF">
        <w:rPr>
          <w:rFonts w:cs="Arial"/>
          <w:szCs w:val="20"/>
        </w:rPr>
        <w:t>ns</w:t>
      </w:r>
      <w:r w:rsidR="006A471D">
        <w:rPr>
          <w:rFonts w:cs="Arial"/>
          <w:szCs w:val="20"/>
        </w:rPr>
        <w:t xml:space="preserve">; </w:t>
      </w:r>
      <w:r w:rsidR="003059DF">
        <w:rPr>
          <w:rFonts w:cs="Arial"/>
          <w:szCs w:val="20"/>
        </w:rPr>
        <w:t>s</w:t>
      </w:r>
      <w:r w:rsidR="006C2B67">
        <w:rPr>
          <w:rFonts w:cs="Arial"/>
          <w:szCs w:val="20"/>
        </w:rPr>
        <w:t>elected based on</w:t>
      </w:r>
      <w:r>
        <w:rPr>
          <w:rFonts w:cs="Arial"/>
          <w:szCs w:val="20"/>
        </w:rPr>
        <w:t xml:space="preserve"> seizure type, potential adverse events</w:t>
      </w:r>
      <w:r w:rsidR="006C2B67">
        <w:rPr>
          <w:rFonts w:cs="Arial"/>
          <w:szCs w:val="20"/>
        </w:rPr>
        <w:t xml:space="preserve">, </w:t>
      </w:r>
      <w:r>
        <w:rPr>
          <w:rFonts w:cs="Arial"/>
          <w:szCs w:val="20"/>
        </w:rPr>
        <w:t xml:space="preserve">drug interactions with other medications, comorbid conditions, age, gender, childbearing plans, lifestyle, and patient preferences. </w:t>
      </w:r>
      <w:r w:rsidR="000F6182">
        <w:rPr>
          <w:rFonts w:cs="Arial"/>
          <w:szCs w:val="20"/>
        </w:rPr>
        <w:t>If medications do not control seizures, then brain</w:t>
      </w:r>
      <w:r w:rsidR="005757C3">
        <w:rPr>
          <w:rFonts w:cs="Arial"/>
          <w:szCs w:val="20"/>
        </w:rPr>
        <w:t xml:space="preserve"> </w:t>
      </w:r>
      <w:r w:rsidRPr="004858D0">
        <w:rPr>
          <w:rFonts w:cs="Arial"/>
          <w:szCs w:val="20"/>
        </w:rPr>
        <w:t xml:space="preserve">surgery and neuromodulation </w:t>
      </w:r>
      <w:r w:rsidR="000F6182">
        <w:rPr>
          <w:rFonts w:cs="Arial"/>
          <w:szCs w:val="20"/>
        </w:rPr>
        <w:t>may be considered</w:t>
      </w:r>
      <w:r w:rsidRPr="004858D0">
        <w:rPr>
          <w:rFonts w:cs="Arial"/>
          <w:szCs w:val="20"/>
        </w:rPr>
        <w:t xml:space="preserve">. Surgery involves </w:t>
      </w:r>
      <w:r w:rsidR="00B43EB2">
        <w:rPr>
          <w:rFonts w:cs="Arial"/>
          <w:szCs w:val="20"/>
        </w:rPr>
        <w:t xml:space="preserve">removal of the epileptic focus via </w:t>
      </w:r>
      <w:r w:rsidRPr="004858D0">
        <w:rPr>
          <w:rFonts w:cs="Arial"/>
          <w:szCs w:val="20"/>
        </w:rPr>
        <w:t>resection or ablation. Neuromodulation options are non-</w:t>
      </w:r>
      <w:r w:rsidR="004B2BE7">
        <w:rPr>
          <w:rFonts w:cs="Arial"/>
          <w:szCs w:val="20"/>
        </w:rPr>
        <w:t xml:space="preserve">destructive </w:t>
      </w:r>
      <w:r w:rsidR="004B2BE7" w:rsidRPr="004858D0">
        <w:rPr>
          <w:rFonts w:cs="Arial"/>
          <w:szCs w:val="20"/>
        </w:rPr>
        <w:t>alternatives</w:t>
      </w:r>
      <w:r w:rsidR="000F6182">
        <w:rPr>
          <w:rFonts w:cs="Arial"/>
          <w:szCs w:val="20"/>
        </w:rPr>
        <w:t>,</w:t>
      </w:r>
      <w:r>
        <w:rPr>
          <w:rFonts w:cs="Arial"/>
          <w:szCs w:val="20"/>
        </w:rPr>
        <w:t xml:space="preserve"> </w:t>
      </w:r>
      <w:r w:rsidR="001567BE">
        <w:rPr>
          <w:rFonts w:cs="Arial"/>
          <w:szCs w:val="20"/>
        </w:rPr>
        <w:t>which</w:t>
      </w:r>
      <w:r>
        <w:rPr>
          <w:rFonts w:cs="Arial"/>
          <w:szCs w:val="20"/>
        </w:rPr>
        <w:t xml:space="preserve"> </w:t>
      </w:r>
      <w:r w:rsidRPr="004858D0">
        <w:rPr>
          <w:rFonts w:cs="Arial"/>
          <w:szCs w:val="20"/>
        </w:rPr>
        <w:t xml:space="preserve">involve stimulation of specific </w:t>
      </w:r>
      <w:r w:rsidRPr="004858D0">
        <w:rPr>
          <w:rFonts w:cs="Arial"/>
          <w:szCs w:val="20"/>
        </w:rPr>
        <w:lastRenderedPageBreak/>
        <w:t xml:space="preserve">neuroanatomical </w:t>
      </w:r>
      <w:r>
        <w:rPr>
          <w:rFonts w:cs="Arial"/>
          <w:szCs w:val="20"/>
        </w:rPr>
        <w:t xml:space="preserve">brain </w:t>
      </w:r>
      <w:r w:rsidRPr="004858D0">
        <w:rPr>
          <w:rFonts w:cs="Arial"/>
          <w:szCs w:val="20"/>
        </w:rPr>
        <w:t>structures with the aim of modulating hyperexcitability in their circuit</w:t>
      </w:r>
      <w:r w:rsidR="001567BE">
        <w:rPr>
          <w:rFonts w:cs="Arial"/>
          <w:szCs w:val="20"/>
        </w:rPr>
        <w:t>s</w:t>
      </w:r>
      <w:r w:rsidR="00C91EA7">
        <w:rPr>
          <w:rFonts w:cs="Arial"/>
          <w:szCs w:val="20"/>
        </w:rPr>
        <w:t xml:space="preserve"> (e.g., </w:t>
      </w:r>
      <w:r w:rsidRPr="004858D0">
        <w:rPr>
          <w:rFonts w:cs="Arial"/>
          <w:szCs w:val="20"/>
        </w:rPr>
        <w:t>vagal nerve stimulation</w:t>
      </w:r>
      <w:r w:rsidR="003059DF">
        <w:rPr>
          <w:rFonts w:cs="Arial"/>
          <w:szCs w:val="20"/>
        </w:rPr>
        <w:t xml:space="preserve"> </w:t>
      </w:r>
      <w:r w:rsidR="000F6182">
        <w:rPr>
          <w:rFonts w:cs="Arial"/>
          <w:szCs w:val="20"/>
        </w:rPr>
        <w:t>[</w:t>
      </w:r>
      <w:r w:rsidR="003059DF">
        <w:rPr>
          <w:rFonts w:cs="Arial"/>
          <w:szCs w:val="20"/>
        </w:rPr>
        <w:t>VNS</w:t>
      </w:r>
      <w:r w:rsidR="000F6182">
        <w:rPr>
          <w:rFonts w:cs="Arial"/>
          <w:szCs w:val="20"/>
        </w:rPr>
        <w:t>]</w:t>
      </w:r>
      <w:r w:rsidRPr="004858D0">
        <w:rPr>
          <w:rFonts w:cs="Arial"/>
          <w:szCs w:val="20"/>
        </w:rPr>
        <w:t xml:space="preserve">, </w:t>
      </w:r>
      <w:r w:rsidRPr="004858D0">
        <w:rPr>
          <w:szCs w:val="20"/>
        </w:rPr>
        <w:t xml:space="preserve">responsive </w:t>
      </w:r>
      <w:r w:rsidR="000F6182">
        <w:rPr>
          <w:szCs w:val="20"/>
        </w:rPr>
        <w:t xml:space="preserve">neural </w:t>
      </w:r>
      <w:r w:rsidRPr="004858D0">
        <w:rPr>
          <w:szCs w:val="20"/>
        </w:rPr>
        <w:t>stimulation</w:t>
      </w:r>
      <w:r w:rsidR="000F6182">
        <w:rPr>
          <w:szCs w:val="20"/>
        </w:rPr>
        <w:t xml:space="preserve"> [RNS],</w:t>
      </w:r>
      <w:r w:rsidRPr="004858D0">
        <w:rPr>
          <w:szCs w:val="20"/>
        </w:rPr>
        <w:t xml:space="preserve"> and deep brain stimulation</w:t>
      </w:r>
      <w:r w:rsidR="003059DF">
        <w:rPr>
          <w:szCs w:val="20"/>
        </w:rPr>
        <w:t xml:space="preserve"> </w:t>
      </w:r>
      <w:r w:rsidR="000F6182">
        <w:rPr>
          <w:szCs w:val="20"/>
        </w:rPr>
        <w:t>[</w:t>
      </w:r>
      <w:r w:rsidR="006901FF">
        <w:rPr>
          <w:szCs w:val="20"/>
        </w:rPr>
        <w:t>DBS</w:t>
      </w:r>
      <w:r w:rsidR="000F6182">
        <w:rPr>
          <w:szCs w:val="20"/>
        </w:rPr>
        <w:t>]</w:t>
      </w:r>
      <w:r w:rsidR="00C91EA7">
        <w:rPr>
          <w:szCs w:val="20"/>
        </w:rPr>
        <w:t>)</w:t>
      </w:r>
      <w:r w:rsidR="00C91EA7">
        <w:rPr>
          <w:rFonts w:cs="Arial"/>
          <w:szCs w:val="20"/>
        </w:rPr>
        <w:t xml:space="preserve">. </w:t>
      </w:r>
    </w:p>
    <w:p w14:paraId="0052DDFE" w14:textId="31320B81" w:rsidR="00433518" w:rsidRPr="00D84B7A" w:rsidRDefault="00433518" w:rsidP="00433518">
      <w:pPr>
        <w:ind w:left="426"/>
      </w:pPr>
      <w:r>
        <w:rPr>
          <w:rFonts w:cs="Arial"/>
          <w:szCs w:val="20"/>
        </w:rPr>
        <w:t>If the first</w:t>
      </w:r>
      <w:r w:rsidRPr="00F65782">
        <w:rPr>
          <w:rFonts w:cs="Arial"/>
          <w:szCs w:val="20"/>
        </w:rPr>
        <w:t xml:space="preserve"> </w:t>
      </w:r>
      <w:r w:rsidRPr="004858D0">
        <w:rPr>
          <w:rFonts w:cs="Arial"/>
          <w:szCs w:val="20"/>
        </w:rPr>
        <w:t xml:space="preserve">medication </w:t>
      </w:r>
      <w:r w:rsidR="000A67F6">
        <w:rPr>
          <w:rFonts w:cs="Arial"/>
          <w:szCs w:val="20"/>
        </w:rPr>
        <w:t xml:space="preserve">prescribed </w:t>
      </w:r>
      <w:r w:rsidRPr="004858D0">
        <w:rPr>
          <w:rFonts w:cs="Arial"/>
          <w:szCs w:val="20"/>
        </w:rPr>
        <w:t xml:space="preserve">fails to </w:t>
      </w:r>
      <w:r>
        <w:rPr>
          <w:rFonts w:cs="Arial"/>
          <w:szCs w:val="20"/>
        </w:rPr>
        <w:t>stop</w:t>
      </w:r>
      <w:r w:rsidRPr="004858D0">
        <w:rPr>
          <w:rFonts w:cs="Arial"/>
          <w:szCs w:val="20"/>
        </w:rPr>
        <w:t xml:space="preserve"> seizures</w:t>
      </w:r>
      <w:r>
        <w:rPr>
          <w:rFonts w:cs="Arial"/>
          <w:szCs w:val="20"/>
        </w:rPr>
        <w:t xml:space="preserve">, addition of a </w:t>
      </w:r>
      <w:r w:rsidRPr="004858D0">
        <w:rPr>
          <w:rFonts w:cs="Arial"/>
          <w:szCs w:val="20"/>
        </w:rPr>
        <w:t xml:space="preserve">second anti-seizure medication is </w:t>
      </w:r>
      <w:r>
        <w:rPr>
          <w:rFonts w:cs="Arial"/>
          <w:szCs w:val="20"/>
        </w:rPr>
        <w:t xml:space="preserve">usually </w:t>
      </w:r>
      <w:r w:rsidRPr="004858D0">
        <w:rPr>
          <w:rFonts w:cs="Arial"/>
          <w:szCs w:val="20"/>
        </w:rPr>
        <w:t xml:space="preserve">recommended. The probability of successful seizure control is reduced with each subsequent </w:t>
      </w:r>
      <w:r>
        <w:rPr>
          <w:rFonts w:cs="Arial"/>
          <w:szCs w:val="20"/>
        </w:rPr>
        <w:t>medication</w:t>
      </w:r>
      <w:r w:rsidRPr="004858D0">
        <w:rPr>
          <w:rFonts w:cs="Arial"/>
          <w:szCs w:val="20"/>
        </w:rPr>
        <w:t xml:space="preserve"> trial. </w:t>
      </w:r>
      <w:r w:rsidRPr="004858D0">
        <w:rPr>
          <w:szCs w:val="20"/>
        </w:rPr>
        <w:t>A 30-year longitudinal study reported that around 50% of patients with newly diagnosed epilepsy achieve</w:t>
      </w:r>
      <w:r>
        <w:rPr>
          <w:szCs w:val="20"/>
        </w:rPr>
        <w:t>d</w:t>
      </w:r>
      <w:r w:rsidRPr="004858D0">
        <w:rPr>
          <w:szCs w:val="20"/>
        </w:rPr>
        <w:t xml:space="preserve"> seizure freedom with the first antiepileptic medication trailed</w:t>
      </w:r>
      <w:r w:rsidR="000A67F6">
        <w:rPr>
          <w:szCs w:val="20"/>
        </w:rPr>
        <w:t>,</w:t>
      </w:r>
      <w:r w:rsidRPr="004858D0">
        <w:rPr>
          <w:szCs w:val="20"/>
        </w:rPr>
        <w:t xml:space="preserve"> and </w:t>
      </w:r>
      <w:r>
        <w:rPr>
          <w:szCs w:val="20"/>
        </w:rPr>
        <w:t xml:space="preserve">a further </w:t>
      </w:r>
      <w:r w:rsidRPr="004858D0">
        <w:rPr>
          <w:szCs w:val="20"/>
        </w:rPr>
        <w:t xml:space="preserve">11% of patients become seizure free after trailing a second medication.  </w:t>
      </w:r>
      <w:r>
        <w:rPr>
          <w:szCs w:val="20"/>
        </w:rPr>
        <w:t>O</w:t>
      </w:r>
      <w:r w:rsidRPr="004858D0">
        <w:rPr>
          <w:szCs w:val="20"/>
        </w:rPr>
        <w:t>nly 3% of people subsequently stop having seizures after failing a second medication trial, leaving 30-40% of people with medication-resistant epilepsy</w:t>
      </w:r>
      <w:r>
        <w:rPr>
          <w:szCs w:val="20"/>
        </w:rPr>
        <w:t>, also called medically refractory epilepsy</w:t>
      </w:r>
      <w:r w:rsidRPr="004858D0">
        <w:rPr>
          <w:szCs w:val="20"/>
        </w:rPr>
        <w:t xml:space="preserve"> (Che</w:t>
      </w:r>
      <w:r>
        <w:rPr>
          <w:szCs w:val="20"/>
        </w:rPr>
        <w:t>n</w:t>
      </w:r>
      <w:r w:rsidRPr="004858D0">
        <w:rPr>
          <w:szCs w:val="20"/>
        </w:rPr>
        <w:t xml:space="preserve"> et al 2018). </w:t>
      </w:r>
      <w:r>
        <w:rPr>
          <w:szCs w:val="20"/>
        </w:rPr>
        <w:t>The suggested prevalence of medication resistant epilepsy is corroborated by the findings of 2021</w:t>
      </w:r>
      <w:r w:rsidRPr="00455A68">
        <w:t xml:space="preserve"> systematic review and meta-analysis of </w:t>
      </w:r>
      <w:r>
        <w:t xml:space="preserve">103 </w:t>
      </w:r>
      <w:r w:rsidRPr="00455A68">
        <w:t>observational studies</w:t>
      </w:r>
      <w:r>
        <w:t>, which reported a 36.3% prevalence</w:t>
      </w:r>
      <w:r w:rsidRPr="006964A7">
        <w:t xml:space="preserve"> </w:t>
      </w:r>
      <w:r>
        <w:t xml:space="preserve">of </w:t>
      </w:r>
      <w:r w:rsidRPr="00455A68">
        <w:t>medication resistant epil</w:t>
      </w:r>
      <w:r>
        <w:t>epsy</w:t>
      </w:r>
      <w:r w:rsidRPr="00455A68">
        <w:t xml:space="preserve"> in</w:t>
      </w:r>
      <w:r>
        <w:t xml:space="preserve"> </w:t>
      </w:r>
      <w:r w:rsidRPr="00455A68">
        <w:t>clinic-based cohort</w:t>
      </w:r>
      <w:r>
        <w:t xml:space="preserve">s and higher rates </w:t>
      </w:r>
      <w:r w:rsidRPr="00455A68">
        <w:t xml:space="preserve">in </w:t>
      </w:r>
      <w:r>
        <w:t xml:space="preserve">people with </w:t>
      </w:r>
      <w:r w:rsidRPr="00455A68">
        <w:t>focal epilepsy (Sultana et al</w:t>
      </w:r>
      <w:r>
        <w:t>.</w:t>
      </w:r>
      <w:r w:rsidRPr="00455A68">
        <w:t xml:space="preserve"> 2021).</w:t>
      </w:r>
      <w:r w:rsidRPr="00D84B7A">
        <w:t xml:space="preserve"> </w:t>
      </w:r>
      <w:r>
        <w:t>M</w:t>
      </w:r>
      <w:r w:rsidRPr="00A157B8">
        <w:t>edication resistant epilepsy has been described as a multifaceted problem</w:t>
      </w:r>
      <w:r>
        <w:t xml:space="preserve"> </w:t>
      </w:r>
      <w:r w:rsidRPr="00A157B8">
        <w:t>(</w:t>
      </w:r>
      <w:r w:rsidRPr="00555C8E">
        <w:t xml:space="preserve">French </w:t>
      </w:r>
      <w:r w:rsidRPr="00A157B8">
        <w:t>2007)</w:t>
      </w:r>
      <w:r>
        <w:t xml:space="preserve"> and p</w:t>
      </w:r>
      <w:r>
        <w:rPr>
          <w:szCs w:val="20"/>
        </w:rPr>
        <w:t xml:space="preserve">eople with medication resistant epilepsy are candidates for second line treatment options. </w:t>
      </w:r>
    </w:p>
    <w:p w14:paraId="0E843BE2" w14:textId="0D91DACC" w:rsidR="006A471D" w:rsidRDefault="000F6182" w:rsidP="006A471D">
      <w:pPr>
        <w:ind w:left="426"/>
      </w:pPr>
      <w:r>
        <w:t xml:space="preserve">Approximately </w:t>
      </w:r>
      <w:r w:rsidR="00555C8E">
        <w:t>two thirds</w:t>
      </w:r>
      <w:r>
        <w:t xml:space="preserve"> of</w:t>
      </w:r>
      <w:r w:rsidRPr="00EF688A">
        <w:t xml:space="preserve"> </w:t>
      </w:r>
      <w:r w:rsidR="00E46A89" w:rsidRPr="00EF688A">
        <w:t xml:space="preserve">people </w:t>
      </w:r>
      <w:r w:rsidR="00E46A89">
        <w:t xml:space="preserve">with newly </w:t>
      </w:r>
      <w:r w:rsidR="00E46A89" w:rsidRPr="00EF688A">
        <w:t>diagnosed epilepsy</w:t>
      </w:r>
      <w:r w:rsidR="00E46A89">
        <w:t xml:space="preserve"> generally</w:t>
      </w:r>
      <w:r w:rsidR="00E46A89" w:rsidRPr="00EF688A">
        <w:t xml:space="preserve"> have a good prognosis for full seizure control and eventual discontinuation of </w:t>
      </w:r>
      <w:r w:rsidR="00E46A89">
        <w:t>anti-seizure medications</w:t>
      </w:r>
      <w:r w:rsidR="00E46A89" w:rsidRPr="00EF688A">
        <w:t xml:space="preserve">. </w:t>
      </w:r>
      <w:r w:rsidR="00E92A1A" w:rsidRPr="00622171">
        <w:t>The most important positive predictor of long-term prognosis is e</w:t>
      </w:r>
      <w:r w:rsidR="00E46A89" w:rsidRPr="00622171">
        <w:t>arly response to treatment</w:t>
      </w:r>
      <w:r w:rsidR="00E92A1A" w:rsidRPr="00622171">
        <w:t xml:space="preserve">. </w:t>
      </w:r>
      <w:r w:rsidR="009071D0" w:rsidRPr="00622171">
        <w:t>Different prognostic patterns can be identified, suggesting that the epileptogenic process is not static (</w:t>
      </w:r>
      <w:r w:rsidR="00544A19" w:rsidRPr="00544A19">
        <w:t>Beghi</w:t>
      </w:r>
      <w:r w:rsidR="00544A19">
        <w:t xml:space="preserve"> </w:t>
      </w:r>
      <w:r w:rsidR="009071D0" w:rsidRPr="00622171">
        <w:t>et al</w:t>
      </w:r>
      <w:r w:rsidR="002935AB">
        <w:t>.</w:t>
      </w:r>
      <w:r w:rsidR="009071D0" w:rsidRPr="00622171">
        <w:t xml:space="preserve"> 2015).</w:t>
      </w:r>
      <w:r w:rsidR="009071D0" w:rsidRPr="00E92A1A">
        <w:t xml:space="preserve"> </w:t>
      </w:r>
      <w:r w:rsidR="000718F8">
        <w:t>F</w:t>
      </w:r>
      <w:r w:rsidR="000718F8">
        <w:rPr>
          <w:szCs w:val="20"/>
        </w:rPr>
        <w:t>our different prognostic groups have been described for people with epilepsy syndrome (</w:t>
      </w:r>
      <w:r w:rsidR="000718F8" w:rsidRPr="006A6B7B">
        <w:rPr>
          <w:szCs w:val="20"/>
        </w:rPr>
        <w:t>Beghi</w:t>
      </w:r>
      <w:r w:rsidR="000718F8">
        <w:rPr>
          <w:szCs w:val="20"/>
        </w:rPr>
        <w:t xml:space="preserve"> et al</w:t>
      </w:r>
      <w:r w:rsidR="002935AB">
        <w:rPr>
          <w:szCs w:val="20"/>
        </w:rPr>
        <w:t>.</w:t>
      </w:r>
      <w:r w:rsidR="000718F8">
        <w:rPr>
          <w:szCs w:val="20"/>
        </w:rPr>
        <w:t xml:space="preserve"> 2015). Around 20-30% of people have a high probability of spontaneous remission. A g</w:t>
      </w:r>
      <w:r w:rsidR="000718F8" w:rsidRPr="001B73DE">
        <w:rPr>
          <w:szCs w:val="20"/>
        </w:rPr>
        <w:t xml:space="preserve">ood prognosis </w:t>
      </w:r>
      <w:r w:rsidR="000718F8">
        <w:rPr>
          <w:szCs w:val="20"/>
        </w:rPr>
        <w:t>occurs in</w:t>
      </w:r>
      <w:r w:rsidR="000718F8" w:rsidRPr="001B73DE">
        <w:rPr>
          <w:szCs w:val="20"/>
        </w:rPr>
        <w:t xml:space="preserve"> 30-40%</w:t>
      </w:r>
      <w:r w:rsidR="000718F8">
        <w:rPr>
          <w:szCs w:val="20"/>
        </w:rPr>
        <w:t xml:space="preserve"> of people who easily achieve</w:t>
      </w:r>
      <w:r w:rsidR="000718F8" w:rsidRPr="001B73DE">
        <w:rPr>
          <w:szCs w:val="20"/>
        </w:rPr>
        <w:t xml:space="preserve"> pharmacological control and possi</w:t>
      </w:r>
      <w:r w:rsidR="000718F8">
        <w:rPr>
          <w:szCs w:val="20"/>
        </w:rPr>
        <w:t>ble</w:t>
      </w:r>
      <w:r w:rsidR="000718F8" w:rsidRPr="001B73DE">
        <w:rPr>
          <w:szCs w:val="20"/>
        </w:rPr>
        <w:t xml:space="preserve"> spontaneous remission</w:t>
      </w:r>
      <w:r w:rsidR="000718F8">
        <w:rPr>
          <w:szCs w:val="20"/>
        </w:rPr>
        <w:t xml:space="preserve">. While 10-20% have a drug dependent prognosis, where seizures respond to </w:t>
      </w:r>
      <w:r w:rsidR="000718F8" w:rsidRPr="00B908A4">
        <w:rPr>
          <w:szCs w:val="20"/>
        </w:rPr>
        <w:t>medications but tend to relapse after treatment withdrawal</w:t>
      </w:r>
      <w:r w:rsidR="000718F8">
        <w:rPr>
          <w:szCs w:val="20"/>
        </w:rPr>
        <w:t xml:space="preserve"> and 20% have a poor prognosis, where seizures </w:t>
      </w:r>
      <w:r w:rsidR="000718F8" w:rsidRPr="001B73DE">
        <w:rPr>
          <w:szCs w:val="20"/>
        </w:rPr>
        <w:t>recur despite intensive treatmen</w:t>
      </w:r>
      <w:r w:rsidR="000718F8">
        <w:rPr>
          <w:szCs w:val="20"/>
        </w:rPr>
        <w:t xml:space="preserve">t. </w:t>
      </w:r>
    </w:p>
    <w:p w14:paraId="227F5C4C" w14:textId="5A544133" w:rsidR="009C1C02" w:rsidRPr="00317F2F" w:rsidRDefault="00A157B8" w:rsidP="00317F2F">
      <w:pPr>
        <w:shd w:val="clear" w:color="auto" w:fill="FFFFFF" w:themeFill="background1"/>
        <w:ind w:left="426"/>
        <w:rPr>
          <w:rFonts w:cstheme="minorHAnsi"/>
          <w:szCs w:val="20"/>
        </w:rPr>
      </w:pPr>
      <w:r w:rsidRPr="00A157B8">
        <w:t>A person’s response to antiseizure medications may be influenced by the type of epilepsy they have, the underlying syndrome and aetiology</w:t>
      </w:r>
      <w:r w:rsidR="006964A7">
        <w:t xml:space="preserve">, </w:t>
      </w:r>
      <w:r w:rsidR="00E31245">
        <w:t>as well as</w:t>
      </w:r>
      <w:r w:rsidR="006964A7">
        <w:t xml:space="preserve"> the </w:t>
      </w:r>
      <w:r w:rsidRPr="00A157B8">
        <w:t xml:space="preserve">patient's history of seizure frequency, </w:t>
      </w:r>
      <w:r w:rsidR="000F6182">
        <w:t>severity</w:t>
      </w:r>
      <w:r w:rsidRPr="00A157B8">
        <w:t xml:space="preserve">, and clustering. </w:t>
      </w:r>
      <w:r w:rsidR="006964A7">
        <w:t>E</w:t>
      </w:r>
      <w:r w:rsidRPr="00A157B8">
        <w:t>nvironmental factors, such as trauma and prior drug exposure</w:t>
      </w:r>
      <w:r w:rsidR="006964A7">
        <w:t>, as well as g</w:t>
      </w:r>
      <w:r w:rsidRPr="00A157B8">
        <w:t xml:space="preserve">enetic factors </w:t>
      </w:r>
      <w:r w:rsidR="006964A7">
        <w:t>(</w:t>
      </w:r>
      <w:r w:rsidR="000A67F6">
        <w:t xml:space="preserve">including </w:t>
      </w:r>
      <w:r w:rsidRPr="00A157B8">
        <w:t>absorption</w:t>
      </w:r>
      <w:r w:rsidR="006964A7">
        <w:t xml:space="preserve"> rates</w:t>
      </w:r>
      <w:r w:rsidRPr="00A157B8">
        <w:t>, metabolism, and uptake of a medications by target tissue</w:t>
      </w:r>
      <w:r w:rsidR="006964A7">
        <w:t xml:space="preserve">) may </w:t>
      </w:r>
      <w:r w:rsidRPr="00A157B8">
        <w:t xml:space="preserve">potentially impact </w:t>
      </w:r>
      <w:r w:rsidR="006964A7">
        <w:t xml:space="preserve">on </w:t>
      </w:r>
      <w:r w:rsidRPr="00A157B8">
        <w:t>an individual’s response to pharmacotherapy (French 2007).</w:t>
      </w:r>
      <w:r w:rsidR="00422871">
        <w:t xml:space="preserve"> </w:t>
      </w:r>
      <w:r w:rsidR="00416197">
        <w:t>The estimated average duration of active epilepsy is around 10 years, based on calculations derived from prevalence and incidence data (</w:t>
      </w:r>
      <w:r w:rsidR="00416197" w:rsidRPr="00CC2E86">
        <w:t>Beghi</w:t>
      </w:r>
      <w:r w:rsidR="00416197">
        <w:t xml:space="preserve"> et al 2015). </w:t>
      </w:r>
      <w:r w:rsidR="00416197" w:rsidRPr="00E927A2">
        <w:rPr>
          <w:rFonts w:cstheme="minorHAnsi"/>
          <w:szCs w:val="20"/>
        </w:rPr>
        <w:t xml:space="preserve">Population studies </w:t>
      </w:r>
      <w:r w:rsidR="00416197">
        <w:rPr>
          <w:rFonts w:cstheme="minorHAnsi"/>
          <w:szCs w:val="20"/>
        </w:rPr>
        <w:t>following</w:t>
      </w:r>
      <w:r w:rsidR="00416197" w:rsidRPr="00E927A2">
        <w:rPr>
          <w:rFonts w:cstheme="minorHAnsi"/>
          <w:szCs w:val="20"/>
        </w:rPr>
        <w:t xml:space="preserve"> newly diagnosed epilepsy cases for several decades report that up to 80% of people may enter prolonged periods of seizure remission and up to 50% continue to be seizure-free after treatment discontinuation (</w:t>
      </w:r>
      <w:r w:rsidR="00416197" w:rsidRPr="00CC2E86">
        <w:rPr>
          <w:rFonts w:cstheme="minorHAnsi"/>
          <w:szCs w:val="20"/>
        </w:rPr>
        <w:t>Sillanpää</w:t>
      </w:r>
      <w:r w:rsidR="00416197" w:rsidRPr="00E927A2">
        <w:rPr>
          <w:rFonts w:cstheme="minorHAnsi"/>
          <w:szCs w:val="20"/>
        </w:rPr>
        <w:t xml:space="preserve"> and Schmidt 2006)</w:t>
      </w:r>
      <w:r w:rsidR="00416197">
        <w:rPr>
          <w:rFonts w:cstheme="minorHAnsi"/>
          <w:szCs w:val="20"/>
        </w:rPr>
        <w:t xml:space="preserve">. </w:t>
      </w:r>
    </w:p>
    <w:p w14:paraId="21821AEF" w14:textId="2C394C35" w:rsidR="00B96953" w:rsidRPr="00317F2F" w:rsidRDefault="00B96953" w:rsidP="009F7455">
      <w:pPr>
        <w:ind w:left="426"/>
        <w:rPr>
          <w:b/>
          <w:bCs/>
          <w:color w:val="0000FF"/>
          <w:szCs w:val="20"/>
        </w:rPr>
      </w:pPr>
      <w:r w:rsidRPr="00317F2F">
        <w:rPr>
          <w:b/>
          <w:bCs/>
          <w:i/>
          <w:iCs/>
          <w:szCs w:val="20"/>
        </w:rPr>
        <w:t xml:space="preserve">Burden of </w:t>
      </w:r>
      <w:r w:rsidR="00C64099" w:rsidRPr="00317F2F">
        <w:rPr>
          <w:b/>
          <w:bCs/>
          <w:i/>
          <w:iCs/>
          <w:szCs w:val="20"/>
        </w:rPr>
        <w:t>D</w:t>
      </w:r>
      <w:r w:rsidRPr="00317F2F">
        <w:rPr>
          <w:b/>
          <w:bCs/>
          <w:i/>
          <w:iCs/>
          <w:szCs w:val="20"/>
        </w:rPr>
        <w:t>isease</w:t>
      </w:r>
      <w:r w:rsidR="0072483C" w:rsidRPr="00317F2F">
        <w:rPr>
          <w:b/>
          <w:bCs/>
          <w:i/>
          <w:iCs/>
          <w:szCs w:val="20"/>
        </w:rPr>
        <w:t xml:space="preserve"> </w:t>
      </w:r>
      <w:r w:rsidR="0072483C" w:rsidRPr="00317F2F">
        <w:rPr>
          <w:b/>
          <w:bCs/>
          <w:szCs w:val="20"/>
        </w:rPr>
        <w:t xml:space="preserve">  </w:t>
      </w:r>
    </w:p>
    <w:p w14:paraId="255E4DC0" w14:textId="77777777" w:rsidR="00C91EA7" w:rsidRDefault="00A02754" w:rsidP="00C91EA7">
      <w:pPr>
        <w:shd w:val="clear" w:color="auto" w:fill="FFFFFF" w:themeFill="background1"/>
        <w:ind w:left="426"/>
      </w:pPr>
      <w:r>
        <w:t>Epilepsy is a chronic disease</w:t>
      </w:r>
      <w:r w:rsidR="00AF0805">
        <w:t xml:space="preserve"> </w:t>
      </w:r>
      <w:r w:rsidR="00923252">
        <w:t>which</w:t>
      </w:r>
      <w:r w:rsidR="00273C73">
        <w:t xml:space="preserve"> </w:t>
      </w:r>
      <w:r w:rsidR="00814697">
        <w:t>may</w:t>
      </w:r>
      <w:r w:rsidR="00161F6C">
        <w:t xml:space="preserve"> </w:t>
      </w:r>
      <w:r w:rsidR="00CC4931">
        <w:t xml:space="preserve">profoundly </w:t>
      </w:r>
      <w:r w:rsidR="003E759C">
        <w:t xml:space="preserve">impact </w:t>
      </w:r>
      <w:r w:rsidR="00923252">
        <w:t>a person’s</w:t>
      </w:r>
      <w:r w:rsidR="00AF0805">
        <w:t xml:space="preserve"> </w:t>
      </w:r>
      <w:r w:rsidR="00CC4931">
        <w:t>quality of life</w:t>
      </w:r>
      <w:r w:rsidR="008B7A39">
        <w:t xml:space="preserve"> and</w:t>
      </w:r>
      <w:r w:rsidR="00161F6C">
        <w:t xml:space="preserve"> </w:t>
      </w:r>
      <w:r w:rsidR="002A6D0A">
        <w:t>can be</w:t>
      </w:r>
      <w:r w:rsidR="002A6D0A" w:rsidRPr="009267D3">
        <w:t xml:space="preserve"> debilitatin</w:t>
      </w:r>
      <w:r w:rsidR="002A6D0A">
        <w:t>g</w:t>
      </w:r>
      <w:r w:rsidR="00564028">
        <w:t xml:space="preserve">, </w:t>
      </w:r>
      <w:r w:rsidR="002A6D0A">
        <w:t xml:space="preserve">conferring </w:t>
      </w:r>
      <w:r w:rsidR="002A6D0A" w:rsidRPr="009267D3">
        <w:t>serious adverse effects on</w:t>
      </w:r>
      <w:r w:rsidR="002A6D0A">
        <w:t xml:space="preserve"> </w:t>
      </w:r>
      <w:r w:rsidR="002A6D0A" w:rsidRPr="009267D3">
        <w:t xml:space="preserve">personal </w:t>
      </w:r>
      <w:r w:rsidR="002A6D0A">
        <w:t>lives</w:t>
      </w:r>
      <w:r w:rsidR="00B70BD2">
        <w:t xml:space="preserve"> and capacity to maintain </w:t>
      </w:r>
      <w:r w:rsidR="002A6D0A" w:rsidRPr="009267D3">
        <w:t>employment.</w:t>
      </w:r>
      <w:r w:rsidR="00C91EA7">
        <w:t xml:space="preserve"> </w:t>
      </w:r>
    </w:p>
    <w:p w14:paraId="49864379" w14:textId="24D19BD6" w:rsidR="009604F7" w:rsidRDefault="001551D1" w:rsidP="003462A9">
      <w:pPr>
        <w:shd w:val="clear" w:color="auto" w:fill="FFFFFF" w:themeFill="background1"/>
        <w:ind w:left="426"/>
      </w:pPr>
      <w:r w:rsidRPr="003E759C">
        <w:t>E</w:t>
      </w:r>
      <w:r w:rsidR="005E19BB" w:rsidRPr="003E759C">
        <w:t xml:space="preserve">pilepsy </w:t>
      </w:r>
      <w:r w:rsidR="00CC4931" w:rsidRPr="003E759C">
        <w:t xml:space="preserve">has been linked </w:t>
      </w:r>
      <w:r w:rsidR="00A02754" w:rsidRPr="003E759C">
        <w:t xml:space="preserve">with increased rates of </w:t>
      </w:r>
      <w:r w:rsidR="00564028" w:rsidRPr="00144758">
        <w:t>comorbidities</w:t>
      </w:r>
      <w:r w:rsidR="008B7A39">
        <w:t xml:space="preserve"> </w:t>
      </w:r>
      <w:r w:rsidR="00564028" w:rsidRPr="00144758">
        <w:t xml:space="preserve">which </w:t>
      </w:r>
      <w:r w:rsidR="00A02754" w:rsidRPr="003E759C">
        <w:t>adversely affect quality of life and life expectancy</w:t>
      </w:r>
      <w:r w:rsidR="007E2D25" w:rsidRPr="003E759C">
        <w:t xml:space="preserve">. </w:t>
      </w:r>
      <w:r w:rsidR="00564028">
        <w:t>People with epilepsy have a</w:t>
      </w:r>
      <w:r w:rsidR="007E2D25" w:rsidRPr="003E759C">
        <w:t xml:space="preserve"> greater</w:t>
      </w:r>
      <w:r w:rsidRPr="003E759C">
        <w:t xml:space="preserve"> </w:t>
      </w:r>
      <w:r w:rsidR="00CC4931" w:rsidRPr="003E759C">
        <w:t xml:space="preserve">likelihood of experiencing </w:t>
      </w:r>
      <w:r w:rsidR="008B7A39">
        <w:t>psychiatric conditions</w:t>
      </w:r>
      <w:r w:rsidR="00CC4931" w:rsidRPr="003E759C">
        <w:t>, fractures, motor vehicle accidents, cardiovascular disease, sleep disorders, neurodevelopmental disorders, and migraines</w:t>
      </w:r>
      <w:r w:rsidR="00144758" w:rsidRPr="003E759C">
        <w:t>, on top of the stigma that a diagnosis of epilepsy carries</w:t>
      </w:r>
      <w:r w:rsidR="00F478D7">
        <w:t>.</w:t>
      </w:r>
      <w:r w:rsidR="004D0035">
        <w:t xml:space="preserve"> </w:t>
      </w:r>
      <w:r w:rsidR="003E759C" w:rsidRPr="003E759C">
        <w:t>For example, d</w:t>
      </w:r>
      <w:r w:rsidR="00760F3E" w:rsidRPr="003E759C">
        <w:t>epression and anxiety are common</w:t>
      </w:r>
      <w:r w:rsidR="007D7AF5" w:rsidRPr="003E759C">
        <w:t>ly reported</w:t>
      </w:r>
      <w:r w:rsidR="00760F3E" w:rsidRPr="003E759C">
        <w:t xml:space="preserve"> </w:t>
      </w:r>
      <w:r w:rsidR="007D7AF5" w:rsidRPr="003E759C">
        <w:t>in people with epilepsy</w:t>
      </w:r>
      <w:r w:rsidR="009B62EC" w:rsidRPr="003E759C">
        <w:t>.</w:t>
      </w:r>
      <w:r w:rsidR="008918BB" w:rsidRPr="003E759C">
        <w:t xml:space="preserve"> </w:t>
      </w:r>
      <w:r w:rsidR="00564028">
        <w:t>S</w:t>
      </w:r>
      <w:r w:rsidR="00F30DA2" w:rsidRPr="003E759C">
        <w:t xml:space="preserve">ignificantly increased odds of active and lifetime depression </w:t>
      </w:r>
      <w:r w:rsidR="00564028">
        <w:t xml:space="preserve">have been reported </w:t>
      </w:r>
      <w:r w:rsidR="00F30DA2" w:rsidRPr="003E759C">
        <w:t xml:space="preserve">in </w:t>
      </w:r>
      <w:r w:rsidR="005032F7" w:rsidRPr="003E759C">
        <w:t>people diagnosed</w:t>
      </w:r>
      <w:r w:rsidR="00F30DA2" w:rsidRPr="003E759C">
        <w:t xml:space="preserve"> with epilepsy </w:t>
      </w:r>
      <w:r w:rsidR="008B7A39">
        <w:t>(13</w:t>
      </w:r>
      <w:r w:rsidR="008B7A39" w:rsidRPr="003E759C">
        <w:t>-35% lifetime prevalence of depression</w:t>
      </w:r>
      <w:r w:rsidR="008B7A39">
        <w:t xml:space="preserve">) </w:t>
      </w:r>
      <w:r w:rsidR="005032F7" w:rsidRPr="003E759C">
        <w:t>compared</w:t>
      </w:r>
      <w:r w:rsidR="00F30DA2" w:rsidRPr="003E759C">
        <w:t xml:space="preserve"> to those without </w:t>
      </w:r>
      <w:r w:rsidR="003E759C" w:rsidRPr="003E759C">
        <w:t>epilepsy</w:t>
      </w:r>
      <w:r w:rsidR="009E406B">
        <w:t xml:space="preserve"> </w:t>
      </w:r>
      <w:r w:rsidR="001151C6" w:rsidRPr="003E759C">
        <w:t>(</w:t>
      </w:r>
      <w:r w:rsidR="001151C6" w:rsidRPr="00CC2E86">
        <w:t>Fiest</w:t>
      </w:r>
      <w:r w:rsidR="001151C6" w:rsidRPr="003E759C">
        <w:t xml:space="preserve"> KM et al. 2013).</w:t>
      </w:r>
      <w:r w:rsidR="003E759C" w:rsidRPr="003E759C">
        <w:t xml:space="preserve"> The unpredictable nature of seizures poses additional dangers </w:t>
      </w:r>
      <w:r w:rsidR="00F30265">
        <w:t>for</w:t>
      </w:r>
      <w:r w:rsidR="003E759C" w:rsidRPr="003E759C">
        <w:t xml:space="preserve"> personal safety</w:t>
      </w:r>
      <w:r w:rsidR="00564028">
        <w:t>. E</w:t>
      </w:r>
      <w:r w:rsidR="003E759C" w:rsidRPr="003E759C">
        <w:t>pilepsy is also associated with an increased risk of premature death</w:t>
      </w:r>
      <w:r w:rsidR="00923252">
        <w:t>, relative to the general population</w:t>
      </w:r>
      <w:r w:rsidR="003E759C" w:rsidRPr="003E759C">
        <w:t xml:space="preserve"> (</w:t>
      </w:r>
      <w:r w:rsidR="003E759C" w:rsidRPr="00CC2E86">
        <w:t>Beghi</w:t>
      </w:r>
      <w:r w:rsidR="003E759C" w:rsidRPr="003E759C">
        <w:t xml:space="preserve"> et al 2015).</w:t>
      </w:r>
    </w:p>
    <w:p w14:paraId="4A34C0D2" w14:textId="2E12538A" w:rsidR="003462A9" w:rsidRDefault="0054594E" w:rsidP="0054594E">
      <w:pPr>
        <w:ind w:left="426"/>
      </w:pPr>
      <w:r>
        <w:t>P</w:t>
      </w:r>
      <w:r w:rsidR="003462A9">
        <w:t>eople with epilepsy are at increased risk of s</w:t>
      </w:r>
      <w:r w:rsidR="003462A9" w:rsidRPr="008E292C">
        <w:t>udden unexpected death in epilepsy (SUDEP)</w:t>
      </w:r>
      <w:r w:rsidR="003462A9">
        <w:t xml:space="preserve">, which </w:t>
      </w:r>
      <w:r w:rsidR="003462A9" w:rsidRPr="008E292C">
        <w:t>is defined as “the sudden, unexpected, witnessed or unwitnessed, non‐traumatic and non‐drowning death in patients with epilepsy with or without evidence of a seizure, and excluding documented status epilepticus, in which post-mortem examination does not reveal a structural or toxicological cause for death”</w:t>
      </w:r>
      <w:r w:rsidR="003462A9">
        <w:t xml:space="preserve"> (</w:t>
      </w:r>
      <w:r w:rsidR="003462A9" w:rsidRPr="006F5A37">
        <w:t>Nashef</w:t>
      </w:r>
      <w:r w:rsidR="003462A9">
        <w:t xml:space="preserve"> et al 2012).The causes of SUDEP are multifactorial and may include respiratory or cardiac dysfunction. Review of data from</w:t>
      </w:r>
      <w:r w:rsidR="003462A9" w:rsidRPr="00835D64">
        <w:t xml:space="preserve"> </w:t>
      </w:r>
      <w:r w:rsidR="003462A9">
        <w:t>people</w:t>
      </w:r>
      <w:r w:rsidR="003462A9" w:rsidRPr="00835D64">
        <w:t xml:space="preserve"> </w:t>
      </w:r>
      <w:r w:rsidR="003462A9">
        <w:t xml:space="preserve">(n=57,775) </w:t>
      </w:r>
      <w:r w:rsidR="003462A9" w:rsidRPr="00835D64">
        <w:t xml:space="preserve">with a hospital-based ambulatory care or hospital discharge diagnosis of epilepsy in the Swedish National Patient Registry </w:t>
      </w:r>
      <w:r w:rsidR="003462A9">
        <w:t>over</w:t>
      </w:r>
      <w:r w:rsidR="003462A9" w:rsidRPr="00835D64">
        <w:t xml:space="preserve"> 1998–2005</w:t>
      </w:r>
      <w:r w:rsidR="003462A9">
        <w:t xml:space="preserve">, reported that </w:t>
      </w:r>
      <w:r w:rsidR="003462A9" w:rsidRPr="00A9767B">
        <w:t xml:space="preserve">death certificates underestimate </w:t>
      </w:r>
      <w:r w:rsidR="003462A9">
        <w:t xml:space="preserve">the incidence of </w:t>
      </w:r>
      <w:r w:rsidR="003462A9" w:rsidRPr="00A9767B">
        <w:t>SUDEP</w:t>
      </w:r>
      <w:r w:rsidR="003462A9">
        <w:t>. Death</w:t>
      </w:r>
      <w:r w:rsidR="003462A9" w:rsidRPr="00F63E64">
        <w:t xml:space="preserve"> certificate</w:t>
      </w:r>
      <w:r w:rsidR="003462A9">
        <w:t xml:space="preserve">s mentioned </w:t>
      </w:r>
      <w:r w:rsidR="003462A9" w:rsidRPr="00F63E64">
        <w:t>in</w:t>
      </w:r>
      <w:r w:rsidR="003462A9">
        <w:t xml:space="preserve"> </w:t>
      </w:r>
      <w:r w:rsidR="003462A9" w:rsidRPr="00F63E64">
        <w:t>63%</w:t>
      </w:r>
      <w:r w:rsidR="003462A9">
        <w:t xml:space="preserve"> S</w:t>
      </w:r>
      <w:r w:rsidR="003462A9" w:rsidRPr="00F63E64">
        <w:t>UDEP cases</w:t>
      </w:r>
      <w:r w:rsidR="003462A9">
        <w:t xml:space="preserve"> and the </w:t>
      </w:r>
      <w:r w:rsidR="003462A9" w:rsidRPr="00A9767B">
        <w:t xml:space="preserve">risk </w:t>
      </w:r>
      <w:r w:rsidR="003462A9">
        <w:t>of SUDEP was</w:t>
      </w:r>
      <w:r w:rsidR="003462A9" w:rsidRPr="00A9767B">
        <w:t xml:space="preserve"> underestimated in boys and older people</w:t>
      </w:r>
      <w:r w:rsidR="003462A9">
        <w:t xml:space="preserve"> (regardless of sex)</w:t>
      </w:r>
      <w:r w:rsidR="003462A9" w:rsidRPr="00A9767B">
        <w:t xml:space="preserve">. </w:t>
      </w:r>
      <w:r w:rsidR="003462A9">
        <w:t xml:space="preserve">People with epilepsy and </w:t>
      </w:r>
      <w:r w:rsidR="003462A9" w:rsidRPr="00A9767B">
        <w:t xml:space="preserve">psychiatric </w:t>
      </w:r>
      <w:r w:rsidR="003462A9" w:rsidRPr="00A9767B">
        <w:lastRenderedPageBreak/>
        <w:t>comorbidities</w:t>
      </w:r>
      <w:r w:rsidR="003462A9">
        <w:t xml:space="preserve"> had an</w:t>
      </w:r>
      <w:r w:rsidR="003462A9" w:rsidRPr="00A9767B">
        <w:t xml:space="preserve"> increased </w:t>
      </w:r>
      <w:r w:rsidR="003462A9">
        <w:t xml:space="preserve">risk for </w:t>
      </w:r>
      <w:r w:rsidR="003462A9" w:rsidRPr="00A9767B">
        <w:t>SUDEP</w:t>
      </w:r>
      <w:r w:rsidR="003462A9">
        <w:t xml:space="preserve"> (Sveinsson et al. 2017). A recent systematic review suggested that </w:t>
      </w:r>
      <w:r w:rsidR="003462A9" w:rsidRPr="008E292C">
        <w:t xml:space="preserve">the genetic causes of SUDEP </w:t>
      </w:r>
      <w:r w:rsidR="003462A9">
        <w:t xml:space="preserve">are not well understood </w:t>
      </w:r>
      <w:r w:rsidR="003462A9" w:rsidRPr="008E292C">
        <w:t xml:space="preserve">because of </w:t>
      </w:r>
      <w:r w:rsidR="003462A9">
        <w:t xml:space="preserve">the </w:t>
      </w:r>
      <w:r w:rsidR="003462A9" w:rsidRPr="008E292C">
        <w:t xml:space="preserve">limited </w:t>
      </w:r>
      <w:r w:rsidR="003462A9">
        <w:t xml:space="preserve">availability of </w:t>
      </w:r>
      <w:r w:rsidR="003462A9" w:rsidRPr="008E292C">
        <w:t xml:space="preserve">clinical data such as ECGs and formal cardiac and neurologic pathology evaluations to further elucidate </w:t>
      </w:r>
      <w:r w:rsidR="003462A9">
        <w:t xml:space="preserve">causation in </w:t>
      </w:r>
      <w:r w:rsidR="003462A9" w:rsidRPr="008E292C">
        <w:t>SUDEP cases</w:t>
      </w:r>
      <w:r w:rsidR="003462A9">
        <w:t xml:space="preserve"> (Chahal et al 2020). People living with epilepsy have a risk of up to 1.2 in 1,000 of SUDEP per year, translating into around 171 SUDEP-related deaths annually in Australia (Epilepsy Australia).</w:t>
      </w:r>
    </w:p>
    <w:p w14:paraId="2201EDF9" w14:textId="78A20DFD" w:rsidR="00B43EB2" w:rsidRPr="00884A46" w:rsidRDefault="00B43EB2" w:rsidP="004E5150">
      <w:pPr>
        <w:shd w:val="clear" w:color="auto" w:fill="FFFFFF" w:themeFill="background1"/>
        <w:ind w:left="426"/>
      </w:pPr>
      <w:r>
        <w:t>People with medication resistant epilepsy have a greater burden of disease compared to people with epilepsy who become seizure free. Medication resistant epilepsy is associated with serious psychosocial consequences, cognitive problems, and reduced quality of life. Specifically, ongoing seizures are associated with increased rates of anxiety and depression, higher rates of unemployment and underemployment, and loss of independence, including from inability to drive. Poorer outcomes occur across the life span for people with medication resistant epilepsy. For example, in infants and young medication resistant epilepsy is associated with developmental delay, while in older children and adults it is associated with severe disability and morbidity (Engel J 2016).</w:t>
      </w:r>
    </w:p>
    <w:p w14:paraId="5BAD65E4" w14:textId="19921475" w:rsidR="000718F8" w:rsidRDefault="00D91571" w:rsidP="0014218D">
      <w:pPr>
        <w:ind w:left="426"/>
      </w:pPr>
      <w:r>
        <w:t>E</w:t>
      </w:r>
      <w:r w:rsidR="00B96953">
        <w:t>pilepsy is the</w:t>
      </w:r>
      <w:r w:rsidR="00B96953" w:rsidRPr="00102778">
        <w:t xml:space="preserve"> second most burdensome neurological condition</w:t>
      </w:r>
      <w:r w:rsidR="00B352DA">
        <w:t xml:space="preserve"> </w:t>
      </w:r>
      <w:r w:rsidR="00B96953" w:rsidRPr="00102778">
        <w:t>after dementia</w:t>
      </w:r>
      <w:r>
        <w:t xml:space="preserve"> in Australia</w:t>
      </w:r>
      <w:r w:rsidR="00A87610">
        <w:t xml:space="preserve"> (</w:t>
      </w:r>
      <w:r w:rsidR="00D32D90">
        <w:t xml:space="preserve">AIHW </w:t>
      </w:r>
      <w:r w:rsidR="00A87610">
        <w:t>2019)</w:t>
      </w:r>
      <w:r w:rsidR="00D32D90" w:rsidRPr="002A2D3F">
        <w:t>.</w:t>
      </w:r>
      <w:r w:rsidR="003E759C">
        <w:t xml:space="preserve"> </w:t>
      </w:r>
      <w:r>
        <w:t>The</w:t>
      </w:r>
      <w:r w:rsidR="00CA570E" w:rsidRPr="002A2D3F">
        <w:t xml:space="preserve"> total annual cost of epilepsy in </w:t>
      </w:r>
      <w:r w:rsidR="00387D98">
        <w:t xml:space="preserve">Australia in </w:t>
      </w:r>
      <w:r w:rsidR="00CA570E" w:rsidRPr="002A2D3F">
        <w:t>2019 – 2020</w:t>
      </w:r>
      <w:r w:rsidR="009A5035">
        <w:t xml:space="preserve"> </w:t>
      </w:r>
      <w:r w:rsidR="00387D98">
        <w:t>was</w:t>
      </w:r>
      <w:r w:rsidR="002272B0">
        <w:t xml:space="preserve"> </w:t>
      </w:r>
      <w:r>
        <w:t xml:space="preserve">estimated to be </w:t>
      </w:r>
      <w:r w:rsidR="00CA570E" w:rsidRPr="002A2D3F">
        <w:t>$12.</w:t>
      </w:r>
      <w:r w:rsidR="000553D7">
        <w:t>3</w:t>
      </w:r>
      <w:r w:rsidR="00CA570E" w:rsidRPr="002A2D3F">
        <w:t xml:space="preserve"> billion</w:t>
      </w:r>
      <w:r>
        <w:t xml:space="preserve">, where </w:t>
      </w:r>
      <w:r w:rsidR="00CA570E" w:rsidRPr="002A2D3F">
        <w:t>$4.2 billion</w:t>
      </w:r>
      <w:r w:rsidR="00814697">
        <w:t xml:space="preserve"> of this amount</w:t>
      </w:r>
      <w:r w:rsidR="002A2D3F" w:rsidRPr="002A2D3F">
        <w:t xml:space="preserve"> reflected the financial costs of epilepsy</w:t>
      </w:r>
      <w:r w:rsidR="00980A9A">
        <w:t>. The</w:t>
      </w:r>
      <w:r w:rsidR="000553D7">
        <w:t xml:space="preserve"> biggest financial cost </w:t>
      </w:r>
      <w:r>
        <w:t xml:space="preserve">$2.3 billion </w:t>
      </w:r>
      <w:r w:rsidR="00980A9A">
        <w:t>was</w:t>
      </w:r>
      <w:r w:rsidR="000553D7">
        <w:t xml:space="preserve"> </w:t>
      </w:r>
      <w:r w:rsidR="00CA570E" w:rsidRPr="002A2D3F">
        <w:t>productivity loss</w:t>
      </w:r>
      <w:r>
        <w:t xml:space="preserve"> (</w:t>
      </w:r>
      <w:r w:rsidR="00D14B34">
        <w:t xml:space="preserve">the impact of </w:t>
      </w:r>
      <w:r w:rsidR="00C473F2">
        <w:t>epilepsy on</w:t>
      </w:r>
      <w:r w:rsidR="00D14B34">
        <w:t xml:space="preserve"> a person’s </w:t>
      </w:r>
      <w:r w:rsidR="00C473F2">
        <w:t xml:space="preserve">lifetime </w:t>
      </w:r>
      <w:r w:rsidR="00D14B34">
        <w:t>productivity</w:t>
      </w:r>
      <w:r w:rsidR="00CA570E" w:rsidRPr="002A2D3F">
        <w:t>)</w:t>
      </w:r>
      <w:r w:rsidR="000553D7">
        <w:t xml:space="preserve">. </w:t>
      </w:r>
      <w:r w:rsidR="007E6ECD">
        <w:t>Other f</w:t>
      </w:r>
      <w:r w:rsidR="000553D7" w:rsidRPr="002A2D3F">
        <w:t xml:space="preserve">inancial costs </w:t>
      </w:r>
      <w:r w:rsidR="0014218D">
        <w:t>were</w:t>
      </w:r>
      <w:r w:rsidR="00814697">
        <w:t xml:space="preserve"> costs</w:t>
      </w:r>
      <w:r w:rsidR="000553D7" w:rsidRPr="002A2D3F">
        <w:t xml:space="preserve"> to the healthcare system ($557.1 million)</w:t>
      </w:r>
      <w:r w:rsidR="000553D7">
        <w:t xml:space="preserve">, </w:t>
      </w:r>
      <w:r w:rsidR="002A2D3F" w:rsidRPr="002A2D3F">
        <w:t>the cost of informal car</w:t>
      </w:r>
      <w:r w:rsidR="000553D7">
        <w:t>e</w:t>
      </w:r>
      <w:r w:rsidR="002A2D3F" w:rsidRPr="002A2D3F">
        <w:t xml:space="preserve"> ($438.2 million), equipment ($8.6 million), transportation costs ($9.9 million) and deadweight losses ($821.6</w:t>
      </w:r>
      <w:r w:rsidR="000553D7">
        <w:t xml:space="preserve"> million</w:t>
      </w:r>
      <w:r w:rsidR="002A2D3F" w:rsidRPr="002A2D3F">
        <w:t>)</w:t>
      </w:r>
      <w:r w:rsidR="0057623B">
        <w:t xml:space="preserve">, </w:t>
      </w:r>
      <w:r w:rsidR="0014218D">
        <w:t>that is</w:t>
      </w:r>
      <w:r w:rsidR="00E6458D">
        <w:t xml:space="preserve"> losses from government payments and taxation forgone</w:t>
      </w:r>
      <w:r w:rsidR="00494FDA">
        <w:t xml:space="preserve"> (</w:t>
      </w:r>
      <w:r w:rsidR="00494FDA" w:rsidRPr="002A2D3F">
        <w:t>Deloitte Access Economics Report 2020)</w:t>
      </w:r>
      <w:r w:rsidR="00494FDA">
        <w:t xml:space="preserve">. </w:t>
      </w:r>
      <w:r w:rsidR="000553D7">
        <w:t>The balance</w:t>
      </w:r>
      <w:r w:rsidR="0057623B">
        <w:t xml:space="preserve"> </w:t>
      </w:r>
      <w:r w:rsidR="000553D7">
        <w:t>of the annual cost</w:t>
      </w:r>
      <w:r w:rsidR="00920E3C">
        <w:t xml:space="preserve"> of epilepsy </w:t>
      </w:r>
      <w:r w:rsidR="000553D7">
        <w:t>reflects the burden of the disease</w:t>
      </w:r>
      <w:r w:rsidR="00814697">
        <w:t xml:space="preserve">, </w:t>
      </w:r>
      <w:r w:rsidR="00853746">
        <w:t>(</w:t>
      </w:r>
      <w:r w:rsidR="008B6548">
        <w:t>loss</w:t>
      </w:r>
      <w:r w:rsidR="000553D7">
        <w:t xml:space="preserve"> of wellbeing</w:t>
      </w:r>
      <w:r w:rsidR="00853746">
        <w:t>)</w:t>
      </w:r>
      <w:r>
        <w:t xml:space="preserve"> and</w:t>
      </w:r>
      <w:r w:rsidR="00814697">
        <w:t xml:space="preserve"> </w:t>
      </w:r>
      <w:r w:rsidR="00221173">
        <w:t xml:space="preserve">was </w:t>
      </w:r>
      <w:r w:rsidR="000553D7">
        <w:t xml:space="preserve">estimated to </w:t>
      </w:r>
      <w:r w:rsidR="00221173">
        <w:t>be</w:t>
      </w:r>
      <w:r w:rsidR="000553D7">
        <w:t xml:space="preserve"> $8.2 billion</w:t>
      </w:r>
      <w:r w:rsidR="00B52B59">
        <w:t xml:space="preserve"> (</w:t>
      </w:r>
      <w:r w:rsidR="000553D7">
        <w:t xml:space="preserve">based on the value of a statistical life year and the disability adjusted life years lost due to </w:t>
      </w:r>
      <w:r w:rsidR="008B6548">
        <w:t>epilepsy</w:t>
      </w:r>
      <w:r w:rsidR="00B52B59">
        <w:t>)</w:t>
      </w:r>
      <w:r>
        <w:t xml:space="preserve"> in 2019 -2020</w:t>
      </w:r>
      <w:r w:rsidR="000553D7">
        <w:t>.</w:t>
      </w:r>
      <w:r w:rsidR="00D10B6E">
        <w:t xml:space="preserve"> T</w:t>
      </w:r>
      <w:r w:rsidR="004D0035">
        <w:t xml:space="preserve">he annual burden of disease </w:t>
      </w:r>
      <w:r w:rsidR="00DF6D49">
        <w:t>conferred by</w:t>
      </w:r>
      <w:r w:rsidR="00F365DD">
        <w:t xml:space="preserve"> epilepsy </w:t>
      </w:r>
      <w:r>
        <w:t>in Australia was</w:t>
      </w:r>
      <w:r w:rsidR="00D10B6E">
        <w:t xml:space="preserve"> greater than p</w:t>
      </w:r>
      <w:r>
        <w:t xml:space="preserve">rostate cancer and </w:t>
      </w:r>
      <w:r w:rsidR="00424CCF">
        <w:t xml:space="preserve">similar </w:t>
      </w:r>
      <w:r w:rsidR="00413FD0">
        <w:t>to</w:t>
      </w:r>
      <w:r w:rsidR="00424CCF">
        <w:t xml:space="preserve"> </w:t>
      </w:r>
      <w:r w:rsidR="0081387F">
        <w:t>Parkinson’s disease</w:t>
      </w:r>
      <w:r>
        <w:t xml:space="preserve"> and lung cancer </w:t>
      </w:r>
      <w:r w:rsidR="001945CB">
        <w:t>(</w:t>
      </w:r>
      <w:r w:rsidR="001945CB" w:rsidRPr="002A2D3F">
        <w:t>Deloitte Access Economics Report 2020)</w:t>
      </w:r>
      <w:r w:rsidR="001945CB">
        <w:t xml:space="preserve">. </w:t>
      </w:r>
      <w:r w:rsidR="00F96B35">
        <w:t>The total lifetime cost of epilepsy was estimated to be $22.2 billion for the 14,603 new cases of epilepsy diagnosed in Australia in the period 2019-2020</w:t>
      </w:r>
      <w:r w:rsidR="001638F2">
        <w:t>.</w:t>
      </w:r>
      <w:r w:rsidR="00D221D7">
        <w:t xml:space="preserve"> </w:t>
      </w:r>
      <w:r w:rsidR="00D94F23">
        <w:t>(</w:t>
      </w:r>
      <w:r w:rsidR="00D94F23" w:rsidRPr="002A2D3F">
        <w:t>Deloitte Access Economics Report 2020)</w:t>
      </w:r>
      <w:r w:rsidR="00D94F23">
        <w:t>.</w:t>
      </w:r>
    </w:p>
    <w:p w14:paraId="1EA53110" w14:textId="6D563537" w:rsidR="009B5B61" w:rsidRDefault="00FF1AE4" w:rsidP="00317F2F">
      <w:pPr>
        <w:ind w:left="426"/>
      </w:pPr>
      <w:r>
        <w:t>Modelling suggests that m</w:t>
      </w:r>
      <w:r w:rsidRPr="009F6861">
        <w:t xml:space="preserve">odest improvements in seizure control </w:t>
      </w:r>
      <w:r>
        <w:t>can lessen the</w:t>
      </w:r>
      <w:r w:rsidRPr="009F6861">
        <w:t xml:space="preserve"> economic burden of epilepsy. </w:t>
      </w:r>
      <w:r>
        <w:t xml:space="preserve">Using life table modelling, a 2017 study, followed </w:t>
      </w:r>
      <w:r w:rsidRPr="009F6861">
        <w:t>Australians of working age with epilepsy</w:t>
      </w:r>
      <w:r>
        <w:t xml:space="preserve"> </w:t>
      </w:r>
      <w:r w:rsidRPr="009F6861">
        <w:t>until 70 years of age</w:t>
      </w:r>
      <w:r>
        <w:t xml:space="preserve"> and </w:t>
      </w:r>
      <w:r w:rsidRPr="009F6861">
        <w:t xml:space="preserve">predicted over 14,000 excess deaths, </w:t>
      </w:r>
      <w:r>
        <w:t>more than</w:t>
      </w:r>
      <w:r w:rsidRPr="009F6861">
        <w:t xml:space="preserve"> 78,000 years of life lost, and over 146,000 productivity-adjusted life years lost due to epilepsy, amounting to a gross domestic product (GDP) </w:t>
      </w:r>
      <w:r>
        <w:t xml:space="preserve">loss </w:t>
      </w:r>
      <w:r w:rsidRPr="009F6861">
        <w:t xml:space="preserve">of US $22.1 billion. </w:t>
      </w:r>
      <w:r>
        <w:t>The model showed that i</w:t>
      </w:r>
      <w:r w:rsidRPr="009F6861">
        <w:t>mproving seizure freedom by 5%, for a 75% seizure freedom rate</w:t>
      </w:r>
      <w:r>
        <w:t>,</w:t>
      </w:r>
      <w:r w:rsidRPr="009F6861">
        <w:t xml:space="preserve"> reduce</w:t>
      </w:r>
      <w:r>
        <w:t>d</w:t>
      </w:r>
      <w:r w:rsidRPr="009F6861">
        <w:t xml:space="preserve"> health care costs</w:t>
      </w:r>
      <w:r>
        <w:t xml:space="preserve"> and</w:t>
      </w:r>
      <w:r w:rsidRPr="009F6861">
        <w:t xml:space="preserve"> save years of life, translat</w:t>
      </w:r>
      <w:r>
        <w:t>ing</w:t>
      </w:r>
      <w:r w:rsidRPr="009F6861">
        <w:t xml:space="preserve"> to US $2.6 billion savings. US $5.3 billion GDP savings</w:t>
      </w:r>
      <w:r>
        <w:t xml:space="preserve"> were reported</w:t>
      </w:r>
      <w:r w:rsidRPr="009F6861">
        <w:t xml:space="preserve"> for a 10% improvement </w:t>
      </w:r>
      <w:r>
        <w:t xml:space="preserve">in seizure freedom </w:t>
      </w:r>
      <w:r w:rsidRPr="009F6861">
        <w:t>and a seizure freedom rate of 80%</w:t>
      </w:r>
      <w:r>
        <w:t xml:space="preserve"> (Foster et al 2020)</w:t>
      </w:r>
      <w:r w:rsidRPr="009F6861">
        <w:t>.</w:t>
      </w:r>
    </w:p>
    <w:p w14:paraId="4C1C7958" w14:textId="77777777" w:rsidR="00C64099" w:rsidRPr="00317F2F" w:rsidRDefault="00C64099" w:rsidP="00C64099">
      <w:pPr>
        <w:ind w:left="426"/>
        <w:rPr>
          <w:b/>
          <w:bCs/>
          <w:i/>
          <w:iCs/>
        </w:rPr>
      </w:pPr>
      <w:r w:rsidRPr="00317F2F">
        <w:rPr>
          <w:b/>
          <w:bCs/>
          <w:i/>
          <w:iCs/>
        </w:rPr>
        <w:t xml:space="preserve">References Cited </w:t>
      </w:r>
    </w:p>
    <w:p w14:paraId="10FD3D10" w14:textId="77777777" w:rsidR="00E13FF5" w:rsidRDefault="00E13FF5" w:rsidP="00E13FF5">
      <w:pPr>
        <w:ind w:left="426"/>
        <w:rPr>
          <w:rFonts w:cs="Arial"/>
          <w:szCs w:val="20"/>
        </w:rPr>
      </w:pPr>
      <w:r>
        <w:rPr>
          <w:rFonts w:cs="Arial"/>
          <w:szCs w:val="20"/>
        </w:rPr>
        <w:t xml:space="preserve">AIHW 2019 - </w:t>
      </w:r>
      <w:r w:rsidRPr="00DF01EE">
        <w:rPr>
          <w:rFonts w:cs="Arial"/>
          <w:szCs w:val="20"/>
        </w:rPr>
        <w:t>Australian Institute of Health and Welfare 2019. Australian Burden of Disease Study: impact and causes of</w:t>
      </w:r>
      <w:r>
        <w:rPr>
          <w:rFonts w:cs="Arial"/>
          <w:szCs w:val="20"/>
        </w:rPr>
        <w:t xml:space="preserve"> </w:t>
      </w:r>
      <w:r w:rsidRPr="00DF01EE">
        <w:rPr>
          <w:rFonts w:cs="Arial"/>
          <w:szCs w:val="20"/>
        </w:rPr>
        <w:t xml:space="preserve">illness and death in Australia 2015. Australian Burden of Disease series no. 19. Cat. no. BOD 22. Canberra: AIHW. </w:t>
      </w:r>
      <w:r>
        <w:rPr>
          <w:rFonts w:cs="Arial"/>
          <w:szCs w:val="20"/>
        </w:rPr>
        <w:t xml:space="preserve"> </w:t>
      </w:r>
      <w:r w:rsidRPr="00D32D90">
        <w:rPr>
          <w:rFonts w:cstheme="minorHAnsi"/>
          <w:szCs w:val="20"/>
        </w:rPr>
        <w:t xml:space="preserve">(2015 Summary report) </w:t>
      </w:r>
    </w:p>
    <w:p w14:paraId="5E1C5060" w14:textId="7790E01C" w:rsidR="00E13FF5" w:rsidRDefault="00E13FF5" w:rsidP="00E13FF5">
      <w:pPr>
        <w:ind w:left="426"/>
        <w:rPr>
          <w:rFonts w:cs="Arial"/>
          <w:szCs w:val="20"/>
        </w:rPr>
      </w:pPr>
      <w:proofErr w:type="spellStart"/>
      <w:r w:rsidRPr="00CC2E86">
        <w:rPr>
          <w:rFonts w:cs="Arial"/>
          <w:szCs w:val="20"/>
        </w:rPr>
        <w:t>Beghi</w:t>
      </w:r>
      <w:proofErr w:type="spellEnd"/>
      <w:r w:rsidRPr="00CC2E86">
        <w:rPr>
          <w:rFonts w:cs="Arial"/>
          <w:szCs w:val="20"/>
        </w:rPr>
        <w:t xml:space="preserve"> E, </w:t>
      </w:r>
      <w:proofErr w:type="spellStart"/>
      <w:r w:rsidRPr="006F5A37">
        <w:rPr>
          <w:rFonts w:cs="Arial"/>
          <w:szCs w:val="20"/>
        </w:rPr>
        <w:t>Giassani</w:t>
      </w:r>
      <w:proofErr w:type="spellEnd"/>
      <w:r w:rsidRPr="00CC2E86">
        <w:rPr>
          <w:rFonts w:cs="Arial"/>
          <w:szCs w:val="20"/>
        </w:rPr>
        <w:t xml:space="preserve"> G, Sander JW. </w:t>
      </w:r>
      <w:r w:rsidRPr="001B73DE">
        <w:rPr>
          <w:rFonts w:cs="Arial"/>
          <w:szCs w:val="20"/>
        </w:rPr>
        <w:t>The natural history and prognosis of epilepsy. Epileptic Disord</w:t>
      </w:r>
      <w:r>
        <w:rPr>
          <w:rFonts w:cs="Arial"/>
          <w:szCs w:val="20"/>
        </w:rPr>
        <w:t>.</w:t>
      </w:r>
      <w:r w:rsidRPr="001B73DE">
        <w:rPr>
          <w:rFonts w:cs="Arial"/>
          <w:szCs w:val="20"/>
        </w:rPr>
        <w:t xml:space="preserve"> 2015</w:t>
      </w:r>
      <w:r>
        <w:rPr>
          <w:rFonts w:cs="Arial"/>
          <w:szCs w:val="20"/>
        </w:rPr>
        <w:t>;</w:t>
      </w:r>
      <w:r w:rsidRPr="001B73DE">
        <w:rPr>
          <w:rFonts w:cs="Arial"/>
          <w:szCs w:val="20"/>
        </w:rPr>
        <w:t xml:space="preserve"> Sep</w:t>
      </w:r>
      <w:r>
        <w:rPr>
          <w:rFonts w:cs="Arial"/>
          <w:szCs w:val="20"/>
        </w:rPr>
        <w:t>:</w:t>
      </w:r>
      <w:r w:rsidRPr="001B73DE">
        <w:rPr>
          <w:rFonts w:cs="Arial"/>
          <w:szCs w:val="20"/>
        </w:rPr>
        <w:t xml:space="preserve">17(3):243-53. </w:t>
      </w:r>
    </w:p>
    <w:p w14:paraId="7F444A3D" w14:textId="7F1C309C" w:rsidR="00E13FF5" w:rsidRDefault="00E13FF5" w:rsidP="00E13FF5">
      <w:pPr>
        <w:ind w:left="426"/>
      </w:pPr>
      <w:r>
        <w:t xml:space="preserve">Chahal CAA, </w:t>
      </w:r>
      <w:proofErr w:type="spellStart"/>
      <w:r w:rsidRPr="006F5A37">
        <w:t>Salloum</w:t>
      </w:r>
      <w:proofErr w:type="spellEnd"/>
      <w:r>
        <w:t xml:space="preserve"> MN, </w:t>
      </w:r>
      <w:r w:rsidRPr="00544A19">
        <w:rPr>
          <w:lang w:val="gsw-FR"/>
        </w:rPr>
        <w:t>Alahdab</w:t>
      </w:r>
      <w:r>
        <w:t xml:space="preserve"> F, Gottwald JA. Systematic Review of the Genetics of Sudden Unexpected Death in Epilepsy: Potential Overlap with Sudden Cardiac Death and Arrhythmia‐Related Genes. J Am Heart Assoc. 2020</w:t>
      </w:r>
      <w:r w:rsidR="00A52F38">
        <w:t>;</w:t>
      </w:r>
      <w:r>
        <w:t xml:space="preserve"> Jan 7; 9(1). </w:t>
      </w:r>
    </w:p>
    <w:p w14:paraId="79E0FE6B" w14:textId="063F75BB" w:rsidR="00E13FF5" w:rsidRDefault="00E13FF5" w:rsidP="00E13FF5">
      <w:pPr>
        <w:ind w:left="426"/>
        <w:rPr>
          <w:rStyle w:val="mixed-citation"/>
        </w:rPr>
      </w:pPr>
      <w:bookmarkStart w:id="8" w:name="_Hlk85027326"/>
      <w:r>
        <w:rPr>
          <w:rStyle w:val="mixed-citation"/>
        </w:rPr>
        <w:t xml:space="preserve">Chen Z, Brodie MJ, Liew D, Kwan P. </w:t>
      </w:r>
      <w:r>
        <w:rPr>
          <w:rStyle w:val="ref-title"/>
        </w:rPr>
        <w:t>Treatment outcomes in patients with newly diagnosed epilepsy treated with established and new antiepileptic drugs: A 30-year longitudinal cohort study</w:t>
      </w:r>
      <w:r>
        <w:rPr>
          <w:rStyle w:val="mixed-citation"/>
        </w:rPr>
        <w:t xml:space="preserve">. </w:t>
      </w:r>
      <w:r w:rsidRPr="00D31AED">
        <w:rPr>
          <w:rStyle w:val="ref-journal"/>
        </w:rPr>
        <w:t>JAMA Neurol</w:t>
      </w:r>
      <w:r w:rsidR="00CF0E23">
        <w:rPr>
          <w:rStyle w:val="mixed-citation"/>
        </w:rPr>
        <w:t>.</w:t>
      </w:r>
      <w:r w:rsidRPr="00D31AED">
        <w:rPr>
          <w:rStyle w:val="mixed-citation"/>
        </w:rPr>
        <w:t xml:space="preserve">2018; </w:t>
      </w:r>
      <w:r w:rsidRPr="00D31AED">
        <w:rPr>
          <w:rStyle w:val="ref-vol"/>
        </w:rPr>
        <w:t>75</w:t>
      </w:r>
      <w:r w:rsidRPr="00D31AED">
        <w:rPr>
          <w:rStyle w:val="mixed-citation"/>
        </w:rPr>
        <w:t xml:space="preserve">:279-286. </w:t>
      </w:r>
    </w:p>
    <w:bookmarkEnd w:id="8"/>
    <w:p w14:paraId="478D3D3E" w14:textId="77777777" w:rsidR="00E13FF5" w:rsidRDefault="00E13FF5" w:rsidP="00E13FF5">
      <w:pPr>
        <w:ind w:left="426"/>
      </w:pPr>
      <w:r>
        <w:t xml:space="preserve">Deloitte Access Economics 2020. The economic burden of epilepsy in Australia, 2019 – 2020. Epilepsy Australia. </w:t>
      </w:r>
    </w:p>
    <w:p w14:paraId="10733C6F" w14:textId="04B263DD" w:rsidR="00E13FF5" w:rsidRDefault="00E13FF5" w:rsidP="00E13FF5">
      <w:pPr>
        <w:ind w:left="426"/>
      </w:pPr>
      <w:bookmarkStart w:id="9" w:name="_Hlk85027403"/>
      <w:r>
        <w:t xml:space="preserve">Engel J. What can we do for people with drug-resistant epilepsy? The 2016 </w:t>
      </w:r>
      <w:proofErr w:type="spellStart"/>
      <w:r>
        <w:t>Wartenberg</w:t>
      </w:r>
      <w:proofErr w:type="spellEnd"/>
      <w:r>
        <w:t xml:space="preserve"> Lecture. Neurology</w:t>
      </w:r>
      <w:r w:rsidR="00CF0E23">
        <w:t>.</w:t>
      </w:r>
      <w:r>
        <w:t>2016; 87: 2483 – 2489.</w:t>
      </w:r>
    </w:p>
    <w:bookmarkEnd w:id="9"/>
    <w:p w14:paraId="2FE217B0" w14:textId="64DF0136" w:rsidR="00E13FF5" w:rsidRPr="00D31AED" w:rsidRDefault="00E13FF5" w:rsidP="00E13FF5">
      <w:pPr>
        <w:ind w:left="426"/>
        <w:rPr>
          <w:rStyle w:val="nowrap"/>
        </w:rPr>
      </w:pPr>
      <w:r>
        <w:t xml:space="preserve">Epilepsy Australia. Managing Epilepsy. Health and wellbeing. SUDEP. [Accessed 15 September 2021].   </w:t>
      </w:r>
    </w:p>
    <w:p w14:paraId="0FB3789B" w14:textId="77777777" w:rsidR="00E13FF5" w:rsidRDefault="00E13FF5" w:rsidP="00E13FF5">
      <w:pPr>
        <w:ind w:left="426"/>
        <w:rPr>
          <w:rFonts w:eastAsia="Calibri" w:cs="Arial"/>
          <w:szCs w:val="20"/>
        </w:rPr>
      </w:pPr>
      <w:r>
        <w:rPr>
          <w:rFonts w:eastAsia="Calibri" w:cs="Arial"/>
          <w:szCs w:val="20"/>
        </w:rPr>
        <w:t xml:space="preserve">Epilepsy Action Australia 2021. About Epilepsy. Facts &amp; Statistics. Available at: </w:t>
      </w:r>
      <w:hyperlink r:id="rId44" w:history="1">
        <w:r w:rsidRPr="00DF427A">
          <w:rPr>
            <w:rStyle w:val="Hyperlink"/>
            <w:rFonts w:cs="Arial"/>
            <w:szCs w:val="20"/>
          </w:rPr>
          <w:t>https://www.epilepsy.org.au/about-epilepsy/facts-and-statistics/</w:t>
        </w:r>
      </w:hyperlink>
      <w:r>
        <w:rPr>
          <w:rFonts w:cs="Arial"/>
          <w:szCs w:val="20"/>
        </w:rPr>
        <w:t xml:space="preserve"> </w:t>
      </w:r>
      <w:r>
        <w:rPr>
          <w:rFonts w:eastAsia="Calibri" w:cs="Arial"/>
          <w:szCs w:val="20"/>
        </w:rPr>
        <w:t>[Accessed 10 August 2021].</w:t>
      </w:r>
    </w:p>
    <w:p w14:paraId="73269897" w14:textId="77777777" w:rsidR="00E13FF5" w:rsidRPr="006D0753" w:rsidRDefault="00E13FF5" w:rsidP="00E13FF5">
      <w:pPr>
        <w:ind w:left="426"/>
        <w:rPr>
          <w:szCs w:val="20"/>
        </w:rPr>
      </w:pPr>
      <w:r w:rsidRPr="00B05B6B">
        <w:rPr>
          <w:rFonts w:cs="Arial"/>
          <w:szCs w:val="20"/>
        </w:rPr>
        <w:lastRenderedPageBreak/>
        <w:t xml:space="preserve">Epilepsy Action Australia. Epilepsy </w:t>
      </w:r>
      <w:r>
        <w:rPr>
          <w:rFonts w:cs="Arial"/>
          <w:szCs w:val="20"/>
        </w:rPr>
        <w:t>S</w:t>
      </w:r>
      <w:r w:rsidRPr="00B05B6B">
        <w:rPr>
          <w:rFonts w:cs="Arial"/>
          <w:szCs w:val="20"/>
        </w:rPr>
        <w:t xml:space="preserve">yndromes. </w:t>
      </w:r>
      <w:hyperlink r:id="rId45" w:history="1">
        <w:r w:rsidRPr="00B05B6B">
          <w:rPr>
            <w:rStyle w:val="Hyperlink"/>
            <w:szCs w:val="20"/>
          </w:rPr>
          <w:t>https://www.epilepsy.org.au/about-epilepsy/understanding-epilepsy/epilepsy-syndromes/</w:t>
        </w:r>
      </w:hyperlink>
      <w:r>
        <w:rPr>
          <w:szCs w:val="20"/>
        </w:rPr>
        <w:t xml:space="preserve"> </w:t>
      </w:r>
      <w:r>
        <w:rPr>
          <w:rFonts w:cs="Arial"/>
          <w:szCs w:val="20"/>
        </w:rPr>
        <w:t>[Accessed 8 August 2021]</w:t>
      </w:r>
    </w:p>
    <w:p w14:paraId="2AB8C13B" w14:textId="0FCB48BE" w:rsidR="00E13FF5" w:rsidRPr="00D31AED" w:rsidRDefault="00E13FF5" w:rsidP="00E13FF5">
      <w:pPr>
        <w:ind w:left="426"/>
      </w:pPr>
      <w:r w:rsidRPr="00D31AED">
        <w:rPr>
          <w:lang w:val="sv-SE"/>
        </w:rPr>
        <w:t xml:space="preserve">Fiest KM, Dykeman J, Patten SB. </w:t>
      </w:r>
      <w:r w:rsidRPr="00C34512">
        <w:t xml:space="preserve">Wiebe S et al. </w:t>
      </w:r>
      <w:r>
        <w:t>Depression in epilepsy: a systematic review and meta-analysis. Neurology</w:t>
      </w:r>
      <w:r w:rsidR="00CF0E23">
        <w:t>.</w:t>
      </w:r>
      <w:r>
        <w:t xml:space="preserve"> 2013; 80 (6); 590-599. </w:t>
      </w:r>
    </w:p>
    <w:p w14:paraId="0CD9CF53" w14:textId="5A3E6D7A" w:rsidR="00E13FF5" w:rsidRPr="00E13FF5" w:rsidRDefault="00E13FF5" w:rsidP="00E13FF5">
      <w:pPr>
        <w:ind w:left="426"/>
        <w:rPr>
          <w:rFonts w:cs="Arial"/>
          <w:szCs w:val="20"/>
          <w:lang w:val="it-IT"/>
        </w:rPr>
      </w:pPr>
      <w:r w:rsidRPr="0052413B">
        <w:rPr>
          <w:rFonts w:cs="Arial"/>
          <w:szCs w:val="20"/>
        </w:rPr>
        <w:t xml:space="preserve">Fisher RS et al. ILAE official report: a practical clinical definition of epilepsy. </w:t>
      </w:r>
      <w:r w:rsidRPr="00E13FF5">
        <w:rPr>
          <w:rFonts w:cs="Arial"/>
          <w:szCs w:val="20"/>
          <w:lang w:val="it-IT"/>
        </w:rPr>
        <w:t>Epilepsia. 2014;</w:t>
      </w:r>
      <w:r w:rsidR="00A52F38">
        <w:rPr>
          <w:rFonts w:cs="Arial"/>
          <w:szCs w:val="20"/>
          <w:lang w:val="it-IT"/>
        </w:rPr>
        <w:t xml:space="preserve"> </w:t>
      </w:r>
      <w:r w:rsidRPr="00E13FF5">
        <w:rPr>
          <w:rFonts w:cs="Arial"/>
          <w:szCs w:val="20"/>
          <w:lang w:val="it-IT"/>
        </w:rPr>
        <w:t>55(4):475</w:t>
      </w:r>
    </w:p>
    <w:p w14:paraId="1AF3634B" w14:textId="77777777" w:rsidR="00E13FF5" w:rsidRDefault="00E13FF5" w:rsidP="00E13FF5">
      <w:pPr>
        <w:ind w:left="426"/>
        <w:rPr>
          <w:rStyle w:val="mixed-citation"/>
        </w:rPr>
      </w:pPr>
      <w:r w:rsidRPr="00D31AED">
        <w:rPr>
          <w:lang w:val="it-IT"/>
        </w:rPr>
        <w:t xml:space="preserve">Foster E, Chen Z, Zomer E, Rychkova M et al. </w:t>
      </w:r>
      <w:r>
        <w:t>The costs of epilepsy in Australia. A productivity-based analysis. Neurology. December 15, 2020; 95 (24) Article. First published September 15, 2020.</w:t>
      </w:r>
    </w:p>
    <w:p w14:paraId="0634FA4F" w14:textId="77777777" w:rsidR="00E13FF5" w:rsidRDefault="00E13FF5" w:rsidP="00E13FF5">
      <w:pPr>
        <w:ind w:left="426"/>
        <w:rPr>
          <w:rStyle w:val="mixed-citation"/>
        </w:rPr>
      </w:pPr>
      <w:r w:rsidRPr="006F5A37">
        <w:rPr>
          <w:rStyle w:val="mixed-citation"/>
        </w:rPr>
        <w:t>Nashef</w:t>
      </w:r>
      <w:r>
        <w:rPr>
          <w:rStyle w:val="mixed-citation"/>
        </w:rPr>
        <w:t xml:space="preserve"> L, So EL, </w:t>
      </w:r>
      <w:proofErr w:type="spellStart"/>
      <w:r w:rsidRPr="006F5A37">
        <w:rPr>
          <w:rStyle w:val="mixed-citation"/>
        </w:rPr>
        <w:t>Ryvlin</w:t>
      </w:r>
      <w:proofErr w:type="spellEnd"/>
      <w:r>
        <w:rPr>
          <w:rStyle w:val="mixed-citation"/>
        </w:rPr>
        <w:t xml:space="preserve"> P, Tomson T. </w:t>
      </w:r>
      <w:r>
        <w:rPr>
          <w:rStyle w:val="ref-title"/>
        </w:rPr>
        <w:t>Unifying the definitions of sudden unexpected death in epilepsy</w:t>
      </w:r>
      <w:r>
        <w:rPr>
          <w:rStyle w:val="mixed-citation"/>
        </w:rPr>
        <w:t xml:space="preserve">. </w:t>
      </w:r>
      <w:r>
        <w:rPr>
          <w:rStyle w:val="ref-journal"/>
        </w:rPr>
        <w:t>Epilepsia</w:t>
      </w:r>
      <w:r>
        <w:rPr>
          <w:rStyle w:val="mixed-citation"/>
        </w:rPr>
        <w:t xml:space="preserve">. 2012; </w:t>
      </w:r>
      <w:r>
        <w:rPr>
          <w:rStyle w:val="ref-vol"/>
        </w:rPr>
        <w:t>53</w:t>
      </w:r>
      <w:r>
        <w:rPr>
          <w:rStyle w:val="mixed-citation"/>
        </w:rPr>
        <w:t>:227–233.</w:t>
      </w:r>
    </w:p>
    <w:p w14:paraId="25A6FC80" w14:textId="77B600C3" w:rsidR="00E13FF5" w:rsidRPr="00E13FF5" w:rsidRDefault="00E13FF5" w:rsidP="00A52F38">
      <w:pPr>
        <w:ind w:left="426"/>
        <w:rPr>
          <w:rFonts w:cs="Arial"/>
          <w:szCs w:val="20"/>
        </w:rPr>
      </w:pPr>
      <w:r w:rsidRPr="00B05B6B">
        <w:rPr>
          <w:rFonts w:cs="Arial"/>
          <w:szCs w:val="20"/>
        </w:rPr>
        <w:t xml:space="preserve">Schachter SC.  Evaluation and management of the first seizure in adults. Garcia P (editor). </w:t>
      </w:r>
      <w:r w:rsidR="00A52F38">
        <w:rPr>
          <w:rFonts w:cs="Arial"/>
          <w:szCs w:val="20"/>
        </w:rPr>
        <w:t xml:space="preserve">In: </w:t>
      </w:r>
      <w:r w:rsidRPr="00B05B6B">
        <w:rPr>
          <w:rFonts w:cs="Arial"/>
          <w:szCs w:val="20"/>
        </w:rPr>
        <w:t>Up to Date</w:t>
      </w:r>
      <w:r w:rsidR="00A52F38">
        <w:rPr>
          <w:rFonts w:cs="Arial"/>
          <w:szCs w:val="20"/>
        </w:rPr>
        <w:t>, Waltham MA.</w:t>
      </w:r>
      <w:r w:rsidRPr="00B05B6B">
        <w:rPr>
          <w:rFonts w:cs="Arial"/>
          <w:szCs w:val="20"/>
        </w:rPr>
        <w:t xml:space="preserve"> </w:t>
      </w:r>
      <w:r>
        <w:rPr>
          <w:rFonts w:cs="Arial"/>
          <w:szCs w:val="20"/>
        </w:rPr>
        <w:t xml:space="preserve"> [Accessed August 2021].</w:t>
      </w:r>
      <w:r w:rsidR="00A52F38">
        <w:rPr>
          <w:rFonts w:cs="Arial"/>
          <w:szCs w:val="20"/>
        </w:rPr>
        <w:t xml:space="preserve"> </w:t>
      </w:r>
      <w:r w:rsidRPr="00CC2E86">
        <w:rPr>
          <w:rFonts w:cs="Arial"/>
          <w:szCs w:val="20"/>
        </w:rPr>
        <w:t>Scheffer</w:t>
      </w:r>
      <w:r w:rsidRPr="00B05B6B">
        <w:rPr>
          <w:rFonts w:cs="Arial"/>
          <w:szCs w:val="20"/>
        </w:rPr>
        <w:t xml:space="preserve"> IE et al. Position paper of the ILAE Commission for Classification and Terminology. </w:t>
      </w:r>
      <w:r w:rsidRPr="00E13FF5">
        <w:rPr>
          <w:rFonts w:cs="Arial"/>
          <w:szCs w:val="20"/>
        </w:rPr>
        <w:t>Epilepsia</w:t>
      </w:r>
      <w:r w:rsidR="00CF0E23">
        <w:rPr>
          <w:rFonts w:cs="Arial"/>
          <w:szCs w:val="20"/>
        </w:rPr>
        <w:t>.</w:t>
      </w:r>
      <w:r w:rsidRPr="00E13FF5">
        <w:rPr>
          <w:rFonts w:cs="Arial"/>
          <w:szCs w:val="20"/>
        </w:rPr>
        <w:t xml:space="preserve"> 2017; 58:512.</w:t>
      </w:r>
    </w:p>
    <w:p w14:paraId="12318F3F" w14:textId="77777777" w:rsidR="00E13FF5" w:rsidRPr="00E13FF5" w:rsidRDefault="00E13FF5" w:rsidP="00E13FF5">
      <w:pPr>
        <w:ind w:left="426"/>
        <w:rPr>
          <w:rFonts w:cstheme="minorHAnsi"/>
          <w:szCs w:val="20"/>
          <w:lang w:val="it-IT"/>
        </w:rPr>
      </w:pPr>
      <w:r w:rsidRPr="00CC2E86">
        <w:rPr>
          <w:rFonts w:cstheme="minorHAnsi"/>
          <w:szCs w:val="20"/>
        </w:rPr>
        <w:t>Sillanpää</w:t>
      </w:r>
      <w:r w:rsidRPr="00E927A2">
        <w:rPr>
          <w:rFonts w:cstheme="minorHAnsi"/>
          <w:szCs w:val="20"/>
        </w:rPr>
        <w:t xml:space="preserve"> </w:t>
      </w:r>
      <w:r>
        <w:rPr>
          <w:rFonts w:cstheme="minorHAnsi"/>
          <w:szCs w:val="20"/>
        </w:rPr>
        <w:t xml:space="preserve">M. </w:t>
      </w:r>
      <w:r w:rsidRPr="00E927A2">
        <w:rPr>
          <w:rFonts w:cstheme="minorHAnsi"/>
          <w:szCs w:val="20"/>
        </w:rPr>
        <w:t>Schmidt</w:t>
      </w:r>
      <w:r>
        <w:rPr>
          <w:rFonts w:cstheme="minorHAnsi"/>
          <w:szCs w:val="20"/>
        </w:rPr>
        <w:t xml:space="preserve"> D. Natural history of treated childhood onset epilepsy: prospective, long-term population-based study. </w:t>
      </w:r>
      <w:r w:rsidRPr="00E13FF5">
        <w:rPr>
          <w:rFonts w:cstheme="minorHAnsi"/>
          <w:szCs w:val="20"/>
          <w:lang w:val="it-IT"/>
        </w:rPr>
        <w:t>Brain. 2006; 129: 617-624.</w:t>
      </w:r>
    </w:p>
    <w:p w14:paraId="12512813" w14:textId="1C481E4C" w:rsidR="00E13FF5" w:rsidRDefault="00E13FF5" w:rsidP="00E13FF5">
      <w:pPr>
        <w:ind w:left="426"/>
      </w:pPr>
      <w:r w:rsidRPr="004E5150">
        <w:rPr>
          <w:lang w:val="it-IT"/>
        </w:rPr>
        <w:t xml:space="preserve">Sultana B, Pnazini MA, Carpentier AV, Comtios J et al. </w:t>
      </w:r>
      <w:r>
        <w:t>Incidence and Prevalence of Drug-Resistant Epilepsy: A Systematic Revie and Meta-analysis. Neurology 2021; 96:805-807.</w:t>
      </w:r>
      <w:r w:rsidRPr="007B5CF4">
        <w:t>French JA. Refractory epilepsy: clinical overview. Epilepsia</w:t>
      </w:r>
      <w:r w:rsidR="00CF0E23">
        <w:t>.</w:t>
      </w:r>
      <w:r w:rsidRPr="007B5CF4">
        <w:t xml:space="preserve"> 2007</w:t>
      </w:r>
      <w:r w:rsidR="00A52F38">
        <w:t xml:space="preserve">; </w:t>
      </w:r>
      <w:r w:rsidRPr="007B5CF4">
        <w:t>48(Suppl 1):3–7.</w:t>
      </w:r>
    </w:p>
    <w:p w14:paraId="4E7B1F9E" w14:textId="3268C140" w:rsidR="00E13FF5" w:rsidRDefault="00E13FF5" w:rsidP="00E13FF5">
      <w:pPr>
        <w:ind w:left="426"/>
      </w:pPr>
      <w:r>
        <w:t xml:space="preserve">Sveinsson O, Andersson T, Carlsson S, Tomson T. The incidence of SUDEP. A nationwide population-based cohort study. Neurology. </w:t>
      </w:r>
      <w:r w:rsidRPr="00835D64">
        <w:t>2017</w:t>
      </w:r>
      <w:r>
        <w:t>;</w:t>
      </w:r>
      <w:r w:rsidRPr="00835D64">
        <w:t xml:space="preserve"> Jul 11;89(2):170-177.</w:t>
      </w:r>
    </w:p>
    <w:p w14:paraId="0D780192" w14:textId="77777777" w:rsidR="00635B49" w:rsidRPr="00B5484F" w:rsidRDefault="00635B49" w:rsidP="006F52D9">
      <w:pPr>
        <w:rPr>
          <w:rFonts w:cs="Arial"/>
          <w:szCs w:val="20"/>
        </w:rPr>
      </w:pPr>
    </w:p>
    <w:p w14:paraId="2C7EF1B2" w14:textId="125F55EA" w:rsidR="00AA5FDA" w:rsidRDefault="00E95FE2" w:rsidP="00E95FE2">
      <w:pPr>
        <w:pStyle w:val="Heading2"/>
        <w:spacing w:before="0" w:after="200" w:line="276" w:lineRule="auto"/>
      </w:pPr>
      <w:r w:rsidRPr="00F2477B">
        <w:t>Specify the characteristics of patients with (or suspected of having) the medical condition, who would be eligible for the proposed medical service/technology (including details on how a patient would be investigated, managed</w:t>
      </w:r>
      <w:r w:rsidR="00E13FF5">
        <w:t>,</w:t>
      </w:r>
      <w:r w:rsidRPr="00F2477B">
        <w:t xml:space="preserve"> and referred within the Australian health care system, in the lead up to being eligible for the service):</w:t>
      </w:r>
    </w:p>
    <w:p w14:paraId="39CF0BD1" w14:textId="3C8D0782" w:rsidR="009B20EC" w:rsidRPr="00317F2F" w:rsidRDefault="009B20EC" w:rsidP="00D942B1">
      <w:pPr>
        <w:ind w:left="426"/>
        <w:rPr>
          <w:b/>
          <w:bCs/>
          <w:i/>
          <w:iCs/>
        </w:rPr>
      </w:pPr>
      <w:r w:rsidRPr="00317F2F">
        <w:rPr>
          <w:b/>
          <w:bCs/>
          <w:i/>
          <w:iCs/>
        </w:rPr>
        <w:t xml:space="preserve">Target Group </w:t>
      </w:r>
    </w:p>
    <w:p w14:paraId="61483634" w14:textId="4E180FFE" w:rsidR="00A21C36" w:rsidRDefault="004263BE" w:rsidP="00E6595B">
      <w:pPr>
        <w:ind w:left="426"/>
      </w:pPr>
      <w:r>
        <w:t>E</w:t>
      </w:r>
      <w:r w:rsidR="00BE564A" w:rsidRPr="00491B7F">
        <w:t xml:space="preserve">ligibility for </w:t>
      </w:r>
      <w:r w:rsidR="00E13FF5">
        <w:t>D</w:t>
      </w:r>
      <w:r w:rsidR="00BE564A" w:rsidRPr="00491B7F">
        <w:t xml:space="preserve">eep </w:t>
      </w:r>
      <w:r w:rsidR="00E13FF5">
        <w:t>B</w:t>
      </w:r>
      <w:r w:rsidR="00BE564A" w:rsidRPr="00491B7F">
        <w:t xml:space="preserve">rain </w:t>
      </w:r>
      <w:r w:rsidR="00E13FF5">
        <w:t>S</w:t>
      </w:r>
      <w:r w:rsidR="00BE564A" w:rsidRPr="00491B7F">
        <w:t xml:space="preserve">timulation </w:t>
      </w:r>
      <w:r w:rsidR="009A2F1C" w:rsidRPr="00491B7F">
        <w:t xml:space="preserve">(DBS) </w:t>
      </w:r>
      <w:r w:rsidR="00B41015" w:rsidRPr="00491B7F">
        <w:t xml:space="preserve">of the </w:t>
      </w:r>
      <w:r>
        <w:t>t</w:t>
      </w:r>
      <w:r w:rsidR="00B41015" w:rsidRPr="00491B7F">
        <w:t xml:space="preserve">halamus for </w:t>
      </w:r>
      <w:r w:rsidR="00BE564A" w:rsidRPr="00491B7F">
        <w:t>epilepsy</w:t>
      </w:r>
      <w:r w:rsidR="000F7C13" w:rsidRPr="00491B7F">
        <w:t xml:space="preserve"> </w:t>
      </w:r>
      <w:r w:rsidR="003A3837" w:rsidRPr="00491B7F">
        <w:t>will</w:t>
      </w:r>
      <w:r w:rsidR="00BE564A" w:rsidRPr="00491B7F">
        <w:t xml:space="preserve"> be limited to</w:t>
      </w:r>
      <w:r w:rsidR="00E64537">
        <w:t xml:space="preserve"> patients</w:t>
      </w:r>
      <w:r>
        <w:t xml:space="preserve">, </w:t>
      </w:r>
      <w:bookmarkStart w:id="10" w:name="_Hlk78811813"/>
      <w:r w:rsidR="00594B74">
        <w:t xml:space="preserve">who </w:t>
      </w:r>
      <w:r w:rsidR="003B0B6D" w:rsidRPr="00C403A4">
        <w:t xml:space="preserve">continue to experience seizures </w:t>
      </w:r>
      <w:r w:rsidR="00E6783F">
        <w:t xml:space="preserve">despite the use of two or more </w:t>
      </w:r>
      <w:r w:rsidR="003B0B6D" w:rsidRPr="00C403A4">
        <w:t>anti-seizure medications at therapeutic doses</w:t>
      </w:r>
      <w:r w:rsidR="00E6783F">
        <w:t xml:space="preserve"> (i.e., medically refractory)</w:t>
      </w:r>
      <w:r w:rsidR="005F651F">
        <w:t xml:space="preserve">. Eligible patients </w:t>
      </w:r>
      <w:r w:rsidR="00E6783F">
        <w:t>will have been considered for</w:t>
      </w:r>
      <w:r w:rsidR="005F651F">
        <w:t xml:space="preserve"> a</w:t>
      </w:r>
      <w:r w:rsidR="00A64C39">
        <w:t xml:space="preserve">lternative treatment options </w:t>
      </w:r>
      <w:r w:rsidR="00BF42C4">
        <w:t xml:space="preserve">such as </w:t>
      </w:r>
      <w:r w:rsidR="00E6783F">
        <w:t xml:space="preserve">curative resective </w:t>
      </w:r>
      <w:r w:rsidR="00BF42C4">
        <w:t xml:space="preserve">brain surgery, and </w:t>
      </w:r>
      <w:r w:rsidR="00E6783F">
        <w:t>these therapies would have been either a) deemed not appropriate, or b) previously trialled without success.</w:t>
      </w:r>
      <w:r w:rsidR="00E13FF5">
        <w:t xml:space="preserve"> Lastly all eligible patients will have been referred to and assessed by a Comprehensive Epilepsy Program.</w:t>
      </w:r>
      <w:r w:rsidR="003E707C">
        <w:t xml:space="preserve"> </w:t>
      </w:r>
    </w:p>
    <w:p w14:paraId="2A21742E" w14:textId="4F5C9708" w:rsidR="00F2477B" w:rsidRDefault="00F2477B" w:rsidP="00A50ECF">
      <w:pPr>
        <w:ind w:left="426"/>
      </w:pPr>
      <w:r>
        <w:t xml:space="preserve">According to the ILAE, </w:t>
      </w:r>
      <w:r w:rsidR="00DB6453">
        <w:rPr>
          <w:szCs w:val="20"/>
        </w:rPr>
        <w:t xml:space="preserve">medication resistant epilepsy </w:t>
      </w:r>
      <w:r>
        <w:t>occurs</w:t>
      </w:r>
      <w:r w:rsidRPr="00C403A4">
        <w:t xml:space="preserve"> when a person has failed to become (and stay) seizure free with adequate trials of two anti</w:t>
      </w:r>
      <w:r>
        <w:t>-</w:t>
      </w:r>
      <w:r w:rsidRPr="00C403A4">
        <w:t>seizure medications</w:t>
      </w:r>
      <w:r w:rsidR="00906634">
        <w:t xml:space="preserve">, </w:t>
      </w:r>
      <w:r w:rsidRPr="00C403A4">
        <w:t>chosen appropriately for the person’s seizure type, tolerated by the person, and</w:t>
      </w:r>
      <w:r>
        <w:t xml:space="preserve"> </w:t>
      </w:r>
      <w:r w:rsidRPr="00C403A4">
        <w:t>tried alone or together with other seizure medications</w:t>
      </w:r>
      <w:r>
        <w:t xml:space="preserve"> (Kwan et al 2009). The frequency and severity of seizures is generally not considered in the definition, although these vary among people with </w:t>
      </w:r>
      <w:r w:rsidR="00EA6AAE">
        <w:rPr>
          <w:szCs w:val="20"/>
        </w:rPr>
        <w:t xml:space="preserve">medication resistant epilepsy </w:t>
      </w:r>
      <w:r>
        <w:t xml:space="preserve">and may help inform future treatment </w:t>
      </w:r>
      <w:r w:rsidRPr="00A50ECF">
        <w:t xml:space="preserve">decisions (Berg &amp; Kelly 2006; </w:t>
      </w:r>
      <w:proofErr w:type="spellStart"/>
      <w:r w:rsidRPr="00CC2E86">
        <w:t>Dlugos</w:t>
      </w:r>
      <w:proofErr w:type="spellEnd"/>
      <w:r w:rsidRPr="00A50ECF">
        <w:t xml:space="preserve"> 2001)</w:t>
      </w:r>
    </w:p>
    <w:p w14:paraId="3DF3CD25" w14:textId="3377E5CF" w:rsidR="002B5B77" w:rsidRPr="002B5B77" w:rsidRDefault="002B5B77" w:rsidP="002B5B77">
      <w:pPr>
        <w:ind w:left="426"/>
        <w:rPr>
          <w:szCs w:val="20"/>
        </w:rPr>
      </w:pPr>
      <w:r>
        <w:t xml:space="preserve">The probability of achieving seizure freedom in newly diagnosed patients with epilepsy has not changed considerably, despite the availability of new anti-seizure medications in recent decades </w:t>
      </w:r>
      <w:r w:rsidRPr="00B9556A">
        <w:t>(</w:t>
      </w:r>
      <w:proofErr w:type="spellStart"/>
      <w:r w:rsidRPr="00CC2E86">
        <w:t>Perucca</w:t>
      </w:r>
      <w:proofErr w:type="spellEnd"/>
      <w:r>
        <w:t xml:space="preserve"> et al 2020, Engel 2016). Around</w:t>
      </w:r>
      <w:r w:rsidRPr="00CE492E">
        <w:t>,</w:t>
      </w:r>
      <w:r w:rsidRPr="00CE492E">
        <w:rPr>
          <w:szCs w:val="20"/>
        </w:rPr>
        <w:t xml:space="preserve"> 30-40% of </w:t>
      </w:r>
      <w:r>
        <w:rPr>
          <w:szCs w:val="20"/>
        </w:rPr>
        <w:t xml:space="preserve">patients are diagnosed with medication resistant epilepsy after trials of anti-seizure medications and need to explore other treatment options </w:t>
      </w:r>
      <w:r w:rsidRPr="00CE492E">
        <w:rPr>
          <w:szCs w:val="20"/>
        </w:rPr>
        <w:t>(Che</w:t>
      </w:r>
      <w:r w:rsidR="006236D5">
        <w:rPr>
          <w:szCs w:val="20"/>
        </w:rPr>
        <w:t>n</w:t>
      </w:r>
      <w:r w:rsidRPr="00CE492E">
        <w:rPr>
          <w:szCs w:val="20"/>
        </w:rPr>
        <w:t xml:space="preserve"> et al 2018)</w:t>
      </w:r>
      <w:r>
        <w:rPr>
          <w:szCs w:val="20"/>
        </w:rPr>
        <w:t xml:space="preserve">. </w:t>
      </w:r>
      <w:r w:rsidRPr="00496191">
        <w:rPr>
          <w:szCs w:val="20"/>
        </w:rPr>
        <w:t xml:space="preserve"> </w:t>
      </w:r>
    </w:p>
    <w:bookmarkEnd w:id="10"/>
    <w:p w14:paraId="50202A32" w14:textId="1F446A35" w:rsidR="00E13FF5" w:rsidRPr="00317F2F" w:rsidRDefault="00BE564A" w:rsidP="00317F2F">
      <w:pPr>
        <w:ind w:left="426"/>
      </w:pPr>
      <w:r w:rsidRPr="00A50ECF">
        <w:t xml:space="preserve">People with </w:t>
      </w:r>
      <w:r w:rsidR="00EA6AAE" w:rsidRPr="00A50ECF">
        <w:rPr>
          <w:szCs w:val="20"/>
        </w:rPr>
        <w:t xml:space="preserve">medication resistant epilepsy </w:t>
      </w:r>
      <w:r w:rsidRPr="00A50ECF">
        <w:t>experience the greatest burden of epilepsy related disabilities</w:t>
      </w:r>
      <w:r w:rsidR="009525FA" w:rsidRPr="00A50ECF">
        <w:t xml:space="preserve"> </w:t>
      </w:r>
      <w:r w:rsidRPr="00A50ECF">
        <w:t>and higher mortality and morbidity</w:t>
      </w:r>
      <w:r w:rsidR="00860D79">
        <w:t xml:space="preserve">. This includes greater </w:t>
      </w:r>
      <w:r w:rsidRPr="00A50ECF">
        <w:t xml:space="preserve">adverse medication effects, higher </w:t>
      </w:r>
      <w:r w:rsidR="0049271A" w:rsidRPr="00A50ECF">
        <w:t>levels of stigma</w:t>
      </w:r>
      <w:r w:rsidRPr="00A50ECF">
        <w:t xml:space="preserve"> and social handicap</w:t>
      </w:r>
      <w:r w:rsidR="00F6610D" w:rsidRPr="00A50ECF">
        <w:t xml:space="preserve"> (e.g., poor academic performance, unemployment)</w:t>
      </w:r>
      <w:r w:rsidRPr="00A50ECF">
        <w:t>, higher somatic and emotional comorbidities, and poorer quality of life</w:t>
      </w:r>
      <w:r w:rsidR="00F6610D" w:rsidRPr="00A50ECF">
        <w:t xml:space="preserve"> </w:t>
      </w:r>
      <w:r w:rsidR="00132656" w:rsidRPr="00A50ECF">
        <w:t>(</w:t>
      </w:r>
      <w:r w:rsidR="00132656" w:rsidRPr="00CC2E86">
        <w:t>Beghi</w:t>
      </w:r>
      <w:r w:rsidR="00132656" w:rsidRPr="00A50ECF">
        <w:t xml:space="preserve"> et al 2015)</w:t>
      </w:r>
      <w:r w:rsidR="00860D79">
        <w:t xml:space="preserve"> and an</w:t>
      </w:r>
      <w:r w:rsidR="00A50ECF" w:rsidRPr="00A50ECF">
        <w:t xml:space="preserve"> increased morality rate, around 5 – 10% higher than that of the general population (Engel 2016).</w:t>
      </w:r>
      <w:r w:rsidR="00FE5BBC">
        <w:t xml:space="preserve"> </w:t>
      </w:r>
      <w:r w:rsidR="00A50ECF">
        <w:t xml:space="preserve">The economic impacts of medication resistant epilepsy are also </w:t>
      </w:r>
      <w:r w:rsidR="00FE5BBC">
        <w:t>significant</w:t>
      </w:r>
      <w:r w:rsidR="00A50ECF">
        <w:t>.</w:t>
      </w:r>
      <w:r w:rsidR="00FE5BBC">
        <w:t xml:space="preserve"> </w:t>
      </w:r>
      <w:r w:rsidR="00A50ECF" w:rsidRPr="00FE5BBC">
        <w:t>For example, in</w:t>
      </w:r>
      <w:r w:rsidR="0049271A" w:rsidRPr="00FE5BBC">
        <w:t xml:space="preserve"> the United States a</w:t>
      </w:r>
      <w:r w:rsidR="00055D84" w:rsidRPr="00FE5BBC">
        <w:t xml:space="preserve">round 40% of </w:t>
      </w:r>
      <w:r w:rsidR="0049271A" w:rsidRPr="00FE5BBC">
        <w:t>people continue</w:t>
      </w:r>
      <w:r w:rsidR="00055D84" w:rsidRPr="00FE5BBC">
        <w:t xml:space="preserve"> to experience seizures </w:t>
      </w:r>
      <w:r w:rsidR="00055D84" w:rsidRPr="00FE5BBC">
        <w:lastRenderedPageBreak/>
        <w:t>despite appropriate treatment with antiseizure medications (</w:t>
      </w:r>
      <w:proofErr w:type="spellStart"/>
      <w:r w:rsidR="00055D84" w:rsidRPr="00CC2E86">
        <w:rPr>
          <w:lang w:eastAsia="ja-JP"/>
        </w:rPr>
        <w:t>Kobau</w:t>
      </w:r>
      <w:proofErr w:type="spellEnd"/>
      <w:r w:rsidR="00055D84" w:rsidRPr="00FE5BBC">
        <w:t xml:space="preserve"> et al 2008)</w:t>
      </w:r>
      <w:r w:rsidR="00860D79">
        <w:t xml:space="preserve"> </w:t>
      </w:r>
      <w:r w:rsidR="00DD7A0C" w:rsidRPr="00FE5BBC">
        <w:t>and</w:t>
      </w:r>
      <w:r w:rsidR="00055D84" w:rsidRPr="00FE5BBC">
        <w:t xml:space="preserve"> this subgroup</w:t>
      </w:r>
      <w:r w:rsidR="0047319C" w:rsidRPr="00FE5BBC">
        <w:t xml:space="preserve"> account</w:t>
      </w:r>
      <w:r w:rsidR="0049271A" w:rsidRPr="00FE5BBC">
        <w:t>ed</w:t>
      </w:r>
      <w:r w:rsidR="0047319C" w:rsidRPr="00FE5BBC">
        <w:t xml:space="preserve"> </w:t>
      </w:r>
      <w:r w:rsidR="00055D84" w:rsidRPr="00FE5BBC">
        <w:t xml:space="preserve">for 80% of the total cost of </w:t>
      </w:r>
      <w:r w:rsidR="0047319C" w:rsidRPr="00FE5BBC">
        <w:t>epilepsy</w:t>
      </w:r>
      <w:r w:rsidR="00055D84" w:rsidRPr="00FE5BBC">
        <w:t xml:space="preserve"> </w:t>
      </w:r>
      <w:r w:rsidR="0047319C" w:rsidRPr="00FE5BBC">
        <w:t>in 2000 (Begley et al 2000).</w:t>
      </w:r>
      <w:r w:rsidR="0047319C">
        <w:t xml:space="preserve"> </w:t>
      </w:r>
    </w:p>
    <w:p w14:paraId="22A9A986" w14:textId="6E6FBFDB" w:rsidR="007664E2" w:rsidRPr="00317F2F" w:rsidRDefault="00A213AB" w:rsidP="006B659C">
      <w:pPr>
        <w:ind w:left="426"/>
        <w:rPr>
          <w:b/>
          <w:bCs/>
          <w:i/>
          <w:iCs/>
        </w:rPr>
      </w:pPr>
      <w:r w:rsidRPr="00317F2F">
        <w:rPr>
          <w:b/>
          <w:bCs/>
          <w:i/>
          <w:iCs/>
        </w:rPr>
        <w:t>Investigation, Management</w:t>
      </w:r>
      <w:r w:rsidR="007664E2" w:rsidRPr="00317F2F">
        <w:rPr>
          <w:b/>
          <w:bCs/>
          <w:i/>
          <w:iCs/>
        </w:rPr>
        <w:t xml:space="preserve"> &amp; Referral</w:t>
      </w:r>
      <w:r w:rsidR="00FD5F0D" w:rsidRPr="00317F2F">
        <w:rPr>
          <w:b/>
          <w:bCs/>
          <w:i/>
          <w:iCs/>
        </w:rPr>
        <w:t xml:space="preserve">  </w:t>
      </w:r>
    </w:p>
    <w:p w14:paraId="4BC78C79" w14:textId="4C916969" w:rsidR="00706BDE" w:rsidRDefault="00706BDE" w:rsidP="00706BDE">
      <w:pPr>
        <w:ind w:left="426"/>
      </w:pPr>
      <w:r>
        <w:t xml:space="preserve">People with medication resistant epilepsy should be referred to a </w:t>
      </w:r>
      <w:r w:rsidR="004E0B44">
        <w:t>C</w:t>
      </w:r>
      <w:r>
        <w:t xml:space="preserve">omprehensive </w:t>
      </w:r>
      <w:r w:rsidR="004E0B44">
        <w:t>E</w:t>
      </w:r>
      <w:r>
        <w:t xml:space="preserve">pilepsy </w:t>
      </w:r>
      <w:r w:rsidR="004E0B44">
        <w:t xml:space="preserve">Program </w:t>
      </w:r>
      <w:r>
        <w:t xml:space="preserve">for further evaluation. Initial assessment of suspected </w:t>
      </w:r>
      <w:r>
        <w:rPr>
          <w:szCs w:val="20"/>
        </w:rPr>
        <w:t xml:space="preserve">refractory epilepsy </w:t>
      </w:r>
      <w:r>
        <w:t>includes review of the electrical and clinical features of the seizures, family history, and review of current and prior anti-seizure medications trialled. Careful review of neuroimaging is particularly important</w:t>
      </w:r>
      <w:r w:rsidR="00A75BE1">
        <w:t>,</w:t>
      </w:r>
      <w:r>
        <w:t xml:space="preserve"> as this may reveal subtle abnormalities that could provide a target for </w:t>
      </w:r>
      <w:r w:rsidR="00F112E5">
        <w:t xml:space="preserve">curative resective epilepsy </w:t>
      </w:r>
      <w:r>
        <w:t>surg</w:t>
      </w:r>
      <w:r w:rsidR="00F112E5">
        <w:t>ery</w:t>
      </w:r>
      <w:r>
        <w:t xml:space="preserve">. </w:t>
      </w:r>
    </w:p>
    <w:p w14:paraId="2E6555A4" w14:textId="6A1071F2" w:rsidR="00706BDE" w:rsidRDefault="00A75BE1" w:rsidP="00D576F1">
      <w:pPr>
        <w:ind w:left="426"/>
      </w:pPr>
      <w:r>
        <w:t>Patients</w:t>
      </w:r>
      <w:r w:rsidR="00706BDE">
        <w:t xml:space="preserve"> requir</w:t>
      </w:r>
      <w:r>
        <w:t>ing</w:t>
      </w:r>
      <w:r w:rsidR="00706BDE">
        <w:t xml:space="preserve"> further evaluation are usually </w:t>
      </w:r>
      <w:r w:rsidR="00D576F1">
        <w:t>referred</w:t>
      </w:r>
      <w:r w:rsidR="00706BDE">
        <w:t xml:space="preserve"> for a period of inpatient video electroencephalography (VEEG) monitoring with neuropsychology assessments, as well as additional structural and functional brain imaging, including high quality magnetic resonance imaging (MRI), and positron emission tomography (PET) (</w:t>
      </w:r>
      <w:proofErr w:type="spellStart"/>
      <w:r w:rsidR="00706BDE" w:rsidRPr="00CC2E86">
        <w:t>Schuele</w:t>
      </w:r>
      <w:proofErr w:type="spellEnd"/>
      <w:r w:rsidR="00706BDE">
        <w:t xml:space="preserve"> &amp; </w:t>
      </w:r>
      <w:proofErr w:type="spellStart"/>
      <w:r w:rsidR="00706BDE" w:rsidRPr="00CC2E86">
        <w:t>Luders</w:t>
      </w:r>
      <w:proofErr w:type="spellEnd"/>
      <w:r w:rsidR="00706BDE">
        <w:t xml:space="preserve"> 2008). Studies show that early referral to a </w:t>
      </w:r>
      <w:r w:rsidR="004E0B44">
        <w:t>C</w:t>
      </w:r>
      <w:r w:rsidR="00706BDE">
        <w:t xml:space="preserve">omprehensive </w:t>
      </w:r>
      <w:r w:rsidR="004E0B44">
        <w:t>E</w:t>
      </w:r>
      <w:r w:rsidR="00706BDE">
        <w:t xml:space="preserve">pilepsy </w:t>
      </w:r>
      <w:r w:rsidR="004E0B44">
        <w:t xml:space="preserve">Program </w:t>
      </w:r>
      <w:r w:rsidR="00706BDE">
        <w:t xml:space="preserve">provides patients with the best prospect of </w:t>
      </w:r>
      <w:r w:rsidR="00F112E5">
        <w:t xml:space="preserve">seizure freedom </w:t>
      </w:r>
      <w:r w:rsidR="00706BDE">
        <w:t>avoiding adverse outcomes associated with treatment resistant epilepsy</w:t>
      </w:r>
      <w:r w:rsidR="00FA1D9F">
        <w:t>,</w:t>
      </w:r>
      <w:r w:rsidR="00706BDE">
        <w:t xml:space="preserve"> including irreversible psychological and social problems, disability, and death (Engel 2016).</w:t>
      </w:r>
    </w:p>
    <w:p w14:paraId="75CC5E22" w14:textId="1EAB2409" w:rsidR="00E13FF5" w:rsidRPr="00317F2F" w:rsidRDefault="00055D84" w:rsidP="00317F2F">
      <w:pPr>
        <w:ind w:left="426"/>
      </w:pPr>
      <w:r>
        <w:t xml:space="preserve">When evaluating </w:t>
      </w:r>
      <w:r w:rsidR="00EA6AAE">
        <w:rPr>
          <w:szCs w:val="20"/>
        </w:rPr>
        <w:t>medication resistant epilepsy</w:t>
      </w:r>
      <w:r>
        <w:t>, p</w:t>
      </w:r>
      <w:r w:rsidR="002C3D6C">
        <w:t xml:space="preserve">atients may be encouraged to keep a seizure diary for a nominated </w:t>
      </w:r>
      <w:r w:rsidR="00FA1D9F">
        <w:t>period, to</w:t>
      </w:r>
      <w:r w:rsidR="00D576F1">
        <w:t xml:space="preserve"> help document response to therapy changes </w:t>
      </w:r>
      <w:r w:rsidR="00550CC7">
        <w:t>and provide insight into potential seizure triggers (</w:t>
      </w:r>
      <w:proofErr w:type="spellStart"/>
      <w:r w:rsidR="00550CC7" w:rsidRPr="00CC2E86">
        <w:t>Sirven</w:t>
      </w:r>
      <w:proofErr w:type="spellEnd"/>
      <w:r w:rsidR="00550CC7">
        <w:t xml:space="preserve"> </w:t>
      </w:r>
      <w:r w:rsidR="00AE3BC6">
        <w:t>2021)</w:t>
      </w:r>
      <w:r w:rsidR="00CD3791">
        <w:t xml:space="preserve">. </w:t>
      </w:r>
      <w:r w:rsidR="00F76BE4">
        <w:t>Data</w:t>
      </w:r>
      <w:r w:rsidR="00CD3791">
        <w:t xml:space="preserve"> </w:t>
      </w:r>
      <w:r w:rsidR="00F76BE4">
        <w:t>captured</w:t>
      </w:r>
      <w:r w:rsidR="00CD3791">
        <w:t xml:space="preserve"> in the seizure diary</w:t>
      </w:r>
      <w:r w:rsidR="00CD3C53">
        <w:t xml:space="preserve"> may</w:t>
      </w:r>
      <w:r w:rsidR="00CD3791">
        <w:t xml:space="preserve"> include </w:t>
      </w:r>
      <w:r w:rsidR="00F76BE4">
        <w:t xml:space="preserve">information about </w:t>
      </w:r>
      <w:r w:rsidR="00CD3C53">
        <w:t xml:space="preserve">any </w:t>
      </w:r>
      <w:r w:rsidR="002C3D6C">
        <w:t xml:space="preserve">seizures </w:t>
      </w:r>
      <w:r w:rsidR="00F76BE4">
        <w:t xml:space="preserve">experienced </w:t>
      </w:r>
      <w:r w:rsidR="002C3D6C">
        <w:t xml:space="preserve">and other </w:t>
      </w:r>
      <w:r w:rsidR="00F76BE4">
        <w:t xml:space="preserve">related </w:t>
      </w:r>
      <w:r w:rsidR="002C3D6C">
        <w:t xml:space="preserve">information that may impact on seizure </w:t>
      </w:r>
      <w:r w:rsidR="00F76BE4">
        <w:t>episodes</w:t>
      </w:r>
      <w:r w:rsidR="002C3D6C">
        <w:t xml:space="preserve"> (e.g., use</w:t>
      </w:r>
      <w:r w:rsidR="00F76BE4">
        <w:t xml:space="preserve"> of</w:t>
      </w:r>
      <w:r w:rsidR="002C3D6C">
        <w:t xml:space="preserve"> anti-seizure medications</w:t>
      </w:r>
      <w:r w:rsidR="00F76BE4">
        <w:t xml:space="preserve"> and </w:t>
      </w:r>
      <w:r w:rsidR="002C3D6C">
        <w:t>other medications</w:t>
      </w:r>
      <w:r w:rsidR="00F76BE4">
        <w:t xml:space="preserve">, </w:t>
      </w:r>
      <w:r w:rsidR="002C3D6C">
        <w:t xml:space="preserve">details about sleeping patterns </w:t>
      </w:r>
      <w:r w:rsidR="00F76BE4">
        <w:t>such as the amount and</w:t>
      </w:r>
      <w:r w:rsidR="002C3D6C">
        <w:t xml:space="preserve"> quality of sleep). </w:t>
      </w:r>
    </w:p>
    <w:p w14:paraId="67745514" w14:textId="00CEFC2E" w:rsidR="00F2477B" w:rsidRPr="00317F2F" w:rsidRDefault="000A303A" w:rsidP="006B659C">
      <w:pPr>
        <w:ind w:left="426"/>
        <w:rPr>
          <w:b/>
          <w:bCs/>
          <w:i/>
          <w:iCs/>
        </w:rPr>
      </w:pPr>
      <w:r w:rsidRPr="00317F2F">
        <w:rPr>
          <w:b/>
          <w:bCs/>
          <w:i/>
          <w:iCs/>
        </w:rPr>
        <w:t xml:space="preserve">References </w:t>
      </w:r>
      <w:r w:rsidR="00C64099" w:rsidRPr="00317F2F">
        <w:rPr>
          <w:b/>
          <w:bCs/>
          <w:i/>
          <w:iCs/>
        </w:rPr>
        <w:t>C</w:t>
      </w:r>
      <w:r w:rsidRPr="00317F2F">
        <w:rPr>
          <w:b/>
          <w:bCs/>
          <w:i/>
          <w:iCs/>
        </w:rPr>
        <w:t xml:space="preserve">ited </w:t>
      </w:r>
    </w:p>
    <w:p w14:paraId="57E6F827" w14:textId="6CA5E845" w:rsidR="008D11F8" w:rsidRDefault="008D11F8" w:rsidP="008D11F8">
      <w:pPr>
        <w:ind w:left="426"/>
        <w:rPr>
          <w:rFonts w:cs="Arial"/>
          <w:szCs w:val="20"/>
        </w:rPr>
      </w:pPr>
      <w:proofErr w:type="spellStart"/>
      <w:r w:rsidRPr="003979E8">
        <w:rPr>
          <w:rFonts w:cs="Arial"/>
          <w:szCs w:val="20"/>
        </w:rPr>
        <w:t>Beghi</w:t>
      </w:r>
      <w:proofErr w:type="spellEnd"/>
      <w:r w:rsidRPr="003979E8">
        <w:rPr>
          <w:rFonts w:cs="Arial"/>
          <w:szCs w:val="20"/>
        </w:rPr>
        <w:t xml:space="preserve"> E, </w:t>
      </w:r>
      <w:proofErr w:type="spellStart"/>
      <w:r w:rsidRPr="003979E8">
        <w:rPr>
          <w:rFonts w:cs="Arial"/>
          <w:szCs w:val="20"/>
        </w:rPr>
        <w:t>Giassani</w:t>
      </w:r>
      <w:proofErr w:type="spellEnd"/>
      <w:r w:rsidRPr="003979E8">
        <w:rPr>
          <w:rFonts w:cs="Arial"/>
          <w:szCs w:val="20"/>
        </w:rPr>
        <w:t xml:space="preserve"> G, Sander JW. </w:t>
      </w:r>
      <w:r w:rsidRPr="001B73DE">
        <w:rPr>
          <w:rFonts w:cs="Arial"/>
          <w:szCs w:val="20"/>
        </w:rPr>
        <w:t>The natural history and prognosis of epilepsy. Epileptic Disord</w:t>
      </w:r>
      <w:r>
        <w:rPr>
          <w:rFonts w:cs="Arial"/>
          <w:szCs w:val="20"/>
        </w:rPr>
        <w:t>.</w:t>
      </w:r>
      <w:r w:rsidRPr="001B73DE">
        <w:rPr>
          <w:rFonts w:cs="Arial"/>
          <w:szCs w:val="20"/>
        </w:rPr>
        <w:t xml:space="preserve"> 2015</w:t>
      </w:r>
      <w:r>
        <w:rPr>
          <w:rFonts w:cs="Arial"/>
          <w:szCs w:val="20"/>
        </w:rPr>
        <w:t>;</w:t>
      </w:r>
      <w:r w:rsidRPr="001B73DE">
        <w:rPr>
          <w:rFonts w:cs="Arial"/>
          <w:szCs w:val="20"/>
        </w:rPr>
        <w:t xml:space="preserve"> Sep</w:t>
      </w:r>
      <w:r>
        <w:rPr>
          <w:rFonts w:cs="Arial"/>
          <w:szCs w:val="20"/>
        </w:rPr>
        <w:t>:</w:t>
      </w:r>
      <w:r w:rsidRPr="001B73DE">
        <w:rPr>
          <w:rFonts w:cs="Arial"/>
          <w:szCs w:val="20"/>
        </w:rPr>
        <w:t xml:space="preserve">17(3):243-53. </w:t>
      </w:r>
    </w:p>
    <w:p w14:paraId="2706C69D" w14:textId="3D323CCB" w:rsidR="008D11F8" w:rsidRDefault="008D11F8" w:rsidP="008D11F8">
      <w:pPr>
        <w:ind w:left="426"/>
      </w:pPr>
      <w:r>
        <w:t xml:space="preserve">Begley CE, </w:t>
      </w:r>
      <w:proofErr w:type="spellStart"/>
      <w:r w:rsidRPr="00CC2E86">
        <w:t>Famulari</w:t>
      </w:r>
      <w:proofErr w:type="spellEnd"/>
      <w:r>
        <w:t xml:space="preserve"> M, </w:t>
      </w:r>
      <w:proofErr w:type="spellStart"/>
      <w:r w:rsidRPr="00CC2E86">
        <w:t>Annegers</w:t>
      </w:r>
      <w:proofErr w:type="spellEnd"/>
      <w:r>
        <w:t xml:space="preserve"> JF, </w:t>
      </w:r>
      <w:proofErr w:type="spellStart"/>
      <w:r w:rsidRPr="00CC2E86">
        <w:t>Lairson</w:t>
      </w:r>
      <w:proofErr w:type="spellEnd"/>
      <w:r>
        <w:t xml:space="preserve"> DR. The cost of epilepsy in the United States: an estimate from population based clinical and survey data. Epilepsia</w:t>
      </w:r>
      <w:r w:rsidR="00CF0E23">
        <w:t>.</w:t>
      </w:r>
      <w:r>
        <w:t xml:space="preserve"> 2000; 41:342 – 251.</w:t>
      </w:r>
    </w:p>
    <w:p w14:paraId="49FE2D75" w14:textId="4B5304FF" w:rsidR="008D11F8" w:rsidRDefault="008D11F8" w:rsidP="008D11F8">
      <w:pPr>
        <w:ind w:left="426"/>
      </w:pPr>
      <w:r>
        <w:t>Berg AT, Kelly MM. Defining intractability: comparisons among published definitions. Epilepsia</w:t>
      </w:r>
      <w:r w:rsidR="00CF0E23">
        <w:t>.</w:t>
      </w:r>
      <w:r>
        <w:t xml:space="preserve"> 2006; 47:431.</w:t>
      </w:r>
    </w:p>
    <w:p w14:paraId="3722B2BA" w14:textId="4B8591B5" w:rsidR="008D11F8" w:rsidRDefault="00A2017B" w:rsidP="008D11F8">
      <w:pPr>
        <w:ind w:left="426"/>
      </w:pPr>
      <w:r w:rsidRPr="006A6B7B">
        <w:t>Bonnet</w:t>
      </w:r>
      <w:r w:rsidR="008D11F8" w:rsidRPr="008D11F8">
        <w:t xml:space="preserve"> L, Smith CT, Smith D et al. </w:t>
      </w:r>
      <w:r w:rsidR="008D11F8">
        <w:t>Prognostic factors for time to treat treatment resistant failure and time to 12 months of remission for patients with focal epilepsy: post hoc, subgroup analyses of data from the SANAD trial. Lancet Neurol</w:t>
      </w:r>
      <w:r w:rsidR="00CF0E23">
        <w:t>.</w:t>
      </w:r>
      <w:r w:rsidR="008D11F8">
        <w:t xml:space="preserve"> 2012; 11:331.</w:t>
      </w:r>
    </w:p>
    <w:p w14:paraId="492F5F83" w14:textId="38E46DA1" w:rsidR="008D11F8" w:rsidRDefault="008D11F8" w:rsidP="008D11F8">
      <w:pPr>
        <w:ind w:left="426"/>
        <w:rPr>
          <w:rStyle w:val="mixed-citation"/>
        </w:rPr>
      </w:pPr>
      <w:r>
        <w:rPr>
          <w:rStyle w:val="mixed-citation"/>
        </w:rPr>
        <w:t xml:space="preserve">Chen Z, Brodie MJ, Liew D, Kwan P. </w:t>
      </w:r>
      <w:r>
        <w:rPr>
          <w:rStyle w:val="ref-title"/>
        </w:rPr>
        <w:t>Treatment outcomes in patients with newly diagnosed epilepsy treated with established and new antiepileptic drugs: A 30-year longitudinal cohort study</w:t>
      </w:r>
      <w:r>
        <w:rPr>
          <w:rStyle w:val="mixed-citation"/>
        </w:rPr>
        <w:t xml:space="preserve">. </w:t>
      </w:r>
      <w:r>
        <w:rPr>
          <w:rStyle w:val="ref-journal"/>
        </w:rPr>
        <w:t>JAMA Neurol</w:t>
      </w:r>
      <w:r w:rsidR="00CF0E23">
        <w:rPr>
          <w:rStyle w:val="mixed-citation"/>
        </w:rPr>
        <w:t>.</w:t>
      </w:r>
      <w:r>
        <w:rPr>
          <w:rStyle w:val="mixed-citation"/>
        </w:rPr>
        <w:t xml:space="preserve">2018; </w:t>
      </w:r>
      <w:r>
        <w:rPr>
          <w:rStyle w:val="ref-vol"/>
        </w:rPr>
        <w:t>75</w:t>
      </w:r>
      <w:r>
        <w:rPr>
          <w:rStyle w:val="mixed-citation"/>
        </w:rPr>
        <w:t xml:space="preserve">:279-286. </w:t>
      </w:r>
    </w:p>
    <w:p w14:paraId="39700B8B" w14:textId="77777777" w:rsidR="008D11F8" w:rsidRDefault="008D11F8" w:rsidP="008D11F8">
      <w:pPr>
        <w:ind w:left="426"/>
      </w:pPr>
      <w:proofErr w:type="spellStart"/>
      <w:r w:rsidRPr="00CC2E86">
        <w:t>Dlugos</w:t>
      </w:r>
      <w:proofErr w:type="spellEnd"/>
      <w:r>
        <w:t xml:space="preserve"> DJ. The early identification of candidates for epilepsy surgery. Arch Neurol 2001. 58:1543-1546.</w:t>
      </w:r>
    </w:p>
    <w:p w14:paraId="1A779D01" w14:textId="11172178" w:rsidR="008D11F8" w:rsidRDefault="008D11F8" w:rsidP="008D11F8">
      <w:pPr>
        <w:ind w:left="426"/>
        <w:rPr>
          <w:rStyle w:val="mixed-citation"/>
        </w:rPr>
      </w:pPr>
      <w:r>
        <w:t xml:space="preserve">Engel J. What can we do for people with drug-resistant epilepsy? The 2016 </w:t>
      </w:r>
      <w:proofErr w:type="spellStart"/>
      <w:r>
        <w:t>Wartenberg</w:t>
      </w:r>
      <w:proofErr w:type="spellEnd"/>
      <w:r>
        <w:t xml:space="preserve"> Lecture. Neurology</w:t>
      </w:r>
      <w:r w:rsidR="00CF0E23">
        <w:t>.</w:t>
      </w:r>
      <w:r>
        <w:t xml:space="preserve"> 2016; 87: 2483 – 2489.</w:t>
      </w:r>
    </w:p>
    <w:p w14:paraId="79CEEA1B" w14:textId="3F6BAE2B" w:rsidR="008D11F8" w:rsidRDefault="008D11F8" w:rsidP="008D11F8">
      <w:pPr>
        <w:ind w:left="426"/>
      </w:pPr>
      <w:r w:rsidRPr="008D11F8">
        <w:t xml:space="preserve">Hughes DM, </w:t>
      </w:r>
      <w:r w:rsidRPr="00415B56">
        <w:rPr>
          <w:lang w:val="cs-CZ"/>
        </w:rPr>
        <w:t>Bonnett</w:t>
      </w:r>
      <w:r w:rsidRPr="008D11F8">
        <w:t xml:space="preserve"> LJ, </w:t>
      </w:r>
      <w:r w:rsidRPr="00415B56">
        <w:rPr>
          <w:lang w:val="cs-CZ"/>
        </w:rPr>
        <w:t>Czanner</w:t>
      </w:r>
      <w:r w:rsidRPr="008D11F8">
        <w:t xml:space="preserve"> G</w:t>
      </w:r>
      <w:r w:rsidR="00415B56">
        <w:t xml:space="preserve">, </w:t>
      </w:r>
      <w:r w:rsidR="00415B56" w:rsidRPr="00415B56">
        <w:rPr>
          <w:lang w:val="cs-CZ"/>
        </w:rPr>
        <w:t>Komarek</w:t>
      </w:r>
      <w:r w:rsidR="00415B56">
        <w:t xml:space="preserve"> A</w:t>
      </w:r>
      <w:r w:rsidRPr="008D11F8">
        <w:t xml:space="preserve">. </w:t>
      </w:r>
      <w:r>
        <w:t>Identification of patients who will not achieve seizure remission within 5 years on AEDs. Neurology</w:t>
      </w:r>
      <w:r w:rsidR="00CF0E23">
        <w:t>.</w:t>
      </w:r>
      <w:r>
        <w:t xml:space="preserve"> 2018; 9: e2035.</w:t>
      </w:r>
    </w:p>
    <w:p w14:paraId="11F7F73C" w14:textId="6BC67D30" w:rsidR="008D11F8" w:rsidRDefault="008D11F8" w:rsidP="008D11F8">
      <w:pPr>
        <w:ind w:left="426"/>
      </w:pPr>
      <w:r w:rsidRPr="00D61D33">
        <w:rPr>
          <w:lang w:val="gsw-FR"/>
        </w:rPr>
        <w:t>Kobau</w:t>
      </w:r>
      <w:r w:rsidRPr="006A6B7B">
        <w:t xml:space="preserve"> R, Zahran H, Thurman DJ</w:t>
      </w:r>
      <w:r w:rsidR="005C0232" w:rsidRPr="006A6B7B">
        <w:t>, Zack MM et al.</w:t>
      </w:r>
      <w:r w:rsidRPr="006A6B7B">
        <w:t xml:space="preserve"> </w:t>
      </w:r>
      <w:r>
        <w:t>Epilepsy surveillance among adults. 19 states. MMWR Surveill Summ. 2008; 57:1—20.</w:t>
      </w:r>
    </w:p>
    <w:p w14:paraId="70D48226" w14:textId="21057C98" w:rsidR="008D11F8" w:rsidRDefault="008D11F8" w:rsidP="008D11F8">
      <w:pPr>
        <w:ind w:left="426"/>
      </w:pPr>
      <w:r w:rsidRPr="008D11F8">
        <w:t>Kwan P, Arzimanoglou A, Berg AT</w:t>
      </w:r>
      <w:r w:rsidR="00323706">
        <w:t xml:space="preserve">, Brodie MJ. </w:t>
      </w:r>
      <w:r>
        <w:t xml:space="preserve">Definition of drug resistant epilepsy: Consensus proposal by the ad hoc Task Force of the ILAE Commission on Therapeutic Strategies. </w:t>
      </w:r>
      <w:r w:rsidRPr="00CB7752">
        <w:t>Epilepsia</w:t>
      </w:r>
      <w:r w:rsidR="00CF0E23">
        <w:t>.</w:t>
      </w:r>
      <w:r w:rsidR="00323706">
        <w:t xml:space="preserve"> 2009;</w:t>
      </w:r>
      <w:r w:rsidRPr="00CB7752">
        <w:t>51(6):10</w:t>
      </w:r>
      <w:r>
        <w:t>6</w:t>
      </w:r>
      <w:r w:rsidRPr="00CB7752">
        <w:t>9–1077, 2010</w:t>
      </w:r>
      <w:r>
        <w:t>.</w:t>
      </w:r>
      <w:r w:rsidRPr="00E80228">
        <w:rPr>
          <w:szCs w:val="20"/>
        </w:rPr>
        <w:t xml:space="preserve">  </w:t>
      </w:r>
    </w:p>
    <w:p w14:paraId="2391E557" w14:textId="77777777" w:rsidR="008D11F8" w:rsidRDefault="008D11F8" w:rsidP="008D11F8">
      <w:pPr>
        <w:ind w:left="426"/>
      </w:pPr>
      <w:proofErr w:type="spellStart"/>
      <w:r w:rsidRPr="00CC2E86">
        <w:t>Perucca</w:t>
      </w:r>
      <w:proofErr w:type="spellEnd"/>
      <w:r>
        <w:t xml:space="preserve"> E, Brodie MJ, Kwan P, Tomson T. 30 years of second-generation antiseizure medications: impact and future perspectives. Lancet. Neurol. 2020; 19: 544 – 556.</w:t>
      </w:r>
    </w:p>
    <w:p w14:paraId="2F18060F" w14:textId="2E4E95BA" w:rsidR="008D11F8" w:rsidRDefault="008D11F8" w:rsidP="008D11F8">
      <w:pPr>
        <w:ind w:left="426"/>
      </w:pPr>
      <w:proofErr w:type="spellStart"/>
      <w:r w:rsidRPr="00CC2E86">
        <w:t>Schuele</w:t>
      </w:r>
      <w:proofErr w:type="spellEnd"/>
      <w:r>
        <w:t xml:space="preserve"> SU, </w:t>
      </w:r>
      <w:proofErr w:type="spellStart"/>
      <w:r w:rsidRPr="00CC2E86">
        <w:t>Luders</w:t>
      </w:r>
      <w:proofErr w:type="spellEnd"/>
      <w:r>
        <w:t xml:space="preserve"> HO. Intractable epilepsy: management and therapeutic alternatives. Lancet Neurol</w:t>
      </w:r>
      <w:r w:rsidR="00CF0E23">
        <w:t>.</w:t>
      </w:r>
      <w:r>
        <w:t xml:space="preserve">2008; 7:514. l 2008. </w:t>
      </w:r>
    </w:p>
    <w:p w14:paraId="47AD43EB" w14:textId="0FBC6766" w:rsidR="008D11F8" w:rsidRDefault="008D11F8" w:rsidP="008D11F8">
      <w:pPr>
        <w:ind w:left="426"/>
      </w:pPr>
      <w:proofErr w:type="spellStart"/>
      <w:r w:rsidRPr="00CC2E86">
        <w:t>Sirven</w:t>
      </w:r>
      <w:proofErr w:type="spellEnd"/>
      <w:r>
        <w:t xml:space="preserve"> JI. Evaluation and management of drug resistant epilepsy. </w:t>
      </w:r>
      <w:r w:rsidRPr="00572690">
        <w:t xml:space="preserve">In: UpToDate, </w:t>
      </w:r>
      <w:r>
        <w:t>Garcia P</w:t>
      </w:r>
      <w:r w:rsidRPr="00572690">
        <w:t xml:space="preserve"> (Ed), UpToDate, Waltham, MA. </w:t>
      </w:r>
      <w:r>
        <w:t>[</w:t>
      </w:r>
      <w:r w:rsidRPr="00572690">
        <w:t>Accessed o</w:t>
      </w:r>
      <w:r>
        <w:t>n 2</w:t>
      </w:r>
      <w:r>
        <w:rPr>
          <w:vertAlign w:val="superscript"/>
        </w:rPr>
        <w:t xml:space="preserve"> </w:t>
      </w:r>
      <w:r>
        <w:t>August 2021].</w:t>
      </w:r>
    </w:p>
    <w:p w14:paraId="5D13595F" w14:textId="77777777" w:rsidR="008D11F8" w:rsidRDefault="008D11F8" w:rsidP="008D11F8"/>
    <w:p w14:paraId="481E4567" w14:textId="77777777" w:rsidR="002A50FD" w:rsidRPr="00881F93" w:rsidRDefault="005C3AE7" w:rsidP="00317F2F">
      <w:pPr>
        <w:pStyle w:val="Subtitle"/>
        <w:ind w:left="0"/>
      </w:pPr>
      <w:r>
        <w:t xml:space="preserve">PART 6b – </w:t>
      </w:r>
      <w:r w:rsidR="002A50FD" w:rsidRPr="00881F93">
        <w:t>INFORMATION ABOUT THE INTERVENTION</w:t>
      </w:r>
    </w:p>
    <w:p w14:paraId="4C596964"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r w:rsidR="0008323F">
        <w:t>/technology</w:t>
      </w:r>
      <w:r w:rsidR="00197D29">
        <w:t>:</w:t>
      </w:r>
    </w:p>
    <w:p w14:paraId="4E55AF31" w14:textId="2E7C44F8" w:rsidR="00AC6D1A" w:rsidRDefault="00B02C5E" w:rsidP="00001AE1">
      <w:pPr>
        <w:ind w:left="426"/>
        <w:rPr>
          <w:i/>
          <w:iCs/>
        </w:rPr>
      </w:pPr>
      <w:r w:rsidRPr="00C94F11">
        <w:t xml:space="preserve">The Deep Brain Stimulation (DBS) procedure consists of three </w:t>
      </w:r>
      <w:r w:rsidR="002B5B77">
        <w:t xml:space="preserve">main </w:t>
      </w:r>
      <w:r w:rsidRPr="00C94F11">
        <w:t>step</w:t>
      </w:r>
      <w:r w:rsidR="002B5B77">
        <w:t>s:</w:t>
      </w:r>
    </w:p>
    <w:p w14:paraId="3D67904A" w14:textId="3D271661" w:rsidR="006A556F" w:rsidRPr="00317F2F" w:rsidRDefault="00B02C5E" w:rsidP="008821E8">
      <w:pPr>
        <w:ind w:left="426"/>
        <w:rPr>
          <w:b/>
          <w:bCs/>
          <w:i/>
          <w:iCs/>
        </w:rPr>
      </w:pPr>
      <w:r w:rsidRPr="00317F2F">
        <w:rPr>
          <w:b/>
          <w:bCs/>
          <w:i/>
          <w:iCs/>
        </w:rPr>
        <w:t>Preoperative Planning</w:t>
      </w:r>
    </w:p>
    <w:p w14:paraId="2292ECE8" w14:textId="77D8B581" w:rsidR="006A556F" w:rsidRDefault="00C96A04" w:rsidP="00001AE1">
      <w:pPr>
        <w:ind w:left="426"/>
      </w:pPr>
      <w:r w:rsidRPr="006A556F">
        <w:t>P</w:t>
      </w:r>
      <w:r w:rsidR="00B02C5E">
        <w:t>reoperative planning includes p</w:t>
      </w:r>
      <w:r w:rsidRPr="006A556F">
        <w:t>resurgical testing</w:t>
      </w:r>
      <w:r>
        <w:t xml:space="preserve"> </w:t>
      </w:r>
      <w:r w:rsidR="001A71FB">
        <w:t>to</w:t>
      </w:r>
      <w:r w:rsidR="00C94F11">
        <w:t xml:space="preserve"> </w:t>
      </w:r>
      <w:r>
        <w:t xml:space="preserve">determine </w:t>
      </w:r>
      <w:r w:rsidR="00AC6D1A">
        <w:t>whether a</w:t>
      </w:r>
      <w:r>
        <w:t xml:space="preserve"> patient </w:t>
      </w:r>
      <w:r w:rsidR="00AC6D1A">
        <w:t>will</w:t>
      </w:r>
      <w:r>
        <w:t xml:space="preserve"> benefit from DBS therapy</w:t>
      </w:r>
      <w:r w:rsidR="006764F1">
        <w:t xml:space="preserve">. </w:t>
      </w:r>
      <w:r w:rsidR="00E57D36">
        <w:t>T</w:t>
      </w:r>
      <w:r w:rsidR="006764F1">
        <w:t>est</w:t>
      </w:r>
      <w:r w:rsidR="00E57D36">
        <w:t xml:space="preserve">ing is </w:t>
      </w:r>
      <w:r w:rsidR="006764F1">
        <w:t>performed in an outpatient setting</w:t>
      </w:r>
      <w:r w:rsidR="00E57D36">
        <w:t xml:space="preserve"> or after </w:t>
      </w:r>
      <w:r w:rsidR="006764F1">
        <w:t>admission to</w:t>
      </w:r>
      <w:r>
        <w:t xml:space="preserve"> an epilepsy monitoring unit at a </w:t>
      </w:r>
      <w:r w:rsidR="004E0B44">
        <w:t>C</w:t>
      </w:r>
      <w:r>
        <w:t xml:space="preserve">omprehensive </w:t>
      </w:r>
      <w:r w:rsidR="004E0B44">
        <w:t>E</w:t>
      </w:r>
      <w:r>
        <w:t xml:space="preserve">pilepsy </w:t>
      </w:r>
      <w:r w:rsidR="004E0B44">
        <w:t>Program</w:t>
      </w:r>
      <w:r>
        <w:t xml:space="preserve">. </w:t>
      </w:r>
      <w:r w:rsidR="00AC6D1A">
        <w:t>V</w:t>
      </w:r>
      <w:r>
        <w:t>ideo EEG (electroencephalogram) monitoring, MRI</w:t>
      </w:r>
      <w:r w:rsidR="001C6D16">
        <w:t xml:space="preserve">, </w:t>
      </w:r>
      <w:r w:rsidR="00323706">
        <w:t>PET,</w:t>
      </w:r>
      <w:r>
        <w:t xml:space="preserve"> </w:t>
      </w:r>
      <w:r w:rsidR="00AC6D1A">
        <w:t>and</w:t>
      </w:r>
      <w:r>
        <w:t xml:space="preserve"> other imaging tests</w:t>
      </w:r>
      <w:r w:rsidR="00323706">
        <w:t>,</w:t>
      </w:r>
      <w:r>
        <w:t xml:space="preserve"> </w:t>
      </w:r>
      <w:r w:rsidR="00E57D36">
        <w:t>as well as</w:t>
      </w:r>
      <w:r>
        <w:t xml:space="preserve"> neuropsychology testing</w:t>
      </w:r>
      <w:r w:rsidR="00AC6D1A">
        <w:t xml:space="preserve"> may be undertaken</w:t>
      </w:r>
      <w:r w:rsidR="008821E8">
        <w:t>.</w:t>
      </w:r>
      <w:r w:rsidR="00052C0F">
        <w:t xml:space="preserve"> </w:t>
      </w:r>
      <w:r w:rsidR="00C94F11">
        <w:t xml:space="preserve">A key activity prior </w:t>
      </w:r>
      <w:r w:rsidR="00C94F11" w:rsidRPr="00C94F11">
        <w:t>to surger</w:t>
      </w:r>
      <w:r w:rsidR="00C94F11">
        <w:t>y, is obtaining</w:t>
      </w:r>
      <w:r w:rsidR="00C94F11" w:rsidRPr="00C94F11">
        <w:t xml:space="preserve"> stereotactic coordinates for the target brain region by merging magnetic resonance imaging (MRI) data of the patient's brain with </w:t>
      </w:r>
      <w:r w:rsidR="00C94F11">
        <w:t>information from a</w:t>
      </w:r>
      <w:r w:rsidR="00C94F11" w:rsidRPr="00C94F11">
        <w:t xml:space="preserve"> brain atlas (</w:t>
      </w:r>
      <w:proofErr w:type="spellStart"/>
      <w:r w:rsidR="00C94F11" w:rsidRPr="00CC2E86">
        <w:rPr>
          <w:rStyle w:val="mixed-citation"/>
        </w:rPr>
        <w:t>Gionfriddo</w:t>
      </w:r>
      <w:proofErr w:type="spellEnd"/>
      <w:r w:rsidR="00C94F11" w:rsidRPr="00C94F11">
        <w:rPr>
          <w:rStyle w:val="mixed-citation"/>
        </w:rPr>
        <w:t xml:space="preserve"> et al 2013).</w:t>
      </w:r>
    </w:p>
    <w:p w14:paraId="1CEA4E5B" w14:textId="34E39794" w:rsidR="006A556F" w:rsidRPr="00317F2F" w:rsidRDefault="006A556F" w:rsidP="006A556F">
      <w:pPr>
        <w:ind w:left="426"/>
        <w:rPr>
          <w:b/>
          <w:bCs/>
          <w:i/>
          <w:iCs/>
        </w:rPr>
      </w:pPr>
      <w:r w:rsidRPr="00317F2F">
        <w:rPr>
          <w:b/>
          <w:bCs/>
          <w:i/>
          <w:iCs/>
        </w:rPr>
        <w:t>Surg</w:t>
      </w:r>
      <w:r w:rsidR="00962A6B" w:rsidRPr="00317F2F">
        <w:rPr>
          <w:b/>
          <w:bCs/>
          <w:i/>
          <w:iCs/>
        </w:rPr>
        <w:t xml:space="preserve">ical Implantation </w:t>
      </w:r>
    </w:p>
    <w:p w14:paraId="110C9B22" w14:textId="0B0816FA" w:rsidR="004513D7" w:rsidRDefault="006A556F" w:rsidP="004513D7">
      <w:pPr>
        <w:ind w:left="426"/>
      </w:pPr>
      <w:r w:rsidRPr="006A556F">
        <w:t xml:space="preserve">Implantation of the </w:t>
      </w:r>
      <w:r w:rsidR="006901FF">
        <w:t>DBS</w:t>
      </w:r>
      <w:r w:rsidRPr="006A556F">
        <w:t xml:space="preserve"> system involves two steps</w:t>
      </w:r>
      <w:r w:rsidR="00830D4A">
        <w:t xml:space="preserve">. The first is </w:t>
      </w:r>
      <w:r w:rsidRPr="006A556F">
        <w:t xml:space="preserve">placement of the </w:t>
      </w:r>
      <w:r w:rsidR="00A027AC">
        <w:t xml:space="preserve">stimulating electrode </w:t>
      </w:r>
      <w:r w:rsidRPr="006A556F">
        <w:t xml:space="preserve">in the brain and </w:t>
      </w:r>
      <w:r w:rsidR="00830D4A">
        <w:t>the second step involve</w:t>
      </w:r>
      <w:r w:rsidR="004513D7">
        <w:t>s</w:t>
      </w:r>
      <w:r w:rsidR="00830D4A">
        <w:t xml:space="preserve"> </w:t>
      </w:r>
      <w:r w:rsidRPr="006A556F">
        <w:t xml:space="preserve">surgical placement of a small pacemaker-like device, or neurostimulator, under the skin in the chest. These steps </w:t>
      </w:r>
      <w:r w:rsidR="001C6D16">
        <w:t xml:space="preserve">are often performed in a single </w:t>
      </w:r>
      <w:r w:rsidR="00A027AC">
        <w:t>procedure</w:t>
      </w:r>
      <w:r w:rsidR="00894CC9">
        <w:t>.</w:t>
      </w:r>
      <w:r w:rsidR="004513D7">
        <w:t xml:space="preserve"> </w:t>
      </w:r>
      <w:r w:rsidR="0023271E">
        <w:t>S</w:t>
      </w:r>
      <w:r w:rsidR="00C94F11" w:rsidRPr="00DB4872">
        <w:t>urgery</w:t>
      </w:r>
      <w:r w:rsidR="00E07D3E">
        <w:t xml:space="preserve"> </w:t>
      </w:r>
      <w:r w:rsidR="00CE44F1" w:rsidRPr="00DB4872">
        <w:t xml:space="preserve">involves a multidisciplinary team of surgeons, epileptologists, </w:t>
      </w:r>
      <w:r w:rsidR="00D0307F">
        <w:t>theatre</w:t>
      </w:r>
      <w:r w:rsidR="001C6D16">
        <w:t>,</w:t>
      </w:r>
      <w:r w:rsidR="00D0307F">
        <w:t xml:space="preserve"> </w:t>
      </w:r>
      <w:r w:rsidR="00CE44F1" w:rsidRPr="00DB4872">
        <w:t xml:space="preserve">and technical </w:t>
      </w:r>
      <w:r w:rsidR="00D0307F">
        <w:t xml:space="preserve">device </w:t>
      </w:r>
      <w:r w:rsidR="00CE44F1" w:rsidRPr="00DB4872">
        <w:t>staff.</w:t>
      </w:r>
    </w:p>
    <w:p w14:paraId="472E825F" w14:textId="42957AEB" w:rsidR="00CB0264" w:rsidRDefault="00CE44F1" w:rsidP="004513D7">
      <w:pPr>
        <w:ind w:left="426"/>
      </w:pPr>
      <w:r w:rsidRPr="00DB4872">
        <w:t xml:space="preserve">Surgery requires shaving </w:t>
      </w:r>
      <w:r w:rsidR="009905E3">
        <w:t>part</w:t>
      </w:r>
      <w:r w:rsidR="00323706">
        <w:t xml:space="preserve"> or all</w:t>
      </w:r>
      <w:r w:rsidR="009905E3">
        <w:t xml:space="preserve"> of the</w:t>
      </w:r>
      <w:r w:rsidRPr="00DB4872">
        <w:t xml:space="preserve"> patient’s head</w:t>
      </w:r>
      <w:r w:rsidR="009905E3">
        <w:t xml:space="preserve">, and the use of a </w:t>
      </w:r>
      <w:r w:rsidR="00DB4872" w:rsidRPr="00DB4872">
        <w:t xml:space="preserve">fixed frame that surrounds the patient's head entirely or </w:t>
      </w:r>
      <w:r w:rsidR="00AC6D1A">
        <w:t xml:space="preserve">use of </w:t>
      </w:r>
      <w:r w:rsidR="00DB4872" w:rsidRPr="00DB4872">
        <w:t>newer frameless systems which provide increased patient comfort and shorter operating times</w:t>
      </w:r>
      <w:r w:rsidR="004513D7">
        <w:t xml:space="preserve"> </w:t>
      </w:r>
      <w:r w:rsidR="00DB4872" w:rsidRPr="00DB4872">
        <w:t xml:space="preserve">(Roth et al 2018). </w:t>
      </w:r>
      <w:r w:rsidR="00DB4872">
        <w:t>U</w:t>
      </w:r>
      <w:r w:rsidRPr="00894CC9">
        <w:t>nder</w:t>
      </w:r>
      <w:r w:rsidR="00DB4872">
        <w:t xml:space="preserve"> either</w:t>
      </w:r>
      <w:r w:rsidRPr="00894CC9">
        <w:t xml:space="preserve"> local or general </w:t>
      </w:r>
      <w:r w:rsidR="00171163" w:rsidRPr="00894CC9">
        <w:t>anaesthesia,</w:t>
      </w:r>
      <w:r w:rsidRPr="00894CC9">
        <w:t xml:space="preserve"> a neurosurgeon determines the exact placement and trajectory path for the electrode lead before burr holes are drilled in</w:t>
      </w:r>
      <w:r w:rsidR="00894CC9">
        <w:t>to</w:t>
      </w:r>
      <w:r w:rsidRPr="00894CC9">
        <w:t xml:space="preserve"> the skull at the planned electrode entry points. Functional landmark region-specific neuronal activity is used to confirm the target implantation region/structure during the surgical procedure. Under imaging guidance, one or more permanent microelectrodes are inserted into the brain and intraoperative fluoroscopy and postoperative MRI or computed tomography (CT) scans are obtained to confirm electrode placement. </w:t>
      </w:r>
      <w:r w:rsidR="001A71FB">
        <w:t>T</w:t>
      </w:r>
      <w:r w:rsidR="00894CC9">
        <w:t>he</w:t>
      </w:r>
      <w:r w:rsidR="00894CC9" w:rsidRPr="006311CC">
        <w:t xml:space="preserve"> leads are </w:t>
      </w:r>
      <w:r w:rsidR="00894CC9">
        <w:t xml:space="preserve">then </w:t>
      </w:r>
      <w:r w:rsidR="00894CC9" w:rsidRPr="006311CC">
        <w:t>connected to wires</w:t>
      </w:r>
      <w:r w:rsidRPr="00894CC9">
        <w:t xml:space="preserve"> </w:t>
      </w:r>
      <w:r w:rsidR="00894CC9">
        <w:t xml:space="preserve">called </w:t>
      </w:r>
      <w:r w:rsidRPr="00894CC9">
        <w:t>lead extenders</w:t>
      </w:r>
      <w:r w:rsidR="00894CC9">
        <w:t>, which</w:t>
      </w:r>
      <w:r w:rsidRPr="00894CC9">
        <w:t xml:space="preserve"> are tunnelled subcutaneously </w:t>
      </w:r>
      <w:r w:rsidR="00894CC9">
        <w:t xml:space="preserve">under the skin behind the </w:t>
      </w:r>
      <w:r w:rsidR="007B0BC3">
        <w:t>ear</w:t>
      </w:r>
      <w:r w:rsidR="00894CC9">
        <w:t xml:space="preserve"> and </w:t>
      </w:r>
      <w:r w:rsidRPr="00894CC9">
        <w:t xml:space="preserve">down </w:t>
      </w:r>
      <w:r w:rsidR="00894CC9">
        <w:t>inside the skin</w:t>
      </w:r>
      <w:r w:rsidR="007B0BC3">
        <w:t>,</w:t>
      </w:r>
      <w:r w:rsidR="00894CC9">
        <w:t xml:space="preserve"> </w:t>
      </w:r>
      <w:r w:rsidR="007B0BC3">
        <w:t xml:space="preserve">down the side </w:t>
      </w:r>
      <w:r w:rsidR="00894CC9">
        <w:t xml:space="preserve">of </w:t>
      </w:r>
      <w:r w:rsidRPr="00894CC9">
        <w:t>the neck</w:t>
      </w:r>
      <w:r w:rsidR="007B0BC3">
        <w:t>,</w:t>
      </w:r>
      <w:r w:rsidRPr="00894CC9">
        <w:t xml:space="preserve"> to below the clavicle, </w:t>
      </w:r>
      <w:r w:rsidR="00894CC9">
        <w:t xml:space="preserve">where they are attached to the </w:t>
      </w:r>
      <w:r w:rsidR="00894CC9" w:rsidRPr="006311CC">
        <w:t>neurostimulator</w:t>
      </w:r>
      <w:r w:rsidR="00894CC9" w:rsidRPr="00894CC9">
        <w:t xml:space="preserve"> </w:t>
      </w:r>
      <w:r w:rsidR="00894CC9">
        <w:t>(</w:t>
      </w:r>
      <w:r w:rsidRPr="00894CC9">
        <w:t>pulse generator</w:t>
      </w:r>
      <w:r w:rsidR="00894CC9">
        <w:t>) (</w:t>
      </w:r>
      <w:proofErr w:type="spellStart"/>
      <w:r w:rsidR="00894CC9" w:rsidRPr="00CC2E86">
        <w:rPr>
          <w:rStyle w:val="mixed-citation"/>
        </w:rPr>
        <w:t>Zangiabadi</w:t>
      </w:r>
      <w:proofErr w:type="spellEnd"/>
      <w:r w:rsidR="00894CC9">
        <w:t xml:space="preserve"> et al 2019).</w:t>
      </w:r>
    </w:p>
    <w:p w14:paraId="1A64C58D" w14:textId="54D29677" w:rsidR="006311CC" w:rsidRPr="0041199C" w:rsidRDefault="007E210E" w:rsidP="00CB0264">
      <w:pPr>
        <w:ind w:left="426"/>
      </w:pPr>
      <w:r>
        <w:t>Part two</w:t>
      </w:r>
      <w:r w:rsidR="006311CC">
        <w:t xml:space="preserve"> of the surgery involves placement of the neurostimulator, which </w:t>
      </w:r>
      <w:r w:rsidR="00A027AC">
        <w:t xml:space="preserve">is often </w:t>
      </w:r>
      <w:r w:rsidR="0045412A" w:rsidRPr="0041199C">
        <w:t xml:space="preserve">implanted </w:t>
      </w:r>
      <w:r w:rsidR="00E07D3E">
        <w:t>on</w:t>
      </w:r>
      <w:r w:rsidR="0045412A" w:rsidRPr="0041199C">
        <w:t xml:space="preserve"> the same day/time as placement of the leads in the brain. Under general anaesthesia the surgeon places the neurostimulator under the skin of the chest, just below the collarbone and then connect</w:t>
      </w:r>
      <w:r>
        <w:t>s</w:t>
      </w:r>
      <w:r w:rsidR="0045412A" w:rsidRPr="0041199C">
        <w:t xml:space="preserve"> the leads to the neurostimulator</w:t>
      </w:r>
      <w:r w:rsidR="00A027AC">
        <w:t>.</w:t>
      </w:r>
      <w:r w:rsidR="006311CC">
        <w:t xml:space="preserve"> The neurostimulator device is </w:t>
      </w:r>
      <w:r w:rsidR="00A027AC">
        <w:t>similar to</w:t>
      </w:r>
      <w:r w:rsidR="006311CC">
        <w:t xml:space="preserve"> a heart pacemaker and contains a small battery and a computer chip programmed to send electrical impulses to the brain</w:t>
      </w:r>
      <w:r w:rsidR="00A027AC">
        <w:t>, via the implanted electrodes</w:t>
      </w:r>
      <w:r w:rsidR="006311CC">
        <w:t>.</w:t>
      </w:r>
    </w:p>
    <w:p w14:paraId="1FAE56C5" w14:textId="539EFC3C" w:rsidR="005577B2" w:rsidRPr="00001AE1" w:rsidRDefault="0041199C" w:rsidP="00001AE1">
      <w:pPr>
        <w:ind w:left="426"/>
      </w:pPr>
      <w:r w:rsidRPr="0041199C">
        <w:t xml:space="preserve">Depending on the person’s surgical plan, </w:t>
      </w:r>
      <w:r w:rsidR="0045412A" w:rsidRPr="0041199C">
        <w:t xml:space="preserve">people </w:t>
      </w:r>
      <w:r w:rsidR="00794F06">
        <w:t xml:space="preserve">typically </w:t>
      </w:r>
      <w:r w:rsidR="0045412A" w:rsidRPr="0041199C">
        <w:t xml:space="preserve">spend a day or two </w:t>
      </w:r>
      <w:r w:rsidR="00794F06">
        <w:t>in</w:t>
      </w:r>
      <w:r w:rsidR="0045412A" w:rsidRPr="0041199C">
        <w:t xml:space="preserve"> hospital. Analgesia is prescribed to manage pain at the incision sites and overall healing </w:t>
      </w:r>
      <w:r w:rsidRPr="0041199C">
        <w:t>usually takes</w:t>
      </w:r>
      <w:r w:rsidR="0045412A" w:rsidRPr="0041199C">
        <w:t xml:space="preserve"> several weeks</w:t>
      </w:r>
      <w:r w:rsidR="009905E3">
        <w:t>.</w:t>
      </w:r>
    </w:p>
    <w:p w14:paraId="3F7B126F" w14:textId="29F7BA2F" w:rsidR="00962A6B" w:rsidRPr="00317F2F" w:rsidRDefault="00962A6B" w:rsidP="00962A6B">
      <w:pPr>
        <w:ind w:left="426"/>
        <w:rPr>
          <w:b/>
          <w:bCs/>
          <w:i/>
          <w:iCs/>
        </w:rPr>
      </w:pPr>
      <w:r w:rsidRPr="00317F2F">
        <w:rPr>
          <w:b/>
          <w:bCs/>
          <w:i/>
          <w:iCs/>
        </w:rPr>
        <w:t>Post-operative Assessment</w:t>
      </w:r>
    </w:p>
    <w:p w14:paraId="62E1DB60" w14:textId="26922A43" w:rsidR="007E210E" w:rsidRDefault="009905E3" w:rsidP="00317F2F">
      <w:pPr>
        <w:ind w:left="426"/>
      </w:pPr>
      <w:r>
        <w:t>S</w:t>
      </w:r>
      <w:r w:rsidR="008D294E">
        <w:t>everal postoperative outpatient clinic visits are arranged</w:t>
      </w:r>
      <w:r w:rsidR="00E07D3E">
        <w:t>,</w:t>
      </w:r>
      <w:r w:rsidR="008D294E">
        <w:t xml:space="preserve"> over a three-to-six-month period</w:t>
      </w:r>
      <w:r w:rsidR="00E07D3E">
        <w:t>,</w:t>
      </w:r>
      <w:r w:rsidR="008D294E">
        <w:t xml:space="preserve"> to program the neurostimulator system and determine optimal parameters including amplitude, frequency, and pulse width (Edwards et al 2017). </w:t>
      </w:r>
      <w:r w:rsidR="004632FB">
        <w:t>At the</w:t>
      </w:r>
      <w:r w:rsidR="008D294E">
        <w:t xml:space="preserve"> first visit</w:t>
      </w:r>
      <w:r w:rsidR="004632FB">
        <w:t xml:space="preserve">, </w:t>
      </w:r>
      <w:r w:rsidR="008D294E">
        <w:t>s</w:t>
      </w:r>
      <w:r w:rsidR="0045412A" w:rsidRPr="00C52826">
        <w:t>everal weeks after surgery</w:t>
      </w:r>
      <w:r w:rsidR="004632FB">
        <w:t xml:space="preserve">, </w:t>
      </w:r>
      <w:r w:rsidR="00C52826" w:rsidRPr="00C52826">
        <w:t xml:space="preserve">the stimulator </w:t>
      </w:r>
      <w:r w:rsidR="004632FB">
        <w:t>is</w:t>
      </w:r>
      <w:r w:rsidR="00C52826" w:rsidRPr="00C52826">
        <w:t xml:space="preserve"> programmed </w:t>
      </w:r>
      <w:r w:rsidR="004D0966">
        <w:t xml:space="preserve">by a clinician </w:t>
      </w:r>
      <w:r w:rsidR="00C52826" w:rsidRPr="00C52826">
        <w:t>using a small hand-held computer that sets the amount (strength and length of time) of electrical stimulation given</w:t>
      </w:r>
      <w:r w:rsidR="008D294E">
        <w:t>. Th</w:t>
      </w:r>
      <w:r w:rsidR="00D25E24">
        <w:t>ese details are</w:t>
      </w:r>
      <w:r w:rsidR="008D294E">
        <w:t xml:space="preserve"> fined tuned </w:t>
      </w:r>
      <w:r w:rsidR="004632FB">
        <w:t>at</w:t>
      </w:r>
      <w:r w:rsidR="008D294E">
        <w:t xml:space="preserve"> subsequent visits using patient feedback and seizure control information</w:t>
      </w:r>
      <w:r w:rsidR="00C52826" w:rsidRPr="00C52826">
        <w:t xml:space="preserve">. </w:t>
      </w:r>
      <w:r w:rsidR="008D294E">
        <w:t>P</w:t>
      </w:r>
      <w:r w:rsidR="00C52826" w:rsidRPr="00C52826">
        <w:t xml:space="preserve">recise settings vary from person to </w:t>
      </w:r>
      <w:r w:rsidR="00D25E24" w:rsidRPr="00C52826">
        <w:t>person,</w:t>
      </w:r>
      <w:r w:rsidR="008D294E">
        <w:t xml:space="preserve"> and</w:t>
      </w:r>
      <w:r w:rsidR="00C52826" w:rsidRPr="00C52826">
        <w:t xml:space="preserve"> it </w:t>
      </w:r>
      <w:r w:rsidR="008D294E">
        <w:t>can</w:t>
      </w:r>
      <w:r w:rsidR="00C52826" w:rsidRPr="00C52826">
        <w:t xml:space="preserve"> take several months to find the right level of stimulation</w:t>
      </w:r>
      <w:r w:rsidR="00C52826">
        <w:t>. Throughout this time the</w:t>
      </w:r>
      <w:r w:rsidR="00C52826" w:rsidRPr="00C52826">
        <w:t xml:space="preserve"> person’s progress is closely monitored </w:t>
      </w:r>
      <w:r w:rsidR="00C52826">
        <w:t>by their medical team</w:t>
      </w:r>
      <w:bookmarkStart w:id="11" w:name="_Hlk79407454"/>
      <w:r w:rsidR="00C52826" w:rsidRPr="00C52826">
        <w:t xml:space="preserve">. </w:t>
      </w:r>
      <w:bookmarkEnd w:id="11"/>
      <w:r w:rsidR="007E210E">
        <w:t>Patients are given their</w:t>
      </w:r>
      <w:r w:rsidR="00C52826" w:rsidRPr="00C52826">
        <w:t xml:space="preserve"> own programm</w:t>
      </w:r>
      <w:r w:rsidR="00EE2BF8">
        <w:t>ing device</w:t>
      </w:r>
      <w:r w:rsidR="00C52826" w:rsidRPr="00C52826">
        <w:t xml:space="preserve"> (</w:t>
      </w:r>
      <w:r w:rsidR="00C52826">
        <w:t>about the size of a mobile phone), enabling them to manage the neurostimulator themselves</w:t>
      </w:r>
      <w:r w:rsidR="00D25E24">
        <w:t xml:space="preserve">. </w:t>
      </w:r>
      <w:r w:rsidR="003A4882" w:rsidRPr="003A4882">
        <w:t>When a person experiences a seizure and feels that further seizure(s)</w:t>
      </w:r>
      <w:r w:rsidR="003A4882">
        <w:t xml:space="preserve"> are likely</w:t>
      </w:r>
      <w:r w:rsidR="003A4882" w:rsidRPr="003A4882">
        <w:t>, they can use their programmer to activate DBS therapy to try to stop a seizure from happening</w:t>
      </w:r>
      <w:r w:rsidR="004632FB">
        <w:t>.</w:t>
      </w:r>
    </w:p>
    <w:p w14:paraId="22F218BA" w14:textId="77777777" w:rsidR="00C64099" w:rsidRPr="00317F2F" w:rsidRDefault="00C64099" w:rsidP="007E210E">
      <w:pPr>
        <w:ind w:left="426"/>
        <w:rPr>
          <w:b/>
          <w:bCs/>
          <w:i/>
          <w:iCs/>
        </w:rPr>
      </w:pPr>
      <w:r w:rsidRPr="00317F2F">
        <w:rPr>
          <w:b/>
          <w:bCs/>
          <w:i/>
          <w:iCs/>
        </w:rPr>
        <w:t>References Cited</w:t>
      </w:r>
    </w:p>
    <w:p w14:paraId="193BBD1C" w14:textId="3F00F635" w:rsidR="007E210E" w:rsidRPr="008821E8" w:rsidRDefault="007E210E" w:rsidP="007E210E">
      <w:pPr>
        <w:ind w:left="426"/>
        <w:rPr>
          <w:u w:val="single"/>
        </w:rPr>
      </w:pPr>
      <w:r>
        <w:t xml:space="preserve">Edwards CA, </w:t>
      </w:r>
      <w:r w:rsidRPr="006A6B7B">
        <w:rPr>
          <w:lang w:eastAsia="ja-JP"/>
        </w:rPr>
        <w:t>Kouzani</w:t>
      </w:r>
      <w:r>
        <w:t xml:space="preserve"> A, Lee KH, Ross EK. Neurostimulation devices for the treatment of neurologic disorders.  Mayo Clin Proc. 2017; 92: 1427 – 44. </w:t>
      </w:r>
    </w:p>
    <w:p w14:paraId="7E2F0F1A" w14:textId="262C4B35" w:rsidR="00A656CA" w:rsidRDefault="00A656CA" w:rsidP="00A656CA">
      <w:pPr>
        <w:ind w:left="426"/>
        <w:rPr>
          <w:color w:val="0000FF"/>
        </w:rPr>
      </w:pPr>
      <w:proofErr w:type="spellStart"/>
      <w:r w:rsidRPr="003979E8">
        <w:rPr>
          <w:rStyle w:val="mixed-citation"/>
        </w:rPr>
        <w:lastRenderedPageBreak/>
        <w:t>Gionfriddo</w:t>
      </w:r>
      <w:proofErr w:type="spellEnd"/>
      <w:r>
        <w:rPr>
          <w:rStyle w:val="mixed-citation"/>
        </w:rPr>
        <w:t xml:space="preserve"> MR, Greenberg AJ, </w:t>
      </w:r>
      <w:proofErr w:type="spellStart"/>
      <w:r w:rsidRPr="003979E8">
        <w:rPr>
          <w:rStyle w:val="mixed-citation"/>
        </w:rPr>
        <w:t>Wahegaonkar</w:t>
      </w:r>
      <w:proofErr w:type="spellEnd"/>
      <w:r>
        <w:rPr>
          <w:rStyle w:val="mixed-citation"/>
        </w:rPr>
        <w:t xml:space="preserve"> AL, Lee KH. </w:t>
      </w:r>
      <w:r>
        <w:rPr>
          <w:rStyle w:val="ref-title"/>
        </w:rPr>
        <w:t>Pathways of translation: deep brain stimulation</w:t>
      </w:r>
      <w:r>
        <w:rPr>
          <w:rStyle w:val="mixed-citation"/>
        </w:rPr>
        <w:t xml:space="preserve">. </w:t>
      </w:r>
      <w:r>
        <w:rPr>
          <w:rStyle w:val="ref-journal"/>
        </w:rPr>
        <w:t xml:space="preserve">Clin </w:t>
      </w:r>
      <w:proofErr w:type="spellStart"/>
      <w:r>
        <w:rPr>
          <w:rStyle w:val="ref-journal"/>
        </w:rPr>
        <w:t>Transl</w:t>
      </w:r>
      <w:proofErr w:type="spellEnd"/>
      <w:r>
        <w:rPr>
          <w:rStyle w:val="ref-journal"/>
        </w:rPr>
        <w:t xml:space="preserve"> Sci.</w:t>
      </w:r>
      <w:r>
        <w:rPr>
          <w:rStyle w:val="mixed-citation"/>
        </w:rPr>
        <w:t xml:space="preserve"> 2013</w:t>
      </w:r>
      <w:r w:rsidR="007E210E">
        <w:rPr>
          <w:rStyle w:val="mixed-citation"/>
        </w:rPr>
        <w:t>;</w:t>
      </w:r>
      <w:r>
        <w:rPr>
          <w:rStyle w:val="mixed-citation"/>
        </w:rPr>
        <w:t xml:space="preserve"> </w:t>
      </w:r>
      <w:r>
        <w:rPr>
          <w:rStyle w:val="ref-vol"/>
        </w:rPr>
        <w:t>6</w:t>
      </w:r>
      <w:r>
        <w:rPr>
          <w:rStyle w:val="mixed-citation"/>
        </w:rPr>
        <w:t>:497–501. 10.1111/cts.12055</w:t>
      </w:r>
    </w:p>
    <w:p w14:paraId="03396842" w14:textId="77777777" w:rsidR="00A656CA" w:rsidRPr="003979E8" w:rsidRDefault="00A656CA" w:rsidP="00A656CA">
      <w:pPr>
        <w:ind w:left="426"/>
        <w:rPr>
          <w:lang w:val="it-IT"/>
        </w:rPr>
      </w:pPr>
      <w:r w:rsidRPr="00DB4872">
        <w:t xml:space="preserve">Roth A, </w:t>
      </w:r>
      <w:proofErr w:type="spellStart"/>
      <w:r w:rsidRPr="003979E8">
        <w:t>Buttrick</w:t>
      </w:r>
      <w:proofErr w:type="spellEnd"/>
      <w:r w:rsidRPr="00DB4872">
        <w:t xml:space="preserve"> SS, </w:t>
      </w:r>
      <w:proofErr w:type="spellStart"/>
      <w:r w:rsidRPr="003979E8">
        <w:t>Cajigas</w:t>
      </w:r>
      <w:proofErr w:type="spellEnd"/>
      <w:r w:rsidRPr="00DB4872">
        <w:t xml:space="preserve"> I, </w:t>
      </w:r>
      <w:proofErr w:type="spellStart"/>
      <w:r w:rsidRPr="003979E8">
        <w:t>Jagid</w:t>
      </w:r>
      <w:proofErr w:type="spellEnd"/>
      <w:r w:rsidRPr="00DB4872">
        <w:t xml:space="preserve"> JR, Ivan ME. Accuracy of frame-based and frameless systems for deep brain stimulation: a meta-analysis. </w:t>
      </w:r>
      <w:r w:rsidRPr="007838DC">
        <w:rPr>
          <w:lang w:val="it-IT"/>
        </w:rPr>
        <w:t xml:space="preserve">J Clin Neurosci. (2018) 57:1–5. </w:t>
      </w:r>
    </w:p>
    <w:p w14:paraId="3080DDC5" w14:textId="0F6C0A30" w:rsidR="004513D7" w:rsidRPr="00DB4872" w:rsidRDefault="00A656CA" w:rsidP="00317F2F">
      <w:pPr>
        <w:ind w:left="426"/>
      </w:pPr>
      <w:r w:rsidRPr="003979E8">
        <w:rPr>
          <w:rStyle w:val="mixed-citation"/>
          <w:lang w:val="it-IT"/>
        </w:rPr>
        <w:t xml:space="preserve">Zangiabadi N, Ladino LD, Sina F et al. </w:t>
      </w:r>
      <w:r w:rsidRPr="00894CC9">
        <w:rPr>
          <w:rStyle w:val="mixed-citation"/>
        </w:rPr>
        <w:t>Deep Brain Stimulation and Drug-Resistant Epilepsy: A Review of the Literature</w:t>
      </w:r>
      <w:r>
        <w:rPr>
          <w:rStyle w:val="mixed-citation"/>
        </w:rPr>
        <w:t xml:space="preserve">. </w:t>
      </w:r>
      <w:r w:rsidRPr="00894CC9">
        <w:rPr>
          <w:rStyle w:val="mixed-citation"/>
        </w:rPr>
        <w:t xml:space="preserve">Front Neurol. 2019; 10: 601.Published online 2019 Jun 6. </w:t>
      </w:r>
    </w:p>
    <w:p w14:paraId="646CB29B"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1691E89B" w14:textId="3ECF97D9" w:rsidR="00916C19" w:rsidRDefault="00F201AF" w:rsidP="00317F2F">
      <w:pPr>
        <w:ind w:left="426"/>
      </w:pPr>
      <w:r>
        <w:t>The</w:t>
      </w:r>
      <w:r w:rsidR="00074512">
        <w:t xml:space="preserve"> proposed medical service does not include a </w:t>
      </w:r>
      <w:r w:rsidR="00113582">
        <w:t>trademark</w:t>
      </w:r>
      <w:r w:rsidR="00074512">
        <w:t>.</w:t>
      </w:r>
    </w:p>
    <w:p w14:paraId="3CC17D1E"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w:t>
      </w:r>
      <w:r w:rsidRPr="00E07D3E">
        <w:t>device</w:t>
      </w:r>
      <w:r w:rsidRPr="00154B00">
        <w:t xml:space="preserve"> component to it, does it involve a new approach towards managing a particular sub-group of the population with the specific medical condition?</w:t>
      </w:r>
    </w:p>
    <w:p w14:paraId="37C48B00" w14:textId="3D013374" w:rsidR="00C64099" w:rsidRPr="008C2478" w:rsidRDefault="006901FF" w:rsidP="00317F2F">
      <w:pPr>
        <w:ind w:left="426"/>
      </w:pPr>
      <w:r>
        <w:t>DBS</w:t>
      </w:r>
      <w:r w:rsidR="008C2478" w:rsidRPr="008C2478">
        <w:t xml:space="preserve"> involves a new approach to managing sub-groups of the population with epilepsy</w:t>
      </w:r>
      <w:r w:rsidR="00A40193">
        <w:t xml:space="preserve"> in Australia</w:t>
      </w:r>
      <w:r w:rsidR="00CB17CE">
        <w:t xml:space="preserve">, </w:t>
      </w:r>
      <w:r w:rsidR="008E3A8D">
        <w:t xml:space="preserve">specifically </w:t>
      </w:r>
      <w:r w:rsidR="00CB17CE">
        <w:t xml:space="preserve">people with </w:t>
      </w:r>
      <w:r w:rsidR="008C2478">
        <w:t>medically refractory epilepsy</w:t>
      </w:r>
      <w:r w:rsidR="00D5724B">
        <w:t xml:space="preserve">. </w:t>
      </w:r>
      <w:r w:rsidR="00A40193">
        <w:t>The</w:t>
      </w:r>
      <w:r w:rsidR="00D5724B">
        <w:t xml:space="preserve"> the</w:t>
      </w:r>
      <w:r w:rsidR="00A40193">
        <w:t xml:space="preserve">rapy </w:t>
      </w:r>
      <w:r w:rsidR="008C2478" w:rsidRPr="008C2478">
        <w:t>i</w:t>
      </w:r>
      <w:r w:rsidR="008C2478">
        <w:t xml:space="preserve">nvolves the use of a </w:t>
      </w:r>
      <w:r>
        <w:t>DBS</w:t>
      </w:r>
      <w:r w:rsidR="008E3A8D">
        <w:t xml:space="preserve"> </w:t>
      </w:r>
      <w:r w:rsidR="008C2478">
        <w:t>device</w:t>
      </w:r>
      <w:r w:rsidR="00D5724B">
        <w:t>s</w:t>
      </w:r>
      <w:r w:rsidR="008C2478">
        <w:t xml:space="preserve">, as described in Part 3. </w:t>
      </w:r>
      <w:r w:rsidR="00D5724B">
        <w:t>Note</w:t>
      </w:r>
      <w:r w:rsidR="004D5836">
        <w:t xml:space="preserve">, </w:t>
      </w:r>
      <w:r>
        <w:t>DBS</w:t>
      </w:r>
      <w:r w:rsidR="008C2478">
        <w:t xml:space="preserve"> </w:t>
      </w:r>
      <w:r w:rsidR="00A40193">
        <w:t xml:space="preserve">for epilepsy </w:t>
      </w:r>
      <w:r w:rsidR="008C2478">
        <w:t xml:space="preserve">was </w:t>
      </w:r>
      <w:r w:rsidR="008E3A8D">
        <w:t xml:space="preserve">approved in 2018 by the </w:t>
      </w:r>
      <w:r w:rsidR="008C2478">
        <w:t xml:space="preserve">US Food and Drug Administration as adjunctive therapy </w:t>
      </w:r>
      <w:r w:rsidR="008C2478" w:rsidRPr="004E5150">
        <w:t xml:space="preserve">for </w:t>
      </w:r>
      <w:r w:rsidR="004D0966" w:rsidRPr="004E5150">
        <w:t xml:space="preserve">patients </w:t>
      </w:r>
      <w:r w:rsidR="008C2478" w:rsidRPr="004E5150">
        <w:t>with</w:t>
      </w:r>
      <w:r w:rsidR="008C2478">
        <w:t xml:space="preserve"> partial onset seizures who are refractory to three or more antiseizure medications (Voe</w:t>
      </w:r>
      <w:r w:rsidR="00CB17CE">
        <w:t>l</w:t>
      </w:r>
      <w:r w:rsidR="008C2478">
        <w:t>ker 2018).</w:t>
      </w:r>
      <w:r w:rsidR="004D5836">
        <w:t xml:space="preserve"> </w:t>
      </w:r>
    </w:p>
    <w:p w14:paraId="3FCAF622" w14:textId="2FFBDEFA" w:rsidR="00C64099" w:rsidRPr="00317F2F" w:rsidRDefault="00C64099" w:rsidP="008C2478">
      <w:pPr>
        <w:ind w:left="426"/>
        <w:rPr>
          <w:b/>
          <w:i/>
          <w:iCs/>
          <w:szCs w:val="20"/>
        </w:rPr>
      </w:pPr>
      <w:r w:rsidRPr="00317F2F">
        <w:rPr>
          <w:b/>
          <w:i/>
          <w:iCs/>
          <w:szCs w:val="20"/>
        </w:rPr>
        <w:t xml:space="preserve">References </w:t>
      </w:r>
      <w:r w:rsidR="00A2017B" w:rsidRPr="00317F2F">
        <w:rPr>
          <w:b/>
          <w:i/>
          <w:iCs/>
          <w:szCs w:val="20"/>
        </w:rPr>
        <w:t>Cited</w:t>
      </w:r>
    </w:p>
    <w:p w14:paraId="18C1737C" w14:textId="721FB7E3" w:rsidR="00C64099" w:rsidRDefault="004E6BAD" w:rsidP="00317F2F">
      <w:pPr>
        <w:ind w:left="426"/>
        <w:rPr>
          <w:bCs/>
          <w:szCs w:val="20"/>
        </w:rPr>
      </w:pPr>
      <w:r w:rsidRPr="004E6BAD">
        <w:rPr>
          <w:bCs/>
          <w:szCs w:val="20"/>
        </w:rPr>
        <w:t>Voelker R. Electrical Stimulation for Epilepsy. JAMA. 2018;</w:t>
      </w:r>
      <w:r w:rsidR="00C64099">
        <w:rPr>
          <w:bCs/>
          <w:szCs w:val="20"/>
        </w:rPr>
        <w:t xml:space="preserve"> </w:t>
      </w:r>
      <w:r w:rsidRPr="004E6BAD">
        <w:rPr>
          <w:bCs/>
          <w:szCs w:val="20"/>
        </w:rPr>
        <w:t>319(21):2164.</w:t>
      </w:r>
    </w:p>
    <w:p w14:paraId="548C17E4" w14:textId="5CEB5029" w:rsidR="006B1B4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601875">
        <w:t>i.e.,</w:t>
      </w:r>
      <w:r w:rsidR="00DF0C51">
        <w:t xml:space="preserve"> </w:t>
      </w:r>
      <w:r w:rsidR="00707D4D">
        <w:t xml:space="preserve">accessibility, </w:t>
      </w:r>
      <w:r w:rsidR="00DF0C51" w:rsidRPr="0073597B">
        <w:t>dosage</w:t>
      </w:r>
      <w:r w:rsidR="00DF0C51">
        <w:t xml:space="preserve">, quantity, </w:t>
      </w:r>
      <w:r w:rsidR="00601875">
        <w:t>duration,</w:t>
      </w:r>
      <w:r w:rsidR="00DF0C51">
        <w:t xml:space="preserve"> or frequency</w:t>
      </w:r>
      <w:r w:rsidR="00D30BDC">
        <w:t>)</w:t>
      </w:r>
      <w:r w:rsidR="00093F22">
        <w:t>?</w:t>
      </w:r>
    </w:p>
    <w:p w14:paraId="628C7E2F" w14:textId="45D96947" w:rsidR="00172AC2" w:rsidRDefault="006A471D" w:rsidP="00CB17CE">
      <w:pPr>
        <w:ind w:left="426"/>
      </w:pPr>
      <w:r>
        <w:t xml:space="preserve">As described earlier, </w:t>
      </w:r>
      <w:r w:rsidRPr="00491B7F">
        <w:t>deep brain</w:t>
      </w:r>
      <w:r w:rsidR="00043404">
        <w:t xml:space="preserve"> stimulation of the </w:t>
      </w:r>
      <w:r w:rsidR="009563EA">
        <w:t>thalam</w:t>
      </w:r>
      <w:r w:rsidR="00043404">
        <w:t>us</w:t>
      </w:r>
      <w:r w:rsidRPr="00491B7F">
        <w:t xml:space="preserve"> </w:t>
      </w:r>
      <w:r w:rsidR="009563EA">
        <w:t xml:space="preserve">for treatment of </w:t>
      </w:r>
      <w:r w:rsidR="00FD2225">
        <w:t xml:space="preserve">medically </w:t>
      </w:r>
      <w:r w:rsidR="009563EA">
        <w:t>refractory</w:t>
      </w:r>
      <w:r w:rsidRPr="00491B7F">
        <w:t xml:space="preserve"> epilepsy will be limited to </w:t>
      </w:r>
      <w:r w:rsidR="009563EA">
        <w:t>patients</w:t>
      </w:r>
      <w:r w:rsidR="002B4C52">
        <w:t xml:space="preserve"> </w:t>
      </w:r>
      <w:r w:rsidR="0003107B">
        <w:t xml:space="preserve">who either continue to have seizures despite prior epilepsy surgery or who are </w:t>
      </w:r>
      <w:r w:rsidR="002B4C52">
        <w:t xml:space="preserve">not suitable for </w:t>
      </w:r>
      <w:r w:rsidR="00043404">
        <w:t xml:space="preserve">curative </w:t>
      </w:r>
      <w:r w:rsidR="00FD2225">
        <w:t xml:space="preserve">resective </w:t>
      </w:r>
      <w:r w:rsidR="002B4C52">
        <w:t>surgery.</w:t>
      </w:r>
      <w:r w:rsidR="009563EA">
        <w:t xml:space="preserve"> </w:t>
      </w:r>
    </w:p>
    <w:p w14:paraId="2AEE0EFC" w14:textId="45DE7BFF" w:rsidR="001518E8" w:rsidRPr="00317F2F" w:rsidRDefault="006A471D" w:rsidP="00317F2F">
      <w:pPr>
        <w:ind w:left="426"/>
      </w:pPr>
      <w:r>
        <w:t xml:space="preserve">Patients with suspected medical refractory epilepsy will have </w:t>
      </w:r>
      <w:r w:rsidR="00172AC2">
        <w:t xml:space="preserve">been referred to a Comprehensive Epilepsy </w:t>
      </w:r>
      <w:r w:rsidR="004D0966">
        <w:t>Program</w:t>
      </w:r>
      <w:r w:rsidR="004E5150">
        <w:t>. They will</w:t>
      </w:r>
      <w:r w:rsidR="00172AC2">
        <w:t xml:space="preserve"> have </w:t>
      </w:r>
      <w:r>
        <w:t xml:space="preserve">had their initial diagnosis of epilepsy reconfirmed </w:t>
      </w:r>
      <w:r w:rsidR="00A7043B">
        <w:t xml:space="preserve">and </w:t>
      </w:r>
      <w:r w:rsidR="004E5150">
        <w:t xml:space="preserve">they </w:t>
      </w:r>
      <w:r w:rsidR="00A7043B">
        <w:t xml:space="preserve">will </w:t>
      </w:r>
      <w:r w:rsidR="00172AC2">
        <w:t xml:space="preserve">have </w:t>
      </w:r>
      <w:r w:rsidR="00A7043B">
        <w:t>be</w:t>
      </w:r>
      <w:r w:rsidR="00172AC2">
        <w:t>en</w:t>
      </w:r>
      <w:r w:rsidR="00A7043B">
        <w:t xml:space="preserve"> </w:t>
      </w:r>
      <w:r>
        <w:t>subsequently diagnosed with medical refractory epilepsy</w:t>
      </w:r>
      <w:r w:rsidR="004E5150">
        <w:t>, d</w:t>
      </w:r>
      <w:r w:rsidR="004D0966">
        <w:t xml:space="preserve">espite adequate trials of two </w:t>
      </w:r>
      <w:r w:rsidR="00F9622A">
        <w:t>antiseizure</w:t>
      </w:r>
      <w:r w:rsidR="004D0966">
        <w:t xml:space="preserve"> medications, </w:t>
      </w:r>
      <w:r w:rsidR="004E5150">
        <w:t xml:space="preserve">assessment </w:t>
      </w:r>
      <w:r w:rsidR="004D0966">
        <w:t xml:space="preserve">by a </w:t>
      </w:r>
      <w:r w:rsidR="004E0B44">
        <w:t>C</w:t>
      </w:r>
      <w:r w:rsidR="004D0966">
        <w:t xml:space="preserve">omprehensive </w:t>
      </w:r>
      <w:r w:rsidR="004E0B44">
        <w:t>E</w:t>
      </w:r>
      <w:r w:rsidR="004D0966">
        <w:t xml:space="preserve">pilepsy </w:t>
      </w:r>
      <w:r w:rsidR="004E0B44">
        <w:t>P</w:t>
      </w:r>
      <w:r w:rsidR="004D0966">
        <w:t>rogram and having been considered for alternative surgical options, including resection, ablation, and/or VNS.</w:t>
      </w:r>
    </w:p>
    <w:p w14:paraId="368DEFD9" w14:textId="4E01BF94" w:rsidR="00651261" w:rsidRDefault="00791C8D" w:rsidP="00651261">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36603DDF" w14:textId="56CEA2BF" w:rsidR="00A656CA" w:rsidRDefault="00651261" w:rsidP="00313E64">
      <w:pPr>
        <w:ind w:left="426"/>
      </w:pPr>
      <w:r>
        <w:t>H</w:t>
      </w:r>
      <w:r w:rsidR="00A656CA">
        <w:t xml:space="preserve">ealthcare resources </w:t>
      </w:r>
      <w:r w:rsidR="00E07D3E">
        <w:t>and</w:t>
      </w:r>
      <w:r w:rsidR="00A656CA">
        <w:t xml:space="preserve"> medical services that would need to be delivered at the same time as </w:t>
      </w:r>
      <w:r w:rsidR="006901FF">
        <w:t>DBS</w:t>
      </w:r>
      <w:r w:rsidR="00A656CA">
        <w:t xml:space="preserve"> therapy include:</w:t>
      </w:r>
    </w:p>
    <w:p w14:paraId="79678098" w14:textId="660F8E02" w:rsidR="00916C19" w:rsidRDefault="00916C19" w:rsidP="00317F2F">
      <w:pPr>
        <w:pStyle w:val="ListParagraph"/>
        <w:numPr>
          <w:ilvl w:val="0"/>
          <w:numId w:val="38"/>
        </w:numPr>
        <w:ind w:left="993" w:hanging="284"/>
      </w:pPr>
      <w:r>
        <w:t>A</w:t>
      </w:r>
      <w:r w:rsidR="00A656CA">
        <w:t xml:space="preserve">naesthesia </w:t>
      </w:r>
      <w:r>
        <w:t>medications</w:t>
      </w:r>
    </w:p>
    <w:p w14:paraId="3F846E40" w14:textId="10CFE361" w:rsidR="00916C19" w:rsidRPr="00880B78" w:rsidRDefault="00916C19" w:rsidP="00317F2F">
      <w:pPr>
        <w:pStyle w:val="ListParagraph"/>
        <w:numPr>
          <w:ilvl w:val="0"/>
          <w:numId w:val="38"/>
        </w:numPr>
        <w:ind w:left="993" w:hanging="284"/>
      </w:pPr>
      <w:r>
        <w:t>A</w:t>
      </w:r>
      <w:r w:rsidR="00A40193">
        <w:t xml:space="preserve">nalgesia </w:t>
      </w:r>
      <w:r w:rsidR="00313E64">
        <w:t>medication</w:t>
      </w:r>
      <w:r w:rsidR="00210029">
        <w:t>s</w:t>
      </w:r>
      <w:r w:rsidR="00313E64">
        <w:t xml:space="preserve"> </w:t>
      </w:r>
    </w:p>
    <w:p w14:paraId="5515F1A9" w14:textId="0347BB49" w:rsidR="00880B78" w:rsidRDefault="00880B78" w:rsidP="00317F2F">
      <w:pPr>
        <w:pStyle w:val="ListParagraph"/>
        <w:numPr>
          <w:ilvl w:val="0"/>
          <w:numId w:val="19"/>
        </w:numPr>
        <w:ind w:left="993" w:hanging="284"/>
      </w:pPr>
      <w:r>
        <w:t xml:space="preserve">MRI—scan of head (including MRA, if performed) for </w:t>
      </w:r>
      <w:r>
        <w:rPr>
          <w:rStyle w:val="highlight"/>
        </w:rPr>
        <w:t>epilepsy</w:t>
      </w:r>
      <w:r>
        <w:t xml:space="preserve"> (R) (Anaes.) (Contrast) –</w:t>
      </w:r>
      <w:r w:rsidR="0075349D">
        <w:t xml:space="preserve"> MBS</w:t>
      </w:r>
      <w:r>
        <w:t xml:space="preserve"> Item </w:t>
      </w:r>
      <w:r w:rsidR="00210029" w:rsidRPr="00916C19">
        <w:t>63061</w:t>
      </w:r>
    </w:p>
    <w:p w14:paraId="02C2A260" w14:textId="0B903E75" w:rsidR="00A656CA" w:rsidRPr="00233588" w:rsidRDefault="00BF55A3" w:rsidP="00317F2F">
      <w:pPr>
        <w:pStyle w:val="ListParagraph"/>
        <w:numPr>
          <w:ilvl w:val="0"/>
          <w:numId w:val="19"/>
        </w:numPr>
        <w:ind w:left="993" w:hanging="284"/>
      </w:pPr>
      <w:r>
        <w:t xml:space="preserve">Preoperative </w:t>
      </w:r>
      <w:r w:rsidR="00763BC9">
        <w:t>and</w:t>
      </w:r>
      <w:r>
        <w:t xml:space="preserve"> postoperative CT scan –</w:t>
      </w:r>
      <w:r w:rsidR="0075349D">
        <w:t xml:space="preserve"> MBS</w:t>
      </w:r>
      <w:r>
        <w:t xml:space="preserve"> Item</w:t>
      </w:r>
      <w:r w:rsidR="00F8137E">
        <w:t xml:space="preserve"> 56001</w:t>
      </w:r>
    </w:p>
    <w:p w14:paraId="31AA3126" w14:textId="569808B9" w:rsidR="00B17E26"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5713C007" w14:textId="1022D9AB" w:rsidR="00454F18" w:rsidRPr="00454F18" w:rsidRDefault="00A656CA" w:rsidP="00233588">
      <w:pPr>
        <w:ind w:left="426"/>
      </w:pPr>
      <w:r>
        <w:t xml:space="preserve">DBS for epilepsy </w:t>
      </w:r>
      <w:r w:rsidR="00210029">
        <w:t>will be delivered by</w:t>
      </w:r>
      <w:r>
        <w:t xml:space="preserve"> </w:t>
      </w:r>
      <w:r w:rsidR="008821E8">
        <w:t>Neurosurgeons</w:t>
      </w:r>
      <w:r w:rsidR="00FA5A51">
        <w:t xml:space="preserve"> and Neurologists</w:t>
      </w:r>
      <w:r w:rsidR="00C64099">
        <w:t>.</w:t>
      </w:r>
    </w:p>
    <w:p w14:paraId="09ADEE27" w14:textId="460C09E6" w:rsidR="0022451B" w:rsidRDefault="00B17E26" w:rsidP="0022451B">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339C031E" w14:textId="240525C0" w:rsidR="00454F18" w:rsidRPr="00154B00" w:rsidRDefault="006901FF" w:rsidP="00233588">
      <w:pPr>
        <w:ind w:left="426"/>
        <w:rPr>
          <w:szCs w:val="20"/>
        </w:rPr>
      </w:pPr>
      <w:r>
        <w:rPr>
          <w:szCs w:val="20"/>
        </w:rPr>
        <w:t>DBS</w:t>
      </w:r>
      <w:r w:rsidR="00903A0C">
        <w:rPr>
          <w:szCs w:val="20"/>
        </w:rPr>
        <w:t xml:space="preserve"> therapy for epilepsy will not be</w:t>
      </w:r>
      <w:r w:rsidR="00903A0C" w:rsidRPr="00903A0C">
        <w:rPr>
          <w:szCs w:val="20"/>
        </w:rPr>
        <w:t xml:space="preserve"> delegated or referred to another </w:t>
      </w:r>
      <w:r w:rsidR="00903A0C">
        <w:rPr>
          <w:szCs w:val="20"/>
        </w:rPr>
        <w:t xml:space="preserve">health </w:t>
      </w:r>
      <w:r w:rsidR="00903A0C" w:rsidRPr="00903A0C">
        <w:rPr>
          <w:szCs w:val="20"/>
        </w:rPr>
        <w:t>professional for deliver</w:t>
      </w:r>
      <w:r w:rsidR="005139A4">
        <w:rPr>
          <w:szCs w:val="20"/>
        </w:rPr>
        <w:t>y</w:t>
      </w:r>
      <w:r w:rsidR="006401BA">
        <w:rPr>
          <w:szCs w:val="20"/>
        </w:rPr>
        <w:t xml:space="preserve">. </w:t>
      </w:r>
      <w:r w:rsidR="00FA5A51">
        <w:rPr>
          <w:szCs w:val="20"/>
        </w:rPr>
        <w:t>Consequently,</w:t>
      </w:r>
      <w:r w:rsidR="00CC2FEA">
        <w:rPr>
          <w:szCs w:val="20"/>
        </w:rPr>
        <w:t xml:space="preserve"> </w:t>
      </w:r>
      <w:r w:rsidR="00CC2FEA" w:rsidRPr="00CC2FEA">
        <w:rPr>
          <w:szCs w:val="20"/>
        </w:rPr>
        <w:t>the proposed service should only be rebated by the health professional billing the service</w:t>
      </w:r>
      <w:r w:rsidR="005139A4">
        <w:rPr>
          <w:szCs w:val="20"/>
        </w:rPr>
        <w:t>.</w:t>
      </w:r>
    </w:p>
    <w:p w14:paraId="2BD674AB" w14:textId="79131FA0" w:rsidR="00EA0E25"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17221087" w14:textId="77777777" w:rsidR="00317F2F" w:rsidRDefault="00E07D3E" w:rsidP="00233588">
      <w:pPr>
        <w:ind w:left="360"/>
      </w:pPr>
      <w:r>
        <w:t xml:space="preserve">The delivery of </w:t>
      </w:r>
      <w:r w:rsidR="006901FF">
        <w:t>DBS</w:t>
      </w:r>
      <w:r>
        <w:t xml:space="preserve"> for epilepsy will only be undertaken by Neurosurgeons</w:t>
      </w:r>
      <w:r w:rsidR="00FA5A51">
        <w:t xml:space="preserve"> </w:t>
      </w:r>
      <w:r w:rsidR="00097414">
        <w:t xml:space="preserve">in conjunction with </w:t>
      </w:r>
      <w:r w:rsidR="00FA5A51">
        <w:t>Neurologists</w:t>
      </w:r>
      <w:r w:rsidR="0045215B">
        <w:t>.</w:t>
      </w:r>
    </w:p>
    <w:p w14:paraId="48BD1601" w14:textId="0CC5B0F3" w:rsidR="0022451B" w:rsidRPr="00454F18" w:rsidRDefault="005139A4" w:rsidP="00233588">
      <w:pPr>
        <w:ind w:left="360"/>
      </w:pPr>
      <w:r>
        <w:lastRenderedPageBreak/>
        <w:t xml:space="preserve">It is anticipated that </w:t>
      </w:r>
      <w:r w:rsidR="00E07D3E">
        <w:t xml:space="preserve">General Practitioners, </w:t>
      </w:r>
      <w:r w:rsidR="00CD4375">
        <w:t>Neurologists,</w:t>
      </w:r>
      <w:r w:rsidR="00E07D3E">
        <w:t xml:space="preserve"> </w:t>
      </w:r>
      <w:r w:rsidR="001518E8">
        <w:t>and possibly other Medical Specialists</w:t>
      </w:r>
      <w:r w:rsidR="00E07D3E">
        <w:t xml:space="preserve"> </w:t>
      </w:r>
      <w:r w:rsidR="001518E8">
        <w:t>will</w:t>
      </w:r>
      <w:r w:rsidR="00E07D3E">
        <w:t xml:space="preserve"> refer patients to Neurosurgeons for discussion/consideration of </w:t>
      </w:r>
      <w:r w:rsidR="006901FF">
        <w:t>DBS</w:t>
      </w:r>
      <w:r w:rsidR="00E07D3E">
        <w:t xml:space="preserve"> for epilepsy. </w:t>
      </w:r>
    </w:p>
    <w:p w14:paraId="76245AB2" w14:textId="799B8F2F" w:rsidR="00EA0E25"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0550D6DD" w14:textId="0E83CEBC" w:rsidR="008008E3" w:rsidRPr="0075349D" w:rsidRDefault="00FA5A51" w:rsidP="00260F24">
      <w:pPr>
        <w:ind w:left="426"/>
      </w:pPr>
      <w:r w:rsidRPr="0075349D">
        <w:t xml:space="preserve">People performing the proposed service </w:t>
      </w:r>
      <w:r w:rsidR="008008E3" w:rsidRPr="0075349D">
        <w:t>would include:</w:t>
      </w:r>
    </w:p>
    <w:p w14:paraId="4BCD8682" w14:textId="695610B6" w:rsidR="00FA5A51" w:rsidRPr="0075349D" w:rsidRDefault="00FA5A51" w:rsidP="00317F2F">
      <w:pPr>
        <w:pStyle w:val="ListParagraph"/>
        <w:numPr>
          <w:ilvl w:val="0"/>
          <w:numId w:val="41"/>
        </w:numPr>
        <w:ind w:left="851" w:hanging="284"/>
      </w:pPr>
      <w:r w:rsidRPr="0075349D">
        <w:t>Fellow</w:t>
      </w:r>
      <w:r w:rsidR="008008E3" w:rsidRPr="0075349D">
        <w:t>s</w:t>
      </w:r>
      <w:r w:rsidRPr="0075349D">
        <w:t xml:space="preserve"> of the Royal Austral</w:t>
      </w:r>
      <w:r w:rsidR="00FD2225" w:rsidRPr="0075349D">
        <w:t>asian</w:t>
      </w:r>
      <w:r w:rsidRPr="0075349D">
        <w:t xml:space="preserve"> College of Surgery (FRACS) with specialist training in neurosurgery and expertise in functional neurosurgery</w:t>
      </w:r>
    </w:p>
    <w:p w14:paraId="67144481" w14:textId="15B0E540" w:rsidR="0022451B" w:rsidRDefault="008008E3" w:rsidP="00317F2F">
      <w:pPr>
        <w:pStyle w:val="ListParagraph"/>
        <w:numPr>
          <w:ilvl w:val="0"/>
          <w:numId w:val="40"/>
        </w:numPr>
        <w:ind w:left="851" w:hanging="284"/>
      </w:pPr>
      <w:r w:rsidRPr="0075349D">
        <w:t xml:space="preserve">Neurologists with advanced training in epilepsy or working in an advanced </w:t>
      </w:r>
      <w:r w:rsidR="004E0B44">
        <w:t>C</w:t>
      </w:r>
      <w:r w:rsidRPr="0075349D">
        <w:t xml:space="preserve">omprehensive </w:t>
      </w:r>
      <w:r w:rsidR="004E0B44">
        <w:t>E</w:t>
      </w:r>
      <w:r w:rsidRPr="0075349D">
        <w:t xml:space="preserve">pilepsy </w:t>
      </w:r>
      <w:r w:rsidR="004E0B44">
        <w:t>P</w:t>
      </w:r>
      <w:r w:rsidRPr="0075349D">
        <w:t>rogram</w:t>
      </w:r>
      <w:r w:rsidR="00A5215A" w:rsidRPr="0075349D">
        <w:t>, with experience in neuromodulation</w:t>
      </w:r>
      <w:r w:rsidR="004D0966" w:rsidRPr="0075349D">
        <w:t>.</w:t>
      </w:r>
    </w:p>
    <w:p w14:paraId="19D48B24"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09EAA798" w14:textId="14B3040E" w:rsidR="000A478F" w:rsidRDefault="001E618A"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317F2F">
        <w:rPr>
          <w:szCs w:val="20"/>
        </w:rPr>
      </w:r>
      <w:r w:rsidR="00317F2F">
        <w:rPr>
          <w:szCs w:val="20"/>
        </w:rPr>
        <w:fldChar w:fldCharType="separate"/>
      </w:r>
      <w:r>
        <w:rPr>
          <w:szCs w:val="20"/>
        </w:rPr>
        <w:fldChar w:fldCharType="end"/>
      </w:r>
      <w:r w:rsidR="0070341B">
        <w:rPr>
          <w:szCs w:val="20"/>
        </w:rPr>
        <w:tab/>
      </w:r>
      <w:r w:rsidR="000A478F">
        <w:t>Inpatient private hospital</w:t>
      </w:r>
      <w:r w:rsidR="0079354C">
        <w:t xml:space="preserve"> (admitted patient)</w:t>
      </w:r>
    </w:p>
    <w:p w14:paraId="0A2C1896" w14:textId="5028CC9D" w:rsidR="000A478F" w:rsidRDefault="001E618A"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317F2F">
        <w:rPr>
          <w:szCs w:val="20"/>
        </w:rPr>
      </w:r>
      <w:r w:rsidR="00317F2F">
        <w:rPr>
          <w:szCs w:val="20"/>
        </w:rPr>
        <w:fldChar w:fldCharType="separate"/>
      </w:r>
      <w:r>
        <w:rPr>
          <w:szCs w:val="20"/>
        </w:rPr>
        <w:fldChar w:fldCharType="end"/>
      </w:r>
      <w:r w:rsidR="0070341B">
        <w:rPr>
          <w:szCs w:val="20"/>
        </w:rPr>
        <w:tab/>
      </w:r>
      <w:r w:rsidR="000A478F">
        <w:t>Inpatient public hospital</w:t>
      </w:r>
      <w:r w:rsidR="0079354C">
        <w:t xml:space="preserve"> (admitted patient)</w:t>
      </w:r>
    </w:p>
    <w:p w14:paraId="58B7E5F7"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7F2F">
        <w:rPr>
          <w:szCs w:val="20"/>
        </w:rPr>
      </w:r>
      <w:r w:rsidR="00317F2F">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21FE2CC5"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7F2F">
        <w:rPr>
          <w:szCs w:val="20"/>
        </w:rPr>
      </w:r>
      <w:r w:rsidR="00317F2F">
        <w:rPr>
          <w:szCs w:val="20"/>
        </w:rPr>
        <w:fldChar w:fldCharType="separate"/>
      </w:r>
      <w:r w:rsidRPr="000A5B32">
        <w:rPr>
          <w:szCs w:val="20"/>
        </w:rPr>
        <w:fldChar w:fldCharType="end"/>
      </w:r>
      <w:r>
        <w:rPr>
          <w:szCs w:val="20"/>
        </w:rPr>
        <w:t xml:space="preserve"> Public outpatient clinic</w:t>
      </w:r>
    </w:p>
    <w:p w14:paraId="2F08349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7F2F">
        <w:rPr>
          <w:szCs w:val="20"/>
        </w:rPr>
      </w:r>
      <w:r w:rsidR="00317F2F">
        <w:rPr>
          <w:szCs w:val="20"/>
        </w:rPr>
        <w:fldChar w:fldCharType="separate"/>
      </w:r>
      <w:r w:rsidRPr="000A5B32">
        <w:rPr>
          <w:szCs w:val="20"/>
        </w:rPr>
        <w:fldChar w:fldCharType="end"/>
      </w:r>
      <w:r>
        <w:rPr>
          <w:szCs w:val="20"/>
        </w:rPr>
        <w:t xml:space="preserve"> </w:t>
      </w:r>
      <w:r>
        <w:t>Emergency Department</w:t>
      </w:r>
    </w:p>
    <w:p w14:paraId="68D6797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7F2F">
        <w:rPr>
          <w:szCs w:val="20"/>
        </w:rPr>
      </w:r>
      <w:r w:rsidR="00317F2F">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06FDD62C"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7F2F">
        <w:rPr>
          <w:szCs w:val="20"/>
        </w:rPr>
      </w:r>
      <w:r w:rsidR="00317F2F">
        <w:rPr>
          <w:szCs w:val="20"/>
        </w:rPr>
        <w:fldChar w:fldCharType="separate"/>
      </w:r>
      <w:r w:rsidRPr="000A5B32">
        <w:rPr>
          <w:szCs w:val="20"/>
        </w:rPr>
        <w:fldChar w:fldCharType="end"/>
      </w:r>
      <w:r>
        <w:rPr>
          <w:szCs w:val="20"/>
        </w:rPr>
        <w:t xml:space="preserve"> Private consulting rooms – specialist</w:t>
      </w:r>
    </w:p>
    <w:p w14:paraId="530DFB99"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7F2F">
        <w:rPr>
          <w:szCs w:val="20"/>
        </w:rPr>
      </w:r>
      <w:r w:rsidR="00317F2F">
        <w:rPr>
          <w:szCs w:val="20"/>
        </w:rPr>
        <w:fldChar w:fldCharType="separate"/>
      </w:r>
      <w:r w:rsidRPr="000A5B32">
        <w:rPr>
          <w:szCs w:val="20"/>
        </w:rPr>
        <w:fldChar w:fldCharType="end"/>
      </w:r>
      <w:r>
        <w:rPr>
          <w:szCs w:val="20"/>
        </w:rPr>
        <w:t xml:space="preserve"> Private consulting rooms – other health practitioner (nurse or allied health)</w:t>
      </w:r>
    </w:p>
    <w:p w14:paraId="5A79FD77"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7F2F">
        <w:rPr>
          <w:szCs w:val="20"/>
        </w:rPr>
      </w:r>
      <w:r w:rsidR="00317F2F">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14FD92C1"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7F2F">
        <w:rPr>
          <w:szCs w:val="20"/>
        </w:rPr>
      </w:r>
      <w:r w:rsidR="00317F2F">
        <w:rPr>
          <w:szCs w:val="20"/>
        </w:rPr>
        <w:fldChar w:fldCharType="separate"/>
      </w:r>
      <w:r w:rsidRPr="000A5B32">
        <w:rPr>
          <w:szCs w:val="20"/>
        </w:rPr>
        <w:fldChar w:fldCharType="end"/>
      </w:r>
      <w:r>
        <w:rPr>
          <w:szCs w:val="20"/>
        </w:rPr>
        <w:t xml:space="preserve"> Private day surgery clinic (non-admitted patient)</w:t>
      </w:r>
    </w:p>
    <w:p w14:paraId="5EF3A564"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7F2F">
        <w:rPr>
          <w:szCs w:val="20"/>
        </w:rPr>
      </w:r>
      <w:r w:rsidR="00317F2F">
        <w:rPr>
          <w:szCs w:val="20"/>
        </w:rPr>
        <w:fldChar w:fldCharType="separate"/>
      </w:r>
      <w:r w:rsidRPr="000A5B32">
        <w:rPr>
          <w:szCs w:val="20"/>
        </w:rPr>
        <w:fldChar w:fldCharType="end"/>
      </w:r>
      <w:r>
        <w:rPr>
          <w:szCs w:val="20"/>
        </w:rPr>
        <w:t xml:space="preserve"> Public day surgery clinic (admitted patient)</w:t>
      </w:r>
    </w:p>
    <w:p w14:paraId="441CDEC5"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7F2F">
        <w:rPr>
          <w:szCs w:val="20"/>
        </w:rPr>
      </w:r>
      <w:r w:rsidR="00317F2F">
        <w:rPr>
          <w:szCs w:val="20"/>
        </w:rPr>
        <w:fldChar w:fldCharType="separate"/>
      </w:r>
      <w:r w:rsidRPr="000A5B32">
        <w:rPr>
          <w:szCs w:val="20"/>
        </w:rPr>
        <w:fldChar w:fldCharType="end"/>
      </w:r>
      <w:r>
        <w:rPr>
          <w:szCs w:val="20"/>
        </w:rPr>
        <w:t xml:space="preserve"> Public day surgery clinic (non-admitted patient)</w:t>
      </w:r>
    </w:p>
    <w:p w14:paraId="229B058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7F2F">
        <w:rPr>
          <w:szCs w:val="20"/>
        </w:rPr>
      </w:r>
      <w:r w:rsidR="00317F2F">
        <w:rPr>
          <w:szCs w:val="20"/>
        </w:rPr>
        <w:fldChar w:fldCharType="separate"/>
      </w:r>
      <w:r w:rsidRPr="000A5B32">
        <w:rPr>
          <w:szCs w:val="20"/>
        </w:rPr>
        <w:fldChar w:fldCharType="end"/>
      </w:r>
      <w:r>
        <w:rPr>
          <w:szCs w:val="20"/>
        </w:rPr>
        <w:t xml:space="preserve"> </w:t>
      </w:r>
      <w:r>
        <w:t>Residential aged care facility</w:t>
      </w:r>
    </w:p>
    <w:p w14:paraId="3030F83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7F2F">
        <w:rPr>
          <w:szCs w:val="20"/>
        </w:rPr>
      </w:r>
      <w:r w:rsidR="00317F2F">
        <w:rPr>
          <w:szCs w:val="20"/>
        </w:rPr>
        <w:fldChar w:fldCharType="separate"/>
      </w:r>
      <w:r w:rsidRPr="000A5B32">
        <w:rPr>
          <w:szCs w:val="20"/>
        </w:rPr>
        <w:fldChar w:fldCharType="end"/>
      </w:r>
      <w:r>
        <w:rPr>
          <w:szCs w:val="20"/>
        </w:rPr>
        <w:t xml:space="preserve"> </w:t>
      </w:r>
      <w:r>
        <w:t>Patient’s home</w:t>
      </w:r>
    </w:p>
    <w:p w14:paraId="61AE674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7F2F">
        <w:rPr>
          <w:szCs w:val="20"/>
        </w:rPr>
      </w:r>
      <w:r w:rsidR="00317F2F">
        <w:rPr>
          <w:szCs w:val="20"/>
        </w:rPr>
        <w:fldChar w:fldCharType="separate"/>
      </w:r>
      <w:r w:rsidRPr="000A5B32">
        <w:rPr>
          <w:szCs w:val="20"/>
        </w:rPr>
        <w:fldChar w:fldCharType="end"/>
      </w:r>
      <w:r>
        <w:rPr>
          <w:szCs w:val="20"/>
        </w:rPr>
        <w:t xml:space="preserve"> </w:t>
      </w:r>
      <w:r>
        <w:t>Laboratory</w:t>
      </w:r>
    </w:p>
    <w:p w14:paraId="15CFD54B" w14:textId="1EF95177" w:rsidR="0075349D" w:rsidRPr="000A478F" w:rsidRDefault="000A478F" w:rsidP="00317F2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317F2F">
        <w:rPr>
          <w:szCs w:val="20"/>
        </w:rPr>
      </w:r>
      <w:r w:rsidR="00317F2F">
        <w:rPr>
          <w:szCs w:val="20"/>
        </w:rPr>
        <w:fldChar w:fldCharType="separate"/>
      </w:r>
      <w:r w:rsidRPr="000A5B32">
        <w:rPr>
          <w:szCs w:val="20"/>
        </w:rPr>
        <w:fldChar w:fldCharType="end"/>
      </w:r>
      <w:r>
        <w:rPr>
          <w:szCs w:val="20"/>
        </w:rPr>
        <w:t xml:space="preserve"> </w:t>
      </w:r>
      <w:r>
        <w:t>Other – please specify below</w:t>
      </w:r>
    </w:p>
    <w:p w14:paraId="6454DC2C" w14:textId="77777777" w:rsidR="003433D1" w:rsidRPr="005C3AE7" w:rsidRDefault="00E048ED" w:rsidP="00954C3D">
      <w:pPr>
        <w:pStyle w:val="ListParagraph"/>
        <w:numPr>
          <w:ilvl w:val="0"/>
          <w:numId w:val="8"/>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4B51A902" w14:textId="4A950746" w:rsidR="00260F24" w:rsidRPr="00233588" w:rsidRDefault="00F84AE1" w:rsidP="00233588">
      <w:pPr>
        <w:ind w:left="360"/>
        <w:rPr>
          <w:bCs/>
          <w:color w:val="FF0000"/>
          <w:szCs w:val="20"/>
        </w:rPr>
      </w:pPr>
      <w:r w:rsidRPr="00F84AE1">
        <w:rPr>
          <w:bCs/>
          <w:szCs w:val="20"/>
        </w:rPr>
        <w:t xml:space="preserve">The proposed medical service will only be provided in hospital settings. </w:t>
      </w:r>
    </w:p>
    <w:p w14:paraId="67BB5A8B" w14:textId="77777777" w:rsidR="003E30FB" w:rsidRDefault="003E30FB" w:rsidP="00530204">
      <w:pPr>
        <w:pStyle w:val="Heading2"/>
      </w:pPr>
      <w:r>
        <w:t xml:space="preserve">Is the </w:t>
      </w:r>
      <w:r w:rsidRPr="001B29A1">
        <w:t>proposed</w:t>
      </w:r>
      <w:r>
        <w:t xml:space="preserve"> medical service intended to be entirely rendered in Australia?</w:t>
      </w:r>
    </w:p>
    <w:p w14:paraId="43CF6C4A" w14:textId="0B223B52" w:rsidR="007E41C3" w:rsidRDefault="001E618A" w:rsidP="007E41C3">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17F2F">
        <w:rPr>
          <w:szCs w:val="20"/>
        </w:rPr>
      </w:r>
      <w:r w:rsidR="00317F2F">
        <w:rPr>
          <w:szCs w:val="20"/>
        </w:rPr>
        <w:fldChar w:fldCharType="separate"/>
      </w:r>
      <w:r>
        <w:rPr>
          <w:szCs w:val="20"/>
        </w:rPr>
        <w:fldChar w:fldCharType="end"/>
      </w:r>
      <w:r w:rsidR="007E41C3">
        <w:rPr>
          <w:szCs w:val="20"/>
        </w:rPr>
        <w:t xml:space="preserve"> </w:t>
      </w:r>
      <w:r w:rsidR="000A478F">
        <w:rPr>
          <w:szCs w:val="20"/>
        </w:rPr>
        <w:t>Yes</w:t>
      </w:r>
    </w:p>
    <w:p w14:paraId="622278FA" w14:textId="5050B8D4" w:rsidR="000A478F" w:rsidRDefault="000A478F" w:rsidP="007E41C3">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317F2F">
        <w:rPr>
          <w:szCs w:val="20"/>
        </w:rPr>
      </w:r>
      <w:r w:rsidR="00317F2F">
        <w:rPr>
          <w:szCs w:val="20"/>
        </w:rPr>
        <w:fldChar w:fldCharType="separate"/>
      </w:r>
      <w:r w:rsidRPr="00753C44">
        <w:rPr>
          <w:szCs w:val="20"/>
        </w:rPr>
        <w:fldChar w:fldCharType="end"/>
      </w:r>
      <w:r>
        <w:rPr>
          <w:szCs w:val="20"/>
        </w:rPr>
        <w:t xml:space="preserve"> No</w:t>
      </w:r>
    </w:p>
    <w:p w14:paraId="026F907D" w14:textId="77777777" w:rsidR="0088247E" w:rsidRPr="00753C44" w:rsidRDefault="0088247E" w:rsidP="000A478F">
      <w:pPr>
        <w:spacing w:before="0" w:after="0"/>
        <w:ind w:left="426"/>
        <w:rPr>
          <w:szCs w:val="20"/>
        </w:rPr>
      </w:pPr>
    </w:p>
    <w:p w14:paraId="3BF8469D" w14:textId="77777777" w:rsidR="00E60529" w:rsidRPr="00881F93" w:rsidRDefault="005C3AE7" w:rsidP="00233588">
      <w:pPr>
        <w:pStyle w:val="Subtitle"/>
        <w:ind w:left="0"/>
      </w:pPr>
      <w:r>
        <w:t xml:space="preserve">PART 6c – </w:t>
      </w:r>
      <w:r w:rsidR="00E60529" w:rsidRPr="00881F93">
        <w:t>INFORMATION ABOUT THE COMPARATOR</w:t>
      </w:r>
      <w:r w:rsidR="00A83EC6" w:rsidRPr="00881F93">
        <w:t>(S)</w:t>
      </w:r>
    </w:p>
    <w:p w14:paraId="3EB9C06A" w14:textId="6AA0F6E2" w:rsidR="00E60529" w:rsidRDefault="00A83EC6" w:rsidP="00530204">
      <w:pPr>
        <w:pStyle w:val="Heading2"/>
      </w:pPr>
      <w:r w:rsidRPr="00154B00">
        <w:t>Nominate the appropriate comparator(s) for the proposed medical service</w:t>
      </w:r>
      <w:r w:rsidR="00BF6497">
        <w:t xml:space="preserve"> (</w:t>
      </w:r>
      <w:r w:rsidR="00757232">
        <w:t>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 xml:space="preserve">being available in the </w:t>
      </w:r>
      <w:r w:rsidR="00257FF2" w:rsidRPr="00BF6497">
        <w:rPr>
          <w:u w:val="single"/>
        </w:rPr>
        <w:t>Australian health care system</w:t>
      </w:r>
      <w:r w:rsidR="00BF6497">
        <w:rPr>
          <w:u w:val="single"/>
        </w:rPr>
        <w:t>)</w:t>
      </w:r>
      <w:r w:rsidR="00BF6497">
        <w:t>. This includes</w:t>
      </w:r>
      <w:r w:rsidR="00757232">
        <w:t xml:space="preserve">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0307F52F" w14:textId="2C1ABD53" w:rsidR="00845627" w:rsidRPr="00317F2F" w:rsidRDefault="00845627" w:rsidP="00851A33">
      <w:pPr>
        <w:ind w:left="426"/>
        <w:rPr>
          <w:b/>
          <w:bCs/>
          <w:i/>
          <w:iCs/>
          <w:szCs w:val="20"/>
        </w:rPr>
      </w:pPr>
      <w:r w:rsidRPr="00317F2F">
        <w:rPr>
          <w:b/>
          <w:bCs/>
          <w:i/>
          <w:iCs/>
          <w:szCs w:val="20"/>
        </w:rPr>
        <w:t xml:space="preserve">Comparator </w:t>
      </w:r>
    </w:p>
    <w:p w14:paraId="675F57CB" w14:textId="054BB14B" w:rsidR="00A91DCF" w:rsidRPr="00D2626E" w:rsidRDefault="000F63DD" w:rsidP="00C4392A">
      <w:pPr>
        <w:ind w:left="426"/>
        <w:rPr>
          <w:szCs w:val="20"/>
        </w:rPr>
      </w:pPr>
      <w:r w:rsidRPr="00D2626E">
        <w:rPr>
          <w:szCs w:val="20"/>
        </w:rPr>
        <w:t>V</w:t>
      </w:r>
      <w:r w:rsidR="00341EC0" w:rsidRPr="00D2626E">
        <w:rPr>
          <w:szCs w:val="20"/>
        </w:rPr>
        <w:t>agal</w:t>
      </w:r>
      <w:r w:rsidR="00E36B65" w:rsidRPr="00D2626E">
        <w:rPr>
          <w:szCs w:val="20"/>
        </w:rPr>
        <w:t xml:space="preserve"> (</w:t>
      </w:r>
      <w:r w:rsidR="00341EC0" w:rsidRPr="00D2626E">
        <w:rPr>
          <w:szCs w:val="20"/>
        </w:rPr>
        <w:t xml:space="preserve">or </w:t>
      </w:r>
      <w:r w:rsidR="00FC02CD" w:rsidRPr="00D2626E">
        <w:rPr>
          <w:szCs w:val="20"/>
        </w:rPr>
        <w:t>vagus</w:t>
      </w:r>
      <w:r w:rsidR="00E36B65" w:rsidRPr="00D2626E">
        <w:rPr>
          <w:szCs w:val="20"/>
        </w:rPr>
        <w:t>)</w:t>
      </w:r>
      <w:r w:rsidR="00341EC0" w:rsidRPr="00D2626E">
        <w:rPr>
          <w:szCs w:val="20"/>
        </w:rPr>
        <w:t xml:space="preserve">, nerve stimulation (VNS) </w:t>
      </w:r>
      <w:r w:rsidRPr="00D2626E">
        <w:rPr>
          <w:szCs w:val="20"/>
        </w:rPr>
        <w:t xml:space="preserve">for epilepsy is </w:t>
      </w:r>
      <w:r w:rsidR="00341EC0" w:rsidRPr="00D2626E">
        <w:rPr>
          <w:szCs w:val="20"/>
        </w:rPr>
        <w:t xml:space="preserve">as an </w:t>
      </w:r>
      <w:r w:rsidR="00556537" w:rsidRPr="00D2626E">
        <w:rPr>
          <w:szCs w:val="20"/>
        </w:rPr>
        <w:t>appropriate</w:t>
      </w:r>
      <w:r w:rsidR="00625EC1" w:rsidRPr="00D2626E">
        <w:rPr>
          <w:szCs w:val="20"/>
        </w:rPr>
        <w:t xml:space="preserve"> comparator for DBS for epilepsy</w:t>
      </w:r>
      <w:r w:rsidR="008142A2" w:rsidRPr="00D2626E">
        <w:rPr>
          <w:szCs w:val="20"/>
        </w:rPr>
        <w:t>. R</w:t>
      </w:r>
      <w:r w:rsidR="003801BA" w:rsidRPr="00D2626E">
        <w:rPr>
          <w:szCs w:val="20"/>
        </w:rPr>
        <w:t xml:space="preserve">egulatory approval was granted </w:t>
      </w:r>
      <w:r w:rsidR="00DE39A7" w:rsidRPr="00D2626E">
        <w:rPr>
          <w:szCs w:val="20"/>
        </w:rPr>
        <w:t xml:space="preserve">in </w:t>
      </w:r>
      <w:r w:rsidR="003801BA" w:rsidRPr="00D2626E">
        <w:rPr>
          <w:szCs w:val="20"/>
        </w:rPr>
        <w:t xml:space="preserve">2000 </w:t>
      </w:r>
      <w:r w:rsidR="00E97BC2" w:rsidRPr="00D2626E">
        <w:rPr>
          <w:szCs w:val="20"/>
        </w:rPr>
        <w:t xml:space="preserve">and </w:t>
      </w:r>
      <w:r w:rsidR="004E3685" w:rsidRPr="00D2626E">
        <w:rPr>
          <w:szCs w:val="20"/>
        </w:rPr>
        <w:t>VNS</w:t>
      </w:r>
      <w:r w:rsidR="00260F24" w:rsidRPr="00D2626E">
        <w:rPr>
          <w:szCs w:val="20"/>
        </w:rPr>
        <w:t xml:space="preserve"> is listed on the MB</w:t>
      </w:r>
      <w:r w:rsidR="00311007" w:rsidRPr="00D2626E">
        <w:rPr>
          <w:szCs w:val="20"/>
        </w:rPr>
        <w:t>S.</w:t>
      </w:r>
      <w:r w:rsidR="00936712" w:rsidRPr="00D2626E">
        <w:rPr>
          <w:szCs w:val="20"/>
        </w:rPr>
        <w:t xml:space="preserve"> </w:t>
      </w:r>
      <w:r w:rsidR="004E3685" w:rsidRPr="00D2626E">
        <w:rPr>
          <w:szCs w:val="20"/>
        </w:rPr>
        <w:t xml:space="preserve">Like </w:t>
      </w:r>
      <w:r w:rsidR="006901FF" w:rsidRPr="00D2626E">
        <w:rPr>
          <w:szCs w:val="20"/>
        </w:rPr>
        <w:t>DBS</w:t>
      </w:r>
      <w:r w:rsidR="004E3685" w:rsidRPr="00D2626E">
        <w:rPr>
          <w:szCs w:val="20"/>
        </w:rPr>
        <w:t xml:space="preserve">, VNS is a </w:t>
      </w:r>
      <w:r w:rsidR="004E3685" w:rsidRPr="00D2626E">
        <w:rPr>
          <w:rFonts w:cs="Arial"/>
          <w:szCs w:val="20"/>
        </w:rPr>
        <w:t>neuromodulation option and provides a palliative non-pharmacological alternative and/or adjunct therapy for management of seizures</w:t>
      </w:r>
      <w:r w:rsidR="008142A2" w:rsidRPr="00D2626E">
        <w:rPr>
          <w:rFonts w:cs="Arial"/>
          <w:szCs w:val="20"/>
        </w:rPr>
        <w:t xml:space="preserve">. VNS </w:t>
      </w:r>
      <w:r w:rsidR="004E3685" w:rsidRPr="00D2626E">
        <w:rPr>
          <w:rFonts w:cs="Arial"/>
          <w:szCs w:val="20"/>
        </w:rPr>
        <w:t>is not curative.</w:t>
      </w:r>
      <w:r w:rsidR="00C4392A" w:rsidRPr="00D2626E">
        <w:rPr>
          <w:szCs w:val="20"/>
        </w:rPr>
        <w:t xml:space="preserve"> </w:t>
      </w:r>
      <w:r w:rsidR="008142A2" w:rsidRPr="00D2626E">
        <w:rPr>
          <w:szCs w:val="20"/>
        </w:rPr>
        <w:t>While</w:t>
      </w:r>
      <w:r w:rsidR="00043404" w:rsidRPr="00D2626E">
        <w:rPr>
          <w:szCs w:val="20"/>
        </w:rPr>
        <w:t xml:space="preserve"> VNS is the closest comparator, there is robust multicentre evidence that </w:t>
      </w:r>
      <w:r w:rsidR="006901FF" w:rsidRPr="00D2626E">
        <w:rPr>
          <w:szCs w:val="20"/>
        </w:rPr>
        <w:t>DBS</w:t>
      </w:r>
      <w:r w:rsidR="007B3CE2" w:rsidRPr="00D2626E">
        <w:rPr>
          <w:szCs w:val="20"/>
        </w:rPr>
        <w:t xml:space="preserve"> </w:t>
      </w:r>
      <w:r w:rsidR="00043404" w:rsidRPr="00D2626E">
        <w:rPr>
          <w:szCs w:val="20"/>
        </w:rPr>
        <w:t xml:space="preserve">remains effective even if patients have </w:t>
      </w:r>
      <w:r w:rsidR="00296EEF" w:rsidRPr="00D2626E">
        <w:rPr>
          <w:szCs w:val="20"/>
        </w:rPr>
        <w:t xml:space="preserve">not </w:t>
      </w:r>
      <w:r w:rsidR="007B3CE2" w:rsidRPr="00D2626E">
        <w:rPr>
          <w:szCs w:val="20"/>
        </w:rPr>
        <w:t>benefit</w:t>
      </w:r>
      <w:r w:rsidR="00500C9E" w:rsidRPr="00D2626E">
        <w:rPr>
          <w:szCs w:val="20"/>
        </w:rPr>
        <w:t>ed</w:t>
      </w:r>
      <w:r w:rsidR="007B3CE2" w:rsidRPr="00D2626E">
        <w:rPr>
          <w:szCs w:val="20"/>
        </w:rPr>
        <w:t xml:space="preserve"> from VNS.</w:t>
      </w:r>
    </w:p>
    <w:p w14:paraId="47DE2003" w14:textId="0E87D8FE" w:rsidR="00FC02CD" w:rsidRPr="00D2626E" w:rsidRDefault="00936712" w:rsidP="00C4392A">
      <w:pPr>
        <w:ind w:left="426"/>
        <w:rPr>
          <w:szCs w:val="20"/>
        </w:rPr>
      </w:pPr>
      <w:r w:rsidRPr="00D2626E">
        <w:rPr>
          <w:szCs w:val="20"/>
        </w:rPr>
        <w:t>A recent review</w:t>
      </w:r>
      <w:r w:rsidR="004E3685" w:rsidRPr="00D2626E">
        <w:rPr>
          <w:szCs w:val="20"/>
        </w:rPr>
        <w:t xml:space="preserve"> </w:t>
      </w:r>
      <w:r w:rsidRPr="00D2626E">
        <w:rPr>
          <w:szCs w:val="20"/>
        </w:rPr>
        <w:t>concluded that VNS appear</w:t>
      </w:r>
      <w:r w:rsidR="00D1382B" w:rsidRPr="00D2626E">
        <w:rPr>
          <w:szCs w:val="20"/>
        </w:rPr>
        <w:t>ed</w:t>
      </w:r>
      <w:r w:rsidRPr="00D2626E">
        <w:rPr>
          <w:szCs w:val="20"/>
        </w:rPr>
        <w:t xml:space="preserve"> to be an appropriate treatment option for </w:t>
      </w:r>
      <w:r w:rsidR="00A21A43" w:rsidRPr="00D2626E">
        <w:rPr>
          <w:szCs w:val="20"/>
        </w:rPr>
        <w:t xml:space="preserve">a small number of </w:t>
      </w:r>
      <w:r w:rsidRPr="00D2626E">
        <w:rPr>
          <w:szCs w:val="20"/>
        </w:rPr>
        <w:t xml:space="preserve">adults and children </w:t>
      </w:r>
      <w:r w:rsidR="003135F0" w:rsidRPr="00D2626E">
        <w:rPr>
          <w:szCs w:val="20"/>
        </w:rPr>
        <w:t xml:space="preserve">with severe epilepsy whose disease is not adequately controlled with </w:t>
      </w:r>
      <w:r w:rsidR="00D1382B" w:rsidRPr="00D2626E">
        <w:rPr>
          <w:szCs w:val="20"/>
        </w:rPr>
        <w:t xml:space="preserve">other </w:t>
      </w:r>
      <w:r w:rsidR="003801BA" w:rsidRPr="00D2626E">
        <w:rPr>
          <w:szCs w:val="20"/>
        </w:rPr>
        <w:t>available</w:t>
      </w:r>
      <w:r w:rsidR="003135F0" w:rsidRPr="00D2626E">
        <w:rPr>
          <w:szCs w:val="20"/>
        </w:rPr>
        <w:t xml:space="preserve"> </w:t>
      </w:r>
      <w:r w:rsidR="00FC02CD" w:rsidRPr="00D2626E">
        <w:rPr>
          <w:szCs w:val="20"/>
        </w:rPr>
        <w:t xml:space="preserve">pharmacological and non-pharmacological </w:t>
      </w:r>
      <w:r w:rsidR="003135F0" w:rsidRPr="00D2626E">
        <w:rPr>
          <w:szCs w:val="20"/>
        </w:rPr>
        <w:t>treatment</w:t>
      </w:r>
      <w:r w:rsidR="00D1382B" w:rsidRPr="00D2626E">
        <w:rPr>
          <w:szCs w:val="20"/>
        </w:rPr>
        <w:t>s</w:t>
      </w:r>
      <w:r w:rsidR="00A91DCF" w:rsidRPr="00D2626E">
        <w:rPr>
          <w:szCs w:val="20"/>
        </w:rPr>
        <w:t xml:space="preserve">. VNS </w:t>
      </w:r>
      <w:r w:rsidR="00311007" w:rsidRPr="00D2626E">
        <w:rPr>
          <w:szCs w:val="20"/>
        </w:rPr>
        <w:t>was</w:t>
      </w:r>
      <w:r w:rsidR="00C4392A" w:rsidRPr="00D2626E">
        <w:rPr>
          <w:szCs w:val="20"/>
        </w:rPr>
        <w:t xml:space="preserve"> </w:t>
      </w:r>
      <w:r w:rsidR="00A91DCF" w:rsidRPr="00D2626E">
        <w:rPr>
          <w:szCs w:val="20"/>
        </w:rPr>
        <w:t xml:space="preserve">deemed </w:t>
      </w:r>
      <w:r w:rsidR="00851A33" w:rsidRPr="00D2626E">
        <w:rPr>
          <w:szCs w:val="20"/>
        </w:rPr>
        <w:t>p</w:t>
      </w:r>
      <w:r w:rsidR="003801BA" w:rsidRPr="00D2626E">
        <w:rPr>
          <w:szCs w:val="20"/>
        </w:rPr>
        <w:t>articularly</w:t>
      </w:r>
      <w:r w:rsidR="009F24EB" w:rsidRPr="00D2626E">
        <w:rPr>
          <w:szCs w:val="20"/>
        </w:rPr>
        <w:t xml:space="preserve"> useful</w:t>
      </w:r>
      <w:r w:rsidR="003801BA" w:rsidRPr="00D2626E">
        <w:rPr>
          <w:szCs w:val="20"/>
        </w:rPr>
        <w:t xml:space="preserve"> </w:t>
      </w:r>
      <w:r w:rsidR="003801BA" w:rsidRPr="00D2626E">
        <w:rPr>
          <w:rFonts w:cs="Arial"/>
          <w:szCs w:val="20"/>
        </w:rPr>
        <w:t>for patients not responsive to, or suitable for, surgical resection of seizure foci</w:t>
      </w:r>
      <w:r w:rsidR="00A21A43" w:rsidRPr="00D2626E">
        <w:rPr>
          <w:rFonts w:cs="Arial"/>
          <w:szCs w:val="20"/>
        </w:rPr>
        <w:t xml:space="preserve"> </w:t>
      </w:r>
      <w:r w:rsidR="00A21A43" w:rsidRPr="00D2626E">
        <w:rPr>
          <w:szCs w:val="20"/>
        </w:rPr>
        <w:t>(Shaw et al 2020)</w:t>
      </w:r>
      <w:r w:rsidR="003801BA" w:rsidRPr="00D2626E">
        <w:rPr>
          <w:rFonts w:cs="Arial"/>
          <w:szCs w:val="20"/>
        </w:rPr>
        <w:t xml:space="preserve">. </w:t>
      </w:r>
    </w:p>
    <w:p w14:paraId="68E6EECD" w14:textId="497BEDE7" w:rsidR="004E3685" w:rsidRPr="00D2626E" w:rsidRDefault="004E3685" w:rsidP="004E3685">
      <w:pPr>
        <w:ind w:left="426"/>
        <w:rPr>
          <w:szCs w:val="20"/>
        </w:rPr>
      </w:pPr>
      <w:r w:rsidRPr="00D2626E">
        <w:rPr>
          <w:szCs w:val="20"/>
        </w:rPr>
        <w:lastRenderedPageBreak/>
        <w:t>The mechanism of action of VNS is not understood, although it is assumed to involve neuro</w:t>
      </w:r>
      <w:r w:rsidR="00A91DCF" w:rsidRPr="00D2626E">
        <w:rPr>
          <w:szCs w:val="20"/>
        </w:rPr>
        <w:t>-</w:t>
      </w:r>
      <w:r w:rsidRPr="00D2626E">
        <w:rPr>
          <w:szCs w:val="20"/>
        </w:rPr>
        <w:t xml:space="preserve">modulatory action </w:t>
      </w:r>
      <w:r w:rsidR="00043404" w:rsidRPr="00D2626E">
        <w:rPr>
          <w:szCs w:val="20"/>
        </w:rPr>
        <w:t>via</w:t>
      </w:r>
      <w:r w:rsidRPr="00D2626E">
        <w:rPr>
          <w:szCs w:val="20"/>
        </w:rPr>
        <w:t xml:space="preserve"> the vagus nerve. VNS prevents seizures by sending regular, mild pulses of electric signals to specific brain structures via the vagus nerve, resulting in a reduction in the frequency and intensity of seizures and changes in mood, behaviour, and cognition (</w:t>
      </w:r>
      <w:proofErr w:type="spellStart"/>
      <w:r w:rsidRPr="00D2626E">
        <w:rPr>
          <w:szCs w:val="20"/>
        </w:rPr>
        <w:t>Panebianco</w:t>
      </w:r>
      <w:proofErr w:type="spellEnd"/>
      <w:r w:rsidRPr="00D2626E">
        <w:rPr>
          <w:szCs w:val="20"/>
        </w:rPr>
        <w:t xml:space="preserve"> 2015).</w:t>
      </w:r>
    </w:p>
    <w:p w14:paraId="585B5CCC" w14:textId="0283F7D3" w:rsidR="008142A2" w:rsidRPr="00D2626E" w:rsidRDefault="00606079" w:rsidP="00A457ED">
      <w:pPr>
        <w:ind w:left="426"/>
        <w:rPr>
          <w:szCs w:val="20"/>
        </w:rPr>
      </w:pPr>
      <w:r w:rsidRPr="00D2626E">
        <w:rPr>
          <w:szCs w:val="20"/>
        </w:rPr>
        <w:t xml:space="preserve">VNS involves implantation of a </w:t>
      </w:r>
      <w:r w:rsidR="00063E4D" w:rsidRPr="00D2626E">
        <w:rPr>
          <w:szCs w:val="20"/>
        </w:rPr>
        <w:t xml:space="preserve">vagus nerve stimulator </w:t>
      </w:r>
      <w:r w:rsidR="004E3685" w:rsidRPr="00D2626E">
        <w:rPr>
          <w:szCs w:val="20"/>
        </w:rPr>
        <w:t>(</w:t>
      </w:r>
      <w:r w:rsidR="00063E4D" w:rsidRPr="00D2626E">
        <w:rPr>
          <w:szCs w:val="20"/>
        </w:rPr>
        <w:t xml:space="preserve">a </w:t>
      </w:r>
      <w:r w:rsidR="006E59F4" w:rsidRPr="00D2626E">
        <w:rPr>
          <w:szCs w:val="20"/>
        </w:rPr>
        <w:t>pulse generator</w:t>
      </w:r>
      <w:r w:rsidR="00EC231A" w:rsidRPr="00D2626E">
        <w:rPr>
          <w:szCs w:val="20"/>
        </w:rPr>
        <w:t>)</w:t>
      </w:r>
      <w:r w:rsidR="00063E4D" w:rsidRPr="00D2626E">
        <w:rPr>
          <w:szCs w:val="20"/>
        </w:rPr>
        <w:t>,</w:t>
      </w:r>
      <w:r w:rsidR="006E59F4" w:rsidRPr="00D2626E">
        <w:rPr>
          <w:szCs w:val="20"/>
        </w:rPr>
        <w:t xml:space="preserve"> </w:t>
      </w:r>
      <w:r w:rsidRPr="00D2626E">
        <w:rPr>
          <w:szCs w:val="20"/>
        </w:rPr>
        <w:t xml:space="preserve">under the skin </w:t>
      </w:r>
      <w:r w:rsidR="006E59F4" w:rsidRPr="00D2626E">
        <w:rPr>
          <w:szCs w:val="20"/>
        </w:rPr>
        <w:t xml:space="preserve">on </w:t>
      </w:r>
      <w:r w:rsidRPr="00D2626E">
        <w:rPr>
          <w:szCs w:val="20"/>
        </w:rPr>
        <w:t>the</w:t>
      </w:r>
      <w:r w:rsidR="006E59F4" w:rsidRPr="00D2626E">
        <w:rPr>
          <w:szCs w:val="20"/>
        </w:rPr>
        <w:t xml:space="preserve"> left </w:t>
      </w:r>
      <w:r w:rsidR="00EC231A" w:rsidRPr="00D2626E">
        <w:rPr>
          <w:szCs w:val="20"/>
        </w:rPr>
        <w:t xml:space="preserve">side </w:t>
      </w:r>
      <w:r w:rsidR="006E59F4" w:rsidRPr="00D2626E">
        <w:rPr>
          <w:szCs w:val="20"/>
        </w:rPr>
        <w:t>of the</w:t>
      </w:r>
      <w:r w:rsidRPr="00D2626E">
        <w:rPr>
          <w:szCs w:val="20"/>
        </w:rPr>
        <w:t xml:space="preserve"> chest</w:t>
      </w:r>
      <w:r w:rsidR="00E36B65" w:rsidRPr="00D2626E">
        <w:rPr>
          <w:szCs w:val="20"/>
        </w:rPr>
        <w:t>.</w:t>
      </w:r>
      <w:r w:rsidR="000F63DD" w:rsidRPr="00D2626E">
        <w:rPr>
          <w:szCs w:val="20"/>
        </w:rPr>
        <w:t xml:space="preserve"> </w:t>
      </w:r>
      <w:r w:rsidR="00E36B65" w:rsidRPr="00D2626E">
        <w:rPr>
          <w:szCs w:val="20"/>
        </w:rPr>
        <w:t xml:space="preserve">A wire from the device is then wound around the </w:t>
      </w:r>
      <w:r w:rsidRPr="00D2626E">
        <w:rPr>
          <w:szCs w:val="20"/>
        </w:rPr>
        <w:t xml:space="preserve">vagus nerve </w:t>
      </w:r>
      <w:r w:rsidR="00EC231A" w:rsidRPr="00D2626E">
        <w:rPr>
          <w:szCs w:val="20"/>
        </w:rPr>
        <w:t>on the left side of</w:t>
      </w:r>
      <w:r w:rsidRPr="00D2626E">
        <w:rPr>
          <w:szCs w:val="20"/>
        </w:rPr>
        <w:t xml:space="preserve"> the neck. </w:t>
      </w:r>
      <w:r w:rsidR="006E59F4" w:rsidRPr="00D2626E">
        <w:rPr>
          <w:szCs w:val="20"/>
        </w:rPr>
        <w:t xml:space="preserve">The device produces repeating, low-level pulses of electrical current that are transmitted via electrical leads along the vagus nerve </w:t>
      </w:r>
      <w:r w:rsidR="00043404" w:rsidRPr="00D2626E">
        <w:rPr>
          <w:szCs w:val="20"/>
        </w:rPr>
        <w:t xml:space="preserve">that are propagated </w:t>
      </w:r>
      <w:r w:rsidR="006E59F4" w:rsidRPr="00D2626E">
        <w:rPr>
          <w:szCs w:val="20"/>
        </w:rPr>
        <w:t>to the brainstem (</w:t>
      </w:r>
      <w:r w:rsidR="00921F87" w:rsidRPr="00D2626E">
        <w:rPr>
          <w:szCs w:val="20"/>
        </w:rPr>
        <w:t>Morris et al</w:t>
      </w:r>
      <w:r w:rsidR="00063E4D" w:rsidRPr="00D2626E">
        <w:rPr>
          <w:szCs w:val="20"/>
        </w:rPr>
        <w:t xml:space="preserve"> 2013</w:t>
      </w:r>
      <w:r w:rsidR="006E59F4" w:rsidRPr="00D2626E">
        <w:rPr>
          <w:szCs w:val="20"/>
        </w:rPr>
        <w:t>)</w:t>
      </w:r>
      <w:r w:rsidR="00851A33" w:rsidRPr="00D2626E">
        <w:rPr>
          <w:szCs w:val="20"/>
        </w:rPr>
        <w:t>. The left vagus nerve is used to minimize adverse effects (Giordano et al 2017)</w:t>
      </w:r>
      <w:r w:rsidR="004E3685" w:rsidRPr="00D2626E">
        <w:rPr>
          <w:szCs w:val="20"/>
        </w:rPr>
        <w:t xml:space="preserve">. </w:t>
      </w:r>
    </w:p>
    <w:p w14:paraId="631A84FF" w14:textId="18E65BC5" w:rsidR="006E59F4" w:rsidRPr="00D2626E" w:rsidRDefault="00A457ED" w:rsidP="00A457ED">
      <w:pPr>
        <w:ind w:left="426"/>
        <w:rPr>
          <w:rFonts w:cs="Arial"/>
          <w:szCs w:val="20"/>
        </w:rPr>
      </w:pPr>
      <w:r w:rsidRPr="00D2626E">
        <w:rPr>
          <w:rFonts w:cs="Arial"/>
          <w:szCs w:val="20"/>
        </w:rPr>
        <w:t>S</w:t>
      </w:r>
      <w:r w:rsidR="004E3685" w:rsidRPr="00D2626E">
        <w:rPr>
          <w:rFonts w:cs="Arial"/>
          <w:szCs w:val="20"/>
        </w:rPr>
        <w:t>urgical adverse events (infection, vocal cord paresis) and stimulation side effects (hoarseness, voice change, cough)</w:t>
      </w:r>
      <w:r w:rsidRPr="00D2626E">
        <w:rPr>
          <w:rFonts w:cs="Arial"/>
          <w:szCs w:val="20"/>
        </w:rPr>
        <w:t xml:space="preserve"> have been reported following VNS</w:t>
      </w:r>
      <w:r w:rsidR="004E3685" w:rsidRPr="00D2626E">
        <w:rPr>
          <w:rFonts w:cs="Arial"/>
          <w:szCs w:val="20"/>
        </w:rPr>
        <w:t xml:space="preserve"> (Gonzalez et al 2019). </w:t>
      </w:r>
      <w:r w:rsidR="004E3685" w:rsidRPr="00D2626E">
        <w:rPr>
          <w:szCs w:val="20"/>
        </w:rPr>
        <w:t xml:space="preserve">Minor side effects </w:t>
      </w:r>
      <w:r w:rsidRPr="00D2626E">
        <w:rPr>
          <w:szCs w:val="20"/>
        </w:rPr>
        <w:t>(</w:t>
      </w:r>
      <w:r w:rsidR="004E3685" w:rsidRPr="00D2626E">
        <w:rPr>
          <w:szCs w:val="20"/>
        </w:rPr>
        <w:t>coughing</w:t>
      </w:r>
      <w:r w:rsidRPr="00D2626E">
        <w:rPr>
          <w:szCs w:val="20"/>
        </w:rPr>
        <w:t xml:space="preserve">, </w:t>
      </w:r>
      <w:r w:rsidR="004E3685" w:rsidRPr="00D2626E">
        <w:rPr>
          <w:szCs w:val="20"/>
        </w:rPr>
        <w:t>voice alteration</w:t>
      </w:r>
      <w:r w:rsidRPr="00D2626E">
        <w:rPr>
          <w:szCs w:val="20"/>
        </w:rPr>
        <w:t>)</w:t>
      </w:r>
      <w:r w:rsidR="004E3685" w:rsidRPr="00D2626E">
        <w:rPr>
          <w:szCs w:val="20"/>
        </w:rPr>
        <w:t xml:space="preserve"> are often temporary and usually decrease over time (American Academy Neurology 2013). Adverse events can be minimized through adjustment of the stimulation parameters and are more likely to occur on high stimulation </w:t>
      </w:r>
      <w:r w:rsidR="00A91DCF" w:rsidRPr="00D2626E">
        <w:rPr>
          <w:szCs w:val="20"/>
        </w:rPr>
        <w:t xml:space="preserve">settings </w:t>
      </w:r>
      <w:r w:rsidR="004E3685" w:rsidRPr="00D2626E">
        <w:rPr>
          <w:szCs w:val="20"/>
        </w:rPr>
        <w:t>than low settings (</w:t>
      </w:r>
      <w:proofErr w:type="spellStart"/>
      <w:r w:rsidR="004E3685" w:rsidRPr="00D2626E">
        <w:rPr>
          <w:szCs w:val="20"/>
        </w:rPr>
        <w:t>Panebianco</w:t>
      </w:r>
      <w:proofErr w:type="spellEnd"/>
      <w:r w:rsidR="004E3685" w:rsidRPr="00D2626E">
        <w:rPr>
          <w:szCs w:val="20"/>
        </w:rPr>
        <w:t xml:space="preserve"> 2015). If the VNS equipment or its components fail, people can be exposed to rare, but serious harms (Shaw et al 2020). </w:t>
      </w:r>
      <w:r w:rsidR="00043404" w:rsidRPr="00D2626E">
        <w:rPr>
          <w:szCs w:val="20"/>
        </w:rPr>
        <w:t>As DBS is administering stimulation directly to the brain, it is not associated with many of the listed adverse effects that are associated with vagal nerve stimulation.</w:t>
      </w:r>
    </w:p>
    <w:p w14:paraId="21A778D1" w14:textId="30EF0587" w:rsidR="00663C94" w:rsidRPr="00D2626E" w:rsidRDefault="00E36B65" w:rsidP="00663C94">
      <w:pPr>
        <w:ind w:left="426"/>
        <w:rPr>
          <w:rFonts w:cs="Arial"/>
          <w:szCs w:val="20"/>
        </w:rPr>
      </w:pPr>
      <w:r w:rsidRPr="00D2626E">
        <w:rPr>
          <w:rFonts w:cs="Arial"/>
          <w:szCs w:val="20"/>
        </w:rPr>
        <w:t xml:space="preserve">A </w:t>
      </w:r>
      <w:r w:rsidR="001502C6" w:rsidRPr="00D2626E">
        <w:rPr>
          <w:rFonts w:cs="Arial"/>
          <w:szCs w:val="20"/>
        </w:rPr>
        <w:t xml:space="preserve">review of the </w:t>
      </w:r>
      <w:r w:rsidRPr="00D2626E">
        <w:rPr>
          <w:rFonts w:cs="Arial"/>
          <w:szCs w:val="20"/>
        </w:rPr>
        <w:t xml:space="preserve">30-day risk profile for </w:t>
      </w:r>
      <w:r w:rsidR="005616F5" w:rsidRPr="00D2626E">
        <w:rPr>
          <w:rFonts w:cs="Arial"/>
          <w:szCs w:val="20"/>
        </w:rPr>
        <w:t xml:space="preserve">77 </w:t>
      </w:r>
      <w:r w:rsidRPr="00D2626E">
        <w:rPr>
          <w:rFonts w:cs="Arial"/>
          <w:szCs w:val="20"/>
        </w:rPr>
        <w:t xml:space="preserve">adults undergoing VNS, using multicentre patient data from an international database over 2005 – 2016 reported </w:t>
      </w:r>
      <w:r w:rsidR="005616F5" w:rsidRPr="00D2626E">
        <w:rPr>
          <w:rFonts w:cs="Arial"/>
          <w:szCs w:val="20"/>
        </w:rPr>
        <w:t>a</w:t>
      </w:r>
      <w:r w:rsidRPr="00D2626E">
        <w:rPr>
          <w:rFonts w:cs="Arial"/>
          <w:szCs w:val="20"/>
        </w:rPr>
        <w:t xml:space="preserve"> mean operative time </w:t>
      </w:r>
      <w:r w:rsidR="005616F5" w:rsidRPr="00D2626E">
        <w:rPr>
          <w:rFonts w:cs="Arial"/>
          <w:szCs w:val="20"/>
        </w:rPr>
        <w:t>of</w:t>
      </w:r>
      <w:r w:rsidRPr="00D2626E">
        <w:rPr>
          <w:rFonts w:cs="Arial"/>
          <w:szCs w:val="20"/>
        </w:rPr>
        <w:t xml:space="preserve"> 81.7 minutes</w:t>
      </w:r>
      <w:r w:rsidR="005616F5" w:rsidRPr="00D2626E">
        <w:rPr>
          <w:rFonts w:cs="Arial"/>
          <w:szCs w:val="20"/>
        </w:rPr>
        <w:t xml:space="preserve"> and an </w:t>
      </w:r>
      <w:r w:rsidRPr="00D2626E">
        <w:rPr>
          <w:rFonts w:cs="Arial"/>
          <w:szCs w:val="20"/>
        </w:rPr>
        <w:t xml:space="preserve">average hospital stay </w:t>
      </w:r>
      <w:r w:rsidR="005616F5" w:rsidRPr="00D2626E">
        <w:rPr>
          <w:rFonts w:cs="Arial"/>
          <w:szCs w:val="20"/>
        </w:rPr>
        <w:t>of</w:t>
      </w:r>
      <w:r w:rsidRPr="00D2626E">
        <w:rPr>
          <w:rFonts w:cs="Arial"/>
          <w:szCs w:val="20"/>
        </w:rPr>
        <w:t xml:space="preserve"> 0.27 days</w:t>
      </w:r>
      <w:r w:rsidR="005616F5" w:rsidRPr="00D2626E">
        <w:rPr>
          <w:rFonts w:cs="Arial"/>
          <w:szCs w:val="20"/>
        </w:rPr>
        <w:t>. M</w:t>
      </w:r>
      <w:r w:rsidRPr="00D2626E">
        <w:rPr>
          <w:rFonts w:cs="Arial"/>
          <w:szCs w:val="20"/>
        </w:rPr>
        <w:t>ost (87.0%) patients were discharged on the day of operation. Low readmission (6.2%), reoperation (1.3%), and postoperative infection (1.3%) rates were reported</w:t>
      </w:r>
      <w:r w:rsidR="000F63DD" w:rsidRPr="00D2626E">
        <w:rPr>
          <w:rFonts w:cs="Arial"/>
          <w:szCs w:val="20"/>
        </w:rPr>
        <w:t xml:space="preserve"> </w:t>
      </w:r>
      <w:r w:rsidR="005616F5" w:rsidRPr="00D2626E">
        <w:rPr>
          <w:rFonts w:cs="Arial"/>
          <w:szCs w:val="20"/>
        </w:rPr>
        <w:t>(</w:t>
      </w:r>
      <w:proofErr w:type="spellStart"/>
      <w:r w:rsidR="005616F5" w:rsidRPr="00D2626E">
        <w:rPr>
          <w:rFonts w:cs="Arial"/>
          <w:szCs w:val="20"/>
        </w:rPr>
        <w:t>Selner</w:t>
      </w:r>
      <w:proofErr w:type="spellEnd"/>
      <w:r w:rsidR="005616F5" w:rsidRPr="00D2626E">
        <w:rPr>
          <w:rFonts w:cs="Arial"/>
          <w:szCs w:val="20"/>
        </w:rPr>
        <w:t xml:space="preserve"> et al 2019).</w:t>
      </w:r>
      <w:r w:rsidR="001F4819" w:rsidRPr="00D2626E">
        <w:rPr>
          <w:rFonts w:cs="Arial"/>
          <w:szCs w:val="20"/>
        </w:rPr>
        <w:t xml:space="preserve"> </w:t>
      </w:r>
      <w:r w:rsidR="004E3685" w:rsidRPr="00D2626E">
        <w:rPr>
          <w:rFonts w:cs="Arial"/>
          <w:szCs w:val="20"/>
        </w:rPr>
        <w:t xml:space="preserve"> </w:t>
      </w:r>
      <w:r w:rsidR="00851E14" w:rsidRPr="00D2626E">
        <w:rPr>
          <w:rFonts w:cs="Arial"/>
          <w:szCs w:val="20"/>
        </w:rPr>
        <w:t xml:space="preserve">A systematic review of </w:t>
      </w:r>
      <w:r w:rsidR="004E3685" w:rsidRPr="00D2626E">
        <w:rPr>
          <w:rFonts w:cs="Arial"/>
          <w:szCs w:val="20"/>
        </w:rPr>
        <w:t>78 studies (</w:t>
      </w:r>
      <w:r w:rsidR="00851E14" w:rsidRPr="00D2626E">
        <w:rPr>
          <w:rFonts w:cs="Arial"/>
          <w:szCs w:val="20"/>
        </w:rPr>
        <w:t xml:space="preserve">2,869 patients) and VNS registry data </w:t>
      </w:r>
      <w:r w:rsidR="004E3685" w:rsidRPr="00D2626E">
        <w:rPr>
          <w:rFonts w:cs="Arial"/>
          <w:szCs w:val="20"/>
        </w:rPr>
        <w:t>(</w:t>
      </w:r>
      <w:r w:rsidR="00851E14" w:rsidRPr="00D2626E">
        <w:rPr>
          <w:rFonts w:cs="Arial"/>
          <w:szCs w:val="20"/>
        </w:rPr>
        <w:t>5,554 patients</w:t>
      </w:r>
      <w:r w:rsidR="004E3685" w:rsidRPr="00D2626E">
        <w:rPr>
          <w:rFonts w:cs="Arial"/>
          <w:szCs w:val="20"/>
        </w:rPr>
        <w:t>)</w:t>
      </w:r>
      <w:r w:rsidR="00851E14" w:rsidRPr="00D2626E">
        <w:rPr>
          <w:rFonts w:cs="Arial"/>
          <w:szCs w:val="20"/>
        </w:rPr>
        <w:t>, reported that around 60% of patients achieved a ≥50% seizure reduction after 2–4 years, with a seizure-freedom rate of 8%</w:t>
      </w:r>
      <w:r w:rsidR="004E3685" w:rsidRPr="00D2626E">
        <w:rPr>
          <w:rFonts w:cs="Arial"/>
          <w:szCs w:val="20"/>
        </w:rPr>
        <w:t xml:space="preserve"> (Englot 2016).</w:t>
      </w:r>
    </w:p>
    <w:p w14:paraId="18774895" w14:textId="6610BA4C" w:rsidR="00D26E0B" w:rsidRPr="00D2626E" w:rsidRDefault="002E204B" w:rsidP="00F002AA">
      <w:pPr>
        <w:ind w:left="426"/>
        <w:rPr>
          <w:szCs w:val="20"/>
        </w:rPr>
      </w:pPr>
      <w:r w:rsidRPr="00D2626E">
        <w:rPr>
          <w:szCs w:val="20"/>
        </w:rPr>
        <w:t>There are several important issues when considering VNS procedures. VNS creates safety issues for subsequent imaging, primarily due to patient safety concerns from lead heating in the MRI environment</w:t>
      </w:r>
      <w:r w:rsidR="004F0F9F" w:rsidRPr="00D2626E">
        <w:rPr>
          <w:szCs w:val="20"/>
        </w:rPr>
        <w:t xml:space="preserve"> (Shellock et al 2006)</w:t>
      </w:r>
      <w:r w:rsidRPr="00D2626E">
        <w:rPr>
          <w:szCs w:val="20"/>
        </w:rPr>
        <w:t xml:space="preserve">. This means that many advanced imaging sequences are not able to be used for patients </w:t>
      </w:r>
      <w:r w:rsidR="00F002AA">
        <w:rPr>
          <w:szCs w:val="20"/>
        </w:rPr>
        <w:t>who have VNS leads in situ</w:t>
      </w:r>
      <w:r w:rsidRPr="00D2626E">
        <w:rPr>
          <w:szCs w:val="20"/>
        </w:rPr>
        <w:t>, limiting the ability to detect subtle, surgically amenable lesions</w:t>
      </w:r>
      <w:r w:rsidR="00626EBE" w:rsidRPr="00D2626E">
        <w:rPr>
          <w:szCs w:val="20"/>
        </w:rPr>
        <w:t xml:space="preserve"> in the future</w:t>
      </w:r>
      <w:r w:rsidRPr="00D2626E">
        <w:rPr>
          <w:szCs w:val="20"/>
        </w:rPr>
        <w:t>. Inability to access appropriate imaging may also impact on the accurate targeting of thalamic nuclei, which is aided by specific high quality MRI sequences</w:t>
      </w:r>
      <w:r w:rsidR="008B15FA" w:rsidRPr="00D2626E">
        <w:rPr>
          <w:szCs w:val="20"/>
        </w:rPr>
        <w:t>,</w:t>
      </w:r>
      <w:r w:rsidRPr="00D2626E">
        <w:rPr>
          <w:szCs w:val="20"/>
        </w:rPr>
        <w:t xml:space="preserve"> some of which are unsafe in the presence of VNS electrodes. </w:t>
      </w:r>
      <w:r w:rsidR="004F0F9F" w:rsidRPr="00D2626E">
        <w:rPr>
          <w:szCs w:val="20"/>
        </w:rPr>
        <w:t>Consequently,</w:t>
      </w:r>
      <w:r w:rsidRPr="00D2626E">
        <w:rPr>
          <w:szCs w:val="20"/>
        </w:rPr>
        <w:t xml:space="preserve"> for safety reasons, a modified protocol needs to be followed when performing MRI brain scans in patients with VNS implanted (Jonge et al 2014). Where VNS does </w:t>
      </w:r>
      <w:r w:rsidR="00626EBE" w:rsidRPr="00D2626E">
        <w:rPr>
          <w:szCs w:val="20"/>
        </w:rPr>
        <w:t xml:space="preserve">not </w:t>
      </w:r>
      <w:r w:rsidRPr="00D2626E">
        <w:rPr>
          <w:szCs w:val="20"/>
        </w:rPr>
        <w:t>work, it is not easy to remove the electrode wires without damaging the vagus nerve. A review of 497 VNS procedures for 247 primary VNS implantations, over a 25-year period (mean follow up 12 years), reported that while hematoma, infection, and vocal cord palsy, were the most common complications postoperatively (rate approx.2%), it was noted that these complications may cause major suffering and even be life threatening (Révész et al 2016).</w:t>
      </w:r>
    </w:p>
    <w:p w14:paraId="4C4A1ADE" w14:textId="0AFFF5D5" w:rsidR="00845627" w:rsidRPr="00D2626E" w:rsidRDefault="00845627" w:rsidP="00EC231A">
      <w:pPr>
        <w:ind w:left="426"/>
        <w:rPr>
          <w:szCs w:val="20"/>
        </w:rPr>
      </w:pPr>
      <w:r w:rsidRPr="00D2626E">
        <w:rPr>
          <w:i/>
          <w:iCs/>
          <w:szCs w:val="20"/>
        </w:rPr>
        <w:t xml:space="preserve">Healthcare Resources </w:t>
      </w:r>
      <w:r w:rsidR="00D1382B" w:rsidRPr="00D2626E">
        <w:rPr>
          <w:i/>
          <w:iCs/>
          <w:szCs w:val="20"/>
        </w:rPr>
        <w:t>Delivered with</w:t>
      </w:r>
      <w:r w:rsidRPr="00D2626E">
        <w:rPr>
          <w:i/>
          <w:iCs/>
          <w:szCs w:val="20"/>
        </w:rPr>
        <w:t xml:space="preserve"> VNS </w:t>
      </w:r>
    </w:p>
    <w:p w14:paraId="6FA45FCD" w14:textId="0F10F003" w:rsidR="00EC231A" w:rsidRPr="00D2626E" w:rsidRDefault="00D1382B" w:rsidP="00EC231A">
      <w:pPr>
        <w:ind w:left="426"/>
        <w:rPr>
          <w:szCs w:val="20"/>
        </w:rPr>
      </w:pPr>
      <w:r w:rsidRPr="00D2626E">
        <w:rPr>
          <w:szCs w:val="20"/>
        </w:rPr>
        <w:t>The</w:t>
      </w:r>
      <w:r w:rsidR="004F1414" w:rsidRPr="00D2626E">
        <w:rPr>
          <w:szCs w:val="20"/>
        </w:rPr>
        <w:t xml:space="preserve"> surgical placement of the VNS device and its components</w:t>
      </w:r>
      <w:r w:rsidRPr="00D2626E">
        <w:rPr>
          <w:szCs w:val="20"/>
        </w:rPr>
        <w:t xml:space="preserve"> requires</w:t>
      </w:r>
      <w:r w:rsidR="004F1414" w:rsidRPr="00D2626E">
        <w:rPr>
          <w:szCs w:val="20"/>
        </w:rPr>
        <w:t xml:space="preserve"> utilisation of </w:t>
      </w:r>
      <w:r w:rsidRPr="00D2626E">
        <w:rPr>
          <w:szCs w:val="20"/>
        </w:rPr>
        <w:t xml:space="preserve">the following </w:t>
      </w:r>
      <w:r w:rsidR="004F1414" w:rsidRPr="00D2626E">
        <w:rPr>
          <w:szCs w:val="20"/>
        </w:rPr>
        <w:t>h</w:t>
      </w:r>
      <w:r w:rsidR="00EC231A" w:rsidRPr="00D2626E">
        <w:rPr>
          <w:szCs w:val="20"/>
        </w:rPr>
        <w:t>ealthcare resources</w:t>
      </w:r>
      <w:r w:rsidR="00BB1DBA" w:rsidRPr="00D2626E">
        <w:rPr>
          <w:szCs w:val="20"/>
        </w:rPr>
        <w:t>:</w:t>
      </w:r>
    </w:p>
    <w:p w14:paraId="090834D7" w14:textId="7E9D338E" w:rsidR="00BB1DBA" w:rsidRPr="00D2626E" w:rsidRDefault="00BB1DBA" w:rsidP="00317F2F">
      <w:pPr>
        <w:pStyle w:val="ListParagraph"/>
        <w:numPr>
          <w:ilvl w:val="0"/>
          <w:numId w:val="24"/>
        </w:numPr>
        <w:ind w:left="993" w:hanging="284"/>
        <w:rPr>
          <w:szCs w:val="20"/>
        </w:rPr>
      </w:pPr>
      <w:r w:rsidRPr="00D2626E">
        <w:rPr>
          <w:szCs w:val="20"/>
        </w:rPr>
        <w:t>Surgical placement of the electrical pulser generator</w:t>
      </w:r>
      <w:r w:rsidR="00D1382B" w:rsidRPr="00D2626E">
        <w:rPr>
          <w:szCs w:val="20"/>
        </w:rPr>
        <w:t xml:space="preserve">; </w:t>
      </w:r>
      <w:r w:rsidR="00845627" w:rsidRPr="00D2626E">
        <w:rPr>
          <w:szCs w:val="20"/>
        </w:rPr>
        <w:t>also,</w:t>
      </w:r>
      <w:r w:rsidR="0080121A" w:rsidRPr="00D2626E">
        <w:rPr>
          <w:szCs w:val="20"/>
        </w:rPr>
        <w:t xml:space="preserve"> possible surgical repositioning and/or removal of the electric pulse generator</w:t>
      </w:r>
      <w:r w:rsidRPr="00D2626E">
        <w:rPr>
          <w:szCs w:val="20"/>
        </w:rPr>
        <w:t xml:space="preserve"> </w:t>
      </w:r>
      <w:r w:rsidR="0080121A" w:rsidRPr="00D2626E">
        <w:rPr>
          <w:szCs w:val="20"/>
        </w:rPr>
        <w:t>[</w:t>
      </w:r>
      <w:r w:rsidR="00D1382B" w:rsidRPr="00D2626E">
        <w:rPr>
          <w:szCs w:val="20"/>
        </w:rPr>
        <w:t xml:space="preserve">REQUIRES – surgery, </w:t>
      </w:r>
      <w:r w:rsidR="0080121A" w:rsidRPr="00D2626E">
        <w:rPr>
          <w:szCs w:val="20"/>
        </w:rPr>
        <w:t>anaesthesia</w:t>
      </w:r>
      <w:r w:rsidR="004F1414" w:rsidRPr="00D2626E">
        <w:rPr>
          <w:szCs w:val="20"/>
        </w:rPr>
        <w:t xml:space="preserve"> medications</w:t>
      </w:r>
      <w:r w:rsidR="0080121A" w:rsidRPr="00D2626E">
        <w:rPr>
          <w:szCs w:val="20"/>
        </w:rPr>
        <w:t>, anaesthetist fees, surgical fees etc.]</w:t>
      </w:r>
    </w:p>
    <w:p w14:paraId="645B0D20" w14:textId="08885CDA" w:rsidR="0080121A" w:rsidRPr="00D2626E" w:rsidRDefault="0080121A" w:rsidP="00317F2F">
      <w:pPr>
        <w:pStyle w:val="ListParagraph"/>
        <w:numPr>
          <w:ilvl w:val="0"/>
          <w:numId w:val="24"/>
        </w:numPr>
        <w:ind w:left="993" w:hanging="284"/>
        <w:rPr>
          <w:szCs w:val="20"/>
        </w:rPr>
      </w:pPr>
      <w:r w:rsidRPr="00D2626E">
        <w:rPr>
          <w:szCs w:val="20"/>
        </w:rPr>
        <w:t xml:space="preserve">Surgical placement of VNS lead; </w:t>
      </w:r>
      <w:r w:rsidR="00845627" w:rsidRPr="00D2626E">
        <w:rPr>
          <w:szCs w:val="20"/>
        </w:rPr>
        <w:t>also,</w:t>
      </w:r>
      <w:r w:rsidRPr="00D2626E">
        <w:rPr>
          <w:szCs w:val="20"/>
        </w:rPr>
        <w:t xml:space="preserve"> possible surgical repositioning and/or removal of lead [</w:t>
      </w:r>
      <w:r w:rsidR="00D1382B" w:rsidRPr="00D2626E">
        <w:rPr>
          <w:szCs w:val="20"/>
        </w:rPr>
        <w:t xml:space="preserve">REQUIRES – surgery, </w:t>
      </w:r>
      <w:r w:rsidRPr="00D2626E">
        <w:rPr>
          <w:szCs w:val="20"/>
        </w:rPr>
        <w:t>anaesthesia</w:t>
      </w:r>
      <w:r w:rsidR="004F1414" w:rsidRPr="00D2626E">
        <w:rPr>
          <w:szCs w:val="20"/>
        </w:rPr>
        <w:t xml:space="preserve"> medications</w:t>
      </w:r>
      <w:r w:rsidRPr="00D2626E">
        <w:rPr>
          <w:szCs w:val="20"/>
        </w:rPr>
        <w:t>, anaesthetist fees, surgical fees etc.]</w:t>
      </w:r>
    </w:p>
    <w:p w14:paraId="57E30065" w14:textId="322A4D2C" w:rsidR="00BB1DBA" w:rsidRPr="00317F2F" w:rsidRDefault="0080121A" w:rsidP="00317F2F">
      <w:pPr>
        <w:pStyle w:val="ListParagraph"/>
        <w:numPr>
          <w:ilvl w:val="0"/>
          <w:numId w:val="24"/>
        </w:numPr>
        <w:ind w:left="993" w:hanging="284"/>
        <w:rPr>
          <w:szCs w:val="20"/>
        </w:rPr>
      </w:pPr>
      <w:r w:rsidRPr="00D2626E">
        <w:rPr>
          <w:szCs w:val="20"/>
        </w:rPr>
        <w:t xml:space="preserve">Electrical analysis and programming of </w:t>
      </w:r>
      <w:r w:rsidR="004F1414" w:rsidRPr="00D2626E">
        <w:rPr>
          <w:szCs w:val="20"/>
        </w:rPr>
        <w:t>VND device (</w:t>
      </w:r>
      <w:r w:rsidRPr="00D2626E">
        <w:rPr>
          <w:szCs w:val="20"/>
        </w:rPr>
        <w:t>electric pulse generator</w:t>
      </w:r>
      <w:r w:rsidR="004F1414" w:rsidRPr="00D2626E">
        <w:rPr>
          <w:szCs w:val="20"/>
        </w:rPr>
        <w:t>) using an external wand [</w:t>
      </w:r>
      <w:r w:rsidR="00D1382B" w:rsidRPr="00D2626E">
        <w:rPr>
          <w:szCs w:val="20"/>
        </w:rPr>
        <w:t>REQUIRES</w:t>
      </w:r>
      <w:r w:rsidR="00A91DCF" w:rsidRPr="00D2626E">
        <w:rPr>
          <w:szCs w:val="20"/>
        </w:rPr>
        <w:t xml:space="preserve"> </w:t>
      </w:r>
      <w:r w:rsidR="00161A6E" w:rsidRPr="00D2626E">
        <w:rPr>
          <w:szCs w:val="20"/>
        </w:rPr>
        <w:t>–</w:t>
      </w:r>
      <w:r w:rsidR="00D1382B" w:rsidRPr="00D2626E">
        <w:rPr>
          <w:szCs w:val="20"/>
        </w:rPr>
        <w:t xml:space="preserve"> </w:t>
      </w:r>
      <w:r w:rsidR="00161A6E" w:rsidRPr="00D2626E">
        <w:rPr>
          <w:szCs w:val="20"/>
        </w:rPr>
        <w:t>outpatient clinic</w:t>
      </w:r>
      <w:r w:rsidR="00A91DCF" w:rsidRPr="00D2626E">
        <w:rPr>
          <w:szCs w:val="20"/>
        </w:rPr>
        <w:t xml:space="preserve"> visits</w:t>
      </w:r>
      <w:r w:rsidR="00161A6E" w:rsidRPr="00D2626E">
        <w:rPr>
          <w:szCs w:val="20"/>
        </w:rPr>
        <w:t>, wand device]</w:t>
      </w:r>
    </w:p>
    <w:p w14:paraId="27F75AD2" w14:textId="6FD1D2BE" w:rsidR="00936712" w:rsidRPr="00317F2F" w:rsidRDefault="00936712" w:rsidP="00CB4060">
      <w:pPr>
        <w:ind w:left="426"/>
        <w:rPr>
          <w:b/>
          <w:bCs/>
          <w:i/>
          <w:iCs/>
          <w:szCs w:val="20"/>
        </w:rPr>
      </w:pPr>
      <w:r w:rsidRPr="00317F2F">
        <w:rPr>
          <w:b/>
          <w:bCs/>
          <w:i/>
          <w:iCs/>
          <w:szCs w:val="20"/>
        </w:rPr>
        <w:t xml:space="preserve">References </w:t>
      </w:r>
      <w:r w:rsidR="0088247E" w:rsidRPr="00317F2F">
        <w:rPr>
          <w:b/>
          <w:bCs/>
          <w:i/>
          <w:iCs/>
          <w:szCs w:val="20"/>
        </w:rPr>
        <w:t>Cited</w:t>
      </w:r>
    </w:p>
    <w:p w14:paraId="683AB136" w14:textId="77777777" w:rsidR="008E5A76" w:rsidRPr="00D2626E" w:rsidRDefault="008E5A76" w:rsidP="008E5A76">
      <w:pPr>
        <w:ind w:left="426"/>
        <w:rPr>
          <w:szCs w:val="20"/>
        </w:rPr>
      </w:pPr>
      <w:r w:rsidRPr="00D2626E">
        <w:rPr>
          <w:szCs w:val="20"/>
        </w:rPr>
        <w:t xml:space="preserve">de </w:t>
      </w:r>
      <w:proofErr w:type="spellStart"/>
      <w:r w:rsidRPr="00D2626E">
        <w:rPr>
          <w:szCs w:val="20"/>
        </w:rPr>
        <w:t>Jonge</w:t>
      </w:r>
      <w:proofErr w:type="spellEnd"/>
      <w:r w:rsidRPr="00D2626E">
        <w:rPr>
          <w:szCs w:val="20"/>
        </w:rPr>
        <w:t xml:space="preserve"> JC, </w:t>
      </w:r>
      <w:proofErr w:type="spellStart"/>
      <w:r w:rsidRPr="00D2626E">
        <w:rPr>
          <w:szCs w:val="20"/>
        </w:rPr>
        <w:t>Melis</w:t>
      </w:r>
      <w:proofErr w:type="spellEnd"/>
      <w:r w:rsidRPr="00D2626E">
        <w:rPr>
          <w:szCs w:val="20"/>
        </w:rPr>
        <w:t xml:space="preserve"> GI, </w:t>
      </w:r>
      <w:proofErr w:type="spellStart"/>
      <w:r w:rsidRPr="00D2626E">
        <w:rPr>
          <w:szCs w:val="20"/>
        </w:rPr>
        <w:t>Gebbink</w:t>
      </w:r>
      <w:proofErr w:type="spellEnd"/>
      <w:r w:rsidRPr="00D2626E">
        <w:rPr>
          <w:szCs w:val="20"/>
        </w:rPr>
        <w:t xml:space="preserve"> TA, de </w:t>
      </w:r>
      <w:proofErr w:type="spellStart"/>
      <w:r w:rsidRPr="00D2626E">
        <w:rPr>
          <w:szCs w:val="20"/>
        </w:rPr>
        <w:t>Kort</w:t>
      </w:r>
      <w:proofErr w:type="spellEnd"/>
      <w:r w:rsidRPr="00D2626E">
        <w:rPr>
          <w:szCs w:val="20"/>
        </w:rPr>
        <w:t xml:space="preserve"> GA, </w:t>
      </w:r>
      <w:proofErr w:type="spellStart"/>
      <w:r w:rsidRPr="00D2626E">
        <w:rPr>
          <w:szCs w:val="20"/>
        </w:rPr>
        <w:t>Leijten</w:t>
      </w:r>
      <w:proofErr w:type="spellEnd"/>
      <w:r w:rsidRPr="00D2626E">
        <w:rPr>
          <w:szCs w:val="20"/>
        </w:rPr>
        <w:t xml:space="preserve"> FSS. Safety of a dedicated brain MRI protocol in patients with a vagus nerve stimulator. Epilepsia. 2014; 55(11): e112-e115. </w:t>
      </w:r>
    </w:p>
    <w:p w14:paraId="2EAD645F" w14:textId="77777777" w:rsidR="008E5A76" w:rsidRPr="00D2626E" w:rsidRDefault="008E5A76" w:rsidP="008E5A76">
      <w:pPr>
        <w:ind w:left="426"/>
        <w:rPr>
          <w:szCs w:val="20"/>
        </w:rPr>
      </w:pPr>
      <w:r w:rsidRPr="00D2626E">
        <w:rPr>
          <w:szCs w:val="20"/>
        </w:rPr>
        <w:t>Englot DJ, Rolston JD, Wright CW, Hassnain KH, et al. Rates and predictors of seizure freedom with vagus nerve stimulation for intractable epilepsy. Neurosurgery</w:t>
      </w:r>
      <w:r w:rsidRPr="00D2626E">
        <w:rPr>
          <w:i/>
          <w:iCs/>
          <w:szCs w:val="20"/>
        </w:rPr>
        <w:t>.</w:t>
      </w:r>
      <w:r w:rsidRPr="00D2626E">
        <w:rPr>
          <w:szCs w:val="20"/>
        </w:rPr>
        <w:t xml:space="preserve"> 2016; 79:345–53</w:t>
      </w:r>
    </w:p>
    <w:p w14:paraId="4CF06A33" w14:textId="77777777" w:rsidR="008E5A76" w:rsidRPr="00D2626E" w:rsidRDefault="008E5A76" w:rsidP="008E5A76">
      <w:pPr>
        <w:ind w:left="426"/>
        <w:rPr>
          <w:color w:val="0000FF" w:themeColor="hyperlink"/>
          <w:szCs w:val="20"/>
          <w:u w:val="single"/>
        </w:rPr>
      </w:pPr>
      <w:r w:rsidRPr="00D2626E">
        <w:rPr>
          <w:szCs w:val="20"/>
        </w:rPr>
        <w:lastRenderedPageBreak/>
        <w:t xml:space="preserve">Giordano F, </w:t>
      </w:r>
      <w:proofErr w:type="spellStart"/>
      <w:r w:rsidRPr="00D2626E">
        <w:rPr>
          <w:szCs w:val="20"/>
        </w:rPr>
        <w:t>Zicca</w:t>
      </w:r>
      <w:proofErr w:type="spellEnd"/>
      <w:r w:rsidRPr="00D2626E">
        <w:rPr>
          <w:szCs w:val="20"/>
        </w:rPr>
        <w:t xml:space="preserve"> A, Barba C, Guerrini R, </w:t>
      </w:r>
      <w:proofErr w:type="spellStart"/>
      <w:r w:rsidRPr="00D2626E">
        <w:rPr>
          <w:szCs w:val="20"/>
        </w:rPr>
        <w:t>Genitori</w:t>
      </w:r>
      <w:proofErr w:type="spellEnd"/>
      <w:r w:rsidRPr="00D2626E">
        <w:rPr>
          <w:szCs w:val="20"/>
        </w:rPr>
        <w:t xml:space="preserve"> L. Vagus nerve stimulation: surgical technique of implantation and revision and related morbidity. Epilepsia. 2017; 58 Suppl 1:85-90</w:t>
      </w:r>
    </w:p>
    <w:p w14:paraId="3E2710A0" w14:textId="1E070255" w:rsidR="008E5A76" w:rsidRPr="00D2626E" w:rsidRDefault="008E5A76" w:rsidP="008E5A76">
      <w:pPr>
        <w:ind w:left="426"/>
        <w:rPr>
          <w:szCs w:val="20"/>
        </w:rPr>
      </w:pPr>
      <w:r w:rsidRPr="00D2626E">
        <w:rPr>
          <w:szCs w:val="20"/>
        </w:rPr>
        <w:t xml:space="preserve">González HFJ, </w:t>
      </w:r>
      <w:proofErr w:type="spellStart"/>
      <w:r w:rsidRPr="00D2626E">
        <w:rPr>
          <w:szCs w:val="20"/>
          <w:lang w:eastAsia="ja-JP"/>
        </w:rPr>
        <w:t>Yengo</w:t>
      </w:r>
      <w:proofErr w:type="spellEnd"/>
      <w:r w:rsidRPr="00D2626E">
        <w:rPr>
          <w:szCs w:val="20"/>
        </w:rPr>
        <w:t xml:space="preserve">-Kahn A &amp; </w:t>
      </w:r>
      <w:proofErr w:type="spellStart"/>
      <w:r w:rsidRPr="00D2626E">
        <w:rPr>
          <w:szCs w:val="20"/>
        </w:rPr>
        <w:t>Englot</w:t>
      </w:r>
      <w:proofErr w:type="spellEnd"/>
      <w:r w:rsidRPr="00D2626E">
        <w:rPr>
          <w:szCs w:val="20"/>
        </w:rPr>
        <w:t xml:space="preserve"> DJ. Vagus Nerve Stimulation for the Treatment of Epilepsy. Neurosurg Clin N Am 2019; Apr;30(2):219-230.</w:t>
      </w:r>
    </w:p>
    <w:p w14:paraId="752456E7" w14:textId="17F7F1E1" w:rsidR="008E5A76" w:rsidRPr="00D2626E" w:rsidRDefault="008E5A76" w:rsidP="008E5A76">
      <w:pPr>
        <w:ind w:left="426"/>
        <w:rPr>
          <w:szCs w:val="20"/>
        </w:rPr>
      </w:pPr>
      <w:r w:rsidRPr="00D2626E">
        <w:rPr>
          <w:szCs w:val="20"/>
        </w:rPr>
        <w:t xml:space="preserve">Morris GL, Gloss D, </w:t>
      </w:r>
      <w:proofErr w:type="spellStart"/>
      <w:r w:rsidRPr="00D2626E">
        <w:rPr>
          <w:szCs w:val="20"/>
        </w:rPr>
        <w:t>Buchhalter</w:t>
      </w:r>
      <w:proofErr w:type="spellEnd"/>
      <w:r w:rsidRPr="00D2626E">
        <w:rPr>
          <w:szCs w:val="20"/>
        </w:rPr>
        <w:t xml:space="preserve"> J, Mack KJ et al. Evidence-based guideline update: vagus nerve stimulation for the treatment of epilepsy: report of the Guideline Development Subcommittee of the American Academy of Neurology. Neurology. 2013; Oct 15;81(16):1453-9.</w:t>
      </w:r>
    </w:p>
    <w:p w14:paraId="7BB5ABC1" w14:textId="77777777" w:rsidR="008E5A76" w:rsidRPr="00D2626E" w:rsidRDefault="008E5A76" w:rsidP="008E5A76">
      <w:pPr>
        <w:ind w:left="426"/>
        <w:rPr>
          <w:szCs w:val="20"/>
        </w:rPr>
      </w:pPr>
      <w:proofErr w:type="spellStart"/>
      <w:r w:rsidRPr="00D2626E">
        <w:rPr>
          <w:szCs w:val="20"/>
        </w:rPr>
        <w:t>Panebianco</w:t>
      </w:r>
      <w:proofErr w:type="spellEnd"/>
      <w:r w:rsidRPr="00D2626E">
        <w:rPr>
          <w:szCs w:val="20"/>
        </w:rPr>
        <w:t xml:space="preserve"> M, Rigby A, Weston J, Marson AG. Vagus nerve stimulation for partial seizures. Cochrane Database Syst Rev. 2015(4):CD002896. </w:t>
      </w:r>
    </w:p>
    <w:p w14:paraId="038AFEF5" w14:textId="77777777" w:rsidR="008E5A76" w:rsidRPr="00D2626E" w:rsidRDefault="008E5A76" w:rsidP="008E5A76">
      <w:pPr>
        <w:ind w:left="426"/>
        <w:rPr>
          <w:szCs w:val="20"/>
        </w:rPr>
      </w:pPr>
      <w:proofErr w:type="spellStart"/>
      <w:r w:rsidRPr="00D2626E">
        <w:rPr>
          <w:szCs w:val="20"/>
        </w:rPr>
        <w:t>Révész</w:t>
      </w:r>
      <w:proofErr w:type="spellEnd"/>
      <w:r w:rsidRPr="00D2626E">
        <w:rPr>
          <w:szCs w:val="20"/>
        </w:rPr>
        <w:t xml:space="preserve"> D, </w:t>
      </w:r>
      <w:proofErr w:type="spellStart"/>
      <w:r w:rsidRPr="00D2626E">
        <w:rPr>
          <w:szCs w:val="20"/>
        </w:rPr>
        <w:t>Rydenhag</w:t>
      </w:r>
      <w:proofErr w:type="spellEnd"/>
      <w:r w:rsidRPr="00D2626E">
        <w:rPr>
          <w:szCs w:val="20"/>
        </w:rPr>
        <w:t xml:space="preserve"> B, MD, Ben-Menachem E. Complications, and safety of vagus nerve stimulation: 25 years of experience at a single centre. J Neurosurg Pediatr. 2016; 18:97–104.   </w:t>
      </w:r>
    </w:p>
    <w:p w14:paraId="0663A997" w14:textId="0EDAA2D6" w:rsidR="008E5A76" w:rsidRPr="00D2626E" w:rsidRDefault="008E5A76" w:rsidP="008E5A76">
      <w:pPr>
        <w:ind w:left="426"/>
        <w:rPr>
          <w:szCs w:val="20"/>
        </w:rPr>
      </w:pPr>
      <w:proofErr w:type="spellStart"/>
      <w:r w:rsidRPr="00D2626E">
        <w:rPr>
          <w:szCs w:val="20"/>
        </w:rPr>
        <w:t>Selner</w:t>
      </w:r>
      <w:proofErr w:type="spellEnd"/>
      <w:r w:rsidRPr="00D2626E">
        <w:rPr>
          <w:szCs w:val="20"/>
        </w:rPr>
        <w:t xml:space="preserve"> A, Clayton L, Ryan R, Chi G et al. Vagal Nerve Stimulation for Epilepsy in Adults: A Database Risk Analysis and Review of the Literature. World Neurosurgery</w:t>
      </w:r>
      <w:r w:rsidR="00CF0E23" w:rsidRPr="00D2626E">
        <w:rPr>
          <w:szCs w:val="20"/>
        </w:rPr>
        <w:t>.</w:t>
      </w:r>
      <w:r w:rsidRPr="00D2626E">
        <w:rPr>
          <w:szCs w:val="20"/>
        </w:rPr>
        <w:t xml:space="preserve"> 2019; Vol. 121; e947-e953. Link </w:t>
      </w:r>
    </w:p>
    <w:p w14:paraId="5F8EB6F0" w14:textId="64561926" w:rsidR="008E5A76" w:rsidRPr="00D2626E" w:rsidRDefault="008E5A76" w:rsidP="008E5A76">
      <w:pPr>
        <w:ind w:left="426"/>
        <w:rPr>
          <w:szCs w:val="20"/>
        </w:rPr>
      </w:pPr>
      <w:r w:rsidRPr="00D2626E">
        <w:rPr>
          <w:szCs w:val="20"/>
        </w:rPr>
        <w:t xml:space="preserve">Shaw B, King V, </w:t>
      </w:r>
      <w:proofErr w:type="spellStart"/>
      <w:r w:rsidRPr="00D2626E">
        <w:rPr>
          <w:szCs w:val="20"/>
        </w:rPr>
        <w:t>Robalino</w:t>
      </w:r>
      <w:proofErr w:type="spellEnd"/>
      <w:r w:rsidRPr="00D2626E">
        <w:rPr>
          <w:szCs w:val="20"/>
        </w:rPr>
        <w:t xml:space="preserve"> S, </w:t>
      </w:r>
      <w:proofErr w:type="spellStart"/>
      <w:r w:rsidRPr="00D2626E">
        <w:rPr>
          <w:szCs w:val="20"/>
        </w:rPr>
        <w:t>Vintro</w:t>
      </w:r>
      <w:proofErr w:type="spellEnd"/>
      <w:r w:rsidRPr="00D2626E">
        <w:rPr>
          <w:szCs w:val="20"/>
        </w:rPr>
        <w:t xml:space="preserve"> A, Harrod C. Vagal Nerve Stimulation for Epilepsy and Depression. Final Evidence Report. April 14, 2020. Prepared by Centre for Evidence-based Policy, Oregon Health &amp; Science University. 2020.</w:t>
      </w:r>
    </w:p>
    <w:p w14:paraId="78459D62" w14:textId="1BDF4CB4" w:rsidR="002B1635" w:rsidRPr="00154B00" w:rsidRDefault="004F0F9F" w:rsidP="00317F2F">
      <w:pPr>
        <w:ind w:left="426"/>
        <w:rPr>
          <w:szCs w:val="20"/>
        </w:rPr>
      </w:pPr>
      <w:r w:rsidRPr="00D2626E">
        <w:rPr>
          <w:szCs w:val="20"/>
        </w:rPr>
        <w:t xml:space="preserve">Shellock FG&lt; Begnaud JB, Inman DM. Vagus nerve stimulation therapy system: in vitro evaluation of magnetic resonance imaging-related heating and function at 1.5 and 3 </w:t>
      </w:r>
      <w:proofErr w:type="gramStart"/>
      <w:r w:rsidRPr="00D2626E">
        <w:rPr>
          <w:szCs w:val="20"/>
        </w:rPr>
        <w:t>tesla</w:t>
      </w:r>
      <w:proofErr w:type="gramEnd"/>
      <w:r w:rsidRPr="00D2626E">
        <w:rPr>
          <w:szCs w:val="20"/>
        </w:rPr>
        <w:t>. Neuromodulation. 2006; Jul;9(3):204-13</w:t>
      </w:r>
    </w:p>
    <w:p w14:paraId="5B355210"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279A1830" w14:textId="19E5FACF" w:rsidR="006A1038" w:rsidRDefault="00850D8C" w:rsidP="00850D8C">
      <w:pPr>
        <w:spacing w:before="0" w:after="0"/>
        <w:rPr>
          <w:szCs w:val="20"/>
        </w:rPr>
      </w:pPr>
      <w:r>
        <w:rPr>
          <w:szCs w:val="20"/>
        </w:rPr>
        <w:t xml:space="preserve">  </w:t>
      </w:r>
      <w:r w:rsidR="00311007">
        <w:rPr>
          <w:szCs w:val="20"/>
        </w:rPr>
        <w:t xml:space="preserve"> </w:t>
      </w:r>
      <w:r>
        <w:rPr>
          <w:szCs w:val="20"/>
        </w:rPr>
        <w:t xml:space="preserve">      </w:t>
      </w:r>
      <w:r>
        <w:rPr>
          <w:szCs w:val="20"/>
        </w:rPr>
        <w:fldChar w:fldCharType="begin">
          <w:ffData>
            <w:name w:val=""/>
            <w:enabled/>
            <w:calcOnExit w:val="0"/>
            <w:checkBox>
              <w:sizeAuto/>
              <w:default w:val="1"/>
            </w:checkBox>
          </w:ffData>
        </w:fldChar>
      </w:r>
      <w:r>
        <w:rPr>
          <w:szCs w:val="20"/>
        </w:rPr>
        <w:instrText xml:space="preserve"> FORMCHECKBOX </w:instrText>
      </w:r>
      <w:r w:rsidR="00317F2F">
        <w:rPr>
          <w:szCs w:val="20"/>
        </w:rPr>
      </w:r>
      <w:r w:rsidR="00317F2F">
        <w:rPr>
          <w:szCs w:val="20"/>
        </w:rPr>
        <w:fldChar w:fldCharType="separate"/>
      </w:r>
      <w:r>
        <w:rPr>
          <w:szCs w:val="20"/>
        </w:rPr>
        <w:fldChar w:fldCharType="end"/>
      </w:r>
      <w:r>
        <w:rPr>
          <w:szCs w:val="20"/>
        </w:rPr>
        <w:t xml:space="preserve"> </w:t>
      </w:r>
      <w:r w:rsidR="006A1038">
        <w:rPr>
          <w:szCs w:val="20"/>
        </w:rPr>
        <w:t xml:space="preserve">Yes (please </w:t>
      </w:r>
      <w:r w:rsidR="003904AC">
        <w:rPr>
          <w:szCs w:val="20"/>
        </w:rPr>
        <w:t xml:space="preserve">list </w:t>
      </w:r>
      <w:r w:rsidR="006A1038">
        <w:rPr>
          <w:szCs w:val="20"/>
        </w:rPr>
        <w:t>all relevant MBS item numbers below)</w:t>
      </w:r>
    </w:p>
    <w:p w14:paraId="5D9EC440"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317F2F">
        <w:rPr>
          <w:szCs w:val="20"/>
        </w:rPr>
      </w:r>
      <w:r w:rsidR="00317F2F">
        <w:rPr>
          <w:szCs w:val="20"/>
        </w:rPr>
        <w:fldChar w:fldCharType="separate"/>
      </w:r>
      <w:r w:rsidRPr="00753C44">
        <w:rPr>
          <w:szCs w:val="20"/>
        </w:rPr>
        <w:fldChar w:fldCharType="end"/>
      </w:r>
      <w:r>
        <w:rPr>
          <w:szCs w:val="20"/>
        </w:rPr>
        <w:t xml:space="preserve"> No  </w:t>
      </w:r>
    </w:p>
    <w:p w14:paraId="060E139F" w14:textId="5742F34E" w:rsidR="00E837CB" w:rsidRDefault="00AA33A4" w:rsidP="001B29A1">
      <w:pPr>
        <w:ind w:left="426"/>
        <w:rPr>
          <w:szCs w:val="20"/>
        </w:rPr>
      </w:pPr>
      <w:r>
        <w:rPr>
          <w:szCs w:val="20"/>
        </w:rPr>
        <w:t>S</w:t>
      </w:r>
      <w:r w:rsidR="003E7CA5">
        <w:rPr>
          <w:szCs w:val="20"/>
        </w:rPr>
        <w:t>everal</w:t>
      </w:r>
      <w:r w:rsidR="00E837CB">
        <w:rPr>
          <w:szCs w:val="20"/>
        </w:rPr>
        <w:t xml:space="preserve"> Medicare Benefits Schedule (MBS) item numbers </w:t>
      </w:r>
      <w:r>
        <w:rPr>
          <w:szCs w:val="20"/>
        </w:rPr>
        <w:t>cover</w:t>
      </w:r>
      <w:r w:rsidR="00E837CB">
        <w:rPr>
          <w:szCs w:val="20"/>
        </w:rPr>
        <w:t xml:space="preserve"> VNS</w:t>
      </w:r>
      <w:r w:rsidR="00896360">
        <w:rPr>
          <w:szCs w:val="20"/>
        </w:rPr>
        <w:t xml:space="preserve"> for epilepsy</w:t>
      </w:r>
      <w:r w:rsidR="003E7CA5">
        <w:rPr>
          <w:szCs w:val="20"/>
        </w:rPr>
        <w:t xml:space="preserve"> as described below</w:t>
      </w:r>
      <w:r w:rsidR="00E837CB">
        <w:rPr>
          <w:szCs w:val="20"/>
        </w:rPr>
        <w:t>:</w:t>
      </w:r>
    </w:p>
    <w:p w14:paraId="1F5CDC8B" w14:textId="44C171FB" w:rsidR="003E7CA5" w:rsidRDefault="003E7CA5" w:rsidP="003E7CA5">
      <w:pPr>
        <w:pStyle w:val="ListParagraph"/>
        <w:numPr>
          <w:ilvl w:val="0"/>
          <w:numId w:val="34"/>
        </w:numPr>
        <w:rPr>
          <w:b/>
          <w:bCs/>
        </w:rPr>
      </w:pPr>
      <w:r>
        <w:rPr>
          <w:b/>
          <w:bCs/>
        </w:rPr>
        <w:t>MBS Item Number 40701</w:t>
      </w:r>
    </w:p>
    <w:p w14:paraId="53777EFF" w14:textId="52E5FE57" w:rsidR="003E7CA5" w:rsidRDefault="003E7CA5" w:rsidP="003E7CA5">
      <w:pPr>
        <w:pStyle w:val="ListParagraph"/>
      </w:pPr>
      <w:r w:rsidRPr="003E7CA5">
        <w:t>Vagus nerve stimulation therapy through stimulation of the left vagus nerve, subcutaneous placement of electrical pulse generator, for</w:t>
      </w:r>
      <w:r>
        <w:t xml:space="preserve">: </w:t>
      </w:r>
      <w:r w:rsidRPr="003E7CA5">
        <w:t>(a) management of refractory generalised epilepsy; or</w:t>
      </w:r>
      <w:r>
        <w:t xml:space="preserve"> </w:t>
      </w:r>
      <w:r w:rsidRPr="003E7CA5">
        <w:t>(b) treatment of refractory focal epilepsy not suitable for resective epilepsy surgery</w:t>
      </w:r>
    </w:p>
    <w:p w14:paraId="5C5B3954" w14:textId="77777777" w:rsidR="003E7CA5" w:rsidRPr="003E7CA5" w:rsidRDefault="003E7CA5" w:rsidP="003E7CA5">
      <w:pPr>
        <w:pStyle w:val="ListParagraph"/>
      </w:pPr>
    </w:p>
    <w:p w14:paraId="4C3E7ACE" w14:textId="7D07C308" w:rsidR="003E7CA5" w:rsidRDefault="003E7CA5" w:rsidP="003E7CA5">
      <w:pPr>
        <w:pStyle w:val="ListParagraph"/>
        <w:numPr>
          <w:ilvl w:val="0"/>
          <w:numId w:val="34"/>
        </w:numPr>
        <w:rPr>
          <w:b/>
          <w:bCs/>
        </w:rPr>
      </w:pPr>
      <w:r>
        <w:rPr>
          <w:b/>
          <w:bCs/>
        </w:rPr>
        <w:t>MBS Item Number 40702</w:t>
      </w:r>
    </w:p>
    <w:p w14:paraId="401C0648" w14:textId="752D9805" w:rsidR="003E7CA5" w:rsidRDefault="003E7CA5" w:rsidP="003E7CA5">
      <w:pPr>
        <w:pStyle w:val="ListParagraph"/>
      </w:pPr>
      <w:r w:rsidRPr="003E7CA5">
        <w:t>Vagus nerve stimulation therapy through stimulation of the left vagus nerve, surgical repositioning or removal of electrical pulse generator inserted for:</w:t>
      </w:r>
      <w:r>
        <w:t xml:space="preserve"> </w:t>
      </w:r>
      <w:r w:rsidRPr="003E7CA5">
        <w:t>(a) management of refractory generalised epilepsy; or</w:t>
      </w:r>
      <w:r>
        <w:t xml:space="preserve"> </w:t>
      </w:r>
      <w:r w:rsidRPr="003E7CA5">
        <w:t>(b) treatment of refractory focal epilepsy not suitable for resective epilepsy surgery</w:t>
      </w:r>
    </w:p>
    <w:p w14:paraId="712E0162" w14:textId="77777777" w:rsidR="003E7CA5" w:rsidRPr="003E7CA5" w:rsidRDefault="003E7CA5" w:rsidP="003E7CA5">
      <w:pPr>
        <w:pStyle w:val="ListParagraph"/>
      </w:pPr>
    </w:p>
    <w:p w14:paraId="2DB8103A" w14:textId="0A430B86" w:rsidR="003E7CA5" w:rsidRDefault="003E7CA5" w:rsidP="00896360">
      <w:pPr>
        <w:pStyle w:val="ListParagraph"/>
        <w:numPr>
          <w:ilvl w:val="0"/>
          <w:numId w:val="34"/>
        </w:numPr>
        <w:rPr>
          <w:b/>
          <w:bCs/>
        </w:rPr>
      </w:pPr>
      <w:r>
        <w:rPr>
          <w:b/>
          <w:bCs/>
        </w:rPr>
        <w:t>MBS Item Number 40704</w:t>
      </w:r>
    </w:p>
    <w:p w14:paraId="491DDC23" w14:textId="0CF7F953" w:rsidR="003E7CA5" w:rsidRDefault="003E7CA5" w:rsidP="003E7CA5">
      <w:pPr>
        <w:pStyle w:val="ListParagraph"/>
      </w:pPr>
      <w:r w:rsidRPr="003E7CA5">
        <w:t>Vagus nerve stimulation therapy through stimulation of the left vagus nerve, surgical placement of lead, including connection of lead to left vagus nerve and intra-operative test stimulation, for:</w:t>
      </w:r>
      <w:r>
        <w:t xml:space="preserve"> </w:t>
      </w:r>
      <w:r w:rsidRPr="003E7CA5">
        <w:t>(a) management of refractory generalised epilepsy; or</w:t>
      </w:r>
      <w:r>
        <w:t xml:space="preserve"> </w:t>
      </w:r>
      <w:r w:rsidRPr="003E7CA5">
        <w:t>(b) treatment of refractory focal epilepsy not suitable for resective epilepsy surgery</w:t>
      </w:r>
    </w:p>
    <w:p w14:paraId="2024AE36" w14:textId="3A3C04EA" w:rsidR="003E7CA5" w:rsidRDefault="003E7CA5" w:rsidP="003E7CA5">
      <w:pPr>
        <w:pStyle w:val="ListParagraph"/>
      </w:pPr>
    </w:p>
    <w:p w14:paraId="2B9560CC" w14:textId="39B6A9F3" w:rsidR="003E7CA5" w:rsidRPr="003E7CA5" w:rsidRDefault="003E7CA5" w:rsidP="003E7CA5">
      <w:pPr>
        <w:pStyle w:val="ListParagraph"/>
        <w:numPr>
          <w:ilvl w:val="0"/>
          <w:numId w:val="34"/>
        </w:numPr>
        <w:rPr>
          <w:b/>
          <w:bCs/>
        </w:rPr>
      </w:pPr>
      <w:r w:rsidRPr="003E7CA5">
        <w:rPr>
          <w:b/>
          <w:bCs/>
        </w:rPr>
        <w:t>MBS Item Number 40705</w:t>
      </w:r>
    </w:p>
    <w:p w14:paraId="2FA2A359" w14:textId="026AC665" w:rsidR="003E7CA5" w:rsidRDefault="003E7CA5" w:rsidP="003E7CA5">
      <w:pPr>
        <w:pStyle w:val="ListParagraph"/>
      </w:pPr>
      <w:r>
        <w:t>Vagus nerve stimulation therapy through stimulation of the left vagus nerve, surgical repositioning or removal of lead attached to left vagus nerve for: (a) management of refractory generalised epilepsy; or (b) treatment of refractory focal epilepsy not suitable for resective epilepsy surgery</w:t>
      </w:r>
    </w:p>
    <w:p w14:paraId="7A04EF9C" w14:textId="77777777" w:rsidR="003E7CA5" w:rsidRPr="003E7CA5" w:rsidRDefault="003E7CA5" w:rsidP="003E7CA5">
      <w:pPr>
        <w:pStyle w:val="ListParagraph"/>
      </w:pPr>
    </w:p>
    <w:p w14:paraId="54B5B8D3" w14:textId="63A0DFD6" w:rsidR="00896360" w:rsidRPr="00896360" w:rsidRDefault="00BE24C0" w:rsidP="00896360">
      <w:pPr>
        <w:pStyle w:val="ListParagraph"/>
        <w:numPr>
          <w:ilvl w:val="0"/>
          <w:numId w:val="34"/>
        </w:numPr>
        <w:rPr>
          <w:b/>
          <w:bCs/>
        </w:rPr>
      </w:pPr>
      <w:r w:rsidRPr="00896360">
        <w:rPr>
          <w:b/>
          <w:bCs/>
          <w:szCs w:val="20"/>
        </w:rPr>
        <w:t xml:space="preserve">MBS Item Number </w:t>
      </w:r>
      <w:r w:rsidR="00556537" w:rsidRPr="00896360">
        <w:rPr>
          <w:b/>
          <w:bCs/>
          <w:u w:val="single"/>
        </w:rPr>
        <w:t>40707</w:t>
      </w:r>
      <w:r w:rsidR="00896360" w:rsidRPr="00896360">
        <w:rPr>
          <w:b/>
          <w:bCs/>
          <w:u w:val="single"/>
        </w:rPr>
        <w:t xml:space="preserve"> </w:t>
      </w:r>
    </w:p>
    <w:p w14:paraId="44543FF5" w14:textId="5399877E" w:rsidR="00896360" w:rsidRDefault="00005424" w:rsidP="00896360">
      <w:pPr>
        <w:pStyle w:val="ListParagraph"/>
      </w:pPr>
      <w:r>
        <w:t>Vagus nerve stimulation therapy through stimulation of the left vagus nerve, electrical analysis and programming of vagus nerve stimulation therapy device using external wand, for:</w:t>
      </w:r>
      <w:r w:rsidR="00896360">
        <w:t xml:space="preserve"> </w:t>
      </w:r>
      <w:r>
        <w:t>(a) management of refractory generalised epilepsy; or</w:t>
      </w:r>
      <w:r w:rsidR="00896360">
        <w:t xml:space="preserve"> </w:t>
      </w:r>
      <w:r>
        <w:t>(b) treatment of refractory focal epilepsy not suitable for resective epilepsy surgery</w:t>
      </w:r>
    </w:p>
    <w:p w14:paraId="43EFCC62" w14:textId="77777777" w:rsidR="00896360" w:rsidRDefault="00896360" w:rsidP="00896360">
      <w:pPr>
        <w:pStyle w:val="ListParagraph"/>
      </w:pPr>
    </w:p>
    <w:p w14:paraId="51F7EB7F" w14:textId="77777777" w:rsidR="00317F2F" w:rsidRDefault="00317F2F">
      <w:pPr>
        <w:spacing w:before="0" w:after="200" w:line="276" w:lineRule="auto"/>
        <w:rPr>
          <w:b/>
          <w:bCs/>
          <w:szCs w:val="20"/>
        </w:rPr>
      </w:pPr>
      <w:r>
        <w:rPr>
          <w:b/>
          <w:bCs/>
          <w:szCs w:val="20"/>
        </w:rPr>
        <w:br w:type="page"/>
      </w:r>
    </w:p>
    <w:p w14:paraId="1C58CBF5" w14:textId="608E6650" w:rsidR="00896360" w:rsidRPr="00896360" w:rsidRDefault="00BE24C0" w:rsidP="00896360">
      <w:pPr>
        <w:pStyle w:val="ListParagraph"/>
        <w:numPr>
          <w:ilvl w:val="0"/>
          <w:numId w:val="34"/>
        </w:numPr>
        <w:rPr>
          <w:b/>
          <w:bCs/>
        </w:rPr>
      </w:pPr>
      <w:r w:rsidRPr="00896360">
        <w:rPr>
          <w:b/>
          <w:bCs/>
          <w:szCs w:val="20"/>
        </w:rPr>
        <w:lastRenderedPageBreak/>
        <w:t xml:space="preserve">MBS Item Number </w:t>
      </w:r>
      <w:r w:rsidRPr="00896360">
        <w:rPr>
          <w:b/>
          <w:bCs/>
          <w:szCs w:val="20"/>
          <w:u w:val="single"/>
        </w:rPr>
        <w:t>40708</w:t>
      </w:r>
    </w:p>
    <w:p w14:paraId="6C60499F" w14:textId="26D3A068" w:rsidR="00BE24C0" w:rsidRDefault="00BE24C0" w:rsidP="00896360">
      <w:pPr>
        <w:pStyle w:val="ListParagraph"/>
        <w:rPr>
          <w:szCs w:val="20"/>
        </w:rPr>
      </w:pPr>
      <w:r w:rsidRPr="00896360">
        <w:rPr>
          <w:szCs w:val="20"/>
        </w:rPr>
        <w:t>Vagus nerve stimulation therapy through stimulation of the left vagus nerve, surgical replacement of battery in electrical pulse generator inserted for:</w:t>
      </w:r>
      <w:r w:rsidR="00896360" w:rsidRPr="00896360">
        <w:rPr>
          <w:szCs w:val="20"/>
        </w:rPr>
        <w:t xml:space="preserve"> </w:t>
      </w:r>
      <w:r w:rsidRPr="00896360">
        <w:rPr>
          <w:szCs w:val="20"/>
        </w:rPr>
        <w:t>(a) management of refractory generalised epilepsy; or</w:t>
      </w:r>
      <w:r w:rsidR="00896360" w:rsidRPr="00896360">
        <w:rPr>
          <w:szCs w:val="20"/>
        </w:rPr>
        <w:t xml:space="preserve"> </w:t>
      </w:r>
      <w:r w:rsidRPr="00896360">
        <w:rPr>
          <w:szCs w:val="20"/>
        </w:rPr>
        <w:t>(b) treating refractory focal epilepsy not suitable for resective epilepsy surgery</w:t>
      </w:r>
    </w:p>
    <w:p w14:paraId="1FBD7B04" w14:textId="77777777" w:rsidR="00161D84" w:rsidRPr="00896360" w:rsidRDefault="00161D84" w:rsidP="00896360">
      <w:pPr>
        <w:pStyle w:val="ListParagraph"/>
        <w:rPr>
          <w:b/>
          <w:bCs/>
        </w:rPr>
      </w:pPr>
    </w:p>
    <w:p w14:paraId="3C33AB33" w14:textId="7F0570DF" w:rsidR="00A83EC6" w:rsidRDefault="005C3AE7" w:rsidP="00530204">
      <w:pPr>
        <w:pStyle w:val="Heading2"/>
      </w:pPr>
      <w:r>
        <w:t xml:space="preserve">(a) </w:t>
      </w:r>
      <w:r w:rsidR="00CD7A7D" w:rsidRPr="00154B00">
        <w:t xml:space="preserve">Will </w:t>
      </w:r>
      <w:r w:rsidR="00A83EC6" w:rsidRPr="00154B00">
        <w:t>the proposed medical service</w:t>
      </w:r>
      <w:r w:rsidR="00095B45">
        <w:t>/technology</w:t>
      </w:r>
      <w:r w:rsidR="00A83EC6" w:rsidRPr="00154B00">
        <w:t xml:space="preserve"> be </w:t>
      </w:r>
      <w:r w:rsidR="00A83EC6" w:rsidRPr="008E12BE">
        <w:t>used in addition to, or instead of</w:t>
      </w:r>
      <w:r w:rsidR="00A83EC6" w:rsidRPr="00154B00">
        <w:t xml:space="preserve">, the nominated </w:t>
      </w:r>
      <w:r w:rsidR="00A83EC6" w:rsidRPr="001B29A1">
        <w:t>comparator</w:t>
      </w:r>
      <w:r w:rsidR="00A83EC6" w:rsidRPr="00154B00">
        <w:t>(s)</w:t>
      </w:r>
      <w:r w:rsidR="00D30BDC">
        <w:t>?</w:t>
      </w:r>
    </w:p>
    <w:p w14:paraId="253B96A0" w14:textId="4FFBEEEC"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317F2F">
        <w:rPr>
          <w:szCs w:val="20"/>
        </w:rPr>
      </w:r>
      <w:r w:rsidR="00317F2F">
        <w:rPr>
          <w:szCs w:val="20"/>
        </w:rPr>
        <w:fldChar w:fldCharType="separate"/>
      </w:r>
      <w:r w:rsidRPr="00753C44">
        <w:rPr>
          <w:szCs w:val="20"/>
        </w:rPr>
        <w:fldChar w:fldCharType="end"/>
      </w:r>
      <w:r>
        <w:rPr>
          <w:szCs w:val="20"/>
        </w:rPr>
        <w:t xml:space="preserve"> </w:t>
      </w:r>
      <w:r w:rsidR="00282BE8">
        <w:rPr>
          <w:szCs w:val="20"/>
        </w:rPr>
        <w:t>In addition to (</w:t>
      </w:r>
      <w:r w:rsidR="008E12BE">
        <w:rPr>
          <w:szCs w:val="20"/>
        </w:rPr>
        <w:t>i.e.,</w:t>
      </w:r>
      <w:r w:rsidR="00282BE8">
        <w:rPr>
          <w:szCs w:val="20"/>
        </w:rPr>
        <w:t xml:space="preserve"> it is an add-on service)</w:t>
      </w:r>
      <w:r>
        <w:rPr>
          <w:szCs w:val="20"/>
        </w:rPr>
        <w:t xml:space="preserve"> </w:t>
      </w:r>
    </w:p>
    <w:p w14:paraId="7EE2AB02" w14:textId="0F09B43F" w:rsidR="00582F7C" w:rsidRDefault="00850D8C"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17F2F">
        <w:rPr>
          <w:szCs w:val="20"/>
        </w:rPr>
      </w:r>
      <w:r w:rsidR="00317F2F">
        <w:rPr>
          <w:szCs w:val="20"/>
        </w:rPr>
        <w:fldChar w:fldCharType="separate"/>
      </w:r>
      <w:r>
        <w:rPr>
          <w:szCs w:val="20"/>
        </w:rPr>
        <w:fldChar w:fldCharType="end"/>
      </w:r>
      <w:r w:rsidR="00DA01F6">
        <w:rPr>
          <w:szCs w:val="20"/>
        </w:rPr>
        <w:t xml:space="preserve"> </w:t>
      </w:r>
      <w:r w:rsidR="00282BE8">
        <w:rPr>
          <w:szCs w:val="20"/>
        </w:rPr>
        <w:t>Instead of (</w:t>
      </w:r>
      <w:r w:rsidR="008E12BE">
        <w:rPr>
          <w:szCs w:val="20"/>
        </w:rPr>
        <w:t>i.e.,</w:t>
      </w:r>
      <w:r w:rsidR="00282BE8">
        <w:rPr>
          <w:szCs w:val="20"/>
        </w:rPr>
        <w:t xml:space="preserve"> it is a replacement or alternative)</w:t>
      </w:r>
      <w:r w:rsidR="00582F7C">
        <w:rPr>
          <w:szCs w:val="20"/>
        </w:rPr>
        <w:t xml:space="preserve">  </w:t>
      </w:r>
    </w:p>
    <w:p w14:paraId="0F324786" w14:textId="77777777" w:rsidR="00E70D86" w:rsidRPr="00154B00" w:rsidRDefault="00095B45" w:rsidP="00954C3D">
      <w:pPr>
        <w:pStyle w:val="Heading2"/>
        <w:numPr>
          <w:ilvl w:val="0"/>
          <w:numId w:val="9"/>
        </w:numPr>
      </w:pPr>
      <w:r w:rsidRPr="00095B45">
        <w:t>If yes, please outline the extent to which the current service/comparator is expected to be substituted</w:t>
      </w:r>
    </w:p>
    <w:p w14:paraId="4ECEC740" w14:textId="152E6044" w:rsidR="00F45C26" w:rsidRDefault="00A6556C" w:rsidP="00CF0E23">
      <w:pPr>
        <w:ind w:left="426"/>
        <w:rPr>
          <w:bCs/>
          <w:iCs/>
          <w:szCs w:val="20"/>
        </w:rPr>
      </w:pPr>
      <w:r>
        <w:rPr>
          <w:bCs/>
          <w:iCs/>
          <w:szCs w:val="20"/>
        </w:rPr>
        <w:t xml:space="preserve">DBS and VNS are both established methods of providing neuromodulation in order to reduce seizure frequency and severity in patients with medically refractory epilepsy who are not suitable for curative resective surgery. </w:t>
      </w:r>
      <w:r w:rsidR="00CF0E23">
        <w:rPr>
          <w:bCs/>
          <w:iCs/>
          <w:szCs w:val="20"/>
        </w:rPr>
        <w:t xml:space="preserve">Deciding </w:t>
      </w:r>
      <w:r>
        <w:rPr>
          <w:bCs/>
          <w:iCs/>
          <w:szCs w:val="20"/>
        </w:rPr>
        <w:t xml:space="preserve">between DBS and VNS requires highly trained expert opinion from qualified neurosurgeons and epilepsy neurologists practicing in a </w:t>
      </w:r>
      <w:r w:rsidR="004E0B44">
        <w:rPr>
          <w:bCs/>
          <w:iCs/>
          <w:szCs w:val="20"/>
        </w:rPr>
        <w:t>C</w:t>
      </w:r>
      <w:r>
        <w:rPr>
          <w:bCs/>
          <w:iCs/>
          <w:szCs w:val="20"/>
        </w:rPr>
        <w:t xml:space="preserve">omprehensive </w:t>
      </w:r>
      <w:r w:rsidR="004E0B44">
        <w:rPr>
          <w:bCs/>
          <w:iCs/>
          <w:szCs w:val="20"/>
        </w:rPr>
        <w:t>E</w:t>
      </w:r>
      <w:r>
        <w:rPr>
          <w:bCs/>
          <w:iCs/>
          <w:szCs w:val="20"/>
        </w:rPr>
        <w:t xml:space="preserve">pilepsy </w:t>
      </w:r>
      <w:r w:rsidR="004E0B44">
        <w:rPr>
          <w:bCs/>
          <w:iCs/>
          <w:szCs w:val="20"/>
        </w:rPr>
        <w:t>Program</w:t>
      </w:r>
      <w:r>
        <w:rPr>
          <w:bCs/>
          <w:iCs/>
          <w:szCs w:val="20"/>
        </w:rPr>
        <w:t>. This decision is based on a complex discussion</w:t>
      </w:r>
      <w:r w:rsidR="00F45C26">
        <w:rPr>
          <w:bCs/>
          <w:iCs/>
          <w:szCs w:val="20"/>
        </w:rPr>
        <w:t>; based on patient factors, such as seizure type and epilepsy syndrome, neuroimaging features, electrographic characteristics, and up-to-date knowledge of the literature. Within this difficult to treat cohort there are clearly patients that will benefit from DBS, rather than VNS (i.e., DBS as an alternative to VNS).</w:t>
      </w:r>
    </w:p>
    <w:p w14:paraId="7DC39677" w14:textId="1E3449CA" w:rsidR="0003107B" w:rsidRDefault="00F45C26" w:rsidP="008E12BE">
      <w:pPr>
        <w:ind w:left="426"/>
        <w:rPr>
          <w:bCs/>
          <w:iCs/>
          <w:szCs w:val="20"/>
        </w:rPr>
      </w:pPr>
      <w:r>
        <w:rPr>
          <w:bCs/>
          <w:iCs/>
          <w:szCs w:val="20"/>
        </w:rPr>
        <w:t xml:space="preserve">Having VNS as a pre-requisite to DBS (i.e., as an add-on service) places patients at risk of harms. If a less than optimal therapy is provided for a given patient, that patient may not achieve as significant reductions in seizures; or may take longer to achieve that reduction. For a patient with medication refractory epilepsy this would infer a sub-optimal reduction in </w:t>
      </w:r>
      <w:r w:rsidR="00D83888">
        <w:rPr>
          <w:bCs/>
          <w:iCs/>
          <w:szCs w:val="20"/>
        </w:rPr>
        <w:t>harms or prolonged exposure to such harms. These harms have been previously outlined, including injury, hospitalisation, and SUDEP. Despite this</w:t>
      </w:r>
      <w:r w:rsidR="00CF0E23">
        <w:rPr>
          <w:bCs/>
          <w:iCs/>
          <w:szCs w:val="20"/>
        </w:rPr>
        <w:t>,</w:t>
      </w:r>
      <w:r w:rsidR="00D83888">
        <w:rPr>
          <w:bCs/>
          <w:iCs/>
          <w:szCs w:val="20"/>
        </w:rPr>
        <w:t xml:space="preserve"> DBS has been repeatedly proven to provide significant seizure reduction in patients that have previously failed VNS. In addition, this effect was no different in magnitude or significance, compared to patients that had not previously had VNS (i.e., neuromodulation naïve). Not only is DBS a better alternative to VNS in a selection of patients, but the effect of the two can often be synergistic.</w:t>
      </w:r>
    </w:p>
    <w:p w14:paraId="6B549156" w14:textId="2F123836" w:rsidR="001B29A1" w:rsidRPr="007A1285" w:rsidRDefault="00DA01F6" w:rsidP="007A1285">
      <w:pPr>
        <w:ind w:left="426"/>
        <w:rPr>
          <w:bCs/>
          <w:iCs/>
          <w:szCs w:val="20"/>
        </w:rPr>
      </w:pPr>
      <w:r w:rsidRPr="008E12BE">
        <w:rPr>
          <w:bCs/>
          <w:iCs/>
          <w:szCs w:val="20"/>
        </w:rPr>
        <w:t xml:space="preserve">It is anticipated that DBS will be approved for use in </w:t>
      </w:r>
      <w:r w:rsidR="00850D8C" w:rsidRPr="008E12BE">
        <w:rPr>
          <w:bCs/>
          <w:iCs/>
          <w:szCs w:val="20"/>
        </w:rPr>
        <w:t xml:space="preserve">patients </w:t>
      </w:r>
      <w:r w:rsidRPr="008E12BE">
        <w:rPr>
          <w:bCs/>
          <w:iCs/>
          <w:szCs w:val="20"/>
        </w:rPr>
        <w:t xml:space="preserve">with </w:t>
      </w:r>
      <w:r w:rsidR="00D106E0" w:rsidRPr="008E12BE">
        <w:rPr>
          <w:bCs/>
          <w:iCs/>
          <w:szCs w:val="20"/>
        </w:rPr>
        <w:t>medical</w:t>
      </w:r>
      <w:r w:rsidR="00850D8C" w:rsidRPr="008E12BE">
        <w:rPr>
          <w:bCs/>
          <w:iCs/>
          <w:szCs w:val="20"/>
        </w:rPr>
        <w:t>ly</w:t>
      </w:r>
      <w:r w:rsidR="00D106E0" w:rsidRPr="008E12BE">
        <w:rPr>
          <w:bCs/>
          <w:iCs/>
          <w:szCs w:val="20"/>
        </w:rPr>
        <w:t xml:space="preserve"> refractory epilepsy </w:t>
      </w:r>
      <w:r w:rsidRPr="008E12BE">
        <w:rPr>
          <w:bCs/>
          <w:iCs/>
          <w:szCs w:val="20"/>
        </w:rPr>
        <w:t xml:space="preserve">that </w:t>
      </w:r>
      <w:r w:rsidR="00D106E0" w:rsidRPr="008E12BE">
        <w:rPr>
          <w:bCs/>
          <w:iCs/>
          <w:szCs w:val="20"/>
        </w:rPr>
        <w:t>has</w:t>
      </w:r>
      <w:r w:rsidRPr="008E12BE">
        <w:rPr>
          <w:bCs/>
          <w:iCs/>
          <w:szCs w:val="20"/>
        </w:rPr>
        <w:t xml:space="preserve"> not responded to seizure medications and who are not candidates for VNS and/or who have failed a trial of VNS.</w:t>
      </w:r>
      <w:r w:rsidR="00896360" w:rsidRPr="008E12BE">
        <w:rPr>
          <w:bCs/>
          <w:iCs/>
          <w:szCs w:val="20"/>
        </w:rPr>
        <w:t xml:space="preserve"> Hence, </w:t>
      </w:r>
      <w:r w:rsidR="006901FF" w:rsidRPr="008E12BE">
        <w:rPr>
          <w:bCs/>
          <w:iCs/>
          <w:szCs w:val="20"/>
        </w:rPr>
        <w:t>DBS</w:t>
      </w:r>
      <w:r w:rsidR="00896360" w:rsidRPr="008E12BE">
        <w:rPr>
          <w:bCs/>
          <w:iCs/>
          <w:szCs w:val="20"/>
        </w:rPr>
        <w:t xml:space="preserve"> may potentially be used in addition to VNS (not as an add-on service, but as a new service to be delivered in the future, after an unsuccessful trial of VNS) or instead of VNS, where a patient is considered not to be a good candidate for VNS therapy.</w:t>
      </w:r>
    </w:p>
    <w:p w14:paraId="265888BB" w14:textId="5FEAF31C" w:rsidR="00DF0D47" w:rsidRPr="00881F93" w:rsidRDefault="00095B45" w:rsidP="00233588">
      <w:pPr>
        <w:pStyle w:val="Subtitle"/>
        <w:ind w:left="0"/>
      </w:pPr>
      <w:r w:rsidRPr="00095B45">
        <w:t xml:space="preserve">PART 6c </w:t>
      </w:r>
      <w:r w:rsidR="00B467E9" w:rsidRPr="00095B45">
        <w:t>CONTINUED –</w:t>
      </w:r>
      <w:r w:rsidRPr="00095B45">
        <w:t xml:space="preserve"> INFORMATION ABOUT ALGORITHMS (CLINICAL MANAGEMENT </w:t>
      </w:r>
      <w:proofErr w:type="gramStart"/>
      <w:r w:rsidRPr="00095B45">
        <w:t>PATHWAYS)</w:t>
      </w:r>
      <w:r w:rsidR="008D1A4B">
        <w:t>s</w:t>
      </w:r>
      <w:proofErr w:type="gramEnd"/>
    </w:p>
    <w:p w14:paraId="0EADBC9C" w14:textId="24D7FE46" w:rsidR="00C20326" w:rsidRDefault="00095B45" w:rsidP="00317F2F">
      <w:pPr>
        <w:pStyle w:val="Heading2"/>
      </w:pPr>
      <w:r w:rsidRPr="00154B00">
        <w:t>Define</w:t>
      </w:r>
      <w:r w:rsidRPr="00095B45">
        <w:t xml:space="preserve"> and summarise the CURRENT clinical management pathway (algorithm) that patients follow when they receive the COMPARATOR service (i.e. the landscape </w:t>
      </w:r>
      <w:r w:rsidRPr="005E143B">
        <w:rPr>
          <w:u w:val="single"/>
        </w:rPr>
        <w:t>before</w:t>
      </w:r>
      <w:r w:rsidRPr="00095B45">
        <w:t xml:space="preserve"> the proposed service is introduced). An easy-to-follow flowchart is preferred, depicting the current </w:t>
      </w:r>
      <w:r w:rsidRPr="005E143B">
        <w:rPr>
          <w:u w:val="single"/>
        </w:rPr>
        <w:t>clinical management pathway</w:t>
      </w:r>
      <w:r w:rsidRPr="00095B45">
        <w:t xml:space="preserve">), but dot-points would be acceptable. Please include health care resources used in the current landscape (e.g. pharmaceuticals, </w:t>
      </w:r>
      <w:proofErr w:type="gramStart"/>
      <w:r w:rsidRPr="00095B45">
        <w:t>diagnostics</w:t>
      </w:r>
      <w:proofErr w:type="gramEnd"/>
      <w:r w:rsidRPr="00095B45">
        <w:t xml:space="preserve"> and investigative services, </w:t>
      </w:r>
      <w:r w:rsidR="005272F8" w:rsidRPr="00095B45">
        <w:t>etc.</w:t>
      </w:r>
      <w:r w:rsidRPr="00095B45">
        <w:t xml:space="preserve">). </w:t>
      </w:r>
    </w:p>
    <w:p w14:paraId="1E155B03" w14:textId="3DB43397" w:rsidR="00C20326" w:rsidRDefault="006A6B7B" w:rsidP="00DD714B">
      <w:pPr>
        <w:pStyle w:val="ListParagraph"/>
        <w:ind w:left="360"/>
      </w:pPr>
      <w:r>
        <w:t>The diagram below summarises the current clinical management pathway for people diagnosed with Medical Refractory Epilepsy:</w:t>
      </w:r>
    </w:p>
    <w:p w14:paraId="254E912F" w14:textId="77777777" w:rsidR="006A6B7B" w:rsidRDefault="006A6B7B" w:rsidP="00DD714B">
      <w:pPr>
        <w:pStyle w:val="ListParagraph"/>
        <w:ind w:left="360"/>
      </w:pPr>
    </w:p>
    <w:p w14:paraId="38ABC9F5" w14:textId="32CB2591" w:rsidR="00BF55F5" w:rsidRPr="00317F2F" w:rsidRDefault="008356A7" w:rsidP="00317F2F">
      <w:pPr>
        <w:pStyle w:val="ListParagraph"/>
        <w:ind w:left="142"/>
      </w:pPr>
      <w:r>
        <w:rPr>
          <w:noProof/>
        </w:rPr>
        <w:lastRenderedPageBreak/>
        <w:drawing>
          <wp:inline distT="0" distB="0" distL="0" distR="0" wp14:anchorId="0F9A00BE" wp14:editId="70F6ECDC">
            <wp:extent cx="5731510" cy="3221355"/>
            <wp:effectExtent l="0" t="0" r="2540" b="190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5731510" cy="3221355"/>
                    </a:xfrm>
                    <a:prstGeom prst="rect">
                      <a:avLst/>
                    </a:prstGeom>
                    <a:noFill/>
                    <a:ln>
                      <a:noFill/>
                    </a:ln>
                  </pic:spPr>
                </pic:pic>
              </a:graphicData>
            </a:graphic>
          </wp:inline>
        </w:drawing>
      </w:r>
      <w:bookmarkStart w:id="12" w:name="_Hlk83033267"/>
    </w:p>
    <w:p w14:paraId="24DAF1AA" w14:textId="316F8BBB" w:rsidR="004744FD" w:rsidRDefault="004744FD" w:rsidP="00095B45">
      <w:pPr>
        <w:pStyle w:val="ListParagraph"/>
        <w:ind w:left="360"/>
        <w:rPr>
          <w:b/>
          <w:szCs w:val="20"/>
        </w:rPr>
      </w:pPr>
      <w:r>
        <w:rPr>
          <w:b/>
          <w:szCs w:val="20"/>
        </w:rPr>
        <w:t xml:space="preserve">Abbreviations </w:t>
      </w:r>
    </w:p>
    <w:p w14:paraId="2EF65F03" w14:textId="21872E17" w:rsidR="004744FD" w:rsidRPr="0059289E" w:rsidRDefault="004744FD" w:rsidP="00095B45">
      <w:pPr>
        <w:pStyle w:val="ListParagraph"/>
        <w:ind w:left="360"/>
        <w:rPr>
          <w:bCs/>
          <w:color w:val="FF0000"/>
          <w:szCs w:val="20"/>
        </w:rPr>
      </w:pPr>
      <w:r>
        <w:rPr>
          <w:bCs/>
          <w:szCs w:val="20"/>
        </w:rPr>
        <w:t xml:space="preserve">EEG = electroencephalography, MRI = magnetic resonance imaging, </w:t>
      </w:r>
      <w:r w:rsidRPr="00161D84">
        <w:rPr>
          <w:bCs/>
          <w:szCs w:val="20"/>
        </w:rPr>
        <w:t>A</w:t>
      </w:r>
      <w:r w:rsidR="00161D84">
        <w:rPr>
          <w:bCs/>
          <w:szCs w:val="20"/>
        </w:rPr>
        <w:t>S</w:t>
      </w:r>
      <w:r w:rsidRPr="00161D84">
        <w:rPr>
          <w:bCs/>
          <w:szCs w:val="20"/>
        </w:rPr>
        <w:t xml:space="preserve">M = </w:t>
      </w:r>
      <w:r w:rsidR="00161D84">
        <w:rPr>
          <w:bCs/>
          <w:szCs w:val="20"/>
        </w:rPr>
        <w:t>antiseizure</w:t>
      </w:r>
      <w:r w:rsidRPr="00161D84">
        <w:rPr>
          <w:bCs/>
          <w:szCs w:val="20"/>
        </w:rPr>
        <w:t xml:space="preserve"> medication</w:t>
      </w:r>
    </w:p>
    <w:p w14:paraId="173DF713" w14:textId="10737F60" w:rsidR="00F45D51" w:rsidRPr="00317F2F" w:rsidRDefault="004744FD" w:rsidP="00317F2F">
      <w:pPr>
        <w:pStyle w:val="ListParagraph"/>
        <w:ind w:left="360"/>
        <w:rPr>
          <w:bCs/>
          <w:szCs w:val="20"/>
        </w:rPr>
      </w:pPr>
      <w:r>
        <w:rPr>
          <w:bCs/>
          <w:szCs w:val="20"/>
        </w:rPr>
        <w:t xml:space="preserve">VNS = vagal nerve stimulation </w:t>
      </w:r>
      <w:bookmarkEnd w:id="12"/>
    </w:p>
    <w:p w14:paraId="5D4972D6" w14:textId="77777777" w:rsidR="00095B45" w:rsidRDefault="00095B45" w:rsidP="00095B45">
      <w:pPr>
        <w:pStyle w:val="Heading2"/>
      </w:pPr>
      <w:r w:rsidRPr="00095B45">
        <w:t xml:space="preserve">Define and summarise the PROPOSED clinical management pathway (algorithm) that patients would </w:t>
      </w:r>
      <w:proofErr w:type="gramStart"/>
      <w:r w:rsidRPr="00095B45">
        <w:t xml:space="preserve">follow </w:t>
      </w:r>
      <w:r w:rsidRPr="008D1A4B">
        <w:rPr>
          <w:u w:val="single"/>
        </w:rPr>
        <w:t>after</w:t>
      </w:r>
      <w:proofErr w:type="gramEnd"/>
      <w:r w:rsidRPr="00095B45">
        <w:t xml:space="preserve"> the proposed service/technology is introduced, including variation in health care resources.</w:t>
      </w:r>
    </w:p>
    <w:p w14:paraId="1045FE0C" w14:textId="357B777F" w:rsidR="003230AC" w:rsidRDefault="003230AC" w:rsidP="008554D0">
      <w:pPr>
        <w:ind w:left="360"/>
      </w:pPr>
      <w:r>
        <w:t>After</w:t>
      </w:r>
      <w:r w:rsidR="006A6B7B">
        <w:t xml:space="preserve"> the</w:t>
      </w:r>
      <w:r>
        <w:t xml:space="preserve"> introduction of the proposed new therapy</w:t>
      </w:r>
      <w:r w:rsidR="00DE772B">
        <w:t>, deep brain stimulation (</w:t>
      </w:r>
      <w:r w:rsidR="006901FF">
        <w:t>DBS</w:t>
      </w:r>
      <w:r w:rsidR="008E506D">
        <w:t>)</w:t>
      </w:r>
      <w:r w:rsidR="006A6B7B">
        <w:t>,</w:t>
      </w:r>
      <w:r>
        <w:t xml:space="preserve"> there would be </w:t>
      </w:r>
      <w:r w:rsidR="008E506D">
        <w:t xml:space="preserve">changes to the clinical pathway for people with medically refractory </w:t>
      </w:r>
      <w:r w:rsidR="008E506D" w:rsidRPr="008E12BE">
        <w:t xml:space="preserve">localised </w:t>
      </w:r>
      <w:r w:rsidR="00884023" w:rsidRPr="008E12BE">
        <w:t>(focal)</w:t>
      </w:r>
      <w:r w:rsidR="00884023">
        <w:t xml:space="preserve"> </w:t>
      </w:r>
      <w:r w:rsidR="008E506D">
        <w:t xml:space="preserve">seizures and </w:t>
      </w:r>
      <w:r>
        <w:t>no change to the clinical management pathway for people with generalised seizures.</w:t>
      </w:r>
    </w:p>
    <w:p w14:paraId="59097A4E" w14:textId="366D0C09" w:rsidR="0059289E" w:rsidRPr="00317F2F" w:rsidRDefault="008E506D" w:rsidP="00317F2F">
      <w:pPr>
        <w:ind w:left="360"/>
      </w:pPr>
      <w:r>
        <w:t xml:space="preserve">People with </w:t>
      </w:r>
      <w:r w:rsidRPr="008F42BC">
        <w:rPr>
          <w:b/>
          <w:bCs/>
        </w:rPr>
        <w:t>localised seizures and medical</w:t>
      </w:r>
      <w:r w:rsidR="00963075">
        <w:rPr>
          <w:b/>
          <w:bCs/>
        </w:rPr>
        <w:t>ly</w:t>
      </w:r>
      <w:r w:rsidRPr="008F42BC">
        <w:rPr>
          <w:b/>
          <w:bCs/>
        </w:rPr>
        <w:t xml:space="preserve"> refractory epilepsy</w:t>
      </w:r>
      <w:r>
        <w:t xml:space="preserve"> will have an additional</w:t>
      </w:r>
      <w:r w:rsidR="0096330A">
        <w:t xml:space="preserve"> MBS approved</w:t>
      </w:r>
      <w:r>
        <w:t xml:space="preserve"> treatment option</w:t>
      </w:r>
      <w:r w:rsidR="0000671F">
        <w:t>,</w:t>
      </w:r>
      <w:r>
        <w:t xml:space="preserve"> </w:t>
      </w:r>
      <w:r w:rsidR="003230AC">
        <w:t>in addition to brain surgery and VNS</w:t>
      </w:r>
      <w:r w:rsidR="0000671F">
        <w:t>,</w:t>
      </w:r>
      <w:r>
        <w:t xml:space="preserve"> as described </w:t>
      </w:r>
      <w:r w:rsidR="006A6B7B">
        <w:t>in the diagram below:</w:t>
      </w:r>
    </w:p>
    <w:p w14:paraId="7FA76A12" w14:textId="491481FA" w:rsidR="0000671F" w:rsidRPr="00317F2F" w:rsidRDefault="008356A7" w:rsidP="00317F2F">
      <w:pPr>
        <w:rPr>
          <w:b/>
          <w:szCs w:val="20"/>
        </w:rPr>
      </w:pPr>
      <w:r>
        <w:rPr>
          <w:noProof/>
        </w:rPr>
        <w:drawing>
          <wp:inline distT="0" distB="0" distL="0" distR="0" wp14:anchorId="68C3E996" wp14:editId="2E6FF974">
            <wp:extent cx="5731510" cy="3227070"/>
            <wp:effectExtent l="0" t="0" r="254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5731510" cy="3227070"/>
                    </a:xfrm>
                    <a:prstGeom prst="rect">
                      <a:avLst/>
                    </a:prstGeom>
                    <a:noFill/>
                    <a:ln>
                      <a:noFill/>
                    </a:ln>
                  </pic:spPr>
                </pic:pic>
              </a:graphicData>
            </a:graphic>
          </wp:inline>
        </w:drawing>
      </w:r>
      <w:r w:rsidR="0059289E" w:rsidRPr="0059289E">
        <w:rPr>
          <w:b/>
          <w:noProof/>
          <w:szCs w:val="20"/>
        </w:rPr>
        <w:t xml:space="preserve"> </w:t>
      </w:r>
    </w:p>
    <w:p w14:paraId="5EDE3B82" w14:textId="4C4770F3" w:rsidR="002F2138" w:rsidRDefault="002F2138" w:rsidP="002F2138">
      <w:pPr>
        <w:pStyle w:val="ListParagraph"/>
        <w:ind w:left="360"/>
        <w:rPr>
          <w:b/>
          <w:szCs w:val="20"/>
        </w:rPr>
      </w:pPr>
      <w:r>
        <w:rPr>
          <w:b/>
          <w:szCs w:val="20"/>
        </w:rPr>
        <w:t xml:space="preserve">Abbreviations </w:t>
      </w:r>
    </w:p>
    <w:p w14:paraId="47A14C0D" w14:textId="77777777" w:rsidR="00161D84" w:rsidRDefault="002F2138" w:rsidP="0059289E">
      <w:pPr>
        <w:pStyle w:val="ListParagraph"/>
        <w:ind w:left="360"/>
        <w:rPr>
          <w:bCs/>
          <w:szCs w:val="20"/>
        </w:rPr>
      </w:pPr>
      <w:r>
        <w:rPr>
          <w:bCs/>
          <w:szCs w:val="20"/>
        </w:rPr>
        <w:t>EEG = electroencephalography, MRI = magnetic resonance imaging, A</w:t>
      </w:r>
      <w:r w:rsidR="00161D84">
        <w:rPr>
          <w:bCs/>
          <w:szCs w:val="20"/>
        </w:rPr>
        <w:t>S</w:t>
      </w:r>
      <w:r>
        <w:rPr>
          <w:bCs/>
          <w:szCs w:val="20"/>
        </w:rPr>
        <w:t xml:space="preserve">M = </w:t>
      </w:r>
      <w:r w:rsidR="00161D84">
        <w:rPr>
          <w:bCs/>
          <w:szCs w:val="20"/>
        </w:rPr>
        <w:t>antiseizure</w:t>
      </w:r>
      <w:r>
        <w:rPr>
          <w:bCs/>
          <w:szCs w:val="20"/>
        </w:rPr>
        <w:t xml:space="preserve"> medication</w:t>
      </w:r>
      <w:r w:rsidR="00161D84">
        <w:rPr>
          <w:bCs/>
          <w:szCs w:val="20"/>
        </w:rPr>
        <w:t xml:space="preserve">, </w:t>
      </w:r>
    </w:p>
    <w:p w14:paraId="65C75B0D" w14:textId="27AEE3E6" w:rsidR="0047363C" w:rsidRPr="00317F2F" w:rsidRDefault="002F2138" w:rsidP="00317F2F">
      <w:pPr>
        <w:pStyle w:val="ListParagraph"/>
        <w:ind w:left="360"/>
        <w:rPr>
          <w:bCs/>
          <w:color w:val="FF0000"/>
          <w:szCs w:val="20"/>
        </w:rPr>
      </w:pPr>
      <w:r w:rsidRPr="0059289E">
        <w:rPr>
          <w:bCs/>
          <w:szCs w:val="20"/>
        </w:rPr>
        <w:t xml:space="preserve">VNS = vagal nerve stimulation </w:t>
      </w:r>
    </w:p>
    <w:p w14:paraId="2BFCDD5D" w14:textId="77777777" w:rsidR="00095B45" w:rsidRPr="00095B45" w:rsidRDefault="00095B45" w:rsidP="00233588">
      <w:pPr>
        <w:pStyle w:val="Subtitle"/>
        <w:ind w:left="0"/>
      </w:pPr>
      <w:r w:rsidRPr="00095B45">
        <w:lastRenderedPageBreak/>
        <w:t>PART 6d – INFORMATION ABOUT CLINICAL OUTCOMES</w:t>
      </w:r>
    </w:p>
    <w:p w14:paraId="1EC4F1E2" w14:textId="7973AC39" w:rsidR="004E3CC7" w:rsidRDefault="0070256F" w:rsidP="00530204">
      <w:pPr>
        <w:pStyle w:val="Heading2"/>
      </w:pPr>
      <w:r>
        <w:t>Summa</w:t>
      </w:r>
      <w:r w:rsidR="004E3CC7" w:rsidRPr="001B29A1">
        <w:t>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01F33A82" w14:textId="2D750BB2" w:rsidR="0096330A" w:rsidRDefault="00B155DF" w:rsidP="008E12BE">
      <w:pPr>
        <w:ind w:left="360"/>
      </w:pPr>
      <w:r>
        <w:t xml:space="preserve">The clinical evidence to support the </w:t>
      </w:r>
      <w:r w:rsidR="006827AB">
        <w:t>clinical effectiveness of DBS is described in Part 4</w:t>
      </w:r>
      <w:r w:rsidR="00B349DE">
        <w:t xml:space="preserve">. DBS </w:t>
      </w:r>
      <w:r w:rsidR="00C436C5">
        <w:t>should only be considered when the patient is</w:t>
      </w:r>
      <w:r w:rsidR="00081DDA">
        <w:t xml:space="preserve"> </w:t>
      </w:r>
      <w:r w:rsidR="00C436C5">
        <w:t>not suitable for curative resective brain surgery</w:t>
      </w:r>
    </w:p>
    <w:p w14:paraId="40A7B882" w14:textId="284C6437" w:rsidR="006D61CB" w:rsidRDefault="006827AB" w:rsidP="00143843">
      <w:pPr>
        <w:ind w:left="360"/>
      </w:pPr>
      <w:r>
        <w:t>For the treatment of medically refractory epilepsy,</w:t>
      </w:r>
      <w:r w:rsidR="00406633">
        <w:t xml:space="preserve"> compared to VNS,</w:t>
      </w:r>
      <w:r>
        <w:t xml:space="preserve"> it is expected that DBS </w:t>
      </w:r>
      <w:r w:rsidR="00406633">
        <w:t>will be</w:t>
      </w:r>
      <w:r>
        <w:t>:</w:t>
      </w:r>
    </w:p>
    <w:p w14:paraId="56FB339C" w14:textId="6E56745E" w:rsidR="00516A8F" w:rsidRPr="008E12BE" w:rsidRDefault="00516A8F" w:rsidP="006827AB">
      <w:pPr>
        <w:pStyle w:val="ListParagraph"/>
        <w:numPr>
          <w:ilvl w:val="0"/>
          <w:numId w:val="31"/>
        </w:numPr>
      </w:pPr>
      <w:r>
        <w:t xml:space="preserve">Superior with </w:t>
      </w:r>
      <w:r w:rsidRPr="008E12BE">
        <w:t>respect to</w:t>
      </w:r>
      <w:r w:rsidR="00406633" w:rsidRPr="008E12BE">
        <w:t xml:space="preserve"> clinical </w:t>
      </w:r>
      <w:r w:rsidR="00300531" w:rsidRPr="008E12BE">
        <w:t>efficacy</w:t>
      </w:r>
      <w:r w:rsidR="00C34FBC" w:rsidRPr="008E12BE">
        <w:t xml:space="preserve"> in selected patients</w:t>
      </w:r>
    </w:p>
    <w:p w14:paraId="3F00B829" w14:textId="66DD5217" w:rsidR="00080535" w:rsidRPr="00233588" w:rsidRDefault="00406633" w:rsidP="00516A8F">
      <w:pPr>
        <w:pStyle w:val="ListParagraph"/>
        <w:numPr>
          <w:ilvl w:val="0"/>
          <w:numId w:val="31"/>
        </w:numPr>
      </w:pPr>
      <w:r w:rsidRPr="008E12BE">
        <w:t>Non-inferior with respect to sa</w:t>
      </w:r>
      <w:r>
        <w:t>fety</w:t>
      </w:r>
      <w:r w:rsidR="00C436C5">
        <w:t xml:space="preserve"> </w:t>
      </w:r>
    </w:p>
    <w:p w14:paraId="447D8A47" w14:textId="53D8DDAB" w:rsidR="004E3CC7" w:rsidRDefault="0047363C" w:rsidP="00943A5E">
      <w:pPr>
        <w:pStyle w:val="Heading2"/>
      </w:pPr>
      <w:r w:rsidRPr="0047363C">
        <w:t>Please state what the overall clinical claim is</w:t>
      </w:r>
      <w:r>
        <w:t>:</w:t>
      </w:r>
    </w:p>
    <w:p w14:paraId="5B61D944" w14:textId="53A333B7" w:rsidR="00516A8F" w:rsidRPr="0047363C" w:rsidRDefault="003D1231" w:rsidP="00233588">
      <w:pPr>
        <w:ind w:left="426"/>
        <w:rPr>
          <w:noProof/>
        </w:rPr>
      </w:pPr>
      <w:r w:rsidRPr="004C5500">
        <w:rPr>
          <w:noProof/>
        </w:rPr>
        <w:t>The overall clinical aim of DBS therapy is to reduce the frequency</w:t>
      </w:r>
      <w:r w:rsidR="004C5500" w:rsidRPr="004C5500">
        <w:rPr>
          <w:noProof/>
        </w:rPr>
        <w:t xml:space="preserve"> </w:t>
      </w:r>
      <w:r w:rsidR="00406633">
        <w:rPr>
          <w:noProof/>
        </w:rPr>
        <w:t xml:space="preserve">and severity </w:t>
      </w:r>
      <w:r w:rsidR="004C5500" w:rsidRPr="004C5500">
        <w:rPr>
          <w:noProof/>
        </w:rPr>
        <w:t>of epileptic seizures</w:t>
      </w:r>
      <w:r w:rsidR="00775B48" w:rsidRPr="004C5500">
        <w:rPr>
          <w:noProof/>
        </w:rPr>
        <w:t xml:space="preserve"> </w:t>
      </w:r>
      <w:r w:rsidR="0096330A" w:rsidRPr="004C5500">
        <w:rPr>
          <w:noProof/>
        </w:rPr>
        <w:t xml:space="preserve">and improve quality of life </w:t>
      </w:r>
      <w:r w:rsidRPr="004C5500">
        <w:rPr>
          <w:noProof/>
        </w:rPr>
        <w:t xml:space="preserve">in </w:t>
      </w:r>
      <w:r w:rsidR="00406633">
        <w:rPr>
          <w:noProof/>
        </w:rPr>
        <w:t>patients</w:t>
      </w:r>
      <w:r w:rsidR="00406633" w:rsidRPr="004C5500">
        <w:rPr>
          <w:noProof/>
        </w:rPr>
        <w:t xml:space="preserve"> </w:t>
      </w:r>
      <w:r w:rsidRPr="004C5500">
        <w:rPr>
          <w:noProof/>
        </w:rPr>
        <w:t>with medically refractory epilepsy</w:t>
      </w:r>
      <w:r w:rsidR="00B349DE">
        <w:rPr>
          <w:noProof/>
        </w:rPr>
        <w:t>,</w:t>
      </w:r>
      <w:r w:rsidR="00D33F72" w:rsidRPr="004C5500">
        <w:rPr>
          <w:noProof/>
        </w:rPr>
        <w:t xml:space="preserve"> </w:t>
      </w:r>
      <w:r w:rsidR="004C5500" w:rsidRPr="004C5500">
        <w:rPr>
          <w:noProof/>
        </w:rPr>
        <w:t xml:space="preserve">who have </w:t>
      </w:r>
      <w:r w:rsidR="0096330A">
        <w:rPr>
          <w:noProof/>
        </w:rPr>
        <w:t>considered</w:t>
      </w:r>
      <w:r w:rsidR="004C5500" w:rsidRPr="004C5500">
        <w:rPr>
          <w:noProof/>
        </w:rPr>
        <w:t xml:space="preserve"> and/or trialed other </w:t>
      </w:r>
      <w:r w:rsidR="0096330A">
        <w:rPr>
          <w:noProof/>
        </w:rPr>
        <w:t xml:space="preserve">pharmacological and </w:t>
      </w:r>
      <w:r w:rsidR="001E1B59">
        <w:rPr>
          <w:noProof/>
        </w:rPr>
        <w:t>surgical</w:t>
      </w:r>
      <w:r w:rsidR="004C5500" w:rsidRPr="004C5500">
        <w:rPr>
          <w:noProof/>
        </w:rPr>
        <w:t xml:space="preserve"> approaches without succe</w:t>
      </w:r>
      <w:r w:rsidR="0096330A">
        <w:rPr>
          <w:noProof/>
        </w:rPr>
        <w:t>s</w:t>
      </w:r>
      <w:r w:rsidR="004C5500" w:rsidRPr="004C5500">
        <w:rPr>
          <w:noProof/>
        </w:rPr>
        <w:t>s</w:t>
      </w:r>
      <w:r w:rsidR="00D33F72" w:rsidRPr="004C5500">
        <w:rPr>
          <w:noProof/>
        </w:rPr>
        <w:t>.</w:t>
      </w:r>
      <w:r w:rsidRPr="004C5500">
        <w:rPr>
          <w:noProof/>
        </w:rPr>
        <w:t xml:space="preserve"> </w:t>
      </w:r>
    </w:p>
    <w:p w14:paraId="5D273F12" w14:textId="2FFEB762" w:rsidR="00B25D20" w:rsidRDefault="00E6222F" w:rsidP="00943A5E">
      <w:pPr>
        <w:pStyle w:val="Heading2"/>
      </w:pPr>
      <w:r w:rsidRPr="00E6222F">
        <w:t xml:space="preserve">List the key health outcomes (major and minor – prioritising major key health outcomes first) that will need to be measured in assessing the clinical claim for the proposed </w:t>
      </w:r>
      <w:r w:rsidR="00CD6981">
        <w:t xml:space="preserve">medical </w:t>
      </w:r>
      <w:r w:rsidRPr="00E6222F">
        <w:t>service/technology (versus the comparator)</w:t>
      </w:r>
      <w:r w:rsidR="00CD6981">
        <w:t>:</w:t>
      </w:r>
    </w:p>
    <w:p w14:paraId="770BEDAB" w14:textId="72F30A1A" w:rsidR="00AA2E8B" w:rsidRDefault="0096330A" w:rsidP="00943A5E">
      <w:pPr>
        <w:ind w:left="360"/>
        <w:rPr>
          <w:b/>
          <w:bCs/>
        </w:rPr>
      </w:pPr>
      <w:r>
        <w:rPr>
          <w:b/>
          <w:bCs/>
        </w:rPr>
        <w:t>Major (</w:t>
      </w:r>
      <w:r w:rsidR="00AA2E8B">
        <w:rPr>
          <w:b/>
          <w:bCs/>
        </w:rPr>
        <w:t>Primary</w:t>
      </w:r>
      <w:r>
        <w:rPr>
          <w:b/>
          <w:bCs/>
        </w:rPr>
        <w:t>)</w:t>
      </w:r>
      <w:r w:rsidR="00AA2E8B">
        <w:rPr>
          <w:b/>
          <w:bCs/>
        </w:rPr>
        <w:t xml:space="preserve"> Outcomes </w:t>
      </w:r>
    </w:p>
    <w:p w14:paraId="76E86FCB" w14:textId="26DBE0DB" w:rsidR="004A04C9" w:rsidRDefault="004A04C9" w:rsidP="00317F2F">
      <w:pPr>
        <w:pStyle w:val="ListParagraph"/>
        <w:numPr>
          <w:ilvl w:val="0"/>
          <w:numId w:val="27"/>
        </w:numPr>
      </w:pPr>
      <w:r>
        <w:t>Reductions in seizure frequency</w:t>
      </w:r>
      <w:r w:rsidR="001E1B59">
        <w:t xml:space="preserve"> and severity</w:t>
      </w:r>
      <w:r w:rsidR="00256912">
        <w:t>,</w:t>
      </w:r>
      <w:r w:rsidR="002D1E0F">
        <w:t xml:space="preserve"> </w:t>
      </w:r>
      <w:r w:rsidR="00256912">
        <w:t xml:space="preserve">including seizure free days/month &amp; proportion of patients with a 50% seizure reduction </w:t>
      </w:r>
    </w:p>
    <w:p w14:paraId="79237C2D" w14:textId="5C83B319" w:rsidR="00BB4C02" w:rsidRPr="00BB4C02" w:rsidRDefault="004A04C9" w:rsidP="00317F2F">
      <w:pPr>
        <w:pStyle w:val="ListParagraph"/>
        <w:numPr>
          <w:ilvl w:val="0"/>
          <w:numId w:val="27"/>
        </w:numPr>
      </w:pPr>
      <w:r>
        <w:t xml:space="preserve">Improvements in Quality of Life/Activities of daily living </w:t>
      </w:r>
      <w:r w:rsidR="0096330A">
        <w:t xml:space="preserve">- </w:t>
      </w:r>
      <w:r>
        <w:t>measured using an appropriate tool e.g.,</w:t>
      </w:r>
      <w:r w:rsidRPr="00AA2E8B">
        <w:t xml:space="preserve"> Washington Psychosocial Seizure Inventory, the Social Effects Scale, the Epilepsy Surgery Inventory, </w:t>
      </w:r>
      <w:r w:rsidR="00AE1C58">
        <w:t>and the</w:t>
      </w:r>
      <w:r w:rsidR="00AB1BDF">
        <w:t xml:space="preserve"> </w:t>
      </w:r>
      <w:r w:rsidR="00AB1BDF" w:rsidRPr="00317F2F">
        <w:t>Quality of Life in Epilepsy Inventory (QOLIE</w:t>
      </w:r>
      <w:r w:rsidR="001C7DAD" w:rsidRPr="00317F2F">
        <w:t>)</w:t>
      </w:r>
      <w:r w:rsidRPr="00AA2E8B">
        <w:t>, and the Liverpool QOL Battery</w:t>
      </w:r>
      <w:r w:rsidR="001E1B59">
        <w:t xml:space="preserve">, </w:t>
      </w:r>
      <w:r w:rsidR="00256912">
        <w:t>Liverpool Seizure Severity</w:t>
      </w:r>
      <w:r w:rsidR="00AE1C58">
        <w:t xml:space="preserve"> Scale (LSSS)</w:t>
      </w:r>
      <w:r w:rsidR="00256912">
        <w:t xml:space="preserve">, </w:t>
      </w:r>
      <w:r w:rsidR="00216D88">
        <w:t>Epilepsy Risk Awareness Scale (ERA), Generalised Anxiety Disorder Scale-7 (GAD-7)</w:t>
      </w:r>
      <w:r w:rsidR="00425269">
        <w:t xml:space="preserve">, GASE (global assessment of severity of epilepsy- </w:t>
      </w:r>
      <w:r w:rsidR="00B349DE">
        <w:t>7-point</w:t>
      </w:r>
      <w:r w:rsidR="00425269">
        <w:t xml:space="preserve"> scale)</w:t>
      </w:r>
      <w:r w:rsidR="00116B7A">
        <w:t>.</w:t>
      </w:r>
    </w:p>
    <w:p w14:paraId="1E49EED1" w14:textId="77777777" w:rsidR="0096330A" w:rsidRDefault="0096330A" w:rsidP="00AA2E8B">
      <w:pPr>
        <w:ind w:left="360"/>
        <w:rPr>
          <w:b/>
          <w:bCs/>
        </w:rPr>
      </w:pPr>
      <w:r>
        <w:rPr>
          <w:b/>
          <w:bCs/>
        </w:rPr>
        <w:t>Secondary Outcomes</w:t>
      </w:r>
    </w:p>
    <w:p w14:paraId="766558DD" w14:textId="3E47F2B4" w:rsidR="0096330A" w:rsidRDefault="001E1B59" w:rsidP="00317F2F">
      <w:pPr>
        <w:pStyle w:val="ListParagraph"/>
        <w:numPr>
          <w:ilvl w:val="0"/>
          <w:numId w:val="27"/>
        </w:numPr>
      </w:pPr>
      <w:r w:rsidRPr="00037E62">
        <w:t>Decrease in sudden death from epilepsy (SUDEP, as discussed earlier)</w:t>
      </w:r>
    </w:p>
    <w:p w14:paraId="0735AC3A" w14:textId="37FF9721" w:rsidR="001E1B59" w:rsidRDefault="001E1B59" w:rsidP="00317F2F">
      <w:pPr>
        <w:pStyle w:val="ListParagraph"/>
        <w:numPr>
          <w:ilvl w:val="0"/>
          <w:numId w:val="27"/>
        </w:numPr>
      </w:pPr>
      <w:r>
        <w:t xml:space="preserve">Decrease in seizure related injuries </w:t>
      </w:r>
    </w:p>
    <w:p w14:paraId="63558E66" w14:textId="2FDF990A" w:rsidR="001E1B59" w:rsidRDefault="001E1B59" w:rsidP="00317F2F">
      <w:pPr>
        <w:pStyle w:val="ListParagraph"/>
        <w:numPr>
          <w:ilvl w:val="0"/>
          <w:numId w:val="27"/>
        </w:numPr>
      </w:pPr>
      <w:r>
        <w:t xml:space="preserve">Decrease in hospital admissions for seizure related injuries </w:t>
      </w:r>
    </w:p>
    <w:p w14:paraId="6C9C0863" w14:textId="47154595" w:rsidR="0096330A" w:rsidRPr="00233588" w:rsidRDefault="001E1B59" w:rsidP="00317F2F">
      <w:pPr>
        <w:pStyle w:val="ListParagraph"/>
        <w:numPr>
          <w:ilvl w:val="0"/>
          <w:numId w:val="27"/>
        </w:numPr>
      </w:pPr>
      <w:r>
        <w:t>Decrease in carer stress</w:t>
      </w:r>
      <w:r w:rsidR="00116B7A">
        <w:t>.</w:t>
      </w:r>
    </w:p>
    <w:p w14:paraId="643B262A" w14:textId="155B9B66" w:rsidR="00F77E54" w:rsidRPr="00F77E54" w:rsidRDefault="00F77E54" w:rsidP="00AA2E8B">
      <w:pPr>
        <w:ind w:left="360"/>
        <w:rPr>
          <w:b/>
          <w:bCs/>
        </w:rPr>
      </w:pPr>
      <w:r w:rsidRPr="00F77E54">
        <w:rPr>
          <w:b/>
          <w:bCs/>
        </w:rPr>
        <w:t xml:space="preserve">Safety Outcomes </w:t>
      </w:r>
    </w:p>
    <w:p w14:paraId="503951B7" w14:textId="58FF23D0" w:rsidR="00F77E54" w:rsidRDefault="00F77E54" w:rsidP="00317F2F">
      <w:pPr>
        <w:pStyle w:val="ListParagraph"/>
        <w:numPr>
          <w:ilvl w:val="0"/>
          <w:numId w:val="27"/>
        </w:numPr>
      </w:pPr>
      <w:r>
        <w:t>Serious adverse events (neurologic &amp; physical)</w:t>
      </w:r>
    </w:p>
    <w:p w14:paraId="1502AD1B" w14:textId="132A6A58" w:rsidR="00F77E54" w:rsidRDefault="00F77E54" w:rsidP="00317F2F">
      <w:pPr>
        <w:pStyle w:val="ListParagraph"/>
        <w:numPr>
          <w:ilvl w:val="0"/>
          <w:numId w:val="27"/>
        </w:numPr>
      </w:pPr>
      <w:r>
        <w:t xml:space="preserve">Procedure related adverse events </w:t>
      </w:r>
      <w:r w:rsidR="004A04C9">
        <w:t>e.g., haemorrhage, implantations site infection</w:t>
      </w:r>
    </w:p>
    <w:p w14:paraId="00FFE736" w14:textId="14434F83" w:rsidR="00A344BA" w:rsidRPr="00233588" w:rsidRDefault="00F77E54" w:rsidP="00317F2F">
      <w:pPr>
        <w:pStyle w:val="ListParagraph"/>
        <w:numPr>
          <w:ilvl w:val="0"/>
          <w:numId w:val="27"/>
        </w:numPr>
      </w:pPr>
      <w:r>
        <w:t xml:space="preserve">Adverse events/complications </w:t>
      </w:r>
      <w:r w:rsidR="004A04C9">
        <w:t xml:space="preserve">e.g., depression, memory </w:t>
      </w:r>
      <w:r w:rsidR="00116B7A">
        <w:t>impairment.</w:t>
      </w:r>
    </w:p>
    <w:p w14:paraId="2BFA7F73" w14:textId="4A999542" w:rsidR="00F77E54" w:rsidRPr="00F77E54" w:rsidRDefault="00F77E54" w:rsidP="00943A5E">
      <w:pPr>
        <w:ind w:left="360"/>
        <w:rPr>
          <w:b/>
          <w:bCs/>
        </w:rPr>
      </w:pPr>
      <w:r w:rsidRPr="00F77E54">
        <w:rPr>
          <w:b/>
          <w:bCs/>
        </w:rPr>
        <w:t xml:space="preserve">Clinical Effectiveness Outcomes </w:t>
      </w:r>
    </w:p>
    <w:p w14:paraId="0134B313" w14:textId="77777777" w:rsidR="00745CCA" w:rsidRPr="00745CCA" w:rsidRDefault="004A04C9" w:rsidP="00745CCA">
      <w:pPr>
        <w:pStyle w:val="ListParagraph"/>
        <w:numPr>
          <w:ilvl w:val="0"/>
          <w:numId w:val="27"/>
        </w:numPr>
      </w:pPr>
      <w:r w:rsidRPr="00745CCA">
        <w:t>Reductions in seizure</w:t>
      </w:r>
      <w:r w:rsidR="00F77E54" w:rsidRPr="00745CCA">
        <w:t xml:space="preserve"> frequency</w:t>
      </w:r>
      <w:r w:rsidR="00357A29" w:rsidRPr="00745CCA">
        <w:t xml:space="preserve"> &amp; severit</w:t>
      </w:r>
      <w:r w:rsidR="00187CE1" w:rsidRPr="00745CCA">
        <w:t>y</w:t>
      </w:r>
    </w:p>
    <w:p w14:paraId="4D516999" w14:textId="7BDDA5F5" w:rsidR="00745CCA" w:rsidRDefault="00745CCA" w:rsidP="00745CCA">
      <w:pPr>
        <w:pStyle w:val="ListParagraph"/>
        <w:numPr>
          <w:ilvl w:val="0"/>
          <w:numId w:val="27"/>
        </w:numPr>
      </w:pPr>
      <w:r w:rsidRPr="00745CCA">
        <w:t xml:space="preserve">Quality of Life/Activities </w:t>
      </w:r>
      <w:r>
        <w:t>of daily living – measured using an appropriate tool as described above</w:t>
      </w:r>
    </w:p>
    <w:p w14:paraId="6EB950C7" w14:textId="044082EB" w:rsidR="00745CCA" w:rsidRPr="00745CCA" w:rsidRDefault="00745CCA" w:rsidP="00745CCA">
      <w:pPr>
        <w:pStyle w:val="ListParagraph"/>
        <w:ind w:left="1080"/>
        <w:rPr>
          <w:bCs/>
          <w:color w:val="4F81BD" w:themeColor="accent1"/>
          <w:sz w:val="40"/>
          <w:szCs w:val="32"/>
        </w:rPr>
      </w:pPr>
    </w:p>
    <w:p w14:paraId="08930AB2" w14:textId="77777777" w:rsidR="00745CCA" w:rsidRDefault="00745CCA">
      <w:pPr>
        <w:spacing w:before="0" w:after="200" w:line="276" w:lineRule="auto"/>
        <w:rPr>
          <w:bCs/>
          <w:color w:val="4F81BD" w:themeColor="accent1"/>
          <w:sz w:val="40"/>
          <w:szCs w:val="32"/>
        </w:rPr>
      </w:pPr>
      <w:r>
        <w:rPr>
          <w:bCs/>
          <w:color w:val="4F81BD" w:themeColor="accent1"/>
          <w:sz w:val="40"/>
          <w:szCs w:val="32"/>
        </w:rPr>
        <w:br w:type="page"/>
      </w:r>
    </w:p>
    <w:p w14:paraId="109325A9" w14:textId="75924CA3" w:rsidR="00745CCA" w:rsidRPr="00745CCA" w:rsidRDefault="005C3AE7" w:rsidP="00A17D07">
      <w:pPr>
        <w:rPr>
          <w:bCs/>
          <w:color w:val="4F81BD" w:themeColor="accent1"/>
          <w:sz w:val="40"/>
          <w:szCs w:val="32"/>
        </w:rPr>
      </w:pPr>
      <w:r w:rsidRPr="00745CCA">
        <w:rPr>
          <w:bCs/>
          <w:color w:val="4F81BD" w:themeColor="accent1"/>
          <w:sz w:val="40"/>
          <w:szCs w:val="32"/>
        </w:rPr>
        <w:lastRenderedPageBreak/>
        <w:t>PART 7</w:t>
      </w:r>
      <w:r w:rsidR="00F93784" w:rsidRPr="00745CCA">
        <w:rPr>
          <w:bCs/>
          <w:color w:val="4F81BD" w:themeColor="accent1"/>
          <w:sz w:val="40"/>
          <w:szCs w:val="32"/>
        </w:rPr>
        <w:t xml:space="preserve"> – </w:t>
      </w:r>
      <w:r w:rsidR="006C74B1" w:rsidRPr="00745CCA">
        <w:rPr>
          <w:bCs/>
          <w:color w:val="4F81BD" w:themeColor="accent1"/>
          <w:sz w:val="40"/>
          <w:szCs w:val="32"/>
        </w:rPr>
        <w:t xml:space="preserve">INFORMATION ABOUT </w:t>
      </w:r>
      <w:r w:rsidR="0018630F" w:rsidRPr="00745CCA">
        <w:rPr>
          <w:bCs/>
          <w:color w:val="4F81BD" w:themeColor="accent1"/>
          <w:sz w:val="40"/>
          <w:szCs w:val="32"/>
        </w:rPr>
        <w:t xml:space="preserve">ESTIMATED </w:t>
      </w:r>
      <w:r w:rsidR="00974D50" w:rsidRPr="00745CCA">
        <w:rPr>
          <w:bCs/>
          <w:color w:val="4F81BD" w:themeColor="accent1"/>
          <w:sz w:val="40"/>
          <w:szCs w:val="32"/>
        </w:rPr>
        <w:t>UTILISATION</w:t>
      </w:r>
    </w:p>
    <w:p w14:paraId="2BC636BA" w14:textId="384B43F9" w:rsidR="00AF023A" w:rsidRPr="0059289E" w:rsidRDefault="00BE0FDE" w:rsidP="0059289E">
      <w:pPr>
        <w:pStyle w:val="Heading2"/>
      </w:pPr>
      <w:r w:rsidRPr="00092580">
        <w:t>Estimate</w:t>
      </w:r>
      <w:r w:rsidR="00974D50" w:rsidRPr="00092580">
        <w:t xml:space="preserve"> the prevalence</w:t>
      </w:r>
      <w:r w:rsidR="00B771AD" w:rsidRPr="00092580">
        <w:t xml:space="preserve"> and/or incidence</w:t>
      </w:r>
      <w:r w:rsidR="00974D50" w:rsidRPr="00092580">
        <w:t xml:space="preserve"> of</w:t>
      </w:r>
      <w:r w:rsidR="00C16877">
        <w:t xml:space="preserve"> the condition in</w:t>
      </w:r>
      <w:r w:rsidR="00974D50" w:rsidRPr="00092580">
        <w:t xml:space="preserve"> </w:t>
      </w:r>
      <w:r w:rsidR="00AE1188">
        <w:t>the proposed population:</w:t>
      </w:r>
      <w:r w:rsidR="00CE71AB" w:rsidRPr="0059289E">
        <w:rPr>
          <w:rFonts w:cs="Arial"/>
        </w:rPr>
        <w:t xml:space="preserve"> </w:t>
      </w:r>
    </w:p>
    <w:p w14:paraId="61965802" w14:textId="1D96584D" w:rsidR="008D1235" w:rsidRDefault="005F14D0" w:rsidP="00CE71AB">
      <w:pPr>
        <w:ind w:left="426"/>
        <w:rPr>
          <w:rFonts w:cs="Arial"/>
          <w:szCs w:val="20"/>
        </w:rPr>
      </w:pPr>
      <w:r>
        <w:rPr>
          <w:rFonts w:cs="Arial"/>
          <w:szCs w:val="20"/>
        </w:rPr>
        <w:t>The</w:t>
      </w:r>
      <w:r w:rsidR="008D1235">
        <w:rPr>
          <w:rFonts w:cs="Arial"/>
          <w:szCs w:val="20"/>
        </w:rPr>
        <w:t xml:space="preserve"> </w:t>
      </w:r>
      <w:r w:rsidR="00DB36D2">
        <w:rPr>
          <w:rFonts w:cs="Arial"/>
          <w:szCs w:val="20"/>
        </w:rPr>
        <w:t xml:space="preserve">Australian Bureau of Statistics </w:t>
      </w:r>
      <w:r w:rsidR="00A344BA">
        <w:rPr>
          <w:rFonts w:cs="Arial"/>
          <w:szCs w:val="20"/>
        </w:rPr>
        <w:t xml:space="preserve">recently </w:t>
      </w:r>
      <w:r w:rsidR="00DB36D2">
        <w:rPr>
          <w:rFonts w:cs="Arial"/>
          <w:szCs w:val="20"/>
        </w:rPr>
        <w:t>estimate</w:t>
      </w:r>
      <w:r w:rsidR="00CE71AB">
        <w:rPr>
          <w:rFonts w:cs="Arial"/>
          <w:szCs w:val="20"/>
        </w:rPr>
        <w:t xml:space="preserve">d </w:t>
      </w:r>
      <w:r w:rsidR="00DB36D2">
        <w:rPr>
          <w:rFonts w:cs="Arial"/>
          <w:szCs w:val="20"/>
        </w:rPr>
        <w:t xml:space="preserve">the </w:t>
      </w:r>
      <w:r w:rsidR="008D1235">
        <w:rPr>
          <w:rFonts w:cs="Arial"/>
          <w:szCs w:val="20"/>
        </w:rPr>
        <w:t xml:space="preserve">population prevalence of active epilepsy </w:t>
      </w:r>
      <w:r w:rsidR="00A344BA">
        <w:rPr>
          <w:rFonts w:cs="Arial"/>
          <w:szCs w:val="20"/>
        </w:rPr>
        <w:t>was</w:t>
      </w:r>
      <w:r w:rsidR="00022C30">
        <w:rPr>
          <w:rFonts w:cs="Arial"/>
          <w:szCs w:val="20"/>
        </w:rPr>
        <w:t xml:space="preserve"> 0.6% (6 per 1,000 people)</w:t>
      </w:r>
      <w:r w:rsidR="00DB36D2">
        <w:rPr>
          <w:rFonts w:cs="Arial"/>
          <w:szCs w:val="20"/>
        </w:rPr>
        <w:t xml:space="preserve"> </w:t>
      </w:r>
      <w:r>
        <w:rPr>
          <w:rFonts w:cs="Arial"/>
          <w:szCs w:val="20"/>
        </w:rPr>
        <w:t xml:space="preserve">using data from a National Health Survey 2017/18. </w:t>
      </w:r>
      <w:r w:rsidR="00A344BA">
        <w:rPr>
          <w:rFonts w:cs="Arial"/>
          <w:szCs w:val="20"/>
        </w:rPr>
        <w:t xml:space="preserve">Based on this prevalence data, a </w:t>
      </w:r>
      <w:r w:rsidR="00401912">
        <w:rPr>
          <w:rFonts w:cs="Arial"/>
          <w:szCs w:val="20"/>
        </w:rPr>
        <w:t>Deloitte Access Report</w:t>
      </w:r>
      <w:r w:rsidR="00CE71AB">
        <w:rPr>
          <w:rFonts w:cs="Arial"/>
          <w:szCs w:val="20"/>
        </w:rPr>
        <w:t xml:space="preserve"> </w:t>
      </w:r>
      <w:r w:rsidR="00A344BA">
        <w:rPr>
          <w:rFonts w:cs="Arial"/>
          <w:szCs w:val="20"/>
        </w:rPr>
        <w:t>estimated</w:t>
      </w:r>
      <w:r w:rsidR="00CE71AB">
        <w:rPr>
          <w:rFonts w:cs="Arial"/>
          <w:szCs w:val="20"/>
        </w:rPr>
        <w:t xml:space="preserve"> </w:t>
      </w:r>
      <w:r w:rsidR="00A344BA">
        <w:rPr>
          <w:rFonts w:cs="Arial"/>
          <w:szCs w:val="20"/>
        </w:rPr>
        <w:t xml:space="preserve">that </w:t>
      </w:r>
      <w:r w:rsidR="008D1235">
        <w:rPr>
          <w:rFonts w:cs="Arial"/>
          <w:szCs w:val="20"/>
        </w:rPr>
        <w:t>around 150,00 Australians are living with active epilepsy</w:t>
      </w:r>
      <w:r w:rsidR="00401912">
        <w:rPr>
          <w:rFonts w:cs="Arial"/>
          <w:szCs w:val="20"/>
        </w:rPr>
        <w:t xml:space="preserve"> (Deloitte 2020)</w:t>
      </w:r>
      <w:r w:rsidR="001E3175">
        <w:rPr>
          <w:rFonts w:cs="Arial"/>
          <w:szCs w:val="20"/>
        </w:rPr>
        <w:t>. After undertaking their own</w:t>
      </w:r>
      <w:r w:rsidR="008D1235">
        <w:rPr>
          <w:rFonts w:cs="Arial"/>
          <w:szCs w:val="20"/>
        </w:rPr>
        <w:t xml:space="preserve"> </w:t>
      </w:r>
      <w:r w:rsidR="001E3175">
        <w:rPr>
          <w:rFonts w:cs="Arial"/>
          <w:szCs w:val="20"/>
        </w:rPr>
        <w:t xml:space="preserve">modelling to provide a more accurate figure, </w:t>
      </w:r>
      <w:r w:rsidR="00401912">
        <w:rPr>
          <w:rFonts w:cs="Arial"/>
          <w:szCs w:val="20"/>
        </w:rPr>
        <w:t>Deloitte</w:t>
      </w:r>
      <w:r w:rsidR="001E3175">
        <w:rPr>
          <w:rFonts w:cs="Arial"/>
          <w:szCs w:val="20"/>
        </w:rPr>
        <w:t xml:space="preserve"> reported that</w:t>
      </w:r>
      <w:r w:rsidR="00401912">
        <w:rPr>
          <w:rFonts w:cs="Arial"/>
          <w:szCs w:val="20"/>
        </w:rPr>
        <w:t xml:space="preserve"> a total of</w:t>
      </w:r>
      <w:r w:rsidR="001E3175">
        <w:rPr>
          <w:rFonts w:cs="Arial"/>
          <w:szCs w:val="20"/>
        </w:rPr>
        <w:t xml:space="preserve"> 142,740 people</w:t>
      </w:r>
      <w:r w:rsidR="00022C30">
        <w:rPr>
          <w:rFonts w:cs="Arial"/>
          <w:szCs w:val="20"/>
        </w:rPr>
        <w:t xml:space="preserve"> were living with active epilepsy</w:t>
      </w:r>
      <w:r w:rsidR="00DB36D2">
        <w:rPr>
          <w:rFonts w:cs="Arial"/>
          <w:szCs w:val="20"/>
        </w:rPr>
        <w:t xml:space="preserve"> in 2019-20</w:t>
      </w:r>
      <w:r w:rsidR="001E3175">
        <w:rPr>
          <w:rFonts w:cs="Arial"/>
          <w:szCs w:val="20"/>
        </w:rPr>
        <w:t xml:space="preserve">. </w:t>
      </w:r>
      <w:r w:rsidR="00317EC8">
        <w:rPr>
          <w:rFonts w:cs="Arial"/>
          <w:szCs w:val="20"/>
        </w:rPr>
        <w:t>P</w:t>
      </w:r>
      <w:r w:rsidR="008D1235">
        <w:rPr>
          <w:rFonts w:cs="Arial"/>
          <w:szCs w:val="20"/>
        </w:rPr>
        <w:t xml:space="preserve">revalence estimates reported for the Australian population are validated by </w:t>
      </w:r>
      <w:r w:rsidR="001E3175">
        <w:rPr>
          <w:rFonts w:cs="Arial"/>
          <w:szCs w:val="20"/>
        </w:rPr>
        <w:t xml:space="preserve">the </w:t>
      </w:r>
      <w:r w:rsidR="008D1235">
        <w:rPr>
          <w:rFonts w:cs="Arial"/>
          <w:szCs w:val="20"/>
        </w:rPr>
        <w:t xml:space="preserve">international literature (Deloitte 2020). </w:t>
      </w:r>
    </w:p>
    <w:p w14:paraId="70A75395" w14:textId="64CCD33D" w:rsidR="00F03C2F" w:rsidRDefault="00317EC8" w:rsidP="0092224F">
      <w:pPr>
        <w:ind w:left="426"/>
        <w:rPr>
          <w:szCs w:val="20"/>
        </w:rPr>
      </w:pPr>
      <w:r>
        <w:t>Assuming around 150,000 Australians have active epilepsy (Deloitte 2021) and g</w:t>
      </w:r>
      <w:r w:rsidR="00981E1D">
        <w:t>iven that</w:t>
      </w:r>
      <w:r w:rsidR="00981E1D" w:rsidRPr="00CE492E">
        <w:rPr>
          <w:szCs w:val="20"/>
        </w:rPr>
        <w:t xml:space="preserve"> 30-40% of </w:t>
      </w:r>
      <w:r w:rsidR="00981E1D">
        <w:rPr>
          <w:szCs w:val="20"/>
        </w:rPr>
        <w:t xml:space="preserve">people are reported to have medication resistant epilepsy </w:t>
      </w:r>
      <w:r w:rsidR="00981E1D" w:rsidRPr="00CE492E">
        <w:rPr>
          <w:szCs w:val="20"/>
        </w:rPr>
        <w:t>(Che</w:t>
      </w:r>
      <w:r w:rsidR="006236D5">
        <w:rPr>
          <w:szCs w:val="20"/>
        </w:rPr>
        <w:t>n</w:t>
      </w:r>
      <w:r w:rsidR="00981E1D" w:rsidRPr="00CE492E">
        <w:rPr>
          <w:szCs w:val="20"/>
        </w:rPr>
        <w:t xml:space="preserve"> et al 2018)</w:t>
      </w:r>
      <w:r>
        <w:rPr>
          <w:szCs w:val="20"/>
        </w:rPr>
        <w:t>,</w:t>
      </w:r>
      <w:r w:rsidR="00981E1D">
        <w:rPr>
          <w:szCs w:val="20"/>
        </w:rPr>
        <w:t xml:space="preserve"> it would be expected that 45,000 to 60,000 Australians</w:t>
      </w:r>
      <w:r w:rsidR="00DB36D2">
        <w:rPr>
          <w:szCs w:val="20"/>
        </w:rPr>
        <w:t>,</w:t>
      </w:r>
      <w:r w:rsidR="00981E1D">
        <w:rPr>
          <w:szCs w:val="20"/>
        </w:rPr>
        <w:t xml:space="preserve"> of all ages</w:t>
      </w:r>
      <w:r w:rsidR="00DB36D2">
        <w:rPr>
          <w:szCs w:val="20"/>
        </w:rPr>
        <w:t>,</w:t>
      </w:r>
      <w:r w:rsidR="00981E1D">
        <w:rPr>
          <w:szCs w:val="20"/>
        </w:rPr>
        <w:t xml:space="preserve"> have medication resistant epilepsy. </w:t>
      </w:r>
    </w:p>
    <w:p w14:paraId="003BAADD" w14:textId="665127E7" w:rsidR="006236D5" w:rsidRDefault="009C5583" w:rsidP="00317F2F">
      <w:pPr>
        <w:ind w:left="426"/>
        <w:rPr>
          <w:szCs w:val="20"/>
        </w:rPr>
      </w:pPr>
      <w:r>
        <w:rPr>
          <w:szCs w:val="20"/>
        </w:rPr>
        <w:t>Only a fraction of people with medical refractory epilepsy in Australia are referred to a Comprehensive Epilepsy</w:t>
      </w:r>
      <w:r w:rsidR="00AE1C58">
        <w:rPr>
          <w:szCs w:val="20"/>
        </w:rPr>
        <w:t xml:space="preserve"> </w:t>
      </w:r>
      <w:r w:rsidR="00116B7A">
        <w:rPr>
          <w:szCs w:val="20"/>
        </w:rPr>
        <w:t>Program</w:t>
      </w:r>
      <w:r w:rsidR="00C436C5">
        <w:rPr>
          <w:szCs w:val="20"/>
        </w:rPr>
        <w:t>, a fact</w:t>
      </w:r>
      <w:r w:rsidR="006E4C72">
        <w:rPr>
          <w:szCs w:val="20"/>
        </w:rPr>
        <w:t xml:space="preserve"> supported by the i</w:t>
      </w:r>
      <w:r>
        <w:rPr>
          <w:szCs w:val="20"/>
        </w:rPr>
        <w:t xml:space="preserve">nternational </w:t>
      </w:r>
      <w:r w:rsidR="006E4C72">
        <w:rPr>
          <w:szCs w:val="20"/>
        </w:rPr>
        <w:t>literature, which</w:t>
      </w:r>
      <w:r>
        <w:rPr>
          <w:szCs w:val="20"/>
        </w:rPr>
        <w:t xml:space="preserve"> report</w:t>
      </w:r>
      <w:r w:rsidR="006E4C72">
        <w:rPr>
          <w:szCs w:val="20"/>
        </w:rPr>
        <w:t>s</w:t>
      </w:r>
      <w:r>
        <w:rPr>
          <w:szCs w:val="20"/>
        </w:rPr>
        <w:t xml:space="preserve"> that f</w:t>
      </w:r>
      <w:r w:rsidR="0092224F">
        <w:rPr>
          <w:szCs w:val="20"/>
        </w:rPr>
        <w:t>ewer than 1% of patients with medical refractory epilepsy are referred to a Comprehensive Epilepsy</w:t>
      </w:r>
      <w:r w:rsidR="004E0B44">
        <w:rPr>
          <w:szCs w:val="20"/>
        </w:rPr>
        <w:t xml:space="preserve"> Program </w:t>
      </w:r>
      <w:r w:rsidR="003E71BB">
        <w:rPr>
          <w:szCs w:val="20"/>
        </w:rPr>
        <w:t>(Engel 2016</w:t>
      </w:r>
      <w:r w:rsidR="006236D5">
        <w:rPr>
          <w:szCs w:val="20"/>
        </w:rPr>
        <w:t>).</w:t>
      </w:r>
    </w:p>
    <w:p w14:paraId="46D416B9" w14:textId="79E278A7" w:rsidR="006236D5" w:rsidRPr="00317F2F" w:rsidRDefault="006236D5" w:rsidP="006236D5">
      <w:pPr>
        <w:ind w:left="426"/>
        <w:rPr>
          <w:b/>
          <w:bCs/>
          <w:i/>
          <w:iCs/>
          <w:szCs w:val="20"/>
        </w:rPr>
      </w:pPr>
      <w:r w:rsidRPr="00317F2F">
        <w:rPr>
          <w:b/>
          <w:bCs/>
          <w:i/>
          <w:iCs/>
          <w:szCs w:val="20"/>
        </w:rPr>
        <w:t>References Cited</w:t>
      </w:r>
    </w:p>
    <w:p w14:paraId="099AC21A" w14:textId="0198D8E6" w:rsidR="006236D5" w:rsidRDefault="006236D5" w:rsidP="006236D5">
      <w:pPr>
        <w:ind w:left="426"/>
        <w:rPr>
          <w:rStyle w:val="mixed-citation"/>
        </w:rPr>
      </w:pPr>
      <w:r>
        <w:rPr>
          <w:rStyle w:val="mixed-citation"/>
        </w:rPr>
        <w:t xml:space="preserve">Chen Z, Brodie MJ, Liew D, Kwan P. </w:t>
      </w:r>
      <w:r>
        <w:rPr>
          <w:rStyle w:val="ref-title"/>
        </w:rPr>
        <w:t>Treatment outcomes in patients with newly diagnosed epilepsy treated with established and new antiepileptic drugs: A 30-year longitudinal cohort study</w:t>
      </w:r>
      <w:r>
        <w:rPr>
          <w:rStyle w:val="mixed-citation"/>
        </w:rPr>
        <w:t xml:space="preserve">. </w:t>
      </w:r>
      <w:r w:rsidRPr="00D31AED">
        <w:rPr>
          <w:rStyle w:val="ref-journal"/>
        </w:rPr>
        <w:t>JAMA Neurol</w:t>
      </w:r>
      <w:r>
        <w:rPr>
          <w:rStyle w:val="mixed-citation"/>
        </w:rPr>
        <w:t>.</w:t>
      </w:r>
      <w:r w:rsidR="008554D0">
        <w:rPr>
          <w:rStyle w:val="mixed-citation"/>
        </w:rPr>
        <w:t xml:space="preserve"> </w:t>
      </w:r>
      <w:r w:rsidRPr="00D31AED">
        <w:rPr>
          <w:rStyle w:val="mixed-citation"/>
        </w:rPr>
        <w:t xml:space="preserve">2018; </w:t>
      </w:r>
      <w:r w:rsidRPr="00D31AED">
        <w:rPr>
          <w:rStyle w:val="ref-vol"/>
        </w:rPr>
        <w:t>75</w:t>
      </w:r>
      <w:r w:rsidRPr="00D31AED">
        <w:rPr>
          <w:rStyle w:val="mixed-citation"/>
        </w:rPr>
        <w:t xml:space="preserve">:279-286. </w:t>
      </w:r>
    </w:p>
    <w:p w14:paraId="6274A51B" w14:textId="31A0F8F1" w:rsidR="00745CCA" w:rsidRDefault="006236D5" w:rsidP="003E71BB">
      <w:pPr>
        <w:ind w:left="426"/>
        <w:rPr>
          <w:szCs w:val="20"/>
          <w:u w:val="single"/>
        </w:rPr>
      </w:pPr>
      <w:r>
        <w:t>Deloitte Access Economics 2020. The economic burden of epilepsy in Australia, 2019 – 2020. Epilepsy Australia</w:t>
      </w:r>
      <w:r w:rsidR="00745CCA">
        <w:rPr>
          <w:szCs w:val="20"/>
          <w:u w:val="single"/>
        </w:rPr>
        <w:t xml:space="preserve"> </w:t>
      </w:r>
    </w:p>
    <w:p w14:paraId="1458912C" w14:textId="5027A85C" w:rsidR="00AF4E7B" w:rsidRPr="00233588" w:rsidRDefault="006236D5" w:rsidP="00233588">
      <w:pPr>
        <w:ind w:left="426"/>
      </w:pPr>
      <w:r>
        <w:t xml:space="preserve">Engel J. What can we do for people with drug-resistant epilepsy? The 2016 </w:t>
      </w:r>
      <w:proofErr w:type="spellStart"/>
      <w:r>
        <w:t>Wartenberg</w:t>
      </w:r>
      <w:proofErr w:type="spellEnd"/>
      <w:r>
        <w:t xml:space="preserve"> Lecture. Neurology.</w:t>
      </w:r>
      <w:r w:rsidR="008554D0">
        <w:t xml:space="preserve"> </w:t>
      </w:r>
      <w:r>
        <w:t>2016; 87: 2483 – 2489.</w:t>
      </w:r>
    </w:p>
    <w:p w14:paraId="66136132"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FC1607">
        <w:t>/technology</w:t>
      </w:r>
      <w:r w:rsidRPr="00154B00">
        <w:t xml:space="preserve"> would be </w:t>
      </w:r>
      <w:r w:rsidR="00AE1188">
        <w:t>delivered to a patient per year:</w:t>
      </w:r>
    </w:p>
    <w:p w14:paraId="69BC4867" w14:textId="77777777" w:rsidR="00926CC4" w:rsidRDefault="001931DA" w:rsidP="00533B87">
      <w:pPr>
        <w:ind w:left="426"/>
      </w:pPr>
      <w:r>
        <w:t>DBS surgery</w:t>
      </w:r>
      <w:r w:rsidR="00533B87">
        <w:t xml:space="preserve"> would be performed once in the patient’s lifetime.</w:t>
      </w:r>
      <w:r w:rsidR="00926CC4">
        <w:t xml:space="preserve"> </w:t>
      </w:r>
    </w:p>
    <w:p w14:paraId="51840F7F" w14:textId="51E0FACB" w:rsidR="00926CC4" w:rsidRDefault="00926CC4" w:rsidP="00AC7DD2">
      <w:pPr>
        <w:ind w:left="426"/>
      </w:pPr>
      <w:r>
        <w:t xml:space="preserve">Programming would occur </w:t>
      </w:r>
      <w:r w:rsidR="00AC7DD2" w:rsidRPr="00AC7DD2">
        <w:rPr>
          <w:b/>
          <w:bCs/>
          <w:highlight w:val="lightGray"/>
        </w:rPr>
        <w:t>REDACTED</w:t>
      </w:r>
      <w:r w:rsidR="00AC7DD2" w:rsidRPr="00C27ECA">
        <w:t xml:space="preserve"> </w:t>
      </w:r>
      <w:r>
        <w:t xml:space="preserve">times per year in the first year and possibly </w:t>
      </w:r>
      <w:r w:rsidR="00AC7DD2" w:rsidRPr="00AC7DD2">
        <w:rPr>
          <w:b/>
          <w:bCs/>
          <w:highlight w:val="lightGray"/>
        </w:rPr>
        <w:t>REDACTED</w:t>
      </w:r>
      <w:r w:rsidR="00AC7DD2" w:rsidRPr="00C27ECA">
        <w:t xml:space="preserve"> </w:t>
      </w:r>
      <w:r>
        <w:t>a year</w:t>
      </w:r>
      <w:r w:rsidR="00AC7DD2">
        <w:t xml:space="preserve"> </w:t>
      </w:r>
      <w:r>
        <w:t>thereafter for maintenance.</w:t>
      </w:r>
    </w:p>
    <w:p w14:paraId="5B746AFA" w14:textId="754E1925" w:rsidR="00401912" w:rsidRPr="00233588" w:rsidRDefault="00926CC4" w:rsidP="00233588">
      <w:pPr>
        <w:ind w:left="426"/>
      </w:pPr>
      <w:r>
        <w:t xml:space="preserve">Battery replacement would occur </w:t>
      </w:r>
      <w:r w:rsidR="006236D5">
        <w:t xml:space="preserve">about </w:t>
      </w:r>
      <w:r>
        <w:t xml:space="preserve">once every </w:t>
      </w:r>
      <w:r w:rsidR="00AC7DD2" w:rsidRPr="00AC7DD2">
        <w:rPr>
          <w:b/>
          <w:bCs/>
          <w:highlight w:val="lightGray"/>
        </w:rPr>
        <w:t>REDACTED</w:t>
      </w:r>
      <w:r w:rsidR="00AC7DD2" w:rsidRPr="00C27ECA">
        <w:t xml:space="preserve"> </w:t>
      </w:r>
      <w:proofErr w:type="gramStart"/>
      <w:r>
        <w:t>years</w:t>
      </w:r>
      <w:proofErr w:type="gramEnd"/>
      <w:r>
        <w:t>.</w:t>
      </w:r>
    </w:p>
    <w:p w14:paraId="4AC2289C" w14:textId="77777777" w:rsidR="00382407" w:rsidRPr="00154B00" w:rsidRDefault="00382407" w:rsidP="00530204">
      <w:pPr>
        <w:pStyle w:val="Heading2"/>
      </w:pPr>
      <w:r w:rsidRPr="00154B00">
        <w:t>How many years would the proposed medical service</w:t>
      </w:r>
      <w:r w:rsidR="00FC1607">
        <w:t>/technology</w:t>
      </w:r>
      <w:r w:rsidRPr="00154B00">
        <w:t xml:space="preserve"> be required for the patient?</w:t>
      </w:r>
    </w:p>
    <w:p w14:paraId="568E42C0" w14:textId="49E8DFFA" w:rsidR="00BB1BCC" w:rsidRDefault="001931DA" w:rsidP="005B6ACA">
      <w:pPr>
        <w:ind w:left="426"/>
      </w:pPr>
      <w:r>
        <w:t xml:space="preserve">While </w:t>
      </w:r>
      <w:r w:rsidR="006901FF">
        <w:t>DBS</w:t>
      </w:r>
      <w:r>
        <w:t xml:space="preserve"> surgery is lifelong surgery, </w:t>
      </w:r>
      <w:r w:rsidR="008620AB">
        <w:t>new</w:t>
      </w:r>
      <w:r w:rsidR="0019075E">
        <w:t xml:space="preserve"> </w:t>
      </w:r>
      <w:r w:rsidR="006901FF">
        <w:t>DBS</w:t>
      </w:r>
      <w:r w:rsidR="0019075E">
        <w:t xml:space="preserve"> device</w:t>
      </w:r>
      <w:r w:rsidR="003353EE">
        <w:t xml:space="preserve"> components</w:t>
      </w:r>
      <w:r w:rsidR="0019075E">
        <w:t xml:space="preserve"> </w:t>
      </w:r>
      <w:r w:rsidR="00486F33">
        <w:t>may</w:t>
      </w:r>
      <w:r w:rsidR="0019075E">
        <w:t xml:space="preserve"> </w:t>
      </w:r>
      <w:r w:rsidR="008620AB">
        <w:t xml:space="preserve">be </w:t>
      </w:r>
      <w:r w:rsidR="0019075E">
        <w:t xml:space="preserve">required </w:t>
      </w:r>
      <w:r w:rsidR="00D21199">
        <w:t xml:space="preserve">over </w:t>
      </w:r>
      <w:r w:rsidR="00A71900">
        <w:t>a patient’s lifetime</w:t>
      </w:r>
      <w:r w:rsidR="0019075E">
        <w:t xml:space="preserve"> where therapy is successful</w:t>
      </w:r>
      <w:r w:rsidR="00002D7E">
        <w:t>. T</w:t>
      </w:r>
      <w:r w:rsidR="00E00604">
        <w:t xml:space="preserve">he </w:t>
      </w:r>
      <w:r w:rsidR="00333562">
        <w:t xml:space="preserve">time interval for </w:t>
      </w:r>
      <w:r>
        <w:t>revision surgery</w:t>
      </w:r>
      <w:r w:rsidR="00333562">
        <w:t xml:space="preserve"> will vary amongst patients. </w:t>
      </w:r>
      <w:r w:rsidR="00BB1BCC">
        <w:t xml:space="preserve">A </w:t>
      </w:r>
      <w:r w:rsidR="008620AB">
        <w:t>major determinant for the frequency of repeat procedures will be the</w:t>
      </w:r>
      <w:r w:rsidR="00333562">
        <w:t xml:space="preserve"> battery life of the </w:t>
      </w:r>
      <w:r w:rsidR="00333562" w:rsidRPr="006B2399">
        <w:t xml:space="preserve">neurostimulator </w:t>
      </w:r>
      <w:r w:rsidR="008620AB">
        <w:t xml:space="preserve">device </w:t>
      </w:r>
      <w:r w:rsidR="00333562" w:rsidRPr="006B2399">
        <w:t>implanted</w:t>
      </w:r>
      <w:r w:rsidR="00333562">
        <w:t xml:space="preserve">. </w:t>
      </w:r>
      <w:r w:rsidR="00BB1BCC">
        <w:t>The neurostimulator box may need to be changed on average every five years</w:t>
      </w:r>
      <w:r w:rsidR="005B6ACA" w:rsidRPr="008E12BE">
        <w:t xml:space="preserve">, or less often, depending on the type of device used </w:t>
      </w:r>
      <w:r w:rsidR="00740463" w:rsidRPr="008E12BE">
        <w:t>a</w:t>
      </w:r>
      <w:r w:rsidR="005B6ACA" w:rsidRPr="008E12BE">
        <w:t>nd how often the device is used by the individual.</w:t>
      </w:r>
      <w:r w:rsidR="005B6ACA" w:rsidRPr="00002D7E">
        <w:t xml:space="preserve"> </w:t>
      </w:r>
      <w:r w:rsidR="008F5134">
        <w:t xml:space="preserve"> </w:t>
      </w:r>
    </w:p>
    <w:p w14:paraId="279C7F2F" w14:textId="3C32324B" w:rsidR="00E27FBA" w:rsidRDefault="003353EE" w:rsidP="00215CBB">
      <w:pPr>
        <w:ind w:left="426"/>
      </w:pPr>
      <w:r>
        <w:t xml:space="preserve">For </w:t>
      </w:r>
      <w:r w:rsidR="00486F33">
        <w:t>example,</w:t>
      </w:r>
      <w:r>
        <w:t xml:space="preserve"> in</w:t>
      </w:r>
      <w:r w:rsidR="00002D7E">
        <w:t xml:space="preserve"> </w:t>
      </w:r>
      <w:r w:rsidR="00486F33">
        <w:t xml:space="preserve">DBS for </w:t>
      </w:r>
      <w:r w:rsidR="0019075E" w:rsidRPr="00581D22">
        <w:t>Parkinson’s disease</w:t>
      </w:r>
      <w:r w:rsidR="00740463">
        <w:t xml:space="preserve"> (PD)</w:t>
      </w:r>
      <w:r w:rsidR="00486F33">
        <w:t xml:space="preserve">, </w:t>
      </w:r>
      <w:r w:rsidR="00002D7E">
        <w:t>the</w:t>
      </w:r>
      <w:r w:rsidR="0019075E" w:rsidRPr="00581D22">
        <w:t xml:space="preserve"> frequency of device replacement is dependent on the model of </w:t>
      </w:r>
      <w:r w:rsidR="00D21199" w:rsidRPr="00581D22">
        <w:t>neurostimulato</w:t>
      </w:r>
      <w:r w:rsidR="005B6ACA">
        <w:t>r</w:t>
      </w:r>
      <w:r w:rsidR="00D21199" w:rsidRPr="00581D22">
        <w:t>,</w:t>
      </w:r>
      <w:r w:rsidR="0019075E" w:rsidRPr="00581D22">
        <w:t xml:space="preserve"> </w:t>
      </w:r>
      <w:r w:rsidR="00581D22">
        <w:t>and</w:t>
      </w:r>
      <w:r w:rsidR="0019075E" w:rsidRPr="00581D22">
        <w:t xml:space="preserve"> the program settings</w:t>
      </w:r>
      <w:r w:rsidR="00581D22">
        <w:t xml:space="preserve"> used</w:t>
      </w:r>
      <w:r w:rsidR="0019075E" w:rsidRPr="00581D22">
        <w:t xml:space="preserve">. </w:t>
      </w:r>
      <w:r w:rsidR="00486F33">
        <w:t>T</w:t>
      </w:r>
      <w:r w:rsidR="00E00604">
        <w:t>he</w:t>
      </w:r>
      <w:r w:rsidR="00333562" w:rsidRPr="00581D22">
        <w:t xml:space="preserve"> </w:t>
      </w:r>
      <w:r w:rsidR="0019075E" w:rsidRPr="00581D22">
        <w:t xml:space="preserve">PerceptTM PC neurostimulator </w:t>
      </w:r>
      <w:r w:rsidR="00486F33">
        <w:t xml:space="preserve">battery </w:t>
      </w:r>
      <w:r w:rsidR="0019075E" w:rsidRPr="00581D22">
        <w:t xml:space="preserve">lasts over </w:t>
      </w:r>
      <w:r w:rsidR="00E27FBA">
        <w:t xml:space="preserve">3 to </w:t>
      </w:r>
      <w:r w:rsidR="0019075E" w:rsidRPr="00581D22">
        <w:t>5 years on average</w:t>
      </w:r>
      <w:r w:rsidR="005B3B96">
        <w:t>.</w:t>
      </w:r>
      <w:r w:rsidR="00002D7E">
        <w:t xml:space="preserve"> </w:t>
      </w:r>
    </w:p>
    <w:p w14:paraId="39BAF783" w14:textId="6DB7A433" w:rsidR="0019075E" w:rsidRDefault="00215CBB" w:rsidP="00215CBB">
      <w:pPr>
        <w:ind w:left="426"/>
      </w:pPr>
      <w:r>
        <w:t xml:space="preserve">Electrode lead revision surgery in the context of Parkinson’s DBS is around 10% of cases in Australia. </w:t>
      </w:r>
      <w:r w:rsidR="00740463">
        <w:t>An</w:t>
      </w:r>
      <w:r w:rsidR="00740463" w:rsidRPr="00740463">
        <w:t xml:space="preserve"> Australian cross-sectional, population-based study</w:t>
      </w:r>
      <w:r w:rsidR="00740463">
        <w:t xml:space="preserve"> assessed </w:t>
      </w:r>
      <w:r w:rsidR="00740463" w:rsidRPr="00740463">
        <w:t xml:space="preserve">data from the Australian </w:t>
      </w:r>
      <w:r w:rsidR="00740463">
        <w:t>G</w:t>
      </w:r>
      <w:r w:rsidR="00740463" w:rsidRPr="00740463">
        <w:t xml:space="preserve">overnment covering a 15-year period (2002-2016) </w:t>
      </w:r>
      <w:r w:rsidR="000456D3">
        <w:t>for</w:t>
      </w:r>
      <w:r w:rsidR="00740463" w:rsidRPr="00740463">
        <w:t xml:space="preserve"> 1849 patients with PD follow</w:t>
      </w:r>
      <w:r w:rsidR="000456D3">
        <w:t>ing</w:t>
      </w:r>
      <w:r w:rsidR="00740463" w:rsidRPr="00740463">
        <w:t xml:space="preserve"> DBS implantation.</w:t>
      </w:r>
      <w:r w:rsidR="000456D3">
        <w:t xml:space="preserve"> A</w:t>
      </w:r>
      <w:r w:rsidR="00740463" w:rsidRPr="00740463">
        <w:t xml:space="preserve">nnual programming rates </w:t>
      </w:r>
      <w:r w:rsidR="00740463">
        <w:t>of</w:t>
      </w:r>
      <w:r w:rsidR="00740463" w:rsidRPr="00740463">
        <w:t xml:space="preserve"> 6.9 in the first year</w:t>
      </w:r>
      <w:r w:rsidR="00143843">
        <w:t>,</w:t>
      </w:r>
      <w:r w:rsidR="00740463" w:rsidRPr="00740463">
        <w:t xml:space="preserve"> and 2.8 in subsequent years</w:t>
      </w:r>
      <w:r w:rsidR="00143843">
        <w:t>,</w:t>
      </w:r>
      <w:r w:rsidR="00740463">
        <w:t xml:space="preserve"> </w:t>
      </w:r>
      <w:r w:rsidR="000456D3">
        <w:t>were reported in this cohort</w:t>
      </w:r>
      <w:r w:rsidR="00740463">
        <w:t xml:space="preserve"> </w:t>
      </w:r>
      <w:r w:rsidR="000456D3">
        <w:t>(Xu et al. 2021).</w:t>
      </w:r>
    </w:p>
    <w:p w14:paraId="74151499" w14:textId="3690BA39" w:rsidR="00333562" w:rsidRDefault="00486F33" w:rsidP="003353EE">
      <w:pPr>
        <w:ind w:left="426"/>
      </w:pPr>
      <w:r>
        <w:t xml:space="preserve">Device performance and battery life are important considerations. </w:t>
      </w:r>
      <w:r w:rsidR="006901FF">
        <w:t>DBS</w:t>
      </w:r>
      <w:r w:rsidR="003353EE" w:rsidRPr="0037244E">
        <w:t xml:space="preserve"> device performance, including the battery level, is assessed at each medical review by the person’s doctor. Patients can also check battery performance using their patient programme</w:t>
      </w:r>
      <w:r w:rsidR="00143843">
        <w:t>r</w:t>
      </w:r>
      <w:r w:rsidR="003353EE">
        <w:t xml:space="preserve"> at any time and are instruct</w:t>
      </w:r>
      <w:r w:rsidR="00143843">
        <w:t>ed</w:t>
      </w:r>
      <w:r w:rsidR="003353EE">
        <w:t xml:space="preserve"> to contact their doctor if they stop receiving symptom relief. Patients are </w:t>
      </w:r>
      <w:r w:rsidR="003353EE" w:rsidRPr="0037244E">
        <w:t>advised to plan to have their device replaced, rather than waiting for their battery to run out</w:t>
      </w:r>
      <w:r w:rsidR="003353EE">
        <w:t xml:space="preserve"> (Medtronic United Kingdom)</w:t>
      </w:r>
      <w:r w:rsidR="003353EE" w:rsidRPr="0037244E">
        <w:t>.</w:t>
      </w:r>
    </w:p>
    <w:p w14:paraId="3B971449" w14:textId="77777777" w:rsidR="00215CBB" w:rsidRDefault="00215CBB" w:rsidP="003353EE">
      <w:pPr>
        <w:ind w:left="426"/>
      </w:pPr>
    </w:p>
    <w:p w14:paraId="379F8454" w14:textId="667EC4E2" w:rsidR="005B3B96" w:rsidRPr="00317F2F" w:rsidRDefault="005B3B96" w:rsidP="00CE17F9">
      <w:pPr>
        <w:ind w:left="426"/>
        <w:rPr>
          <w:b/>
          <w:bCs/>
          <w:i/>
          <w:iCs/>
        </w:rPr>
      </w:pPr>
      <w:r w:rsidRPr="00317F2F">
        <w:rPr>
          <w:b/>
          <w:bCs/>
          <w:i/>
          <w:iCs/>
        </w:rPr>
        <w:lastRenderedPageBreak/>
        <w:t xml:space="preserve">References </w:t>
      </w:r>
      <w:r w:rsidR="00215CBB" w:rsidRPr="00317F2F">
        <w:rPr>
          <w:b/>
          <w:bCs/>
          <w:i/>
          <w:iCs/>
        </w:rPr>
        <w:t>Cited</w:t>
      </w:r>
    </w:p>
    <w:p w14:paraId="6C384374" w14:textId="66EE33E9" w:rsidR="00333562" w:rsidRDefault="005B3B96" w:rsidP="0019075E">
      <w:pPr>
        <w:ind w:left="426"/>
      </w:pPr>
      <w:r>
        <w:t>Medtronic United Kingdom. Replacing your device. DBS for Parkinson’s disease. [Last updated information not provided] [Accessed 25 August 2021]</w:t>
      </w:r>
    </w:p>
    <w:p w14:paraId="709221E5" w14:textId="5274C380" w:rsidR="00E21ADC" w:rsidRPr="0037244E" w:rsidRDefault="000456D3" w:rsidP="00317F2F">
      <w:pPr>
        <w:ind w:left="426"/>
      </w:pPr>
      <w:r>
        <w:t xml:space="preserve">Xu SS, Malpas CB, Bullus KJ, McDermott HJ et al. Lesser-Known Aspects of Deep Brain Stimulation for Parkinson's Disease: Programming Sessions, Hardware Surgeries, Residential Care Admissions, and Deaths. Neuromodulation. </w:t>
      </w:r>
      <w:r w:rsidR="00E21ADC">
        <w:t xml:space="preserve">2021; Jun 10. doi: 10.1111/ner.13466. Online ahead of print. </w:t>
      </w:r>
    </w:p>
    <w:p w14:paraId="3BDBB65F"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6611F76A" w14:textId="1C72BE72" w:rsidR="00E21ADC" w:rsidRPr="00233588" w:rsidRDefault="005B6ACA" w:rsidP="00233588">
      <w:pPr>
        <w:ind w:left="426"/>
      </w:pPr>
      <w:r>
        <w:t xml:space="preserve">It is estimated that approximately </w:t>
      </w:r>
      <w:r w:rsidR="00414436" w:rsidRPr="008F20DD">
        <w:rPr>
          <w:b/>
          <w:bCs/>
          <w:highlight w:val="lightGray"/>
        </w:rPr>
        <w:t>REDACTED</w:t>
      </w:r>
      <w:r w:rsidR="00414436">
        <w:t xml:space="preserve"> </w:t>
      </w:r>
      <w:r>
        <w:t xml:space="preserve">patients will utilise </w:t>
      </w:r>
      <w:r w:rsidR="006901FF">
        <w:t>DBS</w:t>
      </w:r>
      <w:r>
        <w:t xml:space="preserve"> in the first year.</w:t>
      </w:r>
    </w:p>
    <w:p w14:paraId="77EFD40C" w14:textId="3825015B" w:rsidR="00974D50" w:rsidRDefault="005A58BA" w:rsidP="00530204">
      <w:pPr>
        <w:pStyle w:val="Heading2"/>
      </w:pPr>
      <w:r>
        <w:t>Estimate the anticipated upt</w:t>
      </w:r>
      <w:r w:rsidR="000E47E7" w:rsidRPr="00154B00">
        <w:t>a</w:t>
      </w:r>
      <w:r w:rsidR="001B171D" w:rsidRPr="00154B00">
        <w:t>k</w:t>
      </w:r>
      <w:r w:rsidR="000E47E7" w:rsidRPr="00154B00">
        <w:t>e of the proposed medical service</w:t>
      </w:r>
      <w:r w:rsidR="00785937">
        <w:t>/technology</w:t>
      </w:r>
      <w:r w:rsidR="000E47E7" w:rsidRPr="00154B00">
        <w:t xml:space="preserve"> over the next three years</w:t>
      </w:r>
      <w:r w:rsidR="005272F8">
        <w:t>,</w:t>
      </w:r>
      <w:r w:rsidR="001B171D" w:rsidRPr="00154B00">
        <w:t xml:space="preserve"> factoring in any constraints in the health system</w:t>
      </w:r>
      <w:r w:rsidR="005272F8">
        <w:t xml:space="preserve"> </w:t>
      </w:r>
      <w:r w:rsidR="001B171D" w:rsidRPr="00154B00">
        <w:t>in meeting the needs of the proposed population (suc</w:t>
      </w:r>
      <w:r>
        <w:t>h as supply and demand factors)</w:t>
      </w:r>
      <w:r w:rsidR="005272F8">
        <w:t>,</w:t>
      </w:r>
      <w:r w:rsidR="001B171D" w:rsidRPr="00154B00">
        <w:t xml:space="preserve"> as well as </w:t>
      </w:r>
      <w:r w:rsidR="009C03FB" w:rsidRPr="00154B00">
        <w:t>provide commentary on</w:t>
      </w:r>
      <w:r w:rsidR="001B171D" w:rsidRPr="00154B00">
        <w:t xml:space="preserve"> risk of ‘leakage’ to populations not targeted by the service</w:t>
      </w:r>
      <w:r w:rsidR="005272F8">
        <w:t>.</w:t>
      </w:r>
    </w:p>
    <w:p w14:paraId="7C691196" w14:textId="799AA9DC" w:rsidR="00491D22" w:rsidRPr="00D54C06" w:rsidRDefault="00491D22" w:rsidP="004B3D5A">
      <w:pPr>
        <w:ind w:left="360"/>
      </w:pPr>
      <w:r w:rsidRPr="00D54C06">
        <w:t xml:space="preserve">It is estimated that </w:t>
      </w:r>
      <w:r w:rsidR="006901FF" w:rsidRPr="00D54C06">
        <w:t>DBS</w:t>
      </w:r>
      <w:r w:rsidRPr="00D54C06">
        <w:t xml:space="preserve"> uptake will increase by approximately </w:t>
      </w:r>
      <w:r w:rsidR="00414436" w:rsidRPr="008F20DD">
        <w:rPr>
          <w:b/>
          <w:bCs/>
          <w:highlight w:val="lightGray"/>
        </w:rPr>
        <w:t>REDACTED</w:t>
      </w:r>
      <w:r w:rsidR="00414436" w:rsidRPr="00D54C06">
        <w:t xml:space="preserve"> </w:t>
      </w:r>
      <w:r w:rsidRPr="00D54C06">
        <w:t xml:space="preserve">per year, until a steady state is reached. </w:t>
      </w:r>
      <w:r w:rsidR="00C90E1A" w:rsidRPr="00D54C06">
        <w:t>The</w:t>
      </w:r>
      <w:r w:rsidRPr="00D54C06">
        <w:t xml:space="preserve"> demand for </w:t>
      </w:r>
      <w:r w:rsidR="006901FF" w:rsidRPr="00D54C06">
        <w:t>DBS</w:t>
      </w:r>
      <w:r w:rsidRPr="00D54C06">
        <w:t xml:space="preserve"> surgery is expected</w:t>
      </w:r>
      <w:r w:rsidR="00C90E1A" w:rsidRPr="00D54C06">
        <w:t xml:space="preserve"> </w:t>
      </w:r>
      <w:r w:rsidR="00926CC4" w:rsidRPr="00D54C06">
        <w:t xml:space="preserve">to </w:t>
      </w:r>
      <w:r w:rsidR="00C90E1A" w:rsidRPr="00D54C06">
        <w:t>plateau</w:t>
      </w:r>
      <w:r w:rsidRPr="00D54C06">
        <w:t xml:space="preserve"> </w:t>
      </w:r>
      <w:r w:rsidR="00A17D07">
        <w:t xml:space="preserve">at </w:t>
      </w:r>
      <w:r w:rsidRPr="00D54C06">
        <w:t>three to five</w:t>
      </w:r>
      <w:r w:rsidR="00C90E1A" w:rsidRPr="00D54C06">
        <w:t xml:space="preserve"> years</w:t>
      </w:r>
      <w:r w:rsidRPr="00D54C06">
        <w:t xml:space="preserve">, </w:t>
      </w:r>
      <w:r w:rsidR="00C90E1A" w:rsidRPr="00D54C06">
        <w:t>following</w:t>
      </w:r>
      <w:r w:rsidRPr="00D54C06">
        <w:t xml:space="preserve"> availability</w:t>
      </w:r>
      <w:r w:rsidR="00061135" w:rsidRPr="00D54C06">
        <w:t xml:space="preserve"> of the surgery on the MBS.</w:t>
      </w:r>
    </w:p>
    <w:p w14:paraId="5A835A56" w14:textId="3D6327E2" w:rsidR="00491D22" w:rsidRPr="00D54C06" w:rsidRDefault="00491D22" w:rsidP="00D54C06">
      <w:pPr>
        <w:ind w:left="360"/>
      </w:pPr>
      <w:r w:rsidRPr="00D54C06">
        <w:t xml:space="preserve">Potential barriers to uptake of </w:t>
      </w:r>
      <w:r w:rsidR="006901FF" w:rsidRPr="00D54C06">
        <w:t>DBS</w:t>
      </w:r>
      <w:r w:rsidRPr="00D54C06">
        <w:t xml:space="preserve"> include access</w:t>
      </w:r>
      <w:r w:rsidR="00C90E1A" w:rsidRPr="00D54C06">
        <w:t>/</w:t>
      </w:r>
      <w:r w:rsidRPr="00D54C06">
        <w:t>referral to a Comprehensive Epilepsy</w:t>
      </w:r>
      <w:r w:rsidR="00886FDB" w:rsidRPr="00D54C06">
        <w:t xml:space="preserve"> Program</w:t>
      </w:r>
      <w:r w:rsidRPr="00D54C06">
        <w:t xml:space="preserve"> for evaluation of suspected medical refractory epilepsy. Other barriers include access to hospital beds in the public hospital system and access to</w:t>
      </w:r>
      <w:r w:rsidR="00EB7D62" w:rsidRPr="00D54C06">
        <w:t xml:space="preserve">, and </w:t>
      </w:r>
      <w:r w:rsidRPr="00D54C06">
        <w:t>availability of</w:t>
      </w:r>
      <w:r w:rsidR="00EB7D62" w:rsidRPr="00D54C06">
        <w:t>,</w:t>
      </w:r>
      <w:r w:rsidRPr="00D54C06">
        <w:t xml:space="preserve"> the device and components to enable surgery</w:t>
      </w:r>
      <w:r w:rsidR="00EB7D62" w:rsidRPr="00D54C06">
        <w:t xml:space="preserve"> in the public hospital system</w:t>
      </w:r>
      <w:r w:rsidRPr="00D54C06">
        <w:t>.</w:t>
      </w:r>
      <w:r w:rsidR="00505C51" w:rsidRPr="00D54C06">
        <w:t xml:space="preserve"> Medical workforce would be a significant limiting factor, with a small number of specialist neurosurgeons adequately trained to insert a DBS device, and an equally small number of epilepsy neurologists with sufficient experience in neuromodulation. </w:t>
      </w:r>
    </w:p>
    <w:p w14:paraId="40399DFF" w14:textId="461B95C2" w:rsidR="00AE6812" w:rsidRDefault="00CB2340" w:rsidP="00D54C06">
      <w:pPr>
        <w:ind w:left="360"/>
      </w:pPr>
      <w:r>
        <w:t xml:space="preserve">‘Leakage’ of </w:t>
      </w:r>
      <w:r w:rsidR="00EF32A8">
        <w:t>DBS</w:t>
      </w:r>
      <w:r>
        <w:t xml:space="preserve"> to other patient populations is not anticipated</w:t>
      </w:r>
      <w:r w:rsidR="00CD5AE6">
        <w:t>, as s</w:t>
      </w:r>
      <w:r w:rsidR="009308A8">
        <w:t xml:space="preserve">everal </w:t>
      </w:r>
      <w:r w:rsidR="00AE6812">
        <w:t>M</w:t>
      </w:r>
      <w:r>
        <w:t xml:space="preserve">BS items already exist for conditions where </w:t>
      </w:r>
      <w:r w:rsidR="00EF32A8">
        <w:t>DBS</w:t>
      </w:r>
      <w:r w:rsidR="007C567D">
        <w:t xml:space="preserve"> is widely accepted to have</w:t>
      </w:r>
      <w:r>
        <w:t xml:space="preserve"> proven benefits. </w:t>
      </w:r>
      <w:r w:rsidR="00CD5AE6">
        <w:t>This includes</w:t>
      </w:r>
      <w:r>
        <w:t xml:space="preserve"> </w:t>
      </w:r>
      <w:r w:rsidR="007762E4">
        <w:t xml:space="preserve">current MBS listings for </w:t>
      </w:r>
      <w:r w:rsidR="00EF32A8">
        <w:t>DBS</w:t>
      </w:r>
      <w:r w:rsidR="007762E4">
        <w:t xml:space="preserve"> </w:t>
      </w:r>
      <w:r w:rsidR="00CD5AE6">
        <w:t>in</w:t>
      </w:r>
      <w:r w:rsidR="007762E4">
        <w:t xml:space="preserve"> </w:t>
      </w:r>
      <w:r>
        <w:t>Parkinson's disease</w:t>
      </w:r>
      <w:r w:rsidR="003353EE">
        <w:t xml:space="preserve">, </w:t>
      </w:r>
      <w:r>
        <w:t>where the patient's response to medical therapy is not sustained and is accompanied by unacceptable motor fluctuations</w:t>
      </w:r>
      <w:r w:rsidR="00CD5AE6">
        <w:t xml:space="preserve">, as well as in </w:t>
      </w:r>
      <w:r w:rsidR="00AE6812">
        <w:t>e</w:t>
      </w:r>
      <w:r>
        <w:t>ssential tremor or dystonia where the patient's symptoms cause severe disability</w:t>
      </w:r>
      <w:r w:rsidR="00AE6812">
        <w:t xml:space="preserve">. </w:t>
      </w:r>
      <w:r w:rsidR="00DF5FCB">
        <w:t>‘Leakage’ to other population groups is unlikely, as t</w:t>
      </w:r>
      <w:r w:rsidR="002D7E4E">
        <w:t xml:space="preserve">here is a paucity of evidence to support </w:t>
      </w:r>
      <w:r w:rsidR="001A6E3C">
        <w:t xml:space="preserve">DBS </w:t>
      </w:r>
      <w:r w:rsidR="002D7E4E">
        <w:t xml:space="preserve">in </w:t>
      </w:r>
      <w:r w:rsidR="00CD5AE6">
        <w:t>non-research settings</w:t>
      </w:r>
      <w:r w:rsidR="0061255E">
        <w:t xml:space="preserve">. For </w:t>
      </w:r>
      <w:r w:rsidR="002D7E4E">
        <w:t>example</w:t>
      </w:r>
      <w:r w:rsidR="0061255E">
        <w:t>,</w:t>
      </w:r>
      <w:r w:rsidR="002D7E4E">
        <w:t xml:space="preserve"> </w:t>
      </w:r>
      <w:r w:rsidR="00EF32A8">
        <w:t>DBS</w:t>
      </w:r>
      <w:r w:rsidR="002D7E4E">
        <w:t xml:space="preserve"> </w:t>
      </w:r>
      <w:r w:rsidR="00DF5FCB">
        <w:t xml:space="preserve">has not received </w:t>
      </w:r>
      <w:r w:rsidR="00DC34CD">
        <w:t xml:space="preserve">FDA </w:t>
      </w:r>
      <w:r w:rsidR="00DF5FCB">
        <w:t xml:space="preserve">regulatory approval </w:t>
      </w:r>
      <w:r w:rsidR="002D7E4E">
        <w:t>for use in depression</w:t>
      </w:r>
      <w:r w:rsidR="00A6763C">
        <w:t xml:space="preserve">, </w:t>
      </w:r>
      <w:r w:rsidR="002D7E4E">
        <w:t>bipolar disorder</w:t>
      </w:r>
      <w:r w:rsidR="00A6763C">
        <w:t xml:space="preserve"> or</w:t>
      </w:r>
      <w:r w:rsidR="00A6763C" w:rsidRPr="00A6763C">
        <w:t xml:space="preserve"> for treating Tourette</w:t>
      </w:r>
      <w:r w:rsidR="003353EE">
        <w:t xml:space="preserve"> in the United States</w:t>
      </w:r>
      <w:r w:rsidR="00CD5AE6">
        <w:t xml:space="preserve">. </w:t>
      </w:r>
    </w:p>
    <w:p w14:paraId="05155EAC" w14:textId="77777777" w:rsidR="003433D1" w:rsidRDefault="003433D1">
      <w:pPr>
        <w:rPr>
          <w:b/>
          <w:sz w:val="32"/>
          <w:szCs w:val="32"/>
        </w:rPr>
      </w:pPr>
      <w:r>
        <w:rPr>
          <w:b/>
          <w:sz w:val="32"/>
          <w:szCs w:val="32"/>
        </w:rPr>
        <w:br w:type="page"/>
      </w:r>
    </w:p>
    <w:p w14:paraId="1FDD9C24"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658C7FFB" w14:textId="42BBD1DD" w:rsidR="002F43A1" w:rsidRDefault="006A649A" w:rsidP="002F43A1">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6E706A65" w14:textId="7BEE2AD6" w:rsidR="001E2881" w:rsidRPr="0086495D" w:rsidRDefault="00112408" w:rsidP="001E2881">
      <w:pPr>
        <w:ind w:left="426"/>
        <w:rPr>
          <w:b/>
          <w:bCs/>
          <w:color w:val="FF0000"/>
        </w:rPr>
      </w:pPr>
      <w:r>
        <w:t xml:space="preserve">The likely </w:t>
      </w:r>
      <w:r w:rsidR="00A17D07">
        <w:t xml:space="preserve">cost of providing the medical service </w:t>
      </w:r>
      <w:r>
        <w:t xml:space="preserve">will be made up of the fee for surgical implantation of the device and leads and the inpatient hospital admission costs. </w:t>
      </w:r>
      <w:r w:rsidR="001E2881">
        <w:t xml:space="preserve">A funding stream will also be required for </w:t>
      </w:r>
      <w:r>
        <w:t>the purchase of the neurostimulator device and associated components</w:t>
      </w:r>
      <w:r w:rsidR="00F14326">
        <w:t>, including the leads and the patient handheld controlling device.</w:t>
      </w:r>
      <w:r w:rsidR="001E2881">
        <w:t xml:space="preserve"> The breakdown of MBS fees is described in terms of neurosurgery</w:t>
      </w:r>
      <w:r w:rsidR="0086495D">
        <w:t xml:space="preserve"> and </w:t>
      </w:r>
      <w:r w:rsidR="001E2881">
        <w:t xml:space="preserve">neurology components for implantation of the device.  The MBS items supporting </w:t>
      </w:r>
      <w:r w:rsidR="00EF32A8">
        <w:t>DBS</w:t>
      </w:r>
      <w:r w:rsidR="001E2881">
        <w:t xml:space="preserve"> for epilepsy would be restricted for use by neurosurgeons. </w:t>
      </w:r>
      <w:r w:rsidR="0086495D">
        <w:t xml:space="preserve"> </w:t>
      </w:r>
    </w:p>
    <w:p w14:paraId="15D21434" w14:textId="43BFFC27" w:rsidR="007C567D" w:rsidRDefault="001E2881" w:rsidP="004B122E">
      <w:pPr>
        <w:ind w:left="426"/>
      </w:pPr>
      <w:r>
        <w:t xml:space="preserve">An overall breakdown of delivery of </w:t>
      </w:r>
      <w:r w:rsidR="00EF32A8">
        <w:t>DBS</w:t>
      </w:r>
      <w:r>
        <w:t xml:space="preserve"> is presented in </w:t>
      </w:r>
      <w:r w:rsidR="004B122E">
        <w:t>the table below:</w:t>
      </w:r>
    </w:p>
    <w:p w14:paraId="37394CD8" w14:textId="77777777" w:rsidR="00DE0D86" w:rsidRDefault="00DE0D86" w:rsidP="004B122E">
      <w:pPr>
        <w:ind w:left="426"/>
      </w:pPr>
    </w:p>
    <w:p w14:paraId="6231EA66" w14:textId="5BAAD526" w:rsidR="008341A5" w:rsidRPr="004B122E" w:rsidRDefault="001E2881" w:rsidP="00317F2F">
      <w:pPr>
        <w:rPr>
          <w:b/>
          <w:bCs/>
          <w:color w:val="FF0000"/>
        </w:rPr>
      </w:pPr>
      <w:r w:rsidRPr="004B122E">
        <w:rPr>
          <w:b/>
          <w:bCs/>
        </w:rPr>
        <w:t>Table</w:t>
      </w:r>
      <w:r w:rsidR="004B122E" w:rsidRPr="004B122E">
        <w:rPr>
          <w:b/>
          <w:bCs/>
        </w:rPr>
        <w:t xml:space="preserve"> </w:t>
      </w:r>
      <w:r w:rsidR="008341A5" w:rsidRPr="004B122E">
        <w:rPr>
          <w:b/>
          <w:bCs/>
        </w:rPr>
        <w:t xml:space="preserve">Approximate Cost Profile of </w:t>
      </w:r>
      <w:r w:rsidR="00EF32A8" w:rsidRPr="004B122E">
        <w:rPr>
          <w:b/>
          <w:bCs/>
        </w:rPr>
        <w:t>DBS</w:t>
      </w:r>
      <w:r w:rsidR="008341A5" w:rsidRPr="004B122E">
        <w:rPr>
          <w:b/>
          <w:bCs/>
        </w:rPr>
        <w:t xml:space="preserve"> for Epilepsy</w:t>
      </w:r>
    </w:p>
    <w:tbl>
      <w:tblPr>
        <w:tblStyle w:val="TableGrid"/>
        <w:tblW w:w="0" w:type="auto"/>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7"/>
        <w:gridCol w:w="3828"/>
        <w:gridCol w:w="2358"/>
      </w:tblGrid>
      <w:tr w:rsidR="008341A5" w:rsidRPr="008341A5" w14:paraId="0E6885B9" w14:textId="77777777" w:rsidTr="00634772">
        <w:tc>
          <w:tcPr>
            <w:tcW w:w="2977" w:type="dxa"/>
            <w:shd w:val="clear" w:color="auto" w:fill="D9D9D9" w:themeFill="background1" w:themeFillShade="D9"/>
          </w:tcPr>
          <w:p w14:paraId="584E257A" w14:textId="7970DB72" w:rsidR="008341A5" w:rsidRPr="008341A5" w:rsidRDefault="008341A5" w:rsidP="00AE1188">
            <w:pPr>
              <w:rPr>
                <w:b/>
                <w:bCs/>
              </w:rPr>
            </w:pPr>
            <w:r>
              <w:rPr>
                <w:b/>
                <w:bCs/>
              </w:rPr>
              <w:t xml:space="preserve">Item </w:t>
            </w:r>
            <w:r w:rsidRPr="008341A5">
              <w:rPr>
                <w:b/>
                <w:bCs/>
              </w:rPr>
              <w:t xml:space="preserve">  </w:t>
            </w:r>
          </w:p>
        </w:tc>
        <w:tc>
          <w:tcPr>
            <w:tcW w:w="3828" w:type="dxa"/>
            <w:shd w:val="clear" w:color="auto" w:fill="D9D9D9" w:themeFill="background1" w:themeFillShade="D9"/>
          </w:tcPr>
          <w:p w14:paraId="4900AA03" w14:textId="550EA4C3" w:rsidR="008341A5" w:rsidRPr="008341A5" w:rsidRDefault="008341A5" w:rsidP="00AE1188">
            <w:pPr>
              <w:rPr>
                <w:b/>
                <w:bCs/>
              </w:rPr>
            </w:pPr>
            <w:r w:rsidRPr="008341A5">
              <w:rPr>
                <w:b/>
                <w:bCs/>
              </w:rPr>
              <w:t xml:space="preserve">Cost </w:t>
            </w:r>
          </w:p>
        </w:tc>
        <w:tc>
          <w:tcPr>
            <w:tcW w:w="2358" w:type="dxa"/>
            <w:shd w:val="clear" w:color="auto" w:fill="D9D9D9" w:themeFill="background1" w:themeFillShade="D9"/>
          </w:tcPr>
          <w:p w14:paraId="3987161F" w14:textId="6AA89390" w:rsidR="008341A5" w:rsidRPr="008341A5" w:rsidRDefault="008341A5" w:rsidP="00AE1188">
            <w:pPr>
              <w:rPr>
                <w:b/>
                <w:bCs/>
              </w:rPr>
            </w:pPr>
            <w:r w:rsidRPr="008341A5">
              <w:rPr>
                <w:b/>
                <w:bCs/>
              </w:rPr>
              <w:t xml:space="preserve">Reference </w:t>
            </w:r>
          </w:p>
        </w:tc>
      </w:tr>
      <w:tr w:rsidR="008341A5" w14:paraId="0878A65D" w14:textId="77777777" w:rsidTr="00634772">
        <w:tc>
          <w:tcPr>
            <w:tcW w:w="2977" w:type="dxa"/>
          </w:tcPr>
          <w:p w14:paraId="5ADEB13E" w14:textId="317877F1" w:rsidR="008341A5" w:rsidRDefault="008341A5" w:rsidP="00634772">
            <w:pPr>
              <w:spacing w:before="60" w:after="60"/>
            </w:pPr>
            <w:r>
              <w:t xml:space="preserve">Neurosurgeon </w:t>
            </w:r>
          </w:p>
        </w:tc>
        <w:tc>
          <w:tcPr>
            <w:tcW w:w="3828" w:type="dxa"/>
          </w:tcPr>
          <w:p w14:paraId="2C4289B7" w14:textId="6FBDBC71" w:rsidR="008341A5" w:rsidRPr="007E41C3" w:rsidRDefault="007E41C3" w:rsidP="00634772">
            <w:pPr>
              <w:spacing w:before="60" w:after="60"/>
            </w:pPr>
            <w:r w:rsidRPr="007E41C3">
              <w:t>$4,123.60</w:t>
            </w:r>
          </w:p>
        </w:tc>
        <w:tc>
          <w:tcPr>
            <w:tcW w:w="2358" w:type="dxa"/>
          </w:tcPr>
          <w:p w14:paraId="0FAA046E" w14:textId="5DB10840" w:rsidR="008341A5" w:rsidRDefault="008341A5" w:rsidP="00634772">
            <w:pPr>
              <w:spacing w:before="60" w:after="60"/>
            </w:pPr>
            <w:r>
              <w:t>MBS item number 40851</w:t>
            </w:r>
          </w:p>
        </w:tc>
      </w:tr>
      <w:tr w:rsidR="008341A5" w14:paraId="3D149C9A" w14:textId="77777777" w:rsidTr="00634772">
        <w:tc>
          <w:tcPr>
            <w:tcW w:w="2977" w:type="dxa"/>
          </w:tcPr>
          <w:p w14:paraId="1792EC52" w14:textId="2C703C93" w:rsidR="008341A5" w:rsidRDefault="008341A5" w:rsidP="00634772">
            <w:pPr>
              <w:spacing w:before="60" w:after="60"/>
            </w:pPr>
            <w:r>
              <w:t xml:space="preserve">Neurologist </w:t>
            </w:r>
          </w:p>
        </w:tc>
        <w:tc>
          <w:tcPr>
            <w:tcW w:w="3828" w:type="dxa"/>
          </w:tcPr>
          <w:p w14:paraId="1B990194" w14:textId="77777777" w:rsidR="007E41C3" w:rsidRPr="007E41C3" w:rsidRDefault="007E41C3" w:rsidP="00634772">
            <w:pPr>
              <w:spacing w:before="60" w:after="60"/>
            </w:pPr>
            <w:r w:rsidRPr="007E41C3">
              <w:t>$2,104.65</w:t>
            </w:r>
          </w:p>
          <w:p w14:paraId="7A80B18B" w14:textId="7E6E08CF" w:rsidR="00190420" w:rsidRDefault="007E41C3" w:rsidP="00634772">
            <w:pPr>
              <w:spacing w:before="60" w:after="60"/>
            </w:pPr>
            <w:r w:rsidRPr="007E41C3">
              <w:t>$197.40</w:t>
            </w:r>
          </w:p>
        </w:tc>
        <w:tc>
          <w:tcPr>
            <w:tcW w:w="2358" w:type="dxa"/>
          </w:tcPr>
          <w:p w14:paraId="4514E904" w14:textId="77777777" w:rsidR="008341A5" w:rsidRDefault="008341A5" w:rsidP="00634772">
            <w:pPr>
              <w:spacing w:before="60" w:after="60"/>
            </w:pPr>
            <w:r>
              <w:t>MBS item number 40860</w:t>
            </w:r>
          </w:p>
          <w:p w14:paraId="362824B2" w14:textId="3D4E9EB8" w:rsidR="00190420" w:rsidRDefault="00190420" w:rsidP="00634772">
            <w:pPr>
              <w:spacing w:before="60" w:after="60"/>
            </w:pPr>
            <w:r>
              <w:t>MBS item number 40862</w:t>
            </w:r>
          </w:p>
        </w:tc>
      </w:tr>
      <w:tr w:rsidR="008341A5" w14:paraId="3A5EE9E5" w14:textId="77777777" w:rsidTr="00634772">
        <w:tc>
          <w:tcPr>
            <w:tcW w:w="2977" w:type="dxa"/>
          </w:tcPr>
          <w:p w14:paraId="3AC30BD0" w14:textId="53E74004" w:rsidR="00461BC7" w:rsidRDefault="008341A5" w:rsidP="00634772">
            <w:pPr>
              <w:spacing w:before="60" w:after="60"/>
            </w:pPr>
            <w:r>
              <w:t xml:space="preserve">Prostheses/single use consumables </w:t>
            </w:r>
          </w:p>
        </w:tc>
        <w:tc>
          <w:tcPr>
            <w:tcW w:w="3828" w:type="dxa"/>
          </w:tcPr>
          <w:p w14:paraId="67A8F32A" w14:textId="65ACE00D" w:rsidR="008341A5" w:rsidRPr="00190420" w:rsidRDefault="006A0BED" w:rsidP="00634772">
            <w:pPr>
              <w:spacing w:before="60" w:after="60"/>
            </w:pPr>
            <w:r w:rsidRPr="008F20DD">
              <w:rPr>
                <w:b/>
                <w:bCs/>
                <w:highlight w:val="lightGray"/>
              </w:rPr>
              <w:t>REDACTED</w:t>
            </w:r>
          </w:p>
        </w:tc>
        <w:tc>
          <w:tcPr>
            <w:tcW w:w="2358" w:type="dxa"/>
          </w:tcPr>
          <w:p w14:paraId="578592D5" w14:textId="698FB816" w:rsidR="008341A5" w:rsidRDefault="007601AA" w:rsidP="00634772">
            <w:pPr>
              <w:spacing w:before="60" w:after="60"/>
            </w:pPr>
            <w:r>
              <w:t>P</w:t>
            </w:r>
            <w:r w:rsidRPr="007601AA">
              <w:t>lease refer to summary table below for details</w:t>
            </w:r>
          </w:p>
        </w:tc>
      </w:tr>
      <w:tr w:rsidR="00CF39ED" w14:paraId="679377C9" w14:textId="77777777" w:rsidTr="00634772">
        <w:tc>
          <w:tcPr>
            <w:tcW w:w="2977" w:type="dxa"/>
          </w:tcPr>
          <w:p w14:paraId="4C9C27C0" w14:textId="148A40B8" w:rsidR="00CF39ED" w:rsidRDefault="00CF39ED" w:rsidP="00634772">
            <w:pPr>
              <w:spacing w:before="60" w:after="60"/>
            </w:pPr>
            <w:r>
              <w:t xml:space="preserve">Anaesthesia </w:t>
            </w:r>
          </w:p>
        </w:tc>
        <w:tc>
          <w:tcPr>
            <w:tcW w:w="3828" w:type="dxa"/>
          </w:tcPr>
          <w:p w14:paraId="1DADDE39" w14:textId="483474F7" w:rsidR="00CF39ED" w:rsidRDefault="00CF39ED" w:rsidP="00634772">
            <w:pPr>
              <w:spacing w:before="60" w:after="60"/>
            </w:pPr>
            <w:r>
              <w:t>Variable depending on individual patient needs &amp; surgical plan</w:t>
            </w:r>
          </w:p>
        </w:tc>
        <w:tc>
          <w:tcPr>
            <w:tcW w:w="2358" w:type="dxa"/>
          </w:tcPr>
          <w:p w14:paraId="3232F2A5" w14:textId="1213849E" w:rsidR="00CF39ED" w:rsidRDefault="00CF39ED" w:rsidP="00634772">
            <w:pPr>
              <w:spacing w:before="60" w:after="60"/>
            </w:pPr>
          </w:p>
        </w:tc>
      </w:tr>
      <w:tr w:rsidR="00CF39ED" w14:paraId="1FCCEE62" w14:textId="77777777" w:rsidTr="00634772">
        <w:tc>
          <w:tcPr>
            <w:tcW w:w="2977" w:type="dxa"/>
          </w:tcPr>
          <w:p w14:paraId="214D69DA" w14:textId="7AEE4CC0" w:rsidR="00CF39ED" w:rsidRDefault="00CF39ED" w:rsidP="00634772">
            <w:pPr>
              <w:spacing w:before="60" w:after="60"/>
            </w:pPr>
            <w:r>
              <w:t xml:space="preserve">Hospital admission </w:t>
            </w:r>
            <w:r w:rsidR="005B0464">
              <w:t xml:space="preserve">(including </w:t>
            </w:r>
            <w:r w:rsidR="00130A2A">
              <w:t>investigations</w:t>
            </w:r>
            <w:r w:rsidR="005B0464">
              <w:t>)</w:t>
            </w:r>
          </w:p>
        </w:tc>
        <w:tc>
          <w:tcPr>
            <w:tcW w:w="3828" w:type="dxa"/>
          </w:tcPr>
          <w:p w14:paraId="31E28DA3" w14:textId="2FF57846" w:rsidR="00CF39ED" w:rsidRDefault="004B122E" w:rsidP="00634772">
            <w:pPr>
              <w:spacing w:before="60" w:after="60"/>
            </w:pPr>
            <w:r>
              <w:t xml:space="preserve">Variable </w:t>
            </w:r>
            <w:r w:rsidR="007601AA">
              <w:t>depending on hospital (public/private)</w:t>
            </w:r>
          </w:p>
        </w:tc>
        <w:tc>
          <w:tcPr>
            <w:tcW w:w="2358" w:type="dxa"/>
          </w:tcPr>
          <w:p w14:paraId="5B607DF4" w14:textId="77777777" w:rsidR="00CF39ED" w:rsidRDefault="00CF39ED" w:rsidP="00634772">
            <w:pPr>
              <w:spacing w:before="60" w:after="60"/>
            </w:pPr>
          </w:p>
        </w:tc>
      </w:tr>
    </w:tbl>
    <w:p w14:paraId="2E27DDEE" w14:textId="5EAF5455" w:rsidR="00DF5FCB" w:rsidRDefault="00DF5FCB" w:rsidP="00AE1188">
      <w:pPr>
        <w:ind w:left="426"/>
      </w:pPr>
    </w:p>
    <w:p w14:paraId="074325A9" w14:textId="770787D8" w:rsidR="00461BC7" w:rsidRPr="004B122E" w:rsidRDefault="00461BC7" w:rsidP="00317F2F">
      <w:pPr>
        <w:rPr>
          <w:b/>
          <w:bCs/>
        </w:rPr>
      </w:pPr>
      <w:r w:rsidRPr="004B122E">
        <w:rPr>
          <w:b/>
          <w:bCs/>
        </w:rPr>
        <w:t>Summary of Prostheses/single Use Consumables</w:t>
      </w:r>
    </w:p>
    <w:tbl>
      <w:tblPr>
        <w:tblStyle w:val="TableGrid"/>
        <w:tblW w:w="9214" w:type="dxa"/>
        <w:tblInd w:w="-147" w:type="dxa"/>
        <w:tblLook w:val="04A0" w:firstRow="1" w:lastRow="0" w:firstColumn="1" w:lastColumn="0" w:noHBand="0" w:noVBand="1"/>
      </w:tblPr>
      <w:tblGrid>
        <w:gridCol w:w="1842"/>
        <w:gridCol w:w="1843"/>
        <w:gridCol w:w="1843"/>
        <w:gridCol w:w="1843"/>
        <w:gridCol w:w="1843"/>
      </w:tblGrid>
      <w:tr w:rsidR="007601AA" w:rsidRPr="00A7515F" w14:paraId="242C72C3" w14:textId="77777777" w:rsidTr="00634772">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6888E77" w14:textId="77777777" w:rsidR="00E054D1" w:rsidRPr="00A7515F" w:rsidRDefault="00E054D1" w:rsidP="00634772">
            <w:pPr>
              <w:spacing w:before="60" w:after="60"/>
              <w:rPr>
                <w:rFonts w:cstheme="minorHAnsi"/>
                <w:b/>
                <w:bCs/>
                <w:sz w:val="22"/>
              </w:rPr>
            </w:pPr>
            <w:r w:rsidRPr="00A7515F">
              <w:rPr>
                <w:rFonts w:cstheme="minorHAnsi"/>
                <w:b/>
                <w:bCs/>
                <w:sz w:val="22"/>
              </w:rPr>
              <w:t>Model No.</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CE4B71" w14:textId="77777777" w:rsidR="00E054D1" w:rsidRPr="00A7515F" w:rsidRDefault="00E054D1" w:rsidP="00634772">
            <w:pPr>
              <w:spacing w:before="60" w:after="60"/>
              <w:rPr>
                <w:rFonts w:cstheme="minorHAnsi"/>
                <w:b/>
                <w:bCs/>
                <w:sz w:val="22"/>
              </w:rPr>
            </w:pPr>
            <w:r w:rsidRPr="00A7515F">
              <w:rPr>
                <w:rFonts w:cstheme="minorHAnsi"/>
                <w:b/>
                <w:bCs/>
                <w:sz w:val="22"/>
              </w:rPr>
              <w:t>Description</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830EA38" w14:textId="77777777" w:rsidR="00E054D1" w:rsidRPr="00A7515F" w:rsidRDefault="00E054D1" w:rsidP="00634772">
            <w:pPr>
              <w:spacing w:before="60" w:after="60"/>
              <w:rPr>
                <w:rFonts w:cstheme="minorHAnsi"/>
                <w:b/>
                <w:bCs/>
                <w:sz w:val="22"/>
              </w:rPr>
            </w:pPr>
            <w:r>
              <w:rPr>
                <w:rFonts w:cstheme="minorHAnsi"/>
                <w:b/>
                <w:bCs/>
              </w:rPr>
              <w:t xml:space="preserve">Quantity </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7963AB7" w14:textId="77777777" w:rsidR="00E054D1" w:rsidRPr="00A7515F" w:rsidRDefault="00E054D1" w:rsidP="00634772">
            <w:pPr>
              <w:spacing w:before="60" w:after="60"/>
              <w:rPr>
                <w:rFonts w:cstheme="minorHAnsi"/>
                <w:b/>
                <w:bCs/>
                <w:sz w:val="22"/>
              </w:rPr>
            </w:pPr>
            <w:r w:rsidRPr="00A7515F">
              <w:rPr>
                <w:rFonts w:cstheme="minorHAnsi"/>
                <w:b/>
                <w:bCs/>
                <w:sz w:val="22"/>
              </w:rPr>
              <w:t>Unit Prices AUD</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957462F" w14:textId="77777777" w:rsidR="00E054D1" w:rsidRPr="00A7515F" w:rsidRDefault="00E054D1" w:rsidP="00634772">
            <w:pPr>
              <w:spacing w:before="60" w:after="60"/>
              <w:rPr>
                <w:rFonts w:cstheme="minorHAnsi"/>
                <w:b/>
                <w:bCs/>
                <w:sz w:val="22"/>
              </w:rPr>
            </w:pPr>
            <w:r w:rsidRPr="00A7515F">
              <w:rPr>
                <w:rFonts w:cstheme="minorHAnsi"/>
                <w:b/>
                <w:bCs/>
                <w:sz w:val="22"/>
              </w:rPr>
              <w:t>Total Price AUD</w:t>
            </w:r>
          </w:p>
        </w:tc>
      </w:tr>
      <w:tr w:rsidR="00E054D1" w:rsidRPr="00A7515F" w14:paraId="06D38C82" w14:textId="77777777" w:rsidTr="00634772">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3B55B7" w14:textId="77777777" w:rsidR="00E054D1" w:rsidRPr="00A7515F" w:rsidRDefault="00E054D1" w:rsidP="00634772">
            <w:pPr>
              <w:spacing w:before="60" w:after="60"/>
              <w:rPr>
                <w:rFonts w:cstheme="minorHAnsi"/>
                <w:sz w:val="22"/>
              </w:rPr>
            </w:pPr>
            <w:r w:rsidRPr="00A7515F">
              <w:rPr>
                <w:rFonts w:cstheme="minorHAnsi"/>
                <w:sz w:val="22"/>
              </w:rPr>
              <w:t>924256</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543421" w14:textId="5D8FF71A" w:rsidR="00E054D1" w:rsidRPr="00A7515F" w:rsidRDefault="004B122E" w:rsidP="00634772">
            <w:pPr>
              <w:spacing w:before="60" w:after="60"/>
              <w:rPr>
                <w:rFonts w:cstheme="minorHAnsi"/>
                <w:sz w:val="22"/>
              </w:rPr>
            </w:pPr>
            <w:r w:rsidRPr="00A7515F">
              <w:rPr>
                <w:rFonts w:cstheme="minorHAnsi"/>
                <w:sz w:val="22"/>
              </w:rPr>
              <w:t>StimLoc</w:t>
            </w:r>
            <w:r w:rsidR="00E054D1" w:rsidRPr="00A7515F">
              <w:rPr>
                <w:rFonts w:cstheme="minorHAnsi"/>
                <w:sz w:val="22"/>
              </w:rPr>
              <w:t xml:space="preserve"> caps</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60D058" w14:textId="080EA3B6" w:rsidR="00E054D1" w:rsidRPr="00A7515F" w:rsidRDefault="00414436" w:rsidP="00634772">
            <w:pPr>
              <w:spacing w:before="60" w:after="60"/>
              <w:jc w:val="center"/>
              <w:rPr>
                <w:rFonts w:cstheme="minorHAnsi"/>
                <w:sz w:val="22"/>
              </w:rPr>
            </w:pPr>
            <w:r w:rsidRPr="008F20DD">
              <w:rPr>
                <w:b/>
                <w:bCs/>
                <w:highlight w:val="lightGray"/>
              </w:rPr>
              <w:t>REDACTED</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25B1A3" w14:textId="1EDE1E5E" w:rsidR="00E054D1" w:rsidRPr="00A7515F" w:rsidRDefault="00414436" w:rsidP="00634772">
            <w:pPr>
              <w:spacing w:before="60" w:after="60"/>
              <w:jc w:val="center"/>
              <w:rPr>
                <w:rFonts w:cstheme="minorHAnsi"/>
                <w:sz w:val="22"/>
              </w:rPr>
            </w:pPr>
            <w:r w:rsidRPr="008F20DD">
              <w:rPr>
                <w:b/>
                <w:bCs/>
                <w:highlight w:val="lightGray"/>
              </w:rPr>
              <w:t>REDACTED</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1C82D2" w14:textId="02CEA782" w:rsidR="00E054D1" w:rsidRPr="00A7515F" w:rsidRDefault="00414436" w:rsidP="00634772">
            <w:pPr>
              <w:spacing w:before="60" w:after="60"/>
              <w:jc w:val="center"/>
              <w:rPr>
                <w:rFonts w:cstheme="minorHAnsi"/>
                <w:sz w:val="22"/>
              </w:rPr>
            </w:pPr>
            <w:r w:rsidRPr="008F20DD">
              <w:rPr>
                <w:b/>
                <w:bCs/>
                <w:highlight w:val="lightGray"/>
              </w:rPr>
              <w:t>REDACTED</w:t>
            </w:r>
          </w:p>
        </w:tc>
      </w:tr>
      <w:tr w:rsidR="00E054D1" w:rsidRPr="00A7515F" w14:paraId="3F7BE8A5" w14:textId="77777777" w:rsidTr="00634772">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C1FF03" w14:textId="77777777" w:rsidR="00E054D1" w:rsidRPr="00A7515F" w:rsidRDefault="00E054D1" w:rsidP="00634772">
            <w:pPr>
              <w:spacing w:before="60" w:after="60"/>
              <w:rPr>
                <w:rFonts w:cstheme="minorHAnsi"/>
                <w:sz w:val="22"/>
              </w:rPr>
            </w:pPr>
            <w:r w:rsidRPr="00A7515F">
              <w:rPr>
                <w:rFonts w:cstheme="minorHAnsi"/>
                <w:sz w:val="22"/>
              </w:rPr>
              <w:t>FC1020</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61013D" w14:textId="77777777" w:rsidR="00E054D1" w:rsidRPr="00A7515F" w:rsidRDefault="00E054D1" w:rsidP="00634772">
            <w:pPr>
              <w:spacing w:before="60" w:after="60"/>
              <w:rPr>
                <w:rFonts w:cstheme="minorHAnsi"/>
                <w:sz w:val="22"/>
              </w:rPr>
            </w:pPr>
            <w:r w:rsidRPr="00A7515F">
              <w:rPr>
                <w:rFonts w:cstheme="minorHAnsi"/>
                <w:sz w:val="22"/>
              </w:rPr>
              <w:t>MER Cable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795168" w14:textId="375B3E74" w:rsidR="00E054D1" w:rsidRPr="00A7515F" w:rsidRDefault="00414436" w:rsidP="00634772">
            <w:pPr>
              <w:spacing w:before="60" w:after="60"/>
              <w:jc w:val="center"/>
              <w:rPr>
                <w:rFonts w:cstheme="minorHAnsi"/>
                <w:sz w:val="22"/>
              </w:rPr>
            </w:pPr>
            <w:r w:rsidRPr="008F20DD">
              <w:rPr>
                <w:b/>
                <w:bCs/>
                <w:highlight w:val="lightGray"/>
              </w:rPr>
              <w:t>REDACTED</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34F13A" w14:textId="0C9CAC9F" w:rsidR="00E054D1" w:rsidRPr="00A7515F" w:rsidRDefault="00414436" w:rsidP="00634772">
            <w:pPr>
              <w:spacing w:before="60" w:after="60"/>
              <w:jc w:val="center"/>
              <w:rPr>
                <w:rFonts w:cstheme="minorHAnsi"/>
                <w:sz w:val="22"/>
              </w:rPr>
            </w:pPr>
            <w:r w:rsidRPr="008F20DD">
              <w:rPr>
                <w:b/>
                <w:bCs/>
                <w:highlight w:val="lightGray"/>
              </w:rPr>
              <w:t>REDACTED</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170DDE" w14:textId="1D5227E2" w:rsidR="00E054D1" w:rsidRPr="00A7515F" w:rsidRDefault="00414436" w:rsidP="00634772">
            <w:pPr>
              <w:spacing w:before="60" w:after="60"/>
              <w:jc w:val="center"/>
              <w:rPr>
                <w:rFonts w:cstheme="minorHAnsi"/>
                <w:sz w:val="22"/>
              </w:rPr>
            </w:pPr>
            <w:r w:rsidRPr="008F20DD">
              <w:rPr>
                <w:b/>
                <w:bCs/>
                <w:highlight w:val="lightGray"/>
              </w:rPr>
              <w:t>REDACTED</w:t>
            </w:r>
          </w:p>
        </w:tc>
      </w:tr>
      <w:tr w:rsidR="00E054D1" w:rsidRPr="00A7515F" w14:paraId="15C7F0B8" w14:textId="77777777" w:rsidTr="00634772">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98EA78" w14:textId="77777777" w:rsidR="00E054D1" w:rsidRPr="00A7515F" w:rsidRDefault="00E054D1" w:rsidP="00634772">
            <w:pPr>
              <w:spacing w:before="60" w:after="60"/>
              <w:rPr>
                <w:rFonts w:cstheme="minorHAnsi"/>
                <w:sz w:val="22"/>
              </w:rPr>
            </w:pPr>
            <w:r w:rsidRPr="00A7515F">
              <w:rPr>
                <w:rFonts w:cstheme="minorHAnsi"/>
                <w:sz w:val="22"/>
              </w:rPr>
              <w:t>FC1036</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7BFFA" w14:textId="77777777" w:rsidR="00E054D1" w:rsidRPr="00A7515F" w:rsidRDefault="00E054D1" w:rsidP="00634772">
            <w:pPr>
              <w:spacing w:before="60" w:after="60"/>
              <w:rPr>
                <w:rFonts w:cstheme="minorHAnsi"/>
                <w:sz w:val="22"/>
              </w:rPr>
            </w:pPr>
            <w:r w:rsidRPr="00A7515F">
              <w:rPr>
                <w:rFonts w:cstheme="minorHAnsi"/>
                <w:sz w:val="22"/>
              </w:rPr>
              <w:t>MER Canula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D77A" w14:textId="1E2CD5A4" w:rsidR="00E054D1" w:rsidRPr="00A7515F" w:rsidRDefault="00414436" w:rsidP="00634772">
            <w:pPr>
              <w:spacing w:before="60" w:after="60"/>
              <w:jc w:val="center"/>
              <w:rPr>
                <w:rFonts w:cstheme="minorHAnsi"/>
                <w:sz w:val="22"/>
              </w:rPr>
            </w:pPr>
            <w:r w:rsidRPr="008F20DD">
              <w:rPr>
                <w:b/>
                <w:bCs/>
                <w:highlight w:val="lightGray"/>
              </w:rPr>
              <w:t>REDACTED</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232E53" w14:textId="4B2A3866" w:rsidR="00E054D1" w:rsidRPr="00A7515F" w:rsidRDefault="00414436" w:rsidP="00634772">
            <w:pPr>
              <w:spacing w:before="60" w:after="60"/>
              <w:jc w:val="center"/>
              <w:rPr>
                <w:rFonts w:cstheme="minorHAnsi"/>
                <w:sz w:val="22"/>
              </w:rPr>
            </w:pPr>
            <w:r w:rsidRPr="008F20DD">
              <w:rPr>
                <w:b/>
                <w:bCs/>
                <w:highlight w:val="lightGray"/>
              </w:rPr>
              <w:t>REDACTED</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B4F92D" w14:textId="2CBF2A55" w:rsidR="00E054D1" w:rsidRPr="00A7515F" w:rsidRDefault="00414436" w:rsidP="00634772">
            <w:pPr>
              <w:spacing w:before="60" w:after="60"/>
              <w:jc w:val="center"/>
              <w:rPr>
                <w:rFonts w:cstheme="minorHAnsi"/>
                <w:sz w:val="22"/>
              </w:rPr>
            </w:pPr>
            <w:r w:rsidRPr="008F20DD">
              <w:rPr>
                <w:b/>
                <w:bCs/>
                <w:highlight w:val="lightGray"/>
              </w:rPr>
              <w:t>REDACTED</w:t>
            </w:r>
          </w:p>
        </w:tc>
      </w:tr>
      <w:tr w:rsidR="00E054D1" w:rsidRPr="00A7515F" w14:paraId="3E36173D" w14:textId="77777777" w:rsidTr="00634772">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6A6D41" w14:textId="77777777" w:rsidR="00E054D1" w:rsidRPr="00A7515F" w:rsidRDefault="00E054D1" w:rsidP="00634772">
            <w:pPr>
              <w:spacing w:before="60" w:after="60"/>
              <w:rPr>
                <w:rFonts w:cstheme="minorHAnsi"/>
                <w:sz w:val="22"/>
              </w:rPr>
            </w:pPr>
            <w:r w:rsidRPr="00A7515F">
              <w:rPr>
                <w:rFonts w:cstheme="minorHAnsi"/>
                <w:sz w:val="22"/>
              </w:rPr>
              <w:t>FC2002</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EE291C" w14:textId="77777777" w:rsidR="00E054D1" w:rsidRPr="00A7515F" w:rsidRDefault="00E054D1" w:rsidP="00634772">
            <w:pPr>
              <w:spacing w:before="60" w:after="60"/>
              <w:rPr>
                <w:rFonts w:cstheme="minorHAnsi"/>
                <w:sz w:val="22"/>
              </w:rPr>
            </w:pPr>
            <w:r w:rsidRPr="00A7515F">
              <w:rPr>
                <w:rFonts w:cstheme="minorHAnsi"/>
                <w:sz w:val="22"/>
              </w:rPr>
              <w:t>MER Electrode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ABF07C" w14:textId="640C1A13" w:rsidR="00E054D1" w:rsidRPr="00A7515F" w:rsidRDefault="00414436" w:rsidP="00634772">
            <w:pPr>
              <w:spacing w:before="60" w:after="60"/>
              <w:jc w:val="center"/>
              <w:rPr>
                <w:rFonts w:cstheme="minorHAnsi"/>
                <w:sz w:val="22"/>
              </w:rPr>
            </w:pPr>
            <w:r w:rsidRPr="008F20DD">
              <w:rPr>
                <w:b/>
                <w:bCs/>
                <w:highlight w:val="lightGray"/>
              </w:rPr>
              <w:t>REDACTED</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35B2AB" w14:textId="190873D5" w:rsidR="00E054D1" w:rsidRPr="00A7515F" w:rsidRDefault="00414436" w:rsidP="00634772">
            <w:pPr>
              <w:spacing w:before="60" w:after="60"/>
              <w:jc w:val="center"/>
              <w:rPr>
                <w:rFonts w:cstheme="minorHAnsi"/>
                <w:sz w:val="22"/>
              </w:rPr>
            </w:pPr>
            <w:r w:rsidRPr="008F20DD">
              <w:rPr>
                <w:b/>
                <w:bCs/>
                <w:highlight w:val="lightGray"/>
              </w:rPr>
              <w:t>REDACTED</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1419FF" w14:textId="56E67E24" w:rsidR="00E054D1" w:rsidRPr="00A7515F" w:rsidRDefault="00414436" w:rsidP="00634772">
            <w:pPr>
              <w:spacing w:before="60" w:after="60"/>
              <w:jc w:val="center"/>
              <w:rPr>
                <w:rFonts w:cstheme="minorHAnsi"/>
                <w:sz w:val="22"/>
              </w:rPr>
            </w:pPr>
            <w:r w:rsidRPr="008F20DD">
              <w:rPr>
                <w:b/>
                <w:bCs/>
                <w:highlight w:val="lightGray"/>
              </w:rPr>
              <w:t>REDACTED</w:t>
            </w:r>
          </w:p>
        </w:tc>
      </w:tr>
      <w:tr w:rsidR="00E054D1" w:rsidRPr="00A7515F" w14:paraId="148B33D1" w14:textId="77777777" w:rsidTr="00634772">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266391" w14:textId="77777777" w:rsidR="00E054D1" w:rsidRPr="00A7515F" w:rsidRDefault="00E054D1" w:rsidP="00634772">
            <w:pPr>
              <w:spacing w:before="60" w:after="60"/>
              <w:rPr>
                <w:rFonts w:cstheme="minorHAnsi"/>
                <w:sz w:val="22"/>
              </w:rPr>
            </w:pPr>
            <w:r w:rsidRPr="00A7515F">
              <w:rPr>
                <w:rFonts w:cstheme="minorHAnsi"/>
                <w:sz w:val="22"/>
              </w:rPr>
              <w:t>3387-40</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C67470" w14:textId="69BF0BBF" w:rsidR="00E054D1" w:rsidRPr="00A7515F" w:rsidRDefault="00E054D1" w:rsidP="00634772">
            <w:pPr>
              <w:spacing w:before="60" w:after="60"/>
              <w:rPr>
                <w:rFonts w:cstheme="minorHAnsi"/>
                <w:sz w:val="22"/>
              </w:rPr>
            </w:pPr>
            <w:r w:rsidRPr="00A7515F">
              <w:rPr>
                <w:rFonts w:cstheme="minorHAnsi"/>
                <w:sz w:val="22"/>
              </w:rPr>
              <w:t xml:space="preserve">DBS </w:t>
            </w:r>
            <w:proofErr w:type="gramStart"/>
            <w:r w:rsidR="007601AA">
              <w:rPr>
                <w:rFonts w:cstheme="minorHAnsi"/>
                <w:sz w:val="22"/>
              </w:rPr>
              <w:t>Lead</w:t>
            </w:r>
            <w:proofErr w:type="gramEnd"/>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6DC076" w14:textId="680B3518" w:rsidR="00E054D1" w:rsidRPr="00A7515F" w:rsidRDefault="00414436" w:rsidP="00634772">
            <w:pPr>
              <w:spacing w:before="60" w:after="60"/>
              <w:jc w:val="center"/>
              <w:rPr>
                <w:rFonts w:cstheme="minorHAnsi"/>
                <w:sz w:val="22"/>
              </w:rPr>
            </w:pPr>
            <w:r w:rsidRPr="008F20DD">
              <w:rPr>
                <w:b/>
                <w:bCs/>
                <w:highlight w:val="lightGray"/>
              </w:rPr>
              <w:t>REDACTED</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7D2531" w14:textId="4C1E0BB2" w:rsidR="00E054D1" w:rsidRPr="00A7515F" w:rsidRDefault="00414436" w:rsidP="00634772">
            <w:pPr>
              <w:spacing w:before="60" w:after="60"/>
              <w:jc w:val="center"/>
              <w:rPr>
                <w:rFonts w:cstheme="minorHAnsi"/>
                <w:sz w:val="22"/>
              </w:rPr>
            </w:pPr>
            <w:r w:rsidRPr="008F20DD">
              <w:rPr>
                <w:b/>
                <w:bCs/>
                <w:highlight w:val="lightGray"/>
              </w:rPr>
              <w:t>REDACTED</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0896B9" w14:textId="0D8AC27A" w:rsidR="00E054D1" w:rsidRPr="00A7515F" w:rsidRDefault="00414436" w:rsidP="00634772">
            <w:pPr>
              <w:spacing w:before="60" w:after="60"/>
              <w:jc w:val="center"/>
              <w:rPr>
                <w:rFonts w:cstheme="minorHAnsi"/>
                <w:sz w:val="22"/>
              </w:rPr>
            </w:pPr>
            <w:r w:rsidRPr="008F20DD">
              <w:rPr>
                <w:b/>
                <w:bCs/>
                <w:highlight w:val="lightGray"/>
              </w:rPr>
              <w:t>REDACTED</w:t>
            </w:r>
          </w:p>
        </w:tc>
      </w:tr>
      <w:tr w:rsidR="00E054D1" w:rsidRPr="00A7515F" w14:paraId="62C666E1" w14:textId="77777777" w:rsidTr="00634772">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4F8F19" w14:textId="77777777" w:rsidR="00E054D1" w:rsidRPr="00A7515F" w:rsidRDefault="00E054D1" w:rsidP="00634772">
            <w:pPr>
              <w:spacing w:before="60" w:after="60"/>
              <w:rPr>
                <w:rFonts w:cstheme="minorHAnsi"/>
                <w:sz w:val="22"/>
              </w:rPr>
            </w:pPr>
            <w:r w:rsidRPr="00A7515F">
              <w:rPr>
                <w:rFonts w:cstheme="minorHAnsi"/>
                <w:sz w:val="22"/>
              </w:rPr>
              <w:t>3755-40</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31986E" w14:textId="77777777" w:rsidR="00E054D1" w:rsidRPr="00A7515F" w:rsidRDefault="00E054D1" w:rsidP="00634772">
            <w:pPr>
              <w:spacing w:before="60" w:after="60"/>
              <w:rPr>
                <w:rFonts w:cstheme="minorHAnsi"/>
                <w:sz w:val="22"/>
              </w:rPr>
            </w:pPr>
            <w:r w:rsidRPr="00A7515F">
              <w:rPr>
                <w:rFonts w:cstheme="minorHAnsi"/>
                <w:sz w:val="22"/>
              </w:rPr>
              <w:t>DBS Tunneller</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B1B8CF" w14:textId="1E9862DC" w:rsidR="00E054D1" w:rsidRPr="00A7515F" w:rsidRDefault="00414436" w:rsidP="00634772">
            <w:pPr>
              <w:spacing w:before="60" w:after="60"/>
              <w:jc w:val="center"/>
              <w:rPr>
                <w:rFonts w:cstheme="minorHAnsi"/>
                <w:sz w:val="22"/>
              </w:rPr>
            </w:pPr>
            <w:r w:rsidRPr="008F20DD">
              <w:rPr>
                <w:b/>
                <w:bCs/>
                <w:highlight w:val="lightGray"/>
              </w:rPr>
              <w:t>REDACTED</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0BB8FD" w14:textId="7C7FFE42" w:rsidR="00E054D1" w:rsidRPr="00A7515F" w:rsidRDefault="00414436" w:rsidP="00634772">
            <w:pPr>
              <w:spacing w:before="60" w:after="60"/>
              <w:jc w:val="center"/>
              <w:rPr>
                <w:rFonts w:cstheme="minorHAnsi"/>
                <w:sz w:val="22"/>
              </w:rPr>
            </w:pPr>
            <w:r w:rsidRPr="008F20DD">
              <w:rPr>
                <w:b/>
                <w:bCs/>
                <w:highlight w:val="lightGray"/>
              </w:rPr>
              <w:t>REDACTED</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C488F1" w14:textId="62BAC3AC" w:rsidR="00E054D1" w:rsidRPr="00A7515F" w:rsidRDefault="00414436" w:rsidP="00634772">
            <w:pPr>
              <w:spacing w:before="60" w:after="60"/>
              <w:jc w:val="center"/>
              <w:rPr>
                <w:rFonts w:cstheme="minorHAnsi"/>
                <w:sz w:val="22"/>
              </w:rPr>
            </w:pPr>
            <w:r w:rsidRPr="008F20DD">
              <w:rPr>
                <w:b/>
                <w:bCs/>
                <w:highlight w:val="lightGray"/>
              </w:rPr>
              <w:t>REDACTED</w:t>
            </w:r>
          </w:p>
        </w:tc>
      </w:tr>
      <w:tr w:rsidR="00E054D1" w:rsidRPr="00A7515F" w14:paraId="550EF8A9" w14:textId="77777777" w:rsidTr="00634772">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65C411" w14:textId="77777777" w:rsidR="00E054D1" w:rsidRPr="00A7515F" w:rsidRDefault="00E054D1" w:rsidP="00634772">
            <w:pPr>
              <w:spacing w:before="60" w:after="60"/>
              <w:rPr>
                <w:rFonts w:cstheme="minorHAnsi"/>
                <w:sz w:val="22"/>
              </w:rPr>
            </w:pPr>
            <w:r w:rsidRPr="00A7515F">
              <w:rPr>
                <w:rFonts w:cstheme="minorHAnsi"/>
                <w:sz w:val="22"/>
              </w:rPr>
              <w:t>37086xx</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1FA376" w14:textId="77777777" w:rsidR="00E054D1" w:rsidRPr="00A7515F" w:rsidRDefault="00E054D1" w:rsidP="00634772">
            <w:pPr>
              <w:spacing w:before="60" w:after="60"/>
              <w:rPr>
                <w:rFonts w:cstheme="minorHAnsi"/>
                <w:sz w:val="22"/>
              </w:rPr>
            </w:pPr>
            <w:r w:rsidRPr="00A7515F">
              <w:rPr>
                <w:rFonts w:cstheme="minorHAnsi"/>
                <w:sz w:val="22"/>
              </w:rPr>
              <w:t>DBS Extension</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CE8CE7" w14:textId="7052002E" w:rsidR="00E054D1" w:rsidRPr="00A7515F" w:rsidRDefault="00414436" w:rsidP="00634772">
            <w:pPr>
              <w:spacing w:before="60" w:after="60"/>
              <w:jc w:val="center"/>
              <w:rPr>
                <w:rFonts w:cstheme="minorHAnsi"/>
                <w:sz w:val="22"/>
              </w:rPr>
            </w:pPr>
            <w:r w:rsidRPr="008F20DD">
              <w:rPr>
                <w:b/>
                <w:bCs/>
                <w:highlight w:val="lightGray"/>
              </w:rPr>
              <w:t>REDACTED</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006C1C" w14:textId="16CE54A7" w:rsidR="00E054D1" w:rsidRPr="00A7515F" w:rsidRDefault="00414436" w:rsidP="00634772">
            <w:pPr>
              <w:spacing w:before="60" w:after="60"/>
              <w:jc w:val="center"/>
              <w:rPr>
                <w:rFonts w:cstheme="minorHAnsi"/>
                <w:sz w:val="22"/>
              </w:rPr>
            </w:pPr>
            <w:r w:rsidRPr="008F20DD">
              <w:rPr>
                <w:b/>
                <w:bCs/>
                <w:highlight w:val="lightGray"/>
              </w:rPr>
              <w:t>REDACTED</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40411D" w14:textId="1A4A1C7F" w:rsidR="00E054D1" w:rsidRPr="00A7515F" w:rsidRDefault="00414436" w:rsidP="00634772">
            <w:pPr>
              <w:spacing w:before="60" w:after="60"/>
              <w:jc w:val="center"/>
              <w:rPr>
                <w:rFonts w:cstheme="minorHAnsi"/>
                <w:sz w:val="22"/>
              </w:rPr>
            </w:pPr>
            <w:r w:rsidRPr="008F20DD">
              <w:rPr>
                <w:b/>
                <w:bCs/>
                <w:highlight w:val="lightGray"/>
              </w:rPr>
              <w:t>REDACTED</w:t>
            </w:r>
          </w:p>
        </w:tc>
      </w:tr>
      <w:tr w:rsidR="00E054D1" w:rsidRPr="00A7515F" w14:paraId="2862AD61" w14:textId="77777777" w:rsidTr="00634772">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664070" w14:textId="77777777" w:rsidR="00E054D1" w:rsidRPr="00A7515F" w:rsidRDefault="00E054D1" w:rsidP="00634772">
            <w:pPr>
              <w:spacing w:before="60" w:after="60"/>
              <w:rPr>
                <w:rFonts w:cstheme="minorHAnsi"/>
                <w:sz w:val="22"/>
              </w:rPr>
            </w:pPr>
            <w:r w:rsidRPr="00A7515F">
              <w:rPr>
                <w:rFonts w:cstheme="minorHAnsi"/>
                <w:sz w:val="22"/>
              </w:rPr>
              <w:t>B35200</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C2E8BE" w14:textId="77777777" w:rsidR="00E054D1" w:rsidRPr="00A7515F" w:rsidRDefault="00E054D1" w:rsidP="00634772">
            <w:pPr>
              <w:spacing w:before="60" w:after="60"/>
              <w:rPr>
                <w:rFonts w:cstheme="minorHAnsi"/>
                <w:sz w:val="22"/>
              </w:rPr>
            </w:pPr>
            <w:r w:rsidRPr="00A7515F">
              <w:rPr>
                <w:rFonts w:cstheme="minorHAnsi"/>
                <w:sz w:val="22"/>
              </w:rPr>
              <w:t>Percept IPG – PC</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67BBFA" w14:textId="32BA96FA" w:rsidR="00E054D1" w:rsidRPr="00A7515F" w:rsidRDefault="00414436" w:rsidP="00634772">
            <w:pPr>
              <w:spacing w:before="60" w:after="60"/>
              <w:jc w:val="center"/>
              <w:rPr>
                <w:rFonts w:cstheme="minorHAnsi"/>
                <w:sz w:val="22"/>
              </w:rPr>
            </w:pPr>
            <w:r w:rsidRPr="008F20DD">
              <w:rPr>
                <w:b/>
                <w:bCs/>
                <w:highlight w:val="lightGray"/>
              </w:rPr>
              <w:t>REDACTED</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A368DE" w14:textId="7CC81C2F" w:rsidR="00E054D1" w:rsidRPr="00A7515F" w:rsidRDefault="00414436" w:rsidP="00634772">
            <w:pPr>
              <w:spacing w:before="60" w:after="60"/>
              <w:jc w:val="center"/>
              <w:rPr>
                <w:rFonts w:cstheme="minorHAnsi"/>
                <w:sz w:val="22"/>
              </w:rPr>
            </w:pPr>
            <w:r w:rsidRPr="008F20DD">
              <w:rPr>
                <w:b/>
                <w:bCs/>
                <w:highlight w:val="lightGray"/>
              </w:rPr>
              <w:t>REDACTED</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FB0103" w14:textId="6B0CBAE9" w:rsidR="00E054D1" w:rsidRPr="00A7515F" w:rsidRDefault="00414436" w:rsidP="00634772">
            <w:pPr>
              <w:spacing w:before="60" w:after="60"/>
              <w:jc w:val="center"/>
              <w:rPr>
                <w:rFonts w:cstheme="minorHAnsi"/>
                <w:sz w:val="22"/>
              </w:rPr>
            </w:pPr>
            <w:r w:rsidRPr="008F20DD">
              <w:rPr>
                <w:b/>
                <w:bCs/>
                <w:highlight w:val="lightGray"/>
              </w:rPr>
              <w:t>REDACTED</w:t>
            </w:r>
          </w:p>
        </w:tc>
      </w:tr>
      <w:tr w:rsidR="00E054D1" w:rsidRPr="00A7515F" w14:paraId="5933D7CC" w14:textId="77777777" w:rsidTr="00634772">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A21B2E" w14:textId="77777777" w:rsidR="00E054D1" w:rsidRPr="00A7515F" w:rsidRDefault="00E054D1" w:rsidP="00634772">
            <w:pPr>
              <w:spacing w:before="60" w:after="60"/>
              <w:rPr>
                <w:rFonts w:cstheme="minorHAnsi"/>
                <w:sz w:val="22"/>
              </w:rPr>
            </w:pPr>
            <w:r w:rsidRPr="00A7515F">
              <w:rPr>
                <w:rFonts w:cstheme="minorHAnsi"/>
                <w:sz w:val="22"/>
              </w:rPr>
              <w:t>TH91D02</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F9B5B7" w14:textId="77777777" w:rsidR="00E054D1" w:rsidRPr="00A7515F" w:rsidRDefault="00E054D1" w:rsidP="00634772">
            <w:pPr>
              <w:spacing w:before="60" w:after="60"/>
              <w:rPr>
                <w:rFonts w:cstheme="minorHAnsi"/>
                <w:sz w:val="22"/>
              </w:rPr>
            </w:pPr>
            <w:r w:rsidRPr="00A7515F">
              <w:rPr>
                <w:rFonts w:cstheme="minorHAnsi"/>
                <w:sz w:val="22"/>
              </w:rPr>
              <w:t>Patient Programmer</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BCE6A8" w14:textId="2359CD53" w:rsidR="00E054D1" w:rsidRPr="00A7515F" w:rsidRDefault="00414436" w:rsidP="00634772">
            <w:pPr>
              <w:spacing w:before="60" w:after="60"/>
              <w:jc w:val="center"/>
              <w:rPr>
                <w:rFonts w:cstheme="minorHAnsi"/>
                <w:sz w:val="22"/>
              </w:rPr>
            </w:pPr>
            <w:r w:rsidRPr="008F20DD">
              <w:rPr>
                <w:b/>
                <w:bCs/>
                <w:highlight w:val="lightGray"/>
              </w:rPr>
              <w:t>REDACTED</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E95EDA" w14:textId="4ECFB787" w:rsidR="00E054D1" w:rsidRPr="00A7515F" w:rsidRDefault="00414436" w:rsidP="00634772">
            <w:pPr>
              <w:spacing w:before="60" w:after="60"/>
              <w:jc w:val="center"/>
              <w:rPr>
                <w:rFonts w:cstheme="minorHAnsi"/>
                <w:sz w:val="22"/>
              </w:rPr>
            </w:pPr>
            <w:r w:rsidRPr="008F20DD">
              <w:rPr>
                <w:b/>
                <w:bCs/>
                <w:highlight w:val="lightGray"/>
              </w:rPr>
              <w:t>REDACTED</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E87DEE" w14:textId="26A6DCE2" w:rsidR="00E054D1" w:rsidRPr="00A7515F" w:rsidRDefault="00414436" w:rsidP="00634772">
            <w:pPr>
              <w:spacing w:before="60" w:after="60"/>
              <w:jc w:val="center"/>
              <w:rPr>
                <w:rFonts w:cstheme="minorHAnsi"/>
                <w:sz w:val="22"/>
              </w:rPr>
            </w:pPr>
            <w:r w:rsidRPr="008F20DD">
              <w:rPr>
                <w:b/>
                <w:bCs/>
                <w:highlight w:val="lightGray"/>
              </w:rPr>
              <w:t>REDACTED</w:t>
            </w:r>
          </w:p>
        </w:tc>
      </w:tr>
      <w:tr w:rsidR="00E054D1" w:rsidRPr="00A7515F" w14:paraId="2812E243" w14:textId="77777777" w:rsidTr="00634772">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EA8543" w14:textId="77777777" w:rsidR="00E054D1" w:rsidRPr="00A7515F" w:rsidRDefault="00E054D1" w:rsidP="00634772">
            <w:pPr>
              <w:spacing w:before="60" w:after="60"/>
              <w:rPr>
                <w:rFonts w:cstheme="minorHAnsi"/>
                <w:sz w:val="22"/>
              </w:rPr>
            </w:pPr>
            <w:r w:rsidRPr="00A7515F">
              <w:rPr>
                <w:rFonts w:cstheme="minorHAnsi"/>
                <w:sz w:val="22"/>
              </w:rPr>
              <w:t>B37120</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073CE6" w14:textId="77777777" w:rsidR="00E054D1" w:rsidRPr="00A7515F" w:rsidRDefault="00E054D1" w:rsidP="00634772">
            <w:pPr>
              <w:spacing w:before="60" w:after="60"/>
              <w:rPr>
                <w:rFonts w:cstheme="minorHAnsi"/>
                <w:sz w:val="22"/>
              </w:rPr>
            </w:pPr>
            <w:r w:rsidRPr="00A7515F">
              <w:rPr>
                <w:rFonts w:cstheme="minorHAnsi"/>
                <w:sz w:val="22"/>
              </w:rPr>
              <w:t>Carry case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B80A10" w14:textId="4713A36A" w:rsidR="00E054D1" w:rsidRPr="00A7515F" w:rsidRDefault="00414436" w:rsidP="00634772">
            <w:pPr>
              <w:spacing w:before="60" w:after="60"/>
              <w:jc w:val="center"/>
              <w:rPr>
                <w:rFonts w:cstheme="minorHAnsi"/>
                <w:sz w:val="22"/>
              </w:rPr>
            </w:pPr>
            <w:r w:rsidRPr="008F20DD">
              <w:rPr>
                <w:b/>
                <w:bCs/>
                <w:highlight w:val="lightGray"/>
              </w:rPr>
              <w:t>REDACTED</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66DEBA" w14:textId="14F6666D" w:rsidR="00E054D1" w:rsidRPr="00A7515F" w:rsidRDefault="00414436" w:rsidP="00634772">
            <w:pPr>
              <w:spacing w:before="60" w:after="60"/>
              <w:jc w:val="center"/>
              <w:rPr>
                <w:rFonts w:cstheme="minorHAnsi"/>
                <w:sz w:val="22"/>
              </w:rPr>
            </w:pPr>
            <w:r w:rsidRPr="008F20DD">
              <w:rPr>
                <w:b/>
                <w:bCs/>
                <w:highlight w:val="lightGray"/>
              </w:rPr>
              <w:t>REDACTED</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7B7A61" w14:textId="40F1B4D2" w:rsidR="00E054D1" w:rsidRPr="00A7515F" w:rsidRDefault="00414436" w:rsidP="00634772">
            <w:pPr>
              <w:spacing w:before="60" w:after="60"/>
              <w:jc w:val="center"/>
              <w:rPr>
                <w:rFonts w:cstheme="minorHAnsi"/>
                <w:sz w:val="22"/>
              </w:rPr>
            </w:pPr>
            <w:r w:rsidRPr="008F20DD">
              <w:rPr>
                <w:b/>
                <w:bCs/>
                <w:highlight w:val="lightGray"/>
              </w:rPr>
              <w:t>REDACTED</w:t>
            </w:r>
          </w:p>
        </w:tc>
      </w:tr>
      <w:tr w:rsidR="00E054D1" w:rsidRPr="00A7515F" w14:paraId="5A01A963" w14:textId="77777777" w:rsidTr="00634772">
        <w:tc>
          <w:tcPr>
            <w:tcW w:w="921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7EE41A" w14:textId="04800DE0" w:rsidR="00E054D1" w:rsidRPr="00A7515F" w:rsidRDefault="00E054D1" w:rsidP="00634772">
            <w:pPr>
              <w:spacing w:before="60" w:after="60"/>
              <w:jc w:val="center"/>
              <w:rPr>
                <w:rFonts w:cstheme="minorHAnsi"/>
                <w:b/>
                <w:bCs/>
                <w:sz w:val="22"/>
              </w:rPr>
            </w:pPr>
            <w:r w:rsidRPr="00A7515F">
              <w:rPr>
                <w:rFonts w:cstheme="minorHAnsi"/>
                <w:b/>
                <w:bCs/>
                <w:sz w:val="22"/>
              </w:rPr>
              <w:t>TOTAL                                  $</w:t>
            </w:r>
            <w:r w:rsidR="00414436" w:rsidRPr="008F20DD">
              <w:rPr>
                <w:b/>
                <w:bCs/>
                <w:highlight w:val="lightGray"/>
              </w:rPr>
              <w:t xml:space="preserve"> REDACTED</w:t>
            </w:r>
          </w:p>
        </w:tc>
      </w:tr>
    </w:tbl>
    <w:p w14:paraId="1D6BD12E" w14:textId="77777777" w:rsidR="00DF5FCB" w:rsidRPr="00154B00" w:rsidRDefault="00DF5FCB" w:rsidP="003353EE">
      <w:pPr>
        <w:rPr>
          <w:szCs w:val="20"/>
        </w:rPr>
      </w:pPr>
    </w:p>
    <w:p w14:paraId="52079110" w14:textId="77777777" w:rsidR="00951933" w:rsidRPr="00154B00" w:rsidRDefault="00951933" w:rsidP="00530204">
      <w:pPr>
        <w:pStyle w:val="Heading2"/>
      </w:pPr>
      <w:r w:rsidRPr="00154B00">
        <w:lastRenderedPageBreak/>
        <w:t xml:space="preserve">Specify how </w:t>
      </w:r>
      <w:r w:rsidRPr="00AE1188">
        <w:t>long</w:t>
      </w:r>
      <w:r w:rsidRPr="00154B00">
        <w:t xml:space="preserve"> the proposed medical ser</w:t>
      </w:r>
      <w:r w:rsidR="00AE1188">
        <w:t>vice</w:t>
      </w:r>
      <w:r w:rsidR="00D269F6">
        <w:t>/technology</w:t>
      </w:r>
      <w:r w:rsidR="00AE1188">
        <w:t xml:space="preserve"> typically takes to perform:</w:t>
      </w:r>
    </w:p>
    <w:p w14:paraId="289EE5C7" w14:textId="190713C3" w:rsidR="00491D22" w:rsidRPr="00634772" w:rsidRDefault="00EF32A8" w:rsidP="00634772">
      <w:pPr>
        <w:ind w:left="360"/>
        <w:rPr>
          <w:bCs/>
          <w:szCs w:val="20"/>
        </w:rPr>
      </w:pPr>
      <w:r>
        <w:rPr>
          <w:bCs/>
          <w:szCs w:val="20"/>
        </w:rPr>
        <w:t>DBS</w:t>
      </w:r>
      <w:r w:rsidR="00491D22" w:rsidRPr="004C6262">
        <w:rPr>
          <w:bCs/>
          <w:szCs w:val="20"/>
        </w:rPr>
        <w:t xml:space="preserve"> surgery usually takes around four hours to perform (expert opinion). </w:t>
      </w:r>
    </w:p>
    <w:p w14:paraId="6CE9E64D" w14:textId="7227858E" w:rsidR="00CE3D62" w:rsidRPr="00CE3D62" w:rsidRDefault="00D269F6" w:rsidP="00CE3D62">
      <w:pPr>
        <w:pStyle w:val="Heading2"/>
      </w:pPr>
      <w:r w:rsidRPr="00D269F6">
        <w:t xml:space="preserve">If public funding is sought through the </w:t>
      </w:r>
      <w:r w:rsidRPr="00785937">
        <w:rPr>
          <w:u w:val="single"/>
        </w:rPr>
        <w:t>MBS</w:t>
      </w:r>
      <w:r w:rsidRPr="00D269F6">
        <w:t>, please draft a proposed MBS item descriptor to define the population and usage characteristics that defines eligibility for the medical service/technology.</w:t>
      </w:r>
    </w:p>
    <w:p w14:paraId="71C70145" w14:textId="25D146B1" w:rsidR="00CC29A4" w:rsidRDefault="00CE3D62" w:rsidP="004B122E">
      <w:pPr>
        <w:ind w:left="360"/>
      </w:pPr>
      <w:r w:rsidRPr="004B122E">
        <w:t xml:space="preserve">It is anticipated that current item numbers will be expanded, as discussed below, to include the subgroup of people with epilepsy who have been evaluated at a Comprehensive Epilepsy </w:t>
      </w:r>
      <w:r w:rsidR="004E0B44" w:rsidRPr="004B122E">
        <w:t xml:space="preserve">Program </w:t>
      </w:r>
      <w:r w:rsidRPr="004B122E">
        <w:t>and have been determined to have medical</w:t>
      </w:r>
      <w:r w:rsidR="004C6262" w:rsidRPr="004B122E">
        <w:t>ly</w:t>
      </w:r>
      <w:r w:rsidRPr="004B122E">
        <w:t xml:space="preserve"> refractory epilepsy and </w:t>
      </w:r>
      <w:r w:rsidR="00E82A91" w:rsidRPr="004B122E">
        <w:t xml:space="preserve">who </w:t>
      </w:r>
      <w:r w:rsidRPr="004B122E">
        <w:t xml:space="preserve">are not suitable for </w:t>
      </w:r>
      <w:r w:rsidR="004C6262" w:rsidRPr="004B122E">
        <w:t xml:space="preserve">resective </w:t>
      </w:r>
      <w:r w:rsidRPr="004B122E">
        <w:t>surgery.</w:t>
      </w:r>
      <w:r w:rsidR="00CC29A4" w:rsidRPr="004B122E">
        <w:t xml:space="preserve"> Lastly, please note that no changes have been suggested/made for existing fees.</w:t>
      </w:r>
    </w:p>
    <w:p w14:paraId="6891C9CB" w14:textId="77777777" w:rsidR="00634772" w:rsidRPr="00634772" w:rsidRDefault="00634772" w:rsidP="004B122E">
      <w:pPr>
        <w:ind w:left="360"/>
        <w:rPr>
          <w:sz w:val="12"/>
          <w:szCs w:val="14"/>
        </w:rPr>
      </w:pPr>
    </w:p>
    <w:p w14:paraId="398F9491" w14:textId="14E9D477" w:rsidR="008B2B78" w:rsidRPr="004B122E" w:rsidRDefault="008B2B78" w:rsidP="00634772">
      <w:pPr>
        <w:pBdr>
          <w:top w:val="single" w:sz="4" w:space="1" w:color="auto"/>
          <w:left w:val="single" w:sz="4" w:space="4" w:color="auto"/>
          <w:bottom w:val="single" w:sz="4" w:space="1" w:color="auto"/>
          <w:right w:val="single" w:sz="4" w:space="4" w:color="auto"/>
          <w:between w:val="single" w:sz="4" w:space="1" w:color="auto"/>
          <w:bar w:val="single" w:sz="4" w:color="auto"/>
        </w:pBdr>
        <w:ind w:left="-284" w:right="-330"/>
        <w:rPr>
          <w:szCs w:val="20"/>
        </w:rPr>
      </w:pPr>
      <w:r w:rsidRPr="004B122E">
        <w:rPr>
          <w:szCs w:val="20"/>
        </w:rPr>
        <w:t xml:space="preserve">Category </w:t>
      </w:r>
      <w:r w:rsidR="00D83EF8" w:rsidRPr="004B122E">
        <w:t>3</w:t>
      </w:r>
      <w:r w:rsidRPr="004B122E">
        <w:rPr>
          <w:szCs w:val="20"/>
        </w:rPr>
        <w:t xml:space="preserve"> – </w:t>
      </w:r>
      <w:r w:rsidR="00D83EF8" w:rsidRPr="004B122E">
        <w:rPr>
          <w:szCs w:val="20"/>
        </w:rPr>
        <w:t xml:space="preserve">Therapeutic Procedures </w:t>
      </w:r>
      <w:r w:rsidR="00190420">
        <w:rPr>
          <w:szCs w:val="20"/>
        </w:rPr>
        <w:t xml:space="preserve">- </w:t>
      </w:r>
      <w:r w:rsidR="00190420" w:rsidRPr="004B122E">
        <w:t>Proposed expansion of MBS Item Number 40851</w:t>
      </w:r>
    </w:p>
    <w:p w14:paraId="35D89AF0" w14:textId="24B41D26" w:rsidR="008B2B78" w:rsidRDefault="008B2B78" w:rsidP="00634772">
      <w:pPr>
        <w:pBdr>
          <w:top w:val="single" w:sz="4" w:space="1" w:color="auto"/>
          <w:left w:val="single" w:sz="4" w:space="4" w:color="auto"/>
          <w:bottom w:val="single" w:sz="4" w:space="1" w:color="auto"/>
          <w:right w:val="single" w:sz="4" w:space="4" w:color="auto"/>
        </w:pBdr>
        <w:ind w:left="-284" w:right="-330"/>
      </w:pPr>
      <w:r w:rsidRPr="00AE1188">
        <w:rPr>
          <w:szCs w:val="20"/>
        </w:rPr>
        <w:t>Proposed item descriptor</w:t>
      </w:r>
      <w:r>
        <w:rPr>
          <w:szCs w:val="20"/>
        </w:rPr>
        <w:t xml:space="preserve">: </w:t>
      </w:r>
    </w:p>
    <w:p w14:paraId="12C4E914" w14:textId="17CF5349" w:rsidR="003979E8" w:rsidRDefault="00D83EF8" w:rsidP="00634772">
      <w:pPr>
        <w:pBdr>
          <w:top w:val="single" w:sz="4" w:space="1" w:color="auto"/>
          <w:left w:val="single" w:sz="4" w:space="4" w:color="auto"/>
          <w:bottom w:val="single" w:sz="4" w:space="1" w:color="auto"/>
          <w:right w:val="single" w:sz="4" w:space="4" w:color="auto"/>
        </w:pBdr>
        <w:ind w:left="-284" w:right="-330"/>
      </w:pPr>
      <w:r>
        <w:t>DEEP BRAIN STIMULATION (bilateral) functional stereotactic procedure including computer assisted anatomical localisation, physiological localisation including twist drill, burr hole craniotomy or craniectomy and insertion of electrodes for the treatment of:</w:t>
      </w:r>
    </w:p>
    <w:p w14:paraId="7598FB45" w14:textId="6CF89740" w:rsidR="00D83EF8" w:rsidRDefault="00D83EF8" w:rsidP="00634772">
      <w:pPr>
        <w:pBdr>
          <w:top w:val="single" w:sz="4" w:space="1" w:color="auto"/>
          <w:left w:val="single" w:sz="4" w:space="4" w:color="auto"/>
          <w:bottom w:val="single" w:sz="4" w:space="1" w:color="auto"/>
          <w:right w:val="single" w:sz="4" w:space="4" w:color="auto"/>
        </w:pBdr>
        <w:ind w:left="-284" w:right="-330"/>
      </w:pPr>
      <w:r>
        <w:t>Parkinson's disease where the patient's response to medical therapy is not sustained and is accompanied by unacceptable motor fluctuations; or</w:t>
      </w:r>
    </w:p>
    <w:p w14:paraId="368D1558" w14:textId="15FED9DC" w:rsidR="003979E8" w:rsidRDefault="00D83EF8" w:rsidP="00634772">
      <w:pPr>
        <w:pBdr>
          <w:top w:val="single" w:sz="4" w:space="1" w:color="auto"/>
          <w:left w:val="single" w:sz="4" w:space="4" w:color="auto"/>
          <w:bottom w:val="single" w:sz="4" w:space="1" w:color="auto"/>
          <w:right w:val="single" w:sz="4" w:space="4" w:color="auto"/>
        </w:pBdr>
        <w:ind w:left="-284" w:right="-330"/>
      </w:pPr>
      <w:r>
        <w:t>Essential tremor or dystonia where the patient's symptoms cause severe disability</w:t>
      </w:r>
      <w:r w:rsidR="006E0D49">
        <w:t>; or</w:t>
      </w:r>
    </w:p>
    <w:p w14:paraId="7A4A7FFD" w14:textId="07BAD3B1" w:rsidR="00D83EF8" w:rsidRPr="00634772" w:rsidRDefault="003979E8" w:rsidP="00634772">
      <w:pPr>
        <w:pBdr>
          <w:top w:val="single" w:sz="4" w:space="1" w:color="auto"/>
          <w:left w:val="single" w:sz="4" w:space="4" w:color="auto"/>
          <w:bottom w:val="single" w:sz="4" w:space="1" w:color="auto"/>
          <w:right w:val="single" w:sz="4" w:space="4" w:color="auto"/>
        </w:pBdr>
        <w:ind w:left="-284" w:right="-330"/>
      </w:pPr>
      <w:r w:rsidRPr="00D83EF8">
        <w:t>Medical</w:t>
      </w:r>
      <w:r>
        <w:t>ly</w:t>
      </w:r>
      <w:r w:rsidRPr="00D83EF8">
        <w:t xml:space="preserve"> </w:t>
      </w:r>
      <w:r>
        <w:t>r</w:t>
      </w:r>
      <w:r w:rsidRPr="00D83EF8">
        <w:t xml:space="preserve">efractory </w:t>
      </w:r>
      <w:r>
        <w:t>e</w:t>
      </w:r>
      <w:r w:rsidRPr="00D83EF8">
        <w:t xml:space="preserve">pilepsy in </w:t>
      </w:r>
      <w:r>
        <w:t>p</w:t>
      </w:r>
      <w:r w:rsidRPr="00D83EF8">
        <w:t xml:space="preserve">atients </w:t>
      </w:r>
      <w:r>
        <w:t>n</w:t>
      </w:r>
      <w:r w:rsidRPr="00D83EF8">
        <w:t xml:space="preserve">ot </w:t>
      </w:r>
      <w:r>
        <w:t>s</w:t>
      </w:r>
      <w:r w:rsidRPr="00D83EF8">
        <w:t xml:space="preserve">uitable for </w:t>
      </w:r>
      <w:r>
        <w:t>resective s</w:t>
      </w:r>
      <w:r w:rsidRPr="00D83EF8">
        <w:t>urgery</w:t>
      </w:r>
      <w:r>
        <w:t xml:space="preserve"> following assessment by a Comprehensive Epilepsy Program</w:t>
      </w:r>
      <w:r w:rsidR="006E0D49">
        <w:t>.</w:t>
      </w:r>
    </w:p>
    <w:p w14:paraId="51BCB863" w14:textId="10B5B6CC" w:rsidR="008B2B78" w:rsidRPr="00AE1188" w:rsidRDefault="008B2B78" w:rsidP="00634772">
      <w:pPr>
        <w:pBdr>
          <w:top w:val="single" w:sz="4" w:space="1" w:color="auto"/>
          <w:left w:val="single" w:sz="4" w:space="4" w:color="auto"/>
          <w:bottom w:val="single" w:sz="4" w:space="1" w:color="auto"/>
          <w:right w:val="single" w:sz="4" w:space="4" w:color="auto"/>
        </w:pBdr>
        <w:ind w:left="-284" w:right="-330"/>
        <w:rPr>
          <w:szCs w:val="20"/>
        </w:rPr>
      </w:pPr>
      <w:r w:rsidRPr="00AE1188">
        <w:rPr>
          <w:szCs w:val="20"/>
        </w:rPr>
        <w:t>Fee:  $</w:t>
      </w:r>
      <w:r w:rsidR="00380CED">
        <w:t>4,123.60</w:t>
      </w:r>
    </w:p>
    <w:p w14:paraId="3941BB53" w14:textId="5B7A3EFD" w:rsidR="008B2B78" w:rsidRPr="00634772" w:rsidRDefault="008B2B78" w:rsidP="008B2B78">
      <w:pPr>
        <w:rPr>
          <w:sz w:val="12"/>
          <w:szCs w:val="14"/>
        </w:rPr>
      </w:pPr>
    </w:p>
    <w:p w14:paraId="1D10257E" w14:textId="4BAA096E" w:rsidR="00CE3D62" w:rsidRPr="00AE1188" w:rsidRDefault="00190420" w:rsidP="00634772">
      <w:pPr>
        <w:pBdr>
          <w:top w:val="single" w:sz="4" w:space="1" w:color="auto"/>
          <w:left w:val="single" w:sz="4" w:space="4" w:color="auto"/>
          <w:bottom w:val="single" w:sz="4" w:space="1" w:color="auto"/>
          <w:right w:val="single" w:sz="4" w:space="4" w:color="auto"/>
          <w:between w:val="single" w:sz="4" w:space="1" w:color="auto"/>
          <w:bar w:val="single" w:sz="4" w:color="auto"/>
        </w:pBdr>
        <w:ind w:left="-284" w:right="-330"/>
        <w:rPr>
          <w:szCs w:val="20"/>
        </w:rPr>
      </w:pPr>
      <w:bookmarkStart w:id="13" w:name="_Hlk82612532"/>
      <w:r w:rsidRPr="00190420">
        <w:rPr>
          <w:szCs w:val="20"/>
        </w:rPr>
        <w:t xml:space="preserve">Category 3 – Therapeutic Procedures </w:t>
      </w:r>
      <w:r>
        <w:rPr>
          <w:szCs w:val="20"/>
        </w:rPr>
        <w:t>- Proposed expansion of item number 40852</w:t>
      </w:r>
    </w:p>
    <w:p w14:paraId="00E1B1F0" w14:textId="77777777" w:rsidR="00CE3D62" w:rsidRDefault="00CE3D62" w:rsidP="00634772">
      <w:pPr>
        <w:pBdr>
          <w:top w:val="single" w:sz="4" w:space="1" w:color="auto"/>
          <w:left w:val="single" w:sz="4" w:space="4" w:color="auto"/>
          <w:bottom w:val="single" w:sz="4" w:space="1" w:color="auto"/>
          <w:right w:val="single" w:sz="4" w:space="4" w:color="auto"/>
        </w:pBdr>
        <w:ind w:left="-284" w:right="-330"/>
      </w:pPr>
      <w:r w:rsidRPr="00AE1188">
        <w:rPr>
          <w:szCs w:val="20"/>
        </w:rPr>
        <w:t>Proposed item descriptor</w:t>
      </w:r>
      <w:r>
        <w:rPr>
          <w:szCs w:val="20"/>
        </w:rPr>
        <w:t xml:space="preserve">: </w:t>
      </w:r>
    </w:p>
    <w:p w14:paraId="4DB71F37" w14:textId="2557DB4F" w:rsidR="00CE3D62" w:rsidRPr="00CE3D62" w:rsidRDefault="00CE3D62" w:rsidP="00634772">
      <w:pPr>
        <w:pBdr>
          <w:top w:val="single" w:sz="4" w:space="1" w:color="auto"/>
          <w:left w:val="single" w:sz="4" w:space="4" w:color="auto"/>
          <w:bottom w:val="single" w:sz="4" w:space="1" w:color="auto"/>
          <w:right w:val="single" w:sz="4" w:space="4" w:color="auto"/>
        </w:pBdr>
        <w:ind w:left="-284" w:right="-330"/>
        <w:rPr>
          <w:szCs w:val="20"/>
        </w:rPr>
      </w:pPr>
      <w:r w:rsidRPr="00CE3D62">
        <w:rPr>
          <w:szCs w:val="20"/>
        </w:rPr>
        <w:t>DEEP BRAIN STIMULATION (unilateral) subcutaneous placement of neurostimulator receiver or pulse generator for the treatment of:</w:t>
      </w:r>
    </w:p>
    <w:p w14:paraId="6D20427B" w14:textId="36852D68" w:rsidR="00CE3D62" w:rsidRPr="00CE3D62" w:rsidRDefault="00CE3D62" w:rsidP="00634772">
      <w:pPr>
        <w:pBdr>
          <w:top w:val="single" w:sz="4" w:space="1" w:color="auto"/>
          <w:left w:val="single" w:sz="4" w:space="4" w:color="auto"/>
          <w:bottom w:val="single" w:sz="4" w:space="1" w:color="auto"/>
          <w:right w:val="single" w:sz="4" w:space="4" w:color="auto"/>
        </w:pBdr>
        <w:ind w:left="-284" w:right="-330"/>
        <w:rPr>
          <w:szCs w:val="20"/>
        </w:rPr>
      </w:pPr>
      <w:r w:rsidRPr="00CE3D62">
        <w:rPr>
          <w:szCs w:val="20"/>
        </w:rPr>
        <w:t>Parkinson's disease where the patient's response to medical therapy is not sustained and is accompanied by unacceptable motor fluctuations; or</w:t>
      </w:r>
    </w:p>
    <w:p w14:paraId="5EC6F872" w14:textId="2E2BC21A" w:rsidR="003979E8" w:rsidRDefault="00CE3D62" w:rsidP="00634772">
      <w:pPr>
        <w:pBdr>
          <w:top w:val="single" w:sz="4" w:space="1" w:color="auto"/>
          <w:left w:val="single" w:sz="4" w:space="4" w:color="auto"/>
          <w:bottom w:val="single" w:sz="4" w:space="1" w:color="auto"/>
          <w:right w:val="single" w:sz="4" w:space="4" w:color="auto"/>
        </w:pBdr>
        <w:ind w:left="-284" w:right="-330"/>
        <w:rPr>
          <w:szCs w:val="20"/>
        </w:rPr>
      </w:pPr>
      <w:r w:rsidRPr="00CE3D62">
        <w:rPr>
          <w:szCs w:val="20"/>
        </w:rPr>
        <w:t>Essential tremor or dystonia where the patient's symptoms cause severe disability</w:t>
      </w:r>
      <w:r w:rsidR="003979E8">
        <w:rPr>
          <w:szCs w:val="20"/>
        </w:rPr>
        <w:t>; or</w:t>
      </w:r>
    </w:p>
    <w:p w14:paraId="65796D93" w14:textId="5FC238AF" w:rsidR="00CE3D62" w:rsidRPr="00634772" w:rsidRDefault="003979E8" w:rsidP="00634772">
      <w:pPr>
        <w:pBdr>
          <w:top w:val="single" w:sz="4" w:space="1" w:color="auto"/>
          <w:left w:val="single" w:sz="4" w:space="4" w:color="auto"/>
          <w:bottom w:val="single" w:sz="4" w:space="1" w:color="auto"/>
          <w:right w:val="single" w:sz="4" w:space="4" w:color="auto"/>
        </w:pBdr>
        <w:ind w:left="-284" w:right="-330"/>
      </w:pPr>
      <w:r w:rsidRPr="00D83EF8">
        <w:t>Medical</w:t>
      </w:r>
      <w:r>
        <w:t>ly</w:t>
      </w:r>
      <w:r w:rsidRPr="00D83EF8">
        <w:t xml:space="preserve"> </w:t>
      </w:r>
      <w:r>
        <w:t>r</w:t>
      </w:r>
      <w:r w:rsidRPr="00D83EF8">
        <w:t xml:space="preserve">efractory </w:t>
      </w:r>
      <w:r>
        <w:t>e</w:t>
      </w:r>
      <w:r w:rsidRPr="00D83EF8">
        <w:t xml:space="preserve">pilepsy in </w:t>
      </w:r>
      <w:r>
        <w:t>p</w:t>
      </w:r>
      <w:r w:rsidRPr="00D83EF8">
        <w:t xml:space="preserve">atients </w:t>
      </w:r>
      <w:r>
        <w:t>n</w:t>
      </w:r>
      <w:r w:rsidRPr="00D83EF8">
        <w:t xml:space="preserve">ot </w:t>
      </w:r>
      <w:r>
        <w:t>s</w:t>
      </w:r>
      <w:r w:rsidRPr="00D83EF8">
        <w:t xml:space="preserve">uitable for </w:t>
      </w:r>
      <w:r>
        <w:t>resective s</w:t>
      </w:r>
      <w:r w:rsidRPr="00D83EF8">
        <w:t>urgery</w:t>
      </w:r>
      <w:r>
        <w:t xml:space="preserve"> following assessment by a Comprehensive Epilepsy Program.</w:t>
      </w:r>
    </w:p>
    <w:p w14:paraId="4C2CF2D5" w14:textId="0FDFCE49" w:rsidR="00CE3D62" w:rsidRPr="00AE1188" w:rsidRDefault="00CE3D62" w:rsidP="00634772">
      <w:pPr>
        <w:pBdr>
          <w:top w:val="single" w:sz="4" w:space="1" w:color="auto"/>
          <w:left w:val="single" w:sz="4" w:space="4" w:color="auto"/>
          <w:bottom w:val="single" w:sz="4" w:space="1" w:color="auto"/>
          <w:right w:val="single" w:sz="4" w:space="4" w:color="auto"/>
        </w:pBdr>
        <w:ind w:left="-284" w:right="-330"/>
        <w:rPr>
          <w:szCs w:val="20"/>
        </w:rPr>
      </w:pPr>
      <w:r w:rsidRPr="00AE1188">
        <w:rPr>
          <w:szCs w:val="20"/>
        </w:rPr>
        <w:t xml:space="preserve">Fee:  </w:t>
      </w:r>
      <w:r>
        <w:t>$354.40</w:t>
      </w:r>
    </w:p>
    <w:bookmarkEnd w:id="13"/>
    <w:p w14:paraId="5CFD0B01" w14:textId="77777777" w:rsidR="00190420" w:rsidRPr="00634772" w:rsidRDefault="00190420" w:rsidP="008B2B78">
      <w:pPr>
        <w:rPr>
          <w:sz w:val="12"/>
          <w:szCs w:val="14"/>
        </w:rPr>
      </w:pPr>
    </w:p>
    <w:p w14:paraId="724B9D8E" w14:textId="3905783A" w:rsidR="00CE3D62" w:rsidRPr="00AE1188" w:rsidRDefault="00CE3D62" w:rsidP="00634772">
      <w:pPr>
        <w:pBdr>
          <w:top w:val="single" w:sz="4" w:space="1" w:color="auto"/>
          <w:left w:val="single" w:sz="4" w:space="4" w:color="auto"/>
          <w:bottom w:val="single" w:sz="4" w:space="1" w:color="auto"/>
          <w:right w:val="single" w:sz="4" w:space="4" w:color="auto"/>
          <w:between w:val="single" w:sz="4" w:space="1" w:color="auto"/>
          <w:bar w:val="single" w:sz="4" w:color="auto"/>
        </w:pBdr>
        <w:ind w:left="-284" w:right="-306"/>
        <w:rPr>
          <w:szCs w:val="20"/>
        </w:rPr>
      </w:pPr>
      <w:r>
        <w:rPr>
          <w:szCs w:val="20"/>
        </w:rPr>
        <w:t xml:space="preserve">Category </w:t>
      </w:r>
      <w:r>
        <w:t>3</w:t>
      </w:r>
      <w:r w:rsidRPr="00AE1188">
        <w:rPr>
          <w:szCs w:val="20"/>
        </w:rPr>
        <w:t xml:space="preserve"> – </w:t>
      </w:r>
      <w:r>
        <w:rPr>
          <w:szCs w:val="20"/>
        </w:rPr>
        <w:t xml:space="preserve">Therapeutic Procedures </w:t>
      </w:r>
      <w:r w:rsidR="00190420">
        <w:rPr>
          <w:szCs w:val="20"/>
        </w:rPr>
        <w:t>– Proposed expansion of item number 40854</w:t>
      </w:r>
    </w:p>
    <w:p w14:paraId="59E846AC" w14:textId="5B776865" w:rsidR="00CE3D62" w:rsidRDefault="00CE3D62" w:rsidP="00634772">
      <w:pPr>
        <w:pBdr>
          <w:top w:val="single" w:sz="4" w:space="1" w:color="auto"/>
          <w:left w:val="single" w:sz="4" w:space="4" w:color="auto"/>
          <w:bottom w:val="single" w:sz="4" w:space="1" w:color="auto"/>
          <w:right w:val="single" w:sz="4" w:space="4" w:color="auto"/>
        </w:pBdr>
        <w:ind w:left="-284" w:right="-306"/>
        <w:rPr>
          <w:szCs w:val="20"/>
        </w:rPr>
      </w:pPr>
      <w:r w:rsidRPr="00AE1188">
        <w:rPr>
          <w:szCs w:val="20"/>
        </w:rPr>
        <w:t>Proposed item descriptor</w:t>
      </w:r>
      <w:r>
        <w:rPr>
          <w:szCs w:val="20"/>
        </w:rPr>
        <w:t xml:space="preserve">: </w:t>
      </w:r>
    </w:p>
    <w:p w14:paraId="2FCE8E4C" w14:textId="21E21D11" w:rsidR="00CE3D62" w:rsidRDefault="00CE3D62" w:rsidP="00634772">
      <w:pPr>
        <w:pBdr>
          <w:top w:val="single" w:sz="4" w:space="1" w:color="auto"/>
          <w:left w:val="single" w:sz="4" w:space="4" w:color="auto"/>
          <w:bottom w:val="single" w:sz="4" w:space="1" w:color="auto"/>
          <w:right w:val="single" w:sz="4" w:space="4" w:color="auto"/>
        </w:pBdr>
        <w:ind w:left="-284" w:right="-306"/>
      </w:pPr>
      <w:r>
        <w:t>DEEP BRAIN STIMULATION (unilateral) revision or removal of brain electrode for the treatment of:</w:t>
      </w:r>
    </w:p>
    <w:p w14:paraId="02B09A7A" w14:textId="7A81E067" w:rsidR="00CE3D62" w:rsidRDefault="00CE3D62" w:rsidP="00634772">
      <w:pPr>
        <w:pBdr>
          <w:top w:val="single" w:sz="4" w:space="1" w:color="auto"/>
          <w:left w:val="single" w:sz="4" w:space="4" w:color="auto"/>
          <w:bottom w:val="single" w:sz="4" w:space="1" w:color="auto"/>
          <w:right w:val="single" w:sz="4" w:space="4" w:color="auto"/>
        </w:pBdr>
        <w:ind w:left="-284" w:right="-306"/>
      </w:pPr>
      <w:r>
        <w:t>Parkinson's disease where the patient's response to medical therapy is not sustained and is accompanied by unacceptable motor fluctuations; or</w:t>
      </w:r>
    </w:p>
    <w:p w14:paraId="68E7CCF2" w14:textId="638AB757" w:rsidR="006E0D49" w:rsidRDefault="00CE3D62" w:rsidP="00634772">
      <w:pPr>
        <w:pBdr>
          <w:top w:val="single" w:sz="4" w:space="1" w:color="auto"/>
          <w:left w:val="single" w:sz="4" w:space="4" w:color="auto"/>
          <w:bottom w:val="single" w:sz="4" w:space="1" w:color="auto"/>
          <w:right w:val="single" w:sz="4" w:space="4" w:color="auto"/>
        </w:pBdr>
        <w:ind w:left="-284" w:right="-306"/>
      </w:pPr>
      <w:r>
        <w:t>Essential tremor or dystonia where the patient's symptoms cause severe disability</w:t>
      </w:r>
      <w:r w:rsidR="006E0D49">
        <w:t>; or</w:t>
      </w:r>
    </w:p>
    <w:p w14:paraId="7AD9080C" w14:textId="49842533" w:rsidR="006E0D49" w:rsidRDefault="006E0D49" w:rsidP="00634772">
      <w:pPr>
        <w:pBdr>
          <w:top w:val="single" w:sz="4" w:space="1" w:color="auto"/>
          <w:left w:val="single" w:sz="4" w:space="4" w:color="auto"/>
          <w:bottom w:val="single" w:sz="4" w:space="1" w:color="auto"/>
          <w:right w:val="single" w:sz="4" w:space="4" w:color="auto"/>
        </w:pBdr>
        <w:ind w:left="-284" w:right="-306"/>
      </w:pPr>
      <w:r w:rsidRPr="00D83EF8">
        <w:t>Medical</w:t>
      </w:r>
      <w:r>
        <w:t>ly</w:t>
      </w:r>
      <w:r w:rsidRPr="00D83EF8">
        <w:t xml:space="preserve"> </w:t>
      </w:r>
      <w:r>
        <w:t>r</w:t>
      </w:r>
      <w:r w:rsidRPr="00D83EF8">
        <w:t xml:space="preserve">efractory </w:t>
      </w:r>
      <w:r>
        <w:t>e</w:t>
      </w:r>
      <w:r w:rsidRPr="00D83EF8">
        <w:t xml:space="preserve">pilepsy in </w:t>
      </w:r>
      <w:r>
        <w:t>p</w:t>
      </w:r>
      <w:r w:rsidRPr="00D83EF8">
        <w:t xml:space="preserve">atients </w:t>
      </w:r>
      <w:r>
        <w:t>n</w:t>
      </w:r>
      <w:r w:rsidRPr="00D83EF8">
        <w:t xml:space="preserve">ot </w:t>
      </w:r>
      <w:r>
        <w:t>s</w:t>
      </w:r>
      <w:r w:rsidRPr="00D83EF8">
        <w:t xml:space="preserve">uitable for </w:t>
      </w:r>
      <w:r>
        <w:t>resective s</w:t>
      </w:r>
      <w:r w:rsidRPr="00D83EF8">
        <w:t>urgery</w:t>
      </w:r>
      <w:r>
        <w:t xml:space="preserve"> following assessment by a Comprehensive Epilepsy Program; or</w:t>
      </w:r>
    </w:p>
    <w:p w14:paraId="1F45C9D1" w14:textId="501CF34A" w:rsidR="00CE3D62" w:rsidRPr="00AE1188" w:rsidRDefault="00CE3D62" w:rsidP="00634772">
      <w:pPr>
        <w:pBdr>
          <w:top w:val="single" w:sz="4" w:space="1" w:color="auto"/>
          <w:left w:val="single" w:sz="4" w:space="4" w:color="auto"/>
          <w:bottom w:val="single" w:sz="4" w:space="1" w:color="auto"/>
          <w:right w:val="single" w:sz="4" w:space="4" w:color="auto"/>
        </w:pBdr>
        <w:ind w:left="-284" w:right="-306"/>
        <w:rPr>
          <w:szCs w:val="20"/>
        </w:rPr>
      </w:pPr>
      <w:r w:rsidRPr="00AE1188">
        <w:rPr>
          <w:szCs w:val="20"/>
        </w:rPr>
        <w:t>Fee:  $</w:t>
      </w:r>
      <w:r>
        <w:t>547.50</w:t>
      </w:r>
    </w:p>
    <w:p w14:paraId="226D28F8" w14:textId="6E2A2941" w:rsidR="00634772" w:rsidRDefault="00634772">
      <w:pPr>
        <w:spacing w:before="0" w:after="200" w:line="276" w:lineRule="auto"/>
        <w:rPr>
          <w:sz w:val="12"/>
          <w:szCs w:val="14"/>
        </w:rPr>
      </w:pPr>
      <w:r>
        <w:rPr>
          <w:sz w:val="12"/>
          <w:szCs w:val="14"/>
        </w:rPr>
        <w:br w:type="page"/>
      </w:r>
    </w:p>
    <w:p w14:paraId="7A4806A7" w14:textId="13F6F7A6" w:rsidR="00E82A91" w:rsidRPr="00AE1188" w:rsidRDefault="00E82A91" w:rsidP="00634772">
      <w:pPr>
        <w:pBdr>
          <w:top w:val="single" w:sz="4" w:space="1" w:color="auto"/>
          <w:left w:val="single" w:sz="4" w:space="4" w:color="auto"/>
          <w:bottom w:val="single" w:sz="4" w:space="1" w:color="auto"/>
          <w:right w:val="single" w:sz="4" w:space="4" w:color="auto"/>
          <w:between w:val="single" w:sz="4" w:space="1" w:color="auto"/>
          <w:bar w:val="single" w:sz="4" w:color="auto"/>
        </w:pBdr>
        <w:ind w:left="-284" w:right="-306"/>
        <w:rPr>
          <w:szCs w:val="20"/>
        </w:rPr>
      </w:pPr>
      <w:r>
        <w:rPr>
          <w:szCs w:val="20"/>
        </w:rPr>
        <w:lastRenderedPageBreak/>
        <w:t xml:space="preserve">Category </w:t>
      </w:r>
      <w:r>
        <w:t>3</w:t>
      </w:r>
      <w:r w:rsidRPr="00AE1188">
        <w:rPr>
          <w:szCs w:val="20"/>
        </w:rPr>
        <w:t xml:space="preserve"> – </w:t>
      </w:r>
      <w:r>
        <w:rPr>
          <w:szCs w:val="20"/>
        </w:rPr>
        <w:t xml:space="preserve">Therapeutic Procedures </w:t>
      </w:r>
      <w:r w:rsidR="00190420">
        <w:rPr>
          <w:szCs w:val="20"/>
        </w:rPr>
        <w:t>– Proposed expansion of item number 40856</w:t>
      </w:r>
    </w:p>
    <w:p w14:paraId="43BAF955" w14:textId="77777777" w:rsidR="00E82A91" w:rsidRDefault="00E82A91" w:rsidP="00634772">
      <w:pPr>
        <w:pBdr>
          <w:top w:val="single" w:sz="4" w:space="1" w:color="auto"/>
          <w:left w:val="single" w:sz="4" w:space="4" w:color="auto"/>
          <w:bottom w:val="single" w:sz="4" w:space="1" w:color="auto"/>
          <w:right w:val="single" w:sz="4" w:space="4" w:color="auto"/>
        </w:pBdr>
        <w:ind w:left="-284" w:right="-306"/>
        <w:rPr>
          <w:szCs w:val="20"/>
        </w:rPr>
      </w:pPr>
      <w:r w:rsidRPr="00AE1188">
        <w:rPr>
          <w:szCs w:val="20"/>
        </w:rPr>
        <w:t>Proposed item descriptor</w:t>
      </w:r>
      <w:r>
        <w:rPr>
          <w:szCs w:val="20"/>
        </w:rPr>
        <w:t xml:space="preserve">: </w:t>
      </w:r>
    </w:p>
    <w:p w14:paraId="636C81B7" w14:textId="5BA88269" w:rsidR="00A44C0D" w:rsidRPr="00E82A91" w:rsidRDefault="00E82A91" w:rsidP="00634772">
      <w:pPr>
        <w:pBdr>
          <w:top w:val="single" w:sz="4" w:space="1" w:color="auto"/>
          <w:left w:val="single" w:sz="4" w:space="4" w:color="auto"/>
          <w:bottom w:val="single" w:sz="4" w:space="1" w:color="auto"/>
          <w:right w:val="single" w:sz="4" w:space="4" w:color="auto"/>
        </w:pBdr>
        <w:ind w:left="-284" w:right="-306"/>
        <w:rPr>
          <w:szCs w:val="20"/>
        </w:rPr>
      </w:pPr>
      <w:r w:rsidRPr="00E82A91">
        <w:rPr>
          <w:szCs w:val="20"/>
        </w:rPr>
        <w:t>DEEP BRAIN STIMULATION (unilateral) removal or replacement of neurostimulator receiver or pulse generator for the treatment of:</w:t>
      </w:r>
    </w:p>
    <w:p w14:paraId="27E23AAD" w14:textId="6A9FCF02" w:rsidR="006E0D49" w:rsidRPr="00E82A91" w:rsidRDefault="00E82A91" w:rsidP="00634772">
      <w:pPr>
        <w:pBdr>
          <w:top w:val="single" w:sz="4" w:space="1" w:color="auto"/>
          <w:left w:val="single" w:sz="4" w:space="4" w:color="auto"/>
          <w:bottom w:val="single" w:sz="4" w:space="1" w:color="auto"/>
          <w:right w:val="single" w:sz="4" w:space="4" w:color="auto"/>
        </w:pBdr>
        <w:ind w:left="-284" w:right="-306"/>
        <w:rPr>
          <w:szCs w:val="20"/>
        </w:rPr>
      </w:pPr>
      <w:r w:rsidRPr="00E82A91">
        <w:rPr>
          <w:szCs w:val="20"/>
        </w:rPr>
        <w:t>Parkinson's disease where the patient's response to medical therapy is not sustained and is accompanied by unacceptable motor fluctuations; or</w:t>
      </w:r>
    </w:p>
    <w:p w14:paraId="2AD35FB9" w14:textId="0FD569E7" w:rsidR="006E0D49" w:rsidRDefault="00E82A91" w:rsidP="00634772">
      <w:pPr>
        <w:pBdr>
          <w:top w:val="single" w:sz="4" w:space="1" w:color="auto"/>
          <w:left w:val="single" w:sz="4" w:space="4" w:color="auto"/>
          <w:bottom w:val="single" w:sz="4" w:space="1" w:color="auto"/>
          <w:right w:val="single" w:sz="4" w:space="4" w:color="auto"/>
        </w:pBdr>
        <w:ind w:left="-284" w:right="-306"/>
        <w:rPr>
          <w:szCs w:val="20"/>
        </w:rPr>
      </w:pPr>
      <w:r w:rsidRPr="00E82A91">
        <w:rPr>
          <w:szCs w:val="20"/>
        </w:rPr>
        <w:t>Essential tremor or dystonia where the patient's symptoms cause severe disability</w:t>
      </w:r>
      <w:r w:rsidR="006E0D49">
        <w:rPr>
          <w:szCs w:val="20"/>
        </w:rPr>
        <w:t>; or</w:t>
      </w:r>
    </w:p>
    <w:p w14:paraId="6AF5AC27" w14:textId="094C8529" w:rsidR="00E82A91" w:rsidRPr="00AE1188" w:rsidRDefault="006E0D49" w:rsidP="00634772">
      <w:pPr>
        <w:pBdr>
          <w:top w:val="single" w:sz="4" w:space="1" w:color="auto"/>
          <w:left w:val="single" w:sz="4" w:space="4" w:color="auto"/>
          <w:bottom w:val="single" w:sz="4" w:space="1" w:color="auto"/>
          <w:right w:val="single" w:sz="4" w:space="4" w:color="auto"/>
        </w:pBdr>
        <w:ind w:left="-284" w:right="-306"/>
        <w:rPr>
          <w:szCs w:val="20"/>
        </w:rPr>
      </w:pPr>
      <w:r w:rsidRPr="00A44C0D">
        <w:rPr>
          <w:szCs w:val="20"/>
        </w:rPr>
        <w:t>Medically refractory epilepsy in patients not suitable for resective surgery following assessment by a Comprehensive Epilepsy Program</w:t>
      </w:r>
      <w:r>
        <w:rPr>
          <w:szCs w:val="20"/>
        </w:rPr>
        <w:t>.</w:t>
      </w:r>
    </w:p>
    <w:p w14:paraId="4C793BD8" w14:textId="1DD6A1C8" w:rsidR="00E82A91" w:rsidRPr="00AE1188" w:rsidRDefault="00E82A91" w:rsidP="00634772">
      <w:pPr>
        <w:pBdr>
          <w:top w:val="single" w:sz="4" w:space="1" w:color="auto"/>
          <w:left w:val="single" w:sz="4" w:space="4" w:color="auto"/>
          <w:bottom w:val="single" w:sz="4" w:space="1" w:color="auto"/>
          <w:right w:val="single" w:sz="4" w:space="4" w:color="auto"/>
        </w:pBdr>
        <w:ind w:left="-284" w:right="-306"/>
        <w:rPr>
          <w:szCs w:val="20"/>
        </w:rPr>
      </w:pPr>
      <w:r w:rsidRPr="00AE1188">
        <w:rPr>
          <w:szCs w:val="20"/>
        </w:rPr>
        <w:t>Fee:  $</w:t>
      </w:r>
      <w:r>
        <w:t>265.80</w:t>
      </w:r>
    </w:p>
    <w:p w14:paraId="0E0A92D4" w14:textId="46AF8BB5" w:rsidR="00CE3D62" w:rsidRPr="00634772" w:rsidRDefault="00CE3D62" w:rsidP="00634772">
      <w:pPr>
        <w:spacing w:before="0" w:after="0"/>
        <w:rPr>
          <w:sz w:val="12"/>
          <w:szCs w:val="14"/>
        </w:rPr>
      </w:pPr>
    </w:p>
    <w:p w14:paraId="5931D725" w14:textId="579D18E3" w:rsidR="00CC29A4" w:rsidRPr="00AE1188" w:rsidRDefault="00CC29A4" w:rsidP="00634772">
      <w:pPr>
        <w:pBdr>
          <w:top w:val="single" w:sz="4" w:space="1" w:color="auto"/>
          <w:left w:val="single" w:sz="4" w:space="4" w:color="auto"/>
          <w:bottom w:val="single" w:sz="4" w:space="1" w:color="auto"/>
          <w:right w:val="single" w:sz="4" w:space="4" w:color="auto"/>
          <w:between w:val="single" w:sz="4" w:space="1" w:color="auto"/>
          <w:bar w:val="single" w:sz="4" w:color="auto"/>
        </w:pBdr>
        <w:ind w:left="-284" w:right="-306"/>
        <w:rPr>
          <w:szCs w:val="20"/>
        </w:rPr>
      </w:pPr>
      <w:r>
        <w:rPr>
          <w:szCs w:val="20"/>
        </w:rPr>
        <w:t xml:space="preserve">Category </w:t>
      </w:r>
      <w:r>
        <w:t>3</w:t>
      </w:r>
      <w:r w:rsidRPr="00AE1188">
        <w:rPr>
          <w:szCs w:val="20"/>
        </w:rPr>
        <w:t xml:space="preserve"> – </w:t>
      </w:r>
      <w:r>
        <w:rPr>
          <w:szCs w:val="20"/>
        </w:rPr>
        <w:t xml:space="preserve">Therapeutic Procedures </w:t>
      </w:r>
      <w:r w:rsidR="00190420">
        <w:rPr>
          <w:szCs w:val="20"/>
        </w:rPr>
        <w:t>– Proposed expansion of item number 40858</w:t>
      </w:r>
    </w:p>
    <w:p w14:paraId="6817909D" w14:textId="77777777" w:rsidR="00CC29A4" w:rsidRDefault="00CC29A4" w:rsidP="00634772">
      <w:pPr>
        <w:pBdr>
          <w:top w:val="single" w:sz="4" w:space="1" w:color="auto"/>
          <w:left w:val="single" w:sz="4" w:space="4" w:color="auto"/>
          <w:bottom w:val="single" w:sz="4" w:space="1" w:color="auto"/>
          <w:right w:val="single" w:sz="4" w:space="4" w:color="auto"/>
        </w:pBdr>
        <w:ind w:left="-284" w:right="-306"/>
        <w:rPr>
          <w:szCs w:val="20"/>
        </w:rPr>
      </w:pPr>
      <w:r w:rsidRPr="00AE1188">
        <w:rPr>
          <w:szCs w:val="20"/>
        </w:rPr>
        <w:t>Proposed item descriptor</w:t>
      </w:r>
      <w:r>
        <w:rPr>
          <w:szCs w:val="20"/>
        </w:rPr>
        <w:t xml:space="preserve">: </w:t>
      </w:r>
    </w:p>
    <w:p w14:paraId="5E571BE7" w14:textId="40D08FA3" w:rsidR="00CC29A4" w:rsidRPr="00CC29A4" w:rsidRDefault="00CC29A4" w:rsidP="00634772">
      <w:pPr>
        <w:pBdr>
          <w:top w:val="single" w:sz="4" w:space="1" w:color="auto"/>
          <w:left w:val="single" w:sz="4" w:space="4" w:color="auto"/>
          <w:bottom w:val="single" w:sz="4" w:space="1" w:color="auto"/>
          <w:right w:val="single" w:sz="4" w:space="4" w:color="auto"/>
        </w:pBdr>
        <w:ind w:left="-284" w:right="-306"/>
        <w:rPr>
          <w:szCs w:val="20"/>
        </w:rPr>
      </w:pPr>
      <w:r w:rsidRPr="00CC29A4">
        <w:rPr>
          <w:szCs w:val="20"/>
        </w:rPr>
        <w:t>DEEP BRAIN STIMULATION (unilateral) placement, removal or replacement of extension lead for the treatment of:</w:t>
      </w:r>
    </w:p>
    <w:p w14:paraId="0CF25753" w14:textId="1C232B85" w:rsidR="00CC29A4" w:rsidRPr="00CC29A4" w:rsidRDefault="00CC29A4" w:rsidP="00634772">
      <w:pPr>
        <w:pBdr>
          <w:top w:val="single" w:sz="4" w:space="1" w:color="auto"/>
          <w:left w:val="single" w:sz="4" w:space="4" w:color="auto"/>
          <w:bottom w:val="single" w:sz="4" w:space="1" w:color="auto"/>
          <w:right w:val="single" w:sz="4" w:space="4" w:color="auto"/>
        </w:pBdr>
        <w:ind w:left="-284" w:right="-306"/>
        <w:rPr>
          <w:szCs w:val="20"/>
        </w:rPr>
      </w:pPr>
      <w:r w:rsidRPr="00CC29A4">
        <w:rPr>
          <w:szCs w:val="20"/>
        </w:rPr>
        <w:t>Parkinson's disease where the patient's response to medical therapy is not sustained and is accompanied by unacceptable motor fluctuations; or</w:t>
      </w:r>
    </w:p>
    <w:p w14:paraId="0CC864A8" w14:textId="0C4955DA" w:rsidR="006E0D49" w:rsidRDefault="00CC29A4" w:rsidP="00634772">
      <w:pPr>
        <w:pBdr>
          <w:top w:val="single" w:sz="4" w:space="1" w:color="auto"/>
          <w:left w:val="single" w:sz="4" w:space="4" w:color="auto"/>
          <w:bottom w:val="single" w:sz="4" w:space="1" w:color="auto"/>
          <w:right w:val="single" w:sz="4" w:space="4" w:color="auto"/>
        </w:pBdr>
        <w:ind w:left="-284" w:right="-306"/>
        <w:rPr>
          <w:szCs w:val="20"/>
        </w:rPr>
      </w:pPr>
      <w:r w:rsidRPr="00CC29A4">
        <w:rPr>
          <w:szCs w:val="20"/>
        </w:rPr>
        <w:t>Essential tremor or dystonia where the patient's symptoms cause severe disability</w:t>
      </w:r>
      <w:r w:rsidR="006E0D49">
        <w:rPr>
          <w:szCs w:val="20"/>
        </w:rPr>
        <w:t>; or</w:t>
      </w:r>
    </w:p>
    <w:p w14:paraId="210D5BFD" w14:textId="746F3913" w:rsidR="006E0D49" w:rsidRPr="006E0D49" w:rsidRDefault="006E0D49" w:rsidP="00634772">
      <w:pPr>
        <w:pBdr>
          <w:top w:val="single" w:sz="4" w:space="1" w:color="auto"/>
          <w:left w:val="single" w:sz="4" w:space="4" w:color="auto"/>
          <w:bottom w:val="single" w:sz="4" w:space="1" w:color="auto"/>
          <w:right w:val="single" w:sz="4" w:space="4" w:color="auto"/>
        </w:pBdr>
        <w:ind w:left="-284" w:right="-306"/>
      </w:pPr>
      <w:r w:rsidRPr="00D83EF8">
        <w:t>Medical</w:t>
      </w:r>
      <w:r>
        <w:t>ly</w:t>
      </w:r>
      <w:r w:rsidRPr="00D83EF8">
        <w:t xml:space="preserve"> </w:t>
      </w:r>
      <w:r>
        <w:t>r</w:t>
      </w:r>
      <w:r w:rsidRPr="00D83EF8">
        <w:t xml:space="preserve">efractory </w:t>
      </w:r>
      <w:r>
        <w:t>e</w:t>
      </w:r>
      <w:r w:rsidRPr="00D83EF8">
        <w:t xml:space="preserve">pilepsy in </w:t>
      </w:r>
      <w:r>
        <w:t>p</w:t>
      </w:r>
      <w:r w:rsidRPr="00D83EF8">
        <w:t xml:space="preserve">atients </w:t>
      </w:r>
      <w:r>
        <w:t>n</w:t>
      </w:r>
      <w:r w:rsidRPr="00D83EF8">
        <w:t xml:space="preserve">ot </w:t>
      </w:r>
      <w:r>
        <w:t>s</w:t>
      </w:r>
      <w:r w:rsidRPr="00D83EF8">
        <w:t xml:space="preserve">uitable for </w:t>
      </w:r>
      <w:r>
        <w:t>resective s</w:t>
      </w:r>
      <w:r w:rsidRPr="00D83EF8">
        <w:t>urgery</w:t>
      </w:r>
      <w:r>
        <w:t xml:space="preserve"> following assessment by a Comprehensive Epilepsy Program.</w:t>
      </w:r>
    </w:p>
    <w:p w14:paraId="0381DA89" w14:textId="7DD45DA9" w:rsidR="00CC29A4" w:rsidRPr="00AE1188" w:rsidRDefault="00CC29A4" w:rsidP="00634772">
      <w:pPr>
        <w:pBdr>
          <w:top w:val="single" w:sz="4" w:space="1" w:color="auto"/>
          <w:left w:val="single" w:sz="4" w:space="4" w:color="auto"/>
          <w:bottom w:val="single" w:sz="4" w:space="1" w:color="auto"/>
          <w:right w:val="single" w:sz="4" w:space="4" w:color="auto"/>
        </w:pBdr>
        <w:ind w:left="-284" w:right="-306"/>
        <w:rPr>
          <w:szCs w:val="20"/>
        </w:rPr>
      </w:pPr>
      <w:r w:rsidRPr="00AE1188">
        <w:rPr>
          <w:szCs w:val="20"/>
        </w:rPr>
        <w:t xml:space="preserve">Fee:  </w:t>
      </w:r>
      <w:r>
        <w:rPr>
          <w:szCs w:val="20"/>
        </w:rPr>
        <w:t>$547.70</w:t>
      </w:r>
    </w:p>
    <w:p w14:paraId="77CFF1BA" w14:textId="77777777" w:rsidR="00CC29A4" w:rsidRPr="00634772" w:rsidRDefault="00CC29A4" w:rsidP="00CC29A4">
      <w:pPr>
        <w:rPr>
          <w:sz w:val="12"/>
          <w:szCs w:val="14"/>
        </w:rPr>
      </w:pPr>
    </w:p>
    <w:p w14:paraId="7566A027" w14:textId="69ED8689" w:rsidR="001C1EBC" w:rsidRPr="00AE1188" w:rsidRDefault="001C1EBC" w:rsidP="00634772">
      <w:pPr>
        <w:pBdr>
          <w:top w:val="single" w:sz="4" w:space="1" w:color="auto"/>
          <w:left w:val="single" w:sz="4" w:space="4" w:color="auto"/>
          <w:bottom w:val="single" w:sz="4" w:space="1" w:color="auto"/>
          <w:right w:val="single" w:sz="4" w:space="4" w:color="auto"/>
          <w:between w:val="single" w:sz="4" w:space="1" w:color="auto"/>
          <w:bar w:val="single" w:sz="4" w:color="auto"/>
        </w:pBdr>
        <w:ind w:left="-284" w:right="-306"/>
        <w:rPr>
          <w:szCs w:val="20"/>
        </w:rPr>
      </w:pPr>
      <w:r>
        <w:rPr>
          <w:szCs w:val="20"/>
        </w:rPr>
        <w:t xml:space="preserve">Category </w:t>
      </w:r>
      <w:r>
        <w:t>3</w:t>
      </w:r>
      <w:r w:rsidRPr="00AE1188">
        <w:rPr>
          <w:szCs w:val="20"/>
        </w:rPr>
        <w:t xml:space="preserve"> – </w:t>
      </w:r>
      <w:r>
        <w:rPr>
          <w:szCs w:val="20"/>
        </w:rPr>
        <w:t xml:space="preserve">Therapeutic Procedures </w:t>
      </w:r>
      <w:r w:rsidR="00190420">
        <w:rPr>
          <w:szCs w:val="20"/>
        </w:rPr>
        <w:t>– Proposed expansion of item number 40860</w:t>
      </w:r>
    </w:p>
    <w:p w14:paraId="7D1AE962" w14:textId="15788D05" w:rsidR="001C1EBC" w:rsidRDefault="001C1EBC" w:rsidP="00634772">
      <w:pPr>
        <w:pBdr>
          <w:top w:val="single" w:sz="4" w:space="1" w:color="auto"/>
          <w:left w:val="single" w:sz="4" w:space="4" w:color="auto"/>
          <w:bottom w:val="single" w:sz="4" w:space="1" w:color="auto"/>
          <w:right w:val="single" w:sz="4" w:space="4" w:color="auto"/>
        </w:pBdr>
        <w:ind w:left="-284" w:right="-306"/>
        <w:rPr>
          <w:szCs w:val="20"/>
        </w:rPr>
      </w:pPr>
      <w:r w:rsidRPr="00AE1188">
        <w:rPr>
          <w:szCs w:val="20"/>
        </w:rPr>
        <w:t>Proposed item descriptor</w:t>
      </w:r>
      <w:r>
        <w:rPr>
          <w:szCs w:val="20"/>
        </w:rPr>
        <w:t xml:space="preserve">: </w:t>
      </w:r>
    </w:p>
    <w:p w14:paraId="05197A0B" w14:textId="584F20B1" w:rsidR="001C1EBC" w:rsidRPr="001C1EBC" w:rsidRDefault="001C1EBC" w:rsidP="00634772">
      <w:pPr>
        <w:pBdr>
          <w:top w:val="single" w:sz="4" w:space="1" w:color="auto"/>
          <w:left w:val="single" w:sz="4" w:space="4" w:color="auto"/>
          <w:bottom w:val="single" w:sz="4" w:space="1" w:color="auto"/>
          <w:right w:val="single" w:sz="4" w:space="4" w:color="auto"/>
        </w:pBdr>
        <w:ind w:left="-284" w:right="-306"/>
        <w:rPr>
          <w:szCs w:val="20"/>
        </w:rPr>
      </w:pPr>
      <w:r w:rsidRPr="001C1EBC">
        <w:rPr>
          <w:szCs w:val="20"/>
        </w:rPr>
        <w:t>DEEP BRAIN STIMULATION (unilateral) target localisation incorporating anatomical and physiological techniques, including intra-operative clinical evaluation, for the insertion of a single neurostimulation wire for the treatment of:</w:t>
      </w:r>
    </w:p>
    <w:p w14:paraId="68EB581D" w14:textId="6EA607DB" w:rsidR="001C1EBC" w:rsidRPr="001C1EBC" w:rsidRDefault="001C1EBC" w:rsidP="00634772">
      <w:pPr>
        <w:pBdr>
          <w:top w:val="single" w:sz="4" w:space="1" w:color="auto"/>
          <w:left w:val="single" w:sz="4" w:space="4" w:color="auto"/>
          <w:bottom w:val="single" w:sz="4" w:space="1" w:color="auto"/>
          <w:right w:val="single" w:sz="4" w:space="4" w:color="auto"/>
        </w:pBdr>
        <w:ind w:left="-284" w:right="-306"/>
        <w:rPr>
          <w:szCs w:val="20"/>
        </w:rPr>
      </w:pPr>
      <w:r w:rsidRPr="001C1EBC">
        <w:rPr>
          <w:szCs w:val="20"/>
        </w:rPr>
        <w:t>Parkinson's disease where the patient's response to medical therapy is not sustained and is accompanied by unacceptable motor fluctuations; or</w:t>
      </w:r>
    </w:p>
    <w:p w14:paraId="04ACEBF3" w14:textId="7288496D" w:rsidR="006E0D49" w:rsidRDefault="001C1EBC" w:rsidP="00634772">
      <w:pPr>
        <w:pBdr>
          <w:top w:val="single" w:sz="4" w:space="1" w:color="auto"/>
          <w:left w:val="single" w:sz="4" w:space="4" w:color="auto"/>
          <w:bottom w:val="single" w:sz="4" w:space="1" w:color="auto"/>
          <w:right w:val="single" w:sz="4" w:space="4" w:color="auto"/>
        </w:pBdr>
        <w:ind w:left="-284" w:right="-306"/>
        <w:rPr>
          <w:szCs w:val="20"/>
        </w:rPr>
      </w:pPr>
      <w:r w:rsidRPr="001C1EBC">
        <w:rPr>
          <w:szCs w:val="20"/>
        </w:rPr>
        <w:t>Essential tremor or dystonia where the patient's symptoms cause severe disabilit</w:t>
      </w:r>
      <w:r w:rsidR="006E0D49">
        <w:rPr>
          <w:szCs w:val="20"/>
        </w:rPr>
        <w:t>y; or</w:t>
      </w:r>
    </w:p>
    <w:p w14:paraId="73A26601" w14:textId="7175D7F3" w:rsidR="001C1EBC" w:rsidRDefault="006E0D49" w:rsidP="00634772">
      <w:pPr>
        <w:pBdr>
          <w:top w:val="single" w:sz="4" w:space="1" w:color="auto"/>
          <w:left w:val="single" w:sz="4" w:space="4" w:color="auto"/>
          <w:bottom w:val="single" w:sz="4" w:space="1" w:color="auto"/>
          <w:right w:val="single" w:sz="4" w:space="4" w:color="auto"/>
        </w:pBdr>
        <w:ind w:left="-284" w:right="-306"/>
        <w:rPr>
          <w:szCs w:val="20"/>
        </w:rPr>
      </w:pPr>
      <w:r w:rsidRPr="00D83EF8">
        <w:t>Medical</w:t>
      </w:r>
      <w:r>
        <w:t>ly</w:t>
      </w:r>
      <w:r w:rsidRPr="00D83EF8">
        <w:t xml:space="preserve"> </w:t>
      </w:r>
      <w:r>
        <w:t>r</w:t>
      </w:r>
      <w:r w:rsidRPr="00D83EF8">
        <w:t xml:space="preserve">efractory </w:t>
      </w:r>
      <w:r>
        <w:t>e</w:t>
      </w:r>
      <w:r w:rsidRPr="00D83EF8">
        <w:t xml:space="preserve">pilepsy in </w:t>
      </w:r>
      <w:r>
        <w:t>p</w:t>
      </w:r>
      <w:r w:rsidRPr="00D83EF8">
        <w:t xml:space="preserve">atients </w:t>
      </w:r>
      <w:r>
        <w:t>n</w:t>
      </w:r>
      <w:r w:rsidRPr="00D83EF8">
        <w:t xml:space="preserve">ot </w:t>
      </w:r>
      <w:r>
        <w:t>s</w:t>
      </w:r>
      <w:r w:rsidRPr="00D83EF8">
        <w:t xml:space="preserve">uitable for </w:t>
      </w:r>
      <w:r>
        <w:t>resective s</w:t>
      </w:r>
      <w:r w:rsidRPr="00D83EF8">
        <w:t>urgery</w:t>
      </w:r>
      <w:r>
        <w:t xml:space="preserve"> following assessment by a Comprehensive Epilepsy Program.</w:t>
      </w:r>
    </w:p>
    <w:p w14:paraId="026AB46D" w14:textId="201EA375" w:rsidR="001C1EBC" w:rsidRPr="00AE1188" w:rsidRDefault="001C1EBC" w:rsidP="00634772">
      <w:pPr>
        <w:pBdr>
          <w:top w:val="single" w:sz="4" w:space="1" w:color="auto"/>
          <w:left w:val="single" w:sz="4" w:space="4" w:color="auto"/>
          <w:bottom w:val="single" w:sz="4" w:space="1" w:color="auto"/>
          <w:right w:val="single" w:sz="4" w:space="4" w:color="auto"/>
        </w:pBdr>
        <w:ind w:left="-284" w:right="-306"/>
        <w:rPr>
          <w:szCs w:val="20"/>
        </w:rPr>
      </w:pPr>
      <w:r w:rsidRPr="00AE1188">
        <w:rPr>
          <w:szCs w:val="20"/>
        </w:rPr>
        <w:t xml:space="preserve">Fee:  </w:t>
      </w:r>
      <w:r>
        <w:rPr>
          <w:szCs w:val="20"/>
        </w:rPr>
        <w:t>$2,104.65</w:t>
      </w:r>
    </w:p>
    <w:p w14:paraId="0999414F" w14:textId="19E82FA8" w:rsidR="003D0794" w:rsidRPr="00634772" w:rsidRDefault="003D0794" w:rsidP="008B2B78">
      <w:pPr>
        <w:rPr>
          <w:sz w:val="12"/>
          <w:szCs w:val="14"/>
        </w:rPr>
      </w:pPr>
    </w:p>
    <w:p w14:paraId="1397142E" w14:textId="31A74A6B" w:rsidR="00DC72A1" w:rsidRPr="00AE1188" w:rsidRDefault="00DC72A1" w:rsidP="00634772">
      <w:pPr>
        <w:pBdr>
          <w:top w:val="single" w:sz="4" w:space="1" w:color="auto"/>
          <w:left w:val="single" w:sz="4" w:space="4" w:color="auto"/>
          <w:bottom w:val="single" w:sz="4" w:space="1" w:color="auto"/>
          <w:right w:val="single" w:sz="4" w:space="4" w:color="auto"/>
          <w:between w:val="single" w:sz="4" w:space="1" w:color="auto"/>
          <w:bar w:val="single" w:sz="4" w:color="auto"/>
        </w:pBdr>
        <w:ind w:left="-284" w:right="-306"/>
        <w:rPr>
          <w:szCs w:val="20"/>
        </w:rPr>
      </w:pPr>
      <w:r>
        <w:rPr>
          <w:szCs w:val="20"/>
        </w:rPr>
        <w:t xml:space="preserve">Category </w:t>
      </w:r>
      <w:r>
        <w:t>3</w:t>
      </w:r>
      <w:r w:rsidRPr="00AE1188">
        <w:rPr>
          <w:szCs w:val="20"/>
        </w:rPr>
        <w:t xml:space="preserve"> – </w:t>
      </w:r>
      <w:r>
        <w:rPr>
          <w:szCs w:val="20"/>
        </w:rPr>
        <w:t xml:space="preserve">Therapeutic Procedures </w:t>
      </w:r>
      <w:r w:rsidR="00190420">
        <w:rPr>
          <w:szCs w:val="20"/>
        </w:rPr>
        <w:t>– Proposed expansion of item number 40862</w:t>
      </w:r>
    </w:p>
    <w:p w14:paraId="3272601C" w14:textId="77777777" w:rsidR="00DC72A1" w:rsidRDefault="00DC72A1" w:rsidP="00634772">
      <w:pPr>
        <w:pBdr>
          <w:top w:val="single" w:sz="4" w:space="1" w:color="auto"/>
          <w:left w:val="single" w:sz="4" w:space="4" w:color="auto"/>
          <w:bottom w:val="single" w:sz="4" w:space="1" w:color="auto"/>
          <w:right w:val="single" w:sz="4" w:space="4" w:color="auto"/>
        </w:pBdr>
        <w:ind w:left="-284" w:right="-306"/>
        <w:rPr>
          <w:szCs w:val="20"/>
        </w:rPr>
      </w:pPr>
      <w:r w:rsidRPr="00AE1188">
        <w:rPr>
          <w:szCs w:val="20"/>
        </w:rPr>
        <w:t>Proposed item descriptor</w:t>
      </w:r>
      <w:r>
        <w:rPr>
          <w:szCs w:val="20"/>
        </w:rPr>
        <w:t xml:space="preserve">: </w:t>
      </w:r>
    </w:p>
    <w:p w14:paraId="08BDE0DB" w14:textId="2D0EDE13" w:rsidR="00DC72A1" w:rsidRDefault="00DC72A1" w:rsidP="00634772">
      <w:pPr>
        <w:pBdr>
          <w:top w:val="single" w:sz="4" w:space="1" w:color="auto"/>
          <w:left w:val="single" w:sz="4" w:space="4" w:color="auto"/>
          <w:bottom w:val="single" w:sz="4" w:space="1" w:color="auto"/>
          <w:right w:val="single" w:sz="4" w:space="4" w:color="auto"/>
        </w:pBdr>
        <w:ind w:left="-284" w:right="-306"/>
        <w:rPr>
          <w:szCs w:val="20"/>
        </w:rPr>
      </w:pPr>
      <w:r w:rsidRPr="00DC72A1">
        <w:rPr>
          <w:szCs w:val="20"/>
        </w:rPr>
        <w:t>DEEP BRAIN STIMULATION (unilateral) electronic analysis and programming of neurostimulator pulse generator for the treatment of:</w:t>
      </w:r>
    </w:p>
    <w:p w14:paraId="68AA91DA" w14:textId="77777777" w:rsidR="00DC72A1" w:rsidRPr="00DC72A1" w:rsidRDefault="00DC72A1" w:rsidP="00634772">
      <w:pPr>
        <w:pBdr>
          <w:top w:val="single" w:sz="4" w:space="1" w:color="auto"/>
          <w:left w:val="single" w:sz="4" w:space="4" w:color="auto"/>
          <w:bottom w:val="single" w:sz="4" w:space="1" w:color="auto"/>
          <w:right w:val="single" w:sz="4" w:space="4" w:color="auto"/>
        </w:pBdr>
        <w:ind w:left="-284" w:right="-306"/>
        <w:rPr>
          <w:szCs w:val="20"/>
        </w:rPr>
      </w:pPr>
      <w:r w:rsidRPr="00DC72A1">
        <w:rPr>
          <w:szCs w:val="20"/>
        </w:rPr>
        <w:t>Parkinson's disease where the patient's response to medical therapy is not sustained and is accompanied by unacceptable motor fluctuations; or</w:t>
      </w:r>
    </w:p>
    <w:p w14:paraId="77A7FF42" w14:textId="1F180B92" w:rsidR="00DC72A1" w:rsidRDefault="00DC72A1" w:rsidP="00634772">
      <w:pPr>
        <w:pBdr>
          <w:top w:val="single" w:sz="4" w:space="1" w:color="auto"/>
          <w:left w:val="single" w:sz="4" w:space="4" w:color="auto"/>
          <w:bottom w:val="single" w:sz="4" w:space="1" w:color="auto"/>
          <w:right w:val="single" w:sz="4" w:space="4" w:color="auto"/>
        </w:pBdr>
        <w:ind w:left="-284" w:right="-306"/>
        <w:rPr>
          <w:szCs w:val="20"/>
        </w:rPr>
      </w:pPr>
      <w:r w:rsidRPr="00DC72A1">
        <w:rPr>
          <w:szCs w:val="20"/>
        </w:rPr>
        <w:t>Essential tremor or dystonia where the patient's symptoms cause severe disability</w:t>
      </w:r>
      <w:r w:rsidR="006E0D49">
        <w:rPr>
          <w:szCs w:val="20"/>
        </w:rPr>
        <w:t xml:space="preserve">; or </w:t>
      </w:r>
    </w:p>
    <w:p w14:paraId="7B2EE53C" w14:textId="77777777" w:rsidR="00634772" w:rsidRDefault="006E0D49" w:rsidP="00634772">
      <w:pPr>
        <w:pBdr>
          <w:top w:val="single" w:sz="4" w:space="1" w:color="auto"/>
          <w:left w:val="single" w:sz="4" w:space="4" w:color="auto"/>
          <w:bottom w:val="single" w:sz="4" w:space="1" w:color="auto"/>
          <w:right w:val="single" w:sz="4" w:space="4" w:color="auto"/>
        </w:pBdr>
        <w:ind w:left="-284" w:right="-306"/>
      </w:pPr>
      <w:r w:rsidRPr="00D83EF8">
        <w:t>Medical</w:t>
      </w:r>
      <w:r>
        <w:t>ly</w:t>
      </w:r>
      <w:r w:rsidRPr="00D83EF8">
        <w:t xml:space="preserve"> </w:t>
      </w:r>
      <w:r>
        <w:t>r</w:t>
      </w:r>
      <w:r w:rsidRPr="00D83EF8">
        <w:t xml:space="preserve">efractory </w:t>
      </w:r>
      <w:r>
        <w:t>e</w:t>
      </w:r>
      <w:r w:rsidRPr="00D83EF8">
        <w:t xml:space="preserve">pilepsy in </w:t>
      </w:r>
      <w:r>
        <w:t>p</w:t>
      </w:r>
      <w:r w:rsidRPr="00D83EF8">
        <w:t xml:space="preserve">atients </w:t>
      </w:r>
      <w:r>
        <w:t>n</w:t>
      </w:r>
      <w:r w:rsidRPr="00D83EF8">
        <w:t xml:space="preserve">ot </w:t>
      </w:r>
      <w:r>
        <w:t>s</w:t>
      </w:r>
      <w:r w:rsidRPr="00D83EF8">
        <w:t xml:space="preserve">uitable for </w:t>
      </w:r>
      <w:r>
        <w:t>resective s</w:t>
      </w:r>
      <w:r w:rsidRPr="00D83EF8">
        <w:t>urgery</w:t>
      </w:r>
      <w:r>
        <w:t xml:space="preserve"> following assessment by a Comprehensive Epilepsy Program; or</w:t>
      </w:r>
    </w:p>
    <w:p w14:paraId="02F87F3E" w14:textId="7404E76B" w:rsidR="00DC72A1" w:rsidRPr="00AE1188" w:rsidRDefault="00DC72A1" w:rsidP="00634772">
      <w:pPr>
        <w:pBdr>
          <w:top w:val="single" w:sz="4" w:space="1" w:color="auto"/>
          <w:left w:val="single" w:sz="4" w:space="4" w:color="auto"/>
          <w:bottom w:val="single" w:sz="4" w:space="1" w:color="auto"/>
          <w:right w:val="single" w:sz="4" w:space="4" w:color="auto"/>
        </w:pBdr>
        <w:ind w:left="-284" w:right="-306"/>
        <w:rPr>
          <w:szCs w:val="20"/>
        </w:rPr>
      </w:pPr>
      <w:r w:rsidRPr="00AE1188">
        <w:rPr>
          <w:szCs w:val="20"/>
        </w:rPr>
        <w:t xml:space="preserve">Fee:  </w:t>
      </w:r>
      <w:r>
        <w:rPr>
          <w:szCs w:val="20"/>
        </w:rPr>
        <w:t>$197.40</w:t>
      </w:r>
    </w:p>
    <w:p w14:paraId="36840732" w14:textId="77777777" w:rsidR="008B2B78" w:rsidRPr="008B2B78" w:rsidRDefault="008B2B78" w:rsidP="008B2B78"/>
    <w:p w14:paraId="4B78AC07" w14:textId="56F38C24" w:rsidR="00A44C0D" w:rsidRPr="00A44C0D" w:rsidRDefault="00D269F6" w:rsidP="000F0ACD">
      <w:pPr>
        <w:pStyle w:val="Heading2"/>
      </w:pPr>
      <w:r w:rsidRPr="00A44C0D">
        <w:t xml:space="preserve">If public funding is sought through an </w:t>
      </w:r>
      <w:r w:rsidRPr="00A44C0D">
        <w:rPr>
          <w:u w:val="single"/>
        </w:rPr>
        <w:t>alternative (non-MBS) funding arrangement</w:t>
      </w:r>
      <w:r w:rsidRPr="00A44C0D">
        <w:t>, please draft a service description to define the population and usage characteristics that defines eligibility for the service/technology</w:t>
      </w:r>
      <w:r w:rsidR="00785937" w:rsidRPr="00A44C0D">
        <w:t>.</w:t>
      </w:r>
    </w:p>
    <w:p w14:paraId="332E0E76" w14:textId="2C7A67F5" w:rsidR="00282B37" w:rsidRPr="000F0ACD" w:rsidRDefault="00DF5FCB" w:rsidP="000F0ACD">
      <w:pPr>
        <w:ind w:left="360"/>
      </w:pPr>
      <w:r w:rsidRPr="00A44C0D">
        <w:t>This section is not applicable as MBS funding is being sought.</w:t>
      </w:r>
      <w:r>
        <w:t xml:space="preserve"> </w:t>
      </w:r>
    </w:p>
    <w:p w14:paraId="55E00204" w14:textId="77777777" w:rsidR="008E5A76" w:rsidRDefault="008E5A76" w:rsidP="00950F45">
      <w:pPr>
        <w:rPr>
          <w:szCs w:val="20"/>
        </w:rPr>
      </w:pPr>
    </w:p>
    <w:sectPr w:rsidR="008E5A76" w:rsidSect="00634772">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BE950" w14:textId="77777777" w:rsidR="000174E7" w:rsidRDefault="000174E7" w:rsidP="00CF2DFA">
      <w:pPr>
        <w:spacing w:after="0"/>
      </w:pPr>
      <w:r>
        <w:separator/>
      </w:r>
    </w:p>
  </w:endnote>
  <w:endnote w:type="continuationSeparator" w:id="0">
    <w:p w14:paraId="2E26B3DB" w14:textId="77777777" w:rsidR="000174E7" w:rsidRDefault="000174E7"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626AEC8B" w14:textId="4CB0A64C" w:rsidR="000174E7" w:rsidRDefault="000174E7">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785937">
          <w:rPr>
            <w:b/>
            <w:bCs/>
            <w:noProof/>
            <w:sz w:val="18"/>
            <w:szCs w:val="18"/>
          </w:rPr>
          <w:t>16</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Application Form</w:t>
        </w:r>
      </w:p>
      <w:p w14:paraId="3B017E31" w14:textId="73A5BC0D" w:rsidR="000174E7" w:rsidRPr="003F7CB9" w:rsidRDefault="000174E7"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5109D" w14:textId="77777777" w:rsidR="000174E7" w:rsidRDefault="000174E7" w:rsidP="00CF2DFA">
      <w:pPr>
        <w:spacing w:after="0"/>
      </w:pPr>
      <w:r>
        <w:separator/>
      </w:r>
    </w:p>
  </w:footnote>
  <w:footnote w:type="continuationSeparator" w:id="0">
    <w:p w14:paraId="262F74DD" w14:textId="77777777" w:rsidR="000174E7" w:rsidRDefault="000174E7" w:rsidP="00CF2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236"/>
    <w:multiLevelType w:val="hybridMultilevel"/>
    <w:tmpl w:val="C3AE958E"/>
    <w:lvl w:ilvl="0" w:tplc="120CD9A2">
      <w:start w:val="1"/>
      <w:numFmt w:val="lowerRoman"/>
      <w:lvlText w:val="%1."/>
      <w:lvlJc w:val="left"/>
      <w:pPr>
        <w:ind w:left="786" w:hanging="720"/>
      </w:pPr>
      <w:rPr>
        <w:rFonts w:hint="default"/>
        <w:b w:val="0"/>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019FA"/>
    <w:multiLevelType w:val="hybridMultilevel"/>
    <w:tmpl w:val="8362EB6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94F4AFC"/>
    <w:multiLevelType w:val="hybridMultilevel"/>
    <w:tmpl w:val="F806A05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0CAE1ECF"/>
    <w:multiLevelType w:val="hybridMultilevel"/>
    <w:tmpl w:val="39B2D9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561AD2"/>
    <w:multiLevelType w:val="hybridMultilevel"/>
    <w:tmpl w:val="31665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DF1936"/>
    <w:multiLevelType w:val="hybridMultilevel"/>
    <w:tmpl w:val="B612459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1B891D4C"/>
    <w:multiLevelType w:val="hybridMultilevel"/>
    <w:tmpl w:val="37F044C4"/>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1D946D80"/>
    <w:multiLevelType w:val="hybridMultilevel"/>
    <w:tmpl w:val="21B697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EC46DCA"/>
    <w:multiLevelType w:val="hybridMultilevel"/>
    <w:tmpl w:val="59A8F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F34B36"/>
    <w:multiLevelType w:val="hybridMultilevel"/>
    <w:tmpl w:val="28A4A62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290E438D"/>
    <w:multiLevelType w:val="hybridMultilevel"/>
    <w:tmpl w:val="6AA236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A163DBF"/>
    <w:multiLevelType w:val="hybridMultilevel"/>
    <w:tmpl w:val="5126AD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42B0AF8"/>
    <w:multiLevelType w:val="hybridMultilevel"/>
    <w:tmpl w:val="D9F63AE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3690737C"/>
    <w:multiLevelType w:val="hybridMultilevel"/>
    <w:tmpl w:val="6A9EC19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3A3D79DE"/>
    <w:multiLevelType w:val="multilevel"/>
    <w:tmpl w:val="39C0FA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3ACE3333"/>
    <w:multiLevelType w:val="hybridMultilevel"/>
    <w:tmpl w:val="D97E67E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3B67AA"/>
    <w:multiLevelType w:val="hybridMultilevel"/>
    <w:tmpl w:val="3E64F1F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45186D6F"/>
    <w:multiLevelType w:val="hybridMultilevel"/>
    <w:tmpl w:val="131A54F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46212A6F"/>
    <w:multiLevelType w:val="hybridMultilevel"/>
    <w:tmpl w:val="41024F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59E4679"/>
    <w:multiLevelType w:val="hybridMultilevel"/>
    <w:tmpl w:val="91E2F0D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8"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CA0113"/>
    <w:multiLevelType w:val="hybridMultilevel"/>
    <w:tmpl w:val="AF340B8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0"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7F23A8"/>
    <w:multiLevelType w:val="hybridMultilevel"/>
    <w:tmpl w:val="4BA452D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3"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0742AE"/>
    <w:multiLevelType w:val="hybridMultilevel"/>
    <w:tmpl w:val="C62ACFC2"/>
    <w:lvl w:ilvl="0" w:tplc="9F52BE6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374B8B"/>
    <w:multiLevelType w:val="hybridMultilevel"/>
    <w:tmpl w:val="DB8ADCF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6"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FB194B"/>
    <w:multiLevelType w:val="hybridMultilevel"/>
    <w:tmpl w:val="03D4390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8"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A16AEC"/>
    <w:multiLevelType w:val="hybridMultilevel"/>
    <w:tmpl w:val="55225C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EF151C5"/>
    <w:multiLevelType w:val="hybridMultilevel"/>
    <w:tmpl w:val="83AA7F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D1631B"/>
    <w:multiLevelType w:val="hybridMultilevel"/>
    <w:tmpl w:val="7D5222B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2" w15:restartNumberingAfterBreak="0">
    <w:nsid w:val="759D60F3"/>
    <w:multiLevelType w:val="hybridMultilevel"/>
    <w:tmpl w:val="287A2FD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3" w15:restartNumberingAfterBreak="0">
    <w:nsid w:val="7A846DEB"/>
    <w:multiLevelType w:val="hybridMultilevel"/>
    <w:tmpl w:val="395C1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8"/>
  </w:num>
  <w:num w:numId="3">
    <w:abstractNumId w:val="1"/>
  </w:num>
  <w:num w:numId="4">
    <w:abstractNumId w:val="33"/>
  </w:num>
  <w:num w:numId="5">
    <w:abstractNumId w:val="7"/>
  </w:num>
  <w:num w:numId="6">
    <w:abstractNumId w:val="28"/>
  </w:num>
  <w:num w:numId="7">
    <w:abstractNumId w:val="21"/>
  </w:num>
  <w:num w:numId="8">
    <w:abstractNumId w:val="36"/>
  </w:num>
  <w:num w:numId="9">
    <w:abstractNumId w:val="5"/>
  </w:num>
  <w:num w:numId="10">
    <w:abstractNumId w:val="31"/>
  </w:num>
  <w:num w:numId="11">
    <w:abstractNumId w:val="9"/>
  </w:num>
  <w:num w:numId="12">
    <w:abstractNumId w:val="30"/>
  </w:num>
  <w:num w:numId="13">
    <w:abstractNumId w:val="8"/>
  </w:num>
  <w:num w:numId="14">
    <w:abstractNumId w:val="25"/>
  </w:num>
  <w:num w:numId="15">
    <w:abstractNumId w:val="0"/>
  </w:num>
  <w:num w:numId="16">
    <w:abstractNumId w:val="27"/>
  </w:num>
  <w:num w:numId="17">
    <w:abstractNumId w:val="17"/>
  </w:num>
  <w:num w:numId="18">
    <w:abstractNumId w:val="19"/>
  </w:num>
  <w:num w:numId="19">
    <w:abstractNumId w:val="11"/>
  </w:num>
  <w:num w:numId="20">
    <w:abstractNumId w:val="2"/>
  </w:num>
  <w:num w:numId="21">
    <w:abstractNumId w:val="18"/>
  </w:num>
  <w:num w:numId="22">
    <w:abstractNumId w:val="29"/>
  </w:num>
  <w:num w:numId="23">
    <w:abstractNumId w:val="35"/>
  </w:num>
  <w:num w:numId="24">
    <w:abstractNumId w:val="10"/>
  </w:num>
  <w:num w:numId="25">
    <w:abstractNumId w:val="14"/>
  </w:num>
  <w:num w:numId="26">
    <w:abstractNumId w:val="32"/>
  </w:num>
  <w:num w:numId="27">
    <w:abstractNumId w:val="6"/>
  </w:num>
  <w:num w:numId="28">
    <w:abstractNumId w:val="39"/>
  </w:num>
  <w:num w:numId="29">
    <w:abstractNumId w:val="16"/>
  </w:num>
  <w:num w:numId="30">
    <w:abstractNumId w:val="12"/>
  </w:num>
  <w:num w:numId="31">
    <w:abstractNumId w:val="42"/>
  </w:num>
  <w:num w:numId="32">
    <w:abstractNumId w:val="24"/>
  </w:num>
  <w:num w:numId="33">
    <w:abstractNumId w:val="4"/>
  </w:num>
  <w:num w:numId="34">
    <w:abstractNumId w:val="43"/>
  </w:num>
  <w:num w:numId="35">
    <w:abstractNumId w:val="13"/>
  </w:num>
  <w:num w:numId="36">
    <w:abstractNumId w:val="22"/>
  </w:num>
  <w:num w:numId="37">
    <w:abstractNumId w:val="20"/>
  </w:num>
  <w:num w:numId="38">
    <w:abstractNumId w:val="37"/>
  </w:num>
  <w:num w:numId="39">
    <w:abstractNumId w:val="15"/>
  </w:num>
  <w:num w:numId="40">
    <w:abstractNumId w:val="3"/>
  </w:num>
  <w:num w:numId="41">
    <w:abstractNumId w:val="41"/>
  </w:num>
  <w:num w:numId="42">
    <w:abstractNumId w:val="40"/>
  </w:num>
  <w:num w:numId="43">
    <w:abstractNumId w:val="23"/>
  </w:num>
  <w:num w:numId="44">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5"/>
    <w:rsid w:val="000001B9"/>
    <w:rsid w:val="00000F12"/>
    <w:rsid w:val="00001AE1"/>
    <w:rsid w:val="00002D7E"/>
    <w:rsid w:val="0000312A"/>
    <w:rsid w:val="00005424"/>
    <w:rsid w:val="0000671F"/>
    <w:rsid w:val="000110DC"/>
    <w:rsid w:val="000121B2"/>
    <w:rsid w:val="0001350A"/>
    <w:rsid w:val="0001420B"/>
    <w:rsid w:val="00014EC4"/>
    <w:rsid w:val="000158AA"/>
    <w:rsid w:val="000159B9"/>
    <w:rsid w:val="00016B6E"/>
    <w:rsid w:val="000174E7"/>
    <w:rsid w:val="0002275B"/>
    <w:rsid w:val="00022C30"/>
    <w:rsid w:val="00023E21"/>
    <w:rsid w:val="00024481"/>
    <w:rsid w:val="00025ABC"/>
    <w:rsid w:val="00026412"/>
    <w:rsid w:val="0003107B"/>
    <w:rsid w:val="00031F6F"/>
    <w:rsid w:val="00034D6E"/>
    <w:rsid w:val="00037E62"/>
    <w:rsid w:val="000401B8"/>
    <w:rsid w:val="000405CA"/>
    <w:rsid w:val="00043404"/>
    <w:rsid w:val="00044E81"/>
    <w:rsid w:val="000456D3"/>
    <w:rsid w:val="0005089D"/>
    <w:rsid w:val="000525BC"/>
    <w:rsid w:val="00052C0F"/>
    <w:rsid w:val="00052C1F"/>
    <w:rsid w:val="000553D7"/>
    <w:rsid w:val="00055D84"/>
    <w:rsid w:val="00061135"/>
    <w:rsid w:val="00063E4D"/>
    <w:rsid w:val="00070697"/>
    <w:rsid w:val="00070DA9"/>
    <w:rsid w:val="00071341"/>
    <w:rsid w:val="000718F8"/>
    <w:rsid w:val="00073222"/>
    <w:rsid w:val="00074100"/>
    <w:rsid w:val="00074512"/>
    <w:rsid w:val="00074620"/>
    <w:rsid w:val="000752B5"/>
    <w:rsid w:val="000770BA"/>
    <w:rsid w:val="000776C6"/>
    <w:rsid w:val="00080535"/>
    <w:rsid w:val="00081DDA"/>
    <w:rsid w:val="00082B62"/>
    <w:rsid w:val="0008323F"/>
    <w:rsid w:val="00092580"/>
    <w:rsid w:val="00093F22"/>
    <w:rsid w:val="000955E7"/>
    <w:rsid w:val="00095B25"/>
    <w:rsid w:val="00095B45"/>
    <w:rsid w:val="0009601A"/>
    <w:rsid w:val="00097414"/>
    <w:rsid w:val="000979E6"/>
    <w:rsid w:val="000A110D"/>
    <w:rsid w:val="000A303A"/>
    <w:rsid w:val="000A39C7"/>
    <w:rsid w:val="000A478F"/>
    <w:rsid w:val="000A5B32"/>
    <w:rsid w:val="000A67F6"/>
    <w:rsid w:val="000A6E42"/>
    <w:rsid w:val="000B06FE"/>
    <w:rsid w:val="000B1F98"/>
    <w:rsid w:val="000B2265"/>
    <w:rsid w:val="000B3CD0"/>
    <w:rsid w:val="000B458D"/>
    <w:rsid w:val="000B75DB"/>
    <w:rsid w:val="000B7ECD"/>
    <w:rsid w:val="000C1544"/>
    <w:rsid w:val="000C19AD"/>
    <w:rsid w:val="000C1B69"/>
    <w:rsid w:val="000C73BA"/>
    <w:rsid w:val="000D066E"/>
    <w:rsid w:val="000D0831"/>
    <w:rsid w:val="000D1B88"/>
    <w:rsid w:val="000D2E90"/>
    <w:rsid w:val="000D2F61"/>
    <w:rsid w:val="000D7E66"/>
    <w:rsid w:val="000E18D3"/>
    <w:rsid w:val="000E2E02"/>
    <w:rsid w:val="000E47E7"/>
    <w:rsid w:val="000E53A5"/>
    <w:rsid w:val="000E5439"/>
    <w:rsid w:val="000F0ACD"/>
    <w:rsid w:val="000F3129"/>
    <w:rsid w:val="000F3155"/>
    <w:rsid w:val="000F44D0"/>
    <w:rsid w:val="000F6182"/>
    <w:rsid w:val="000F61F0"/>
    <w:rsid w:val="000F63DD"/>
    <w:rsid w:val="000F7C13"/>
    <w:rsid w:val="00102686"/>
    <w:rsid w:val="00102778"/>
    <w:rsid w:val="00102B17"/>
    <w:rsid w:val="00105ADD"/>
    <w:rsid w:val="00105BE7"/>
    <w:rsid w:val="00107089"/>
    <w:rsid w:val="0011036E"/>
    <w:rsid w:val="00112408"/>
    <w:rsid w:val="001130B0"/>
    <w:rsid w:val="0011312A"/>
    <w:rsid w:val="00113582"/>
    <w:rsid w:val="0011369B"/>
    <w:rsid w:val="0011478F"/>
    <w:rsid w:val="001151C6"/>
    <w:rsid w:val="00116B7A"/>
    <w:rsid w:val="0011742E"/>
    <w:rsid w:val="00120F20"/>
    <w:rsid w:val="00123D10"/>
    <w:rsid w:val="00124809"/>
    <w:rsid w:val="00124F7E"/>
    <w:rsid w:val="00125756"/>
    <w:rsid w:val="00126429"/>
    <w:rsid w:val="001264E7"/>
    <w:rsid w:val="00126B33"/>
    <w:rsid w:val="00130A2A"/>
    <w:rsid w:val="0013243D"/>
    <w:rsid w:val="00132656"/>
    <w:rsid w:val="00134589"/>
    <w:rsid w:val="00134A6F"/>
    <w:rsid w:val="001357A2"/>
    <w:rsid w:val="001367C7"/>
    <w:rsid w:val="00140C75"/>
    <w:rsid w:val="00140C82"/>
    <w:rsid w:val="0014218D"/>
    <w:rsid w:val="00143583"/>
    <w:rsid w:val="00143843"/>
    <w:rsid w:val="00144758"/>
    <w:rsid w:val="00144F14"/>
    <w:rsid w:val="001502C6"/>
    <w:rsid w:val="001518E8"/>
    <w:rsid w:val="0015386B"/>
    <w:rsid w:val="00154B00"/>
    <w:rsid w:val="001551D1"/>
    <w:rsid w:val="00155491"/>
    <w:rsid w:val="001555C5"/>
    <w:rsid w:val="001562D3"/>
    <w:rsid w:val="001567BE"/>
    <w:rsid w:val="00156B22"/>
    <w:rsid w:val="00156F79"/>
    <w:rsid w:val="00157B40"/>
    <w:rsid w:val="00161A6E"/>
    <w:rsid w:val="00161D84"/>
    <w:rsid w:val="00161F6C"/>
    <w:rsid w:val="001638F2"/>
    <w:rsid w:val="001644E9"/>
    <w:rsid w:val="00164775"/>
    <w:rsid w:val="0016780B"/>
    <w:rsid w:val="001678D7"/>
    <w:rsid w:val="00171163"/>
    <w:rsid w:val="00172AC2"/>
    <w:rsid w:val="00172E9D"/>
    <w:rsid w:val="00173DAE"/>
    <w:rsid w:val="00174FF1"/>
    <w:rsid w:val="001755B6"/>
    <w:rsid w:val="0018310E"/>
    <w:rsid w:val="001845D9"/>
    <w:rsid w:val="00184C80"/>
    <w:rsid w:val="0018630F"/>
    <w:rsid w:val="00187CE1"/>
    <w:rsid w:val="00190420"/>
    <w:rsid w:val="001906CD"/>
    <w:rsid w:val="0019075E"/>
    <w:rsid w:val="00191B99"/>
    <w:rsid w:val="0019206D"/>
    <w:rsid w:val="00192FB7"/>
    <w:rsid w:val="001931DA"/>
    <w:rsid w:val="001945CB"/>
    <w:rsid w:val="00196726"/>
    <w:rsid w:val="0019694B"/>
    <w:rsid w:val="00197D29"/>
    <w:rsid w:val="001A02E3"/>
    <w:rsid w:val="001A1ADF"/>
    <w:rsid w:val="001A3317"/>
    <w:rsid w:val="001A365C"/>
    <w:rsid w:val="001A6E3C"/>
    <w:rsid w:val="001A71FB"/>
    <w:rsid w:val="001B171D"/>
    <w:rsid w:val="001B29A1"/>
    <w:rsid w:val="001B5169"/>
    <w:rsid w:val="001B6164"/>
    <w:rsid w:val="001B73DE"/>
    <w:rsid w:val="001C0DD2"/>
    <w:rsid w:val="001C11FE"/>
    <w:rsid w:val="001C1EBC"/>
    <w:rsid w:val="001C579F"/>
    <w:rsid w:val="001C6D16"/>
    <w:rsid w:val="001C6EF8"/>
    <w:rsid w:val="001C7DAD"/>
    <w:rsid w:val="001D1164"/>
    <w:rsid w:val="001D2253"/>
    <w:rsid w:val="001D301B"/>
    <w:rsid w:val="001D56DD"/>
    <w:rsid w:val="001D726E"/>
    <w:rsid w:val="001D77ED"/>
    <w:rsid w:val="001E0515"/>
    <w:rsid w:val="001E1180"/>
    <w:rsid w:val="001E1B59"/>
    <w:rsid w:val="001E20C3"/>
    <w:rsid w:val="001E23EA"/>
    <w:rsid w:val="001E2881"/>
    <w:rsid w:val="001E2BD3"/>
    <w:rsid w:val="001E3175"/>
    <w:rsid w:val="001E32EE"/>
    <w:rsid w:val="001E618A"/>
    <w:rsid w:val="001E66B5"/>
    <w:rsid w:val="001E6919"/>
    <w:rsid w:val="001E6958"/>
    <w:rsid w:val="001E6C73"/>
    <w:rsid w:val="001E736A"/>
    <w:rsid w:val="001F1154"/>
    <w:rsid w:val="001F20E8"/>
    <w:rsid w:val="001F258F"/>
    <w:rsid w:val="001F3066"/>
    <w:rsid w:val="001F3E79"/>
    <w:rsid w:val="001F4819"/>
    <w:rsid w:val="001F74DA"/>
    <w:rsid w:val="00201924"/>
    <w:rsid w:val="00201D67"/>
    <w:rsid w:val="00202473"/>
    <w:rsid w:val="002052BA"/>
    <w:rsid w:val="002053F2"/>
    <w:rsid w:val="00206D63"/>
    <w:rsid w:val="00210029"/>
    <w:rsid w:val="002109B1"/>
    <w:rsid w:val="0021185D"/>
    <w:rsid w:val="00212B8A"/>
    <w:rsid w:val="00214F3B"/>
    <w:rsid w:val="00215CBB"/>
    <w:rsid w:val="00215D8C"/>
    <w:rsid w:val="00216D88"/>
    <w:rsid w:val="0021724A"/>
    <w:rsid w:val="00217D22"/>
    <w:rsid w:val="00221173"/>
    <w:rsid w:val="0022292D"/>
    <w:rsid w:val="0022451B"/>
    <w:rsid w:val="002249F1"/>
    <w:rsid w:val="00226777"/>
    <w:rsid w:val="002272B0"/>
    <w:rsid w:val="00227DED"/>
    <w:rsid w:val="0023271E"/>
    <w:rsid w:val="00233588"/>
    <w:rsid w:val="00235BD1"/>
    <w:rsid w:val="00236A30"/>
    <w:rsid w:val="002407D6"/>
    <w:rsid w:val="002416E1"/>
    <w:rsid w:val="00242B0E"/>
    <w:rsid w:val="002442DB"/>
    <w:rsid w:val="00246054"/>
    <w:rsid w:val="00247DF0"/>
    <w:rsid w:val="00251404"/>
    <w:rsid w:val="002540C0"/>
    <w:rsid w:val="00254813"/>
    <w:rsid w:val="00256896"/>
    <w:rsid w:val="00256912"/>
    <w:rsid w:val="00257FF2"/>
    <w:rsid w:val="00260CB4"/>
    <w:rsid w:val="00260F24"/>
    <w:rsid w:val="0026195E"/>
    <w:rsid w:val="00262010"/>
    <w:rsid w:val="0026209B"/>
    <w:rsid w:val="002622A5"/>
    <w:rsid w:val="002622AD"/>
    <w:rsid w:val="00262762"/>
    <w:rsid w:val="002651BC"/>
    <w:rsid w:val="00265822"/>
    <w:rsid w:val="002670CC"/>
    <w:rsid w:val="002706EB"/>
    <w:rsid w:val="0027105F"/>
    <w:rsid w:val="002711FB"/>
    <w:rsid w:val="0027190A"/>
    <w:rsid w:val="00272033"/>
    <w:rsid w:val="0027267C"/>
    <w:rsid w:val="00273C73"/>
    <w:rsid w:val="002746BE"/>
    <w:rsid w:val="00277BA1"/>
    <w:rsid w:val="00280B52"/>
    <w:rsid w:val="002810D9"/>
    <w:rsid w:val="00282B37"/>
    <w:rsid w:val="00282BE8"/>
    <w:rsid w:val="00283318"/>
    <w:rsid w:val="00285525"/>
    <w:rsid w:val="00286147"/>
    <w:rsid w:val="00290C25"/>
    <w:rsid w:val="002935AB"/>
    <w:rsid w:val="00294CD8"/>
    <w:rsid w:val="002953B4"/>
    <w:rsid w:val="00295AFA"/>
    <w:rsid w:val="00296405"/>
    <w:rsid w:val="00296EEF"/>
    <w:rsid w:val="00297834"/>
    <w:rsid w:val="002A0E1F"/>
    <w:rsid w:val="002A1015"/>
    <w:rsid w:val="002A270B"/>
    <w:rsid w:val="002A2D3F"/>
    <w:rsid w:val="002A50FD"/>
    <w:rsid w:val="002A6753"/>
    <w:rsid w:val="002A6D0A"/>
    <w:rsid w:val="002B1635"/>
    <w:rsid w:val="002B282A"/>
    <w:rsid w:val="002B28D7"/>
    <w:rsid w:val="002B2986"/>
    <w:rsid w:val="002B4C52"/>
    <w:rsid w:val="002B50DA"/>
    <w:rsid w:val="002B5B77"/>
    <w:rsid w:val="002B718D"/>
    <w:rsid w:val="002B7EB6"/>
    <w:rsid w:val="002C08F6"/>
    <w:rsid w:val="002C0AB4"/>
    <w:rsid w:val="002C0B61"/>
    <w:rsid w:val="002C15E6"/>
    <w:rsid w:val="002C247D"/>
    <w:rsid w:val="002C3118"/>
    <w:rsid w:val="002C3345"/>
    <w:rsid w:val="002C3D6C"/>
    <w:rsid w:val="002C54A1"/>
    <w:rsid w:val="002D1E0F"/>
    <w:rsid w:val="002D409A"/>
    <w:rsid w:val="002D4620"/>
    <w:rsid w:val="002D6088"/>
    <w:rsid w:val="002D61AC"/>
    <w:rsid w:val="002D7E4E"/>
    <w:rsid w:val="002E204B"/>
    <w:rsid w:val="002E4B04"/>
    <w:rsid w:val="002E6494"/>
    <w:rsid w:val="002F178E"/>
    <w:rsid w:val="002F2138"/>
    <w:rsid w:val="002F2F2C"/>
    <w:rsid w:val="002F30E7"/>
    <w:rsid w:val="002F43A1"/>
    <w:rsid w:val="002F468E"/>
    <w:rsid w:val="002F4B28"/>
    <w:rsid w:val="00300531"/>
    <w:rsid w:val="00300EEB"/>
    <w:rsid w:val="003013A9"/>
    <w:rsid w:val="00301958"/>
    <w:rsid w:val="003020B5"/>
    <w:rsid w:val="003027BB"/>
    <w:rsid w:val="003059DF"/>
    <w:rsid w:val="003060FE"/>
    <w:rsid w:val="0030791E"/>
    <w:rsid w:val="00310A10"/>
    <w:rsid w:val="00311007"/>
    <w:rsid w:val="003135F0"/>
    <w:rsid w:val="00313E64"/>
    <w:rsid w:val="00313FB1"/>
    <w:rsid w:val="00315EFD"/>
    <w:rsid w:val="00317358"/>
    <w:rsid w:val="00317EC8"/>
    <w:rsid w:val="00317F2F"/>
    <w:rsid w:val="00320FED"/>
    <w:rsid w:val="003230AC"/>
    <w:rsid w:val="00323706"/>
    <w:rsid w:val="00327D25"/>
    <w:rsid w:val="003319A7"/>
    <w:rsid w:val="00332BCD"/>
    <w:rsid w:val="00333292"/>
    <w:rsid w:val="00333562"/>
    <w:rsid w:val="00334996"/>
    <w:rsid w:val="00334FE3"/>
    <w:rsid w:val="003353EE"/>
    <w:rsid w:val="0033561A"/>
    <w:rsid w:val="00341EC0"/>
    <w:rsid w:val="003421AE"/>
    <w:rsid w:val="003433D1"/>
    <w:rsid w:val="00344B24"/>
    <w:rsid w:val="0034520B"/>
    <w:rsid w:val="003456B9"/>
    <w:rsid w:val="00345E4F"/>
    <w:rsid w:val="003462A9"/>
    <w:rsid w:val="0034649E"/>
    <w:rsid w:val="0035067D"/>
    <w:rsid w:val="0035302C"/>
    <w:rsid w:val="0035378C"/>
    <w:rsid w:val="00353A16"/>
    <w:rsid w:val="0035776D"/>
    <w:rsid w:val="00357A29"/>
    <w:rsid w:val="00357DD4"/>
    <w:rsid w:val="00362772"/>
    <w:rsid w:val="00364FD9"/>
    <w:rsid w:val="00367332"/>
    <w:rsid w:val="00367C1B"/>
    <w:rsid w:val="00371A12"/>
    <w:rsid w:val="0037244E"/>
    <w:rsid w:val="00376B61"/>
    <w:rsid w:val="003801BA"/>
    <w:rsid w:val="00380CED"/>
    <w:rsid w:val="00381E8D"/>
    <w:rsid w:val="00382407"/>
    <w:rsid w:val="003844E7"/>
    <w:rsid w:val="00384B8D"/>
    <w:rsid w:val="003857E3"/>
    <w:rsid w:val="00386A64"/>
    <w:rsid w:val="00386A81"/>
    <w:rsid w:val="00386FA1"/>
    <w:rsid w:val="00387D98"/>
    <w:rsid w:val="00390142"/>
    <w:rsid w:val="003904AC"/>
    <w:rsid w:val="00390D19"/>
    <w:rsid w:val="00391A19"/>
    <w:rsid w:val="00392F00"/>
    <w:rsid w:val="00393050"/>
    <w:rsid w:val="00397377"/>
    <w:rsid w:val="003979E8"/>
    <w:rsid w:val="003A15AB"/>
    <w:rsid w:val="003A22DE"/>
    <w:rsid w:val="003A2860"/>
    <w:rsid w:val="003A3007"/>
    <w:rsid w:val="003A319C"/>
    <w:rsid w:val="003A36A0"/>
    <w:rsid w:val="003A3788"/>
    <w:rsid w:val="003A3837"/>
    <w:rsid w:val="003A3C35"/>
    <w:rsid w:val="003A4882"/>
    <w:rsid w:val="003A7D30"/>
    <w:rsid w:val="003B0B6D"/>
    <w:rsid w:val="003B3C5C"/>
    <w:rsid w:val="003B438E"/>
    <w:rsid w:val="003B605D"/>
    <w:rsid w:val="003B776C"/>
    <w:rsid w:val="003C336D"/>
    <w:rsid w:val="003C47CA"/>
    <w:rsid w:val="003C5AA9"/>
    <w:rsid w:val="003C6107"/>
    <w:rsid w:val="003D0377"/>
    <w:rsid w:val="003D0794"/>
    <w:rsid w:val="003D1231"/>
    <w:rsid w:val="003D22F8"/>
    <w:rsid w:val="003D3279"/>
    <w:rsid w:val="003D6DE1"/>
    <w:rsid w:val="003D77E9"/>
    <w:rsid w:val="003D795C"/>
    <w:rsid w:val="003D7FC8"/>
    <w:rsid w:val="003E20EC"/>
    <w:rsid w:val="003E23D4"/>
    <w:rsid w:val="003E30FB"/>
    <w:rsid w:val="003E707C"/>
    <w:rsid w:val="003E71BB"/>
    <w:rsid w:val="003E759C"/>
    <w:rsid w:val="003E7CA5"/>
    <w:rsid w:val="003F1C84"/>
    <w:rsid w:val="003F1E6B"/>
    <w:rsid w:val="003F2711"/>
    <w:rsid w:val="003F5A4E"/>
    <w:rsid w:val="003F61CF"/>
    <w:rsid w:val="003F6C70"/>
    <w:rsid w:val="003F7CB9"/>
    <w:rsid w:val="00400901"/>
    <w:rsid w:val="00400B9E"/>
    <w:rsid w:val="00401912"/>
    <w:rsid w:val="00403333"/>
    <w:rsid w:val="00404AD3"/>
    <w:rsid w:val="00406633"/>
    <w:rsid w:val="00406ED6"/>
    <w:rsid w:val="0040742B"/>
    <w:rsid w:val="004077F7"/>
    <w:rsid w:val="00411735"/>
    <w:rsid w:val="0041199C"/>
    <w:rsid w:val="00413FD0"/>
    <w:rsid w:val="00414436"/>
    <w:rsid w:val="00414F5D"/>
    <w:rsid w:val="00415B56"/>
    <w:rsid w:val="00415C74"/>
    <w:rsid w:val="00416197"/>
    <w:rsid w:val="00417A8B"/>
    <w:rsid w:val="004206D2"/>
    <w:rsid w:val="0042146E"/>
    <w:rsid w:val="00422871"/>
    <w:rsid w:val="00423C73"/>
    <w:rsid w:val="0042440C"/>
    <w:rsid w:val="00424CCF"/>
    <w:rsid w:val="00425269"/>
    <w:rsid w:val="00425720"/>
    <w:rsid w:val="00425EA6"/>
    <w:rsid w:val="004263BE"/>
    <w:rsid w:val="00433518"/>
    <w:rsid w:val="004345A4"/>
    <w:rsid w:val="0043654D"/>
    <w:rsid w:val="00437F60"/>
    <w:rsid w:val="0044223F"/>
    <w:rsid w:val="00444EBC"/>
    <w:rsid w:val="00447780"/>
    <w:rsid w:val="00447D78"/>
    <w:rsid w:val="00451230"/>
    <w:rsid w:val="004513D7"/>
    <w:rsid w:val="00451781"/>
    <w:rsid w:val="00451840"/>
    <w:rsid w:val="0045215B"/>
    <w:rsid w:val="0045228D"/>
    <w:rsid w:val="0045412A"/>
    <w:rsid w:val="00454F18"/>
    <w:rsid w:val="00455185"/>
    <w:rsid w:val="00455A68"/>
    <w:rsid w:val="00456E55"/>
    <w:rsid w:val="00460C9A"/>
    <w:rsid w:val="00461722"/>
    <w:rsid w:val="00461BC7"/>
    <w:rsid w:val="004632FB"/>
    <w:rsid w:val="00464924"/>
    <w:rsid w:val="00472CCE"/>
    <w:rsid w:val="0047319C"/>
    <w:rsid w:val="0047363C"/>
    <w:rsid w:val="004744FD"/>
    <w:rsid w:val="00474CA7"/>
    <w:rsid w:val="0047581D"/>
    <w:rsid w:val="00480289"/>
    <w:rsid w:val="00481279"/>
    <w:rsid w:val="00481CB8"/>
    <w:rsid w:val="0048226D"/>
    <w:rsid w:val="00483368"/>
    <w:rsid w:val="00483F1C"/>
    <w:rsid w:val="0048539B"/>
    <w:rsid w:val="004858D0"/>
    <w:rsid w:val="004859A4"/>
    <w:rsid w:val="00486F33"/>
    <w:rsid w:val="00491B7F"/>
    <w:rsid w:val="00491D22"/>
    <w:rsid w:val="0049271A"/>
    <w:rsid w:val="00494011"/>
    <w:rsid w:val="00494FDA"/>
    <w:rsid w:val="00495230"/>
    <w:rsid w:val="004964BA"/>
    <w:rsid w:val="004978E2"/>
    <w:rsid w:val="004A04C9"/>
    <w:rsid w:val="004A0BF4"/>
    <w:rsid w:val="004A263B"/>
    <w:rsid w:val="004A54FE"/>
    <w:rsid w:val="004A7D22"/>
    <w:rsid w:val="004A7E7B"/>
    <w:rsid w:val="004B122E"/>
    <w:rsid w:val="004B1C5C"/>
    <w:rsid w:val="004B29CF"/>
    <w:rsid w:val="004B2BE7"/>
    <w:rsid w:val="004B33CC"/>
    <w:rsid w:val="004B362D"/>
    <w:rsid w:val="004B3A3D"/>
    <w:rsid w:val="004B3D5A"/>
    <w:rsid w:val="004B68AE"/>
    <w:rsid w:val="004B6F0E"/>
    <w:rsid w:val="004B7B30"/>
    <w:rsid w:val="004C0701"/>
    <w:rsid w:val="004C0D3E"/>
    <w:rsid w:val="004C1BCE"/>
    <w:rsid w:val="004C35B0"/>
    <w:rsid w:val="004C49EF"/>
    <w:rsid w:val="004C4A19"/>
    <w:rsid w:val="004C5500"/>
    <w:rsid w:val="004C5570"/>
    <w:rsid w:val="004C58F6"/>
    <w:rsid w:val="004C6262"/>
    <w:rsid w:val="004D0035"/>
    <w:rsid w:val="004D00C9"/>
    <w:rsid w:val="004D0966"/>
    <w:rsid w:val="004D5836"/>
    <w:rsid w:val="004D6685"/>
    <w:rsid w:val="004E0301"/>
    <w:rsid w:val="004E0B44"/>
    <w:rsid w:val="004E16F5"/>
    <w:rsid w:val="004E1C24"/>
    <w:rsid w:val="004E290F"/>
    <w:rsid w:val="004E3685"/>
    <w:rsid w:val="004E3CC7"/>
    <w:rsid w:val="004E4586"/>
    <w:rsid w:val="004E5150"/>
    <w:rsid w:val="004E5B69"/>
    <w:rsid w:val="004E6416"/>
    <w:rsid w:val="004E689D"/>
    <w:rsid w:val="004E68F9"/>
    <w:rsid w:val="004E6BAD"/>
    <w:rsid w:val="004E742C"/>
    <w:rsid w:val="004F0715"/>
    <w:rsid w:val="004F0F9F"/>
    <w:rsid w:val="004F1414"/>
    <w:rsid w:val="004F1585"/>
    <w:rsid w:val="004F2A87"/>
    <w:rsid w:val="004F2E62"/>
    <w:rsid w:val="004F5799"/>
    <w:rsid w:val="004F7BB4"/>
    <w:rsid w:val="00500C9E"/>
    <w:rsid w:val="00501A21"/>
    <w:rsid w:val="005032F7"/>
    <w:rsid w:val="005047C4"/>
    <w:rsid w:val="00505C51"/>
    <w:rsid w:val="00505F71"/>
    <w:rsid w:val="00507C56"/>
    <w:rsid w:val="005112D2"/>
    <w:rsid w:val="00512A4F"/>
    <w:rsid w:val="005139A4"/>
    <w:rsid w:val="0051596E"/>
    <w:rsid w:val="00516A8F"/>
    <w:rsid w:val="00516E1E"/>
    <w:rsid w:val="0052344E"/>
    <w:rsid w:val="0052413B"/>
    <w:rsid w:val="0052642D"/>
    <w:rsid w:val="00526478"/>
    <w:rsid w:val="005269C9"/>
    <w:rsid w:val="005272F8"/>
    <w:rsid w:val="00527CF7"/>
    <w:rsid w:val="00530204"/>
    <w:rsid w:val="00530C78"/>
    <w:rsid w:val="00531CEF"/>
    <w:rsid w:val="00533B87"/>
    <w:rsid w:val="00534C5F"/>
    <w:rsid w:val="00534CF3"/>
    <w:rsid w:val="005361E0"/>
    <w:rsid w:val="00540257"/>
    <w:rsid w:val="005409BD"/>
    <w:rsid w:val="00540D95"/>
    <w:rsid w:val="005413DF"/>
    <w:rsid w:val="0054192F"/>
    <w:rsid w:val="00541D06"/>
    <w:rsid w:val="005438F5"/>
    <w:rsid w:val="00544A19"/>
    <w:rsid w:val="00544EB3"/>
    <w:rsid w:val="0054594B"/>
    <w:rsid w:val="0054594E"/>
    <w:rsid w:val="0054749B"/>
    <w:rsid w:val="00550A13"/>
    <w:rsid w:val="00550CC7"/>
    <w:rsid w:val="00551CC6"/>
    <w:rsid w:val="00553A8C"/>
    <w:rsid w:val="00554E7A"/>
    <w:rsid w:val="00555C8E"/>
    <w:rsid w:val="00556537"/>
    <w:rsid w:val="00556F8D"/>
    <w:rsid w:val="005577B2"/>
    <w:rsid w:val="0056015F"/>
    <w:rsid w:val="00560541"/>
    <w:rsid w:val="0056127E"/>
    <w:rsid w:val="005616F5"/>
    <w:rsid w:val="00564028"/>
    <w:rsid w:val="00566A44"/>
    <w:rsid w:val="005672D0"/>
    <w:rsid w:val="00567FEA"/>
    <w:rsid w:val="00572690"/>
    <w:rsid w:val="00572CEB"/>
    <w:rsid w:val="00573924"/>
    <w:rsid w:val="005757C3"/>
    <w:rsid w:val="0057623B"/>
    <w:rsid w:val="00577F4E"/>
    <w:rsid w:val="00581D22"/>
    <w:rsid w:val="005827AD"/>
    <w:rsid w:val="00582F7C"/>
    <w:rsid w:val="00583019"/>
    <w:rsid w:val="005834C9"/>
    <w:rsid w:val="00587506"/>
    <w:rsid w:val="00591DC9"/>
    <w:rsid w:val="0059289E"/>
    <w:rsid w:val="00594B74"/>
    <w:rsid w:val="00596353"/>
    <w:rsid w:val="005A1869"/>
    <w:rsid w:val="005A2781"/>
    <w:rsid w:val="005A2898"/>
    <w:rsid w:val="005A3F7D"/>
    <w:rsid w:val="005A4F00"/>
    <w:rsid w:val="005A52C2"/>
    <w:rsid w:val="005A58BA"/>
    <w:rsid w:val="005A5D30"/>
    <w:rsid w:val="005A6AB9"/>
    <w:rsid w:val="005B0464"/>
    <w:rsid w:val="005B3B96"/>
    <w:rsid w:val="005B4C7C"/>
    <w:rsid w:val="005B5EDC"/>
    <w:rsid w:val="005B665B"/>
    <w:rsid w:val="005B6ACA"/>
    <w:rsid w:val="005C0232"/>
    <w:rsid w:val="005C333E"/>
    <w:rsid w:val="005C3AE7"/>
    <w:rsid w:val="005C6B99"/>
    <w:rsid w:val="005C7126"/>
    <w:rsid w:val="005C779D"/>
    <w:rsid w:val="005D0677"/>
    <w:rsid w:val="005D1840"/>
    <w:rsid w:val="005D25B8"/>
    <w:rsid w:val="005D261A"/>
    <w:rsid w:val="005D2AD3"/>
    <w:rsid w:val="005D5E9F"/>
    <w:rsid w:val="005E073C"/>
    <w:rsid w:val="005E143B"/>
    <w:rsid w:val="005E19BB"/>
    <w:rsid w:val="005E1A64"/>
    <w:rsid w:val="005E1DA2"/>
    <w:rsid w:val="005E294C"/>
    <w:rsid w:val="005E2CE3"/>
    <w:rsid w:val="005E3B18"/>
    <w:rsid w:val="005E4702"/>
    <w:rsid w:val="005F0C0C"/>
    <w:rsid w:val="005F14D0"/>
    <w:rsid w:val="005F3F07"/>
    <w:rsid w:val="005F4036"/>
    <w:rsid w:val="005F4049"/>
    <w:rsid w:val="005F4EEE"/>
    <w:rsid w:val="005F651F"/>
    <w:rsid w:val="005F721C"/>
    <w:rsid w:val="006000F4"/>
    <w:rsid w:val="00601875"/>
    <w:rsid w:val="00603293"/>
    <w:rsid w:val="006035D6"/>
    <w:rsid w:val="00603D04"/>
    <w:rsid w:val="006046B6"/>
    <w:rsid w:val="00604E3D"/>
    <w:rsid w:val="0060555F"/>
    <w:rsid w:val="0060605A"/>
    <w:rsid w:val="00606079"/>
    <w:rsid w:val="00606857"/>
    <w:rsid w:val="0061255E"/>
    <w:rsid w:val="006131A9"/>
    <w:rsid w:val="00613D95"/>
    <w:rsid w:val="006149C4"/>
    <w:rsid w:val="00615F42"/>
    <w:rsid w:val="00621DE6"/>
    <w:rsid w:val="00621F35"/>
    <w:rsid w:val="00622171"/>
    <w:rsid w:val="00622292"/>
    <w:rsid w:val="00622C60"/>
    <w:rsid w:val="006236D5"/>
    <w:rsid w:val="0062571D"/>
    <w:rsid w:val="006258C2"/>
    <w:rsid w:val="006258F2"/>
    <w:rsid w:val="00625EC1"/>
    <w:rsid w:val="00626365"/>
    <w:rsid w:val="00626E4E"/>
    <w:rsid w:val="00626EBE"/>
    <w:rsid w:val="0063033D"/>
    <w:rsid w:val="00630E22"/>
    <w:rsid w:val="006311CC"/>
    <w:rsid w:val="00632530"/>
    <w:rsid w:val="00634711"/>
    <w:rsid w:val="00634772"/>
    <w:rsid w:val="00635B49"/>
    <w:rsid w:val="006401BA"/>
    <w:rsid w:val="006406E2"/>
    <w:rsid w:val="0064168C"/>
    <w:rsid w:val="00641D03"/>
    <w:rsid w:val="00643755"/>
    <w:rsid w:val="00645929"/>
    <w:rsid w:val="006459B7"/>
    <w:rsid w:val="00651261"/>
    <w:rsid w:val="00652568"/>
    <w:rsid w:val="0065650F"/>
    <w:rsid w:val="00657593"/>
    <w:rsid w:val="00657B46"/>
    <w:rsid w:val="00663C94"/>
    <w:rsid w:val="006646A0"/>
    <w:rsid w:val="0066521B"/>
    <w:rsid w:val="0066634E"/>
    <w:rsid w:val="0066766D"/>
    <w:rsid w:val="006710A0"/>
    <w:rsid w:val="0067149A"/>
    <w:rsid w:val="006715C8"/>
    <w:rsid w:val="006721BD"/>
    <w:rsid w:val="0067427F"/>
    <w:rsid w:val="00674EBC"/>
    <w:rsid w:val="00676473"/>
    <w:rsid w:val="006764EC"/>
    <w:rsid w:val="006764F1"/>
    <w:rsid w:val="00677F25"/>
    <w:rsid w:val="006827AB"/>
    <w:rsid w:val="006835FE"/>
    <w:rsid w:val="0068594E"/>
    <w:rsid w:val="00685CD6"/>
    <w:rsid w:val="00687686"/>
    <w:rsid w:val="006901FF"/>
    <w:rsid w:val="00690B24"/>
    <w:rsid w:val="00692B3D"/>
    <w:rsid w:val="00693BFD"/>
    <w:rsid w:val="00695065"/>
    <w:rsid w:val="006964A7"/>
    <w:rsid w:val="00697649"/>
    <w:rsid w:val="006A0BED"/>
    <w:rsid w:val="006A0CF9"/>
    <w:rsid w:val="006A1038"/>
    <w:rsid w:val="006A1288"/>
    <w:rsid w:val="006A1393"/>
    <w:rsid w:val="006A1F56"/>
    <w:rsid w:val="006A471D"/>
    <w:rsid w:val="006A556F"/>
    <w:rsid w:val="006A603D"/>
    <w:rsid w:val="006A649A"/>
    <w:rsid w:val="006A6B7B"/>
    <w:rsid w:val="006A6BA9"/>
    <w:rsid w:val="006B1B49"/>
    <w:rsid w:val="006B237A"/>
    <w:rsid w:val="006B2399"/>
    <w:rsid w:val="006B4E53"/>
    <w:rsid w:val="006B6390"/>
    <w:rsid w:val="006B659C"/>
    <w:rsid w:val="006B784E"/>
    <w:rsid w:val="006C0356"/>
    <w:rsid w:val="006C0843"/>
    <w:rsid w:val="006C27BF"/>
    <w:rsid w:val="006C2B67"/>
    <w:rsid w:val="006C31B0"/>
    <w:rsid w:val="006C5FF6"/>
    <w:rsid w:val="006C74B1"/>
    <w:rsid w:val="006D070F"/>
    <w:rsid w:val="006D0753"/>
    <w:rsid w:val="006D358C"/>
    <w:rsid w:val="006D511F"/>
    <w:rsid w:val="006D61CB"/>
    <w:rsid w:val="006D65AE"/>
    <w:rsid w:val="006E08C0"/>
    <w:rsid w:val="006E0D49"/>
    <w:rsid w:val="006E0E98"/>
    <w:rsid w:val="006E23A0"/>
    <w:rsid w:val="006E294F"/>
    <w:rsid w:val="006E4C72"/>
    <w:rsid w:val="006E5000"/>
    <w:rsid w:val="006E57AA"/>
    <w:rsid w:val="006E59F4"/>
    <w:rsid w:val="006F15E6"/>
    <w:rsid w:val="006F20CF"/>
    <w:rsid w:val="006F2E85"/>
    <w:rsid w:val="006F3618"/>
    <w:rsid w:val="006F38B8"/>
    <w:rsid w:val="006F38ED"/>
    <w:rsid w:val="006F3919"/>
    <w:rsid w:val="006F52D9"/>
    <w:rsid w:val="006F5A37"/>
    <w:rsid w:val="006F5CE0"/>
    <w:rsid w:val="006F73ED"/>
    <w:rsid w:val="00701E81"/>
    <w:rsid w:val="0070256F"/>
    <w:rsid w:val="0070341B"/>
    <w:rsid w:val="00704082"/>
    <w:rsid w:val="00706BDE"/>
    <w:rsid w:val="007073AD"/>
    <w:rsid w:val="00707D4D"/>
    <w:rsid w:val="00711D8A"/>
    <w:rsid w:val="0071224C"/>
    <w:rsid w:val="00712516"/>
    <w:rsid w:val="00713AD1"/>
    <w:rsid w:val="00714533"/>
    <w:rsid w:val="00720216"/>
    <w:rsid w:val="00721DE9"/>
    <w:rsid w:val="00723446"/>
    <w:rsid w:val="00723503"/>
    <w:rsid w:val="00723854"/>
    <w:rsid w:val="0072454B"/>
    <w:rsid w:val="0072483C"/>
    <w:rsid w:val="007266B3"/>
    <w:rsid w:val="0072694D"/>
    <w:rsid w:val="00727246"/>
    <w:rsid w:val="00727A6A"/>
    <w:rsid w:val="00730228"/>
    <w:rsid w:val="00730C04"/>
    <w:rsid w:val="00735977"/>
    <w:rsid w:val="0073597B"/>
    <w:rsid w:val="007360D7"/>
    <w:rsid w:val="007378F6"/>
    <w:rsid w:val="00737E46"/>
    <w:rsid w:val="00740463"/>
    <w:rsid w:val="0074457F"/>
    <w:rsid w:val="0074489F"/>
    <w:rsid w:val="0074545D"/>
    <w:rsid w:val="00745CCA"/>
    <w:rsid w:val="00746790"/>
    <w:rsid w:val="00746FE1"/>
    <w:rsid w:val="0074720A"/>
    <w:rsid w:val="00750057"/>
    <w:rsid w:val="00750CD9"/>
    <w:rsid w:val="007522E3"/>
    <w:rsid w:val="00752E05"/>
    <w:rsid w:val="0075316A"/>
    <w:rsid w:val="0075335B"/>
    <w:rsid w:val="007533C7"/>
    <w:rsid w:val="0075349D"/>
    <w:rsid w:val="00753C44"/>
    <w:rsid w:val="00754383"/>
    <w:rsid w:val="00754FA6"/>
    <w:rsid w:val="007564D1"/>
    <w:rsid w:val="00756FD6"/>
    <w:rsid w:val="00757232"/>
    <w:rsid w:val="007601AA"/>
    <w:rsid w:val="007602CB"/>
    <w:rsid w:val="00760679"/>
    <w:rsid w:val="00760F3E"/>
    <w:rsid w:val="00763628"/>
    <w:rsid w:val="00763BC9"/>
    <w:rsid w:val="00765B22"/>
    <w:rsid w:val="007664E2"/>
    <w:rsid w:val="00766540"/>
    <w:rsid w:val="00766A12"/>
    <w:rsid w:val="00767E99"/>
    <w:rsid w:val="0077235D"/>
    <w:rsid w:val="00772E62"/>
    <w:rsid w:val="00775A6A"/>
    <w:rsid w:val="00775B48"/>
    <w:rsid w:val="007762E4"/>
    <w:rsid w:val="0077789B"/>
    <w:rsid w:val="0078024D"/>
    <w:rsid w:val="00780D29"/>
    <w:rsid w:val="00781454"/>
    <w:rsid w:val="007838DC"/>
    <w:rsid w:val="00784A4B"/>
    <w:rsid w:val="00785898"/>
    <w:rsid w:val="00785937"/>
    <w:rsid w:val="0078724E"/>
    <w:rsid w:val="00787B5A"/>
    <w:rsid w:val="00790BD6"/>
    <w:rsid w:val="00791C8D"/>
    <w:rsid w:val="00792A0F"/>
    <w:rsid w:val="0079354C"/>
    <w:rsid w:val="00794181"/>
    <w:rsid w:val="00794F06"/>
    <w:rsid w:val="00797395"/>
    <w:rsid w:val="007A1285"/>
    <w:rsid w:val="007A6DC3"/>
    <w:rsid w:val="007A6E80"/>
    <w:rsid w:val="007A7F6F"/>
    <w:rsid w:val="007B0BC3"/>
    <w:rsid w:val="007B182F"/>
    <w:rsid w:val="007B27E9"/>
    <w:rsid w:val="007B3CE2"/>
    <w:rsid w:val="007B4C76"/>
    <w:rsid w:val="007B5CF4"/>
    <w:rsid w:val="007C2260"/>
    <w:rsid w:val="007C34DA"/>
    <w:rsid w:val="007C37D2"/>
    <w:rsid w:val="007C3EC5"/>
    <w:rsid w:val="007C567D"/>
    <w:rsid w:val="007C797C"/>
    <w:rsid w:val="007D1E52"/>
    <w:rsid w:val="007D2358"/>
    <w:rsid w:val="007D32EE"/>
    <w:rsid w:val="007D4976"/>
    <w:rsid w:val="007D5602"/>
    <w:rsid w:val="007D7AF5"/>
    <w:rsid w:val="007E0959"/>
    <w:rsid w:val="007E210E"/>
    <w:rsid w:val="007E26E5"/>
    <w:rsid w:val="007E2D25"/>
    <w:rsid w:val="007E39E4"/>
    <w:rsid w:val="007E41C3"/>
    <w:rsid w:val="007E4ED2"/>
    <w:rsid w:val="007E6ECD"/>
    <w:rsid w:val="007E6FB3"/>
    <w:rsid w:val="007E7C3C"/>
    <w:rsid w:val="007F0B1D"/>
    <w:rsid w:val="007F0B53"/>
    <w:rsid w:val="007F1025"/>
    <w:rsid w:val="007F21B4"/>
    <w:rsid w:val="007F26C4"/>
    <w:rsid w:val="007F2ACB"/>
    <w:rsid w:val="007F3EA4"/>
    <w:rsid w:val="007F40C7"/>
    <w:rsid w:val="007F4271"/>
    <w:rsid w:val="007F4319"/>
    <w:rsid w:val="008008E3"/>
    <w:rsid w:val="0080121A"/>
    <w:rsid w:val="00801CB4"/>
    <w:rsid w:val="0080203A"/>
    <w:rsid w:val="00802553"/>
    <w:rsid w:val="00803EAB"/>
    <w:rsid w:val="00804191"/>
    <w:rsid w:val="008046B5"/>
    <w:rsid w:val="0080532E"/>
    <w:rsid w:val="00805B3F"/>
    <w:rsid w:val="00805C36"/>
    <w:rsid w:val="00807200"/>
    <w:rsid w:val="00810224"/>
    <w:rsid w:val="0081026D"/>
    <w:rsid w:val="00810B4C"/>
    <w:rsid w:val="00810F06"/>
    <w:rsid w:val="008115FB"/>
    <w:rsid w:val="008127C0"/>
    <w:rsid w:val="00812EDD"/>
    <w:rsid w:val="00813639"/>
    <w:rsid w:val="0081387F"/>
    <w:rsid w:val="008139C5"/>
    <w:rsid w:val="008142A2"/>
    <w:rsid w:val="00814697"/>
    <w:rsid w:val="00814854"/>
    <w:rsid w:val="0081496A"/>
    <w:rsid w:val="0081650F"/>
    <w:rsid w:val="00824007"/>
    <w:rsid w:val="00826F98"/>
    <w:rsid w:val="00827510"/>
    <w:rsid w:val="00827BA1"/>
    <w:rsid w:val="00830D4A"/>
    <w:rsid w:val="00831098"/>
    <w:rsid w:val="008328B0"/>
    <w:rsid w:val="00832B31"/>
    <w:rsid w:val="008333EF"/>
    <w:rsid w:val="008341A5"/>
    <w:rsid w:val="008356A7"/>
    <w:rsid w:val="00835969"/>
    <w:rsid w:val="00836FA8"/>
    <w:rsid w:val="008403E0"/>
    <w:rsid w:val="008407D7"/>
    <w:rsid w:val="00842EE9"/>
    <w:rsid w:val="008440B4"/>
    <w:rsid w:val="00845627"/>
    <w:rsid w:val="00845BB5"/>
    <w:rsid w:val="0084657B"/>
    <w:rsid w:val="00847695"/>
    <w:rsid w:val="00850D8C"/>
    <w:rsid w:val="00851A33"/>
    <w:rsid w:val="00851E14"/>
    <w:rsid w:val="008520E4"/>
    <w:rsid w:val="00853746"/>
    <w:rsid w:val="008554D0"/>
    <w:rsid w:val="00855944"/>
    <w:rsid w:val="00856C0E"/>
    <w:rsid w:val="00860D79"/>
    <w:rsid w:val="008620AB"/>
    <w:rsid w:val="0086495D"/>
    <w:rsid w:val="00864A18"/>
    <w:rsid w:val="00865B32"/>
    <w:rsid w:val="008661F1"/>
    <w:rsid w:val="00867883"/>
    <w:rsid w:val="00870833"/>
    <w:rsid w:val="00873C19"/>
    <w:rsid w:val="00874571"/>
    <w:rsid w:val="008809F9"/>
    <w:rsid w:val="00880B78"/>
    <w:rsid w:val="0088101C"/>
    <w:rsid w:val="00881476"/>
    <w:rsid w:val="00881F93"/>
    <w:rsid w:val="008821E8"/>
    <w:rsid w:val="0088247E"/>
    <w:rsid w:val="00882CB5"/>
    <w:rsid w:val="00883641"/>
    <w:rsid w:val="00884023"/>
    <w:rsid w:val="00884A46"/>
    <w:rsid w:val="00884E69"/>
    <w:rsid w:val="00886FDB"/>
    <w:rsid w:val="00890082"/>
    <w:rsid w:val="008918BB"/>
    <w:rsid w:val="0089449A"/>
    <w:rsid w:val="00894CC9"/>
    <w:rsid w:val="0089581A"/>
    <w:rsid w:val="00896360"/>
    <w:rsid w:val="00897ECB"/>
    <w:rsid w:val="008A4183"/>
    <w:rsid w:val="008A48D2"/>
    <w:rsid w:val="008A64C6"/>
    <w:rsid w:val="008A7423"/>
    <w:rsid w:val="008B04F2"/>
    <w:rsid w:val="008B15FA"/>
    <w:rsid w:val="008B2610"/>
    <w:rsid w:val="008B2B78"/>
    <w:rsid w:val="008B471D"/>
    <w:rsid w:val="008B49E4"/>
    <w:rsid w:val="008B6548"/>
    <w:rsid w:val="008B7259"/>
    <w:rsid w:val="008B729C"/>
    <w:rsid w:val="008B7A39"/>
    <w:rsid w:val="008C1F57"/>
    <w:rsid w:val="008C2478"/>
    <w:rsid w:val="008C251B"/>
    <w:rsid w:val="008C3EA5"/>
    <w:rsid w:val="008C4A93"/>
    <w:rsid w:val="008C5BC5"/>
    <w:rsid w:val="008C7A4B"/>
    <w:rsid w:val="008D0610"/>
    <w:rsid w:val="008D11F8"/>
    <w:rsid w:val="008D1235"/>
    <w:rsid w:val="008D1A4B"/>
    <w:rsid w:val="008D294E"/>
    <w:rsid w:val="008D3228"/>
    <w:rsid w:val="008D4C43"/>
    <w:rsid w:val="008D5077"/>
    <w:rsid w:val="008D5805"/>
    <w:rsid w:val="008E0E49"/>
    <w:rsid w:val="008E12BE"/>
    <w:rsid w:val="008E35FD"/>
    <w:rsid w:val="008E3A8D"/>
    <w:rsid w:val="008E506D"/>
    <w:rsid w:val="008E5A76"/>
    <w:rsid w:val="008E6227"/>
    <w:rsid w:val="008E78B9"/>
    <w:rsid w:val="008F09C8"/>
    <w:rsid w:val="008F20DD"/>
    <w:rsid w:val="008F42BC"/>
    <w:rsid w:val="008F5134"/>
    <w:rsid w:val="008F6165"/>
    <w:rsid w:val="008F798A"/>
    <w:rsid w:val="00901F1C"/>
    <w:rsid w:val="00903A0C"/>
    <w:rsid w:val="0090432A"/>
    <w:rsid w:val="00904679"/>
    <w:rsid w:val="00904E95"/>
    <w:rsid w:val="0090543D"/>
    <w:rsid w:val="009056C5"/>
    <w:rsid w:val="00906494"/>
    <w:rsid w:val="00906634"/>
    <w:rsid w:val="009071D0"/>
    <w:rsid w:val="009078D3"/>
    <w:rsid w:val="00907FC8"/>
    <w:rsid w:val="00910700"/>
    <w:rsid w:val="00913A20"/>
    <w:rsid w:val="0091512E"/>
    <w:rsid w:val="00916C19"/>
    <w:rsid w:val="00917DEB"/>
    <w:rsid w:val="00920E3C"/>
    <w:rsid w:val="00921F87"/>
    <w:rsid w:val="0092224F"/>
    <w:rsid w:val="00923252"/>
    <w:rsid w:val="009246A0"/>
    <w:rsid w:val="009259B7"/>
    <w:rsid w:val="009262F2"/>
    <w:rsid w:val="00926548"/>
    <w:rsid w:val="009267D3"/>
    <w:rsid w:val="00926CB9"/>
    <w:rsid w:val="00926CC4"/>
    <w:rsid w:val="009279C4"/>
    <w:rsid w:val="0093008C"/>
    <w:rsid w:val="009308A8"/>
    <w:rsid w:val="0093447F"/>
    <w:rsid w:val="00934C5B"/>
    <w:rsid w:val="00935DDD"/>
    <w:rsid w:val="00936712"/>
    <w:rsid w:val="00937791"/>
    <w:rsid w:val="0094303B"/>
    <w:rsid w:val="00943650"/>
    <w:rsid w:val="00943A5E"/>
    <w:rsid w:val="00946B5E"/>
    <w:rsid w:val="009474D5"/>
    <w:rsid w:val="00950F45"/>
    <w:rsid w:val="00951933"/>
    <w:rsid w:val="009525FA"/>
    <w:rsid w:val="00954343"/>
    <w:rsid w:val="00954C3D"/>
    <w:rsid w:val="00955271"/>
    <w:rsid w:val="009563EA"/>
    <w:rsid w:val="009604F7"/>
    <w:rsid w:val="00962A6B"/>
    <w:rsid w:val="00962B7B"/>
    <w:rsid w:val="00963075"/>
    <w:rsid w:val="0096330A"/>
    <w:rsid w:val="009639DB"/>
    <w:rsid w:val="00963C9C"/>
    <w:rsid w:val="009646E9"/>
    <w:rsid w:val="00965B6B"/>
    <w:rsid w:val="009673D5"/>
    <w:rsid w:val="00967739"/>
    <w:rsid w:val="009707B1"/>
    <w:rsid w:val="00971682"/>
    <w:rsid w:val="00971EDB"/>
    <w:rsid w:val="00974D50"/>
    <w:rsid w:val="00977023"/>
    <w:rsid w:val="00980947"/>
    <w:rsid w:val="00980A9A"/>
    <w:rsid w:val="00980ECB"/>
    <w:rsid w:val="00981E1D"/>
    <w:rsid w:val="00984213"/>
    <w:rsid w:val="00987ABE"/>
    <w:rsid w:val="009905E3"/>
    <w:rsid w:val="00990A86"/>
    <w:rsid w:val="00991EE4"/>
    <w:rsid w:val="009939DC"/>
    <w:rsid w:val="00993A36"/>
    <w:rsid w:val="00993B9C"/>
    <w:rsid w:val="009A09D6"/>
    <w:rsid w:val="009A0E3A"/>
    <w:rsid w:val="009A10B0"/>
    <w:rsid w:val="009A149A"/>
    <w:rsid w:val="009A1736"/>
    <w:rsid w:val="009A29ED"/>
    <w:rsid w:val="009A2F1C"/>
    <w:rsid w:val="009A327D"/>
    <w:rsid w:val="009A5035"/>
    <w:rsid w:val="009A5961"/>
    <w:rsid w:val="009B0754"/>
    <w:rsid w:val="009B20EC"/>
    <w:rsid w:val="009B48AC"/>
    <w:rsid w:val="009B4E1E"/>
    <w:rsid w:val="009B5B61"/>
    <w:rsid w:val="009B62EC"/>
    <w:rsid w:val="009B6FAD"/>
    <w:rsid w:val="009C03FB"/>
    <w:rsid w:val="009C1C02"/>
    <w:rsid w:val="009C1F8C"/>
    <w:rsid w:val="009C4662"/>
    <w:rsid w:val="009C4B4F"/>
    <w:rsid w:val="009C5583"/>
    <w:rsid w:val="009C5596"/>
    <w:rsid w:val="009D01D8"/>
    <w:rsid w:val="009D0881"/>
    <w:rsid w:val="009D131D"/>
    <w:rsid w:val="009D2A34"/>
    <w:rsid w:val="009D33D2"/>
    <w:rsid w:val="009D3DE6"/>
    <w:rsid w:val="009D780C"/>
    <w:rsid w:val="009E0F75"/>
    <w:rsid w:val="009E406B"/>
    <w:rsid w:val="009E4345"/>
    <w:rsid w:val="009E699F"/>
    <w:rsid w:val="009F0C02"/>
    <w:rsid w:val="009F0CFB"/>
    <w:rsid w:val="009F10A8"/>
    <w:rsid w:val="009F24EB"/>
    <w:rsid w:val="009F2D1B"/>
    <w:rsid w:val="009F5758"/>
    <w:rsid w:val="009F5A94"/>
    <w:rsid w:val="009F63E0"/>
    <w:rsid w:val="009F7455"/>
    <w:rsid w:val="00A02387"/>
    <w:rsid w:val="00A02754"/>
    <w:rsid w:val="00A027AC"/>
    <w:rsid w:val="00A0283F"/>
    <w:rsid w:val="00A028BD"/>
    <w:rsid w:val="00A04F4A"/>
    <w:rsid w:val="00A10846"/>
    <w:rsid w:val="00A12CE8"/>
    <w:rsid w:val="00A157B8"/>
    <w:rsid w:val="00A15BC6"/>
    <w:rsid w:val="00A15D64"/>
    <w:rsid w:val="00A16619"/>
    <w:rsid w:val="00A17D07"/>
    <w:rsid w:val="00A2017B"/>
    <w:rsid w:val="00A20190"/>
    <w:rsid w:val="00A213AB"/>
    <w:rsid w:val="00A21A43"/>
    <w:rsid w:val="00A21C36"/>
    <w:rsid w:val="00A224E9"/>
    <w:rsid w:val="00A25B36"/>
    <w:rsid w:val="00A26343"/>
    <w:rsid w:val="00A344BA"/>
    <w:rsid w:val="00A3553C"/>
    <w:rsid w:val="00A35D75"/>
    <w:rsid w:val="00A37417"/>
    <w:rsid w:val="00A40193"/>
    <w:rsid w:val="00A408B5"/>
    <w:rsid w:val="00A426BC"/>
    <w:rsid w:val="00A43806"/>
    <w:rsid w:val="00A44C0D"/>
    <w:rsid w:val="00A457ED"/>
    <w:rsid w:val="00A4792C"/>
    <w:rsid w:val="00A50ECF"/>
    <w:rsid w:val="00A5215A"/>
    <w:rsid w:val="00A529E2"/>
    <w:rsid w:val="00A52CEF"/>
    <w:rsid w:val="00A52F38"/>
    <w:rsid w:val="00A5328E"/>
    <w:rsid w:val="00A5385E"/>
    <w:rsid w:val="00A539F8"/>
    <w:rsid w:val="00A5512A"/>
    <w:rsid w:val="00A55CD4"/>
    <w:rsid w:val="00A612A4"/>
    <w:rsid w:val="00A61ED5"/>
    <w:rsid w:val="00A6491A"/>
    <w:rsid w:val="00A64C39"/>
    <w:rsid w:val="00A6556C"/>
    <w:rsid w:val="00A656CA"/>
    <w:rsid w:val="00A6594E"/>
    <w:rsid w:val="00A6763C"/>
    <w:rsid w:val="00A7043B"/>
    <w:rsid w:val="00A717B7"/>
    <w:rsid w:val="00A71900"/>
    <w:rsid w:val="00A720EA"/>
    <w:rsid w:val="00A727B6"/>
    <w:rsid w:val="00A75BE1"/>
    <w:rsid w:val="00A75D46"/>
    <w:rsid w:val="00A80F33"/>
    <w:rsid w:val="00A81394"/>
    <w:rsid w:val="00A81CC6"/>
    <w:rsid w:val="00A83EC6"/>
    <w:rsid w:val="00A84118"/>
    <w:rsid w:val="00A86425"/>
    <w:rsid w:val="00A865BB"/>
    <w:rsid w:val="00A86997"/>
    <w:rsid w:val="00A872E8"/>
    <w:rsid w:val="00A8732C"/>
    <w:rsid w:val="00A87610"/>
    <w:rsid w:val="00A9062D"/>
    <w:rsid w:val="00A91BF4"/>
    <w:rsid w:val="00A91DCF"/>
    <w:rsid w:val="00A93F58"/>
    <w:rsid w:val="00A94D71"/>
    <w:rsid w:val="00A96329"/>
    <w:rsid w:val="00A966F5"/>
    <w:rsid w:val="00AA134B"/>
    <w:rsid w:val="00AA1BC0"/>
    <w:rsid w:val="00AA293C"/>
    <w:rsid w:val="00AA2CFE"/>
    <w:rsid w:val="00AA2E8B"/>
    <w:rsid w:val="00AA33A4"/>
    <w:rsid w:val="00AA5FDA"/>
    <w:rsid w:val="00AA6291"/>
    <w:rsid w:val="00AB0232"/>
    <w:rsid w:val="00AB1ADE"/>
    <w:rsid w:val="00AB1BDF"/>
    <w:rsid w:val="00AB57FB"/>
    <w:rsid w:val="00AC0C91"/>
    <w:rsid w:val="00AC5D18"/>
    <w:rsid w:val="00AC6D1A"/>
    <w:rsid w:val="00AC72AA"/>
    <w:rsid w:val="00AC7DD2"/>
    <w:rsid w:val="00AD1BFC"/>
    <w:rsid w:val="00AD2E85"/>
    <w:rsid w:val="00AD37D4"/>
    <w:rsid w:val="00AD3F28"/>
    <w:rsid w:val="00AD6234"/>
    <w:rsid w:val="00AD7986"/>
    <w:rsid w:val="00AE1188"/>
    <w:rsid w:val="00AE1C58"/>
    <w:rsid w:val="00AE3082"/>
    <w:rsid w:val="00AE3BC6"/>
    <w:rsid w:val="00AE4D20"/>
    <w:rsid w:val="00AE6812"/>
    <w:rsid w:val="00AE6858"/>
    <w:rsid w:val="00AE738C"/>
    <w:rsid w:val="00AF023A"/>
    <w:rsid w:val="00AF0587"/>
    <w:rsid w:val="00AF0805"/>
    <w:rsid w:val="00AF0986"/>
    <w:rsid w:val="00AF1046"/>
    <w:rsid w:val="00AF40AF"/>
    <w:rsid w:val="00AF4466"/>
    <w:rsid w:val="00AF4E7B"/>
    <w:rsid w:val="00AF4F8A"/>
    <w:rsid w:val="00AF5D1E"/>
    <w:rsid w:val="00AF6220"/>
    <w:rsid w:val="00B02C5E"/>
    <w:rsid w:val="00B035D3"/>
    <w:rsid w:val="00B040A9"/>
    <w:rsid w:val="00B05665"/>
    <w:rsid w:val="00B05B6B"/>
    <w:rsid w:val="00B07472"/>
    <w:rsid w:val="00B12C53"/>
    <w:rsid w:val="00B13443"/>
    <w:rsid w:val="00B155DF"/>
    <w:rsid w:val="00B1578A"/>
    <w:rsid w:val="00B1658D"/>
    <w:rsid w:val="00B166FC"/>
    <w:rsid w:val="00B1711E"/>
    <w:rsid w:val="00B17BF5"/>
    <w:rsid w:val="00B17CBE"/>
    <w:rsid w:val="00B17E26"/>
    <w:rsid w:val="00B219A8"/>
    <w:rsid w:val="00B21A99"/>
    <w:rsid w:val="00B22BC7"/>
    <w:rsid w:val="00B231A4"/>
    <w:rsid w:val="00B25D20"/>
    <w:rsid w:val="00B25F7E"/>
    <w:rsid w:val="00B27F4C"/>
    <w:rsid w:val="00B31C99"/>
    <w:rsid w:val="00B33612"/>
    <w:rsid w:val="00B3384F"/>
    <w:rsid w:val="00B349DE"/>
    <w:rsid w:val="00B34D64"/>
    <w:rsid w:val="00B352DA"/>
    <w:rsid w:val="00B35DC4"/>
    <w:rsid w:val="00B35FCA"/>
    <w:rsid w:val="00B36081"/>
    <w:rsid w:val="00B37F73"/>
    <w:rsid w:val="00B40117"/>
    <w:rsid w:val="00B41015"/>
    <w:rsid w:val="00B43149"/>
    <w:rsid w:val="00B43BD2"/>
    <w:rsid w:val="00B43EB2"/>
    <w:rsid w:val="00B45B3D"/>
    <w:rsid w:val="00B45CA5"/>
    <w:rsid w:val="00B467E9"/>
    <w:rsid w:val="00B47878"/>
    <w:rsid w:val="00B47F57"/>
    <w:rsid w:val="00B52B59"/>
    <w:rsid w:val="00B53BA6"/>
    <w:rsid w:val="00B5484F"/>
    <w:rsid w:val="00B5731D"/>
    <w:rsid w:val="00B61F40"/>
    <w:rsid w:val="00B62A08"/>
    <w:rsid w:val="00B6378B"/>
    <w:rsid w:val="00B63E3A"/>
    <w:rsid w:val="00B64546"/>
    <w:rsid w:val="00B66009"/>
    <w:rsid w:val="00B667FD"/>
    <w:rsid w:val="00B70AB0"/>
    <w:rsid w:val="00B70B84"/>
    <w:rsid w:val="00B70BD2"/>
    <w:rsid w:val="00B72FE4"/>
    <w:rsid w:val="00B75965"/>
    <w:rsid w:val="00B771AD"/>
    <w:rsid w:val="00B80335"/>
    <w:rsid w:val="00B814CB"/>
    <w:rsid w:val="00B817F0"/>
    <w:rsid w:val="00B8254E"/>
    <w:rsid w:val="00B83394"/>
    <w:rsid w:val="00B853D0"/>
    <w:rsid w:val="00B908A4"/>
    <w:rsid w:val="00B911AF"/>
    <w:rsid w:val="00B9164D"/>
    <w:rsid w:val="00B92E1D"/>
    <w:rsid w:val="00B93E68"/>
    <w:rsid w:val="00B946A7"/>
    <w:rsid w:val="00B94DBF"/>
    <w:rsid w:val="00B9556A"/>
    <w:rsid w:val="00B95CAF"/>
    <w:rsid w:val="00B96953"/>
    <w:rsid w:val="00B96E2D"/>
    <w:rsid w:val="00B97D11"/>
    <w:rsid w:val="00BA0CF8"/>
    <w:rsid w:val="00BA1ADF"/>
    <w:rsid w:val="00BA1D94"/>
    <w:rsid w:val="00BA51FC"/>
    <w:rsid w:val="00BA72E3"/>
    <w:rsid w:val="00BB003A"/>
    <w:rsid w:val="00BB1BCC"/>
    <w:rsid w:val="00BB1DBA"/>
    <w:rsid w:val="00BB3358"/>
    <w:rsid w:val="00BB3382"/>
    <w:rsid w:val="00BB3643"/>
    <w:rsid w:val="00BB4C02"/>
    <w:rsid w:val="00BB7944"/>
    <w:rsid w:val="00BB7F29"/>
    <w:rsid w:val="00BC0DC2"/>
    <w:rsid w:val="00BC3DA0"/>
    <w:rsid w:val="00BC424B"/>
    <w:rsid w:val="00BC45ED"/>
    <w:rsid w:val="00BC5705"/>
    <w:rsid w:val="00BC5BF7"/>
    <w:rsid w:val="00BD534B"/>
    <w:rsid w:val="00BD7D39"/>
    <w:rsid w:val="00BE0FDE"/>
    <w:rsid w:val="00BE1A03"/>
    <w:rsid w:val="00BE24C0"/>
    <w:rsid w:val="00BE2E82"/>
    <w:rsid w:val="00BE3524"/>
    <w:rsid w:val="00BE564A"/>
    <w:rsid w:val="00BF42C4"/>
    <w:rsid w:val="00BF4696"/>
    <w:rsid w:val="00BF55A3"/>
    <w:rsid w:val="00BF55F5"/>
    <w:rsid w:val="00BF6497"/>
    <w:rsid w:val="00BF6AC5"/>
    <w:rsid w:val="00BF7171"/>
    <w:rsid w:val="00C01121"/>
    <w:rsid w:val="00C030A5"/>
    <w:rsid w:val="00C030B2"/>
    <w:rsid w:val="00C05A45"/>
    <w:rsid w:val="00C075C5"/>
    <w:rsid w:val="00C0796F"/>
    <w:rsid w:val="00C114AC"/>
    <w:rsid w:val="00C11B34"/>
    <w:rsid w:val="00C12C5C"/>
    <w:rsid w:val="00C12E5D"/>
    <w:rsid w:val="00C1668E"/>
    <w:rsid w:val="00C16877"/>
    <w:rsid w:val="00C171FB"/>
    <w:rsid w:val="00C173B2"/>
    <w:rsid w:val="00C20326"/>
    <w:rsid w:val="00C209C2"/>
    <w:rsid w:val="00C20EE1"/>
    <w:rsid w:val="00C21D28"/>
    <w:rsid w:val="00C2267F"/>
    <w:rsid w:val="00C22AD8"/>
    <w:rsid w:val="00C26ADC"/>
    <w:rsid w:val="00C27ECA"/>
    <w:rsid w:val="00C3123C"/>
    <w:rsid w:val="00C33DC9"/>
    <w:rsid w:val="00C34205"/>
    <w:rsid w:val="00C34512"/>
    <w:rsid w:val="00C34FBC"/>
    <w:rsid w:val="00C3557E"/>
    <w:rsid w:val="00C3594B"/>
    <w:rsid w:val="00C36881"/>
    <w:rsid w:val="00C403A4"/>
    <w:rsid w:val="00C43102"/>
    <w:rsid w:val="00C43293"/>
    <w:rsid w:val="00C436C5"/>
    <w:rsid w:val="00C4392A"/>
    <w:rsid w:val="00C45972"/>
    <w:rsid w:val="00C4696B"/>
    <w:rsid w:val="00C4733B"/>
    <w:rsid w:val="00C473F2"/>
    <w:rsid w:val="00C475C7"/>
    <w:rsid w:val="00C50513"/>
    <w:rsid w:val="00C525B6"/>
    <w:rsid w:val="00C52826"/>
    <w:rsid w:val="00C52CEE"/>
    <w:rsid w:val="00C53EAC"/>
    <w:rsid w:val="00C5439B"/>
    <w:rsid w:val="00C54503"/>
    <w:rsid w:val="00C54D45"/>
    <w:rsid w:val="00C606C0"/>
    <w:rsid w:val="00C61E4F"/>
    <w:rsid w:val="00C63055"/>
    <w:rsid w:val="00C63703"/>
    <w:rsid w:val="00C64099"/>
    <w:rsid w:val="00C647F3"/>
    <w:rsid w:val="00C65302"/>
    <w:rsid w:val="00C70FC2"/>
    <w:rsid w:val="00C71F2E"/>
    <w:rsid w:val="00C73B62"/>
    <w:rsid w:val="00C7483F"/>
    <w:rsid w:val="00C776B1"/>
    <w:rsid w:val="00C77CD9"/>
    <w:rsid w:val="00C80662"/>
    <w:rsid w:val="00C80F1A"/>
    <w:rsid w:val="00C815FE"/>
    <w:rsid w:val="00C81FA0"/>
    <w:rsid w:val="00C847AE"/>
    <w:rsid w:val="00C85464"/>
    <w:rsid w:val="00C90E1A"/>
    <w:rsid w:val="00C91B4F"/>
    <w:rsid w:val="00C91EA7"/>
    <w:rsid w:val="00C945B8"/>
    <w:rsid w:val="00C94F11"/>
    <w:rsid w:val="00C96A04"/>
    <w:rsid w:val="00CA04C6"/>
    <w:rsid w:val="00CA08DE"/>
    <w:rsid w:val="00CA0C01"/>
    <w:rsid w:val="00CA26DD"/>
    <w:rsid w:val="00CA35F2"/>
    <w:rsid w:val="00CA3DED"/>
    <w:rsid w:val="00CA570E"/>
    <w:rsid w:val="00CA5B38"/>
    <w:rsid w:val="00CA5BF6"/>
    <w:rsid w:val="00CA7B9E"/>
    <w:rsid w:val="00CA7BE1"/>
    <w:rsid w:val="00CB0264"/>
    <w:rsid w:val="00CB12EC"/>
    <w:rsid w:val="00CB17CE"/>
    <w:rsid w:val="00CB2340"/>
    <w:rsid w:val="00CB2C63"/>
    <w:rsid w:val="00CB328A"/>
    <w:rsid w:val="00CB4060"/>
    <w:rsid w:val="00CB729B"/>
    <w:rsid w:val="00CB76F2"/>
    <w:rsid w:val="00CB7752"/>
    <w:rsid w:val="00CC07FD"/>
    <w:rsid w:val="00CC09D7"/>
    <w:rsid w:val="00CC12B8"/>
    <w:rsid w:val="00CC1F1F"/>
    <w:rsid w:val="00CC29A4"/>
    <w:rsid w:val="00CC2E86"/>
    <w:rsid w:val="00CC2FEA"/>
    <w:rsid w:val="00CC33B1"/>
    <w:rsid w:val="00CC3DF4"/>
    <w:rsid w:val="00CC4931"/>
    <w:rsid w:val="00CC4D53"/>
    <w:rsid w:val="00CC5AB1"/>
    <w:rsid w:val="00CC7681"/>
    <w:rsid w:val="00CD0507"/>
    <w:rsid w:val="00CD1006"/>
    <w:rsid w:val="00CD189F"/>
    <w:rsid w:val="00CD1902"/>
    <w:rsid w:val="00CD22E3"/>
    <w:rsid w:val="00CD3791"/>
    <w:rsid w:val="00CD3C53"/>
    <w:rsid w:val="00CD4375"/>
    <w:rsid w:val="00CD4DCB"/>
    <w:rsid w:val="00CD4E44"/>
    <w:rsid w:val="00CD5AE4"/>
    <w:rsid w:val="00CD5AE6"/>
    <w:rsid w:val="00CD6981"/>
    <w:rsid w:val="00CD6DC4"/>
    <w:rsid w:val="00CD7A7D"/>
    <w:rsid w:val="00CE01B9"/>
    <w:rsid w:val="00CE0B81"/>
    <w:rsid w:val="00CE0F9E"/>
    <w:rsid w:val="00CE17F9"/>
    <w:rsid w:val="00CE2945"/>
    <w:rsid w:val="00CE3D62"/>
    <w:rsid w:val="00CE44F1"/>
    <w:rsid w:val="00CE492E"/>
    <w:rsid w:val="00CE71AB"/>
    <w:rsid w:val="00CF0E23"/>
    <w:rsid w:val="00CF1D8B"/>
    <w:rsid w:val="00CF2D8E"/>
    <w:rsid w:val="00CF2DFA"/>
    <w:rsid w:val="00CF39ED"/>
    <w:rsid w:val="00CF5AD8"/>
    <w:rsid w:val="00CF7112"/>
    <w:rsid w:val="00D00122"/>
    <w:rsid w:val="00D00A93"/>
    <w:rsid w:val="00D01D2A"/>
    <w:rsid w:val="00D0307F"/>
    <w:rsid w:val="00D030CC"/>
    <w:rsid w:val="00D036B3"/>
    <w:rsid w:val="00D05184"/>
    <w:rsid w:val="00D06872"/>
    <w:rsid w:val="00D06A5E"/>
    <w:rsid w:val="00D106E0"/>
    <w:rsid w:val="00D10B47"/>
    <w:rsid w:val="00D10B6E"/>
    <w:rsid w:val="00D11EB1"/>
    <w:rsid w:val="00D136FD"/>
    <w:rsid w:val="00D1382B"/>
    <w:rsid w:val="00D13D47"/>
    <w:rsid w:val="00D141B3"/>
    <w:rsid w:val="00D14B34"/>
    <w:rsid w:val="00D17098"/>
    <w:rsid w:val="00D17F17"/>
    <w:rsid w:val="00D21199"/>
    <w:rsid w:val="00D221D7"/>
    <w:rsid w:val="00D2310F"/>
    <w:rsid w:val="00D23597"/>
    <w:rsid w:val="00D23C2B"/>
    <w:rsid w:val="00D25E24"/>
    <w:rsid w:val="00D2626E"/>
    <w:rsid w:val="00D269F6"/>
    <w:rsid w:val="00D26E0B"/>
    <w:rsid w:val="00D27C34"/>
    <w:rsid w:val="00D27CCD"/>
    <w:rsid w:val="00D27CE3"/>
    <w:rsid w:val="00D300CD"/>
    <w:rsid w:val="00D30BDC"/>
    <w:rsid w:val="00D30F4A"/>
    <w:rsid w:val="00D31571"/>
    <w:rsid w:val="00D32D90"/>
    <w:rsid w:val="00D33014"/>
    <w:rsid w:val="00D33F72"/>
    <w:rsid w:val="00D3639B"/>
    <w:rsid w:val="00D377DE"/>
    <w:rsid w:val="00D42436"/>
    <w:rsid w:val="00D43F7E"/>
    <w:rsid w:val="00D45163"/>
    <w:rsid w:val="00D47873"/>
    <w:rsid w:val="00D47D74"/>
    <w:rsid w:val="00D50A62"/>
    <w:rsid w:val="00D51247"/>
    <w:rsid w:val="00D531E1"/>
    <w:rsid w:val="00D54C06"/>
    <w:rsid w:val="00D55A14"/>
    <w:rsid w:val="00D56765"/>
    <w:rsid w:val="00D567DC"/>
    <w:rsid w:val="00D57185"/>
    <w:rsid w:val="00D5724B"/>
    <w:rsid w:val="00D576F1"/>
    <w:rsid w:val="00D57F88"/>
    <w:rsid w:val="00D61D33"/>
    <w:rsid w:val="00D65BA4"/>
    <w:rsid w:val="00D67777"/>
    <w:rsid w:val="00D70A9F"/>
    <w:rsid w:val="00D7105C"/>
    <w:rsid w:val="00D71D76"/>
    <w:rsid w:val="00D73646"/>
    <w:rsid w:val="00D75964"/>
    <w:rsid w:val="00D75A7D"/>
    <w:rsid w:val="00D766C0"/>
    <w:rsid w:val="00D777B4"/>
    <w:rsid w:val="00D77A90"/>
    <w:rsid w:val="00D816E6"/>
    <w:rsid w:val="00D8360B"/>
    <w:rsid w:val="00D83888"/>
    <w:rsid w:val="00D83EF8"/>
    <w:rsid w:val="00D849D7"/>
    <w:rsid w:val="00D84B7A"/>
    <w:rsid w:val="00D85676"/>
    <w:rsid w:val="00D91571"/>
    <w:rsid w:val="00D93BC1"/>
    <w:rsid w:val="00D942B1"/>
    <w:rsid w:val="00D94F23"/>
    <w:rsid w:val="00D959FA"/>
    <w:rsid w:val="00D96ADA"/>
    <w:rsid w:val="00DA01F6"/>
    <w:rsid w:val="00DA2886"/>
    <w:rsid w:val="00DA5E50"/>
    <w:rsid w:val="00DA7D0C"/>
    <w:rsid w:val="00DB311C"/>
    <w:rsid w:val="00DB36D2"/>
    <w:rsid w:val="00DB3B66"/>
    <w:rsid w:val="00DB432D"/>
    <w:rsid w:val="00DB4872"/>
    <w:rsid w:val="00DB519B"/>
    <w:rsid w:val="00DB5BA7"/>
    <w:rsid w:val="00DB6453"/>
    <w:rsid w:val="00DB6802"/>
    <w:rsid w:val="00DC0500"/>
    <w:rsid w:val="00DC1804"/>
    <w:rsid w:val="00DC34CD"/>
    <w:rsid w:val="00DC643B"/>
    <w:rsid w:val="00DC72A1"/>
    <w:rsid w:val="00DC7694"/>
    <w:rsid w:val="00DC78BC"/>
    <w:rsid w:val="00DC7FBE"/>
    <w:rsid w:val="00DD0950"/>
    <w:rsid w:val="00DD130E"/>
    <w:rsid w:val="00DD308E"/>
    <w:rsid w:val="00DD6AE5"/>
    <w:rsid w:val="00DD714B"/>
    <w:rsid w:val="00DD7A0C"/>
    <w:rsid w:val="00DE0D86"/>
    <w:rsid w:val="00DE39A7"/>
    <w:rsid w:val="00DE3E80"/>
    <w:rsid w:val="00DE54D5"/>
    <w:rsid w:val="00DE57D7"/>
    <w:rsid w:val="00DE772B"/>
    <w:rsid w:val="00DF003A"/>
    <w:rsid w:val="00DF01EE"/>
    <w:rsid w:val="00DF033B"/>
    <w:rsid w:val="00DF0C51"/>
    <w:rsid w:val="00DF0D47"/>
    <w:rsid w:val="00DF1652"/>
    <w:rsid w:val="00DF23D4"/>
    <w:rsid w:val="00DF4E70"/>
    <w:rsid w:val="00DF5DC3"/>
    <w:rsid w:val="00DF5FCB"/>
    <w:rsid w:val="00DF6D37"/>
    <w:rsid w:val="00DF6D49"/>
    <w:rsid w:val="00E00604"/>
    <w:rsid w:val="00E00AF7"/>
    <w:rsid w:val="00E00B6B"/>
    <w:rsid w:val="00E048ED"/>
    <w:rsid w:val="00E04FB3"/>
    <w:rsid w:val="00E054D1"/>
    <w:rsid w:val="00E058F2"/>
    <w:rsid w:val="00E05D9C"/>
    <w:rsid w:val="00E06102"/>
    <w:rsid w:val="00E07C93"/>
    <w:rsid w:val="00E07D3E"/>
    <w:rsid w:val="00E1046B"/>
    <w:rsid w:val="00E11BEC"/>
    <w:rsid w:val="00E120C4"/>
    <w:rsid w:val="00E13FF5"/>
    <w:rsid w:val="00E14388"/>
    <w:rsid w:val="00E21ADC"/>
    <w:rsid w:val="00E22D8C"/>
    <w:rsid w:val="00E22F97"/>
    <w:rsid w:val="00E23E71"/>
    <w:rsid w:val="00E24CED"/>
    <w:rsid w:val="00E27FBA"/>
    <w:rsid w:val="00E30AFB"/>
    <w:rsid w:val="00E30F19"/>
    <w:rsid w:val="00E31245"/>
    <w:rsid w:val="00E32700"/>
    <w:rsid w:val="00E329B1"/>
    <w:rsid w:val="00E32EDC"/>
    <w:rsid w:val="00E33C4A"/>
    <w:rsid w:val="00E357B9"/>
    <w:rsid w:val="00E36B65"/>
    <w:rsid w:val="00E4321E"/>
    <w:rsid w:val="00E443E6"/>
    <w:rsid w:val="00E44B80"/>
    <w:rsid w:val="00E46A89"/>
    <w:rsid w:val="00E47623"/>
    <w:rsid w:val="00E50BDB"/>
    <w:rsid w:val="00E51E21"/>
    <w:rsid w:val="00E52660"/>
    <w:rsid w:val="00E547F8"/>
    <w:rsid w:val="00E569FE"/>
    <w:rsid w:val="00E57D36"/>
    <w:rsid w:val="00E60529"/>
    <w:rsid w:val="00E6222F"/>
    <w:rsid w:val="00E63749"/>
    <w:rsid w:val="00E641EF"/>
    <w:rsid w:val="00E64537"/>
    <w:rsid w:val="00E6458D"/>
    <w:rsid w:val="00E6595B"/>
    <w:rsid w:val="00E66170"/>
    <w:rsid w:val="00E6783F"/>
    <w:rsid w:val="00E70B08"/>
    <w:rsid w:val="00E70D86"/>
    <w:rsid w:val="00E724C9"/>
    <w:rsid w:val="00E7628E"/>
    <w:rsid w:val="00E80228"/>
    <w:rsid w:val="00E82A91"/>
    <w:rsid w:val="00E82F54"/>
    <w:rsid w:val="00E837CB"/>
    <w:rsid w:val="00E8649B"/>
    <w:rsid w:val="00E871CD"/>
    <w:rsid w:val="00E90990"/>
    <w:rsid w:val="00E915E9"/>
    <w:rsid w:val="00E927A2"/>
    <w:rsid w:val="00E92A1A"/>
    <w:rsid w:val="00E94AAC"/>
    <w:rsid w:val="00E95D3D"/>
    <w:rsid w:val="00E95FE2"/>
    <w:rsid w:val="00E97BC2"/>
    <w:rsid w:val="00EA0D65"/>
    <w:rsid w:val="00EA0E25"/>
    <w:rsid w:val="00EA173C"/>
    <w:rsid w:val="00EA41C0"/>
    <w:rsid w:val="00EA4D6B"/>
    <w:rsid w:val="00EA6AAE"/>
    <w:rsid w:val="00EA7DBF"/>
    <w:rsid w:val="00EB3BE2"/>
    <w:rsid w:val="00EB407E"/>
    <w:rsid w:val="00EB7D62"/>
    <w:rsid w:val="00EC11B5"/>
    <w:rsid w:val="00EC127A"/>
    <w:rsid w:val="00EC1FF9"/>
    <w:rsid w:val="00EC231A"/>
    <w:rsid w:val="00EC2737"/>
    <w:rsid w:val="00EC457B"/>
    <w:rsid w:val="00EC6CF3"/>
    <w:rsid w:val="00EC7624"/>
    <w:rsid w:val="00ED0B4A"/>
    <w:rsid w:val="00ED1A67"/>
    <w:rsid w:val="00EE0374"/>
    <w:rsid w:val="00EE0874"/>
    <w:rsid w:val="00EE2250"/>
    <w:rsid w:val="00EE2716"/>
    <w:rsid w:val="00EE2BF8"/>
    <w:rsid w:val="00EE2FDA"/>
    <w:rsid w:val="00EE5D41"/>
    <w:rsid w:val="00EE6450"/>
    <w:rsid w:val="00EE6B40"/>
    <w:rsid w:val="00EF12B1"/>
    <w:rsid w:val="00EF2A06"/>
    <w:rsid w:val="00EF32A8"/>
    <w:rsid w:val="00EF3A30"/>
    <w:rsid w:val="00EF688A"/>
    <w:rsid w:val="00EF78AD"/>
    <w:rsid w:val="00F002AA"/>
    <w:rsid w:val="00F01C2C"/>
    <w:rsid w:val="00F03C2F"/>
    <w:rsid w:val="00F10ED8"/>
    <w:rsid w:val="00F112E5"/>
    <w:rsid w:val="00F12476"/>
    <w:rsid w:val="00F1405A"/>
    <w:rsid w:val="00F14326"/>
    <w:rsid w:val="00F152E0"/>
    <w:rsid w:val="00F201AF"/>
    <w:rsid w:val="00F222BE"/>
    <w:rsid w:val="00F23FCE"/>
    <w:rsid w:val="00F24179"/>
    <w:rsid w:val="00F2477B"/>
    <w:rsid w:val="00F24FD6"/>
    <w:rsid w:val="00F25820"/>
    <w:rsid w:val="00F26724"/>
    <w:rsid w:val="00F301F1"/>
    <w:rsid w:val="00F30265"/>
    <w:rsid w:val="00F30C22"/>
    <w:rsid w:val="00F30DA2"/>
    <w:rsid w:val="00F31C57"/>
    <w:rsid w:val="00F3201B"/>
    <w:rsid w:val="00F320AC"/>
    <w:rsid w:val="00F3279E"/>
    <w:rsid w:val="00F33F1A"/>
    <w:rsid w:val="00F34190"/>
    <w:rsid w:val="00F34C83"/>
    <w:rsid w:val="00F35606"/>
    <w:rsid w:val="00F35CFA"/>
    <w:rsid w:val="00F365DD"/>
    <w:rsid w:val="00F36829"/>
    <w:rsid w:val="00F42DA3"/>
    <w:rsid w:val="00F42E0A"/>
    <w:rsid w:val="00F45C26"/>
    <w:rsid w:val="00F45C41"/>
    <w:rsid w:val="00F45D51"/>
    <w:rsid w:val="00F478D7"/>
    <w:rsid w:val="00F47BCE"/>
    <w:rsid w:val="00F51BCF"/>
    <w:rsid w:val="00F52E9C"/>
    <w:rsid w:val="00F547F7"/>
    <w:rsid w:val="00F54CCF"/>
    <w:rsid w:val="00F5673F"/>
    <w:rsid w:val="00F57A13"/>
    <w:rsid w:val="00F615B4"/>
    <w:rsid w:val="00F61D7A"/>
    <w:rsid w:val="00F6367F"/>
    <w:rsid w:val="00F637B3"/>
    <w:rsid w:val="00F65A66"/>
    <w:rsid w:val="00F65BDB"/>
    <w:rsid w:val="00F6610D"/>
    <w:rsid w:val="00F66CF7"/>
    <w:rsid w:val="00F67BCB"/>
    <w:rsid w:val="00F70833"/>
    <w:rsid w:val="00F70DF3"/>
    <w:rsid w:val="00F7320B"/>
    <w:rsid w:val="00F74C57"/>
    <w:rsid w:val="00F75F71"/>
    <w:rsid w:val="00F768A9"/>
    <w:rsid w:val="00F769C5"/>
    <w:rsid w:val="00F76BE4"/>
    <w:rsid w:val="00F76DE6"/>
    <w:rsid w:val="00F77C57"/>
    <w:rsid w:val="00F77E54"/>
    <w:rsid w:val="00F8137E"/>
    <w:rsid w:val="00F813C7"/>
    <w:rsid w:val="00F816F3"/>
    <w:rsid w:val="00F830D6"/>
    <w:rsid w:val="00F83566"/>
    <w:rsid w:val="00F83A9D"/>
    <w:rsid w:val="00F846AC"/>
    <w:rsid w:val="00F84AE1"/>
    <w:rsid w:val="00F853E1"/>
    <w:rsid w:val="00F86FCF"/>
    <w:rsid w:val="00F87A95"/>
    <w:rsid w:val="00F906B5"/>
    <w:rsid w:val="00F9231C"/>
    <w:rsid w:val="00F9241B"/>
    <w:rsid w:val="00F92422"/>
    <w:rsid w:val="00F93784"/>
    <w:rsid w:val="00F94DF7"/>
    <w:rsid w:val="00F95142"/>
    <w:rsid w:val="00F95575"/>
    <w:rsid w:val="00F95EAF"/>
    <w:rsid w:val="00F9622A"/>
    <w:rsid w:val="00F96B35"/>
    <w:rsid w:val="00F971CC"/>
    <w:rsid w:val="00FA1D9F"/>
    <w:rsid w:val="00FA2CAA"/>
    <w:rsid w:val="00FA2D4B"/>
    <w:rsid w:val="00FA3DA1"/>
    <w:rsid w:val="00FA3FE2"/>
    <w:rsid w:val="00FA4501"/>
    <w:rsid w:val="00FA5A51"/>
    <w:rsid w:val="00FA6554"/>
    <w:rsid w:val="00FA68D1"/>
    <w:rsid w:val="00FB6441"/>
    <w:rsid w:val="00FB7074"/>
    <w:rsid w:val="00FC02CD"/>
    <w:rsid w:val="00FC1607"/>
    <w:rsid w:val="00FC1921"/>
    <w:rsid w:val="00FC542B"/>
    <w:rsid w:val="00FC6C76"/>
    <w:rsid w:val="00FD2225"/>
    <w:rsid w:val="00FD35DD"/>
    <w:rsid w:val="00FD4BA2"/>
    <w:rsid w:val="00FD5F0D"/>
    <w:rsid w:val="00FD65A9"/>
    <w:rsid w:val="00FE0850"/>
    <w:rsid w:val="00FE08BD"/>
    <w:rsid w:val="00FE16C1"/>
    <w:rsid w:val="00FE174B"/>
    <w:rsid w:val="00FE19FF"/>
    <w:rsid w:val="00FE1B28"/>
    <w:rsid w:val="00FE33A6"/>
    <w:rsid w:val="00FE49A6"/>
    <w:rsid w:val="00FE5452"/>
    <w:rsid w:val="00FE5BBC"/>
    <w:rsid w:val="00FE66CD"/>
    <w:rsid w:val="00FF02BA"/>
    <w:rsid w:val="00FF1AE4"/>
    <w:rsid w:val="00FF23B8"/>
    <w:rsid w:val="00FF59A8"/>
    <w:rsid w:val="00FF60A3"/>
    <w:rsid w:val="00FF627A"/>
    <w:rsid w:val="00FF674D"/>
    <w:rsid w:val="00FF7D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3A9B1"/>
  <w15:docId w15:val="{186298D3-D0CD-4188-807E-E3AE4C85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C0D"/>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styleId="UnresolvedMention">
    <w:name w:val="Unresolved Mention"/>
    <w:basedOn w:val="DefaultParagraphFont"/>
    <w:uiPriority w:val="99"/>
    <w:semiHidden/>
    <w:unhideWhenUsed/>
    <w:rsid w:val="00805C36"/>
    <w:rPr>
      <w:color w:val="605E5C"/>
      <w:shd w:val="clear" w:color="auto" w:fill="E1DFDD"/>
    </w:rPr>
  </w:style>
  <w:style w:type="character" w:customStyle="1" w:styleId="markedcontent">
    <w:name w:val="markedcontent"/>
    <w:basedOn w:val="DefaultParagraphFont"/>
    <w:rsid w:val="00720216"/>
  </w:style>
  <w:style w:type="paragraph" w:customStyle="1" w:styleId="bulletindent1">
    <w:name w:val="bulletindent1"/>
    <w:basedOn w:val="Normal"/>
    <w:rsid w:val="0010277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glyph">
    <w:name w:val="glyph"/>
    <w:basedOn w:val="DefaultParagraphFont"/>
    <w:rsid w:val="00102778"/>
  </w:style>
  <w:style w:type="character" w:customStyle="1" w:styleId="period">
    <w:name w:val="period"/>
    <w:basedOn w:val="DefaultParagraphFont"/>
    <w:rsid w:val="00AE6858"/>
  </w:style>
  <w:style w:type="character" w:customStyle="1" w:styleId="cit">
    <w:name w:val="cit"/>
    <w:basedOn w:val="DefaultParagraphFont"/>
    <w:rsid w:val="00AE6858"/>
  </w:style>
  <w:style w:type="character" w:customStyle="1" w:styleId="citation-doi">
    <w:name w:val="citation-doi"/>
    <w:basedOn w:val="DefaultParagraphFont"/>
    <w:rsid w:val="00AE6858"/>
  </w:style>
  <w:style w:type="character" w:styleId="FollowedHyperlink">
    <w:name w:val="FollowedHyperlink"/>
    <w:basedOn w:val="DefaultParagraphFont"/>
    <w:uiPriority w:val="99"/>
    <w:semiHidden/>
    <w:unhideWhenUsed/>
    <w:rsid w:val="003A15AB"/>
    <w:rPr>
      <w:color w:val="800080" w:themeColor="followedHyperlink"/>
      <w:u w:val="single"/>
    </w:rPr>
  </w:style>
  <w:style w:type="paragraph" w:customStyle="1" w:styleId="published">
    <w:name w:val="published"/>
    <w:basedOn w:val="Normal"/>
    <w:rsid w:val="00CF711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Date1">
    <w:name w:val="Date1"/>
    <w:basedOn w:val="DefaultParagraphFont"/>
    <w:rsid w:val="00CF7112"/>
  </w:style>
  <w:style w:type="paragraph" w:customStyle="1" w:styleId="source">
    <w:name w:val="source"/>
    <w:basedOn w:val="Normal"/>
    <w:rsid w:val="00CF7112"/>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author">
    <w:name w:val="author"/>
    <w:basedOn w:val="Normal"/>
    <w:rsid w:val="00CF711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uthor-name">
    <w:name w:val="author-name"/>
    <w:basedOn w:val="DefaultParagraphFont"/>
    <w:rsid w:val="00CF7112"/>
  </w:style>
  <w:style w:type="paragraph" w:styleId="NormalWeb">
    <w:name w:val="Normal (Web)"/>
    <w:basedOn w:val="Normal"/>
    <w:uiPriority w:val="99"/>
    <w:unhideWhenUsed/>
    <w:rsid w:val="006A556F"/>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mixed-citation">
    <w:name w:val="mixed-citation"/>
    <w:basedOn w:val="DefaultParagraphFont"/>
    <w:rsid w:val="00C94F11"/>
  </w:style>
  <w:style w:type="character" w:customStyle="1" w:styleId="ref-title">
    <w:name w:val="ref-title"/>
    <w:basedOn w:val="DefaultParagraphFont"/>
    <w:rsid w:val="00C94F11"/>
  </w:style>
  <w:style w:type="character" w:customStyle="1" w:styleId="ref-journal">
    <w:name w:val="ref-journal"/>
    <w:basedOn w:val="DefaultParagraphFont"/>
    <w:rsid w:val="00C94F11"/>
  </w:style>
  <w:style w:type="character" w:customStyle="1" w:styleId="ref-vol">
    <w:name w:val="ref-vol"/>
    <w:basedOn w:val="DefaultParagraphFont"/>
    <w:rsid w:val="00C94F11"/>
  </w:style>
  <w:style w:type="character" w:customStyle="1" w:styleId="nowrap">
    <w:name w:val="nowrap"/>
    <w:basedOn w:val="DefaultParagraphFont"/>
    <w:rsid w:val="00C94F11"/>
  </w:style>
  <w:style w:type="character" w:customStyle="1" w:styleId="highlight">
    <w:name w:val="highlight"/>
    <w:basedOn w:val="DefaultParagraphFont"/>
    <w:rsid w:val="00916C19"/>
  </w:style>
  <w:style w:type="character" w:customStyle="1" w:styleId="hgkelc">
    <w:name w:val="hgkelc"/>
    <w:basedOn w:val="DefaultParagraphFont"/>
    <w:rsid w:val="00AB1BDF"/>
  </w:style>
  <w:style w:type="character" w:customStyle="1" w:styleId="test-idfield-value">
    <w:name w:val="test-id__field-value"/>
    <w:basedOn w:val="DefaultParagraphFont"/>
    <w:rsid w:val="00A52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4002">
      <w:bodyDiv w:val="1"/>
      <w:marLeft w:val="0"/>
      <w:marRight w:val="0"/>
      <w:marTop w:val="0"/>
      <w:marBottom w:val="0"/>
      <w:divBdr>
        <w:top w:val="none" w:sz="0" w:space="0" w:color="auto"/>
        <w:left w:val="none" w:sz="0" w:space="0" w:color="auto"/>
        <w:bottom w:val="none" w:sz="0" w:space="0" w:color="auto"/>
        <w:right w:val="none" w:sz="0" w:space="0" w:color="auto"/>
      </w:divBdr>
      <w:divsChild>
        <w:div w:id="172650269">
          <w:marLeft w:val="0"/>
          <w:marRight w:val="0"/>
          <w:marTop w:val="0"/>
          <w:marBottom w:val="0"/>
          <w:divBdr>
            <w:top w:val="none" w:sz="0" w:space="0" w:color="auto"/>
            <w:left w:val="none" w:sz="0" w:space="0" w:color="auto"/>
            <w:bottom w:val="none" w:sz="0" w:space="0" w:color="auto"/>
            <w:right w:val="none" w:sz="0" w:space="0" w:color="auto"/>
          </w:divBdr>
        </w:div>
        <w:div w:id="1138493218">
          <w:marLeft w:val="0"/>
          <w:marRight w:val="0"/>
          <w:marTop w:val="0"/>
          <w:marBottom w:val="0"/>
          <w:divBdr>
            <w:top w:val="none" w:sz="0" w:space="0" w:color="auto"/>
            <w:left w:val="none" w:sz="0" w:space="0" w:color="auto"/>
            <w:bottom w:val="none" w:sz="0" w:space="0" w:color="auto"/>
            <w:right w:val="none" w:sz="0" w:space="0" w:color="auto"/>
          </w:divBdr>
        </w:div>
        <w:div w:id="513612495">
          <w:marLeft w:val="0"/>
          <w:marRight w:val="0"/>
          <w:marTop w:val="0"/>
          <w:marBottom w:val="0"/>
          <w:divBdr>
            <w:top w:val="none" w:sz="0" w:space="0" w:color="auto"/>
            <w:left w:val="none" w:sz="0" w:space="0" w:color="auto"/>
            <w:bottom w:val="none" w:sz="0" w:space="0" w:color="auto"/>
            <w:right w:val="none" w:sz="0" w:space="0" w:color="auto"/>
          </w:divBdr>
        </w:div>
      </w:divsChild>
    </w:div>
    <w:div w:id="75324824">
      <w:bodyDiv w:val="1"/>
      <w:marLeft w:val="0"/>
      <w:marRight w:val="0"/>
      <w:marTop w:val="0"/>
      <w:marBottom w:val="0"/>
      <w:divBdr>
        <w:top w:val="none" w:sz="0" w:space="0" w:color="auto"/>
        <w:left w:val="none" w:sz="0" w:space="0" w:color="auto"/>
        <w:bottom w:val="none" w:sz="0" w:space="0" w:color="auto"/>
        <w:right w:val="none" w:sz="0" w:space="0" w:color="auto"/>
      </w:divBdr>
    </w:div>
    <w:div w:id="76757332">
      <w:bodyDiv w:val="1"/>
      <w:marLeft w:val="0"/>
      <w:marRight w:val="0"/>
      <w:marTop w:val="0"/>
      <w:marBottom w:val="0"/>
      <w:divBdr>
        <w:top w:val="none" w:sz="0" w:space="0" w:color="auto"/>
        <w:left w:val="none" w:sz="0" w:space="0" w:color="auto"/>
        <w:bottom w:val="none" w:sz="0" w:space="0" w:color="auto"/>
        <w:right w:val="none" w:sz="0" w:space="0" w:color="auto"/>
      </w:divBdr>
    </w:div>
    <w:div w:id="87242281">
      <w:bodyDiv w:val="1"/>
      <w:marLeft w:val="0"/>
      <w:marRight w:val="0"/>
      <w:marTop w:val="0"/>
      <w:marBottom w:val="0"/>
      <w:divBdr>
        <w:top w:val="none" w:sz="0" w:space="0" w:color="auto"/>
        <w:left w:val="none" w:sz="0" w:space="0" w:color="auto"/>
        <w:bottom w:val="none" w:sz="0" w:space="0" w:color="auto"/>
        <w:right w:val="none" w:sz="0" w:space="0" w:color="auto"/>
      </w:divBdr>
    </w:div>
    <w:div w:id="97410203">
      <w:bodyDiv w:val="1"/>
      <w:marLeft w:val="0"/>
      <w:marRight w:val="0"/>
      <w:marTop w:val="0"/>
      <w:marBottom w:val="0"/>
      <w:divBdr>
        <w:top w:val="none" w:sz="0" w:space="0" w:color="auto"/>
        <w:left w:val="none" w:sz="0" w:space="0" w:color="auto"/>
        <w:bottom w:val="none" w:sz="0" w:space="0" w:color="auto"/>
        <w:right w:val="none" w:sz="0" w:space="0" w:color="auto"/>
      </w:divBdr>
    </w:div>
    <w:div w:id="117725645">
      <w:bodyDiv w:val="1"/>
      <w:marLeft w:val="0"/>
      <w:marRight w:val="0"/>
      <w:marTop w:val="0"/>
      <w:marBottom w:val="0"/>
      <w:divBdr>
        <w:top w:val="none" w:sz="0" w:space="0" w:color="auto"/>
        <w:left w:val="none" w:sz="0" w:space="0" w:color="auto"/>
        <w:bottom w:val="none" w:sz="0" w:space="0" w:color="auto"/>
        <w:right w:val="none" w:sz="0" w:space="0" w:color="auto"/>
      </w:divBdr>
    </w:div>
    <w:div w:id="158741111">
      <w:bodyDiv w:val="1"/>
      <w:marLeft w:val="0"/>
      <w:marRight w:val="0"/>
      <w:marTop w:val="0"/>
      <w:marBottom w:val="0"/>
      <w:divBdr>
        <w:top w:val="none" w:sz="0" w:space="0" w:color="auto"/>
        <w:left w:val="none" w:sz="0" w:space="0" w:color="auto"/>
        <w:bottom w:val="none" w:sz="0" w:space="0" w:color="auto"/>
        <w:right w:val="none" w:sz="0" w:space="0" w:color="auto"/>
      </w:divBdr>
    </w:div>
    <w:div w:id="234358312">
      <w:bodyDiv w:val="1"/>
      <w:marLeft w:val="0"/>
      <w:marRight w:val="0"/>
      <w:marTop w:val="0"/>
      <w:marBottom w:val="0"/>
      <w:divBdr>
        <w:top w:val="none" w:sz="0" w:space="0" w:color="auto"/>
        <w:left w:val="none" w:sz="0" w:space="0" w:color="auto"/>
        <w:bottom w:val="none" w:sz="0" w:space="0" w:color="auto"/>
        <w:right w:val="none" w:sz="0" w:space="0" w:color="auto"/>
      </w:divBdr>
    </w:div>
    <w:div w:id="236786780">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70309211">
      <w:bodyDiv w:val="1"/>
      <w:marLeft w:val="0"/>
      <w:marRight w:val="0"/>
      <w:marTop w:val="0"/>
      <w:marBottom w:val="0"/>
      <w:divBdr>
        <w:top w:val="none" w:sz="0" w:space="0" w:color="auto"/>
        <w:left w:val="none" w:sz="0" w:space="0" w:color="auto"/>
        <w:bottom w:val="none" w:sz="0" w:space="0" w:color="auto"/>
        <w:right w:val="none" w:sz="0" w:space="0" w:color="auto"/>
      </w:divBdr>
    </w:div>
    <w:div w:id="402725141">
      <w:bodyDiv w:val="1"/>
      <w:marLeft w:val="0"/>
      <w:marRight w:val="0"/>
      <w:marTop w:val="0"/>
      <w:marBottom w:val="0"/>
      <w:divBdr>
        <w:top w:val="none" w:sz="0" w:space="0" w:color="auto"/>
        <w:left w:val="none" w:sz="0" w:space="0" w:color="auto"/>
        <w:bottom w:val="none" w:sz="0" w:space="0" w:color="auto"/>
        <w:right w:val="none" w:sz="0" w:space="0" w:color="auto"/>
      </w:divBdr>
    </w:div>
    <w:div w:id="419716818">
      <w:bodyDiv w:val="1"/>
      <w:marLeft w:val="0"/>
      <w:marRight w:val="0"/>
      <w:marTop w:val="0"/>
      <w:marBottom w:val="0"/>
      <w:divBdr>
        <w:top w:val="none" w:sz="0" w:space="0" w:color="auto"/>
        <w:left w:val="none" w:sz="0" w:space="0" w:color="auto"/>
        <w:bottom w:val="none" w:sz="0" w:space="0" w:color="auto"/>
        <w:right w:val="none" w:sz="0" w:space="0" w:color="auto"/>
      </w:divBdr>
      <w:divsChild>
        <w:div w:id="1858544126">
          <w:marLeft w:val="0"/>
          <w:marRight w:val="0"/>
          <w:marTop w:val="0"/>
          <w:marBottom w:val="0"/>
          <w:divBdr>
            <w:top w:val="none" w:sz="0" w:space="0" w:color="auto"/>
            <w:left w:val="none" w:sz="0" w:space="0" w:color="auto"/>
            <w:bottom w:val="none" w:sz="0" w:space="0" w:color="auto"/>
            <w:right w:val="none" w:sz="0" w:space="0" w:color="auto"/>
          </w:divBdr>
          <w:divsChild>
            <w:div w:id="1317298145">
              <w:marLeft w:val="0"/>
              <w:marRight w:val="0"/>
              <w:marTop w:val="0"/>
              <w:marBottom w:val="0"/>
              <w:divBdr>
                <w:top w:val="none" w:sz="0" w:space="0" w:color="auto"/>
                <w:left w:val="none" w:sz="0" w:space="0" w:color="auto"/>
                <w:bottom w:val="none" w:sz="0" w:space="0" w:color="auto"/>
                <w:right w:val="none" w:sz="0" w:space="0" w:color="auto"/>
              </w:divBdr>
            </w:div>
          </w:divsChild>
        </w:div>
        <w:div w:id="340090002">
          <w:marLeft w:val="0"/>
          <w:marRight w:val="0"/>
          <w:marTop w:val="0"/>
          <w:marBottom w:val="0"/>
          <w:divBdr>
            <w:top w:val="none" w:sz="0" w:space="0" w:color="auto"/>
            <w:left w:val="none" w:sz="0" w:space="0" w:color="auto"/>
            <w:bottom w:val="none" w:sz="0" w:space="0" w:color="auto"/>
            <w:right w:val="none" w:sz="0" w:space="0" w:color="auto"/>
          </w:divBdr>
        </w:div>
        <w:div w:id="2072380968">
          <w:marLeft w:val="0"/>
          <w:marRight w:val="0"/>
          <w:marTop w:val="0"/>
          <w:marBottom w:val="0"/>
          <w:divBdr>
            <w:top w:val="none" w:sz="0" w:space="0" w:color="auto"/>
            <w:left w:val="none" w:sz="0" w:space="0" w:color="auto"/>
            <w:bottom w:val="none" w:sz="0" w:space="0" w:color="auto"/>
            <w:right w:val="none" w:sz="0" w:space="0" w:color="auto"/>
          </w:divBdr>
          <w:divsChild>
            <w:div w:id="12466120">
              <w:marLeft w:val="0"/>
              <w:marRight w:val="0"/>
              <w:marTop w:val="0"/>
              <w:marBottom w:val="0"/>
              <w:divBdr>
                <w:top w:val="none" w:sz="0" w:space="0" w:color="auto"/>
                <w:left w:val="none" w:sz="0" w:space="0" w:color="auto"/>
                <w:bottom w:val="none" w:sz="0" w:space="0" w:color="auto"/>
                <w:right w:val="none" w:sz="0" w:space="0" w:color="auto"/>
              </w:divBdr>
            </w:div>
          </w:divsChild>
        </w:div>
        <w:div w:id="716244863">
          <w:marLeft w:val="0"/>
          <w:marRight w:val="0"/>
          <w:marTop w:val="0"/>
          <w:marBottom w:val="0"/>
          <w:divBdr>
            <w:top w:val="none" w:sz="0" w:space="0" w:color="auto"/>
            <w:left w:val="none" w:sz="0" w:space="0" w:color="auto"/>
            <w:bottom w:val="none" w:sz="0" w:space="0" w:color="auto"/>
            <w:right w:val="none" w:sz="0" w:space="0" w:color="auto"/>
          </w:divBdr>
        </w:div>
      </w:divsChild>
    </w:div>
    <w:div w:id="442530033">
      <w:bodyDiv w:val="1"/>
      <w:marLeft w:val="0"/>
      <w:marRight w:val="0"/>
      <w:marTop w:val="0"/>
      <w:marBottom w:val="0"/>
      <w:divBdr>
        <w:top w:val="none" w:sz="0" w:space="0" w:color="auto"/>
        <w:left w:val="none" w:sz="0" w:space="0" w:color="auto"/>
        <w:bottom w:val="none" w:sz="0" w:space="0" w:color="auto"/>
        <w:right w:val="none" w:sz="0" w:space="0" w:color="auto"/>
      </w:divBdr>
    </w:div>
    <w:div w:id="541862752">
      <w:bodyDiv w:val="1"/>
      <w:marLeft w:val="0"/>
      <w:marRight w:val="0"/>
      <w:marTop w:val="0"/>
      <w:marBottom w:val="0"/>
      <w:divBdr>
        <w:top w:val="none" w:sz="0" w:space="0" w:color="auto"/>
        <w:left w:val="none" w:sz="0" w:space="0" w:color="auto"/>
        <w:bottom w:val="none" w:sz="0" w:space="0" w:color="auto"/>
        <w:right w:val="none" w:sz="0" w:space="0" w:color="auto"/>
      </w:divBdr>
    </w:div>
    <w:div w:id="566384712">
      <w:bodyDiv w:val="1"/>
      <w:marLeft w:val="0"/>
      <w:marRight w:val="0"/>
      <w:marTop w:val="0"/>
      <w:marBottom w:val="0"/>
      <w:divBdr>
        <w:top w:val="none" w:sz="0" w:space="0" w:color="auto"/>
        <w:left w:val="none" w:sz="0" w:space="0" w:color="auto"/>
        <w:bottom w:val="none" w:sz="0" w:space="0" w:color="auto"/>
        <w:right w:val="none" w:sz="0" w:space="0" w:color="auto"/>
      </w:divBdr>
    </w:div>
    <w:div w:id="572278675">
      <w:bodyDiv w:val="1"/>
      <w:marLeft w:val="0"/>
      <w:marRight w:val="0"/>
      <w:marTop w:val="0"/>
      <w:marBottom w:val="0"/>
      <w:divBdr>
        <w:top w:val="none" w:sz="0" w:space="0" w:color="auto"/>
        <w:left w:val="none" w:sz="0" w:space="0" w:color="auto"/>
        <w:bottom w:val="none" w:sz="0" w:space="0" w:color="auto"/>
        <w:right w:val="none" w:sz="0" w:space="0" w:color="auto"/>
      </w:divBdr>
    </w:div>
    <w:div w:id="665590002">
      <w:bodyDiv w:val="1"/>
      <w:marLeft w:val="0"/>
      <w:marRight w:val="0"/>
      <w:marTop w:val="0"/>
      <w:marBottom w:val="0"/>
      <w:divBdr>
        <w:top w:val="none" w:sz="0" w:space="0" w:color="auto"/>
        <w:left w:val="none" w:sz="0" w:space="0" w:color="auto"/>
        <w:bottom w:val="none" w:sz="0" w:space="0" w:color="auto"/>
        <w:right w:val="none" w:sz="0" w:space="0" w:color="auto"/>
      </w:divBdr>
      <w:divsChild>
        <w:div w:id="266040799">
          <w:marLeft w:val="0"/>
          <w:marRight w:val="0"/>
          <w:marTop w:val="0"/>
          <w:marBottom w:val="0"/>
          <w:divBdr>
            <w:top w:val="none" w:sz="0" w:space="0" w:color="auto"/>
            <w:left w:val="none" w:sz="0" w:space="0" w:color="auto"/>
            <w:bottom w:val="none" w:sz="0" w:space="0" w:color="auto"/>
            <w:right w:val="none" w:sz="0" w:space="0" w:color="auto"/>
          </w:divBdr>
          <w:divsChild>
            <w:div w:id="833835177">
              <w:marLeft w:val="0"/>
              <w:marRight w:val="0"/>
              <w:marTop w:val="0"/>
              <w:marBottom w:val="0"/>
              <w:divBdr>
                <w:top w:val="none" w:sz="0" w:space="0" w:color="auto"/>
                <w:left w:val="none" w:sz="0" w:space="0" w:color="auto"/>
                <w:bottom w:val="none" w:sz="0" w:space="0" w:color="auto"/>
                <w:right w:val="none" w:sz="0" w:space="0" w:color="auto"/>
              </w:divBdr>
              <w:divsChild>
                <w:div w:id="56562697">
                  <w:marLeft w:val="0"/>
                  <w:marRight w:val="0"/>
                  <w:marTop w:val="0"/>
                  <w:marBottom w:val="0"/>
                  <w:divBdr>
                    <w:top w:val="none" w:sz="0" w:space="0" w:color="auto"/>
                    <w:left w:val="none" w:sz="0" w:space="0" w:color="auto"/>
                    <w:bottom w:val="none" w:sz="0" w:space="0" w:color="auto"/>
                    <w:right w:val="none" w:sz="0" w:space="0" w:color="auto"/>
                  </w:divBdr>
                  <w:divsChild>
                    <w:div w:id="18309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064432">
      <w:bodyDiv w:val="1"/>
      <w:marLeft w:val="0"/>
      <w:marRight w:val="0"/>
      <w:marTop w:val="0"/>
      <w:marBottom w:val="0"/>
      <w:divBdr>
        <w:top w:val="none" w:sz="0" w:space="0" w:color="auto"/>
        <w:left w:val="none" w:sz="0" w:space="0" w:color="auto"/>
        <w:bottom w:val="none" w:sz="0" w:space="0" w:color="auto"/>
        <w:right w:val="none" w:sz="0" w:space="0" w:color="auto"/>
      </w:divBdr>
      <w:divsChild>
        <w:div w:id="1190988510">
          <w:marLeft w:val="0"/>
          <w:marRight w:val="0"/>
          <w:marTop w:val="0"/>
          <w:marBottom w:val="0"/>
          <w:divBdr>
            <w:top w:val="none" w:sz="0" w:space="0" w:color="auto"/>
            <w:left w:val="none" w:sz="0" w:space="0" w:color="auto"/>
            <w:bottom w:val="none" w:sz="0" w:space="0" w:color="auto"/>
            <w:right w:val="none" w:sz="0" w:space="0" w:color="auto"/>
          </w:divBdr>
          <w:divsChild>
            <w:div w:id="1494761610">
              <w:marLeft w:val="0"/>
              <w:marRight w:val="0"/>
              <w:marTop w:val="0"/>
              <w:marBottom w:val="0"/>
              <w:divBdr>
                <w:top w:val="none" w:sz="0" w:space="0" w:color="auto"/>
                <w:left w:val="none" w:sz="0" w:space="0" w:color="auto"/>
                <w:bottom w:val="none" w:sz="0" w:space="0" w:color="auto"/>
                <w:right w:val="none" w:sz="0" w:space="0" w:color="auto"/>
              </w:divBdr>
              <w:divsChild>
                <w:div w:id="1498303022">
                  <w:marLeft w:val="0"/>
                  <w:marRight w:val="0"/>
                  <w:marTop w:val="0"/>
                  <w:marBottom w:val="0"/>
                  <w:divBdr>
                    <w:top w:val="none" w:sz="0" w:space="0" w:color="auto"/>
                    <w:left w:val="none" w:sz="0" w:space="0" w:color="auto"/>
                    <w:bottom w:val="none" w:sz="0" w:space="0" w:color="auto"/>
                    <w:right w:val="none" w:sz="0" w:space="0" w:color="auto"/>
                  </w:divBdr>
                  <w:divsChild>
                    <w:div w:id="750853278">
                      <w:marLeft w:val="0"/>
                      <w:marRight w:val="0"/>
                      <w:marTop w:val="0"/>
                      <w:marBottom w:val="0"/>
                      <w:divBdr>
                        <w:top w:val="none" w:sz="0" w:space="0" w:color="auto"/>
                        <w:left w:val="none" w:sz="0" w:space="0" w:color="auto"/>
                        <w:bottom w:val="none" w:sz="0" w:space="0" w:color="auto"/>
                        <w:right w:val="none" w:sz="0" w:space="0" w:color="auto"/>
                      </w:divBdr>
                    </w:div>
                    <w:div w:id="20777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3661">
              <w:marLeft w:val="0"/>
              <w:marRight w:val="0"/>
              <w:marTop w:val="0"/>
              <w:marBottom w:val="0"/>
              <w:divBdr>
                <w:top w:val="none" w:sz="0" w:space="0" w:color="auto"/>
                <w:left w:val="none" w:sz="0" w:space="0" w:color="auto"/>
                <w:bottom w:val="none" w:sz="0" w:space="0" w:color="auto"/>
                <w:right w:val="none" w:sz="0" w:space="0" w:color="auto"/>
              </w:divBdr>
              <w:divsChild>
                <w:div w:id="210239697">
                  <w:marLeft w:val="0"/>
                  <w:marRight w:val="0"/>
                  <w:marTop w:val="0"/>
                  <w:marBottom w:val="0"/>
                  <w:divBdr>
                    <w:top w:val="none" w:sz="0" w:space="0" w:color="auto"/>
                    <w:left w:val="none" w:sz="0" w:space="0" w:color="auto"/>
                    <w:bottom w:val="none" w:sz="0" w:space="0" w:color="auto"/>
                    <w:right w:val="none" w:sz="0" w:space="0" w:color="auto"/>
                  </w:divBdr>
                </w:div>
                <w:div w:id="14222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59563">
          <w:marLeft w:val="0"/>
          <w:marRight w:val="0"/>
          <w:marTop w:val="0"/>
          <w:marBottom w:val="0"/>
          <w:divBdr>
            <w:top w:val="none" w:sz="0" w:space="0" w:color="auto"/>
            <w:left w:val="none" w:sz="0" w:space="0" w:color="auto"/>
            <w:bottom w:val="none" w:sz="0" w:space="0" w:color="auto"/>
            <w:right w:val="none" w:sz="0" w:space="0" w:color="auto"/>
          </w:divBdr>
          <w:divsChild>
            <w:div w:id="21025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114">
      <w:bodyDiv w:val="1"/>
      <w:marLeft w:val="0"/>
      <w:marRight w:val="0"/>
      <w:marTop w:val="0"/>
      <w:marBottom w:val="0"/>
      <w:divBdr>
        <w:top w:val="none" w:sz="0" w:space="0" w:color="auto"/>
        <w:left w:val="none" w:sz="0" w:space="0" w:color="auto"/>
        <w:bottom w:val="none" w:sz="0" w:space="0" w:color="auto"/>
        <w:right w:val="none" w:sz="0" w:space="0" w:color="auto"/>
      </w:divBdr>
    </w:div>
    <w:div w:id="819275848">
      <w:bodyDiv w:val="1"/>
      <w:marLeft w:val="0"/>
      <w:marRight w:val="0"/>
      <w:marTop w:val="0"/>
      <w:marBottom w:val="0"/>
      <w:divBdr>
        <w:top w:val="none" w:sz="0" w:space="0" w:color="auto"/>
        <w:left w:val="none" w:sz="0" w:space="0" w:color="auto"/>
        <w:bottom w:val="none" w:sz="0" w:space="0" w:color="auto"/>
        <w:right w:val="none" w:sz="0" w:space="0" w:color="auto"/>
      </w:divBdr>
    </w:div>
    <w:div w:id="946885692">
      <w:bodyDiv w:val="1"/>
      <w:marLeft w:val="0"/>
      <w:marRight w:val="0"/>
      <w:marTop w:val="0"/>
      <w:marBottom w:val="0"/>
      <w:divBdr>
        <w:top w:val="none" w:sz="0" w:space="0" w:color="auto"/>
        <w:left w:val="none" w:sz="0" w:space="0" w:color="auto"/>
        <w:bottom w:val="none" w:sz="0" w:space="0" w:color="auto"/>
        <w:right w:val="none" w:sz="0" w:space="0" w:color="auto"/>
      </w:divBdr>
    </w:div>
    <w:div w:id="957494978">
      <w:bodyDiv w:val="1"/>
      <w:marLeft w:val="0"/>
      <w:marRight w:val="0"/>
      <w:marTop w:val="0"/>
      <w:marBottom w:val="0"/>
      <w:divBdr>
        <w:top w:val="none" w:sz="0" w:space="0" w:color="auto"/>
        <w:left w:val="none" w:sz="0" w:space="0" w:color="auto"/>
        <w:bottom w:val="none" w:sz="0" w:space="0" w:color="auto"/>
        <w:right w:val="none" w:sz="0" w:space="0" w:color="auto"/>
      </w:divBdr>
    </w:div>
    <w:div w:id="957877419">
      <w:bodyDiv w:val="1"/>
      <w:marLeft w:val="0"/>
      <w:marRight w:val="0"/>
      <w:marTop w:val="0"/>
      <w:marBottom w:val="0"/>
      <w:divBdr>
        <w:top w:val="none" w:sz="0" w:space="0" w:color="auto"/>
        <w:left w:val="none" w:sz="0" w:space="0" w:color="auto"/>
        <w:bottom w:val="none" w:sz="0" w:space="0" w:color="auto"/>
        <w:right w:val="none" w:sz="0" w:space="0" w:color="auto"/>
      </w:divBdr>
    </w:div>
    <w:div w:id="961376005">
      <w:bodyDiv w:val="1"/>
      <w:marLeft w:val="0"/>
      <w:marRight w:val="0"/>
      <w:marTop w:val="0"/>
      <w:marBottom w:val="0"/>
      <w:divBdr>
        <w:top w:val="none" w:sz="0" w:space="0" w:color="auto"/>
        <w:left w:val="none" w:sz="0" w:space="0" w:color="auto"/>
        <w:bottom w:val="none" w:sz="0" w:space="0" w:color="auto"/>
        <w:right w:val="none" w:sz="0" w:space="0" w:color="auto"/>
      </w:divBdr>
    </w:div>
    <w:div w:id="972517861">
      <w:bodyDiv w:val="1"/>
      <w:marLeft w:val="0"/>
      <w:marRight w:val="0"/>
      <w:marTop w:val="0"/>
      <w:marBottom w:val="0"/>
      <w:divBdr>
        <w:top w:val="none" w:sz="0" w:space="0" w:color="auto"/>
        <w:left w:val="none" w:sz="0" w:space="0" w:color="auto"/>
        <w:bottom w:val="none" w:sz="0" w:space="0" w:color="auto"/>
        <w:right w:val="none" w:sz="0" w:space="0" w:color="auto"/>
      </w:divBdr>
    </w:div>
    <w:div w:id="988171789">
      <w:bodyDiv w:val="1"/>
      <w:marLeft w:val="0"/>
      <w:marRight w:val="0"/>
      <w:marTop w:val="0"/>
      <w:marBottom w:val="0"/>
      <w:divBdr>
        <w:top w:val="none" w:sz="0" w:space="0" w:color="auto"/>
        <w:left w:val="none" w:sz="0" w:space="0" w:color="auto"/>
        <w:bottom w:val="none" w:sz="0" w:space="0" w:color="auto"/>
        <w:right w:val="none" w:sz="0" w:space="0" w:color="auto"/>
      </w:divBdr>
    </w:div>
    <w:div w:id="1005012745">
      <w:bodyDiv w:val="1"/>
      <w:marLeft w:val="0"/>
      <w:marRight w:val="0"/>
      <w:marTop w:val="0"/>
      <w:marBottom w:val="0"/>
      <w:divBdr>
        <w:top w:val="none" w:sz="0" w:space="0" w:color="auto"/>
        <w:left w:val="none" w:sz="0" w:space="0" w:color="auto"/>
        <w:bottom w:val="none" w:sz="0" w:space="0" w:color="auto"/>
        <w:right w:val="none" w:sz="0" w:space="0" w:color="auto"/>
      </w:divBdr>
    </w:div>
    <w:div w:id="1089275463">
      <w:bodyDiv w:val="1"/>
      <w:marLeft w:val="0"/>
      <w:marRight w:val="0"/>
      <w:marTop w:val="0"/>
      <w:marBottom w:val="0"/>
      <w:divBdr>
        <w:top w:val="none" w:sz="0" w:space="0" w:color="auto"/>
        <w:left w:val="none" w:sz="0" w:space="0" w:color="auto"/>
        <w:bottom w:val="none" w:sz="0" w:space="0" w:color="auto"/>
        <w:right w:val="none" w:sz="0" w:space="0" w:color="auto"/>
      </w:divBdr>
    </w:div>
    <w:div w:id="1098871053">
      <w:bodyDiv w:val="1"/>
      <w:marLeft w:val="0"/>
      <w:marRight w:val="0"/>
      <w:marTop w:val="0"/>
      <w:marBottom w:val="0"/>
      <w:divBdr>
        <w:top w:val="none" w:sz="0" w:space="0" w:color="auto"/>
        <w:left w:val="none" w:sz="0" w:space="0" w:color="auto"/>
        <w:bottom w:val="none" w:sz="0" w:space="0" w:color="auto"/>
        <w:right w:val="none" w:sz="0" w:space="0" w:color="auto"/>
      </w:divBdr>
    </w:div>
    <w:div w:id="1122571926">
      <w:bodyDiv w:val="1"/>
      <w:marLeft w:val="0"/>
      <w:marRight w:val="0"/>
      <w:marTop w:val="0"/>
      <w:marBottom w:val="0"/>
      <w:divBdr>
        <w:top w:val="none" w:sz="0" w:space="0" w:color="auto"/>
        <w:left w:val="none" w:sz="0" w:space="0" w:color="auto"/>
        <w:bottom w:val="none" w:sz="0" w:space="0" w:color="auto"/>
        <w:right w:val="none" w:sz="0" w:space="0" w:color="auto"/>
      </w:divBdr>
    </w:div>
    <w:div w:id="1135492059">
      <w:bodyDiv w:val="1"/>
      <w:marLeft w:val="0"/>
      <w:marRight w:val="0"/>
      <w:marTop w:val="0"/>
      <w:marBottom w:val="0"/>
      <w:divBdr>
        <w:top w:val="none" w:sz="0" w:space="0" w:color="auto"/>
        <w:left w:val="none" w:sz="0" w:space="0" w:color="auto"/>
        <w:bottom w:val="none" w:sz="0" w:space="0" w:color="auto"/>
        <w:right w:val="none" w:sz="0" w:space="0" w:color="auto"/>
      </w:divBdr>
    </w:div>
    <w:div w:id="1145511032">
      <w:bodyDiv w:val="1"/>
      <w:marLeft w:val="0"/>
      <w:marRight w:val="0"/>
      <w:marTop w:val="0"/>
      <w:marBottom w:val="0"/>
      <w:divBdr>
        <w:top w:val="none" w:sz="0" w:space="0" w:color="auto"/>
        <w:left w:val="none" w:sz="0" w:space="0" w:color="auto"/>
        <w:bottom w:val="none" w:sz="0" w:space="0" w:color="auto"/>
        <w:right w:val="none" w:sz="0" w:space="0" w:color="auto"/>
      </w:divBdr>
    </w:div>
    <w:div w:id="1245919464">
      <w:bodyDiv w:val="1"/>
      <w:marLeft w:val="0"/>
      <w:marRight w:val="0"/>
      <w:marTop w:val="0"/>
      <w:marBottom w:val="0"/>
      <w:divBdr>
        <w:top w:val="none" w:sz="0" w:space="0" w:color="auto"/>
        <w:left w:val="none" w:sz="0" w:space="0" w:color="auto"/>
        <w:bottom w:val="none" w:sz="0" w:space="0" w:color="auto"/>
        <w:right w:val="none" w:sz="0" w:space="0" w:color="auto"/>
      </w:divBdr>
    </w:div>
    <w:div w:id="1246963088">
      <w:bodyDiv w:val="1"/>
      <w:marLeft w:val="0"/>
      <w:marRight w:val="0"/>
      <w:marTop w:val="0"/>
      <w:marBottom w:val="0"/>
      <w:divBdr>
        <w:top w:val="none" w:sz="0" w:space="0" w:color="auto"/>
        <w:left w:val="none" w:sz="0" w:space="0" w:color="auto"/>
        <w:bottom w:val="none" w:sz="0" w:space="0" w:color="auto"/>
        <w:right w:val="none" w:sz="0" w:space="0" w:color="auto"/>
      </w:divBdr>
    </w:div>
    <w:div w:id="1313561088">
      <w:bodyDiv w:val="1"/>
      <w:marLeft w:val="0"/>
      <w:marRight w:val="0"/>
      <w:marTop w:val="0"/>
      <w:marBottom w:val="0"/>
      <w:divBdr>
        <w:top w:val="none" w:sz="0" w:space="0" w:color="auto"/>
        <w:left w:val="none" w:sz="0" w:space="0" w:color="auto"/>
        <w:bottom w:val="none" w:sz="0" w:space="0" w:color="auto"/>
        <w:right w:val="none" w:sz="0" w:space="0" w:color="auto"/>
      </w:divBdr>
    </w:div>
    <w:div w:id="1346901674">
      <w:bodyDiv w:val="1"/>
      <w:marLeft w:val="0"/>
      <w:marRight w:val="0"/>
      <w:marTop w:val="0"/>
      <w:marBottom w:val="0"/>
      <w:divBdr>
        <w:top w:val="none" w:sz="0" w:space="0" w:color="auto"/>
        <w:left w:val="none" w:sz="0" w:space="0" w:color="auto"/>
        <w:bottom w:val="none" w:sz="0" w:space="0" w:color="auto"/>
        <w:right w:val="none" w:sz="0" w:space="0" w:color="auto"/>
      </w:divBdr>
    </w:div>
    <w:div w:id="1412463052">
      <w:bodyDiv w:val="1"/>
      <w:marLeft w:val="0"/>
      <w:marRight w:val="0"/>
      <w:marTop w:val="0"/>
      <w:marBottom w:val="0"/>
      <w:divBdr>
        <w:top w:val="none" w:sz="0" w:space="0" w:color="auto"/>
        <w:left w:val="none" w:sz="0" w:space="0" w:color="auto"/>
        <w:bottom w:val="none" w:sz="0" w:space="0" w:color="auto"/>
        <w:right w:val="none" w:sz="0" w:space="0" w:color="auto"/>
      </w:divBdr>
      <w:divsChild>
        <w:div w:id="872108605">
          <w:marLeft w:val="0"/>
          <w:marRight w:val="0"/>
          <w:marTop w:val="0"/>
          <w:marBottom w:val="0"/>
          <w:divBdr>
            <w:top w:val="none" w:sz="0" w:space="0" w:color="auto"/>
            <w:left w:val="none" w:sz="0" w:space="0" w:color="auto"/>
            <w:bottom w:val="none" w:sz="0" w:space="0" w:color="auto"/>
            <w:right w:val="none" w:sz="0" w:space="0" w:color="auto"/>
          </w:divBdr>
          <w:divsChild>
            <w:div w:id="806702891">
              <w:marLeft w:val="0"/>
              <w:marRight w:val="0"/>
              <w:marTop w:val="0"/>
              <w:marBottom w:val="0"/>
              <w:divBdr>
                <w:top w:val="none" w:sz="0" w:space="0" w:color="auto"/>
                <w:left w:val="none" w:sz="0" w:space="0" w:color="auto"/>
                <w:bottom w:val="none" w:sz="0" w:space="0" w:color="auto"/>
                <w:right w:val="none" w:sz="0" w:space="0" w:color="auto"/>
              </w:divBdr>
              <w:divsChild>
                <w:div w:id="7896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3808">
          <w:marLeft w:val="0"/>
          <w:marRight w:val="0"/>
          <w:marTop w:val="0"/>
          <w:marBottom w:val="0"/>
          <w:divBdr>
            <w:top w:val="none" w:sz="0" w:space="0" w:color="auto"/>
            <w:left w:val="none" w:sz="0" w:space="0" w:color="auto"/>
            <w:bottom w:val="none" w:sz="0" w:space="0" w:color="auto"/>
            <w:right w:val="none" w:sz="0" w:space="0" w:color="auto"/>
          </w:divBdr>
          <w:divsChild>
            <w:div w:id="1424640697">
              <w:marLeft w:val="0"/>
              <w:marRight w:val="0"/>
              <w:marTop w:val="0"/>
              <w:marBottom w:val="0"/>
              <w:divBdr>
                <w:top w:val="none" w:sz="0" w:space="0" w:color="auto"/>
                <w:left w:val="none" w:sz="0" w:space="0" w:color="auto"/>
                <w:bottom w:val="none" w:sz="0" w:space="0" w:color="auto"/>
                <w:right w:val="none" w:sz="0" w:space="0" w:color="auto"/>
              </w:divBdr>
              <w:divsChild>
                <w:div w:id="918909095">
                  <w:marLeft w:val="0"/>
                  <w:marRight w:val="0"/>
                  <w:marTop w:val="0"/>
                  <w:marBottom w:val="0"/>
                  <w:divBdr>
                    <w:top w:val="none" w:sz="0" w:space="0" w:color="auto"/>
                    <w:left w:val="none" w:sz="0" w:space="0" w:color="auto"/>
                    <w:bottom w:val="none" w:sz="0" w:space="0" w:color="auto"/>
                    <w:right w:val="none" w:sz="0" w:space="0" w:color="auto"/>
                  </w:divBdr>
                  <w:divsChild>
                    <w:div w:id="352154213">
                      <w:marLeft w:val="0"/>
                      <w:marRight w:val="0"/>
                      <w:marTop w:val="0"/>
                      <w:marBottom w:val="0"/>
                      <w:divBdr>
                        <w:top w:val="none" w:sz="0" w:space="0" w:color="auto"/>
                        <w:left w:val="none" w:sz="0" w:space="0" w:color="auto"/>
                        <w:bottom w:val="none" w:sz="0" w:space="0" w:color="auto"/>
                        <w:right w:val="none" w:sz="0" w:space="0" w:color="auto"/>
                      </w:divBdr>
                      <w:divsChild>
                        <w:div w:id="178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455690">
          <w:marLeft w:val="0"/>
          <w:marRight w:val="0"/>
          <w:marTop w:val="0"/>
          <w:marBottom w:val="0"/>
          <w:divBdr>
            <w:top w:val="none" w:sz="0" w:space="0" w:color="auto"/>
            <w:left w:val="none" w:sz="0" w:space="0" w:color="auto"/>
            <w:bottom w:val="none" w:sz="0" w:space="0" w:color="auto"/>
            <w:right w:val="none" w:sz="0" w:space="0" w:color="auto"/>
          </w:divBdr>
          <w:divsChild>
            <w:div w:id="682821620">
              <w:marLeft w:val="0"/>
              <w:marRight w:val="0"/>
              <w:marTop w:val="0"/>
              <w:marBottom w:val="0"/>
              <w:divBdr>
                <w:top w:val="none" w:sz="0" w:space="0" w:color="auto"/>
                <w:left w:val="none" w:sz="0" w:space="0" w:color="auto"/>
                <w:bottom w:val="none" w:sz="0" w:space="0" w:color="auto"/>
                <w:right w:val="none" w:sz="0" w:space="0" w:color="auto"/>
              </w:divBdr>
              <w:divsChild>
                <w:div w:id="1766654607">
                  <w:marLeft w:val="0"/>
                  <w:marRight w:val="0"/>
                  <w:marTop w:val="0"/>
                  <w:marBottom w:val="0"/>
                  <w:divBdr>
                    <w:top w:val="none" w:sz="0" w:space="0" w:color="auto"/>
                    <w:left w:val="none" w:sz="0" w:space="0" w:color="auto"/>
                    <w:bottom w:val="none" w:sz="0" w:space="0" w:color="auto"/>
                    <w:right w:val="none" w:sz="0" w:space="0" w:color="auto"/>
                  </w:divBdr>
                  <w:divsChild>
                    <w:div w:id="277879649">
                      <w:marLeft w:val="0"/>
                      <w:marRight w:val="0"/>
                      <w:marTop w:val="0"/>
                      <w:marBottom w:val="0"/>
                      <w:divBdr>
                        <w:top w:val="none" w:sz="0" w:space="0" w:color="auto"/>
                        <w:left w:val="none" w:sz="0" w:space="0" w:color="auto"/>
                        <w:bottom w:val="none" w:sz="0" w:space="0" w:color="auto"/>
                        <w:right w:val="none" w:sz="0" w:space="0" w:color="auto"/>
                      </w:divBdr>
                      <w:divsChild>
                        <w:div w:id="720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425226">
      <w:bodyDiv w:val="1"/>
      <w:marLeft w:val="0"/>
      <w:marRight w:val="0"/>
      <w:marTop w:val="0"/>
      <w:marBottom w:val="0"/>
      <w:divBdr>
        <w:top w:val="none" w:sz="0" w:space="0" w:color="auto"/>
        <w:left w:val="none" w:sz="0" w:space="0" w:color="auto"/>
        <w:bottom w:val="none" w:sz="0" w:space="0" w:color="auto"/>
        <w:right w:val="none" w:sz="0" w:space="0" w:color="auto"/>
      </w:divBdr>
    </w:div>
    <w:div w:id="1575354881">
      <w:bodyDiv w:val="1"/>
      <w:marLeft w:val="0"/>
      <w:marRight w:val="0"/>
      <w:marTop w:val="0"/>
      <w:marBottom w:val="0"/>
      <w:divBdr>
        <w:top w:val="none" w:sz="0" w:space="0" w:color="auto"/>
        <w:left w:val="none" w:sz="0" w:space="0" w:color="auto"/>
        <w:bottom w:val="none" w:sz="0" w:space="0" w:color="auto"/>
        <w:right w:val="none" w:sz="0" w:space="0" w:color="auto"/>
      </w:divBdr>
    </w:div>
    <w:div w:id="1705400314">
      <w:bodyDiv w:val="1"/>
      <w:marLeft w:val="0"/>
      <w:marRight w:val="0"/>
      <w:marTop w:val="0"/>
      <w:marBottom w:val="0"/>
      <w:divBdr>
        <w:top w:val="none" w:sz="0" w:space="0" w:color="auto"/>
        <w:left w:val="none" w:sz="0" w:space="0" w:color="auto"/>
        <w:bottom w:val="none" w:sz="0" w:space="0" w:color="auto"/>
        <w:right w:val="none" w:sz="0" w:space="0" w:color="auto"/>
      </w:divBdr>
    </w:div>
    <w:div w:id="1785005123">
      <w:bodyDiv w:val="1"/>
      <w:marLeft w:val="0"/>
      <w:marRight w:val="0"/>
      <w:marTop w:val="0"/>
      <w:marBottom w:val="0"/>
      <w:divBdr>
        <w:top w:val="none" w:sz="0" w:space="0" w:color="auto"/>
        <w:left w:val="none" w:sz="0" w:space="0" w:color="auto"/>
        <w:bottom w:val="none" w:sz="0" w:space="0" w:color="auto"/>
        <w:right w:val="none" w:sz="0" w:space="0" w:color="auto"/>
      </w:divBdr>
    </w:div>
    <w:div w:id="1790008019">
      <w:bodyDiv w:val="1"/>
      <w:marLeft w:val="0"/>
      <w:marRight w:val="0"/>
      <w:marTop w:val="0"/>
      <w:marBottom w:val="0"/>
      <w:divBdr>
        <w:top w:val="none" w:sz="0" w:space="0" w:color="auto"/>
        <w:left w:val="none" w:sz="0" w:space="0" w:color="auto"/>
        <w:bottom w:val="none" w:sz="0" w:space="0" w:color="auto"/>
        <w:right w:val="none" w:sz="0" w:space="0" w:color="auto"/>
      </w:divBdr>
    </w:div>
    <w:div w:id="1938101148">
      <w:bodyDiv w:val="1"/>
      <w:marLeft w:val="0"/>
      <w:marRight w:val="0"/>
      <w:marTop w:val="0"/>
      <w:marBottom w:val="0"/>
      <w:divBdr>
        <w:top w:val="none" w:sz="0" w:space="0" w:color="auto"/>
        <w:left w:val="none" w:sz="0" w:space="0" w:color="auto"/>
        <w:bottom w:val="none" w:sz="0" w:space="0" w:color="auto"/>
        <w:right w:val="none" w:sz="0" w:space="0" w:color="auto"/>
      </w:divBdr>
    </w:div>
    <w:div w:id="1958440346">
      <w:bodyDiv w:val="1"/>
      <w:marLeft w:val="0"/>
      <w:marRight w:val="0"/>
      <w:marTop w:val="0"/>
      <w:marBottom w:val="0"/>
      <w:divBdr>
        <w:top w:val="none" w:sz="0" w:space="0" w:color="auto"/>
        <w:left w:val="none" w:sz="0" w:space="0" w:color="auto"/>
        <w:bottom w:val="none" w:sz="0" w:space="0" w:color="auto"/>
        <w:right w:val="none" w:sz="0" w:space="0" w:color="auto"/>
      </w:divBdr>
    </w:div>
    <w:div w:id="1990088731">
      <w:bodyDiv w:val="1"/>
      <w:marLeft w:val="0"/>
      <w:marRight w:val="0"/>
      <w:marTop w:val="0"/>
      <w:marBottom w:val="0"/>
      <w:divBdr>
        <w:top w:val="none" w:sz="0" w:space="0" w:color="auto"/>
        <w:left w:val="none" w:sz="0" w:space="0" w:color="auto"/>
        <w:bottom w:val="none" w:sz="0" w:space="0" w:color="auto"/>
        <w:right w:val="none" w:sz="0" w:space="0" w:color="auto"/>
      </w:divBdr>
    </w:div>
    <w:div w:id="1997149429">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sac.gov.au/" TargetMode="External"/><Relationship Id="rId18" Type="http://schemas.openxmlformats.org/officeDocument/2006/relationships/hyperlink" Target="https://pubmed.ncbi.nlm.nih.gov/28061418/" TargetMode="External"/><Relationship Id="rId26" Type="http://schemas.openxmlformats.org/officeDocument/2006/relationships/hyperlink" Target="https://pubmed.ncbi.nlm.nih.gov/22922474/" TargetMode="External"/><Relationship Id="rId39" Type="http://schemas.openxmlformats.org/officeDocument/2006/relationships/hyperlink" Target="https://onlinelibrary.wiley.com/doi/10.1111/epi.12352" TargetMode="External"/><Relationship Id="rId3" Type="http://schemas.openxmlformats.org/officeDocument/2006/relationships/customXml" Target="../customXml/item3.xml"/><Relationship Id="rId21" Type="http://schemas.openxmlformats.org/officeDocument/2006/relationships/hyperlink" Target="https://pubmed.ncbi.nlm.nih.gov/31533117/" TargetMode="External"/><Relationship Id="rId34" Type="http://schemas.openxmlformats.org/officeDocument/2006/relationships/hyperlink" Target="https://pubmed.ncbi.nlm.nih.gov/29218702/" TargetMode="External"/><Relationship Id="rId42" Type="http://schemas.openxmlformats.org/officeDocument/2006/relationships/hyperlink" Target="https://clinicaltrials.gov/ct2/show/NCT04771065" TargetMode="External"/><Relationship Id="rId47" Type="http://schemas.openxmlformats.org/officeDocument/2006/relationships/image" Target="cid:image001.png@01D7C9BF.95BD32E0"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ta@health.gov.au" TargetMode="External"/><Relationship Id="rId17" Type="http://schemas.openxmlformats.org/officeDocument/2006/relationships/hyperlink" Target="https://onlinelibrary.wiley.com/doi/10.1111/j.1528-1167.2010.02536.x" TargetMode="External"/><Relationship Id="rId25" Type="http://schemas.openxmlformats.org/officeDocument/2006/relationships/hyperlink" Target="https://pubmed.ncbi.nlm.nih.gov/30427061/" TargetMode="External"/><Relationship Id="rId33" Type="http://schemas.openxmlformats.org/officeDocument/2006/relationships/hyperlink" Target="https://pubmed.ncbi.nlm.nih.gov/29604948/" TargetMode="External"/><Relationship Id="rId38" Type="http://schemas.openxmlformats.org/officeDocument/2006/relationships/hyperlink" Target="https://pubmed.ncbi.nlm.nih.gov/30767195/" TargetMode="External"/><Relationship Id="rId46"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pubmed.ncbi.nlm.nih.gov/25663221/" TargetMode="External"/><Relationship Id="rId20" Type="http://schemas.openxmlformats.org/officeDocument/2006/relationships/hyperlink" Target="https://pubmed.ncbi.nlm.nih.gov/33423018/" TargetMode="External"/><Relationship Id="rId29" Type="http://schemas.openxmlformats.org/officeDocument/2006/relationships/hyperlink" Target="https://pubmed.ncbi.nlm.nih.gov/32421806/" TargetMode="External"/><Relationship Id="rId41" Type="http://schemas.openxmlformats.org/officeDocument/2006/relationships/hyperlink" Target="https://www.anzctr.org.au/Trial/Registration/TrialReview.aspx?id=37355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ubmed.ncbi.nlm.nih.gov/26813858/" TargetMode="External"/><Relationship Id="rId32" Type="http://schemas.openxmlformats.org/officeDocument/2006/relationships/hyperlink" Target="https://pubmed.ncbi.nlm.nih.gov/30064326/" TargetMode="External"/><Relationship Id="rId37" Type="http://schemas.openxmlformats.org/officeDocument/2006/relationships/hyperlink" Target="https://pubmed.ncbi.nlm.nih.gov/29306976/" TargetMode="External"/><Relationship Id="rId40" Type="http://schemas.openxmlformats.org/officeDocument/2006/relationships/hyperlink" Target="https://clinicaltrials.gov/ct2/show/NCT02076698" TargetMode="External"/><Relationship Id="rId45" Type="http://schemas.openxmlformats.org/officeDocument/2006/relationships/hyperlink" Target="https://www.epilepsy.org.au/about-epilepsy/understanding-epilepsy/epilepsy-syndromes/" TargetMode="External"/><Relationship Id="rId5" Type="http://schemas.openxmlformats.org/officeDocument/2006/relationships/numbering" Target="numbering.xml"/><Relationship Id="rId15" Type="http://schemas.openxmlformats.org/officeDocument/2006/relationships/hyperlink" Target="https://pubmed.ncbi.nlm.nih.gov/33830503/" TargetMode="External"/><Relationship Id="rId23" Type="http://schemas.openxmlformats.org/officeDocument/2006/relationships/hyperlink" Target="https://pubmed.ncbi.nlm.nih.gov/29867733/" TargetMode="External"/><Relationship Id="rId28" Type="http://schemas.openxmlformats.org/officeDocument/2006/relationships/hyperlink" Target="https://www.brainstimjrnl.com/article/S1935-861X(15)01135-3/fulltext" TargetMode="External"/><Relationship Id="rId36" Type="http://schemas.openxmlformats.org/officeDocument/2006/relationships/hyperlink" Target="https://pubmed.ncbi.nlm.nih.gov/28921161/" TargetMode="External"/><Relationship Id="rId49" Type="http://schemas.openxmlformats.org/officeDocument/2006/relationships/image" Target="cid:image004.png@01D7C9BF.95BD32E0" TargetMode="External"/><Relationship Id="rId10" Type="http://schemas.openxmlformats.org/officeDocument/2006/relationships/endnotes" Target="endnotes.xml"/><Relationship Id="rId19" Type="http://schemas.openxmlformats.org/officeDocument/2006/relationships/hyperlink" Target="https://pubmed.ncbi.nlm.nih.gov/29040867/" TargetMode="External"/><Relationship Id="rId31" Type="http://schemas.openxmlformats.org/officeDocument/2006/relationships/hyperlink" Target="https://pubmed.ncbi.nlm.nih.gov/28718878/" TargetMode="External"/><Relationship Id="rId44" Type="http://schemas.openxmlformats.org/officeDocument/2006/relationships/hyperlink" Target="https://www.epilepsy.org.au/about-epilepsy/facts-and-statist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ubmed.ncbi.nlm.nih.gov/22209542/" TargetMode="External"/><Relationship Id="rId27" Type="http://schemas.openxmlformats.org/officeDocument/2006/relationships/hyperlink" Target="https://www.sciencedirect.com/science/article/pii/S1059131120302545" TargetMode="External"/><Relationship Id="rId30" Type="http://schemas.openxmlformats.org/officeDocument/2006/relationships/hyperlink" Target="https://pubmed.ncbi.nlm.nih.gov/32384279/" TargetMode="External"/><Relationship Id="rId35" Type="http://schemas.openxmlformats.org/officeDocument/2006/relationships/hyperlink" Target="https://pubmed.ncbi.nlm.nih.gov/30064324/" TargetMode="External"/><Relationship Id="rId43" Type="http://schemas.openxmlformats.org/officeDocument/2006/relationships/hyperlink" Target="https://www.anzctr.org.au/Trial/Registration/TrialReview.aspx?id=382475&amp;isReview=true" TargetMode="External"/><Relationship Id="rId48" Type="http://schemas.openxmlformats.org/officeDocument/2006/relationships/image" Target="media/image3.png"/><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B3B9EC333044B97567E7E3F3E34C6" ma:contentTypeVersion="4" ma:contentTypeDescription="Create a new document." ma:contentTypeScope="" ma:versionID="f9dbaa3005c80afea08c62aa63f062c3">
  <xsd:schema xmlns:xsd="http://www.w3.org/2001/XMLSchema" xmlns:xs="http://www.w3.org/2001/XMLSchema" xmlns:p="http://schemas.microsoft.com/office/2006/metadata/properties" xmlns:ns3="b4f24e22-485c-40e8-9a7c-2376d475c1a9" targetNamespace="http://schemas.microsoft.com/office/2006/metadata/properties" ma:root="true" ma:fieldsID="e8d0ffd8e8defcb28fefb8b5556c2f66" ns3:_="">
    <xsd:import namespace="b4f24e22-485c-40e8-9a7c-2376d475c1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24e22-485c-40e8-9a7c-2376d475c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B8A18-03D4-4B86-81F0-778883972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24e22-485c-40e8-9a7c-2376d475c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D8E4D-96CA-4C32-B1C4-19604C7E044E}">
  <ds:schemaRefs>
    <ds:schemaRef ds:uri="http://schemas.openxmlformats.org/officeDocument/2006/bibliography"/>
  </ds:schemaRefs>
</ds:datastoreItem>
</file>

<file path=customXml/itemProps3.xml><?xml version="1.0" encoding="utf-8"?>
<ds:datastoreItem xmlns:ds="http://schemas.openxmlformats.org/officeDocument/2006/customXml" ds:itemID="{0B3043D6-2408-47F3-808F-AAF55980F06A}">
  <ds:schemaRefs>
    <ds:schemaRef ds:uri="http://schemas.microsoft.com/sharepoint/v3/contenttype/forms"/>
  </ds:schemaRefs>
</ds:datastoreItem>
</file>

<file path=customXml/itemProps4.xml><?xml version="1.0" encoding="utf-8"?>
<ds:datastoreItem xmlns:ds="http://schemas.openxmlformats.org/officeDocument/2006/customXml" ds:itemID="{A3EF4691-D115-4C2A-8F36-7A15BACD87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40</Pages>
  <Words>14970</Words>
  <Characters>85331</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100101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Department of Health</cp:lastModifiedBy>
  <cp:revision>4</cp:revision>
  <cp:lastPrinted>2021-08-02T23:33:00Z</cp:lastPrinted>
  <dcterms:created xsi:type="dcterms:W3CDTF">2021-12-07T01:26:00Z</dcterms:created>
  <dcterms:modified xsi:type="dcterms:W3CDTF">2021-12-07T23:28:00Z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0x010100FAFB3B9EC333044B97567E7E3F3E34C6</vt:lpwstr>
  </property>
</Properties>
</file>