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49A" w14:textId="60250F28" w:rsidR="00772829" w:rsidRPr="00C72177" w:rsidRDefault="00405B93" w:rsidP="00022CEF">
      <w:pPr>
        <w:pStyle w:val="Heading1"/>
        <w:numPr>
          <w:ilvl w:val="0"/>
          <w:numId w:val="0"/>
        </w:numPr>
        <w:pBdr>
          <w:bottom w:val="none" w:sz="0" w:space="0" w:color="auto"/>
        </w:pBdr>
        <w:spacing w:before="480" w:after="360"/>
        <w:jc w:val="center"/>
        <w:rPr>
          <w:rFonts w:ascii="Arial" w:hAnsi="Arial" w:cs="Arial"/>
          <w:b/>
          <w:bCs/>
          <w:color w:val="000080"/>
          <w:sz w:val="36"/>
          <w:szCs w:val="36"/>
        </w:rPr>
      </w:pPr>
      <w:bookmarkStart w:id="0" w:name="_Hlk68005436"/>
      <w:bookmarkStart w:id="1" w:name="_Toc69491414"/>
      <w:r>
        <w:rPr>
          <w:rFonts w:ascii="Arial" w:hAnsi="Arial" w:cs="Arial"/>
          <w:b/>
          <w:bCs/>
          <w:color w:val="000080"/>
          <w:sz w:val="36"/>
          <w:szCs w:val="36"/>
        </w:rPr>
        <w:t xml:space="preserve">Medical Services Advisory Committee </w:t>
      </w:r>
      <w:r w:rsidR="00A93342">
        <w:rPr>
          <w:rFonts w:ascii="Arial" w:hAnsi="Arial" w:cs="Arial"/>
          <w:b/>
          <w:bCs/>
          <w:color w:val="000080"/>
          <w:sz w:val="36"/>
          <w:szCs w:val="36"/>
        </w:rPr>
        <w:t>(MSAC)</w:t>
      </w:r>
      <w:r>
        <w:rPr>
          <w:rFonts w:ascii="Arial" w:hAnsi="Arial" w:cs="Arial"/>
          <w:b/>
          <w:bCs/>
          <w:color w:val="000080"/>
          <w:sz w:val="36"/>
          <w:szCs w:val="36"/>
        </w:rPr>
        <w:br/>
      </w:r>
      <w:r w:rsidR="00A93342">
        <w:rPr>
          <w:rFonts w:ascii="Arial" w:hAnsi="Arial" w:cs="Arial"/>
          <w:b/>
          <w:bCs/>
          <w:color w:val="000080"/>
          <w:sz w:val="36"/>
          <w:szCs w:val="36"/>
        </w:rPr>
        <w:t>Public Summary Document</w:t>
      </w:r>
      <w:r w:rsidR="00E07777">
        <w:rPr>
          <w:rFonts w:ascii="Arial" w:hAnsi="Arial" w:cs="Arial"/>
          <w:b/>
          <w:bCs/>
          <w:color w:val="000080"/>
          <w:sz w:val="36"/>
          <w:szCs w:val="36"/>
        </w:rPr>
        <w:t xml:space="preserve"> </w:t>
      </w:r>
      <w:bookmarkEnd w:id="0"/>
      <w:bookmarkEnd w:id="1"/>
    </w:p>
    <w:p w14:paraId="278635B5" w14:textId="279D9855" w:rsidR="0098755C" w:rsidRDefault="00772829" w:rsidP="0098755C">
      <w:pPr>
        <w:pStyle w:val="Subtitle"/>
      </w:pPr>
      <w:r w:rsidRPr="00CE28E3">
        <w:t>Application No</w:t>
      </w:r>
      <w:r w:rsidR="0098755C">
        <w:t>.</w:t>
      </w:r>
      <w:r w:rsidR="0098755C" w:rsidRPr="0098755C">
        <w:t xml:space="preserve">1716 – Germline </w:t>
      </w:r>
      <w:r w:rsidR="00624CC8" w:rsidRPr="00624CC8">
        <w:rPr>
          <w:iCs/>
        </w:rPr>
        <w:t>BRCA</w:t>
      </w:r>
      <w:r w:rsidR="0098755C" w:rsidRPr="0098755C">
        <w:t xml:space="preserve"> mutation test to detect </w:t>
      </w:r>
      <w:r w:rsidR="00624CC8" w:rsidRPr="00624CC8">
        <w:rPr>
          <w:iCs/>
        </w:rPr>
        <w:t>BRCA</w:t>
      </w:r>
      <w:r w:rsidR="0098755C" w:rsidRPr="0098755C">
        <w:t xml:space="preserve">1 or </w:t>
      </w:r>
      <w:r w:rsidR="00624CC8" w:rsidRPr="00624CC8">
        <w:rPr>
          <w:iCs/>
        </w:rPr>
        <w:t>BRCA</w:t>
      </w:r>
      <w:r w:rsidR="0098755C" w:rsidRPr="0098755C">
        <w:t>2 mutations in patients with HER2- negative high risk early breast cancer to determine eligibility for PBS-listed olaparib treatment</w:t>
      </w:r>
    </w:p>
    <w:p w14:paraId="35263561" w14:textId="0108B83E" w:rsidR="00772829" w:rsidRPr="00F5112F" w:rsidRDefault="00772829" w:rsidP="00022CEF">
      <w:pPr>
        <w:pStyle w:val="Subtitle"/>
        <w:tabs>
          <w:tab w:val="left" w:pos="3686"/>
        </w:tabs>
        <w:jc w:val="left"/>
        <w:rPr>
          <w:b w:val="0"/>
          <w:i w:val="0"/>
          <w:iCs/>
          <w:color w:val="auto"/>
          <w:sz w:val="22"/>
          <w:szCs w:val="20"/>
        </w:rPr>
      </w:pPr>
      <w:r w:rsidRPr="00F5112F">
        <w:rPr>
          <w:i w:val="0"/>
          <w:iCs/>
          <w:color w:val="auto"/>
          <w:sz w:val="22"/>
          <w:szCs w:val="20"/>
        </w:rPr>
        <w:t>Applicant:</w:t>
      </w:r>
      <w:r w:rsidR="00022CEF">
        <w:rPr>
          <w:i w:val="0"/>
          <w:iCs/>
          <w:color w:val="auto"/>
          <w:sz w:val="22"/>
          <w:szCs w:val="20"/>
        </w:rPr>
        <w:tab/>
      </w:r>
      <w:r w:rsidR="004B725B" w:rsidRPr="00F5112F">
        <w:rPr>
          <w:i w:val="0"/>
          <w:iCs/>
          <w:color w:val="auto"/>
          <w:sz w:val="22"/>
          <w:szCs w:val="22"/>
        </w:rPr>
        <w:t xml:space="preserve">AstraZeneca Pty Limited </w:t>
      </w:r>
    </w:p>
    <w:p w14:paraId="731782FD" w14:textId="6D312B67" w:rsidR="009A3778"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00A93342">
        <w:rPr>
          <w:rFonts w:ascii="Arial" w:hAnsi="Arial" w:cs="Arial"/>
          <w:b/>
          <w:szCs w:val="24"/>
        </w:rPr>
        <w:tab/>
      </w:r>
      <w:r w:rsidR="00624CC8" w:rsidRPr="00624CC8">
        <w:rPr>
          <w:rFonts w:ascii="Arial" w:hAnsi="Arial" w:cs="Arial"/>
          <w:b/>
          <w:szCs w:val="24"/>
        </w:rPr>
        <w:t>30-31</w:t>
      </w:r>
      <w:r w:rsidR="00C65FAA" w:rsidRPr="00624CC8">
        <w:rPr>
          <w:rFonts w:ascii="Arial" w:hAnsi="Arial" w:cs="Arial"/>
          <w:b/>
          <w:szCs w:val="24"/>
        </w:rPr>
        <w:t xml:space="preserve"> March 2023</w:t>
      </w:r>
    </w:p>
    <w:p w14:paraId="1C5274D5" w14:textId="77777777" w:rsidR="002A71BA" w:rsidRDefault="002A71BA" w:rsidP="002A71BA">
      <w:pPr>
        <w:spacing w:after="360"/>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bookmarkStart w:id="2" w:name="_Hlk69734469"/>
    </w:p>
    <w:p w14:paraId="2258DB6F" w14:textId="77777777" w:rsidR="002A71BA" w:rsidRPr="00CE28E3" w:rsidRDefault="002A71BA" w:rsidP="002A71BA">
      <w:pPr>
        <w:pStyle w:val="Heading2"/>
        <w:numPr>
          <w:ilvl w:val="0"/>
          <w:numId w:val="0"/>
        </w:numPr>
      </w:pPr>
      <w:bookmarkStart w:id="3" w:name="_Toc69491415"/>
      <w:r>
        <w:t>1.</w:t>
      </w:r>
      <w:r>
        <w:tab/>
      </w:r>
      <w:r w:rsidRPr="00CE28E3">
        <w:t xml:space="preserve">Purpose </w:t>
      </w:r>
      <w:r w:rsidRPr="00CE28E3">
        <w:rPr>
          <w:szCs w:val="32"/>
        </w:rPr>
        <w:t>of</w:t>
      </w:r>
      <w:r w:rsidRPr="00CE28E3">
        <w:t xml:space="preserve"> application</w:t>
      </w:r>
      <w:bookmarkEnd w:id="3"/>
    </w:p>
    <w:p w14:paraId="2B03B099" w14:textId="71351423" w:rsidR="00772829" w:rsidRPr="002A71BA" w:rsidRDefault="00772829" w:rsidP="002A71BA">
      <w:pPr>
        <w:spacing w:after="360"/>
        <w:rPr>
          <w:color w:val="0000FF"/>
          <w:szCs w:val="24"/>
          <w:u w:val="single"/>
        </w:rPr>
      </w:pPr>
      <w:r w:rsidRPr="009A3778">
        <w:rPr>
          <w:iCs/>
          <w:szCs w:val="24"/>
        </w:rPr>
        <w:t xml:space="preserve">The </w:t>
      </w:r>
      <w:r w:rsidR="003A747D">
        <w:rPr>
          <w:iCs/>
          <w:szCs w:val="24"/>
        </w:rPr>
        <w:t xml:space="preserve">streamlined </w:t>
      </w:r>
      <w:r w:rsidRPr="009A3778">
        <w:rPr>
          <w:iCs/>
          <w:szCs w:val="24"/>
        </w:rPr>
        <w:t xml:space="preserve">codependent </w:t>
      </w:r>
      <w:r w:rsidR="003A747D">
        <w:rPr>
          <w:iCs/>
          <w:szCs w:val="24"/>
        </w:rPr>
        <w:t>submission</w:t>
      </w:r>
      <w:r w:rsidRPr="009A3778">
        <w:rPr>
          <w:iCs/>
          <w:szCs w:val="24"/>
        </w:rPr>
        <w:t xml:space="preserve"> requested:</w:t>
      </w:r>
    </w:p>
    <w:p w14:paraId="5566AA8E" w14:textId="203DAEBD" w:rsidR="00D52834" w:rsidRPr="00D52834" w:rsidRDefault="003A747D" w:rsidP="00846E0C">
      <w:pPr>
        <w:pStyle w:val="ListParagraph"/>
        <w:numPr>
          <w:ilvl w:val="0"/>
          <w:numId w:val="7"/>
        </w:numPr>
        <w:rPr>
          <w:i/>
        </w:rPr>
      </w:pPr>
      <w:r w:rsidRPr="00D52834">
        <w:rPr>
          <w:iCs/>
          <w:szCs w:val="24"/>
        </w:rPr>
        <w:t xml:space="preserve">Medicare Benefits Schedule (MBS) </w:t>
      </w:r>
      <w:r w:rsidR="00290F42">
        <w:rPr>
          <w:iCs/>
          <w:szCs w:val="24"/>
        </w:rPr>
        <w:t>listing</w:t>
      </w:r>
      <w:r w:rsidRPr="00D52834">
        <w:rPr>
          <w:iCs/>
          <w:szCs w:val="24"/>
        </w:rPr>
        <w:t xml:space="preserve"> </w:t>
      </w:r>
      <w:r w:rsidR="00D52834" w:rsidRPr="00D52834">
        <w:rPr>
          <w:iCs/>
          <w:szCs w:val="24"/>
        </w:rPr>
        <w:t xml:space="preserve">to determine the presence of </w:t>
      </w:r>
      <w:r w:rsidR="00FD6452">
        <w:rPr>
          <w:iCs/>
          <w:szCs w:val="24"/>
        </w:rPr>
        <w:t xml:space="preserve">germline </w:t>
      </w:r>
      <w:r w:rsidR="00624CC8" w:rsidRPr="00624CC8">
        <w:rPr>
          <w:i/>
          <w:iCs/>
          <w:szCs w:val="24"/>
        </w:rPr>
        <w:t>BRCA</w:t>
      </w:r>
      <w:r w:rsidR="00D52834" w:rsidRPr="005D651D">
        <w:rPr>
          <w:i/>
          <w:szCs w:val="24"/>
        </w:rPr>
        <w:t>1</w:t>
      </w:r>
      <w:r w:rsidR="00D52834" w:rsidRPr="00D52834">
        <w:rPr>
          <w:iCs/>
          <w:szCs w:val="24"/>
        </w:rPr>
        <w:t xml:space="preserve"> or </w:t>
      </w:r>
      <w:r w:rsidR="00624CC8" w:rsidRPr="00624CC8">
        <w:rPr>
          <w:i/>
          <w:iCs/>
          <w:szCs w:val="24"/>
        </w:rPr>
        <w:t>BRCA</w:t>
      </w:r>
      <w:r w:rsidR="00D52834" w:rsidRPr="005D651D">
        <w:rPr>
          <w:i/>
          <w:szCs w:val="24"/>
        </w:rPr>
        <w:t>2</w:t>
      </w:r>
      <w:r w:rsidR="00D52834" w:rsidRPr="00D52834">
        <w:rPr>
          <w:iCs/>
          <w:szCs w:val="24"/>
        </w:rPr>
        <w:t xml:space="preserve"> pathogenic </w:t>
      </w:r>
      <w:r w:rsidR="000409ED">
        <w:rPr>
          <w:iCs/>
          <w:szCs w:val="24"/>
        </w:rPr>
        <w:t xml:space="preserve">or likely pathogenic </w:t>
      </w:r>
      <w:r w:rsidR="00D52834" w:rsidRPr="00D52834">
        <w:rPr>
          <w:iCs/>
          <w:szCs w:val="24"/>
        </w:rPr>
        <w:t>gene variant</w:t>
      </w:r>
      <w:r w:rsidR="000409ED">
        <w:rPr>
          <w:iCs/>
          <w:szCs w:val="24"/>
        </w:rPr>
        <w:t>s</w:t>
      </w:r>
      <w:r w:rsidR="00D52834" w:rsidRPr="00D52834">
        <w:rPr>
          <w:iCs/>
          <w:szCs w:val="24"/>
        </w:rPr>
        <w:t xml:space="preserve"> in a patient with triple negative early breast cancer </w:t>
      </w:r>
      <w:r w:rsidR="00D52834">
        <w:rPr>
          <w:iCs/>
          <w:szCs w:val="24"/>
        </w:rPr>
        <w:t xml:space="preserve">(TNBC) </w:t>
      </w:r>
      <w:r w:rsidR="00D52834" w:rsidRPr="00D52834">
        <w:rPr>
          <w:iCs/>
          <w:szCs w:val="24"/>
        </w:rPr>
        <w:t>or hormone receptor</w:t>
      </w:r>
      <w:r w:rsidR="00D52834">
        <w:rPr>
          <w:iCs/>
          <w:szCs w:val="24"/>
        </w:rPr>
        <w:t xml:space="preserve"> (HR)</w:t>
      </w:r>
      <w:r w:rsidR="00D52834" w:rsidRPr="00D52834">
        <w:rPr>
          <w:iCs/>
          <w:szCs w:val="24"/>
        </w:rPr>
        <w:t xml:space="preserve"> positive, </w:t>
      </w:r>
      <w:r w:rsidR="00D52834" w:rsidRPr="005D651D">
        <w:rPr>
          <w:iCs/>
          <w:szCs w:val="24"/>
        </w:rPr>
        <w:t>HER2</w:t>
      </w:r>
      <w:r w:rsidR="00D52834" w:rsidRPr="00D52834">
        <w:rPr>
          <w:iCs/>
          <w:szCs w:val="24"/>
        </w:rPr>
        <w:t xml:space="preserve">-negative early breast cancer with high risk characteristics </w:t>
      </w:r>
      <w:r w:rsidR="00D52834">
        <w:rPr>
          <w:iCs/>
          <w:szCs w:val="24"/>
        </w:rPr>
        <w:t>of high grade tumour</w:t>
      </w:r>
      <w:r w:rsidR="00D52834" w:rsidRPr="00D52834">
        <w:rPr>
          <w:iCs/>
          <w:szCs w:val="24"/>
        </w:rPr>
        <w:t xml:space="preserve"> (Grade 3) and/or large tumour size (≥2 cm) and/or pathologically involved lymph nodes and/or high recurrence score</w:t>
      </w:r>
      <w:r w:rsidR="007857B5">
        <w:rPr>
          <w:iCs/>
          <w:szCs w:val="24"/>
        </w:rPr>
        <w:t xml:space="preserve"> (multigene assay), </w:t>
      </w:r>
      <w:r w:rsidR="007857B5" w:rsidRPr="007857B5">
        <w:rPr>
          <w:iCs/>
          <w:szCs w:val="24"/>
        </w:rPr>
        <w:t xml:space="preserve">requested by a specialist or consultant physician, </w:t>
      </w:r>
      <w:r w:rsidR="00D52834" w:rsidRPr="00D52834">
        <w:rPr>
          <w:iCs/>
          <w:szCs w:val="24"/>
        </w:rPr>
        <w:t>to determine eligibility for olaparib under the Pharmaceutical Benefits Scheme (PBS).</w:t>
      </w:r>
    </w:p>
    <w:p w14:paraId="25F45992" w14:textId="766845CB" w:rsidR="00D52834" w:rsidRPr="00022CEF" w:rsidRDefault="003A747D" w:rsidP="00022CEF">
      <w:pPr>
        <w:pStyle w:val="ListParagraph"/>
        <w:numPr>
          <w:ilvl w:val="0"/>
          <w:numId w:val="7"/>
        </w:numPr>
        <w:rPr>
          <w:i/>
        </w:rPr>
      </w:pPr>
      <w:r w:rsidRPr="00D52834">
        <w:rPr>
          <w:iCs/>
          <w:szCs w:val="24"/>
        </w:rPr>
        <w:t xml:space="preserve">PBS listing of </w:t>
      </w:r>
      <w:r w:rsidR="00D52834">
        <w:t>olaparib (</w:t>
      </w:r>
      <w:r w:rsidR="00D52834" w:rsidRPr="00D52834">
        <w:t>Lynparza)</w:t>
      </w:r>
      <w:r w:rsidR="00BB3218" w:rsidRPr="00FE6CB5">
        <w:t xml:space="preserve">, </w:t>
      </w:r>
      <w:r w:rsidRPr="00D52834">
        <w:rPr>
          <w:iCs/>
          <w:szCs w:val="24"/>
        </w:rPr>
        <w:t xml:space="preserve">for the treatment of </w:t>
      </w:r>
      <w:r w:rsidR="00D52834" w:rsidRPr="00D52834">
        <w:rPr>
          <w:iCs/>
          <w:szCs w:val="24"/>
        </w:rPr>
        <w:t xml:space="preserve">adult patients with </w:t>
      </w:r>
      <w:r w:rsidR="00624CC8" w:rsidRPr="00624CC8">
        <w:rPr>
          <w:i/>
          <w:iCs/>
          <w:szCs w:val="24"/>
        </w:rPr>
        <w:t>BRCA</w:t>
      </w:r>
      <w:r w:rsidR="00D52834" w:rsidRPr="00D52834">
        <w:rPr>
          <w:iCs/>
          <w:szCs w:val="24"/>
        </w:rPr>
        <w:t>-</w:t>
      </w:r>
      <w:r w:rsidR="008F1BEB">
        <w:rPr>
          <w:iCs/>
          <w:szCs w:val="24"/>
        </w:rPr>
        <w:t>pathogenic variant</w:t>
      </w:r>
      <w:r w:rsidR="007637F3">
        <w:rPr>
          <w:iCs/>
          <w:szCs w:val="24"/>
        </w:rPr>
        <w:t>,</w:t>
      </w:r>
      <w:r w:rsidR="00D52834" w:rsidRPr="00D52834">
        <w:rPr>
          <w:iCs/>
          <w:szCs w:val="24"/>
        </w:rPr>
        <w:t xml:space="preserve"> HER2-negative high risk early breast cancer who have previously been treated with neoadjuvant or adjuvant chemotherapy. </w:t>
      </w:r>
    </w:p>
    <w:p w14:paraId="6710B69D" w14:textId="2942A4DD" w:rsidR="00772829" w:rsidRDefault="00C36633" w:rsidP="002A18BE">
      <w:pPr>
        <w:pStyle w:val="Heading2"/>
        <w:numPr>
          <w:ilvl w:val="0"/>
          <w:numId w:val="0"/>
        </w:numPr>
      </w:pPr>
      <w:bookmarkStart w:id="4" w:name="_Toc69491416"/>
      <w:bookmarkEnd w:id="2"/>
      <w:r>
        <w:t>2.</w:t>
      </w:r>
      <w:r>
        <w:tab/>
      </w:r>
      <w:bookmarkEnd w:id="4"/>
      <w:r w:rsidR="00A93342">
        <w:t>MSAC’s advice to the Minister</w:t>
      </w:r>
    </w:p>
    <w:p w14:paraId="0072D00F" w14:textId="0BFD107D" w:rsidR="00D16FEE" w:rsidRPr="00DF3BBC" w:rsidRDefault="00D16FEE" w:rsidP="00D16FEE">
      <w:pPr>
        <w:rPr>
          <w:color w:val="5B9BD5" w:themeColor="accent1"/>
          <w:szCs w:val="24"/>
        </w:rPr>
      </w:pPr>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006D51B7">
        <w:t xml:space="preserve">MSAC deferred its decision for public funding of germline </w:t>
      </w:r>
      <w:r w:rsidRPr="004920BC">
        <w:rPr>
          <w:i/>
          <w:iCs/>
        </w:rPr>
        <w:t>BRCA</w:t>
      </w:r>
      <w:r w:rsidRPr="006D51B7">
        <w:t xml:space="preserve"> testing to detect </w:t>
      </w:r>
      <w:r w:rsidRPr="006D51B7">
        <w:rPr>
          <w:i/>
          <w:iCs/>
        </w:rPr>
        <w:t>BRCA1</w:t>
      </w:r>
      <w:r w:rsidRPr="006D51B7">
        <w:t xml:space="preserve"> or </w:t>
      </w:r>
      <w:r w:rsidRPr="006D51B7">
        <w:rPr>
          <w:i/>
          <w:iCs/>
        </w:rPr>
        <w:t>BRCA2</w:t>
      </w:r>
      <w:r w:rsidRPr="006D51B7">
        <w:t xml:space="preserve"> pathogenic or likely pathogenic gene variants in patients with </w:t>
      </w:r>
      <w:r w:rsidRPr="00936D40">
        <w:t>HER2</w:t>
      </w:r>
      <w:r w:rsidRPr="006D51B7">
        <w:t xml:space="preserve">-negative early breast cancer to determine eligibility for </w:t>
      </w:r>
      <w:r>
        <w:t>Pharmaceutical Benefits Scheme (</w:t>
      </w:r>
      <w:r w:rsidRPr="006D51B7">
        <w:t>PBS</w:t>
      </w:r>
      <w:r>
        <w:t>)</w:t>
      </w:r>
      <w:r w:rsidRPr="006D51B7">
        <w:t>-listed olaparib treatment. MSAC foreshadowed that it would reconsider this testing if the Pharmaceutical Benefits Advisory Committee (PBAC) recommended the PBS listing of olaparib for the patients in this population who have previously been treated with neoadjuvant or adjuvant chemotherapy. MSAC considered that</w:t>
      </w:r>
      <w:r>
        <w:t>,</w:t>
      </w:r>
      <w:r w:rsidRPr="006D51B7">
        <w:t xml:space="preserve"> in order to inform a recommendation, more information would be required on the projected patient numbers, cost of the test, and other testing requirements. MSAC considered that expanding MBS</w:t>
      </w:r>
      <w:r>
        <w:t> </w:t>
      </w:r>
      <w:r w:rsidRPr="006D51B7">
        <w:t>item</w:t>
      </w:r>
      <w:r>
        <w:t> </w:t>
      </w:r>
      <w:r w:rsidRPr="006D51B7">
        <w:t xml:space="preserve">73295 would be preferable to introducing a new MBS item for this patient population, and considered that the item could be futureproofed by generalising it to all PARP inhibitors, not just olaparib.  </w:t>
      </w:r>
    </w:p>
    <w:tbl>
      <w:tblPr>
        <w:tblStyle w:val="TableGrid"/>
        <w:tblW w:w="0" w:type="auto"/>
        <w:tblLook w:val="04A0" w:firstRow="1" w:lastRow="0" w:firstColumn="1" w:lastColumn="0" w:noHBand="0" w:noVBand="1"/>
        <w:tblDescription w:val="Consumer summary of MSAC consideration"/>
      </w:tblPr>
      <w:tblGrid>
        <w:gridCol w:w="9016"/>
      </w:tblGrid>
      <w:tr w:rsidR="00D16FEE" w:rsidRPr="00AF46D8" w14:paraId="765C22F7" w14:textId="77777777" w:rsidTr="00D12C5B">
        <w:trPr>
          <w:tblHeader/>
        </w:trPr>
        <w:tc>
          <w:tcPr>
            <w:tcW w:w="9016" w:type="dxa"/>
          </w:tcPr>
          <w:p w14:paraId="4FA48A58" w14:textId="77777777" w:rsidR="00D16FEE" w:rsidRPr="00AF46D8" w:rsidRDefault="00D16FEE" w:rsidP="00D16FEE">
            <w:pPr>
              <w:pStyle w:val="Heading3"/>
              <w:spacing w:before="120" w:after="120"/>
              <w:outlineLvl w:val="2"/>
              <w:rPr>
                <w:rFonts w:eastAsiaTheme="minorHAnsi" w:cstheme="minorBidi"/>
                <w:iCs/>
              </w:rPr>
            </w:pPr>
            <w:r w:rsidRPr="00AF46D8">
              <w:lastRenderedPageBreak/>
              <w:t>Consumer summary</w:t>
            </w:r>
          </w:p>
        </w:tc>
      </w:tr>
      <w:tr w:rsidR="00D16FEE" w:rsidRPr="00AF46D8" w14:paraId="6125050C" w14:textId="77777777" w:rsidTr="00D12C5B">
        <w:tc>
          <w:tcPr>
            <w:tcW w:w="9016" w:type="dxa"/>
          </w:tcPr>
          <w:p w14:paraId="47B65098" w14:textId="4DA62530" w:rsidR="00D16FEE" w:rsidRDefault="00D16FEE" w:rsidP="00D12C5B">
            <w:r w:rsidRPr="00AF46D8">
              <w:t xml:space="preserve">This </w:t>
            </w:r>
            <w:r w:rsidR="003433A1">
              <w:t>wa</w:t>
            </w:r>
            <w:r w:rsidR="003433A1" w:rsidRPr="00AF46D8">
              <w:t xml:space="preserve">s </w:t>
            </w:r>
            <w:r w:rsidRPr="00AF46D8">
              <w:t xml:space="preserve">an application from </w:t>
            </w:r>
            <w:r>
              <w:t>AstraZeneca</w:t>
            </w:r>
            <w:r w:rsidRPr="00AF46D8">
              <w:t xml:space="preserve"> requesting </w:t>
            </w:r>
            <w:r w:rsidR="004D3F19">
              <w:t xml:space="preserve">an </w:t>
            </w:r>
            <w:r>
              <w:t>expan</w:t>
            </w:r>
            <w:r w:rsidR="005B1DB4">
              <w:t xml:space="preserve">sion of </w:t>
            </w:r>
            <w:r>
              <w:t>MBS item 73295 to include a new population: people</w:t>
            </w:r>
            <w:r w:rsidRPr="002D7F05">
              <w:t xml:space="preserve"> with triple</w:t>
            </w:r>
            <w:r>
              <w:t>-</w:t>
            </w:r>
            <w:r w:rsidRPr="002D7F05">
              <w:t>negative early breast cancer (TNBC) or hormone receptor (HR)</w:t>
            </w:r>
            <w:r>
              <w:t>-</w:t>
            </w:r>
            <w:r w:rsidRPr="002D7F05">
              <w:t xml:space="preserve">positive, </w:t>
            </w:r>
            <w:r w:rsidRPr="004920BC">
              <w:t>HER2</w:t>
            </w:r>
            <w:r w:rsidRPr="002D7F05">
              <w:t>-negative</w:t>
            </w:r>
            <w:r>
              <w:t>,</w:t>
            </w:r>
            <w:r w:rsidRPr="002D7F05">
              <w:t xml:space="preserve"> early breast cancer with high</w:t>
            </w:r>
            <w:r>
              <w:t>-</w:t>
            </w:r>
            <w:r w:rsidRPr="002D7F05">
              <w:t>risk characteristics of high</w:t>
            </w:r>
            <w:r>
              <w:t>-</w:t>
            </w:r>
            <w:r w:rsidRPr="002D7F05">
              <w:t>grade tumour</w:t>
            </w:r>
            <w:r>
              <w:t xml:space="preserve">, to determine if they can access </w:t>
            </w:r>
            <w:r w:rsidR="005704DF">
              <w:t xml:space="preserve">a medicine called </w:t>
            </w:r>
            <w:r>
              <w:t>olaparib (a type of PARP inhibitor). This was a</w:t>
            </w:r>
            <w:r w:rsidR="002338D0">
              <w:t xml:space="preserve"> </w:t>
            </w:r>
            <w:r>
              <w:t>codependent submission to MSAC and the Pharmaceutical Benefits Advisory Committee (PBAC).</w:t>
            </w:r>
          </w:p>
          <w:p w14:paraId="383EC297" w14:textId="77777777" w:rsidR="00D16FEE" w:rsidRDefault="00D16FEE" w:rsidP="00D12C5B">
            <w:r>
              <w:t xml:space="preserve">MBS item 73295 is for genetic testing for </w:t>
            </w:r>
            <w:r w:rsidRPr="002D7F05">
              <w:t xml:space="preserve">germline </w:t>
            </w:r>
            <w:r w:rsidRPr="002D7F05">
              <w:rPr>
                <w:i/>
                <w:iCs/>
              </w:rPr>
              <w:t>BRCA1</w:t>
            </w:r>
            <w:r w:rsidRPr="002D7F05">
              <w:t xml:space="preserve"> or </w:t>
            </w:r>
            <w:r w:rsidRPr="002D7F05">
              <w:rPr>
                <w:i/>
                <w:iCs/>
              </w:rPr>
              <w:t>BRCA2</w:t>
            </w:r>
            <w:r w:rsidRPr="002D7F05">
              <w:t xml:space="preserve"> pathogenic or likely pathogenic gene variants</w:t>
            </w:r>
            <w:r>
              <w:t xml:space="preserve"> in people with </w:t>
            </w:r>
            <w:r w:rsidRPr="0071070A">
              <w:t>advanced (FIGO III</w:t>
            </w:r>
            <w:r>
              <w:t>–</w:t>
            </w:r>
            <w:r w:rsidRPr="0071070A">
              <w:t>IV) high-grade serous or high-grade epithelial ovarian, fallopian tube or primary peritoneal cancer</w:t>
            </w:r>
            <w:r>
              <w:t xml:space="preserve">, for access to PARP inhibitors. </w:t>
            </w:r>
          </w:p>
          <w:p w14:paraId="5ABBFFDC" w14:textId="4D1246E5" w:rsidR="00D16FEE" w:rsidRDefault="00D16FEE" w:rsidP="00D12C5B">
            <w:r>
              <w:t xml:space="preserve">A genetic variant is a permanent </w:t>
            </w:r>
            <w:r w:rsidR="00CB5FA8">
              <w:t>difference</w:t>
            </w:r>
            <w:r w:rsidR="0033246D">
              <w:t xml:space="preserve"> in</w:t>
            </w:r>
            <w:r>
              <w:t xml:space="preserve"> a gene’s DNA sequence. A genetic variant can be </w:t>
            </w:r>
            <w:r w:rsidR="0033246D">
              <w:t xml:space="preserve">inherited </w:t>
            </w:r>
            <w:r>
              <w:t xml:space="preserve">(called a germline variant) if it is present in a person’s egg or sperm, or it can be created in the cells of the body that do not pass on DNA to the person’s children (called a somatic variant). If a </w:t>
            </w:r>
            <w:r w:rsidR="00041541">
              <w:t>germline</w:t>
            </w:r>
            <w:r>
              <w:t xml:space="preserve"> variant has the potential to cause disease, it is called a pathogenic variant.</w:t>
            </w:r>
          </w:p>
          <w:p w14:paraId="79536F10" w14:textId="01881759" w:rsidR="00D16FEE" w:rsidRDefault="00D16FEE" w:rsidP="00D12C5B">
            <w:r>
              <w:t xml:space="preserve">Some drugs are more likely to work better if the person has certain variants. In this case, drugs called PARP inhibitors work for people with variants in their </w:t>
            </w:r>
            <w:r w:rsidRPr="00BB7397">
              <w:rPr>
                <w:i/>
                <w:iCs/>
              </w:rPr>
              <w:t>BRCA1</w:t>
            </w:r>
            <w:r>
              <w:t xml:space="preserve"> or </w:t>
            </w:r>
            <w:r w:rsidRPr="00BB7397">
              <w:rPr>
                <w:i/>
                <w:iCs/>
              </w:rPr>
              <w:t>BR</w:t>
            </w:r>
            <w:r w:rsidR="00B07776">
              <w:rPr>
                <w:i/>
                <w:iCs/>
              </w:rPr>
              <w:t>C</w:t>
            </w:r>
            <w:r w:rsidRPr="00BB7397">
              <w:rPr>
                <w:i/>
                <w:iCs/>
              </w:rPr>
              <w:t>A2</w:t>
            </w:r>
            <w:r>
              <w:t xml:space="preserve"> genes.  </w:t>
            </w:r>
          </w:p>
          <w:p w14:paraId="10D8B858" w14:textId="77777777" w:rsidR="00D16FEE" w:rsidRDefault="00D16FEE" w:rsidP="00D12C5B">
            <w:r>
              <w:t xml:space="preserve">Because this test is for germline pathogenic variants, which means the variants can be inherited or passed down to children, MSAC considered it appropriate that </w:t>
            </w:r>
            <w:r w:rsidRPr="00D860CD">
              <w:rPr>
                <w:i/>
                <w:iCs/>
              </w:rPr>
              <w:t>BRCA1/2</w:t>
            </w:r>
            <w:r>
              <w:rPr>
                <w:i/>
                <w:iCs/>
              </w:rPr>
              <w:t xml:space="preserve"> </w:t>
            </w:r>
            <w:r>
              <w:t xml:space="preserve">cascade testing be available for biological relatives, as pathogenic variants in the </w:t>
            </w:r>
            <w:r w:rsidRPr="00D860CD">
              <w:rPr>
                <w:i/>
                <w:iCs/>
              </w:rPr>
              <w:t>BRCA</w:t>
            </w:r>
            <w:r>
              <w:t xml:space="preserve"> genes also increases that person’s chance of developing certain types of cancer.</w:t>
            </w:r>
          </w:p>
          <w:p w14:paraId="6524C170" w14:textId="71F93009" w:rsidR="00D16FEE" w:rsidRDefault="00D16FEE" w:rsidP="00D12C5B">
            <w:r>
              <w:t xml:space="preserve">MSAC and the PBAC agreed that olaparib appeared to benefit this group of patients in terms of surviving longer without metastatic disease, and it appeared to be safe. MSAC considered the test itself to be effective and safe. However, MSAC noted that the PBAC did not recommend access to PARP inhibitors because they did not appear to be good value for money, and the PBAC wanted more information about this and how value for money could be improved. MSAC also wanted more information from AstraZeneca about how many people would actually need this testing, including those eligible for cascade testing, so that it had a better idea of how much this service would cost the government. </w:t>
            </w:r>
          </w:p>
          <w:p w14:paraId="4E1DCBBD" w14:textId="5D871FFA" w:rsidR="00D16FEE" w:rsidRPr="00AF46D8" w:rsidRDefault="00D16FEE" w:rsidP="001D6593">
            <w:pPr>
              <w:pStyle w:val="Heading3"/>
              <w:spacing w:before="240" w:after="120"/>
              <w:outlineLvl w:val="2"/>
            </w:pPr>
            <w:r w:rsidRPr="00AF46D8">
              <w:t>MSAC’s advice to the Commonwealth Minister for Health</w:t>
            </w:r>
            <w:r w:rsidR="00180F46">
              <w:t xml:space="preserve"> and Aged Care</w:t>
            </w:r>
          </w:p>
          <w:p w14:paraId="681DFAA2" w14:textId="77777777" w:rsidR="00D16FEE" w:rsidRPr="00AF46D8" w:rsidRDefault="00D16FEE" w:rsidP="00D12C5B">
            <w:r w:rsidRPr="00AF46D8">
              <w:t xml:space="preserve">MSAC deferred its </w:t>
            </w:r>
            <w:r>
              <w:t>decision about expanding MBS item 73295 to include people</w:t>
            </w:r>
            <w:r w:rsidRPr="002D7F05">
              <w:t xml:space="preserve"> with TNBC or HR</w:t>
            </w:r>
            <w:r>
              <w:t>-</w:t>
            </w:r>
            <w:r w:rsidRPr="002D7F05">
              <w:t xml:space="preserve">positive, </w:t>
            </w:r>
            <w:r w:rsidRPr="004920BC">
              <w:t>HER2</w:t>
            </w:r>
            <w:r w:rsidRPr="002D7F05">
              <w:t>-negative early breast cancer with high</w:t>
            </w:r>
            <w:r>
              <w:t>-</w:t>
            </w:r>
            <w:r w:rsidRPr="002D7F05">
              <w:t>risk characteristics of high</w:t>
            </w:r>
            <w:r>
              <w:t>-</w:t>
            </w:r>
            <w:r w:rsidRPr="002D7F05">
              <w:t>grade tumour</w:t>
            </w:r>
            <w:r>
              <w:t xml:space="preserve">, to determine if they can access olaparib. </w:t>
            </w:r>
            <w:r w:rsidRPr="00D0770B">
              <w:t>MSAC considered the test to be safe and effective</w:t>
            </w:r>
            <w:r>
              <w:t xml:space="preserve"> in this group of patients</w:t>
            </w:r>
            <w:r w:rsidRPr="00D0770B">
              <w:t xml:space="preserve">, but wanted more information on how much </w:t>
            </w:r>
            <w:r>
              <w:t>expanded</w:t>
            </w:r>
            <w:r w:rsidRPr="00D0770B">
              <w:t xml:space="preserve"> test</w:t>
            </w:r>
            <w:r>
              <w:t>ing</w:t>
            </w:r>
            <w:r w:rsidRPr="00D0770B">
              <w:t xml:space="preserve"> will cost the government</w:t>
            </w:r>
            <w:r>
              <w:t xml:space="preserve"> and clarity around the wording in the MBS item descriptor</w:t>
            </w:r>
            <w:r w:rsidRPr="00D0770B">
              <w:t>. When the PBAC reconsiders their part of the application, and when MSAC receives the extra information about costs, MSAC will reconsider the testing for this group of patients.</w:t>
            </w:r>
          </w:p>
        </w:tc>
      </w:tr>
    </w:tbl>
    <w:p w14:paraId="13B4A93C" w14:textId="68913B6E" w:rsidR="00A93342" w:rsidRDefault="00A93342" w:rsidP="00A93342">
      <w:pPr>
        <w:pStyle w:val="Heading2"/>
        <w:numPr>
          <w:ilvl w:val="0"/>
          <w:numId w:val="0"/>
        </w:numPr>
      </w:pPr>
      <w:r>
        <w:t>3.</w:t>
      </w:r>
      <w:r>
        <w:tab/>
        <w:t>Summary of consideration and rationale for MSAC’s advice</w:t>
      </w:r>
    </w:p>
    <w:p w14:paraId="65F60AFD" w14:textId="72155842" w:rsidR="0050457E" w:rsidRDefault="0050457E" w:rsidP="0050457E">
      <w:pPr>
        <w:tabs>
          <w:tab w:val="num" w:pos="720"/>
        </w:tabs>
      </w:pPr>
      <w:r w:rsidRPr="00516D4E">
        <w:t>MSAC</w:t>
      </w:r>
      <w:r>
        <w:t xml:space="preserve"> noted that this was a streamlined, codependent application from AstraZeneca Pty Ltd </w:t>
      </w:r>
      <w:r w:rsidRPr="002D7F05">
        <w:t>request</w:t>
      </w:r>
      <w:r>
        <w:t xml:space="preserve">ing </w:t>
      </w:r>
      <w:r w:rsidRPr="00260AF7">
        <w:t>MBS</w:t>
      </w:r>
      <w:r w:rsidRPr="002D7F05">
        <w:t xml:space="preserve"> listing to determine the presence of germline </w:t>
      </w:r>
      <w:r w:rsidRPr="002D7F05">
        <w:rPr>
          <w:i/>
          <w:iCs/>
        </w:rPr>
        <w:t>BRCA1</w:t>
      </w:r>
      <w:r w:rsidRPr="002D7F05">
        <w:t xml:space="preserve"> or </w:t>
      </w:r>
      <w:r w:rsidRPr="002D7F05">
        <w:rPr>
          <w:i/>
          <w:iCs/>
        </w:rPr>
        <w:t>BRCA2</w:t>
      </w:r>
      <w:r w:rsidRPr="002D7F05">
        <w:t xml:space="preserve"> pathogenic or likely pathogenic gene variants in a patient with triple</w:t>
      </w:r>
      <w:r>
        <w:t>-</w:t>
      </w:r>
      <w:r w:rsidRPr="002D7F05">
        <w:t>negative early breast cancer (TNBC) or hormone receptor (HR)</w:t>
      </w:r>
      <w:r>
        <w:t>-</w:t>
      </w:r>
      <w:r w:rsidRPr="002D7F05">
        <w:t xml:space="preserve">positive, </w:t>
      </w:r>
      <w:r w:rsidRPr="004920BC">
        <w:t>HER2</w:t>
      </w:r>
      <w:r w:rsidRPr="002D7F05">
        <w:t>-negative</w:t>
      </w:r>
      <w:r>
        <w:t>,</w:t>
      </w:r>
      <w:r w:rsidRPr="002D7F05">
        <w:t xml:space="preserve"> early breast cancer with high</w:t>
      </w:r>
      <w:r>
        <w:t>-</w:t>
      </w:r>
      <w:r w:rsidRPr="002D7F05">
        <w:t>risk characteristics of high</w:t>
      </w:r>
      <w:r>
        <w:t>-</w:t>
      </w:r>
      <w:r w:rsidRPr="002D7F05">
        <w:t>grade tumour (Grade 3) and/or large tumour size (≥2 cm) and/or pathologically involved lymph nodes and/or high recurrence score (multigene assay), requested by a specialist or consultant physician, to determine eligibility for olaparib under the PBS.</w:t>
      </w:r>
      <w:r w:rsidR="00704390">
        <w:t xml:space="preserve"> MSAC recalled that </w:t>
      </w:r>
      <w:r w:rsidR="00591834">
        <w:t xml:space="preserve">the original application received in </w:t>
      </w:r>
      <w:r w:rsidR="009C7D21">
        <w:t>M</w:t>
      </w:r>
      <w:r w:rsidR="00591834">
        <w:t xml:space="preserve">arch 2022 </w:t>
      </w:r>
      <w:r w:rsidR="009C7D21">
        <w:t>was an application for</w:t>
      </w:r>
      <w:r w:rsidR="009C7D21" w:rsidRPr="002D7F05">
        <w:t xml:space="preserve"> test</w:t>
      </w:r>
      <w:r w:rsidR="009C7D21">
        <w:t>ing</w:t>
      </w:r>
      <w:r w:rsidR="009C7D21" w:rsidRPr="002D7F05">
        <w:t xml:space="preserve"> </w:t>
      </w:r>
      <w:r w:rsidR="009C7D21">
        <w:t>of</w:t>
      </w:r>
      <w:r w:rsidR="009C7D21" w:rsidRPr="002D7F05">
        <w:t xml:space="preserve"> breast tumour </w:t>
      </w:r>
      <w:r w:rsidR="009C7D21" w:rsidRPr="002D7F05">
        <w:lastRenderedPageBreak/>
        <w:t xml:space="preserve">tissue (or germline testing if tumour testing is not feasible) to detect </w:t>
      </w:r>
      <w:r w:rsidR="009C7D21">
        <w:t>clinically significant</w:t>
      </w:r>
      <w:r w:rsidR="009C7D21" w:rsidRPr="002D7F05">
        <w:t xml:space="preserve"> </w:t>
      </w:r>
      <w:r w:rsidR="009C7D21">
        <w:t>gene</w:t>
      </w:r>
      <w:r w:rsidR="009C7D21" w:rsidRPr="002D7F05">
        <w:t xml:space="preserve"> variants of the </w:t>
      </w:r>
      <w:r w:rsidR="009C7D21" w:rsidRPr="002D7F05">
        <w:rPr>
          <w:i/>
          <w:iCs/>
        </w:rPr>
        <w:t>BRCA1</w:t>
      </w:r>
      <w:r w:rsidR="009C7D21" w:rsidRPr="002D7F05">
        <w:t xml:space="preserve"> or </w:t>
      </w:r>
      <w:r w:rsidR="009C7D21" w:rsidRPr="002D7F05">
        <w:rPr>
          <w:i/>
          <w:iCs/>
        </w:rPr>
        <w:t>BRCA2</w:t>
      </w:r>
      <w:r w:rsidR="009C7D21" w:rsidRPr="002D7F05">
        <w:t xml:space="preserve"> genes to determine eligibility for olaparib for the treatment of </w:t>
      </w:r>
      <w:r w:rsidR="009C7D21" w:rsidRPr="00E35ED9">
        <w:t>HER2</w:t>
      </w:r>
      <w:r w:rsidR="009C7D21" w:rsidRPr="002D7F05">
        <w:t>-negative high</w:t>
      </w:r>
      <w:r w:rsidR="009C7D21">
        <w:t>-</w:t>
      </w:r>
      <w:r w:rsidR="009C7D21" w:rsidRPr="002D7F05">
        <w:t xml:space="preserve">risk early breast </w:t>
      </w:r>
      <w:r w:rsidR="009C7D21" w:rsidRPr="003E2B59">
        <w:t xml:space="preserve">cancer. </w:t>
      </w:r>
      <w:r w:rsidR="002324E3">
        <w:t xml:space="preserve">However, </w:t>
      </w:r>
      <w:r w:rsidR="009C7D21">
        <w:t xml:space="preserve">the </w:t>
      </w:r>
      <w:r w:rsidR="009C7D21" w:rsidRPr="003E2B59">
        <w:t>applicant modified the current proposal to include MBS</w:t>
      </w:r>
      <w:r w:rsidR="009C7D21">
        <w:t xml:space="preserve"> </w:t>
      </w:r>
      <w:r w:rsidR="009C7D21" w:rsidRPr="003E2B59">
        <w:t>listing of the g</w:t>
      </w:r>
      <w:r w:rsidR="009C7D21" w:rsidRPr="003E2B59">
        <w:rPr>
          <w:i/>
          <w:iCs/>
        </w:rPr>
        <w:t>BRCA</w:t>
      </w:r>
      <w:r w:rsidR="009C7D21" w:rsidRPr="003E2B59">
        <w:t xml:space="preserve"> pathogenic</w:t>
      </w:r>
      <w:r w:rsidR="009C7D21">
        <w:t>/likely pathogenic</w:t>
      </w:r>
      <w:r w:rsidR="009C7D21" w:rsidRPr="003E2B59">
        <w:t xml:space="preserve"> variant test only, in line with the inclusion criteria of the OlympiA (the clinical utility standard) trial. MSAC</w:t>
      </w:r>
      <w:r w:rsidR="009C7D21">
        <w:t xml:space="preserve"> also recalled that it </w:t>
      </w:r>
      <w:r w:rsidR="009C7D21" w:rsidRPr="002D7F05">
        <w:t>ha</w:t>
      </w:r>
      <w:r w:rsidR="009C7D21">
        <w:t>d</w:t>
      </w:r>
      <w:r w:rsidR="009C7D21" w:rsidRPr="002D7F05">
        <w:t xml:space="preserve"> previously supported tumour </w:t>
      </w:r>
      <w:r w:rsidR="009C7D21" w:rsidRPr="002D7F05">
        <w:rPr>
          <w:i/>
          <w:iCs/>
        </w:rPr>
        <w:t>BRCA1/2</w:t>
      </w:r>
      <w:r w:rsidR="009C7D21" w:rsidRPr="002D7F05">
        <w:t xml:space="preserve"> testing (and germline testing where tumour testing is not feasible) to determine eligibility for olaparib for the treatment of ovarian cancer (</w:t>
      </w:r>
      <w:hyperlink r:id="rId9" w:history="1">
        <w:r w:rsidR="009C7D21" w:rsidRPr="002D7F05">
          <w:rPr>
            <w:rStyle w:val="Hyperlink"/>
          </w:rPr>
          <w:t>application 1380</w:t>
        </w:r>
      </w:hyperlink>
      <w:r w:rsidR="009C7D21">
        <w:t xml:space="preserve"> in</w:t>
      </w:r>
      <w:r w:rsidR="009C7D21" w:rsidRPr="002D7F05">
        <w:t xml:space="preserve"> Nov</w:t>
      </w:r>
      <w:r w:rsidR="009C7D21">
        <w:t>ember</w:t>
      </w:r>
      <w:r w:rsidR="009C7D21" w:rsidRPr="002D7F05">
        <w:t xml:space="preserve"> 2016 and </w:t>
      </w:r>
      <w:hyperlink r:id="rId10" w:history="1">
        <w:r w:rsidR="009C7D21" w:rsidRPr="002D7F05">
          <w:rPr>
            <w:rStyle w:val="Hyperlink"/>
          </w:rPr>
          <w:t>application 1554</w:t>
        </w:r>
      </w:hyperlink>
      <w:r w:rsidR="009C7D21" w:rsidRPr="002D7F05">
        <w:t xml:space="preserve"> </w:t>
      </w:r>
      <w:r w:rsidR="009C7D21">
        <w:t xml:space="preserve">in </w:t>
      </w:r>
      <w:r w:rsidR="009C7D21" w:rsidRPr="002D7F05">
        <w:t>July 2020)</w:t>
      </w:r>
      <w:r w:rsidR="009C7D21">
        <w:t xml:space="preserve"> and prostate cancer </w:t>
      </w:r>
      <w:r w:rsidR="009C7D21" w:rsidRPr="002D7F05">
        <w:t>(</w:t>
      </w:r>
      <w:hyperlink r:id="rId11" w:history="1">
        <w:r w:rsidR="009C7D21" w:rsidRPr="002D7F05">
          <w:rPr>
            <w:rStyle w:val="Hyperlink"/>
          </w:rPr>
          <w:t>application 1618</w:t>
        </w:r>
      </w:hyperlink>
      <w:r w:rsidR="009C7D21" w:rsidRPr="002D7F05">
        <w:t xml:space="preserve"> </w:t>
      </w:r>
      <w:r w:rsidR="009C7D21">
        <w:t xml:space="preserve">in </w:t>
      </w:r>
      <w:r w:rsidR="009C7D21" w:rsidRPr="002D7F05">
        <w:t>Nov</w:t>
      </w:r>
      <w:r w:rsidR="009C7D21">
        <w:t>ember</w:t>
      </w:r>
      <w:r w:rsidR="009C7D21" w:rsidRPr="002D7F05">
        <w:t xml:space="preserve"> 2021)</w:t>
      </w:r>
      <w:r w:rsidR="009C7D21">
        <w:t>.</w:t>
      </w:r>
    </w:p>
    <w:p w14:paraId="39B4366D" w14:textId="5CF45572" w:rsidR="0050457E" w:rsidRDefault="0050457E" w:rsidP="0050457E">
      <w:r>
        <w:t xml:space="preserve">MSAC noted that </w:t>
      </w:r>
      <w:r w:rsidRPr="00872947">
        <w:rPr>
          <w:i/>
          <w:iCs/>
        </w:rPr>
        <w:t>BRCA1/2</w:t>
      </w:r>
      <w:r>
        <w:t xml:space="preserve"> testing is well established in Australia, with laboratories using next-generation sequencing (NGS) methodology. MSAC considered it reasonable that testing concordance will be high between NGS and the Sanger sequencing </w:t>
      </w:r>
      <w:r w:rsidR="00727708">
        <w:t xml:space="preserve">method </w:t>
      </w:r>
      <w:r>
        <w:t>used in the clinical trials.</w:t>
      </w:r>
    </w:p>
    <w:p w14:paraId="5198B78F" w14:textId="17011818" w:rsidR="0050457E" w:rsidRDefault="0050457E" w:rsidP="0050457E">
      <w:r>
        <w:t>MSAC noted that</w:t>
      </w:r>
      <w:r w:rsidR="00C571AE">
        <w:t xml:space="preserve"> in the event that funding for </w:t>
      </w:r>
      <w:r w:rsidR="00981194">
        <w:t xml:space="preserve">the proposed </w:t>
      </w:r>
      <w:r w:rsidR="00981194" w:rsidRPr="00872947">
        <w:rPr>
          <w:i/>
          <w:iCs/>
        </w:rPr>
        <w:t>BRCA1/2</w:t>
      </w:r>
      <w:r w:rsidR="00981194">
        <w:t xml:space="preserve"> testing </w:t>
      </w:r>
      <w:r w:rsidR="00C571AE">
        <w:t>were approved,</w:t>
      </w:r>
      <w:r>
        <w:t xml:space="preserve"> there were two options </w:t>
      </w:r>
      <w:r w:rsidR="00863BF9">
        <w:t>to consider</w:t>
      </w:r>
      <w:r w:rsidR="00B668AA">
        <w:t xml:space="preserve"> for implementation</w:t>
      </w:r>
      <w:r>
        <w:t>:</w:t>
      </w:r>
    </w:p>
    <w:p w14:paraId="6AC6B91F" w14:textId="25D1B4A2" w:rsidR="0050457E" w:rsidRPr="004920BC" w:rsidRDefault="0050457E" w:rsidP="0050457E">
      <w:pPr>
        <w:pStyle w:val="Bullet"/>
        <w:numPr>
          <w:ilvl w:val="0"/>
          <w:numId w:val="43"/>
        </w:numPr>
        <w:spacing w:before="0"/>
        <w:ind w:left="720"/>
        <w:rPr>
          <w:rFonts w:ascii="Franklin Gothic Book" w:hAnsi="Franklin Gothic Book"/>
        </w:rPr>
      </w:pPr>
      <w:r w:rsidRPr="004920BC">
        <w:rPr>
          <w:rFonts w:ascii="Franklin Gothic Book" w:hAnsi="Franklin Gothic Book"/>
        </w:rPr>
        <w:t>introduce a new MBS item</w:t>
      </w:r>
      <w:r w:rsidR="002E3F9E">
        <w:rPr>
          <w:rFonts w:ascii="Franklin Gothic Book" w:hAnsi="Franklin Gothic Book"/>
        </w:rPr>
        <w:t xml:space="preserve"> for the testing</w:t>
      </w:r>
      <w:r w:rsidRPr="004920BC">
        <w:rPr>
          <w:rFonts w:ascii="Franklin Gothic Book" w:hAnsi="Franklin Gothic Book"/>
        </w:rPr>
        <w:t>, which may cause inconsistency in the MBS and may cause MBS items to be complex and confusing for requesting practitioners, which may in turn affect patient management</w:t>
      </w:r>
    </w:p>
    <w:p w14:paraId="13D58F6E" w14:textId="2E6F0A35" w:rsidR="00827273" w:rsidRDefault="0050457E" w:rsidP="00827273">
      <w:pPr>
        <w:pStyle w:val="Bullet"/>
        <w:numPr>
          <w:ilvl w:val="0"/>
          <w:numId w:val="43"/>
        </w:numPr>
        <w:spacing w:before="0"/>
        <w:ind w:left="720"/>
        <w:rPr>
          <w:rFonts w:ascii="Franklin Gothic Book" w:hAnsi="Franklin Gothic Book"/>
        </w:rPr>
      </w:pPr>
      <w:r w:rsidRPr="004920BC">
        <w:rPr>
          <w:rFonts w:ascii="Franklin Gothic Book" w:hAnsi="Franklin Gothic Book"/>
        </w:rPr>
        <w:t xml:space="preserve">amend </w:t>
      </w:r>
      <w:r w:rsidR="00D96112">
        <w:rPr>
          <w:rFonts w:ascii="Franklin Gothic Book" w:hAnsi="Franklin Gothic Book"/>
        </w:rPr>
        <w:t>existing</w:t>
      </w:r>
      <w:r>
        <w:rPr>
          <w:rFonts w:ascii="Franklin Gothic Book" w:hAnsi="Franklin Gothic Book"/>
        </w:rPr>
        <w:t xml:space="preserve"> </w:t>
      </w:r>
      <w:r w:rsidRPr="004920BC">
        <w:rPr>
          <w:rFonts w:ascii="Franklin Gothic Book" w:hAnsi="Franklin Gothic Book"/>
        </w:rPr>
        <w:t xml:space="preserve">MBS item 73295 to include the proposed population, which </w:t>
      </w:r>
      <w:r w:rsidR="00B15720">
        <w:rPr>
          <w:rFonts w:ascii="Franklin Gothic Book" w:hAnsi="Franklin Gothic Book"/>
        </w:rPr>
        <w:t>was</w:t>
      </w:r>
      <w:r w:rsidR="00B15720" w:rsidRPr="004920BC">
        <w:rPr>
          <w:rFonts w:ascii="Franklin Gothic Book" w:hAnsi="Franklin Gothic Book"/>
        </w:rPr>
        <w:t xml:space="preserve"> </w:t>
      </w:r>
      <w:r w:rsidRPr="004920BC">
        <w:rPr>
          <w:rFonts w:ascii="Franklin Gothic Book" w:hAnsi="Franklin Gothic Book"/>
        </w:rPr>
        <w:t>the preferred option.</w:t>
      </w:r>
    </w:p>
    <w:p w14:paraId="1EED43A8" w14:textId="50EA9B76" w:rsidR="0050457E" w:rsidRDefault="00576CAA" w:rsidP="0050457E">
      <w:r>
        <w:rPr>
          <w:rFonts w:eastAsia="Calibri" w:cs="Times New Roman"/>
        </w:rPr>
        <w:t xml:space="preserve">The MBS currently subsidises similar services to the one proposed in this application, but there is </w:t>
      </w:r>
      <w:r w:rsidR="00EC3B69">
        <w:rPr>
          <w:rFonts w:eastAsia="Calibri" w:cs="Times New Roman"/>
        </w:rPr>
        <w:t>variation in</w:t>
      </w:r>
      <w:r>
        <w:rPr>
          <w:rFonts w:eastAsia="Calibri" w:cs="Times New Roman"/>
        </w:rPr>
        <w:t xml:space="preserve"> the </w:t>
      </w:r>
      <w:r w:rsidR="00EC3B69">
        <w:rPr>
          <w:rFonts w:eastAsia="Calibri" w:cs="Times New Roman"/>
        </w:rPr>
        <w:t>current</w:t>
      </w:r>
      <w:r>
        <w:rPr>
          <w:rFonts w:eastAsia="Calibri" w:cs="Times New Roman"/>
        </w:rPr>
        <w:t xml:space="preserve"> schedule fees. </w:t>
      </w:r>
      <w:r w:rsidR="0050457E">
        <w:t xml:space="preserve">MSAC </w:t>
      </w:r>
      <w:r w:rsidR="00B16D45">
        <w:t xml:space="preserve">recalled it </w:t>
      </w:r>
      <w:r w:rsidR="00EC3B69">
        <w:t xml:space="preserve">had initially supported </w:t>
      </w:r>
      <w:r w:rsidR="00EC3B69">
        <w:rPr>
          <w:i/>
          <w:iCs/>
        </w:rPr>
        <w:t>BRCA1/2</w:t>
      </w:r>
      <w:r w:rsidR="00EC3B69">
        <w:t xml:space="preserve"> testing at $1,200, </w:t>
      </w:r>
      <w:r w:rsidR="000E5AFA">
        <w:t>al</w:t>
      </w:r>
      <w:r w:rsidR="00EC3B69">
        <w:t>though</w:t>
      </w:r>
      <w:r w:rsidR="0050457E">
        <w:t xml:space="preserve"> </w:t>
      </w:r>
      <w:r w:rsidR="007847E9">
        <w:t xml:space="preserve">it </w:t>
      </w:r>
      <w:r w:rsidR="0050457E">
        <w:t xml:space="preserve">noted the </w:t>
      </w:r>
      <w:r w:rsidR="008D42BB">
        <w:t xml:space="preserve">MSAC </w:t>
      </w:r>
      <w:r w:rsidR="002A3492">
        <w:t>Executive advi</w:t>
      </w:r>
      <w:r w:rsidR="005B69DF">
        <w:t>s</w:t>
      </w:r>
      <w:r w:rsidR="00AA1194">
        <w:t>e</w:t>
      </w:r>
      <w:r w:rsidR="005B69DF">
        <w:t>d</w:t>
      </w:r>
      <w:r w:rsidR="00AA1194">
        <w:t xml:space="preserve"> </w:t>
      </w:r>
      <w:r w:rsidR="005B69DF">
        <w:t>in</w:t>
      </w:r>
      <w:r w:rsidR="0068727F">
        <w:t xml:space="preserve"> March 2022 </w:t>
      </w:r>
      <w:r w:rsidR="000E5AFA">
        <w:t>that</w:t>
      </w:r>
      <w:r w:rsidR="00FA613E">
        <w:t xml:space="preserve"> </w:t>
      </w:r>
      <w:r w:rsidR="00BD696A">
        <w:t xml:space="preserve">the </w:t>
      </w:r>
      <w:r w:rsidR="0050457E">
        <w:t xml:space="preserve">fee </w:t>
      </w:r>
      <w:r w:rsidR="00EC3B69">
        <w:t xml:space="preserve">should be </w:t>
      </w:r>
      <w:r w:rsidR="00B16D45">
        <w:t>reduced to</w:t>
      </w:r>
      <w:r w:rsidR="00EC3B69">
        <w:t xml:space="preserve"> </w:t>
      </w:r>
      <w:r w:rsidR="0050457E">
        <w:t xml:space="preserve">$1,000, which </w:t>
      </w:r>
      <w:r w:rsidR="00241478">
        <w:t>align</w:t>
      </w:r>
      <w:r w:rsidR="005B69DF">
        <w:t>s</w:t>
      </w:r>
      <w:r w:rsidR="00241478">
        <w:t xml:space="preserve"> </w:t>
      </w:r>
      <w:r w:rsidR="0050457E">
        <w:t xml:space="preserve">with MBS item </w:t>
      </w:r>
      <w:r w:rsidR="0050457E" w:rsidRPr="005A1DF1">
        <w:t>73304</w:t>
      </w:r>
      <w:r w:rsidR="00047747" w:rsidRPr="00047747">
        <w:t xml:space="preserve"> </w:t>
      </w:r>
      <w:r w:rsidR="00047747">
        <w:t>for d</w:t>
      </w:r>
      <w:r w:rsidR="00047747" w:rsidRPr="00A6053C">
        <w:t xml:space="preserve">etection of germline </w:t>
      </w:r>
      <w:r w:rsidR="00047747" w:rsidRPr="00936D40">
        <w:rPr>
          <w:i/>
        </w:rPr>
        <w:t>BRCA1</w:t>
      </w:r>
      <w:r w:rsidR="00047747" w:rsidRPr="00A6053C">
        <w:t xml:space="preserve"> or </w:t>
      </w:r>
      <w:r w:rsidR="00047747" w:rsidRPr="00936D40">
        <w:rPr>
          <w:i/>
        </w:rPr>
        <w:t>BRCA2</w:t>
      </w:r>
      <w:r w:rsidR="00047747" w:rsidRPr="00A6053C">
        <w:t xml:space="preserve"> pathogenic or likely pathogenic gene variants</w:t>
      </w:r>
      <w:r w:rsidR="00047747">
        <w:t xml:space="preserve"> </w:t>
      </w:r>
      <w:r w:rsidR="00047747" w:rsidRPr="00A6053C">
        <w:t>in a patient with metastatic castration</w:t>
      </w:r>
      <w:r w:rsidR="00047747" w:rsidRPr="00A6053C">
        <w:rPr>
          <w:rFonts w:ascii="Cambria Math" w:hAnsi="Cambria Math" w:cs="Cambria Math"/>
        </w:rPr>
        <w:t>‑</w:t>
      </w:r>
      <w:r w:rsidR="00047747" w:rsidRPr="00A6053C">
        <w:t>resistant prostate cancer</w:t>
      </w:r>
      <w:r w:rsidR="00047747">
        <w:t>.</w:t>
      </w:r>
      <w:r w:rsidR="0050457E">
        <w:t xml:space="preserve"> </w:t>
      </w:r>
      <w:r w:rsidR="00047747">
        <w:t xml:space="preserve">However, MSAC </w:t>
      </w:r>
      <w:r w:rsidR="0050457E">
        <w:t xml:space="preserve">noted that MBS item 73295 </w:t>
      </w:r>
      <w:r w:rsidR="00EC3B69">
        <w:t xml:space="preserve">still </w:t>
      </w:r>
      <w:r w:rsidR="0050457E">
        <w:t>ha</w:t>
      </w:r>
      <w:r w:rsidR="00C52D18">
        <w:t>s</w:t>
      </w:r>
      <w:r w:rsidR="0050457E">
        <w:t xml:space="preserve"> a fee of $1,200</w:t>
      </w:r>
      <w:r w:rsidR="005124BF">
        <w:t>, and that the department is investigating whether a fee of $1,000 or $1,200 would be more appropriate</w:t>
      </w:r>
      <w:r w:rsidR="0079492A">
        <w:t>.</w:t>
      </w:r>
      <w:r w:rsidR="00EC3B69">
        <w:t xml:space="preserve"> </w:t>
      </w:r>
      <w:r w:rsidR="0050457E">
        <w:t xml:space="preserve">MSAC acknowledged that </w:t>
      </w:r>
      <w:r w:rsidR="0050457E" w:rsidRPr="001D58E0">
        <w:rPr>
          <w:i/>
          <w:iCs/>
        </w:rPr>
        <w:t>BRCA1/2</w:t>
      </w:r>
      <w:r w:rsidR="0050457E">
        <w:t xml:space="preserve"> are large genes </w:t>
      </w:r>
      <w:r w:rsidR="00D125F6">
        <w:t xml:space="preserve">and the cost </w:t>
      </w:r>
      <w:r w:rsidR="00671C8D">
        <w:t>of</w:t>
      </w:r>
      <w:r w:rsidR="00D125F6">
        <w:t xml:space="preserve"> </w:t>
      </w:r>
      <w:r w:rsidR="001C2848">
        <w:t>testing</w:t>
      </w:r>
      <w:r w:rsidR="005A556A">
        <w:t xml:space="preserve"> </w:t>
      </w:r>
      <w:r w:rsidR="00671C8D">
        <w:t>could be higher</w:t>
      </w:r>
      <w:r w:rsidR="0050457E">
        <w:t xml:space="preserve"> than smaller genes</w:t>
      </w:r>
      <w:r w:rsidR="00057C22">
        <w:t xml:space="preserve">. </w:t>
      </w:r>
      <w:r w:rsidR="0050457E">
        <w:t xml:space="preserve">MSAC noted stakeholder feedback that a fee of $1,200 was more appropriate and better reflected </w:t>
      </w:r>
      <w:r w:rsidR="0050457E" w:rsidRPr="00F72409">
        <w:t>the costs involved in undertaking the assay and necessary reporting requirements</w:t>
      </w:r>
      <w:r w:rsidR="0050457E">
        <w:t>.</w:t>
      </w:r>
      <w:r w:rsidR="0050457E" w:rsidDel="00647D07">
        <w:t xml:space="preserve"> </w:t>
      </w:r>
      <w:r w:rsidR="002406CC">
        <w:t xml:space="preserve">MSAC also acknowledged that supporting an insufficient fee could result in out-of-pocket costs to consumers. </w:t>
      </w:r>
      <w:r w:rsidR="00B23945">
        <w:t xml:space="preserve">MSAC </w:t>
      </w:r>
      <w:r w:rsidR="00514BD7">
        <w:t>considered that if a fee of $1</w:t>
      </w:r>
      <w:r w:rsidR="005B69DF">
        <w:t>,</w:t>
      </w:r>
      <w:r w:rsidR="00514BD7">
        <w:t xml:space="preserve">200 were accepted for this application that </w:t>
      </w:r>
      <w:r w:rsidR="00211600">
        <w:t xml:space="preserve">the fee for </w:t>
      </w:r>
      <w:r w:rsidR="005F4BDF">
        <w:t>item 73304 might need to be reconsidered to align the two.</w:t>
      </w:r>
    </w:p>
    <w:p w14:paraId="0F494F43" w14:textId="489E0BAE" w:rsidR="0050457E" w:rsidRPr="0083305F" w:rsidRDefault="0050457E" w:rsidP="0050457E">
      <w:r>
        <w:t xml:space="preserve">MSAC noted the proposed descriptor and amendments to the existing descriptor for MBS item 73295. MSAC considered that the current descriptor </w:t>
      </w:r>
      <w:r w:rsidR="002E4DBD">
        <w:t>insufficiently defined the eligible patient population</w:t>
      </w:r>
      <w:r>
        <w:t xml:space="preserve">, and recommended the following amendments to the descriptor’s wording: “… </w:t>
      </w:r>
      <w:r w:rsidRPr="0083305F">
        <w:t>either triple</w:t>
      </w:r>
      <w:r>
        <w:t>-</w:t>
      </w:r>
      <w:r w:rsidRPr="0083305F">
        <w:t>negative early breast cancer or hormone receptor</w:t>
      </w:r>
      <w:r>
        <w:t>-</w:t>
      </w:r>
      <w:r w:rsidRPr="0083305F">
        <w:t xml:space="preserve">positive, </w:t>
      </w:r>
      <w:r w:rsidRPr="004920BC">
        <w:t>HER2</w:t>
      </w:r>
      <w:r w:rsidRPr="0083305F">
        <w:t>-negative, early breast cancer with one of the following high-risk characteristics:</w:t>
      </w:r>
    </w:p>
    <w:p w14:paraId="0A727EE8" w14:textId="77777777" w:rsidR="0050457E" w:rsidRPr="004920BC" w:rsidRDefault="0050457E" w:rsidP="0050457E">
      <w:pPr>
        <w:pStyle w:val="Bullet"/>
        <w:numPr>
          <w:ilvl w:val="0"/>
          <w:numId w:val="43"/>
        </w:numPr>
        <w:spacing w:before="0"/>
        <w:ind w:left="720"/>
        <w:rPr>
          <w:rFonts w:ascii="Franklin Gothic Book" w:hAnsi="Franklin Gothic Book"/>
        </w:rPr>
      </w:pPr>
      <w:r w:rsidRPr="004920BC">
        <w:rPr>
          <w:rFonts w:ascii="Franklin Gothic Book" w:hAnsi="Franklin Gothic Book"/>
        </w:rPr>
        <w:t>tumour histological grading of at least 3; or</w:t>
      </w:r>
    </w:p>
    <w:p w14:paraId="657B3B48" w14:textId="77777777" w:rsidR="0050457E" w:rsidRPr="004920BC" w:rsidRDefault="0050457E" w:rsidP="0050457E">
      <w:pPr>
        <w:pStyle w:val="Bullet"/>
        <w:numPr>
          <w:ilvl w:val="0"/>
          <w:numId w:val="43"/>
        </w:numPr>
        <w:spacing w:before="0"/>
        <w:ind w:left="720"/>
        <w:rPr>
          <w:rFonts w:ascii="Franklin Gothic Book" w:hAnsi="Franklin Gothic Book"/>
        </w:rPr>
      </w:pPr>
      <w:r w:rsidRPr="004920BC">
        <w:rPr>
          <w:rFonts w:ascii="Franklin Gothic Book" w:hAnsi="Franklin Gothic Book"/>
        </w:rPr>
        <w:t>tumour size of greater than 2 cm; or</w:t>
      </w:r>
    </w:p>
    <w:p w14:paraId="439E316B" w14:textId="7DE69815" w:rsidR="0050457E" w:rsidRDefault="0050457E" w:rsidP="0050457E">
      <w:pPr>
        <w:pStyle w:val="Bullet"/>
        <w:numPr>
          <w:ilvl w:val="0"/>
          <w:numId w:val="43"/>
        </w:numPr>
        <w:spacing w:before="0"/>
        <w:ind w:left="720"/>
      </w:pPr>
      <w:r w:rsidRPr="004920BC">
        <w:rPr>
          <w:rFonts w:ascii="Franklin Gothic Book" w:hAnsi="Franklin Gothic Book"/>
        </w:rPr>
        <w:t>one or more axillary lymph nodes metastases.</w:t>
      </w:r>
    </w:p>
    <w:p w14:paraId="26DA9DCE" w14:textId="535ADBD4" w:rsidR="0050457E" w:rsidRDefault="0050457E" w:rsidP="0050457E">
      <w:r>
        <w:t xml:space="preserve">MSAC noted that the application’s intention was to identify patients that had </w:t>
      </w:r>
      <w:r w:rsidR="00B2708E">
        <w:t xml:space="preserve">at least </w:t>
      </w:r>
      <w:r>
        <w:t xml:space="preserve">one of the </w:t>
      </w:r>
      <w:r w:rsidR="00A82E89">
        <w:t>high</w:t>
      </w:r>
      <w:r w:rsidR="0087085B">
        <w:t>-</w:t>
      </w:r>
      <w:r w:rsidR="00A82E89">
        <w:t xml:space="preserve">risk </w:t>
      </w:r>
      <w:r>
        <w:t xml:space="preserve">characteristics, and considered these amendments to better reflect the intended population. </w:t>
      </w:r>
    </w:p>
    <w:p w14:paraId="724C3ED1" w14:textId="130AAD8C" w:rsidR="00080779" w:rsidRDefault="00C20B9B" w:rsidP="0050457E">
      <w:r>
        <w:t xml:space="preserve">On the question of whether </w:t>
      </w:r>
      <w:r w:rsidR="00A814BF">
        <w:t xml:space="preserve">the eligible </w:t>
      </w:r>
      <w:r w:rsidR="004E1B23">
        <w:t xml:space="preserve">testing population </w:t>
      </w:r>
      <w:r w:rsidR="00EC6C71">
        <w:t>c</w:t>
      </w:r>
      <w:r w:rsidR="00A234A8">
        <w:t>ould</w:t>
      </w:r>
      <w:r w:rsidR="00EC6C71">
        <w:t xml:space="preserve"> be better aligned to the population for the co-depen</w:t>
      </w:r>
      <w:r w:rsidR="00CC6360">
        <w:t xml:space="preserve">dent therapy, MSAC noted the applicant’s pre-MSAC response that  </w:t>
      </w:r>
      <w:r w:rsidR="00CC6360">
        <w:lastRenderedPageBreak/>
        <w:t>not aligning the two populations would mean o</w:t>
      </w:r>
      <w:r w:rsidR="00080779" w:rsidRPr="00080779">
        <w:t xml:space="preserve">pening the test to a broader population (e.g., all breast cancer patients) who may not be eligible for treatment with olaparib under the proposed PBS restriction, despite knowing their </w:t>
      </w:r>
      <w:r w:rsidR="00080779" w:rsidRPr="00936D40">
        <w:rPr>
          <w:i/>
        </w:rPr>
        <w:t>BRCA</w:t>
      </w:r>
      <w:r w:rsidR="00080779" w:rsidRPr="00080779">
        <w:t xml:space="preserve"> status, </w:t>
      </w:r>
      <w:r w:rsidR="00726CDD">
        <w:t xml:space="preserve">which </w:t>
      </w:r>
      <w:r w:rsidR="00080779" w:rsidRPr="00080779">
        <w:t>may be a cause for confusion to clinicians and disappointment to patients.</w:t>
      </w:r>
    </w:p>
    <w:p w14:paraId="2BE4A9B3" w14:textId="65D908FE" w:rsidR="0050457E" w:rsidRDefault="0050457E" w:rsidP="0050457E">
      <w:r w:rsidRPr="00A726D8">
        <w:t>MSAC noted that the original proposed MBS descriptor included reference to a high recurrence score through multigene assays. MSAC queried whether reference to EndoPredict</w:t>
      </w:r>
      <w:r w:rsidR="00616888" w:rsidRPr="00936D40">
        <w:rPr>
          <w:vertAlign w:val="superscript"/>
        </w:rPr>
        <w:t>®</w:t>
      </w:r>
      <w:r w:rsidRPr="00A726D8">
        <w:t xml:space="preserve"> should be</w:t>
      </w:r>
      <w:r>
        <w:t xml:space="preserve"> included in the descriptor, as this is the only multigene assay </w:t>
      </w:r>
      <w:r w:rsidR="006C5C81">
        <w:t xml:space="preserve">supported </w:t>
      </w:r>
      <w:r>
        <w:t>for public funding to date.</w:t>
      </w:r>
      <w:r w:rsidR="00F91E57">
        <w:t xml:space="preserve"> However</w:t>
      </w:r>
      <w:r w:rsidR="004D07B5">
        <w:t>,</w:t>
      </w:r>
      <w:r w:rsidR="00F91E57">
        <w:t xml:space="preserve"> MSAC considered that as those eligible for testing for </w:t>
      </w:r>
      <w:r w:rsidR="00F91E57" w:rsidRPr="00F91E57">
        <w:t>Endo</w:t>
      </w:r>
      <w:r w:rsidR="00F91E57">
        <w:t>P</w:t>
      </w:r>
      <w:r w:rsidR="00F91E57" w:rsidRPr="00F91E57">
        <w:t>redict</w:t>
      </w:r>
      <w:r w:rsidR="00F91E57" w:rsidRPr="00936D40">
        <w:rPr>
          <w:vertAlign w:val="superscript"/>
        </w:rPr>
        <w:t>®</w:t>
      </w:r>
      <w:r w:rsidR="00F91E57" w:rsidRPr="00F91E57">
        <w:t xml:space="preserve"> </w:t>
      </w:r>
      <w:r w:rsidR="00F91E57">
        <w:t xml:space="preserve">would already be </w:t>
      </w:r>
      <w:r w:rsidR="00F91E57" w:rsidRPr="00F91E57">
        <w:t xml:space="preserve">captured </w:t>
      </w:r>
      <w:r w:rsidR="00F91E57">
        <w:t xml:space="preserve">as eligible patients under the proposed amendments to MBS item descriptor 73295, </w:t>
      </w:r>
      <w:r w:rsidR="00B8407B">
        <w:t xml:space="preserve">a </w:t>
      </w:r>
      <w:r w:rsidR="00F91E57">
        <w:t>reference</w:t>
      </w:r>
      <w:r w:rsidR="00B8407B">
        <w:t xml:space="preserve"> to </w:t>
      </w:r>
      <w:r w:rsidR="00F91E57">
        <w:t>EndoPredict</w:t>
      </w:r>
      <w:r w:rsidR="00F91E57" w:rsidRPr="00936D40">
        <w:rPr>
          <w:vertAlign w:val="superscript"/>
        </w:rPr>
        <w:t>®</w:t>
      </w:r>
      <w:r w:rsidR="00F91E57">
        <w:t xml:space="preserve"> did not need to be included. </w:t>
      </w:r>
    </w:p>
    <w:p w14:paraId="7E4F04E6" w14:textId="5FB02550" w:rsidR="0050457E" w:rsidRDefault="0050457E" w:rsidP="0050457E">
      <w:r>
        <w:t>MSAC supported adding PN.0.27</w:t>
      </w:r>
      <w:r w:rsidR="003708CE">
        <w:t>,</w:t>
      </w:r>
      <w:r>
        <w:t xml:space="preserve"> </w:t>
      </w:r>
      <w:r w:rsidR="00C55D5E">
        <w:t xml:space="preserve">which </w:t>
      </w:r>
      <w:r w:rsidR="00204B1C">
        <w:t xml:space="preserve">states that </w:t>
      </w:r>
      <w:r w:rsidR="00C55D5E">
        <w:t>p</w:t>
      </w:r>
      <w:r w:rsidR="00C55D5E" w:rsidRPr="00C55D5E">
        <w:t xml:space="preserve">atients who are found to have any form of affected allele should be referred for post-test </w:t>
      </w:r>
      <w:r>
        <w:t>genetic counselling</w:t>
      </w:r>
      <w:r w:rsidR="00FF66CE">
        <w:t>,</w:t>
      </w:r>
      <w:r>
        <w:t xml:space="preserve"> to the MBS item. </w:t>
      </w:r>
    </w:p>
    <w:p w14:paraId="387BF9B2" w14:textId="6FF681C2" w:rsidR="0050457E" w:rsidRDefault="0050457E" w:rsidP="0050457E">
      <w:r>
        <w:t>MSAC noted the</w:t>
      </w:r>
      <w:r w:rsidRPr="005A1DF1">
        <w:t xml:space="preserve"> </w:t>
      </w:r>
      <w:r>
        <w:t>d</w:t>
      </w:r>
      <w:r w:rsidRPr="005A1DF1">
        <w:t>epartment</w:t>
      </w:r>
      <w:r>
        <w:t>’s</w:t>
      </w:r>
      <w:r w:rsidRPr="005A1DF1">
        <w:t xml:space="preserve"> suggest</w:t>
      </w:r>
      <w:r>
        <w:t>ion of referring to olaparib as “</w:t>
      </w:r>
      <w:r w:rsidRPr="005A1DF1">
        <w:t>a PARP inhibitor</w:t>
      </w:r>
      <w:r>
        <w:t>”</w:t>
      </w:r>
      <w:r w:rsidRPr="005A1DF1">
        <w:t xml:space="preserve">, to ensure current access to treatments other than olaparib </w:t>
      </w:r>
      <w:r w:rsidR="003708CE">
        <w:t>would</w:t>
      </w:r>
      <w:r w:rsidR="003708CE" w:rsidRPr="005A1DF1">
        <w:t xml:space="preserve"> </w:t>
      </w:r>
      <w:r w:rsidRPr="005A1DF1">
        <w:t xml:space="preserve">not </w:t>
      </w:r>
      <w:r w:rsidR="003708CE">
        <w:t>be</w:t>
      </w:r>
      <w:r w:rsidRPr="005A1DF1">
        <w:t xml:space="preserve"> adversely affected. </w:t>
      </w:r>
      <w:r>
        <w:t xml:space="preserve">MSAC noted that </w:t>
      </w:r>
      <w:r w:rsidRPr="005A1DF1">
        <w:t>MBS</w:t>
      </w:r>
      <w:r>
        <w:t> </w:t>
      </w:r>
      <w:r w:rsidRPr="005A1DF1">
        <w:t>item</w:t>
      </w:r>
      <w:r>
        <w:t> </w:t>
      </w:r>
      <w:r w:rsidRPr="005A1DF1">
        <w:t xml:space="preserve">73295 was amended on 1 September 2022 to replace the specific drug name of </w:t>
      </w:r>
      <w:r>
        <w:t>“olaparib”</w:t>
      </w:r>
      <w:r w:rsidRPr="005A1DF1">
        <w:t xml:space="preserve"> with the name of the relevant class of drugs </w:t>
      </w:r>
      <w:r>
        <w:t>(</w:t>
      </w:r>
      <w:r w:rsidRPr="005A1DF1">
        <w:t>i.e. a PARP inhibitor</w:t>
      </w:r>
      <w:r>
        <w:t>)</w:t>
      </w:r>
      <w:r w:rsidRPr="005A1DF1">
        <w:t>. This change was recommended by the MSAC Executive to expand the use of the item to determine PBS eligibility for niraparib and other PARP inhibitors that may be approved in the future by PBAC for listing on the PBS for the treatment of the conditions listed in</w:t>
      </w:r>
      <w:r>
        <w:t xml:space="preserve"> MBS</w:t>
      </w:r>
      <w:r w:rsidRPr="005A1DF1">
        <w:t xml:space="preserve"> item 73295</w:t>
      </w:r>
      <w:r>
        <w:t>.</w:t>
      </w:r>
      <w:r w:rsidR="000C6A1B">
        <w:t xml:space="preserve"> MSAC </w:t>
      </w:r>
      <w:r w:rsidR="004B121B">
        <w:t xml:space="preserve">advised it would </w:t>
      </w:r>
      <w:r w:rsidR="000C6A1B">
        <w:t>reconsider</w:t>
      </w:r>
      <w:r w:rsidR="004B121B">
        <w:t xml:space="preserve"> the </w:t>
      </w:r>
      <w:r w:rsidR="001506E9">
        <w:t xml:space="preserve">potential </w:t>
      </w:r>
      <w:r w:rsidR="004B121B">
        <w:t>amendments</w:t>
      </w:r>
      <w:r w:rsidR="001506E9">
        <w:t xml:space="preserve"> to the MBS item descriptor 73295 </w:t>
      </w:r>
      <w:r w:rsidR="00CC22E4">
        <w:t>for any</w:t>
      </w:r>
      <w:r w:rsidR="00943F15">
        <w:t xml:space="preserve"> </w:t>
      </w:r>
      <w:r w:rsidR="005C7FB9">
        <w:t>future</w:t>
      </w:r>
      <w:r w:rsidR="007742F9">
        <w:t xml:space="preserve"> resubmission</w:t>
      </w:r>
      <w:r w:rsidR="001506E9">
        <w:t xml:space="preserve">. </w:t>
      </w:r>
      <w:r w:rsidR="003C7FE9">
        <w:t>MSAC noted the applicant’s willingness (in the pre-MSAC response) to work with the department to make suitable edits to the 73295 MBS item descriptor.</w:t>
      </w:r>
    </w:p>
    <w:p w14:paraId="3E8C1A71" w14:textId="27003512" w:rsidR="001B3C82" w:rsidRDefault="001B3C82" w:rsidP="00936D40">
      <w:pPr>
        <w:pStyle w:val="Caption"/>
      </w:pPr>
      <w:r>
        <w:t xml:space="preserve">Table </w:t>
      </w:r>
      <w:r w:rsidR="004E6008">
        <w:fldChar w:fldCharType="begin"/>
      </w:r>
      <w:r w:rsidR="004E6008">
        <w:instrText xml:space="preserve"> SEQ Table \* ARABIC </w:instrText>
      </w:r>
      <w:r w:rsidR="004E6008">
        <w:fldChar w:fldCharType="separate"/>
      </w:r>
      <w:r>
        <w:rPr>
          <w:noProof/>
        </w:rPr>
        <w:t>1</w:t>
      </w:r>
      <w:r w:rsidR="004E6008">
        <w:rPr>
          <w:noProof/>
        </w:rPr>
        <w:fldChar w:fldCharType="end"/>
      </w:r>
      <w:r>
        <w:t xml:space="preserve"> MSAC’s </w:t>
      </w:r>
      <w:r w:rsidR="00DB746D">
        <w:t xml:space="preserve">advice </w:t>
      </w:r>
      <w:r w:rsidR="0045177D">
        <w:t>of potential</w:t>
      </w:r>
      <w:r>
        <w:t xml:space="preserve"> </w:t>
      </w:r>
      <w:r w:rsidR="00FD42ED">
        <w:t xml:space="preserve">amendment to MBS </w:t>
      </w:r>
      <w:r>
        <w:t>item descriptor</w:t>
      </w:r>
      <w:r w:rsidR="00FD42ED">
        <w:t xml:space="preserve"> 73295</w:t>
      </w:r>
    </w:p>
    <w:tbl>
      <w:tblPr>
        <w:tblStyle w:val="TableGrid"/>
        <w:tblW w:w="0" w:type="auto"/>
        <w:tblLook w:val="04A0" w:firstRow="1" w:lastRow="0" w:firstColumn="1" w:lastColumn="0" w:noHBand="0" w:noVBand="1"/>
      </w:tblPr>
      <w:tblGrid>
        <w:gridCol w:w="3449"/>
        <w:gridCol w:w="5567"/>
      </w:tblGrid>
      <w:tr w:rsidR="001B3C82" w:rsidRPr="00141B6E" w14:paraId="417CA34E" w14:textId="77777777" w:rsidTr="00936D40">
        <w:tc>
          <w:tcPr>
            <w:tcW w:w="10768" w:type="dxa"/>
            <w:gridSpan w:val="2"/>
            <w:tcBorders>
              <w:top w:val="single" w:sz="4" w:space="0" w:color="auto"/>
              <w:left w:val="single" w:sz="4" w:space="0" w:color="auto"/>
              <w:bottom w:val="single" w:sz="4" w:space="0" w:color="auto"/>
              <w:right w:val="single" w:sz="4" w:space="0" w:color="auto"/>
            </w:tcBorders>
          </w:tcPr>
          <w:p w14:paraId="192BD44F" w14:textId="77777777" w:rsidR="001B3C82" w:rsidRPr="00141B6E" w:rsidRDefault="001B3C82" w:rsidP="00CD6F9D">
            <w:pPr>
              <w:pStyle w:val="TableText1"/>
              <w:keepLines/>
              <w:spacing w:before="0" w:after="0"/>
              <w:jc w:val="right"/>
              <w:rPr>
                <w:rFonts w:cs="Arial"/>
                <w:sz w:val="20"/>
                <w:szCs w:val="20"/>
              </w:rPr>
            </w:pPr>
            <w:r w:rsidRPr="00141B6E">
              <w:rPr>
                <w:rFonts w:cs="Arial"/>
                <w:sz w:val="20"/>
                <w:szCs w:val="20"/>
              </w:rPr>
              <w:t>Category 6 – Pathology Services</w:t>
            </w:r>
          </w:p>
        </w:tc>
      </w:tr>
      <w:tr w:rsidR="001B3C82" w:rsidRPr="00141B6E" w14:paraId="59D683A8" w14:textId="77777777" w:rsidTr="00936D40">
        <w:tc>
          <w:tcPr>
            <w:tcW w:w="4092" w:type="dxa"/>
            <w:tcBorders>
              <w:top w:val="single" w:sz="4" w:space="0" w:color="auto"/>
              <w:left w:val="single" w:sz="4" w:space="0" w:color="auto"/>
              <w:bottom w:val="single" w:sz="4" w:space="0" w:color="auto"/>
              <w:right w:val="nil"/>
            </w:tcBorders>
          </w:tcPr>
          <w:p w14:paraId="6591C18C" w14:textId="77777777" w:rsidR="001B3C82" w:rsidRPr="00141B6E" w:rsidRDefault="001B3C82" w:rsidP="00CD6F9D">
            <w:pPr>
              <w:pStyle w:val="TableText1"/>
              <w:keepLines/>
              <w:spacing w:before="0" w:after="0"/>
              <w:rPr>
                <w:rFonts w:cs="Arial"/>
                <w:sz w:val="20"/>
                <w:szCs w:val="20"/>
              </w:rPr>
            </w:pPr>
            <w:r w:rsidRPr="00141B6E">
              <w:rPr>
                <w:rFonts w:cs="Arial"/>
                <w:sz w:val="20"/>
                <w:szCs w:val="20"/>
              </w:rPr>
              <w:t xml:space="preserve">MBS item </w:t>
            </w:r>
            <w:r>
              <w:rPr>
                <w:rFonts w:cs="Arial"/>
                <w:sz w:val="20"/>
                <w:szCs w:val="20"/>
              </w:rPr>
              <w:t>73295</w:t>
            </w:r>
          </w:p>
        </w:tc>
        <w:tc>
          <w:tcPr>
            <w:tcW w:w="6676" w:type="dxa"/>
            <w:tcBorders>
              <w:top w:val="single" w:sz="4" w:space="0" w:color="auto"/>
              <w:left w:val="nil"/>
              <w:bottom w:val="single" w:sz="4" w:space="0" w:color="auto"/>
              <w:right w:val="single" w:sz="4" w:space="0" w:color="auto"/>
            </w:tcBorders>
          </w:tcPr>
          <w:p w14:paraId="23BB0C60" w14:textId="77777777" w:rsidR="001B3C82" w:rsidRPr="00141B6E" w:rsidRDefault="001B3C82" w:rsidP="00CD6F9D">
            <w:pPr>
              <w:pStyle w:val="TableText1"/>
              <w:keepLines/>
              <w:spacing w:before="0" w:after="0"/>
              <w:jc w:val="right"/>
              <w:rPr>
                <w:rFonts w:cs="Arial"/>
                <w:sz w:val="20"/>
                <w:szCs w:val="20"/>
              </w:rPr>
            </w:pPr>
            <w:r w:rsidRPr="00141B6E">
              <w:rPr>
                <w:rFonts w:cs="Arial"/>
                <w:sz w:val="20"/>
                <w:szCs w:val="20"/>
              </w:rPr>
              <w:t>Group P7 – Genetics</w:t>
            </w:r>
          </w:p>
        </w:tc>
      </w:tr>
      <w:tr w:rsidR="001B3C82" w:rsidRPr="00141B6E" w14:paraId="5F28B6B6" w14:textId="77777777" w:rsidTr="00936D40">
        <w:tc>
          <w:tcPr>
            <w:tcW w:w="10768" w:type="dxa"/>
            <w:gridSpan w:val="2"/>
            <w:tcBorders>
              <w:top w:val="single" w:sz="4" w:space="0" w:color="auto"/>
              <w:left w:val="single" w:sz="4" w:space="0" w:color="auto"/>
              <w:bottom w:val="single" w:sz="4" w:space="0" w:color="auto"/>
              <w:right w:val="single" w:sz="4" w:space="0" w:color="auto"/>
            </w:tcBorders>
          </w:tcPr>
          <w:p w14:paraId="03D96DCA" w14:textId="72802537" w:rsidR="003111AF" w:rsidRPr="003111AF" w:rsidRDefault="003111AF" w:rsidP="003111AF">
            <w:pPr>
              <w:pStyle w:val="TableText1"/>
              <w:keepLines/>
              <w:rPr>
                <w:rFonts w:cs="Arial"/>
                <w:sz w:val="20"/>
                <w:szCs w:val="20"/>
              </w:rPr>
            </w:pPr>
            <w:r w:rsidRPr="003111AF">
              <w:rPr>
                <w:rFonts w:cs="Arial"/>
                <w:sz w:val="20"/>
                <w:szCs w:val="20"/>
                <w:lang w:val="en-US"/>
              </w:rPr>
              <w:t xml:space="preserve">Detection of germline </w:t>
            </w:r>
            <w:r w:rsidRPr="00936D40">
              <w:rPr>
                <w:rFonts w:cs="Arial"/>
                <w:i/>
                <w:iCs/>
                <w:sz w:val="20"/>
                <w:szCs w:val="20"/>
                <w:lang w:val="en-US"/>
              </w:rPr>
              <w:t xml:space="preserve">BRCA1 </w:t>
            </w:r>
            <w:r w:rsidRPr="003111AF">
              <w:rPr>
                <w:rFonts w:cs="Arial"/>
                <w:sz w:val="20"/>
                <w:szCs w:val="20"/>
                <w:lang w:val="en-US"/>
              </w:rPr>
              <w:t xml:space="preserve">or </w:t>
            </w:r>
            <w:r w:rsidRPr="00936D40">
              <w:rPr>
                <w:rFonts w:cs="Arial"/>
                <w:i/>
                <w:iCs/>
                <w:sz w:val="20"/>
                <w:szCs w:val="20"/>
                <w:lang w:val="en-US"/>
              </w:rPr>
              <w:t>BRCA2</w:t>
            </w:r>
            <w:r w:rsidRPr="003111AF">
              <w:rPr>
                <w:rFonts w:cs="Arial"/>
                <w:sz w:val="20"/>
                <w:szCs w:val="20"/>
                <w:lang w:val="en-US"/>
              </w:rPr>
              <w:t xml:space="preserve"> pathogenic or likely pathogenic gene variants, in a patient with advanced (FIGO III-IV) high-grade serous or high-grade epithelial ovarian, fallopian tube or primary peritoneal cancer </w:t>
            </w:r>
            <w:r w:rsidRPr="00936D40">
              <w:rPr>
                <w:rFonts w:cs="Arial"/>
                <w:color w:val="FF0000"/>
                <w:sz w:val="20"/>
                <w:szCs w:val="20"/>
                <w:lang w:val="en-US"/>
              </w:rPr>
              <w:t xml:space="preserve">or HER2-negative high-risk breast cancer </w:t>
            </w:r>
            <w:r w:rsidRPr="003111AF">
              <w:rPr>
                <w:rFonts w:cs="Arial"/>
                <w:sz w:val="20"/>
                <w:szCs w:val="20"/>
                <w:lang w:val="en-US"/>
              </w:rPr>
              <w:t xml:space="preserve">for whom testing of tumour tissue is not feasible, requested by a specialist or consultant physician, to determine eligibility for </w:t>
            </w:r>
            <w:r w:rsidR="1F1D6B22" w:rsidRPr="71EE27CB">
              <w:rPr>
                <w:rFonts w:cs="Arial"/>
                <w:sz w:val="20"/>
                <w:szCs w:val="20"/>
                <w:lang w:val="en-US"/>
              </w:rPr>
              <w:t xml:space="preserve">treatment with </w:t>
            </w:r>
            <w:r w:rsidRPr="71EE27CB">
              <w:rPr>
                <w:rFonts w:cs="Arial"/>
                <w:sz w:val="20"/>
                <w:szCs w:val="20"/>
                <w:lang w:val="en-US"/>
              </w:rPr>
              <w:t>a poly (adenosine diphosphate [ADP]-ribose) polymerase (PARP) inhibitor</w:t>
            </w:r>
            <w:r w:rsidRPr="00936D40">
              <w:rPr>
                <w:rFonts w:cs="Arial"/>
                <w:i/>
                <w:sz w:val="20"/>
                <w:szCs w:val="20"/>
                <w:lang w:val="en-US"/>
              </w:rPr>
              <w:t xml:space="preserve"> </w:t>
            </w:r>
            <w:r w:rsidRPr="003111AF">
              <w:rPr>
                <w:rFonts w:cs="Arial"/>
                <w:sz w:val="20"/>
                <w:szCs w:val="20"/>
                <w:lang w:val="en-US"/>
              </w:rPr>
              <w:t>under the Pharmaceutical Benefits Scheme (PBS)</w:t>
            </w:r>
            <w:r w:rsidRPr="00936D40">
              <w:rPr>
                <w:rFonts w:cs="Arial"/>
                <w:color w:val="FF0000"/>
                <w:sz w:val="20"/>
                <w:szCs w:val="20"/>
                <w:lang w:val="en-US"/>
              </w:rPr>
              <w:t>, where</w:t>
            </w:r>
            <w:r w:rsidRPr="003111AF">
              <w:rPr>
                <w:rFonts w:cs="Arial"/>
                <w:sz w:val="20"/>
                <w:szCs w:val="20"/>
                <w:lang w:val="en-US"/>
              </w:rPr>
              <w:t>:</w:t>
            </w:r>
          </w:p>
          <w:p w14:paraId="4755820C" w14:textId="5BAFBBB0" w:rsidR="003111AF" w:rsidRPr="00936D40" w:rsidRDefault="003111AF" w:rsidP="001D6593">
            <w:pPr>
              <w:pStyle w:val="TableText1"/>
              <w:keepLines/>
              <w:spacing w:before="240"/>
              <w:rPr>
                <w:rFonts w:cs="Arial"/>
                <w:color w:val="FF0000"/>
                <w:sz w:val="20"/>
                <w:szCs w:val="20"/>
              </w:rPr>
            </w:pPr>
            <w:r w:rsidRPr="00936D40">
              <w:rPr>
                <w:rFonts w:cs="Arial"/>
                <w:color w:val="FF0000"/>
                <w:sz w:val="20"/>
                <w:szCs w:val="20"/>
                <w:lang w:val="en-US"/>
              </w:rPr>
              <w:t xml:space="preserve">HER2-negative high-risk breast cancer is classified as either triple negative early breast cancer or hormone receptor positive, HER2-negative, early breast cancer with </w:t>
            </w:r>
            <w:r w:rsidR="00381C5F" w:rsidRPr="00936D40">
              <w:rPr>
                <w:rFonts w:cs="Arial"/>
                <w:color w:val="FF0000"/>
                <w:sz w:val="20"/>
                <w:szCs w:val="20"/>
                <w:lang w:val="en-US"/>
              </w:rPr>
              <w:t xml:space="preserve">at least </w:t>
            </w:r>
            <w:r w:rsidRPr="00936D40">
              <w:rPr>
                <w:rFonts w:cs="Arial"/>
                <w:color w:val="FF0000"/>
                <w:sz w:val="20"/>
                <w:szCs w:val="20"/>
                <w:lang w:val="en-US"/>
              </w:rPr>
              <w:t>one of the following high-risk characteristics:</w:t>
            </w:r>
          </w:p>
          <w:p w14:paraId="366AF1E2" w14:textId="77777777" w:rsidR="003111AF" w:rsidRPr="00936D40" w:rsidRDefault="003111AF" w:rsidP="003111AF">
            <w:pPr>
              <w:pStyle w:val="TableText1"/>
              <w:keepLines/>
              <w:numPr>
                <w:ilvl w:val="0"/>
                <w:numId w:val="44"/>
              </w:numPr>
              <w:rPr>
                <w:rFonts w:cs="Arial"/>
                <w:color w:val="FF0000"/>
                <w:sz w:val="20"/>
                <w:szCs w:val="20"/>
              </w:rPr>
            </w:pPr>
            <w:r w:rsidRPr="00936D40">
              <w:rPr>
                <w:rFonts w:cs="Arial"/>
                <w:color w:val="FF0000"/>
                <w:sz w:val="20"/>
                <w:szCs w:val="20"/>
                <w:lang w:val="en-US"/>
              </w:rPr>
              <w:t>tumour histological grading of at least 3; or</w:t>
            </w:r>
          </w:p>
          <w:p w14:paraId="3FCE37AE" w14:textId="77777777" w:rsidR="003111AF" w:rsidRPr="00936D40" w:rsidRDefault="003111AF" w:rsidP="003111AF">
            <w:pPr>
              <w:pStyle w:val="TableText1"/>
              <w:keepLines/>
              <w:numPr>
                <w:ilvl w:val="0"/>
                <w:numId w:val="44"/>
              </w:numPr>
              <w:rPr>
                <w:rFonts w:cs="Arial"/>
                <w:color w:val="FF0000"/>
                <w:sz w:val="20"/>
                <w:szCs w:val="20"/>
              </w:rPr>
            </w:pPr>
            <w:r w:rsidRPr="00936D40">
              <w:rPr>
                <w:rFonts w:cs="Arial"/>
                <w:color w:val="FF0000"/>
                <w:sz w:val="20"/>
                <w:szCs w:val="20"/>
                <w:lang w:val="en-US"/>
              </w:rPr>
              <w:t>tumour size of greater than 2 cm; or</w:t>
            </w:r>
          </w:p>
          <w:p w14:paraId="1DCE6474" w14:textId="6CE4A2E6" w:rsidR="003111AF" w:rsidRPr="001D6593" w:rsidRDefault="003111AF" w:rsidP="003111AF">
            <w:pPr>
              <w:pStyle w:val="TableText1"/>
              <w:keepLines/>
              <w:numPr>
                <w:ilvl w:val="0"/>
                <w:numId w:val="44"/>
              </w:numPr>
              <w:rPr>
                <w:rFonts w:cs="Arial"/>
                <w:strike/>
                <w:color w:val="FF0000"/>
                <w:sz w:val="20"/>
                <w:szCs w:val="20"/>
              </w:rPr>
            </w:pPr>
            <w:r w:rsidRPr="00936D40">
              <w:rPr>
                <w:rFonts w:cs="Arial"/>
                <w:color w:val="FF0000"/>
                <w:sz w:val="20"/>
                <w:szCs w:val="20"/>
                <w:lang w:val="en-US"/>
              </w:rPr>
              <w:t>one or more axillary lymph node metastases</w:t>
            </w:r>
          </w:p>
          <w:p w14:paraId="4EE2A624" w14:textId="61A4939D" w:rsidR="003111AF" w:rsidRPr="003111AF" w:rsidRDefault="003111AF" w:rsidP="001D6593">
            <w:pPr>
              <w:pStyle w:val="TableText1"/>
              <w:keepLines/>
              <w:spacing w:before="240" w:after="240"/>
              <w:rPr>
                <w:rFonts w:cs="Arial"/>
                <w:sz w:val="20"/>
                <w:szCs w:val="20"/>
              </w:rPr>
            </w:pPr>
            <w:r w:rsidRPr="003111AF">
              <w:rPr>
                <w:rFonts w:cs="Arial"/>
                <w:sz w:val="20"/>
                <w:szCs w:val="20"/>
                <w:lang w:val="en-US"/>
              </w:rPr>
              <w:t>Maximum of one test per patient’s lifetime</w:t>
            </w:r>
          </w:p>
          <w:p w14:paraId="68CBA4C9" w14:textId="43500283" w:rsidR="003111AF" w:rsidRPr="001D6593" w:rsidRDefault="003111AF" w:rsidP="003111AF">
            <w:pPr>
              <w:pStyle w:val="TableText1"/>
              <w:keepLines/>
              <w:rPr>
                <w:rFonts w:cs="Arial"/>
                <w:color w:val="FF0000"/>
                <w:sz w:val="20"/>
                <w:szCs w:val="20"/>
              </w:rPr>
            </w:pPr>
            <w:r w:rsidRPr="00C81C20">
              <w:rPr>
                <w:rFonts w:cs="Arial"/>
                <w:sz w:val="20"/>
                <w:szCs w:val="20"/>
                <w:lang w:val="en-US"/>
              </w:rPr>
              <w:t xml:space="preserve">Fee: $1,200.00 Benefit: 75% = $900.00; 85% = </w:t>
            </w:r>
            <w:r w:rsidR="005465A9" w:rsidRPr="00C81C20">
              <w:rPr>
                <w:rFonts w:cs="Arial"/>
                <w:sz w:val="20"/>
                <w:szCs w:val="20"/>
                <w:lang w:val="en-US"/>
              </w:rPr>
              <w:t>$</w:t>
            </w:r>
            <w:r w:rsidR="00734121" w:rsidRPr="00936D40">
              <w:rPr>
                <w:rFonts w:cs="Arial"/>
                <w:sz w:val="20"/>
                <w:szCs w:val="20"/>
                <w:lang w:val="en-US"/>
              </w:rPr>
              <w:t>1106.80*</w:t>
            </w:r>
          </w:p>
          <w:p w14:paraId="6C5049B6" w14:textId="3964C85C" w:rsidR="001B3C82" w:rsidRPr="00141B6E" w:rsidRDefault="003111AF" w:rsidP="001D6593">
            <w:pPr>
              <w:pStyle w:val="TableText1"/>
              <w:keepLines/>
              <w:spacing w:before="240" w:after="0"/>
              <w:rPr>
                <w:rFonts w:cs="Arial"/>
                <w:sz w:val="20"/>
                <w:szCs w:val="20"/>
              </w:rPr>
            </w:pPr>
            <w:r w:rsidRPr="003111AF">
              <w:rPr>
                <w:rFonts w:cs="Arial"/>
                <w:sz w:val="20"/>
                <w:szCs w:val="20"/>
                <w:lang w:val="en-US"/>
              </w:rPr>
              <w:t>(See para PN.0.27 of explanatory notes to this Category)</w:t>
            </w:r>
          </w:p>
        </w:tc>
      </w:tr>
      <w:tr w:rsidR="001B3C82" w:rsidRPr="00141B6E" w14:paraId="726D1C70" w14:textId="77777777" w:rsidTr="00CD6F9D">
        <w:tc>
          <w:tcPr>
            <w:tcW w:w="10768" w:type="dxa"/>
            <w:gridSpan w:val="2"/>
            <w:tcBorders>
              <w:top w:val="single" w:sz="4" w:space="0" w:color="auto"/>
              <w:left w:val="single" w:sz="4" w:space="0" w:color="auto"/>
              <w:bottom w:val="single" w:sz="4" w:space="0" w:color="auto"/>
              <w:right w:val="single" w:sz="4" w:space="0" w:color="auto"/>
            </w:tcBorders>
          </w:tcPr>
          <w:p w14:paraId="37F65E07" w14:textId="6A673D9F" w:rsidR="001B3C82" w:rsidRPr="00141B6E" w:rsidRDefault="001B3C82" w:rsidP="00CD6F9D">
            <w:pPr>
              <w:pStyle w:val="TableText1"/>
              <w:keepLines/>
              <w:spacing w:before="0" w:after="0"/>
              <w:rPr>
                <w:rFonts w:cs="Arial"/>
                <w:b/>
                <w:bCs/>
                <w:sz w:val="20"/>
                <w:szCs w:val="20"/>
              </w:rPr>
            </w:pPr>
            <w:r w:rsidRPr="00141B6E">
              <w:rPr>
                <w:rFonts w:cs="Arial"/>
                <w:b/>
                <w:bCs/>
                <w:sz w:val="20"/>
                <w:szCs w:val="20"/>
              </w:rPr>
              <w:t xml:space="preserve">Explanatory </w:t>
            </w:r>
            <w:r w:rsidR="2A38DEF4" w:rsidRPr="71EE27CB">
              <w:rPr>
                <w:rFonts w:cs="Arial"/>
                <w:b/>
                <w:bCs/>
                <w:sz w:val="20"/>
                <w:szCs w:val="20"/>
              </w:rPr>
              <w:t>note</w:t>
            </w:r>
            <w:r w:rsidR="09884D10" w:rsidRPr="71EE27CB">
              <w:rPr>
                <w:rFonts w:cs="Arial"/>
                <w:b/>
                <w:bCs/>
                <w:sz w:val="20"/>
                <w:szCs w:val="20"/>
              </w:rPr>
              <w:t xml:space="preserve"> PN.0.27</w:t>
            </w:r>
          </w:p>
          <w:p w14:paraId="0181FA54" w14:textId="58B7AEA8" w:rsidR="001B3C82" w:rsidRPr="00141B6E" w:rsidRDefault="001B3C82" w:rsidP="00CD6F9D">
            <w:pPr>
              <w:pStyle w:val="TableText1"/>
              <w:keepLines/>
              <w:spacing w:before="0" w:after="0"/>
              <w:rPr>
                <w:rFonts w:cs="Arial"/>
                <w:sz w:val="20"/>
                <w:szCs w:val="20"/>
              </w:rPr>
            </w:pPr>
            <w:r w:rsidRPr="00141B6E">
              <w:rPr>
                <w:rFonts w:cs="Arial"/>
                <w:sz w:val="20"/>
                <w:szCs w:val="20"/>
              </w:rPr>
              <w:t xml:space="preserve">Patients who are found to have </w:t>
            </w:r>
            <w:r w:rsidR="00176E6F" w:rsidRPr="71EE27CB">
              <w:rPr>
                <w:rFonts w:cs="Arial"/>
                <w:sz w:val="20"/>
                <w:szCs w:val="20"/>
                <w:lang w:val="en-US"/>
              </w:rPr>
              <w:t xml:space="preserve">any form of affected allele </w:t>
            </w:r>
            <w:r w:rsidRPr="00141B6E">
              <w:rPr>
                <w:rFonts w:cs="Arial"/>
                <w:sz w:val="20"/>
                <w:szCs w:val="20"/>
              </w:rPr>
              <w:t>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53E21BF0" w14:textId="4E23249B" w:rsidR="006A4594" w:rsidRDefault="00734121" w:rsidP="0050457E">
      <w:r w:rsidRPr="00936D40">
        <w:rPr>
          <w:rFonts w:ascii="Arial Narrow" w:hAnsi="Arial Narrow"/>
          <w:sz w:val="18"/>
          <w:szCs w:val="18"/>
        </w:rPr>
        <w:t>*</w:t>
      </w:r>
      <w:r w:rsidR="00DC02DC" w:rsidRPr="00DC02DC">
        <w:rPr>
          <w:rFonts w:ascii="Arial Narrow" w:hAnsi="Arial Narrow"/>
          <w:color w:val="000000"/>
          <w:sz w:val="18"/>
          <w:szCs w:val="18"/>
          <w:bdr w:val="none" w:sz="0" w:space="0" w:color="auto" w:frame="1"/>
        </w:rPr>
        <w:t xml:space="preserve"> </w:t>
      </w:r>
      <w:r w:rsidR="00DC02DC">
        <w:rPr>
          <w:rStyle w:val="normaltextrun"/>
          <w:rFonts w:ascii="Arial Narrow" w:hAnsi="Arial Narrow"/>
          <w:color w:val="000000"/>
          <w:sz w:val="18"/>
          <w:szCs w:val="18"/>
          <w:bdr w:val="none" w:sz="0" w:space="0" w:color="auto" w:frame="1"/>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2CB0D3DE" w14:textId="27659717" w:rsidR="00BA1945" w:rsidRDefault="00E041C9" w:rsidP="00BA1945">
      <w:r>
        <w:lastRenderedPageBreak/>
        <w:t xml:space="preserve">MSAC noted the proposed clinical management algorithm did not include cascade testing. However, MSAC considered that this proposed intervention would trigger cascade testing for patients found to have </w:t>
      </w:r>
      <w:r w:rsidRPr="00FC228C">
        <w:rPr>
          <w:i/>
          <w:iCs/>
        </w:rPr>
        <w:t>BRCA1/2</w:t>
      </w:r>
      <w:r>
        <w:t xml:space="preserve"> pathogenic/likely pathogenic variants, which was not considered in the assessment. </w:t>
      </w:r>
      <w:r w:rsidR="00BA1945">
        <w:t xml:space="preserve">MSAC considered that cascade testing was appropriate for this population because it involved germline testing, and supported cascade testing of biological relatives under MBS item 73297 for those who are found to carry </w:t>
      </w:r>
      <w:r w:rsidR="00BA1945" w:rsidRPr="00BF08F7">
        <w:rPr>
          <w:i/>
          <w:iCs/>
        </w:rPr>
        <w:t>BRCA1/2</w:t>
      </w:r>
      <w:r w:rsidR="00BA1945">
        <w:t xml:space="preserve"> pathogenic variants.</w:t>
      </w:r>
    </w:p>
    <w:p w14:paraId="5AF1B03E" w14:textId="3EDCF494" w:rsidR="00E64CE8" w:rsidRDefault="00E64CE8" w:rsidP="00E64CE8">
      <w:pPr>
        <w:tabs>
          <w:tab w:val="num" w:pos="720"/>
        </w:tabs>
      </w:pPr>
      <w:r>
        <w:t>MSAC noted that in considering the funding application for the codependent therapy olaparib</w:t>
      </w:r>
      <w:r w:rsidR="0070496C">
        <w:t>,</w:t>
      </w:r>
      <w:r w:rsidR="004979C1">
        <w:t xml:space="preserve"> </w:t>
      </w:r>
      <w:r>
        <w:t xml:space="preserve">the PBAC “did not recommend listing olaparib </w:t>
      </w:r>
      <w:r w:rsidRPr="003E2B59">
        <w:t>for the treatment of human epidermal growth factor 2 negative (</w:t>
      </w:r>
      <w:r w:rsidRPr="00E35ED9">
        <w:t>HER2</w:t>
      </w:r>
      <w:r w:rsidRPr="003E2B59">
        <w:t xml:space="preserve">-) high risk early breast cancer with a confirmed germline </w:t>
      </w:r>
      <w:r w:rsidRPr="003E2B59">
        <w:rPr>
          <w:i/>
          <w:iCs/>
        </w:rPr>
        <w:t>BRCA1</w:t>
      </w:r>
      <w:r>
        <w:rPr>
          <w:i/>
          <w:iCs/>
        </w:rPr>
        <w:t>/</w:t>
      </w:r>
      <w:r w:rsidRPr="003E2B59">
        <w:rPr>
          <w:i/>
          <w:iCs/>
        </w:rPr>
        <w:t>2</w:t>
      </w:r>
      <w:r w:rsidRPr="003E2B59">
        <w:t xml:space="preserve"> </w:t>
      </w:r>
      <w:r>
        <w:t>(g</w:t>
      </w:r>
      <w:r w:rsidR="00055F5B" w:rsidRPr="00055F5B">
        <w:rPr>
          <w:i/>
        </w:rPr>
        <w:t>BRCA1/2</w:t>
      </w:r>
      <w:r>
        <w:t>) variant</w:t>
      </w:r>
      <w:r w:rsidRPr="003E2B59">
        <w:t xml:space="preserve"> in patients who have previously been treated with neoadjuvant or adjuvant chemotherapy. The PBAC considered that olaparib was superior to placebo in terms of invasive disease</w:t>
      </w:r>
      <w:r w:rsidR="00CD5704">
        <w:t>-</w:t>
      </w:r>
      <w:r w:rsidRPr="003E2B59">
        <w:t xml:space="preserve">free survival, while noting that </w:t>
      </w:r>
      <w:r>
        <w:t>overall survival (</w:t>
      </w:r>
      <w:r w:rsidRPr="003E2B59">
        <w:t>OS</w:t>
      </w:r>
      <w:r>
        <w:t>)</w:t>
      </w:r>
      <w:r w:rsidRPr="003E2B59">
        <w:t xml:space="preserve"> data remained immature, and inferior to placebo in terms of safety. The PBAC considered that the incremental cost-effectiveness ratio </w:t>
      </w:r>
      <w:r>
        <w:t xml:space="preserve">(ICER) </w:t>
      </w:r>
      <w:r w:rsidRPr="003E2B59">
        <w:t>was uncertain and unacceptably high. The PBAC considered that revisions were required to the financial estimates with respect to patient estimates and duration of treatment</w:t>
      </w:r>
      <w:r>
        <w:t>”. MSAC noted that th</w:t>
      </w:r>
      <w:r w:rsidRPr="003E2B59">
        <w:t xml:space="preserve">e PBAC nominated </w:t>
      </w:r>
      <w:r>
        <w:t>an</w:t>
      </w:r>
      <w:r w:rsidRPr="003E2B59">
        <w:t xml:space="preserve"> </w:t>
      </w:r>
      <w:r>
        <w:t>e</w:t>
      </w:r>
      <w:r w:rsidRPr="003E2B59">
        <w:t xml:space="preserve">arly </w:t>
      </w:r>
      <w:r>
        <w:t>r</w:t>
      </w:r>
      <w:r w:rsidRPr="003E2B59">
        <w:t xml:space="preserve">e-entry resubmission pathway for this </w:t>
      </w:r>
      <w:r>
        <w:t>application</w:t>
      </w:r>
      <w:r w:rsidRPr="003E2B59">
        <w:t>.</w:t>
      </w:r>
    </w:p>
    <w:p w14:paraId="7D6715FE" w14:textId="7468BEC9" w:rsidR="0050457E" w:rsidRDefault="0050457E" w:rsidP="0050457E">
      <w:r>
        <w:t>MSAC noted the main clinical evidence</w:t>
      </w:r>
      <w:r w:rsidR="0093767E">
        <w:t xml:space="preserve"> for the codependent therapy</w:t>
      </w:r>
      <w:r>
        <w:t xml:space="preserve"> </w:t>
      </w:r>
      <w:r w:rsidR="003C0F67">
        <w:t xml:space="preserve">was </w:t>
      </w:r>
      <w:r>
        <w:t xml:space="preserve">derived from the OlympiA trial, which </w:t>
      </w:r>
      <w:r w:rsidRPr="00FC228C">
        <w:t>compar</w:t>
      </w:r>
      <w:r>
        <w:t>ed</w:t>
      </w:r>
      <w:r w:rsidRPr="00FC228C">
        <w:t xml:space="preserve"> olaparib to placebo</w:t>
      </w:r>
      <w:r>
        <w:t xml:space="preserve"> in</w:t>
      </w:r>
      <w:r w:rsidRPr="00FC228C">
        <w:t xml:space="preserve"> patients with g</w:t>
      </w:r>
      <w:r w:rsidRPr="00FC228C">
        <w:rPr>
          <w:i/>
          <w:iCs/>
        </w:rPr>
        <w:t>BRCA1/2</w:t>
      </w:r>
      <w:r w:rsidRPr="00FC228C">
        <w:t xml:space="preserve"> pathogenic</w:t>
      </w:r>
      <w:r w:rsidR="009003C3">
        <w:t>/likely pathogenic</w:t>
      </w:r>
      <w:r w:rsidRPr="00FC228C">
        <w:t xml:space="preserve"> variant-associated early breast cancers and high-risk clinico-pathological features</w:t>
      </w:r>
      <w:r>
        <w:t xml:space="preserve">. MSAC noted that olaparib was non-inferior compared to placebo in terms of comparative safety (adverse events [AEs]: </w:t>
      </w:r>
      <w:r w:rsidRPr="00666CDA">
        <w:t xml:space="preserve">91.8% vs 83.8%; </w:t>
      </w:r>
      <w:r>
        <w:t xml:space="preserve">serious AEs: </w:t>
      </w:r>
      <w:r w:rsidRPr="00666CDA">
        <w:t>8.7% vs 8.6%</w:t>
      </w:r>
      <w:r>
        <w:t xml:space="preserve">; death: </w:t>
      </w:r>
      <w:r w:rsidRPr="00666CDA">
        <w:t>0.1% vs 0.2%</w:t>
      </w:r>
      <w:r>
        <w:t xml:space="preserve">). </w:t>
      </w:r>
    </w:p>
    <w:p w14:paraId="76C3A0FD" w14:textId="77E5D2F5" w:rsidR="0050457E" w:rsidRDefault="0050457E" w:rsidP="0050457E">
      <w:r>
        <w:t>MSAC noted that the clinical outcomes measured were (hazard ratio [95% confidence interval]):</w:t>
      </w:r>
    </w:p>
    <w:p w14:paraId="4A040385" w14:textId="77777777" w:rsidR="0050457E" w:rsidRPr="004920BC" w:rsidRDefault="0050457E" w:rsidP="0050457E">
      <w:pPr>
        <w:pStyle w:val="Bullet"/>
        <w:numPr>
          <w:ilvl w:val="0"/>
          <w:numId w:val="43"/>
        </w:numPr>
        <w:spacing w:before="0"/>
        <w:ind w:left="720"/>
        <w:rPr>
          <w:rFonts w:ascii="Franklin Gothic Book" w:hAnsi="Franklin Gothic Book"/>
        </w:rPr>
      </w:pPr>
      <w:r w:rsidRPr="004920BC">
        <w:rPr>
          <w:rFonts w:ascii="Franklin Gothic Book" w:hAnsi="Franklin Gothic Book"/>
        </w:rPr>
        <w:t>invasive disease-free survival (IDFS; 0.63 [0.50, 0.78])</w:t>
      </w:r>
    </w:p>
    <w:p w14:paraId="1707D7AA" w14:textId="77777777" w:rsidR="0050457E" w:rsidRPr="004920BC" w:rsidRDefault="0050457E" w:rsidP="0050457E">
      <w:pPr>
        <w:pStyle w:val="Bullet"/>
        <w:numPr>
          <w:ilvl w:val="0"/>
          <w:numId w:val="43"/>
        </w:numPr>
        <w:spacing w:before="0"/>
        <w:ind w:left="720"/>
        <w:rPr>
          <w:rFonts w:ascii="Franklin Gothic Book" w:hAnsi="Franklin Gothic Book"/>
        </w:rPr>
      </w:pPr>
      <w:r w:rsidRPr="004920BC">
        <w:rPr>
          <w:rFonts w:ascii="Franklin Gothic Book" w:hAnsi="Franklin Gothic Book"/>
        </w:rPr>
        <w:t>distant disease-free survival (DDFS; 0.61 [0.48, 0.77])</w:t>
      </w:r>
    </w:p>
    <w:p w14:paraId="22E96023" w14:textId="77777777" w:rsidR="0050457E" w:rsidRPr="004920BC" w:rsidRDefault="0050457E" w:rsidP="0050457E">
      <w:pPr>
        <w:pStyle w:val="Bullet"/>
        <w:numPr>
          <w:ilvl w:val="0"/>
          <w:numId w:val="43"/>
        </w:numPr>
        <w:spacing w:before="0"/>
        <w:ind w:left="720"/>
        <w:rPr>
          <w:rFonts w:ascii="Franklin Gothic Book" w:hAnsi="Franklin Gothic Book"/>
        </w:rPr>
      </w:pPr>
      <w:r w:rsidRPr="004920BC">
        <w:rPr>
          <w:rFonts w:ascii="Franklin Gothic Book" w:hAnsi="Franklin Gothic Book"/>
        </w:rPr>
        <w:t>overall survival (OS; 0.68 [0.50, 0.91]).</w:t>
      </w:r>
    </w:p>
    <w:p w14:paraId="6E19EE36" w14:textId="5EDCF393" w:rsidR="0050457E" w:rsidRDefault="0050457E" w:rsidP="0050457E">
      <w:r>
        <w:t>MSAC concluded</w:t>
      </w:r>
      <w:r w:rsidR="00F75647">
        <w:t xml:space="preserve"> from the above clinical outcome measures</w:t>
      </w:r>
      <w:r>
        <w:t xml:space="preserve"> that </w:t>
      </w:r>
      <w:r w:rsidR="00497562">
        <w:t>olaparib was</w:t>
      </w:r>
      <w:r>
        <w:t xml:space="preserve"> superior </w:t>
      </w:r>
      <w:r w:rsidR="008A1C0B">
        <w:t xml:space="preserve">to placebo in terms of </w:t>
      </w:r>
      <w:r w:rsidR="004930F6">
        <w:t>comparative effectiveness</w:t>
      </w:r>
      <w:r>
        <w:t xml:space="preserve">. However, MSAC noted that </w:t>
      </w:r>
      <w:r w:rsidRPr="00666CDA">
        <w:t>TNBC patients were over</w:t>
      </w:r>
      <w:r>
        <w:t>-</w:t>
      </w:r>
      <w:r w:rsidRPr="00666CDA">
        <w:t xml:space="preserve">represented in the OlympiA trial in comparison to the Australian setting, </w:t>
      </w:r>
      <w:r>
        <w:t>which</w:t>
      </w:r>
      <w:r w:rsidRPr="00666CDA">
        <w:t xml:space="preserve"> </w:t>
      </w:r>
      <w:r w:rsidR="00BF6049">
        <w:t>could have</w:t>
      </w:r>
      <w:r w:rsidR="00BF6049" w:rsidRPr="00666CDA">
        <w:t xml:space="preserve"> </w:t>
      </w:r>
      <w:r w:rsidRPr="00666CDA">
        <w:t>overestimate</w:t>
      </w:r>
      <w:r w:rsidR="00BF6049">
        <w:t>d</w:t>
      </w:r>
      <w:r w:rsidRPr="00666CDA">
        <w:t xml:space="preserve"> the effectiveness of </w:t>
      </w:r>
      <w:r>
        <w:t>olaparib.</w:t>
      </w:r>
    </w:p>
    <w:p w14:paraId="3AB67575" w14:textId="10A27EF4" w:rsidR="0050457E" w:rsidRDefault="0050457E" w:rsidP="0050457E">
      <w:r>
        <w:t xml:space="preserve">MSAC noted ESC’s concern that the application’s </w:t>
      </w:r>
      <w:r w:rsidRPr="003E2B59">
        <w:t>economic model assumed a g</w:t>
      </w:r>
      <w:r w:rsidRPr="003E2B59">
        <w:rPr>
          <w:i/>
          <w:iCs/>
        </w:rPr>
        <w:t>BRCA</w:t>
      </w:r>
      <w:r w:rsidRPr="003E2B59">
        <w:t>m prevalence of 13.25% of the tested population (early triple</w:t>
      </w:r>
      <w:r>
        <w:t>-</w:t>
      </w:r>
      <w:r w:rsidRPr="003E2B59">
        <w:t xml:space="preserve">negative or </w:t>
      </w:r>
      <w:r>
        <w:t>HR-</w:t>
      </w:r>
      <w:r w:rsidRPr="003E2B59">
        <w:t xml:space="preserve">positive, </w:t>
      </w:r>
      <w:r w:rsidRPr="004920BC">
        <w:t>HER2</w:t>
      </w:r>
      <w:r w:rsidRPr="003E2B59">
        <w:t>-negative)</w:t>
      </w:r>
      <w:r>
        <w:t>,</w:t>
      </w:r>
      <w:r w:rsidRPr="003E2B59">
        <w:t xml:space="preserve"> which </w:t>
      </w:r>
      <w:r w:rsidR="00FA3634">
        <w:t>wa</w:t>
      </w:r>
      <w:r w:rsidR="00FA3634" w:rsidRPr="003E2B59">
        <w:t xml:space="preserve">s </w:t>
      </w:r>
      <w:r w:rsidRPr="003E2B59">
        <w:t>likely an overestimate.</w:t>
      </w:r>
      <w:r>
        <w:t xml:space="preserve"> MSAC noted the pre-MSAC response that “p</w:t>
      </w:r>
      <w:r w:rsidRPr="003E2B59">
        <w:t xml:space="preserve">revalence of 13.25% is appropriate given it was estimated by a simple mean calculation of three studies incorporating 1,102 patients. PBAC did not consider the rate of germline </w:t>
      </w:r>
      <w:r w:rsidRPr="003E2B59">
        <w:rPr>
          <w:i/>
          <w:iCs/>
        </w:rPr>
        <w:t>BRCA1</w:t>
      </w:r>
      <w:r w:rsidRPr="003E2B59">
        <w:t xml:space="preserve"> or </w:t>
      </w:r>
      <w:r w:rsidRPr="003E2B59">
        <w:rPr>
          <w:i/>
          <w:iCs/>
        </w:rPr>
        <w:t>BRCA2</w:t>
      </w:r>
      <w:r w:rsidRPr="003E2B59">
        <w:t xml:space="preserve"> pathogenic or likely pathogenic variant prevalence an issue</w:t>
      </w:r>
      <w:r>
        <w:t xml:space="preserve">”. However, MSAC disagreed with the </w:t>
      </w:r>
      <w:r w:rsidR="00A0386E">
        <w:t xml:space="preserve">approach </w:t>
      </w:r>
      <w:r>
        <w:t>used to attain 13.25%</w:t>
      </w:r>
      <w:r w:rsidR="008F4632">
        <w:t xml:space="preserve"> (based on a simple mean from three studies</w:t>
      </w:r>
      <w:r w:rsidRPr="00871CBB">
        <w:t xml:space="preserve">. </w:t>
      </w:r>
      <w:r w:rsidR="00C85B3A">
        <w:t xml:space="preserve">MSAC advised the PBAC may wish to consider whether 13.25% was a reasonable estimate of the prevalence of </w:t>
      </w:r>
      <w:r w:rsidR="00C85B3A" w:rsidRPr="004920BC">
        <w:rPr>
          <w:i/>
          <w:iCs/>
        </w:rPr>
        <w:t>BRCA1/2</w:t>
      </w:r>
      <w:r w:rsidR="00C85B3A">
        <w:t xml:space="preserve"> pathogenic variants in the </w:t>
      </w:r>
      <w:r w:rsidR="00C45A63" w:rsidRPr="003E2B59">
        <w:t>early triple</w:t>
      </w:r>
      <w:r w:rsidR="00C45A63">
        <w:t>-</w:t>
      </w:r>
      <w:r w:rsidR="00C45A63" w:rsidRPr="003E2B59">
        <w:t xml:space="preserve">negative or </w:t>
      </w:r>
      <w:r w:rsidR="00C45A63">
        <w:t>HR-</w:t>
      </w:r>
      <w:r w:rsidR="00C45A63" w:rsidRPr="003E2B59">
        <w:t xml:space="preserve">positive, </w:t>
      </w:r>
      <w:r w:rsidR="00C45A63" w:rsidRPr="004B6F9F">
        <w:t>HER2</w:t>
      </w:r>
      <w:r w:rsidR="00C45A63" w:rsidRPr="003E2B59">
        <w:t>-negative</w:t>
      </w:r>
      <w:r w:rsidR="00C85B3A">
        <w:t xml:space="preserve"> population.</w:t>
      </w:r>
      <w:r w:rsidR="00C85B3A" w:rsidRPr="00871CBB">
        <w:t xml:space="preserve"> </w:t>
      </w:r>
      <w:r w:rsidRPr="00871CBB">
        <w:t>MSAC</w:t>
      </w:r>
      <w:r>
        <w:t xml:space="preserve"> also noted that the </w:t>
      </w:r>
      <w:r w:rsidRPr="00A726D8">
        <w:t>economic model assumed</w:t>
      </w:r>
      <w:r>
        <w:t xml:space="preserve"> that</w:t>
      </w:r>
      <w:r w:rsidRPr="00A726D8">
        <w:t xml:space="preserve"> 74% of patients were currently undergoing g</w:t>
      </w:r>
      <w:r w:rsidRPr="00A726D8">
        <w:rPr>
          <w:i/>
          <w:iCs/>
        </w:rPr>
        <w:t>BRCA1/2</w:t>
      </w:r>
      <w:r w:rsidRPr="00A726D8">
        <w:t xml:space="preserve"> testing. The was likely an overestimate</w:t>
      </w:r>
      <w:r>
        <w:t>,</w:t>
      </w:r>
      <w:r w:rsidRPr="00A726D8">
        <w:t xml:space="preserve"> as g</w:t>
      </w:r>
      <w:r w:rsidRPr="00A726D8">
        <w:rPr>
          <w:i/>
          <w:iCs/>
        </w:rPr>
        <w:t>BRCA1/2</w:t>
      </w:r>
      <w:r w:rsidRPr="00A726D8">
        <w:t xml:space="preserve"> testing is recommended for a subset of people with breast cancer.</w:t>
      </w:r>
      <w:r>
        <w:t xml:space="preserve"> MSAC noted the pre-MSAC response that stated that</w:t>
      </w:r>
      <w:r w:rsidRPr="00A726D8">
        <w:t xml:space="preserve"> Australian </w:t>
      </w:r>
      <w:r>
        <w:t>IPSOS</w:t>
      </w:r>
      <w:r w:rsidRPr="00A726D8">
        <w:t xml:space="preserve"> data </w:t>
      </w:r>
      <w:r w:rsidR="00B3560B" w:rsidRPr="00A726D8">
        <w:t>report</w:t>
      </w:r>
      <w:r w:rsidR="00B3560B">
        <w:t xml:space="preserve">ed </w:t>
      </w:r>
      <w:r w:rsidRPr="00A726D8">
        <w:t>that 74% of TNBC patients currently receive</w:t>
      </w:r>
      <w:r w:rsidR="00B3560B">
        <w:t>d</w:t>
      </w:r>
      <w:r w:rsidRPr="00A726D8">
        <w:t xml:space="preserve"> BRCA testing. </w:t>
      </w:r>
      <w:r>
        <w:t xml:space="preserve">The pre-MSAC response indicated that the </w:t>
      </w:r>
      <w:r w:rsidRPr="00A726D8">
        <w:t xml:space="preserve">ICER </w:t>
      </w:r>
      <w:r w:rsidR="005523D0">
        <w:t>wa</w:t>
      </w:r>
      <w:r w:rsidRPr="00A726D8">
        <w:t xml:space="preserve">s only marginally sensitive to this assumption (increasing from </w:t>
      </w:r>
      <w:r w:rsidR="00E01ECB">
        <w:t>$45,000 to &lt;$55,000</w:t>
      </w:r>
      <w:r w:rsidRPr="00A726D8">
        <w:t xml:space="preserve">to </w:t>
      </w:r>
      <w:r w:rsidR="00E01ECB">
        <w:t xml:space="preserve">$45,000 to &lt;$55,000 </w:t>
      </w:r>
      <w:r w:rsidRPr="00A726D8">
        <w:t xml:space="preserve">if a weighted average of 33.5% </w:t>
      </w:r>
      <w:r w:rsidR="005523D0">
        <w:t>was</w:t>
      </w:r>
      <w:r w:rsidR="005523D0" w:rsidRPr="00A726D8">
        <w:t xml:space="preserve"> </w:t>
      </w:r>
      <w:r w:rsidRPr="00A726D8">
        <w:t>used).</w:t>
      </w:r>
      <w:r>
        <w:t xml:space="preserve"> MSAC noted that the IPSOS report could not be located to verify these numbers.</w:t>
      </w:r>
    </w:p>
    <w:p w14:paraId="04C4CA78" w14:textId="44ED21CB" w:rsidR="0050457E" w:rsidRDefault="0050457E" w:rsidP="0050457E">
      <w:r>
        <w:lastRenderedPageBreak/>
        <w:t xml:space="preserve">MSAC noted the financial impact of listing, which was from a societal and individual payer perspective. Including cascade testing, the total budget impact to the MBS was </w:t>
      </w:r>
      <w:r w:rsidR="00E01ECB" w:rsidRPr="00DA2899">
        <w:t>$0 to &lt; $10 million</w:t>
      </w:r>
      <w:r>
        <w:t xml:space="preserve"> in year 1 to </w:t>
      </w:r>
      <w:r w:rsidR="00E01ECB" w:rsidRPr="00DA2899">
        <w:t>$0 to &lt; $10 million</w:t>
      </w:r>
      <w:r w:rsidR="00E01ECB">
        <w:t xml:space="preserve"> </w:t>
      </w:r>
      <w:r>
        <w:t>in year 6. However, MSAC noted that this was based on a fee of $1,000</w:t>
      </w:r>
      <w:r w:rsidR="009D0BF8">
        <w:t xml:space="preserve"> and cascade testing for 1.8 biological relatives (per</w:t>
      </w:r>
      <w:r w:rsidR="00CF7354">
        <w:t xml:space="preserve"> </w:t>
      </w:r>
      <w:r w:rsidR="00CF7354">
        <w:rPr>
          <w:i/>
          <w:iCs/>
        </w:rPr>
        <w:t xml:space="preserve">BRCA1/2 </w:t>
      </w:r>
      <w:r w:rsidR="00CF7354">
        <w:t>positive patient</w:t>
      </w:r>
      <w:r w:rsidR="009D0BF8">
        <w:t>)</w:t>
      </w:r>
      <w:r>
        <w:t xml:space="preserve">. MSAC was concerned </w:t>
      </w:r>
      <w:r w:rsidR="00EE48BF">
        <w:t xml:space="preserve">that </w:t>
      </w:r>
      <w:r>
        <w:t xml:space="preserve">the numbers of high-risk patients </w:t>
      </w:r>
      <w:r w:rsidR="00072105">
        <w:t>were</w:t>
      </w:r>
      <w:r>
        <w:t xml:space="preserve"> underestimated, especially the </w:t>
      </w:r>
      <w:r w:rsidRPr="004920BC">
        <w:t>HER2</w:t>
      </w:r>
      <w:r>
        <w:t>-positive cases,</w:t>
      </w:r>
      <w:r w:rsidR="004960C3">
        <w:t xml:space="preserve"> which means that the projected financial impacts would also be underestimated after taking account of the </w:t>
      </w:r>
      <w:r w:rsidR="002B54A0">
        <w:t xml:space="preserve">additional </w:t>
      </w:r>
      <w:r>
        <w:t>cascade testing</w:t>
      </w:r>
      <w:r w:rsidR="002B54A0">
        <w:t xml:space="preserve"> associated with these additional patients</w:t>
      </w:r>
      <w:r>
        <w:t xml:space="preserve">. </w:t>
      </w:r>
    </w:p>
    <w:p w14:paraId="0C982395" w14:textId="5A5ADA76" w:rsidR="0050457E" w:rsidRDefault="0050457E" w:rsidP="0050457E">
      <w:r>
        <w:t xml:space="preserve">MSAC accepted the claims of non-inferior safety and superior effectiveness, but considered that the descriptor wording needed to accurately reflect the intended population, and the fee and population numbers required </w:t>
      </w:r>
      <w:r w:rsidR="00E46079">
        <w:t xml:space="preserve">further </w:t>
      </w:r>
      <w:r>
        <w:t xml:space="preserve">interrogation. MSAC also wanted more certainty about the financial impact. Considering these issues and that PBAC did not recommend listing olaparib for this indication, MSAC deferred its decision. </w:t>
      </w:r>
    </w:p>
    <w:p w14:paraId="68E426E2" w14:textId="3DAA3000" w:rsidR="00A93342" w:rsidRPr="00A93342" w:rsidRDefault="00A93342" w:rsidP="00D90C43">
      <w:pPr>
        <w:pStyle w:val="Heading2"/>
        <w:numPr>
          <w:ilvl w:val="0"/>
          <w:numId w:val="0"/>
        </w:numPr>
      </w:pPr>
      <w:r>
        <w:t>4.</w:t>
      </w:r>
      <w:r>
        <w:tab/>
        <w:t>Background</w:t>
      </w:r>
    </w:p>
    <w:p w14:paraId="537CF516" w14:textId="32C19E31" w:rsidR="00D2242D" w:rsidRDefault="00D2242D" w:rsidP="00D2242D">
      <w:bookmarkStart w:id="5" w:name="_Hlk69734494"/>
      <w:r w:rsidRPr="008F2F6A">
        <w:t xml:space="preserve">MSAC has previously considered and supported tumour </w:t>
      </w:r>
      <w:r w:rsidR="00624CC8" w:rsidRPr="00822467">
        <w:rPr>
          <w:i/>
          <w:iCs/>
        </w:rPr>
        <w:t>BRCA</w:t>
      </w:r>
      <w:r w:rsidRPr="00822467">
        <w:rPr>
          <w:i/>
          <w:iCs/>
        </w:rPr>
        <w:t>1/2</w:t>
      </w:r>
      <w:r w:rsidRPr="008F2F6A">
        <w:t xml:space="preserve"> testing (and germline testing where tumour testing is not feasible) to determine eligibility for olaparib for the treatment of ovarian cancer (Applications </w:t>
      </w:r>
      <w:r w:rsidRPr="000C3E96">
        <w:t>1380</w:t>
      </w:r>
      <w:r w:rsidRPr="008F2F6A">
        <w:t xml:space="preserve"> and 1554)</w:t>
      </w:r>
      <w:r>
        <w:t>.</w:t>
      </w:r>
    </w:p>
    <w:p w14:paraId="7BD32F85" w14:textId="33CA55BF" w:rsidR="00D2242D" w:rsidRDefault="00D2242D" w:rsidP="00D2242D">
      <w:pPr>
        <w:pStyle w:val="Instructionaltext"/>
        <w:rPr>
          <w:color w:val="auto"/>
        </w:rPr>
      </w:pPr>
      <w:r w:rsidRPr="00FD6452">
        <w:rPr>
          <w:color w:val="auto"/>
        </w:rPr>
        <w:t xml:space="preserve">MSAC initially supported MBS funding of germline </w:t>
      </w:r>
      <w:r w:rsidR="00624CC8" w:rsidRPr="00624CC8">
        <w:rPr>
          <w:i/>
          <w:iCs/>
          <w:color w:val="auto"/>
        </w:rPr>
        <w:t>BRCA</w:t>
      </w:r>
      <w:r w:rsidRPr="00FD6452">
        <w:rPr>
          <w:color w:val="auto"/>
        </w:rPr>
        <w:t xml:space="preserve"> testing to determine eligibility for olaparib (Application </w:t>
      </w:r>
      <w:hyperlink r:id="rId12" w:history="1">
        <w:r w:rsidRPr="000C3E96">
          <w:rPr>
            <w:rStyle w:val="Hyperlink"/>
          </w:rPr>
          <w:t>1380 Public Summary Document [PSD]</w:t>
        </w:r>
      </w:hyperlink>
      <w:r>
        <w:rPr>
          <w:color w:val="auto"/>
        </w:rPr>
        <w:t>)</w:t>
      </w:r>
      <w:r w:rsidRPr="00FD6452">
        <w:rPr>
          <w:color w:val="auto"/>
        </w:rPr>
        <w:t xml:space="preserve">. MSAC recognised that germline </w:t>
      </w:r>
      <w:r w:rsidR="00624CC8" w:rsidRPr="00624CC8">
        <w:rPr>
          <w:i/>
          <w:iCs/>
          <w:color w:val="auto"/>
        </w:rPr>
        <w:t>BRCA</w:t>
      </w:r>
      <w:r w:rsidRPr="00FD6452">
        <w:rPr>
          <w:color w:val="auto"/>
        </w:rPr>
        <w:t xml:space="preserve"> testing would not identify all women who could benefit from olaparib therapy. However, the lack of evidence on the performance of somatic </w:t>
      </w:r>
      <w:r w:rsidR="00624CC8" w:rsidRPr="00624CC8">
        <w:rPr>
          <w:i/>
          <w:iCs/>
          <w:color w:val="auto"/>
        </w:rPr>
        <w:t>BRCA</w:t>
      </w:r>
      <w:r w:rsidRPr="00FD6452">
        <w:rPr>
          <w:color w:val="auto"/>
        </w:rPr>
        <w:t xml:space="preserve"> testing, the incompleteness of the Study 19 </w:t>
      </w:r>
      <w:r w:rsidR="00624CC8" w:rsidRPr="00624CC8">
        <w:rPr>
          <w:i/>
          <w:iCs/>
          <w:color w:val="auto"/>
        </w:rPr>
        <w:t>BRCA</w:t>
      </w:r>
      <w:r w:rsidRPr="00FD6452">
        <w:rPr>
          <w:color w:val="auto"/>
        </w:rPr>
        <w:t xml:space="preserve"> testing data (the results of both germline and somatic </w:t>
      </w:r>
      <w:r w:rsidR="00624CC8" w:rsidRPr="00624CC8">
        <w:rPr>
          <w:i/>
          <w:iCs/>
          <w:color w:val="auto"/>
        </w:rPr>
        <w:t>BRCA</w:t>
      </w:r>
      <w:r w:rsidRPr="00FD6452">
        <w:rPr>
          <w:color w:val="auto"/>
        </w:rPr>
        <w:t xml:space="preserve"> testing were known for only 157/265 (59%) of the study participants), and the inadequate evidence for improved olaparib outcomes for women with an identified somatic </w:t>
      </w:r>
      <w:r w:rsidR="00624CC8" w:rsidRPr="00624CC8">
        <w:rPr>
          <w:i/>
          <w:iCs/>
          <w:color w:val="auto"/>
        </w:rPr>
        <w:t>BRCA</w:t>
      </w:r>
      <w:r w:rsidRPr="00FD6452">
        <w:rPr>
          <w:color w:val="auto"/>
        </w:rPr>
        <w:t xml:space="preserve"> variants only, argued against support for funding somatic </w:t>
      </w:r>
      <w:r w:rsidR="00624CC8" w:rsidRPr="00624CC8">
        <w:rPr>
          <w:i/>
          <w:iCs/>
          <w:color w:val="auto"/>
        </w:rPr>
        <w:t>BRCA</w:t>
      </w:r>
      <w:r w:rsidRPr="00FD6452">
        <w:rPr>
          <w:color w:val="auto"/>
        </w:rPr>
        <w:t xml:space="preserve"> testing at th</w:t>
      </w:r>
      <w:r>
        <w:rPr>
          <w:color w:val="auto"/>
        </w:rPr>
        <w:t>at</w:t>
      </w:r>
      <w:r w:rsidRPr="00FD6452">
        <w:rPr>
          <w:color w:val="auto"/>
        </w:rPr>
        <w:t xml:space="preserve"> stage.</w:t>
      </w:r>
      <w:r>
        <w:rPr>
          <w:color w:val="auto"/>
        </w:rPr>
        <w:t xml:space="preserve"> </w:t>
      </w:r>
      <w:r w:rsidRPr="00FD6452">
        <w:rPr>
          <w:color w:val="auto"/>
        </w:rPr>
        <w:t xml:space="preserve">Subsequently, MSAC supported funding of somatic </w:t>
      </w:r>
      <w:r w:rsidR="00624CC8" w:rsidRPr="00624CC8">
        <w:rPr>
          <w:i/>
          <w:iCs/>
          <w:color w:val="auto"/>
        </w:rPr>
        <w:t>BRCA</w:t>
      </w:r>
      <w:r w:rsidRPr="00FD6452">
        <w:rPr>
          <w:color w:val="auto"/>
        </w:rPr>
        <w:t xml:space="preserve"> testing (</w:t>
      </w:r>
      <w:hyperlink r:id="rId13" w:history="1">
        <w:r w:rsidRPr="000C3E96">
          <w:rPr>
            <w:rStyle w:val="Hyperlink"/>
          </w:rPr>
          <w:t>Application 1554 PSD</w:t>
        </w:r>
      </w:hyperlink>
      <w:r w:rsidRPr="00FD6452">
        <w:rPr>
          <w:color w:val="auto"/>
        </w:rPr>
        <w:t>)</w:t>
      </w:r>
      <w:r>
        <w:rPr>
          <w:color w:val="auto"/>
        </w:rPr>
        <w:t xml:space="preserve"> as </w:t>
      </w:r>
      <w:r w:rsidRPr="0042550C">
        <w:rPr>
          <w:color w:val="auto"/>
        </w:rPr>
        <w:t xml:space="preserve">MSAC considered that it was biologically plausible that women with a somatic or germline </w:t>
      </w:r>
      <w:r w:rsidR="00624CC8" w:rsidRPr="00624CC8">
        <w:rPr>
          <w:i/>
          <w:iCs/>
          <w:color w:val="auto"/>
        </w:rPr>
        <w:t>BRCA</w:t>
      </w:r>
      <w:r w:rsidR="00255B7D">
        <w:rPr>
          <w:i/>
          <w:iCs/>
          <w:color w:val="auto"/>
        </w:rPr>
        <w:t xml:space="preserve"> </w:t>
      </w:r>
      <w:r w:rsidR="00255B7D" w:rsidRPr="00255B7D">
        <w:rPr>
          <w:color w:val="auto"/>
        </w:rPr>
        <w:t>(g</w:t>
      </w:r>
      <w:r w:rsidR="00255B7D">
        <w:rPr>
          <w:i/>
          <w:iCs/>
          <w:color w:val="auto"/>
        </w:rPr>
        <w:t>BRCA</w:t>
      </w:r>
      <w:r w:rsidR="00255B7D" w:rsidRPr="00255B7D">
        <w:rPr>
          <w:color w:val="auto"/>
        </w:rPr>
        <w:t>)</w:t>
      </w:r>
      <w:r w:rsidRPr="0042550C">
        <w:rPr>
          <w:color w:val="auto"/>
        </w:rPr>
        <w:t xml:space="preserve"> pathogenic variant would each have an improved response to olaparib over women without any </w:t>
      </w:r>
      <w:r w:rsidR="00624CC8" w:rsidRPr="00624CC8">
        <w:rPr>
          <w:i/>
          <w:iCs/>
          <w:color w:val="auto"/>
        </w:rPr>
        <w:t>BRCA</w:t>
      </w:r>
      <w:r w:rsidRPr="0042550C">
        <w:rPr>
          <w:color w:val="auto"/>
        </w:rPr>
        <w:t xml:space="preserve"> pathogenic variant, that is, clinical utility was expected regardless of where the </w:t>
      </w:r>
      <w:r w:rsidR="00624CC8" w:rsidRPr="00624CC8">
        <w:rPr>
          <w:i/>
          <w:iCs/>
          <w:color w:val="auto"/>
        </w:rPr>
        <w:t>BRCA</w:t>
      </w:r>
      <w:r w:rsidRPr="0042550C">
        <w:rPr>
          <w:color w:val="auto"/>
        </w:rPr>
        <w:t xml:space="preserve"> pathogenic variant originated.</w:t>
      </w:r>
      <w:r>
        <w:rPr>
          <w:color w:val="auto"/>
        </w:rPr>
        <w:t xml:space="preserve">  </w:t>
      </w:r>
    </w:p>
    <w:p w14:paraId="7F924A0E" w14:textId="2D8BE053" w:rsidR="00690F6B" w:rsidRPr="00310C3F" w:rsidRDefault="00354E64" w:rsidP="00810FF1">
      <w:r>
        <w:t>In March 2022, t</w:t>
      </w:r>
      <w:r w:rsidR="005D651D" w:rsidRPr="008F2F6A">
        <w:t xml:space="preserve">he Department </w:t>
      </w:r>
      <w:r w:rsidR="00BA0F63">
        <w:t xml:space="preserve">of Health and Aged care </w:t>
      </w:r>
      <w:r w:rsidR="005D651D" w:rsidRPr="008F2F6A">
        <w:t>received an application</w:t>
      </w:r>
      <w:r w:rsidR="009E1606">
        <w:t xml:space="preserve"> (</w:t>
      </w:r>
      <w:r w:rsidR="009E1606" w:rsidRPr="009D3EC2">
        <w:t>MSAC 1716</w:t>
      </w:r>
      <w:r w:rsidR="009E1606">
        <w:t>)</w:t>
      </w:r>
      <w:r w:rsidR="005D651D" w:rsidRPr="008F2F6A">
        <w:t xml:space="preserve"> seeking MBS subsidy to test breast tumour tissue (or germline testing if tumour testing is not feasible) to detect pathogenic variants of the </w:t>
      </w:r>
      <w:r w:rsidR="00624CC8" w:rsidRPr="00624CC8">
        <w:rPr>
          <w:i/>
          <w:iCs/>
        </w:rPr>
        <w:t>BRCA</w:t>
      </w:r>
      <w:r w:rsidR="005D651D" w:rsidRPr="008F2F6A">
        <w:rPr>
          <w:i/>
          <w:iCs/>
        </w:rPr>
        <w:t>1</w:t>
      </w:r>
      <w:r w:rsidR="005D651D" w:rsidRPr="008F2F6A">
        <w:t xml:space="preserve"> or </w:t>
      </w:r>
      <w:r w:rsidR="00624CC8" w:rsidRPr="00624CC8">
        <w:rPr>
          <w:i/>
          <w:iCs/>
        </w:rPr>
        <w:t>BRCA</w:t>
      </w:r>
      <w:r w:rsidR="005D651D" w:rsidRPr="008F2F6A">
        <w:rPr>
          <w:i/>
          <w:iCs/>
        </w:rPr>
        <w:t>2</w:t>
      </w:r>
      <w:r w:rsidR="005D651D" w:rsidRPr="008F2F6A">
        <w:t xml:space="preserve"> genes to determine eligibility for olaparib for the treatment of HER2-negative high risk early breast cancer.</w:t>
      </w:r>
      <w:r w:rsidR="008F2F6A" w:rsidRPr="008F2F6A">
        <w:t xml:space="preserve"> </w:t>
      </w:r>
      <w:r w:rsidR="00BA0F63" w:rsidRPr="00BA0F63">
        <w:t>The MSAC Executive’s advice was sought regarding the appropriate assessment pathway and type of codependent submission for MSAC Application 1716</w:t>
      </w:r>
      <w:r w:rsidR="00BA0F63">
        <w:t>.</w:t>
      </w:r>
      <w:r w:rsidR="00721ED5">
        <w:t xml:space="preserve"> </w:t>
      </w:r>
      <w:r w:rsidR="00721ED5" w:rsidRPr="00FE6CB5">
        <w:t xml:space="preserve">The MSAC executive determined that it </w:t>
      </w:r>
      <w:r w:rsidR="00721ED5">
        <w:t>was</w:t>
      </w:r>
      <w:r w:rsidR="00721ED5" w:rsidRPr="00FE6CB5">
        <w:t xml:space="preserve"> appropriate for the MSAC submission to proceed via a streamlined codependent pathway. This allow</w:t>
      </w:r>
      <w:r w:rsidR="00721ED5">
        <w:t>ed</w:t>
      </w:r>
      <w:r w:rsidR="00721ED5" w:rsidRPr="00FE6CB5">
        <w:t xml:space="preserve"> the submission to by-pass the MSAC PICO advisory sub-committee (PASC), and the MSAC Evaluation sub-committee (ESC) and progress directly to MSAC for consideration.</w:t>
      </w:r>
      <w:r w:rsidR="00BA0F63">
        <w:t xml:space="preserve"> </w:t>
      </w:r>
      <w:r w:rsidR="009D3EC2" w:rsidRPr="009D3EC2">
        <w:t>The initial MSAC Application 1716</w:t>
      </w:r>
      <w:r w:rsidR="009D3EC2">
        <w:t xml:space="preserve"> </w:t>
      </w:r>
      <w:r w:rsidR="009D3EC2" w:rsidRPr="009D3EC2">
        <w:t xml:space="preserve">requested a tumour test and germline test to identify </w:t>
      </w:r>
      <w:r w:rsidR="00624CC8" w:rsidRPr="00624CC8">
        <w:rPr>
          <w:i/>
          <w:iCs/>
        </w:rPr>
        <w:t>BRCA</w:t>
      </w:r>
      <w:r w:rsidR="009D3EC2" w:rsidRPr="009D3EC2">
        <w:t xml:space="preserve"> gene </w:t>
      </w:r>
      <w:r w:rsidR="000700F3">
        <w:t>pathogenic variant</w:t>
      </w:r>
      <w:r w:rsidR="009D3EC2" w:rsidRPr="009D3EC2">
        <w:t xml:space="preserve">s, however, based on advice provided by the Department (pre-PBAC meeting and MSAC Executive) and clinicians, </w:t>
      </w:r>
      <w:r w:rsidR="00C76213">
        <w:t>the applicant</w:t>
      </w:r>
      <w:r w:rsidR="009D3EC2" w:rsidRPr="009D3EC2">
        <w:t xml:space="preserve"> modified the proposal to include MBS-listing of the g</w:t>
      </w:r>
      <w:r w:rsidR="00624CC8" w:rsidRPr="00624CC8">
        <w:rPr>
          <w:i/>
          <w:iCs/>
        </w:rPr>
        <w:t>BRCA</w:t>
      </w:r>
      <w:r w:rsidR="009D3EC2" w:rsidRPr="009D3EC2">
        <w:t xml:space="preserve"> </w:t>
      </w:r>
      <w:r w:rsidR="000700F3">
        <w:t>pathogenic variant</w:t>
      </w:r>
      <w:r w:rsidR="009D3EC2" w:rsidRPr="009D3EC2">
        <w:t xml:space="preserve"> test only, in line with the inclusion criteria of the OlympiA </w:t>
      </w:r>
      <w:r w:rsidR="00FD6452">
        <w:t>(the clinical utility standard</w:t>
      </w:r>
      <w:r w:rsidR="00DD0419">
        <w:t>)</w:t>
      </w:r>
      <w:r w:rsidR="00FD6452">
        <w:t xml:space="preserve"> trial.</w:t>
      </w:r>
    </w:p>
    <w:p w14:paraId="6F52500A" w14:textId="65570940" w:rsidR="00772829" w:rsidRPr="00CE28E3" w:rsidRDefault="00A93342" w:rsidP="002A18BE">
      <w:pPr>
        <w:pStyle w:val="Heading2"/>
        <w:numPr>
          <w:ilvl w:val="0"/>
          <w:numId w:val="0"/>
        </w:numPr>
      </w:pPr>
      <w:bookmarkStart w:id="6" w:name="_Toc69491417"/>
      <w:bookmarkEnd w:id="5"/>
      <w:r>
        <w:lastRenderedPageBreak/>
        <w:t>5</w:t>
      </w:r>
      <w:r w:rsidR="00C36633">
        <w:t>.</w:t>
      </w:r>
      <w:r w:rsidR="00C36633">
        <w:tab/>
      </w:r>
      <w:r w:rsidR="00772829" w:rsidRPr="00CE28E3">
        <w:t>Prerequisites to implementation of any funding advice</w:t>
      </w:r>
      <w:bookmarkEnd w:id="6"/>
    </w:p>
    <w:p w14:paraId="6B6796AE" w14:textId="44D11092" w:rsidR="00310C3F" w:rsidRPr="0082088E" w:rsidRDefault="0018643F" w:rsidP="00E76AE0">
      <w:pPr>
        <w:pStyle w:val="Instructionaltext"/>
        <w:rPr>
          <w:color w:val="auto"/>
        </w:rPr>
      </w:pPr>
      <w:r>
        <w:rPr>
          <w:color w:val="auto"/>
        </w:rPr>
        <w:t xml:space="preserve">The </w:t>
      </w:r>
      <w:r w:rsidR="000F7CF3">
        <w:rPr>
          <w:color w:val="auto"/>
        </w:rPr>
        <w:t>submission</w:t>
      </w:r>
      <w:r>
        <w:rPr>
          <w:color w:val="auto"/>
        </w:rPr>
        <w:t xml:space="preserve"> stated that g</w:t>
      </w:r>
      <w:r w:rsidR="00F1333A" w:rsidRPr="0082088E">
        <w:rPr>
          <w:color w:val="auto"/>
        </w:rPr>
        <w:t xml:space="preserve">ermline </w:t>
      </w:r>
      <w:r w:rsidR="00624CC8" w:rsidRPr="00624CC8">
        <w:rPr>
          <w:i/>
          <w:iCs/>
          <w:color w:val="auto"/>
        </w:rPr>
        <w:t>BRCA</w:t>
      </w:r>
      <w:r w:rsidR="00553EF1" w:rsidRPr="00553EF1">
        <w:rPr>
          <w:i/>
          <w:iCs/>
          <w:color w:val="auto"/>
        </w:rPr>
        <w:t>1/2</w:t>
      </w:r>
      <w:r w:rsidR="00553EF1">
        <w:rPr>
          <w:color w:val="auto"/>
        </w:rPr>
        <w:t xml:space="preserve"> </w:t>
      </w:r>
      <w:r w:rsidR="000700F3">
        <w:rPr>
          <w:color w:val="auto"/>
        </w:rPr>
        <w:t>pathogenic variant</w:t>
      </w:r>
      <w:r w:rsidR="00F1333A" w:rsidRPr="0082088E">
        <w:rPr>
          <w:color w:val="auto"/>
        </w:rPr>
        <w:t xml:space="preserve"> testing services are widely available in Australia and the current reference standard for </w:t>
      </w:r>
      <w:r w:rsidR="00624CC8" w:rsidRPr="00624CC8">
        <w:rPr>
          <w:i/>
          <w:iCs/>
          <w:color w:val="auto"/>
        </w:rPr>
        <w:t>BRCA</w:t>
      </w:r>
      <w:r w:rsidR="00D2242D" w:rsidRPr="0082088E">
        <w:rPr>
          <w:color w:val="auto"/>
        </w:rPr>
        <w:t xml:space="preserve"> </w:t>
      </w:r>
      <w:r w:rsidR="000700F3">
        <w:rPr>
          <w:color w:val="auto"/>
        </w:rPr>
        <w:t>pathogenic variant</w:t>
      </w:r>
      <w:r w:rsidR="00F1333A" w:rsidRPr="0082088E">
        <w:rPr>
          <w:color w:val="auto"/>
        </w:rPr>
        <w:t xml:space="preserve"> testing is Next Generation Sequencing (NGS). </w:t>
      </w:r>
      <w:r w:rsidR="007256A1" w:rsidRPr="0082088E">
        <w:rPr>
          <w:color w:val="auto"/>
        </w:rPr>
        <w:t xml:space="preserve">The National Pathology Accreditation Advisory Council (NPAAC) </w:t>
      </w:r>
      <w:r w:rsidR="004D0296" w:rsidRPr="0082088E">
        <w:rPr>
          <w:color w:val="auto"/>
        </w:rPr>
        <w:t>advised</w:t>
      </w:r>
      <w:r w:rsidR="007256A1" w:rsidRPr="0082088E">
        <w:rPr>
          <w:color w:val="auto"/>
        </w:rPr>
        <w:t xml:space="preserve"> that </w:t>
      </w:r>
      <w:r w:rsidR="00624CC8" w:rsidRPr="00C74B33">
        <w:rPr>
          <w:i/>
          <w:iCs/>
          <w:color w:val="auto"/>
        </w:rPr>
        <w:t>BRCA</w:t>
      </w:r>
      <w:r w:rsidR="007256A1" w:rsidRPr="00C74B33">
        <w:rPr>
          <w:i/>
          <w:iCs/>
          <w:color w:val="auto"/>
        </w:rPr>
        <w:t>1/2</w:t>
      </w:r>
      <w:r w:rsidR="007256A1" w:rsidRPr="0082088E">
        <w:rPr>
          <w:color w:val="auto"/>
        </w:rPr>
        <w:t xml:space="preserve"> testing is well established in a number of laboratories in Australia and that an external quality assurance is available</w:t>
      </w:r>
      <w:r w:rsidR="0015316E" w:rsidRPr="0082088E">
        <w:rPr>
          <w:color w:val="auto"/>
        </w:rPr>
        <w:t xml:space="preserve"> through </w:t>
      </w:r>
      <w:r w:rsidR="007256A1" w:rsidRPr="0082088E">
        <w:rPr>
          <w:color w:val="auto"/>
        </w:rPr>
        <w:t>the European Molecular Genetics Quality Network (</w:t>
      </w:r>
      <w:r w:rsidR="0015316E" w:rsidRPr="0082088E">
        <w:rPr>
          <w:color w:val="auto"/>
        </w:rPr>
        <w:t>EMQN</w:t>
      </w:r>
      <w:r w:rsidR="007256A1" w:rsidRPr="0082088E">
        <w:rPr>
          <w:color w:val="auto"/>
        </w:rPr>
        <w:t>)</w:t>
      </w:r>
      <w:r w:rsidR="007F402C" w:rsidRPr="0082088E">
        <w:rPr>
          <w:color w:val="auto"/>
        </w:rPr>
        <w:t>.</w:t>
      </w:r>
    </w:p>
    <w:p w14:paraId="27AE2D9E" w14:textId="17056F3D" w:rsidR="00D455EE" w:rsidRPr="00FE6CB5" w:rsidRDefault="00792514" w:rsidP="00D455EE">
      <w:r w:rsidRPr="006A7F17">
        <w:rPr>
          <w:sz w:val="23"/>
          <w:szCs w:val="23"/>
        </w:rPr>
        <w:t xml:space="preserve">At submission lodgement, </w:t>
      </w:r>
      <w:r w:rsidR="002C1F19">
        <w:rPr>
          <w:sz w:val="23"/>
          <w:szCs w:val="23"/>
        </w:rPr>
        <w:t xml:space="preserve">the applicant stated that </w:t>
      </w:r>
      <w:r w:rsidR="0043624B">
        <w:t>o</w:t>
      </w:r>
      <w:r w:rsidR="005E7722" w:rsidRPr="006A7F17">
        <w:t>laparib</w:t>
      </w:r>
      <w:r w:rsidRPr="006A7F17">
        <w:rPr>
          <w:sz w:val="23"/>
          <w:szCs w:val="23"/>
        </w:rPr>
        <w:t xml:space="preserve"> was under review by the TGA </w:t>
      </w:r>
      <w:r w:rsidR="00D455EE" w:rsidRPr="006A7F17">
        <w:t xml:space="preserve">for </w:t>
      </w:r>
      <w:r w:rsidR="00624CC8" w:rsidRPr="006A7F17">
        <w:rPr>
          <w:i/>
          <w:iCs/>
        </w:rPr>
        <w:t>BRCA</w:t>
      </w:r>
      <w:r w:rsidR="00BB437D" w:rsidRPr="006A7F17">
        <w:rPr>
          <w:i/>
        </w:rPr>
        <w:t xml:space="preserve"> </w:t>
      </w:r>
      <w:r w:rsidR="008F1BEB">
        <w:rPr>
          <w:iCs/>
        </w:rPr>
        <w:t>pathogenic variant</w:t>
      </w:r>
      <w:r w:rsidR="00D455EE" w:rsidRPr="006A7F17">
        <w:t xml:space="preserve">, HER2 negative, </w:t>
      </w:r>
      <w:r w:rsidR="00BB437D" w:rsidRPr="006A7F17">
        <w:t>early breast cancer</w:t>
      </w:r>
      <w:r w:rsidR="00D455EE" w:rsidRPr="006A7F17">
        <w:t>. A TGA submission made for this indication proceeded past the first round of assessment. A</w:t>
      </w:r>
      <w:r w:rsidR="002736ED">
        <w:t xml:space="preserve"> TGA </w:t>
      </w:r>
      <w:r w:rsidR="00D455EE" w:rsidRPr="006A7F17">
        <w:t xml:space="preserve">decision </w:t>
      </w:r>
      <w:r w:rsidR="002736ED">
        <w:t xml:space="preserve">was </w:t>
      </w:r>
      <w:r w:rsidR="00D455EE" w:rsidRPr="006A7F17">
        <w:t>expected in April 2023.</w:t>
      </w:r>
    </w:p>
    <w:p w14:paraId="4CE8C52D" w14:textId="2C7AFF6C" w:rsidR="00354E64" w:rsidRDefault="00A93342" w:rsidP="00AF55E2">
      <w:pPr>
        <w:pStyle w:val="Heading2"/>
        <w:numPr>
          <w:ilvl w:val="0"/>
          <w:numId w:val="0"/>
        </w:numPr>
        <w:rPr>
          <w:b/>
          <w:bCs/>
        </w:rPr>
      </w:pPr>
      <w:bookmarkStart w:id="7" w:name="_Toc69491418"/>
      <w:r>
        <w:t>6</w:t>
      </w:r>
      <w:r w:rsidR="00C36633">
        <w:t>.</w:t>
      </w:r>
      <w:r w:rsidR="00C36633">
        <w:tab/>
      </w:r>
      <w:r w:rsidR="00772829" w:rsidRPr="00CE28E3">
        <w:t>Proposal for public funding</w:t>
      </w:r>
      <w:bookmarkStart w:id="8" w:name="_Ref117954839"/>
      <w:bookmarkEnd w:id="7"/>
    </w:p>
    <w:p w14:paraId="32F09F89" w14:textId="781D5886" w:rsidR="00987A9C" w:rsidRPr="009175B3" w:rsidRDefault="00987A9C" w:rsidP="009175B3">
      <w:pPr>
        <w:keepNext/>
        <w:keepLines/>
        <w:rPr>
          <w:rFonts w:ascii="Arial Narrow" w:hAnsi="Arial Narrow"/>
          <w:b/>
          <w:bCs/>
          <w:sz w:val="20"/>
          <w:szCs w:val="20"/>
        </w:rPr>
      </w:pPr>
      <w:bookmarkStart w:id="9" w:name="_Ref129012216"/>
      <w:r w:rsidRPr="009175B3">
        <w:rPr>
          <w:rFonts w:ascii="Arial Narrow" w:hAnsi="Arial Narrow"/>
          <w:b/>
          <w:bCs/>
          <w:sz w:val="20"/>
          <w:szCs w:val="20"/>
        </w:rPr>
        <w:t xml:space="preserve">Table </w:t>
      </w:r>
      <w:r w:rsidRPr="009175B3">
        <w:rPr>
          <w:rFonts w:ascii="Arial Narrow" w:hAnsi="Arial Narrow"/>
          <w:sz w:val="20"/>
          <w:szCs w:val="20"/>
        </w:rPr>
        <w:fldChar w:fldCharType="begin"/>
      </w:r>
      <w:r w:rsidRPr="009175B3">
        <w:rPr>
          <w:rFonts w:ascii="Arial Narrow" w:hAnsi="Arial Narrow"/>
          <w:b/>
          <w:bCs/>
          <w:sz w:val="20"/>
          <w:szCs w:val="20"/>
        </w:rPr>
        <w:instrText xml:space="preserve"> SEQ Table \* ARABIC </w:instrText>
      </w:r>
      <w:r w:rsidRPr="009175B3">
        <w:rPr>
          <w:rFonts w:ascii="Arial Narrow" w:hAnsi="Arial Narrow"/>
          <w:sz w:val="20"/>
          <w:szCs w:val="20"/>
        </w:rPr>
        <w:fldChar w:fldCharType="separate"/>
      </w:r>
      <w:r w:rsidR="001B3C82">
        <w:rPr>
          <w:rFonts w:ascii="Arial Narrow" w:hAnsi="Arial Narrow"/>
          <w:b/>
          <w:bCs/>
          <w:noProof/>
          <w:sz w:val="20"/>
          <w:szCs w:val="20"/>
        </w:rPr>
        <w:t>2</w:t>
      </w:r>
      <w:r w:rsidRPr="009175B3">
        <w:rPr>
          <w:rFonts w:ascii="Arial Narrow" w:hAnsi="Arial Narrow"/>
          <w:sz w:val="20"/>
          <w:szCs w:val="20"/>
        </w:rPr>
        <w:fldChar w:fldCharType="end"/>
      </w:r>
      <w:bookmarkEnd w:id="8"/>
      <w:bookmarkEnd w:id="9"/>
      <w:r w:rsidRPr="009175B3">
        <w:rPr>
          <w:rFonts w:ascii="Arial Narrow" w:hAnsi="Arial Narrow"/>
          <w:b/>
          <w:bCs/>
          <w:sz w:val="20"/>
          <w:szCs w:val="20"/>
        </w:rPr>
        <w:t xml:space="preserve"> </w:t>
      </w:r>
      <w:r w:rsidRPr="009175B3">
        <w:rPr>
          <w:rFonts w:ascii="Arial Narrow" w:hAnsi="Arial Narrow"/>
          <w:b/>
          <w:bCs/>
          <w:sz w:val="20"/>
          <w:szCs w:val="20"/>
        </w:rPr>
        <w:tab/>
        <w:t>Proposed MBS item descriptor</w:t>
      </w:r>
    </w:p>
    <w:tbl>
      <w:tblPr>
        <w:tblStyle w:val="TableGrid"/>
        <w:tblW w:w="0" w:type="auto"/>
        <w:tblLook w:val="04A0" w:firstRow="1" w:lastRow="0" w:firstColumn="1" w:lastColumn="0" w:noHBand="0" w:noVBand="1"/>
      </w:tblPr>
      <w:tblGrid>
        <w:gridCol w:w="4505"/>
        <w:gridCol w:w="4511"/>
      </w:tblGrid>
      <w:tr w:rsidR="00987A9C" w:rsidRPr="009175B3" w14:paraId="3102BA72" w14:textId="77777777" w:rsidTr="00721ED5">
        <w:tc>
          <w:tcPr>
            <w:tcW w:w="9016" w:type="dxa"/>
            <w:gridSpan w:val="2"/>
            <w:tcBorders>
              <w:top w:val="single" w:sz="4" w:space="0" w:color="auto"/>
              <w:left w:val="single" w:sz="4" w:space="0" w:color="auto"/>
              <w:bottom w:val="single" w:sz="4" w:space="0" w:color="auto"/>
              <w:right w:val="single" w:sz="4" w:space="0" w:color="auto"/>
            </w:tcBorders>
            <w:hideMark/>
          </w:tcPr>
          <w:p w14:paraId="54252B80" w14:textId="77777777" w:rsidR="00987A9C" w:rsidRPr="009175B3" w:rsidRDefault="00987A9C" w:rsidP="009175B3">
            <w:pPr>
              <w:pStyle w:val="TableText1"/>
              <w:keepLines/>
              <w:spacing w:before="0" w:after="0"/>
              <w:jc w:val="right"/>
              <w:rPr>
                <w:rFonts w:cs="Arial"/>
                <w:sz w:val="20"/>
                <w:szCs w:val="20"/>
                <w:lang w:eastAsia="en-US"/>
              </w:rPr>
            </w:pPr>
            <w:r w:rsidRPr="009175B3">
              <w:rPr>
                <w:rFonts w:cs="Arial"/>
                <w:sz w:val="20"/>
                <w:szCs w:val="20"/>
                <w:lang w:eastAsia="en-US"/>
              </w:rPr>
              <w:t>Category 6 – Pathology Services</w:t>
            </w:r>
          </w:p>
        </w:tc>
      </w:tr>
      <w:tr w:rsidR="00987A9C" w:rsidRPr="009175B3" w14:paraId="27AF5C02" w14:textId="77777777" w:rsidTr="00721ED5">
        <w:tc>
          <w:tcPr>
            <w:tcW w:w="4505" w:type="dxa"/>
            <w:tcBorders>
              <w:top w:val="single" w:sz="4" w:space="0" w:color="auto"/>
              <w:left w:val="single" w:sz="4" w:space="0" w:color="auto"/>
              <w:bottom w:val="single" w:sz="4" w:space="0" w:color="auto"/>
              <w:right w:val="single" w:sz="4" w:space="0" w:color="auto"/>
            </w:tcBorders>
            <w:hideMark/>
          </w:tcPr>
          <w:p w14:paraId="50B7854C" w14:textId="77777777" w:rsidR="00987A9C" w:rsidRPr="009175B3" w:rsidRDefault="00987A9C" w:rsidP="009175B3">
            <w:pPr>
              <w:pStyle w:val="TableText1"/>
              <w:keepLines/>
              <w:spacing w:before="0" w:after="0"/>
              <w:rPr>
                <w:rFonts w:cs="Arial"/>
                <w:sz w:val="20"/>
                <w:szCs w:val="20"/>
                <w:lang w:eastAsia="en-US"/>
              </w:rPr>
            </w:pPr>
            <w:r w:rsidRPr="009175B3">
              <w:rPr>
                <w:rFonts w:cs="Arial"/>
                <w:sz w:val="20"/>
                <w:szCs w:val="20"/>
                <w:lang w:eastAsia="en-US"/>
              </w:rPr>
              <w:t>MBS item XXXX</w:t>
            </w:r>
          </w:p>
        </w:tc>
        <w:tc>
          <w:tcPr>
            <w:tcW w:w="4511" w:type="dxa"/>
            <w:tcBorders>
              <w:top w:val="single" w:sz="4" w:space="0" w:color="auto"/>
              <w:left w:val="single" w:sz="4" w:space="0" w:color="auto"/>
              <w:bottom w:val="single" w:sz="4" w:space="0" w:color="auto"/>
              <w:right w:val="single" w:sz="4" w:space="0" w:color="auto"/>
            </w:tcBorders>
            <w:hideMark/>
          </w:tcPr>
          <w:p w14:paraId="2B81A54E" w14:textId="77777777" w:rsidR="00987A9C" w:rsidRPr="009175B3" w:rsidRDefault="00987A9C" w:rsidP="009175B3">
            <w:pPr>
              <w:pStyle w:val="TableText1"/>
              <w:keepLines/>
              <w:spacing w:before="0" w:after="0"/>
              <w:jc w:val="right"/>
              <w:rPr>
                <w:rFonts w:cs="Arial"/>
                <w:sz w:val="20"/>
                <w:szCs w:val="20"/>
                <w:lang w:eastAsia="en-US"/>
              </w:rPr>
            </w:pPr>
            <w:r w:rsidRPr="009175B3">
              <w:rPr>
                <w:rFonts w:cs="Arial"/>
                <w:sz w:val="20"/>
                <w:szCs w:val="20"/>
                <w:lang w:eastAsia="en-US"/>
              </w:rPr>
              <w:t>Group P7 – Genetics</w:t>
            </w:r>
          </w:p>
        </w:tc>
      </w:tr>
      <w:tr w:rsidR="00987A9C" w:rsidRPr="009175B3" w14:paraId="78B63F41" w14:textId="77777777" w:rsidTr="00721ED5">
        <w:tc>
          <w:tcPr>
            <w:tcW w:w="9016" w:type="dxa"/>
            <w:gridSpan w:val="2"/>
            <w:tcBorders>
              <w:top w:val="single" w:sz="4" w:space="0" w:color="auto"/>
              <w:left w:val="single" w:sz="4" w:space="0" w:color="auto"/>
              <w:bottom w:val="single" w:sz="4" w:space="0" w:color="auto"/>
              <w:right w:val="single" w:sz="4" w:space="0" w:color="auto"/>
            </w:tcBorders>
          </w:tcPr>
          <w:p w14:paraId="21B369B1" w14:textId="11386C91" w:rsidR="00987A9C" w:rsidRPr="009175B3" w:rsidRDefault="00987A9C" w:rsidP="009175B3">
            <w:pPr>
              <w:pStyle w:val="TableText1"/>
              <w:keepLines/>
              <w:spacing w:before="0" w:after="0"/>
              <w:rPr>
                <w:rFonts w:cs="Arial"/>
                <w:sz w:val="20"/>
                <w:szCs w:val="20"/>
                <w:lang w:eastAsia="en-US"/>
              </w:rPr>
            </w:pPr>
            <w:r w:rsidRPr="009175B3">
              <w:rPr>
                <w:rFonts w:cs="Arial"/>
                <w:sz w:val="20"/>
                <w:szCs w:val="20"/>
                <w:lang w:eastAsia="en-US"/>
              </w:rPr>
              <w:t xml:space="preserve">Detection of germline </w:t>
            </w:r>
            <w:r w:rsidR="00624CC8" w:rsidRPr="009175B3">
              <w:rPr>
                <w:rFonts w:cs="Arial"/>
                <w:i/>
                <w:iCs/>
                <w:sz w:val="20"/>
                <w:szCs w:val="20"/>
                <w:lang w:eastAsia="en-US"/>
              </w:rPr>
              <w:t>BRCA</w:t>
            </w:r>
            <w:r w:rsidRPr="009175B3">
              <w:rPr>
                <w:rFonts w:cs="Arial"/>
                <w:i/>
                <w:iCs/>
                <w:sz w:val="20"/>
                <w:szCs w:val="20"/>
                <w:lang w:eastAsia="en-US"/>
              </w:rPr>
              <w:t>1</w:t>
            </w:r>
            <w:r w:rsidRPr="009175B3">
              <w:rPr>
                <w:rFonts w:cs="Arial"/>
                <w:sz w:val="20"/>
                <w:szCs w:val="20"/>
                <w:lang w:eastAsia="en-US"/>
              </w:rPr>
              <w:t xml:space="preserve"> or </w:t>
            </w:r>
            <w:r w:rsidR="00624CC8" w:rsidRPr="009175B3">
              <w:rPr>
                <w:rFonts w:cs="Arial"/>
                <w:i/>
                <w:iCs/>
                <w:sz w:val="20"/>
                <w:szCs w:val="20"/>
                <w:lang w:eastAsia="en-US"/>
              </w:rPr>
              <w:t>BRCA</w:t>
            </w:r>
            <w:r w:rsidRPr="009175B3">
              <w:rPr>
                <w:rFonts w:cs="Arial"/>
                <w:i/>
                <w:iCs/>
                <w:sz w:val="20"/>
                <w:szCs w:val="20"/>
                <w:lang w:eastAsia="en-US"/>
              </w:rPr>
              <w:t>2</w:t>
            </w:r>
            <w:r w:rsidRPr="009175B3">
              <w:rPr>
                <w:rFonts w:cs="Arial"/>
                <w:sz w:val="20"/>
                <w:szCs w:val="20"/>
                <w:lang w:eastAsia="en-US"/>
              </w:rPr>
              <w:t xml:space="preserve"> pathogenic or likely pathogenic gene variants, in a patient with triple negative early breast cancer or hormone receptor positive, HER</w:t>
            </w:r>
            <w:r w:rsidR="00540C79" w:rsidRPr="009175B3">
              <w:rPr>
                <w:rFonts w:cs="Arial"/>
                <w:sz w:val="20"/>
                <w:szCs w:val="20"/>
                <w:lang w:eastAsia="en-US"/>
              </w:rPr>
              <w:t>2</w:t>
            </w:r>
            <w:r w:rsidRPr="009175B3">
              <w:rPr>
                <w:rFonts w:cs="Arial"/>
                <w:sz w:val="20"/>
                <w:szCs w:val="20"/>
                <w:lang w:eastAsia="en-US"/>
              </w:rPr>
              <w:t>-negative, early breast cancer with high risk characteristics (i) tumour histological grading of at least 3, (ii) tumour size of greater than 2 cm, (iii) cancer cells in any positive axillary lymph nodes, (iv) high recurrence score (multigene assay</w:t>
            </w:r>
            <w:r w:rsidRPr="009175B3">
              <w:rPr>
                <w:rFonts w:cs="Arial"/>
                <w:sz w:val="20"/>
                <w:szCs w:val="20"/>
                <w:vertAlign w:val="superscript"/>
                <w:lang w:eastAsia="en-US"/>
              </w:rPr>
              <w:t>α</w:t>
            </w:r>
            <w:r w:rsidRPr="009175B3">
              <w:rPr>
                <w:rFonts w:cs="Arial"/>
                <w:sz w:val="20"/>
                <w:szCs w:val="20"/>
                <w:lang w:eastAsia="en-US"/>
              </w:rPr>
              <w:t>), requested by a specialist or consultant physician, to determine eligibility for olaparib under the Pharmaceutical Benefits Scheme (PBS)</w:t>
            </w:r>
          </w:p>
          <w:p w14:paraId="0FE8FFF0" w14:textId="70012AB5" w:rsidR="00987A9C" w:rsidRPr="009175B3" w:rsidRDefault="00987A9C" w:rsidP="009175B3">
            <w:pPr>
              <w:pStyle w:val="TableText1"/>
              <w:keepLines/>
              <w:spacing w:before="240" w:after="240"/>
              <w:rPr>
                <w:rFonts w:cs="Arial"/>
                <w:sz w:val="20"/>
                <w:szCs w:val="20"/>
                <w:lang w:eastAsia="en-US"/>
              </w:rPr>
            </w:pPr>
            <w:r w:rsidRPr="009175B3">
              <w:rPr>
                <w:rFonts w:cs="Arial"/>
                <w:sz w:val="20"/>
                <w:szCs w:val="20"/>
                <w:lang w:eastAsia="en-US"/>
              </w:rPr>
              <w:t xml:space="preserve">Maximum one test per lifetime </w:t>
            </w:r>
          </w:p>
          <w:p w14:paraId="78AF50A8" w14:textId="77777777" w:rsidR="00987A9C" w:rsidRPr="009175B3" w:rsidRDefault="00987A9C" w:rsidP="009175B3">
            <w:pPr>
              <w:pStyle w:val="TableText1"/>
              <w:keepLines/>
              <w:spacing w:before="0" w:after="0"/>
              <w:rPr>
                <w:rFonts w:cs="Arial"/>
                <w:sz w:val="20"/>
                <w:szCs w:val="20"/>
                <w:lang w:eastAsia="en-US"/>
              </w:rPr>
            </w:pPr>
            <w:r w:rsidRPr="009175B3">
              <w:rPr>
                <w:rFonts w:cs="Arial"/>
                <w:sz w:val="20"/>
                <w:szCs w:val="20"/>
                <w:lang w:eastAsia="en-US"/>
              </w:rPr>
              <w:t>Fee: $1,200.00</w:t>
            </w:r>
            <w:r w:rsidRPr="009175B3">
              <w:rPr>
                <w:rFonts w:cs="Arial"/>
                <w:sz w:val="20"/>
                <w:szCs w:val="20"/>
                <w:lang w:eastAsia="en-US"/>
              </w:rPr>
              <w:tab/>
              <w:t>Benefit: 75% = $900.00</w:t>
            </w:r>
            <w:r w:rsidRPr="009175B3">
              <w:rPr>
                <w:rFonts w:cs="Arial"/>
                <w:sz w:val="20"/>
                <w:szCs w:val="20"/>
                <w:lang w:eastAsia="en-US"/>
              </w:rPr>
              <w:tab/>
              <w:t>85% = $1,112.10</w:t>
            </w:r>
          </w:p>
        </w:tc>
      </w:tr>
      <w:tr w:rsidR="00987A9C" w14:paraId="0FA376E8" w14:textId="77777777" w:rsidTr="00721ED5">
        <w:tc>
          <w:tcPr>
            <w:tcW w:w="9016" w:type="dxa"/>
            <w:gridSpan w:val="2"/>
            <w:tcBorders>
              <w:top w:val="single" w:sz="4" w:space="0" w:color="auto"/>
              <w:left w:val="single" w:sz="4" w:space="0" w:color="auto"/>
              <w:bottom w:val="single" w:sz="4" w:space="0" w:color="auto"/>
              <w:right w:val="single" w:sz="4" w:space="0" w:color="auto"/>
            </w:tcBorders>
            <w:hideMark/>
          </w:tcPr>
          <w:p w14:paraId="02A59521" w14:textId="77777777" w:rsidR="00987A9C" w:rsidRPr="00D30B70" w:rsidRDefault="00987A9C">
            <w:pPr>
              <w:pStyle w:val="TableText1"/>
              <w:spacing w:before="0" w:after="0"/>
              <w:rPr>
                <w:rFonts w:cs="Arial"/>
                <w:sz w:val="20"/>
                <w:szCs w:val="20"/>
                <w:lang w:eastAsia="en-US"/>
              </w:rPr>
            </w:pPr>
            <w:r w:rsidRPr="00D30B70">
              <w:rPr>
                <w:rFonts w:cs="Arial"/>
                <w:sz w:val="20"/>
                <w:szCs w:val="20"/>
                <w:lang w:eastAsia="en-US"/>
              </w:rPr>
              <w:t>Explanatory notes</w:t>
            </w:r>
          </w:p>
          <w:p w14:paraId="2556D7D9" w14:textId="07E322AB" w:rsidR="00987A9C" w:rsidRDefault="00987A9C">
            <w:pPr>
              <w:pStyle w:val="TableText1"/>
              <w:spacing w:before="0" w:after="0"/>
              <w:rPr>
                <w:rFonts w:cs="Arial"/>
                <w:sz w:val="20"/>
                <w:szCs w:val="20"/>
                <w:lang w:eastAsia="en-US"/>
              </w:rPr>
            </w:pPr>
            <w:r>
              <w:rPr>
                <w:rFonts w:cs="Arial"/>
                <w:sz w:val="20"/>
                <w:szCs w:val="20"/>
                <w:lang w:eastAsia="en-US"/>
              </w:rPr>
              <w:t xml:space="preserve">Patients who are found to have a pathogenic or likely pathogenic variant in </w:t>
            </w:r>
            <w:r w:rsidR="00624CC8" w:rsidRPr="00624CC8">
              <w:rPr>
                <w:rFonts w:cs="Arial"/>
                <w:i/>
                <w:iCs/>
                <w:sz w:val="20"/>
                <w:szCs w:val="20"/>
                <w:lang w:eastAsia="en-US"/>
              </w:rPr>
              <w:t>BRCA</w:t>
            </w:r>
            <w:r>
              <w:rPr>
                <w:rFonts w:cs="Arial"/>
                <w:sz w:val="20"/>
                <w:szCs w:val="20"/>
                <w:lang w:eastAsia="en-US"/>
              </w:rPr>
              <w:t xml:space="preserve">1 or </w:t>
            </w:r>
            <w:r w:rsidR="00624CC8" w:rsidRPr="00624CC8">
              <w:rPr>
                <w:rFonts w:cs="Arial"/>
                <w:i/>
                <w:iCs/>
                <w:sz w:val="20"/>
                <w:szCs w:val="20"/>
                <w:lang w:eastAsia="en-US"/>
              </w:rPr>
              <w:t>BRCA</w:t>
            </w:r>
            <w:r>
              <w:rPr>
                <w:rFonts w:cs="Arial"/>
                <w:sz w:val="20"/>
                <w:szCs w:val="20"/>
                <w:lang w:eastAsia="en-US"/>
              </w:rPr>
              <w:t>2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1D5FF122" w14:textId="77777777" w:rsidR="00721ED5" w:rsidRPr="00FE6CB5" w:rsidRDefault="00721ED5" w:rsidP="007B7679">
      <w:pPr>
        <w:pStyle w:val="3-BodyText"/>
        <w:numPr>
          <w:ilvl w:val="0"/>
          <w:numId w:val="0"/>
        </w:numPr>
        <w:spacing w:before="0" w:after="0"/>
        <w:ind w:left="720" w:hanging="720"/>
        <w:rPr>
          <w:rFonts w:ascii="Arial Narrow" w:hAnsi="Arial Narrow"/>
          <w:sz w:val="18"/>
          <w:szCs w:val="18"/>
        </w:rPr>
      </w:pPr>
      <w:r w:rsidRPr="00FE6CB5">
        <w:rPr>
          <w:rFonts w:ascii="Arial Narrow" w:hAnsi="Arial Narrow"/>
          <w:sz w:val="18"/>
          <w:szCs w:val="18"/>
        </w:rPr>
        <w:t>Source: Table 1.7, p30 of the submission.</w:t>
      </w:r>
    </w:p>
    <w:p w14:paraId="04B27754" w14:textId="68501290" w:rsidR="00721ED5" w:rsidRPr="00FE6CB5" w:rsidRDefault="00624CC8" w:rsidP="007B7679">
      <w:pPr>
        <w:pStyle w:val="3-BodyText"/>
        <w:numPr>
          <w:ilvl w:val="0"/>
          <w:numId w:val="0"/>
        </w:numPr>
        <w:spacing w:before="0" w:after="0"/>
        <w:rPr>
          <w:rFonts w:ascii="Arial Narrow" w:hAnsi="Arial Narrow"/>
          <w:sz w:val="18"/>
          <w:szCs w:val="18"/>
        </w:rPr>
      </w:pPr>
      <w:r w:rsidRPr="00624CC8">
        <w:rPr>
          <w:rFonts w:ascii="Arial Narrow" w:hAnsi="Arial Narrow"/>
          <w:i/>
          <w:iCs/>
          <w:sz w:val="18"/>
          <w:szCs w:val="18"/>
        </w:rPr>
        <w:t>BRCA</w:t>
      </w:r>
      <w:r w:rsidR="00721ED5" w:rsidRPr="00FE6CB5">
        <w:rPr>
          <w:rFonts w:ascii="Arial Narrow" w:hAnsi="Arial Narrow"/>
          <w:sz w:val="18"/>
          <w:szCs w:val="18"/>
        </w:rPr>
        <w:t xml:space="preserve"> = breast cancer gene, HER2 = human epidermal growth factors receptor 2, MBS = Medicare Benefits Schedule.</w:t>
      </w:r>
      <w:r w:rsidR="00721ED5">
        <w:rPr>
          <w:rFonts w:ascii="Arial Narrow" w:hAnsi="Arial Narrow"/>
          <w:sz w:val="18"/>
          <w:szCs w:val="18"/>
        </w:rPr>
        <w:t xml:space="preserve"> </w:t>
      </w:r>
    </w:p>
    <w:p w14:paraId="0D1548F3" w14:textId="11CAC2E4" w:rsidR="00987A9C" w:rsidRPr="00721ED5" w:rsidRDefault="00721ED5" w:rsidP="00987A9C">
      <w:pPr>
        <w:keepNext/>
        <w:keepLines/>
        <w:rPr>
          <w:rFonts w:ascii="Arial Narrow" w:hAnsi="Arial Narrow" w:cs="Arial"/>
          <w:sz w:val="16"/>
          <w:szCs w:val="16"/>
          <w:lang w:val="en-US"/>
        </w:rPr>
      </w:pPr>
      <w:r w:rsidRPr="00721ED5">
        <w:rPr>
          <w:rFonts w:ascii="Arial Narrow" w:hAnsi="Arial Narrow" w:cs="Arial"/>
          <w:sz w:val="18"/>
          <w:szCs w:val="16"/>
          <w:vertAlign w:val="superscript"/>
        </w:rPr>
        <w:t xml:space="preserve"> </w:t>
      </w:r>
      <w:r w:rsidR="00987A9C" w:rsidRPr="00721ED5">
        <w:rPr>
          <w:rFonts w:ascii="Arial Narrow" w:hAnsi="Arial Narrow" w:cs="Arial"/>
          <w:sz w:val="18"/>
          <w:szCs w:val="16"/>
          <w:vertAlign w:val="superscript"/>
        </w:rPr>
        <w:t>α</w:t>
      </w:r>
      <w:r w:rsidR="00987A9C" w:rsidRPr="00721ED5">
        <w:rPr>
          <w:rFonts w:ascii="Arial Narrow" w:hAnsi="Arial Narrow" w:cs="Arial"/>
          <w:sz w:val="18"/>
          <w:szCs w:val="16"/>
        </w:rPr>
        <w:t xml:space="preserve"> Multigene</w:t>
      </w:r>
      <w:r w:rsidR="00046A81">
        <w:rPr>
          <w:rFonts w:ascii="Arial Narrow" w:hAnsi="Arial Narrow" w:cs="Arial"/>
          <w:sz w:val="18"/>
          <w:szCs w:val="16"/>
        </w:rPr>
        <w:t xml:space="preserve"> recurrence risk</w:t>
      </w:r>
      <w:r w:rsidR="00987A9C" w:rsidRPr="00721ED5">
        <w:rPr>
          <w:rFonts w:ascii="Arial Narrow" w:hAnsi="Arial Narrow" w:cs="Arial"/>
          <w:sz w:val="18"/>
          <w:szCs w:val="16"/>
        </w:rPr>
        <w:t xml:space="preserve"> assays such OncotypeDX 21 gene tests are not currently MBS-listed. EndoPredict has been recommended for </w:t>
      </w:r>
      <w:r w:rsidR="00046A81">
        <w:rPr>
          <w:rFonts w:ascii="Arial Narrow" w:hAnsi="Arial Narrow" w:cs="Arial"/>
          <w:sz w:val="18"/>
          <w:szCs w:val="16"/>
        </w:rPr>
        <w:t>public funding</w:t>
      </w:r>
      <w:r w:rsidR="00046A81" w:rsidRPr="00721ED5">
        <w:rPr>
          <w:rFonts w:ascii="Arial Narrow" w:hAnsi="Arial Narrow" w:cs="Arial"/>
          <w:sz w:val="18"/>
          <w:szCs w:val="16"/>
        </w:rPr>
        <w:t xml:space="preserve"> </w:t>
      </w:r>
      <w:r w:rsidR="00987A9C" w:rsidRPr="00721ED5">
        <w:rPr>
          <w:rFonts w:ascii="Arial Narrow" w:hAnsi="Arial Narrow" w:cs="Arial"/>
          <w:sz w:val="18"/>
          <w:szCs w:val="16"/>
        </w:rPr>
        <w:t>by MSAC (MSAC Application 1408.1)</w:t>
      </w:r>
    </w:p>
    <w:p w14:paraId="6ABBC808" w14:textId="5F6EEF15" w:rsidR="00D30B70" w:rsidRDefault="00E1736F" w:rsidP="00FD7AE9">
      <w:r>
        <w:t xml:space="preserve">The proposed </w:t>
      </w:r>
      <w:r w:rsidR="00862D26">
        <w:t>high</w:t>
      </w:r>
      <w:r w:rsidR="00810FF1">
        <w:t>-</w:t>
      </w:r>
      <w:r w:rsidR="00862D26">
        <w:t xml:space="preserve">risk population for olaparib differed from the population </w:t>
      </w:r>
      <w:r w:rsidR="001A7504">
        <w:t xml:space="preserve">for </w:t>
      </w:r>
      <w:r w:rsidR="001A7504">
        <w:rPr>
          <w:i/>
          <w:iCs/>
        </w:rPr>
        <w:t>BRCA1/2</w:t>
      </w:r>
      <w:r w:rsidR="001A7504">
        <w:t xml:space="preserve"> testing. The </w:t>
      </w:r>
      <w:r w:rsidR="00076F49">
        <w:t xml:space="preserve">definition of high risk of recurrence in the proposed PBS restriction </w:t>
      </w:r>
      <w:r w:rsidR="00DB4EBD">
        <w:t>was defined as</w:t>
      </w:r>
      <w:r w:rsidR="00460911">
        <w:t xml:space="preserve"> any of:</w:t>
      </w:r>
    </w:p>
    <w:p w14:paraId="2C0240C7" w14:textId="4CCA0CD3" w:rsidR="00460911" w:rsidRDefault="00810FF1" w:rsidP="00460911">
      <w:pPr>
        <w:pStyle w:val="ListParagraph"/>
        <w:numPr>
          <w:ilvl w:val="0"/>
          <w:numId w:val="39"/>
        </w:numPr>
      </w:pPr>
      <w:r>
        <w:t>TNBC</w:t>
      </w:r>
      <w:r w:rsidR="00460911">
        <w:t xml:space="preserve"> patient who ha</w:t>
      </w:r>
      <w:r w:rsidR="008E6178">
        <w:t>s</w:t>
      </w:r>
      <w:r w:rsidR="00460911">
        <w:t xml:space="preserve"> received prior neoadjuvant chemotherapy and </w:t>
      </w:r>
      <w:r w:rsidR="008E6178">
        <w:t>has</w:t>
      </w:r>
      <w:r w:rsidR="00460911">
        <w:t xml:space="preserve"> residual invasive cancer in the breast and/or resected lymph nodes</w:t>
      </w:r>
      <w:r w:rsidR="0049184B">
        <w:t>;</w:t>
      </w:r>
      <w:r w:rsidR="00460911">
        <w:t xml:space="preserve"> </w:t>
      </w:r>
    </w:p>
    <w:p w14:paraId="6D7BD008" w14:textId="574A0A34" w:rsidR="00460911" w:rsidRDefault="00460911" w:rsidP="00460911">
      <w:pPr>
        <w:pStyle w:val="ListParagraph"/>
        <w:numPr>
          <w:ilvl w:val="0"/>
          <w:numId w:val="39"/>
        </w:numPr>
      </w:pPr>
      <w:r>
        <w:t>Hormone receptor positive, HER2-negative, patient who ha</w:t>
      </w:r>
      <w:r w:rsidR="008E6178">
        <w:t>s</w:t>
      </w:r>
      <w:r>
        <w:t xml:space="preserve"> received prior neoadjuvant chemotherapy and </w:t>
      </w:r>
      <w:r w:rsidR="008E6178">
        <w:t>has</w:t>
      </w:r>
      <w:r>
        <w:t xml:space="preserve"> residual invasive cancer in the breast and/or resected lymph nodes</w:t>
      </w:r>
      <w:r w:rsidR="0049184B">
        <w:t>;</w:t>
      </w:r>
    </w:p>
    <w:p w14:paraId="41E8B685" w14:textId="3E7140EE" w:rsidR="00460911" w:rsidRDefault="00810FF1" w:rsidP="00460911">
      <w:pPr>
        <w:pStyle w:val="ListParagraph"/>
        <w:numPr>
          <w:ilvl w:val="0"/>
          <w:numId w:val="39"/>
        </w:numPr>
      </w:pPr>
      <w:r>
        <w:t>TNBC</w:t>
      </w:r>
      <w:r w:rsidR="00460911">
        <w:t xml:space="preserve"> patient who ha</w:t>
      </w:r>
      <w:r w:rsidR="008E6178">
        <w:t>s</w:t>
      </w:r>
      <w:r w:rsidR="00460911">
        <w:t xml:space="preserve"> received prior adjuvant chemotherapy and </w:t>
      </w:r>
      <w:r w:rsidR="008E6178">
        <w:t>has</w:t>
      </w:r>
      <w:r w:rsidR="00460911">
        <w:t xml:space="preserve"> node positive disease or primary tumour greater than 20 mm</w:t>
      </w:r>
      <w:r w:rsidR="0049184B">
        <w:t>;</w:t>
      </w:r>
    </w:p>
    <w:p w14:paraId="4627E52F" w14:textId="73C41CF5" w:rsidR="00DB4EBD" w:rsidRPr="001A7504" w:rsidRDefault="0049184B" w:rsidP="00426235">
      <w:pPr>
        <w:pStyle w:val="ListParagraph"/>
        <w:numPr>
          <w:ilvl w:val="0"/>
          <w:numId w:val="39"/>
        </w:numPr>
      </w:pPr>
      <w:r w:rsidRPr="0049184B">
        <w:t>Hormone receptor positive, HER2-negative, patient who ha</w:t>
      </w:r>
      <w:r w:rsidR="008E6178">
        <w:t>s</w:t>
      </w:r>
      <w:r w:rsidRPr="0049184B">
        <w:t xml:space="preserve"> received prior adjuvant chemotherapy and </w:t>
      </w:r>
      <w:r w:rsidR="008E6178">
        <w:t>has</w:t>
      </w:r>
      <w:r w:rsidRPr="0049184B">
        <w:t xml:space="preserve"> 4 or more positive lymph nodes</w:t>
      </w:r>
      <w:r>
        <w:t xml:space="preserve">. </w:t>
      </w:r>
    </w:p>
    <w:p w14:paraId="65B35F5D" w14:textId="009D03E1" w:rsidR="000B440F" w:rsidRDefault="002B5EC8" w:rsidP="000B440F">
      <w:pPr>
        <w:rPr>
          <w:i/>
          <w:iCs/>
        </w:rPr>
      </w:pPr>
      <w:r>
        <w:rPr>
          <w:i/>
          <w:iCs/>
        </w:rPr>
        <w:t xml:space="preserve">Due to the </w:t>
      </w:r>
      <w:r w:rsidR="00C73486">
        <w:rPr>
          <w:i/>
          <w:iCs/>
        </w:rPr>
        <w:t xml:space="preserve">large population </w:t>
      </w:r>
      <w:r w:rsidR="0049184B">
        <w:rPr>
          <w:i/>
          <w:iCs/>
        </w:rPr>
        <w:t xml:space="preserve">eligible for </w:t>
      </w:r>
      <w:r>
        <w:rPr>
          <w:i/>
          <w:iCs/>
        </w:rPr>
        <w:t>BRCA1/2 testing</w:t>
      </w:r>
      <w:r w:rsidR="0049184B">
        <w:rPr>
          <w:i/>
          <w:iCs/>
        </w:rPr>
        <w:t xml:space="preserve"> and </w:t>
      </w:r>
      <w:r w:rsidR="008E6178">
        <w:rPr>
          <w:i/>
          <w:iCs/>
        </w:rPr>
        <w:t xml:space="preserve">the </w:t>
      </w:r>
      <w:r w:rsidR="0049184B">
        <w:rPr>
          <w:i/>
          <w:iCs/>
        </w:rPr>
        <w:t>high associated cost</w:t>
      </w:r>
      <w:r>
        <w:rPr>
          <w:i/>
          <w:iCs/>
        </w:rPr>
        <w:t>, MSAC may wish to advise whether</w:t>
      </w:r>
      <w:r w:rsidR="008021B0">
        <w:rPr>
          <w:i/>
          <w:iCs/>
        </w:rPr>
        <w:t xml:space="preserve"> it would be </w:t>
      </w:r>
      <w:r w:rsidR="00EA0112">
        <w:rPr>
          <w:i/>
          <w:iCs/>
        </w:rPr>
        <w:t>appropriate to</w:t>
      </w:r>
      <w:r w:rsidR="00195C0F">
        <w:rPr>
          <w:i/>
          <w:iCs/>
        </w:rPr>
        <w:t xml:space="preserve"> </w:t>
      </w:r>
      <w:r w:rsidR="0048261C">
        <w:rPr>
          <w:i/>
          <w:iCs/>
        </w:rPr>
        <w:t>better</w:t>
      </w:r>
      <w:r w:rsidR="00CB08EF">
        <w:rPr>
          <w:i/>
          <w:iCs/>
        </w:rPr>
        <w:t xml:space="preserve"> target BRCA1/2 testing to the population eligible for olaparib treatment. </w:t>
      </w:r>
      <w:r w:rsidR="00F32CC1">
        <w:rPr>
          <w:i/>
          <w:iCs/>
        </w:rPr>
        <w:t xml:space="preserve">If </w:t>
      </w:r>
      <w:r w:rsidR="00F32CC1" w:rsidRPr="00CB08EF">
        <w:rPr>
          <w:i/>
          <w:iCs/>
        </w:rPr>
        <w:t>it is feasible</w:t>
      </w:r>
      <w:r w:rsidR="00F32CC1">
        <w:rPr>
          <w:i/>
          <w:iCs/>
        </w:rPr>
        <w:t xml:space="preserve"> perform BRCA1/2 testing following </w:t>
      </w:r>
      <w:r w:rsidR="00F32CC1">
        <w:rPr>
          <w:i/>
          <w:iCs/>
        </w:rPr>
        <w:lastRenderedPageBreak/>
        <w:t>surgery</w:t>
      </w:r>
      <w:r w:rsidR="00F020AF">
        <w:rPr>
          <w:i/>
          <w:iCs/>
        </w:rPr>
        <w:t xml:space="preserve"> (and neoadjuvant chemotherapy where applicable) without delaying </w:t>
      </w:r>
      <w:r w:rsidR="000B440F">
        <w:rPr>
          <w:i/>
          <w:iCs/>
        </w:rPr>
        <w:t>initiation of olaparib, this population may include:</w:t>
      </w:r>
    </w:p>
    <w:p w14:paraId="0EF0BFAD" w14:textId="22AA7FD2" w:rsidR="0009587D" w:rsidRPr="000B440F" w:rsidRDefault="00C823C7" w:rsidP="000B440F">
      <w:pPr>
        <w:pStyle w:val="ListParagraph"/>
        <w:numPr>
          <w:ilvl w:val="0"/>
          <w:numId w:val="41"/>
        </w:numPr>
        <w:rPr>
          <w:i/>
          <w:iCs/>
        </w:rPr>
      </w:pPr>
      <w:r w:rsidRPr="000B440F">
        <w:rPr>
          <w:i/>
          <w:iCs/>
        </w:rPr>
        <w:t>TNBC patient</w:t>
      </w:r>
      <w:r w:rsidR="00684345" w:rsidRPr="000B440F">
        <w:rPr>
          <w:i/>
          <w:iCs/>
        </w:rPr>
        <w:t xml:space="preserve">s with </w:t>
      </w:r>
      <w:r w:rsidR="00F83040" w:rsidRPr="000B440F">
        <w:rPr>
          <w:i/>
          <w:iCs/>
        </w:rPr>
        <w:t>node positive disease or primary tumour greater than 20 mm</w:t>
      </w:r>
      <w:r w:rsidR="00D027E5" w:rsidRPr="000B440F">
        <w:rPr>
          <w:i/>
          <w:iCs/>
        </w:rPr>
        <w:t xml:space="preserve"> who will commence adjuvant chemotherapy; </w:t>
      </w:r>
    </w:p>
    <w:p w14:paraId="4E4B30D4" w14:textId="35D4CD9D" w:rsidR="004E71A7" w:rsidRDefault="004E71A7" w:rsidP="004E71A7">
      <w:pPr>
        <w:pStyle w:val="ListParagraph"/>
        <w:numPr>
          <w:ilvl w:val="0"/>
          <w:numId w:val="40"/>
        </w:numPr>
        <w:rPr>
          <w:i/>
          <w:iCs/>
        </w:rPr>
      </w:pPr>
      <w:r w:rsidRPr="004E71A7">
        <w:rPr>
          <w:i/>
          <w:iCs/>
        </w:rPr>
        <w:t>Hormone receptor positive, HER2-negative patient</w:t>
      </w:r>
      <w:r>
        <w:rPr>
          <w:i/>
          <w:iCs/>
        </w:rPr>
        <w:t xml:space="preserve">s with </w:t>
      </w:r>
      <w:r w:rsidRPr="004E71A7">
        <w:rPr>
          <w:i/>
          <w:iCs/>
        </w:rPr>
        <w:t>4 or more positive lymph nodes</w:t>
      </w:r>
      <w:r>
        <w:rPr>
          <w:i/>
          <w:iCs/>
        </w:rPr>
        <w:t xml:space="preserve"> who will commence adjuvant chemotherapy;</w:t>
      </w:r>
    </w:p>
    <w:p w14:paraId="42BC97AC" w14:textId="2E4E7FBD" w:rsidR="00D027E5" w:rsidRDefault="00203F33" w:rsidP="0009587D">
      <w:pPr>
        <w:pStyle w:val="ListParagraph"/>
        <w:numPr>
          <w:ilvl w:val="0"/>
          <w:numId w:val="40"/>
        </w:numPr>
        <w:rPr>
          <w:i/>
          <w:iCs/>
        </w:rPr>
      </w:pPr>
      <w:r>
        <w:rPr>
          <w:i/>
          <w:iCs/>
        </w:rPr>
        <w:t xml:space="preserve">TNBC patients </w:t>
      </w:r>
      <w:r w:rsidR="007C40DE">
        <w:rPr>
          <w:i/>
          <w:iCs/>
        </w:rPr>
        <w:t xml:space="preserve">with </w:t>
      </w:r>
      <w:r w:rsidR="007C40DE" w:rsidRPr="007C40DE">
        <w:rPr>
          <w:i/>
          <w:iCs/>
        </w:rPr>
        <w:t>residual invasive cancer in the breast and/or resected lymph nodes</w:t>
      </w:r>
      <w:r w:rsidR="00C262D0">
        <w:rPr>
          <w:i/>
          <w:iCs/>
        </w:rPr>
        <w:t xml:space="preserve"> following </w:t>
      </w:r>
      <w:r w:rsidR="00C262D0" w:rsidRPr="00C262D0">
        <w:rPr>
          <w:i/>
          <w:iCs/>
        </w:rPr>
        <w:t>neoadjuvant chemotherapy</w:t>
      </w:r>
      <w:r w:rsidR="00C262D0">
        <w:rPr>
          <w:i/>
          <w:iCs/>
        </w:rPr>
        <w:t xml:space="preserve">; </w:t>
      </w:r>
    </w:p>
    <w:p w14:paraId="2224DFA9" w14:textId="04849D83" w:rsidR="00C262D0" w:rsidRDefault="00C0459F" w:rsidP="0009587D">
      <w:pPr>
        <w:pStyle w:val="ListParagraph"/>
        <w:numPr>
          <w:ilvl w:val="0"/>
          <w:numId w:val="40"/>
        </w:numPr>
        <w:rPr>
          <w:i/>
          <w:iCs/>
        </w:rPr>
      </w:pPr>
      <w:r w:rsidRPr="00C0459F">
        <w:rPr>
          <w:i/>
          <w:iCs/>
        </w:rPr>
        <w:t>Hormone receptor positive, HER2-negative patients</w:t>
      </w:r>
      <w:r w:rsidR="00E15469" w:rsidRPr="00E15469">
        <w:t xml:space="preserve"> </w:t>
      </w:r>
      <w:r w:rsidR="00E15469" w:rsidRPr="00E15469">
        <w:rPr>
          <w:i/>
          <w:iCs/>
        </w:rPr>
        <w:t>with residual invasive cancer in the breast and/or resected lymph nodes following neoadjuvant chemotherapy</w:t>
      </w:r>
      <w:r w:rsidR="00C0030F">
        <w:rPr>
          <w:i/>
          <w:iCs/>
        </w:rPr>
        <w:t>.</w:t>
      </w:r>
    </w:p>
    <w:p w14:paraId="70384406" w14:textId="295E02E5" w:rsidR="00FD7AE9" w:rsidRDefault="00E3293B" w:rsidP="00FD7AE9">
      <w:r w:rsidRPr="00A5277D">
        <w:t xml:space="preserve">The proposed test </w:t>
      </w:r>
      <w:r w:rsidR="00660903" w:rsidRPr="00A5277D">
        <w:t>cost</w:t>
      </w:r>
      <w:r w:rsidRPr="00A5277D">
        <w:t xml:space="preserve"> </w:t>
      </w:r>
      <w:r w:rsidR="00A5277D">
        <w:t>i</w:t>
      </w:r>
      <w:r w:rsidRPr="00A5277D">
        <w:t xml:space="preserve">s higher ($1,200) compared to the MBS </w:t>
      </w:r>
      <w:r w:rsidR="00782D54">
        <w:t>item 7330</w:t>
      </w:r>
      <w:r w:rsidR="00856F81">
        <w:t>4</w:t>
      </w:r>
      <w:r w:rsidR="00782D54">
        <w:t xml:space="preserve"> </w:t>
      </w:r>
      <w:r w:rsidRPr="00A5277D">
        <w:t xml:space="preserve">fee </w:t>
      </w:r>
      <w:r w:rsidR="00B45D2E">
        <w:t>(</w:t>
      </w:r>
      <w:r w:rsidRPr="00A5277D">
        <w:t>$1000</w:t>
      </w:r>
      <w:r w:rsidR="00B45D2E">
        <w:t>)</w:t>
      </w:r>
      <w:r w:rsidRPr="00A5277D">
        <w:t xml:space="preserve"> for </w:t>
      </w:r>
      <w:r w:rsidR="000E4AF8" w:rsidRPr="004E5BF4">
        <w:rPr>
          <w:i/>
          <w:iCs/>
        </w:rPr>
        <w:t>BRCA1/2</w:t>
      </w:r>
      <w:r w:rsidR="000E4AF8">
        <w:t xml:space="preserve"> testing of </w:t>
      </w:r>
      <w:r w:rsidRPr="00A5277D">
        <w:t xml:space="preserve">prostate </w:t>
      </w:r>
      <w:r w:rsidR="000E4AF8">
        <w:t xml:space="preserve">tumour tissue </w:t>
      </w:r>
      <w:r w:rsidR="00466262">
        <w:t>(A</w:t>
      </w:r>
      <w:r w:rsidRPr="00A5277D">
        <w:t>pplication</w:t>
      </w:r>
      <w:r w:rsidR="00BB437D" w:rsidRPr="00A5277D">
        <w:t xml:space="preserve"> 1618</w:t>
      </w:r>
      <w:r w:rsidR="00CA12A6">
        <w:t>). The</w:t>
      </w:r>
      <w:r w:rsidR="00FA4C59">
        <w:t xml:space="preserve"> </w:t>
      </w:r>
      <w:r w:rsidR="00254002" w:rsidRPr="00254002">
        <w:t>proposed MBS listing would likely</w:t>
      </w:r>
      <w:r w:rsidR="000E4AF8">
        <w:t xml:space="preserve"> substantially</w:t>
      </w:r>
      <w:r w:rsidR="00254002" w:rsidRPr="00254002">
        <w:t xml:space="preserve"> increase the number of people eligible for </w:t>
      </w:r>
      <w:r w:rsidR="00254002" w:rsidRPr="002414CB">
        <w:rPr>
          <w:i/>
          <w:iCs/>
        </w:rPr>
        <w:t xml:space="preserve">BRCA1/2 </w:t>
      </w:r>
      <w:r w:rsidR="00254002" w:rsidRPr="00254002">
        <w:t>testing</w:t>
      </w:r>
      <w:r w:rsidR="000E4AF8">
        <w:t xml:space="preserve"> on the MBS</w:t>
      </w:r>
      <w:r w:rsidR="001661B3">
        <w:t xml:space="preserve"> (refer to financial implications)</w:t>
      </w:r>
      <w:r w:rsidR="0033446B">
        <w:t xml:space="preserve">. </w:t>
      </w:r>
      <w:r w:rsidR="00D44036">
        <w:t>An</w:t>
      </w:r>
      <w:r w:rsidR="002A4DB7">
        <w:t xml:space="preserve"> </w:t>
      </w:r>
      <w:r w:rsidR="00D44036">
        <w:t>increase in volume of testing</w:t>
      </w:r>
      <w:r w:rsidR="00060B14">
        <w:t xml:space="preserve"> using </w:t>
      </w:r>
      <w:r w:rsidR="00086237">
        <w:t>next generation sequencing (</w:t>
      </w:r>
      <w:r w:rsidR="00060B14">
        <w:t>NGS</w:t>
      </w:r>
      <w:r w:rsidR="00704A7C">
        <w:t>)</w:t>
      </w:r>
      <w:r w:rsidR="00060B14">
        <w:t xml:space="preserve"> method </w:t>
      </w:r>
      <w:r w:rsidR="00D44036">
        <w:t xml:space="preserve">may result </w:t>
      </w:r>
      <w:r w:rsidR="00F03594">
        <w:t xml:space="preserve">in </w:t>
      </w:r>
      <w:r w:rsidR="00A11EC0">
        <w:t xml:space="preserve">reduction in the average cost </w:t>
      </w:r>
      <w:r w:rsidR="000D395D">
        <w:t>of testing</w:t>
      </w:r>
      <w:r w:rsidR="05322489" w:rsidRPr="7B7D2E99">
        <w:t xml:space="preserve"> due to </w:t>
      </w:r>
      <w:r w:rsidR="3C10CEED" w:rsidRPr="4F3A278F">
        <w:t xml:space="preserve">a lower sequencing cost achieved </w:t>
      </w:r>
      <w:r w:rsidR="70589E7F" w:rsidRPr="4F3A278F">
        <w:t xml:space="preserve">when samples are run at maximum </w:t>
      </w:r>
      <w:r w:rsidR="3C10CEED" w:rsidRPr="4F3A278F">
        <w:t>flow cell capacity</w:t>
      </w:r>
      <w:r w:rsidR="041F7ABA" w:rsidRPr="4F3A278F">
        <w:t>.</w:t>
      </w:r>
    </w:p>
    <w:p w14:paraId="64BD0B28" w14:textId="456CA655" w:rsidR="003117FA" w:rsidRDefault="003117FA" w:rsidP="004E5BF4">
      <w:r w:rsidRPr="00FE6CB5">
        <w:t>The submission note</w:t>
      </w:r>
      <w:r>
        <w:t>d</w:t>
      </w:r>
      <w:r w:rsidRPr="00FE6CB5">
        <w:t xml:space="preserve"> that germline </w:t>
      </w:r>
      <w:r w:rsidRPr="00624CC8">
        <w:rPr>
          <w:i/>
          <w:iCs/>
        </w:rPr>
        <w:t>BRCA</w:t>
      </w:r>
      <w:r w:rsidR="00704A7C">
        <w:rPr>
          <w:i/>
          <w:iCs/>
        </w:rPr>
        <w:t>1/2</w:t>
      </w:r>
      <w:r w:rsidRPr="00FE6CB5">
        <w:t xml:space="preserve"> </w:t>
      </w:r>
      <w:r>
        <w:t>pathogenic variant</w:t>
      </w:r>
      <w:r w:rsidRPr="00FE6CB5">
        <w:t xml:space="preserve"> testing provide</w:t>
      </w:r>
      <w:r>
        <w:t>d</w:t>
      </w:r>
      <w:r w:rsidRPr="00FE6CB5">
        <w:t xml:space="preserve"> information about familial risk and facilitates cascade testing in unaffected family members.</w:t>
      </w:r>
    </w:p>
    <w:p w14:paraId="34E0B08F" w14:textId="3C89DC0B" w:rsidR="00772829" w:rsidRPr="00CE28E3" w:rsidRDefault="00A93342" w:rsidP="002A18BE">
      <w:pPr>
        <w:pStyle w:val="Heading2"/>
        <w:numPr>
          <w:ilvl w:val="0"/>
          <w:numId w:val="0"/>
        </w:numPr>
      </w:pPr>
      <w:bookmarkStart w:id="10" w:name="_Toc69491419"/>
      <w:r>
        <w:t>7</w:t>
      </w:r>
      <w:r w:rsidR="00C36633">
        <w:t>.</w:t>
      </w:r>
      <w:r w:rsidR="00C36633">
        <w:tab/>
      </w:r>
      <w:r w:rsidR="00772829" w:rsidRPr="00CE28E3">
        <w:t>Population</w:t>
      </w:r>
      <w:bookmarkEnd w:id="10"/>
      <w:r w:rsidR="00772829" w:rsidRPr="00CE28E3">
        <w:t xml:space="preserve"> </w:t>
      </w:r>
    </w:p>
    <w:p w14:paraId="6E557602" w14:textId="6696BD4D" w:rsidR="003A7110" w:rsidRDefault="003A7110" w:rsidP="002463A6">
      <w:pPr>
        <w:pStyle w:val="Instructionaltext"/>
        <w:spacing w:after="0"/>
        <w:rPr>
          <w:color w:val="auto"/>
        </w:rPr>
      </w:pPr>
      <w:r w:rsidRPr="003A7110">
        <w:rPr>
          <w:color w:val="auto"/>
        </w:rPr>
        <w:t>The submission propose</w:t>
      </w:r>
      <w:r w:rsidR="003B6572">
        <w:rPr>
          <w:color w:val="auto"/>
        </w:rPr>
        <w:t xml:space="preserve">d </w:t>
      </w:r>
      <w:r w:rsidRPr="003A7110">
        <w:rPr>
          <w:color w:val="auto"/>
        </w:rPr>
        <w:t xml:space="preserve">detection of germline </w:t>
      </w:r>
      <w:r w:rsidR="00624CC8" w:rsidRPr="00624CC8">
        <w:rPr>
          <w:i/>
          <w:iCs/>
          <w:color w:val="auto"/>
        </w:rPr>
        <w:t>BRCA</w:t>
      </w:r>
      <w:r w:rsidRPr="003A7110">
        <w:rPr>
          <w:color w:val="auto"/>
        </w:rPr>
        <w:t xml:space="preserve">1 or </w:t>
      </w:r>
      <w:r w:rsidR="00624CC8" w:rsidRPr="00624CC8">
        <w:rPr>
          <w:i/>
          <w:iCs/>
          <w:color w:val="auto"/>
        </w:rPr>
        <w:t>BRCA</w:t>
      </w:r>
      <w:r w:rsidRPr="003A7110">
        <w:rPr>
          <w:color w:val="auto"/>
        </w:rPr>
        <w:t>2 pathogenic or likely pathogenic gene variants, in a patient with triple negative early breast cancer</w:t>
      </w:r>
      <w:r w:rsidR="008069C0">
        <w:rPr>
          <w:color w:val="auto"/>
        </w:rPr>
        <w:t xml:space="preserve"> (eBC)</w:t>
      </w:r>
      <w:r w:rsidRPr="003A7110">
        <w:rPr>
          <w:color w:val="auto"/>
        </w:rPr>
        <w:t xml:space="preserve"> or hormone receptor positive, HER2-negative, early breast cancer with high risk characteristics (i) tumour histological grading of at least 3, (ii) tumour size of greater than 2 cm, (iii) cancer cells in any positive axillary lymph nodes, (iv) high recurrence score (multigene assay), requested by a specialist or consultant physician, to determine eligibility for olaparib under the PBS.</w:t>
      </w:r>
    </w:p>
    <w:p w14:paraId="507C48CB" w14:textId="07DC4A26" w:rsidR="003B6572" w:rsidRDefault="00AB5B00" w:rsidP="002463A6">
      <w:pPr>
        <w:pStyle w:val="Instructionaltext"/>
        <w:spacing w:after="0"/>
        <w:rPr>
          <w:color w:val="auto"/>
        </w:rPr>
      </w:pPr>
      <w:r w:rsidRPr="00AB5B00">
        <w:rPr>
          <w:color w:val="auto"/>
        </w:rPr>
        <w:t>Th</w:t>
      </w:r>
      <w:r>
        <w:rPr>
          <w:color w:val="auto"/>
        </w:rPr>
        <w:t>e</w:t>
      </w:r>
      <w:r w:rsidRPr="00AB5B00">
        <w:rPr>
          <w:color w:val="auto"/>
        </w:rPr>
        <w:t xml:space="preserve"> submission focused on germline </w:t>
      </w:r>
      <w:r w:rsidR="00624CC8" w:rsidRPr="00624CC8">
        <w:rPr>
          <w:i/>
          <w:iCs/>
          <w:color w:val="auto"/>
        </w:rPr>
        <w:t>BRCA</w:t>
      </w:r>
      <w:r w:rsidRPr="00AB5B00">
        <w:rPr>
          <w:color w:val="auto"/>
        </w:rPr>
        <w:t xml:space="preserve"> </w:t>
      </w:r>
      <w:r w:rsidR="008F1BEB">
        <w:rPr>
          <w:color w:val="auto"/>
        </w:rPr>
        <w:t>pathogenic variant</w:t>
      </w:r>
      <w:r w:rsidRPr="00AB5B00">
        <w:rPr>
          <w:color w:val="auto"/>
        </w:rPr>
        <w:t>, HER2-negative high risk early breast cancer. This include</w:t>
      </w:r>
      <w:r w:rsidR="003B6572">
        <w:rPr>
          <w:color w:val="auto"/>
        </w:rPr>
        <w:t>d</w:t>
      </w:r>
      <w:r w:rsidRPr="00AB5B00">
        <w:rPr>
          <w:color w:val="auto"/>
        </w:rPr>
        <w:t xml:space="preserve"> all patients with invasive, non-metastatic breast cancer, harbouring </w:t>
      </w:r>
      <w:r w:rsidR="001A7FA6" w:rsidRPr="00AB5B00">
        <w:rPr>
          <w:color w:val="auto"/>
        </w:rPr>
        <w:t xml:space="preserve">germline </w:t>
      </w:r>
      <w:r w:rsidR="001A7FA6">
        <w:rPr>
          <w:color w:val="auto"/>
        </w:rPr>
        <w:t>pathogenic</w:t>
      </w:r>
      <w:r w:rsidR="000700F3">
        <w:rPr>
          <w:color w:val="auto"/>
        </w:rPr>
        <w:t xml:space="preserve"> variant</w:t>
      </w:r>
      <w:r w:rsidRPr="00AB5B00">
        <w:rPr>
          <w:color w:val="auto"/>
        </w:rPr>
        <w:t xml:space="preserve">s in one or both </w:t>
      </w:r>
      <w:r w:rsidR="00624CC8" w:rsidRPr="00624CC8">
        <w:rPr>
          <w:i/>
          <w:iCs/>
          <w:color w:val="auto"/>
        </w:rPr>
        <w:t>BRCA</w:t>
      </w:r>
      <w:r w:rsidRPr="00AB5B00">
        <w:rPr>
          <w:color w:val="auto"/>
        </w:rPr>
        <w:t xml:space="preserve"> genes (</w:t>
      </w:r>
      <w:r w:rsidR="00624CC8" w:rsidRPr="00624CC8">
        <w:rPr>
          <w:i/>
          <w:iCs/>
          <w:color w:val="auto"/>
        </w:rPr>
        <w:t>BRCA</w:t>
      </w:r>
      <w:r w:rsidRPr="00AB5B00">
        <w:rPr>
          <w:color w:val="auto"/>
        </w:rPr>
        <w:t xml:space="preserve">1 and/or </w:t>
      </w:r>
      <w:r w:rsidR="00624CC8" w:rsidRPr="00624CC8">
        <w:rPr>
          <w:i/>
          <w:iCs/>
          <w:color w:val="auto"/>
        </w:rPr>
        <w:t>BRCA</w:t>
      </w:r>
      <w:r w:rsidRPr="00AB5B00">
        <w:rPr>
          <w:color w:val="auto"/>
        </w:rPr>
        <w:t xml:space="preserve">2), with the absence of the HER2 biomarker. </w:t>
      </w:r>
    </w:p>
    <w:p w14:paraId="508AFC51" w14:textId="6E9606D3" w:rsidR="00AB5B00" w:rsidRDefault="00AB5B00" w:rsidP="002463A6">
      <w:pPr>
        <w:pStyle w:val="Instructionaltext"/>
        <w:spacing w:after="0"/>
        <w:rPr>
          <w:color w:val="auto"/>
        </w:rPr>
      </w:pPr>
      <w:r w:rsidRPr="00AB5B00">
        <w:rPr>
          <w:color w:val="auto"/>
        </w:rPr>
        <w:t>HER2-negative breast cancer can be either hormone receptor (HR) negative (triple negative breast cancer [TNBC]) or HR positive (i.e. HR-positive/HER2-negative). Early-stage breast cancer (Stages I to III) is defined as disease confined to the breast with or without regional lymph node involvement and in the absence of metastatic disease. Early-stage breast cancer is a heterogeneous disease and optimal treatment depends on pathological and molecular characterisation of the tumour subset to classify tumours as (1) oestrogen receptor (ER) and/or progesterone receptor (PgR) positive or negative, (2) HER2-positive or negative, or (3) triple negative. Treatment for Stages I to III breast cancer usually includes surgery and radiation therapy, often with chemotherapy or other drug therapies either before (neoadjuvant) or after (adjuvant) surgery. Studies have shown that the risk of recurrence in e</w:t>
      </w:r>
      <w:r w:rsidR="0085298B">
        <w:rPr>
          <w:color w:val="auto"/>
        </w:rPr>
        <w:t>arly breast cancer</w:t>
      </w:r>
      <w:r w:rsidRPr="00AB5B00">
        <w:rPr>
          <w:color w:val="auto"/>
        </w:rPr>
        <w:t xml:space="preserve"> is highest during the first 5-years after diagnosis, with a significant decrease and plateauing of the recurrence rate thereafter. Based on the results from OlympiA</w:t>
      </w:r>
      <w:r w:rsidR="0048445B">
        <w:rPr>
          <w:color w:val="auto"/>
        </w:rPr>
        <w:t xml:space="preserve"> trial</w:t>
      </w:r>
      <w:r w:rsidRPr="00AB5B00">
        <w:rPr>
          <w:color w:val="auto"/>
        </w:rPr>
        <w:t xml:space="preserve">, olaparib provides an oral chemotherapy-free treatment option personalised to a patient’s unique </w:t>
      </w:r>
      <w:r w:rsidR="00624CC8" w:rsidRPr="00624CC8">
        <w:rPr>
          <w:i/>
          <w:iCs/>
          <w:color w:val="auto"/>
        </w:rPr>
        <w:t>BRCA</w:t>
      </w:r>
      <w:r w:rsidRPr="00AB5B00">
        <w:rPr>
          <w:color w:val="auto"/>
        </w:rPr>
        <w:t xml:space="preserve"> </w:t>
      </w:r>
      <w:r w:rsidR="000700F3">
        <w:rPr>
          <w:color w:val="auto"/>
        </w:rPr>
        <w:t>pathogenic variant</w:t>
      </w:r>
      <w:r w:rsidRPr="00AB5B00">
        <w:rPr>
          <w:color w:val="auto"/>
        </w:rPr>
        <w:t xml:space="preserve"> in early breast cancer. The results of the OlympiA trial highlight the value of testing for </w:t>
      </w:r>
      <w:r w:rsidR="00624CC8" w:rsidRPr="00624CC8">
        <w:rPr>
          <w:i/>
          <w:iCs/>
          <w:color w:val="auto"/>
        </w:rPr>
        <w:t>BRCA</w:t>
      </w:r>
      <w:r w:rsidRPr="00AB5B00">
        <w:rPr>
          <w:color w:val="auto"/>
        </w:rPr>
        <w:t xml:space="preserve"> </w:t>
      </w:r>
      <w:r w:rsidR="000700F3">
        <w:rPr>
          <w:color w:val="auto"/>
        </w:rPr>
        <w:t>pathogenic variant</w:t>
      </w:r>
      <w:r w:rsidRPr="00AB5B00">
        <w:rPr>
          <w:color w:val="auto"/>
        </w:rPr>
        <w:t>s at diagnosis, and also illustrates the importance of adjuvant therapy for patients with HER2-negaitve high risk early breast cancer in reducing recurrence.</w:t>
      </w:r>
    </w:p>
    <w:p w14:paraId="0EE9BB82" w14:textId="7972B466" w:rsidR="003E2C8D" w:rsidRPr="003E2C8D" w:rsidRDefault="003E2C8D" w:rsidP="003E2C8D">
      <w:pPr>
        <w:pStyle w:val="Instructionaltext"/>
        <w:spacing w:after="0"/>
        <w:rPr>
          <w:color w:val="auto"/>
        </w:rPr>
      </w:pPr>
      <w:r w:rsidRPr="003E2C8D">
        <w:rPr>
          <w:color w:val="auto"/>
        </w:rPr>
        <w:lastRenderedPageBreak/>
        <w:t xml:space="preserve">The current and proposed treatment algorithm for a patient newly diagnosed with </w:t>
      </w:r>
      <w:r w:rsidR="00624CC8" w:rsidRPr="00624CC8">
        <w:rPr>
          <w:i/>
          <w:iCs/>
          <w:color w:val="auto"/>
        </w:rPr>
        <w:t>BRCA</w:t>
      </w:r>
      <w:r w:rsidRPr="00367E3C">
        <w:rPr>
          <w:i/>
          <w:iCs/>
          <w:color w:val="auto"/>
        </w:rPr>
        <w:t>1</w:t>
      </w:r>
      <w:r w:rsidRPr="003E2C8D">
        <w:rPr>
          <w:color w:val="auto"/>
        </w:rPr>
        <w:t xml:space="preserve"> or </w:t>
      </w:r>
      <w:r w:rsidR="00624CC8" w:rsidRPr="00624CC8">
        <w:rPr>
          <w:i/>
          <w:iCs/>
          <w:color w:val="auto"/>
        </w:rPr>
        <w:t>BRCA</w:t>
      </w:r>
      <w:r w:rsidRPr="003E2C8D">
        <w:rPr>
          <w:color w:val="auto"/>
        </w:rPr>
        <w:t xml:space="preserve"> 2 </w:t>
      </w:r>
      <w:r w:rsidR="008F1BEB">
        <w:rPr>
          <w:color w:val="auto"/>
        </w:rPr>
        <w:t>pathogenic variant</w:t>
      </w:r>
      <w:r w:rsidRPr="003E2C8D">
        <w:rPr>
          <w:color w:val="auto"/>
        </w:rPr>
        <w:t xml:space="preserve">, HER2-negative high risk early breast cancer </w:t>
      </w:r>
      <w:r w:rsidR="00A14131">
        <w:rPr>
          <w:color w:val="auto"/>
        </w:rPr>
        <w:t xml:space="preserve">is shown </w:t>
      </w:r>
      <w:r w:rsidRPr="003E2C8D">
        <w:rPr>
          <w:color w:val="auto"/>
        </w:rPr>
        <w:t xml:space="preserve">in </w:t>
      </w:r>
      <w:r w:rsidR="006A7F17" w:rsidRPr="008C7ACD">
        <w:rPr>
          <w:color w:val="auto"/>
        </w:rPr>
        <w:fldChar w:fldCharType="begin"/>
      </w:r>
      <w:r w:rsidR="006A7F17" w:rsidRPr="008C7ACD">
        <w:rPr>
          <w:color w:val="auto"/>
        </w:rPr>
        <w:instrText xml:space="preserve"> REF _Ref118288783 \h </w:instrText>
      </w:r>
      <w:r w:rsidR="006A7F17" w:rsidRPr="008C7ACD">
        <w:rPr>
          <w:color w:val="auto"/>
        </w:rPr>
      </w:r>
      <w:r w:rsidR="006A7F17" w:rsidRPr="008C7ACD">
        <w:rPr>
          <w:color w:val="auto"/>
        </w:rPr>
        <w:fldChar w:fldCharType="separate"/>
      </w:r>
      <w:r w:rsidR="00EF5403" w:rsidRPr="008C7ACD">
        <w:rPr>
          <w:color w:val="auto"/>
        </w:rPr>
        <w:t xml:space="preserve">Figure </w:t>
      </w:r>
      <w:r w:rsidR="00EF5403" w:rsidRPr="008C7ACD">
        <w:rPr>
          <w:noProof/>
          <w:color w:val="auto"/>
        </w:rPr>
        <w:t>1</w:t>
      </w:r>
      <w:r w:rsidR="006A7F17" w:rsidRPr="008C7ACD">
        <w:rPr>
          <w:color w:val="auto"/>
        </w:rPr>
        <w:fldChar w:fldCharType="end"/>
      </w:r>
      <w:r w:rsidRPr="006A7F17">
        <w:rPr>
          <w:color w:val="auto"/>
        </w:rPr>
        <w:t>.</w:t>
      </w:r>
      <w:r w:rsidRPr="003E2C8D">
        <w:rPr>
          <w:color w:val="auto"/>
        </w:rPr>
        <w:t xml:space="preserve"> At present there are no specific guidelines to treat women newly diagnosed </w:t>
      </w:r>
      <w:r w:rsidR="00624CC8" w:rsidRPr="00A14131">
        <w:rPr>
          <w:i/>
          <w:iCs/>
          <w:color w:val="auto"/>
        </w:rPr>
        <w:t>BRCA</w:t>
      </w:r>
      <w:r w:rsidRPr="00A14131">
        <w:rPr>
          <w:i/>
          <w:iCs/>
          <w:color w:val="auto"/>
        </w:rPr>
        <w:t>1</w:t>
      </w:r>
      <w:r w:rsidRPr="003E2C8D">
        <w:rPr>
          <w:color w:val="auto"/>
        </w:rPr>
        <w:t xml:space="preserve"> and/or </w:t>
      </w:r>
      <w:r w:rsidR="00624CC8" w:rsidRPr="00624CC8">
        <w:rPr>
          <w:i/>
          <w:iCs/>
          <w:color w:val="auto"/>
        </w:rPr>
        <w:t>BRCA</w:t>
      </w:r>
      <w:r w:rsidRPr="003E2C8D">
        <w:rPr>
          <w:color w:val="auto"/>
        </w:rPr>
        <w:t xml:space="preserve">2 </w:t>
      </w:r>
      <w:r w:rsidR="008F1BEB">
        <w:rPr>
          <w:color w:val="auto"/>
        </w:rPr>
        <w:t>pathogenic variant</w:t>
      </w:r>
      <w:r w:rsidRPr="003E2C8D">
        <w:rPr>
          <w:color w:val="auto"/>
        </w:rPr>
        <w:t xml:space="preserve"> HER2-negative high risk early breast cancer, which </w:t>
      </w:r>
      <w:r w:rsidR="00A14131">
        <w:rPr>
          <w:color w:val="auto"/>
        </w:rPr>
        <w:t>was</w:t>
      </w:r>
      <w:r w:rsidRPr="003E2C8D">
        <w:rPr>
          <w:color w:val="auto"/>
        </w:rPr>
        <w:t xml:space="preserve"> the population of focus in th</w:t>
      </w:r>
      <w:r w:rsidR="00A14131">
        <w:rPr>
          <w:color w:val="auto"/>
        </w:rPr>
        <w:t>e</w:t>
      </w:r>
      <w:r w:rsidRPr="003E2C8D">
        <w:rPr>
          <w:color w:val="auto"/>
        </w:rPr>
        <w:t xml:space="preserve"> submission.</w:t>
      </w:r>
    </w:p>
    <w:p w14:paraId="37CB21F9" w14:textId="1D9C96A6" w:rsidR="003E2C8D" w:rsidRPr="003E2C8D" w:rsidRDefault="003E2C8D" w:rsidP="003E2C8D">
      <w:pPr>
        <w:pStyle w:val="Instructionaltext"/>
        <w:spacing w:after="0"/>
        <w:rPr>
          <w:color w:val="auto"/>
        </w:rPr>
      </w:pPr>
      <w:r w:rsidRPr="003E2C8D">
        <w:rPr>
          <w:color w:val="auto"/>
        </w:rPr>
        <w:t xml:space="preserve">The current algorithm </w:t>
      </w:r>
      <w:r w:rsidR="003265E5">
        <w:rPr>
          <w:color w:val="auto"/>
        </w:rPr>
        <w:t>is</w:t>
      </w:r>
      <w:r w:rsidRPr="003E2C8D">
        <w:rPr>
          <w:color w:val="auto"/>
        </w:rPr>
        <w:t xml:space="preserve"> based on local and international clinical practice guidelines for patients newly diagnosed with </w:t>
      </w:r>
      <w:r w:rsidR="00624CC8" w:rsidRPr="00624CC8">
        <w:rPr>
          <w:i/>
          <w:iCs/>
          <w:color w:val="auto"/>
        </w:rPr>
        <w:t>BRCA</w:t>
      </w:r>
      <w:r w:rsidRPr="003E2C8D">
        <w:rPr>
          <w:color w:val="auto"/>
        </w:rPr>
        <w:t xml:space="preserve">1 and/or </w:t>
      </w:r>
      <w:r w:rsidR="00624CC8" w:rsidRPr="00624CC8">
        <w:rPr>
          <w:i/>
          <w:iCs/>
          <w:color w:val="auto"/>
        </w:rPr>
        <w:t>BRCA</w:t>
      </w:r>
      <w:r w:rsidRPr="003E2C8D">
        <w:rPr>
          <w:color w:val="auto"/>
        </w:rPr>
        <w:t xml:space="preserve">2 </w:t>
      </w:r>
      <w:r w:rsidR="008F1BEB">
        <w:rPr>
          <w:color w:val="auto"/>
        </w:rPr>
        <w:t>pathogenic variant</w:t>
      </w:r>
      <w:r w:rsidRPr="003E2C8D">
        <w:rPr>
          <w:color w:val="auto"/>
        </w:rPr>
        <w:t xml:space="preserve"> HER2-negative high risk early breast cancer. The current clinical management does not have a recommendation to test TNBC and HR-positive, HER2-negative early breast cancer patients with high risk tumour characteristics to test for the presence of a </w:t>
      </w:r>
      <w:r w:rsidR="00624CC8" w:rsidRPr="00624CC8">
        <w:rPr>
          <w:i/>
          <w:iCs/>
          <w:color w:val="auto"/>
        </w:rPr>
        <w:t>BRCA</w:t>
      </w:r>
      <w:r w:rsidRPr="003E2C8D">
        <w:rPr>
          <w:color w:val="auto"/>
        </w:rPr>
        <w:t xml:space="preserve">1 or </w:t>
      </w:r>
      <w:r w:rsidR="00624CC8" w:rsidRPr="00624CC8">
        <w:rPr>
          <w:i/>
          <w:iCs/>
          <w:color w:val="auto"/>
        </w:rPr>
        <w:t>BRCA</w:t>
      </w:r>
      <w:r w:rsidRPr="003E2C8D">
        <w:rPr>
          <w:color w:val="auto"/>
        </w:rPr>
        <w:t xml:space="preserve">2 </w:t>
      </w:r>
      <w:r w:rsidR="000700F3">
        <w:rPr>
          <w:color w:val="auto"/>
        </w:rPr>
        <w:t>pathogenic variant</w:t>
      </w:r>
      <w:r w:rsidRPr="003E2C8D">
        <w:rPr>
          <w:color w:val="auto"/>
        </w:rPr>
        <w:t xml:space="preserve"> at diagnosis. Patients who are identified to be high risk of recurrence of cancer receive</w:t>
      </w:r>
      <w:r w:rsidR="009D6F3C">
        <w:rPr>
          <w:color w:val="auto"/>
        </w:rPr>
        <w:t>s</w:t>
      </w:r>
      <w:r w:rsidRPr="003E2C8D">
        <w:rPr>
          <w:color w:val="auto"/>
        </w:rPr>
        <w:t xml:space="preserve"> neoadjuvant or adjuvant chemotherapy (with anthracyclines and/or taxanes) followed by oral chemotherapy and endocrine therapy if HR-positive. </w:t>
      </w:r>
    </w:p>
    <w:p w14:paraId="06E32CB2" w14:textId="2EB2F9F8" w:rsidR="003E2C8D" w:rsidRPr="003E2C8D" w:rsidRDefault="006A7F17" w:rsidP="003E2C8D">
      <w:pPr>
        <w:pStyle w:val="Instructionaltext"/>
        <w:spacing w:after="0"/>
        <w:rPr>
          <w:color w:val="auto"/>
        </w:rPr>
      </w:pPr>
      <w:r w:rsidRPr="003E2C8D">
        <w:rPr>
          <w:color w:val="auto"/>
        </w:rPr>
        <w:t>The proposed clinical management algorithm</w:t>
      </w:r>
      <w:r w:rsidR="003E2C8D" w:rsidRPr="003E2C8D">
        <w:rPr>
          <w:color w:val="auto"/>
        </w:rPr>
        <w:t xml:space="preserve"> include</w:t>
      </w:r>
      <w:r w:rsidR="009D6F3C">
        <w:rPr>
          <w:color w:val="auto"/>
        </w:rPr>
        <w:t>d</w:t>
      </w:r>
      <w:r w:rsidR="003E2C8D" w:rsidRPr="003E2C8D">
        <w:rPr>
          <w:color w:val="auto"/>
        </w:rPr>
        <w:t xml:space="preserve"> the proposed medical service (germline </w:t>
      </w:r>
      <w:r w:rsidR="00624CC8" w:rsidRPr="00624CC8">
        <w:rPr>
          <w:i/>
          <w:iCs/>
          <w:color w:val="auto"/>
        </w:rPr>
        <w:t>BRCA</w:t>
      </w:r>
      <w:r w:rsidR="003E2C8D" w:rsidRPr="003E2C8D">
        <w:rPr>
          <w:color w:val="auto"/>
        </w:rPr>
        <w:t xml:space="preserve"> </w:t>
      </w:r>
      <w:r w:rsidR="000700F3">
        <w:rPr>
          <w:color w:val="auto"/>
        </w:rPr>
        <w:t>variant</w:t>
      </w:r>
      <w:r w:rsidR="003E2C8D" w:rsidRPr="003E2C8D">
        <w:rPr>
          <w:color w:val="auto"/>
        </w:rPr>
        <w:t xml:space="preserve"> test) at diagnosis of </w:t>
      </w:r>
      <w:r w:rsidR="001A7FA6" w:rsidRPr="00662904">
        <w:rPr>
          <w:color w:val="auto"/>
        </w:rPr>
        <w:t>Immunohistochemistry</w:t>
      </w:r>
      <w:r w:rsidR="00662904">
        <w:rPr>
          <w:color w:val="auto"/>
        </w:rPr>
        <w:t xml:space="preserve"> (</w:t>
      </w:r>
      <w:r w:rsidR="003E2C8D" w:rsidRPr="003E2C8D">
        <w:rPr>
          <w:color w:val="auto"/>
        </w:rPr>
        <w:t>IHC</w:t>
      </w:r>
      <w:r w:rsidR="00662904">
        <w:rPr>
          <w:color w:val="auto"/>
        </w:rPr>
        <w:t>)</w:t>
      </w:r>
      <w:r w:rsidR="003E2C8D" w:rsidRPr="003E2C8D">
        <w:rPr>
          <w:color w:val="auto"/>
        </w:rPr>
        <w:t xml:space="preserve"> status of breast cancer. It is proposed olaparib treatment be provided in adult patients with HER2-negative high risk early breast cancer with a confirmed </w:t>
      </w:r>
      <w:r w:rsidR="00624CC8" w:rsidRPr="00624CC8">
        <w:rPr>
          <w:i/>
          <w:iCs/>
          <w:color w:val="auto"/>
        </w:rPr>
        <w:t>BRCA</w:t>
      </w:r>
      <w:r w:rsidR="003E2C8D" w:rsidRPr="003E2C8D">
        <w:rPr>
          <w:color w:val="auto"/>
        </w:rPr>
        <w:t xml:space="preserve">1 and/or </w:t>
      </w:r>
      <w:r w:rsidR="00624CC8" w:rsidRPr="00624CC8">
        <w:rPr>
          <w:i/>
          <w:iCs/>
          <w:color w:val="auto"/>
        </w:rPr>
        <w:t>BRCA</w:t>
      </w:r>
      <w:r w:rsidR="003E2C8D" w:rsidRPr="003E2C8D">
        <w:rPr>
          <w:color w:val="auto"/>
        </w:rPr>
        <w:t xml:space="preserve">2 </w:t>
      </w:r>
      <w:r w:rsidR="000700F3">
        <w:rPr>
          <w:color w:val="auto"/>
        </w:rPr>
        <w:t>variant</w:t>
      </w:r>
      <w:r w:rsidR="003E2C8D" w:rsidRPr="003E2C8D">
        <w:rPr>
          <w:color w:val="auto"/>
        </w:rPr>
        <w:t>, who must have completed definitive local treatment and have previously been treated with neoadjuvant or adjuvant chemotherapy (containing anthracyclines and/or taxanes). Patients who received prior neoadjuvant chemotherapy; both TNBC patients and HR-positive patients must have had residual invasive cancer in the breast and/or resected lymph nodes. Patients who had received prior adjuvant chemotherapy; TNBC patients must have had node positive disease or primary tumour greater than 2 cm, HR-positive patients must have had 4 or more positive lymph nodes.</w:t>
      </w:r>
    </w:p>
    <w:p w14:paraId="4B7EFFA9" w14:textId="5B663F03" w:rsidR="003E2C8D" w:rsidRDefault="003E2C8D" w:rsidP="003E2C8D">
      <w:pPr>
        <w:pStyle w:val="Instructionaltext"/>
        <w:spacing w:after="0"/>
        <w:rPr>
          <w:color w:val="auto"/>
        </w:rPr>
      </w:pPr>
      <w:r w:rsidRPr="003E2C8D">
        <w:rPr>
          <w:color w:val="auto"/>
        </w:rPr>
        <w:t xml:space="preserve">Those patients who test negative to </w:t>
      </w:r>
      <w:r w:rsidR="00624CC8" w:rsidRPr="00624CC8">
        <w:rPr>
          <w:i/>
          <w:iCs/>
          <w:color w:val="auto"/>
        </w:rPr>
        <w:t>BRCA</w:t>
      </w:r>
      <w:r w:rsidRPr="003E2C8D">
        <w:rPr>
          <w:color w:val="auto"/>
        </w:rPr>
        <w:t xml:space="preserve"> </w:t>
      </w:r>
      <w:r w:rsidR="000700F3">
        <w:rPr>
          <w:color w:val="auto"/>
        </w:rPr>
        <w:t>variant</w:t>
      </w:r>
      <w:r w:rsidRPr="003E2C8D">
        <w:rPr>
          <w:color w:val="auto"/>
        </w:rPr>
        <w:t xml:space="preserve">s or test positive to </w:t>
      </w:r>
      <w:r w:rsidR="00624CC8" w:rsidRPr="00624CC8">
        <w:rPr>
          <w:i/>
          <w:iCs/>
          <w:color w:val="auto"/>
        </w:rPr>
        <w:t>BRCA</w:t>
      </w:r>
      <w:r w:rsidRPr="003E2C8D">
        <w:rPr>
          <w:color w:val="auto"/>
        </w:rPr>
        <w:t xml:space="preserve"> wild type (</w:t>
      </w:r>
      <w:r w:rsidR="00624CC8" w:rsidRPr="00624CC8">
        <w:rPr>
          <w:i/>
          <w:iCs/>
          <w:color w:val="auto"/>
        </w:rPr>
        <w:t>BRCA</w:t>
      </w:r>
      <w:r w:rsidRPr="003E2C8D">
        <w:rPr>
          <w:color w:val="auto"/>
        </w:rPr>
        <w:t xml:space="preserve">wt) </w:t>
      </w:r>
      <w:r w:rsidR="000700F3">
        <w:rPr>
          <w:color w:val="auto"/>
        </w:rPr>
        <w:t>variant</w:t>
      </w:r>
      <w:r w:rsidRPr="003E2C8D">
        <w:rPr>
          <w:color w:val="auto"/>
        </w:rPr>
        <w:t xml:space="preserve"> will receive similar treatment options under the current clinical management algorithm i.e. oral chemotherapy and endocrine therapy, if HR-positive.</w:t>
      </w:r>
    </w:p>
    <w:p w14:paraId="5429C89D" w14:textId="77777777" w:rsidR="00536CED" w:rsidRDefault="00536CED">
      <w:pPr>
        <w:spacing w:before="0"/>
        <w:sectPr w:rsidR="00536CED" w:rsidSect="00784341">
          <w:headerReference w:type="even" r:id="rId14"/>
          <w:headerReference w:type="default" r:id="rId15"/>
          <w:footerReference w:type="even" r:id="rId16"/>
          <w:footerReference w:type="default" r:id="rId17"/>
          <w:headerReference w:type="first" r:id="rId18"/>
          <w:footerReference w:type="first" r:id="rId19"/>
          <w:type w:val="oddPage"/>
          <w:pgSz w:w="11906" w:h="16838"/>
          <w:pgMar w:top="1440" w:right="1440" w:bottom="1440" w:left="1440" w:header="708" w:footer="708" w:gutter="0"/>
          <w:cols w:space="708"/>
          <w:docGrid w:linePitch="360"/>
        </w:sectPr>
      </w:pPr>
      <w:bookmarkStart w:id="11" w:name="_Toc69491420"/>
    </w:p>
    <w:p w14:paraId="574A2546" w14:textId="5D561FFA" w:rsidR="00536CED" w:rsidRPr="00AF7F1B" w:rsidRDefault="00536CED" w:rsidP="00536CED">
      <w:pPr>
        <w:pStyle w:val="Caption"/>
      </w:pPr>
      <w:bookmarkStart w:id="12" w:name="_Ref118288783"/>
      <w:r w:rsidRPr="00AF7F1B">
        <w:lastRenderedPageBreak/>
        <w:t xml:space="preserve">Figure </w:t>
      </w:r>
      <w:r w:rsidR="00E121C1">
        <w:fldChar w:fldCharType="begin"/>
      </w:r>
      <w:r w:rsidR="00E121C1">
        <w:instrText>SEQ Figure \* ARABIC</w:instrText>
      </w:r>
      <w:r w:rsidR="00E121C1">
        <w:fldChar w:fldCharType="separate"/>
      </w:r>
      <w:r w:rsidR="00EF5403">
        <w:rPr>
          <w:noProof/>
        </w:rPr>
        <w:t>1</w:t>
      </w:r>
      <w:r w:rsidR="00E121C1">
        <w:fldChar w:fldCharType="end"/>
      </w:r>
      <w:bookmarkEnd w:id="12"/>
      <w:r w:rsidRPr="00AF7F1B">
        <w:tab/>
      </w:r>
      <w:r>
        <w:tab/>
      </w:r>
      <w:r w:rsidRPr="00AF7F1B">
        <w:t>Proposed clinical treatment algorithm</w:t>
      </w:r>
    </w:p>
    <w:p w14:paraId="3EE80F12" w14:textId="4C15ADBC" w:rsidR="00536CED" w:rsidRDefault="004E6008" w:rsidP="00536CED">
      <w:pPr>
        <w:spacing w:after="240" w:line="240" w:lineRule="auto"/>
        <w:rPr>
          <w:rFonts w:ascii="Arial Narrow" w:hAnsi="Arial Narrow"/>
          <w:sz w:val="18"/>
          <w:szCs w:val="18"/>
          <w:lang w:val="en-GB" w:eastAsia="ja-JP"/>
        </w:rPr>
        <w:sectPr w:rsidR="00536CED" w:rsidSect="00536CED">
          <w:pgSz w:w="16838" w:h="11906" w:orient="landscape"/>
          <w:pgMar w:top="1440" w:right="1440" w:bottom="1440" w:left="1440" w:header="708" w:footer="708" w:gutter="0"/>
          <w:cols w:space="708"/>
          <w:docGrid w:linePitch="360"/>
        </w:sectPr>
      </w:pPr>
      <w:r w:rsidRPr="00041B36">
        <w:rPr>
          <w:rFonts w:cs="Arial"/>
          <w:noProof/>
        </w:rPr>
        <w:drawing>
          <wp:inline distT="0" distB="0" distL="0" distR="0" wp14:anchorId="13EAEA9D" wp14:editId="49FD2C8A">
            <wp:extent cx="8961755" cy="4781550"/>
            <wp:effectExtent l="0" t="0" r="0" b="0"/>
            <wp:docPr id="10" name="Picture 10" descr="Proposed clinical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oposed clinical treatment algorithm"/>
                    <pic:cNvPicPr/>
                  </pic:nvPicPr>
                  <pic:blipFill>
                    <a:blip r:embed="rId20">
                      <a:extLst>
                        <a:ext uri="{28A0092B-C50C-407E-A947-70E740481C1C}">
                          <a14:useLocalDpi xmlns:a14="http://schemas.microsoft.com/office/drawing/2010/main" val="0"/>
                        </a:ext>
                      </a:extLst>
                    </a:blip>
                    <a:stretch>
                      <a:fillRect/>
                    </a:stretch>
                  </pic:blipFill>
                  <pic:spPr>
                    <a:xfrm>
                      <a:off x="0" y="0"/>
                      <a:ext cx="8961755" cy="4781550"/>
                    </a:xfrm>
                    <a:prstGeom prst="rect">
                      <a:avLst/>
                    </a:prstGeom>
                  </pic:spPr>
                </pic:pic>
              </a:graphicData>
            </a:graphic>
          </wp:inline>
        </w:drawing>
      </w:r>
      <w:r w:rsidR="00536CED" w:rsidRPr="004B457F">
        <w:rPr>
          <w:rFonts w:ascii="Arial Narrow" w:hAnsi="Arial Narrow"/>
          <w:sz w:val="18"/>
          <w:szCs w:val="18"/>
          <w:lang w:val="en-GB" w:eastAsia="ja-JP"/>
        </w:rPr>
        <w:t xml:space="preserve">Abbreviations: </w:t>
      </w:r>
      <w:r w:rsidR="00624CC8" w:rsidRPr="00624CC8">
        <w:rPr>
          <w:rFonts w:ascii="Arial Narrow" w:hAnsi="Arial Narrow"/>
          <w:i/>
          <w:iCs/>
          <w:sz w:val="18"/>
          <w:szCs w:val="18"/>
          <w:lang w:val="en-GB" w:eastAsia="ja-JP"/>
        </w:rPr>
        <w:t>BRCA</w:t>
      </w:r>
      <w:r w:rsidR="00536CED" w:rsidRPr="004B457F">
        <w:rPr>
          <w:rFonts w:ascii="Arial Narrow" w:hAnsi="Arial Narrow"/>
          <w:sz w:val="18"/>
          <w:szCs w:val="18"/>
          <w:lang w:val="en-GB" w:eastAsia="ja-JP"/>
        </w:rPr>
        <w:t xml:space="preserve">, BReast CAncer gene; </w:t>
      </w:r>
      <w:r w:rsidR="00624CC8" w:rsidRPr="00624CC8">
        <w:rPr>
          <w:rFonts w:ascii="Arial Narrow" w:hAnsi="Arial Narrow"/>
          <w:i/>
          <w:iCs/>
          <w:sz w:val="18"/>
          <w:szCs w:val="18"/>
          <w:lang w:val="en-GB" w:eastAsia="ja-JP"/>
        </w:rPr>
        <w:t>BRCA</w:t>
      </w:r>
      <w:r w:rsidR="00536CED" w:rsidRPr="004B457F">
        <w:rPr>
          <w:rFonts w:ascii="Arial Narrow" w:hAnsi="Arial Narrow"/>
          <w:sz w:val="18"/>
          <w:szCs w:val="18"/>
          <w:lang w:val="en-GB" w:eastAsia="ja-JP"/>
        </w:rPr>
        <w:t>wt, BReast CAncer gene wild type; ER, estrogen receptor; HER2, human epidermal growth factor receptor 2; HR, hormone receptor; MBC, metastatic breast cancer; MBS, Medicare Benefits Schedule; PR, progesterone receptor; SLN, sentinel lymph node biopsy; TNBC, triple negative breast cancer</w:t>
      </w:r>
    </w:p>
    <w:p w14:paraId="66BDFCC1" w14:textId="1494E7DD" w:rsidR="00772829" w:rsidRDefault="00A93342" w:rsidP="002A18BE">
      <w:pPr>
        <w:pStyle w:val="Heading2"/>
        <w:numPr>
          <w:ilvl w:val="0"/>
          <w:numId w:val="0"/>
        </w:numPr>
      </w:pPr>
      <w:r>
        <w:lastRenderedPageBreak/>
        <w:t>8</w:t>
      </w:r>
      <w:r w:rsidR="00C36633">
        <w:t>.</w:t>
      </w:r>
      <w:r w:rsidR="00C36633">
        <w:tab/>
      </w:r>
      <w:r w:rsidR="00772829" w:rsidRPr="00CE28E3">
        <w:t>Comparator</w:t>
      </w:r>
      <w:bookmarkEnd w:id="11"/>
    </w:p>
    <w:p w14:paraId="2ABE6F2A" w14:textId="77777777" w:rsidR="00DA75EC" w:rsidRPr="00DA75EC" w:rsidRDefault="00DA75EC" w:rsidP="00D26CCA">
      <w:pPr>
        <w:pStyle w:val="Heading3"/>
      </w:pPr>
      <w:r w:rsidRPr="00DA75EC">
        <w:t>Test</w:t>
      </w:r>
    </w:p>
    <w:p w14:paraId="45282C94" w14:textId="0B7EDFA0" w:rsidR="009527FC" w:rsidRPr="009E138B" w:rsidRDefault="00FE323C" w:rsidP="009527FC">
      <w:pPr>
        <w:rPr>
          <w:i/>
          <w:iCs/>
        </w:rPr>
      </w:pPr>
      <w:r w:rsidRPr="009E138B">
        <w:t xml:space="preserve">The comparator for </w:t>
      </w:r>
      <w:r w:rsidR="00624CC8" w:rsidRPr="009E138B">
        <w:rPr>
          <w:i/>
          <w:iCs/>
        </w:rPr>
        <w:t>BRCA</w:t>
      </w:r>
      <w:r w:rsidR="00D23B2B" w:rsidRPr="009E138B">
        <w:t xml:space="preserve">1/2 testing </w:t>
      </w:r>
      <w:r w:rsidRPr="009E138B">
        <w:t xml:space="preserve">was ‘no testing’. </w:t>
      </w:r>
      <w:r w:rsidR="00D23B2B" w:rsidRPr="009E138B">
        <w:t xml:space="preserve">The MSAC executive noted that </w:t>
      </w:r>
      <w:r w:rsidR="00DB59DA" w:rsidRPr="009E138B">
        <w:t xml:space="preserve">germline </w:t>
      </w:r>
      <w:r w:rsidR="00624CC8" w:rsidRPr="009E138B">
        <w:rPr>
          <w:i/>
          <w:iCs/>
        </w:rPr>
        <w:t>BRCA</w:t>
      </w:r>
      <w:r w:rsidR="00DB59DA" w:rsidRPr="009E138B">
        <w:t xml:space="preserve"> testing </w:t>
      </w:r>
      <w:r w:rsidR="00DF51BB" w:rsidRPr="009E138B">
        <w:t xml:space="preserve">under the MBS item 73296 </w:t>
      </w:r>
      <w:r w:rsidR="00DB59DA" w:rsidRPr="009E138B">
        <w:t xml:space="preserve">is </w:t>
      </w:r>
      <w:r w:rsidR="00DF51BB" w:rsidRPr="009E138B">
        <w:t>available for patients only when somatic testing is unavailable (based on MBS items 73295 and 73304</w:t>
      </w:r>
      <w:r w:rsidR="00580585" w:rsidRPr="009E138B">
        <w:t>) and “for whom clinical and family history criteria (as assessed, by the specialist or consultant physician who requests the service, using a quantitative algorithm) place the patient [with breast cancer] at greater than 10% risk of having a pathogenic or likely pathogenic gene variation”.</w:t>
      </w:r>
      <w:r w:rsidR="00547EC5" w:rsidRPr="009E138B">
        <w:t xml:space="preserve"> </w:t>
      </w:r>
      <w:r w:rsidR="007857B5" w:rsidRPr="009E138B">
        <w:t>In Australia, many Genetic/Familial Cancer Centres use the criteria outlined in the eviQ Guidelines (</w:t>
      </w:r>
      <w:hyperlink r:id="rId21" w:history="1">
        <w:r w:rsidR="007857B5" w:rsidRPr="009E138B">
          <w:rPr>
            <w:rStyle w:val="Hyperlink"/>
          </w:rPr>
          <w:t>eviQ Guidelines</w:t>
        </w:r>
      </w:hyperlink>
      <w:r w:rsidR="007857B5" w:rsidRPr="009E138B">
        <w:t xml:space="preserve"> for genetic testing for heritable </w:t>
      </w:r>
      <w:r w:rsidR="000700F3" w:rsidRPr="009E138B">
        <w:t>variant</w:t>
      </w:r>
      <w:r w:rsidR="007857B5" w:rsidRPr="009E138B">
        <w:t xml:space="preserve">s in the </w:t>
      </w:r>
      <w:r w:rsidR="00624CC8" w:rsidRPr="009E138B">
        <w:rPr>
          <w:i/>
          <w:iCs/>
        </w:rPr>
        <w:t>BRCA</w:t>
      </w:r>
      <w:r w:rsidR="007857B5" w:rsidRPr="009E138B">
        <w:t xml:space="preserve">1 and </w:t>
      </w:r>
      <w:r w:rsidR="00624CC8" w:rsidRPr="009E138B">
        <w:rPr>
          <w:i/>
          <w:iCs/>
        </w:rPr>
        <w:t>BRCA</w:t>
      </w:r>
      <w:r w:rsidR="007857B5" w:rsidRPr="009E138B">
        <w:t xml:space="preserve">2 genes, 2020), to identify suitable candidates for </w:t>
      </w:r>
      <w:r w:rsidR="00A6020F" w:rsidRPr="009E138B">
        <w:t xml:space="preserve">germline </w:t>
      </w:r>
      <w:r w:rsidR="00624CC8" w:rsidRPr="009E138B">
        <w:rPr>
          <w:i/>
          <w:iCs/>
        </w:rPr>
        <w:t>BRCA</w:t>
      </w:r>
      <w:r w:rsidR="007857B5" w:rsidRPr="009E138B">
        <w:t xml:space="preserve"> </w:t>
      </w:r>
      <w:r w:rsidR="000700F3" w:rsidRPr="009E138B">
        <w:t>pathogenic variant</w:t>
      </w:r>
      <w:r w:rsidR="007857B5" w:rsidRPr="009E138B">
        <w:t xml:space="preserve"> testing for the purpose of familial cancer risk assessment. The eviQ guidelines currently recommend </w:t>
      </w:r>
      <w:r w:rsidR="00624CC8" w:rsidRPr="009E138B">
        <w:rPr>
          <w:i/>
          <w:iCs/>
        </w:rPr>
        <w:t>BRCA</w:t>
      </w:r>
      <w:r w:rsidR="007857B5" w:rsidRPr="009E138B">
        <w:t xml:space="preserve"> </w:t>
      </w:r>
      <w:r w:rsidR="000700F3" w:rsidRPr="009E138B">
        <w:t>pathogenic variant</w:t>
      </w:r>
      <w:r w:rsidR="007857B5" w:rsidRPr="009E138B">
        <w:t xml:space="preserve"> testing for the purpose of familial cancer risk assessment in individuals with a greater than 10% probability of carrying a </w:t>
      </w:r>
      <w:r w:rsidR="000700F3" w:rsidRPr="009E138B">
        <w:t>pathogenic variant</w:t>
      </w:r>
      <w:r w:rsidR="007857B5" w:rsidRPr="009E138B">
        <w:t xml:space="preserve">, based on their personal or family history of cancer. </w:t>
      </w:r>
      <w:r w:rsidR="008B3C11" w:rsidRPr="009E138B">
        <w:t>Therefore,</w:t>
      </w:r>
      <w:r w:rsidR="00580585" w:rsidRPr="009E138B">
        <w:t xml:space="preserve"> the MSAC executive advised that for the proposed population</w:t>
      </w:r>
      <w:r w:rsidR="00CD7B0D" w:rsidRPr="009E138B">
        <w:t xml:space="preserve"> of patients with </w:t>
      </w:r>
      <w:r w:rsidR="009527FC" w:rsidRPr="009E138B">
        <w:t>“</w:t>
      </w:r>
      <w:r w:rsidR="00CD7B0D" w:rsidRPr="009E138B">
        <w:t>triple negative early breast cancer or hormone receptor positive, HER2-negative, early breast cancer with high risk characteristics</w:t>
      </w:r>
      <w:r w:rsidR="009527FC" w:rsidRPr="009E138B">
        <w:t>”</w:t>
      </w:r>
      <w:r w:rsidR="00CD7B0D" w:rsidRPr="009E138B">
        <w:t>,</w:t>
      </w:r>
      <w:r w:rsidR="00580585" w:rsidRPr="009E138B">
        <w:t xml:space="preserve"> no </w:t>
      </w:r>
      <w:r w:rsidR="00624CC8" w:rsidRPr="009E138B">
        <w:rPr>
          <w:i/>
          <w:iCs/>
        </w:rPr>
        <w:t>BRCA</w:t>
      </w:r>
      <w:r w:rsidR="00580585" w:rsidRPr="009E138B">
        <w:t xml:space="preserve">1/2 testing would be a comparator. </w:t>
      </w:r>
      <w:r w:rsidRPr="009E138B">
        <w:rPr>
          <w:i/>
          <w:iCs/>
        </w:rPr>
        <w:t>This was appropriate.</w:t>
      </w:r>
      <w:r w:rsidR="00D23B2B" w:rsidRPr="009E138B">
        <w:rPr>
          <w:i/>
          <w:iCs/>
        </w:rPr>
        <w:t xml:space="preserve"> </w:t>
      </w:r>
      <w:bookmarkStart w:id="13" w:name="_Toc69491421"/>
    </w:p>
    <w:p w14:paraId="415164E0" w14:textId="200DB943" w:rsidR="00DA75EC" w:rsidRPr="009141A7" w:rsidRDefault="009141A7" w:rsidP="00D26CCA">
      <w:pPr>
        <w:pStyle w:val="Heading3"/>
      </w:pPr>
      <w:r w:rsidRPr="009141A7">
        <w:t>Codependent drug</w:t>
      </w:r>
    </w:p>
    <w:p w14:paraId="74D87A89" w14:textId="5143E7A5" w:rsidR="003B2750" w:rsidRPr="009E138B" w:rsidRDefault="003B2750" w:rsidP="009527FC">
      <w:pPr>
        <w:rPr>
          <w:i/>
          <w:iCs/>
        </w:rPr>
      </w:pPr>
      <w:r w:rsidRPr="009E138B">
        <w:t xml:space="preserve">The nominated comparator for </w:t>
      </w:r>
      <w:r w:rsidR="00767A62" w:rsidRPr="009E138B">
        <w:t>o</w:t>
      </w:r>
      <w:r w:rsidRPr="009E138B">
        <w:t xml:space="preserve">laparib was placebo (“watch and wait”). </w:t>
      </w:r>
    </w:p>
    <w:p w14:paraId="47BC3A84" w14:textId="3A09C256" w:rsidR="00772829" w:rsidRPr="00CE28E3" w:rsidRDefault="00A93342" w:rsidP="002A18BE">
      <w:pPr>
        <w:pStyle w:val="Heading2"/>
        <w:numPr>
          <w:ilvl w:val="0"/>
          <w:numId w:val="0"/>
        </w:numPr>
      </w:pPr>
      <w:r>
        <w:t>9</w:t>
      </w:r>
      <w:r w:rsidR="00C36633">
        <w:t>.</w:t>
      </w:r>
      <w:r w:rsidR="00C36633">
        <w:tab/>
      </w:r>
      <w:r w:rsidR="00772829" w:rsidRPr="00CE28E3">
        <w:t xml:space="preserve">Summary of public consultation </w:t>
      </w:r>
      <w:r w:rsidR="0052575D">
        <w:t>input</w:t>
      </w:r>
      <w:bookmarkEnd w:id="13"/>
    </w:p>
    <w:p w14:paraId="07A01EA9" w14:textId="55C4E82F" w:rsidR="00640C74" w:rsidRPr="00640C74" w:rsidRDefault="00640C74" w:rsidP="00640C74">
      <w:r w:rsidRPr="00640C74">
        <w:t>Consultation feedback was received from five (5) organisations and one individual specialist. The organisations included a consumer group, medical and a genomics organisation:</w:t>
      </w:r>
    </w:p>
    <w:p w14:paraId="24C4FBDC" w14:textId="77777777" w:rsidR="00640C74" w:rsidRPr="00640C74" w:rsidRDefault="00640C74" w:rsidP="00640C74">
      <w:pPr>
        <w:numPr>
          <w:ilvl w:val="0"/>
          <w:numId w:val="42"/>
        </w:numPr>
      </w:pPr>
      <w:r w:rsidRPr="00640C74">
        <w:t xml:space="preserve">Pink Hope </w:t>
      </w:r>
    </w:p>
    <w:p w14:paraId="33FEDED2" w14:textId="77777777" w:rsidR="00640C74" w:rsidRPr="00640C74" w:rsidRDefault="00640C74" w:rsidP="00640C74">
      <w:pPr>
        <w:numPr>
          <w:ilvl w:val="0"/>
          <w:numId w:val="42"/>
        </w:numPr>
      </w:pPr>
      <w:r w:rsidRPr="00640C74">
        <w:t>The Medical Oncology Group of Australia (MOGA)</w:t>
      </w:r>
    </w:p>
    <w:p w14:paraId="53B6E518" w14:textId="77777777" w:rsidR="00640C74" w:rsidRPr="00640C74" w:rsidRDefault="00640C74" w:rsidP="00640C74">
      <w:pPr>
        <w:numPr>
          <w:ilvl w:val="0"/>
          <w:numId w:val="42"/>
        </w:numPr>
      </w:pPr>
      <w:r w:rsidRPr="00640C74">
        <w:t>The Royal College of Pathologists of Australasia (RCPA)</w:t>
      </w:r>
    </w:p>
    <w:p w14:paraId="2A7FBC83" w14:textId="77777777" w:rsidR="00640C74" w:rsidRPr="00640C74" w:rsidRDefault="00640C74" w:rsidP="00640C74">
      <w:pPr>
        <w:numPr>
          <w:ilvl w:val="0"/>
          <w:numId w:val="42"/>
        </w:numPr>
      </w:pPr>
      <w:r w:rsidRPr="00640C74">
        <w:t>Australian Genomics (AG)</w:t>
      </w:r>
    </w:p>
    <w:p w14:paraId="016FAB8F" w14:textId="77777777" w:rsidR="00640C74" w:rsidRPr="00640C74" w:rsidRDefault="00640C74" w:rsidP="00640C74">
      <w:pPr>
        <w:numPr>
          <w:ilvl w:val="0"/>
          <w:numId w:val="42"/>
        </w:numPr>
      </w:pPr>
      <w:r w:rsidRPr="00640C74">
        <w:t>Omico</w:t>
      </w:r>
    </w:p>
    <w:p w14:paraId="341548BE" w14:textId="77777777" w:rsidR="00640C74" w:rsidRPr="00640C74" w:rsidRDefault="00640C74" w:rsidP="00640C74">
      <w:r w:rsidRPr="00640C74">
        <w:t xml:space="preserve">All feedback received was supportive of public funding for the proposal and acknowledged that it would grant more patients the opportunity to better inform their treatment options. All input agreed that funding the test will increase equity of access as many patients with TNBC currently fund their own test. </w:t>
      </w:r>
    </w:p>
    <w:p w14:paraId="2F9478EB" w14:textId="16DD1032" w:rsidR="00640C74" w:rsidRPr="00640C74" w:rsidRDefault="00640C74" w:rsidP="00640C74">
      <w:r w:rsidRPr="00640C74">
        <w:t xml:space="preserve">Half of the input noted the OlympiA study to support the benefits to patients with PARP inhibitors with proven germline BRCA 1/2 mutations through testing. MOGA noted the current MBS items for germline genetic testing for BRCA 1/2 requires patients to have a 10% chance of having a </w:t>
      </w:r>
      <w:r w:rsidR="00C01CF6">
        <w:t xml:space="preserve">pathogenic/likely pathogenic variant. </w:t>
      </w:r>
      <w:r w:rsidRPr="00640C74">
        <w:t>They considered this threshold to be inappropriate in the setting of new targeted therapies that improve survival for patients in this population. MOGA strongly supported the indication being for germline testing using blood not tumo</w:t>
      </w:r>
      <w:r w:rsidR="002128C7">
        <w:t>u</w:t>
      </w:r>
      <w:r w:rsidRPr="00640C74">
        <w:t xml:space="preserve">r tissue.  </w:t>
      </w:r>
    </w:p>
    <w:p w14:paraId="6DEF90D2" w14:textId="77777777" w:rsidR="00640C74" w:rsidRPr="00640C74" w:rsidRDefault="00640C74" w:rsidP="00640C74">
      <w:r w:rsidRPr="00640C74">
        <w:t xml:space="preserve">Pink Hope supported expanding access to the test for a wider cohort of patients as it will allow more patients to be eligible to PBS subsidised treatments that are more personalised which gives </w:t>
      </w:r>
      <w:r w:rsidRPr="00640C74">
        <w:lastRenderedPageBreak/>
        <w:t>greater access to treatment options and may improve survival outcomes for these patients. They considered more patients should have access to this test to inform their decision making in regards to treatment options and may benefit other family members in being aware of their cancer risk and how to manage it. They noted however, that passing this information onto some family members may cause anxiety but that genetic counselling should be accessible to support these patients and their families in understanding the information and managing the potential anxiety caused.</w:t>
      </w:r>
    </w:p>
    <w:p w14:paraId="1A93A863" w14:textId="77777777" w:rsidR="00640C74" w:rsidRPr="00640C74" w:rsidRDefault="00640C74" w:rsidP="00640C74">
      <w:r w:rsidRPr="00640C74">
        <w:t xml:space="preserve">Australian Genomics noted there may be increases in workload for diagnostic testing laboratories and for clinical genetic services with the public funding of the proposal that would need to be managed. They suggested that BRCA testing for women with breast cancer for any indication may be more appropriate as part of a broader gene panel so that families of the patient would benefit from this information as well. They also considered that amending MBS item numbers as opposed to creating new item numbers would be beneficial in practice, so as to avoid the risk of introducing complexities and making it confusing for the clinician ordering the test. </w:t>
      </w:r>
    </w:p>
    <w:p w14:paraId="507A6D80" w14:textId="313F5642" w:rsidR="00772829" w:rsidRPr="003251C2" w:rsidRDefault="00640C74" w:rsidP="00640C74">
      <w:r w:rsidRPr="00640C74">
        <w:t xml:space="preserve">RCPA did not agree that ‘high risk early breast cancer’ was well defined in the application. They considered the application proposes to target eligibility for the test beyond TNBC, despite lacking evidence to justify expanding the population. Conversely, MOGA recommended that ‘high risk’ not be limited to the definition used in the OlympiA clinical trial considering it too restrictive. They considered that medical oncologists are well placed to quantify risk of recurrence and death for each individual patient so the indication should not restrict their ability to define a patient as ‘high risk’.  </w:t>
      </w:r>
    </w:p>
    <w:p w14:paraId="03C7A1F1" w14:textId="42FC9428" w:rsidR="00772829" w:rsidRPr="00CE28E3" w:rsidRDefault="002A71BA" w:rsidP="002A18BE">
      <w:pPr>
        <w:pStyle w:val="Heading2"/>
        <w:numPr>
          <w:ilvl w:val="0"/>
          <w:numId w:val="0"/>
        </w:numPr>
      </w:pPr>
      <w:bookmarkStart w:id="14" w:name="_Toc69491422"/>
      <w:r>
        <w:t>10</w:t>
      </w:r>
      <w:r w:rsidR="00C36633">
        <w:t>.</w:t>
      </w:r>
      <w:r w:rsidR="00C36633">
        <w:tab/>
      </w:r>
      <w:r w:rsidR="00772829" w:rsidRPr="00CE28E3">
        <w:t>Characteristics of the evidence base</w:t>
      </w:r>
      <w:bookmarkEnd w:id="14"/>
    </w:p>
    <w:p w14:paraId="1BCC3EA9" w14:textId="5B3DF96D" w:rsidR="0015316E" w:rsidRPr="00B308CA" w:rsidRDefault="00D05871" w:rsidP="0015316E">
      <w:pPr>
        <w:pStyle w:val="Instructionaltext"/>
        <w:rPr>
          <w:rStyle w:val="CommentReference"/>
          <w:rFonts w:asciiTheme="minorHAnsi" w:hAnsiTheme="minorHAnsi"/>
          <w:b/>
          <w:color w:val="auto"/>
          <w:sz w:val="24"/>
          <w:szCs w:val="24"/>
        </w:rPr>
      </w:pPr>
      <w:r w:rsidRPr="00D05871">
        <w:rPr>
          <w:color w:val="auto"/>
        </w:rPr>
        <w:t xml:space="preserve">The clinical evidence for this submission </w:t>
      </w:r>
      <w:r w:rsidR="00987A9C" w:rsidRPr="0015316E">
        <w:rPr>
          <w:color w:val="auto"/>
        </w:rPr>
        <w:t xml:space="preserve">was based on </w:t>
      </w:r>
      <w:r>
        <w:rPr>
          <w:color w:val="auto"/>
        </w:rPr>
        <w:t xml:space="preserve">the pivotal </w:t>
      </w:r>
      <w:r w:rsidRPr="0015316E">
        <w:rPr>
          <w:color w:val="auto"/>
        </w:rPr>
        <w:t>OlympiA</w:t>
      </w:r>
      <w:r w:rsidR="00987A9C" w:rsidRPr="0015316E">
        <w:rPr>
          <w:color w:val="auto"/>
        </w:rPr>
        <w:t xml:space="preserve"> trial comparing olaparib to placebo</w:t>
      </w:r>
      <w:r w:rsidR="004D0296">
        <w:rPr>
          <w:color w:val="auto"/>
        </w:rPr>
        <w:t xml:space="preserve"> </w:t>
      </w:r>
      <w:r w:rsidR="00987A9C" w:rsidRPr="0015316E">
        <w:rPr>
          <w:color w:val="auto"/>
        </w:rPr>
        <w:t>(</w:t>
      </w:r>
      <w:r w:rsidR="001E3757">
        <w:rPr>
          <w:color w:val="auto"/>
        </w:rPr>
        <w:t>watch and wait</w:t>
      </w:r>
      <w:r w:rsidR="00987A9C" w:rsidRPr="0015316E">
        <w:rPr>
          <w:color w:val="auto"/>
        </w:rPr>
        <w:t xml:space="preserve">). </w:t>
      </w:r>
      <w:r w:rsidR="003A7110">
        <w:rPr>
          <w:color w:val="auto"/>
        </w:rPr>
        <w:t xml:space="preserve">Key features of the randomised trial </w:t>
      </w:r>
      <w:r w:rsidR="007239C6">
        <w:rPr>
          <w:color w:val="auto"/>
        </w:rPr>
        <w:t>are</w:t>
      </w:r>
      <w:r w:rsidR="003A7110">
        <w:rPr>
          <w:color w:val="auto"/>
        </w:rPr>
        <w:t xml:space="preserve"> summarised</w:t>
      </w:r>
      <w:r w:rsidR="0015316E" w:rsidRPr="0015316E">
        <w:rPr>
          <w:color w:val="auto"/>
        </w:rPr>
        <w:t xml:space="preserve"> in</w:t>
      </w:r>
      <w:r>
        <w:rPr>
          <w:color w:val="auto"/>
        </w:rPr>
        <w:t xml:space="preserve"> </w:t>
      </w:r>
      <w:r w:rsidR="004E6008" w:rsidRPr="004E6008">
        <w:rPr>
          <w:color w:val="auto"/>
        </w:rPr>
        <w:fldChar w:fldCharType="begin"/>
      </w:r>
      <w:r w:rsidR="004E6008" w:rsidRPr="004E6008">
        <w:rPr>
          <w:color w:val="auto"/>
        </w:rPr>
        <w:instrText xml:space="preserve"> REF _Ref69725651 \h </w:instrText>
      </w:r>
      <w:r w:rsidR="004E6008" w:rsidRPr="004E6008">
        <w:rPr>
          <w:color w:val="auto"/>
        </w:rPr>
      </w:r>
      <w:r w:rsidR="004E6008" w:rsidRPr="004E6008">
        <w:rPr>
          <w:color w:val="auto"/>
        </w:rPr>
        <w:fldChar w:fldCharType="separate"/>
      </w:r>
      <w:r w:rsidR="004E6008" w:rsidRPr="004E6008">
        <w:rPr>
          <w:color w:val="auto"/>
        </w:rPr>
        <w:t>Table </w:t>
      </w:r>
      <w:r w:rsidR="004E6008" w:rsidRPr="004E6008">
        <w:rPr>
          <w:noProof/>
          <w:color w:val="auto"/>
        </w:rPr>
        <w:t>3</w:t>
      </w:r>
      <w:r w:rsidR="004E6008" w:rsidRPr="004E6008">
        <w:rPr>
          <w:color w:val="auto"/>
        </w:rPr>
        <w:fldChar w:fldCharType="end"/>
      </w:r>
      <w:r w:rsidR="0015316E" w:rsidRPr="00B308CA">
        <w:rPr>
          <w:color w:val="auto"/>
        </w:rPr>
        <w:t>.</w:t>
      </w:r>
    </w:p>
    <w:p w14:paraId="692BCA4B" w14:textId="23CE1770" w:rsidR="00956ACE" w:rsidRPr="00330A0A" w:rsidRDefault="00956ACE" w:rsidP="009A06F4">
      <w:pPr>
        <w:pStyle w:val="Caption"/>
        <w:rPr>
          <w:color w:val="538135" w:themeColor="accent6" w:themeShade="BF"/>
          <w:sz w:val="16"/>
          <w:szCs w:val="16"/>
        </w:rPr>
      </w:pPr>
      <w:bookmarkStart w:id="15" w:name="_Ref69725651"/>
      <w:r w:rsidRPr="00CE28E3">
        <w:t>Table</w:t>
      </w:r>
      <w:r w:rsidR="004A4FDF">
        <w:t> </w:t>
      </w:r>
      <w:r>
        <w:fldChar w:fldCharType="begin"/>
      </w:r>
      <w:r>
        <w:instrText>SEQ Table \* ARABIC</w:instrText>
      </w:r>
      <w:r>
        <w:fldChar w:fldCharType="separate"/>
      </w:r>
      <w:r w:rsidR="001B3C82">
        <w:rPr>
          <w:noProof/>
        </w:rPr>
        <w:t>3</w:t>
      </w:r>
      <w:r>
        <w:fldChar w:fldCharType="end"/>
      </w:r>
      <w:bookmarkEnd w:id="15"/>
      <w:r w:rsidRPr="00CE28E3">
        <w:tab/>
        <w:t>Key features of the included evidence</w:t>
      </w:r>
      <w:r w:rsidRPr="00330A0A">
        <w:rPr>
          <w:color w:val="538135" w:themeColor="accent6" w:themeShade="BF"/>
        </w:rPr>
        <w:t xml:space="preserve"> </w:t>
      </w:r>
    </w:p>
    <w:tbl>
      <w:tblPr>
        <w:tblStyle w:val="TableGrid1"/>
        <w:tblW w:w="5000" w:type="pct"/>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956ACE" w:rsidRPr="00CE28E3" w14:paraId="475D8C60" w14:textId="77777777" w:rsidTr="00824458">
        <w:trPr>
          <w:cnfStyle w:val="100000000000" w:firstRow="1" w:lastRow="0" w:firstColumn="0" w:lastColumn="0" w:oddVBand="0" w:evenVBand="0" w:oddHBand="0" w:evenHBand="0" w:firstRowFirstColumn="0" w:firstRowLastColumn="0" w:lastRowFirstColumn="0" w:lastRowLastColumn="0"/>
          <w:cantSplit/>
          <w:tblHeader/>
        </w:trPr>
        <w:tc>
          <w:tcPr>
            <w:tcW w:w="713" w:type="pct"/>
            <w:shd w:val="clear" w:color="auto" w:fill="auto"/>
            <w:vAlign w:val="center"/>
          </w:tcPr>
          <w:p w14:paraId="4FFC981B" w14:textId="77777777" w:rsidR="00956ACE" w:rsidRPr="00CE28E3" w:rsidRDefault="00956ACE" w:rsidP="00824458">
            <w:pPr>
              <w:pStyle w:val="In-tableHeading"/>
            </w:pPr>
            <w:bookmarkStart w:id="16" w:name="ColumnTitle_Table3"/>
            <w:bookmarkStart w:id="17" w:name="_Hlk68276112"/>
            <w:bookmarkEnd w:id="16"/>
            <w:r w:rsidRPr="00CE28E3">
              <w:t>References</w:t>
            </w:r>
          </w:p>
        </w:tc>
        <w:tc>
          <w:tcPr>
            <w:tcW w:w="466"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82"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21"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57"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22"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39"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00824458">
        <w:trPr>
          <w:cantSplit/>
        </w:trPr>
        <w:tc>
          <w:tcPr>
            <w:tcW w:w="5000" w:type="pct"/>
            <w:gridSpan w:val="7"/>
            <w:shd w:val="clear" w:color="auto" w:fill="auto"/>
            <w:vAlign w:val="center"/>
          </w:tcPr>
          <w:p w14:paraId="6ADF1B8F" w14:textId="744F5978" w:rsidR="00956ACE" w:rsidRPr="00CE28E3" w:rsidRDefault="0015316E" w:rsidP="00824458">
            <w:pPr>
              <w:pStyle w:val="In-tableHeading"/>
            </w:pPr>
            <w:r w:rsidRPr="00FE6CB5">
              <w:rPr>
                <w:lang w:val="en-AU"/>
              </w:rPr>
              <w:t>olaparib vs. placebo</w:t>
            </w:r>
            <w:r>
              <w:rPr>
                <w:lang w:val="en-AU"/>
              </w:rPr>
              <w:t xml:space="preserve"> </w:t>
            </w:r>
          </w:p>
        </w:tc>
      </w:tr>
      <w:tr w:rsidR="00956ACE" w:rsidRPr="00CE28E3" w14:paraId="7E776818" w14:textId="77777777" w:rsidTr="00824458">
        <w:trPr>
          <w:cantSplit/>
        </w:trPr>
        <w:tc>
          <w:tcPr>
            <w:tcW w:w="713" w:type="pct"/>
            <w:shd w:val="clear" w:color="auto" w:fill="auto"/>
            <w:vAlign w:val="center"/>
          </w:tcPr>
          <w:p w14:paraId="563AC767" w14:textId="675C4A48" w:rsidR="00956ACE" w:rsidRPr="00CE28E3" w:rsidRDefault="0015316E" w:rsidP="00824458">
            <w:pPr>
              <w:pStyle w:val="TableText"/>
              <w:rPr>
                <w:lang w:val="en-US"/>
              </w:rPr>
            </w:pPr>
            <w:r w:rsidRPr="00FE6CB5">
              <w:t>OlympiA</w:t>
            </w:r>
            <w:r>
              <w:t xml:space="preserve"> </w:t>
            </w:r>
          </w:p>
        </w:tc>
        <w:tc>
          <w:tcPr>
            <w:tcW w:w="466" w:type="pct"/>
            <w:shd w:val="clear" w:color="auto" w:fill="auto"/>
            <w:vAlign w:val="center"/>
          </w:tcPr>
          <w:p w14:paraId="17139442" w14:textId="77777777" w:rsidR="0015316E" w:rsidRPr="00FE6CB5" w:rsidRDefault="0015316E" w:rsidP="0015316E">
            <w:pPr>
              <w:pStyle w:val="TableText"/>
              <w:jc w:val="center"/>
            </w:pPr>
            <w:r w:rsidRPr="00FE6CB5">
              <w:t>1836</w:t>
            </w:r>
          </w:p>
          <w:p w14:paraId="280096E2" w14:textId="652B65DE" w:rsidR="00956ACE" w:rsidRPr="00CE28E3" w:rsidRDefault="0015316E" w:rsidP="0015316E">
            <w:pPr>
              <w:pStyle w:val="TableText"/>
              <w:jc w:val="center"/>
              <w:rPr>
                <w:lang w:val="en-US"/>
              </w:rPr>
            </w:pPr>
            <w:r w:rsidRPr="00FE6CB5">
              <w:t>(1830 women and 6 men)</w:t>
            </w:r>
          </w:p>
        </w:tc>
        <w:tc>
          <w:tcPr>
            <w:tcW w:w="782" w:type="pct"/>
            <w:shd w:val="clear" w:color="auto" w:fill="auto"/>
            <w:vAlign w:val="center"/>
          </w:tcPr>
          <w:p w14:paraId="6E52251E" w14:textId="77777777" w:rsidR="0015316E" w:rsidRPr="00FE6CB5" w:rsidRDefault="0015316E" w:rsidP="0015316E">
            <w:pPr>
              <w:pStyle w:val="TableText"/>
              <w:jc w:val="center"/>
            </w:pPr>
            <w:r w:rsidRPr="00FE6CB5">
              <w:t>R, DB, PC, MC</w:t>
            </w:r>
          </w:p>
          <w:p w14:paraId="39A9151F" w14:textId="6066E29D" w:rsidR="00956ACE" w:rsidRPr="00CE28E3" w:rsidRDefault="0015316E" w:rsidP="0015316E">
            <w:pPr>
              <w:pStyle w:val="TableText"/>
              <w:jc w:val="center"/>
              <w:rPr>
                <w:lang w:val="en-US"/>
              </w:rPr>
            </w:pPr>
            <w:r w:rsidRPr="00FE6CB5">
              <w:t>3.5 years</w:t>
            </w:r>
          </w:p>
        </w:tc>
        <w:tc>
          <w:tcPr>
            <w:tcW w:w="621" w:type="pct"/>
            <w:shd w:val="clear" w:color="auto" w:fill="auto"/>
            <w:vAlign w:val="center"/>
          </w:tcPr>
          <w:p w14:paraId="269C28DF"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4FD8A7FC" w14:textId="0DE6549F" w:rsidR="00956ACE" w:rsidRPr="00CE28E3" w:rsidRDefault="0015316E" w:rsidP="00824458">
            <w:pPr>
              <w:pStyle w:val="TableText"/>
              <w:jc w:val="center"/>
              <w:rPr>
                <w:lang w:val="en-US"/>
              </w:rPr>
            </w:pPr>
            <w:r w:rsidRPr="00FE6CB5">
              <w:t xml:space="preserve">HER2 negative, </w:t>
            </w:r>
            <w:r w:rsidR="00624CC8" w:rsidRPr="00624CC8">
              <w:rPr>
                <w:i/>
                <w:iCs/>
              </w:rPr>
              <w:t>BRCA</w:t>
            </w:r>
            <w:r w:rsidRPr="00FE6CB5">
              <w:t xml:space="preserve"> </w:t>
            </w:r>
            <w:r w:rsidR="008F1BEB">
              <w:t>pathogenic variant</w:t>
            </w:r>
            <w:r w:rsidR="00322E47">
              <w:t xml:space="preserve"> </w:t>
            </w:r>
            <w:r w:rsidR="00A53C50">
              <w:t>positive</w:t>
            </w:r>
            <w:r w:rsidRPr="00FE6CB5">
              <w:t>, eBC</w:t>
            </w:r>
            <w:r w:rsidRPr="00FE6CB5">
              <w:rPr>
                <w:rStyle w:val="FootnoteReference"/>
              </w:rPr>
              <w:footnoteReference w:id="2"/>
            </w:r>
            <w:r w:rsidRPr="00FE6CB5">
              <w:t xml:space="preserve"> previously treated with chemotherapy.</w:t>
            </w:r>
          </w:p>
        </w:tc>
        <w:tc>
          <w:tcPr>
            <w:tcW w:w="622" w:type="pct"/>
            <w:shd w:val="clear" w:color="auto" w:fill="auto"/>
            <w:vAlign w:val="center"/>
          </w:tcPr>
          <w:p w14:paraId="45B1587F" w14:textId="0AA29C62" w:rsidR="00956ACE" w:rsidRPr="00CE28E3" w:rsidRDefault="0015316E" w:rsidP="00824458">
            <w:pPr>
              <w:pStyle w:val="TableText"/>
              <w:jc w:val="center"/>
              <w:rPr>
                <w:lang w:val="en-US"/>
              </w:rPr>
            </w:pPr>
            <w:r w:rsidRPr="00FE6CB5">
              <w:t>Primary outcome: IDFS. Secondary outcomes: OS, DDFS, FACIT-Fatigue, EORTC QLQ-C30, safety</w:t>
            </w:r>
          </w:p>
        </w:tc>
        <w:tc>
          <w:tcPr>
            <w:tcW w:w="939" w:type="pct"/>
            <w:shd w:val="clear" w:color="auto" w:fill="auto"/>
            <w:vAlign w:val="center"/>
          </w:tcPr>
          <w:p w14:paraId="209AE04D" w14:textId="77777777" w:rsidR="0015316E" w:rsidRPr="00FE6CB5" w:rsidRDefault="0015316E" w:rsidP="0015316E">
            <w:pPr>
              <w:pStyle w:val="TableText"/>
              <w:jc w:val="center"/>
            </w:pPr>
            <w:r w:rsidRPr="00FE6CB5">
              <w:t>IDFS</w:t>
            </w:r>
          </w:p>
          <w:p w14:paraId="3F9CD3D5" w14:textId="7FD5AD77" w:rsidR="00956ACE" w:rsidRPr="00CE28E3" w:rsidRDefault="0015316E" w:rsidP="0015316E">
            <w:pPr>
              <w:pStyle w:val="TableText"/>
              <w:jc w:val="center"/>
              <w:rPr>
                <w:lang w:val="en-US"/>
              </w:rPr>
            </w:pPr>
            <w:r w:rsidRPr="00FE6CB5">
              <w:t>EORTC QLQ-C30</w:t>
            </w:r>
            <w:r>
              <w:t xml:space="preserve"> </w:t>
            </w:r>
          </w:p>
        </w:tc>
      </w:tr>
    </w:tbl>
    <w:p w14:paraId="60E536DE" w14:textId="77777777" w:rsidR="0015316E" w:rsidRPr="00FE6CB5" w:rsidRDefault="0015316E" w:rsidP="0015316E">
      <w:pPr>
        <w:pStyle w:val="FooterTableFigure"/>
      </w:pPr>
      <w:bookmarkStart w:id="18" w:name="_Ref69725659"/>
      <w:bookmarkEnd w:id="17"/>
      <w:r w:rsidRPr="00FE6CB5">
        <w:t>Source: Figure 2.2, p41, table 2.4, pp43-44, table 2.8 pp50-54, table 2.14, pp64-66, table 2.11, p58 of the submission.</w:t>
      </w:r>
    </w:p>
    <w:p w14:paraId="5476C028" w14:textId="1B1869C0" w:rsidR="0015316E" w:rsidRPr="00FE6CB5" w:rsidRDefault="00624CC8" w:rsidP="0015316E">
      <w:pPr>
        <w:pStyle w:val="FooterTableFigure"/>
        <w:rPr>
          <w:sz w:val="20"/>
        </w:rPr>
      </w:pPr>
      <w:r w:rsidRPr="00624CC8">
        <w:rPr>
          <w:i/>
          <w:iCs/>
        </w:rPr>
        <w:t>BRCA</w:t>
      </w:r>
      <w:r w:rsidR="0015316E" w:rsidRPr="00FE6CB5">
        <w:t xml:space="preserve"> = breast cancer gene, DB = double blind, DDFS = distant disease-free survival, eBC = early breast cancer, EORTC = European Organisation for the Research and Treatment of Cancer, FACIT = functional assessment of chronic illness therapy, IDFS = invasive disease-free survival, MC = multi-centre, OS = overall survival, PC = placebo controlled, QLQ-C30 = quality of life questionnaire core 30, R = randomised.</w:t>
      </w:r>
    </w:p>
    <w:p w14:paraId="434FB73F" w14:textId="77777777" w:rsidR="00E54EE0" w:rsidRDefault="001E3757" w:rsidP="00E54EE0">
      <w:r w:rsidRPr="001E3757">
        <w:lastRenderedPageBreak/>
        <w:t>The clinical evidence based on the pivotal OlympiA trial comparing olaparib to placebo (‘watch and wait’) in patients with HER2-negative high risk early breast cancer</w:t>
      </w:r>
      <w:r>
        <w:t xml:space="preserve"> </w:t>
      </w:r>
      <w:r w:rsidRPr="001E3757">
        <w:t xml:space="preserve">compared the efficacy of the </w:t>
      </w:r>
      <w:r w:rsidR="005D6E03">
        <w:t>p</w:t>
      </w:r>
      <w:r w:rsidR="005D6E03" w:rsidRPr="005D6E03">
        <w:t>oly (</w:t>
      </w:r>
      <w:r w:rsidR="00B54FE6" w:rsidRPr="00B54FE6">
        <w:t>adenosine diphosphate</w:t>
      </w:r>
      <w:r w:rsidR="005D6E03" w:rsidRPr="005D6E03">
        <w:t xml:space="preserve">-ribose) polymerase </w:t>
      </w:r>
      <w:r w:rsidRPr="001E3757">
        <w:t>inhibitor</w:t>
      </w:r>
      <w:r w:rsidR="009E3455">
        <w:t xml:space="preserve"> (</w:t>
      </w:r>
      <w:r w:rsidR="009E3455" w:rsidRPr="001E3757">
        <w:t>PARP</w:t>
      </w:r>
      <w:r w:rsidR="009E3455">
        <w:t>i)</w:t>
      </w:r>
      <w:r w:rsidRPr="001E3757">
        <w:t xml:space="preserve">, olaparib, in patients with HER2-negative high risk early breast cancer with </w:t>
      </w:r>
      <w:r w:rsidR="00624CC8" w:rsidRPr="003120E4">
        <w:rPr>
          <w:i/>
          <w:iCs/>
        </w:rPr>
        <w:t>BRCA</w:t>
      </w:r>
      <w:r w:rsidRPr="003120E4">
        <w:rPr>
          <w:i/>
          <w:iCs/>
        </w:rPr>
        <w:t xml:space="preserve">1 </w:t>
      </w:r>
      <w:r w:rsidRPr="003120E4">
        <w:t>or</w:t>
      </w:r>
      <w:r w:rsidRPr="003120E4">
        <w:rPr>
          <w:i/>
          <w:iCs/>
        </w:rPr>
        <w:t xml:space="preserve"> </w:t>
      </w:r>
      <w:r w:rsidR="00624CC8" w:rsidRPr="003120E4">
        <w:rPr>
          <w:i/>
          <w:iCs/>
        </w:rPr>
        <w:t>BRCA</w:t>
      </w:r>
      <w:r w:rsidRPr="003120E4">
        <w:rPr>
          <w:i/>
          <w:iCs/>
        </w:rPr>
        <w:t>2</w:t>
      </w:r>
      <w:r w:rsidRPr="001E3757">
        <w:t xml:space="preserve"> germline pathogenic or likely pathogenic variants and high risk clinicopathological factors who had received local treatment and ≥ six cycles of neoadjuvant or adjuvant chemotherapy containing anthracyclines and/or taxanes</w:t>
      </w:r>
      <w:r w:rsidR="005B2093">
        <w:rPr>
          <w:rStyle w:val="FootnoteReference"/>
          <w:b/>
          <w:bCs/>
        </w:rPr>
        <w:footnoteReference w:id="3"/>
      </w:r>
      <w:r w:rsidRPr="001E3757">
        <w:t xml:space="preserve">. </w:t>
      </w:r>
    </w:p>
    <w:p w14:paraId="5A81E2B5" w14:textId="2810CFEA" w:rsidR="004D0296" w:rsidDel="00B66BCB" w:rsidRDefault="00D55EB3" w:rsidP="00E54EE0">
      <w:r>
        <w:t xml:space="preserve">The trial </w:t>
      </w:r>
      <w:r w:rsidR="00544D30" w:rsidRPr="00544D30">
        <w:t>was designed</w:t>
      </w:r>
      <w:r w:rsidR="00544D30">
        <w:t xml:space="preserve"> to include </w:t>
      </w:r>
      <w:r w:rsidR="00850040">
        <w:t xml:space="preserve">only </w:t>
      </w:r>
      <w:r w:rsidR="00544D30">
        <w:t xml:space="preserve">patients </w:t>
      </w:r>
      <w:r w:rsidR="00850040" w:rsidRPr="00850040">
        <w:t>with g</w:t>
      </w:r>
      <w:r w:rsidR="00850040" w:rsidRPr="004E5BF4">
        <w:rPr>
          <w:i/>
        </w:rPr>
        <w:t>BRCA</w:t>
      </w:r>
      <w:r w:rsidR="00850040" w:rsidRPr="00850040">
        <w:t>1/2</w:t>
      </w:r>
      <w:r w:rsidR="00AE1D33">
        <w:t xml:space="preserve"> pathogenic variant</w:t>
      </w:r>
      <w:r w:rsidR="00850040" w:rsidRPr="00850040">
        <w:t>-associated early breast cancers and high-risk clinico-pathological features</w:t>
      </w:r>
      <w:r w:rsidR="00AE1D33">
        <w:t xml:space="preserve"> as these patients remain </w:t>
      </w:r>
      <w:r w:rsidR="004F0764" w:rsidRPr="004F0764">
        <w:t xml:space="preserve">at </w:t>
      </w:r>
      <w:r w:rsidR="004F0764">
        <w:t xml:space="preserve">an </w:t>
      </w:r>
      <w:r w:rsidR="004F0764" w:rsidRPr="004F0764">
        <w:t>increased risk for recurrence following standard multimodality therapies</w:t>
      </w:r>
      <w:r w:rsidR="00985807">
        <w:t xml:space="preserve"> and are predicted to </w:t>
      </w:r>
      <w:r w:rsidR="0077743C">
        <w:t xml:space="preserve">benefit from </w:t>
      </w:r>
      <w:r w:rsidR="009D4390" w:rsidRPr="009D4390">
        <w:t xml:space="preserve">adjuvant PARP inhibitor therapy with </w:t>
      </w:r>
      <w:r w:rsidR="009D4390">
        <w:t>olaparib</w:t>
      </w:r>
      <w:r w:rsidR="00C62E03">
        <w:rPr>
          <w:rStyle w:val="FootnoteReference"/>
          <w:b/>
          <w:bCs/>
        </w:rPr>
        <w:footnoteReference w:id="4"/>
      </w:r>
      <w:r w:rsidR="009D4390">
        <w:t>.</w:t>
      </w:r>
      <w:r w:rsidR="001E3757" w:rsidRPr="001E3757" w:rsidDel="00B66BCB">
        <w:t>Treatment with olaparib was administered for up to 12 months and the results, at a median follow-up of 3.5</w:t>
      </w:r>
      <w:r w:rsidR="00E053A4" w:rsidDel="00B66BCB">
        <w:t xml:space="preserve"> </w:t>
      </w:r>
      <w:r w:rsidR="00314A98" w:rsidDel="00B66BCB">
        <w:t>years</w:t>
      </w:r>
      <w:r w:rsidR="001E3757" w:rsidRPr="001E3757" w:rsidDel="00B66BCB">
        <w:t xml:space="preserve"> and 3.6</w:t>
      </w:r>
      <w:r w:rsidR="00E053A4" w:rsidDel="00B66BCB">
        <w:t xml:space="preserve"> </w:t>
      </w:r>
      <w:r w:rsidR="00314A98" w:rsidDel="00B66BCB">
        <w:t>years</w:t>
      </w:r>
      <w:r w:rsidR="001E3757" w:rsidRPr="001E3757" w:rsidDel="00B66BCB">
        <w:t xml:space="preserve"> for olaparib and placebo arms respectively, showed that treatment with olaparib resulted in a statistically significant and clinically meaningful reduction of 37.2% in the risk of invasive disease recurrence or death compared with placebo (HR 0.628; 95% CI: 0.504, 0.779; p=0.0000233) (</w:t>
      </w:r>
      <w:r w:rsidR="0062452C" w:rsidRPr="0062452C" w:rsidDel="00B66BCB">
        <w:fldChar w:fldCharType="begin"/>
      </w:r>
      <w:r w:rsidR="0062452C" w:rsidRPr="0062452C" w:rsidDel="00B66BCB">
        <w:instrText xml:space="preserve"> REF _Ref121058397 \h  \* MERGEFORMAT </w:instrText>
      </w:r>
      <w:r w:rsidR="0062452C" w:rsidRPr="0062452C" w:rsidDel="00B66BCB">
        <w:fldChar w:fldCharType="separate"/>
      </w:r>
      <w:r w:rsidR="00EF5403" w:rsidRPr="00FE6CB5">
        <w:t xml:space="preserve">Figure </w:t>
      </w:r>
      <w:r w:rsidR="00EF5403">
        <w:rPr>
          <w:noProof/>
        </w:rPr>
        <w:t>4</w:t>
      </w:r>
      <w:r w:rsidR="0062452C" w:rsidRPr="0062452C" w:rsidDel="00B66BCB">
        <w:fldChar w:fldCharType="end"/>
      </w:r>
      <w:r w:rsidR="001E3757" w:rsidRPr="001E3757" w:rsidDel="00B66BCB">
        <w:t>). Subgroup analyses of the IDFS outcome were consistent with the primary analysis, with the treatment benefit of olaparib over placebo evidenced across most of the predefined subgroups. Notably, there was no evidence to indicate a differential treatment effect based on HR status, such that subgroup analyses demonstrated no difference in response between the HR-positive, HER2-negative and TNBC population for the primary outcome (p=0.754). The OS (</w:t>
      </w:r>
      <w:r w:rsidR="0062452C" w:rsidRPr="0062452C" w:rsidDel="00B66BCB">
        <w:fldChar w:fldCharType="begin"/>
      </w:r>
      <w:r w:rsidR="0062452C" w:rsidRPr="0062452C" w:rsidDel="00B66BCB">
        <w:instrText xml:space="preserve"> REF _Ref121058384 \h  \* MERGEFORMAT </w:instrText>
      </w:r>
      <w:r w:rsidR="0062452C" w:rsidRPr="0062452C" w:rsidDel="00B66BCB">
        <w:fldChar w:fldCharType="separate"/>
      </w:r>
      <w:r w:rsidR="00EF5403" w:rsidRPr="00FE6CB5">
        <w:t xml:space="preserve">Figure </w:t>
      </w:r>
      <w:r w:rsidR="00EF5403">
        <w:rPr>
          <w:noProof/>
        </w:rPr>
        <w:t>5</w:t>
      </w:r>
      <w:r w:rsidR="0062452C" w:rsidRPr="0062452C" w:rsidDel="00B66BCB">
        <w:fldChar w:fldCharType="end"/>
      </w:r>
      <w:r w:rsidR="001E3757" w:rsidRPr="001E3757" w:rsidDel="00B66BCB">
        <w:t>) results showed a statistically significant 32.2% risk reduction in the olaparib arm compared to the placebo arm (HR 0.678; 95% CI: 0.503, 0.907; p=0.0091). Similarly, there was a statistically significant and clinically meaningful 39.3% reduction in the risk of distant disease recurrence or death for olaparib versus placebo (HR 0.607; 95% CI: 0.476, 0.771; p=0.0000421).</w:t>
      </w:r>
    </w:p>
    <w:p w14:paraId="3DACA77B" w14:textId="3F571F46" w:rsidR="002364D2" w:rsidRPr="00FE6CB5" w:rsidDel="00B66BCB" w:rsidRDefault="002364D2" w:rsidP="002364D2">
      <w:pPr>
        <w:pStyle w:val="Caption"/>
      </w:pPr>
      <w:r w:rsidRPr="00FE6CB5" w:rsidDel="00B66BCB">
        <w:lastRenderedPageBreak/>
        <w:t xml:space="preserve">Figure </w:t>
      </w:r>
      <w:r w:rsidDel="00B66BCB">
        <w:fldChar w:fldCharType="begin"/>
      </w:r>
      <w:r w:rsidDel="00B66BCB">
        <w:instrText>SEQ Figure \* ARABIC</w:instrText>
      </w:r>
      <w:r w:rsidDel="00B66BCB">
        <w:fldChar w:fldCharType="separate"/>
      </w:r>
      <w:r w:rsidR="00EF5403">
        <w:rPr>
          <w:noProof/>
        </w:rPr>
        <w:t>2</w:t>
      </w:r>
      <w:r w:rsidDel="00B66BCB">
        <w:fldChar w:fldCharType="end"/>
      </w:r>
      <w:r w:rsidRPr="00FE6CB5" w:rsidDel="00B66BCB">
        <w:t>: Kaplan-Meier Plot for IDFS (ITT Population) in OlympiA at median follow-up of 3.5 and 3.6 years (olaparib and placebo respectively)</w:t>
      </w:r>
    </w:p>
    <w:p w14:paraId="23A1EE5B" w14:textId="080D4B89" w:rsidR="002364D2" w:rsidRPr="00FE6CB5" w:rsidDel="00B66BCB" w:rsidRDefault="002364D2" w:rsidP="002364D2">
      <w:pPr>
        <w:pStyle w:val="FooterTableFigure"/>
        <w:rPr>
          <w:rFonts w:eastAsia="Calibri"/>
        </w:rPr>
      </w:pPr>
      <w:r w:rsidRPr="00FE6CB5" w:rsidDel="00B66BCB">
        <w:rPr>
          <w:noProof/>
        </w:rPr>
        <w:drawing>
          <wp:inline distT="0" distB="0" distL="0" distR="0" wp14:anchorId="417235E8" wp14:editId="201D8438">
            <wp:extent cx="5731510" cy="3136265"/>
            <wp:effectExtent l="0" t="0" r="2540" b="6985"/>
            <wp:docPr id="1" name="Picture 1" descr="Kaplan-Meier Plot for IDFS (ITT Population) in OlympiA at median follow-up of 3.5 and 3.6 years (olaparib and placebo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plan-Meier Plot for IDFS (ITT Population) in OlympiA at median follow-up of 3.5 and 3.6 years (olaparib and placebo respectively)"/>
                    <pic:cNvPicPr/>
                  </pic:nvPicPr>
                  <pic:blipFill>
                    <a:blip r:embed="rId22"/>
                    <a:stretch>
                      <a:fillRect/>
                    </a:stretch>
                  </pic:blipFill>
                  <pic:spPr>
                    <a:xfrm>
                      <a:off x="0" y="0"/>
                      <a:ext cx="5731510" cy="3136265"/>
                    </a:xfrm>
                    <a:prstGeom prst="rect">
                      <a:avLst/>
                    </a:prstGeom>
                  </pic:spPr>
                </pic:pic>
              </a:graphicData>
            </a:graphic>
          </wp:inline>
        </w:drawing>
      </w:r>
    </w:p>
    <w:p w14:paraId="1641D647" w14:textId="2F223E7A" w:rsidR="002364D2" w:rsidRPr="00FE6CB5" w:rsidDel="00B66BCB" w:rsidRDefault="002364D2" w:rsidP="002364D2">
      <w:pPr>
        <w:pStyle w:val="FooterTableFigure"/>
      </w:pPr>
      <w:r w:rsidRPr="00FE6CB5" w:rsidDel="00B66BCB">
        <w:t>Source: Figure 2.3, p68 of the submission.</w:t>
      </w:r>
    </w:p>
    <w:p w14:paraId="76C624A0" w14:textId="1DAA1A81" w:rsidR="002364D2" w:rsidRPr="00FE6CB5" w:rsidDel="00B66BCB" w:rsidRDefault="002364D2" w:rsidP="002364D2">
      <w:pPr>
        <w:pStyle w:val="FooterTableFigure"/>
        <w:rPr>
          <w:szCs w:val="18"/>
        </w:rPr>
      </w:pPr>
      <w:r w:rsidRPr="00FE6CB5" w:rsidDel="00B66BCB">
        <w:rPr>
          <w:szCs w:val="18"/>
        </w:rPr>
        <w:t>IDFS = Invasive disease-free survival, ITT = Intention-to-treat</w:t>
      </w:r>
    </w:p>
    <w:p w14:paraId="2A780F3A" w14:textId="48841DF8" w:rsidR="002364D2" w:rsidRPr="00FE6CB5" w:rsidDel="00B66BCB" w:rsidRDefault="002364D2" w:rsidP="002364D2">
      <w:pPr>
        <w:pStyle w:val="Caption"/>
      </w:pPr>
      <w:r w:rsidRPr="00FE6CB5" w:rsidDel="00B66BCB">
        <w:t xml:space="preserve">Figure </w:t>
      </w:r>
      <w:r w:rsidDel="00B66BCB">
        <w:fldChar w:fldCharType="begin"/>
      </w:r>
      <w:r w:rsidDel="00B66BCB">
        <w:instrText>SEQ Figure \* ARABIC</w:instrText>
      </w:r>
      <w:r w:rsidDel="00B66BCB">
        <w:fldChar w:fldCharType="separate"/>
      </w:r>
      <w:r w:rsidR="00EF5403">
        <w:rPr>
          <w:noProof/>
        </w:rPr>
        <w:t>3</w:t>
      </w:r>
      <w:r w:rsidDel="00B66BCB">
        <w:fldChar w:fldCharType="end"/>
      </w:r>
      <w:r w:rsidRPr="00FE6CB5" w:rsidDel="00B66BCB">
        <w:t>: Kaplan-Meier Plot for OS (ITT Population) in OlympiA at median follow-up of 3.5 and 3.6 years</w:t>
      </w:r>
    </w:p>
    <w:p w14:paraId="5AECFCB6" w14:textId="6A29953C" w:rsidR="002364D2" w:rsidRPr="00FE6CB5" w:rsidDel="00B66BCB" w:rsidRDefault="002364D2" w:rsidP="002364D2">
      <w:pPr>
        <w:pStyle w:val="FooterTableFigure"/>
        <w:rPr>
          <w:rFonts w:eastAsia="Calibri"/>
        </w:rPr>
      </w:pPr>
      <w:r w:rsidRPr="00FE6CB5" w:rsidDel="00B66BCB">
        <w:rPr>
          <w:noProof/>
        </w:rPr>
        <w:drawing>
          <wp:inline distT="0" distB="0" distL="0" distR="0" wp14:anchorId="4C33F335" wp14:editId="5AE097FC">
            <wp:extent cx="5731510" cy="3154045"/>
            <wp:effectExtent l="0" t="0" r="2540" b="8255"/>
            <wp:docPr id="2" name="Picture 2" descr="Kaplan-Meier Plot for OS (ITT Population) in OlympiA at median follow-up of 3.5 and 3.6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aplan-Meier Plot for OS (ITT Population) in OlympiA at median follow-up of 3.5 and 3.6 years"/>
                    <pic:cNvPicPr/>
                  </pic:nvPicPr>
                  <pic:blipFill>
                    <a:blip r:embed="rId23"/>
                    <a:stretch>
                      <a:fillRect/>
                    </a:stretch>
                  </pic:blipFill>
                  <pic:spPr>
                    <a:xfrm>
                      <a:off x="0" y="0"/>
                      <a:ext cx="5731510" cy="3154045"/>
                    </a:xfrm>
                    <a:prstGeom prst="rect">
                      <a:avLst/>
                    </a:prstGeom>
                  </pic:spPr>
                </pic:pic>
              </a:graphicData>
            </a:graphic>
          </wp:inline>
        </w:drawing>
      </w:r>
    </w:p>
    <w:p w14:paraId="50A7A763" w14:textId="2535BC49" w:rsidR="002364D2" w:rsidRPr="00FE6CB5" w:rsidDel="00B66BCB" w:rsidRDefault="002364D2" w:rsidP="002364D2">
      <w:pPr>
        <w:spacing w:before="0" w:after="0"/>
        <w:rPr>
          <w:rFonts w:ascii="Arial Narrow" w:hAnsi="Arial Narrow"/>
          <w:sz w:val="18"/>
          <w:szCs w:val="18"/>
        </w:rPr>
      </w:pPr>
      <w:r w:rsidRPr="00FE6CB5" w:rsidDel="00B66BCB">
        <w:rPr>
          <w:rFonts w:ascii="Arial Narrow" w:hAnsi="Arial Narrow"/>
          <w:sz w:val="18"/>
          <w:szCs w:val="18"/>
        </w:rPr>
        <w:t>Source: Figure 2.5, p71 of the submission.</w:t>
      </w:r>
    </w:p>
    <w:p w14:paraId="6FB55D50" w14:textId="07B6BC1D" w:rsidR="001E3757" w:rsidRPr="00E54EE0" w:rsidDel="00B66BCB" w:rsidRDefault="002364D2" w:rsidP="00E54EE0">
      <w:pPr>
        <w:spacing w:before="0" w:after="0"/>
        <w:rPr>
          <w:rFonts w:ascii="Arial Narrow" w:hAnsi="Arial Narrow"/>
          <w:sz w:val="18"/>
          <w:szCs w:val="18"/>
        </w:rPr>
      </w:pPr>
      <w:r w:rsidRPr="00FE6CB5" w:rsidDel="00B66BCB">
        <w:rPr>
          <w:rFonts w:ascii="Arial Narrow" w:hAnsi="Arial Narrow"/>
          <w:sz w:val="18"/>
          <w:szCs w:val="18"/>
        </w:rPr>
        <w:t>ITT = intention to treat, OS = overall survival.</w:t>
      </w:r>
    </w:p>
    <w:p w14:paraId="12A1362C" w14:textId="2987364B" w:rsidR="006868D0" w:rsidDel="00B66BCB" w:rsidRDefault="006868D0" w:rsidP="006868D0">
      <w:r w:rsidDel="00B66BCB">
        <w:t xml:space="preserve">Overall, the incidence of AEs was higher in the olaparib arm than the placebo arm (91.8% vs 83.8%, respectively). However, the incidence of serious adverse events (SAEs) remained similar across the olaparib and placebo arms (8.7% vs 8.6%, respectively). A greater proportion of patients in the olaparib arm experienced AEs leading to discontinuation of study treatment (10.8% for olaparib vs 4.6% for placebo), dose reduction (23.4% for olaparib vs 3.7% for placebo) and dose interruption (31.4% for olaparib vs 11.0% for placebo). It is important to note that </w:t>
      </w:r>
      <w:r w:rsidDel="00B66BCB">
        <w:lastRenderedPageBreak/>
        <w:t xml:space="preserve">despite this increased occurrence of AEs observed among patients receiving olaparib, the rate of AEs resulting in death during study treatment, or 30-day safety follow-up remained balanced between both treatment groups, which occurred in one patient in the olaparib arm (0.1%) and two patients in the placebo arm (0.2%). </w:t>
      </w:r>
    </w:p>
    <w:p w14:paraId="25D67B51" w14:textId="3BE5BBCF" w:rsidR="001E3757" w:rsidDel="00B66BCB" w:rsidRDefault="006868D0" w:rsidP="006868D0">
      <w:r w:rsidDel="00B66BCB">
        <w:t>The clinical evaluation demonstrate</w:t>
      </w:r>
      <w:r w:rsidR="001C1399" w:rsidDel="00B66BCB">
        <w:t>d</w:t>
      </w:r>
      <w:r w:rsidDel="00B66BCB">
        <w:t xml:space="preserve"> that, in patients with HER2-negative high-risk early breast cancer with confirmed </w:t>
      </w:r>
      <w:r w:rsidR="00624CC8" w:rsidRPr="00624CC8" w:rsidDel="00B66BCB">
        <w:rPr>
          <w:i/>
          <w:iCs/>
        </w:rPr>
        <w:t>BRCA</w:t>
      </w:r>
      <w:r w:rsidDel="00B66BCB">
        <w:t xml:space="preserve">1 and/or </w:t>
      </w:r>
      <w:r w:rsidR="00624CC8" w:rsidRPr="00624CC8" w:rsidDel="00B66BCB">
        <w:rPr>
          <w:i/>
          <w:iCs/>
        </w:rPr>
        <w:t>BRCA</w:t>
      </w:r>
      <w:r w:rsidDel="00B66BCB">
        <w:t xml:space="preserve">2 </w:t>
      </w:r>
      <w:r w:rsidR="000700F3">
        <w:t>pathogenic variant</w:t>
      </w:r>
      <w:r w:rsidDel="00B66BCB">
        <w:t xml:space="preserve"> who ha</w:t>
      </w:r>
      <w:r w:rsidR="001C1399" w:rsidDel="00B66BCB">
        <w:t>d</w:t>
      </w:r>
      <w:r w:rsidDel="00B66BCB">
        <w:t xml:space="preserve"> completed definitive local treatment and neoadjuvant or adjuvant chemotherapy (with anthracyclines and/or taxane), olaparib </w:t>
      </w:r>
      <w:r w:rsidR="001C1399" w:rsidDel="00B66BCB">
        <w:t>was</w:t>
      </w:r>
      <w:r w:rsidDel="00B66BCB">
        <w:t xml:space="preserve"> superior compared to placebo in terms of comparative efficacy (IDFS, DDFS, OS) and olaparib </w:t>
      </w:r>
      <w:r w:rsidR="001C1399" w:rsidDel="00B66BCB">
        <w:t>was</w:t>
      </w:r>
      <w:r w:rsidDel="00B66BCB">
        <w:t xml:space="preserve"> noninferior compared to placebo in terms of comparative safety.</w:t>
      </w:r>
      <w:r w:rsidR="002364D2" w:rsidDel="00B66BCB">
        <w:t xml:space="preserve"> </w:t>
      </w:r>
      <w:r w:rsidR="002364D2" w:rsidRPr="002364D2" w:rsidDel="00B66BCB">
        <w:t>Results of key outcomes in the OlympiA trial DCO2 (median follow up of 3.5 years)</w:t>
      </w:r>
      <w:r w:rsidR="002364D2" w:rsidDel="00B66BCB">
        <w:t xml:space="preserve"> are shown in </w:t>
      </w:r>
      <w:r w:rsidR="0062452C" w:rsidDel="00B66BCB">
        <w:fldChar w:fldCharType="begin"/>
      </w:r>
      <w:r w:rsidR="0062452C" w:rsidDel="00B66BCB">
        <w:instrText xml:space="preserve"> REF _Ref121011753 \h </w:instrText>
      </w:r>
      <w:r w:rsidR="0062452C" w:rsidDel="00B66BCB">
        <w:fldChar w:fldCharType="separate"/>
      </w:r>
      <w:r w:rsidR="00EF5403" w:rsidRPr="00EF5215">
        <w:rPr>
          <w:szCs w:val="20"/>
        </w:rPr>
        <w:t xml:space="preserve">Table </w:t>
      </w:r>
      <w:r w:rsidR="00EF5403">
        <w:rPr>
          <w:noProof/>
          <w:szCs w:val="20"/>
        </w:rPr>
        <w:t>4</w:t>
      </w:r>
      <w:r w:rsidR="0062452C" w:rsidDel="00B66BCB">
        <w:fldChar w:fldCharType="end"/>
      </w:r>
      <w:r w:rsidR="0062452C" w:rsidDel="00B66BCB">
        <w:t>.</w:t>
      </w:r>
      <w:r w:rsidR="002364D2" w:rsidDel="00B66BCB">
        <w:t xml:space="preserve"> </w:t>
      </w:r>
    </w:p>
    <w:p w14:paraId="2985A4F4" w14:textId="32480C5E" w:rsidR="009141A7" w:rsidRPr="00B308CA" w:rsidDel="00B66BCB" w:rsidRDefault="002364D2" w:rsidP="00B308CA">
      <w:pPr>
        <w:pStyle w:val="TableFigureHeading"/>
        <w:rPr>
          <w:szCs w:val="20"/>
        </w:rPr>
      </w:pPr>
      <w:r w:rsidRPr="00EF5215" w:rsidDel="00B66BCB">
        <w:rPr>
          <w:szCs w:val="20"/>
        </w:rPr>
        <w:t xml:space="preserve">Table </w:t>
      </w:r>
      <w:r w:rsidR="0062452C" w:rsidRPr="00EF5215" w:rsidDel="00B66BCB">
        <w:rPr>
          <w:szCs w:val="20"/>
        </w:rPr>
        <w:fldChar w:fldCharType="begin"/>
      </w:r>
      <w:r w:rsidR="0062452C" w:rsidRPr="00EF5215" w:rsidDel="00B66BCB">
        <w:rPr>
          <w:szCs w:val="20"/>
        </w:rPr>
        <w:instrText xml:space="preserve"> SEQ Table \* ARABIC </w:instrText>
      </w:r>
      <w:r w:rsidR="0062452C" w:rsidRPr="00EF5215" w:rsidDel="00B66BCB">
        <w:rPr>
          <w:szCs w:val="20"/>
        </w:rPr>
        <w:fldChar w:fldCharType="separate"/>
      </w:r>
      <w:r w:rsidR="001B3C82">
        <w:rPr>
          <w:noProof/>
          <w:szCs w:val="20"/>
        </w:rPr>
        <w:t>4</w:t>
      </w:r>
      <w:r w:rsidR="0062452C" w:rsidRPr="00EF5215" w:rsidDel="00B66BCB">
        <w:rPr>
          <w:noProof/>
          <w:szCs w:val="20"/>
        </w:rPr>
        <w:fldChar w:fldCharType="end"/>
      </w:r>
      <w:r w:rsidRPr="00EF5215" w:rsidDel="00B66BCB">
        <w:rPr>
          <w:szCs w:val="20"/>
        </w:rPr>
        <w:t>:</w:t>
      </w:r>
      <w:r w:rsidRPr="00EF5215" w:rsidDel="00B66BCB">
        <w:rPr>
          <w:rStyle w:val="CommentReference"/>
          <w:sz w:val="20"/>
          <w:szCs w:val="20"/>
        </w:rPr>
        <w:t xml:space="preserve"> </w:t>
      </w:r>
      <w:bookmarkStart w:id="19" w:name="_Hlk126522809"/>
      <w:r w:rsidRPr="00EF5215" w:rsidDel="00B66BCB">
        <w:rPr>
          <w:rStyle w:val="CommentReference"/>
          <w:sz w:val="20"/>
          <w:szCs w:val="20"/>
        </w:rPr>
        <w:t>Results of key outcomes in the OlympiA trial DCO2 (median follow up of 3.5 years)</w:t>
      </w:r>
    </w:p>
    <w:tbl>
      <w:tblPr>
        <w:tblStyle w:val="TableGrid1"/>
        <w:tblW w:w="5002" w:type="pct"/>
        <w:tblLayout w:type="fixed"/>
        <w:tblLook w:val="04A0" w:firstRow="1" w:lastRow="0" w:firstColumn="1" w:lastColumn="0" w:noHBand="0" w:noVBand="1"/>
      </w:tblPr>
      <w:tblGrid>
        <w:gridCol w:w="1026"/>
        <w:gridCol w:w="1563"/>
        <w:gridCol w:w="1645"/>
        <w:gridCol w:w="1618"/>
        <w:gridCol w:w="1584"/>
        <w:gridCol w:w="1584"/>
      </w:tblGrid>
      <w:tr w:rsidR="002364D2" w:rsidRPr="00FE6CB5" w:rsidDel="00B66BCB" w14:paraId="1E4981F2" w14:textId="613CE3BD" w:rsidTr="00314194">
        <w:trPr>
          <w:cnfStyle w:val="100000000000" w:firstRow="1" w:lastRow="0" w:firstColumn="0" w:lastColumn="0" w:oddVBand="0" w:evenVBand="0" w:oddHBand="0" w:evenHBand="0" w:firstRowFirstColumn="0" w:firstRowLastColumn="0" w:lastRowFirstColumn="0" w:lastRowLastColumn="0"/>
          <w:cantSplit/>
          <w:tblHeader/>
        </w:trPr>
        <w:tc>
          <w:tcPr>
            <w:tcW w:w="568" w:type="pct"/>
            <w:vAlign w:val="center"/>
          </w:tcPr>
          <w:p w14:paraId="6E6FF563" w14:textId="29228BE2" w:rsidR="002364D2" w:rsidRPr="00FE6CB5" w:rsidDel="00B66BCB" w:rsidRDefault="002364D2" w:rsidP="00314194">
            <w:pPr>
              <w:pStyle w:val="In-tableHeading"/>
              <w:rPr>
                <w:lang w:val="en-AU"/>
              </w:rPr>
            </w:pPr>
            <w:bookmarkStart w:id="20" w:name="_Hlk124166129"/>
            <w:bookmarkEnd w:id="19"/>
            <w:r w:rsidRPr="00FE6CB5" w:rsidDel="00B66BCB">
              <w:rPr>
                <w:lang w:val="en-AU"/>
              </w:rPr>
              <w:t>Outcome</w:t>
            </w:r>
          </w:p>
        </w:tc>
        <w:tc>
          <w:tcPr>
            <w:tcW w:w="866" w:type="pct"/>
            <w:vAlign w:val="center"/>
          </w:tcPr>
          <w:p w14:paraId="5825BD17" w14:textId="66C7AA22" w:rsidR="002364D2" w:rsidRPr="00FE6CB5" w:rsidDel="00B66BCB" w:rsidRDefault="002364D2" w:rsidP="00314194">
            <w:pPr>
              <w:pStyle w:val="In-tableHeading"/>
              <w:jc w:val="center"/>
              <w:rPr>
                <w:lang w:val="en-AU"/>
              </w:rPr>
            </w:pPr>
            <w:r w:rsidRPr="00FE6CB5" w:rsidDel="00B66BCB">
              <w:rPr>
                <w:lang w:val="en-AU"/>
              </w:rPr>
              <w:t>Olaparib</w:t>
            </w:r>
          </w:p>
          <w:p w14:paraId="3AD40B60" w14:textId="0F2706CF" w:rsidR="002364D2" w:rsidRPr="00FE6CB5" w:rsidDel="00B66BCB" w:rsidRDefault="002364D2" w:rsidP="00314194">
            <w:pPr>
              <w:pStyle w:val="In-tableHeading"/>
              <w:jc w:val="center"/>
              <w:rPr>
                <w:lang w:val="en-AU"/>
              </w:rPr>
            </w:pPr>
            <w:r w:rsidRPr="00FE6CB5" w:rsidDel="00B66BCB">
              <w:rPr>
                <w:lang w:val="en-AU"/>
              </w:rPr>
              <w:t>n/N (%)</w:t>
            </w:r>
          </w:p>
        </w:tc>
        <w:tc>
          <w:tcPr>
            <w:tcW w:w="912" w:type="pct"/>
            <w:vAlign w:val="center"/>
          </w:tcPr>
          <w:p w14:paraId="73C52A8D" w14:textId="25A9B530" w:rsidR="002364D2" w:rsidRPr="00FE6CB5" w:rsidDel="00B66BCB" w:rsidRDefault="002364D2" w:rsidP="00314194">
            <w:pPr>
              <w:pStyle w:val="In-tableHeading"/>
              <w:jc w:val="center"/>
              <w:rPr>
                <w:lang w:val="en-AU"/>
              </w:rPr>
            </w:pPr>
            <w:r w:rsidRPr="00FE6CB5" w:rsidDel="00B66BCB">
              <w:rPr>
                <w:lang w:val="en-AU"/>
              </w:rPr>
              <w:t>Placebo</w:t>
            </w:r>
          </w:p>
          <w:p w14:paraId="6DFE6AC4" w14:textId="4E32E765" w:rsidR="002364D2" w:rsidRPr="00FE6CB5" w:rsidDel="00B66BCB" w:rsidRDefault="002364D2" w:rsidP="00314194">
            <w:pPr>
              <w:pStyle w:val="In-tableHeading"/>
              <w:jc w:val="center"/>
              <w:rPr>
                <w:lang w:val="en-AU"/>
              </w:rPr>
            </w:pPr>
            <w:r w:rsidRPr="00FE6CB5" w:rsidDel="00B66BCB">
              <w:rPr>
                <w:lang w:val="en-AU"/>
              </w:rPr>
              <w:t>n/N (%)</w:t>
            </w:r>
          </w:p>
        </w:tc>
        <w:tc>
          <w:tcPr>
            <w:tcW w:w="897" w:type="pct"/>
            <w:vAlign w:val="center"/>
          </w:tcPr>
          <w:p w14:paraId="5452D1AB" w14:textId="6DF9EC4D" w:rsidR="002364D2" w:rsidRPr="00FE6CB5" w:rsidDel="00B66BCB" w:rsidRDefault="002364D2" w:rsidP="00314194">
            <w:pPr>
              <w:pStyle w:val="In-tableHeading"/>
              <w:jc w:val="center"/>
              <w:rPr>
                <w:lang w:val="en-AU"/>
              </w:rPr>
            </w:pPr>
            <w:r w:rsidRPr="00FE6CB5" w:rsidDel="00B66BCB">
              <w:rPr>
                <w:lang w:val="en-AU"/>
              </w:rPr>
              <w:t>Relative risk (95% CI)</w:t>
            </w:r>
          </w:p>
        </w:tc>
        <w:tc>
          <w:tcPr>
            <w:tcW w:w="878" w:type="pct"/>
            <w:vAlign w:val="center"/>
          </w:tcPr>
          <w:p w14:paraId="08427FB1" w14:textId="06D08B08" w:rsidR="002364D2" w:rsidRPr="00FE6CB5" w:rsidDel="00B66BCB" w:rsidRDefault="002364D2" w:rsidP="00314194">
            <w:pPr>
              <w:pStyle w:val="In-tableHeading"/>
              <w:jc w:val="center"/>
              <w:rPr>
                <w:lang w:val="en-AU"/>
              </w:rPr>
            </w:pPr>
            <w:r w:rsidRPr="00FE6CB5" w:rsidDel="00B66BCB">
              <w:rPr>
                <w:lang w:val="en-AU"/>
              </w:rPr>
              <w:t>Hazard ratio (95% CI)</w:t>
            </w:r>
          </w:p>
        </w:tc>
        <w:tc>
          <w:tcPr>
            <w:tcW w:w="878" w:type="pct"/>
          </w:tcPr>
          <w:p w14:paraId="7A29525C" w14:textId="0426D819" w:rsidR="002364D2" w:rsidRPr="00FE6CB5" w:rsidDel="00B66BCB" w:rsidRDefault="002364D2" w:rsidP="00314194">
            <w:pPr>
              <w:pStyle w:val="In-tableHeading"/>
              <w:jc w:val="center"/>
              <w:rPr>
                <w:lang w:val="en-AU"/>
              </w:rPr>
            </w:pPr>
            <w:r w:rsidRPr="00FE6CB5" w:rsidDel="00B66BCB">
              <w:rPr>
                <w:lang w:val="en-AU"/>
              </w:rPr>
              <w:t>Median time to event</w:t>
            </w:r>
          </w:p>
        </w:tc>
      </w:tr>
      <w:tr w:rsidR="002364D2" w:rsidRPr="00FE6CB5" w:rsidDel="00B66BCB" w14:paraId="4328FFD5" w14:textId="2245A831" w:rsidTr="00314194">
        <w:trPr>
          <w:cantSplit/>
        </w:trPr>
        <w:tc>
          <w:tcPr>
            <w:tcW w:w="568" w:type="pct"/>
            <w:vAlign w:val="center"/>
          </w:tcPr>
          <w:p w14:paraId="050AD166" w14:textId="407DA61A" w:rsidR="002364D2" w:rsidRPr="00FE6CB5" w:rsidDel="00B66BCB" w:rsidRDefault="002364D2" w:rsidP="00314194">
            <w:pPr>
              <w:pStyle w:val="TableText"/>
            </w:pPr>
            <w:r w:rsidRPr="00FE6CB5" w:rsidDel="00B66BCB">
              <w:t>IDFS</w:t>
            </w:r>
          </w:p>
        </w:tc>
        <w:tc>
          <w:tcPr>
            <w:tcW w:w="866" w:type="pct"/>
            <w:vAlign w:val="center"/>
          </w:tcPr>
          <w:p w14:paraId="0B0FD72D" w14:textId="2BA8879C" w:rsidR="002364D2" w:rsidRPr="00FE6CB5" w:rsidDel="00B66BCB" w:rsidRDefault="002364D2" w:rsidP="00314194">
            <w:pPr>
              <w:pStyle w:val="TableText"/>
              <w:jc w:val="center"/>
            </w:pPr>
            <w:r w:rsidRPr="00FE6CB5" w:rsidDel="00B66BCB">
              <w:t>134 /921 (14.5%)</w:t>
            </w:r>
          </w:p>
        </w:tc>
        <w:tc>
          <w:tcPr>
            <w:tcW w:w="912" w:type="pct"/>
            <w:vAlign w:val="center"/>
          </w:tcPr>
          <w:p w14:paraId="79BE97C2" w14:textId="3FDD7290" w:rsidR="002364D2" w:rsidRPr="00FE6CB5" w:rsidDel="00B66BCB" w:rsidRDefault="002364D2" w:rsidP="00314194">
            <w:pPr>
              <w:pStyle w:val="TableText"/>
              <w:jc w:val="center"/>
            </w:pPr>
            <w:r w:rsidRPr="00FE6CB5" w:rsidDel="00B66BCB">
              <w:t>207/ 915 (22.6%)</w:t>
            </w:r>
          </w:p>
        </w:tc>
        <w:tc>
          <w:tcPr>
            <w:tcW w:w="897" w:type="pct"/>
            <w:vAlign w:val="center"/>
          </w:tcPr>
          <w:p w14:paraId="1FD0F972" w14:textId="3FC0C692" w:rsidR="002364D2" w:rsidRPr="00FE6CB5" w:rsidDel="00B66BCB" w:rsidRDefault="002364D2" w:rsidP="00314194">
            <w:pPr>
              <w:pStyle w:val="TableText"/>
              <w:jc w:val="center"/>
              <w:rPr>
                <w:b/>
                <w:bCs/>
              </w:rPr>
            </w:pPr>
            <w:r w:rsidRPr="00FE6CB5" w:rsidDel="00B66BCB">
              <w:rPr>
                <w:b/>
              </w:rPr>
              <w:t>0.64 (0.53, 0.78)</w:t>
            </w:r>
          </w:p>
        </w:tc>
        <w:tc>
          <w:tcPr>
            <w:tcW w:w="878" w:type="pct"/>
            <w:vAlign w:val="center"/>
          </w:tcPr>
          <w:p w14:paraId="2EFE4994" w14:textId="360BF2C7" w:rsidR="002364D2" w:rsidRPr="00FE6CB5" w:rsidDel="00B66BCB" w:rsidRDefault="002364D2" w:rsidP="00314194">
            <w:pPr>
              <w:pStyle w:val="TableText"/>
              <w:jc w:val="center"/>
              <w:rPr>
                <w:b/>
                <w:bCs/>
              </w:rPr>
            </w:pPr>
            <w:r w:rsidRPr="00FE6CB5" w:rsidDel="00B66BCB">
              <w:rPr>
                <w:b/>
              </w:rPr>
              <w:t>0.63 (0.50, 0.78)</w:t>
            </w:r>
          </w:p>
        </w:tc>
        <w:tc>
          <w:tcPr>
            <w:tcW w:w="878" w:type="pct"/>
          </w:tcPr>
          <w:p w14:paraId="6C599153" w14:textId="1C707BAF" w:rsidR="002364D2" w:rsidRPr="00FE6CB5" w:rsidDel="00B66BCB" w:rsidRDefault="002364D2" w:rsidP="00314194">
            <w:pPr>
              <w:pStyle w:val="TableText"/>
              <w:jc w:val="center"/>
              <w:rPr>
                <w:b/>
                <w:bCs/>
              </w:rPr>
            </w:pPr>
            <w:r w:rsidRPr="00FE6CB5" w:rsidDel="00B66BCB">
              <w:rPr>
                <w:b/>
              </w:rPr>
              <w:t>NR</w:t>
            </w:r>
          </w:p>
        </w:tc>
      </w:tr>
      <w:tr w:rsidR="002364D2" w:rsidRPr="00FE6CB5" w:rsidDel="00B66BCB" w14:paraId="41D34753" w14:textId="62A5BE7C" w:rsidTr="00314194">
        <w:trPr>
          <w:cantSplit/>
        </w:trPr>
        <w:tc>
          <w:tcPr>
            <w:tcW w:w="568" w:type="pct"/>
            <w:vAlign w:val="center"/>
          </w:tcPr>
          <w:p w14:paraId="16EB70C3" w14:textId="19F3AE5F" w:rsidR="002364D2" w:rsidRPr="00FE6CB5" w:rsidDel="00B66BCB" w:rsidRDefault="002364D2" w:rsidP="00314194">
            <w:pPr>
              <w:pStyle w:val="TableText"/>
            </w:pPr>
            <w:r w:rsidRPr="00FE6CB5" w:rsidDel="00B66BCB">
              <w:t>OS</w:t>
            </w:r>
          </w:p>
        </w:tc>
        <w:tc>
          <w:tcPr>
            <w:tcW w:w="866" w:type="pct"/>
            <w:vAlign w:val="center"/>
          </w:tcPr>
          <w:p w14:paraId="6151AF45" w14:textId="0EDA3A17" w:rsidR="002364D2" w:rsidRPr="00FE6CB5" w:rsidDel="00B66BCB" w:rsidRDefault="002364D2" w:rsidP="00314194">
            <w:pPr>
              <w:pStyle w:val="TableText"/>
              <w:jc w:val="center"/>
            </w:pPr>
            <w:r w:rsidRPr="00FE6CB5" w:rsidDel="00B66BCB">
              <w:t>75/921 (8.1%)</w:t>
            </w:r>
          </w:p>
        </w:tc>
        <w:tc>
          <w:tcPr>
            <w:tcW w:w="912" w:type="pct"/>
            <w:vAlign w:val="center"/>
          </w:tcPr>
          <w:p w14:paraId="15BDE062" w14:textId="654C6E89" w:rsidR="002364D2" w:rsidRPr="00FE6CB5" w:rsidDel="00B66BCB" w:rsidRDefault="002364D2" w:rsidP="00314194">
            <w:pPr>
              <w:pStyle w:val="TableText"/>
              <w:jc w:val="center"/>
            </w:pPr>
            <w:r w:rsidRPr="00FE6CB5" w:rsidDel="00B66BCB">
              <w:t>109/ 915 (11.9%)</w:t>
            </w:r>
          </w:p>
        </w:tc>
        <w:tc>
          <w:tcPr>
            <w:tcW w:w="897" w:type="pct"/>
            <w:vAlign w:val="center"/>
          </w:tcPr>
          <w:p w14:paraId="3055BBCF" w14:textId="75CB4BD8" w:rsidR="002364D2" w:rsidRPr="00FE6CB5" w:rsidDel="00B66BCB" w:rsidRDefault="002364D2" w:rsidP="00314194">
            <w:pPr>
              <w:pStyle w:val="TableText"/>
              <w:jc w:val="center"/>
              <w:rPr>
                <w:b/>
                <w:bCs/>
              </w:rPr>
            </w:pPr>
            <w:r w:rsidRPr="00FE6CB5" w:rsidDel="00B66BCB">
              <w:rPr>
                <w:b/>
              </w:rPr>
              <w:t>0.68 (0.52, 0.90)</w:t>
            </w:r>
          </w:p>
        </w:tc>
        <w:tc>
          <w:tcPr>
            <w:tcW w:w="878" w:type="pct"/>
            <w:vAlign w:val="center"/>
          </w:tcPr>
          <w:p w14:paraId="6412D47B" w14:textId="3F86F62A" w:rsidR="002364D2" w:rsidRPr="00FE6CB5" w:rsidDel="00B66BCB" w:rsidRDefault="002364D2" w:rsidP="00314194">
            <w:pPr>
              <w:pStyle w:val="TableText"/>
              <w:jc w:val="center"/>
              <w:rPr>
                <w:b/>
                <w:bCs/>
              </w:rPr>
            </w:pPr>
            <w:r w:rsidRPr="00FE6CB5" w:rsidDel="00B66BCB">
              <w:rPr>
                <w:b/>
              </w:rPr>
              <w:t>0.68 (0.50, 0.91)</w:t>
            </w:r>
          </w:p>
        </w:tc>
        <w:tc>
          <w:tcPr>
            <w:tcW w:w="878" w:type="pct"/>
          </w:tcPr>
          <w:p w14:paraId="416E5C2F" w14:textId="56465132" w:rsidR="002364D2" w:rsidRPr="00FE6CB5" w:rsidDel="00B66BCB" w:rsidRDefault="002364D2" w:rsidP="00314194">
            <w:pPr>
              <w:pStyle w:val="TableText"/>
              <w:jc w:val="center"/>
              <w:rPr>
                <w:b/>
                <w:bCs/>
              </w:rPr>
            </w:pPr>
            <w:r w:rsidRPr="00FE6CB5" w:rsidDel="00B66BCB">
              <w:rPr>
                <w:b/>
              </w:rPr>
              <w:t>NR</w:t>
            </w:r>
          </w:p>
        </w:tc>
      </w:tr>
      <w:tr w:rsidR="002364D2" w:rsidRPr="00FE6CB5" w:rsidDel="00B66BCB" w14:paraId="5D679071" w14:textId="067FEC37" w:rsidTr="00314194">
        <w:trPr>
          <w:cantSplit/>
        </w:trPr>
        <w:tc>
          <w:tcPr>
            <w:tcW w:w="568" w:type="pct"/>
            <w:vAlign w:val="center"/>
          </w:tcPr>
          <w:p w14:paraId="6164033B" w14:textId="333EFB2C" w:rsidR="002364D2" w:rsidRPr="00FE6CB5" w:rsidDel="00B66BCB" w:rsidRDefault="002364D2" w:rsidP="00314194">
            <w:pPr>
              <w:pStyle w:val="TableText"/>
            </w:pPr>
            <w:r w:rsidRPr="00FE6CB5" w:rsidDel="00B66BCB">
              <w:t>DDFS</w:t>
            </w:r>
          </w:p>
        </w:tc>
        <w:tc>
          <w:tcPr>
            <w:tcW w:w="866" w:type="pct"/>
            <w:vAlign w:val="center"/>
          </w:tcPr>
          <w:p w14:paraId="54DCE498" w14:textId="53E45A69" w:rsidR="002364D2" w:rsidRPr="00FE6CB5" w:rsidDel="00B66BCB" w:rsidRDefault="002364D2" w:rsidP="00314194">
            <w:pPr>
              <w:pStyle w:val="TableText"/>
              <w:jc w:val="center"/>
            </w:pPr>
            <w:r w:rsidRPr="00FE6CB5" w:rsidDel="00B66BCB">
              <w:t>107/921 (11.6%)</w:t>
            </w:r>
          </w:p>
        </w:tc>
        <w:tc>
          <w:tcPr>
            <w:tcW w:w="912" w:type="pct"/>
            <w:vAlign w:val="center"/>
          </w:tcPr>
          <w:p w14:paraId="393A8638" w14:textId="4F8BC7E8" w:rsidR="002364D2" w:rsidRPr="00FE6CB5" w:rsidDel="00B66BCB" w:rsidRDefault="002364D2" w:rsidP="00314194">
            <w:pPr>
              <w:pStyle w:val="TableText"/>
              <w:jc w:val="center"/>
            </w:pPr>
            <w:r w:rsidRPr="00FE6CB5" w:rsidDel="00B66BCB">
              <w:t>172/ 915 (18.8%)</w:t>
            </w:r>
          </w:p>
        </w:tc>
        <w:tc>
          <w:tcPr>
            <w:tcW w:w="897" w:type="pct"/>
            <w:vAlign w:val="center"/>
          </w:tcPr>
          <w:p w14:paraId="153BD482" w14:textId="2B512963" w:rsidR="002364D2" w:rsidRPr="00FE6CB5" w:rsidDel="00B66BCB" w:rsidRDefault="002364D2" w:rsidP="00314194">
            <w:pPr>
              <w:pStyle w:val="TableText"/>
              <w:jc w:val="center"/>
              <w:rPr>
                <w:b/>
                <w:bCs/>
              </w:rPr>
            </w:pPr>
            <w:r w:rsidRPr="00FE6CB5" w:rsidDel="00B66BCB">
              <w:rPr>
                <w:b/>
              </w:rPr>
              <w:t>0.62 (0.49. 0.77)</w:t>
            </w:r>
          </w:p>
        </w:tc>
        <w:tc>
          <w:tcPr>
            <w:tcW w:w="878" w:type="pct"/>
            <w:vAlign w:val="center"/>
          </w:tcPr>
          <w:p w14:paraId="3354419D" w14:textId="105E6C1F" w:rsidR="002364D2" w:rsidRPr="00FE6CB5" w:rsidDel="00B66BCB" w:rsidRDefault="002364D2" w:rsidP="00314194">
            <w:pPr>
              <w:pStyle w:val="TableText"/>
              <w:jc w:val="center"/>
              <w:rPr>
                <w:b/>
                <w:bCs/>
              </w:rPr>
            </w:pPr>
            <w:r w:rsidRPr="00FE6CB5" w:rsidDel="00B66BCB">
              <w:rPr>
                <w:b/>
              </w:rPr>
              <w:t>0.61 (0.48, 0.77)</w:t>
            </w:r>
          </w:p>
        </w:tc>
        <w:tc>
          <w:tcPr>
            <w:tcW w:w="878" w:type="pct"/>
          </w:tcPr>
          <w:p w14:paraId="4265FB54" w14:textId="286D5C70" w:rsidR="002364D2" w:rsidRPr="00FE6CB5" w:rsidDel="00B66BCB" w:rsidRDefault="002364D2" w:rsidP="00314194">
            <w:pPr>
              <w:pStyle w:val="TableText"/>
              <w:jc w:val="center"/>
              <w:rPr>
                <w:b/>
                <w:bCs/>
              </w:rPr>
            </w:pPr>
            <w:r w:rsidRPr="00FE6CB5" w:rsidDel="00B66BCB">
              <w:rPr>
                <w:b/>
              </w:rPr>
              <w:t>NR</w:t>
            </w:r>
          </w:p>
        </w:tc>
      </w:tr>
    </w:tbl>
    <w:bookmarkEnd w:id="20"/>
    <w:p w14:paraId="691D3177" w14:textId="68C47F71" w:rsidR="002364D2" w:rsidRPr="00FE6CB5" w:rsidDel="00B66BCB" w:rsidRDefault="002364D2" w:rsidP="002364D2">
      <w:pPr>
        <w:pStyle w:val="FooterTableFigure"/>
        <w:rPr>
          <w:sz w:val="20"/>
        </w:rPr>
      </w:pPr>
      <w:r w:rsidRPr="00FE6CB5" w:rsidDel="00B66BCB">
        <w:t>Source: Table 2.16, p68, table 2.17, p69, and table 2.18, p71 of the submission).</w:t>
      </w:r>
    </w:p>
    <w:p w14:paraId="1A241BD7" w14:textId="2897E5C1" w:rsidR="002364D2" w:rsidRPr="00732B04" w:rsidDel="00B66BCB" w:rsidRDefault="002364D2" w:rsidP="00732B04">
      <w:pPr>
        <w:pStyle w:val="FooterTableFigure"/>
        <w:rPr>
          <w:rFonts w:eastAsia="Calibri"/>
        </w:rPr>
      </w:pPr>
      <w:r w:rsidRPr="00FE6CB5" w:rsidDel="00B66BCB">
        <w:rPr>
          <w:rFonts w:eastAsia="Calibri"/>
        </w:rPr>
        <w:t xml:space="preserve">CI = confidence interval, DDFS = distant disease-free survival, IDFS = invasive disease-free survival, n = number of participants with event, N = total participants in group, NR = not reached; OS = overall survival. </w:t>
      </w:r>
      <w:r w:rsidRPr="00FE6CB5" w:rsidDel="00B66BCB">
        <w:rPr>
          <w:rFonts w:eastAsia="Calibri"/>
          <w:b/>
          <w:bCs/>
        </w:rPr>
        <w:t>Bold</w:t>
      </w:r>
      <w:r w:rsidRPr="00FE6CB5" w:rsidDel="00B66BCB">
        <w:rPr>
          <w:rFonts w:eastAsia="Calibri"/>
        </w:rPr>
        <w:t xml:space="preserve"> indicates statistically significant results.</w:t>
      </w:r>
    </w:p>
    <w:p w14:paraId="3B9FC2AD" w14:textId="7BA4045E" w:rsidR="00772829" w:rsidRDefault="002A71BA" w:rsidP="002A18BE">
      <w:pPr>
        <w:pStyle w:val="Heading2"/>
        <w:numPr>
          <w:ilvl w:val="0"/>
          <w:numId w:val="0"/>
        </w:numPr>
      </w:pPr>
      <w:bookmarkStart w:id="21" w:name="_Toc69491423"/>
      <w:bookmarkEnd w:id="18"/>
      <w:r>
        <w:t>11</w:t>
      </w:r>
      <w:r w:rsidR="00C36633">
        <w:t>.</w:t>
      </w:r>
      <w:r w:rsidR="00C36633">
        <w:tab/>
      </w:r>
      <w:r w:rsidR="00772829" w:rsidRPr="00CE28E3">
        <w:t>Comparative safety</w:t>
      </w:r>
      <w:bookmarkEnd w:id="21"/>
    </w:p>
    <w:p w14:paraId="719A9908" w14:textId="77777777" w:rsidR="009141A7" w:rsidRPr="009141A7" w:rsidRDefault="009141A7" w:rsidP="004E5BF4">
      <w:pPr>
        <w:pStyle w:val="Heading3"/>
      </w:pPr>
      <w:r w:rsidRPr="009141A7">
        <w:t>Test</w:t>
      </w:r>
    </w:p>
    <w:p w14:paraId="30D6E4C3" w14:textId="39C31CEA" w:rsidR="00291F4F" w:rsidRDefault="00CD7B0D" w:rsidP="00CD7B0D">
      <w:r w:rsidRPr="00CD7B0D">
        <w:t xml:space="preserve">The submission did not make an explicit clinical claim with respective to comparative safety. The submission </w:t>
      </w:r>
      <w:r w:rsidR="00D455EE">
        <w:t>stated</w:t>
      </w:r>
      <w:r w:rsidRPr="00CD7B0D">
        <w:t xml:space="preserve"> that </w:t>
      </w:r>
      <w:r w:rsidR="009527FC">
        <w:t>g</w:t>
      </w:r>
      <w:r w:rsidR="00D455EE" w:rsidRPr="00D455EE">
        <w:t xml:space="preserve">ermline </w:t>
      </w:r>
      <w:r w:rsidR="00624CC8" w:rsidRPr="00624CC8">
        <w:rPr>
          <w:i/>
          <w:iCs/>
        </w:rPr>
        <w:t>BRCA</w:t>
      </w:r>
      <w:r w:rsidR="00D455EE" w:rsidRPr="00D455EE">
        <w:t xml:space="preserve"> </w:t>
      </w:r>
      <w:r w:rsidR="000700F3">
        <w:t>pathogenic variant</w:t>
      </w:r>
      <w:r w:rsidR="002128C7">
        <w:t xml:space="preserve"> </w:t>
      </w:r>
      <w:r w:rsidR="00D455EE" w:rsidRPr="00D455EE">
        <w:t xml:space="preserve">testing </w:t>
      </w:r>
      <w:r w:rsidR="009527FC">
        <w:t xml:space="preserve">is currently </w:t>
      </w:r>
      <w:r w:rsidR="00D455EE" w:rsidRPr="00D455EE">
        <w:t xml:space="preserve">offered by several Australian pathology providers </w:t>
      </w:r>
      <w:r w:rsidR="009527FC">
        <w:t xml:space="preserve">using </w:t>
      </w:r>
      <w:r w:rsidR="009346F5" w:rsidRPr="009346F5">
        <w:t xml:space="preserve">in-house developed </w:t>
      </w:r>
      <w:r w:rsidR="009346F5">
        <w:t>NGS-based testing methods</w:t>
      </w:r>
      <w:r w:rsidR="009346F5" w:rsidRPr="00732B04">
        <w:rPr>
          <w:i/>
          <w:iCs/>
        </w:rPr>
        <w:t xml:space="preserve">. </w:t>
      </w:r>
      <w:r w:rsidRPr="00732B04">
        <w:rPr>
          <w:i/>
          <w:iCs/>
        </w:rPr>
        <w:t xml:space="preserve">It is unlikely that there will be adverse events from the testing procedure. </w:t>
      </w:r>
      <w:r w:rsidR="00430FAE">
        <w:rPr>
          <w:i/>
          <w:iCs/>
        </w:rPr>
        <w:t xml:space="preserve">BRCA1/2 </w:t>
      </w:r>
      <w:r w:rsidR="00430FAE">
        <w:t xml:space="preserve">testing </w:t>
      </w:r>
      <w:r w:rsidR="00291F4F">
        <w:t xml:space="preserve">using NGS is highly accurate </w:t>
      </w:r>
      <w:r w:rsidR="00E61E15">
        <w:t xml:space="preserve">and is unlikely to have </w:t>
      </w:r>
      <w:r w:rsidR="00B15654">
        <w:t xml:space="preserve">downstream safety concerns </w:t>
      </w:r>
      <w:r w:rsidR="0051396E">
        <w:t xml:space="preserve">from false positive or false negative test results. </w:t>
      </w:r>
    </w:p>
    <w:p w14:paraId="25BD5DEB" w14:textId="7EFCB2D9" w:rsidR="009141A7" w:rsidRPr="009141A7" w:rsidRDefault="00DE3E8A" w:rsidP="004E5BF4">
      <w:pPr>
        <w:pStyle w:val="Heading3"/>
        <w:rPr>
          <w:i/>
          <w:iCs/>
        </w:rPr>
      </w:pPr>
      <w:r>
        <w:rPr>
          <w:i/>
          <w:iCs/>
        </w:rPr>
        <w:t>D</w:t>
      </w:r>
      <w:r w:rsidR="009141A7" w:rsidRPr="009141A7">
        <w:rPr>
          <w:i/>
          <w:iCs/>
        </w:rPr>
        <w:t>rug</w:t>
      </w:r>
    </w:p>
    <w:p w14:paraId="342BA1CB" w14:textId="61A17AD7" w:rsidR="00F1333A" w:rsidRPr="00BE67B3" w:rsidRDefault="002861F9" w:rsidP="00CD7B0D">
      <w:r>
        <w:t xml:space="preserve">The comparative safety of treatment with </w:t>
      </w:r>
      <w:r w:rsidR="002128C7">
        <w:t>Olaparib</w:t>
      </w:r>
      <w:r>
        <w:t xml:space="preserve"> will be considered by the PBAC. </w:t>
      </w:r>
      <w:r w:rsidR="00F1333A" w:rsidRPr="00F1333A">
        <w:t xml:space="preserve">The submission described olaparib as non-inferior in terms of safety compared to placebo. </w:t>
      </w:r>
      <w:r w:rsidR="00F1333A" w:rsidRPr="00BE67B3">
        <w:t>Th</w:t>
      </w:r>
      <w:r w:rsidR="00206E00" w:rsidRPr="00BE67B3">
        <w:t xml:space="preserve">e </w:t>
      </w:r>
      <w:r w:rsidR="00DE3E8A" w:rsidRPr="00BE67B3">
        <w:t xml:space="preserve">PBAC </w:t>
      </w:r>
      <w:r w:rsidR="00206E00" w:rsidRPr="00BE67B3">
        <w:t xml:space="preserve">commentary </w:t>
      </w:r>
      <w:r w:rsidR="00562295" w:rsidRPr="00BE67B3">
        <w:t>considered that the</w:t>
      </w:r>
      <w:r w:rsidR="00F1333A" w:rsidRPr="00BE67B3">
        <w:t xml:space="preserve"> claim was not adequately supported </w:t>
      </w:r>
      <w:r w:rsidR="00FB0894" w:rsidRPr="00BE67B3">
        <w:t>as</w:t>
      </w:r>
      <w:r w:rsidR="00F1333A" w:rsidRPr="00BE67B3">
        <w:t xml:space="preserve"> </w:t>
      </w:r>
      <w:r w:rsidR="00FB0894" w:rsidRPr="00BE67B3">
        <w:t>the</w:t>
      </w:r>
      <w:r w:rsidR="00F1333A" w:rsidRPr="00BE67B3">
        <w:t xml:space="preserve"> olaparib arm had a higher incidence of all AEs, a higher incidence of grade 3 or higher AEs, and a higher incidence of AEs leading to dose reduction, interruption, or discontinuation, compared to the placebo arm and also the long-term risk of MDS/AML.</w:t>
      </w:r>
      <w:r w:rsidR="00EF5215" w:rsidRPr="00BE67B3">
        <w:t xml:space="preserve"> As the comparator was placebo, this is a reasonable outcome. Furthermore, the </w:t>
      </w:r>
      <w:r w:rsidR="00BE67B3" w:rsidRPr="00BE67B3">
        <w:t xml:space="preserve">PBAC commentary considered the </w:t>
      </w:r>
      <w:r w:rsidR="00EF5215" w:rsidRPr="00BE67B3">
        <w:t xml:space="preserve">safety profile of olaparib in the OlympiA trial aligns with what is already established for olaparib in the indications for which it has received PBAC and TGA approval. </w:t>
      </w:r>
    </w:p>
    <w:p w14:paraId="3717AA01" w14:textId="0CBDA015" w:rsidR="00772829" w:rsidRDefault="00C36633" w:rsidP="002A18BE">
      <w:pPr>
        <w:pStyle w:val="Heading2"/>
        <w:numPr>
          <w:ilvl w:val="0"/>
          <w:numId w:val="0"/>
        </w:numPr>
      </w:pPr>
      <w:bookmarkStart w:id="22" w:name="_Toc69491424"/>
      <w:r>
        <w:t>1</w:t>
      </w:r>
      <w:r w:rsidR="002A71BA">
        <w:t>2</w:t>
      </w:r>
      <w:r>
        <w:t>.</w:t>
      </w:r>
      <w:r>
        <w:tab/>
      </w:r>
      <w:r w:rsidR="00772829" w:rsidRPr="00CE28E3">
        <w:t>Comparative effectiveness</w:t>
      </w:r>
      <w:bookmarkEnd w:id="22"/>
    </w:p>
    <w:p w14:paraId="5BE06533" w14:textId="435F3809" w:rsidR="007B7679" w:rsidRDefault="007B7679" w:rsidP="004E5BF4">
      <w:r w:rsidRPr="00FE6CB5">
        <w:t xml:space="preserve">The primary outcome for the OlympiA trial was </w:t>
      </w:r>
      <w:r w:rsidR="003730E0">
        <w:t>IDFS</w:t>
      </w:r>
      <w:r w:rsidRPr="00FE6CB5">
        <w:t>. This involved investigator assessed recurrence of invasive disease or death</w:t>
      </w:r>
      <w:r>
        <w:t>.</w:t>
      </w:r>
      <w:r w:rsidRPr="007B7679">
        <w:t xml:space="preserve"> The results of IDFS from the OlympiA trial are shown in </w:t>
      </w:r>
      <w:r w:rsidR="002364D2">
        <w:fldChar w:fldCharType="begin"/>
      </w:r>
      <w:r w:rsidR="002364D2">
        <w:instrText xml:space="preserve"> REF _Ref121011753 \h </w:instrText>
      </w:r>
      <w:r w:rsidR="008B77DB">
        <w:instrText xml:space="preserve"> \* MERGEFORMAT </w:instrText>
      </w:r>
      <w:r w:rsidR="002364D2">
        <w:fldChar w:fldCharType="separate"/>
      </w:r>
      <w:r w:rsidR="00EF5403" w:rsidRPr="00EF5403">
        <w:t xml:space="preserve">Table </w:t>
      </w:r>
      <w:r w:rsidR="00EF5403" w:rsidRPr="00EF5403">
        <w:rPr>
          <w:noProof/>
        </w:rPr>
        <w:t>4</w:t>
      </w:r>
      <w:r w:rsidR="002364D2">
        <w:fldChar w:fldCharType="end"/>
      </w:r>
      <w:r w:rsidRPr="007B7679">
        <w:t xml:space="preserve">. The olaparib arm of the trial showed a statistically significant reduction in recurrence </w:t>
      </w:r>
      <w:r w:rsidRPr="007B7679">
        <w:lastRenderedPageBreak/>
        <w:t>when compared to placebo (14.5% in olaparib, 22.6% in placebo hazard ratio 0.63 (95% CI 0.50, 0.78) at DCO2). The Kaplan-Meier curve</w:t>
      </w:r>
      <w:r w:rsidR="0095364B">
        <w:t>s</w:t>
      </w:r>
      <w:r w:rsidRPr="007B7679">
        <w:t xml:space="preserve"> for IDFS in the OlympiA trial </w:t>
      </w:r>
      <w:r w:rsidR="0095364B">
        <w:t>are</w:t>
      </w:r>
      <w:r w:rsidRPr="007B7679">
        <w:t xml:space="preserve"> presented in </w:t>
      </w:r>
      <w:r w:rsidR="004D5010">
        <w:fldChar w:fldCharType="begin"/>
      </w:r>
      <w:r w:rsidR="004D5010">
        <w:instrText xml:space="preserve"> REF _Ref121058397 \h </w:instrText>
      </w:r>
      <w:r w:rsidR="005E34B9">
        <w:instrText xml:space="preserve"> \* MERGEFORMAT </w:instrText>
      </w:r>
      <w:r w:rsidR="004D5010">
        <w:fldChar w:fldCharType="separate"/>
      </w:r>
      <w:r w:rsidR="00EF5403" w:rsidRPr="00FE6CB5">
        <w:t xml:space="preserve">Figure </w:t>
      </w:r>
      <w:r w:rsidR="00EF5403">
        <w:rPr>
          <w:noProof/>
        </w:rPr>
        <w:t>4</w:t>
      </w:r>
      <w:r w:rsidR="004D5010">
        <w:fldChar w:fldCharType="end"/>
      </w:r>
      <w:r w:rsidRPr="007B7679">
        <w:t>.</w:t>
      </w:r>
      <w:r>
        <w:t xml:space="preserve"> </w:t>
      </w:r>
    </w:p>
    <w:p w14:paraId="5F72814F" w14:textId="0B10B6FE" w:rsidR="007B7679" w:rsidRPr="007B7679" w:rsidRDefault="007B7679" w:rsidP="004E5BF4">
      <w:r w:rsidRPr="007B7679">
        <w:t xml:space="preserve">Secondary outcomes included </w:t>
      </w:r>
      <w:r w:rsidR="0047157F">
        <w:t>OS</w:t>
      </w:r>
      <w:r w:rsidRPr="007B7679">
        <w:t xml:space="preserve"> and </w:t>
      </w:r>
      <w:r w:rsidR="00CC6958">
        <w:t>DDFS</w:t>
      </w:r>
      <w:r w:rsidRPr="007B7679">
        <w:t xml:space="preserve">. </w:t>
      </w:r>
      <w:r w:rsidR="00CD7B0D" w:rsidRPr="00CD7B0D">
        <w:rPr>
          <w:i/>
          <w:iCs/>
        </w:rPr>
        <w:t>The OS data were immature at DCO2 (75 (8.1%) deaths in olaparib and 109 (11.9%) deaths in placebo) owing to the long survival seen in eBC patients.</w:t>
      </w:r>
      <w:r w:rsidR="00CD7B0D" w:rsidRPr="00CD7B0D">
        <w:t xml:space="preserve"> </w:t>
      </w:r>
      <w:r w:rsidRPr="007B7679">
        <w:t>The submission state</w:t>
      </w:r>
      <w:r w:rsidR="00CD7B0D">
        <w:t>d</w:t>
      </w:r>
      <w:r w:rsidRPr="007B7679">
        <w:t xml:space="preserve"> that the deaths observed in the OlympiA trial </w:t>
      </w:r>
      <w:r w:rsidR="00CD7B0D">
        <w:t>were</w:t>
      </w:r>
      <w:r w:rsidRPr="007B7679">
        <w:t xml:space="preserve"> from “early progressors” and the likely full extent of OS gain ha</w:t>
      </w:r>
      <w:r w:rsidR="00CD7B0D">
        <w:t>d</w:t>
      </w:r>
      <w:r w:rsidRPr="007B7679">
        <w:t xml:space="preserve"> not been realised and likely will not be observed for many years after the trial has concluded. The OS results from the OlympiA trial are displayed in </w:t>
      </w:r>
      <w:r w:rsidRPr="007B7679">
        <w:fldChar w:fldCharType="begin"/>
      </w:r>
      <w:r w:rsidRPr="007B7679">
        <w:instrText xml:space="preserve"> REF _Ref121011753 \h  \* MERGEFORMAT </w:instrText>
      </w:r>
      <w:r w:rsidRPr="007B7679">
        <w:fldChar w:fldCharType="separate"/>
      </w:r>
      <w:r w:rsidR="00EF5403" w:rsidRPr="00EF5403">
        <w:t>Table 4</w:t>
      </w:r>
      <w:r w:rsidRPr="007B7679">
        <w:fldChar w:fldCharType="end"/>
      </w:r>
      <w:r w:rsidRPr="007B7679">
        <w:t>. At the most recent data cut off (12</w:t>
      </w:r>
      <w:r w:rsidRPr="007B7679">
        <w:rPr>
          <w:vertAlign w:val="superscript"/>
        </w:rPr>
        <w:t>th</w:t>
      </w:r>
      <w:r w:rsidRPr="007B7679">
        <w:t xml:space="preserve"> of July, 2021, median follow-up 3.5 years), there was a statistically significant difference in OS (hazard ratio 0.68 (95% CI 0.50, 0.91)). </w:t>
      </w:r>
      <w:r w:rsidRPr="007B7679">
        <w:rPr>
          <w:i/>
          <w:iCs/>
        </w:rPr>
        <w:t>The median OS had not been reached.</w:t>
      </w:r>
      <w:r w:rsidRPr="007B7679">
        <w:t xml:space="preserve"> The Kaplan-Meier curves for OS in the OlympiA trial are presented in </w:t>
      </w:r>
      <w:r w:rsidRPr="007B7679">
        <w:fldChar w:fldCharType="begin"/>
      </w:r>
      <w:r w:rsidRPr="007B7679">
        <w:instrText xml:space="preserve"> REF _Ref121058384 \h  \* MERGEFORMAT </w:instrText>
      </w:r>
      <w:r w:rsidRPr="007B7679">
        <w:fldChar w:fldCharType="separate"/>
      </w:r>
      <w:r w:rsidR="00EF5403" w:rsidRPr="00FE6CB5">
        <w:t xml:space="preserve">Figure </w:t>
      </w:r>
      <w:r w:rsidR="00EF5403">
        <w:t>5</w:t>
      </w:r>
      <w:r w:rsidRPr="007B7679">
        <w:fldChar w:fldCharType="end"/>
      </w:r>
      <w:r w:rsidRPr="007B7679">
        <w:t>.</w:t>
      </w:r>
    </w:p>
    <w:p w14:paraId="5595C14E" w14:textId="52D5AD88" w:rsidR="007B7679" w:rsidRDefault="002364D2" w:rsidP="004E5BF4">
      <w:r w:rsidRPr="002364D2">
        <w:t xml:space="preserve">The DDFS data from the OlympiA trial are also presented in </w:t>
      </w:r>
      <w:r>
        <w:fldChar w:fldCharType="begin"/>
      </w:r>
      <w:r>
        <w:instrText xml:space="preserve"> REF _Ref121011753 \h </w:instrText>
      </w:r>
      <w:r w:rsidR="008B77DB">
        <w:instrText xml:space="preserve"> \* MERGEFORMAT </w:instrText>
      </w:r>
      <w:r>
        <w:fldChar w:fldCharType="separate"/>
      </w:r>
      <w:r w:rsidR="00EF5403" w:rsidRPr="00EF5403">
        <w:t xml:space="preserve">Table </w:t>
      </w:r>
      <w:r w:rsidR="00EF5403" w:rsidRPr="00EF5403">
        <w:rPr>
          <w:noProof/>
        </w:rPr>
        <w:t>4</w:t>
      </w:r>
      <w:r>
        <w:fldChar w:fldCharType="end"/>
      </w:r>
      <w:r>
        <w:t xml:space="preserve"> </w:t>
      </w:r>
      <w:r w:rsidRPr="002364D2">
        <w:t>and these findings align with the results for IDFS. The olaparib arm had a distant recurrence rate of 11.6% while the placebo arm had a distant recurrence rate of 18.8% at DCO2. This was a statistically significant difference (11.6% in olaparib vs. 18.8% in placebo, hazard ratio 0.61 (95% CI 0.48, 0.77).</w:t>
      </w:r>
    </w:p>
    <w:p w14:paraId="697055D0" w14:textId="3F27DFB3" w:rsidR="004C4ABC" w:rsidRDefault="004C4ABC" w:rsidP="004E5BF4">
      <w:r w:rsidRPr="001E3757">
        <w:t>Treatment with olaparib was administered for up to 12 months and the results, at a median follow-up of 3.5</w:t>
      </w:r>
      <w:r>
        <w:t xml:space="preserve"> years</w:t>
      </w:r>
      <w:r w:rsidRPr="001E3757">
        <w:t xml:space="preserve"> and 3.6</w:t>
      </w:r>
      <w:r>
        <w:t xml:space="preserve"> years</w:t>
      </w:r>
      <w:r w:rsidRPr="001E3757">
        <w:t xml:space="preserve"> for olaparib and placebo arms respectively, showed that treatment with olaparib resulted in a statistically significant and clinically meaningful reduction of 37.2% in the risk of invasive disease recurrence or death compared with placebo (HR 0.628; 95% CI: 0.504, 0.779; p=0.0000233) (</w:t>
      </w:r>
      <w:r w:rsidRPr="0062452C">
        <w:fldChar w:fldCharType="begin"/>
      </w:r>
      <w:r w:rsidRPr="0062452C">
        <w:instrText xml:space="preserve"> REF _Ref121058397 \h  \* MERGEFORMAT </w:instrText>
      </w:r>
      <w:r w:rsidRPr="0062452C">
        <w:fldChar w:fldCharType="separate"/>
      </w:r>
      <w:r w:rsidR="00EF5403" w:rsidRPr="00FE6CB5">
        <w:t xml:space="preserve">Figure </w:t>
      </w:r>
      <w:r w:rsidR="00EF5403">
        <w:rPr>
          <w:noProof/>
        </w:rPr>
        <w:t>4</w:t>
      </w:r>
      <w:r w:rsidRPr="0062452C">
        <w:fldChar w:fldCharType="end"/>
      </w:r>
      <w:r w:rsidRPr="001E3757">
        <w:t>). Subgroup analyses of the IDFS outcome were consistent with the primary analysis, with the treatment benefit of olaparib over placebo evidenced across most of the predefined subgroups. Notably, there was no evidence to indicate a differential treatment effect based on HR status, such that subgroup analyses demonstrated no difference in response between the HR-positive, HER2-negative and TNBC population for the primary outcome (p=0.754). The OS (</w:t>
      </w:r>
      <w:r w:rsidRPr="0062452C">
        <w:fldChar w:fldCharType="begin"/>
      </w:r>
      <w:r w:rsidRPr="0062452C">
        <w:instrText xml:space="preserve"> REF _Ref121058384 \h  \* MERGEFORMAT </w:instrText>
      </w:r>
      <w:r w:rsidRPr="0062452C">
        <w:fldChar w:fldCharType="separate"/>
      </w:r>
      <w:r w:rsidR="00EF5403" w:rsidRPr="00FE6CB5">
        <w:t xml:space="preserve">Figure </w:t>
      </w:r>
      <w:r w:rsidR="00EF5403">
        <w:rPr>
          <w:noProof/>
        </w:rPr>
        <w:t>5</w:t>
      </w:r>
      <w:r w:rsidRPr="0062452C">
        <w:fldChar w:fldCharType="end"/>
      </w:r>
      <w:r w:rsidRPr="001E3757">
        <w:t>) results showed a statistically significant 32.2% risk reduction in the olaparib arm compared to the placebo arm (HR 0.678; 95% CI: 0.503, 0.907; p=0.0091). Similarly, there was a statistically significant and clinically meaningful 39.3% reduction in the risk of distant disease recurrence or death for olaparib versus placebo (HR 0.607; 95% CI: 0.476, 0.771; p=0.0000421).</w:t>
      </w:r>
    </w:p>
    <w:p w14:paraId="1598EE0C" w14:textId="07242E1A" w:rsidR="004C4ABC" w:rsidRPr="00FE6CB5" w:rsidRDefault="004C4ABC" w:rsidP="004C4ABC">
      <w:pPr>
        <w:pStyle w:val="Caption"/>
      </w:pPr>
      <w:bookmarkStart w:id="23" w:name="_Ref121058397"/>
      <w:r w:rsidRPr="00FE6CB5">
        <w:lastRenderedPageBreak/>
        <w:t xml:space="preserve">Figure </w:t>
      </w:r>
      <w:r>
        <w:fldChar w:fldCharType="begin"/>
      </w:r>
      <w:r>
        <w:instrText>SEQ Figure \* ARABIC</w:instrText>
      </w:r>
      <w:r>
        <w:fldChar w:fldCharType="separate"/>
      </w:r>
      <w:r w:rsidR="00EF5403">
        <w:rPr>
          <w:noProof/>
        </w:rPr>
        <w:t>4</w:t>
      </w:r>
      <w:r>
        <w:fldChar w:fldCharType="end"/>
      </w:r>
      <w:bookmarkEnd w:id="23"/>
      <w:r w:rsidRPr="00FE6CB5">
        <w:t>: Kaplan-Meier Plot for IDFS (ITT Population) in OlympiA at median follow-up of 3.5 and 3.6 years (olaparib and placebo respectively)</w:t>
      </w:r>
    </w:p>
    <w:p w14:paraId="26F101E7" w14:textId="77777777" w:rsidR="004C4ABC" w:rsidRPr="00FE6CB5" w:rsidRDefault="004C4ABC" w:rsidP="004C4ABC">
      <w:pPr>
        <w:pStyle w:val="FooterTableFigure"/>
        <w:rPr>
          <w:rFonts w:eastAsia="Calibri"/>
        </w:rPr>
      </w:pPr>
      <w:r w:rsidRPr="00FE6CB5">
        <w:rPr>
          <w:noProof/>
        </w:rPr>
        <w:drawing>
          <wp:inline distT="0" distB="0" distL="0" distR="0" wp14:anchorId="7A0365C8" wp14:editId="6163F855">
            <wp:extent cx="5731510" cy="3136265"/>
            <wp:effectExtent l="0" t="0" r="2540" b="6985"/>
            <wp:docPr id="3" name="Picture 3" descr="Kaplan-Meier Plot for IDFS (ITT Population) in OlympiA at median follow-up of 3.5 and 3.6 years (olaparib and placebo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aplan-Meier Plot for IDFS (ITT Population) in OlympiA at median follow-up of 3.5 and 3.6 years (olaparib and placebo respectively)"/>
                    <pic:cNvPicPr/>
                  </pic:nvPicPr>
                  <pic:blipFill>
                    <a:blip r:embed="rId22"/>
                    <a:stretch>
                      <a:fillRect/>
                    </a:stretch>
                  </pic:blipFill>
                  <pic:spPr>
                    <a:xfrm>
                      <a:off x="0" y="0"/>
                      <a:ext cx="5731510" cy="3136265"/>
                    </a:xfrm>
                    <a:prstGeom prst="rect">
                      <a:avLst/>
                    </a:prstGeom>
                  </pic:spPr>
                </pic:pic>
              </a:graphicData>
            </a:graphic>
          </wp:inline>
        </w:drawing>
      </w:r>
    </w:p>
    <w:p w14:paraId="06E2AF99" w14:textId="77777777" w:rsidR="004C4ABC" w:rsidRPr="00FE6CB5" w:rsidRDefault="004C4ABC" w:rsidP="004C4ABC">
      <w:pPr>
        <w:pStyle w:val="FooterTableFigure"/>
      </w:pPr>
      <w:r w:rsidRPr="00FE6CB5">
        <w:t>Source: Figure 2.3, p68 of the submission.</w:t>
      </w:r>
    </w:p>
    <w:p w14:paraId="4177284B" w14:textId="77777777" w:rsidR="004C4ABC" w:rsidRPr="00FE6CB5" w:rsidRDefault="004C4ABC" w:rsidP="004C4ABC">
      <w:pPr>
        <w:pStyle w:val="FooterTableFigure"/>
        <w:rPr>
          <w:szCs w:val="18"/>
        </w:rPr>
      </w:pPr>
      <w:r w:rsidRPr="00FE6CB5">
        <w:rPr>
          <w:szCs w:val="18"/>
        </w:rPr>
        <w:t>IDFS = Invasive disease-free survival, ITT = Intention-to-treat</w:t>
      </w:r>
    </w:p>
    <w:p w14:paraId="1351A96E" w14:textId="0DC52E68" w:rsidR="004C4ABC" w:rsidRPr="00FE6CB5" w:rsidRDefault="004C4ABC" w:rsidP="004C4ABC">
      <w:pPr>
        <w:pStyle w:val="Caption"/>
      </w:pPr>
      <w:bookmarkStart w:id="24" w:name="_Ref121058384"/>
      <w:r w:rsidRPr="00FE6CB5">
        <w:t xml:space="preserve">Figure </w:t>
      </w:r>
      <w:r>
        <w:fldChar w:fldCharType="begin"/>
      </w:r>
      <w:r>
        <w:instrText>SEQ Figure \* ARABIC</w:instrText>
      </w:r>
      <w:r>
        <w:fldChar w:fldCharType="separate"/>
      </w:r>
      <w:r w:rsidR="00EF5403">
        <w:rPr>
          <w:noProof/>
        </w:rPr>
        <w:t>5</w:t>
      </w:r>
      <w:r>
        <w:fldChar w:fldCharType="end"/>
      </w:r>
      <w:bookmarkEnd w:id="24"/>
      <w:r w:rsidRPr="00FE6CB5">
        <w:t>: Kaplan-Meier Plot for OS (ITT Population) in OlympiA at median follow-up of 3.5 and 3.6 years</w:t>
      </w:r>
    </w:p>
    <w:p w14:paraId="3EDD8ED1" w14:textId="77777777" w:rsidR="004C4ABC" w:rsidRPr="00FE6CB5" w:rsidRDefault="004C4ABC" w:rsidP="004C4ABC">
      <w:pPr>
        <w:pStyle w:val="FooterTableFigure"/>
        <w:rPr>
          <w:rFonts w:eastAsia="Calibri"/>
        </w:rPr>
      </w:pPr>
      <w:r w:rsidRPr="00FE6CB5">
        <w:rPr>
          <w:noProof/>
        </w:rPr>
        <w:drawing>
          <wp:inline distT="0" distB="0" distL="0" distR="0" wp14:anchorId="03429532" wp14:editId="59ADFA5B">
            <wp:extent cx="5731510" cy="3154045"/>
            <wp:effectExtent l="0" t="0" r="2540" b="8255"/>
            <wp:docPr id="4" name="Picture 4" descr="Kaplan-Meier Plot for OS (ITT Population) in OlympiA at median follow-up of 3.5 and 3.6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aplan-Meier Plot for OS (ITT Population) in OlympiA at median follow-up of 3.5 and 3.6 years"/>
                    <pic:cNvPicPr/>
                  </pic:nvPicPr>
                  <pic:blipFill>
                    <a:blip r:embed="rId23"/>
                    <a:stretch>
                      <a:fillRect/>
                    </a:stretch>
                  </pic:blipFill>
                  <pic:spPr>
                    <a:xfrm>
                      <a:off x="0" y="0"/>
                      <a:ext cx="5731510" cy="3154045"/>
                    </a:xfrm>
                    <a:prstGeom prst="rect">
                      <a:avLst/>
                    </a:prstGeom>
                  </pic:spPr>
                </pic:pic>
              </a:graphicData>
            </a:graphic>
          </wp:inline>
        </w:drawing>
      </w:r>
      <w:r w:rsidRPr="00FE6CB5">
        <w:rPr>
          <w:rFonts w:eastAsia="Calibri"/>
        </w:rPr>
        <w:t xml:space="preserve"> </w:t>
      </w:r>
    </w:p>
    <w:p w14:paraId="54BCC80F" w14:textId="77777777" w:rsidR="004C4ABC" w:rsidRPr="00FE6CB5" w:rsidRDefault="004C4ABC" w:rsidP="004C4ABC">
      <w:pPr>
        <w:spacing w:before="0" w:after="0"/>
        <w:rPr>
          <w:rFonts w:ascii="Arial Narrow" w:hAnsi="Arial Narrow"/>
          <w:sz w:val="18"/>
          <w:szCs w:val="18"/>
        </w:rPr>
      </w:pPr>
      <w:r w:rsidRPr="00FE6CB5">
        <w:rPr>
          <w:rFonts w:ascii="Arial Narrow" w:hAnsi="Arial Narrow"/>
          <w:sz w:val="18"/>
          <w:szCs w:val="18"/>
        </w:rPr>
        <w:t>Source: Figure 2.5, p71 of the submission.</w:t>
      </w:r>
    </w:p>
    <w:p w14:paraId="4D6D2294" w14:textId="083AAEF6" w:rsidR="004C4ABC" w:rsidRPr="00B308CA" w:rsidRDefault="004C4ABC" w:rsidP="00B308CA">
      <w:pPr>
        <w:spacing w:before="0" w:after="0"/>
        <w:rPr>
          <w:rFonts w:ascii="Arial Narrow" w:hAnsi="Arial Narrow"/>
          <w:sz w:val="18"/>
          <w:szCs w:val="18"/>
        </w:rPr>
      </w:pPr>
      <w:r w:rsidRPr="00FE6CB5">
        <w:rPr>
          <w:rFonts w:ascii="Arial Narrow" w:hAnsi="Arial Narrow"/>
          <w:sz w:val="18"/>
          <w:szCs w:val="18"/>
        </w:rPr>
        <w:t>ITT = intention to treat, OS = overall survival.</w:t>
      </w:r>
    </w:p>
    <w:p w14:paraId="6ED47575" w14:textId="77777777" w:rsidR="004C4ABC" w:rsidRDefault="004C4ABC" w:rsidP="00B308CA">
      <w:pPr>
        <w:spacing w:before="240"/>
      </w:pPr>
      <w:r>
        <w:t xml:space="preserve">Overall, the incidence of AEs was higher in the olaparib arm than the placebo arm (91.8% vs 83.8%, respectively). However, the incidence of serious adverse events (SAEs) remained similar across the olaparib and placebo arms (8.7% vs 8.6%, respectively). A greater proportion of patients in the olaparib arm experienced AEs leading to discontinuation of study treatment (10.8% for olaparib vs 4.6% for placebo), dose reduction (23.4% for olaparib vs 3.7% for placebo) </w:t>
      </w:r>
      <w:r>
        <w:lastRenderedPageBreak/>
        <w:t xml:space="preserve">and dose interruption (31.4% for olaparib vs 11.0% for placebo). It is important to note that despite this increased occurrence of AEs observed among patients receiving olaparib, the rate of AEs resulting in death during study treatment, or 30-day safety follow-up remained balanced between both treatment groups, which occurred in one patient in the olaparib arm (0.1%) and two patients in the placebo arm (0.2%). </w:t>
      </w:r>
    </w:p>
    <w:p w14:paraId="67AB06B5" w14:textId="0A17AA7F" w:rsidR="004C4ABC" w:rsidRDefault="004C4ABC" w:rsidP="004C4ABC">
      <w:r>
        <w:t xml:space="preserve">The clinical evaluation demonstrated that, in patients with HER2-negative high-risk early breast cancer with confirmed </w:t>
      </w:r>
      <w:r w:rsidRPr="00624CC8">
        <w:rPr>
          <w:i/>
          <w:iCs/>
        </w:rPr>
        <w:t>BRCA</w:t>
      </w:r>
      <w:r>
        <w:t xml:space="preserve">1 and/or </w:t>
      </w:r>
      <w:r w:rsidRPr="00624CC8">
        <w:rPr>
          <w:i/>
          <w:iCs/>
        </w:rPr>
        <w:t>BRCA</w:t>
      </w:r>
      <w:r>
        <w:t xml:space="preserve">2 </w:t>
      </w:r>
      <w:r w:rsidR="000700F3">
        <w:t>pathogenic variant</w:t>
      </w:r>
      <w:r>
        <w:t xml:space="preserve"> who had completed definitive local treatment and neoadjuvant or adjuvant chemotherapy (with anthracyclines and/or taxane), olaparib was superior compared to placebo in terms of comparative efficacy (IDFS, DDFS, OS) and olaparib was noninferior compared to placebo in terms of comparative safety. </w:t>
      </w:r>
      <w:r w:rsidRPr="002364D2">
        <w:t>Results of key outcomes in the OlympiA trial DCO2 (median follow up of 3.5 years)</w:t>
      </w:r>
      <w:r>
        <w:t xml:space="preserve"> are shown in </w:t>
      </w:r>
      <w:r w:rsidR="004E6008">
        <w:fldChar w:fldCharType="begin"/>
      </w:r>
      <w:r w:rsidR="004E6008">
        <w:instrText xml:space="preserve"> REF _Ref121011753 \h </w:instrText>
      </w:r>
      <w:r w:rsidR="004E6008">
        <w:fldChar w:fldCharType="separate"/>
      </w:r>
      <w:r w:rsidR="004E6008" w:rsidRPr="00EF5215">
        <w:rPr>
          <w:szCs w:val="20"/>
        </w:rPr>
        <w:t xml:space="preserve">Table </w:t>
      </w:r>
      <w:r w:rsidR="004E6008">
        <w:rPr>
          <w:noProof/>
          <w:szCs w:val="20"/>
        </w:rPr>
        <w:t>5</w:t>
      </w:r>
      <w:r w:rsidR="004E6008">
        <w:fldChar w:fldCharType="end"/>
      </w:r>
      <w:r>
        <w:t xml:space="preserve">. </w:t>
      </w:r>
    </w:p>
    <w:p w14:paraId="0D57213C" w14:textId="70743AA5" w:rsidR="004C4ABC" w:rsidRPr="00CB3389" w:rsidRDefault="004C4ABC" w:rsidP="00CB3389">
      <w:pPr>
        <w:pStyle w:val="TableFigureHeading"/>
        <w:spacing w:after="40"/>
        <w:rPr>
          <w:szCs w:val="20"/>
        </w:rPr>
      </w:pPr>
      <w:bookmarkStart w:id="25" w:name="_Ref121011753"/>
      <w:r w:rsidRPr="00EF5215">
        <w:rPr>
          <w:szCs w:val="20"/>
        </w:rPr>
        <w:t xml:space="preserve">Table </w:t>
      </w:r>
      <w:r w:rsidRPr="00EF5215">
        <w:rPr>
          <w:szCs w:val="20"/>
        </w:rPr>
        <w:fldChar w:fldCharType="begin"/>
      </w:r>
      <w:r w:rsidRPr="00EF5215">
        <w:rPr>
          <w:szCs w:val="20"/>
        </w:rPr>
        <w:instrText xml:space="preserve"> SEQ Table \* ARABIC </w:instrText>
      </w:r>
      <w:r w:rsidRPr="00EF5215">
        <w:rPr>
          <w:szCs w:val="20"/>
        </w:rPr>
        <w:fldChar w:fldCharType="separate"/>
      </w:r>
      <w:r w:rsidR="001B3C82">
        <w:rPr>
          <w:noProof/>
          <w:szCs w:val="20"/>
        </w:rPr>
        <w:t>5</w:t>
      </w:r>
      <w:r w:rsidRPr="00EF5215">
        <w:rPr>
          <w:noProof/>
          <w:szCs w:val="20"/>
        </w:rPr>
        <w:fldChar w:fldCharType="end"/>
      </w:r>
      <w:bookmarkEnd w:id="25"/>
      <w:r w:rsidRPr="00EF5215">
        <w:rPr>
          <w:szCs w:val="20"/>
        </w:rPr>
        <w:t>:</w:t>
      </w:r>
      <w:r w:rsidRPr="00EF5215">
        <w:rPr>
          <w:rStyle w:val="CommentReference"/>
          <w:sz w:val="20"/>
          <w:szCs w:val="20"/>
        </w:rPr>
        <w:t xml:space="preserve"> Results of key outcomes in the OlympiA trial DCO2 (median follow up of 3.5 years)</w:t>
      </w:r>
    </w:p>
    <w:tbl>
      <w:tblPr>
        <w:tblStyle w:val="TableGrid1"/>
        <w:tblW w:w="5002" w:type="pct"/>
        <w:tblLayout w:type="fixed"/>
        <w:tblLook w:val="04A0" w:firstRow="1" w:lastRow="0" w:firstColumn="1" w:lastColumn="0" w:noHBand="0" w:noVBand="1"/>
      </w:tblPr>
      <w:tblGrid>
        <w:gridCol w:w="1026"/>
        <w:gridCol w:w="1563"/>
        <w:gridCol w:w="1645"/>
        <w:gridCol w:w="1618"/>
        <w:gridCol w:w="1584"/>
        <w:gridCol w:w="1584"/>
      </w:tblGrid>
      <w:tr w:rsidR="004C4ABC" w:rsidRPr="00FE6CB5" w14:paraId="7EBEFDD3" w14:textId="77777777" w:rsidTr="00D6374B">
        <w:trPr>
          <w:cnfStyle w:val="100000000000" w:firstRow="1" w:lastRow="0" w:firstColumn="0" w:lastColumn="0" w:oddVBand="0" w:evenVBand="0" w:oddHBand="0" w:evenHBand="0" w:firstRowFirstColumn="0" w:firstRowLastColumn="0" w:lastRowFirstColumn="0" w:lastRowLastColumn="0"/>
          <w:cantSplit/>
          <w:tblHeader/>
        </w:trPr>
        <w:tc>
          <w:tcPr>
            <w:tcW w:w="568" w:type="pct"/>
            <w:vAlign w:val="center"/>
          </w:tcPr>
          <w:p w14:paraId="62A2B5EA" w14:textId="77777777" w:rsidR="004C4ABC" w:rsidRPr="00FE6CB5" w:rsidRDefault="004C4ABC" w:rsidP="00D6374B">
            <w:pPr>
              <w:pStyle w:val="In-tableHeading"/>
              <w:rPr>
                <w:lang w:val="en-AU"/>
              </w:rPr>
            </w:pPr>
            <w:r w:rsidRPr="00FE6CB5">
              <w:rPr>
                <w:lang w:val="en-AU"/>
              </w:rPr>
              <w:t>Outcome</w:t>
            </w:r>
          </w:p>
        </w:tc>
        <w:tc>
          <w:tcPr>
            <w:tcW w:w="866" w:type="pct"/>
            <w:vAlign w:val="center"/>
          </w:tcPr>
          <w:p w14:paraId="1729B7EA" w14:textId="77777777" w:rsidR="004C4ABC" w:rsidRPr="00FE6CB5" w:rsidRDefault="004C4ABC" w:rsidP="00D6374B">
            <w:pPr>
              <w:pStyle w:val="In-tableHeading"/>
              <w:jc w:val="center"/>
              <w:rPr>
                <w:lang w:val="en-AU"/>
              </w:rPr>
            </w:pPr>
            <w:r w:rsidRPr="00FE6CB5">
              <w:rPr>
                <w:lang w:val="en-AU"/>
              </w:rPr>
              <w:t>Olaparib</w:t>
            </w:r>
          </w:p>
          <w:p w14:paraId="368140AF" w14:textId="77777777" w:rsidR="004C4ABC" w:rsidRPr="00FE6CB5" w:rsidRDefault="004C4ABC" w:rsidP="00D6374B">
            <w:pPr>
              <w:pStyle w:val="In-tableHeading"/>
              <w:jc w:val="center"/>
              <w:rPr>
                <w:lang w:val="en-AU"/>
              </w:rPr>
            </w:pPr>
            <w:r w:rsidRPr="00FE6CB5">
              <w:rPr>
                <w:lang w:val="en-AU"/>
              </w:rPr>
              <w:t>n/N (%)</w:t>
            </w:r>
          </w:p>
        </w:tc>
        <w:tc>
          <w:tcPr>
            <w:tcW w:w="912" w:type="pct"/>
            <w:vAlign w:val="center"/>
          </w:tcPr>
          <w:p w14:paraId="179B47A7" w14:textId="77777777" w:rsidR="004C4ABC" w:rsidRPr="00FE6CB5" w:rsidRDefault="004C4ABC" w:rsidP="00D6374B">
            <w:pPr>
              <w:pStyle w:val="In-tableHeading"/>
              <w:jc w:val="center"/>
              <w:rPr>
                <w:lang w:val="en-AU"/>
              </w:rPr>
            </w:pPr>
            <w:r w:rsidRPr="00FE6CB5">
              <w:rPr>
                <w:lang w:val="en-AU"/>
              </w:rPr>
              <w:t>Placebo</w:t>
            </w:r>
          </w:p>
          <w:p w14:paraId="3B188F7C" w14:textId="77777777" w:rsidR="004C4ABC" w:rsidRPr="00FE6CB5" w:rsidRDefault="004C4ABC" w:rsidP="00D6374B">
            <w:pPr>
              <w:pStyle w:val="In-tableHeading"/>
              <w:jc w:val="center"/>
              <w:rPr>
                <w:lang w:val="en-AU"/>
              </w:rPr>
            </w:pPr>
            <w:r w:rsidRPr="00FE6CB5">
              <w:rPr>
                <w:lang w:val="en-AU"/>
              </w:rPr>
              <w:t>n/N (%)</w:t>
            </w:r>
          </w:p>
        </w:tc>
        <w:tc>
          <w:tcPr>
            <w:tcW w:w="897" w:type="pct"/>
            <w:vAlign w:val="center"/>
          </w:tcPr>
          <w:p w14:paraId="38455C44" w14:textId="77777777" w:rsidR="004C4ABC" w:rsidRPr="00FE6CB5" w:rsidRDefault="004C4ABC" w:rsidP="00D6374B">
            <w:pPr>
              <w:pStyle w:val="In-tableHeading"/>
              <w:jc w:val="center"/>
              <w:rPr>
                <w:lang w:val="en-AU"/>
              </w:rPr>
            </w:pPr>
            <w:r w:rsidRPr="00FE6CB5">
              <w:rPr>
                <w:lang w:val="en-AU"/>
              </w:rPr>
              <w:t>Relative risk (95% CI)</w:t>
            </w:r>
          </w:p>
        </w:tc>
        <w:tc>
          <w:tcPr>
            <w:tcW w:w="878" w:type="pct"/>
            <w:vAlign w:val="center"/>
          </w:tcPr>
          <w:p w14:paraId="57F17CD6" w14:textId="77777777" w:rsidR="004C4ABC" w:rsidRPr="00FE6CB5" w:rsidRDefault="004C4ABC" w:rsidP="00D6374B">
            <w:pPr>
              <w:pStyle w:val="In-tableHeading"/>
              <w:jc w:val="center"/>
              <w:rPr>
                <w:lang w:val="en-AU"/>
              </w:rPr>
            </w:pPr>
            <w:r w:rsidRPr="00FE6CB5">
              <w:rPr>
                <w:lang w:val="en-AU"/>
              </w:rPr>
              <w:t>Hazard ratio (95% CI)</w:t>
            </w:r>
          </w:p>
        </w:tc>
        <w:tc>
          <w:tcPr>
            <w:tcW w:w="878" w:type="pct"/>
          </w:tcPr>
          <w:p w14:paraId="664EF94D" w14:textId="77777777" w:rsidR="004C4ABC" w:rsidRPr="00FE6CB5" w:rsidRDefault="004C4ABC" w:rsidP="00D6374B">
            <w:pPr>
              <w:pStyle w:val="In-tableHeading"/>
              <w:jc w:val="center"/>
              <w:rPr>
                <w:lang w:val="en-AU"/>
              </w:rPr>
            </w:pPr>
            <w:r w:rsidRPr="00FE6CB5">
              <w:rPr>
                <w:lang w:val="en-AU"/>
              </w:rPr>
              <w:t>Median time to event</w:t>
            </w:r>
          </w:p>
        </w:tc>
      </w:tr>
      <w:tr w:rsidR="004C4ABC" w:rsidRPr="00FE6CB5" w14:paraId="2DFBFD6A" w14:textId="77777777" w:rsidTr="00D6374B">
        <w:trPr>
          <w:cantSplit/>
        </w:trPr>
        <w:tc>
          <w:tcPr>
            <w:tcW w:w="568" w:type="pct"/>
            <w:vAlign w:val="center"/>
          </w:tcPr>
          <w:p w14:paraId="001C755A" w14:textId="77777777" w:rsidR="004C4ABC" w:rsidRPr="00FE6CB5" w:rsidRDefault="004C4ABC" w:rsidP="00D6374B">
            <w:pPr>
              <w:pStyle w:val="TableText"/>
            </w:pPr>
            <w:r w:rsidRPr="00FE6CB5">
              <w:t>IDFS</w:t>
            </w:r>
          </w:p>
        </w:tc>
        <w:tc>
          <w:tcPr>
            <w:tcW w:w="866" w:type="pct"/>
            <w:vAlign w:val="center"/>
          </w:tcPr>
          <w:p w14:paraId="5ECEAE2C" w14:textId="77777777" w:rsidR="004C4ABC" w:rsidRPr="00FE6CB5" w:rsidRDefault="004C4ABC" w:rsidP="00D6374B">
            <w:pPr>
              <w:pStyle w:val="TableText"/>
              <w:jc w:val="center"/>
            </w:pPr>
            <w:r w:rsidRPr="00FE6CB5">
              <w:t>134 /921 (14.5%)</w:t>
            </w:r>
          </w:p>
        </w:tc>
        <w:tc>
          <w:tcPr>
            <w:tcW w:w="912" w:type="pct"/>
            <w:vAlign w:val="center"/>
          </w:tcPr>
          <w:p w14:paraId="39FCBBD5" w14:textId="77777777" w:rsidR="004C4ABC" w:rsidRPr="00FE6CB5" w:rsidRDefault="004C4ABC" w:rsidP="00D6374B">
            <w:pPr>
              <w:pStyle w:val="TableText"/>
              <w:jc w:val="center"/>
            </w:pPr>
            <w:r w:rsidRPr="00FE6CB5">
              <w:t>207/ 915 (22.6%)</w:t>
            </w:r>
          </w:p>
        </w:tc>
        <w:tc>
          <w:tcPr>
            <w:tcW w:w="897" w:type="pct"/>
            <w:vAlign w:val="center"/>
          </w:tcPr>
          <w:p w14:paraId="2FBEA72F" w14:textId="77777777" w:rsidR="004C4ABC" w:rsidRPr="00FE6CB5" w:rsidRDefault="004C4ABC" w:rsidP="00D6374B">
            <w:pPr>
              <w:pStyle w:val="TableText"/>
              <w:jc w:val="center"/>
              <w:rPr>
                <w:b/>
                <w:bCs/>
              </w:rPr>
            </w:pPr>
            <w:r w:rsidRPr="00FE6CB5">
              <w:rPr>
                <w:b/>
              </w:rPr>
              <w:t>0.64 (0.53, 0.78)</w:t>
            </w:r>
          </w:p>
        </w:tc>
        <w:tc>
          <w:tcPr>
            <w:tcW w:w="878" w:type="pct"/>
            <w:vAlign w:val="center"/>
          </w:tcPr>
          <w:p w14:paraId="40207085" w14:textId="77777777" w:rsidR="004C4ABC" w:rsidRPr="00FE6CB5" w:rsidRDefault="004C4ABC" w:rsidP="00D6374B">
            <w:pPr>
              <w:pStyle w:val="TableText"/>
              <w:jc w:val="center"/>
              <w:rPr>
                <w:b/>
                <w:bCs/>
              </w:rPr>
            </w:pPr>
            <w:r w:rsidRPr="00FE6CB5">
              <w:rPr>
                <w:b/>
              </w:rPr>
              <w:t>0.63 (0.50, 0.78)</w:t>
            </w:r>
          </w:p>
        </w:tc>
        <w:tc>
          <w:tcPr>
            <w:tcW w:w="878" w:type="pct"/>
          </w:tcPr>
          <w:p w14:paraId="37896BDE" w14:textId="77777777" w:rsidR="004C4ABC" w:rsidRPr="00FE6CB5" w:rsidRDefault="004C4ABC" w:rsidP="00D6374B">
            <w:pPr>
              <w:pStyle w:val="TableText"/>
              <w:jc w:val="center"/>
              <w:rPr>
                <w:b/>
                <w:bCs/>
              </w:rPr>
            </w:pPr>
            <w:r w:rsidRPr="00FE6CB5">
              <w:rPr>
                <w:b/>
              </w:rPr>
              <w:t>NR</w:t>
            </w:r>
          </w:p>
        </w:tc>
      </w:tr>
      <w:tr w:rsidR="004C4ABC" w:rsidRPr="00FE6CB5" w14:paraId="5B45DEBC" w14:textId="77777777" w:rsidTr="00D6374B">
        <w:trPr>
          <w:cantSplit/>
        </w:trPr>
        <w:tc>
          <w:tcPr>
            <w:tcW w:w="568" w:type="pct"/>
            <w:vAlign w:val="center"/>
          </w:tcPr>
          <w:p w14:paraId="37359636" w14:textId="77777777" w:rsidR="004C4ABC" w:rsidRPr="00FE6CB5" w:rsidRDefault="004C4ABC" w:rsidP="00D6374B">
            <w:pPr>
              <w:pStyle w:val="TableText"/>
            </w:pPr>
            <w:r w:rsidRPr="00FE6CB5">
              <w:t>OS</w:t>
            </w:r>
          </w:p>
        </w:tc>
        <w:tc>
          <w:tcPr>
            <w:tcW w:w="866" w:type="pct"/>
            <w:vAlign w:val="center"/>
          </w:tcPr>
          <w:p w14:paraId="1DD07321" w14:textId="77777777" w:rsidR="004C4ABC" w:rsidRPr="00FE6CB5" w:rsidRDefault="004C4ABC" w:rsidP="00D6374B">
            <w:pPr>
              <w:pStyle w:val="TableText"/>
              <w:jc w:val="center"/>
            </w:pPr>
            <w:r w:rsidRPr="00FE6CB5">
              <w:t>75/921 (8.1%)</w:t>
            </w:r>
          </w:p>
        </w:tc>
        <w:tc>
          <w:tcPr>
            <w:tcW w:w="912" w:type="pct"/>
            <w:vAlign w:val="center"/>
          </w:tcPr>
          <w:p w14:paraId="60DD86D6" w14:textId="77777777" w:rsidR="004C4ABC" w:rsidRPr="00FE6CB5" w:rsidRDefault="004C4ABC" w:rsidP="00D6374B">
            <w:pPr>
              <w:pStyle w:val="TableText"/>
              <w:jc w:val="center"/>
            </w:pPr>
            <w:r w:rsidRPr="00FE6CB5">
              <w:t>109/ 915 (11.9%)</w:t>
            </w:r>
          </w:p>
        </w:tc>
        <w:tc>
          <w:tcPr>
            <w:tcW w:w="897" w:type="pct"/>
            <w:vAlign w:val="center"/>
          </w:tcPr>
          <w:p w14:paraId="2D8AB562" w14:textId="77777777" w:rsidR="004C4ABC" w:rsidRPr="00FE6CB5" w:rsidRDefault="004C4ABC" w:rsidP="00D6374B">
            <w:pPr>
              <w:pStyle w:val="TableText"/>
              <w:jc w:val="center"/>
              <w:rPr>
                <w:b/>
                <w:bCs/>
              </w:rPr>
            </w:pPr>
            <w:r w:rsidRPr="00FE6CB5">
              <w:rPr>
                <w:b/>
              </w:rPr>
              <w:t>0.68 (0.52, 0.90)</w:t>
            </w:r>
          </w:p>
        </w:tc>
        <w:tc>
          <w:tcPr>
            <w:tcW w:w="878" w:type="pct"/>
            <w:vAlign w:val="center"/>
          </w:tcPr>
          <w:p w14:paraId="3D5D2AD2" w14:textId="77777777" w:rsidR="004C4ABC" w:rsidRPr="00FE6CB5" w:rsidRDefault="004C4ABC" w:rsidP="00D6374B">
            <w:pPr>
              <w:pStyle w:val="TableText"/>
              <w:jc w:val="center"/>
              <w:rPr>
                <w:b/>
                <w:bCs/>
              </w:rPr>
            </w:pPr>
            <w:r w:rsidRPr="00FE6CB5">
              <w:rPr>
                <w:b/>
              </w:rPr>
              <w:t>0.68 (0.50, 0.91)</w:t>
            </w:r>
          </w:p>
        </w:tc>
        <w:tc>
          <w:tcPr>
            <w:tcW w:w="878" w:type="pct"/>
          </w:tcPr>
          <w:p w14:paraId="3A40994C" w14:textId="77777777" w:rsidR="004C4ABC" w:rsidRPr="00FE6CB5" w:rsidRDefault="004C4ABC" w:rsidP="00D6374B">
            <w:pPr>
              <w:pStyle w:val="TableText"/>
              <w:jc w:val="center"/>
              <w:rPr>
                <w:b/>
                <w:bCs/>
              </w:rPr>
            </w:pPr>
            <w:r w:rsidRPr="00FE6CB5">
              <w:rPr>
                <w:b/>
              </w:rPr>
              <w:t>NR</w:t>
            </w:r>
          </w:p>
        </w:tc>
      </w:tr>
      <w:tr w:rsidR="004C4ABC" w:rsidRPr="00FE6CB5" w14:paraId="1D26B53B" w14:textId="77777777" w:rsidTr="00D6374B">
        <w:trPr>
          <w:cantSplit/>
        </w:trPr>
        <w:tc>
          <w:tcPr>
            <w:tcW w:w="568" w:type="pct"/>
            <w:vAlign w:val="center"/>
          </w:tcPr>
          <w:p w14:paraId="227EC23E" w14:textId="77777777" w:rsidR="004C4ABC" w:rsidRPr="00FE6CB5" w:rsidRDefault="004C4ABC" w:rsidP="00D6374B">
            <w:pPr>
              <w:pStyle w:val="TableText"/>
            </w:pPr>
            <w:r w:rsidRPr="00FE6CB5">
              <w:t>DDFS</w:t>
            </w:r>
          </w:p>
        </w:tc>
        <w:tc>
          <w:tcPr>
            <w:tcW w:w="866" w:type="pct"/>
            <w:vAlign w:val="center"/>
          </w:tcPr>
          <w:p w14:paraId="73EE863C" w14:textId="77777777" w:rsidR="004C4ABC" w:rsidRPr="00FE6CB5" w:rsidRDefault="004C4ABC" w:rsidP="00D6374B">
            <w:pPr>
              <w:pStyle w:val="TableText"/>
              <w:jc w:val="center"/>
            </w:pPr>
            <w:r w:rsidRPr="00FE6CB5">
              <w:t>107/921 (11.6%)</w:t>
            </w:r>
          </w:p>
        </w:tc>
        <w:tc>
          <w:tcPr>
            <w:tcW w:w="912" w:type="pct"/>
            <w:vAlign w:val="center"/>
          </w:tcPr>
          <w:p w14:paraId="20A0911A" w14:textId="77777777" w:rsidR="004C4ABC" w:rsidRPr="00FE6CB5" w:rsidRDefault="004C4ABC" w:rsidP="00D6374B">
            <w:pPr>
              <w:pStyle w:val="TableText"/>
              <w:jc w:val="center"/>
            </w:pPr>
            <w:r w:rsidRPr="00FE6CB5">
              <w:t>172/ 915 (18.8%)</w:t>
            </w:r>
          </w:p>
        </w:tc>
        <w:tc>
          <w:tcPr>
            <w:tcW w:w="897" w:type="pct"/>
            <w:vAlign w:val="center"/>
          </w:tcPr>
          <w:p w14:paraId="4AEB5C19" w14:textId="77777777" w:rsidR="004C4ABC" w:rsidRPr="00FE6CB5" w:rsidRDefault="004C4ABC" w:rsidP="00D6374B">
            <w:pPr>
              <w:pStyle w:val="TableText"/>
              <w:jc w:val="center"/>
              <w:rPr>
                <w:b/>
                <w:bCs/>
              </w:rPr>
            </w:pPr>
            <w:r w:rsidRPr="00FE6CB5">
              <w:rPr>
                <w:b/>
              </w:rPr>
              <w:t>0.62 (0.49. 0.77)</w:t>
            </w:r>
          </w:p>
        </w:tc>
        <w:tc>
          <w:tcPr>
            <w:tcW w:w="878" w:type="pct"/>
            <w:vAlign w:val="center"/>
          </w:tcPr>
          <w:p w14:paraId="42391A20" w14:textId="77777777" w:rsidR="004C4ABC" w:rsidRPr="00FE6CB5" w:rsidRDefault="004C4ABC" w:rsidP="00D6374B">
            <w:pPr>
              <w:pStyle w:val="TableText"/>
              <w:jc w:val="center"/>
              <w:rPr>
                <w:b/>
                <w:bCs/>
              </w:rPr>
            </w:pPr>
            <w:r w:rsidRPr="00FE6CB5">
              <w:rPr>
                <w:b/>
              </w:rPr>
              <w:t>0.61 (0.48, 0.77)</w:t>
            </w:r>
          </w:p>
        </w:tc>
        <w:tc>
          <w:tcPr>
            <w:tcW w:w="878" w:type="pct"/>
          </w:tcPr>
          <w:p w14:paraId="23AC1ECF" w14:textId="77777777" w:rsidR="004C4ABC" w:rsidRPr="00FE6CB5" w:rsidRDefault="004C4ABC" w:rsidP="00D6374B">
            <w:pPr>
              <w:pStyle w:val="TableText"/>
              <w:jc w:val="center"/>
              <w:rPr>
                <w:b/>
                <w:bCs/>
              </w:rPr>
            </w:pPr>
            <w:r w:rsidRPr="00FE6CB5">
              <w:rPr>
                <w:b/>
              </w:rPr>
              <w:t>NR</w:t>
            </w:r>
          </w:p>
        </w:tc>
      </w:tr>
    </w:tbl>
    <w:p w14:paraId="292A5CCC" w14:textId="090A9D68" w:rsidR="004C4ABC" w:rsidRPr="00FE6CB5" w:rsidRDefault="004C4ABC" w:rsidP="00CB3389">
      <w:pPr>
        <w:pStyle w:val="FooterTableFigure"/>
        <w:spacing w:before="40"/>
        <w:rPr>
          <w:sz w:val="20"/>
        </w:rPr>
      </w:pPr>
      <w:r w:rsidRPr="00FE6CB5">
        <w:t>Source: Table 2.16, p68, table 2.17, p69, and table 2.18, p71 of the submission.</w:t>
      </w:r>
    </w:p>
    <w:p w14:paraId="5936CA29" w14:textId="77777777" w:rsidR="004C4ABC" w:rsidRPr="00FE6CB5" w:rsidRDefault="004C4ABC" w:rsidP="004C4ABC">
      <w:pPr>
        <w:pStyle w:val="FooterTableFigure"/>
        <w:rPr>
          <w:rFonts w:eastAsia="Calibri"/>
        </w:rPr>
      </w:pPr>
      <w:r w:rsidRPr="00FE6CB5">
        <w:rPr>
          <w:rFonts w:eastAsia="Calibri"/>
        </w:rPr>
        <w:t xml:space="preserve">CI = confidence interval, DDFS = distant disease-free survival, IDFS = invasive disease-free survival, n = number of participants with event, N = total participants in group, NR = not reached; OS = overall survival. </w:t>
      </w:r>
      <w:r w:rsidRPr="00FE6CB5">
        <w:rPr>
          <w:rFonts w:eastAsia="Calibri"/>
          <w:b/>
          <w:bCs/>
        </w:rPr>
        <w:t>Bold</w:t>
      </w:r>
      <w:r w:rsidRPr="00FE6CB5">
        <w:rPr>
          <w:rFonts w:eastAsia="Calibri"/>
        </w:rPr>
        <w:t xml:space="preserve"> indicates statistically significant results.</w:t>
      </w:r>
    </w:p>
    <w:p w14:paraId="349E342C" w14:textId="77777777" w:rsidR="00B72D98" w:rsidRPr="008B77DB" w:rsidRDefault="00B72D98" w:rsidP="008B77DB">
      <w:pPr>
        <w:pStyle w:val="3-BodyText"/>
        <w:numPr>
          <w:ilvl w:val="0"/>
          <w:numId w:val="0"/>
        </w:numPr>
        <w:spacing w:before="0" w:line="276" w:lineRule="auto"/>
        <w:rPr>
          <w:rFonts w:ascii="Franklin Gothic Book" w:hAnsi="Franklin Gothic Book"/>
          <w:sz w:val="22"/>
          <w:szCs w:val="22"/>
        </w:rPr>
      </w:pPr>
      <w:r w:rsidRPr="008B77DB">
        <w:rPr>
          <w:rFonts w:ascii="Franklin Gothic Book" w:hAnsi="Franklin Gothic Book"/>
          <w:sz w:val="22"/>
          <w:szCs w:val="22"/>
        </w:rPr>
        <w:t xml:space="preserve">Hormone receptor status was a stratification factor in the OlympiA trial, which included a smaller proportion of HR-positive, HER2-negative patients (17.7%) compared to the TNBC population (82.3%). In contrast, the proportion of HR-positive, HER2-negative patients in Australian clinical practice is estimated to be approximately 56.9 to 79.6% compared with 12 to 24% for TNBC. </w:t>
      </w:r>
    </w:p>
    <w:p w14:paraId="25EF9017" w14:textId="3969438B" w:rsidR="007B7679" w:rsidRDefault="00B72D98" w:rsidP="008B77DB">
      <w:pPr>
        <w:spacing w:line="276" w:lineRule="auto"/>
      </w:pPr>
      <w:r w:rsidRPr="00B72D98">
        <w:t>Subgroup analyses by HR status are summarised in</w:t>
      </w:r>
      <w:r w:rsidR="008B77DB">
        <w:t xml:space="preserve"> </w:t>
      </w:r>
      <w:r w:rsidR="004E6008">
        <w:fldChar w:fldCharType="begin"/>
      </w:r>
      <w:r w:rsidR="004E6008">
        <w:instrText xml:space="preserve"> REF _Ref124032540 \h </w:instrText>
      </w:r>
      <w:r w:rsidR="004E6008">
        <w:fldChar w:fldCharType="separate"/>
      </w:r>
      <w:r w:rsidR="004E6008" w:rsidRPr="00FE6CB5">
        <w:t xml:space="preserve">Table </w:t>
      </w:r>
      <w:r w:rsidR="004E6008">
        <w:rPr>
          <w:noProof/>
        </w:rPr>
        <w:t>6</w:t>
      </w:r>
      <w:r w:rsidR="004E6008">
        <w:fldChar w:fldCharType="end"/>
      </w:r>
      <w:r w:rsidRPr="00B72D98">
        <w:t xml:space="preserve">. In the OlympiA trial, the treatment effect of olaparib versus placebo was slightly higher in the TNBC subgroup than in the HR+ subgroup, in terms of IDFS and </w:t>
      </w:r>
      <w:r w:rsidR="0047157F">
        <w:t>DDFS</w:t>
      </w:r>
      <w:r w:rsidRPr="00B72D98">
        <w:t xml:space="preserve"> and OS. </w:t>
      </w:r>
      <w:r w:rsidR="001C6836" w:rsidRPr="00B72D98">
        <w:t>Although</w:t>
      </w:r>
      <w:r w:rsidRPr="00B72D98">
        <w:t xml:space="preserve"> the difference in treatment effect was not statistically significant across subgroups, the test for interaction was not statistically powered. As TNBC patients </w:t>
      </w:r>
      <w:r w:rsidR="00163DA3">
        <w:t>were</w:t>
      </w:r>
      <w:r w:rsidRPr="00B72D98">
        <w:t xml:space="preserve"> over-represented in the OlympiA trial in comparison to the Australian setting, this may overestimate the effectiveness of olaparib.</w:t>
      </w:r>
    </w:p>
    <w:p w14:paraId="719C6CBB" w14:textId="20FEE92F" w:rsidR="008B77DB" w:rsidRPr="00FE6CB5" w:rsidRDefault="008B77DB" w:rsidP="008B77DB">
      <w:pPr>
        <w:pStyle w:val="TableFigureHeading"/>
      </w:pPr>
      <w:bookmarkStart w:id="26" w:name="_Ref124032540"/>
      <w:bookmarkStart w:id="27" w:name="_Hlk124350862"/>
      <w:r w:rsidRPr="00FE6CB5">
        <w:t xml:space="preserve">Table </w:t>
      </w:r>
      <w:r>
        <w:fldChar w:fldCharType="begin"/>
      </w:r>
      <w:r>
        <w:instrText>SEQ Table \* ARABIC</w:instrText>
      </w:r>
      <w:r>
        <w:fldChar w:fldCharType="separate"/>
      </w:r>
      <w:r w:rsidR="001B3C82">
        <w:rPr>
          <w:noProof/>
        </w:rPr>
        <w:t>6</w:t>
      </w:r>
      <w:r>
        <w:fldChar w:fldCharType="end"/>
      </w:r>
      <w:bookmarkEnd w:id="26"/>
      <w:r w:rsidRPr="00FE6CB5">
        <w:t>: Comparison of IDFS, DDFS and OS by HR status in OlympiA at DCO2</w:t>
      </w:r>
    </w:p>
    <w:tbl>
      <w:tblPr>
        <w:tblStyle w:val="TableGrid"/>
        <w:tblpPr w:leftFromText="180" w:rightFromText="180" w:vertAnchor="text" w:tblpY="1"/>
        <w:tblOverlap w:val="never"/>
        <w:tblW w:w="5000" w:type="pct"/>
        <w:tblLook w:val="04A0" w:firstRow="1" w:lastRow="0" w:firstColumn="1" w:lastColumn="0" w:noHBand="0" w:noVBand="1"/>
      </w:tblPr>
      <w:tblGrid>
        <w:gridCol w:w="2314"/>
        <w:gridCol w:w="1457"/>
        <w:gridCol w:w="1457"/>
        <w:gridCol w:w="1895"/>
        <w:gridCol w:w="1893"/>
      </w:tblGrid>
      <w:tr w:rsidR="008B77DB" w:rsidRPr="00FE6CB5" w14:paraId="54565632" w14:textId="77777777" w:rsidTr="00314194">
        <w:trPr>
          <w:cantSplit/>
        </w:trPr>
        <w:tc>
          <w:tcPr>
            <w:tcW w:w="1283" w:type="pct"/>
          </w:tcPr>
          <w:p w14:paraId="19042FDB" w14:textId="77777777" w:rsidR="008B77DB" w:rsidRPr="00FE6CB5" w:rsidRDefault="008B77DB" w:rsidP="0016761B">
            <w:pPr>
              <w:pStyle w:val="TableHeading0"/>
              <w:spacing w:before="0" w:after="0"/>
            </w:pPr>
            <w:r w:rsidRPr="00FE6CB5">
              <w:t>HR status</w:t>
            </w:r>
          </w:p>
        </w:tc>
        <w:tc>
          <w:tcPr>
            <w:tcW w:w="808" w:type="pct"/>
          </w:tcPr>
          <w:p w14:paraId="50ACAA04" w14:textId="77777777" w:rsidR="008B77DB" w:rsidRPr="00FE6CB5" w:rsidRDefault="008B77DB" w:rsidP="0016761B">
            <w:pPr>
              <w:pStyle w:val="TableHeading0"/>
              <w:spacing w:before="0" w:after="0"/>
            </w:pPr>
            <w:r w:rsidRPr="00FE6CB5">
              <w:t xml:space="preserve">Olaparib </w:t>
            </w:r>
          </w:p>
          <w:p w14:paraId="0B0343E8" w14:textId="77777777" w:rsidR="008B77DB" w:rsidRPr="00FE6CB5" w:rsidRDefault="008B77DB" w:rsidP="0016761B">
            <w:pPr>
              <w:pStyle w:val="TableHeading0"/>
              <w:spacing w:before="0" w:after="0"/>
            </w:pPr>
            <w:r w:rsidRPr="00FE6CB5">
              <w:t>n/N (%)</w:t>
            </w:r>
          </w:p>
        </w:tc>
        <w:tc>
          <w:tcPr>
            <w:tcW w:w="808" w:type="pct"/>
          </w:tcPr>
          <w:p w14:paraId="1750D6B4" w14:textId="77777777" w:rsidR="008B77DB" w:rsidRPr="00FE6CB5" w:rsidRDefault="008B77DB" w:rsidP="0016761B">
            <w:pPr>
              <w:pStyle w:val="TableHeading0"/>
              <w:spacing w:before="0" w:after="0"/>
            </w:pPr>
            <w:r w:rsidRPr="00FE6CB5">
              <w:t xml:space="preserve">Placebo </w:t>
            </w:r>
          </w:p>
          <w:p w14:paraId="13496C71" w14:textId="77777777" w:rsidR="008B77DB" w:rsidRPr="00FE6CB5" w:rsidRDefault="008B77DB" w:rsidP="0016761B">
            <w:pPr>
              <w:pStyle w:val="TableHeading0"/>
              <w:spacing w:before="0" w:after="0"/>
            </w:pPr>
            <w:r w:rsidRPr="00FE6CB5">
              <w:t>n/N (%)</w:t>
            </w:r>
          </w:p>
        </w:tc>
        <w:tc>
          <w:tcPr>
            <w:tcW w:w="1051" w:type="pct"/>
          </w:tcPr>
          <w:p w14:paraId="02D1F59C" w14:textId="77777777" w:rsidR="008B77DB" w:rsidRPr="00FE6CB5" w:rsidRDefault="008B77DB" w:rsidP="0016761B">
            <w:pPr>
              <w:pStyle w:val="TableHeading0"/>
              <w:spacing w:before="0" w:after="0"/>
            </w:pPr>
            <w:r w:rsidRPr="00FE6CB5">
              <w:t>Hazard ratio (95% CI)</w:t>
            </w:r>
          </w:p>
        </w:tc>
        <w:tc>
          <w:tcPr>
            <w:tcW w:w="1050" w:type="pct"/>
          </w:tcPr>
          <w:p w14:paraId="4BC80AE2" w14:textId="77777777" w:rsidR="008B77DB" w:rsidRPr="00FE6CB5" w:rsidRDefault="008B77DB" w:rsidP="0016761B">
            <w:pPr>
              <w:pStyle w:val="TableHeading0"/>
              <w:spacing w:before="0" w:after="0"/>
            </w:pPr>
            <w:r w:rsidRPr="00FE6CB5">
              <w:t>Interaction p-value</w:t>
            </w:r>
          </w:p>
        </w:tc>
      </w:tr>
      <w:tr w:rsidR="008B77DB" w:rsidRPr="00FE6CB5" w14:paraId="1788E1DD" w14:textId="77777777" w:rsidTr="00314194">
        <w:trPr>
          <w:cantSplit/>
        </w:trPr>
        <w:tc>
          <w:tcPr>
            <w:tcW w:w="5000" w:type="pct"/>
            <w:gridSpan w:val="5"/>
          </w:tcPr>
          <w:p w14:paraId="0F35A1B2" w14:textId="77777777" w:rsidR="008B77DB" w:rsidRPr="00FE6CB5" w:rsidRDefault="008B77DB" w:rsidP="0016761B">
            <w:pPr>
              <w:pStyle w:val="TableHeading0"/>
              <w:spacing w:before="0" w:after="0"/>
            </w:pPr>
            <w:r w:rsidRPr="00FE6CB5">
              <w:t>IDFS</w:t>
            </w:r>
          </w:p>
        </w:tc>
      </w:tr>
      <w:tr w:rsidR="008B77DB" w:rsidRPr="00FE6CB5" w14:paraId="09B2EA3D" w14:textId="77777777" w:rsidTr="00314194">
        <w:trPr>
          <w:cantSplit/>
        </w:trPr>
        <w:tc>
          <w:tcPr>
            <w:tcW w:w="1283" w:type="pct"/>
          </w:tcPr>
          <w:p w14:paraId="794D9799" w14:textId="77777777" w:rsidR="008B77DB" w:rsidRPr="00FE6CB5" w:rsidRDefault="008B77DB" w:rsidP="0016761B">
            <w:pPr>
              <w:pStyle w:val="TableText"/>
              <w:spacing w:before="0" w:after="0"/>
            </w:pPr>
            <w:r w:rsidRPr="00FE6CB5">
              <w:t>HR-positive, HER2-negative</w:t>
            </w:r>
          </w:p>
        </w:tc>
        <w:tc>
          <w:tcPr>
            <w:tcW w:w="808" w:type="pct"/>
          </w:tcPr>
          <w:p w14:paraId="30BDD141" w14:textId="77777777" w:rsidR="008B77DB" w:rsidRPr="00FE6CB5" w:rsidRDefault="008B77DB" w:rsidP="0016761B">
            <w:pPr>
              <w:pStyle w:val="TableText"/>
              <w:spacing w:before="0" w:after="0"/>
            </w:pPr>
            <w:r w:rsidRPr="00FE6CB5">
              <w:t xml:space="preserve">25/168 (14.9%) </w:t>
            </w:r>
          </w:p>
        </w:tc>
        <w:tc>
          <w:tcPr>
            <w:tcW w:w="808" w:type="pct"/>
          </w:tcPr>
          <w:p w14:paraId="7D116A13" w14:textId="77777777" w:rsidR="008B77DB" w:rsidRPr="00FE6CB5" w:rsidRDefault="008B77DB" w:rsidP="0016761B">
            <w:pPr>
              <w:pStyle w:val="TableText"/>
              <w:spacing w:before="0" w:after="0"/>
            </w:pPr>
            <w:r w:rsidRPr="00FE6CB5">
              <w:t>34/157 (21.7%)</w:t>
            </w:r>
          </w:p>
        </w:tc>
        <w:tc>
          <w:tcPr>
            <w:tcW w:w="1051" w:type="pct"/>
          </w:tcPr>
          <w:p w14:paraId="201F5556" w14:textId="77777777" w:rsidR="008B77DB" w:rsidRPr="00FE6CB5" w:rsidRDefault="008B77DB" w:rsidP="0016761B">
            <w:pPr>
              <w:pStyle w:val="TableText"/>
              <w:spacing w:before="0" w:after="0"/>
            </w:pPr>
            <w:r w:rsidRPr="00FE6CB5">
              <w:t>0.680 (0.402, 1.134)</w:t>
            </w:r>
          </w:p>
        </w:tc>
        <w:tc>
          <w:tcPr>
            <w:tcW w:w="1050" w:type="pct"/>
            <w:vMerge w:val="restart"/>
          </w:tcPr>
          <w:p w14:paraId="6D199696" w14:textId="77777777" w:rsidR="008B77DB" w:rsidRPr="00FE6CB5" w:rsidRDefault="008B77DB" w:rsidP="0016761B">
            <w:pPr>
              <w:pStyle w:val="TableText"/>
              <w:spacing w:before="0" w:after="0"/>
            </w:pPr>
            <w:r w:rsidRPr="00FE6CB5">
              <w:t>0.754</w:t>
            </w:r>
          </w:p>
        </w:tc>
      </w:tr>
      <w:tr w:rsidR="008B77DB" w:rsidRPr="00FE6CB5" w14:paraId="49460385" w14:textId="77777777" w:rsidTr="00314194">
        <w:trPr>
          <w:cantSplit/>
        </w:trPr>
        <w:tc>
          <w:tcPr>
            <w:tcW w:w="1283" w:type="pct"/>
          </w:tcPr>
          <w:p w14:paraId="2FD0CF72" w14:textId="77777777" w:rsidR="008B77DB" w:rsidRPr="00FE6CB5" w:rsidRDefault="008B77DB" w:rsidP="0016761B">
            <w:pPr>
              <w:pStyle w:val="TableText"/>
              <w:spacing w:before="0" w:after="0"/>
            </w:pPr>
            <w:r w:rsidRPr="00FE6CB5">
              <w:t>TNBC</w:t>
            </w:r>
          </w:p>
        </w:tc>
        <w:tc>
          <w:tcPr>
            <w:tcW w:w="808" w:type="pct"/>
          </w:tcPr>
          <w:p w14:paraId="78B32579" w14:textId="77777777" w:rsidR="008B77DB" w:rsidRPr="00FE6CB5" w:rsidRDefault="008B77DB" w:rsidP="0016761B">
            <w:pPr>
              <w:pStyle w:val="TableText"/>
              <w:spacing w:before="0" w:after="0"/>
            </w:pPr>
            <w:r w:rsidRPr="00FE6CB5">
              <w:t>109/751 (14.5%)</w:t>
            </w:r>
          </w:p>
        </w:tc>
        <w:tc>
          <w:tcPr>
            <w:tcW w:w="808" w:type="pct"/>
          </w:tcPr>
          <w:p w14:paraId="0BB183BA" w14:textId="77777777" w:rsidR="008B77DB" w:rsidRPr="00FE6CB5" w:rsidRDefault="008B77DB" w:rsidP="0016761B">
            <w:pPr>
              <w:pStyle w:val="TableText"/>
              <w:spacing w:before="0" w:after="0"/>
            </w:pPr>
            <w:r w:rsidRPr="00FE6CB5">
              <w:t>173/758 (22.8%)</w:t>
            </w:r>
          </w:p>
        </w:tc>
        <w:tc>
          <w:tcPr>
            <w:tcW w:w="1051" w:type="pct"/>
          </w:tcPr>
          <w:p w14:paraId="34173849" w14:textId="77777777" w:rsidR="008B77DB" w:rsidRPr="00FE6CB5" w:rsidRDefault="008B77DB" w:rsidP="0016761B">
            <w:pPr>
              <w:pStyle w:val="TableText"/>
              <w:spacing w:before="0" w:after="0"/>
              <w:rPr>
                <w:b/>
                <w:bCs/>
              </w:rPr>
            </w:pPr>
            <w:r w:rsidRPr="00FE6CB5">
              <w:rPr>
                <w:b/>
              </w:rPr>
              <w:t>0.620 (0.487, 0.787)</w:t>
            </w:r>
          </w:p>
        </w:tc>
        <w:tc>
          <w:tcPr>
            <w:tcW w:w="1050" w:type="pct"/>
            <w:vMerge/>
          </w:tcPr>
          <w:p w14:paraId="79D70775" w14:textId="77777777" w:rsidR="008B77DB" w:rsidRPr="00FE6CB5" w:rsidRDefault="008B77DB" w:rsidP="0016761B">
            <w:pPr>
              <w:pStyle w:val="TableText"/>
              <w:spacing w:before="0" w:after="0"/>
              <w:rPr>
                <w:b/>
                <w:bCs/>
              </w:rPr>
            </w:pPr>
          </w:p>
        </w:tc>
      </w:tr>
      <w:tr w:rsidR="008B77DB" w:rsidRPr="00FE6CB5" w14:paraId="4C0B2E79" w14:textId="77777777" w:rsidTr="00314194">
        <w:trPr>
          <w:cantSplit/>
        </w:trPr>
        <w:tc>
          <w:tcPr>
            <w:tcW w:w="5000" w:type="pct"/>
            <w:gridSpan w:val="5"/>
          </w:tcPr>
          <w:p w14:paraId="1E01F470" w14:textId="77777777" w:rsidR="008B77DB" w:rsidRPr="00FE6CB5" w:rsidRDefault="008B77DB" w:rsidP="0016761B">
            <w:pPr>
              <w:pStyle w:val="TableHeading0"/>
              <w:spacing w:before="0" w:after="0"/>
            </w:pPr>
            <w:r w:rsidRPr="00FE6CB5">
              <w:t>DDFS</w:t>
            </w:r>
          </w:p>
        </w:tc>
      </w:tr>
      <w:tr w:rsidR="008B77DB" w:rsidRPr="00FE6CB5" w14:paraId="255E6997" w14:textId="77777777" w:rsidTr="00314194">
        <w:trPr>
          <w:cantSplit/>
        </w:trPr>
        <w:tc>
          <w:tcPr>
            <w:tcW w:w="1283" w:type="pct"/>
          </w:tcPr>
          <w:p w14:paraId="6402C43A" w14:textId="77777777" w:rsidR="008B77DB" w:rsidRPr="00FE6CB5" w:rsidRDefault="008B77DB" w:rsidP="0016761B">
            <w:pPr>
              <w:pStyle w:val="TableText"/>
              <w:spacing w:before="0" w:after="0"/>
            </w:pPr>
            <w:r w:rsidRPr="00FE6CB5">
              <w:t>HR-positive, HER2-negative</w:t>
            </w:r>
          </w:p>
        </w:tc>
        <w:tc>
          <w:tcPr>
            <w:tcW w:w="808" w:type="pct"/>
          </w:tcPr>
          <w:p w14:paraId="592ED0F7" w14:textId="77777777" w:rsidR="008B77DB" w:rsidRPr="00FE6CB5" w:rsidRDefault="008B77DB" w:rsidP="0016761B">
            <w:pPr>
              <w:pStyle w:val="TableText"/>
              <w:spacing w:before="0" w:after="0"/>
            </w:pPr>
            <w:r w:rsidRPr="00FE6CB5">
              <w:t xml:space="preserve">23/168 (13.7%) </w:t>
            </w:r>
          </w:p>
        </w:tc>
        <w:tc>
          <w:tcPr>
            <w:tcW w:w="808" w:type="pct"/>
          </w:tcPr>
          <w:p w14:paraId="74138325" w14:textId="77777777" w:rsidR="008B77DB" w:rsidRPr="00FE6CB5" w:rsidRDefault="008B77DB" w:rsidP="0016761B">
            <w:pPr>
              <w:pStyle w:val="TableText"/>
              <w:spacing w:before="0" w:after="0"/>
            </w:pPr>
            <w:r w:rsidRPr="00FE6CB5">
              <w:t>31/157 (19.7%)</w:t>
            </w:r>
          </w:p>
        </w:tc>
        <w:tc>
          <w:tcPr>
            <w:tcW w:w="1051" w:type="pct"/>
          </w:tcPr>
          <w:p w14:paraId="2B9B2677" w14:textId="77777777" w:rsidR="008B77DB" w:rsidRPr="00FE6CB5" w:rsidRDefault="008B77DB" w:rsidP="0016761B">
            <w:pPr>
              <w:pStyle w:val="TableText"/>
              <w:spacing w:before="0" w:after="0"/>
            </w:pPr>
            <w:r w:rsidRPr="00FE6CB5">
              <w:t>0.692 (0.399, 1.182)</w:t>
            </w:r>
          </w:p>
        </w:tc>
        <w:tc>
          <w:tcPr>
            <w:tcW w:w="1050" w:type="pct"/>
            <w:vMerge w:val="restart"/>
          </w:tcPr>
          <w:p w14:paraId="7A1F7F2A" w14:textId="77777777" w:rsidR="008B77DB" w:rsidRPr="00FE6CB5" w:rsidRDefault="008B77DB" w:rsidP="0016761B">
            <w:pPr>
              <w:pStyle w:val="TableText"/>
              <w:spacing w:before="0" w:after="0"/>
            </w:pPr>
            <w:r w:rsidRPr="00FE6CB5">
              <w:t>0.608</w:t>
            </w:r>
          </w:p>
        </w:tc>
      </w:tr>
      <w:tr w:rsidR="008B77DB" w:rsidRPr="00FE6CB5" w14:paraId="47A16D8B" w14:textId="77777777" w:rsidTr="00314194">
        <w:trPr>
          <w:cantSplit/>
        </w:trPr>
        <w:tc>
          <w:tcPr>
            <w:tcW w:w="1283" w:type="pct"/>
          </w:tcPr>
          <w:p w14:paraId="32059F19" w14:textId="77777777" w:rsidR="008B77DB" w:rsidRPr="00FE6CB5" w:rsidRDefault="008B77DB" w:rsidP="0016761B">
            <w:pPr>
              <w:pStyle w:val="TableText"/>
              <w:spacing w:before="0" w:after="0"/>
            </w:pPr>
            <w:r w:rsidRPr="00FE6CB5">
              <w:t>TNBC</w:t>
            </w:r>
          </w:p>
        </w:tc>
        <w:tc>
          <w:tcPr>
            <w:tcW w:w="808" w:type="pct"/>
          </w:tcPr>
          <w:p w14:paraId="1CB5425F" w14:textId="77777777" w:rsidR="008B77DB" w:rsidRPr="00FE6CB5" w:rsidRDefault="008B77DB" w:rsidP="0016761B">
            <w:pPr>
              <w:pStyle w:val="TableText"/>
              <w:spacing w:before="0" w:after="0"/>
            </w:pPr>
            <w:r w:rsidRPr="00FE6CB5">
              <w:t>84/751 (11.2%)</w:t>
            </w:r>
          </w:p>
        </w:tc>
        <w:tc>
          <w:tcPr>
            <w:tcW w:w="808" w:type="pct"/>
          </w:tcPr>
          <w:p w14:paraId="70C00A81" w14:textId="77777777" w:rsidR="008B77DB" w:rsidRPr="00FE6CB5" w:rsidRDefault="008B77DB" w:rsidP="0016761B">
            <w:pPr>
              <w:pStyle w:val="TableText"/>
              <w:spacing w:before="0" w:after="0"/>
            </w:pPr>
            <w:r w:rsidRPr="00FE6CB5">
              <w:t>141/758 (18.6%)</w:t>
            </w:r>
          </w:p>
        </w:tc>
        <w:tc>
          <w:tcPr>
            <w:tcW w:w="1051" w:type="pct"/>
          </w:tcPr>
          <w:p w14:paraId="125FE875" w14:textId="77777777" w:rsidR="008B77DB" w:rsidRPr="00FE6CB5" w:rsidRDefault="008B77DB" w:rsidP="0016761B">
            <w:pPr>
              <w:pStyle w:val="TableText"/>
              <w:spacing w:before="0" w:after="0"/>
              <w:rPr>
                <w:b/>
                <w:bCs/>
              </w:rPr>
            </w:pPr>
            <w:r w:rsidRPr="00FE6CB5">
              <w:rPr>
                <w:b/>
              </w:rPr>
              <w:t>0.591 (0.450, 0.772)</w:t>
            </w:r>
          </w:p>
        </w:tc>
        <w:tc>
          <w:tcPr>
            <w:tcW w:w="1050" w:type="pct"/>
            <w:vMerge/>
          </w:tcPr>
          <w:p w14:paraId="04659212" w14:textId="77777777" w:rsidR="008B77DB" w:rsidRPr="00FE6CB5" w:rsidRDefault="008B77DB" w:rsidP="0016761B">
            <w:pPr>
              <w:pStyle w:val="TableText"/>
              <w:spacing w:before="0" w:after="0"/>
              <w:rPr>
                <w:b/>
                <w:bCs/>
              </w:rPr>
            </w:pPr>
          </w:p>
        </w:tc>
      </w:tr>
      <w:tr w:rsidR="008B77DB" w:rsidRPr="00FE6CB5" w14:paraId="3330CDA0" w14:textId="77777777" w:rsidTr="00314194">
        <w:trPr>
          <w:cantSplit/>
        </w:trPr>
        <w:tc>
          <w:tcPr>
            <w:tcW w:w="5000" w:type="pct"/>
            <w:gridSpan w:val="5"/>
          </w:tcPr>
          <w:p w14:paraId="16F43F65" w14:textId="77777777" w:rsidR="008B77DB" w:rsidRPr="00FE6CB5" w:rsidRDefault="008B77DB" w:rsidP="0016761B">
            <w:pPr>
              <w:pStyle w:val="TableHeading0"/>
              <w:spacing w:before="0" w:after="0"/>
            </w:pPr>
            <w:r w:rsidRPr="00FE6CB5">
              <w:t>OS</w:t>
            </w:r>
          </w:p>
        </w:tc>
      </w:tr>
      <w:tr w:rsidR="008B77DB" w:rsidRPr="00FE6CB5" w14:paraId="01189805" w14:textId="77777777" w:rsidTr="00314194">
        <w:trPr>
          <w:cantSplit/>
        </w:trPr>
        <w:tc>
          <w:tcPr>
            <w:tcW w:w="1283" w:type="pct"/>
          </w:tcPr>
          <w:p w14:paraId="724D34FC" w14:textId="77777777" w:rsidR="008B77DB" w:rsidRPr="00FE6CB5" w:rsidRDefault="008B77DB" w:rsidP="0016761B">
            <w:pPr>
              <w:pStyle w:val="TableText"/>
              <w:spacing w:before="0" w:after="0"/>
            </w:pPr>
            <w:r w:rsidRPr="00FE6CB5">
              <w:t>HR-positive, HER2-negative</w:t>
            </w:r>
          </w:p>
        </w:tc>
        <w:tc>
          <w:tcPr>
            <w:tcW w:w="808" w:type="pct"/>
          </w:tcPr>
          <w:p w14:paraId="16F69ACA" w14:textId="77777777" w:rsidR="008B77DB" w:rsidRPr="00FE6CB5" w:rsidRDefault="008B77DB" w:rsidP="0016761B">
            <w:pPr>
              <w:pStyle w:val="TableText"/>
              <w:spacing w:before="0" w:after="0"/>
            </w:pPr>
            <w:r w:rsidRPr="00FE6CB5">
              <w:t>16/168 (9.5%)</w:t>
            </w:r>
          </w:p>
        </w:tc>
        <w:tc>
          <w:tcPr>
            <w:tcW w:w="808" w:type="pct"/>
          </w:tcPr>
          <w:p w14:paraId="0D9CF8F3" w14:textId="77777777" w:rsidR="008B77DB" w:rsidRPr="00FE6CB5" w:rsidRDefault="008B77DB" w:rsidP="0016761B">
            <w:pPr>
              <w:pStyle w:val="TableText"/>
              <w:spacing w:before="0" w:after="0"/>
            </w:pPr>
            <w:r w:rsidRPr="00FE6CB5">
              <w:t>17/157 (10.8%)</w:t>
            </w:r>
          </w:p>
        </w:tc>
        <w:tc>
          <w:tcPr>
            <w:tcW w:w="1051" w:type="pct"/>
          </w:tcPr>
          <w:p w14:paraId="5A073347" w14:textId="77777777" w:rsidR="008B77DB" w:rsidRPr="00FE6CB5" w:rsidRDefault="008B77DB" w:rsidP="0016761B">
            <w:pPr>
              <w:pStyle w:val="TableText"/>
              <w:spacing w:before="0" w:after="0"/>
            </w:pPr>
            <w:r w:rsidRPr="00FE6CB5">
              <w:t>0.897 (0.449, 1.784)</w:t>
            </w:r>
          </w:p>
        </w:tc>
        <w:tc>
          <w:tcPr>
            <w:tcW w:w="1050" w:type="pct"/>
            <w:vMerge w:val="restart"/>
          </w:tcPr>
          <w:p w14:paraId="6147230D" w14:textId="77777777" w:rsidR="008B77DB" w:rsidRPr="00FE6CB5" w:rsidRDefault="008B77DB" w:rsidP="0016761B">
            <w:pPr>
              <w:pStyle w:val="TableText"/>
              <w:spacing w:before="0" w:after="0"/>
            </w:pPr>
            <w:r w:rsidRPr="00FE6CB5">
              <w:t>0.381</w:t>
            </w:r>
          </w:p>
        </w:tc>
      </w:tr>
      <w:tr w:rsidR="008B77DB" w:rsidRPr="00FE6CB5" w14:paraId="7E73178B" w14:textId="77777777" w:rsidTr="00314194">
        <w:trPr>
          <w:cantSplit/>
        </w:trPr>
        <w:tc>
          <w:tcPr>
            <w:tcW w:w="1283" w:type="pct"/>
          </w:tcPr>
          <w:p w14:paraId="278CB9AE" w14:textId="77777777" w:rsidR="008B77DB" w:rsidRPr="00FE6CB5" w:rsidRDefault="008B77DB" w:rsidP="0016761B">
            <w:pPr>
              <w:pStyle w:val="TableText"/>
              <w:spacing w:before="0" w:after="0"/>
            </w:pPr>
            <w:r w:rsidRPr="00FE6CB5">
              <w:t>TNBC</w:t>
            </w:r>
          </w:p>
        </w:tc>
        <w:tc>
          <w:tcPr>
            <w:tcW w:w="808" w:type="pct"/>
          </w:tcPr>
          <w:p w14:paraId="5CBC1516" w14:textId="77777777" w:rsidR="008B77DB" w:rsidRPr="00FE6CB5" w:rsidRDefault="008B77DB" w:rsidP="0016761B">
            <w:pPr>
              <w:pStyle w:val="TableText"/>
              <w:spacing w:before="0" w:after="0"/>
            </w:pPr>
            <w:r w:rsidRPr="00FE6CB5">
              <w:t>59/751 (7.9%)</w:t>
            </w:r>
          </w:p>
        </w:tc>
        <w:tc>
          <w:tcPr>
            <w:tcW w:w="808" w:type="pct"/>
          </w:tcPr>
          <w:p w14:paraId="3681E045" w14:textId="77777777" w:rsidR="008B77DB" w:rsidRPr="00FE6CB5" w:rsidRDefault="008B77DB" w:rsidP="0016761B">
            <w:pPr>
              <w:pStyle w:val="TableText"/>
              <w:spacing w:before="0" w:after="0"/>
            </w:pPr>
            <w:r w:rsidRPr="00FE6CB5">
              <w:t>92/758 (12.1%)</w:t>
            </w:r>
          </w:p>
        </w:tc>
        <w:tc>
          <w:tcPr>
            <w:tcW w:w="1051" w:type="pct"/>
          </w:tcPr>
          <w:p w14:paraId="2F858F2F" w14:textId="77777777" w:rsidR="008B77DB" w:rsidRPr="00FE6CB5" w:rsidRDefault="008B77DB" w:rsidP="0016761B">
            <w:pPr>
              <w:pStyle w:val="TableText"/>
              <w:spacing w:before="0" w:after="0"/>
              <w:rPr>
                <w:b/>
                <w:bCs/>
              </w:rPr>
            </w:pPr>
            <w:r w:rsidRPr="00FE6CB5">
              <w:rPr>
                <w:b/>
              </w:rPr>
              <w:t>0.640 (0.459, 0.884)</w:t>
            </w:r>
          </w:p>
        </w:tc>
        <w:tc>
          <w:tcPr>
            <w:tcW w:w="1050" w:type="pct"/>
            <w:vMerge/>
          </w:tcPr>
          <w:p w14:paraId="31D2C8EE" w14:textId="77777777" w:rsidR="008B77DB" w:rsidRPr="00FE6CB5" w:rsidRDefault="008B77DB" w:rsidP="0016761B">
            <w:pPr>
              <w:pStyle w:val="TableText"/>
              <w:spacing w:before="0" w:after="0"/>
              <w:rPr>
                <w:b/>
                <w:bCs/>
              </w:rPr>
            </w:pPr>
          </w:p>
        </w:tc>
      </w:tr>
    </w:tbl>
    <w:p w14:paraId="205B1B78" w14:textId="77777777" w:rsidR="008B77DB" w:rsidRPr="00FE6CB5" w:rsidRDefault="008B77DB" w:rsidP="008B77DB">
      <w:pPr>
        <w:pStyle w:val="FooterTableFigure"/>
      </w:pPr>
      <w:r w:rsidRPr="00FE6CB5">
        <w:t>Source: Table 2.32, p 91 of the submission.</w:t>
      </w:r>
    </w:p>
    <w:p w14:paraId="62399AB1" w14:textId="77777777" w:rsidR="008B77DB" w:rsidRPr="00FE6CB5" w:rsidRDefault="008B77DB" w:rsidP="008B77DB">
      <w:pPr>
        <w:pStyle w:val="FooterTableFigure"/>
      </w:pPr>
      <w:r w:rsidRPr="00FE6CB5">
        <w:t xml:space="preserve">CI = confidence interval; DDFS = distance disease-free survival; HER2 = human epidermal receptor 2; HR = hormone receptor; IDFS = invasive disease-free survival; N = number; OS = overall survival; TNBC = triple negative breast cancer. </w:t>
      </w:r>
    </w:p>
    <w:p w14:paraId="56F058CF" w14:textId="77777777" w:rsidR="008B77DB" w:rsidRPr="00FE6CB5" w:rsidRDefault="008B77DB" w:rsidP="008B77DB">
      <w:pPr>
        <w:pStyle w:val="FooterTableFigure"/>
      </w:pPr>
      <w:r w:rsidRPr="00FE6CB5">
        <w:rPr>
          <w:b/>
          <w:bCs/>
        </w:rPr>
        <w:t>Bold</w:t>
      </w:r>
      <w:r w:rsidRPr="00FE6CB5">
        <w:t xml:space="preserve"> indicates a statistically significant result.</w:t>
      </w:r>
    </w:p>
    <w:bookmarkEnd w:id="27"/>
    <w:p w14:paraId="1B2CA72E" w14:textId="49C41E97" w:rsidR="00DA75EC" w:rsidRPr="00F87A3A" w:rsidRDefault="00DA75EC" w:rsidP="00DD65DB">
      <w:pPr>
        <w:pStyle w:val="Heading3"/>
      </w:pPr>
      <w:r w:rsidRPr="00F87A3A">
        <w:lastRenderedPageBreak/>
        <w:t>Comparative analytical performance</w:t>
      </w:r>
    </w:p>
    <w:p w14:paraId="24EC7684" w14:textId="3C1587F5" w:rsidR="00343858" w:rsidRDefault="00314194" w:rsidP="00B843F1">
      <w:r>
        <w:t>T</w:t>
      </w:r>
      <w:r w:rsidRPr="00FE6CB5">
        <w:t xml:space="preserve">he submission assumed </w:t>
      </w:r>
      <w:r>
        <w:t xml:space="preserve">that </w:t>
      </w:r>
      <w:r w:rsidRPr="00FE6CB5">
        <w:t xml:space="preserve">the germline </w:t>
      </w:r>
      <w:r w:rsidRPr="00FE6CB5">
        <w:rPr>
          <w:i/>
        </w:rPr>
        <w:t>BRCA</w:t>
      </w:r>
      <w:r w:rsidRPr="00FE6CB5">
        <w:t xml:space="preserve"> test used in Australia is concordant with that used in the key study, and therefore effectively ha</w:t>
      </w:r>
      <w:r>
        <w:t>d</w:t>
      </w:r>
      <w:r w:rsidRPr="00FE6CB5">
        <w:t xml:space="preserve"> 100% sensitivity and 100% specificity</w:t>
      </w:r>
      <w:r w:rsidR="00E84139">
        <w:t>.</w:t>
      </w:r>
    </w:p>
    <w:p w14:paraId="0CAC7D99" w14:textId="50FAC697" w:rsidR="008A4A73" w:rsidRDefault="00F87A3A" w:rsidP="00B843F1">
      <w:pPr>
        <w:rPr>
          <w:i/>
          <w:iCs/>
        </w:rPr>
      </w:pPr>
      <w:r w:rsidRPr="00CD7B0D">
        <w:t xml:space="preserve">The submission </w:t>
      </w:r>
      <w:r>
        <w:t>stated</w:t>
      </w:r>
      <w:r w:rsidRPr="00CD7B0D">
        <w:t xml:space="preserve"> that </w:t>
      </w:r>
      <w:r w:rsidR="00AC4C12">
        <w:t>g</w:t>
      </w:r>
      <w:r w:rsidR="00AC4C12" w:rsidRPr="00AC4C12">
        <w:t xml:space="preserve">ermline </w:t>
      </w:r>
      <w:r w:rsidR="00AC4C12" w:rsidRPr="00AC4C12">
        <w:rPr>
          <w:i/>
          <w:iCs/>
        </w:rPr>
        <w:t>BRCA</w:t>
      </w:r>
      <w:r w:rsidR="00AC4C12" w:rsidRPr="00AC4C12">
        <w:t xml:space="preserve"> testing conducted for OlympiA by Myriad was performed either using their CLIA-based assay, the Myriad Integrated BRCA Analysis® test or the Myriad BRCA Analysis CDX® test. The Myriad test uses Sanger sequencing (the reference standard in the submission). Germline </w:t>
      </w:r>
      <w:r w:rsidR="00AC4C12" w:rsidRPr="00AC4C12">
        <w:rPr>
          <w:i/>
          <w:iCs/>
        </w:rPr>
        <w:t>BRCA</w:t>
      </w:r>
      <w:r w:rsidR="00AC4C12" w:rsidRPr="00AC4C12">
        <w:t xml:space="preserve"> </w:t>
      </w:r>
      <w:r w:rsidR="000700F3">
        <w:t>pathogenic variant</w:t>
      </w:r>
      <w:r w:rsidR="00AC4C12" w:rsidRPr="00AC4C12">
        <w:t xml:space="preserve"> testing offered by several Australian pathology providers</w:t>
      </w:r>
      <w:r w:rsidR="000559AC">
        <w:t xml:space="preserve"> are</w:t>
      </w:r>
      <w:r w:rsidR="00AC4C12" w:rsidRPr="00AC4C12">
        <w:t xml:space="preserve"> NGS-based methods. Close concordance between NGS-methods and Sanger sequencing was previously demonstrated in the platinum sensitive relapse HGSOC submission in 2016.</w:t>
      </w:r>
      <w:r w:rsidR="00343858" w:rsidRPr="00343858">
        <w:t xml:space="preserve"> </w:t>
      </w:r>
      <w:r w:rsidR="00343858">
        <w:t xml:space="preserve">The germline </w:t>
      </w:r>
      <w:r w:rsidR="00343858" w:rsidRPr="00624CC8">
        <w:rPr>
          <w:i/>
          <w:iCs/>
        </w:rPr>
        <w:t>BRCA</w:t>
      </w:r>
      <w:r w:rsidR="00343858">
        <w:t xml:space="preserve"> test used to determine eligibility for olaparib w</w:t>
      </w:r>
      <w:r w:rsidR="00127AFA">
        <w:t>ould be</w:t>
      </w:r>
      <w:r w:rsidR="00343858">
        <w:t xml:space="preserve"> identical to the currently available tests in Australia, thus, it </w:t>
      </w:r>
      <w:r w:rsidR="00127AFA">
        <w:t>was</w:t>
      </w:r>
      <w:r w:rsidR="00343858">
        <w:t xml:space="preserve"> reasonable to assume the tests </w:t>
      </w:r>
      <w:r w:rsidR="00D3503B">
        <w:t>were</w:t>
      </w:r>
      <w:r w:rsidR="00343858">
        <w:t xml:space="preserve"> fully concordant. </w:t>
      </w:r>
      <w:r w:rsidR="004C771C">
        <w:t>MSAC ha</w:t>
      </w:r>
      <w:r w:rsidR="0080523A">
        <w:t xml:space="preserve">s previously assessed the comparative analytical performance of germline </w:t>
      </w:r>
      <w:r w:rsidR="0080523A" w:rsidRPr="004E5BF4">
        <w:rPr>
          <w:i/>
          <w:iCs/>
        </w:rPr>
        <w:t>BRCA</w:t>
      </w:r>
      <w:r w:rsidR="00902AA3">
        <w:rPr>
          <w:i/>
          <w:iCs/>
        </w:rPr>
        <w:t>1/2</w:t>
      </w:r>
      <w:r w:rsidR="0080523A">
        <w:t xml:space="preserve"> testing</w:t>
      </w:r>
      <w:r w:rsidR="00902AA3">
        <w:t xml:space="preserve"> in application</w:t>
      </w:r>
      <w:r w:rsidR="008F002D">
        <w:t xml:space="preserve">s </w:t>
      </w:r>
      <w:hyperlink r:id="rId24" w:history="1">
        <w:r w:rsidR="00070CA9" w:rsidRPr="00E310A0">
          <w:rPr>
            <w:rStyle w:val="Hyperlink"/>
          </w:rPr>
          <w:t>1380</w:t>
        </w:r>
      </w:hyperlink>
      <w:r w:rsidR="00D72C91">
        <w:t xml:space="preserve"> and </w:t>
      </w:r>
      <w:hyperlink r:id="rId25" w:history="1">
        <w:r w:rsidR="008F002D" w:rsidRPr="00F36276">
          <w:rPr>
            <w:rStyle w:val="Hyperlink"/>
          </w:rPr>
          <w:t>1554</w:t>
        </w:r>
      </w:hyperlink>
      <w:r w:rsidR="00D72C91">
        <w:t>.</w:t>
      </w:r>
      <w:r w:rsidR="00A94307">
        <w:rPr>
          <w:i/>
          <w:iCs/>
        </w:rPr>
        <w:t>).</w:t>
      </w:r>
      <w:r w:rsidR="00D77C10">
        <w:rPr>
          <w:i/>
          <w:iCs/>
        </w:rPr>
        <w:t xml:space="preserve"> </w:t>
      </w:r>
    </w:p>
    <w:p w14:paraId="213924C6" w14:textId="5FC65E2F" w:rsidR="00772829" w:rsidRDefault="00772829" w:rsidP="00DD65DB">
      <w:pPr>
        <w:pStyle w:val="Heading3"/>
      </w:pPr>
      <w:r w:rsidRPr="00223664">
        <w:t>Clinical claim</w:t>
      </w:r>
    </w:p>
    <w:p w14:paraId="606881D8" w14:textId="4916A325" w:rsidR="008B77DB" w:rsidRDefault="008B77DB" w:rsidP="004E5BF4">
      <w:pPr>
        <w:tabs>
          <w:tab w:val="left" w:pos="720"/>
          <w:tab w:val="left" w:pos="1140"/>
        </w:tabs>
        <w:spacing w:before="240" w:after="120"/>
      </w:pPr>
      <w:r>
        <w:rPr>
          <w:sz w:val="23"/>
          <w:szCs w:val="23"/>
        </w:rPr>
        <w:t>The submission concluded that</w:t>
      </w:r>
      <w:r w:rsidR="001C6836">
        <w:rPr>
          <w:sz w:val="23"/>
          <w:szCs w:val="23"/>
        </w:rPr>
        <w:t xml:space="preserve"> </w:t>
      </w:r>
      <w:r w:rsidR="001C6836">
        <w:t>t</w:t>
      </w:r>
      <w:r w:rsidRPr="008B77DB">
        <w:t>he results of OlympiA trial</w:t>
      </w:r>
      <w:r w:rsidR="00ED1F26">
        <w:t>:</w:t>
      </w:r>
      <w:r>
        <w:t xml:space="preserve"> </w:t>
      </w:r>
    </w:p>
    <w:p w14:paraId="244A3262" w14:textId="1C9E858E" w:rsidR="008B77DB" w:rsidRPr="001262FC" w:rsidRDefault="008B77DB" w:rsidP="004E5BF4">
      <w:pPr>
        <w:pStyle w:val="Default"/>
        <w:numPr>
          <w:ilvl w:val="0"/>
          <w:numId w:val="28"/>
        </w:numPr>
        <w:rPr>
          <w:rFonts w:ascii="Franklin Gothic Book" w:hAnsi="Franklin Gothic Book"/>
          <w:i/>
          <w:iCs/>
          <w:sz w:val="22"/>
          <w:szCs w:val="22"/>
        </w:rPr>
      </w:pPr>
      <w:r w:rsidRPr="008B77DB">
        <w:rPr>
          <w:rFonts w:ascii="Franklin Gothic Book" w:hAnsi="Franklin Gothic Book"/>
          <w:sz w:val="22"/>
          <w:szCs w:val="22"/>
        </w:rPr>
        <w:t xml:space="preserve">supported the codependence of </w:t>
      </w:r>
      <w:r>
        <w:rPr>
          <w:rFonts w:ascii="Franklin Gothic Book" w:hAnsi="Franklin Gothic Book"/>
          <w:sz w:val="22"/>
          <w:szCs w:val="22"/>
        </w:rPr>
        <w:t xml:space="preserve">testing of </w:t>
      </w:r>
      <w:r w:rsidRPr="008B77DB">
        <w:rPr>
          <w:rFonts w:ascii="Franklin Gothic Book" w:hAnsi="Franklin Gothic Book"/>
          <w:sz w:val="22"/>
          <w:szCs w:val="22"/>
        </w:rPr>
        <w:t xml:space="preserve">germline </w:t>
      </w:r>
      <w:r w:rsidR="00624CC8" w:rsidRPr="00624CC8">
        <w:rPr>
          <w:rFonts w:ascii="Franklin Gothic Book" w:hAnsi="Franklin Gothic Book"/>
          <w:i/>
          <w:iCs/>
          <w:sz w:val="22"/>
          <w:szCs w:val="22"/>
        </w:rPr>
        <w:t>BRCA</w:t>
      </w:r>
      <w:r w:rsidRPr="000D6BCF">
        <w:rPr>
          <w:rFonts w:ascii="Franklin Gothic Book" w:hAnsi="Franklin Gothic Book"/>
          <w:i/>
          <w:iCs/>
          <w:sz w:val="22"/>
          <w:szCs w:val="22"/>
        </w:rPr>
        <w:t>1</w:t>
      </w:r>
      <w:r w:rsidRPr="008B77DB">
        <w:rPr>
          <w:rFonts w:ascii="Franklin Gothic Book" w:hAnsi="Franklin Gothic Book"/>
          <w:sz w:val="22"/>
          <w:szCs w:val="22"/>
        </w:rPr>
        <w:t xml:space="preserve"> or </w:t>
      </w:r>
      <w:r w:rsidR="00624CC8" w:rsidRPr="00624CC8">
        <w:rPr>
          <w:rFonts w:ascii="Franklin Gothic Book" w:hAnsi="Franklin Gothic Book"/>
          <w:i/>
          <w:iCs/>
          <w:sz w:val="22"/>
          <w:szCs w:val="22"/>
        </w:rPr>
        <w:t>BRCA</w:t>
      </w:r>
      <w:r w:rsidRPr="000D6BCF">
        <w:rPr>
          <w:rFonts w:ascii="Franklin Gothic Book" w:hAnsi="Franklin Gothic Book"/>
          <w:i/>
          <w:iCs/>
          <w:sz w:val="22"/>
          <w:szCs w:val="22"/>
        </w:rPr>
        <w:t>2</w:t>
      </w:r>
      <w:r w:rsidRPr="008B77DB">
        <w:rPr>
          <w:rFonts w:ascii="Franklin Gothic Book" w:hAnsi="Franklin Gothic Book"/>
          <w:sz w:val="22"/>
          <w:szCs w:val="22"/>
        </w:rPr>
        <w:t xml:space="preserve"> pathogenic </w:t>
      </w:r>
      <w:r w:rsidR="001262FC">
        <w:rPr>
          <w:rFonts w:ascii="Franklin Gothic Book" w:hAnsi="Franklin Gothic Book"/>
          <w:sz w:val="22"/>
          <w:szCs w:val="22"/>
        </w:rPr>
        <w:t xml:space="preserve">or likely pathogenic </w:t>
      </w:r>
      <w:r w:rsidRPr="008B77DB">
        <w:rPr>
          <w:rFonts w:ascii="Franklin Gothic Book" w:hAnsi="Franklin Gothic Book"/>
          <w:sz w:val="22"/>
          <w:szCs w:val="22"/>
        </w:rPr>
        <w:t>gene variant</w:t>
      </w:r>
      <w:r w:rsidR="001262FC">
        <w:rPr>
          <w:rFonts w:ascii="Franklin Gothic Book" w:hAnsi="Franklin Gothic Book"/>
          <w:sz w:val="22"/>
          <w:szCs w:val="22"/>
        </w:rPr>
        <w:t>s</w:t>
      </w:r>
      <w:r w:rsidRPr="008B77DB">
        <w:rPr>
          <w:rFonts w:ascii="Franklin Gothic Book" w:hAnsi="Franklin Gothic Book"/>
          <w:sz w:val="22"/>
          <w:szCs w:val="22"/>
        </w:rPr>
        <w:t xml:space="preserve"> in patient</w:t>
      </w:r>
      <w:r w:rsidR="001262FC">
        <w:rPr>
          <w:rFonts w:ascii="Franklin Gothic Book" w:hAnsi="Franklin Gothic Book"/>
          <w:sz w:val="22"/>
          <w:szCs w:val="22"/>
        </w:rPr>
        <w:t>s</w:t>
      </w:r>
      <w:r w:rsidRPr="008B77DB">
        <w:rPr>
          <w:rFonts w:ascii="Franklin Gothic Book" w:hAnsi="Franklin Gothic Book"/>
          <w:sz w:val="22"/>
          <w:szCs w:val="22"/>
        </w:rPr>
        <w:t xml:space="preserve"> with triple negative early breast cancer (TNBC) or hormone receptor (HR) positive</w:t>
      </w:r>
      <w:r w:rsidR="005F2B82">
        <w:rPr>
          <w:rFonts w:ascii="Franklin Gothic Book" w:hAnsi="Franklin Gothic Book"/>
          <w:sz w:val="22"/>
          <w:szCs w:val="22"/>
        </w:rPr>
        <w:t xml:space="preserve"> and </w:t>
      </w:r>
      <w:r w:rsidR="00AA6F97">
        <w:rPr>
          <w:rFonts w:ascii="Franklin Gothic Book" w:hAnsi="Franklin Gothic Book"/>
          <w:sz w:val="22"/>
          <w:szCs w:val="22"/>
        </w:rPr>
        <w:t>treatment benefit from o</w:t>
      </w:r>
      <w:r w:rsidR="005F2B82">
        <w:rPr>
          <w:rFonts w:ascii="Franklin Gothic Book" w:hAnsi="Franklin Gothic Book"/>
          <w:sz w:val="22"/>
          <w:szCs w:val="22"/>
        </w:rPr>
        <w:t>laparib.</w:t>
      </w:r>
      <w:r w:rsidR="001262FC">
        <w:rPr>
          <w:rFonts w:ascii="Franklin Gothic Book" w:hAnsi="Franklin Gothic Book"/>
          <w:sz w:val="22"/>
          <w:szCs w:val="22"/>
        </w:rPr>
        <w:t xml:space="preserve"> </w:t>
      </w:r>
      <w:r w:rsidR="001262FC" w:rsidRPr="001262FC">
        <w:rPr>
          <w:rFonts w:ascii="Franklin Gothic Book" w:hAnsi="Franklin Gothic Book"/>
          <w:i/>
          <w:iCs/>
          <w:sz w:val="22"/>
          <w:szCs w:val="22"/>
        </w:rPr>
        <w:t>This was appropriate.</w:t>
      </w:r>
    </w:p>
    <w:p w14:paraId="59FBAC6B" w14:textId="34E53D93" w:rsidR="00B843F1" w:rsidRPr="00B843F1" w:rsidRDefault="00795190" w:rsidP="00B843F1">
      <w:pPr>
        <w:pStyle w:val="Default"/>
        <w:numPr>
          <w:ilvl w:val="0"/>
          <w:numId w:val="28"/>
        </w:numPr>
        <w:rPr>
          <w:rFonts w:ascii="Franklin Gothic Book" w:hAnsi="Franklin Gothic Book"/>
          <w:i/>
          <w:iCs/>
          <w:sz w:val="22"/>
          <w:szCs w:val="22"/>
        </w:rPr>
      </w:pPr>
      <w:r>
        <w:rPr>
          <w:rFonts w:ascii="Franklin Gothic Book" w:eastAsia="Calibri" w:hAnsi="Franklin Gothic Book"/>
          <w:sz w:val="22"/>
          <w:szCs w:val="22"/>
        </w:rPr>
        <w:t>d</w:t>
      </w:r>
      <w:r w:rsidR="005F2B82" w:rsidRPr="00795190">
        <w:rPr>
          <w:rFonts w:ascii="Franklin Gothic Book" w:eastAsia="Calibri" w:hAnsi="Franklin Gothic Book"/>
          <w:sz w:val="22"/>
          <w:szCs w:val="22"/>
        </w:rPr>
        <w:t xml:space="preserve">emonstrated </w:t>
      </w:r>
      <w:r w:rsidR="008B77DB" w:rsidRPr="00795190">
        <w:rPr>
          <w:rFonts w:ascii="Franklin Gothic Book" w:eastAsia="Calibri" w:hAnsi="Franklin Gothic Book"/>
          <w:sz w:val="22"/>
          <w:szCs w:val="22"/>
        </w:rPr>
        <w:t xml:space="preserve">olaparib as superior in terms of effectiveness compared to </w:t>
      </w:r>
      <w:r w:rsidR="00AA6F97" w:rsidRPr="00795190">
        <w:rPr>
          <w:rFonts w:ascii="Franklin Gothic Book" w:eastAsia="Calibri" w:hAnsi="Franklin Gothic Book"/>
          <w:sz w:val="22"/>
          <w:szCs w:val="22"/>
        </w:rPr>
        <w:t>placebo.</w:t>
      </w:r>
      <w:r w:rsidR="00AA6F97" w:rsidRPr="00795190">
        <w:rPr>
          <w:rFonts w:ascii="Franklin Gothic Book" w:eastAsia="Calibri" w:hAnsi="Franklin Gothic Book"/>
          <w:i/>
          <w:iCs/>
          <w:sz w:val="22"/>
          <w:szCs w:val="22"/>
        </w:rPr>
        <w:t xml:space="preserve"> This</w:t>
      </w:r>
      <w:r w:rsidR="008B77DB" w:rsidRPr="00795190">
        <w:rPr>
          <w:rFonts w:ascii="Franklin Gothic Book" w:eastAsia="Calibri" w:hAnsi="Franklin Gothic Book"/>
          <w:i/>
          <w:iCs/>
          <w:sz w:val="22"/>
          <w:szCs w:val="22"/>
        </w:rPr>
        <w:t xml:space="preserve"> claim was </w:t>
      </w:r>
      <w:r w:rsidR="00247F76">
        <w:rPr>
          <w:rFonts w:ascii="Franklin Gothic Book" w:eastAsia="Calibri" w:hAnsi="Franklin Gothic Book"/>
          <w:i/>
          <w:iCs/>
          <w:sz w:val="22"/>
          <w:szCs w:val="22"/>
        </w:rPr>
        <w:t xml:space="preserve">appeared to be </w:t>
      </w:r>
      <w:r w:rsidR="008B77DB" w:rsidRPr="00795190">
        <w:rPr>
          <w:rFonts w:ascii="Franklin Gothic Book" w:eastAsia="Calibri" w:hAnsi="Franklin Gothic Book"/>
          <w:i/>
          <w:iCs/>
          <w:sz w:val="22"/>
          <w:szCs w:val="22"/>
        </w:rPr>
        <w:t>adequately supported</w:t>
      </w:r>
      <w:r w:rsidR="00ED1F26">
        <w:rPr>
          <w:rFonts w:ascii="Franklin Gothic Book" w:eastAsia="Calibri" w:hAnsi="Franklin Gothic Book"/>
          <w:i/>
          <w:iCs/>
          <w:sz w:val="22"/>
          <w:szCs w:val="22"/>
        </w:rPr>
        <w:t xml:space="preserve"> and will be considered by the PBAC</w:t>
      </w:r>
      <w:r w:rsidR="008B77DB" w:rsidRPr="00795190">
        <w:rPr>
          <w:rFonts w:ascii="Franklin Gothic Book" w:eastAsia="Calibri" w:hAnsi="Franklin Gothic Book"/>
          <w:i/>
          <w:iCs/>
          <w:sz w:val="22"/>
          <w:szCs w:val="22"/>
        </w:rPr>
        <w:t xml:space="preserve">. </w:t>
      </w:r>
    </w:p>
    <w:p w14:paraId="7A38FA70" w14:textId="6E838BCB" w:rsidR="00FA2BD3" w:rsidRPr="0097760A" w:rsidRDefault="00B843F1" w:rsidP="0016761B">
      <w:pPr>
        <w:pStyle w:val="Default"/>
        <w:spacing w:before="240"/>
        <w:rPr>
          <w:rFonts w:ascii="Franklin Gothic Book" w:hAnsi="Franklin Gothic Book"/>
          <w:i/>
          <w:sz w:val="22"/>
          <w:szCs w:val="22"/>
        </w:rPr>
      </w:pPr>
      <w:r>
        <w:rPr>
          <w:rFonts w:ascii="Franklin Gothic Book" w:hAnsi="Franklin Gothic Book"/>
          <w:i/>
          <w:sz w:val="22"/>
          <w:szCs w:val="22"/>
        </w:rPr>
        <w:t xml:space="preserve">As the </w:t>
      </w:r>
      <w:r w:rsidRPr="00B843F1">
        <w:rPr>
          <w:rFonts w:ascii="Franklin Gothic Book" w:hAnsi="Franklin Gothic Book"/>
          <w:i/>
          <w:sz w:val="22"/>
          <w:szCs w:val="22"/>
        </w:rPr>
        <w:t>OlympiA</w:t>
      </w:r>
      <w:r>
        <w:rPr>
          <w:rFonts w:ascii="Franklin Gothic Book" w:hAnsi="Franklin Gothic Book"/>
          <w:i/>
          <w:sz w:val="22"/>
          <w:szCs w:val="22"/>
        </w:rPr>
        <w:t xml:space="preserve"> trial </w:t>
      </w:r>
      <w:r w:rsidRPr="00B843F1">
        <w:rPr>
          <w:rFonts w:ascii="Franklin Gothic Book" w:hAnsi="Franklin Gothic Book"/>
          <w:i/>
          <w:sz w:val="22"/>
          <w:szCs w:val="22"/>
        </w:rPr>
        <w:t>enrolled people with early breast cancer who have germline pathogenic or likely pathogenic variants in BRCA1 or BRCA2</w:t>
      </w:r>
      <w:r>
        <w:rPr>
          <w:rFonts w:ascii="Franklin Gothic Book" w:hAnsi="Franklin Gothic Book"/>
          <w:i/>
          <w:sz w:val="22"/>
          <w:szCs w:val="22"/>
        </w:rPr>
        <w:t xml:space="preserve">m, </w:t>
      </w:r>
      <w:r w:rsidRPr="00B843F1">
        <w:rPr>
          <w:rFonts w:ascii="Franklin Gothic Book" w:hAnsi="Franklin Gothic Book"/>
          <w:i/>
          <w:sz w:val="22"/>
          <w:szCs w:val="22"/>
        </w:rPr>
        <w:t>submission did not present evidence on the treatment effect of olaparib + bevacizumab for patients who were gBRCA1/2 positive versus patients who were not gBRCA1/2 positive. Thus, an estimate of the variation in this treatment effect due to gBRCA1/2 positivity could not be established from the evidence presented.</w:t>
      </w:r>
    </w:p>
    <w:p w14:paraId="0D09C9E4" w14:textId="287044FA" w:rsidR="00772829" w:rsidRDefault="00C36633" w:rsidP="002A18BE">
      <w:pPr>
        <w:pStyle w:val="Heading2"/>
        <w:numPr>
          <w:ilvl w:val="0"/>
          <w:numId w:val="0"/>
        </w:numPr>
      </w:pPr>
      <w:bookmarkStart w:id="28" w:name="_Toc69491425"/>
      <w:r>
        <w:t>1</w:t>
      </w:r>
      <w:r w:rsidR="002A71BA">
        <w:t>3</w:t>
      </w:r>
      <w:r>
        <w:t>.</w:t>
      </w:r>
      <w:r>
        <w:tab/>
      </w:r>
      <w:r w:rsidR="00772829" w:rsidRPr="00CE28E3">
        <w:t>Economic evaluation</w:t>
      </w:r>
      <w:bookmarkEnd w:id="28"/>
    </w:p>
    <w:p w14:paraId="07F11821" w14:textId="77777777" w:rsidR="008533D0" w:rsidRPr="00FE6CB5" w:rsidRDefault="008533D0" w:rsidP="008533D0">
      <w:pPr>
        <w:pStyle w:val="Heading3"/>
      </w:pPr>
      <w:r w:rsidRPr="00FE6CB5">
        <w:t>Structure of the economic model</w:t>
      </w:r>
    </w:p>
    <w:p w14:paraId="79D9F7CE" w14:textId="6ACECC6B" w:rsidR="009A3561" w:rsidRPr="00FE6CB5" w:rsidRDefault="008533D0" w:rsidP="009A3561">
      <w:r>
        <w:t>T</w:t>
      </w:r>
      <w:r w:rsidR="005F2B82" w:rsidRPr="005F2B82">
        <w:t xml:space="preserve">he submission to PBAC presented an economic evaluation </w:t>
      </w:r>
      <w:r w:rsidR="00261293" w:rsidRPr="00FE6CB5">
        <w:rPr>
          <w:bCs/>
        </w:rPr>
        <w:t>based on the direct randomised trial OlympiA</w:t>
      </w:r>
      <w:r w:rsidR="001D3714">
        <w:rPr>
          <w:bCs/>
        </w:rPr>
        <w:t xml:space="preserve"> and external data</w:t>
      </w:r>
      <w:r w:rsidR="00261293" w:rsidRPr="00FE6CB5">
        <w:rPr>
          <w:bCs/>
        </w:rPr>
        <w:t xml:space="preserve">. The type of economic evaluation </w:t>
      </w:r>
      <w:r w:rsidR="009A3561" w:rsidRPr="00FE6CB5">
        <w:t>was a cost-effectiveness (cost per LY) and cost-utility (cost per QALY) analysis.</w:t>
      </w:r>
      <w:r w:rsidR="009A3561" w:rsidRPr="009A3561">
        <w:t xml:space="preserve"> </w:t>
      </w:r>
      <w:r w:rsidR="009A3561" w:rsidRPr="00FE6CB5">
        <w:t>The economic evaluation incorporate</w:t>
      </w:r>
      <w:r w:rsidR="00826E41">
        <w:t>d</w:t>
      </w:r>
      <w:r w:rsidR="009A3561" w:rsidRPr="00FE6CB5">
        <w:t xml:space="preserve"> the codependency of olaparib with g</w:t>
      </w:r>
      <w:r w:rsidR="009A3561" w:rsidRPr="00FE6CB5">
        <w:rPr>
          <w:i/>
        </w:rPr>
        <w:t>BRCA</w:t>
      </w:r>
      <w:r w:rsidR="009A3561" w:rsidRPr="00FE6CB5">
        <w:t xml:space="preserve"> testing, and the model beg</w:t>
      </w:r>
      <w:r w:rsidR="001D64E2">
        <w:t>an</w:t>
      </w:r>
      <w:r w:rsidR="009A3561" w:rsidRPr="00FE6CB5">
        <w:t xml:space="preserve"> at g</w:t>
      </w:r>
      <w:r w:rsidR="009A3561" w:rsidRPr="00FE6CB5">
        <w:rPr>
          <w:i/>
        </w:rPr>
        <w:t>BRCA</w:t>
      </w:r>
      <w:r w:rsidR="009A3561" w:rsidRPr="00FE6CB5">
        <w:t xml:space="preserve"> testing. </w:t>
      </w:r>
    </w:p>
    <w:p w14:paraId="57BA22AF" w14:textId="3BC3179E" w:rsidR="009A3561" w:rsidRPr="00FE6CB5" w:rsidRDefault="009A3561" w:rsidP="009A3561">
      <w:r w:rsidRPr="00FE6CB5">
        <w:t>As the submission assumed the g</w:t>
      </w:r>
      <w:r w:rsidRPr="00FE6CB5">
        <w:rPr>
          <w:i/>
        </w:rPr>
        <w:t>BRCA</w:t>
      </w:r>
      <w:r w:rsidRPr="00FE6CB5">
        <w:t xml:space="preserve"> test used in Australia </w:t>
      </w:r>
      <w:r>
        <w:t>was</w:t>
      </w:r>
      <w:r w:rsidRPr="00FE6CB5">
        <w:t xml:space="preserve"> concordant with that used in the key study, and therefore effectively ha</w:t>
      </w:r>
      <w:r>
        <w:t>d</w:t>
      </w:r>
      <w:r w:rsidRPr="00FE6CB5">
        <w:t xml:space="preserve"> 100% sensitivity and 100% specificity, the model reduce</w:t>
      </w:r>
      <w:r>
        <w:t>d</w:t>
      </w:r>
      <w:r w:rsidRPr="00FE6CB5">
        <w:t xml:space="preserve"> to a comparison of olaparib vs placebo (as per OlympiA) with front-loaded costs associated with the incremental costs for the test applied to 100% of the population. </w:t>
      </w:r>
    </w:p>
    <w:p w14:paraId="303B604D" w14:textId="13B429F6" w:rsidR="005F2B82" w:rsidRPr="005F2B82" w:rsidRDefault="00261293" w:rsidP="005F2B82">
      <w:pPr>
        <w:spacing w:line="276" w:lineRule="auto"/>
        <w:jc w:val="both"/>
        <w:rPr>
          <w:lang w:eastAsia="zh-CN"/>
        </w:rPr>
      </w:pPr>
      <w:r>
        <w:rPr>
          <w:bCs/>
        </w:rPr>
        <w:t>The submission used</w:t>
      </w:r>
      <w:r w:rsidR="005F2B82" w:rsidRPr="005F2B82">
        <w:t xml:space="preserve"> a </w:t>
      </w:r>
      <w:r w:rsidR="005F2B82" w:rsidRPr="005F2B82">
        <w:rPr>
          <w:lang w:eastAsia="zh-CN"/>
        </w:rPr>
        <w:t>semi-Markov model</w:t>
      </w:r>
      <w:r w:rsidR="005F2B82">
        <w:rPr>
          <w:lang w:eastAsia="zh-CN"/>
        </w:rPr>
        <w:t xml:space="preserve"> </w:t>
      </w:r>
      <w:r w:rsidR="005F2B82" w:rsidRPr="005F2B82">
        <w:rPr>
          <w:lang w:eastAsia="zh-CN"/>
        </w:rPr>
        <w:t>to estimate the incremental cost-effectiveness of olaparib versus the nominated main comparator, placebo, in the proposed g</w:t>
      </w:r>
      <w:r w:rsidR="00624CC8" w:rsidRPr="00624CC8">
        <w:rPr>
          <w:i/>
          <w:iCs/>
          <w:lang w:eastAsia="zh-CN"/>
        </w:rPr>
        <w:t>BRCA</w:t>
      </w:r>
      <w:r w:rsidR="005F2B82" w:rsidRPr="005F2B82">
        <w:rPr>
          <w:lang w:eastAsia="zh-CN"/>
        </w:rPr>
        <w:t>-</w:t>
      </w:r>
      <w:r w:rsidR="008F1BEB">
        <w:rPr>
          <w:lang w:eastAsia="zh-CN"/>
        </w:rPr>
        <w:t>pathogenic</w:t>
      </w:r>
      <w:r w:rsidR="00FC53D3">
        <w:rPr>
          <w:lang w:eastAsia="zh-CN"/>
        </w:rPr>
        <w:t xml:space="preserve"> variant</w:t>
      </w:r>
      <w:r w:rsidR="005F2B82" w:rsidRPr="005F2B82">
        <w:rPr>
          <w:lang w:eastAsia="zh-CN"/>
        </w:rPr>
        <w:t xml:space="preserve"> population. The proposed </w:t>
      </w:r>
      <w:r w:rsidR="005F2B82" w:rsidRPr="004E5BF4">
        <w:rPr>
          <w:i/>
          <w:lang w:eastAsia="zh-CN"/>
        </w:rPr>
        <w:t>MSAC</w:t>
      </w:r>
      <w:r w:rsidR="005F2B82" w:rsidRPr="005F2B82">
        <w:rPr>
          <w:lang w:eastAsia="zh-CN"/>
        </w:rPr>
        <w:t xml:space="preserve"> scenario (</w:t>
      </w:r>
      <w:r w:rsidR="00600D6F">
        <w:rPr>
          <w:lang w:eastAsia="zh-CN"/>
        </w:rPr>
        <w:t>g</w:t>
      </w:r>
      <w:r w:rsidR="00624CC8" w:rsidRPr="00624CC8">
        <w:rPr>
          <w:i/>
          <w:iCs/>
          <w:lang w:eastAsia="zh-CN"/>
        </w:rPr>
        <w:t>BRCA</w:t>
      </w:r>
      <w:r w:rsidR="005F2B82" w:rsidRPr="005F2B82">
        <w:rPr>
          <w:lang w:eastAsia="zh-CN"/>
        </w:rPr>
        <w:t xml:space="preserve"> testing and olaparib available for g</w:t>
      </w:r>
      <w:r w:rsidR="00624CC8" w:rsidRPr="00624CC8">
        <w:rPr>
          <w:i/>
          <w:iCs/>
          <w:lang w:eastAsia="zh-CN"/>
        </w:rPr>
        <w:t>BRCA</w:t>
      </w:r>
      <w:r w:rsidR="005F2B82" w:rsidRPr="005F2B82">
        <w:rPr>
          <w:lang w:eastAsia="zh-CN"/>
        </w:rPr>
        <w:t>-</w:t>
      </w:r>
      <w:r w:rsidR="008F1BEB">
        <w:rPr>
          <w:lang w:eastAsia="zh-CN"/>
        </w:rPr>
        <w:t>pathogenic variant</w:t>
      </w:r>
      <w:r w:rsidR="005F2B82" w:rsidRPr="005F2B82">
        <w:rPr>
          <w:i/>
          <w:iCs/>
          <w:lang w:eastAsia="zh-CN"/>
        </w:rPr>
        <w:t xml:space="preserve"> </w:t>
      </w:r>
      <w:r w:rsidR="005F2B82" w:rsidRPr="005F2B82">
        <w:rPr>
          <w:lang w:eastAsia="zh-CN"/>
        </w:rPr>
        <w:t xml:space="preserve">patients) </w:t>
      </w:r>
      <w:r w:rsidR="00600D6F">
        <w:rPr>
          <w:lang w:eastAsia="zh-CN"/>
        </w:rPr>
        <w:t>wa</w:t>
      </w:r>
      <w:r w:rsidR="005F2B82" w:rsidRPr="005F2B82">
        <w:rPr>
          <w:lang w:eastAsia="zh-CN"/>
        </w:rPr>
        <w:t>s compared with the comparator scenario in which some g</w:t>
      </w:r>
      <w:r w:rsidR="00624CC8" w:rsidRPr="00624CC8">
        <w:rPr>
          <w:i/>
          <w:iCs/>
          <w:lang w:eastAsia="zh-CN"/>
        </w:rPr>
        <w:t>BRCA</w:t>
      </w:r>
      <w:r w:rsidR="005F2B82" w:rsidRPr="005F2B82">
        <w:rPr>
          <w:lang w:eastAsia="zh-CN"/>
        </w:rPr>
        <w:t xml:space="preserve"> </w:t>
      </w:r>
      <w:r w:rsidR="005F2B82" w:rsidRPr="005F2B82">
        <w:rPr>
          <w:lang w:eastAsia="zh-CN"/>
        </w:rPr>
        <w:lastRenderedPageBreak/>
        <w:t>testing occur</w:t>
      </w:r>
      <w:r w:rsidR="00600D6F">
        <w:rPr>
          <w:lang w:eastAsia="zh-CN"/>
        </w:rPr>
        <w:t>red</w:t>
      </w:r>
      <w:r w:rsidR="005F2B82" w:rsidRPr="005F2B82">
        <w:rPr>
          <w:lang w:eastAsia="zh-CN"/>
        </w:rPr>
        <w:t xml:space="preserve"> as per current clinical practice, but patients receive</w:t>
      </w:r>
      <w:r w:rsidR="00600D6F">
        <w:rPr>
          <w:lang w:eastAsia="zh-CN"/>
        </w:rPr>
        <w:t>d</w:t>
      </w:r>
      <w:r w:rsidR="005F2B82" w:rsidRPr="005F2B82">
        <w:rPr>
          <w:lang w:eastAsia="zh-CN"/>
        </w:rPr>
        <w:t xml:space="preserve"> placebo despite their </w:t>
      </w:r>
      <w:r w:rsidR="00624CC8" w:rsidRPr="00624CC8">
        <w:rPr>
          <w:i/>
          <w:iCs/>
          <w:lang w:eastAsia="zh-CN"/>
        </w:rPr>
        <w:t>BRCA</w:t>
      </w:r>
      <w:r w:rsidR="005F2B82" w:rsidRPr="005F2B82">
        <w:rPr>
          <w:lang w:eastAsia="zh-CN"/>
        </w:rPr>
        <w:t xml:space="preserve"> status (</w:t>
      </w:r>
      <w:r w:rsidR="005F2B82" w:rsidRPr="005F2B82">
        <w:rPr>
          <w:lang w:eastAsia="zh-CN"/>
        </w:rPr>
        <w:fldChar w:fldCharType="begin"/>
      </w:r>
      <w:r w:rsidR="005F2B82" w:rsidRPr="005F2B82">
        <w:rPr>
          <w:lang w:eastAsia="zh-CN"/>
        </w:rPr>
        <w:instrText xml:space="preserve"> REF _Ref118288511 \h  \* MERGEFORMAT </w:instrText>
      </w:r>
      <w:r w:rsidR="005F2B82" w:rsidRPr="005F2B82">
        <w:rPr>
          <w:lang w:eastAsia="zh-CN"/>
        </w:rPr>
      </w:r>
      <w:r w:rsidR="005F2B82" w:rsidRPr="005F2B82">
        <w:rPr>
          <w:lang w:eastAsia="zh-CN"/>
        </w:rPr>
        <w:fldChar w:fldCharType="separate"/>
      </w:r>
      <w:r w:rsidR="00EF5403" w:rsidRPr="00041B36">
        <w:t xml:space="preserve">Figure </w:t>
      </w:r>
      <w:r w:rsidR="00EF5403">
        <w:rPr>
          <w:noProof/>
        </w:rPr>
        <w:t>6</w:t>
      </w:r>
      <w:r w:rsidR="005F2B82" w:rsidRPr="005F2B82">
        <w:rPr>
          <w:lang w:eastAsia="zh-CN"/>
        </w:rPr>
        <w:fldChar w:fldCharType="end"/>
      </w:r>
      <w:r w:rsidR="005F2B82" w:rsidRPr="005F2B82">
        <w:rPr>
          <w:lang w:eastAsia="zh-CN"/>
        </w:rPr>
        <w:t>).</w:t>
      </w:r>
    </w:p>
    <w:p w14:paraId="70EA3160" w14:textId="3EF44CE3" w:rsidR="005F2B82" w:rsidRPr="00F9356B" w:rsidRDefault="005F2B82" w:rsidP="005F2B82">
      <w:pPr>
        <w:pStyle w:val="Caption"/>
      </w:pPr>
      <w:bookmarkStart w:id="29" w:name="_Ref118288511"/>
      <w:r w:rsidRPr="00041B36">
        <w:t xml:space="preserve">Figure </w:t>
      </w:r>
      <w:r>
        <w:fldChar w:fldCharType="begin"/>
      </w:r>
      <w:r>
        <w:instrText>SEQ Figure \* ARABIC</w:instrText>
      </w:r>
      <w:r>
        <w:fldChar w:fldCharType="separate"/>
      </w:r>
      <w:r w:rsidR="00EF5403">
        <w:rPr>
          <w:noProof/>
        </w:rPr>
        <w:t>6</w:t>
      </w:r>
      <w:r>
        <w:fldChar w:fldCharType="end"/>
      </w:r>
      <w:bookmarkEnd w:id="29"/>
      <w:r w:rsidRPr="00041B36">
        <w:tab/>
      </w:r>
      <w:r w:rsidRPr="00F9356B">
        <w:tab/>
        <w:t>Structure of testing component of the model</w:t>
      </w:r>
    </w:p>
    <w:p w14:paraId="225A9A16" w14:textId="45ECD697" w:rsidR="005F2B82" w:rsidRPr="00041B36" w:rsidRDefault="005F2B82" w:rsidP="005F2B82">
      <w:pPr>
        <w:spacing w:after="0" w:line="240" w:lineRule="auto"/>
        <w:rPr>
          <w:rFonts w:ascii="Arial Narrow" w:hAnsi="Arial Narrow" w:cstheme="minorHAnsi"/>
          <w:sz w:val="16"/>
          <w:szCs w:val="16"/>
        </w:rPr>
      </w:pPr>
      <w:r w:rsidRPr="00041B36">
        <w:rPr>
          <w:rFonts w:ascii="Arial Narrow" w:hAnsi="Arial Narrow"/>
          <w:noProof/>
        </w:rPr>
        <w:drawing>
          <wp:inline distT="0" distB="0" distL="0" distR="0" wp14:anchorId="45253195" wp14:editId="71D5FBF8">
            <wp:extent cx="6153150" cy="1908998"/>
            <wp:effectExtent l="0" t="0" r="0" b="0"/>
            <wp:docPr id="8" name="Picture 8" descr="Structure of testing component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ructure of testing component of the mode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6188261" cy="1919891"/>
                    </a:xfrm>
                    <a:prstGeom prst="rect">
                      <a:avLst/>
                    </a:prstGeom>
                    <a:noFill/>
                    <a:ln>
                      <a:noFill/>
                    </a:ln>
                    <a:extLst>
                      <a:ext uri="{53640926-AAD7-44D8-BBD7-CCE9431645EC}">
                        <a14:shadowObscured xmlns:a14="http://schemas.microsoft.com/office/drawing/2010/main"/>
                      </a:ext>
                    </a:extLst>
                  </pic:spPr>
                </pic:pic>
              </a:graphicData>
            </a:graphic>
          </wp:inline>
        </w:drawing>
      </w:r>
      <w:r w:rsidRPr="00041B36">
        <w:rPr>
          <w:rFonts w:ascii="Arial Narrow" w:hAnsi="Arial Narrow" w:cstheme="minorHAnsi"/>
          <w:sz w:val="16"/>
          <w:szCs w:val="16"/>
        </w:rPr>
        <w:t xml:space="preserve">Note: </w:t>
      </w:r>
      <w:r w:rsidR="00624CC8" w:rsidRPr="00624CC8">
        <w:rPr>
          <w:rFonts w:ascii="Arial Narrow" w:hAnsi="Arial Narrow" w:cstheme="minorHAnsi"/>
          <w:i/>
          <w:iCs/>
          <w:sz w:val="16"/>
          <w:szCs w:val="16"/>
        </w:rPr>
        <w:t>BRCA</w:t>
      </w:r>
      <w:r w:rsidRPr="00041B36">
        <w:rPr>
          <w:rFonts w:ascii="Arial Narrow" w:hAnsi="Arial Narrow" w:cstheme="minorHAnsi"/>
          <w:sz w:val="16"/>
          <w:szCs w:val="16"/>
        </w:rPr>
        <w:t xml:space="preserve"> unknown patients </w:t>
      </w:r>
      <w:r w:rsidR="00C0304B">
        <w:rPr>
          <w:rFonts w:ascii="Arial Narrow" w:hAnsi="Arial Narrow" w:cstheme="minorHAnsi"/>
          <w:sz w:val="16"/>
          <w:szCs w:val="16"/>
        </w:rPr>
        <w:t>were</w:t>
      </w:r>
      <w:r w:rsidRPr="00041B36">
        <w:rPr>
          <w:rFonts w:ascii="Arial Narrow" w:hAnsi="Arial Narrow" w:cstheme="minorHAnsi"/>
          <w:sz w:val="16"/>
          <w:szCs w:val="16"/>
        </w:rPr>
        <w:t xml:space="preserve"> assumed to be combined with non-</w:t>
      </w:r>
      <w:r w:rsidR="00624CC8" w:rsidRPr="00624CC8">
        <w:rPr>
          <w:rFonts w:ascii="Arial Narrow" w:hAnsi="Arial Narrow" w:cstheme="minorHAnsi"/>
          <w:i/>
          <w:iCs/>
          <w:sz w:val="16"/>
          <w:szCs w:val="16"/>
        </w:rPr>
        <w:t>BRCA</w:t>
      </w:r>
      <w:r w:rsidRPr="00041B36">
        <w:rPr>
          <w:rFonts w:ascii="Arial Narrow" w:hAnsi="Arial Narrow" w:cstheme="minorHAnsi"/>
          <w:sz w:val="16"/>
          <w:szCs w:val="16"/>
        </w:rPr>
        <w:t xml:space="preserve"> patients </w:t>
      </w:r>
    </w:p>
    <w:p w14:paraId="24681983" w14:textId="1F930BE0" w:rsidR="005F2B82" w:rsidRDefault="005F2B82" w:rsidP="001D6593">
      <w:pPr>
        <w:spacing w:before="240"/>
      </w:pPr>
      <w:r>
        <w:t>The semi-Markov model at the end of each branch ha</w:t>
      </w:r>
      <w:r w:rsidR="00C0304B">
        <w:t>d</w:t>
      </w:r>
      <w:r>
        <w:t xml:space="preserve"> five health states: iDFS, non-mBC recurrence, early-onset mBC, late-onset mBC and death. The analysis using a 40-year time horizon </w:t>
      </w:r>
      <w:r w:rsidR="00CA1433">
        <w:t xml:space="preserve">was </w:t>
      </w:r>
      <w:r>
        <w:t xml:space="preserve">consistent with the mean age at entry into OlympiA, the curative aim of treatments in the eBC setting, and previous PBAC-approved models in this setting (Trastuzumab emtansine PSD November 2019). Patients progressed through the model in monthly cycles. Transition probabilities for the earlier health states (i.e. rates of non-mBC and mBC recurrence, and rates of death from iDFS, non-mBC and early-onset mBC) </w:t>
      </w:r>
      <w:r w:rsidR="00CA1433">
        <w:t>were</w:t>
      </w:r>
      <w:r>
        <w:t xml:space="preserve"> derived from the OlympiA trial. However, due to limited long-term OS follow-up in OlympiA, survival rates after late-onset mBC </w:t>
      </w:r>
      <w:r w:rsidR="00CA1433">
        <w:t>were</w:t>
      </w:r>
      <w:r>
        <w:t xml:space="preserve"> taken from external sources and reflect</w:t>
      </w:r>
      <w:r w:rsidR="00CA1433">
        <w:t>ed</w:t>
      </w:r>
      <w:r>
        <w:t xml:space="preserve"> the outcomes of treatments administered in the mBC setting (e.g. CDk4/6 inhibitors for HER2-HR+ patients and sacituzumab govitecan for TNBC patients among others). The efficacy of placebo in the non-</w:t>
      </w:r>
      <w:r w:rsidR="00624CC8" w:rsidRPr="00624CC8">
        <w:rPr>
          <w:i/>
          <w:iCs/>
        </w:rPr>
        <w:t>BRCA</w:t>
      </w:r>
      <w:r>
        <w:t xml:space="preserve"> branches of the co-dependent test/treatment model ha</w:t>
      </w:r>
      <w:r w:rsidR="00CA1433">
        <w:t>d</w:t>
      </w:r>
      <w:r>
        <w:t xml:space="preserve"> been estimated by applying published hazard ratios to the transition probabilities for g</w:t>
      </w:r>
      <w:r w:rsidR="00624CC8" w:rsidRPr="00624CC8">
        <w:rPr>
          <w:i/>
          <w:iCs/>
        </w:rPr>
        <w:t>BRCA</w:t>
      </w:r>
      <w:r>
        <w:t>-</w:t>
      </w:r>
      <w:r w:rsidR="008F1BEB">
        <w:t>pathogenic variant</w:t>
      </w:r>
      <w:r>
        <w:t xml:space="preserve"> patients.</w:t>
      </w:r>
    </w:p>
    <w:p w14:paraId="222C9AA7" w14:textId="51085CAC" w:rsidR="001224AB" w:rsidRPr="00FE6CB5" w:rsidRDefault="00261293" w:rsidP="001224AB">
      <w:pPr>
        <w:rPr>
          <w:i/>
        </w:rPr>
      </w:pPr>
      <w:r>
        <w:t>T</w:t>
      </w:r>
      <w:r w:rsidR="005F2B82">
        <w:t>he model assume</w:t>
      </w:r>
      <w:r>
        <w:t>d</w:t>
      </w:r>
      <w:r w:rsidR="005F2B82">
        <w:t xml:space="preserve"> that 95% of the proposed scenario under</w:t>
      </w:r>
      <w:r w:rsidR="00CA1433">
        <w:t>went</w:t>
      </w:r>
      <w:r w:rsidR="005F2B82">
        <w:t xml:space="preserve"> g</w:t>
      </w:r>
      <w:r w:rsidR="00624CC8" w:rsidRPr="00624CC8">
        <w:rPr>
          <w:i/>
          <w:iCs/>
        </w:rPr>
        <w:t>BRCA</w:t>
      </w:r>
      <w:r w:rsidR="005F2B82">
        <w:t xml:space="preserve"> testing at or soon after diagnosis. Consistent with current clinical practice, some patients in the comparator scenario under</w:t>
      </w:r>
      <w:r w:rsidR="006B6E3C">
        <w:t>went</w:t>
      </w:r>
      <w:r w:rsidR="005F2B82">
        <w:t xml:space="preserve"> g</w:t>
      </w:r>
      <w:r w:rsidR="00624CC8" w:rsidRPr="00624CC8">
        <w:rPr>
          <w:i/>
          <w:iCs/>
        </w:rPr>
        <w:t>BRCA</w:t>
      </w:r>
      <w:r w:rsidR="005F2B82">
        <w:t xml:space="preserve"> testing, which usually occur</w:t>
      </w:r>
      <w:r w:rsidR="006B6E3C">
        <w:t>red</w:t>
      </w:r>
      <w:r w:rsidR="005F2B82">
        <w:t xml:space="preserve"> at familial cancer centres. Australian IpSOS data report</w:t>
      </w:r>
      <w:r w:rsidR="006B6E3C">
        <w:t>ed</w:t>
      </w:r>
      <w:r w:rsidR="005F2B82">
        <w:t xml:space="preserve"> that 74% of TNBC patients currently receive</w:t>
      </w:r>
      <w:r w:rsidR="006B6E3C">
        <w:t>d</w:t>
      </w:r>
      <w:r w:rsidR="005F2B82">
        <w:t xml:space="preserve"> g</w:t>
      </w:r>
      <w:r w:rsidR="00624CC8" w:rsidRPr="00624CC8">
        <w:rPr>
          <w:i/>
          <w:iCs/>
        </w:rPr>
        <w:t>BRCA</w:t>
      </w:r>
      <w:r w:rsidR="005F2B82">
        <w:t xml:space="preserve"> testing. Given that high-risk HER2-/HR+ patients present</w:t>
      </w:r>
      <w:r w:rsidR="006B6E3C">
        <w:t>ed</w:t>
      </w:r>
      <w:r w:rsidR="005F2B82">
        <w:t xml:space="preserve"> with clinical symptoms similar to those with TNBC, it </w:t>
      </w:r>
      <w:r w:rsidR="006B6E3C">
        <w:t>was</w:t>
      </w:r>
      <w:r w:rsidR="005F2B82">
        <w:t xml:space="preserve"> assumed that update of </w:t>
      </w:r>
      <w:r w:rsidR="00624CC8" w:rsidRPr="00624CC8">
        <w:rPr>
          <w:i/>
          <w:iCs/>
        </w:rPr>
        <w:t>BRCA</w:t>
      </w:r>
      <w:r w:rsidR="005F2B82">
        <w:t xml:space="preserve"> testing in high-risk HER2-/HR+ patients </w:t>
      </w:r>
      <w:r w:rsidR="006B6E3C">
        <w:t>was</w:t>
      </w:r>
      <w:r w:rsidR="005F2B82">
        <w:t xml:space="preserve"> likely to be comparable to the rate of testing in TNBC patients (thus assumed to be 74%). </w:t>
      </w:r>
      <w:r w:rsidR="001224AB" w:rsidRPr="00FE6CB5">
        <w:t xml:space="preserve">Therefore, test costs </w:t>
      </w:r>
      <w:r w:rsidR="006B6E3C">
        <w:t>were</w:t>
      </w:r>
      <w:r w:rsidR="001224AB" w:rsidRPr="00FE6CB5">
        <w:t xml:space="preserve"> calculated only for the incremental 21% of patients. </w:t>
      </w:r>
      <w:r w:rsidR="001224AB" w:rsidRPr="00FE6CB5">
        <w:rPr>
          <w:i/>
        </w:rPr>
        <w:t xml:space="preserve">This approach </w:t>
      </w:r>
      <w:r w:rsidR="006932C7">
        <w:rPr>
          <w:i/>
        </w:rPr>
        <w:t>was</w:t>
      </w:r>
      <w:r w:rsidR="001224AB" w:rsidRPr="00FE6CB5">
        <w:rPr>
          <w:i/>
        </w:rPr>
        <w:t xml:space="preserve"> based on the current usage of g</w:t>
      </w:r>
      <w:r w:rsidR="001224AB" w:rsidRPr="006B6E3C">
        <w:rPr>
          <w:i/>
          <w:iCs/>
        </w:rPr>
        <w:t>BRCA</w:t>
      </w:r>
      <w:r w:rsidR="001224AB" w:rsidRPr="00FE6CB5">
        <w:rPr>
          <w:i/>
        </w:rPr>
        <w:t xml:space="preserve"> testing in patients with TNBC. Testing in patients with HR+, HER2- cancers </w:t>
      </w:r>
      <w:r w:rsidR="006B6E3C">
        <w:rPr>
          <w:i/>
        </w:rPr>
        <w:t>might</w:t>
      </w:r>
      <w:r w:rsidR="001224AB" w:rsidRPr="00FE6CB5">
        <w:rPr>
          <w:i/>
        </w:rPr>
        <w:t xml:space="preserve"> be less common. Furthermore, this assume</w:t>
      </w:r>
      <w:r w:rsidR="006932C7">
        <w:rPr>
          <w:i/>
        </w:rPr>
        <w:t>d</w:t>
      </w:r>
      <w:r w:rsidR="001224AB" w:rsidRPr="00FE6CB5">
        <w:rPr>
          <w:i/>
        </w:rPr>
        <w:t xml:space="preserve"> that there w</w:t>
      </w:r>
      <w:r w:rsidR="006B6E3C">
        <w:rPr>
          <w:i/>
        </w:rPr>
        <w:t>ould</w:t>
      </w:r>
      <w:r w:rsidR="001224AB" w:rsidRPr="00FE6CB5">
        <w:rPr>
          <w:i/>
        </w:rPr>
        <w:t xml:space="preserve"> be no leakage of testing into lower risk eBC patients if an MBS item number bec</w:t>
      </w:r>
      <w:r w:rsidR="00765C39">
        <w:rPr>
          <w:i/>
        </w:rPr>
        <w:t>ame</w:t>
      </w:r>
      <w:r w:rsidR="001224AB" w:rsidRPr="00FE6CB5">
        <w:rPr>
          <w:i/>
        </w:rPr>
        <w:t xml:space="preserve"> available.</w:t>
      </w:r>
    </w:p>
    <w:p w14:paraId="237DB7B1" w14:textId="21183A0E" w:rsidR="001224AB" w:rsidRDefault="001224AB" w:rsidP="005F2B82">
      <w:pPr>
        <w:spacing w:line="276" w:lineRule="auto"/>
      </w:pPr>
      <w:r>
        <w:t>The prevalence of g</w:t>
      </w:r>
      <w:r w:rsidRPr="00624CC8">
        <w:rPr>
          <w:i/>
          <w:iCs/>
        </w:rPr>
        <w:t>BRCA</w:t>
      </w:r>
      <w:r>
        <w:t>-</w:t>
      </w:r>
      <w:r w:rsidR="000700F3">
        <w:t>pathogenic variant</w:t>
      </w:r>
      <w:r>
        <w:t xml:space="preserve"> in the model (13.25%) </w:t>
      </w:r>
      <w:r w:rsidR="00765C39">
        <w:t>was</w:t>
      </w:r>
      <w:r>
        <w:t xml:space="preserve"> based on an average of three published sources. Germline </w:t>
      </w:r>
      <w:r w:rsidRPr="00624CC8">
        <w:rPr>
          <w:i/>
          <w:iCs/>
        </w:rPr>
        <w:t>BRCA</w:t>
      </w:r>
      <w:r>
        <w:t xml:space="preserve"> </w:t>
      </w:r>
      <w:r w:rsidR="000700F3">
        <w:t>pathogenic variant</w:t>
      </w:r>
      <w:r>
        <w:t xml:space="preserve"> testing offered by several Australian pathology providers use</w:t>
      </w:r>
      <w:r w:rsidR="00765C39">
        <w:t>s</w:t>
      </w:r>
      <w:r>
        <w:t xml:space="preserve"> NGS-based methods with diagnostic accuracy (sensitivity/specificity) of the germline </w:t>
      </w:r>
      <w:r w:rsidRPr="00624CC8">
        <w:rPr>
          <w:i/>
          <w:iCs/>
        </w:rPr>
        <w:t>BRCA</w:t>
      </w:r>
      <w:r>
        <w:t xml:space="preserve"> test assumed to be 100%. </w:t>
      </w:r>
    </w:p>
    <w:p w14:paraId="5075936C" w14:textId="12ADB06C" w:rsidR="001224AB" w:rsidRDefault="001224AB" w:rsidP="001224AB">
      <w:pPr>
        <w:rPr>
          <w:i/>
        </w:rPr>
      </w:pPr>
      <w:r w:rsidRPr="00FE6CB5">
        <w:rPr>
          <w:i/>
        </w:rPr>
        <w:lastRenderedPageBreak/>
        <w:t>The IpSOS data for HR-positive, HER2-negative patients c</w:t>
      </w:r>
      <w:r w:rsidR="00765C39">
        <w:rPr>
          <w:i/>
        </w:rPr>
        <w:t>ould not</w:t>
      </w:r>
      <w:r w:rsidRPr="00FE6CB5">
        <w:rPr>
          <w:i/>
        </w:rPr>
        <w:t xml:space="preserve"> be located in the submission.</w:t>
      </w:r>
      <w:r>
        <w:rPr>
          <w:i/>
        </w:rPr>
        <w:t xml:space="preserve"> </w:t>
      </w:r>
      <w:r w:rsidRPr="00FE6CB5">
        <w:rPr>
          <w:i/>
        </w:rPr>
        <w:t xml:space="preserve">Germline </w:t>
      </w:r>
      <w:r w:rsidRPr="00765C39">
        <w:rPr>
          <w:i/>
          <w:iCs/>
        </w:rPr>
        <w:t>BRCA</w:t>
      </w:r>
      <w:r w:rsidRPr="00FE6CB5">
        <w:rPr>
          <w:i/>
        </w:rPr>
        <w:t xml:space="preserve"> testing </w:t>
      </w:r>
      <w:r w:rsidR="00765C39">
        <w:rPr>
          <w:i/>
        </w:rPr>
        <w:t>is</w:t>
      </w:r>
      <w:r w:rsidRPr="00FE6CB5">
        <w:rPr>
          <w:i/>
        </w:rPr>
        <w:t xml:space="preserve"> currently recommended by the Cancer Council</w:t>
      </w:r>
      <w:r w:rsidRPr="00FE6CB5">
        <w:rPr>
          <w:rStyle w:val="FootnoteReference"/>
          <w:i/>
        </w:rPr>
        <w:footnoteReference w:id="5"/>
      </w:r>
      <w:r w:rsidRPr="00FE6CB5">
        <w:rPr>
          <w:i/>
        </w:rPr>
        <w:t xml:space="preserve"> in patients with TNBC diagnosed under the age of 50 years, or who fulfil the CanRisk or Manchester score criteria for germline testing. EviQ</w:t>
      </w:r>
      <w:r w:rsidRPr="00FE6CB5">
        <w:rPr>
          <w:rStyle w:val="FootnoteReference"/>
          <w:i/>
        </w:rPr>
        <w:footnoteReference w:id="6"/>
      </w:r>
      <w:r w:rsidRPr="00FE6CB5">
        <w:rPr>
          <w:i/>
        </w:rPr>
        <w:t xml:space="preserve"> also recommends testing in TNBC diagnosed ≤50 years and for other high-risk characteristics including breast cancer diagnosed ≤40 years. </w:t>
      </w:r>
    </w:p>
    <w:p w14:paraId="561EFADF" w14:textId="45693231" w:rsidR="00C878AB" w:rsidRPr="00FE6CB5" w:rsidRDefault="004337FC" w:rsidP="00C878AB">
      <w:pPr>
        <w:rPr>
          <w:i/>
        </w:rPr>
      </w:pPr>
      <w:r>
        <w:rPr>
          <w:i/>
          <w:iCs/>
        </w:rPr>
        <w:t xml:space="preserve">According to the </w:t>
      </w:r>
      <w:r w:rsidRPr="004337FC">
        <w:rPr>
          <w:i/>
          <w:iCs/>
        </w:rPr>
        <w:t xml:space="preserve">IpSOS data </w:t>
      </w:r>
      <w:r w:rsidR="008B5E62">
        <w:rPr>
          <w:i/>
          <w:iCs/>
        </w:rPr>
        <w:t xml:space="preserve">in the submission, </w:t>
      </w:r>
      <w:r w:rsidR="00C878AB" w:rsidRPr="00765C39">
        <w:rPr>
          <w:i/>
          <w:iCs/>
        </w:rPr>
        <w:t>BRCA</w:t>
      </w:r>
      <w:r w:rsidR="00C878AB" w:rsidRPr="00FE6CB5">
        <w:rPr>
          <w:i/>
        </w:rPr>
        <w:t xml:space="preserve"> testing has increased rapidly in TNBC from 2020 to 2022, from 38% to 74%. It </w:t>
      </w:r>
      <w:r w:rsidR="00765C39">
        <w:rPr>
          <w:i/>
        </w:rPr>
        <w:t>was</w:t>
      </w:r>
      <w:r w:rsidR="00C878AB" w:rsidRPr="00FE6CB5">
        <w:rPr>
          <w:i/>
        </w:rPr>
        <w:t xml:space="preserve"> unclear what ha</w:t>
      </w:r>
      <w:r w:rsidR="006932C7">
        <w:rPr>
          <w:i/>
        </w:rPr>
        <w:t>d</w:t>
      </w:r>
      <w:r w:rsidR="00C878AB" w:rsidRPr="00FE6CB5">
        <w:rPr>
          <w:i/>
        </w:rPr>
        <w:t xml:space="preserve"> driven this increase or whether it </w:t>
      </w:r>
      <w:r w:rsidR="00221053">
        <w:rPr>
          <w:i/>
        </w:rPr>
        <w:t>was</w:t>
      </w:r>
      <w:r w:rsidR="00C878AB" w:rsidRPr="00FE6CB5">
        <w:rPr>
          <w:i/>
        </w:rPr>
        <w:t xml:space="preserve"> expected to be sustained at 74%.</w:t>
      </w:r>
    </w:p>
    <w:p w14:paraId="7822406F" w14:textId="04E1BE15" w:rsidR="00343858" w:rsidRPr="00FE6CB5" w:rsidRDefault="00343858" w:rsidP="00343858">
      <w:pPr>
        <w:rPr>
          <w:i/>
        </w:rPr>
      </w:pPr>
      <w:r w:rsidRPr="00FE6CB5">
        <w:rPr>
          <w:i/>
        </w:rPr>
        <w:t>The structure of the model presented in the current submission appear</w:t>
      </w:r>
      <w:r w:rsidR="00FC65E1">
        <w:rPr>
          <w:i/>
        </w:rPr>
        <w:t>ed</w:t>
      </w:r>
      <w:r w:rsidRPr="00FE6CB5">
        <w:rPr>
          <w:i/>
        </w:rPr>
        <w:t xml:space="preserve"> consistent with previous models presented to PBAC.</w:t>
      </w:r>
      <w:r w:rsidR="00C878AB" w:rsidRPr="00C878AB">
        <w:rPr>
          <w:i/>
          <w:iCs/>
          <w:sz w:val="23"/>
          <w:szCs w:val="23"/>
        </w:rPr>
        <w:t xml:space="preserve"> </w:t>
      </w:r>
    </w:p>
    <w:p w14:paraId="694FEC25" w14:textId="3795961F" w:rsidR="00316C38" w:rsidRPr="00FE6CB5" w:rsidRDefault="00316C38" w:rsidP="00316C38">
      <w:pPr>
        <w:pStyle w:val="Heading3"/>
      </w:pPr>
      <w:r w:rsidRPr="00FE6CB5">
        <w:t>Results of the economic analysis</w:t>
      </w:r>
    </w:p>
    <w:p w14:paraId="3A233F7A" w14:textId="6345D2AA" w:rsidR="00316C38" w:rsidRPr="00316C38" w:rsidRDefault="00316C38" w:rsidP="00316C38">
      <w:r w:rsidRPr="00316C38">
        <w:t>The submission presented the following steps in a stepped analysis.</w:t>
      </w:r>
    </w:p>
    <w:p w14:paraId="4244548E" w14:textId="77777777" w:rsidR="00316C38" w:rsidRPr="00316C38" w:rsidRDefault="00316C38" w:rsidP="00316C38">
      <w:pPr>
        <w:pStyle w:val="ListParagraph"/>
        <w:numPr>
          <w:ilvl w:val="0"/>
          <w:numId w:val="34"/>
        </w:numPr>
        <w:spacing w:before="0" w:after="120" w:line="240" w:lineRule="auto"/>
        <w:contextualSpacing w:val="0"/>
        <w:jc w:val="both"/>
      </w:pPr>
      <w:r w:rsidRPr="00316C38">
        <w:t>Trial based costs</w:t>
      </w:r>
    </w:p>
    <w:p w14:paraId="526CAD11" w14:textId="77777777" w:rsidR="00316C38" w:rsidRPr="00316C38" w:rsidRDefault="00316C38" w:rsidP="00316C38">
      <w:pPr>
        <w:pStyle w:val="ListParagraph"/>
        <w:numPr>
          <w:ilvl w:val="0"/>
          <w:numId w:val="34"/>
        </w:numPr>
        <w:spacing w:before="0" w:after="120" w:line="240" w:lineRule="auto"/>
        <w:contextualSpacing w:val="0"/>
        <w:jc w:val="both"/>
      </w:pPr>
      <w:r w:rsidRPr="00316C38">
        <w:t>Costs incurred in the modelled economic evaluation</w:t>
      </w:r>
    </w:p>
    <w:p w14:paraId="2E384B14" w14:textId="77777777" w:rsidR="00316C38" w:rsidRPr="00316C38" w:rsidRDefault="00316C38" w:rsidP="00316C38">
      <w:pPr>
        <w:pStyle w:val="ListParagraph"/>
        <w:numPr>
          <w:ilvl w:val="0"/>
          <w:numId w:val="34"/>
        </w:numPr>
        <w:spacing w:before="0" w:after="120" w:line="240" w:lineRule="auto"/>
        <w:contextualSpacing w:val="0"/>
        <w:jc w:val="both"/>
      </w:pPr>
      <w:r w:rsidRPr="00316C38">
        <w:t>Disease-free years gained during the trial period (79 months)</w:t>
      </w:r>
    </w:p>
    <w:p w14:paraId="40A5194E" w14:textId="77777777" w:rsidR="00316C38" w:rsidRPr="00FE6CB5" w:rsidRDefault="00316C38" w:rsidP="00316C38">
      <w:pPr>
        <w:pStyle w:val="ListParagraph"/>
        <w:numPr>
          <w:ilvl w:val="0"/>
          <w:numId w:val="34"/>
        </w:numPr>
        <w:spacing w:before="0" w:after="120" w:line="240" w:lineRule="auto"/>
        <w:contextualSpacing w:val="0"/>
        <w:jc w:val="both"/>
      </w:pPr>
      <w:r w:rsidRPr="00316C38">
        <w:t>Final outcomes accrued over the full time horizon (40 years</w:t>
      </w:r>
      <w:r w:rsidRPr="00FE6CB5">
        <w:t>)</w:t>
      </w:r>
    </w:p>
    <w:p w14:paraId="18C8936A" w14:textId="2F825DB2" w:rsidR="00316C38" w:rsidRDefault="00623FCA" w:rsidP="00316C38">
      <w:r>
        <w:t xml:space="preserve">Results of the stepped evaluation are presented in </w:t>
      </w:r>
      <w:r w:rsidR="004E6008">
        <w:fldChar w:fldCharType="begin"/>
      </w:r>
      <w:r w:rsidR="004E6008">
        <w:instrText xml:space="preserve"> REF _Ref139977873 \h </w:instrText>
      </w:r>
      <w:r w:rsidR="004E6008">
        <w:fldChar w:fldCharType="separate"/>
      </w:r>
      <w:r w:rsidR="004E6008">
        <w:t>Tab</w:t>
      </w:r>
      <w:r w:rsidR="004E6008">
        <w:t>l</w:t>
      </w:r>
      <w:r w:rsidR="004E6008">
        <w:t xml:space="preserve">e </w:t>
      </w:r>
      <w:r w:rsidR="004E6008">
        <w:rPr>
          <w:noProof/>
        </w:rPr>
        <w:t>7</w:t>
      </w:r>
      <w:r w:rsidR="004E6008">
        <w:fldChar w:fldCharType="end"/>
      </w:r>
    </w:p>
    <w:p w14:paraId="28D56F12" w14:textId="77777777" w:rsidR="00052038" w:rsidRPr="00FE6CB5" w:rsidRDefault="00052038" w:rsidP="00052038">
      <w:pPr>
        <w:pStyle w:val="Caption"/>
      </w:pPr>
      <w:bookmarkStart w:id="30" w:name="_Ref126754283"/>
      <w:bookmarkStart w:id="31" w:name="_Ref139977873"/>
      <w:r>
        <w:lastRenderedPageBreak/>
        <w:t xml:space="preserve">Table </w:t>
      </w:r>
      <w:r>
        <w:fldChar w:fldCharType="begin"/>
      </w:r>
      <w:r>
        <w:instrText>SEQ Table \* ARABIC</w:instrText>
      </w:r>
      <w:r>
        <w:fldChar w:fldCharType="separate"/>
      </w:r>
      <w:r>
        <w:rPr>
          <w:noProof/>
        </w:rPr>
        <w:t>7</w:t>
      </w:r>
      <w:r>
        <w:fldChar w:fldCharType="end"/>
      </w:r>
      <w:bookmarkEnd w:id="31"/>
      <w:r w:rsidRPr="00FE6CB5">
        <w:t xml:space="preserve">: </w:t>
      </w:r>
      <w:r w:rsidRPr="004E5BF4">
        <w:rPr>
          <w:rStyle w:val="CommentReference"/>
          <w:sz w:val="20"/>
          <w:szCs w:val="32"/>
        </w:rPr>
        <w:t>Results of the stepped economic evaluation</w:t>
      </w:r>
    </w:p>
    <w:tbl>
      <w:tblPr>
        <w:tblStyle w:val="TableGrid1"/>
        <w:tblW w:w="5199" w:type="pct"/>
        <w:shd w:val="clear" w:color="auto" w:fill="FFFFFF" w:themeFill="background1"/>
        <w:tblLayout w:type="fixed"/>
        <w:tblCellMar>
          <w:left w:w="28" w:type="dxa"/>
          <w:right w:w="28" w:type="dxa"/>
        </w:tblCellMar>
        <w:tblLook w:val="04A0" w:firstRow="1" w:lastRow="0" w:firstColumn="1" w:lastColumn="0" w:noHBand="0" w:noVBand="1"/>
      </w:tblPr>
      <w:tblGrid>
        <w:gridCol w:w="1345"/>
        <w:gridCol w:w="966"/>
        <w:gridCol w:w="1247"/>
        <w:gridCol w:w="1127"/>
        <w:gridCol w:w="1043"/>
        <w:gridCol w:w="1157"/>
        <w:gridCol w:w="1329"/>
        <w:gridCol w:w="1161"/>
      </w:tblGrid>
      <w:tr w:rsidR="00052038" w:rsidRPr="00FE6CB5" w14:paraId="13913488" w14:textId="77777777" w:rsidTr="00F84DDB">
        <w:trPr>
          <w:cnfStyle w:val="100000000000" w:firstRow="1" w:lastRow="0" w:firstColumn="0" w:lastColumn="0" w:oddVBand="0" w:evenVBand="0" w:oddHBand="0" w:evenHBand="0" w:firstRowFirstColumn="0" w:firstRowLastColumn="0" w:lastRowFirstColumn="0" w:lastRowLastColumn="0"/>
          <w:cantSplit/>
          <w:tblHeader/>
        </w:trPr>
        <w:tc>
          <w:tcPr>
            <w:tcW w:w="717" w:type="pct"/>
            <w:vMerge w:val="restart"/>
            <w:shd w:val="clear" w:color="auto" w:fill="FFFFFF" w:themeFill="background1"/>
            <w:vAlign w:val="center"/>
          </w:tcPr>
          <w:p w14:paraId="1F12C4B5" w14:textId="77777777" w:rsidR="00052038" w:rsidRPr="00FE6CB5" w:rsidRDefault="00052038" w:rsidP="00F84DDB">
            <w:pPr>
              <w:pStyle w:val="Tabletext0"/>
              <w:keepNext/>
              <w:jc w:val="center"/>
              <w:rPr>
                <w:b/>
              </w:rPr>
            </w:pPr>
            <w:r w:rsidRPr="00FE6CB5">
              <w:rPr>
                <w:b/>
              </w:rPr>
              <w:t>Data</w:t>
            </w:r>
          </w:p>
        </w:tc>
        <w:tc>
          <w:tcPr>
            <w:tcW w:w="1781" w:type="pct"/>
            <w:gridSpan w:val="3"/>
            <w:shd w:val="clear" w:color="auto" w:fill="FFFFFF" w:themeFill="background1"/>
            <w:vAlign w:val="center"/>
          </w:tcPr>
          <w:p w14:paraId="2E110BF4" w14:textId="77777777" w:rsidR="00052038" w:rsidRPr="00FE6CB5" w:rsidRDefault="00052038" w:rsidP="00F84DDB">
            <w:pPr>
              <w:pStyle w:val="Tabletext0"/>
              <w:keepNext/>
              <w:jc w:val="center"/>
              <w:rPr>
                <w:b/>
              </w:rPr>
            </w:pPr>
            <w:r w:rsidRPr="00FE6CB5">
              <w:rPr>
                <w:b/>
              </w:rPr>
              <w:t>Costs</w:t>
            </w:r>
          </w:p>
        </w:tc>
        <w:tc>
          <w:tcPr>
            <w:tcW w:w="1882" w:type="pct"/>
            <w:gridSpan w:val="3"/>
            <w:shd w:val="clear" w:color="auto" w:fill="FFFFFF" w:themeFill="background1"/>
            <w:vAlign w:val="center"/>
          </w:tcPr>
          <w:p w14:paraId="5F044BF5" w14:textId="77777777" w:rsidR="00052038" w:rsidRPr="00FE6CB5" w:rsidRDefault="00052038" w:rsidP="00F84DDB">
            <w:pPr>
              <w:pStyle w:val="Tabletext0"/>
              <w:keepNext/>
              <w:jc w:val="center"/>
              <w:rPr>
                <w:b/>
              </w:rPr>
            </w:pPr>
            <w:r w:rsidRPr="00FE6CB5">
              <w:rPr>
                <w:b/>
              </w:rPr>
              <w:t>Health outcomes</w:t>
            </w:r>
          </w:p>
        </w:tc>
        <w:tc>
          <w:tcPr>
            <w:tcW w:w="619" w:type="pct"/>
            <w:vMerge w:val="restart"/>
            <w:shd w:val="clear" w:color="auto" w:fill="FFFFFF" w:themeFill="background1"/>
            <w:vAlign w:val="center"/>
          </w:tcPr>
          <w:p w14:paraId="42E2D84F" w14:textId="77777777" w:rsidR="00052038" w:rsidRPr="00FE6CB5" w:rsidRDefault="00052038" w:rsidP="00F84DDB">
            <w:pPr>
              <w:pStyle w:val="Tabletext0"/>
              <w:keepNext/>
              <w:jc w:val="center"/>
              <w:rPr>
                <w:b/>
              </w:rPr>
            </w:pPr>
            <w:r w:rsidRPr="00FE6CB5">
              <w:rPr>
                <w:b/>
              </w:rPr>
              <w:t>Incremental cost-effectiveness ratio</w:t>
            </w:r>
          </w:p>
        </w:tc>
      </w:tr>
      <w:tr w:rsidR="00052038" w:rsidRPr="00FE6CB5" w14:paraId="29C0C64B" w14:textId="77777777" w:rsidTr="00F84DDB">
        <w:trPr>
          <w:cnfStyle w:val="100000000000" w:firstRow="1" w:lastRow="0" w:firstColumn="0" w:lastColumn="0" w:oddVBand="0" w:evenVBand="0" w:oddHBand="0" w:evenHBand="0" w:firstRowFirstColumn="0" w:firstRowLastColumn="0" w:lastRowFirstColumn="0" w:lastRowLastColumn="0"/>
          <w:cantSplit/>
          <w:tblHeader/>
        </w:trPr>
        <w:tc>
          <w:tcPr>
            <w:tcW w:w="717" w:type="pct"/>
            <w:vMerge/>
            <w:shd w:val="clear" w:color="auto" w:fill="FFFFFF" w:themeFill="background1"/>
            <w:vAlign w:val="center"/>
          </w:tcPr>
          <w:p w14:paraId="4498F31D" w14:textId="77777777" w:rsidR="00052038" w:rsidRPr="00FE6CB5" w:rsidRDefault="00052038" w:rsidP="00F84DDB">
            <w:pPr>
              <w:pStyle w:val="Tabletext0"/>
              <w:keepNext/>
              <w:jc w:val="center"/>
              <w:rPr>
                <w:b/>
              </w:rPr>
            </w:pPr>
          </w:p>
        </w:tc>
        <w:tc>
          <w:tcPr>
            <w:tcW w:w="515" w:type="pct"/>
            <w:shd w:val="clear" w:color="auto" w:fill="FFFFFF" w:themeFill="background1"/>
            <w:vAlign w:val="center"/>
          </w:tcPr>
          <w:p w14:paraId="3AB371BB" w14:textId="77777777" w:rsidR="00052038" w:rsidRPr="00FE6CB5" w:rsidRDefault="00052038" w:rsidP="00F84DDB">
            <w:pPr>
              <w:pStyle w:val="Tabletext0"/>
              <w:keepNext/>
              <w:jc w:val="center"/>
              <w:rPr>
                <w:rFonts w:ascii="Times" w:hAnsi="Times"/>
                <w:b/>
              </w:rPr>
            </w:pPr>
            <w:r w:rsidRPr="00FE6CB5">
              <w:rPr>
                <w:b/>
              </w:rPr>
              <w:t>Proposed medicine</w:t>
            </w:r>
          </w:p>
        </w:tc>
        <w:tc>
          <w:tcPr>
            <w:tcW w:w="665" w:type="pct"/>
            <w:shd w:val="clear" w:color="auto" w:fill="FFFFFF" w:themeFill="background1"/>
            <w:vAlign w:val="center"/>
          </w:tcPr>
          <w:p w14:paraId="111EF6BE" w14:textId="77777777" w:rsidR="00052038" w:rsidRPr="00FE6CB5" w:rsidRDefault="00052038" w:rsidP="00F84DDB">
            <w:pPr>
              <w:pStyle w:val="Tabletext0"/>
              <w:keepNext/>
              <w:jc w:val="center"/>
              <w:rPr>
                <w:rFonts w:ascii="Times" w:hAnsi="Times"/>
                <w:b/>
              </w:rPr>
            </w:pPr>
            <w:r w:rsidRPr="00FE6CB5">
              <w:rPr>
                <w:b/>
              </w:rPr>
              <w:t>Comparator</w:t>
            </w:r>
          </w:p>
        </w:tc>
        <w:tc>
          <w:tcPr>
            <w:tcW w:w="601" w:type="pct"/>
            <w:shd w:val="clear" w:color="auto" w:fill="FFFFFF" w:themeFill="background1"/>
            <w:vAlign w:val="center"/>
          </w:tcPr>
          <w:p w14:paraId="6BEC8866" w14:textId="77777777" w:rsidR="00052038" w:rsidRPr="00FE6CB5" w:rsidRDefault="00052038" w:rsidP="00F84DDB">
            <w:pPr>
              <w:pStyle w:val="Tabletext0"/>
              <w:keepNext/>
              <w:jc w:val="center"/>
              <w:rPr>
                <w:rFonts w:ascii="Times" w:hAnsi="Times"/>
                <w:b/>
              </w:rPr>
            </w:pPr>
            <w:r w:rsidRPr="00FE6CB5">
              <w:rPr>
                <w:b/>
              </w:rPr>
              <w:t>Incremental</w:t>
            </w:r>
          </w:p>
        </w:tc>
        <w:tc>
          <w:tcPr>
            <w:tcW w:w="556" w:type="pct"/>
            <w:shd w:val="clear" w:color="auto" w:fill="FFFFFF" w:themeFill="background1"/>
            <w:vAlign w:val="center"/>
          </w:tcPr>
          <w:p w14:paraId="6C39A5CA" w14:textId="77777777" w:rsidR="00052038" w:rsidRPr="00FE6CB5" w:rsidRDefault="00052038" w:rsidP="00F84DDB">
            <w:pPr>
              <w:pStyle w:val="Tabletext0"/>
              <w:keepNext/>
              <w:jc w:val="center"/>
              <w:rPr>
                <w:rFonts w:ascii="Times" w:hAnsi="Times"/>
                <w:b/>
              </w:rPr>
            </w:pPr>
            <w:r w:rsidRPr="00FE6CB5">
              <w:rPr>
                <w:b/>
              </w:rPr>
              <w:t>Proposed medicine</w:t>
            </w:r>
          </w:p>
        </w:tc>
        <w:tc>
          <w:tcPr>
            <w:tcW w:w="617" w:type="pct"/>
            <w:shd w:val="clear" w:color="auto" w:fill="FFFFFF" w:themeFill="background1"/>
            <w:vAlign w:val="center"/>
          </w:tcPr>
          <w:p w14:paraId="7A9A3695" w14:textId="77777777" w:rsidR="00052038" w:rsidRPr="00FE6CB5" w:rsidRDefault="00052038" w:rsidP="00F84DDB">
            <w:pPr>
              <w:pStyle w:val="Tabletext0"/>
              <w:keepNext/>
              <w:jc w:val="center"/>
              <w:rPr>
                <w:b/>
              </w:rPr>
            </w:pPr>
            <w:r w:rsidRPr="00FE6CB5">
              <w:rPr>
                <w:b/>
              </w:rPr>
              <w:t>Comparator</w:t>
            </w:r>
          </w:p>
        </w:tc>
        <w:tc>
          <w:tcPr>
            <w:tcW w:w="709" w:type="pct"/>
            <w:shd w:val="clear" w:color="auto" w:fill="FFFFFF" w:themeFill="background1"/>
            <w:vAlign w:val="center"/>
          </w:tcPr>
          <w:p w14:paraId="092CEA3E" w14:textId="77777777" w:rsidR="00052038" w:rsidRPr="00FE6CB5" w:rsidRDefault="00052038" w:rsidP="00F84DDB">
            <w:pPr>
              <w:pStyle w:val="Tabletext0"/>
              <w:keepNext/>
              <w:jc w:val="center"/>
              <w:rPr>
                <w:b/>
              </w:rPr>
            </w:pPr>
            <w:r w:rsidRPr="00FE6CB5">
              <w:rPr>
                <w:b/>
              </w:rPr>
              <w:t>Incremental</w:t>
            </w:r>
          </w:p>
        </w:tc>
        <w:tc>
          <w:tcPr>
            <w:tcW w:w="619" w:type="pct"/>
            <w:vMerge/>
            <w:shd w:val="clear" w:color="auto" w:fill="FFFFFF" w:themeFill="background1"/>
            <w:vAlign w:val="center"/>
          </w:tcPr>
          <w:p w14:paraId="1B230698" w14:textId="77777777" w:rsidR="00052038" w:rsidRPr="00FE6CB5" w:rsidRDefault="00052038" w:rsidP="00F84DDB">
            <w:pPr>
              <w:pStyle w:val="Tabletext0"/>
              <w:keepNext/>
              <w:jc w:val="center"/>
            </w:pPr>
          </w:p>
        </w:tc>
      </w:tr>
      <w:tr w:rsidR="00052038" w:rsidRPr="00FE6CB5" w14:paraId="116015D7" w14:textId="77777777" w:rsidTr="00F84DDB">
        <w:trPr>
          <w:cantSplit/>
        </w:trPr>
        <w:tc>
          <w:tcPr>
            <w:tcW w:w="717" w:type="pct"/>
            <w:shd w:val="clear" w:color="auto" w:fill="FFFFFF" w:themeFill="background1"/>
            <w:vAlign w:val="center"/>
          </w:tcPr>
          <w:p w14:paraId="6383F340" w14:textId="77777777" w:rsidR="00052038" w:rsidRPr="00FE6CB5" w:rsidRDefault="00052038" w:rsidP="00F84DDB">
            <w:pPr>
              <w:pStyle w:val="Tabletext0"/>
              <w:keepNext/>
              <w:jc w:val="center"/>
            </w:pPr>
          </w:p>
        </w:tc>
        <w:tc>
          <w:tcPr>
            <w:tcW w:w="1781" w:type="pct"/>
            <w:gridSpan w:val="3"/>
            <w:shd w:val="clear" w:color="auto" w:fill="FFFFFF" w:themeFill="background1"/>
            <w:vAlign w:val="center"/>
          </w:tcPr>
          <w:p w14:paraId="5817CD71" w14:textId="77777777" w:rsidR="00052038" w:rsidRPr="00FE6CB5" w:rsidRDefault="00052038" w:rsidP="00F84DDB">
            <w:pPr>
              <w:pStyle w:val="Tabletext0"/>
              <w:keepNext/>
              <w:jc w:val="center"/>
              <w:rPr>
                <w:i/>
              </w:rPr>
            </w:pPr>
            <w:r w:rsidRPr="00FE6CB5">
              <w:rPr>
                <w:i/>
              </w:rPr>
              <w:t>Test costs, olaparib costs and adverse events costs</w:t>
            </w:r>
          </w:p>
        </w:tc>
        <w:tc>
          <w:tcPr>
            <w:tcW w:w="1882" w:type="pct"/>
            <w:gridSpan w:val="3"/>
            <w:shd w:val="clear" w:color="auto" w:fill="FFFFFF" w:themeFill="background1"/>
            <w:vAlign w:val="center"/>
          </w:tcPr>
          <w:p w14:paraId="2431572C" w14:textId="77777777" w:rsidR="00052038" w:rsidRPr="00FE6CB5" w:rsidRDefault="00052038" w:rsidP="00F84DDB">
            <w:pPr>
              <w:pStyle w:val="Tabletext0"/>
              <w:keepNext/>
              <w:jc w:val="center"/>
              <w:rPr>
                <w:i/>
              </w:rPr>
            </w:pPr>
            <w:r w:rsidRPr="00FE6CB5">
              <w:rPr>
                <w:i/>
              </w:rPr>
              <w:t>Invasive disease-free years</w:t>
            </w:r>
          </w:p>
        </w:tc>
        <w:tc>
          <w:tcPr>
            <w:tcW w:w="619" w:type="pct"/>
            <w:shd w:val="clear" w:color="auto" w:fill="FFFFFF" w:themeFill="background1"/>
            <w:vAlign w:val="center"/>
          </w:tcPr>
          <w:p w14:paraId="13E9F4C6" w14:textId="77777777" w:rsidR="00052038" w:rsidRPr="00FE6CB5" w:rsidRDefault="00052038" w:rsidP="00F84DDB">
            <w:pPr>
              <w:pStyle w:val="Tabletext0"/>
              <w:keepNext/>
              <w:jc w:val="center"/>
            </w:pPr>
          </w:p>
        </w:tc>
      </w:tr>
      <w:tr w:rsidR="00052038" w:rsidRPr="00FE6CB5" w14:paraId="7CB43B68" w14:textId="77777777" w:rsidTr="00F84DDB">
        <w:trPr>
          <w:cantSplit/>
        </w:trPr>
        <w:tc>
          <w:tcPr>
            <w:tcW w:w="717" w:type="pct"/>
            <w:shd w:val="clear" w:color="auto" w:fill="FFFFFF" w:themeFill="background1"/>
            <w:vAlign w:val="center"/>
          </w:tcPr>
          <w:p w14:paraId="2E329EA4" w14:textId="77777777" w:rsidR="00052038" w:rsidRPr="00FE6CB5" w:rsidRDefault="00052038" w:rsidP="00F84DDB">
            <w:pPr>
              <w:pStyle w:val="Tabletext0"/>
              <w:keepNext/>
              <w:jc w:val="center"/>
              <w:rPr>
                <w:b/>
              </w:rPr>
            </w:pPr>
            <w:r w:rsidRPr="00FE6CB5">
              <w:rPr>
                <w:b/>
              </w:rPr>
              <w:t>Step 1: Trial based analysis</w:t>
            </w:r>
          </w:p>
        </w:tc>
        <w:tc>
          <w:tcPr>
            <w:tcW w:w="515" w:type="pct"/>
            <w:shd w:val="clear" w:color="auto" w:fill="FFFFFF" w:themeFill="background1"/>
            <w:vAlign w:val="center"/>
          </w:tcPr>
          <w:p w14:paraId="66FCC2A2" w14:textId="77777777" w:rsidR="00052038" w:rsidRPr="00FE6CB5" w:rsidRDefault="00052038" w:rsidP="00F84DDB">
            <w:pPr>
              <w:pStyle w:val="Tabletext0"/>
              <w:keepNext/>
              <w:jc w:val="center"/>
              <w:rPr>
                <w:rFonts w:ascii="Times" w:hAnsi="Times"/>
              </w:rPr>
            </w:pPr>
            <w:r w:rsidRPr="00FE6CB5">
              <w:t>$</w:t>
            </w:r>
            <w:r w:rsidRPr="00052038">
              <w:rPr>
                <w:color w:val="000000"/>
                <w:spacing w:val="195"/>
                <w:shd w:val="solid" w:color="000000" w:fill="000000"/>
                <w:fitText w:val="290" w:id="-1233492992"/>
                <w14:textFill>
                  <w14:solidFill>
                    <w14:srgbClr w14:val="000000">
                      <w14:alpha w14:val="100000"/>
                    </w14:srgbClr>
                  </w14:solidFill>
                </w14:textFill>
              </w:rPr>
              <w:t>|</w:t>
            </w:r>
            <w:r w:rsidRPr="00052038">
              <w:rPr>
                <w:color w:val="000000"/>
                <w:shd w:val="solid" w:color="000000" w:fill="000000"/>
                <w:fitText w:val="290" w:id="-1233492992"/>
                <w14:textFill>
                  <w14:solidFill>
                    <w14:srgbClr w14:val="000000">
                      <w14:alpha w14:val="100000"/>
                    </w14:srgbClr>
                  </w14:solidFill>
                </w14:textFill>
              </w:rPr>
              <w:t>|</w:t>
            </w:r>
          </w:p>
        </w:tc>
        <w:tc>
          <w:tcPr>
            <w:tcW w:w="665" w:type="pct"/>
            <w:shd w:val="clear" w:color="auto" w:fill="FFFFFF" w:themeFill="background1"/>
            <w:vAlign w:val="center"/>
          </w:tcPr>
          <w:p w14:paraId="09C39E84" w14:textId="77777777" w:rsidR="00052038" w:rsidRPr="00FE6CB5" w:rsidRDefault="00052038" w:rsidP="00F84DDB">
            <w:pPr>
              <w:pStyle w:val="Tabletext0"/>
              <w:keepNext/>
              <w:jc w:val="center"/>
              <w:rPr>
                <w:rFonts w:ascii="Times" w:hAnsi="Times"/>
              </w:rPr>
            </w:pPr>
            <w:r w:rsidRPr="00FE6CB5">
              <w:t>$1,693</w:t>
            </w:r>
          </w:p>
        </w:tc>
        <w:tc>
          <w:tcPr>
            <w:tcW w:w="601" w:type="pct"/>
            <w:shd w:val="clear" w:color="auto" w:fill="FFFFFF" w:themeFill="background1"/>
            <w:vAlign w:val="center"/>
          </w:tcPr>
          <w:p w14:paraId="30A4E361" w14:textId="77777777" w:rsidR="00052038" w:rsidRPr="00FE6CB5" w:rsidRDefault="00052038" w:rsidP="00F84DDB">
            <w:pPr>
              <w:pStyle w:val="Tabletext0"/>
              <w:keepNext/>
              <w:jc w:val="center"/>
              <w:rPr>
                <w:rFonts w:ascii="Times" w:hAnsi="Times"/>
              </w:rPr>
            </w:pPr>
            <w:r w:rsidRPr="00FE6CB5">
              <w:t>$</w:t>
            </w:r>
            <w:r w:rsidRPr="00052038">
              <w:rPr>
                <w:color w:val="000000"/>
                <w:spacing w:val="30"/>
                <w:shd w:val="solid" w:color="000000" w:fill="000000"/>
                <w:fitText w:val="210" w:id="-1233492991"/>
                <w14:textFill>
                  <w14:solidFill>
                    <w14:srgbClr w14:val="000000">
                      <w14:alpha w14:val="100000"/>
                    </w14:srgbClr>
                  </w14:solidFill>
                </w14:textFill>
              </w:rPr>
              <w:t>||</w:t>
            </w:r>
            <w:r w:rsidRPr="00052038">
              <w:rPr>
                <w:color w:val="000000"/>
                <w:spacing w:val="15"/>
                <w:shd w:val="solid" w:color="000000" w:fill="000000"/>
                <w:fitText w:val="210" w:id="-1233492991"/>
                <w14:textFill>
                  <w14:solidFill>
                    <w14:srgbClr w14:val="000000">
                      <w14:alpha w14:val="100000"/>
                    </w14:srgbClr>
                  </w14:solidFill>
                </w14:textFill>
              </w:rPr>
              <w:t>|</w:t>
            </w:r>
          </w:p>
        </w:tc>
        <w:tc>
          <w:tcPr>
            <w:tcW w:w="556" w:type="pct"/>
            <w:shd w:val="clear" w:color="auto" w:fill="FFFFFF" w:themeFill="background1"/>
            <w:vAlign w:val="center"/>
          </w:tcPr>
          <w:p w14:paraId="40B3C745" w14:textId="77777777" w:rsidR="00052038" w:rsidRPr="00FE6CB5" w:rsidRDefault="00052038" w:rsidP="00F84DDB">
            <w:pPr>
              <w:pStyle w:val="Tabletext0"/>
              <w:keepNext/>
              <w:jc w:val="center"/>
            </w:pPr>
            <w:r w:rsidRPr="00FE6CB5">
              <w:t>5.71</w:t>
            </w:r>
          </w:p>
        </w:tc>
        <w:tc>
          <w:tcPr>
            <w:tcW w:w="617" w:type="pct"/>
            <w:shd w:val="clear" w:color="auto" w:fill="FFFFFF" w:themeFill="background1"/>
            <w:vAlign w:val="center"/>
          </w:tcPr>
          <w:p w14:paraId="4BF08366" w14:textId="77777777" w:rsidR="00052038" w:rsidRPr="00FE6CB5" w:rsidRDefault="00052038" w:rsidP="00F84DDB">
            <w:pPr>
              <w:pStyle w:val="Tabletext0"/>
              <w:keepNext/>
              <w:jc w:val="center"/>
            </w:pPr>
            <w:r w:rsidRPr="00FE6CB5">
              <w:t>5.24</w:t>
            </w:r>
          </w:p>
        </w:tc>
        <w:tc>
          <w:tcPr>
            <w:tcW w:w="709" w:type="pct"/>
            <w:shd w:val="clear" w:color="auto" w:fill="FFFFFF" w:themeFill="background1"/>
            <w:vAlign w:val="center"/>
          </w:tcPr>
          <w:p w14:paraId="64EDB805" w14:textId="77777777" w:rsidR="00052038" w:rsidRPr="00FE6CB5" w:rsidRDefault="00052038" w:rsidP="00F84DDB">
            <w:pPr>
              <w:pStyle w:val="Tabletext0"/>
              <w:keepNext/>
              <w:jc w:val="center"/>
              <w:rPr>
                <w:rFonts w:ascii="Times" w:hAnsi="Times"/>
              </w:rPr>
            </w:pPr>
            <w:r w:rsidRPr="00FE6CB5">
              <w:t>0.47</w:t>
            </w:r>
          </w:p>
        </w:tc>
        <w:tc>
          <w:tcPr>
            <w:tcW w:w="619" w:type="pct"/>
            <w:shd w:val="clear" w:color="auto" w:fill="FFFFFF" w:themeFill="background1"/>
            <w:vAlign w:val="center"/>
          </w:tcPr>
          <w:p w14:paraId="0EB97B1A" w14:textId="77777777" w:rsidR="00052038" w:rsidRPr="00FE6CB5" w:rsidRDefault="00052038" w:rsidP="00F84DDB">
            <w:pPr>
              <w:pStyle w:val="Tabletext0"/>
              <w:keepNext/>
              <w:jc w:val="center"/>
              <w:rPr>
                <w:rFonts w:ascii="Times" w:hAnsi="Times"/>
              </w:rPr>
            </w:pPr>
            <w:r w:rsidRPr="00FE6CB5">
              <w:t>$</w:t>
            </w:r>
            <w:r w:rsidRPr="00872AE4">
              <w:rPr>
                <w:color w:val="000000"/>
                <w:spacing w:val="69"/>
                <w:shd w:val="solid" w:color="000000" w:fill="000000"/>
                <w:fitText w:val="380" w:id="-1233492990"/>
                <w14:textFill>
                  <w14:solidFill>
                    <w14:srgbClr w14:val="000000">
                      <w14:alpha w14:val="100000"/>
                    </w14:srgbClr>
                  </w14:solidFill>
                </w14:textFill>
              </w:rPr>
              <w:t>|||</w:t>
            </w:r>
            <w:r w:rsidRPr="00872AE4">
              <w:rPr>
                <w:color w:val="000000"/>
                <w:spacing w:val="3"/>
                <w:shd w:val="solid" w:color="000000" w:fill="000000"/>
                <w:fitText w:val="380" w:id="-1233492990"/>
                <w14:textFill>
                  <w14:solidFill>
                    <w14:srgbClr w14:val="000000">
                      <w14:alpha w14:val="100000"/>
                    </w14:srgbClr>
                  </w14:solidFill>
                </w14:textFill>
              </w:rPr>
              <w:t>|</w:t>
            </w:r>
            <w:r w:rsidRPr="00265C26">
              <w:rPr>
                <w:vertAlign w:val="superscript"/>
              </w:rPr>
              <w:t>1</w:t>
            </w:r>
            <w:r w:rsidRPr="00265C26">
              <w:t xml:space="preserve"> </w:t>
            </w:r>
            <w:r w:rsidRPr="00FE6CB5">
              <w:t>per disease-free year gained</w:t>
            </w:r>
          </w:p>
        </w:tc>
      </w:tr>
      <w:tr w:rsidR="00052038" w:rsidRPr="00FE6CB5" w14:paraId="4A185C83" w14:textId="77777777" w:rsidTr="00F84DDB">
        <w:trPr>
          <w:cantSplit/>
        </w:trPr>
        <w:tc>
          <w:tcPr>
            <w:tcW w:w="717" w:type="pct"/>
            <w:shd w:val="clear" w:color="auto" w:fill="FFFFFF" w:themeFill="background1"/>
            <w:vAlign w:val="center"/>
          </w:tcPr>
          <w:p w14:paraId="2957F001" w14:textId="77777777" w:rsidR="00052038" w:rsidRPr="00FE6CB5" w:rsidRDefault="00052038" w:rsidP="00F84DDB">
            <w:pPr>
              <w:pStyle w:val="Tabletext0"/>
              <w:keepNext/>
              <w:jc w:val="center"/>
              <w:rPr>
                <w:b/>
              </w:rPr>
            </w:pPr>
          </w:p>
        </w:tc>
        <w:tc>
          <w:tcPr>
            <w:tcW w:w="515" w:type="pct"/>
            <w:shd w:val="clear" w:color="auto" w:fill="FFFFFF" w:themeFill="background1"/>
            <w:vAlign w:val="center"/>
          </w:tcPr>
          <w:p w14:paraId="2D9F2D82" w14:textId="77777777" w:rsidR="00052038" w:rsidRPr="00FE6CB5" w:rsidRDefault="00052038" w:rsidP="00F84DDB">
            <w:pPr>
              <w:pStyle w:val="Tabletext0"/>
              <w:keepNext/>
              <w:jc w:val="center"/>
            </w:pPr>
          </w:p>
        </w:tc>
        <w:tc>
          <w:tcPr>
            <w:tcW w:w="665" w:type="pct"/>
            <w:shd w:val="clear" w:color="auto" w:fill="FFFFFF" w:themeFill="background1"/>
            <w:vAlign w:val="center"/>
          </w:tcPr>
          <w:p w14:paraId="4EA19138" w14:textId="77777777" w:rsidR="00052038" w:rsidRPr="00FE6CB5" w:rsidRDefault="00052038" w:rsidP="00F84DDB">
            <w:pPr>
              <w:pStyle w:val="Tabletext0"/>
              <w:keepNext/>
              <w:jc w:val="center"/>
            </w:pPr>
          </w:p>
        </w:tc>
        <w:tc>
          <w:tcPr>
            <w:tcW w:w="601" w:type="pct"/>
            <w:shd w:val="clear" w:color="auto" w:fill="FFFFFF" w:themeFill="background1"/>
            <w:vAlign w:val="center"/>
          </w:tcPr>
          <w:p w14:paraId="274CE5A4" w14:textId="77777777" w:rsidR="00052038" w:rsidRPr="00FE6CB5" w:rsidRDefault="00052038" w:rsidP="00F84DDB">
            <w:pPr>
              <w:pStyle w:val="Tabletext0"/>
              <w:keepNext/>
              <w:jc w:val="center"/>
            </w:pPr>
          </w:p>
        </w:tc>
        <w:tc>
          <w:tcPr>
            <w:tcW w:w="1882" w:type="pct"/>
            <w:gridSpan w:val="3"/>
            <w:shd w:val="clear" w:color="auto" w:fill="FFFFFF" w:themeFill="background1"/>
            <w:vAlign w:val="center"/>
          </w:tcPr>
          <w:p w14:paraId="4C128551" w14:textId="77777777" w:rsidR="00052038" w:rsidRPr="00FE6CB5" w:rsidRDefault="00052038" w:rsidP="00F84DDB">
            <w:pPr>
              <w:pStyle w:val="Tabletext0"/>
              <w:keepNext/>
              <w:jc w:val="center"/>
              <w:rPr>
                <w:i/>
              </w:rPr>
            </w:pPr>
            <w:r w:rsidRPr="00FE6CB5">
              <w:rPr>
                <w:i/>
              </w:rPr>
              <w:t>Increment in recurrence at 79 months (per modelled data)</w:t>
            </w:r>
          </w:p>
        </w:tc>
        <w:tc>
          <w:tcPr>
            <w:tcW w:w="619" w:type="pct"/>
            <w:shd w:val="clear" w:color="auto" w:fill="FFFFFF" w:themeFill="background1"/>
            <w:vAlign w:val="center"/>
          </w:tcPr>
          <w:p w14:paraId="7D914BDD" w14:textId="77777777" w:rsidR="00052038" w:rsidRPr="00FE6CB5" w:rsidRDefault="00052038" w:rsidP="00F84DDB">
            <w:pPr>
              <w:pStyle w:val="Tabletext0"/>
              <w:keepNext/>
              <w:jc w:val="center"/>
            </w:pPr>
          </w:p>
        </w:tc>
      </w:tr>
      <w:tr w:rsidR="00052038" w:rsidRPr="00FE6CB5" w14:paraId="5CA723F8" w14:textId="77777777" w:rsidTr="00F84DDB">
        <w:trPr>
          <w:cantSplit/>
        </w:trPr>
        <w:tc>
          <w:tcPr>
            <w:tcW w:w="717" w:type="pct"/>
            <w:shd w:val="clear" w:color="auto" w:fill="FFFFFF" w:themeFill="background1"/>
            <w:vAlign w:val="center"/>
          </w:tcPr>
          <w:p w14:paraId="23A1F7EA" w14:textId="77777777" w:rsidR="00052038" w:rsidRPr="00FE6CB5" w:rsidRDefault="00052038" w:rsidP="00F84DDB">
            <w:pPr>
              <w:pStyle w:val="Tabletext0"/>
              <w:keepNext/>
              <w:jc w:val="center"/>
              <w:rPr>
                <w:b/>
                <w:i/>
              </w:rPr>
            </w:pPr>
            <w:r w:rsidRPr="00FE6CB5">
              <w:rPr>
                <w:i/>
              </w:rPr>
              <w:t xml:space="preserve">Step 1a: Trial based analysis </w:t>
            </w:r>
          </w:p>
        </w:tc>
        <w:tc>
          <w:tcPr>
            <w:tcW w:w="1781" w:type="pct"/>
            <w:gridSpan w:val="3"/>
            <w:shd w:val="clear" w:color="auto" w:fill="FFFFFF" w:themeFill="background1"/>
            <w:vAlign w:val="center"/>
          </w:tcPr>
          <w:p w14:paraId="17B09C2F" w14:textId="77777777" w:rsidR="00052038" w:rsidRPr="00FE6CB5" w:rsidRDefault="00052038" w:rsidP="00F84DDB">
            <w:pPr>
              <w:pStyle w:val="Tabletext0"/>
              <w:keepNext/>
              <w:jc w:val="center"/>
              <w:rPr>
                <w:i/>
              </w:rPr>
            </w:pPr>
            <w:r w:rsidRPr="00FE6CB5">
              <w:rPr>
                <w:i/>
              </w:rPr>
              <w:t>As above</w:t>
            </w:r>
          </w:p>
        </w:tc>
        <w:tc>
          <w:tcPr>
            <w:tcW w:w="556" w:type="pct"/>
            <w:shd w:val="clear" w:color="auto" w:fill="FFFFFF" w:themeFill="background1"/>
            <w:vAlign w:val="center"/>
          </w:tcPr>
          <w:p w14:paraId="6D64782F" w14:textId="77777777" w:rsidR="00052038" w:rsidRPr="00FE6CB5" w:rsidRDefault="00052038" w:rsidP="00F84DDB">
            <w:pPr>
              <w:pStyle w:val="Tabletext0"/>
              <w:keepNext/>
              <w:jc w:val="center"/>
              <w:rPr>
                <w:i/>
              </w:rPr>
            </w:pPr>
            <w:r w:rsidRPr="00FE6CB5">
              <w:rPr>
                <w:i/>
              </w:rPr>
              <w:t>78.0%</w:t>
            </w:r>
          </w:p>
        </w:tc>
        <w:tc>
          <w:tcPr>
            <w:tcW w:w="617" w:type="pct"/>
            <w:shd w:val="clear" w:color="auto" w:fill="FFFFFF" w:themeFill="background1"/>
            <w:vAlign w:val="center"/>
          </w:tcPr>
          <w:p w14:paraId="42639D5B" w14:textId="77777777" w:rsidR="00052038" w:rsidRPr="00FE6CB5" w:rsidRDefault="00052038" w:rsidP="00F84DDB">
            <w:pPr>
              <w:pStyle w:val="Tabletext0"/>
              <w:keepNext/>
              <w:jc w:val="center"/>
              <w:rPr>
                <w:i/>
              </w:rPr>
            </w:pPr>
            <w:r w:rsidRPr="00FE6CB5">
              <w:rPr>
                <w:i/>
              </w:rPr>
              <w:t>69.7%</w:t>
            </w:r>
          </w:p>
        </w:tc>
        <w:tc>
          <w:tcPr>
            <w:tcW w:w="709" w:type="pct"/>
            <w:shd w:val="clear" w:color="auto" w:fill="FFFFFF" w:themeFill="background1"/>
            <w:vAlign w:val="center"/>
          </w:tcPr>
          <w:p w14:paraId="029896B0" w14:textId="77777777" w:rsidR="00052038" w:rsidRPr="00FE6CB5" w:rsidRDefault="00052038" w:rsidP="00F84DDB">
            <w:pPr>
              <w:pStyle w:val="Tabletext0"/>
              <w:keepNext/>
              <w:jc w:val="center"/>
              <w:rPr>
                <w:i/>
              </w:rPr>
            </w:pPr>
            <w:r w:rsidRPr="00FE6CB5">
              <w:rPr>
                <w:i/>
              </w:rPr>
              <w:t>8.3%</w:t>
            </w:r>
          </w:p>
        </w:tc>
        <w:tc>
          <w:tcPr>
            <w:tcW w:w="619" w:type="pct"/>
            <w:shd w:val="clear" w:color="auto" w:fill="FFFFFF" w:themeFill="background1"/>
            <w:vAlign w:val="center"/>
          </w:tcPr>
          <w:p w14:paraId="32D97D42" w14:textId="77777777" w:rsidR="00052038" w:rsidRPr="00FE6CB5" w:rsidRDefault="00052038" w:rsidP="00F84DDB">
            <w:pPr>
              <w:pStyle w:val="Tabletext0"/>
              <w:keepNext/>
              <w:jc w:val="center"/>
              <w:rPr>
                <w:i/>
              </w:rPr>
            </w:pPr>
            <w:r w:rsidRPr="00FE6CB5">
              <w:rPr>
                <w:i/>
              </w:rPr>
              <w:t>$</w:t>
            </w:r>
            <w:r w:rsidRPr="00052038">
              <w:rPr>
                <w:i/>
                <w:color w:val="000000"/>
                <w:spacing w:val="69"/>
                <w:shd w:val="solid" w:color="000000" w:fill="000000"/>
                <w:fitText w:val="380" w:id="-1233492989"/>
                <w14:textFill>
                  <w14:solidFill>
                    <w14:srgbClr w14:val="000000">
                      <w14:alpha w14:val="100000"/>
                    </w14:srgbClr>
                  </w14:solidFill>
                </w14:textFill>
              </w:rPr>
              <w:t>|||</w:t>
            </w:r>
            <w:r w:rsidRPr="00052038">
              <w:rPr>
                <w:i/>
                <w:color w:val="000000"/>
                <w:spacing w:val="3"/>
                <w:shd w:val="solid" w:color="000000" w:fill="000000"/>
                <w:fitText w:val="380" w:id="-1233492989"/>
                <w14:textFill>
                  <w14:solidFill>
                    <w14:srgbClr w14:val="000000">
                      <w14:alpha w14:val="100000"/>
                    </w14:srgbClr>
                  </w14:solidFill>
                </w14:textFill>
              </w:rPr>
              <w:t>|</w:t>
            </w:r>
            <w:r w:rsidRPr="008634CA">
              <w:rPr>
                <w:i/>
                <w:vertAlign w:val="superscript"/>
              </w:rPr>
              <w:t>2</w:t>
            </w:r>
            <w:r w:rsidRPr="00FE6CB5">
              <w:rPr>
                <w:i/>
              </w:rPr>
              <w:t xml:space="preserve"> per avoided recurrence</w:t>
            </w:r>
          </w:p>
        </w:tc>
      </w:tr>
      <w:tr w:rsidR="00052038" w:rsidRPr="00FE6CB5" w14:paraId="0B5EB855" w14:textId="77777777" w:rsidTr="00F84DDB">
        <w:trPr>
          <w:cantSplit/>
        </w:trPr>
        <w:tc>
          <w:tcPr>
            <w:tcW w:w="717" w:type="pct"/>
            <w:shd w:val="clear" w:color="auto" w:fill="FFFFFF" w:themeFill="background1"/>
            <w:vAlign w:val="center"/>
          </w:tcPr>
          <w:p w14:paraId="131BCD85" w14:textId="77777777" w:rsidR="00052038" w:rsidRPr="00FE6CB5" w:rsidRDefault="00052038" w:rsidP="00F84DDB">
            <w:pPr>
              <w:pStyle w:val="Tabletext0"/>
              <w:keepNext/>
              <w:jc w:val="center"/>
            </w:pPr>
          </w:p>
        </w:tc>
        <w:tc>
          <w:tcPr>
            <w:tcW w:w="1781" w:type="pct"/>
            <w:gridSpan w:val="3"/>
            <w:shd w:val="clear" w:color="auto" w:fill="FFFFFF" w:themeFill="background1"/>
            <w:vAlign w:val="center"/>
          </w:tcPr>
          <w:p w14:paraId="2CA8146D" w14:textId="77777777" w:rsidR="00052038" w:rsidRPr="00FE6CB5" w:rsidRDefault="00052038" w:rsidP="00F84DDB">
            <w:pPr>
              <w:pStyle w:val="Tabletext0"/>
              <w:keepNext/>
              <w:jc w:val="center"/>
            </w:pPr>
            <w:r w:rsidRPr="00FE6CB5">
              <w:t>As above plus cost of disease monitoring, subsequent therapies, and palliative care</w:t>
            </w:r>
          </w:p>
        </w:tc>
        <w:tc>
          <w:tcPr>
            <w:tcW w:w="1882" w:type="pct"/>
            <w:gridSpan w:val="3"/>
            <w:shd w:val="clear" w:color="auto" w:fill="FFFFFF" w:themeFill="background1"/>
            <w:vAlign w:val="center"/>
          </w:tcPr>
          <w:p w14:paraId="47245A69" w14:textId="77777777" w:rsidR="00052038" w:rsidRPr="00FE6CB5" w:rsidRDefault="00052038" w:rsidP="00F84DDB">
            <w:pPr>
              <w:pStyle w:val="Tabletext0"/>
              <w:keepNext/>
              <w:jc w:val="center"/>
            </w:pPr>
            <w:r w:rsidRPr="00FE6CB5">
              <w:t>Discounted life years</w:t>
            </w:r>
          </w:p>
        </w:tc>
        <w:tc>
          <w:tcPr>
            <w:tcW w:w="619" w:type="pct"/>
            <w:shd w:val="clear" w:color="auto" w:fill="FFFFFF" w:themeFill="background1"/>
            <w:vAlign w:val="center"/>
          </w:tcPr>
          <w:p w14:paraId="58AD4C8E" w14:textId="77777777" w:rsidR="00052038" w:rsidRPr="00FE6CB5" w:rsidRDefault="00052038" w:rsidP="00F84DDB">
            <w:pPr>
              <w:pStyle w:val="Tabletext0"/>
              <w:keepNext/>
              <w:jc w:val="center"/>
            </w:pPr>
          </w:p>
        </w:tc>
      </w:tr>
      <w:tr w:rsidR="00052038" w:rsidRPr="00FE6CB5" w14:paraId="768711F0" w14:textId="77777777" w:rsidTr="00F84DDB">
        <w:trPr>
          <w:cantSplit/>
        </w:trPr>
        <w:tc>
          <w:tcPr>
            <w:tcW w:w="717" w:type="pct"/>
            <w:shd w:val="clear" w:color="auto" w:fill="FFFFFF" w:themeFill="background1"/>
            <w:vAlign w:val="center"/>
          </w:tcPr>
          <w:p w14:paraId="4BD25910" w14:textId="77777777" w:rsidR="00052038" w:rsidRPr="00FE6CB5" w:rsidRDefault="00052038" w:rsidP="00F84DDB">
            <w:pPr>
              <w:pStyle w:val="Tabletext0"/>
              <w:keepNext/>
              <w:jc w:val="center"/>
              <w:rPr>
                <w:b/>
              </w:rPr>
            </w:pPr>
            <w:r w:rsidRPr="00FE6CB5">
              <w:rPr>
                <w:b/>
              </w:rPr>
              <w:t>Step 2: Modelled analysis (LYs)</w:t>
            </w:r>
            <w:r w:rsidRPr="00FE6CB5">
              <w:rPr>
                <w:b/>
                <w:vertAlign w:val="superscript"/>
              </w:rPr>
              <w:t>a</w:t>
            </w:r>
          </w:p>
        </w:tc>
        <w:tc>
          <w:tcPr>
            <w:tcW w:w="515" w:type="pct"/>
            <w:shd w:val="clear" w:color="auto" w:fill="FFFFFF" w:themeFill="background1"/>
            <w:vAlign w:val="center"/>
          </w:tcPr>
          <w:p w14:paraId="5FAF9FE4" w14:textId="77777777" w:rsidR="00052038" w:rsidRPr="00FE6CB5" w:rsidRDefault="00052038" w:rsidP="00F84DDB">
            <w:pPr>
              <w:pStyle w:val="Tabletext0"/>
              <w:keepNext/>
              <w:jc w:val="center"/>
              <w:rPr>
                <w:rFonts w:ascii="Times" w:hAnsi="Times"/>
              </w:rPr>
            </w:pPr>
            <w:r w:rsidRPr="00FE6CB5">
              <w:t>$</w:t>
            </w:r>
            <w:r w:rsidRPr="00052038">
              <w:rPr>
                <w:color w:val="000000"/>
                <w:spacing w:val="195"/>
                <w:shd w:val="solid" w:color="000000" w:fill="000000"/>
                <w:fitText w:val="290" w:id="-1233492988"/>
                <w14:textFill>
                  <w14:solidFill>
                    <w14:srgbClr w14:val="000000">
                      <w14:alpha w14:val="100000"/>
                    </w14:srgbClr>
                  </w14:solidFill>
                </w14:textFill>
              </w:rPr>
              <w:t>|</w:t>
            </w:r>
            <w:r w:rsidRPr="00052038">
              <w:rPr>
                <w:color w:val="000000"/>
                <w:shd w:val="solid" w:color="000000" w:fill="000000"/>
                <w:fitText w:val="290" w:id="-1233492988"/>
                <w14:textFill>
                  <w14:solidFill>
                    <w14:srgbClr w14:val="000000">
                      <w14:alpha w14:val="100000"/>
                    </w14:srgbClr>
                  </w14:solidFill>
                </w14:textFill>
              </w:rPr>
              <w:t>|</w:t>
            </w:r>
          </w:p>
        </w:tc>
        <w:tc>
          <w:tcPr>
            <w:tcW w:w="665" w:type="pct"/>
            <w:shd w:val="clear" w:color="auto" w:fill="FFFFFF" w:themeFill="background1"/>
            <w:vAlign w:val="center"/>
          </w:tcPr>
          <w:p w14:paraId="6F95C8F0" w14:textId="77777777" w:rsidR="00052038" w:rsidRPr="00FE6CB5" w:rsidRDefault="00052038" w:rsidP="00F84DDB">
            <w:pPr>
              <w:pStyle w:val="Tabletext0"/>
              <w:keepNext/>
              <w:jc w:val="center"/>
              <w:rPr>
                <w:rFonts w:ascii="Times" w:hAnsi="Times"/>
              </w:rPr>
            </w:pPr>
            <w:r w:rsidRPr="00FE6CB5">
              <w:t>$37,929</w:t>
            </w:r>
          </w:p>
        </w:tc>
        <w:tc>
          <w:tcPr>
            <w:tcW w:w="601" w:type="pct"/>
            <w:shd w:val="clear" w:color="auto" w:fill="FFFFFF" w:themeFill="background1"/>
            <w:vAlign w:val="center"/>
          </w:tcPr>
          <w:p w14:paraId="604A9A98" w14:textId="77777777" w:rsidR="00052038" w:rsidRPr="00FE6CB5" w:rsidRDefault="00052038" w:rsidP="00F84DDB">
            <w:pPr>
              <w:pStyle w:val="Tabletext0"/>
              <w:keepNext/>
              <w:jc w:val="center"/>
              <w:rPr>
                <w:rFonts w:ascii="Times" w:hAnsi="Times"/>
              </w:rPr>
            </w:pPr>
            <w:r w:rsidRPr="00FE6CB5">
              <w:t>$</w:t>
            </w:r>
            <w:r w:rsidRPr="00052038">
              <w:rPr>
                <w:color w:val="000000"/>
                <w:spacing w:val="30"/>
                <w:shd w:val="solid" w:color="000000" w:fill="000000"/>
                <w:fitText w:val="210" w:id="-1233492987"/>
                <w14:textFill>
                  <w14:solidFill>
                    <w14:srgbClr w14:val="000000">
                      <w14:alpha w14:val="100000"/>
                    </w14:srgbClr>
                  </w14:solidFill>
                </w14:textFill>
              </w:rPr>
              <w:t>||</w:t>
            </w:r>
            <w:r w:rsidRPr="00052038">
              <w:rPr>
                <w:color w:val="000000"/>
                <w:spacing w:val="15"/>
                <w:shd w:val="solid" w:color="000000" w:fill="000000"/>
                <w:fitText w:val="210" w:id="-1233492987"/>
                <w14:textFill>
                  <w14:solidFill>
                    <w14:srgbClr w14:val="000000">
                      <w14:alpha w14:val="100000"/>
                    </w14:srgbClr>
                  </w14:solidFill>
                </w14:textFill>
              </w:rPr>
              <w:t>|</w:t>
            </w:r>
          </w:p>
        </w:tc>
        <w:tc>
          <w:tcPr>
            <w:tcW w:w="556" w:type="pct"/>
            <w:shd w:val="clear" w:color="auto" w:fill="FFFFFF" w:themeFill="background1"/>
            <w:vAlign w:val="center"/>
          </w:tcPr>
          <w:p w14:paraId="2919995A" w14:textId="77777777" w:rsidR="00052038" w:rsidRPr="00FE6CB5" w:rsidRDefault="00052038" w:rsidP="00F84DDB">
            <w:pPr>
              <w:pStyle w:val="Tabletext0"/>
              <w:keepNext/>
              <w:jc w:val="center"/>
              <w:rPr>
                <w:rFonts w:ascii="Times" w:hAnsi="Times"/>
              </w:rPr>
            </w:pPr>
            <w:r w:rsidRPr="00FE6CB5">
              <w:t>14.32</w:t>
            </w:r>
          </w:p>
        </w:tc>
        <w:tc>
          <w:tcPr>
            <w:tcW w:w="617" w:type="pct"/>
            <w:shd w:val="clear" w:color="auto" w:fill="FFFFFF" w:themeFill="background1"/>
            <w:vAlign w:val="center"/>
          </w:tcPr>
          <w:p w14:paraId="561CED42" w14:textId="77777777" w:rsidR="00052038" w:rsidRPr="00FE6CB5" w:rsidRDefault="00052038" w:rsidP="00F84DDB">
            <w:pPr>
              <w:pStyle w:val="Tabletext0"/>
              <w:keepNext/>
              <w:jc w:val="center"/>
              <w:rPr>
                <w:rFonts w:ascii="Times" w:hAnsi="Times"/>
              </w:rPr>
            </w:pPr>
            <w:r w:rsidRPr="00FE6CB5">
              <w:t>13.15</w:t>
            </w:r>
          </w:p>
        </w:tc>
        <w:tc>
          <w:tcPr>
            <w:tcW w:w="709" w:type="pct"/>
            <w:shd w:val="clear" w:color="auto" w:fill="FFFFFF" w:themeFill="background1"/>
            <w:vAlign w:val="center"/>
          </w:tcPr>
          <w:p w14:paraId="2EC6D578" w14:textId="77777777" w:rsidR="00052038" w:rsidRPr="00FE6CB5" w:rsidRDefault="00052038" w:rsidP="00F84DDB">
            <w:pPr>
              <w:pStyle w:val="Tabletext0"/>
              <w:keepNext/>
              <w:jc w:val="center"/>
              <w:rPr>
                <w:rFonts w:ascii="Times" w:hAnsi="Times"/>
              </w:rPr>
            </w:pPr>
            <w:r w:rsidRPr="00FE6CB5">
              <w:t>1.169</w:t>
            </w:r>
          </w:p>
        </w:tc>
        <w:tc>
          <w:tcPr>
            <w:tcW w:w="619" w:type="pct"/>
            <w:shd w:val="clear" w:color="auto" w:fill="FFFFFF" w:themeFill="background1"/>
            <w:vAlign w:val="center"/>
          </w:tcPr>
          <w:p w14:paraId="1CF823EE" w14:textId="77777777" w:rsidR="00052038" w:rsidRPr="00FE6CB5" w:rsidRDefault="00052038" w:rsidP="00F84DDB">
            <w:pPr>
              <w:pStyle w:val="Tabletext0"/>
              <w:keepNext/>
              <w:jc w:val="center"/>
              <w:rPr>
                <w:rFonts w:ascii="Times" w:hAnsi="Times"/>
              </w:rPr>
            </w:pPr>
            <w:r w:rsidRPr="00FE6CB5">
              <w:t>$</w:t>
            </w:r>
            <w:r w:rsidRPr="00052038">
              <w:rPr>
                <w:color w:val="000000"/>
                <w:spacing w:val="79"/>
                <w:shd w:val="solid" w:color="000000" w:fill="000000"/>
                <w:fitText w:val="410" w:id="-1233492986"/>
                <w14:textFill>
                  <w14:solidFill>
                    <w14:srgbClr w14:val="000000">
                      <w14:alpha w14:val="100000"/>
                    </w14:srgbClr>
                  </w14:solidFill>
                </w14:textFill>
              </w:rPr>
              <w:t>|||</w:t>
            </w:r>
            <w:r w:rsidRPr="00052038">
              <w:rPr>
                <w:color w:val="000000"/>
                <w:spacing w:val="3"/>
                <w:shd w:val="solid" w:color="000000" w:fill="000000"/>
                <w:fitText w:val="410" w:id="-1233492986"/>
                <w14:textFill>
                  <w14:solidFill>
                    <w14:srgbClr w14:val="000000">
                      <w14:alpha w14:val="100000"/>
                    </w14:srgbClr>
                  </w14:solidFill>
                </w14:textFill>
              </w:rPr>
              <w:t>|</w:t>
            </w:r>
            <w:r w:rsidRPr="008634CA">
              <w:rPr>
                <w:vertAlign w:val="superscript"/>
              </w:rPr>
              <w:t>3</w:t>
            </w:r>
            <w:r w:rsidRPr="00FE6CB5">
              <w:t>/LYG</w:t>
            </w:r>
          </w:p>
        </w:tc>
      </w:tr>
      <w:tr w:rsidR="00052038" w:rsidRPr="00FE6CB5" w14:paraId="2D88C357" w14:textId="77777777" w:rsidTr="00F84DDB">
        <w:trPr>
          <w:cantSplit/>
        </w:trPr>
        <w:tc>
          <w:tcPr>
            <w:tcW w:w="717" w:type="pct"/>
            <w:shd w:val="clear" w:color="auto" w:fill="FFFFFF" w:themeFill="background1"/>
            <w:vAlign w:val="center"/>
          </w:tcPr>
          <w:p w14:paraId="36C81209" w14:textId="77777777" w:rsidR="00052038" w:rsidRPr="00FE6CB5" w:rsidRDefault="00052038" w:rsidP="00F84DDB">
            <w:pPr>
              <w:pStyle w:val="Tabletext0"/>
              <w:keepNext/>
              <w:jc w:val="center"/>
            </w:pPr>
          </w:p>
        </w:tc>
        <w:tc>
          <w:tcPr>
            <w:tcW w:w="1781" w:type="pct"/>
            <w:gridSpan w:val="3"/>
            <w:shd w:val="clear" w:color="auto" w:fill="FFFFFF" w:themeFill="background1"/>
            <w:vAlign w:val="center"/>
          </w:tcPr>
          <w:p w14:paraId="3468A1D6" w14:textId="77777777" w:rsidR="00052038" w:rsidRPr="00FE6CB5" w:rsidRDefault="00052038" w:rsidP="00F84DDB">
            <w:pPr>
              <w:pStyle w:val="Tabletext0"/>
              <w:keepNext/>
              <w:jc w:val="center"/>
            </w:pPr>
            <w:r w:rsidRPr="00FE6CB5">
              <w:t>As above</w:t>
            </w:r>
          </w:p>
        </w:tc>
        <w:tc>
          <w:tcPr>
            <w:tcW w:w="1882" w:type="pct"/>
            <w:gridSpan w:val="3"/>
            <w:shd w:val="clear" w:color="auto" w:fill="FFFFFF" w:themeFill="background1"/>
            <w:vAlign w:val="center"/>
          </w:tcPr>
          <w:p w14:paraId="2D155BEB" w14:textId="77777777" w:rsidR="00052038" w:rsidRPr="00FE6CB5" w:rsidRDefault="00052038" w:rsidP="00F84DDB">
            <w:pPr>
              <w:pStyle w:val="Tabletext0"/>
              <w:keepNext/>
              <w:jc w:val="center"/>
            </w:pPr>
            <w:r w:rsidRPr="00FE6CB5">
              <w:t>Transformation using utility values for IDFS, non-mBC and mBC health states</w:t>
            </w:r>
          </w:p>
        </w:tc>
        <w:tc>
          <w:tcPr>
            <w:tcW w:w="619" w:type="pct"/>
            <w:shd w:val="clear" w:color="auto" w:fill="FFFFFF" w:themeFill="background1"/>
            <w:vAlign w:val="center"/>
          </w:tcPr>
          <w:p w14:paraId="277423A9" w14:textId="77777777" w:rsidR="00052038" w:rsidRPr="00FE6CB5" w:rsidRDefault="00052038" w:rsidP="00F84DDB">
            <w:pPr>
              <w:pStyle w:val="Tabletext0"/>
              <w:keepNext/>
              <w:jc w:val="center"/>
            </w:pPr>
          </w:p>
        </w:tc>
      </w:tr>
      <w:tr w:rsidR="00052038" w:rsidRPr="00FE6CB5" w14:paraId="7E0CD066" w14:textId="77777777" w:rsidTr="00F84DDB">
        <w:trPr>
          <w:cantSplit/>
        </w:trPr>
        <w:tc>
          <w:tcPr>
            <w:tcW w:w="717" w:type="pct"/>
            <w:shd w:val="clear" w:color="auto" w:fill="FFFFFF" w:themeFill="background1"/>
            <w:vAlign w:val="center"/>
          </w:tcPr>
          <w:p w14:paraId="72BABC3D" w14:textId="77777777" w:rsidR="00052038" w:rsidRPr="00FE6CB5" w:rsidRDefault="00052038" w:rsidP="00F84DDB">
            <w:pPr>
              <w:pStyle w:val="Tabletext0"/>
              <w:keepNext/>
              <w:jc w:val="center"/>
              <w:rPr>
                <w:b/>
              </w:rPr>
            </w:pPr>
            <w:r w:rsidRPr="00FE6CB5">
              <w:rPr>
                <w:b/>
              </w:rPr>
              <w:t>Step 3: Modelled analysis (QALYs)</w:t>
            </w:r>
            <w:r w:rsidRPr="00FE6CB5">
              <w:rPr>
                <w:b/>
                <w:vertAlign w:val="superscript"/>
              </w:rPr>
              <w:t>a</w:t>
            </w:r>
          </w:p>
        </w:tc>
        <w:tc>
          <w:tcPr>
            <w:tcW w:w="515" w:type="pct"/>
            <w:shd w:val="clear" w:color="auto" w:fill="FFFFFF" w:themeFill="background1"/>
            <w:vAlign w:val="center"/>
          </w:tcPr>
          <w:p w14:paraId="00D475FC" w14:textId="77777777" w:rsidR="00052038" w:rsidRPr="00FE6CB5" w:rsidRDefault="00052038" w:rsidP="00F84DDB">
            <w:pPr>
              <w:pStyle w:val="Tabletext0"/>
              <w:keepNext/>
              <w:jc w:val="center"/>
              <w:rPr>
                <w:rFonts w:ascii="Times" w:hAnsi="Times"/>
              </w:rPr>
            </w:pPr>
            <w:r w:rsidRPr="00FE6CB5">
              <w:t>$</w:t>
            </w:r>
            <w:r w:rsidRPr="00052038">
              <w:rPr>
                <w:color w:val="000000"/>
                <w:spacing w:val="195"/>
                <w:shd w:val="solid" w:color="000000" w:fill="000000"/>
                <w:fitText w:val="290" w:id="-1233492985"/>
                <w14:textFill>
                  <w14:solidFill>
                    <w14:srgbClr w14:val="000000">
                      <w14:alpha w14:val="100000"/>
                    </w14:srgbClr>
                  </w14:solidFill>
                </w14:textFill>
              </w:rPr>
              <w:t>|</w:t>
            </w:r>
            <w:r w:rsidRPr="00052038">
              <w:rPr>
                <w:color w:val="000000"/>
                <w:shd w:val="solid" w:color="000000" w:fill="000000"/>
                <w:fitText w:val="290" w:id="-1233492985"/>
                <w14:textFill>
                  <w14:solidFill>
                    <w14:srgbClr w14:val="000000">
                      <w14:alpha w14:val="100000"/>
                    </w14:srgbClr>
                  </w14:solidFill>
                </w14:textFill>
              </w:rPr>
              <w:t>|</w:t>
            </w:r>
          </w:p>
        </w:tc>
        <w:tc>
          <w:tcPr>
            <w:tcW w:w="665" w:type="pct"/>
            <w:shd w:val="clear" w:color="auto" w:fill="FFFFFF" w:themeFill="background1"/>
            <w:vAlign w:val="center"/>
          </w:tcPr>
          <w:p w14:paraId="71BF07E8" w14:textId="77777777" w:rsidR="00052038" w:rsidRPr="00FE6CB5" w:rsidRDefault="00052038" w:rsidP="00F84DDB">
            <w:pPr>
              <w:pStyle w:val="Tabletext0"/>
              <w:keepNext/>
              <w:jc w:val="center"/>
              <w:rPr>
                <w:rFonts w:ascii="Times" w:hAnsi="Times"/>
              </w:rPr>
            </w:pPr>
            <w:r w:rsidRPr="00FE6CB5">
              <w:t>$37,929</w:t>
            </w:r>
          </w:p>
        </w:tc>
        <w:tc>
          <w:tcPr>
            <w:tcW w:w="601" w:type="pct"/>
            <w:shd w:val="clear" w:color="auto" w:fill="FFFFFF" w:themeFill="background1"/>
            <w:vAlign w:val="center"/>
          </w:tcPr>
          <w:p w14:paraId="489F346F" w14:textId="77777777" w:rsidR="00052038" w:rsidRPr="00FE6CB5" w:rsidRDefault="00052038" w:rsidP="00F84DDB">
            <w:pPr>
              <w:pStyle w:val="Tabletext0"/>
              <w:keepNext/>
              <w:jc w:val="center"/>
              <w:rPr>
                <w:rFonts w:ascii="Times" w:hAnsi="Times"/>
              </w:rPr>
            </w:pPr>
            <w:r w:rsidRPr="00FE6CB5">
              <w:t>$</w:t>
            </w:r>
            <w:r w:rsidRPr="00052038">
              <w:rPr>
                <w:color w:val="000000"/>
                <w:spacing w:val="30"/>
                <w:shd w:val="solid" w:color="000000" w:fill="000000"/>
                <w:fitText w:val="210" w:id="-1233492984"/>
                <w14:textFill>
                  <w14:solidFill>
                    <w14:srgbClr w14:val="000000">
                      <w14:alpha w14:val="100000"/>
                    </w14:srgbClr>
                  </w14:solidFill>
                </w14:textFill>
              </w:rPr>
              <w:t>||</w:t>
            </w:r>
            <w:r w:rsidRPr="00052038">
              <w:rPr>
                <w:color w:val="000000"/>
                <w:spacing w:val="15"/>
                <w:shd w:val="solid" w:color="000000" w:fill="000000"/>
                <w:fitText w:val="210" w:id="-1233492984"/>
                <w14:textFill>
                  <w14:solidFill>
                    <w14:srgbClr w14:val="000000">
                      <w14:alpha w14:val="100000"/>
                    </w14:srgbClr>
                  </w14:solidFill>
                </w14:textFill>
              </w:rPr>
              <w:t>|</w:t>
            </w:r>
          </w:p>
        </w:tc>
        <w:tc>
          <w:tcPr>
            <w:tcW w:w="556" w:type="pct"/>
            <w:shd w:val="clear" w:color="auto" w:fill="FFFFFF" w:themeFill="background1"/>
            <w:vAlign w:val="center"/>
          </w:tcPr>
          <w:p w14:paraId="1EAB73F2" w14:textId="77777777" w:rsidR="00052038" w:rsidRPr="00FE6CB5" w:rsidRDefault="00052038" w:rsidP="00F84DDB">
            <w:pPr>
              <w:pStyle w:val="Tabletext0"/>
              <w:keepNext/>
              <w:jc w:val="center"/>
            </w:pPr>
            <w:r w:rsidRPr="00FE6CB5">
              <w:t>12.360</w:t>
            </w:r>
          </w:p>
        </w:tc>
        <w:tc>
          <w:tcPr>
            <w:tcW w:w="617" w:type="pct"/>
            <w:shd w:val="clear" w:color="auto" w:fill="FFFFFF" w:themeFill="background1"/>
            <w:vAlign w:val="center"/>
          </w:tcPr>
          <w:p w14:paraId="328BDACA" w14:textId="77777777" w:rsidR="00052038" w:rsidRPr="00FE6CB5" w:rsidRDefault="00052038" w:rsidP="00F84DDB">
            <w:pPr>
              <w:pStyle w:val="Tabletext0"/>
              <w:keepNext/>
              <w:jc w:val="center"/>
            </w:pPr>
            <w:r w:rsidRPr="00FE6CB5">
              <w:t>11.321</w:t>
            </w:r>
          </w:p>
        </w:tc>
        <w:tc>
          <w:tcPr>
            <w:tcW w:w="709" w:type="pct"/>
            <w:shd w:val="clear" w:color="auto" w:fill="FFFFFF" w:themeFill="background1"/>
            <w:vAlign w:val="center"/>
          </w:tcPr>
          <w:p w14:paraId="3A5542FC" w14:textId="77777777" w:rsidR="00052038" w:rsidRPr="00FE6CB5" w:rsidRDefault="00052038" w:rsidP="00F84DDB">
            <w:pPr>
              <w:pStyle w:val="Tabletext0"/>
              <w:keepNext/>
              <w:jc w:val="center"/>
            </w:pPr>
            <w:r w:rsidRPr="00FE6CB5">
              <w:t>1.039</w:t>
            </w:r>
          </w:p>
        </w:tc>
        <w:tc>
          <w:tcPr>
            <w:tcW w:w="619" w:type="pct"/>
            <w:shd w:val="clear" w:color="auto" w:fill="FFFFFF" w:themeFill="background1"/>
            <w:vAlign w:val="center"/>
          </w:tcPr>
          <w:p w14:paraId="73F7A1F3" w14:textId="77777777" w:rsidR="00052038" w:rsidRPr="00FE6CB5" w:rsidRDefault="00052038" w:rsidP="00F84DDB">
            <w:pPr>
              <w:pStyle w:val="Tabletext0"/>
              <w:keepNext/>
              <w:jc w:val="center"/>
              <w:rPr>
                <w:rFonts w:ascii="Times" w:hAnsi="Times"/>
              </w:rPr>
            </w:pPr>
            <w:r w:rsidRPr="00FE6CB5">
              <w:t>$</w:t>
            </w:r>
            <w:r w:rsidRPr="00052038">
              <w:rPr>
                <w:color w:val="000000"/>
                <w:spacing w:val="79"/>
                <w:shd w:val="solid" w:color="000000" w:fill="000000"/>
                <w:fitText w:val="410" w:id="-1233492983"/>
                <w14:textFill>
                  <w14:solidFill>
                    <w14:srgbClr w14:val="000000">
                      <w14:alpha w14:val="100000"/>
                    </w14:srgbClr>
                  </w14:solidFill>
                </w14:textFill>
              </w:rPr>
              <w:t>|||</w:t>
            </w:r>
            <w:r w:rsidRPr="00052038">
              <w:rPr>
                <w:color w:val="000000"/>
                <w:spacing w:val="3"/>
                <w:shd w:val="solid" w:color="000000" w:fill="000000"/>
                <w:fitText w:val="410" w:id="-1233492983"/>
                <w14:textFill>
                  <w14:solidFill>
                    <w14:srgbClr w14:val="000000">
                      <w14:alpha w14:val="100000"/>
                    </w14:srgbClr>
                  </w14:solidFill>
                </w14:textFill>
              </w:rPr>
              <w:t>|</w:t>
            </w:r>
            <w:r w:rsidRPr="008634CA">
              <w:rPr>
                <w:vertAlign w:val="superscript"/>
              </w:rPr>
              <w:t>4</w:t>
            </w:r>
            <w:r w:rsidRPr="00FE6CB5">
              <w:t>/QALY</w:t>
            </w:r>
          </w:p>
        </w:tc>
      </w:tr>
    </w:tbl>
    <w:bookmarkEnd w:id="30"/>
    <w:p w14:paraId="4A20CC94" w14:textId="77777777" w:rsidR="00623FCA" w:rsidRPr="00FE6CB5" w:rsidRDefault="00623FCA" w:rsidP="00623FCA">
      <w:pPr>
        <w:pStyle w:val="FooterTableFigure"/>
        <w:keepNext/>
      </w:pPr>
      <w:r w:rsidRPr="00FE6CB5">
        <w:t>Source: Generated during the evaluation from the economic evaluation spreadsheet.</w:t>
      </w:r>
    </w:p>
    <w:p w14:paraId="67552A32" w14:textId="30768566" w:rsidR="00623FCA" w:rsidRPr="00FE6CB5" w:rsidRDefault="00623FCA" w:rsidP="00623FCA">
      <w:pPr>
        <w:pStyle w:val="FooterTableFigure"/>
        <w:keepNext/>
        <w:rPr>
          <w:i/>
        </w:rPr>
      </w:pPr>
      <w:r w:rsidRPr="00FE6CB5">
        <w:rPr>
          <w:i/>
          <w:vertAlign w:val="superscript"/>
        </w:rPr>
        <w:t>a</w:t>
      </w:r>
      <w:r w:rsidR="00C532B3">
        <w:rPr>
          <w:i/>
          <w:vertAlign w:val="superscript"/>
        </w:rPr>
        <w:t xml:space="preserve"> </w:t>
      </w:r>
      <w:r w:rsidRPr="00FE6CB5">
        <w:rPr>
          <w:i/>
        </w:rPr>
        <w:t xml:space="preserve">Modelled costs and outcomes are for the ‘trial population’ and do not include patients without </w:t>
      </w:r>
      <w:r w:rsidRPr="00FE6CB5">
        <w:t>BRCA</w:t>
      </w:r>
      <w:r w:rsidRPr="00FE6CB5">
        <w:rPr>
          <w:i/>
        </w:rPr>
        <w:t xml:space="preserve"> </w:t>
      </w:r>
      <w:r w:rsidR="000700F3">
        <w:rPr>
          <w:i/>
        </w:rPr>
        <w:t>pathogenic variant</w:t>
      </w:r>
      <w:r w:rsidRPr="00FE6CB5">
        <w:rPr>
          <w:i/>
        </w:rPr>
        <w:t>s. This has been done so that the costs relate to a full course of olaparib per patient vs a full course of placebo per patient. The cost per patient in the testing population relates to only 12.6% of the cost of olaparib. The ICER remains the same as the benefits are also only 12.6% of the whole population. However, the numbers are not intuitive.</w:t>
      </w:r>
    </w:p>
    <w:p w14:paraId="77BDAED0" w14:textId="77777777" w:rsidR="00052038" w:rsidRDefault="00623FCA" w:rsidP="00052038">
      <w:pPr>
        <w:pStyle w:val="FooterTableFigure"/>
        <w:keepNext/>
        <w:rPr>
          <w:i/>
        </w:rPr>
      </w:pPr>
      <w:r w:rsidRPr="00FE6CB5">
        <w:rPr>
          <w:i/>
        </w:rPr>
        <w:t xml:space="preserve">IDFS = invasive </w:t>
      </w:r>
      <w:r w:rsidR="003967ED" w:rsidRPr="00FE6CB5">
        <w:rPr>
          <w:i/>
        </w:rPr>
        <w:t>disease-free</w:t>
      </w:r>
      <w:r w:rsidRPr="00FE6CB5">
        <w:rPr>
          <w:i/>
        </w:rPr>
        <w:t xml:space="preserve"> survival; LY = life years; LYG = life years gained; mBC = metastatic breast cancer recurrence; non-mBC = non-metastatic breast cancer recurrence; QALY = quality-adjusted life years.</w:t>
      </w:r>
    </w:p>
    <w:p w14:paraId="2462F6F7" w14:textId="77777777" w:rsidR="00DF59D5" w:rsidRDefault="00DA2899" w:rsidP="00C562C0">
      <w:pPr>
        <w:pStyle w:val="FooterTableFigure"/>
        <w:keepNext/>
        <w:rPr>
          <w:i/>
          <w:szCs w:val="18"/>
          <w:lang w:val="en-US"/>
        </w:rPr>
      </w:pPr>
      <w:r>
        <w:rPr>
          <w:i/>
          <w:szCs w:val="18"/>
          <w:lang w:val="en-US"/>
        </w:rPr>
        <w:t>The redacted values correspond to the following ranges:</w:t>
      </w:r>
    </w:p>
    <w:p w14:paraId="6F0C05F2" w14:textId="753243E1" w:rsidR="00DF59D5" w:rsidRPr="00DF59D5" w:rsidRDefault="00DA2899" w:rsidP="00C562C0">
      <w:pPr>
        <w:pStyle w:val="FooterTableFigure"/>
        <w:keepNext/>
        <w:rPr>
          <w:i/>
          <w:szCs w:val="18"/>
          <w:lang w:val="en-US"/>
        </w:rPr>
      </w:pPr>
      <w:r>
        <w:rPr>
          <w:i/>
          <w:szCs w:val="18"/>
          <w:lang w:val="en-US"/>
        </w:rPr>
        <w:t xml:space="preserve"> </w:t>
      </w:r>
      <w:r>
        <w:rPr>
          <w:i/>
          <w:szCs w:val="18"/>
          <w:vertAlign w:val="superscript"/>
          <w:lang w:val="en-US"/>
        </w:rPr>
        <w:t>1</w:t>
      </w:r>
      <w:r>
        <w:rPr>
          <w:i/>
          <w:szCs w:val="18"/>
          <w:lang w:val="en-US"/>
        </w:rPr>
        <w:t xml:space="preserve"> </w:t>
      </w:r>
      <w:r>
        <w:rPr>
          <w:i/>
          <w:szCs w:val="18"/>
        </w:rPr>
        <w:t>$115,000 to &lt; $135,000</w:t>
      </w:r>
    </w:p>
    <w:p w14:paraId="1635DCD3" w14:textId="77777777" w:rsidR="00DF59D5" w:rsidRDefault="00742EB8" w:rsidP="00C562C0">
      <w:pPr>
        <w:pStyle w:val="FooterTableFigure"/>
        <w:keepNext/>
        <w:rPr>
          <w:i/>
          <w:szCs w:val="18"/>
          <w:lang w:val="en-US"/>
        </w:rPr>
      </w:pPr>
      <w:r>
        <w:rPr>
          <w:i/>
          <w:szCs w:val="18"/>
          <w:vertAlign w:val="superscript"/>
          <w:lang w:val="en-US"/>
        </w:rPr>
        <w:t>2</w:t>
      </w:r>
      <w:r w:rsidR="00DA2899" w:rsidRPr="00DA2899">
        <w:rPr>
          <w:i/>
          <w:szCs w:val="18"/>
          <w:lang w:val="en-US"/>
        </w:rPr>
        <w:t>$</w:t>
      </w:r>
      <w:r w:rsidR="00DA2899">
        <w:rPr>
          <w:i/>
          <w:szCs w:val="18"/>
          <w:lang w:val="en-US"/>
        </w:rPr>
        <w:t>6</w:t>
      </w:r>
      <w:r w:rsidR="00DA2899" w:rsidRPr="00DA2899">
        <w:rPr>
          <w:i/>
          <w:szCs w:val="18"/>
          <w:lang w:val="en-US"/>
        </w:rPr>
        <w:t>55,000 to &lt; $</w:t>
      </w:r>
      <w:r w:rsidR="00DA2899">
        <w:rPr>
          <w:i/>
          <w:szCs w:val="18"/>
          <w:lang w:val="en-US"/>
        </w:rPr>
        <w:t>7</w:t>
      </w:r>
      <w:r w:rsidR="00DA2899" w:rsidRPr="00DA2899">
        <w:rPr>
          <w:i/>
          <w:szCs w:val="18"/>
          <w:lang w:val="en-US"/>
        </w:rPr>
        <w:t>55,000</w:t>
      </w:r>
    </w:p>
    <w:p w14:paraId="240B2ABD" w14:textId="77777777" w:rsidR="00DF59D5" w:rsidRDefault="00742EB8" w:rsidP="00C562C0">
      <w:pPr>
        <w:pStyle w:val="FooterTableFigure"/>
        <w:keepNext/>
        <w:rPr>
          <w:i/>
          <w:szCs w:val="18"/>
          <w:lang w:val="en-US"/>
        </w:rPr>
      </w:pPr>
      <w:r>
        <w:rPr>
          <w:i/>
          <w:szCs w:val="18"/>
          <w:vertAlign w:val="superscript"/>
          <w:lang w:val="en-US"/>
        </w:rPr>
        <w:t xml:space="preserve">3 </w:t>
      </w:r>
      <w:r w:rsidRPr="00742EB8">
        <w:rPr>
          <w:i/>
          <w:szCs w:val="18"/>
          <w:lang w:val="en-US"/>
        </w:rPr>
        <w:t>$35,000 to &lt; $45,000</w:t>
      </w:r>
    </w:p>
    <w:p w14:paraId="02E7AB32" w14:textId="37513654" w:rsidR="00DA2899" w:rsidRPr="004E6008" w:rsidRDefault="00742EB8" w:rsidP="004E5BF4">
      <w:pPr>
        <w:pStyle w:val="FooterTableFigure"/>
        <w:keepNext/>
        <w:rPr>
          <w:i/>
          <w:szCs w:val="18"/>
          <w:lang w:val="en-US"/>
        </w:rPr>
      </w:pPr>
      <w:r>
        <w:rPr>
          <w:i/>
          <w:szCs w:val="18"/>
          <w:vertAlign w:val="superscript"/>
          <w:lang w:val="en-US"/>
        </w:rPr>
        <w:t xml:space="preserve">4 </w:t>
      </w:r>
      <w:r w:rsidRPr="00742EB8">
        <w:rPr>
          <w:i/>
          <w:szCs w:val="18"/>
          <w:lang w:val="en-US"/>
        </w:rPr>
        <w:t>$</w:t>
      </w:r>
      <w:r>
        <w:rPr>
          <w:i/>
          <w:szCs w:val="18"/>
          <w:lang w:val="en-US"/>
        </w:rPr>
        <w:t>4</w:t>
      </w:r>
      <w:r w:rsidRPr="00742EB8">
        <w:rPr>
          <w:i/>
          <w:szCs w:val="18"/>
          <w:lang w:val="en-US"/>
        </w:rPr>
        <w:t>5,000 to &lt; $</w:t>
      </w:r>
      <w:r>
        <w:rPr>
          <w:i/>
          <w:szCs w:val="18"/>
          <w:lang w:val="en-US"/>
        </w:rPr>
        <w:t>5</w:t>
      </w:r>
      <w:r w:rsidRPr="00742EB8">
        <w:rPr>
          <w:i/>
          <w:szCs w:val="18"/>
          <w:lang w:val="en-US"/>
        </w:rPr>
        <w:t>5,000</w:t>
      </w:r>
    </w:p>
    <w:p w14:paraId="6E6EABD3" w14:textId="3CB0760A" w:rsidR="003D34AD" w:rsidRPr="00FE6CB5" w:rsidRDefault="003D34AD" w:rsidP="003D34AD">
      <w:r w:rsidRPr="00FE6CB5">
        <w:t>The submission based the cost of g</w:t>
      </w:r>
      <w:r w:rsidRPr="00FE6CB5">
        <w:rPr>
          <w:i/>
        </w:rPr>
        <w:t>BRCA</w:t>
      </w:r>
      <w:r w:rsidRPr="00FE6CB5">
        <w:t xml:space="preserve"> testing on the existing MBS item 73296 ($1</w:t>
      </w:r>
      <w:r w:rsidR="002C1F0F">
        <w:t>,</w:t>
      </w:r>
      <w:r w:rsidRPr="00FE6CB5">
        <w:t xml:space="preserve">200). </w:t>
      </w:r>
    </w:p>
    <w:p w14:paraId="26C2B145" w14:textId="4D941F45" w:rsidR="003D34AD" w:rsidRPr="00FE6CB5" w:rsidRDefault="003D34AD" w:rsidP="003D34AD">
      <w:pPr>
        <w:rPr>
          <w:i/>
        </w:rPr>
      </w:pPr>
      <w:r w:rsidRPr="00FE6CB5">
        <w:rPr>
          <w:i/>
        </w:rPr>
        <w:t xml:space="preserve">The precise uptake of germline </w:t>
      </w:r>
      <w:r w:rsidRPr="00FE6CB5">
        <w:t>BRCA</w:t>
      </w:r>
      <w:r w:rsidRPr="00FE6CB5">
        <w:rPr>
          <w:i/>
        </w:rPr>
        <w:t xml:space="preserve"> testing </w:t>
      </w:r>
      <w:r w:rsidR="00E6448B">
        <w:rPr>
          <w:i/>
        </w:rPr>
        <w:t>wa</w:t>
      </w:r>
      <w:r w:rsidRPr="00FE6CB5">
        <w:rPr>
          <w:i/>
        </w:rPr>
        <w:t xml:space="preserve">s unknown. However, there </w:t>
      </w:r>
      <w:r w:rsidR="002756B1">
        <w:rPr>
          <w:i/>
        </w:rPr>
        <w:t>were</w:t>
      </w:r>
      <w:r w:rsidRPr="00FE6CB5">
        <w:rPr>
          <w:i/>
        </w:rPr>
        <w:t xml:space="preserve"> several circumstances in which patients </w:t>
      </w:r>
      <w:r w:rsidR="002756B1">
        <w:rPr>
          <w:i/>
        </w:rPr>
        <w:t>could</w:t>
      </w:r>
      <w:r w:rsidRPr="00FE6CB5">
        <w:rPr>
          <w:i/>
        </w:rPr>
        <w:t xml:space="preserve"> access testing:</w:t>
      </w:r>
    </w:p>
    <w:p w14:paraId="16176209" w14:textId="24283A0A" w:rsidR="003D34AD" w:rsidRPr="00FE6CB5" w:rsidRDefault="003D34AD" w:rsidP="003D34AD">
      <w:pPr>
        <w:pStyle w:val="ListParagraph"/>
        <w:numPr>
          <w:ilvl w:val="0"/>
          <w:numId w:val="33"/>
        </w:numPr>
        <w:spacing w:before="0" w:after="120" w:line="240" w:lineRule="auto"/>
        <w:contextualSpacing w:val="0"/>
        <w:jc w:val="both"/>
        <w:rPr>
          <w:i/>
        </w:rPr>
      </w:pPr>
      <w:r w:rsidRPr="00FE6CB5">
        <w:rPr>
          <w:i/>
        </w:rPr>
        <w:t>Patients diagnosed with breast cancer at a young age and mee</w:t>
      </w:r>
      <w:r w:rsidR="00A5264E">
        <w:rPr>
          <w:i/>
        </w:rPr>
        <w:t>t</w:t>
      </w:r>
      <w:r w:rsidR="002756B1">
        <w:rPr>
          <w:i/>
        </w:rPr>
        <w:t>ing</w:t>
      </w:r>
      <w:r w:rsidRPr="00FE6CB5">
        <w:rPr>
          <w:i/>
        </w:rPr>
        <w:t xml:space="preserve"> the eligibility criteria for MBS item 73296</w:t>
      </w:r>
    </w:p>
    <w:p w14:paraId="1A18AF11" w14:textId="4AE937F9" w:rsidR="003D34AD" w:rsidRPr="00FE6CB5" w:rsidRDefault="003D34AD" w:rsidP="003D34AD">
      <w:pPr>
        <w:pStyle w:val="ListParagraph"/>
        <w:numPr>
          <w:ilvl w:val="0"/>
          <w:numId w:val="33"/>
        </w:numPr>
        <w:spacing w:before="0" w:after="120" w:line="240" w:lineRule="auto"/>
        <w:contextualSpacing w:val="0"/>
        <w:jc w:val="both"/>
        <w:rPr>
          <w:i/>
        </w:rPr>
      </w:pPr>
      <w:r w:rsidRPr="00FE6CB5">
        <w:rPr>
          <w:i/>
        </w:rPr>
        <w:t xml:space="preserve">Patients with a germline </w:t>
      </w:r>
      <w:r w:rsidRPr="002756B1">
        <w:rPr>
          <w:i/>
          <w:iCs/>
        </w:rPr>
        <w:t>BRCA</w:t>
      </w:r>
      <w:r w:rsidRPr="00FE6CB5">
        <w:rPr>
          <w:i/>
        </w:rPr>
        <w:t xml:space="preserve"> gene already kn</w:t>
      </w:r>
      <w:r w:rsidR="00437430">
        <w:rPr>
          <w:i/>
        </w:rPr>
        <w:t>ow</w:t>
      </w:r>
      <w:r w:rsidRPr="00FE6CB5">
        <w:rPr>
          <w:i/>
        </w:rPr>
        <w:t xml:space="preserve"> of their status due to cascade testing of family members</w:t>
      </w:r>
    </w:p>
    <w:p w14:paraId="4000D0B4" w14:textId="70151FF9" w:rsidR="003D34AD" w:rsidRPr="00FE6CB5" w:rsidRDefault="003D34AD" w:rsidP="003D34AD">
      <w:pPr>
        <w:pStyle w:val="ListParagraph"/>
        <w:numPr>
          <w:ilvl w:val="0"/>
          <w:numId w:val="33"/>
        </w:numPr>
        <w:spacing w:before="0" w:after="120" w:line="240" w:lineRule="auto"/>
        <w:contextualSpacing w:val="0"/>
        <w:jc w:val="both"/>
        <w:rPr>
          <w:i/>
        </w:rPr>
      </w:pPr>
      <w:r w:rsidRPr="00FE6CB5">
        <w:rPr>
          <w:i/>
        </w:rPr>
        <w:t xml:space="preserve">Patients diagnosed with breast cancer and are offered germline </w:t>
      </w:r>
      <w:r w:rsidRPr="00437430">
        <w:rPr>
          <w:i/>
          <w:iCs/>
        </w:rPr>
        <w:t>BRCA</w:t>
      </w:r>
      <w:r w:rsidRPr="00FE6CB5">
        <w:rPr>
          <w:i/>
        </w:rPr>
        <w:t xml:space="preserve"> testing through a State or Territory funded program</w:t>
      </w:r>
    </w:p>
    <w:p w14:paraId="57D895AD" w14:textId="768B410A" w:rsidR="003D34AD" w:rsidRPr="00FE6CB5" w:rsidRDefault="003D34AD" w:rsidP="003D34AD">
      <w:pPr>
        <w:rPr>
          <w:i/>
        </w:rPr>
      </w:pPr>
      <w:r w:rsidRPr="00FE6CB5">
        <w:rPr>
          <w:i/>
        </w:rPr>
        <w:t xml:space="preserve">While the </w:t>
      </w:r>
      <w:r w:rsidR="00EA38E9" w:rsidRPr="00FE6CB5">
        <w:rPr>
          <w:i/>
        </w:rPr>
        <w:t>trial-based</w:t>
      </w:r>
      <w:r w:rsidRPr="00FE6CB5">
        <w:rPr>
          <w:i/>
        </w:rPr>
        <w:t xml:space="preserve"> estimates presented in the submission relate</w:t>
      </w:r>
      <w:r w:rsidR="00437430">
        <w:rPr>
          <w:i/>
        </w:rPr>
        <w:t>d</w:t>
      </w:r>
      <w:r w:rsidRPr="00FE6CB5">
        <w:rPr>
          <w:i/>
        </w:rPr>
        <w:t xml:space="preserve"> to a comparison of olaparib vs placebo, the modelled economic evaluation costs and outcomes relate</w:t>
      </w:r>
      <w:r w:rsidR="00437430">
        <w:rPr>
          <w:i/>
        </w:rPr>
        <w:t>d</w:t>
      </w:r>
      <w:r w:rsidRPr="00FE6CB5">
        <w:rPr>
          <w:i/>
        </w:rPr>
        <w:t xml:space="preserve"> to the testing population. Therefore, the costs </w:t>
      </w:r>
      <w:r w:rsidR="00437430">
        <w:rPr>
          <w:i/>
        </w:rPr>
        <w:t>were</w:t>
      </w:r>
      <w:r w:rsidRPr="00FE6CB5">
        <w:rPr>
          <w:i/>
        </w:rPr>
        <w:t xml:space="preserve"> ‘diluted’ by the large number of non-</w:t>
      </w:r>
      <w:r w:rsidRPr="00437430">
        <w:rPr>
          <w:i/>
          <w:iCs/>
        </w:rPr>
        <w:t>BRCA</w:t>
      </w:r>
      <w:r w:rsidRPr="00FE6CB5">
        <w:rPr>
          <w:i/>
        </w:rPr>
        <w:t xml:space="preserve"> patients within the model. The evaluation presented modelled costs and outcomes for the trial population.</w:t>
      </w:r>
    </w:p>
    <w:p w14:paraId="2AF2EAFC" w14:textId="2293C6C4" w:rsidR="003D34AD" w:rsidRPr="00FE6CB5" w:rsidRDefault="003D34AD" w:rsidP="003D34AD">
      <w:pPr>
        <w:rPr>
          <w:i/>
        </w:rPr>
      </w:pPr>
      <w:r w:rsidRPr="00FE6CB5">
        <w:rPr>
          <w:i/>
        </w:rPr>
        <w:lastRenderedPageBreak/>
        <w:t xml:space="preserve">The ICER for the trial population modelled over 40 years </w:t>
      </w:r>
      <w:r w:rsidR="00437430">
        <w:rPr>
          <w:i/>
        </w:rPr>
        <w:t>wa</w:t>
      </w:r>
      <w:r w:rsidRPr="00FE6CB5">
        <w:rPr>
          <w:i/>
        </w:rPr>
        <w:t>s the same as for the testing population, as the model assume</w:t>
      </w:r>
      <w:r w:rsidR="00437430">
        <w:rPr>
          <w:i/>
        </w:rPr>
        <w:t>d</w:t>
      </w:r>
      <w:r w:rsidRPr="00FE6CB5">
        <w:rPr>
          <w:i/>
        </w:rPr>
        <w:t xml:space="preserve"> 100% specificity and therefore contain</w:t>
      </w:r>
      <w:r w:rsidR="00437430">
        <w:rPr>
          <w:i/>
        </w:rPr>
        <w:t>ed</w:t>
      </w:r>
      <w:r w:rsidRPr="00FE6CB5">
        <w:rPr>
          <w:i/>
        </w:rPr>
        <w:t xml:space="preserve"> no false positives. All other populations in the model </w:t>
      </w:r>
      <w:r w:rsidR="00E84139">
        <w:rPr>
          <w:i/>
        </w:rPr>
        <w:t>had</w:t>
      </w:r>
      <w:r w:rsidRPr="00FE6CB5">
        <w:rPr>
          <w:i/>
        </w:rPr>
        <w:t xml:space="preserve"> identical costs and outcomes across both arms.</w:t>
      </w:r>
    </w:p>
    <w:p w14:paraId="4D7A6318" w14:textId="3D283494" w:rsidR="005F2B82" w:rsidRDefault="003D34AD" w:rsidP="004E5BF4">
      <w:pPr>
        <w:pStyle w:val="SummaryBoxHeading0"/>
        <w:spacing w:before="0" w:after="120"/>
        <w:jc w:val="both"/>
        <w:rPr>
          <w:rFonts w:eastAsiaTheme="minorEastAsia"/>
          <w:lang w:eastAsia="zh-CN"/>
        </w:rPr>
      </w:pPr>
      <w:r w:rsidRPr="005F2B82">
        <w:rPr>
          <w:rFonts w:ascii="Franklin Gothic Book" w:eastAsiaTheme="minorEastAsia" w:hAnsi="Franklin Gothic Book" w:cstheme="minorBidi"/>
          <w:b w:val="0"/>
          <w:lang w:eastAsia="zh-CN" w:bidi="ar-SA"/>
        </w:rPr>
        <w:t xml:space="preserve">The undiscounted cost of a course of olaparib </w:t>
      </w:r>
      <w:r w:rsidR="003977F6">
        <w:rPr>
          <w:rFonts w:ascii="Franklin Gothic Book" w:eastAsiaTheme="minorEastAsia" w:hAnsi="Franklin Gothic Book" w:cstheme="minorBidi"/>
          <w:b w:val="0"/>
          <w:lang w:eastAsia="zh-CN" w:bidi="ar-SA"/>
        </w:rPr>
        <w:t>was</w:t>
      </w:r>
      <w:r w:rsidRPr="005F2B82">
        <w:rPr>
          <w:rFonts w:ascii="Franklin Gothic Book" w:eastAsiaTheme="minorEastAsia" w:hAnsi="Franklin Gothic Book" w:cstheme="minorBidi"/>
          <w:b w:val="0"/>
          <w:lang w:eastAsia="zh-CN" w:bidi="ar-SA"/>
        </w:rPr>
        <w:t xml:space="preserve"> $</w:t>
      </w:r>
      <w:r w:rsidR="00872AE4" w:rsidRPr="00872AE4">
        <w:rPr>
          <w:color w:val="000000"/>
          <w:spacing w:val="59"/>
          <w:shd w:val="solid" w:color="000000" w:fill="000000"/>
          <w:fitText w:val="380" w:id="-1233442048"/>
          <w14:textFill>
            <w14:solidFill>
              <w14:srgbClr w14:val="000000">
                <w14:alpha w14:val="100000"/>
              </w14:srgbClr>
            </w14:solidFill>
          </w14:textFill>
        </w:rPr>
        <w:t>|||</w:t>
      </w:r>
      <w:r w:rsidR="00872AE4" w:rsidRPr="00872AE4">
        <w:rPr>
          <w:color w:val="000000"/>
          <w:spacing w:val="1"/>
          <w:shd w:val="solid" w:color="000000" w:fill="000000"/>
          <w:fitText w:val="380" w:id="-1233442048"/>
          <w14:textFill>
            <w14:solidFill>
              <w14:srgbClr w14:val="000000">
                <w14:alpha w14:val="100000"/>
              </w14:srgbClr>
            </w14:solidFill>
          </w14:textFill>
        </w:rPr>
        <w:t>|</w:t>
      </w:r>
      <w:r w:rsidRPr="005F2B82">
        <w:rPr>
          <w:rFonts w:ascii="Franklin Gothic Book" w:eastAsiaTheme="minorEastAsia" w:hAnsi="Franklin Gothic Book" w:cstheme="minorBidi"/>
          <w:b w:val="0"/>
          <w:lang w:eastAsia="zh-CN" w:bidi="ar-SA"/>
        </w:rPr>
        <w:t>per treated patient (based on time-on-treatment curve from OlympiA). However, only 12.6% of patients in the proposed scenario ha</w:t>
      </w:r>
      <w:r w:rsidR="003977F6">
        <w:rPr>
          <w:rFonts w:ascii="Franklin Gothic Book" w:eastAsiaTheme="minorEastAsia" w:hAnsi="Franklin Gothic Book" w:cstheme="minorBidi"/>
          <w:b w:val="0"/>
          <w:lang w:eastAsia="zh-CN" w:bidi="ar-SA"/>
        </w:rPr>
        <w:t>d</w:t>
      </w:r>
      <w:r w:rsidRPr="005F2B82">
        <w:rPr>
          <w:rFonts w:ascii="Franklin Gothic Book" w:eastAsiaTheme="minorEastAsia" w:hAnsi="Franklin Gothic Book" w:cstheme="minorBidi"/>
          <w:b w:val="0"/>
          <w:lang w:eastAsia="zh-CN" w:bidi="ar-SA"/>
        </w:rPr>
        <w:t xml:space="preserve"> a true positive test result and thus receive</w:t>
      </w:r>
      <w:r w:rsidR="003977F6">
        <w:rPr>
          <w:rFonts w:ascii="Franklin Gothic Book" w:eastAsiaTheme="minorEastAsia" w:hAnsi="Franklin Gothic Book" w:cstheme="minorBidi"/>
          <w:b w:val="0"/>
          <w:lang w:eastAsia="zh-CN" w:bidi="ar-SA"/>
        </w:rPr>
        <w:t>d</w:t>
      </w:r>
      <w:r w:rsidRPr="005F2B82">
        <w:rPr>
          <w:rFonts w:ascii="Franklin Gothic Book" w:eastAsiaTheme="minorEastAsia" w:hAnsi="Franklin Gothic Book" w:cstheme="minorBidi"/>
          <w:b w:val="0"/>
          <w:lang w:eastAsia="zh-CN" w:bidi="ar-SA"/>
        </w:rPr>
        <w:t xml:space="preserve"> olaparib. Therefore, the average undiscounted cost of olaparib for patients in the proposed scenario </w:t>
      </w:r>
      <w:r w:rsidR="003977F6">
        <w:rPr>
          <w:rFonts w:ascii="Franklin Gothic Book" w:eastAsiaTheme="minorEastAsia" w:hAnsi="Franklin Gothic Book" w:cstheme="minorBidi"/>
          <w:b w:val="0"/>
          <w:lang w:eastAsia="zh-CN" w:bidi="ar-SA"/>
        </w:rPr>
        <w:t>was</w:t>
      </w:r>
      <w:r w:rsidRPr="005F2B82">
        <w:rPr>
          <w:rFonts w:ascii="Franklin Gothic Book" w:eastAsiaTheme="minorEastAsia" w:hAnsi="Franklin Gothic Book" w:cstheme="minorBidi"/>
          <w:b w:val="0"/>
          <w:lang w:eastAsia="zh-CN" w:bidi="ar-SA"/>
        </w:rPr>
        <w:t xml:space="preserve"> </w:t>
      </w:r>
      <w:r w:rsidRPr="00872AE4">
        <w:rPr>
          <w:rFonts w:ascii="Franklin Gothic Book" w:eastAsiaTheme="minorEastAsia" w:hAnsi="Franklin Gothic Book" w:cstheme="minorBidi"/>
          <w:b w:val="0"/>
          <w:lang w:eastAsia="zh-CN" w:bidi="ar-SA"/>
        </w:rPr>
        <w:t>$</w:t>
      </w:r>
      <w:r w:rsidR="00872AE4" w:rsidRPr="00872AE4">
        <w:rPr>
          <w:color w:val="000000"/>
          <w:spacing w:val="59"/>
          <w:shd w:val="solid" w:color="000000" w:fill="000000"/>
          <w:fitText w:val="380" w:id="-1233442047"/>
          <w14:textFill>
            <w14:solidFill>
              <w14:srgbClr w14:val="000000">
                <w14:alpha w14:val="100000"/>
              </w14:srgbClr>
            </w14:solidFill>
          </w14:textFill>
        </w:rPr>
        <w:t>|||</w:t>
      </w:r>
      <w:r w:rsidR="00872AE4" w:rsidRPr="00872AE4">
        <w:rPr>
          <w:color w:val="000000"/>
          <w:spacing w:val="1"/>
          <w:shd w:val="solid" w:color="000000" w:fill="000000"/>
          <w:fitText w:val="380" w:id="-1233442047"/>
          <w14:textFill>
            <w14:solidFill>
              <w14:srgbClr w14:val="000000">
                <w14:alpha w14:val="100000"/>
              </w14:srgbClr>
            </w14:solidFill>
          </w14:textFill>
        </w:rPr>
        <w:t>|</w:t>
      </w:r>
      <w:r w:rsidR="00872AE4" w:rsidRPr="00872AE4" w:rsidDel="00872AE4">
        <w:rPr>
          <w:rFonts w:ascii="Franklin Gothic Book" w:eastAsiaTheme="minorEastAsia" w:hAnsi="Franklin Gothic Book" w:cstheme="minorBidi"/>
          <w:b w:val="0"/>
          <w:lang w:eastAsia="zh-CN" w:bidi="ar-SA"/>
        </w:rPr>
        <w:t xml:space="preserve"> </w:t>
      </w:r>
      <w:r w:rsidRPr="00872AE4">
        <w:rPr>
          <w:rFonts w:ascii="Franklin Gothic Book" w:eastAsiaTheme="minorEastAsia" w:hAnsi="Franklin Gothic Book" w:cstheme="minorBidi"/>
          <w:b w:val="0"/>
          <w:lang w:eastAsia="zh-CN" w:bidi="ar-SA"/>
        </w:rPr>
        <w:t>(=</w:t>
      </w:r>
      <w:r w:rsidRPr="005F2B82">
        <w:rPr>
          <w:rFonts w:ascii="Franklin Gothic Book" w:eastAsiaTheme="minorEastAsia" w:hAnsi="Franklin Gothic Book" w:cstheme="minorBidi"/>
          <w:b w:val="0"/>
          <w:lang w:eastAsia="zh-CN" w:bidi="ar-SA"/>
        </w:rPr>
        <w:t xml:space="preserve"> $</w:t>
      </w:r>
      <w:r w:rsidR="00872AE4" w:rsidRPr="00872AE4">
        <w:rPr>
          <w:color w:val="000000"/>
          <w:spacing w:val="59"/>
          <w:shd w:val="solid" w:color="000000" w:fill="000000"/>
          <w:fitText w:val="380" w:id="-1233442046"/>
          <w14:textFill>
            <w14:solidFill>
              <w14:srgbClr w14:val="000000">
                <w14:alpha w14:val="100000"/>
              </w14:srgbClr>
            </w14:solidFill>
          </w14:textFill>
        </w:rPr>
        <w:t>|||</w:t>
      </w:r>
      <w:r w:rsidR="00872AE4" w:rsidRPr="00872AE4">
        <w:rPr>
          <w:color w:val="000000"/>
          <w:spacing w:val="1"/>
          <w:shd w:val="solid" w:color="000000" w:fill="000000"/>
          <w:fitText w:val="380" w:id="-1233442046"/>
          <w14:textFill>
            <w14:solidFill>
              <w14:srgbClr w14:val="000000">
                <w14:alpha w14:val="100000"/>
              </w14:srgbClr>
            </w14:solidFill>
          </w14:textFill>
        </w:rPr>
        <w:t>|</w:t>
      </w:r>
      <w:r w:rsidRPr="005F2B82">
        <w:rPr>
          <w:rFonts w:ascii="Franklin Gothic Book" w:eastAsiaTheme="minorEastAsia" w:hAnsi="Franklin Gothic Book" w:cstheme="minorBidi"/>
          <w:b w:val="0"/>
          <w:lang w:eastAsia="zh-CN" w:bidi="ar-SA"/>
        </w:rPr>
        <w:t xml:space="preserve">x 12.6%). </w:t>
      </w:r>
      <w:r>
        <w:rPr>
          <w:rFonts w:ascii="Franklin Gothic Book" w:eastAsiaTheme="minorEastAsia" w:hAnsi="Franklin Gothic Book" w:cstheme="minorBidi"/>
          <w:b w:val="0"/>
          <w:lang w:eastAsia="zh-CN" w:bidi="ar-SA"/>
        </w:rPr>
        <w:t xml:space="preserve">The base-case ICER was </w:t>
      </w:r>
      <w:r w:rsidR="00E01ECB" w:rsidRPr="00E01ECB">
        <w:rPr>
          <w:rFonts w:ascii="Franklin Gothic Book" w:eastAsiaTheme="minorEastAsia" w:hAnsi="Franklin Gothic Book" w:cstheme="minorBidi"/>
          <w:b w:val="0"/>
          <w:lang w:eastAsia="zh-CN" w:bidi="ar-SA"/>
        </w:rPr>
        <w:t xml:space="preserve">$45,000 to &lt; $55,000 </w:t>
      </w:r>
      <w:r>
        <w:rPr>
          <w:rFonts w:ascii="Franklin Gothic Book" w:eastAsiaTheme="minorEastAsia" w:hAnsi="Franklin Gothic Book" w:cstheme="minorBidi"/>
          <w:b w:val="0"/>
          <w:lang w:eastAsia="zh-CN" w:bidi="ar-SA"/>
        </w:rPr>
        <w:t>(</w:t>
      </w:r>
      <w:r w:rsidR="004E6008" w:rsidRPr="004E6008">
        <w:rPr>
          <w:rFonts w:ascii="Franklin Gothic Book" w:eastAsiaTheme="minorEastAsia" w:hAnsi="Franklin Gothic Book"/>
          <w:b w:val="0"/>
          <w:bCs/>
          <w:lang w:eastAsia="zh-CN" w:bidi="ar-SA"/>
        </w:rPr>
        <w:fldChar w:fldCharType="begin"/>
      </w:r>
      <w:r w:rsidR="004E6008" w:rsidRPr="004E6008">
        <w:rPr>
          <w:rFonts w:ascii="Franklin Gothic Book" w:eastAsiaTheme="minorEastAsia" w:hAnsi="Franklin Gothic Book" w:cstheme="minorBidi"/>
          <w:b w:val="0"/>
          <w:bCs/>
          <w:lang w:eastAsia="zh-CN" w:bidi="ar-SA"/>
        </w:rPr>
        <w:instrText xml:space="preserve"> REF _Ref126755572 \h </w:instrText>
      </w:r>
      <w:r w:rsidR="004E6008" w:rsidRPr="004E6008">
        <w:rPr>
          <w:rFonts w:ascii="Franklin Gothic Book" w:eastAsiaTheme="minorEastAsia" w:hAnsi="Franklin Gothic Book"/>
          <w:b w:val="0"/>
          <w:bCs/>
          <w:lang w:eastAsia="zh-CN" w:bidi="ar-SA"/>
        </w:rPr>
      </w:r>
      <w:r w:rsidR="004E6008" w:rsidRPr="004E6008">
        <w:rPr>
          <w:rFonts w:ascii="Franklin Gothic Book" w:eastAsiaTheme="minorEastAsia" w:hAnsi="Franklin Gothic Book"/>
          <w:b w:val="0"/>
          <w:bCs/>
          <w:lang w:eastAsia="zh-CN" w:bidi="ar-SA"/>
        </w:rPr>
        <w:instrText xml:space="preserve"> \* MERGEFORMAT </w:instrText>
      </w:r>
      <w:r w:rsidR="004E6008" w:rsidRPr="004E6008">
        <w:rPr>
          <w:rFonts w:ascii="Franklin Gothic Book" w:eastAsiaTheme="minorEastAsia" w:hAnsi="Franklin Gothic Book"/>
          <w:b w:val="0"/>
          <w:bCs/>
          <w:lang w:eastAsia="zh-CN" w:bidi="ar-SA"/>
        </w:rPr>
        <w:fldChar w:fldCharType="separate"/>
      </w:r>
      <w:r w:rsidR="004E6008" w:rsidRPr="004E6008">
        <w:rPr>
          <w:rFonts w:ascii="Franklin Gothic Book" w:hAnsi="Franklin Gothic Book"/>
          <w:b w:val="0"/>
          <w:bCs/>
        </w:rPr>
        <w:t xml:space="preserve">Table </w:t>
      </w:r>
      <w:r w:rsidR="004E6008" w:rsidRPr="004E6008">
        <w:rPr>
          <w:rFonts w:ascii="Franklin Gothic Book" w:hAnsi="Franklin Gothic Book"/>
          <w:b w:val="0"/>
          <w:bCs/>
          <w:noProof/>
        </w:rPr>
        <w:t>8</w:t>
      </w:r>
      <w:r w:rsidR="004E6008" w:rsidRPr="004E6008">
        <w:rPr>
          <w:rFonts w:ascii="Franklin Gothic Book" w:eastAsiaTheme="minorEastAsia" w:hAnsi="Franklin Gothic Book"/>
          <w:b w:val="0"/>
          <w:bCs/>
          <w:lang w:eastAsia="zh-CN" w:bidi="ar-SA"/>
        </w:rPr>
        <w:fldChar w:fldCharType="end"/>
      </w:r>
      <w:r w:rsidR="003977F6">
        <w:rPr>
          <w:rFonts w:ascii="Franklin Gothic Book" w:eastAsiaTheme="minorEastAsia" w:hAnsi="Franklin Gothic Book" w:cstheme="minorBidi"/>
          <w:b w:val="0"/>
          <w:lang w:eastAsia="zh-CN" w:bidi="ar-SA"/>
        </w:rPr>
        <w:t xml:space="preserve">). </w:t>
      </w:r>
    </w:p>
    <w:p w14:paraId="6B3873F8" w14:textId="1D583951" w:rsidR="005F2B82" w:rsidRPr="00F9356B" w:rsidRDefault="005F2B82" w:rsidP="005F2B82">
      <w:pPr>
        <w:pStyle w:val="Caption"/>
        <w:rPr>
          <w:b w:val="0"/>
          <w:lang w:eastAsia="zh-CN"/>
        </w:rPr>
      </w:pPr>
      <w:bookmarkStart w:id="32" w:name="_Ref126755572"/>
      <w:r w:rsidRPr="00041B36">
        <w:t xml:space="preserve">Table </w:t>
      </w:r>
      <w:r>
        <w:fldChar w:fldCharType="begin"/>
      </w:r>
      <w:r>
        <w:instrText>SEQ Table \* ARABIC</w:instrText>
      </w:r>
      <w:r>
        <w:fldChar w:fldCharType="separate"/>
      </w:r>
      <w:r w:rsidR="001B3C82">
        <w:rPr>
          <w:noProof/>
        </w:rPr>
        <w:t>8</w:t>
      </w:r>
      <w:r>
        <w:fldChar w:fldCharType="end"/>
      </w:r>
      <w:bookmarkEnd w:id="32"/>
      <w:r w:rsidRPr="00041B36">
        <w:tab/>
      </w:r>
      <w:r>
        <w:tab/>
      </w:r>
      <w:r w:rsidRPr="00041B36">
        <w:t xml:space="preserve">Discounted costs and </w:t>
      </w:r>
      <w:r w:rsidRPr="005F2B82">
        <w:t>ICER from the modelled economic evaluation</w:t>
      </w:r>
    </w:p>
    <w:tbl>
      <w:tblPr>
        <w:tblStyle w:val="TableGrid1"/>
        <w:tblW w:w="5000" w:type="pct"/>
        <w:tblLayout w:type="fixed"/>
        <w:tblLook w:val="04A0" w:firstRow="1" w:lastRow="0" w:firstColumn="1" w:lastColumn="0" w:noHBand="0" w:noVBand="1"/>
      </w:tblPr>
      <w:tblGrid>
        <w:gridCol w:w="3788"/>
        <w:gridCol w:w="1956"/>
        <w:gridCol w:w="1709"/>
        <w:gridCol w:w="1563"/>
      </w:tblGrid>
      <w:tr w:rsidR="005F2B82" w:rsidRPr="00731526" w14:paraId="5D65C07B" w14:textId="77777777" w:rsidTr="00742EB8">
        <w:trPr>
          <w:cnfStyle w:val="100000000000" w:firstRow="1" w:lastRow="0" w:firstColumn="0" w:lastColumn="0" w:oddVBand="0" w:evenVBand="0" w:oddHBand="0" w:evenHBand="0" w:firstRowFirstColumn="0" w:firstRowLastColumn="0" w:lastRowFirstColumn="0" w:lastRowLastColumn="0"/>
          <w:trHeight w:val="288"/>
        </w:trPr>
        <w:tc>
          <w:tcPr>
            <w:tcW w:w="2100" w:type="pct"/>
            <w:shd w:val="clear" w:color="auto" w:fill="auto"/>
            <w:noWrap/>
            <w:vAlign w:val="bottom"/>
          </w:tcPr>
          <w:p w14:paraId="6FC5F2A4" w14:textId="77777777" w:rsidR="005F2B82" w:rsidRPr="00731526" w:rsidRDefault="005F2B82" w:rsidP="00314194">
            <w:pPr>
              <w:spacing w:after="0"/>
              <w:rPr>
                <w:rFonts w:ascii="Arial Narrow" w:hAnsi="Arial Narrow"/>
                <w:b/>
                <w:bCs/>
              </w:rPr>
            </w:pPr>
          </w:p>
        </w:tc>
        <w:tc>
          <w:tcPr>
            <w:tcW w:w="1085" w:type="pct"/>
            <w:vAlign w:val="center"/>
          </w:tcPr>
          <w:p w14:paraId="17FA8008" w14:textId="77777777" w:rsidR="005F2B82" w:rsidRPr="00731526" w:rsidRDefault="005F2B82" w:rsidP="00314194">
            <w:pPr>
              <w:spacing w:after="0"/>
              <w:jc w:val="center"/>
              <w:rPr>
                <w:rFonts w:ascii="Arial Narrow" w:hAnsi="Arial Narrow"/>
                <w:b/>
              </w:rPr>
            </w:pPr>
            <w:r w:rsidRPr="00731526">
              <w:rPr>
                <w:rFonts w:ascii="Arial Narrow" w:hAnsi="Arial Narrow"/>
                <w:b/>
              </w:rPr>
              <w:t>Proposed scenario</w:t>
            </w:r>
          </w:p>
        </w:tc>
        <w:tc>
          <w:tcPr>
            <w:tcW w:w="948" w:type="pct"/>
            <w:vAlign w:val="center"/>
          </w:tcPr>
          <w:p w14:paraId="000E6F87" w14:textId="77777777" w:rsidR="005F2B82" w:rsidRPr="00731526" w:rsidRDefault="005F2B82" w:rsidP="00314194">
            <w:pPr>
              <w:spacing w:after="0"/>
              <w:jc w:val="center"/>
              <w:rPr>
                <w:rFonts w:ascii="Arial Narrow" w:hAnsi="Arial Narrow"/>
                <w:b/>
              </w:rPr>
            </w:pPr>
            <w:r w:rsidRPr="00731526">
              <w:rPr>
                <w:rFonts w:ascii="Arial Narrow" w:hAnsi="Arial Narrow"/>
                <w:b/>
              </w:rPr>
              <w:t>Current scenario</w:t>
            </w:r>
          </w:p>
        </w:tc>
        <w:tc>
          <w:tcPr>
            <w:tcW w:w="868" w:type="pct"/>
            <w:vAlign w:val="center"/>
          </w:tcPr>
          <w:p w14:paraId="44D93F7F" w14:textId="77777777" w:rsidR="005F2B82" w:rsidRPr="00731526" w:rsidRDefault="005F2B82" w:rsidP="00314194">
            <w:pPr>
              <w:spacing w:after="0"/>
              <w:jc w:val="center"/>
              <w:rPr>
                <w:rFonts w:ascii="Arial Narrow" w:hAnsi="Arial Narrow"/>
                <w:b/>
              </w:rPr>
            </w:pPr>
            <w:r w:rsidRPr="00731526">
              <w:rPr>
                <w:rFonts w:ascii="Arial Narrow" w:hAnsi="Arial Narrow"/>
                <w:b/>
              </w:rPr>
              <w:t>Incremental</w:t>
            </w:r>
          </w:p>
        </w:tc>
      </w:tr>
      <w:tr w:rsidR="005F2B82" w:rsidRPr="00731526" w14:paraId="2B885739" w14:textId="77777777" w:rsidTr="00742EB8">
        <w:trPr>
          <w:trHeight w:val="288"/>
        </w:trPr>
        <w:tc>
          <w:tcPr>
            <w:tcW w:w="2100" w:type="pct"/>
            <w:shd w:val="clear" w:color="auto" w:fill="auto"/>
            <w:noWrap/>
            <w:vAlign w:val="bottom"/>
            <w:hideMark/>
          </w:tcPr>
          <w:p w14:paraId="239611E4" w14:textId="77777777" w:rsidR="005F2B82" w:rsidRPr="00731526" w:rsidRDefault="005F2B82" w:rsidP="00314194">
            <w:pPr>
              <w:spacing w:after="0"/>
              <w:rPr>
                <w:rFonts w:ascii="Arial Narrow" w:hAnsi="Arial Narrow"/>
              </w:rPr>
            </w:pPr>
            <w:r w:rsidRPr="00592719">
              <w:rPr>
                <w:rFonts w:ascii="Arial Narrow" w:hAnsi="Arial Narrow" w:cs="Calibri"/>
              </w:rPr>
              <w:t>Olaparib</w:t>
            </w:r>
            <w:r>
              <w:rPr>
                <w:rFonts w:ascii="Arial Narrow" w:hAnsi="Arial Narrow" w:cs="Calibri"/>
              </w:rPr>
              <w:t xml:space="preserve"> drug cost</w:t>
            </w:r>
          </w:p>
        </w:tc>
        <w:tc>
          <w:tcPr>
            <w:tcW w:w="1085" w:type="pct"/>
            <w:vAlign w:val="bottom"/>
          </w:tcPr>
          <w:p w14:paraId="4F391E2F" w14:textId="6135DF30" w:rsidR="005F2B82" w:rsidRPr="00486432" w:rsidRDefault="005F2B82" w:rsidP="00314194">
            <w:pPr>
              <w:spacing w:after="0"/>
              <w:jc w:val="center"/>
              <w:rPr>
                <w:rFonts w:ascii="Arial Narrow" w:hAnsi="Arial Narrow"/>
              </w:rPr>
            </w:pPr>
            <w:r w:rsidRPr="00872AE4">
              <w:rPr>
                <w:rFonts w:ascii="Arial Narrow" w:hAnsi="Arial Narrow" w:cs="Calibri"/>
              </w:rPr>
              <w:t>$</w:t>
            </w:r>
            <w:r w:rsidR="00872AE4" w:rsidRPr="00401E6D">
              <w:rPr>
                <w:color w:val="000000"/>
                <w:w w:val="95"/>
                <w:shd w:val="solid" w:color="000000" w:fill="000000"/>
                <w:fitText w:val="380" w:id="-1233492990"/>
                <w14:textFill>
                  <w14:solidFill>
                    <w14:srgbClr w14:val="000000">
                      <w14:alpha w14:val="100000"/>
                    </w14:srgbClr>
                  </w14:solidFill>
                </w14:textFill>
              </w:rPr>
              <w:t>||||</w:t>
            </w:r>
          </w:p>
        </w:tc>
        <w:tc>
          <w:tcPr>
            <w:tcW w:w="948" w:type="pct"/>
            <w:vAlign w:val="bottom"/>
          </w:tcPr>
          <w:p w14:paraId="5D47E06B" w14:textId="6618B887" w:rsidR="005F2B82" w:rsidRPr="00486432" w:rsidRDefault="005F2B82" w:rsidP="00314194">
            <w:pPr>
              <w:spacing w:after="0"/>
              <w:jc w:val="center"/>
              <w:rPr>
                <w:rFonts w:ascii="Arial Narrow" w:hAnsi="Arial Narrow"/>
              </w:rPr>
            </w:pPr>
            <w:r w:rsidRPr="00592719">
              <w:rPr>
                <w:rFonts w:ascii="Arial Narrow" w:hAnsi="Arial Narrow" w:cs="Calibri"/>
              </w:rPr>
              <w:t>$</w:t>
            </w:r>
            <w:r w:rsidR="00887956" w:rsidRPr="00887956">
              <w:rPr>
                <w:color w:val="000000"/>
                <w:spacing w:val="12"/>
                <w:w w:val="86"/>
                <w:shd w:val="solid" w:color="000000" w:fill="000000"/>
                <w:fitText w:val="380" w:id="-1233492990"/>
                <w14:textFill>
                  <w14:solidFill>
                    <w14:srgbClr w14:val="000000">
                      <w14:alpha w14:val="100000"/>
                    </w14:srgbClr>
                  </w14:solidFill>
                </w14:textFill>
              </w:rPr>
              <w:t>|||</w:t>
            </w:r>
            <w:r w:rsidR="00887956" w:rsidRPr="00887956">
              <w:rPr>
                <w:color w:val="000000"/>
                <w:spacing w:val="1"/>
                <w:w w:val="86"/>
                <w:shd w:val="solid" w:color="000000" w:fill="000000"/>
                <w:fitText w:val="380" w:id="-1233492990"/>
                <w14:textFill>
                  <w14:solidFill>
                    <w14:srgbClr w14:val="000000">
                      <w14:alpha w14:val="100000"/>
                    </w14:srgbClr>
                  </w14:solidFill>
                </w14:textFill>
              </w:rPr>
              <w:t>|</w:t>
            </w:r>
          </w:p>
        </w:tc>
        <w:tc>
          <w:tcPr>
            <w:tcW w:w="868" w:type="pct"/>
            <w:vAlign w:val="bottom"/>
          </w:tcPr>
          <w:p w14:paraId="29793F91" w14:textId="6AC02A73" w:rsidR="005F2B82" w:rsidRPr="00486432" w:rsidRDefault="005F2B82" w:rsidP="00314194">
            <w:pPr>
              <w:spacing w:after="0"/>
              <w:jc w:val="center"/>
              <w:rPr>
                <w:rFonts w:ascii="Arial Narrow" w:hAnsi="Arial Narrow"/>
              </w:rPr>
            </w:pPr>
            <w:r w:rsidRPr="00872AE4">
              <w:rPr>
                <w:rFonts w:ascii="Arial Narrow" w:hAnsi="Arial Narrow" w:cs="Calibri"/>
              </w:rPr>
              <w:t>$</w:t>
            </w:r>
            <w:r w:rsidR="00872AE4" w:rsidRPr="00872AE4">
              <w:rPr>
                <w:color w:val="000000"/>
                <w:w w:val="95"/>
                <w:shd w:val="solid" w:color="000000" w:fill="000000"/>
                <w:fitText w:val="380" w:id="-1233492990"/>
                <w14:textFill>
                  <w14:solidFill>
                    <w14:srgbClr w14:val="000000">
                      <w14:alpha w14:val="100000"/>
                    </w14:srgbClr>
                  </w14:solidFill>
                </w14:textFill>
              </w:rPr>
              <w:t>||||</w:t>
            </w:r>
          </w:p>
        </w:tc>
      </w:tr>
      <w:tr w:rsidR="005F2B82" w:rsidRPr="00731526" w14:paraId="3E04E588" w14:textId="77777777" w:rsidTr="00742EB8">
        <w:trPr>
          <w:trHeight w:val="288"/>
        </w:trPr>
        <w:tc>
          <w:tcPr>
            <w:tcW w:w="2100" w:type="pct"/>
            <w:shd w:val="clear" w:color="auto" w:fill="auto"/>
            <w:noWrap/>
            <w:vAlign w:val="bottom"/>
          </w:tcPr>
          <w:p w14:paraId="2886EC5E" w14:textId="77777777" w:rsidR="005F2B82" w:rsidRPr="00731526" w:rsidRDefault="005F2B82" w:rsidP="00314194">
            <w:pPr>
              <w:spacing w:after="0"/>
              <w:rPr>
                <w:rFonts w:ascii="Arial Narrow" w:hAnsi="Arial Narrow"/>
              </w:rPr>
            </w:pPr>
            <w:r w:rsidRPr="00592719">
              <w:rPr>
                <w:rFonts w:ascii="Arial Narrow" w:hAnsi="Arial Narrow" w:cs="Calibri"/>
              </w:rPr>
              <w:t xml:space="preserve">Subsequent anti-cancer </w:t>
            </w:r>
            <w:r>
              <w:rPr>
                <w:rFonts w:ascii="Arial Narrow" w:hAnsi="Arial Narrow" w:cs="Calibri"/>
              </w:rPr>
              <w:t>treatment</w:t>
            </w:r>
            <w:r w:rsidRPr="00592719">
              <w:rPr>
                <w:rFonts w:ascii="Arial Narrow" w:hAnsi="Arial Narrow" w:cs="Calibri"/>
              </w:rPr>
              <w:t xml:space="preserve"> (local and metastatic recurrence)</w:t>
            </w:r>
            <w:r>
              <w:rPr>
                <w:rFonts w:ascii="Arial Narrow" w:hAnsi="Arial Narrow" w:cs="Calibri"/>
              </w:rPr>
              <w:t>, including cost of managing adverse events</w:t>
            </w:r>
          </w:p>
        </w:tc>
        <w:tc>
          <w:tcPr>
            <w:tcW w:w="1085" w:type="pct"/>
            <w:vAlign w:val="bottom"/>
          </w:tcPr>
          <w:p w14:paraId="5B2690A3" w14:textId="77777777" w:rsidR="005F2B82" w:rsidRPr="00486432" w:rsidRDefault="005F2B82" w:rsidP="00314194">
            <w:pPr>
              <w:spacing w:after="0"/>
              <w:jc w:val="center"/>
              <w:rPr>
                <w:rFonts w:ascii="Arial Narrow" w:hAnsi="Arial Narrow"/>
              </w:rPr>
            </w:pPr>
            <w:r w:rsidRPr="00592719">
              <w:rPr>
                <w:rFonts w:ascii="Arial Narrow" w:hAnsi="Arial Narrow" w:cs="Calibri"/>
              </w:rPr>
              <w:t>$</w:t>
            </w:r>
            <w:r>
              <w:rPr>
                <w:rFonts w:ascii="Arial Narrow" w:hAnsi="Arial Narrow" w:cs="Calibri"/>
              </w:rPr>
              <w:t>8,392</w:t>
            </w:r>
          </w:p>
        </w:tc>
        <w:tc>
          <w:tcPr>
            <w:tcW w:w="948" w:type="pct"/>
            <w:vAlign w:val="bottom"/>
          </w:tcPr>
          <w:p w14:paraId="7187A9C9" w14:textId="77777777" w:rsidR="005F2B82" w:rsidRPr="00486432" w:rsidRDefault="005F2B82" w:rsidP="00314194">
            <w:pPr>
              <w:spacing w:after="0"/>
              <w:jc w:val="center"/>
              <w:rPr>
                <w:rFonts w:ascii="Arial Narrow" w:hAnsi="Arial Narrow"/>
              </w:rPr>
            </w:pPr>
            <w:r w:rsidRPr="00592719">
              <w:rPr>
                <w:rFonts w:ascii="Arial Narrow" w:hAnsi="Arial Narrow" w:cs="Calibri"/>
              </w:rPr>
              <w:t>$8,</w:t>
            </w:r>
            <w:r>
              <w:rPr>
                <w:rFonts w:ascii="Arial Narrow" w:hAnsi="Arial Narrow" w:cs="Calibri"/>
              </w:rPr>
              <w:t>862</w:t>
            </w:r>
          </w:p>
        </w:tc>
        <w:tc>
          <w:tcPr>
            <w:tcW w:w="868" w:type="pct"/>
            <w:vAlign w:val="bottom"/>
          </w:tcPr>
          <w:p w14:paraId="7C89656C" w14:textId="77777777" w:rsidR="005F2B82" w:rsidRPr="00486432" w:rsidRDefault="005F2B82" w:rsidP="00314194">
            <w:pPr>
              <w:spacing w:after="0"/>
              <w:jc w:val="center"/>
              <w:rPr>
                <w:rFonts w:ascii="Arial Narrow" w:hAnsi="Arial Narrow"/>
              </w:rPr>
            </w:pPr>
            <w:r w:rsidRPr="00592719">
              <w:rPr>
                <w:rFonts w:ascii="Arial Narrow" w:hAnsi="Arial Narrow" w:cs="Calibri"/>
              </w:rPr>
              <w:t>-$4</w:t>
            </w:r>
            <w:r>
              <w:rPr>
                <w:rFonts w:ascii="Arial Narrow" w:hAnsi="Arial Narrow" w:cs="Calibri"/>
              </w:rPr>
              <w:t>70</w:t>
            </w:r>
          </w:p>
        </w:tc>
      </w:tr>
      <w:tr w:rsidR="005F2B82" w:rsidRPr="00731526" w14:paraId="1A9C99B4" w14:textId="77777777" w:rsidTr="00742EB8">
        <w:trPr>
          <w:trHeight w:val="288"/>
        </w:trPr>
        <w:tc>
          <w:tcPr>
            <w:tcW w:w="2100" w:type="pct"/>
            <w:shd w:val="clear" w:color="auto" w:fill="auto"/>
            <w:noWrap/>
            <w:vAlign w:val="bottom"/>
          </w:tcPr>
          <w:p w14:paraId="5CE671A3" w14:textId="77777777" w:rsidR="005F2B82" w:rsidRPr="00731526" w:rsidRDefault="005F2B82" w:rsidP="00314194">
            <w:pPr>
              <w:spacing w:after="0"/>
              <w:rPr>
                <w:rFonts w:ascii="Arial Narrow" w:hAnsi="Arial Narrow"/>
              </w:rPr>
            </w:pPr>
            <w:r w:rsidRPr="00592719">
              <w:rPr>
                <w:rFonts w:ascii="Arial Narrow" w:hAnsi="Arial Narrow" w:cs="Calibri"/>
              </w:rPr>
              <w:t>Surgery/radiotherapy post recurrence</w:t>
            </w:r>
          </w:p>
        </w:tc>
        <w:tc>
          <w:tcPr>
            <w:tcW w:w="1085" w:type="pct"/>
            <w:vAlign w:val="bottom"/>
          </w:tcPr>
          <w:p w14:paraId="0FA27540" w14:textId="77777777" w:rsidR="005F2B82" w:rsidRPr="00486432" w:rsidRDefault="005F2B82" w:rsidP="00314194">
            <w:pPr>
              <w:spacing w:after="0"/>
              <w:jc w:val="center"/>
              <w:rPr>
                <w:rFonts w:ascii="Arial Narrow" w:hAnsi="Arial Narrow"/>
              </w:rPr>
            </w:pPr>
            <w:r w:rsidRPr="00592719">
              <w:rPr>
                <w:rFonts w:ascii="Arial Narrow" w:hAnsi="Arial Narrow" w:cs="Calibri"/>
              </w:rPr>
              <w:t>$1,018</w:t>
            </w:r>
          </w:p>
        </w:tc>
        <w:tc>
          <w:tcPr>
            <w:tcW w:w="948" w:type="pct"/>
            <w:vAlign w:val="bottom"/>
          </w:tcPr>
          <w:p w14:paraId="6678D577" w14:textId="77777777" w:rsidR="005F2B82" w:rsidRPr="00486432" w:rsidRDefault="005F2B82" w:rsidP="00314194">
            <w:pPr>
              <w:spacing w:after="0"/>
              <w:jc w:val="center"/>
              <w:rPr>
                <w:rFonts w:ascii="Arial Narrow" w:hAnsi="Arial Narrow"/>
              </w:rPr>
            </w:pPr>
            <w:r w:rsidRPr="00592719">
              <w:rPr>
                <w:rFonts w:ascii="Arial Narrow" w:hAnsi="Arial Narrow" w:cs="Calibri"/>
              </w:rPr>
              <w:t>$1,071</w:t>
            </w:r>
          </w:p>
        </w:tc>
        <w:tc>
          <w:tcPr>
            <w:tcW w:w="868" w:type="pct"/>
            <w:vAlign w:val="bottom"/>
          </w:tcPr>
          <w:p w14:paraId="44A21F6E" w14:textId="77777777" w:rsidR="005F2B82" w:rsidRPr="00486432" w:rsidRDefault="005F2B82" w:rsidP="00314194">
            <w:pPr>
              <w:spacing w:after="0"/>
              <w:jc w:val="center"/>
              <w:rPr>
                <w:rFonts w:ascii="Arial Narrow" w:hAnsi="Arial Narrow"/>
              </w:rPr>
            </w:pPr>
            <w:r w:rsidRPr="00592719">
              <w:rPr>
                <w:rFonts w:ascii="Arial Narrow" w:hAnsi="Arial Narrow" w:cs="Calibri"/>
              </w:rPr>
              <w:t>-$53</w:t>
            </w:r>
          </w:p>
        </w:tc>
      </w:tr>
      <w:tr w:rsidR="005F2B82" w:rsidRPr="00731526" w14:paraId="4DAD19AB" w14:textId="77777777" w:rsidTr="00742EB8">
        <w:trPr>
          <w:trHeight w:val="288"/>
        </w:trPr>
        <w:tc>
          <w:tcPr>
            <w:tcW w:w="2100" w:type="pct"/>
            <w:shd w:val="clear" w:color="auto" w:fill="auto"/>
            <w:noWrap/>
            <w:vAlign w:val="bottom"/>
          </w:tcPr>
          <w:p w14:paraId="04C14099" w14:textId="77777777" w:rsidR="005F2B82" w:rsidRPr="00731526" w:rsidRDefault="005F2B82" w:rsidP="00314194">
            <w:pPr>
              <w:spacing w:after="0"/>
              <w:rPr>
                <w:rFonts w:ascii="Arial Narrow" w:hAnsi="Arial Narrow"/>
              </w:rPr>
            </w:pPr>
            <w:r>
              <w:rPr>
                <w:rFonts w:ascii="Arial Narrow" w:hAnsi="Arial Narrow" w:cs="Calibri"/>
              </w:rPr>
              <w:t>Management of a</w:t>
            </w:r>
            <w:r w:rsidRPr="00592719">
              <w:rPr>
                <w:rFonts w:ascii="Arial Narrow" w:hAnsi="Arial Narrow" w:cs="Calibri"/>
              </w:rPr>
              <w:t>dverse events</w:t>
            </w:r>
          </w:p>
        </w:tc>
        <w:tc>
          <w:tcPr>
            <w:tcW w:w="1085" w:type="pct"/>
            <w:vAlign w:val="bottom"/>
          </w:tcPr>
          <w:p w14:paraId="04D7D586" w14:textId="77777777" w:rsidR="005F2B82" w:rsidRPr="00486432" w:rsidRDefault="005F2B82" w:rsidP="00314194">
            <w:pPr>
              <w:spacing w:after="0"/>
              <w:jc w:val="center"/>
              <w:rPr>
                <w:rFonts w:ascii="Arial Narrow" w:hAnsi="Arial Narrow"/>
              </w:rPr>
            </w:pPr>
            <w:r w:rsidRPr="00592719">
              <w:rPr>
                <w:rFonts w:ascii="Arial Narrow" w:hAnsi="Arial Narrow" w:cs="Calibri"/>
              </w:rPr>
              <w:t>$827</w:t>
            </w:r>
          </w:p>
        </w:tc>
        <w:tc>
          <w:tcPr>
            <w:tcW w:w="948" w:type="pct"/>
            <w:vAlign w:val="bottom"/>
          </w:tcPr>
          <w:p w14:paraId="67272209" w14:textId="77777777" w:rsidR="005F2B82" w:rsidRPr="00486432" w:rsidRDefault="005F2B82" w:rsidP="00314194">
            <w:pPr>
              <w:spacing w:after="0"/>
              <w:jc w:val="center"/>
              <w:rPr>
                <w:rFonts w:ascii="Arial Narrow" w:hAnsi="Arial Narrow"/>
              </w:rPr>
            </w:pPr>
            <w:r w:rsidRPr="00592719">
              <w:rPr>
                <w:rFonts w:ascii="Arial Narrow" w:hAnsi="Arial Narrow" w:cs="Calibri"/>
              </w:rPr>
              <w:t>$805</w:t>
            </w:r>
          </w:p>
        </w:tc>
        <w:tc>
          <w:tcPr>
            <w:tcW w:w="868" w:type="pct"/>
            <w:vAlign w:val="bottom"/>
          </w:tcPr>
          <w:p w14:paraId="6351A17D" w14:textId="77777777" w:rsidR="005F2B82" w:rsidRPr="00486432" w:rsidRDefault="005F2B82" w:rsidP="00314194">
            <w:pPr>
              <w:spacing w:after="0"/>
              <w:jc w:val="center"/>
              <w:rPr>
                <w:rFonts w:ascii="Arial Narrow" w:hAnsi="Arial Narrow"/>
              </w:rPr>
            </w:pPr>
            <w:r w:rsidRPr="00592719">
              <w:rPr>
                <w:rFonts w:ascii="Arial Narrow" w:hAnsi="Arial Narrow" w:cs="Calibri"/>
              </w:rPr>
              <w:t>$22</w:t>
            </w:r>
          </w:p>
        </w:tc>
      </w:tr>
      <w:tr w:rsidR="005F2B82" w:rsidRPr="00731526" w14:paraId="0708B9FF" w14:textId="77777777" w:rsidTr="00742EB8">
        <w:trPr>
          <w:trHeight w:val="288"/>
        </w:trPr>
        <w:tc>
          <w:tcPr>
            <w:tcW w:w="2100" w:type="pct"/>
            <w:shd w:val="clear" w:color="auto" w:fill="auto"/>
            <w:noWrap/>
            <w:vAlign w:val="bottom"/>
          </w:tcPr>
          <w:p w14:paraId="04BE861F" w14:textId="77777777" w:rsidR="005F2B82" w:rsidRPr="00731526" w:rsidRDefault="005F2B82" w:rsidP="00314194">
            <w:pPr>
              <w:spacing w:after="0"/>
              <w:rPr>
                <w:rFonts w:ascii="Arial Narrow" w:hAnsi="Arial Narrow"/>
              </w:rPr>
            </w:pPr>
            <w:r w:rsidRPr="00592719">
              <w:rPr>
                <w:rFonts w:ascii="Arial Narrow" w:hAnsi="Arial Narrow" w:cs="Calibri"/>
              </w:rPr>
              <w:t>Disease monitoring</w:t>
            </w:r>
          </w:p>
        </w:tc>
        <w:tc>
          <w:tcPr>
            <w:tcW w:w="1085" w:type="pct"/>
            <w:vAlign w:val="bottom"/>
          </w:tcPr>
          <w:p w14:paraId="1C2C144D" w14:textId="77777777" w:rsidR="005F2B82" w:rsidRPr="00486432" w:rsidRDefault="005F2B82" w:rsidP="00314194">
            <w:pPr>
              <w:spacing w:after="0"/>
              <w:jc w:val="center"/>
              <w:rPr>
                <w:rFonts w:ascii="Arial Narrow" w:hAnsi="Arial Narrow"/>
              </w:rPr>
            </w:pPr>
            <w:r w:rsidRPr="00592719">
              <w:rPr>
                <w:rFonts w:ascii="Arial Narrow" w:hAnsi="Arial Narrow" w:cs="Calibri"/>
              </w:rPr>
              <w:t>$5,892</w:t>
            </w:r>
          </w:p>
        </w:tc>
        <w:tc>
          <w:tcPr>
            <w:tcW w:w="948" w:type="pct"/>
            <w:vAlign w:val="bottom"/>
          </w:tcPr>
          <w:p w14:paraId="62139AEC" w14:textId="77777777" w:rsidR="005F2B82" w:rsidRPr="00486432" w:rsidRDefault="005F2B82" w:rsidP="00314194">
            <w:pPr>
              <w:spacing w:after="0"/>
              <w:jc w:val="center"/>
              <w:rPr>
                <w:rFonts w:ascii="Arial Narrow" w:hAnsi="Arial Narrow"/>
              </w:rPr>
            </w:pPr>
            <w:r w:rsidRPr="00592719">
              <w:rPr>
                <w:rFonts w:ascii="Arial Narrow" w:hAnsi="Arial Narrow" w:cs="Calibri"/>
              </w:rPr>
              <w:t>$5,919</w:t>
            </w:r>
          </w:p>
        </w:tc>
        <w:tc>
          <w:tcPr>
            <w:tcW w:w="868" w:type="pct"/>
            <w:vAlign w:val="bottom"/>
          </w:tcPr>
          <w:p w14:paraId="252B3E7B" w14:textId="77777777" w:rsidR="005F2B82" w:rsidRPr="00486432" w:rsidRDefault="005F2B82" w:rsidP="00314194">
            <w:pPr>
              <w:spacing w:after="0"/>
              <w:jc w:val="center"/>
              <w:rPr>
                <w:rFonts w:ascii="Arial Narrow" w:hAnsi="Arial Narrow"/>
              </w:rPr>
            </w:pPr>
            <w:r w:rsidRPr="00592719">
              <w:rPr>
                <w:rFonts w:ascii="Arial Narrow" w:hAnsi="Arial Narrow" w:cs="Calibri"/>
              </w:rPr>
              <w:t>-$27</w:t>
            </w:r>
          </w:p>
        </w:tc>
      </w:tr>
      <w:tr w:rsidR="005F2B82" w:rsidRPr="00731526" w14:paraId="2E145C96" w14:textId="77777777" w:rsidTr="00742EB8">
        <w:trPr>
          <w:trHeight w:val="288"/>
        </w:trPr>
        <w:tc>
          <w:tcPr>
            <w:tcW w:w="2100" w:type="pct"/>
            <w:shd w:val="clear" w:color="auto" w:fill="auto"/>
            <w:noWrap/>
            <w:vAlign w:val="bottom"/>
          </w:tcPr>
          <w:p w14:paraId="74D41FC9" w14:textId="77777777" w:rsidR="005F2B82" w:rsidRPr="00731526" w:rsidRDefault="005F2B82" w:rsidP="00314194">
            <w:pPr>
              <w:spacing w:after="0"/>
              <w:rPr>
                <w:rFonts w:ascii="Arial Narrow" w:hAnsi="Arial Narrow"/>
              </w:rPr>
            </w:pPr>
            <w:r w:rsidRPr="00592719">
              <w:rPr>
                <w:rFonts w:ascii="Arial Narrow" w:hAnsi="Arial Narrow" w:cs="Calibri"/>
              </w:rPr>
              <w:t>Terminal care</w:t>
            </w:r>
          </w:p>
        </w:tc>
        <w:tc>
          <w:tcPr>
            <w:tcW w:w="1085" w:type="pct"/>
            <w:vAlign w:val="bottom"/>
          </w:tcPr>
          <w:p w14:paraId="08D44C0C" w14:textId="77777777" w:rsidR="005F2B82" w:rsidRPr="00486432" w:rsidRDefault="005F2B82" w:rsidP="00314194">
            <w:pPr>
              <w:spacing w:after="0"/>
              <w:jc w:val="center"/>
              <w:rPr>
                <w:rFonts w:ascii="Arial Narrow" w:hAnsi="Arial Narrow"/>
              </w:rPr>
            </w:pPr>
            <w:r w:rsidRPr="00592719">
              <w:rPr>
                <w:rFonts w:ascii="Arial Narrow" w:hAnsi="Arial Narrow" w:cs="Calibri"/>
              </w:rPr>
              <w:t>$</w:t>
            </w:r>
            <w:r>
              <w:rPr>
                <w:rFonts w:ascii="Arial Narrow" w:hAnsi="Arial Narrow" w:cs="Calibri"/>
              </w:rPr>
              <w:t>6,038</w:t>
            </w:r>
          </w:p>
        </w:tc>
        <w:tc>
          <w:tcPr>
            <w:tcW w:w="948" w:type="pct"/>
            <w:vAlign w:val="bottom"/>
          </w:tcPr>
          <w:p w14:paraId="53761CBC" w14:textId="77777777" w:rsidR="005F2B82" w:rsidRPr="00486432" w:rsidRDefault="005F2B82" w:rsidP="00314194">
            <w:pPr>
              <w:spacing w:after="0"/>
              <w:jc w:val="center"/>
              <w:rPr>
                <w:rFonts w:ascii="Arial Narrow" w:hAnsi="Arial Narrow"/>
              </w:rPr>
            </w:pPr>
            <w:r w:rsidRPr="00592719">
              <w:rPr>
                <w:rFonts w:ascii="Arial Narrow" w:hAnsi="Arial Narrow" w:cs="Calibri"/>
              </w:rPr>
              <w:t>$</w:t>
            </w:r>
            <w:r>
              <w:rPr>
                <w:rFonts w:ascii="Arial Narrow" w:hAnsi="Arial Narrow" w:cs="Calibri"/>
              </w:rPr>
              <w:t>6,256</w:t>
            </w:r>
          </w:p>
        </w:tc>
        <w:tc>
          <w:tcPr>
            <w:tcW w:w="868" w:type="pct"/>
            <w:vAlign w:val="bottom"/>
          </w:tcPr>
          <w:p w14:paraId="753930DC" w14:textId="77777777" w:rsidR="005F2B82" w:rsidRPr="00486432" w:rsidRDefault="005F2B82" w:rsidP="00314194">
            <w:pPr>
              <w:spacing w:after="0"/>
              <w:jc w:val="center"/>
              <w:rPr>
                <w:rFonts w:ascii="Arial Narrow" w:hAnsi="Arial Narrow"/>
              </w:rPr>
            </w:pPr>
            <w:r w:rsidRPr="00592719">
              <w:rPr>
                <w:rFonts w:ascii="Arial Narrow" w:hAnsi="Arial Narrow" w:cs="Calibri"/>
              </w:rPr>
              <w:t>-$</w:t>
            </w:r>
            <w:r>
              <w:rPr>
                <w:rFonts w:ascii="Arial Narrow" w:hAnsi="Arial Narrow" w:cs="Calibri"/>
              </w:rPr>
              <w:t>218</w:t>
            </w:r>
          </w:p>
        </w:tc>
      </w:tr>
      <w:tr w:rsidR="005F2B82" w:rsidRPr="00731526" w14:paraId="6194728E" w14:textId="77777777" w:rsidTr="00742EB8">
        <w:trPr>
          <w:trHeight w:val="288"/>
        </w:trPr>
        <w:tc>
          <w:tcPr>
            <w:tcW w:w="2100" w:type="pct"/>
            <w:shd w:val="clear" w:color="auto" w:fill="auto"/>
            <w:noWrap/>
            <w:vAlign w:val="bottom"/>
          </w:tcPr>
          <w:p w14:paraId="5E30B949" w14:textId="77777777" w:rsidR="005F2B82" w:rsidRPr="00731526" w:rsidRDefault="005F2B82" w:rsidP="00314194">
            <w:pPr>
              <w:spacing w:after="0"/>
              <w:rPr>
                <w:rFonts w:ascii="Arial Narrow" w:hAnsi="Arial Narrow"/>
              </w:rPr>
            </w:pPr>
            <w:r w:rsidRPr="00592719">
              <w:rPr>
                <w:rFonts w:ascii="Arial Narrow" w:hAnsi="Arial Narrow" w:cs="Calibri"/>
              </w:rPr>
              <w:t>Testing costs</w:t>
            </w:r>
          </w:p>
        </w:tc>
        <w:tc>
          <w:tcPr>
            <w:tcW w:w="1085" w:type="pct"/>
            <w:vAlign w:val="bottom"/>
          </w:tcPr>
          <w:p w14:paraId="0E411AB6" w14:textId="77777777" w:rsidR="005F2B82" w:rsidRPr="00486432" w:rsidRDefault="005F2B82" w:rsidP="00314194">
            <w:pPr>
              <w:spacing w:after="0"/>
              <w:jc w:val="center"/>
              <w:rPr>
                <w:rFonts w:ascii="Arial Narrow" w:hAnsi="Arial Narrow"/>
              </w:rPr>
            </w:pPr>
            <w:r w:rsidRPr="00592719">
              <w:rPr>
                <w:rFonts w:ascii="Arial Narrow" w:hAnsi="Arial Narrow" w:cs="Calibri"/>
              </w:rPr>
              <w:t>$1,283</w:t>
            </w:r>
          </w:p>
        </w:tc>
        <w:tc>
          <w:tcPr>
            <w:tcW w:w="948" w:type="pct"/>
            <w:vAlign w:val="bottom"/>
          </w:tcPr>
          <w:p w14:paraId="72AA6EE3" w14:textId="77777777" w:rsidR="005F2B82" w:rsidRPr="00486432" w:rsidRDefault="005F2B82" w:rsidP="00314194">
            <w:pPr>
              <w:spacing w:after="0"/>
              <w:jc w:val="center"/>
              <w:rPr>
                <w:rFonts w:ascii="Arial Narrow" w:hAnsi="Arial Narrow"/>
              </w:rPr>
            </w:pPr>
            <w:r w:rsidRPr="00592719">
              <w:rPr>
                <w:rFonts w:ascii="Arial Narrow" w:hAnsi="Arial Narrow" w:cs="Calibri"/>
              </w:rPr>
              <w:t>$999</w:t>
            </w:r>
          </w:p>
        </w:tc>
        <w:tc>
          <w:tcPr>
            <w:tcW w:w="868" w:type="pct"/>
            <w:vAlign w:val="bottom"/>
          </w:tcPr>
          <w:p w14:paraId="0F6CF234" w14:textId="77777777" w:rsidR="005F2B82" w:rsidRPr="00486432" w:rsidRDefault="005F2B82" w:rsidP="00314194">
            <w:pPr>
              <w:spacing w:after="0"/>
              <w:jc w:val="center"/>
              <w:rPr>
                <w:rFonts w:ascii="Arial Narrow" w:hAnsi="Arial Narrow"/>
              </w:rPr>
            </w:pPr>
            <w:r w:rsidRPr="00592719">
              <w:rPr>
                <w:rFonts w:ascii="Arial Narrow" w:hAnsi="Arial Narrow" w:cs="Calibri"/>
              </w:rPr>
              <w:t>$284</w:t>
            </w:r>
          </w:p>
        </w:tc>
      </w:tr>
      <w:tr w:rsidR="005F2B82" w:rsidRPr="00731526" w14:paraId="749D274D" w14:textId="77777777" w:rsidTr="00742EB8">
        <w:trPr>
          <w:trHeight w:val="288"/>
        </w:trPr>
        <w:tc>
          <w:tcPr>
            <w:tcW w:w="2100" w:type="pct"/>
            <w:shd w:val="clear" w:color="auto" w:fill="auto"/>
            <w:noWrap/>
            <w:vAlign w:val="bottom"/>
          </w:tcPr>
          <w:p w14:paraId="16FB9E3C" w14:textId="77777777" w:rsidR="005F2B82" w:rsidRPr="00731526" w:rsidRDefault="005F2B82" w:rsidP="00314194">
            <w:pPr>
              <w:spacing w:after="0"/>
              <w:rPr>
                <w:rFonts w:ascii="Arial Narrow" w:hAnsi="Arial Narrow"/>
              </w:rPr>
            </w:pPr>
            <w:r w:rsidRPr="00592719">
              <w:rPr>
                <w:rFonts w:ascii="Arial Narrow" w:hAnsi="Arial Narrow" w:cs="Calibri"/>
              </w:rPr>
              <w:t>Total</w:t>
            </w:r>
          </w:p>
        </w:tc>
        <w:tc>
          <w:tcPr>
            <w:tcW w:w="1085" w:type="pct"/>
            <w:vAlign w:val="bottom"/>
          </w:tcPr>
          <w:p w14:paraId="4DF225CF" w14:textId="4FEAF08A" w:rsidR="005F2B82" w:rsidRPr="00486432" w:rsidRDefault="00812F23" w:rsidP="00314194">
            <w:pPr>
              <w:spacing w:after="0"/>
              <w:jc w:val="center"/>
              <w:rPr>
                <w:rFonts w:ascii="Arial Narrow" w:hAnsi="Arial Narrow"/>
              </w:rPr>
            </w:pPr>
            <w:r w:rsidRPr="00887956">
              <w:rPr>
                <w:rFonts w:ascii="Arial Narrow" w:hAnsi="Arial Narrow" w:cs="Calibri"/>
              </w:rPr>
              <w:t>$</w:t>
            </w:r>
          </w:p>
        </w:tc>
        <w:tc>
          <w:tcPr>
            <w:tcW w:w="948" w:type="pct"/>
            <w:vAlign w:val="bottom"/>
          </w:tcPr>
          <w:p w14:paraId="5DA15103" w14:textId="66BC4A17" w:rsidR="005F2B82" w:rsidRPr="00486432" w:rsidRDefault="005F2B82" w:rsidP="00314194">
            <w:pPr>
              <w:spacing w:after="0"/>
              <w:jc w:val="center"/>
              <w:rPr>
                <w:rFonts w:ascii="Arial Narrow" w:hAnsi="Arial Narrow"/>
              </w:rPr>
            </w:pPr>
            <w:r w:rsidRPr="00592719">
              <w:rPr>
                <w:rFonts w:ascii="Arial Narrow" w:hAnsi="Arial Narrow" w:cs="Calibri"/>
              </w:rPr>
              <w:t>$</w:t>
            </w:r>
            <w:r w:rsidR="00887956" w:rsidRPr="00812F23">
              <w:rPr>
                <w:color w:val="000000"/>
                <w:spacing w:val="12"/>
                <w:w w:val="86"/>
                <w:shd w:val="solid" w:color="000000" w:fill="000000"/>
                <w:fitText w:val="380" w:id="-1233492990"/>
                <w14:textFill>
                  <w14:solidFill>
                    <w14:srgbClr w14:val="000000">
                      <w14:alpha w14:val="100000"/>
                    </w14:srgbClr>
                  </w14:solidFill>
                </w14:textFill>
              </w:rPr>
              <w:t>|||</w:t>
            </w:r>
            <w:r w:rsidR="00887956" w:rsidRPr="00812F23">
              <w:rPr>
                <w:color w:val="000000"/>
                <w:spacing w:val="1"/>
                <w:w w:val="86"/>
                <w:shd w:val="solid" w:color="000000" w:fill="000000"/>
                <w:fitText w:val="380" w:id="-1233492990"/>
                <w14:textFill>
                  <w14:solidFill>
                    <w14:srgbClr w14:val="000000">
                      <w14:alpha w14:val="100000"/>
                    </w14:srgbClr>
                  </w14:solidFill>
                </w14:textFill>
              </w:rPr>
              <w:t>|</w:t>
            </w:r>
          </w:p>
        </w:tc>
        <w:tc>
          <w:tcPr>
            <w:tcW w:w="868" w:type="pct"/>
            <w:vAlign w:val="bottom"/>
          </w:tcPr>
          <w:p w14:paraId="10ADBFA0" w14:textId="5D8AFB73" w:rsidR="005F2B82" w:rsidRPr="00486432" w:rsidRDefault="005F2B82" w:rsidP="00314194">
            <w:pPr>
              <w:spacing w:after="0"/>
              <w:jc w:val="center"/>
              <w:rPr>
                <w:rFonts w:ascii="Arial Narrow" w:hAnsi="Arial Narrow"/>
              </w:rPr>
            </w:pPr>
            <w:r w:rsidRPr="00887956">
              <w:rPr>
                <w:rFonts w:ascii="Arial Narrow" w:hAnsi="Arial Narrow" w:cs="Calibri"/>
              </w:rPr>
              <w:t>$</w:t>
            </w:r>
            <w:r w:rsidR="00401E6D" w:rsidRPr="00812F23">
              <w:rPr>
                <w:color w:val="000000"/>
                <w:spacing w:val="12"/>
                <w:w w:val="86"/>
                <w:shd w:val="solid" w:color="000000" w:fill="000000"/>
                <w:fitText w:val="380" w:id="-1233492990"/>
                <w14:textFill>
                  <w14:solidFill>
                    <w14:srgbClr w14:val="000000">
                      <w14:alpha w14:val="100000"/>
                    </w14:srgbClr>
                  </w14:solidFill>
                </w14:textFill>
              </w:rPr>
              <w:t>|||</w:t>
            </w:r>
            <w:r w:rsidR="00401E6D" w:rsidRPr="00812F23">
              <w:rPr>
                <w:color w:val="000000"/>
                <w:spacing w:val="1"/>
                <w:w w:val="86"/>
                <w:shd w:val="solid" w:color="000000" w:fill="000000"/>
                <w:fitText w:val="380" w:id="-1233492990"/>
                <w14:textFill>
                  <w14:solidFill>
                    <w14:srgbClr w14:val="000000">
                      <w14:alpha w14:val="100000"/>
                    </w14:srgbClr>
                  </w14:solidFill>
                </w14:textFill>
              </w:rPr>
              <w:t>|</w:t>
            </w:r>
          </w:p>
        </w:tc>
      </w:tr>
      <w:tr w:rsidR="005F2B82" w:rsidRPr="00731526" w14:paraId="41F6EC6E" w14:textId="77777777" w:rsidTr="00742EB8">
        <w:trPr>
          <w:trHeight w:val="288"/>
        </w:trPr>
        <w:tc>
          <w:tcPr>
            <w:tcW w:w="2100" w:type="pct"/>
            <w:shd w:val="clear" w:color="auto" w:fill="auto"/>
            <w:noWrap/>
            <w:vAlign w:val="bottom"/>
            <w:hideMark/>
          </w:tcPr>
          <w:p w14:paraId="4BF9AE6E" w14:textId="77777777" w:rsidR="005F2B82" w:rsidRPr="00731526" w:rsidRDefault="005F2B82" w:rsidP="00314194">
            <w:pPr>
              <w:spacing w:after="0"/>
              <w:rPr>
                <w:rFonts w:ascii="Arial Narrow" w:hAnsi="Arial Narrow"/>
              </w:rPr>
            </w:pPr>
            <w:r w:rsidRPr="00731526">
              <w:rPr>
                <w:rFonts w:ascii="Arial Narrow" w:hAnsi="Arial Narrow"/>
              </w:rPr>
              <w:t>Discounted QALYs</w:t>
            </w:r>
          </w:p>
        </w:tc>
        <w:tc>
          <w:tcPr>
            <w:tcW w:w="1085" w:type="pct"/>
            <w:vAlign w:val="bottom"/>
          </w:tcPr>
          <w:p w14:paraId="44A59CBC" w14:textId="220333B4" w:rsidR="005F2B82" w:rsidRPr="00486432" w:rsidRDefault="00812F23" w:rsidP="00314194">
            <w:pPr>
              <w:spacing w:after="0"/>
              <w:jc w:val="center"/>
              <w:rPr>
                <w:rFonts w:ascii="Arial Narrow" w:hAnsi="Arial Narrow"/>
              </w:rPr>
            </w:pPr>
            <w:r>
              <w:rPr>
                <w:rFonts w:ascii="Arial Narrow" w:hAnsi="Arial Narrow"/>
              </w:rPr>
              <w:t>12.83</w:t>
            </w:r>
          </w:p>
        </w:tc>
        <w:tc>
          <w:tcPr>
            <w:tcW w:w="948" w:type="pct"/>
            <w:vAlign w:val="bottom"/>
          </w:tcPr>
          <w:p w14:paraId="207AABEB" w14:textId="3E7C0F4B" w:rsidR="005F2B82" w:rsidRPr="00486432" w:rsidRDefault="00812F23" w:rsidP="00314194">
            <w:pPr>
              <w:spacing w:after="0"/>
              <w:jc w:val="center"/>
              <w:rPr>
                <w:rFonts w:ascii="Arial Narrow" w:hAnsi="Arial Narrow"/>
              </w:rPr>
            </w:pPr>
            <w:r>
              <w:rPr>
                <w:rFonts w:ascii="Arial Narrow" w:hAnsi="Arial Narrow"/>
              </w:rPr>
              <w:t>12.70</w:t>
            </w:r>
          </w:p>
        </w:tc>
        <w:tc>
          <w:tcPr>
            <w:tcW w:w="868" w:type="pct"/>
            <w:vAlign w:val="bottom"/>
          </w:tcPr>
          <w:p w14:paraId="1D222520" w14:textId="354CC19B" w:rsidR="005F2B82" w:rsidRPr="00486432" w:rsidRDefault="00812F23" w:rsidP="00314194">
            <w:pPr>
              <w:spacing w:after="0"/>
              <w:jc w:val="center"/>
              <w:rPr>
                <w:rFonts w:ascii="Arial Narrow" w:hAnsi="Arial Narrow"/>
              </w:rPr>
            </w:pPr>
            <w:r>
              <w:rPr>
                <w:rFonts w:ascii="Arial Narrow" w:hAnsi="Arial Narrow"/>
              </w:rPr>
              <w:t>0.13</w:t>
            </w:r>
          </w:p>
        </w:tc>
      </w:tr>
      <w:tr w:rsidR="005F2B82" w:rsidRPr="00731526" w14:paraId="0766E22D" w14:textId="77777777" w:rsidTr="00742EB8">
        <w:trPr>
          <w:trHeight w:val="288"/>
        </w:trPr>
        <w:tc>
          <w:tcPr>
            <w:tcW w:w="2100" w:type="pct"/>
            <w:shd w:val="clear" w:color="auto" w:fill="auto"/>
            <w:noWrap/>
            <w:vAlign w:val="bottom"/>
          </w:tcPr>
          <w:p w14:paraId="38D90D74" w14:textId="77777777" w:rsidR="005F2B82" w:rsidRPr="00731526" w:rsidRDefault="005F2B82" w:rsidP="00314194">
            <w:pPr>
              <w:spacing w:after="0"/>
              <w:rPr>
                <w:rFonts w:ascii="Arial Narrow" w:hAnsi="Arial Narrow"/>
              </w:rPr>
            </w:pPr>
            <w:r>
              <w:rPr>
                <w:rFonts w:ascii="Arial Narrow" w:hAnsi="Arial Narrow"/>
              </w:rPr>
              <w:t>ICER</w:t>
            </w:r>
          </w:p>
        </w:tc>
        <w:tc>
          <w:tcPr>
            <w:tcW w:w="2900" w:type="pct"/>
            <w:gridSpan w:val="3"/>
            <w:vAlign w:val="center"/>
          </w:tcPr>
          <w:p w14:paraId="79E5FEA4" w14:textId="65B5CA0B" w:rsidR="005F2B82" w:rsidRPr="008634CA" w:rsidRDefault="005F2B82" w:rsidP="00314194">
            <w:pPr>
              <w:spacing w:after="0"/>
              <w:jc w:val="center"/>
              <w:rPr>
                <w:rFonts w:ascii="Arial Narrow" w:hAnsi="Arial Narrow"/>
                <w:vertAlign w:val="superscript"/>
              </w:rPr>
            </w:pPr>
            <w:r w:rsidRPr="00872AE4">
              <w:rPr>
                <w:rFonts w:ascii="Arial Narrow" w:hAnsi="Arial Narrow"/>
              </w:rPr>
              <w:t>$</w:t>
            </w:r>
            <w:r w:rsidR="00872AE4" w:rsidRPr="00887956">
              <w:rPr>
                <w:color w:val="000000"/>
                <w:w w:val="95"/>
                <w:shd w:val="solid" w:color="000000" w:fill="000000"/>
                <w:fitText w:val="380" w:id="-1233492990"/>
                <w14:textFill>
                  <w14:solidFill>
                    <w14:srgbClr w14:val="000000">
                      <w14:alpha w14:val="100000"/>
                    </w14:srgbClr>
                  </w14:solidFill>
                </w14:textFill>
              </w:rPr>
              <w:t>||||</w:t>
            </w:r>
            <w:r w:rsidR="00742EB8">
              <w:rPr>
                <w:rFonts w:ascii="Arial Narrow" w:hAnsi="Arial Narrow"/>
                <w:vertAlign w:val="superscript"/>
              </w:rPr>
              <w:t>1</w:t>
            </w:r>
          </w:p>
        </w:tc>
      </w:tr>
    </w:tbl>
    <w:p w14:paraId="7F0B0C9C" w14:textId="1F6D01B5" w:rsidR="00742EB8" w:rsidRDefault="00742EB8" w:rsidP="00742EB8">
      <w:pPr>
        <w:spacing w:before="0" w:after="0" w:line="240" w:lineRule="auto"/>
        <w:rPr>
          <w:rFonts w:ascii="Arial Narrow" w:eastAsia="Times New Roman" w:hAnsi="Arial Narrow" w:cs="Arial"/>
          <w:i/>
          <w:sz w:val="18"/>
          <w:szCs w:val="18"/>
          <w:lang w:val="en-US" w:eastAsia="en-AU"/>
        </w:rPr>
      </w:pPr>
      <w:bookmarkStart w:id="33" w:name="_Hlk126759274"/>
      <w:bookmarkStart w:id="34" w:name="_Ref126753266"/>
      <w:bookmarkStart w:id="35" w:name="_Ref126753260"/>
      <w:r>
        <w:rPr>
          <w:rFonts w:ascii="Arial Narrow" w:eastAsia="Times New Roman" w:hAnsi="Arial Narrow" w:cs="Arial"/>
          <w:i/>
          <w:sz w:val="18"/>
          <w:szCs w:val="18"/>
          <w:lang w:val="en-US" w:eastAsia="en-AU"/>
        </w:rPr>
        <w:t>The redacted value correspond</w:t>
      </w:r>
      <w:r w:rsidR="00265C26">
        <w:rPr>
          <w:rFonts w:ascii="Arial Narrow" w:eastAsia="Times New Roman" w:hAnsi="Arial Narrow" w:cs="Arial"/>
          <w:i/>
          <w:sz w:val="18"/>
          <w:szCs w:val="18"/>
          <w:lang w:val="en-US" w:eastAsia="en-AU"/>
        </w:rPr>
        <w:t>s</w:t>
      </w:r>
      <w:r>
        <w:rPr>
          <w:rFonts w:ascii="Arial Narrow" w:eastAsia="Times New Roman" w:hAnsi="Arial Narrow" w:cs="Arial"/>
          <w:i/>
          <w:sz w:val="18"/>
          <w:szCs w:val="18"/>
          <w:lang w:val="en-US" w:eastAsia="en-AU"/>
        </w:rPr>
        <w:t xml:space="preserve"> to the following ranges: </w:t>
      </w:r>
    </w:p>
    <w:p w14:paraId="7BFF2BE0" w14:textId="516365BF" w:rsidR="00742EB8" w:rsidRDefault="00742EB8" w:rsidP="00742EB8">
      <w:pPr>
        <w:spacing w:before="0" w:after="0" w:line="240" w:lineRule="auto"/>
        <w:rPr>
          <w:rFonts w:ascii="Arial Narrow" w:eastAsia="Times New Roman" w:hAnsi="Arial Narrow" w:cs="Arial"/>
          <w:i/>
          <w:sz w:val="18"/>
          <w:szCs w:val="18"/>
          <w:lang w:val="en-US" w:eastAsia="en-AU"/>
        </w:rPr>
      </w:pPr>
      <w:r>
        <w:rPr>
          <w:rFonts w:ascii="Arial Narrow" w:eastAsia="Times New Roman" w:hAnsi="Arial Narrow" w:cs="Arial"/>
          <w:i/>
          <w:sz w:val="18"/>
          <w:szCs w:val="18"/>
          <w:vertAlign w:val="superscript"/>
          <w:lang w:val="en-US" w:eastAsia="en-AU"/>
        </w:rPr>
        <w:t>1</w:t>
      </w:r>
      <w:r w:rsidRPr="00742EB8">
        <w:rPr>
          <w:rFonts w:ascii="Arial Narrow" w:eastAsia="Times New Roman" w:hAnsi="Arial Narrow" w:cs="Arial"/>
          <w:i/>
          <w:sz w:val="18"/>
          <w:szCs w:val="18"/>
          <w:lang w:val="en-US" w:eastAsia="en-AU"/>
        </w:rPr>
        <w:t>$</w:t>
      </w:r>
      <w:r>
        <w:rPr>
          <w:rFonts w:ascii="Arial Narrow" w:eastAsia="Times New Roman" w:hAnsi="Arial Narrow" w:cs="Arial"/>
          <w:i/>
          <w:sz w:val="18"/>
          <w:szCs w:val="18"/>
          <w:lang w:val="en-US" w:eastAsia="en-AU"/>
        </w:rPr>
        <w:t>4</w:t>
      </w:r>
      <w:r w:rsidRPr="00742EB8">
        <w:rPr>
          <w:rFonts w:ascii="Arial Narrow" w:eastAsia="Times New Roman" w:hAnsi="Arial Narrow" w:cs="Arial"/>
          <w:i/>
          <w:sz w:val="18"/>
          <w:szCs w:val="18"/>
          <w:lang w:val="en-US" w:eastAsia="en-AU"/>
        </w:rPr>
        <w:t>5,000 to &lt; $</w:t>
      </w:r>
      <w:r>
        <w:rPr>
          <w:rFonts w:ascii="Arial Narrow" w:eastAsia="Times New Roman" w:hAnsi="Arial Narrow" w:cs="Arial"/>
          <w:i/>
          <w:sz w:val="18"/>
          <w:szCs w:val="18"/>
          <w:lang w:val="en-US" w:eastAsia="en-AU"/>
        </w:rPr>
        <w:t>5</w:t>
      </w:r>
      <w:r w:rsidRPr="00742EB8">
        <w:rPr>
          <w:rFonts w:ascii="Arial Narrow" w:eastAsia="Times New Roman" w:hAnsi="Arial Narrow" w:cs="Arial"/>
          <w:i/>
          <w:sz w:val="18"/>
          <w:szCs w:val="18"/>
          <w:lang w:val="en-US" w:eastAsia="en-AU"/>
        </w:rPr>
        <w:t>5,000</w:t>
      </w:r>
    </w:p>
    <w:p w14:paraId="25A80CA0" w14:textId="57089362" w:rsidR="003977F6" w:rsidRPr="00FE6CB5" w:rsidRDefault="003977F6" w:rsidP="003977F6">
      <w:pPr>
        <w:pStyle w:val="Heading3"/>
      </w:pPr>
      <w:r>
        <w:t>Sensitivity</w:t>
      </w:r>
      <w:r w:rsidRPr="00FE6CB5">
        <w:t xml:space="preserve"> analysis</w:t>
      </w:r>
    </w:p>
    <w:bookmarkEnd w:id="33"/>
    <w:p w14:paraId="0F8F922C" w14:textId="61F7294B" w:rsidR="003977F6" w:rsidRDefault="003977F6" w:rsidP="003977F6">
      <w:pPr>
        <w:pStyle w:val="SummaryBoxHeading0"/>
        <w:spacing w:before="0" w:after="120"/>
        <w:jc w:val="both"/>
        <w:rPr>
          <w:rFonts w:ascii="Franklin Gothic Book" w:eastAsiaTheme="minorEastAsia" w:hAnsi="Franklin Gothic Book" w:cstheme="minorBidi"/>
          <w:b w:val="0"/>
          <w:lang w:eastAsia="zh-CN" w:bidi="ar-SA"/>
        </w:rPr>
      </w:pPr>
      <w:r w:rsidRPr="005F2B82">
        <w:rPr>
          <w:rFonts w:ascii="Franklin Gothic Book" w:eastAsiaTheme="minorEastAsia" w:hAnsi="Franklin Gothic Book" w:cstheme="minorBidi"/>
          <w:b w:val="0"/>
          <w:lang w:eastAsia="zh-CN" w:bidi="ar-SA"/>
        </w:rPr>
        <w:t>Sensitivity analyses suggest</w:t>
      </w:r>
      <w:r>
        <w:rPr>
          <w:rFonts w:ascii="Franklin Gothic Book" w:eastAsiaTheme="minorEastAsia" w:hAnsi="Franklin Gothic Book" w:cstheme="minorBidi"/>
          <w:b w:val="0"/>
          <w:lang w:eastAsia="zh-CN" w:bidi="ar-SA"/>
        </w:rPr>
        <w:t>ed</w:t>
      </w:r>
      <w:r w:rsidRPr="005F2B82">
        <w:rPr>
          <w:rFonts w:ascii="Franklin Gothic Book" w:eastAsiaTheme="minorEastAsia" w:hAnsi="Franklin Gothic Book" w:cstheme="minorBidi"/>
          <w:b w:val="0"/>
          <w:lang w:eastAsia="zh-CN" w:bidi="ar-SA"/>
        </w:rPr>
        <w:t xml:space="preserve"> the model </w:t>
      </w:r>
      <w:r w:rsidR="00E84139">
        <w:rPr>
          <w:rFonts w:ascii="Franklin Gothic Book" w:eastAsiaTheme="minorEastAsia" w:hAnsi="Franklin Gothic Book" w:cstheme="minorBidi"/>
          <w:b w:val="0"/>
          <w:lang w:eastAsia="zh-CN" w:bidi="ar-SA"/>
        </w:rPr>
        <w:t>wa</w:t>
      </w:r>
      <w:r w:rsidRPr="005F2B82">
        <w:rPr>
          <w:rFonts w:ascii="Franklin Gothic Book" w:eastAsiaTheme="minorEastAsia" w:hAnsi="Franklin Gothic Book" w:cstheme="minorBidi"/>
          <w:b w:val="0"/>
          <w:lang w:eastAsia="zh-CN" w:bidi="ar-SA"/>
        </w:rPr>
        <w:t>s most sensitive to the time horizon, the discount rate, and the parametric distribution used to model iDFS</w:t>
      </w:r>
      <w:r w:rsidR="00F72BAA">
        <w:rPr>
          <w:rFonts w:ascii="Franklin Gothic Book" w:eastAsiaTheme="minorEastAsia" w:hAnsi="Franklin Gothic Book" w:cstheme="minorBidi"/>
          <w:b w:val="0"/>
          <w:lang w:eastAsia="zh-CN" w:bidi="ar-SA"/>
        </w:rPr>
        <w:t xml:space="preserve"> </w:t>
      </w:r>
      <w:r w:rsidR="00005BB9">
        <w:rPr>
          <w:rFonts w:ascii="Franklin Gothic Book" w:eastAsiaTheme="minorEastAsia" w:hAnsi="Franklin Gothic Book" w:cstheme="minorBidi"/>
          <w:b w:val="0"/>
          <w:lang w:eastAsia="zh-CN" w:bidi="ar-SA"/>
        </w:rPr>
        <w:t>(</w:t>
      </w:r>
      <w:r w:rsidR="00005BB9" w:rsidRPr="00005BB9">
        <w:rPr>
          <w:rFonts w:ascii="Franklin Gothic Book" w:eastAsiaTheme="minorEastAsia" w:hAnsi="Franklin Gothic Book" w:cstheme="minorBidi"/>
          <w:b w:val="0"/>
          <w:lang w:eastAsia="zh-CN" w:bidi="ar-SA"/>
        </w:rPr>
        <w:fldChar w:fldCharType="begin"/>
      </w:r>
      <w:r w:rsidR="00005BB9" w:rsidRPr="00005BB9">
        <w:rPr>
          <w:rFonts w:ascii="Franklin Gothic Book" w:eastAsiaTheme="minorEastAsia" w:hAnsi="Franklin Gothic Book" w:cstheme="minorBidi"/>
          <w:b w:val="0"/>
          <w:lang w:eastAsia="zh-CN" w:bidi="ar-SA"/>
        </w:rPr>
        <w:instrText xml:space="preserve"> REF _Ref127136300 \h  \* MERGEFORMAT </w:instrText>
      </w:r>
      <w:r w:rsidR="00005BB9" w:rsidRPr="00005BB9">
        <w:rPr>
          <w:rFonts w:ascii="Franklin Gothic Book" w:eastAsiaTheme="minorEastAsia" w:hAnsi="Franklin Gothic Book" w:cstheme="minorBidi"/>
          <w:b w:val="0"/>
          <w:lang w:eastAsia="zh-CN" w:bidi="ar-SA"/>
        </w:rPr>
      </w:r>
      <w:r w:rsidR="00005BB9" w:rsidRPr="00005BB9">
        <w:rPr>
          <w:rFonts w:ascii="Franklin Gothic Book" w:eastAsiaTheme="minorEastAsia" w:hAnsi="Franklin Gothic Book" w:cstheme="minorBidi"/>
          <w:b w:val="0"/>
          <w:lang w:eastAsia="zh-CN" w:bidi="ar-SA"/>
        </w:rPr>
        <w:fldChar w:fldCharType="separate"/>
      </w:r>
      <w:r w:rsidR="00EF5403" w:rsidRPr="00EF5403">
        <w:rPr>
          <w:rFonts w:ascii="Franklin Gothic Book" w:hAnsi="Franklin Gothic Book"/>
          <w:b w:val="0"/>
        </w:rPr>
        <w:t xml:space="preserve">Figure </w:t>
      </w:r>
      <w:r w:rsidR="00EF5403" w:rsidRPr="00EF5403">
        <w:rPr>
          <w:rFonts w:ascii="Franklin Gothic Book" w:hAnsi="Franklin Gothic Book"/>
          <w:b w:val="0"/>
          <w:noProof/>
        </w:rPr>
        <w:t>7</w:t>
      </w:r>
      <w:r w:rsidR="00005BB9" w:rsidRPr="00005BB9">
        <w:rPr>
          <w:rFonts w:ascii="Franklin Gothic Book" w:eastAsiaTheme="minorEastAsia" w:hAnsi="Franklin Gothic Book" w:cstheme="minorBidi"/>
          <w:b w:val="0"/>
          <w:lang w:eastAsia="zh-CN" w:bidi="ar-SA"/>
        </w:rPr>
        <w:fldChar w:fldCharType="end"/>
      </w:r>
      <w:r w:rsidR="00005BB9">
        <w:rPr>
          <w:rFonts w:ascii="Franklin Gothic Book" w:eastAsiaTheme="minorEastAsia" w:hAnsi="Franklin Gothic Book" w:cstheme="minorBidi"/>
          <w:b w:val="0"/>
          <w:lang w:eastAsia="zh-CN" w:bidi="ar-SA"/>
        </w:rPr>
        <w:t>)</w:t>
      </w:r>
      <w:r w:rsidRPr="003D34AD">
        <w:rPr>
          <w:rFonts w:ascii="Franklin Gothic Book" w:eastAsiaTheme="minorEastAsia" w:hAnsi="Franklin Gothic Book" w:cstheme="minorBidi"/>
          <w:b w:val="0"/>
          <w:lang w:eastAsia="zh-CN" w:bidi="ar-SA"/>
        </w:rPr>
        <w:t>.</w:t>
      </w:r>
      <w:r w:rsidRPr="005F2B82">
        <w:rPr>
          <w:rFonts w:ascii="Franklin Gothic Book" w:eastAsiaTheme="minorEastAsia" w:hAnsi="Franklin Gothic Book" w:cstheme="minorBidi"/>
          <w:b w:val="0"/>
          <w:lang w:eastAsia="zh-CN" w:bidi="ar-SA"/>
        </w:rPr>
        <w:t xml:space="preserve"> However, the ICER around the base case model </w:t>
      </w:r>
      <w:r w:rsidR="00242491">
        <w:rPr>
          <w:rFonts w:ascii="Franklin Gothic Book" w:eastAsiaTheme="minorEastAsia" w:hAnsi="Franklin Gothic Book" w:cstheme="minorBidi"/>
          <w:b w:val="0"/>
          <w:lang w:eastAsia="zh-CN" w:bidi="ar-SA"/>
        </w:rPr>
        <w:t>was</w:t>
      </w:r>
      <w:r w:rsidRPr="005F2B82">
        <w:rPr>
          <w:rFonts w:ascii="Franklin Gothic Book" w:eastAsiaTheme="minorEastAsia" w:hAnsi="Franklin Gothic Book" w:cstheme="minorBidi"/>
          <w:b w:val="0"/>
          <w:lang w:eastAsia="zh-CN" w:bidi="ar-SA"/>
        </w:rPr>
        <w:t xml:space="preserve"> robust, with the ICER ranging from </w:t>
      </w:r>
      <w:r w:rsidR="00E01ECB" w:rsidRPr="00E01ECB">
        <w:rPr>
          <w:rFonts w:ascii="Franklin Gothic Book" w:eastAsiaTheme="minorEastAsia" w:hAnsi="Franklin Gothic Book" w:cstheme="minorBidi"/>
          <w:b w:val="0"/>
          <w:lang w:eastAsia="zh-CN" w:bidi="ar-SA"/>
        </w:rPr>
        <w:t>$15,000 to &lt; $25,000</w:t>
      </w:r>
      <w:r w:rsidR="00E01ECB" w:rsidRPr="00E01ECB" w:rsidDel="00E01ECB">
        <w:rPr>
          <w:rFonts w:ascii="Franklin Gothic Book" w:eastAsiaTheme="minorEastAsia" w:hAnsi="Franklin Gothic Book" w:cstheme="minorBidi"/>
          <w:b w:val="0"/>
          <w:lang w:eastAsia="zh-CN" w:bidi="ar-SA"/>
        </w:rPr>
        <w:t xml:space="preserve"> </w:t>
      </w:r>
      <w:r w:rsidRPr="005F2B82">
        <w:rPr>
          <w:rFonts w:ascii="Franklin Gothic Book" w:eastAsiaTheme="minorEastAsia" w:hAnsi="Franklin Gothic Book" w:cstheme="minorBidi"/>
          <w:b w:val="0"/>
          <w:lang w:eastAsia="zh-CN" w:bidi="ar-SA"/>
        </w:rPr>
        <w:t xml:space="preserve">(using a 0% discount rate) to </w:t>
      </w:r>
      <w:r w:rsidR="00E01ECB" w:rsidRPr="00E01ECB">
        <w:rPr>
          <w:rFonts w:ascii="Franklin Gothic Book" w:eastAsiaTheme="minorEastAsia" w:hAnsi="Franklin Gothic Book" w:cstheme="minorBidi"/>
          <w:b w:val="0"/>
          <w:lang w:eastAsia="zh-CN" w:bidi="ar-SA"/>
        </w:rPr>
        <w:t>$45,000 to &lt; $55,000</w:t>
      </w:r>
      <w:r w:rsidR="00E01ECB" w:rsidRPr="00E01ECB" w:rsidDel="00E01ECB">
        <w:rPr>
          <w:rFonts w:ascii="Franklin Gothic Book" w:eastAsiaTheme="minorEastAsia" w:hAnsi="Franklin Gothic Book" w:cstheme="minorBidi"/>
          <w:b w:val="0"/>
          <w:lang w:eastAsia="zh-CN" w:bidi="ar-SA"/>
        </w:rPr>
        <w:t xml:space="preserve"> </w:t>
      </w:r>
      <w:r w:rsidRPr="005F2B82">
        <w:rPr>
          <w:rFonts w:ascii="Franklin Gothic Book" w:eastAsiaTheme="minorEastAsia" w:hAnsi="Franklin Gothic Book" w:cstheme="minorBidi"/>
          <w:b w:val="0"/>
          <w:lang w:eastAsia="zh-CN" w:bidi="ar-SA"/>
        </w:rPr>
        <w:t>(assuming the annual risk of recurrence plateau</w:t>
      </w:r>
      <w:r w:rsidR="00242491">
        <w:rPr>
          <w:rFonts w:ascii="Franklin Gothic Book" w:eastAsiaTheme="minorEastAsia" w:hAnsi="Franklin Gothic Book" w:cstheme="minorBidi"/>
          <w:b w:val="0"/>
          <w:lang w:eastAsia="zh-CN" w:bidi="ar-SA"/>
        </w:rPr>
        <w:t>ed</w:t>
      </w:r>
      <w:r w:rsidRPr="005F2B82">
        <w:rPr>
          <w:rFonts w:ascii="Franklin Gothic Book" w:eastAsiaTheme="minorEastAsia" w:hAnsi="Franklin Gothic Book" w:cstheme="minorBidi"/>
          <w:b w:val="0"/>
          <w:lang w:eastAsia="zh-CN" w:bidi="ar-SA"/>
        </w:rPr>
        <w:t xml:space="preserve"> at a conservative estimate of 5%)</w:t>
      </w:r>
      <w:r>
        <w:rPr>
          <w:rFonts w:ascii="Franklin Gothic Book" w:eastAsiaTheme="minorEastAsia" w:hAnsi="Franklin Gothic Book" w:cstheme="minorBidi"/>
          <w:b w:val="0"/>
          <w:lang w:eastAsia="zh-CN" w:bidi="ar-SA"/>
        </w:rPr>
        <w:t xml:space="preserve">. </w:t>
      </w:r>
      <w:r w:rsidRPr="005F2B82">
        <w:rPr>
          <w:rFonts w:ascii="Franklin Gothic Book" w:eastAsiaTheme="minorEastAsia" w:hAnsi="Franklin Gothic Book" w:cstheme="minorBidi"/>
          <w:b w:val="0"/>
          <w:lang w:eastAsia="zh-CN" w:bidi="ar-SA"/>
        </w:rPr>
        <w:t xml:space="preserve">Given the Strategic Arrangement’s intention to review the discount rate, it </w:t>
      </w:r>
      <w:r w:rsidR="00242491">
        <w:rPr>
          <w:rFonts w:ascii="Franklin Gothic Book" w:eastAsiaTheme="minorEastAsia" w:hAnsi="Franklin Gothic Book" w:cstheme="minorBidi"/>
          <w:b w:val="0"/>
          <w:lang w:eastAsia="zh-CN" w:bidi="ar-SA"/>
        </w:rPr>
        <w:t>wa</w:t>
      </w:r>
      <w:r w:rsidRPr="005F2B82">
        <w:rPr>
          <w:rFonts w:ascii="Franklin Gothic Book" w:eastAsiaTheme="minorEastAsia" w:hAnsi="Franklin Gothic Book" w:cstheme="minorBidi"/>
          <w:b w:val="0"/>
          <w:lang w:eastAsia="zh-CN" w:bidi="ar-SA"/>
        </w:rPr>
        <w:t>s noteworthy that the ICER decrease</w:t>
      </w:r>
      <w:r w:rsidR="00242491">
        <w:rPr>
          <w:rFonts w:ascii="Franklin Gothic Book" w:eastAsiaTheme="minorEastAsia" w:hAnsi="Franklin Gothic Book" w:cstheme="minorBidi"/>
          <w:b w:val="0"/>
          <w:lang w:eastAsia="zh-CN" w:bidi="ar-SA"/>
        </w:rPr>
        <w:t>d</w:t>
      </w:r>
      <w:r w:rsidRPr="005F2B82">
        <w:rPr>
          <w:rFonts w:ascii="Franklin Gothic Book" w:eastAsiaTheme="minorEastAsia" w:hAnsi="Franklin Gothic Book" w:cstheme="minorBidi"/>
          <w:b w:val="0"/>
          <w:lang w:eastAsia="zh-CN" w:bidi="ar-SA"/>
        </w:rPr>
        <w:t xml:space="preserve"> to </w:t>
      </w:r>
      <w:r w:rsidR="00E01ECB" w:rsidRPr="00E01ECB">
        <w:rPr>
          <w:rFonts w:ascii="Franklin Gothic Book" w:eastAsiaTheme="minorEastAsia" w:hAnsi="Franklin Gothic Book" w:cstheme="minorBidi"/>
          <w:b w:val="0"/>
          <w:lang w:eastAsia="zh-CN" w:bidi="ar-SA"/>
        </w:rPr>
        <w:t>$25,000 to &lt; $35,000</w:t>
      </w:r>
      <w:r w:rsidRPr="005F2B82">
        <w:rPr>
          <w:rFonts w:ascii="Franklin Gothic Book" w:eastAsiaTheme="minorEastAsia" w:hAnsi="Franklin Gothic Book" w:cstheme="minorBidi"/>
          <w:b w:val="0"/>
          <w:lang w:eastAsia="zh-CN" w:bidi="ar-SA"/>
        </w:rPr>
        <w:t xml:space="preserve">when a 1.5% discount rate </w:t>
      </w:r>
      <w:r w:rsidR="00242491">
        <w:rPr>
          <w:rFonts w:ascii="Franklin Gothic Book" w:eastAsiaTheme="minorEastAsia" w:hAnsi="Franklin Gothic Book" w:cstheme="minorBidi"/>
          <w:b w:val="0"/>
          <w:lang w:eastAsia="zh-CN" w:bidi="ar-SA"/>
        </w:rPr>
        <w:t>was</w:t>
      </w:r>
      <w:r w:rsidRPr="005F2B82">
        <w:rPr>
          <w:rFonts w:ascii="Franklin Gothic Book" w:eastAsiaTheme="minorEastAsia" w:hAnsi="Franklin Gothic Book" w:cstheme="minorBidi"/>
          <w:b w:val="0"/>
          <w:lang w:eastAsia="zh-CN" w:bidi="ar-SA"/>
        </w:rPr>
        <w:t xml:space="preserve"> used (as proposed by Medicines Australia in their Discount Review fact sheet</w:t>
      </w:r>
      <w:r w:rsidRPr="005F2B82">
        <w:rPr>
          <w:rStyle w:val="FootnoteReference"/>
          <w:rFonts w:ascii="Franklin Gothic Book" w:eastAsiaTheme="minorEastAsia" w:hAnsi="Franklin Gothic Book" w:cstheme="minorBidi"/>
          <w:b w:val="0"/>
          <w:lang w:eastAsia="zh-CN" w:bidi="ar-SA"/>
        </w:rPr>
        <w:footnoteReference w:id="7"/>
      </w:r>
      <w:r w:rsidRPr="005F2B82">
        <w:rPr>
          <w:rFonts w:ascii="Franklin Gothic Book" w:eastAsiaTheme="minorEastAsia" w:hAnsi="Franklin Gothic Book" w:cstheme="minorBidi"/>
          <w:b w:val="0"/>
          <w:lang w:eastAsia="zh-CN" w:bidi="ar-SA"/>
        </w:rPr>
        <w:t>).</w:t>
      </w:r>
    </w:p>
    <w:p w14:paraId="72A64859" w14:textId="3A52EC83" w:rsidR="00EA38E9" w:rsidRDefault="00EA38E9" w:rsidP="00EA38E9">
      <w:pPr>
        <w:rPr>
          <w:i/>
        </w:rPr>
      </w:pPr>
      <w:r w:rsidRPr="00FE6CB5">
        <w:rPr>
          <w:i/>
        </w:rPr>
        <w:t xml:space="preserve">The model </w:t>
      </w:r>
      <w:r w:rsidR="00677866">
        <w:rPr>
          <w:i/>
        </w:rPr>
        <w:t>wa</w:t>
      </w:r>
      <w:r w:rsidRPr="00FE6CB5">
        <w:rPr>
          <w:i/>
        </w:rPr>
        <w:t xml:space="preserve">s moderately sensitive to the current rate of germline </w:t>
      </w:r>
      <w:r w:rsidRPr="00677866">
        <w:rPr>
          <w:i/>
          <w:iCs/>
        </w:rPr>
        <w:t>BRCA</w:t>
      </w:r>
      <w:r w:rsidRPr="00FE6CB5">
        <w:rPr>
          <w:i/>
        </w:rPr>
        <w:t xml:space="preserve"> testing. For every 10% drop in g</w:t>
      </w:r>
      <w:r w:rsidRPr="00FE6CB5">
        <w:t>BRCA</w:t>
      </w:r>
      <w:r w:rsidRPr="00FE6CB5">
        <w:rPr>
          <w:i/>
        </w:rPr>
        <w:t xml:space="preserve"> testing </w:t>
      </w:r>
      <w:r w:rsidR="00DF0CAD">
        <w:rPr>
          <w:i/>
        </w:rPr>
        <w:t>currently performed</w:t>
      </w:r>
      <w:r w:rsidRPr="00FE6CB5">
        <w:rPr>
          <w:i/>
        </w:rPr>
        <w:t>, the ICER in the base case model increase</w:t>
      </w:r>
      <w:r w:rsidR="00677866">
        <w:rPr>
          <w:i/>
        </w:rPr>
        <w:t>d</w:t>
      </w:r>
      <w:r w:rsidRPr="00FE6CB5">
        <w:rPr>
          <w:i/>
        </w:rPr>
        <w:t xml:space="preserve"> by approximately 2%.</w:t>
      </w:r>
      <w:r>
        <w:t xml:space="preserve"> </w:t>
      </w:r>
      <w:r w:rsidRPr="00623FCA">
        <w:rPr>
          <w:i/>
        </w:rPr>
        <w:t>Reducing the rate of current testing in patients with HR+ disease to 25% (base case 74%) increase</w:t>
      </w:r>
      <w:r w:rsidR="00677866">
        <w:rPr>
          <w:i/>
        </w:rPr>
        <w:t>d</w:t>
      </w:r>
      <w:r w:rsidRPr="00623FCA">
        <w:rPr>
          <w:i/>
        </w:rPr>
        <w:t xml:space="preserve"> the ICER by about 5%.</w:t>
      </w:r>
    </w:p>
    <w:p w14:paraId="77E6F733" w14:textId="1A7A4DF4" w:rsidR="00EA38E9" w:rsidRPr="0016761B" w:rsidRDefault="003967ED" w:rsidP="0016761B">
      <w:pPr>
        <w:spacing w:line="276" w:lineRule="auto"/>
        <w:rPr>
          <w:i/>
        </w:rPr>
      </w:pPr>
      <w:r w:rsidRPr="00FE6CB5">
        <w:rPr>
          <w:i/>
        </w:rPr>
        <w:t>Ipsos</w:t>
      </w:r>
      <w:r w:rsidR="00EA38E9" w:rsidRPr="00FE6CB5">
        <w:rPr>
          <w:i/>
        </w:rPr>
        <w:t xml:space="preserve"> data appear</w:t>
      </w:r>
      <w:r w:rsidR="00677866">
        <w:rPr>
          <w:i/>
        </w:rPr>
        <w:t>ed</w:t>
      </w:r>
      <w:r w:rsidR="00EA38E9" w:rsidRPr="00FE6CB5">
        <w:rPr>
          <w:i/>
        </w:rPr>
        <w:t xml:space="preserve"> to indicate a recent increase in g</w:t>
      </w:r>
      <w:r w:rsidR="00EA38E9" w:rsidRPr="00677866">
        <w:rPr>
          <w:i/>
          <w:iCs/>
        </w:rPr>
        <w:t>BRCA</w:t>
      </w:r>
      <w:r w:rsidR="00EA38E9" w:rsidRPr="00FE6CB5">
        <w:rPr>
          <w:i/>
        </w:rPr>
        <w:t xml:space="preserve"> testing in Stage I-IIIa TNBC, to 74% in the first quarter of 2022. This estimate </w:t>
      </w:r>
      <w:r w:rsidR="00F72BAA">
        <w:rPr>
          <w:i/>
        </w:rPr>
        <w:t>wa</w:t>
      </w:r>
      <w:r w:rsidR="00EA38E9" w:rsidRPr="00FE6CB5">
        <w:rPr>
          <w:i/>
        </w:rPr>
        <w:t xml:space="preserve">s based on small numbers and increased rapidly from 38% in the first quarter of 2020. Whether the estimate of 74% </w:t>
      </w:r>
      <w:r w:rsidR="00F72BAA">
        <w:rPr>
          <w:i/>
        </w:rPr>
        <w:t xml:space="preserve">was </w:t>
      </w:r>
      <w:r w:rsidR="00EA38E9" w:rsidRPr="00FE6CB5">
        <w:rPr>
          <w:i/>
        </w:rPr>
        <w:t xml:space="preserve">an indication of future </w:t>
      </w:r>
      <w:r w:rsidR="00EA38E9" w:rsidRPr="00FE6CB5">
        <w:rPr>
          <w:i/>
        </w:rPr>
        <w:lastRenderedPageBreak/>
        <w:t xml:space="preserve">rates </w:t>
      </w:r>
      <w:r w:rsidR="00F72BAA">
        <w:rPr>
          <w:i/>
        </w:rPr>
        <w:t>wa</w:t>
      </w:r>
      <w:r w:rsidR="00EA38E9" w:rsidRPr="00FE6CB5">
        <w:rPr>
          <w:i/>
        </w:rPr>
        <w:t>s unclear. The rate of g</w:t>
      </w:r>
      <w:r w:rsidR="00EA38E9" w:rsidRPr="00F72BAA">
        <w:rPr>
          <w:i/>
          <w:iCs/>
        </w:rPr>
        <w:t>BRCA</w:t>
      </w:r>
      <w:r w:rsidR="00EA38E9" w:rsidRPr="00FE6CB5">
        <w:rPr>
          <w:i/>
        </w:rPr>
        <w:t xml:space="preserve"> testing for HR-positive patients </w:t>
      </w:r>
      <w:r w:rsidR="00F72BAA">
        <w:rPr>
          <w:i/>
        </w:rPr>
        <w:t>wa</w:t>
      </w:r>
      <w:r w:rsidR="00DF0CAD">
        <w:rPr>
          <w:i/>
        </w:rPr>
        <w:t>s</w:t>
      </w:r>
      <w:r w:rsidR="00EA38E9" w:rsidRPr="00FE6CB5">
        <w:rPr>
          <w:i/>
        </w:rPr>
        <w:t xml:space="preserve"> uncertain. The rate of </w:t>
      </w:r>
      <w:r w:rsidR="00F72BAA">
        <w:rPr>
          <w:i/>
        </w:rPr>
        <w:t>g</w:t>
      </w:r>
      <w:r w:rsidR="00EA38E9" w:rsidRPr="00F72BAA">
        <w:rPr>
          <w:i/>
          <w:iCs/>
        </w:rPr>
        <w:t>BRCA</w:t>
      </w:r>
      <w:r w:rsidR="00EA38E9" w:rsidRPr="00FE6CB5">
        <w:rPr>
          <w:i/>
        </w:rPr>
        <w:t xml:space="preserve"> testing </w:t>
      </w:r>
      <w:r w:rsidR="00F72BAA">
        <w:rPr>
          <w:i/>
        </w:rPr>
        <w:t>wa</w:t>
      </w:r>
      <w:r w:rsidR="00EA38E9" w:rsidRPr="00FE6CB5">
        <w:rPr>
          <w:i/>
        </w:rPr>
        <w:t>s varied in sensitivity analyses</w:t>
      </w:r>
      <w:r w:rsidR="00EA38E9">
        <w:rPr>
          <w:i/>
        </w:rPr>
        <w:t>.</w:t>
      </w:r>
    </w:p>
    <w:p w14:paraId="37676688" w14:textId="143E4E96" w:rsidR="005F2B82" w:rsidRDefault="005F2B82" w:rsidP="005F2B82">
      <w:pPr>
        <w:pStyle w:val="Caption"/>
        <w:rPr>
          <w:b w:val="0"/>
          <w:bCs w:val="0"/>
        </w:rPr>
      </w:pPr>
      <w:bookmarkStart w:id="36" w:name="_Ref127136300"/>
      <w:bookmarkStart w:id="37" w:name="_Hlk137725718"/>
      <w:r w:rsidRPr="00316C38">
        <w:t xml:space="preserve">Figure </w:t>
      </w:r>
      <w:r>
        <w:fldChar w:fldCharType="begin"/>
      </w:r>
      <w:r>
        <w:instrText>SEQ Figure \* ARABIC</w:instrText>
      </w:r>
      <w:r>
        <w:fldChar w:fldCharType="separate"/>
      </w:r>
      <w:r w:rsidR="00EF5403">
        <w:rPr>
          <w:noProof/>
        </w:rPr>
        <w:t>7</w:t>
      </w:r>
      <w:r>
        <w:fldChar w:fldCharType="end"/>
      </w:r>
      <w:bookmarkEnd w:id="34"/>
      <w:bookmarkEnd w:id="36"/>
      <w:r w:rsidRPr="00041B36">
        <w:tab/>
        <w:t xml:space="preserve"> </w:t>
      </w:r>
      <w:r>
        <w:tab/>
      </w:r>
      <w:r w:rsidRPr="009512F6">
        <w:t>Tornado diagram of sensitivity analyses</w:t>
      </w:r>
      <w:bookmarkEnd w:id="35"/>
    </w:p>
    <w:p w14:paraId="14D53D1C" w14:textId="4BF30799" w:rsidR="005F2B82" w:rsidRPr="00041B36" w:rsidRDefault="00872AE4" w:rsidP="005F2B82">
      <w:pPr>
        <w:spacing w:after="0" w:line="240" w:lineRule="auto"/>
        <w:jc w:val="both"/>
        <w:rPr>
          <w:rFonts w:ascii="Arial Narrow" w:hAnsi="Arial Narrow"/>
        </w:rPr>
      </w:pPr>
      <w:r w:rsidRPr="00872AE4">
        <w:rPr>
          <w:noProof/>
        </w:rPr>
        <w:drawing>
          <wp:inline distT="0" distB="0" distL="0" distR="0" wp14:anchorId="4A535B39" wp14:editId="16E85AED">
            <wp:extent cx="4733925" cy="3786230"/>
            <wp:effectExtent l="0" t="0" r="0" b="0"/>
            <wp:docPr id="5" name="Picture 5" descr="Tornado diagram of sensitivity analy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ornado diagram of sensitivity analys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45239" cy="3795279"/>
                    </a:xfrm>
                    <a:prstGeom prst="rect">
                      <a:avLst/>
                    </a:prstGeom>
                    <a:noFill/>
                    <a:ln>
                      <a:noFill/>
                    </a:ln>
                  </pic:spPr>
                </pic:pic>
              </a:graphicData>
            </a:graphic>
          </wp:inline>
        </w:drawing>
      </w:r>
    </w:p>
    <w:bookmarkEnd w:id="37"/>
    <w:p w14:paraId="483366DC" w14:textId="1E7E8B49" w:rsidR="0016761B" w:rsidRPr="0016761B" w:rsidRDefault="003977F6" w:rsidP="0016761B">
      <w:pPr>
        <w:spacing w:before="240"/>
      </w:pPr>
      <w:r w:rsidRPr="004E5BF4">
        <w:rPr>
          <w:sz w:val="23"/>
          <w:szCs w:val="23"/>
        </w:rPr>
        <w:t xml:space="preserve">The </w:t>
      </w:r>
      <w:r w:rsidR="00722321">
        <w:rPr>
          <w:sz w:val="23"/>
          <w:szCs w:val="23"/>
        </w:rPr>
        <w:t>commentary</w:t>
      </w:r>
      <w:r w:rsidRPr="004E5BF4">
        <w:rPr>
          <w:sz w:val="23"/>
          <w:szCs w:val="23"/>
        </w:rPr>
        <w:t xml:space="preserve"> presented a revised base case as</w:t>
      </w:r>
      <w:r w:rsidRPr="004E5BF4">
        <w:t xml:space="preserve"> several inputs were not adequately justified in the submission, and for which there could be a more reasonable approach </w:t>
      </w:r>
      <w:r w:rsidRPr="00D77C10">
        <w:t>(</w:t>
      </w:r>
      <w:r w:rsidR="004E6008">
        <w:fldChar w:fldCharType="begin"/>
      </w:r>
      <w:r w:rsidR="004E6008">
        <w:instrText xml:space="preserve"> REF _Ref139978249 \h </w:instrText>
      </w:r>
      <w:r w:rsidR="004E6008">
        <w:fldChar w:fldCharType="separate"/>
      </w:r>
      <w:r w:rsidR="004E6008">
        <w:t xml:space="preserve">Table </w:t>
      </w:r>
      <w:r w:rsidR="004E6008">
        <w:rPr>
          <w:noProof/>
        </w:rPr>
        <w:t>9</w:t>
      </w:r>
      <w:r w:rsidR="004E6008">
        <w:fldChar w:fldCharType="end"/>
      </w:r>
      <w:r w:rsidRPr="00D77C10">
        <w:t xml:space="preserve">). </w:t>
      </w:r>
      <w:r w:rsidR="00722321">
        <w:t xml:space="preserve">The pre-PBAC response </w:t>
      </w:r>
      <w:r w:rsidR="00BE3EDD">
        <w:t xml:space="preserve">stated that the </w:t>
      </w:r>
      <w:r w:rsidR="00BE3EDD" w:rsidRPr="00BE3EDD">
        <w:t xml:space="preserve">IpSOS data suggests that 10% of HR+ patients currently undergo </w:t>
      </w:r>
      <w:r w:rsidR="00055F5B" w:rsidRPr="00055F5B">
        <w:rPr>
          <w:i/>
        </w:rPr>
        <w:t>BRCA1/2</w:t>
      </w:r>
      <w:r w:rsidR="00BE3EDD" w:rsidRPr="00BE3EDD">
        <w:t xml:space="preserve"> testing, this data includes both low-risk HR+ patients (who are less likely to be tested) and high-risk HR+ patients (who are more likely to be tested). </w:t>
      </w:r>
      <w:r w:rsidR="00BC0F2A">
        <w:t>The applicant considered that</w:t>
      </w:r>
      <w:r w:rsidR="00BE3EDD" w:rsidRPr="00BE3EDD">
        <w:t xml:space="preserve"> </w:t>
      </w:r>
      <w:r w:rsidR="00BC0F2A">
        <w:t xml:space="preserve">while </w:t>
      </w:r>
      <w:r w:rsidR="00BE3EDD" w:rsidRPr="00BE3EDD">
        <w:t xml:space="preserve">the rate of testing within the high-risk population meeting the current defined risk criteria for BRCA testing could be as high as current testing rates of TNBC, the ICER is only marginally sensitive to this assumption (increasing </w:t>
      </w:r>
      <w:r w:rsidR="00A61205">
        <w:t>between</w:t>
      </w:r>
      <w:r w:rsidR="00A61205" w:rsidRPr="00BE3EDD">
        <w:t xml:space="preserve"> </w:t>
      </w:r>
      <w:r w:rsidR="00E01ECB" w:rsidRPr="00BB15B3">
        <w:t>$45,000 to &lt; $55,000</w:t>
      </w:r>
      <w:bookmarkStart w:id="38" w:name="_Ref126755910"/>
      <w:bookmarkStart w:id="39" w:name="_Ref128474406"/>
      <w:r w:rsidR="004F5B05">
        <w:t xml:space="preserve">). </w:t>
      </w:r>
    </w:p>
    <w:p w14:paraId="6B38FDAD" w14:textId="435C54F0" w:rsidR="00623FCA" w:rsidRPr="00FE6CB5" w:rsidRDefault="003977F6" w:rsidP="003977F6">
      <w:pPr>
        <w:pStyle w:val="Caption"/>
      </w:pPr>
      <w:bookmarkStart w:id="40" w:name="_Ref139978249"/>
      <w:r>
        <w:t xml:space="preserve">Table </w:t>
      </w:r>
      <w:r>
        <w:fldChar w:fldCharType="begin"/>
      </w:r>
      <w:r>
        <w:instrText>SEQ Table \* ARABIC</w:instrText>
      </w:r>
      <w:r>
        <w:fldChar w:fldCharType="separate"/>
      </w:r>
      <w:r w:rsidR="001B3C82">
        <w:rPr>
          <w:noProof/>
        </w:rPr>
        <w:t>9</w:t>
      </w:r>
      <w:r>
        <w:fldChar w:fldCharType="end"/>
      </w:r>
      <w:bookmarkEnd w:id="38"/>
      <w:bookmarkEnd w:id="40"/>
      <w:r w:rsidR="00623FCA" w:rsidRPr="00FE6CB5">
        <w:t>: Stepwise multivariate sensitivity analyses to generate the evaluation alternative base case</w:t>
      </w:r>
      <w:bookmarkEnd w:id="39"/>
    </w:p>
    <w:tbl>
      <w:tblPr>
        <w:tblStyle w:val="AZTable"/>
        <w:tblpPr w:leftFromText="180" w:rightFromText="180" w:vertAnchor="text" w:tblpY="1"/>
        <w:tblOverlap w:val="never"/>
        <w:tblW w:w="5000" w:type="pct"/>
        <w:tblLook w:val="04A0" w:firstRow="1" w:lastRow="0" w:firstColumn="1" w:lastColumn="0" w:noHBand="0" w:noVBand="1"/>
      </w:tblPr>
      <w:tblGrid>
        <w:gridCol w:w="662"/>
        <w:gridCol w:w="6412"/>
        <w:gridCol w:w="992"/>
        <w:gridCol w:w="950"/>
      </w:tblGrid>
      <w:tr w:rsidR="00623FCA" w:rsidRPr="00FE6CB5" w14:paraId="649BB822" w14:textId="77777777" w:rsidTr="005C6BB3">
        <w:trPr>
          <w:cnfStyle w:val="100000000000" w:firstRow="1" w:lastRow="0" w:firstColumn="0" w:lastColumn="0" w:oddVBand="0" w:evenVBand="0" w:oddHBand="0" w:evenHBand="0" w:firstRowFirstColumn="0" w:firstRowLastColumn="0" w:lastRowFirstColumn="0" w:lastRowLastColumn="0"/>
          <w:tblHeader/>
        </w:trPr>
        <w:tc>
          <w:tcPr>
            <w:tcW w:w="367" w:type="pct"/>
          </w:tcPr>
          <w:p w14:paraId="0468B336" w14:textId="77777777" w:rsidR="00623FCA" w:rsidRPr="00FE6CB5" w:rsidRDefault="00623FCA" w:rsidP="005C6BB3">
            <w:pPr>
              <w:pStyle w:val="Tabletext0"/>
              <w:keepNext/>
              <w:rPr>
                <w:b/>
              </w:rPr>
            </w:pPr>
            <w:r w:rsidRPr="00FE6CB5">
              <w:rPr>
                <w:b/>
              </w:rPr>
              <w:t>Ref</w:t>
            </w:r>
            <w:r w:rsidRPr="00FE6CB5">
              <w:rPr>
                <w:b/>
                <w:vertAlign w:val="superscript"/>
              </w:rPr>
              <w:t>a</w:t>
            </w:r>
          </w:p>
        </w:tc>
        <w:tc>
          <w:tcPr>
            <w:tcW w:w="3556" w:type="pct"/>
          </w:tcPr>
          <w:p w14:paraId="3FAFDEAE" w14:textId="77777777" w:rsidR="00623FCA" w:rsidRPr="00FE6CB5" w:rsidRDefault="00623FCA" w:rsidP="005C6BB3">
            <w:pPr>
              <w:pStyle w:val="Tabletext0"/>
              <w:keepNext/>
              <w:rPr>
                <w:b/>
              </w:rPr>
            </w:pPr>
            <w:r w:rsidRPr="00FE6CB5">
              <w:rPr>
                <w:b/>
              </w:rPr>
              <w:t>Variable or assumption</w:t>
            </w:r>
          </w:p>
        </w:tc>
        <w:tc>
          <w:tcPr>
            <w:tcW w:w="550" w:type="pct"/>
          </w:tcPr>
          <w:p w14:paraId="2CCDFB39" w14:textId="77777777" w:rsidR="00623FCA" w:rsidRDefault="00623FCA" w:rsidP="005C6BB3">
            <w:pPr>
              <w:pStyle w:val="Tabletext0"/>
              <w:keepNext/>
              <w:jc w:val="center"/>
              <w:rPr>
                <w:b/>
              </w:rPr>
            </w:pPr>
            <w:r w:rsidRPr="00FE6CB5">
              <w:rPr>
                <w:b/>
              </w:rPr>
              <w:t>ICER</w:t>
            </w:r>
          </w:p>
          <w:p w14:paraId="58FE9EAA" w14:textId="584F90B3" w:rsidR="00BB15B3" w:rsidRPr="00FE6CB5" w:rsidRDefault="00BB15B3" w:rsidP="005C6BB3">
            <w:pPr>
              <w:pStyle w:val="Tabletext0"/>
              <w:keepNext/>
              <w:jc w:val="center"/>
              <w:rPr>
                <w:b/>
              </w:rPr>
            </w:pPr>
            <w:r>
              <w:rPr>
                <w:b/>
              </w:rPr>
              <w:t>($)</w:t>
            </w:r>
          </w:p>
        </w:tc>
        <w:tc>
          <w:tcPr>
            <w:tcW w:w="527" w:type="pct"/>
          </w:tcPr>
          <w:p w14:paraId="3B19B75A" w14:textId="77777777" w:rsidR="00623FCA" w:rsidRPr="00FE6CB5" w:rsidRDefault="00623FCA" w:rsidP="005C6BB3">
            <w:pPr>
              <w:pStyle w:val="Tabletext0"/>
              <w:keepNext/>
              <w:jc w:val="center"/>
              <w:rPr>
                <w:b/>
              </w:rPr>
            </w:pPr>
            <w:r w:rsidRPr="00FE6CB5">
              <w:rPr>
                <w:b/>
              </w:rPr>
              <w:t>Percent change from base case</w:t>
            </w:r>
          </w:p>
        </w:tc>
      </w:tr>
      <w:tr w:rsidR="00623FCA" w:rsidRPr="00FE6CB5" w14:paraId="4430F38E" w14:textId="77777777" w:rsidTr="005C6BB3">
        <w:tc>
          <w:tcPr>
            <w:tcW w:w="367" w:type="pct"/>
            <w:shd w:val="clear" w:color="auto" w:fill="D9D9D9" w:themeFill="background1" w:themeFillShade="D9"/>
            <w:vAlign w:val="center"/>
          </w:tcPr>
          <w:p w14:paraId="44F3D248" w14:textId="77777777" w:rsidR="00623FCA" w:rsidRPr="00FE6CB5" w:rsidRDefault="00623FCA" w:rsidP="005C6BB3">
            <w:pPr>
              <w:pStyle w:val="Tabletext0"/>
              <w:keepNext/>
            </w:pPr>
          </w:p>
        </w:tc>
        <w:tc>
          <w:tcPr>
            <w:tcW w:w="3556" w:type="pct"/>
            <w:shd w:val="clear" w:color="auto" w:fill="D9D9D9" w:themeFill="background1" w:themeFillShade="D9"/>
            <w:vAlign w:val="center"/>
          </w:tcPr>
          <w:p w14:paraId="58D6FD81" w14:textId="77777777" w:rsidR="00623FCA" w:rsidRPr="00FE6CB5" w:rsidRDefault="00623FCA" w:rsidP="005C6BB3">
            <w:pPr>
              <w:pStyle w:val="Tabletext0"/>
              <w:keepNext/>
            </w:pPr>
            <w:r w:rsidRPr="00FE6CB5">
              <w:t>Base case</w:t>
            </w:r>
          </w:p>
        </w:tc>
        <w:tc>
          <w:tcPr>
            <w:tcW w:w="550" w:type="pct"/>
            <w:shd w:val="clear" w:color="auto" w:fill="D9D9D9" w:themeFill="background1" w:themeFillShade="D9"/>
            <w:vAlign w:val="center"/>
          </w:tcPr>
          <w:p w14:paraId="4AC8268A" w14:textId="7EAC4AE9" w:rsidR="00623FCA" w:rsidRPr="00872AE4" w:rsidRDefault="00623FCA" w:rsidP="005C6BB3">
            <w:pPr>
              <w:pStyle w:val="Tabletext0"/>
              <w:keepNext/>
              <w:jc w:val="center"/>
              <w:rPr>
                <w:vertAlign w:val="superscript"/>
              </w:rPr>
            </w:pPr>
            <w:r w:rsidRPr="00FE6CB5">
              <w:t>$</w:t>
            </w:r>
            <w:r w:rsidR="00872AE4" w:rsidRPr="00880ABD">
              <w:rPr>
                <w:color w:val="000000"/>
                <w:spacing w:val="126"/>
                <w:shd w:val="solid" w:color="000000" w:fill="000000"/>
                <w:fitText w:val="380" w:id="-1233492990"/>
                <w14:textFill>
                  <w14:solidFill>
                    <w14:srgbClr w14:val="000000">
                      <w14:alpha w14:val="100000"/>
                    </w14:srgbClr>
                  </w14:solidFill>
                </w14:textFill>
              </w:rPr>
              <w:t>||</w:t>
            </w:r>
            <w:r w:rsidR="00872AE4" w:rsidRPr="00880ABD">
              <w:rPr>
                <w:color w:val="000000"/>
                <w:spacing w:val="1"/>
                <w:shd w:val="solid" w:color="000000" w:fill="000000"/>
                <w:fitText w:val="380" w:id="-1233492990"/>
                <w14:textFill>
                  <w14:solidFill>
                    <w14:srgbClr w14:val="000000">
                      <w14:alpha w14:val="100000"/>
                    </w14:srgbClr>
                  </w14:solidFill>
                </w14:textFill>
              </w:rPr>
              <w:t>|</w:t>
            </w:r>
            <w:r w:rsidR="00BB15B3">
              <w:rPr>
                <w:vertAlign w:val="superscript"/>
              </w:rPr>
              <w:t>1</w:t>
            </w:r>
          </w:p>
        </w:tc>
        <w:tc>
          <w:tcPr>
            <w:tcW w:w="527" w:type="pct"/>
            <w:shd w:val="clear" w:color="auto" w:fill="D9D9D9" w:themeFill="background1" w:themeFillShade="D9"/>
            <w:vAlign w:val="center"/>
          </w:tcPr>
          <w:p w14:paraId="7B7B4C74" w14:textId="77777777" w:rsidR="00623FCA" w:rsidRPr="00FE6CB5" w:rsidRDefault="00623FCA" w:rsidP="005C6BB3">
            <w:pPr>
              <w:pStyle w:val="Tabletext0"/>
              <w:keepNext/>
              <w:jc w:val="center"/>
            </w:pPr>
            <w:r w:rsidRPr="00FE6CB5">
              <w:t>0.0%</w:t>
            </w:r>
          </w:p>
        </w:tc>
      </w:tr>
      <w:tr w:rsidR="00623FCA" w:rsidRPr="00FE6CB5" w14:paraId="7E6B4FB3" w14:textId="77777777" w:rsidTr="005C6BB3">
        <w:tc>
          <w:tcPr>
            <w:tcW w:w="367" w:type="pct"/>
            <w:shd w:val="clear" w:color="auto" w:fill="D9D9D9" w:themeFill="background1" w:themeFillShade="D9"/>
            <w:vAlign w:val="center"/>
          </w:tcPr>
          <w:p w14:paraId="24FC5A57" w14:textId="77777777" w:rsidR="00623FCA" w:rsidRPr="00FE6CB5" w:rsidRDefault="00623FCA" w:rsidP="005C6BB3">
            <w:pPr>
              <w:pStyle w:val="Tabletext0"/>
              <w:keepNext/>
            </w:pPr>
          </w:p>
        </w:tc>
        <w:tc>
          <w:tcPr>
            <w:tcW w:w="3556" w:type="pct"/>
            <w:shd w:val="clear" w:color="auto" w:fill="D9D9D9" w:themeFill="background1" w:themeFillShade="D9"/>
            <w:vAlign w:val="center"/>
          </w:tcPr>
          <w:p w14:paraId="00228796" w14:textId="77777777" w:rsidR="00623FCA" w:rsidRPr="00FE6CB5" w:rsidRDefault="00623FCA" w:rsidP="005C6BB3">
            <w:pPr>
              <w:pStyle w:val="Tabletext0"/>
              <w:keepNext/>
            </w:pPr>
            <w:r w:rsidRPr="00FE6CB5">
              <w:t>ALTERNATIVE BASE CASE</w:t>
            </w:r>
          </w:p>
        </w:tc>
        <w:tc>
          <w:tcPr>
            <w:tcW w:w="550" w:type="pct"/>
            <w:shd w:val="clear" w:color="auto" w:fill="D9D9D9" w:themeFill="background1" w:themeFillShade="D9"/>
            <w:vAlign w:val="center"/>
          </w:tcPr>
          <w:p w14:paraId="47B84003" w14:textId="77777777" w:rsidR="00623FCA" w:rsidRPr="00FE6CB5" w:rsidRDefault="00623FCA" w:rsidP="005C6BB3">
            <w:pPr>
              <w:pStyle w:val="Tabletext0"/>
              <w:keepNext/>
              <w:jc w:val="center"/>
            </w:pPr>
          </w:p>
        </w:tc>
        <w:tc>
          <w:tcPr>
            <w:tcW w:w="527" w:type="pct"/>
            <w:shd w:val="clear" w:color="auto" w:fill="D9D9D9" w:themeFill="background1" w:themeFillShade="D9"/>
            <w:vAlign w:val="center"/>
          </w:tcPr>
          <w:p w14:paraId="027C879D" w14:textId="77777777" w:rsidR="00623FCA" w:rsidRPr="00FE6CB5" w:rsidRDefault="00623FCA" w:rsidP="005C6BB3">
            <w:pPr>
              <w:pStyle w:val="Tabletext0"/>
              <w:keepNext/>
              <w:jc w:val="center"/>
            </w:pPr>
          </w:p>
        </w:tc>
      </w:tr>
      <w:tr w:rsidR="00623FCA" w:rsidRPr="00FE6CB5" w14:paraId="0C2BF6E7" w14:textId="77777777" w:rsidTr="005C6BB3">
        <w:tc>
          <w:tcPr>
            <w:tcW w:w="367" w:type="pct"/>
            <w:vAlign w:val="center"/>
          </w:tcPr>
          <w:p w14:paraId="75DD72AC" w14:textId="77777777" w:rsidR="00623FCA" w:rsidRPr="00FE6CB5" w:rsidRDefault="00623FCA" w:rsidP="005C6BB3">
            <w:pPr>
              <w:pStyle w:val="Tabletext0"/>
              <w:keepNext/>
            </w:pPr>
            <w:r w:rsidRPr="00FE6CB5">
              <w:t>1</w:t>
            </w:r>
          </w:p>
        </w:tc>
        <w:tc>
          <w:tcPr>
            <w:tcW w:w="3556" w:type="pct"/>
            <w:vAlign w:val="center"/>
          </w:tcPr>
          <w:p w14:paraId="4B852FF0" w14:textId="77777777" w:rsidR="00623FCA" w:rsidRPr="00FE6CB5" w:rsidRDefault="00623FCA" w:rsidP="005C6BB3">
            <w:pPr>
              <w:pStyle w:val="Tabletext0"/>
              <w:keepNext/>
            </w:pPr>
            <w:r w:rsidRPr="00FE6CB5">
              <w:t>Increase the age in the model to 50</w:t>
            </w:r>
          </w:p>
        </w:tc>
        <w:tc>
          <w:tcPr>
            <w:tcW w:w="550" w:type="pct"/>
            <w:vAlign w:val="center"/>
          </w:tcPr>
          <w:p w14:paraId="4F8CE2FA" w14:textId="32C2C3EE"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1</w:t>
            </w:r>
          </w:p>
        </w:tc>
        <w:tc>
          <w:tcPr>
            <w:tcW w:w="527" w:type="pct"/>
            <w:vAlign w:val="center"/>
          </w:tcPr>
          <w:p w14:paraId="6AEC7406" w14:textId="77777777" w:rsidR="00623FCA" w:rsidRPr="00FE6CB5" w:rsidRDefault="00623FCA" w:rsidP="005C6BB3">
            <w:pPr>
              <w:pStyle w:val="Tabletext0"/>
              <w:keepNext/>
              <w:jc w:val="center"/>
            </w:pPr>
            <w:r w:rsidRPr="00FE6CB5">
              <w:t>6.35%</w:t>
            </w:r>
          </w:p>
        </w:tc>
      </w:tr>
      <w:tr w:rsidR="00623FCA" w:rsidRPr="00FE6CB5" w14:paraId="69226D6C" w14:textId="77777777" w:rsidTr="005C6BB3">
        <w:tc>
          <w:tcPr>
            <w:tcW w:w="367" w:type="pct"/>
            <w:vAlign w:val="center"/>
          </w:tcPr>
          <w:p w14:paraId="0DABC4FA" w14:textId="77777777" w:rsidR="00623FCA" w:rsidRPr="00FE6CB5" w:rsidRDefault="00623FCA" w:rsidP="005C6BB3">
            <w:pPr>
              <w:pStyle w:val="Tabletext0"/>
              <w:keepNext/>
            </w:pPr>
            <w:r w:rsidRPr="00FE6CB5">
              <w:t>2</w:t>
            </w:r>
          </w:p>
        </w:tc>
        <w:tc>
          <w:tcPr>
            <w:tcW w:w="3556" w:type="pct"/>
            <w:vAlign w:val="center"/>
          </w:tcPr>
          <w:p w14:paraId="11B0621F" w14:textId="77777777" w:rsidR="00623FCA" w:rsidRPr="00FE6CB5" w:rsidRDefault="00623FCA" w:rsidP="005C6BB3">
            <w:pPr>
              <w:pStyle w:val="Tabletext0"/>
              <w:keepNext/>
            </w:pPr>
            <w:r w:rsidRPr="00FE6CB5">
              <w:t>Apply a lower rate of current testing for HR+ patients (33.5% weighted average)</w:t>
            </w:r>
          </w:p>
        </w:tc>
        <w:tc>
          <w:tcPr>
            <w:tcW w:w="550" w:type="pct"/>
            <w:vAlign w:val="center"/>
          </w:tcPr>
          <w:p w14:paraId="36B0F4B0" w14:textId="74E361E4"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2</w:t>
            </w:r>
          </w:p>
        </w:tc>
        <w:tc>
          <w:tcPr>
            <w:tcW w:w="527" w:type="pct"/>
            <w:vAlign w:val="center"/>
          </w:tcPr>
          <w:p w14:paraId="3DA7CAF8" w14:textId="77777777" w:rsidR="00623FCA" w:rsidRPr="00FE6CB5" w:rsidRDefault="00623FCA" w:rsidP="005C6BB3">
            <w:pPr>
              <w:pStyle w:val="Tabletext0"/>
              <w:keepNext/>
              <w:jc w:val="center"/>
            </w:pPr>
            <w:r w:rsidRPr="00FE6CB5">
              <w:t>15.51%</w:t>
            </w:r>
          </w:p>
        </w:tc>
      </w:tr>
      <w:tr w:rsidR="00623FCA" w:rsidRPr="00FE6CB5" w14:paraId="3473F9E9" w14:textId="77777777" w:rsidTr="005C6BB3">
        <w:tc>
          <w:tcPr>
            <w:tcW w:w="367" w:type="pct"/>
            <w:vAlign w:val="center"/>
          </w:tcPr>
          <w:p w14:paraId="68CCC690" w14:textId="77777777" w:rsidR="00623FCA" w:rsidRPr="00FE6CB5" w:rsidRDefault="00623FCA" w:rsidP="005C6BB3">
            <w:pPr>
              <w:pStyle w:val="Tabletext0"/>
              <w:keepNext/>
            </w:pPr>
            <w:r w:rsidRPr="00FE6CB5">
              <w:t>3</w:t>
            </w:r>
          </w:p>
        </w:tc>
        <w:tc>
          <w:tcPr>
            <w:tcW w:w="3556" w:type="pct"/>
            <w:vAlign w:val="center"/>
          </w:tcPr>
          <w:p w14:paraId="12EA6598" w14:textId="77777777" w:rsidR="00623FCA" w:rsidRPr="00FE6CB5" w:rsidRDefault="00623FCA" w:rsidP="005C6BB3">
            <w:pPr>
              <w:pStyle w:val="Tabletext0"/>
              <w:keepNext/>
            </w:pPr>
            <w:r w:rsidRPr="00FE6CB5">
              <w:t>Type of recurrence equal across the arms in the model</w:t>
            </w:r>
          </w:p>
        </w:tc>
        <w:tc>
          <w:tcPr>
            <w:tcW w:w="550" w:type="pct"/>
            <w:vAlign w:val="center"/>
          </w:tcPr>
          <w:p w14:paraId="4548458B" w14:textId="522F5F43"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2</w:t>
            </w:r>
          </w:p>
        </w:tc>
        <w:tc>
          <w:tcPr>
            <w:tcW w:w="527" w:type="pct"/>
            <w:vAlign w:val="center"/>
          </w:tcPr>
          <w:p w14:paraId="00A0D0B9" w14:textId="77777777" w:rsidR="00623FCA" w:rsidRPr="00FE6CB5" w:rsidRDefault="00623FCA" w:rsidP="005C6BB3">
            <w:pPr>
              <w:pStyle w:val="Tabletext0"/>
              <w:keepNext/>
              <w:jc w:val="center"/>
            </w:pPr>
            <w:r w:rsidRPr="00FE6CB5">
              <w:t>17.53%</w:t>
            </w:r>
          </w:p>
        </w:tc>
      </w:tr>
      <w:tr w:rsidR="00623FCA" w:rsidRPr="00FE6CB5" w14:paraId="54969DBB" w14:textId="77777777" w:rsidTr="005C6BB3">
        <w:tc>
          <w:tcPr>
            <w:tcW w:w="367" w:type="pct"/>
            <w:vAlign w:val="center"/>
          </w:tcPr>
          <w:p w14:paraId="60473C08" w14:textId="77777777" w:rsidR="00623FCA" w:rsidRPr="00FE6CB5" w:rsidRDefault="00623FCA" w:rsidP="005C6BB3">
            <w:pPr>
              <w:pStyle w:val="Tabletext0"/>
              <w:keepNext/>
            </w:pPr>
            <w:r w:rsidRPr="00FE6CB5">
              <w:t>4</w:t>
            </w:r>
          </w:p>
        </w:tc>
        <w:tc>
          <w:tcPr>
            <w:tcW w:w="3556" w:type="pct"/>
            <w:vAlign w:val="center"/>
          </w:tcPr>
          <w:p w14:paraId="27D6E2D3" w14:textId="77777777" w:rsidR="00623FCA" w:rsidRPr="00FE6CB5" w:rsidRDefault="00623FCA" w:rsidP="005C6BB3">
            <w:pPr>
              <w:pStyle w:val="Tabletext0"/>
              <w:keepNext/>
            </w:pPr>
            <w:r w:rsidRPr="00FE6CB5">
              <w:t>60 month truncation point for the use of observed data</w:t>
            </w:r>
          </w:p>
        </w:tc>
        <w:tc>
          <w:tcPr>
            <w:tcW w:w="550" w:type="pct"/>
            <w:vAlign w:val="center"/>
          </w:tcPr>
          <w:p w14:paraId="79C887A0" w14:textId="7E667BDB"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3</w:t>
            </w:r>
          </w:p>
        </w:tc>
        <w:tc>
          <w:tcPr>
            <w:tcW w:w="527" w:type="pct"/>
            <w:vAlign w:val="center"/>
          </w:tcPr>
          <w:p w14:paraId="1D07F033" w14:textId="77777777" w:rsidR="00623FCA" w:rsidRPr="00FE6CB5" w:rsidRDefault="00623FCA" w:rsidP="005C6BB3">
            <w:pPr>
              <w:pStyle w:val="Tabletext0"/>
              <w:keepNext/>
              <w:jc w:val="center"/>
            </w:pPr>
            <w:r w:rsidRPr="00FE6CB5">
              <w:t>64.97%</w:t>
            </w:r>
          </w:p>
        </w:tc>
      </w:tr>
      <w:tr w:rsidR="00623FCA" w:rsidRPr="00FE6CB5" w14:paraId="6E1E64DF" w14:textId="77777777" w:rsidTr="005C6BB3">
        <w:tc>
          <w:tcPr>
            <w:tcW w:w="367" w:type="pct"/>
            <w:vAlign w:val="center"/>
          </w:tcPr>
          <w:p w14:paraId="312DFA88" w14:textId="77777777" w:rsidR="00623FCA" w:rsidRPr="00FE6CB5" w:rsidRDefault="00623FCA" w:rsidP="005C6BB3">
            <w:pPr>
              <w:pStyle w:val="Tabletext0"/>
              <w:keepNext/>
            </w:pPr>
            <w:r w:rsidRPr="00FE6CB5">
              <w:t>5</w:t>
            </w:r>
          </w:p>
        </w:tc>
        <w:tc>
          <w:tcPr>
            <w:tcW w:w="3556" w:type="pct"/>
            <w:vAlign w:val="center"/>
          </w:tcPr>
          <w:p w14:paraId="4BF106F3" w14:textId="77777777" w:rsidR="00623FCA" w:rsidRPr="00FE6CB5" w:rsidRDefault="00623FCA" w:rsidP="005C6BB3">
            <w:pPr>
              <w:pStyle w:val="Tabletext0"/>
              <w:keepNext/>
            </w:pPr>
            <w:r w:rsidRPr="00FE6CB5">
              <w:t>Risk of death from early-onset mBC different across arms</w:t>
            </w:r>
          </w:p>
        </w:tc>
        <w:tc>
          <w:tcPr>
            <w:tcW w:w="550" w:type="pct"/>
            <w:vAlign w:val="center"/>
          </w:tcPr>
          <w:p w14:paraId="78A4866B" w14:textId="3CAA7DB0"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3</w:t>
            </w:r>
          </w:p>
        </w:tc>
        <w:tc>
          <w:tcPr>
            <w:tcW w:w="527" w:type="pct"/>
            <w:vAlign w:val="center"/>
          </w:tcPr>
          <w:p w14:paraId="5AC5B786" w14:textId="77777777" w:rsidR="00623FCA" w:rsidRPr="00FE6CB5" w:rsidRDefault="00623FCA" w:rsidP="005C6BB3">
            <w:pPr>
              <w:pStyle w:val="Tabletext0"/>
              <w:keepNext/>
              <w:jc w:val="center"/>
            </w:pPr>
            <w:r w:rsidRPr="00FE6CB5">
              <w:t>78.04%</w:t>
            </w:r>
          </w:p>
        </w:tc>
      </w:tr>
      <w:tr w:rsidR="00623FCA" w:rsidRPr="00FE6CB5" w14:paraId="19A31CF0" w14:textId="77777777" w:rsidTr="005C6BB3">
        <w:tc>
          <w:tcPr>
            <w:tcW w:w="367" w:type="pct"/>
            <w:vAlign w:val="center"/>
          </w:tcPr>
          <w:p w14:paraId="1F10AD02" w14:textId="77777777" w:rsidR="00623FCA" w:rsidRPr="00FE6CB5" w:rsidRDefault="00623FCA" w:rsidP="005C6BB3">
            <w:pPr>
              <w:pStyle w:val="Tabletext0"/>
              <w:keepNext/>
            </w:pPr>
            <w:r w:rsidRPr="00FE6CB5">
              <w:lastRenderedPageBreak/>
              <w:t>6</w:t>
            </w:r>
          </w:p>
        </w:tc>
        <w:tc>
          <w:tcPr>
            <w:tcW w:w="3556" w:type="pct"/>
            <w:vAlign w:val="center"/>
          </w:tcPr>
          <w:p w14:paraId="5DC9F214" w14:textId="77777777" w:rsidR="00623FCA" w:rsidRPr="00FE6CB5" w:rsidRDefault="00623FCA" w:rsidP="005C6BB3">
            <w:pPr>
              <w:pStyle w:val="Tabletext0"/>
              <w:keepNext/>
            </w:pPr>
            <w:r w:rsidRPr="00FE6CB5">
              <w:t>Reduced rate of treatment in the mBC health state</w:t>
            </w:r>
          </w:p>
        </w:tc>
        <w:tc>
          <w:tcPr>
            <w:tcW w:w="550" w:type="pct"/>
            <w:vAlign w:val="center"/>
          </w:tcPr>
          <w:p w14:paraId="2758C6A1" w14:textId="73A4AFF6"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3</w:t>
            </w:r>
          </w:p>
        </w:tc>
        <w:tc>
          <w:tcPr>
            <w:tcW w:w="527" w:type="pct"/>
            <w:vAlign w:val="center"/>
          </w:tcPr>
          <w:p w14:paraId="13C8CE68" w14:textId="77777777" w:rsidR="00623FCA" w:rsidRPr="00FE6CB5" w:rsidRDefault="00623FCA" w:rsidP="005C6BB3">
            <w:pPr>
              <w:pStyle w:val="Tabletext0"/>
              <w:keepNext/>
              <w:jc w:val="center"/>
            </w:pPr>
            <w:r w:rsidRPr="00FE6CB5">
              <w:t>80.64%</w:t>
            </w:r>
          </w:p>
        </w:tc>
      </w:tr>
      <w:tr w:rsidR="00623FCA" w:rsidRPr="00FE6CB5" w14:paraId="20CE4302" w14:textId="77777777" w:rsidTr="005C6BB3">
        <w:tc>
          <w:tcPr>
            <w:tcW w:w="367" w:type="pct"/>
            <w:vAlign w:val="center"/>
          </w:tcPr>
          <w:p w14:paraId="2199DCA9" w14:textId="77777777" w:rsidR="00623FCA" w:rsidRPr="00FE6CB5" w:rsidRDefault="00623FCA" w:rsidP="005C6BB3">
            <w:pPr>
              <w:pStyle w:val="Tabletext0"/>
              <w:keepNext/>
            </w:pPr>
            <w:r w:rsidRPr="00FE6CB5">
              <w:t>7</w:t>
            </w:r>
          </w:p>
        </w:tc>
        <w:tc>
          <w:tcPr>
            <w:tcW w:w="3556" w:type="pct"/>
            <w:vAlign w:val="center"/>
          </w:tcPr>
          <w:p w14:paraId="26B2FF16" w14:textId="77777777" w:rsidR="00623FCA" w:rsidRPr="00FE6CB5" w:rsidRDefault="00623FCA" w:rsidP="005C6BB3">
            <w:pPr>
              <w:pStyle w:val="Tabletext0"/>
              <w:keepNext/>
            </w:pPr>
            <w:r w:rsidRPr="00FE6CB5">
              <w:t>Relative dose intensity applied to sacituzumab govitecan (TNBC, mBC)</w:t>
            </w:r>
          </w:p>
        </w:tc>
        <w:tc>
          <w:tcPr>
            <w:tcW w:w="550" w:type="pct"/>
            <w:vAlign w:val="center"/>
          </w:tcPr>
          <w:p w14:paraId="3BF0B19B" w14:textId="0FFF6735"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3</w:t>
            </w:r>
          </w:p>
        </w:tc>
        <w:tc>
          <w:tcPr>
            <w:tcW w:w="527" w:type="pct"/>
            <w:vAlign w:val="center"/>
          </w:tcPr>
          <w:p w14:paraId="1BDA4D25" w14:textId="77777777" w:rsidR="00623FCA" w:rsidRPr="00FE6CB5" w:rsidRDefault="00623FCA" w:rsidP="005C6BB3">
            <w:pPr>
              <w:pStyle w:val="Tabletext0"/>
              <w:keepNext/>
              <w:jc w:val="center"/>
            </w:pPr>
            <w:r w:rsidRPr="00FE6CB5">
              <w:t>81.37%</w:t>
            </w:r>
          </w:p>
        </w:tc>
      </w:tr>
      <w:tr w:rsidR="00623FCA" w:rsidRPr="00FE6CB5" w14:paraId="352EFBB8" w14:textId="77777777" w:rsidTr="005C6BB3">
        <w:tc>
          <w:tcPr>
            <w:tcW w:w="367" w:type="pct"/>
            <w:vAlign w:val="center"/>
          </w:tcPr>
          <w:p w14:paraId="23ED70E8" w14:textId="77777777" w:rsidR="00623FCA" w:rsidRPr="00FE6CB5" w:rsidRDefault="00623FCA" w:rsidP="005C6BB3">
            <w:pPr>
              <w:pStyle w:val="Tabletext0"/>
              <w:keepNext/>
            </w:pPr>
            <w:r w:rsidRPr="00FE6CB5">
              <w:t>8</w:t>
            </w:r>
          </w:p>
        </w:tc>
        <w:tc>
          <w:tcPr>
            <w:tcW w:w="3556" w:type="pct"/>
            <w:vAlign w:val="center"/>
          </w:tcPr>
          <w:p w14:paraId="67112B34" w14:textId="77777777" w:rsidR="00623FCA" w:rsidRPr="00FE6CB5" w:rsidRDefault="00623FCA" w:rsidP="005C6BB3">
            <w:pPr>
              <w:pStyle w:val="Tabletext0"/>
              <w:keepNext/>
            </w:pPr>
            <w:r w:rsidRPr="00FE6CB5">
              <w:t>Cost of echocardiography removed from monitoring costs</w:t>
            </w:r>
          </w:p>
        </w:tc>
        <w:tc>
          <w:tcPr>
            <w:tcW w:w="550" w:type="pct"/>
            <w:vAlign w:val="center"/>
          </w:tcPr>
          <w:p w14:paraId="18B34934" w14:textId="54271307"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3</w:t>
            </w:r>
          </w:p>
        </w:tc>
        <w:tc>
          <w:tcPr>
            <w:tcW w:w="527" w:type="pct"/>
            <w:vAlign w:val="center"/>
          </w:tcPr>
          <w:p w14:paraId="310C052A" w14:textId="77777777" w:rsidR="00623FCA" w:rsidRPr="00FE6CB5" w:rsidRDefault="00623FCA" w:rsidP="005C6BB3">
            <w:pPr>
              <w:pStyle w:val="Tabletext0"/>
              <w:keepNext/>
              <w:jc w:val="center"/>
            </w:pPr>
            <w:r w:rsidRPr="00FE6CB5">
              <w:t>81.99%</w:t>
            </w:r>
          </w:p>
        </w:tc>
      </w:tr>
      <w:tr w:rsidR="00623FCA" w:rsidRPr="00FE6CB5" w14:paraId="6A83C021" w14:textId="77777777" w:rsidTr="005C6BB3">
        <w:tc>
          <w:tcPr>
            <w:tcW w:w="367" w:type="pct"/>
            <w:vAlign w:val="center"/>
          </w:tcPr>
          <w:p w14:paraId="667B850D" w14:textId="77777777" w:rsidR="00623FCA" w:rsidRPr="00FE6CB5" w:rsidRDefault="00623FCA" w:rsidP="005C6BB3">
            <w:pPr>
              <w:pStyle w:val="Tabletext0"/>
              <w:keepNext/>
            </w:pPr>
            <w:r w:rsidRPr="00FE6CB5">
              <w:t>9</w:t>
            </w:r>
          </w:p>
        </w:tc>
        <w:tc>
          <w:tcPr>
            <w:tcW w:w="3556" w:type="pct"/>
            <w:vAlign w:val="center"/>
          </w:tcPr>
          <w:p w14:paraId="2BAC414E" w14:textId="77777777" w:rsidR="00623FCA" w:rsidRPr="00FE6CB5" w:rsidRDefault="00623FCA" w:rsidP="005C6BB3">
            <w:pPr>
              <w:pStyle w:val="Tabletext0"/>
              <w:keepNext/>
            </w:pPr>
            <w:r w:rsidRPr="00FE6CB5">
              <w:t>Disutility applied to treatment with olaparib (5%)</w:t>
            </w:r>
          </w:p>
        </w:tc>
        <w:tc>
          <w:tcPr>
            <w:tcW w:w="550" w:type="pct"/>
            <w:vAlign w:val="center"/>
          </w:tcPr>
          <w:p w14:paraId="0A52114D" w14:textId="7A11C4E9"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3</w:t>
            </w:r>
          </w:p>
        </w:tc>
        <w:tc>
          <w:tcPr>
            <w:tcW w:w="527" w:type="pct"/>
            <w:vAlign w:val="center"/>
          </w:tcPr>
          <w:p w14:paraId="096E60C9" w14:textId="77777777" w:rsidR="00623FCA" w:rsidRPr="00FE6CB5" w:rsidRDefault="00623FCA" w:rsidP="005C6BB3">
            <w:pPr>
              <w:pStyle w:val="Tabletext0"/>
              <w:keepNext/>
              <w:jc w:val="center"/>
            </w:pPr>
            <w:r w:rsidRPr="00FE6CB5">
              <w:t>94.62%</w:t>
            </w:r>
          </w:p>
        </w:tc>
      </w:tr>
      <w:tr w:rsidR="00623FCA" w:rsidRPr="00FE6CB5" w14:paraId="3A63098D" w14:textId="77777777" w:rsidTr="005C6BB3">
        <w:tc>
          <w:tcPr>
            <w:tcW w:w="367" w:type="pct"/>
            <w:vAlign w:val="center"/>
          </w:tcPr>
          <w:p w14:paraId="5B6EAC45" w14:textId="77777777" w:rsidR="00623FCA" w:rsidRPr="00FE6CB5" w:rsidRDefault="00623FCA" w:rsidP="005C6BB3">
            <w:pPr>
              <w:pStyle w:val="Tabletext0"/>
              <w:keepNext/>
            </w:pPr>
            <w:r w:rsidRPr="00FE6CB5">
              <w:t>10</w:t>
            </w:r>
          </w:p>
        </w:tc>
        <w:tc>
          <w:tcPr>
            <w:tcW w:w="3556" w:type="pct"/>
            <w:vAlign w:val="center"/>
          </w:tcPr>
          <w:p w14:paraId="3FD3BDB1" w14:textId="77777777" w:rsidR="00623FCA" w:rsidRPr="00FE6CB5" w:rsidRDefault="00623FCA" w:rsidP="005C6BB3">
            <w:pPr>
              <w:pStyle w:val="Tabletext0"/>
              <w:keepNext/>
            </w:pPr>
            <w:r w:rsidRPr="00FE6CB5">
              <w:t>Health state utilities applied using real-world EQ-5D results for patients receiving adjuvant treatments</w:t>
            </w:r>
          </w:p>
        </w:tc>
        <w:tc>
          <w:tcPr>
            <w:tcW w:w="550" w:type="pct"/>
            <w:vAlign w:val="center"/>
          </w:tcPr>
          <w:p w14:paraId="3920F4FC" w14:textId="16BC28E4"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4</w:t>
            </w:r>
          </w:p>
        </w:tc>
        <w:tc>
          <w:tcPr>
            <w:tcW w:w="527" w:type="pct"/>
            <w:vAlign w:val="center"/>
          </w:tcPr>
          <w:p w14:paraId="40633E8A" w14:textId="77777777" w:rsidR="00623FCA" w:rsidRPr="00FE6CB5" w:rsidRDefault="00623FCA" w:rsidP="005C6BB3">
            <w:pPr>
              <w:pStyle w:val="Tabletext0"/>
              <w:keepNext/>
              <w:jc w:val="center"/>
            </w:pPr>
            <w:r w:rsidRPr="00FE6CB5">
              <w:t>106.90%</w:t>
            </w:r>
          </w:p>
        </w:tc>
      </w:tr>
      <w:tr w:rsidR="00623FCA" w:rsidRPr="00FE6CB5" w14:paraId="31FF550C" w14:textId="77777777" w:rsidTr="005C6BB3">
        <w:tc>
          <w:tcPr>
            <w:tcW w:w="367" w:type="pct"/>
            <w:shd w:val="clear" w:color="auto" w:fill="D9D9D9" w:themeFill="background1" w:themeFillShade="D9"/>
            <w:vAlign w:val="center"/>
          </w:tcPr>
          <w:p w14:paraId="047242C3" w14:textId="77777777" w:rsidR="00623FCA" w:rsidRPr="00FE6CB5" w:rsidRDefault="00623FCA" w:rsidP="005C6BB3">
            <w:pPr>
              <w:pStyle w:val="Tabletext0"/>
              <w:keepNext/>
            </w:pPr>
          </w:p>
        </w:tc>
        <w:tc>
          <w:tcPr>
            <w:tcW w:w="3556" w:type="pct"/>
            <w:shd w:val="clear" w:color="auto" w:fill="D9D9D9" w:themeFill="background1" w:themeFillShade="D9"/>
            <w:vAlign w:val="center"/>
          </w:tcPr>
          <w:p w14:paraId="2E77F2D4" w14:textId="77777777" w:rsidR="00623FCA" w:rsidRPr="00FE6CB5" w:rsidRDefault="00623FCA" w:rsidP="005C6BB3">
            <w:pPr>
              <w:pStyle w:val="Tabletext0"/>
              <w:keepNext/>
            </w:pPr>
            <w:r w:rsidRPr="00FE6CB5">
              <w:t>ADDITIONAL STRUCTURAL STEP</w:t>
            </w:r>
          </w:p>
        </w:tc>
        <w:tc>
          <w:tcPr>
            <w:tcW w:w="550" w:type="pct"/>
            <w:shd w:val="clear" w:color="auto" w:fill="D9D9D9" w:themeFill="background1" w:themeFillShade="D9"/>
            <w:vAlign w:val="center"/>
          </w:tcPr>
          <w:p w14:paraId="4AAB8D80" w14:textId="77777777" w:rsidR="00623FCA" w:rsidRPr="00FE6CB5" w:rsidRDefault="00623FCA" w:rsidP="005C6BB3">
            <w:pPr>
              <w:pStyle w:val="Tabletext0"/>
              <w:keepNext/>
              <w:jc w:val="center"/>
            </w:pPr>
          </w:p>
        </w:tc>
        <w:tc>
          <w:tcPr>
            <w:tcW w:w="527" w:type="pct"/>
            <w:shd w:val="clear" w:color="auto" w:fill="D9D9D9" w:themeFill="background1" w:themeFillShade="D9"/>
            <w:vAlign w:val="center"/>
          </w:tcPr>
          <w:p w14:paraId="32604337" w14:textId="77777777" w:rsidR="00623FCA" w:rsidRPr="00FE6CB5" w:rsidRDefault="00623FCA" w:rsidP="005C6BB3">
            <w:pPr>
              <w:pStyle w:val="Tabletext0"/>
              <w:keepNext/>
              <w:jc w:val="center"/>
            </w:pPr>
          </w:p>
        </w:tc>
      </w:tr>
      <w:tr w:rsidR="00623FCA" w:rsidRPr="00FE6CB5" w14:paraId="1F07459F" w14:textId="77777777" w:rsidTr="005C6BB3">
        <w:tc>
          <w:tcPr>
            <w:tcW w:w="367" w:type="pct"/>
            <w:vAlign w:val="center"/>
          </w:tcPr>
          <w:p w14:paraId="2B6E6C73" w14:textId="77777777" w:rsidR="00623FCA" w:rsidRPr="00FE6CB5" w:rsidRDefault="00623FCA" w:rsidP="005C6BB3">
            <w:pPr>
              <w:pStyle w:val="Tabletext0"/>
              <w:keepNext/>
            </w:pPr>
            <w:r w:rsidRPr="00FE6CB5">
              <w:t>1-10</w:t>
            </w:r>
          </w:p>
          <w:p w14:paraId="46434F5E" w14:textId="77777777" w:rsidR="00623FCA" w:rsidRPr="00FE6CB5" w:rsidRDefault="00623FCA" w:rsidP="005C6BB3">
            <w:pPr>
              <w:pStyle w:val="Tabletext0"/>
              <w:keepNext/>
            </w:pPr>
            <w:r w:rsidRPr="00FE6CB5">
              <w:t>+11</w:t>
            </w:r>
          </w:p>
        </w:tc>
        <w:tc>
          <w:tcPr>
            <w:tcW w:w="3556" w:type="pct"/>
            <w:vAlign w:val="center"/>
          </w:tcPr>
          <w:p w14:paraId="1F48AFF4" w14:textId="77777777" w:rsidR="00623FCA" w:rsidRPr="00FE6CB5" w:rsidRDefault="00623FCA" w:rsidP="005C6BB3">
            <w:pPr>
              <w:pStyle w:val="Tabletext0"/>
              <w:keepNext/>
            </w:pPr>
            <w:r w:rsidRPr="00FE6CB5">
              <w:t>Delaying the reduction in recurrence from 5 years to 6 years in the olaparib arm</w:t>
            </w:r>
          </w:p>
        </w:tc>
        <w:tc>
          <w:tcPr>
            <w:tcW w:w="550" w:type="pct"/>
            <w:vAlign w:val="center"/>
          </w:tcPr>
          <w:p w14:paraId="4292DF35" w14:textId="4B796B40"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5</w:t>
            </w:r>
          </w:p>
        </w:tc>
        <w:tc>
          <w:tcPr>
            <w:tcW w:w="527" w:type="pct"/>
            <w:vAlign w:val="center"/>
          </w:tcPr>
          <w:p w14:paraId="1789DD9B" w14:textId="77777777" w:rsidR="00623FCA" w:rsidRPr="00FE6CB5" w:rsidRDefault="00623FCA" w:rsidP="005C6BB3">
            <w:pPr>
              <w:pStyle w:val="Tabletext0"/>
              <w:keepNext/>
              <w:jc w:val="center"/>
            </w:pPr>
            <w:r w:rsidRPr="00FE6CB5">
              <w:t>161.86%</w:t>
            </w:r>
          </w:p>
        </w:tc>
      </w:tr>
      <w:tr w:rsidR="00623FCA" w:rsidRPr="00FE6CB5" w14:paraId="16417275" w14:textId="77777777" w:rsidTr="005C6BB3">
        <w:tc>
          <w:tcPr>
            <w:tcW w:w="367" w:type="pct"/>
            <w:shd w:val="clear" w:color="auto" w:fill="D9D9D9" w:themeFill="background1" w:themeFillShade="D9"/>
            <w:vAlign w:val="center"/>
          </w:tcPr>
          <w:p w14:paraId="7506B515" w14:textId="77777777" w:rsidR="00623FCA" w:rsidRPr="00FE6CB5" w:rsidRDefault="00623FCA" w:rsidP="005C6BB3">
            <w:pPr>
              <w:pStyle w:val="Tabletext0"/>
              <w:keepNext/>
            </w:pPr>
          </w:p>
        </w:tc>
        <w:tc>
          <w:tcPr>
            <w:tcW w:w="3556" w:type="pct"/>
            <w:shd w:val="clear" w:color="auto" w:fill="D9D9D9" w:themeFill="background1" w:themeFillShade="D9"/>
            <w:vAlign w:val="center"/>
          </w:tcPr>
          <w:p w14:paraId="1D5DDC0B" w14:textId="77777777" w:rsidR="00623FCA" w:rsidRPr="00FE6CB5" w:rsidRDefault="00623FCA" w:rsidP="005C6BB3">
            <w:pPr>
              <w:pStyle w:val="Tabletext0"/>
              <w:keepNext/>
            </w:pPr>
            <w:r w:rsidRPr="00FE6CB5">
              <w:t xml:space="preserve">ADDITIONAL </w:t>
            </w:r>
            <w:r w:rsidRPr="00FE6CB5">
              <w:rPr>
                <w:i/>
              </w:rPr>
              <w:t>BRCA</w:t>
            </w:r>
            <w:r w:rsidRPr="00FE6CB5">
              <w:t xml:space="preserve"> MORTALITY RATIO</w:t>
            </w:r>
          </w:p>
        </w:tc>
        <w:tc>
          <w:tcPr>
            <w:tcW w:w="550" w:type="pct"/>
            <w:shd w:val="clear" w:color="auto" w:fill="D9D9D9" w:themeFill="background1" w:themeFillShade="D9"/>
            <w:vAlign w:val="center"/>
          </w:tcPr>
          <w:p w14:paraId="34CF5DC0" w14:textId="77777777" w:rsidR="00623FCA" w:rsidRPr="00FE6CB5" w:rsidRDefault="00623FCA" w:rsidP="005C6BB3">
            <w:pPr>
              <w:pStyle w:val="Tabletext0"/>
              <w:keepNext/>
              <w:jc w:val="center"/>
            </w:pPr>
          </w:p>
        </w:tc>
        <w:tc>
          <w:tcPr>
            <w:tcW w:w="527" w:type="pct"/>
            <w:shd w:val="clear" w:color="auto" w:fill="D9D9D9" w:themeFill="background1" w:themeFillShade="D9"/>
            <w:vAlign w:val="center"/>
          </w:tcPr>
          <w:p w14:paraId="124C5ABB" w14:textId="77777777" w:rsidR="00623FCA" w:rsidRPr="00FE6CB5" w:rsidRDefault="00623FCA" w:rsidP="005C6BB3">
            <w:pPr>
              <w:pStyle w:val="Tabletext0"/>
              <w:keepNext/>
              <w:jc w:val="center"/>
            </w:pPr>
          </w:p>
        </w:tc>
      </w:tr>
      <w:tr w:rsidR="00623FCA" w:rsidRPr="00FE6CB5" w14:paraId="42B8126B" w14:textId="77777777" w:rsidTr="005C6BB3">
        <w:tc>
          <w:tcPr>
            <w:tcW w:w="367" w:type="pct"/>
            <w:vAlign w:val="center"/>
          </w:tcPr>
          <w:p w14:paraId="67D0A0A8" w14:textId="77777777" w:rsidR="00623FCA" w:rsidRPr="00FE6CB5" w:rsidRDefault="00623FCA" w:rsidP="005C6BB3">
            <w:pPr>
              <w:pStyle w:val="Tabletext0"/>
              <w:keepNext/>
            </w:pPr>
            <w:r w:rsidRPr="00FE6CB5">
              <w:t>1-10 +12</w:t>
            </w:r>
          </w:p>
        </w:tc>
        <w:tc>
          <w:tcPr>
            <w:tcW w:w="3556" w:type="pct"/>
            <w:vAlign w:val="center"/>
          </w:tcPr>
          <w:p w14:paraId="49B0490A" w14:textId="44162B3B" w:rsidR="00623FCA" w:rsidRPr="00FE6CB5" w:rsidRDefault="00623FCA" w:rsidP="005C6BB3">
            <w:pPr>
              <w:pStyle w:val="Tabletext0"/>
              <w:keepNext/>
            </w:pPr>
            <w:r w:rsidRPr="00FE6CB5">
              <w:t>Increasing the background mortality for g</w:t>
            </w:r>
            <w:r w:rsidRPr="00FE6CB5">
              <w:rPr>
                <w:i/>
              </w:rPr>
              <w:t>BRCA</w:t>
            </w:r>
            <w:r w:rsidR="007637F3">
              <w:rPr>
                <w:i/>
              </w:rPr>
              <w:t xml:space="preserve"> </w:t>
            </w:r>
            <w:r w:rsidR="007637F3">
              <w:t>variant</w:t>
            </w:r>
            <w:r w:rsidRPr="00FE6CB5">
              <w:t xml:space="preserve"> patients to account for other cancer deaths</w:t>
            </w:r>
          </w:p>
        </w:tc>
        <w:tc>
          <w:tcPr>
            <w:tcW w:w="550" w:type="pct"/>
            <w:vAlign w:val="center"/>
          </w:tcPr>
          <w:p w14:paraId="0AEECFB7" w14:textId="0C14477A" w:rsidR="00623FCA" w:rsidRPr="00872AE4" w:rsidRDefault="00623FCA" w:rsidP="005C6BB3">
            <w:pPr>
              <w:pStyle w:val="Tabletext0"/>
              <w:keepNext/>
              <w:jc w:val="center"/>
              <w:rPr>
                <w:vertAlign w:val="superscript"/>
              </w:rPr>
            </w:pPr>
            <w:r w:rsidRPr="00FE6CB5">
              <w:t>$</w:t>
            </w:r>
            <w:r w:rsidR="00872AE4" w:rsidRPr="00872AE4">
              <w:rPr>
                <w:color w:val="000000"/>
                <w:spacing w:val="129"/>
                <w:w w:val="95"/>
                <w:shd w:val="solid" w:color="000000" w:fill="000000"/>
                <w:fitText w:val="380" w:id="-1233492990"/>
                <w14:textFill>
                  <w14:solidFill>
                    <w14:srgbClr w14:val="000000">
                      <w14:alpha w14:val="100000"/>
                    </w14:srgbClr>
                  </w14:solidFill>
                </w14:textFill>
              </w:rPr>
              <w:t>||</w:t>
            </w:r>
            <w:r w:rsidR="00872AE4" w:rsidRPr="00872AE4">
              <w:rPr>
                <w:color w:val="000000"/>
                <w:spacing w:val="1"/>
                <w:w w:val="95"/>
                <w:shd w:val="solid" w:color="000000" w:fill="000000"/>
                <w:fitText w:val="380" w:id="-1233492990"/>
                <w14:textFill>
                  <w14:solidFill>
                    <w14:srgbClr w14:val="000000">
                      <w14:alpha w14:val="100000"/>
                    </w14:srgbClr>
                  </w14:solidFill>
                </w14:textFill>
              </w:rPr>
              <w:t>|</w:t>
            </w:r>
            <w:r w:rsidR="00BB15B3">
              <w:rPr>
                <w:vertAlign w:val="superscript"/>
              </w:rPr>
              <w:t>4</w:t>
            </w:r>
          </w:p>
        </w:tc>
        <w:tc>
          <w:tcPr>
            <w:tcW w:w="527" w:type="pct"/>
            <w:vAlign w:val="center"/>
          </w:tcPr>
          <w:p w14:paraId="06A3531C" w14:textId="77777777" w:rsidR="00623FCA" w:rsidRPr="00FE6CB5" w:rsidRDefault="00623FCA" w:rsidP="005C6BB3">
            <w:pPr>
              <w:pStyle w:val="Tabletext0"/>
              <w:keepNext/>
              <w:jc w:val="center"/>
            </w:pPr>
            <w:r w:rsidRPr="00FE6CB5">
              <w:t>115.68%</w:t>
            </w:r>
          </w:p>
        </w:tc>
      </w:tr>
    </w:tbl>
    <w:p w14:paraId="2AA76405" w14:textId="77777777" w:rsidR="00623FCA" w:rsidRPr="00FE6CB5" w:rsidRDefault="00623FCA" w:rsidP="00623FCA">
      <w:pPr>
        <w:pStyle w:val="FooterTableFigure"/>
        <w:keepNext/>
      </w:pPr>
      <w:r w:rsidRPr="00FE6CB5">
        <w:t>Source: Generated during the evaluation from the economic evaluation spreadsheet.</w:t>
      </w:r>
    </w:p>
    <w:p w14:paraId="72B4E2CA" w14:textId="1ADE991B" w:rsidR="00623FCA" w:rsidRPr="00FE6CB5" w:rsidRDefault="00623FCA" w:rsidP="00623FCA">
      <w:pPr>
        <w:pStyle w:val="FooterTableFigure"/>
        <w:keepNext/>
      </w:pPr>
      <w:r w:rsidRPr="00FE6CB5">
        <w:rPr>
          <w:vertAlign w:val="superscript"/>
        </w:rPr>
        <w:t>a</w:t>
      </w:r>
      <w:r w:rsidRPr="00FE6CB5">
        <w:t>Ref = the reference number from the univariate analyses table</w:t>
      </w:r>
    </w:p>
    <w:p w14:paraId="08107342" w14:textId="1DE67731" w:rsidR="005F2B82" w:rsidRDefault="00623FCA" w:rsidP="00872AE4">
      <w:pPr>
        <w:spacing w:before="0" w:after="0" w:line="240" w:lineRule="auto"/>
        <w:rPr>
          <w:rFonts w:ascii="Arial Narrow" w:hAnsi="Arial Narrow"/>
          <w:sz w:val="18"/>
          <w:szCs w:val="18"/>
        </w:rPr>
      </w:pPr>
      <w:r w:rsidRPr="003977F6">
        <w:rPr>
          <w:rFonts w:ascii="Arial Narrow" w:hAnsi="Arial Narrow"/>
          <w:sz w:val="18"/>
          <w:szCs w:val="18"/>
        </w:rPr>
        <w:t>EQ-5D = EuroQol five dimension scale questionnaire; g</w:t>
      </w:r>
      <w:r w:rsidRPr="003977F6">
        <w:rPr>
          <w:rFonts w:ascii="Arial Narrow" w:hAnsi="Arial Narrow"/>
          <w:i/>
          <w:sz w:val="18"/>
          <w:szCs w:val="18"/>
        </w:rPr>
        <w:t>BRCA</w:t>
      </w:r>
      <w:r w:rsidRPr="003977F6">
        <w:rPr>
          <w:rFonts w:ascii="Arial Narrow" w:hAnsi="Arial Narrow"/>
          <w:sz w:val="18"/>
          <w:szCs w:val="18"/>
        </w:rPr>
        <w:t xml:space="preserve"> = germline breast cancer gene; HR+ = hormone receptor positive; ICER = incremental cost-effectiveness ratio; mBC = metastatic breast cancer recurrence; TNBC = triple-negative breast cancer.</w:t>
      </w:r>
    </w:p>
    <w:p w14:paraId="0EA53CB8" w14:textId="77777777" w:rsidR="00BB15B3" w:rsidRPr="009A6D58" w:rsidRDefault="00BB15B3" w:rsidP="00872AE4">
      <w:pPr>
        <w:spacing w:before="0" w:after="0" w:line="240" w:lineRule="auto"/>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41726B2" w14:textId="77777777" w:rsidR="00BB15B3" w:rsidRPr="009A6D58" w:rsidRDefault="00BB15B3" w:rsidP="00872AE4">
      <w:pPr>
        <w:spacing w:before="0" w:after="0" w:line="240" w:lineRule="auto"/>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5245EE">
        <w:rPr>
          <w:rFonts w:ascii="Arial Narrow" w:hAnsi="Arial Narrow"/>
          <w:i/>
          <w:sz w:val="18"/>
          <w:szCs w:val="18"/>
        </w:rPr>
        <w:t>$45,000 to &lt; $55,000</w:t>
      </w:r>
    </w:p>
    <w:p w14:paraId="37348249" w14:textId="77777777" w:rsidR="00BB15B3" w:rsidRDefault="00BB15B3" w:rsidP="00872AE4">
      <w:pPr>
        <w:spacing w:before="0" w:after="0" w:line="240" w:lineRule="auto"/>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940C6">
        <w:rPr>
          <w:rFonts w:ascii="Arial Narrow" w:hAnsi="Arial Narrow"/>
          <w:i/>
          <w:sz w:val="18"/>
          <w:szCs w:val="18"/>
        </w:rPr>
        <w:t>$55,000 to &lt; $75,000</w:t>
      </w:r>
    </w:p>
    <w:p w14:paraId="7476FBAA" w14:textId="77777777" w:rsidR="00BB15B3" w:rsidRDefault="00BB15B3" w:rsidP="00872AE4">
      <w:pPr>
        <w:spacing w:before="0" w:after="0" w:line="240" w:lineRule="auto"/>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6940C6">
        <w:rPr>
          <w:rFonts w:ascii="Arial Narrow" w:hAnsi="Arial Narrow"/>
          <w:i/>
          <w:sz w:val="18"/>
          <w:szCs w:val="18"/>
        </w:rPr>
        <w:t>$75,000 to &lt; $95,000</w:t>
      </w:r>
    </w:p>
    <w:p w14:paraId="13A19E19" w14:textId="5D39B2E1" w:rsidR="00BB15B3" w:rsidRDefault="00BB15B3" w:rsidP="00BB15B3">
      <w:pPr>
        <w:spacing w:before="0" w:after="0" w:line="240" w:lineRule="auto"/>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6940C6">
        <w:rPr>
          <w:rFonts w:ascii="Arial Narrow" w:hAnsi="Arial Narrow"/>
          <w:i/>
          <w:sz w:val="18"/>
          <w:szCs w:val="18"/>
        </w:rPr>
        <w:t>$95,000 to &lt; $115,000</w:t>
      </w:r>
    </w:p>
    <w:p w14:paraId="09904B2B" w14:textId="13901E5E" w:rsidR="00BB15B3" w:rsidRPr="00BB15B3" w:rsidRDefault="00BB15B3" w:rsidP="00872AE4">
      <w:pPr>
        <w:spacing w:before="0" w:after="0" w:line="240" w:lineRule="auto"/>
        <w:rPr>
          <w:rFonts w:ascii="Arial Narrow" w:hAnsi="Arial Narrow"/>
          <w:i/>
          <w:sz w:val="18"/>
          <w:szCs w:val="18"/>
        </w:rPr>
      </w:pPr>
      <w:r>
        <w:rPr>
          <w:rFonts w:ascii="Arial Narrow" w:hAnsi="Arial Narrow"/>
          <w:i/>
          <w:sz w:val="18"/>
          <w:szCs w:val="18"/>
          <w:vertAlign w:val="superscript"/>
        </w:rPr>
        <w:t xml:space="preserve">5 </w:t>
      </w:r>
      <w:r w:rsidRPr="006940C6">
        <w:rPr>
          <w:rFonts w:ascii="Arial Narrow" w:hAnsi="Arial Narrow"/>
          <w:i/>
          <w:sz w:val="18"/>
          <w:szCs w:val="18"/>
        </w:rPr>
        <w:t>$</w:t>
      </w:r>
      <w:r>
        <w:rPr>
          <w:rFonts w:ascii="Arial Narrow" w:hAnsi="Arial Narrow"/>
          <w:i/>
          <w:sz w:val="18"/>
          <w:szCs w:val="18"/>
        </w:rPr>
        <w:t>11</w:t>
      </w:r>
      <w:r w:rsidRPr="006940C6">
        <w:rPr>
          <w:rFonts w:ascii="Arial Narrow" w:hAnsi="Arial Narrow"/>
          <w:i/>
          <w:sz w:val="18"/>
          <w:szCs w:val="18"/>
        </w:rPr>
        <w:t>5,000 to &lt; $1</w:t>
      </w:r>
      <w:r>
        <w:rPr>
          <w:rFonts w:ascii="Arial Narrow" w:hAnsi="Arial Narrow"/>
          <w:i/>
          <w:sz w:val="18"/>
          <w:szCs w:val="18"/>
        </w:rPr>
        <w:t>3</w:t>
      </w:r>
      <w:r w:rsidRPr="006940C6">
        <w:rPr>
          <w:rFonts w:ascii="Arial Narrow" w:hAnsi="Arial Narrow"/>
          <w:i/>
          <w:sz w:val="18"/>
          <w:szCs w:val="18"/>
        </w:rPr>
        <w:t>5,000</w:t>
      </w:r>
    </w:p>
    <w:p w14:paraId="25AE2BAC" w14:textId="4EE96422" w:rsidR="00772829" w:rsidRDefault="00C36633" w:rsidP="002A18BE">
      <w:pPr>
        <w:pStyle w:val="Heading2"/>
        <w:numPr>
          <w:ilvl w:val="0"/>
          <w:numId w:val="0"/>
        </w:numPr>
      </w:pPr>
      <w:bookmarkStart w:id="41" w:name="_Toc69491426"/>
      <w:r>
        <w:t>1</w:t>
      </w:r>
      <w:r w:rsidR="002A71BA">
        <w:t>4</w:t>
      </w:r>
      <w:r>
        <w:t>.</w:t>
      </w:r>
      <w:r>
        <w:tab/>
      </w:r>
      <w:r w:rsidR="00772829" w:rsidRPr="00CE28E3">
        <w:t>Financial/budgetary impacts</w:t>
      </w:r>
      <w:bookmarkEnd w:id="41"/>
    </w:p>
    <w:p w14:paraId="213DA8B7" w14:textId="01C802F7" w:rsidR="00F22C2E" w:rsidRPr="00FE6CB5" w:rsidRDefault="00F22C2E" w:rsidP="00F22C2E">
      <w:pPr>
        <w:pStyle w:val="Heading3"/>
        <w:rPr>
          <w:i/>
        </w:rPr>
      </w:pPr>
      <w:r w:rsidRPr="00F22C2E">
        <w:t>Estimation of use and financial impact of the proposed medicine</w:t>
      </w:r>
      <w:r>
        <w:t xml:space="preserve"> </w:t>
      </w:r>
    </w:p>
    <w:p w14:paraId="6A69F567" w14:textId="1CFFE2A3" w:rsidR="008C2861" w:rsidRDefault="00EA38E9" w:rsidP="002F25F5">
      <w:r w:rsidRPr="00EA38E9">
        <w:t xml:space="preserve">The submission used an epidemiological approach to estimate the </w:t>
      </w:r>
      <w:r w:rsidR="00C64583">
        <w:t xml:space="preserve">utilisation and financial estimates of </w:t>
      </w:r>
      <w:r w:rsidR="00C64583">
        <w:rPr>
          <w:i/>
          <w:iCs/>
        </w:rPr>
        <w:t xml:space="preserve">BRCA1/2 </w:t>
      </w:r>
      <w:r w:rsidR="00C64583">
        <w:t xml:space="preserve">testing and Olaparib treatment on the MBS and PBS, respectively. </w:t>
      </w:r>
      <w:r w:rsidR="008C2861">
        <w:t xml:space="preserve">The financial implications were considered by the Drug Utilisation Sub-Committee of the PBAC. </w:t>
      </w:r>
    </w:p>
    <w:p w14:paraId="7EEE699D" w14:textId="5679161A" w:rsidR="00C64583" w:rsidRDefault="00AC2B89" w:rsidP="00C10CC4">
      <w:r>
        <w:t>T</w:t>
      </w:r>
      <w:r w:rsidR="00B170F5" w:rsidRPr="00B170F5">
        <w:t>he Pre-Sub-Committee Response (PSCR)</w:t>
      </w:r>
      <w:r w:rsidR="00B170F5">
        <w:t xml:space="preserve"> to </w:t>
      </w:r>
      <w:r w:rsidR="003304A7">
        <w:t xml:space="preserve">the </w:t>
      </w:r>
      <w:r w:rsidR="00B170F5">
        <w:t xml:space="preserve">PBAC ESC and DUSC to correct </w:t>
      </w:r>
      <w:r>
        <w:t xml:space="preserve">the financial estimated </w:t>
      </w:r>
      <w:r w:rsidR="00B170F5">
        <w:t xml:space="preserve">for </w:t>
      </w:r>
      <w:r w:rsidR="00115833">
        <w:t>an error</w:t>
      </w:r>
      <w:r w:rsidR="003304A7">
        <w:t xml:space="preserve"> related </w:t>
      </w:r>
      <w:r w:rsidR="00115833">
        <w:t xml:space="preserve">to </w:t>
      </w:r>
      <w:r w:rsidR="003E14AC">
        <w:t xml:space="preserve">the number of prescriptions. </w:t>
      </w:r>
      <w:r w:rsidR="001D138C">
        <w:t xml:space="preserve">These are presented in the Departmental Overview. </w:t>
      </w:r>
    </w:p>
    <w:p w14:paraId="4B92F705" w14:textId="2265FD4B" w:rsidR="00E86963" w:rsidRPr="004E5BF4" w:rsidRDefault="004E6008" w:rsidP="00D77C10">
      <w:pPr>
        <w:rPr>
          <w:i/>
        </w:rPr>
      </w:pPr>
      <w:r>
        <w:fldChar w:fldCharType="begin"/>
      </w:r>
      <w:r>
        <w:instrText xml:space="preserve"> REF _Ref129012724 \h </w:instrText>
      </w:r>
      <w:r>
        <w:fldChar w:fldCharType="separate"/>
      </w:r>
      <w:r>
        <w:t xml:space="preserve">Table </w:t>
      </w:r>
      <w:r>
        <w:rPr>
          <w:noProof/>
        </w:rPr>
        <w:t>10</w:t>
      </w:r>
      <w:r>
        <w:fldChar w:fldCharType="end"/>
      </w:r>
      <w:r w:rsidR="00E86963">
        <w:t xml:space="preserve"> presents the assumptions </w:t>
      </w:r>
      <w:r w:rsidR="0023525D">
        <w:t xml:space="preserve">the submission stated it </w:t>
      </w:r>
      <w:r w:rsidR="00E86963">
        <w:t xml:space="preserve">used to estimate the utilisation and financial estimates associated with </w:t>
      </w:r>
      <w:r w:rsidR="00E86963">
        <w:rPr>
          <w:i/>
          <w:iCs/>
        </w:rPr>
        <w:t xml:space="preserve">BRCA1/2 </w:t>
      </w:r>
      <w:r w:rsidR="00E86963">
        <w:t>testing.</w:t>
      </w:r>
      <w:r w:rsidR="00E86963">
        <w:rPr>
          <w:i/>
        </w:rPr>
        <w:t xml:space="preserve"> </w:t>
      </w:r>
      <w:r w:rsidR="00287193">
        <w:rPr>
          <w:i/>
          <w:iCs/>
        </w:rPr>
        <w:t>The</w:t>
      </w:r>
      <w:r w:rsidR="00E9785B">
        <w:rPr>
          <w:i/>
          <w:iCs/>
        </w:rPr>
        <w:t xml:space="preserve"> basis for </w:t>
      </w:r>
      <w:r w:rsidR="0006449D">
        <w:rPr>
          <w:i/>
          <w:iCs/>
        </w:rPr>
        <w:t xml:space="preserve">increased BRCA1/2 testing did not align with the assumptions </w:t>
      </w:r>
      <w:r w:rsidR="00676AAD">
        <w:rPr>
          <w:i/>
          <w:iCs/>
        </w:rPr>
        <w:t xml:space="preserve">stated. Although the commentary highlighted that </w:t>
      </w:r>
      <w:r w:rsidR="00676AAD" w:rsidRPr="008C1C54">
        <w:rPr>
          <w:i/>
          <w:iCs/>
        </w:rPr>
        <w:t xml:space="preserve">total number of </w:t>
      </w:r>
      <w:r w:rsidR="008952DF" w:rsidRPr="004E5BF4">
        <w:t>g</w:t>
      </w:r>
      <w:r w:rsidR="00676AAD" w:rsidRPr="008C1C54">
        <w:rPr>
          <w:i/>
          <w:iCs/>
        </w:rPr>
        <w:t>BRCA</w:t>
      </w:r>
      <w:r w:rsidR="00FF6B15">
        <w:rPr>
          <w:i/>
          <w:iCs/>
        </w:rPr>
        <w:t>1/2</w:t>
      </w:r>
      <w:r w:rsidR="00676AAD" w:rsidRPr="008C1C54">
        <w:rPr>
          <w:i/>
          <w:iCs/>
        </w:rPr>
        <w:t xml:space="preserve"> </w:t>
      </w:r>
      <w:r w:rsidR="000034FD">
        <w:rPr>
          <w:i/>
          <w:iCs/>
        </w:rPr>
        <w:t>tests</w:t>
      </w:r>
      <w:r w:rsidR="00676AAD" w:rsidRPr="008C1C54">
        <w:rPr>
          <w:i/>
          <w:iCs/>
        </w:rPr>
        <w:t xml:space="preserve"> appear</w:t>
      </w:r>
      <w:r w:rsidR="000034FD">
        <w:rPr>
          <w:i/>
          <w:iCs/>
        </w:rPr>
        <w:t>ed</w:t>
      </w:r>
      <w:r w:rsidR="00676AAD" w:rsidRPr="008C1C54">
        <w:rPr>
          <w:i/>
          <w:iCs/>
        </w:rPr>
        <w:t xml:space="preserve"> to be erroneously divided by two</w:t>
      </w:r>
      <w:r w:rsidR="00676AAD">
        <w:rPr>
          <w:i/>
          <w:iCs/>
        </w:rPr>
        <w:t>, the revised financial implications</w:t>
      </w:r>
      <w:r w:rsidR="008952DF">
        <w:rPr>
          <w:i/>
          <w:iCs/>
        </w:rPr>
        <w:t xml:space="preserve"> did no</w:t>
      </w:r>
      <w:r w:rsidR="00AA649C">
        <w:rPr>
          <w:i/>
          <w:iCs/>
        </w:rPr>
        <w:t>t</w:t>
      </w:r>
      <w:r w:rsidR="000034FD">
        <w:rPr>
          <w:i/>
          <w:iCs/>
        </w:rPr>
        <w:t xml:space="preserve"> </w:t>
      </w:r>
      <w:r w:rsidR="00FF6B15">
        <w:rPr>
          <w:i/>
          <w:iCs/>
        </w:rPr>
        <w:t xml:space="preserve">address the underestimated BRCA1/2 tests. </w:t>
      </w:r>
    </w:p>
    <w:p w14:paraId="6729D7F9" w14:textId="2F5DA41B" w:rsidR="00E70769" w:rsidRDefault="00E70769" w:rsidP="004E5BF4">
      <w:pPr>
        <w:pStyle w:val="Caption"/>
      </w:pPr>
      <w:bookmarkStart w:id="42" w:name="_Ref129012724"/>
      <w:r>
        <w:t xml:space="preserve">Table </w:t>
      </w:r>
      <w:r w:rsidR="004E6008">
        <w:fldChar w:fldCharType="begin"/>
      </w:r>
      <w:r w:rsidR="004E6008">
        <w:instrText xml:space="preserve"> SEQ Table \* ARABIC </w:instrText>
      </w:r>
      <w:r w:rsidR="004E6008">
        <w:fldChar w:fldCharType="separate"/>
      </w:r>
      <w:r w:rsidR="001B3C82">
        <w:rPr>
          <w:noProof/>
        </w:rPr>
        <w:t>10</w:t>
      </w:r>
      <w:r w:rsidR="004E6008">
        <w:rPr>
          <w:noProof/>
        </w:rPr>
        <w:fldChar w:fldCharType="end"/>
      </w:r>
      <w:bookmarkEnd w:id="42"/>
      <w:r w:rsidRPr="00E70769">
        <w:rPr>
          <w:szCs w:val="24"/>
          <w:lang w:eastAsia="en-AU"/>
        </w:rPr>
        <w:t xml:space="preserve"> </w:t>
      </w:r>
      <w:r w:rsidRPr="00407BE6">
        <w:rPr>
          <w:szCs w:val="24"/>
          <w:lang w:eastAsia="en-AU"/>
        </w:rPr>
        <w:t>Data sources and parameter values applied in the utilisation and financial estimates</w:t>
      </w:r>
    </w:p>
    <w:tbl>
      <w:tblPr>
        <w:tblStyle w:val="TableGrid1"/>
        <w:tblW w:w="5000" w:type="pct"/>
        <w:tblLook w:val="04A0" w:firstRow="1" w:lastRow="0" w:firstColumn="1" w:lastColumn="0" w:noHBand="0" w:noVBand="1"/>
      </w:tblPr>
      <w:tblGrid>
        <w:gridCol w:w="1274"/>
        <w:gridCol w:w="1912"/>
        <w:gridCol w:w="1320"/>
        <w:gridCol w:w="2435"/>
        <w:gridCol w:w="2075"/>
      </w:tblGrid>
      <w:tr w:rsidR="00407BE6" w:rsidRPr="00407BE6" w14:paraId="3D0B52CA" w14:textId="77777777" w:rsidTr="00E27EB6">
        <w:trPr>
          <w:cnfStyle w:val="100000000000" w:firstRow="1" w:lastRow="0" w:firstColumn="0" w:lastColumn="0" w:oddVBand="0" w:evenVBand="0" w:oddHBand="0" w:evenHBand="0" w:firstRowFirstColumn="0" w:firstRowLastColumn="0" w:lastRowFirstColumn="0" w:lastRowLastColumn="0"/>
          <w:cantSplit/>
          <w:tblHeader/>
        </w:trPr>
        <w:tc>
          <w:tcPr>
            <w:tcW w:w="1274" w:type="dxa"/>
            <w:vAlign w:val="center"/>
          </w:tcPr>
          <w:p w14:paraId="5A6736D5" w14:textId="77777777" w:rsidR="00407BE6" w:rsidRPr="00407BE6" w:rsidRDefault="00407BE6" w:rsidP="00407BE6">
            <w:pPr>
              <w:widowControl w:val="0"/>
              <w:spacing w:before="0" w:after="0"/>
              <w:jc w:val="center"/>
              <w:rPr>
                <w:rFonts w:ascii="Arial Narrow" w:hAnsi="Arial Narrow"/>
                <w:b/>
              </w:rPr>
            </w:pPr>
            <w:r w:rsidRPr="00407BE6">
              <w:rPr>
                <w:rFonts w:ascii="Arial Narrow" w:hAnsi="Arial Narrow"/>
                <w:b/>
              </w:rPr>
              <w:t>Data</w:t>
            </w:r>
          </w:p>
        </w:tc>
        <w:tc>
          <w:tcPr>
            <w:tcW w:w="1912" w:type="dxa"/>
            <w:vAlign w:val="center"/>
          </w:tcPr>
          <w:p w14:paraId="44AF7F51" w14:textId="77777777" w:rsidR="00407BE6" w:rsidRPr="00407BE6" w:rsidRDefault="00407BE6" w:rsidP="00407BE6">
            <w:pPr>
              <w:widowControl w:val="0"/>
              <w:spacing w:before="0" w:after="0"/>
              <w:jc w:val="center"/>
              <w:rPr>
                <w:rFonts w:ascii="Arial Narrow" w:hAnsi="Arial Narrow"/>
                <w:b/>
              </w:rPr>
            </w:pPr>
            <w:r w:rsidRPr="00407BE6">
              <w:rPr>
                <w:rFonts w:ascii="Arial Narrow" w:hAnsi="Arial Narrow"/>
                <w:b/>
              </w:rPr>
              <w:t>Value</w:t>
            </w:r>
          </w:p>
        </w:tc>
        <w:tc>
          <w:tcPr>
            <w:tcW w:w="1320" w:type="dxa"/>
            <w:vAlign w:val="center"/>
          </w:tcPr>
          <w:p w14:paraId="1BB41C85" w14:textId="77777777" w:rsidR="00407BE6" w:rsidRPr="00407BE6" w:rsidRDefault="00407BE6" w:rsidP="00407BE6">
            <w:pPr>
              <w:widowControl w:val="0"/>
              <w:spacing w:before="0" w:after="0"/>
              <w:jc w:val="center"/>
              <w:rPr>
                <w:rFonts w:ascii="Arial Narrow" w:hAnsi="Arial Narrow"/>
                <w:b/>
              </w:rPr>
            </w:pPr>
            <w:r w:rsidRPr="00407BE6">
              <w:rPr>
                <w:rFonts w:ascii="Arial Narrow" w:hAnsi="Arial Narrow"/>
                <w:b/>
              </w:rPr>
              <w:t>Source</w:t>
            </w:r>
          </w:p>
        </w:tc>
        <w:tc>
          <w:tcPr>
            <w:tcW w:w="2435" w:type="dxa"/>
            <w:vAlign w:val="center"/>
          </w:tcPr>
          <w:p w14:paraId="67B6E8D7" w14:textId="77777777" w:rsidR="00407BE6" w:rsidRPr="00407BE6" w:rsidRDefault="00407BE6" w:rsidP="00407BE6">
            <w:pPr>
              <w:widowControl w:val="0"/>
              <w:spacing w:before="0" w:after="0"/>
              <w:jc w:val="center"/>
              <w:rPr>
                <w:rFonts w:ascii="Arial Narrow" w:hAnsi="Arial Narrow"/>
                <w:b/>
              </w:rPr>
            </w:pPr>
            <w:r w:rsidRPr="00407BE6">
              <w:rPr>
                <w:rFonts w:ascii="Arial Narrow" w:hAnsi="Arial Narrow"/>
                <w:b/>
              </w:rPr>
              <w:t>Commentary on the submission</w:t>
            </w:r>
          </w:p>
        </w:tc>
        <w:tc>
          <w:tcPr>
            <w:tcW w:w="2075" w:type="dxa"/>
          </w:tcPr>
          <w:p w14:paraId="6F0F67BB" w14:textId="77777777" w:rsidR="00407BE6" w:rsidRPr="00407BE6" w:rsidRDefault="00407BE6" w:rsidP="00407BE6">
            <w:pPr>
              <w:widowControl w:val="0"/>
              <w:spacing w:before="0" w:after="0"/>
              <w:jc w:val="center"/>
              <w:rPr>
                <w:rFonts w:ascii="Arial Narrow" w:hAnsi="Arial Narrow"/>
                <w:b/>
                <w:i/>
                <w:iCs/>
              </w:rPr>
            </w:pPr>
            <w:r w:rsidRPr="00407BE6">
              <w:rPr>
                <w:rFonts w:ascii="Arial Narrow" w:hAnsi="Arial Narrow"/>
                <w:b/>
                <w:i/>
                <w:iCs/>
              </w:rPr>
              <w:t>DUSC comments</w:t>
            </w:r>
          </w:p>
        </w:tc>
      </w:tr>
      <w:tr w:rsidR="00407BE6" w:rsidRPr="00407BE6" w14:paraId="0074BB19" w14:textId="77777777" w:rsidTr="00E27EB6">
        <w:trPr>
          <w:cantSplit/>
        </w:trPr>
        <w:tc>
          <w:tcPr>
            <w:tcW w:w="6941" w:type="dxa"/>
            <w:gridSpan w:val="4"/>
            <w:vAlign w:val="center"/>
          </w:tcPr>
          <w:p w14:paraId="7673F1E9" w14:textId="77777777" w:rsidR="00407BE6" w:rsidRPr="00407BE6" w:rsidRDefault="00407BE6" w:rsidP="00407BE6">
            <w:pPr>
              <w:widowControl w:val="0"/>
              <w:spacing w:before="0" w:after="0"/>
              <w:rPr>
                <w:rFonts w:ascii="Arial Narrow" w:hAnsi="Arial Narrow"/>
                <w:b/>
              </w:rPr>
            </w:pPr>
            <w:r w:rsidRPr="00407BE6">
              <w:rPr>
                <w:rFonts w:ascii="Arial Narrow" w:hAnsi="Arial Narrow"/>
                <w:b/>
              </w:rPr>
              <w:t>Eligible population</w:t>
            </w:r>
          </w:p>
        </w:tc>
        <w:tc>
          <w:tcPr>
            <w:tcW w:w="2075" w:type="dxa"/>
          </w:tcPr>
          <w:p w14:paraId="59147260" w14:textId="77777777" w:rsidR="00407BE6" w:rsidRPr="00407BE6" w:rsidRDefault="00407BE6" w:rsidP="00407BE6">
            <w:pPr>
              <w:widowControl w:val="0"/>
              <w:spacing w:before="0" w:after="0"/>
              <w:rPr>
                <w:rFonts w:ascii="Arial Narrow" w:hAnsi="Arial Narrow"/>
                <w:b/>
              </w:rPr>
            </w:pPr>
          </w:p>
        </w:tc>
      </w:tr>
      <w:tr w:rsidR="00407BE6" w:rsidRPr="00407BE6" w14:paraId="27335612" w14:textId="77777777" w:rsidTr="00E27EB6">
        <w:trPr>
          <w:cantSplit/>
        </w:trPr>
        <w:tc>
          <w:tcPr>
            <w:tcW w:w="1274" w:type="dxa"/>
            <w:vAlign w:val="center"/>
          </w:tcPr>
          <w:p w14:paraId="193A68FA"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Incident cases of breast cancer </w:t>
            </w:r>
          </w:p>
        </w:tc>
        <w:tc>
          <w:tcPr>
            <w:tcW w:w="1912" w:type="dxa"/>
            <w:vAlign w:val="center"/>
          </w:tcPr>
          <w:p w14:paraId="70DA0FD1"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21,233 in Year 1 of listing, increasing to 23,678 in Year 6</w:t>
            </w:r>
          </w:p>
        </w:tc>
        <w:tc>
          <w:tcPr>
            <w:tcW w:w="1320" w:type="dxa"/>
            <w:vAlign w:val="center"/>
          </w:tcPr>
          <w:p w14:paraId="789DB7D3"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AIHW Cancer data in Australia (Updated 04-Oct-2022)</w:t>
            </w:r>
          </w:p>
        </w:tc>
        <w:tc>
          <w:tcPr>
            <w:tcW w:w="2435" w:type="dxa"/>
            <w:vAlign w:val="center"/>
          </w:tcPr>
          <w:p w14:paraId="55A21BA7"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The incidence projections for 2022 to 2031 sourced from ‘Cancer in Australia 2021’ Supplementary Table S3.1 was appropriate.</w:t>
            </w:r>
          </w:p>
        </w:tc>
        <w:tc>
          <w:tcPr>
            <w:tcW w:w="2075" w:type="dxa"/>
          </w:tcPr>
          <w:p w14:paraId="470BB534" w14:textId="77777777" w:rsidR="00407BE6" w:rsidRPr="00407BE6" w:rsidRDefault="00407BE6" w:rsidP="00407BE6">
            <w:pPr>
              <w:widowControl w:val="0"/>
              <w:spacing w:before="0" w:after="0"/>
              <w:rPr>
                <w:rFonts w:ascii="Arial Narrow" w:hAnsi="Arial Narrow" w:cs="Arial"/>
                <w:i/>
                <w:iCs/>
              </w:rPr>
            </w:pPr>
            <w:r w:rsidRPr="00407BE6">
              <w:rPr>
                <w:rFonts w:ascii="Arial Narrow" w:hAnsi="Arial Narrow" w:cs="Arial"/>
                <w:i/>
                <w:iCs/>
              </w:rPr>
              <w:t>DUSC considered this to be appropriate.</w:t>
            </w:r>
          </w:p>
        </w:tc>
      </w:tr>
      <w:tr w:rsidR="00407BE6" w:rsidRPr="00407BE6" w14:paraId="24B6073B" w14:textId="77777777" w:rsidTr="00E27EB6">
        <w:trPr>
          <w:cantSplit/>
        </w:trPr>
        <w:tc>
          <w:tcPr>
            <w:tcW w:w="1274" w:type="dxa"/>
            <w:vAlign w:val="center"/>
          </w:tcPr>
          <w:p w14:paraId="7779C3A2"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lastRenderedPageBreak/>
              <w:t>Incidence of early (Stage I-III) breast cancer</w:t>
            </w:r>
          </w:p>
        </w:tc>
        <w:tc>
          <w:tcPr>
            <w:tcW w:w="1912" w:type="dxa"/>
            <w:vAlign w:val="center"/>
          </w:tcPr>
          <w:p w14:paraId="1553088D"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89.81%</w:t>
            </w:r>
          </w:p>
        </w:tc>
        <w:tc>
          <w:tcPr>
            <w:tcW w:w="1320" w:type="dxa"/>
            <w:vAlign w:val="center"/>
          </w:tcPr>
          <w:p w14:paraId="2D7BD5E0"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AIHW Australian Cancer Database 2014 Table S3.1 </w:t>
            </w:r>
          </w:p>
        </w:tc>
        <w:tc>
          <w:tcPr>
            <w:tcW w:w="2435" w:type="dxa"/>
            <w:vAlign w:val="center"/>
          </w:tcPr>
          <w:p w14:paraId="02C8C540"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This data for staging distribution based on patients diagnosed in 2011 was not adjusted for patients of unknown disease stage (5.5%).</w:t>
            </w:r>
          </w:p>
        </w:tc>
        <w:tc>
          <w:tcPr>
            <w:tcW w:w="2075" w:type="dxa"/>
          </w:tcPr>
          <w:p w14:paraId="6B43D7AD" w14:textId="77777777" w:rsidR="00407BE6" w:rsidRPr="00407BE6" w:rsidRDefault="00407BE6" w:rsidP="00407BE6">
            <w:pPr>
              <w:widowControl w:val="0"/>
              <w:spacing w:before="0" w:after="0"/>
              <w:rPr>
                <w:rFonts w:ascii="Arial Narrow" w:hAnsi="Arial Narrow" w:cs="Arial"/>
                <w:i/>
                <w:iCs/>
              </w:rPr>
            </w:pPr>
            <w:r w:rsidRPr="00407BE6">
              <w:rPr>
                <w:rFonts w:ascii="Arial Narrow" w:hAnsi="Arial Narrow" w:cs="Arial"/>
                <w:i/>
                <w:iCs/>
              </w:rPr>
              <w:t xml:space="preserve">DUSC agreed with the commentary and considered the sponsor’s approach in the Pre-Sub-Committee Response (PSCR, Appendix Table 1) to be more appropriate. </w:t>
            </w:r>
          </w:p>
        </w:tc>
      </w:tr>
      <w:tr w:rsidR="00407BE6" w:rsidRPr="00407BE6" w14:paraId="0AA23F69" w14:textId="77777777" w:rsidTr="00E27EB6">
        <w:trPr>
          <w:cantSplit/>
        </w:trPr>
        <w:tc>
          <w:tcPr>
            <w:tcW w:w="1274" w:type="dxa"/>
            <w:vAlign w:val="center"/>
          </w:tcPr>
          <w:p w14:paraId="764024E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Proportion of patients with TNBC</w:t>
            </w:r>
          </w:p>
        </w:tc>
        <w:tc>
          <w:tcPr>
            <w:tcW w:w="1912" w:type="dxa"/>
            <w:vAlign w:val="center"/>
          </w:tcPr>
          <w:p w14:paraId="15D4437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12.10%</w:t>
            </w:r>
          </w:p>
        </w:tc>
        <w:tc>
          <w:tcPr>
            <w:tcW w:w="1320" w:type="dxa"/>
            <w:vAlign w:val="center"/>
          </w:tcPr>
          <w:p w14:paraId="0B2C801A"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Stuart-Harris et al 2019</w:t>
            </w:r>
          </w:p>
        </w:tc>
        <w:tc>
          <w:tcPr>
            <w:tcW w:w="2435" w:type="dxa"/>
            <w:vAlign w:val="center"/>
          </w:tcPr>
          <w:p w14:paraId="453B1972"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This is lower than the estimate for both March 2020 atezolizumab submission and March 2021 resubmission for locally advanced or metastatic TNBC that assumed 15% (Source: Cancer Council Australia).</w:t>
            </w:r>
          </w:p>
        </w:tc>
        <w:tc>
          <w:tcPr>
            <w:tcW w:w="2075" w:type="dxa"/>
          </w:tcPr>
          <w:p w14:paraId="074C0681" w14:textId="77777777" w:rsidR="00407BE6" w:rsidRPr="00407BE6" w:rsidRDefault="00407BE6" w:rsidP="00407BE6">
            <w:pPr>
              <w:widowControl w:val="0"/>
              <w:spacing w:before="0" w:after="0"/>
              <w:rPr>
                <w:rFonts w:ascii="Arial Narrow" w:hAnsi="Arial Narrow" w:cs="Arial"/>
                <w:i/>
                <w:iCs/>
              </w:rPr>
            </w:pPr>
            <w:r w:rsidRPr="00407BE6">
              <w:rPr>
                <w:rFonts w:ascii="Arial Narrow" w:hAnsi="Arial Narrow" w:cs="Arial"/>
                <w:i/>
                <w:iCs/>
              </w:rPr>
              <w:t>DUSC agreed with the commentary in that 12.10% is likely an underestimate.</w:t>
            </w:r>
          </w:p>
        </w:tc>
      </w:tr>
      <w:tr w:rsidR="00407BE6" w:rsidRPr="00407BE6" w14:paraId="3DD2D96E" w14:textId="77777777" w:rsidTr="00E27EB6">
        <w:trPr>
          <w:cantSplit/>
        </w:trPr>
        <w:tc>
          <w:tcPr>
            <w:tcW w:w="1274" w:type="dxa"/>
            <w:vAlign w:val="center"/>
          </w:tcPr>
          <w:p w14:paraId="0D6749A2"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Proportion of patients with HR-positive breast cancer</w:t>
            </w:r>
          </w:p>
        </w:tc>
        <w:tc>
          <w:tcPr>
            <w:tcW w:w="1912" w:type="dxa"/>
            <w:vAlign w:val="center"/>
          </w:tcPr>
          <w:p w14:paraId="4E807EF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81.8%</w:t>
            </w:r>
          </w:p>
        </w:tc>
        <w:tc>
          <w:tcPr>
            <w:tcW w:w="1320" w:type="dxa"/>
            <w:vMerge w:val="restart"/>
            <w:vAlign w:val="center"/>
          </w:tcPr>
          <w:p w14:paraId="32932BD6"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Stuart-Harris et al 2019</w:t>
            </w:r>
          </w:p>
        </w:tc>
        <w:tc>
          <w:tcPr>
            <w:tcW w:w="2435" w:type="dxa"/>
            <w:vMerge w:val="restart"/>
            <w:vAlign w:val="center"/>
          </w:tcPr>
          <w:p w14:paraId="5305785F"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Overall, the combined probability of 69.3% (= 81.8% x 84.7%) for the proportion of HR-positive, HER2-negative breast cancer was reasonable.</w:t>
            </w:r>
          </w:p>
        </w:tc>
        <w:tc>
          <w:tcPr>
            <w:tcW w:w="2075" w:type="dxa"/>
            <w:vMerge w:val="restart"/>
          </w:tcPr>
          <w:p w14:paraId="13E7C73B"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i/>
                <w:iCs/>
              </w:rPr>
              <w:t>DUSC considered this to be appropriate.</w:t>
            </w:r>
          </w:p>
        </w:tc>
      </w:tr>
      <w:tr w:rsidR="00407BE6" w:rsidRPr="00407BE6" w14:paraId="5859ED26" w14:textId="77777777" w:rsidTr="00E27EB6">
        <w:trPr>
          <w:cantSplit/>
        </w:trPr>
        <w:tc>
          <w:tcPr>
            <w:tcW w:w="1274" w:type="dxa"/>
            <w:vAlign w:val="center"/>
          </w:tcPr>
          <w:p w14:paraId="5CEC373D"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Proportion of patients with HER2-negative breast cancer</w:t>
            </w:r>
          </w:p>
        </w:tc>
        <w:tc>
          <w:tcPr>
            <w:tcW w:w="1912" w:type="dxa"/>
            <w:vAlign w:val="center"/>
          </w:tcPr>
          <w:p w14:paraId="6D0FF6AD"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84.7%</w:t>
            </w:r>
          </w:p>
        </w:tc>
        <w:tc>
          <w:tcPr>
            <w:tcW w:w="1320" w:type="dxa"/>
            <w:vMerge/>
            <w:vAlign w:val="center"/>
          </w:tcPr>
          <w:p w14:paraId="18772AAF" w14:textId="77777777" w:rsidR="00407BE6" w:rsidRPr="00407BE6" w:rsidRDefault="00407BE6" w:rsidP="00407BE6">
            <w:pPr>
              <w:widowControl w:val="0"/>
              <w:spacing w:before="0" w:after="0"/>
              <w:rPr>
                <w:rFonts w:ascii="Arial Narrow" w:hAnsi="Arial Narrow" w:cs="Arial"/>
              </w:rPr>
            </w:pPr>
          </w:p>
        </w:tc>
        <w:tc>
          <w:tcPr>
            <w:tcW w:w="2435" w:type="dxa"/>
            <w:vMerge/>
            <w:vAlign w:val="center"/>
          </w:tcPr>
          <w:p w14:paraId="2EAD3B57" w14:textId="77777777" w:rsidR="00407BE6" w:rsidRPr="00407BE6" w:rsidRDefault="00407BE6" w:rsidP="00407BE6">
            <w:pPr>
              <w:widowControl w:val="0"/>
              <w:spacing w:before="0" w:after="0"/>
              <w:rPr>
                <w:rFonts w:ascii="Arial Narrow" w:hAnsi="Arial Narrow" w:cs="Arial"/>
              </w:rPr>
            </w:pPr>
          </w:p>
        </w:tc>
        <w:tc>
          <w:tcPr>
            <w:tcW w:w="2075" w:type="dxa"/>
            <w:vMerge/>
          </w:tcPr>
          <w:p w14:paraId="46CA422F" w14:textId="77777777" w:rsidR="00407BE6" w:rsidRPr="00407BE6" w:rsidRDefault="00407BE6" w:rsidP="00407BE6">
            <w:pPr>
              <w:widowControl w:val="0"/>
              <w:spacing w:before="0" w:after="0"/>
              <w:rPr>
                <w:rFonts w:ascii="Arial Narrow" w:hAnsi="Arial Narrow" w:cs="Arial"/>
              </w:rPr>
            </w:pPr>
          </w:p>
        </w:tc>
      </w:tr>
      <w:tr w:rsidR="00407BE6" w:rsidRPr="00407BE6" w14:paraId="68026DE1" w14:textId="77777777" w:rsidTr="00E27EB6">
        <w:trPr>
          <w:cantSplit/>
        </w:trPr>
        <w:tc>
          <w:tcPr>
            <w:tcW w:w="1274" w:type="dxa"/>
            <w:tcBorders>
              <w:bottom w:val="single" w:sz="4" w:space="0" w:color="auto"/>
            </w:tcBorders>
          </w:tcPr>
          <w:p w14:paraId="0CEBB01C" w14:textId="77777777" w:rsidR="00407BE6" w:rsidRPr="00407BE6" w:rsidRDefault="00407BE6" w:rsidP="00407BE6">
            <w:pPr>
              <w:widowControl w:val="0"/>
              <w:spacing w:before="0" w:after="0"/>
              <w:rPr>
                <w:rFonts w:ascii="Arial Narrow" w:hAnsi="Arial Narrow" w:cs="Arial"/>
                <w:highlight w:val="yellow"/>
              </w:rPr>
            </w:pPr>
            <w:r w:rsidRPr="00407BE6">
              <w:rPr>
                <w:rFonts w:ascii="Arial Narrow" w:hAnsi="Arial Narrow" w:cs="Arial"/>
              </w:rPr>
              <w:t xml:space="preserve">Proportion of high risk HR-positive, and HER2-negative breast cancer patients </w:t>
            </w:r>
          </w:p>
        </w:tc>
        <w:tc>
          <w:tcPr>
            <w:tcW w:w="1912" w:type="dxa"/>
            <w:vAlign w:val="center"/>
          </w:tcPr>
          <w:p w14:paraId="48CFEBD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49.0% </w:t>
            </w:r>
          </w:p>
          <w:p w14:paraId="6B96ECB2"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The sum of neoadjuvant (4.43%) and adjuvant chemotherapy (44.57%) </w:t>
            </w:r>
          </w:p>
        </w:tc>
        <w:tc>
          <w:tcPr>
            <w:tcW w:w="1320" w:type="dxa"/>
            <w:vAlign w:val="center"/>
          </w:tcPr>
          <w:p w14:paraId="180349D9"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Patiniott et al 2019</w:t>
            </w:r>
          </w:p>
        </w:tc>
        <w:tc>
          <w:tcPr>
            <w:tcW w:w="2435" w:type="dxa"/>
            <w:vAlign w:val="center"/>
          </w:tcPr>
          <w:p w14:paraId="5134D3EF"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The approach of using proportions of patients on (neo)adjuvant treatments to estimate patients at high risk was reasonable.</w:t>
            </w:r>
          </w:p>
        </w:tc>
        <w:tc>
          <w:tcPr>
            <w:tcW w:w="2075" w:type="dxa"/>
          </w:tcPr>
          <w:p w14:paraId="72B36A50"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i/>
                <w:iCs/>
              </w:rPr>
              <w:t>DUSC considered this to be appropriate.</w:t>
            </w:r>
          </w:p>
        </w:tc>
      </w:tr>
      <w:tr w:rsidR="00407BE6" w:rsidRPr="00407BE6" w14:paraId="1E4AC096" w14:textId="77777777" w:rsidTr="00E27EB6">
        <w:trPr>
          <w:cantSplit/>
        </w:trPr>
        <w:tc>
          <w:tcPr>
            <w:tcW w:w="1274" w:type="dxa"/>
            <w:tcBorders>
              <w:bottom w:val="nil"/>
            </w:tcBorders>
          </w:tcPr>
          <w:p w14:paraId="403E4374" w14:textId="1B7C201B"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Germline BRCA </w:t>
            </w:r>
            <w:r w:rsidR="000700F3">
              <w:rPr>
                <w:rFonts w:ascii="Arial Narrow" w:hAnsi="Arial Narrow" w:cs="Arial"/>
              </w:rPr>
              <w:t>pathogenic variant</w:t>
            </w:r>
            <w:r w:rsidRPr="00407BE6">
              <w:rPr>
                <w:rFonts w:ascii="Arial Narrow" w:hAnsi="Arial Narrow" w:cs="Arial"/>
              </w:rPr>
              <w:t xml:space="preserve"> testing uptake rates</w:t>
            </w:r>
          </w:p>
        </w:tc>
        <w:tc>
          <w:tcPr>
            <w:tcW w:w="1912" w:type="dxa"/>
            <w:vAlign w:val="center"/>
          </w:tcPr>
          <w:p w14:paraId="2FAE9681" w14:textId="77777777" w:rsidR="00407BE6" w:rsidRPr="00407BE6" w:rsidRDefault="00407BE6" w:rsidP="00407BE6">
            <w:pPr>
              <w:widowControl w:val="0"/>
              <w:spacing w:before="0" w:after="0"/>
              <w:rPr>
                <w:rFonts w:ascii="Arial Narrow" w:hAnsi="Arial Narrow" w:cs="Arial"/>
                <w:u w:val="single"/>
              </w:rPr>
            </w:pPr>
            <w:r w:rsidRPr="00407BE6">
              <w:rPr>
                <w:rFonts w:ascii="Arial Narrow" w:hAnsi="Arial Narrow" w:cs="Arial"/>
                <w:u w:val="single"/>
              </w:rPr>
              <w:t>Current:</w:t>
            </w:r>
          </w:p>
          <w:p w14:paraId="57D092C7"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74% (Stage I-IIIa)</w:t>
            </w:r>
          </w:p>
          <w:p w14:paraId="779BB3CE"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64% (Stage IIIb-IV)</w:t>
            </w:r>
          </w:p>
          <w:p w14:paraId="2B4DEC09"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67% (overall)</w:t>
            </w:r>
          </w:p>
        </w:tc>
        <w:tc>
          <w:tcPr>
            <w:tcW w:w="1320" w:type="dxa"/>
            <w:vAlign w:val="center"/>
          </w:tcPr>
          <w:p w14:paraId="6764D508"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IPSOS report for BRCA testing in Q1 2022 for patients with TNBC.</w:t>
            </w:r>
          </w:p>
        </w:tc>
        <w:tc>
          <w:tcPr>
            <w:tcW w:w="2435" w:type="dxa"/>
            <w:vAlign w:val="center"/>
          </w:tcPr>
          <w:p w14:paraId="224D83DA"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This is uncertain and likely overestimated as the early breast cancer (eBC) incident patients include Stage I-III, not only Stages I-IIIa. </w:t>
            </w:r>
          </w:p>
        </w:tc>
        <w:tc>
          <w:tcPr>
            <w:tcW w:w="2075" w:type="dxa"/>
          </w:tcPr>
          <w:p w14:paraId="12C803E9" w14:textId="77777777" w:rsidR="00407BE6" w:rsidRPr="00407BE6" w:rsidRDefault="00407BE6" w:rsidP="00407BE6">
            <w:pPr>
              <w:widowControl w:val="0"/>
              <w:spacing w:before="0" w:after="0"/>
              <w:rPr>
                <w:rFonts w:ascii="Arial Narrow" w:hAnsi="Arial Narrow" w:cs="Arial"/>
                <w:i/>
                <w:iCs/>
              </w:rPr>
            </w:pPr>
            <w:r w:rsidRPr="00407BE6">
              <w:rPr>
                <w:rFonts w:ascii="Arial Narrow" w:hAnsi="Arial Narrow" w:cs="Arial"/>
                <w:i/>
                <w:iCs/>
              </w:rPr>
              <w:t xml:space="preserve">DUSC agreed with the commentary and noted that this input may be biased as it was taken from a TNBC population where testing would be higher compared to hormone receptor positive patients.  </w:t>
            </w:r>
          </w:p>
        </w:tc>
      </w:tr>
      <w:tr w:rsidR="00407BE6" w:rsidRPr="00407BE6" w14:paraId="1F10382F" w14:textId="77777777" w:rsidTr="00E27EB6">
        <w:trPr>
          <w:cantSplit/>
        </w:trPr>
        <w:tc>
          <w:tcPr>
            <w:tcW w:w="1274" w:type="dxa"/>
            <w:tcBorders>
              <w:top w:val="nil"/>
            </w:tcBorders>
          </w:tcPr>
          <w:p w14:paraId="34CB0426" w14:textId="77777777" w:rsidR="00407BE6" w:rsidRPr="00407BE6" w:rsidRDefault="00407BE6" w:rsidP="00407BE6">
            <w:pPr>
              <w:widowControl w:val="0"/>
              <w:spacing w:before="0" w:after="0"/>
              <w:rPr>
                <w:rFonts w:ascii="Arial Narrow" w:hAnsi="Arial Narrow" w:cs="Arial"/>
              </w:rPr>
            </w:pPr>
          </w:p>
        </w:tc>
        <w:tc>
          <w:tcPr>
            <w:tcW w:w="1912" w:type="dxa"/>
            <w:vAlign w:val="center"/>
          </w:tcPr>
          <w:p w14:paraId="6B6AEE7C" w14:textId="77777777" w:rsidR="00407BE6" w:rsidRPr="00407BE6" w:rsidRDefault="00407BE6" w:rsidP="00407BE6">
            <w:pPr>
              <w:widowControl w:val="0"/>
              <w:spacing w:before="0" w:after="0"/>
              <w:rPr>
                <w:rFonts w:ascii="Arial Narrow" w:hAnsi="Arial Narrow" w:cs="Arial"/>
                <w:u w:val="single"/>
              </w:rPr>
            </w:pPr>
            <w:r w:rsidRPr="00407BE6">
              <w:rPr>
                <w:rFonts w:ascii="Arial Narrow" w:hAnsi="Arial Narrow" w:cs="Arial"/>
              </w:rPr>
              <w:t>Ranging from 80% (Year 1) to 95% (Year 6)</w:t>
            </w:r>
          </w:p>
        </w:tc>
        <w:tc>
          <w:tcPr>
            <w:tcW w:w="1320" w:type="dxa"/>
            <w:vAlign w:val="center"/>
          </w:tcPr>
          <w:p w14:paraId="004BEC3C"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Assumption for both subgroup populations  </w:t>
            </w:r>
          </w:p>
        </w:tc>
        <w:tc>
          <w:tcPr>
            <w:tcW w:w="2435" w:type="dxa"/>
            <w:vAlign w:val="center"/>
          </w:tcPr>
          <w:p w14:paraId="7BB25D89"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The assumption is uncertain, and there is no data to support this assumption in particular for patients with HR(+)/HER2(-) eBC. </w:t>
            </w:r>
          </w:p>
        </w:tc>
        <w:tc>
          <w:tcPr>
            <w:tcW w:w="2075" w:type="dxa"/>
          </w:tcPr>
          <w:p w14:paraId="04BB434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i/>
                <w:iCs/>
              </w:rPr>
              <w:t xml:space="preserve">DUSC considered this to be appropriate however noted it may be higher in initial years.  </w:t>
            </w:r>
          </w:p>
        </w:tc>
      </w:tr>
      <w:tr w:rsidR="00407BE6" w:rsidRPr="00407BE6" w14:paraId="23153542" w14:textId="77777777" w:rsidTr="00E27EB6">
        <w:trPr>
          <w:cantSplit/>
        </w:trPr>
        <w:tc>
          <w:tcPr>
            <w:tcW w:w="1274" w:type="dxa"/>
          </w:tcPr>
          <w:p w14:paraId="4C482A8E" w14:textId="024B6469" w:rsidR="004E6008"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Germline BRCA </w:t>
            </w:r>
            <w:r w:rsidR="000700F3">
              <w:rPr>
                <w:rFonts w:ascii="Arial Narrow" w:hAnsi="Arial Narrow" w:cs="Arial"/>
              </w:rPr>
              <w:t>pathogenic variant</w:t>
            </w:r>
            <w:r w:rsidRPr="00407BE6">
              <w:rPr>
                <w:rFonts w:ascii="Arial Narrow" w:hAnsi="Arial Narrow" w:cs="Arial"/>
              </w:rPr>
              <w:t xml:space="preserve"> test positive to BRCA1 or BRCA2 </w:t>
            </w:r>
            <w:r w:rsidR="000700F3">
              <w:rPr>
                <w:rFonts w:ascii="Arial Narrow" w:hAnsi="Arial Narrow" w:cs="Arial"/>
              </w:rPr>
              <w:t>pathogenic variant</w:t>
            </w:r>
          </w:p>
        </w:tc>
        <w:tc>
          <w:tcPr>
            <w:tcW w:w="1912" w:type="dxa"/>
            <w:vAlign w:val="center"/>
          </w:tcPr>
          <w:p w14:paraId="07956E5E"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13.25%</w:t>
            </w:r>
          </w:p>
          <w:p w14:paraId="0AB7CB6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 (9.34%+15%+15.4%)/3 </w:t>
            </w:r>
          </w:p>
        </w:tc>
        <w:tc>
          <w:tcPr>
            <w:tcW w:w="1320" w:type="dxa"/>
            <w:vAlign w:val="center"/>
          </w:tcPr>
          <w:p w14:paraId="20E81D87" w14:textId="77777777" w:rsidR="004E6008" w:rsidRDefault="00407BE6" w:rsidP="00407BE6">
            <w:pPr>
              <w:widowControl w:val="0"/>
              <w:spacing w:before="0" w:after="0"/>
              <w:rPr>
                <w:rFonts w:ascii="Arial Narrow" w:hAnsi="Arial Narrow" w:cs="Arial"/>
              </w:rPr>
            </w:pPr>
            <w:r w:rsidRPr="00407BE6">
              <w:rPr>
                <w:rFonts w:ascii="Arial Narrow" w:hAnsi="Arial Narrow" w:cs="Arial"/>
              </w:rPr>
              <w:t>Simple mean of Australian evidence from IPSOS report (15%), Wong-Brown et al 2015 (9.34%), Armstrong et al 2019 (9.3%-15.4%).</w:t>
            </w:r>
          </w:p>
          <w:p w14:paraId="32B39CBA" w14:textId="77777777" w:rsidR="004E6008" w:rsidRDefault="004E6008" w:rsidP="00407BE6">
            <w:pPr>
              <w:widowControl w:val="0"/>
              <w:spacing w:before="0" w:after="0"/>
              <w:rPr>
                <w:rFonts w:ascii="Arial Narrow" w:hAnsi="Arial Narrow" w:cs="Arial"/>
              </w:rPr>
            </w:pPr>
          </w:p>
          <w:p w14:paraId="48027A7E" w14:textId="03C1890E" w:rsidR="004E6008" w:rsidRPr="00407BE6" w:rsidRDefault="004E6008" w:rsidP="00407BE6">
            <w:pPr>
              <w:widowControl w:val="0"/>
              <w:spacing w:before="0" w:after="0"/>
              <w:rPr>
                <w:rFonts w:ascii="Arial Narrow" w:hAnsi="Arial Narrow" w:cs="Arial"/>
              </w:rPr>
            </w:pPr>
          </w:p>
        </w:tc>
        <w:tc>
          <w:tcPr>
            <w:tcW w:w="2435" w:type="dxa"/>
            <w:vAlign w:val="center"/>
          </w:tcPr>
          <w:p w14:paraId="22221256" w14:textId="4FBA5B20" w:rsidR="004E6008" w:rsidRPr="00407BE6" w:rsidRDefault="00407BE6" w:rsidP="00407BE6">
            <w:pPr>
              <w:widowControl w:val="0"/>
              <w:spacing w:before="0" w:after="0"/>
              <w:rPr>
                <w:rFonts w:ascii="Arial Narrow" w:hAnsi="Arial Narrow" w:cs="Arial"/>
              </w:rPr>
            </w:pPr>
            <w:r w:rsidRPr="00407BE6">
              <w:rPr>
                <w:rFonts w:ascii="Arial Narrow" w:hAnsi="Arial Narrow" w:cs="Arial"/>
              </w:rPr>
              <w:t>IPSOS data (15%) could not be located, and uncertain. The US data for gBRCA</w:t>
            </w:r>
            <w:r w:rsidR="007637F3">
              <w:rPr>
                <w:rFonts w:ascii="Arial Narrow" w:hAnsi="Arial Narrow" w:cs="Arial"/>
              </w:rPr>
              <w:t xml:space="preserve"> variant</w:t>
            </w:r>
            <w:r w:rsidRPr="00407BE6">
              <w:rPr>
                <w:rFonts w:ascii="Arial Narrow" w:hAnsi="Arial Narrow" w:cs="Arial"/>
              </w:rPr>
              <w:t xml:space="preserve"> (15.4%) is not representative of Australian population. The estimate of 9.34% appears to be appropriate for TNBC patients.</w:t>
            </w:r>
          </w:p>
        </w:tc>
        <w:tc>
          <w:tcPr>
            <w:tcW w:w="2075" w:type="dxa"/>
          </w:tcPr>
          <w:p w14:paraId="10262990"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i/>
                <w:iCs/>
              </w:rPr>
              <w:t>DUSC considered this to be appropriate.</w:t>
            </w:r>
          </w:p>
        </w:tc>
      </w:tr>
      <w:tr w:rsidR="00407BE6" w:rsidRPr="00407BE6" w14:paraId="55953B54" w14:textId="77777777" w:rsidTr="00E27EB6">
        <w:trPr>
          <w:cantSplit/>
        </w:trPr>
        <w:tc>
          <w:tcPr>
            <w:tcW w:w="1274" w:type="dxa"/>
            <w:tcBorders>
              <w:bottom w:val="single" w:sz="4" w:space="0" w:color="auto"/>
            </w:tcBorders>
            <w:vAlign w:val="center"/>
          </w:tcPr>
          <w:p w14:paraId="2C6116B5" w14:textId="77777777" w:rsidR="00407BE6" w:rsidRPr="00407BE6" w:rsidRDefault="00407BE6" w:rsidP="00407BE6">
            <w:pPr>
              <w:widowControl w:val="0"/>
              <w:spacing w:before="0" w:after="0"/>
              <w:rPr>
                <w:rFonts w:ascii="Arial Narrow" w:hAnsi="Arial Narrow" w:cs="Arial"/>
                <w:b/>
              </w:rPr>
            </w:pPr>
            <w:r w:rsidRPr="00407BE6">
              <w:rPr>
                <w:rFonts w:ascii="Arial Narrow" w:hAnsi="Arial Narrow" w:cs="Arial"/>
                <w:b/>
              </w:rPr>
              <w:t>MBS costs</w:t>
            </w:r>
          </w:p>
        </w:tc>
        <w:tc>
          <w:tcPr>
            <w:tcW w:w="1912" w:type="dxa"/>
            <w:vAlign w:val="center"/>
          </w:tcPr>
          <w:p w14:paraId="23B0E46A" w14:textId="77777777" w:rsidR="00407BE6" w:rsidRPr="00407BE6" w:rsidRDefault="00407BE6" w:rsidP="00407BE6">
            <w:pPr>
              <w:widowControl w:val="0"/>
              <w:spacing w:before="0" w:after="0"/>
              <w:rPr>
                <w:rFonts w:ascii="Arial Narrow" w:hAnsi="Arial Narrow" w:cs="Arial"/>
              </w:rPr>
            </w:pPr>
          </w:p>
        </w:tc>
        <w:tc>
          <w:tcPr>
            <w:tcW w:w="1320" w:type="dxa"/>
            <w:vAlign w:val="center"/>
          </w:tcPr>
          <w:p w14:paraId="543774FF" w14:textId="77777777" w:rsidR="00407BE6" w:rsidRPr="00407BE6" w:rsidRDefault="00407BE6" w:rsidP="00407BE6">
            <w:pPr>
              <w:widowControl w:val="0"/>
              <w:spacing w:before="0" w:after="0"/>
              <w:rPr>
                <w:rFonts w:ascii="Arial Narrow" w:hAnsi="Arial Narrow" w:cs="Arial"/>
              </w:rPr>
            </w:pPr>
          </w:p>
        </w:tc>
        <w:tc>
          <w:tcPr>
            <w:tcW w:w="2435" w:type="dxa"/>
            <w:vAlign w:val="center"/>
          </w:tcPr>
          <w:p w14:paraId="6E904735" w14:textId="77777777" w:rsidR="00407BE6" w:rsidRPr="00407BE6" w:rsidRDefault="00407BE6" w:rsidP="00407BE6">
            <w:pPr>
              <w:widowControl w:val="0"/>
              <w:spacing w:before="0" w:after="0"/>
              <w:rPr>
                <w:rFonts w:ascii="Arial Narrow" w:hAnsi="Arial Narrow" w:cs="Arial"/>
              </w:rPr>
            </w:pPr>
          </w:p>
        </w:tc>
        <w:tc>
          <w:tcPr>
            <w:tcW w:w="2075" w:type="dxa"/>
          </w:tcPr>
          <w:p w14:paraId="30089DA9" w14:textId="77777777" w:rsidR="00407BE6" w:rsidRPr="00407BE6" w:rsidRDefault="00407BE6" w:rsidP="00407BE6">
            <w:pPr>
              <w:widowControl w:val="0"/>
              <w:spacing w:before="0" w:after="0"/>
              <w:rPr>
                <w:rFonts w:ascii="Arial Narrow" w:hAnsi="Arial Narrow" w:cs="Arial"/>
              </w:rPr>
            </w:pPr>
          </w:p>
        </w:tc>
      </w:tr>
      <w:tr w:rsidR="00407BE6" w:rsidRPr="00407BE6" w14:paraId="061139AC" w14:textId="77777777" w:rsidTr="00E27EB6">
        <w:trPr>
          <w:cantSplit/>
        </w:trPr>
        <w:tc>
          <w:tcPr>
            <w:tcW w:w="1274" w:type="dxa"/>
            <w:tcBorders>
              <w:bottom w:val="single" w:sz="4" w:space="0" w:color="auto"/>
            </w:tcBorders>
            <w:vAlign w:val="center"/>
          </w:tcPr>
          <w:p w14:paraId="5911E4AC" w14:textId="1D77EB5D" w:rsidR="00407BE6" w:rsidRPr="00407BE6" w:rsidRDefault="00407BE6" w:rsidP="00407BE6">
            <w:pPr>
              <w:widowControl w:val="0"/>
              <w:spacing w:before="0" w:after="0"/>
              <w:rPr>
                <w:rFonts w:ascii="Arial Narrow" w:hAnsi="Arial Narrow" w:cs="Arial"/>
              </w:rPr>
            </w:pPr>
            <w:r w:rsidRPr="00407BE6">
              <w:rPr>
                <w:rFonts w:ascii="Arial Narrow" w:hAnsi="Arial Narrow" w:cs="Arial"/>
              </w:rPr>
              <w:lastRenderedPageBreak/>
              <w:t xml:space="preserve">Germline BRCA </w:t>
            </w:r>
            <w:r w:rsidR="000700F3">
              <w:rPr>
                <w:rFonts w:ascii="Arial Narrow" w:hAnsi="Arial Narrow" w:cs="Arial"/>
              </w:rPr>
              <w:t>pathogenic variant</w:t>
            </w:r>
            <w:r w:rsidRPr="00407BE6">
              <w:rPr>
                <w:rFonts w:ascii="Arial Narrow" w:hAnsi="Arial Narrow" w:cs="Arial"/>
              </w:rPr>
              <w:t xml:space="preserve"> testing</w:t>
            </w:r>
          </w:p>
        </w:tc>
        <w:tc>
          <w:tcPr>
            <w:tcW w:w="1912" w:type="dxa"/>
            <w:vAlign w:val="center"/>
          </w:tcPr>
          <w:p w14:paraId="1E7E8E8D"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$1,200 (Schedule fee)</w:t>
            </w:r>
          </w:p>
          <w:p w14:paraId="782F788F"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$960</w:t>
            </w:r>
          </w:p>
          <w:p w14:paraId="5030EEC6"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(Benefit at 80%)</w:t>
            </w:r>
          </w:p>
        </w:tc>
        <w:tc>
          <w:tcPr>
            <w:tcW w:w="1320" w:type="dxa"/>
            <w:vAlign w:val="center"/>
          </w:tcPr>
          <w:p w14:paraId="00450045"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Proposed schedule fee based on MBS item 73296</w:t>
            </w:r>
          </w:p>
          <w:p w14:paraId="7227FE7A"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Benefit at 80% rebate rate used in the financial analysis.</w:t>
            </w:r>
          </w:p>
          <w:p w14:paraId="035A7CFF" w14:textId="77777777" w:rsidR="00407BE6" w:rsidRPr="00407BE6" w:rsidRDefault="00407BE6" w:rsidP="00407BE6">
            <w:pPr>
              <w:widowControl w:val="0"/>
              <w:spacing w:before="0" w:after="0"/>
              <w:rPr>
                <w:rFonts w:ascii="Arial Narrow" w:hAnsi="Arial Narrow" w:cs="Arial"/>
              </w:rPr>
            </w:pPr>
          </w:p>
        </w:tc>
        <w:tc>
          <w:tcPr>
            <w:tcW w:w="2435" w:type="dxa"/>
            <w:vAlign w:val="center"/>
          </w:tcPr>
          <w:p w14:paraId="4179E913" w14:textId="6CE3C4BC"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Similar to the number of scripts, the total number of germline BRCA </w:t>
            </w:r>
            <w:r w:rsidR="000700F3">
              <w:rPr>
                <w:rFonts w:ascii="Arial Narrow" w:hAnsi="Arial Narrow" w:cs="Arial"/>
              </w:rPr>
              <w:t>pathogenic variant</w:t>
            </w:r>
            <w:r w:rsidRPr="00407BE6">
              <w:rPr>
                <w:rFonts w:ascii="Arial Narrow" w:hAnsi="Arial Narrow" w:cs="Arial"/>
              </w:rPr>
              <w:t xml:space="preserve"> testing services appear to be erroneously divided by two in the submission. As majority of the patients might receive germline BRCA </w:t>
            </w:r>
            <w:r w:rsidR="000700F3">
              <w:rPr>
                <w:rFonts w:ascii="Arial Narrow" w:hAnsi="Arial Narrow" w:cs="Arial"/>
              </w:rPr>
              <w:t>pathogenic variant</w:t>
            </w:r>
            <w:r w:rsidRPr="00407BE6">
              <w:rPr>
                <w:rFonts w:ascii="Arial Narrow" w:hAnsi="Arial Narrow" w:cs="Arial"/>
              </w:rPr>
              <w:t xml:space="preserve"> test at out-of-hospital setting, benefits at 85% rebate rate might be more reasonable. The Greatest Permissible Gap (GPG)</w:t>
            </w:r>
            <w:r w:rsidRPr="00407BE6">
              <w:rPr>
                <w:rFonts w:ascii="Arial Narrow" w:hAnsi="Arial Narrow" w:cs="Arial"/>
                <w:vertAlign w:val="superscript"/>
              </w:rPr>
              <w:t>a</w:t>
            </w:r>
            <w:r w:rsidRPr="00407BE6">
              <w:rPr>
                <w:rFonts w:ascii="Arial Narrow" w:hAnsi="Arial Narrow" w:cs="Arial"/>
              </w:rPr>
              <w:t xml:space="preserve"> amount was not taken into account in the submission.</w:t>
            </w:r>
          </w:p>
        </w:tc>
        <w:tc>
          <w:tcPr>
            <w:tcW w:w="2075" w:type="dxa"/>
            <w:vMerge w:val="restart"/>
          </w:tcPr>
          <w:p w14:paraId="7CEF5EB5" w14:textId="77777777" w:rsidR="00407BE6" w:rsidRPr="00407BE6" w:rsidRDefault="00407BE6" w:rsidP="00407BE6">
            <w:pPr>
              <w:widowControl w:val="0"/>
              <w:spacing w:before="0" w:after="0"/>
              <w:rPr>
                <w:rFonts w:ascii="Arial Narrow" w:hAnsi="Arial Narrow" w:cs="Arial"/>
                <w:i/>
                <w:iCs/>
              </w:rPr>
            </w:pPr>
            <w:r w:rsidRPr="00407BE6">
              <w:rPr>
                <w:rFonts w:ascii="Arial Narrow" w:hAnsi="Arial Narrow" w:cs="Arial"/>
                <w:i/>
                <w:iCs/>
              </w:rPr>
              <w:t>DUSC agreed with the commentary that these costs were underestimated.</w:t>
            </w:r>
          </w:p>
        </w:tc>
      </w:tr>
      <w:tr w:rsidR="00407BE6" w:rsidRPr="00407BE6" w14:paraId="4FBE16D2" w14:textId="77777777" w:rsidTr="00E27EB6">
        <w:trPr>
          <w:cantSplit/>
        </w:trPr>
        <w:tc>
          <w:tcPr>
            <w:tcW w:w="1274" w:type="dxa"/>
            <w:tcBorders>
              <w:top w:val="single" w:sz="4" w:space="0" w:color="auto"/>
              <w:bottom w:val="single" w:sz="4" w:space="0" w:color="auto"/>
            </w:tcBorders>
            <w:vAlign w:val="center"/>
          </w:tcPr>
          <w:p w14:paraId="5DDE2EF5" w14:textId="78FF62D2"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Germline BRCA </w:t>
            </w:r>
            <w:r w:rsidR="000700F3">
              <w:rPr>
                <w:rFonts w:ascii="Arial Narrow" w:hAnsi="Arial Narrow" w:cs="Arial"/>
              </w:rPr>
              <w:t>pathogenic variant</w:t>
            </w:r>
            <w:r w:rsidRPr="00407BE6">
              <w:rPr>
                <w:rFonts w:ascii="Arial Narrow" w:hAnsi="Arial Narrow" w:cs="Arial"/>
              </w:rPr>
              <w:t xml:space="preserve"> cascade testing</w:t>
            </w:r>
          </w:p>
        </w:tc>
        <w:tc>
          <w:tcPr>
            <w:tcW w:w="1912" w:type="dxa"/>
            <w:vAlign w:val="center"/>
          </w:tcPr>
          <w:p w14:paraId="2FBC650A"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Not costed</w:t>
            </w:r>
          </w:p>
        </w:tc>
        <w:tc>
          <w:tcPr>
            <w:tcW w:w="1320" w:type="dxa"/>
            <w:vAlign w:val="center"/>
          </w:tcPr>
          <w:p w14:paraId="697D0A05"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 xml:space="preserve">Cascade testing was not discussed. </w:t>
            </w:r>
          </w:p>
        </w:tc>
        <w:tc>
          <w:tcPr>
            <w:tcW w:w="2435" w:type="dxa"/>
            <w:vMerge w:val="restart"/>
            <w:vAlign w:val="center"/>
          </w:tcPr>
          <w:p w14:paraId="7CF65667"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MBS costs likely underestimated.</w:t>
            </w:r>
          </w:p>
        </w:tc>
        <w:tc>
          <w:tcPr>
            <w:tcW w:w="2075" w:type="dxa"/>
            <w:vMerge/>
          </w:tcPr>
          <w:p w14:paraId="115D9F89" w14:textId="77777777" w:rsidR="00407BE6" w:rsidRPr="00407BE6" w:rsidRDefault="00407BE6" w:rsidP="00407BE6">
            <w:pPr>
              <w:widowControl w:val="0"/>
              <w:spacing w:before="0" w:after="0"/>
              <w:rPr>
                <w:rFonts w:ascii="Arial Narrow" w:hAnsi="Arial Narrow" w:cs="Arial"/>
              </w:rPr>
            </w:pPr>
          </w:p>
        </w:tc>
      </w:tr>
      <w:tr w:rsidR="00407BE6" w:rsidRPr="00407BE6" w14:paraId="51453F35" w14:textId="77777777" w:rsidTr="00E27EB6">
        <w:trPr>
          <w:cantSplit/>
        </w:trPr>
        <w:tc>
          <w:tcPr>
            <w:tcW w:w="1274" w:type="dxa"/>
            <w:tcBorders>
              <w:top w:val="single" w:sz="4" w:space="0" w:color="auto"/>
            </w:tcBorders>
            <w:vAlign w:val="center"/>
          </w:tcPr>
          <w:p w14:paraId="4A7E5E24"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Genetic counselling</w:t>
            </w:r>
          </w:p>
        </w:tc>
        <w:tc>
          <w:tcPr>
            <w:tcW w:w="1912" w:type="dxa"/>
            <w:vAlign w:val="center"/>
          </w:tcPr>
          <w:p w14:paraId="6CEE5B79"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Not costed</w:t>
            </w:r>
          </w:p>
        </w:tc>
        <w:tc>
          <w:tcPr>
            <w:tcW w:w="1320" w:type="dxa"/>
            <w:vAlign w:val="center"/>
          </w:tcPr>
          <w:p w14:paraId="0F382D57" w14:textId="77777777" w:rsidR="00407BE6" w:rsidRPr="00407BE6" w:rsidRDefault="00407BE6" w:rsidP="00407BE6">
            <w:pPr>
              <w:widowControl w:val="0"/>
              <w:spacing w:before="0" w:after="0"/>
              <w:rPr>
                <w:rFonts w:ascii="Arial Narrow" w:hAnsi="Arial Narrow" w:cs="Arial"/>
              </w:rPr>
            </w:pPr>
            <w:r w:rsidRPr="00407BE6">
              <w:rPr>
                <w:rFonts w:ascii="Arial Narrow" w:hAnsi="Arial Narrow" w:cs="Arial"/>
              </w:rPr>
              <w:t>Not discussed.</w:t>
            </w:r>
          </w:p>
        </w:tc>
        <w:tc>
          <w:tcPr>
            <w:tcW w:w="2435" w:type="dxa"/>
            <w:vMerge/>
            <w:vAlign w:val="center"/>
          </w:tcPr>
          <w:p w14:paraId="79302A29" w14:textId="77777777" w:rsidR="00407BE6" w:rsidRPr="00407BE6" w:rsidRDefault="00407BE6" w:rsidP="00407BE6">
            <w:pPr>
              <w:widowControl w:val="0"/>
              <w:spacing w:before="0" w:after="0"/>
              <w:rPr>
                <w:rFonts w:ascii="Arial Narrow" w:hAnsi="Arial Narrow" w:cs="Arial"/>
              </w:rPr>
            </w:pPr>
          </w:p>
        </w:tc>
        <w:tc>
          <w:tcPr>
            <w:tcW w:w="2075" w:type="dxa"/>
            <w:vMerge/>
          </w:tcPr>
          <w:p w14:paraId="47CE52A4" w14:textId="77777777" w:rsidR="00407BE6" w:rsidRPr="00407BE6" w:rsidRDefault="00407BE6" w:rsidP="00407BE6">
            <w:pPr>
              <w:widowControl w:val="0"/>
              <w:spacing w:before="0" w:after="0"/>
              <w:rPr>
                <w:rFonts w:ascii="Arial Narrow" w:hAnsi="Arial Narrow" w:cs="Arial"/>
              </w:rPr>
            </w:pPr>
          </w:p>
        </w:tc>
      </w:tr>
    </w:tbl>
    <w:p w14:paraId="6896C817" w14:textId="413E3B4B" w:rsidR="00407BE6" w:rsidRPr="00407BE6" w:rsidRDefault="00407BE6" w:rsidP="00407BE6">
      <w:pPr>
        <w:spacing w:before="0" w:after="0" w:line="240" w:lineRule="auto"/>
        <w:contextualSpacing/>
        <w:jc w:val="both"/>
        <w:rPr>
          <w:rFonts w:ascii="Arial Narrow" w:eastAsia="Times New Roman" w:hAnsi="Arial Narrow" w:cs="Arial"/>
          <w:snapToGrid w:val="0"/>
          <w:sz w:val="18"/>
          <w:szCs w:val="18"/>
          <w:lang w:eastAsia="en-AU"/>
        </w:rPr>
      </w:pPr>
      <w:r w:rsidRPr="00407BE6">
        <w:rPr>
          <w:rFonts w:ascii="Arial Narrow" w:eastAsia="Times New Roman" w:hAnsi="Arial Narrow" w:cs="Arial"/>
          <w:snapToGrid w:val="0"/>
          <w:sz w:val="18"/>
          <w:szCs w:val="18"/>
          <w:lang w:eastAsia="en-AU"/>
        </w:rPr>
        <w:t xml:space="preserve">Source: </w:t>
      </w:r>
      <w:r w:rsidR="00C06FA3">
        <w:rPr>
          <w:rFonts w:ascii="Arial Narrow" w:eastAsia="Times New Roman" w:hAnsi="Arial Narrow" w:cs="Arial"/>
          <w:snapToGrid w:val="0"/>
          <w:sz w:val="18"/>
          <w:szCs w:val="18"/>
          <w:lang w:eastAsia="en-AU"/>
        </w:rPr>
        <w:t xml:space="preserve">Table 1, DUSC Advice to the PBAC. </w:t>
      </w:r>
      <w:r w:rsidRPr="00407BE6">
        <w:rPr>
          <w:rFonts w:ascii="Arial Narrow" w:eastAsia="Times New Roman" w:hAnsi="Arial Narrow" w:cs="Arial"/>
          <w:snapToGrid w:val="0"/>
          <w:sz w:val="18"/>
          <w:szCs w:val="18"/>
          <w:lang w:eastAsia="en-AU"/>
        </w:rPr>
        <w:t xml:space="preserve">Compiled during the evaluation from information provided in Section 4 of the submission and the Excel workbook ‘Att_4.1_OlympiA UCM_FINAL’. </w:t>
      </w:r>
    </w:p>
    <w:p w14:paraId="7B871383" w14:textId="3AA263CD" w:rsidR="00407BE6" w:rsidRPr="00407BE6" w:rsidRDefault="00407BE6" w:rsidP="00407BE6">
      <w:pPr>
        <w:spacing w:before="0" w:after="0" w:line="240" w:lineRule="auto"/>
        <w:contextualSpacing/>
        <w:jc w:val="both"/>
        <w:rPr>
          <w:rFonts w:ascii="Arial Narrow" w:eastAsia="Times New Roman" w:hAnsi="Arial Narrow" w:cs="Arial"/>
          <w:snapToGrid w:val="0"/>
          <w:sz w:val="18"/>
          <w:szCs w:val="18"/>
          <w:lang w:eastAsia="en-AU"/>
        </w:rPr>
      </w:pPr>
      <w:r w:rsidRPr="00407BE6">
        <w:rPr>
          <w:rFonts w:ascii="Arial Narrow" w:eastAsia="Times New Roman" w:hAnsi="Arial Narrow" w:cs="Arial"/>
          <w:snapToGrid w:val="0"/>
          <w:sz w:val="18"/>
          <w:szCs w:val="18"/>
          <w:lang w:eastAsia="en-AU"/>
        </w:rPr>
        <w:t xml:space="preserve">2L = second-line treatment AE = adverse event; AIHW = Australian Institute of Health and Welfare; </w:t>
      </w:r>
      <w:r w:rsidR="007637F3">
        <w:rPr>
          <w:rFonts w:ascii="Arial Narrow" w:eastAsia="Times New Roman" w:hAnsi="Arial Narrow" w:cs="Arial"/>
          <w:snapToGrid w:val="0"/>
          <w:sz w:val="18"/>
          <w:szCs w:val="18"/>
          <w:lang w:eastAsia="en-AU"/>
        </w:rPr>
        <w:t>g</w:t>
      </w:r>
      <w:r w:rsidRPr="00407BE6">
        <w:rPr>
          <w:rFonts w:ascii="Arial Narrow" w:eastAsia="Times New Roman" w:hAnsi="Arial Narrow" w:cs="Arial"/>
          <w:snapToGrid w:val="0"/>
          <w:sz w:val="18"/>
          <w:szCs w:val="18"/>
          <w:lang w:eastAsia="en-AU"/>
        </w:rPr>
        <w:t xml:space="preserve">BRCA = </w:t>
      </w:r>
      <w:r w:rsidR="007637F3">
        <w:rPr>
          <w:rFonts w:ascii="Arial Narrow" w:eastAsia="Times New Roman" w:hAnsi="Arial Narrow" w:cs="Arial"/>
          <w:snapToGrid w:val="0"/>
          <w:sz w:val="18"/>
          <w:szCs w:val="18"/>
          <w:lang w:eastAsia="en-AU"/>
        </w:rPr>
        <w:t xml:space="preserve">germline </w:t>
      </w:r>
      <w:r w:rsidRPr="00407BE6">
        <w:rPr>
          <w:rFonts w:ascii="Arial Narrow" w:eastAsia="Times New Roman" w:hAnsi="Arial Narrow" w:cs="Arial"/>
          <w:snapToGrid w:val="0"/>
          <w:sz w:val="18"/>
          <w:szCs w:val="18"/>
          <w:lang w:eastAsia="en-AU"/>
        </w:rPr>
        <w:t xml:space="preserve">Breast Cancer gene </w:t>
      </w:r>
      <w:r w:rsidR="000700F3">
        <w:rPr>
          <w:rFonts w:ascii="Arial Narrow" w:eastAsia="Times New Roman" w:hAnsi="Arial Narrow" w:cs="Arial"/>
          <w:snapToGrid w:val="0"/>
          <w:sz w:val="18"/>
          <w:szCs w:val="18"/>
          <w:lang w:eastAsia="en-AU"/>
        </w:rPr>
        <w:t>t</w:t>
      </w:r>
      <w:r w:rsidRPr="00407BE6">
        <w:rPr>
          <w:rFonts w:ascii="Arial Narrow" w:eastAsia="Times New Roman" w:hAnsi="Arial Narrow" w:cs="Arial"/>
          <w:snapToGrid w:val="0"/>
          <w:sz w:val="18"/>
          <w:szCs w:val="18"/>
          <w:lang w:eastAsia="en-AU"/>
        </w:rPr>
        <w:t>; CSR = clinical study report; DoT = duration of treatment; DPMQ = dispensed price for maximum quantity; DUSC = Drug Utilisation Sub-Committee; eBC = early breast cancer; GPG = Greatest Permissible Gap; HR = hormone receptor; HER2 = human epidermal growth factor receptor 2; MBS = Medicare Benefits Schedule; PSD = Public Summary Document; TNBC = triple-negative breast cancer</w:t>
      </w:r>
    </w:p>
    <w:p w14:paraId="08047DC8" w14:textId="77777777" w:rsidR="00407BE6" w:rsidRPr="00407BE6" w:rsidRDefault="00407BE6" w:rsidP="00407BE6">
      <w:pPr>
        <w:spacing w:before="0" w:after="0" w:line="240" w:lineRule="auto"/>
        <w:contextualSpacing/>
        <w:jc w:val="both"/>
        <w:rPr>
          <w:rFonts w:ascii="Arial Narrow" w:eastAsia="Times New Roman" w:hAnsi="Arial Narrow" w:cs="Arial"/>
          <w:snapToGrid w:val="0"/>
          <w:sz w:val="18"/>
          <w:szCs w:val="18"/>
          <w:lang w:eastAsia="en-AU"/>
        </w:rPr>
      </w:pPr>
      <w:r w:rsidRPr="00407BE6">
        <w:rPr>
          <w:rFonts w:ascii="Arial Narrow" w:eastAsia="Times New Roman" w:hAnsi="Arial Narrow" w:cs="Arial"/>
          <w:snapToGrid w:val="0"/>
          <w:sz w:val="18"/>
          <w:szCs w:val="18"/>
          <w:vertAlign w:val="superscript"/>
          <w:lang w:eastAsia="en-AU"/>
        </w:rPr>
        <w:t>a</w:t>
      </w:r>
      <w:r w:rsidRPr="00407BE6">
        <w:rPr>
          <w:rFonts w:ascii="Arial Narrow" w:eastAsia="Times New Roman" w:hAnsi="Arial Narrow" w:cs="Arial"/>
          <w:snapToGrid w:val="0"/>
          <w:sz w:val="18"/>
          <w:szCs w:val="18"/>
          <w:lang w:eastAsia="en-AU"/>
        </w:rPr>
        <w:t xml:space="preserve"> From 1 November 2022, the GPG and the GPG threshold values are set at $93.20, $621.50, respectively. </w:t>
      </w:r>
    </w:p>
    <w:p w14:paraId="2342C045" w14:textId="2DB299B8" w:rsidR="00203B47" w:rsidRDefault="003D37A0" w:rsidP="00EA38E9">
      <w:r>
        <w:fldChar w:fldCharType="begin"/>
      </w:r>
      <w:r>
        <w:instrText xml:space="preserve"> REF _Ref134622379 \h </w:instrText>
      </w:r>
      <w:r>
        <w:fldChar w:fldCharType="separate"/>
      </w:r>
      <w:r>
        <w:t xml:space="preserve">Table </w:t>
      </w:r>
      <w:r>
        <w:rPr>
          <w:noProof/>
        </w:rPr>
        <w:t>11</w:t>
      </w:r>
      <w:r>
        <w:fldChar w:fldCharType="end"/>
      </w:r>
      <w:r w:rsidR="005F5B7C">
        <w:t xml:space="preserve"> presents the </w:t>
      </w:r>
      <w:r w:rsidR="004E0748">
        <w:t xml:space="preserve">revised </w:t>
      </w:r>
      <w:r w:rsidR="005F5B7C">
        <w:t>estimate</w:t>
      </w:r>
      <w:r w:rsidR="004E0748">
        <w:t>s of</w:t>
      </w:r>
      <w:r w:rsidR="005F5B7C">
        <w:t xml:space="preserve"> utilisation </w:t>
      </w:r>
      <w:r w:rsidR="004E0748">
        <w:t xml:space="preserve">and financial implications of </w:t>
      </w:r>
      <w:r w:rsidR="004E0748" w:rsidRPr="004E5BF4">
        <w:rPr>
          <w:i/>
          <w:iCs/>
        </w:rPr>
        <w:t>BRCA1/2</w:t>
      </w:r>
      <w:r w:rsidR="004E0748">
        <w:t xml:space="preserve"> testing </w:t>
      </w:r>
      <w:r w:rsidR="005E17CD">
        <w:t xml:space="preserve">from the PSCR. </w:t>
      </w:r>
      <w:r w:rsidR="00123512">
        <w:t xml:space="preserve">The estimated </w:t>
      </w:r>
      <w:r w:rsidR="00E624E0">
        <w:t>utilisation</w:t>
      </w:r>
      <w:r w:rsidR="00645D6C">
        <w:t xml:space="preserve"> and financial implications were likely </w:t>
      </w:r>
      <w:r w:rsidR="00CC099E">
        <w:t xml:space="preserve">underestimated and </w:t>
      </w:r>
      <w:r w:rsidR="00645D6C">
        <w:t>uninformative as</w:t>
      </w:r>
      <w:r w:rsidR="00DB142D">
        <w:t>:</w:t>
      </w:r>
    </w:p>
    <w:p w14:paraId="567A9970" w14:textId="047993C0" w:rsidR="00CC099E" w:rsidRDefault="00A16039" w:rsidP="00DB142D">
      <w:pPr>
        <w:pStyle w:val="ListParagraph"/>
        <w:numPr>
          <w:ilvl w:val="0"/>
          <w:numId w:val="38"/>
        </w:numPr>
      </w:pPr>
      <w:r>
        <w:t xml:space="preserve">The current </w:t>
      </w:r>
      <w:r w:rsidR="00B44DAB">
        <w:t>utilisation</w:t>
      </w:r>
      <w:r>
        <w:t xml:space="preserve"> of </w:t>
      </w:r>
      <w:r w:rsidR="00055F5B" w:rsidRPr="00055F5B">
        <w:rPr>
          <w:i/>
        </w:rPr>
        <w:t>BRCA1/2</w:t>
      </w:r>
      <w:r>
        <w:t xml:space="preserve"> testing was likely overestimated, particularly in the H</w:t>
      </w:r>
      <w:r w:rsidR="00063E87">
        <w:t>R+/HER2- population</w:t>
      </w:r>
      <w:r w:rsidR="005852B4">
        <w:t xml:space="preserve"> (74%)</w:t>
      </w:r>
      <w:r w:rsidR="00740C77">
        <w:t xml:space="preserve">; </w:t>
      </w:r>
      <w:r w:rsidR="009A2B9D">
        <w:t xml:space="preserve"> </w:t>
      </w:r>
    </w:p>
    <w:p w14:paraId="78694B09" w14:textId="25E8F534" w:rsidR="00DB142D" w:rsidRDefault="00EC34C4" w:rsidP="00DB142D">
      <w:pPr>
        <w:pStyle w:val="ListParagraph"/>
        <w:numPr>
          <w:ilvl w:val="0"/>
          <w:numId w:val="38"/>
        </w:numPr>
      </w:pPr>
      <w:r>
        <w:t xml:space="preserve">The </w:t>
      </w:r>
      <w:r w:rsidR="00DD63F3">
        <w:t xml:space="preserve">financial estimates did not consider </w:t>
      </w:r>
      <w:r w:rsidR="00703B9A">
        <w:t xml:space="preserve">cost shifting from </w:t>
      </w:r>
      <w:r w:rsidR="00A119D6">
        <w:t xml:space="preserve">non-MBS </w:t>
      </w:r>
      <w:r w:rsidR="007E7706">
        <w:t>funding of testing to MBS funding</w:t>
      </w:r>
      <w:r w:rsidR="0017240F">
        <w:t xml:space="preserve">. In 2022, there were </w:t>
      </w:r>
      <w:r w:rsidR="0017240F" w:rsidRPr="009A2B9D">
        <w:t xml:space="preserve">3,529 </w:t>
      </w:r>
      <w:r w:rsidR="0017240F">
        <w:t xml:space="preserve">claims for germline BRCA1/2 testing under MBS item </w:t>
      </w:r>
      <w:r w:rsidR="0017240F" w:rsidRPr="00703B9A">
        <w:t>73296</w:t>
      </w:r>
      <w:r w:rsidR="00191869">
        <w:t xml:space="preserve"> (breast and ovarian cancer)</w:t>
      </w:r>
      <w:r w:rsidR="00645B4A">
        <w:t xml:space="preserve">, however it was estimated that </w:t>
      </w:r>
      <w:r w:rsidR="00A61205" w:rsidRPr="0079132A">
        <w:t>5,000 to &lt; 10,000</w:t>
      </w:r>
      <w:r w:rsidR="00A61205">
        <w:t xml:space="preserve"> </w:t>
      </w:r>
      <w:r w:rsidR="00191869">
        <w:t xml:space="preserve">patients with early TNBC </w:t>
      </w:r>
      <w:r w:rsidR="00E066AA">
        <w:t>and early HR+</w:t>
      </w:r>
      <w:r w:rsidR="001A57D3">
        <w:t xml:space="preserve"> HER2- patients are </w:t>
      </w:r>
      <w:r w:rsidR="00645B4A">
        <w:t xml:space="preserve">currently </w:t>
      </w:r>
      <w:r w:rsidR="001A57D3">
        <w:t>being tested</w:t>
      </w:r>
      <w:r w:rsidR="00740C77">
        <w:t>;</w:t>
      </w:r>
      <w:r w:rsidR="001A57D3">
        <w:t xml:space="preserve"> </w:t>
      </w:r>
    </w:p>
    <w:p w14:paraId="7CC94543" w14:textId="124BCBED" w:rsidR="00E51A40" w:rsidRDefault="000C24FD" w:rsidP="00DB142D">
      <w:pPr>
        <w:pStyle w:val="ListParagraph"/>
        <w:numPr>
          <w:ilvl w:val="0"/>
          <w:numId w:val="38"/>
        </w:numPr>
      </w:pPr>
      <w:r>
        <w:t xml:space="preserve">The estimated </w:t>
      </w:r>
      <w:r w:rsidR="00AA40CA">
        <w:t xml:space="preserve">number of </w:t>
      </w:r>
      <w:r w:rsidR="00055F5B" w:rsidRPr="00055F5B">
        <w:rPr>
          <w:i/>
        </w:rPr>
        <w:t>BRCA1/2</w:t>
      </w:r>
      <w:r w:rsidR="009A1981">
        <w:t xml:space="preserve"> used to calculate </w:t>
      </w:r>
      <w:r w:rsidR="007F26CB">
        <w:t xml:space="preserve">MBS implications were not those estimated </w:t>
      </w:r>
      <w:r w:rsidR="003C6DA3">
        <w:t>using the epidemiological approach</w:t>
      </w:r>
      <w:r w:rsidR="00982599">
        <w:t xml:space="preserve">; </w:t>
      </w:r>
      <w:r w:rsidR="00587292">
        <w:t>and</w:t>
      </w:r>
    </w:p>
    <w:p w14:paraId="50B4C8A5" w14:textId="2B31C659" w:rsidR="004E6008" w:rsidRPr="004E6008" w:rsidRDefault="00BB6288" w:rsidP="004E6008">
      <w:pPr>
        <w:pStyle w:val="ListParagraph"/>
        <w:numPr>
          <w:ilvl w:val="0"/>
          <w:numId w:val="38"/>
        </w:numPr>
      </w:pPr>
      <w:r>
        <w:t>C</w:t>
      </w:r>
      <w:r w:rsidR="00587292">
        <w:t xml:space="preserve">ost-offsets </w:t>
      </w:r>
      <w:r w:rsidR="00147E5D">
        <w:t xml:space="preserve">for </w:t>
      </w:r>
      <w:r w:rsidR="00055F5B" w:rsidRPr="00055F5B">
        <w:rPr>
          <w:i/>
        </w:rPr>
        <w:t>BRCA1/2</w:t>
      </w:r>
      <w:r w:rsidR="00147E5D">
        <w:t xml:space="preserve"> testing</w:t>
      </w:r>
      <w:r w:rsidR="00A9085D">
        <w:t xml:space="preserve"> </w:t>
      </w:r>
      <w:r>
        <w:t xml:space="preserve">that were not justified </w:t>
      </w:r>
      <w:r w:rsidR="00A9085D">
        <w:t>when the</w:t>
      </w:r>
      <w:r w:rsidR="00CB5FC1">
        <w:t xml:space="preserve"> </w:t>
      </w:r>
      <w:bookmarkStart w:id="43" w:name="_Hlk129084914"/>
      <w:r w:rsidR="0019591E">
        <w:t xml:space="preserve">proposed MBS </w:t>
      </w:r>
      <w:r>
        <w:t xml:space="preserve">listing </w:t>
      </w:r>
      <w:r w:rsidR="0019591E">
        <w:t xml:space="preserve">would likely increase the </w:t>
      </w:r>
      <w:r w:rsidR="00022407">
        <w:t xml:space="preserve">number of people </w:t>
      </w:r>
      <w:r>
        <w:t xml:space="preserve">eligible for </w:t>
      </w:r>
      <w:r w:rsidR="00055F5B" w:rsidRPr="00055F5B">
        <w:rPr>
          <w:i/>
        </w:rPr>
        <w:t>BRCA1/2</w:t>
      </w:r>
      <w:r>
        <w:t xml:space="preserve"> testing</w:t>
      </w:r>
      <w:bookmarkEnd w:id="43"/>
      <w:r>
        <w:t>.</w:t>
      </w:r>
      <w:bookmarkStart w:id="44" w:name="_Ref134622379"/>
      <w:r w:rsidR="004E6008">
        <w:br w:type="page"/>
      </w:r>
    </w:p>
    <w:p w14:paraId="122693D9" w14:textId="2F905FB7" w:rsidR="00880ABD" w:rsidRDefault="00880ABD" w:rsidP="00880ABD">
      <w:pPr>
        <w:pStyle w:val="Caption"/>
      </w:pPr>
      <w:r>
        <w:t xml:space="preserve">Table </w:t>
      </w:r>
      <w:r w:rsidR="004E6008">
        <w:fldChar w:fldCharType="begin"/>
      </w:r>
      <w:r w:rsidR="004E6008">
        <w:instrText xml:space="preserve"> SEQ Table \* ARABIC </w:instrText>
      </w:r>
      <w:r w:rsidR="004E6008">
        <w:fldChar w:fldCharType="separate"/>
      </w:r>
      <w:r>
        <w:rPr>
          <w:noProof/>
        </w:rPr>
        <w:t>11</w:t>
      </w:r>
      <w:r w:rsidR="004E6008">
        <w:rPr>
          <w:noProof/>
        </w:rPr>
        <w:fldChar w:fldCharType="end"/>
      </w:r>
      <w:r w:rsidRPr="00F6487D">
        <w:rPr>
          <w:rFonts w:cs="Arial"/>
          <w:szCs w:val="18"/>
          <w:lang w:eastAsia="en-AU"/>
        </w:rPr>
        <w:t xml:space="preserve"> Estimated use and financial implications presented in the </w:t>
      </w:r>
      <w:r>
        <w:rPr>
          <w:rFonts w:cs="Arial"/>
          <w:szCs w:val="18"/>
          <w:lang w:eastAsia="en-AU"/>
        </w:rPr>
        <w:t>PBAC PSCR</w:t>
      </w:r>
    </w:p>
    <w:tbl>
      <w:tblPr>
        <w:tblStyle w:val="TableGrid1"/>
        <w:tblW w:w="5000" w:type="pct"/>
        <w:tblLayout w:type="fixed"/>
        <w:tblCellMar>
          <w:left w:w="28" w:type="dxa"/>
          <w:right w:w="28" w:type="dxa"/>
        </w:tblCellMar>
        <w:tblLook w:val="04A0" w:firstRow="1" w:lastRow="0" w:firstColumn="1" w:lastColumn="0" w:noHBand="0" w:noVBand="1"/>
      </w:tblPr>
      <w:tblGrid>
        <w:gridCol w:w="277"/>
        <w:gridCol w:w="2832"/>
        <w:gridCol w:w="983"/>
        <w:gridCol w:w="985"/>
        <w:gridCol w:w="983"/>
        <w:gridCol w:w="985"/>
        <w:gridCol w:w="983"/>
        <w:gridCol w:w="988"/>
      </w:tblGrid>
      <w:tr w:rsidR="00880ABD" w:rsidRPr="00F6487D" w14:paraId="23D4D389" w14:textId="77777777" w:rsidTr="00F84DDB">
        <w:trPr>
          <w:cnfStyle w:val="100000000000" w:firstRow="1" w:lastRow="0" w:firstColumn="0" w:lastColumn="0" w:oddVBand="0" w:evenVBand="0" w:oddHBand="0" w:evenHBand="0" w:firstRowFirstColumn="0" w:firstRowLastColumn="0" w:lastRowFirstColumn="0" w:lastRowLastColumn="0"/>
          <w:cantSplit/>
          <w:tblHeader/>
        </w:trPr>
        <w:tc>
          <w:tcPr>
            <w:tcW w:w="154" w:type="pct"/>
          </w:tcPr>
          <w:p w14:paraId="6D02A78C" w14:textId="77777777" w:rsidR="00880ABD" w:rsidRPr="00F6487D" w:rsidRDefault="00880ABD" w:rsidP="004E6008">
            <w:pPr>
              <w:spacing w:before="0" w:after="0"/>
              <w:jc w:val="center"/>
              <w:rPr>
                <w:rFonts w:ascii="Arial Narrow" w:hAnsi="Arial Narrow"/>
                <w:b/>
              </w:rPr>
            </w:pPr>
          </w:p>
        </w:tc>
        <w:tc>
          <w:tcPr>
            <w:tcW w:w="1571" w:type="pct"/>
            <w:shd w:val="clear" w:color="auto" w:fill="auto"/>
            <w:vAlign w:val="center"/>
          </w:tcPr>
          <w:p w14:paraId="19E29D26" w14:textId="77777777" w:rsidR="00880ABD" w:rsidRPr="00F6487D" w:rsidRDefault="00880ABD" w:rsidP="004E6008">
            <w:pPr>
              <w:spacing w:before="0" w:after="0"/>
              <w:jc w:val="center"/>
              <w:rPr>
                <w:rFonts w:ascii="Arial Narrow" w:hAnsi="Arial Narrow"/>
                <w:b/>
              </w:rPr>
            </w:pPr>
          </w:p>
        </w:tc>
        <w:tc>
          <w:tcPr>
            <w:tcW w:w="545" w:type="pct"/>
            <w:shd w:val="clear" w:color="auto" w:fill="auto"/>
            <w:vAlign w:val="center"/>
          </w:tcPr>
          <w:p w14:paraId="25B374E0" w14:textId="77777777" w:rsidR="00880ABD" w:rsidRPr="00F6487D" w:rsidRDefault="00880ABD" w:rsidP="004E6008">
            <w:pPr>
              <w:spacing w:before="0" w:after="0"/>
              <w:jc w:val="center"/>
              <w:rPr>
                <w:rFonts w:ascii="Arial Narrow" w:hAnsi="Arial Narrow"/>
                <w:b/>
              </w:rPr>
            </w:pPr>
            <w:r w:rsidRPr="00F6487D">
              <w:rPr>
                <w:rFonts w:ascii="Arial Narrow" w:hAnsi="Arial Narrow"/>
                <w:b/>
              </w:rPr>
              <w:t>Year 1</w:t>
            </w:r>
          </w:p>
        </w:tc>
        <w:tc>
          <w:tcPr>
            <w:tcW w:w="546" w:type="pct"/>
            <w:shd w:val="clear" w:color="auto" w:fill="auto"/>
            <w:vAlign w:val="center"/>
          </w:tcPr>
          <w:p w14:paraId="70978672" w14:textId="77777777" w:rsidR="00880ABD" w:rsidRPr="00F6487D" w:rsidRDefault="00880ABD" w:rsidP="004E6008">
            <w:pPr>
              <w:spacing w:before="0" w:after="0"/>
              <w:jc w:val="center"/>
              <w:rPr>
                <w:rFonts w:ascii="Arial Narrow" w:hAnsi="Arial Narrow"/>
                <w:b/>
              </w:rPr>
            </w:pPr>
            <w:r w:rsidRPr="00F6487D">
              <w:rPr>
                <w:rFonts w:ascii="Arial Narrow" w:hAnsi="Arial Narrow"/>
                <w:b/>
              </w:rPr>
              <w:t>Year 2</w:t>
            </w:r>
          </w:p>
        </w:tc>
        <w:tc>
          <w:tcPr>
            <w:tcW w:w="545" w:type="pct"/>
            <w:shd w:val="clear" w:color="auto" w:fill="auto"/>
            <w:vAlign w:val="center"/>
          </w:tcPr>
          <w:p w14:paraId="000DB1CA" w14:textId="77777777" w:rsidR="00880ABD" w:rsidRPr="00F6487D" w:rsidRDefault="00880ABD" w:rsidP="004E6008">
            <w:pPr>
              <w:spacing w:before="0" w:after="0"/>
              <w:jc w:val="center"/>
              <w:rPr>
                <w:rFonts w:ascii="Arial Narrow" w:hAnsi="Arial Narrow"/>
                <w:b/>
              </w:rPr>
            </w:pPr>
            <w:r w:rsidRPr="00F6487D">
              <w:rPr>
                <w:rFonts w:ascii="Arial Narrow" w:hAnsi="Arial Narrow"/>
                <w:b/>
              </w:rPr>
              <w:t>Year 3</w:t>
            </w:r>
          </w:p>
        </w:tc>
        <w:tc>
          <w:tcPr>
            <w:tcW w:w="546" w:type="pct"/>
            <w:shd w:val="clear" w:color="auto" w:fill="auto"/>
            <w:vAlign w:val="center"/>
          </w:tcPr>
          <w:p w14:paraId="286A34ED" w14:textId="77777777" w:rsidR="00880ABD" w:rsidRPr="00F6487D" w:rsidRDefault="00880ABD" w:rsidP="004E6008">
            <w:pPr>
              <w:spacing w:before="0" w:after="0"/>
              <w:jc w:val="center"/>
              <w:rPr>
                <w:rFonts w:ascii="Arial Narrow" w:hAnsi="Arial Narrow"/>
                <w:b/>
              </w:rPr>
            </w:pPr>
            <w:r w:rsidRPr="00F6487D">
              <w:rPr>
                <w:rFonts w:ascii="Arial Narrow" w:hAnsi="Arial Narrow"/>
                <w:b/>
              </w:rPr>
              <w:t>Year 4</w:t>
            </w:r>
          </w:p>
        </w:tc>
        <w:tc>
          <w:tcPr>
            <w:tcW w:w="545" w:type="pct"/>
            <w:shd w:val="clear" w:color="auto" w:fill="auto"/>
            <w:vAlign w:val="center"/>
          </w:tcPr>
          <w:p w14:paraId="0D7D37D3" w14:textId="77777777" w:rsidR="00880ABD" w:rsidRPr="00F6487D" w:rsidRDefault="00880ABD" w:rsidP="004E6008">
            <w:pPr>
              <w:spacing w:before="0" w:after="0"/>
              <w:jc w:val="center"/>
              <w:rPr>
                <w:rFonts w:ascii="Arial Narrow" w:hAnsi="Arial Narrow"/>
                <w:b/>
              </w:rPr>
            </w:pPr>
            <w:r w:rsidRPr="00F6487D">
              <w:rPr>
                <w:rFonts w:ascii="Arial Narrow" w:hAnsi="Arial Narrow"/>
                <w:b/>
              </w:rPr>
              <w:t>Year 5</w:t>
            </w:r>
          </w:p>
        </w:tc>
        <w:tc>
          <w:tcPr>
            <w:tcW w:w="548" w:type="pct"/>
          </w:tcPr>
          <w:p w14:paraId="17D364F5" w14:textId="77777777" w:rsidR="00880ABD" w:rsidRPr="00F6487D" w:rsidRDefault="00880ABD" w:rsidP="004E6008">
            <w:pPr>
              <w:spacing w:before="0" w:after="0"/>
              <w:jc w:val="center"/>
              <w:rPr>
                <w:rFonts w:ascii="Arial Narrow" w:hAnsi="Arial Narrow"/>
                <w:b/>
              </w:rPr>
            </w:pPr>
            <w:r w:rsidRPr="00F6487D">
              <w:rPr>
                <w:rFonts w:ascii="Arial Narrow" w:hAnsi="Arial Narrow"/>
                <w:b/>
              </w:rPr>
              <w:t>Year 6</w:t>
            </w:r>
          </w:p>
        </w:tc>
      </w:tr>
      <w:tr w:rsidR="00880ABD" w:rsidRPr="00F6487D" w14:paraId="2571A41C" w14:textId="77777777" w:rsidTr="00F84DDB">
        <w:trPr>
          <w:cantSplit/>
        </w:trPr>
        <w:tc>
          <w:tcPr>
            <w:tcW w:w="154" w:type="pct"/>
          </w:tcPr>
          <w:p w14:paraId="36C40204" w14:textId="77777777" w:rsidR="00880ABD" w:rsidRPr="00F6487D" w:rsidRDefault="00880ABD" w:rsidP="004E6008">
            <w:pPr>
              <w:spacing w:before="0" w:after="0"/>
              <w:rPr>
                <w:rFonts w:ascii="Arial Narrow" w:hAnsi="Arial Narrow" w:cs="Arial"/>
              </w:rPr>
            </w:pPr>
          </w:p>
        </w:tc>
        <w:tc>
          <w:tcPr>
            <w:tcW w:w="1571" w:type="pct"/>
            <w:shd w:val="clear" w:color="auto" w:fill="auto"/>
          </w:tcPr>
          <w:p w14:paraId="188E25BA"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Incidence early breast cancer </w:t>
            </w:r>
          </w:p>
        </w:tc>
        <w:tc>
          <w:tcPr>
            <w:tcW w:w="545" w:type="pct"/>
            <w:shd w:val="clear" w:color="auto" w:fill="auto"/>
          </w:tcPr>
          <w:p w14:paraId="204A14FB" w14:textId="77777777" w:rsidR="00880ABD" w:rsidRPr="00F6487D" w:rsidRDefault="00880ABD" w:rsidP="004E6008">
            <w:pPr>
              <w:pStyle w:val="TableTextCA"/>
              <w:spacing w:before="0" w:after="0"/>
            </w:pPr>
            <w:r w:rsidRPr="00665304">
              <w:t xml:space="preserve"> </w:t>
            </w:r>
            <w:r w:rsidRPr="00880ABD">
              <w:rPr>
                <w:color w:val="000000"/>
                <w:spacing w:val="40"/>
                <w:shd w:val="solid" w:color="000000" w:fill="000000"/>
                <w:fitText w:val="460" w:id="-1233405696"/>
                <w14:textFill>
                  <w14:solidFill>
                    <w14:srgbClr w14:val="000000">
                      <w14:alpha w14:val="100000"/>
                    </w14:srgbClr>
                  </w14:solidFill>
                </w14:textFill>
              </w:rPr>
              <w:t>|||||</w:t>
            </w:r>
            <w:r w:rsidRPr="00880ABD">
              <w:rPr>
                <w:color w:val="000000"/>
                <w:spacing w:val="5"/>
                <w:shd w:val="solid" w:color="000000" w:fill="000000"/>
                <w:fitText w:val="460" w:id="-1233405696"/>
                <w14:textFill>
                  <w14:solidFill>
                    <w14:srgbClr w14:val="000000">
                      <w14:alpha w14:val="100000"/>
                    </w14:srgbClr>
                  </w14:solidFill>
                </w14:textFill>
              </w:rPr>
              <w:t>|</w:t>
            </w:r>
            <w:r>
              <w:rPr>
                <w:vertAlign w:val="superscript"/>
              </w:rPr>
              <w:t>1</w:t>
            </w:r>
            <w:r w:rsidRPr="00665304">
              <w:t xml:space="preserve"> </w:t>
            </w:r>
          </w:p>
        </w:tc>
        <w:tc>
          <w:tcPr>
            <w:tcW w:w="546" w:type="pct"/>
            <w:shd w:val="clear" w:color="auto" w:fill="auto"/>
          </w:tcPr>
          <w:p w14:paraId="5513B4CD" w14:textId="77777777" w:rsidR="00880ABD" w:rsidRPr="00F6487D" w:rsidRDefault="00880ABD" w:rsidP="004E6008">
            <w:pPr>
              <w:pStyle w:val="TableTextCA"/>
              <w:spacing w:before="0" w:after="0"/>
            </w:pPr>
            <w:r w:rsidRPr="00665304">
              <w:t xml:space="preserve"> </w:t>
            </w:r>
            <w:r w:rsidRPr="00880ABD">
              <w:rPr>
                <w:color w:val="000000"/>
                <w:spacing w:val="42"/>
                <w:shd w:val="solid" w:color="000000" w:fill="000000"/>
                <w:fitText w:val="470" w:id="-1233405695"/>
                <w14:textFill>
                  <w14:solidFill>
                    <w14:srgbClr w14:val="000000">
                      <w14:alpha w14:val="100000"/>
                    </w14:srgbClr>
                  </w14:solidFill>
                </w14:textFill>
              </w:rPr>
              <w:t>|||||</w:t>
            </w:r>
            <w:r w:rsidRPr="00880ABD">
              <w:rPr>
                <w:color w:val="000000"/>
                <w:spacing w:val="5"/>
                <w:shd w:val="solid" w:color="000000" w:fill="000000"/>
                <w:fitText w:val="470" w:id="-1233405695"/>
                <w14:textFill>
                  <w14:solidFill>
                    <w14:srgbClr w14:val="000000">
                      <w14:alpha w14:val="100000"/>
                    </w14:srgbClr>
                  </w14:solidFill>
                </w14:textFill>
              </w:rPr>
              <w:t>|</w:t>
            </w:r>
            <w:r w:rsidRPr="00F84DDB">
              <w:rPr>
                <w:vertAlign w:val="superscript"/>
              </w:rPr>
              <w:t xml:space="preserve">1 </w:t>
            </w:r>
          </w:p>
        </w:tc>
        <w:tc>
          <w:tcPr>
            <w:tcW w:w="545" w:type="pct"/>
            <w:shd w:val="clear" w:color="auto" w:fill="auto"/>
          </w:tcPr>
          <w:p w14:paraId="700C1195" w14:textId="77777777" w:rsidR="00880ABD" w:rsidRPr="00F6487D" w:rsidRDefault="00880ABD" w:rsidP="004E6008">
            <w:pPr>
              <w:pStyle w:val="TableTextCA"/>
              <w:spacing w:before="0" w:after="0"/>
            </w:pPr>
            <w:r w:rsidRPr="00665304">
              <w:t xml:space="preserve"> </w:t>
            </w:r>
            <w:r w:rsidRPr="00880ABD">
              <w:rPr>
                <w:color w:val="000000"/>
                <w:spacing w:val="40"/>
                <w:shd w:val="solid" w:color="000000" w:fill="000000"/>
                <w:fitText w:val="460" w:id="-1233405694"/>
                <w14:textFill>
                  <w14:solidFill>
                    <w14:srgbClr w14:val="000000">
                      <w14:alpha w14:val="100000"/>
                    </w14:srgbClr>
                  </w14:solidFill>
                </w14:textFill>
              </w:rPr>
              <w:t>|||||</w:t>
            </w:r>
            <w:r w:rsidRPr="00880ABD">
              <w:rPr>
                <w:color w:val="000000"/>
                <w:spacing w:val="5"/>
                <w:shd w:val="solid" w:color="000000" w:fill="000000"/>
                <w:fitText w:val="460" w:id="-1233405694"/>
                <w14:textFill>
                  <w14:solidFill>
                    <w14:srgbClr w14:val="000000">
                      <w14:alpha w14:val="100000"/>
                    </w14:srgbClr>
                  </w14:solidFill>
                </w14:textFill>
              </w:rPr>
              <w:t>|</w:t>
            </w:r>
            <w:r>
              <w:rPr>
                <w:vertAlign w:val="superscript"/>
              </w:rPr>
              <w:t>1</w:t>
            </w:r>
            <w:r w:rsidRPr="00665304">
              <w:t xml:space="preserve"> </w:t>
            </w:r>
          </w:p>
        </w:tc>
        <w:tc>
          <w:tcPr>
            <w:tcW w:w="546" w:type="pct"/>
            <w:shd w:val="clear" w:color="auto" w:fill="auto"/>
          </w:tcPr>
          <w:p w14:paraId="1A0B7DAA" w14:textId="77777777" w:rsidR="00880ABD" w:rsidRPr="00F6487D" w:rsidRDefault="00880ABD" w:rsidP="004E6008">
            <w:pPr>
              <w:pStyle w:val="TableTextCA"/>
              <w:spacing w:before="0" w:after="0"/>
            </w:pPr>
            <w:r w:rsidRPr="00665304">
              <w:t xml:space="preserve"> </w:t>
            </w:r>
            <w:r w:rsidRPr="00880ABD">
              <w:rPr>
                <w:color w:val="000000"/>
                <w:spacing w:val="42"/>
                <w:shd w:val="solid" w:color="000000" w:fill="000000"/>
                <w:fitText w:val="470" w:id="-1233405693"/>
                <w14:textFill>
                  <w14:solidFill>
                    <w14:srgbClr w14:val="000000">
                      <w14:alpha w14:val="100000"/>
                    </w14:srgbClr>
                  </w14:solidFill>
                </w14:textFill>
              </w:rPr>
              <w:t>|||||</w:t>
            </w:r>
            <w:r w:rsidRPr="00880ABD">
              <w:rPr>
                <w:color w:val="000000"/>
                <w:spacing w:val="5"/>
                <w:shd w:val="solid" w:color="000000" w:fill="000000"/>
                <w:fitText w:val="470" w:id="-1233405693"/>
                <w14:textFill>
                  <w14:solidFill>
                    <w14:srgbClr w14:val="000000">
                      <w14:alpha w14:val="100000"/>
                    </w14:srgbClr>
                  </w14:solidFill>
                </w14:textFill>
              </w:rPr>
              <w:t>|</w:t>
            </w:r>
            <w:r>
              <w:rPr>
                <w:vertAlign w:val="superscript"/>
              </w:rPr>
              <w:t>1</w:t>
            </w:r>
            <w:r w:rsidRPr="00665304">
              <w:t xml:space="preserve"> </w:t>
            </w:r>
          </w:p>
        </w:tc>
        <w:tc>
          <w:tcPr>
            <w:tcW w:w="545" w:type="pct"/>
            <w:shd w:val="clear" w:color="auto" w:fill="auto"/>
          </w:tcPr>
          <w:p w14:paraId="45E0920A" w14:textId="77777777" w:rsidR="00880ABD" w:rsidRPr="00F6487D" w:rsidRDefault="00880ABD" w:rsidP="004E6008">
            <w:pPr>
              <w:pStyle w:val="TableTextCA"/>
              <w:spacing w:before="0" w:after="0"/>
            </w:pPr>
            <w:r w:rsidRPr="00665304">
              <w:t xml:space="preserve"> </w:t>
            </w:r>
            <w:r w:rsidRPr="00880ABD">
              <w:rPr>
                <w:color w:val="000000"/>
                <w:spacing w:val="40"/>
                <w:shd w:val="solid" w:color="000000" w:fill="000000"/>
                <w:fitText w:val="460" w:id="-1233405692"/>
                <w14:textFill>
                  <w14:solidFill>
                    <w14:srgbClr w14:val="000000">
                      <w14:alpha w14:val="100000"/>
                    </w14:srgbClr>
                  </w14:solidFill>
                </w14:textFill>
              </w:rPr>
              <w:t>|||||</w:t>
            </w:r>
            <w:r w:rsidRPr="00880ABD">
              <w:rPr>
                <w:color w:val="000000"/>
                <w:spacing w:val="5"/>
                <w:shd w:val="solid" w:color="000000" w:fill="000000"/>
                <w:fitText w:val="460" w:id="-1233405692"/>
                <w14:textFill>
                  <w14:solidFill>
                    <w14:srgbClr w14:val="000000">
                      <w14:alpha w14:val="100000"/>
                    </w14:srgbClr>
                  </w14:solidFill>
                </w14:textFill>
              </w:rPr>
              <w:t>|</w:t>
            </w:r>
            <w:r>
              <w:rPr>
                <w:vertAlign w:val="superscript"/>
              </w:rPr>
              <w:t>1</w:t>
            </w:r>
            <w:r w:rsidRPr="00665304">
              <w:t xml:space="preserve"> </w:t>
            </w:r>
          </w:p>
        </w:tc>
        <w:tc>
          <w:tcPr>
            <w:tcW w:w="548" w:type="pct"/>
          </w:tcPr>
          <w:p w14:paraId="534F54B6" w14:textId="77777777" w:rsidR="00880ABD" w:rsidRPr="00F6487D" w:rsidRDefault="00880ABD" w:rsidP="004E6008">
            <w:pPr>
              <w:pStyle w:val="TableTextCA"/>
              <w:spacing w:before="0" w:after="0"/>
            </w:pPr>
            <w:r w:rsidRPr="00665304">
              <w:t xml:space="preserve"> </w:t>
            </w:r>
            <w:r w:rsidRPr="00880ABD">
              <w:rPr>
                <w:color w:val="000000"/>
                <w:spacing w:val="40"/>
                <w:shd w:val="solid" w:color="000000" w:fill="000000"/>
                <w:fitText w:val="460" w:id="-1233405691"/>
                <w14:textFill>
                  <w14:solidFill>
                    <w14:srgbClr w14:val="000000">
                      <w14:alpha w14:val="100000"/>
                    </w14:srgbClr>
                  </w14:solidFill>
                </w14:textFill>
              </w:rPr>
              <w:t>|||||</w:t>
            </w:r>
            <w:r w:rsidRPr="00880ABD">
              <w:rPr>
                <w:color w:val="000000"/>
                <w:spacing w:val="5"/>
                <w:shd w:val="solid" w:color="000000" w:fill="000000"/>
                <w:fitText w:val="460" w:id="-1233405691"/>
                <w14:textFill>
                  <w14:solidFill>
                    <w14:srgbClr w14:val="000000">
                      <w14:alpha w14:val="100000"/>
                    </w14:srgbClr>
                  </w14:solidFill>
                </w14:textFill>
              </w:rPr>
              <w:t>|</w:t>
            </w:r>
            <w:r>
              <w:rPr>
                <w:vertAlign w:val="superscript"/>
              </w:rPr>
              <w:t>1</w:t>
            </w:r>
            <w:r w:rsidRPr="00665304">
              <w:t xml:space="preserve"> </w:t>
            </w:r>
          </w:p>
        </w:tc>
      </w:tr>
      <w:tr w:rsidR="00880ABD" w:rsidRPr="00F6487D" w14:paraId="7F0477CA" w14:textId="77777777" w:rsidTr="00F84DDB">
        <w:trPr>
          <w:cantSplit/>
        </w:trPr>
        <w:tc>
          <w:tcPr>
            <w:tcW w:w="154" w:type="pct"/>
          </w:tcPr>
          <w:p w14:paraId="13B17F6C" w14:textId="77777777" w:rsidR="00880ABD" w:rsidRPr="00F6487D" w:rsidRDefault="00880ABD" w:rsidP="004E6008">
            <w:pPr>
              <w:spacing w:before="0" w:after="0"/>
              <w:rPr>
                <w:rFonts w:ascii="Arial Narrow" w:hAnsi="Arial Narrow"/>
                <w:b/>
                <w:bCs/>
                <w:color w:val="000000"/>
              </w:rPr>
            </w:pPr>
          </w:p>
        </w:tc>
        <w:tc>
          <w:tcPr>
            <w:tcW w:w="4846" w:type="pct"/>
            <w:gridSpan w:val="7"/>
            <w:shd w:val="clear" w:color="auto" w:fill="auto"/>
            <w:vAlign w:val="center"/>
          </w:tcPr>
          <w:p w14:paraId="1B71FD05" w14:textId="77777777" w:rsidR="00880ABD" w:rsidRPr="00F6487D" w:rsidRDefault="00880ABD" w:rsidP="004E6008">
            <w:pPr>
              <w:spacing w:before="0" w:after="0"/>
              <w:rPr>
                <w:rFonts w:ascii="Arial Narrow" w:hAnsi="Arial Narrow"/>
                <w:b/>
                <w:bCs/>
                <w:color w:val="000000"/>
              </w:rPr>
            </w:pPr>
            <w:r w:rsidRPr="00F6487D">
              <w:rPr>
                <w:rFonts w:ascii="Arial Narrow" w:hAnsi="Arial Narrow"/>
                <w:b/>
                <w:bCs/>
                <w:color w:val="000000"/>
              </w:rPr>
              <w:t xml:space="preserve">Estimated extent of use </w:t>
            </w:r>
            <w:r w:rsidRPr="00055F5B">
              <w:rPr>
                <w:rFonts w:ascii="Arial Narrow" w:hAnsi="Arial Narrow"/>
                <w:b/>
                <w:i/>
                <w:iCs/>
              </w:rPr>
              <w:t>BRCA1/2</w:t>
            </w:r>
            <w:r w:rsidRPr="00F6487D">
              <w:rPr>
                <w:rFonts w:ascii="Arial Narrow" w:hAnsi="Arial Narrow"/>
                <w:b/>
              </w:rPr>
              <w:t xml:space="preserve"> pathogenic gene variant test</w:t>
            </w:r>
          </w:p>
        </w:tc>
      </w:tr>
      <w:tr w:rsidR="00880ABD" w:rsidRPr="00F6487D" w14:paraId="4D89D5A6" w14:textId="77777777" w:rsidTr="00F84DDB">
        <w:trPr>
          <w:cantSplit/>
        </w:trPr>
        <w:tc>
          <w:tcPr>
            <w:tcW w:w="154" w:type="pct"/>
          </w:tcPr>
          <w:p w14:paraId="69746B74" w14:textId="77777777" w:rsidR="00880ABD" w:rsidRPr="00F6487D" w:rsidRDefault="00880ABD" w:rsidP="004E6008">
            <w:pPr>
              <w:spacing w:before="0" w:after="0"/>
              <w:rPr>
                <w:rFonts w:ascii="Arial Narrow" w:hAnsi="Arial Narrow" w:cs="Arial"/>
              </w:rPr>
            </w:pPr>
            <w:r w:rsidRPr="00F6487D">
              <w:rPr>
                <w:rFonts w:ascii="Arial Narrow" w:hAnsi="Arial Narrow" w:cs="Arial"/>
              </w:rPr>
              <w:t>A</w:t>
            </w:r>
          </w:p>
        </w:tc>
        <w:tc>
          <w:tcPr>
            <w:tcW w:w="1571" w:type="pct"/>
            <w:shd w:val="clear" w:color="auto" w:fill="auto"/>
            <w:vAlign w:val="center"/>
          </w:tcPr>
          <w:p w14:paraId="324B30B6" w14:textId="77777777" w:rsidR="00880ABD" w:rsidRPr="00F6487D" w:rsidRDefault="00880ABD" w:rsidP="004E6008">
            <w:pPr>
              <w:spacing w:before="0" w:after="0"/>
              <w:rPr>
                <w:rFonts w:ascii="Arial Narrow" w:hAnsi="Arial Narrow" w:cs="Arial"/>
              </w:rPr>
            </w:pPr>
            <w:r w:rsidRPr="00F6487D">
              <w:rPr>
                <w:rFonts w:ascii="Arial Narrow" w:hAnsi="Arial Narrow" w:cs="Arial"/>
              </w:rPr>
              <w:t>g</w:t>
            </w:r>
            <w:r w:rsidRPr="006427E2">
              <w:rPr>
                <w:rFonts w:ascii="Arial Narrow" w:hAnsi="Arial Narrow" w:cs="Arial"/>
                <w:i/>
                <w:iCs/>
              </w:rPr>
              <w:t>BRCA</w:t>
            </w:r>
            <w:r w:rsidRPr="00F6487D">
              <w:rPr>
                <w:rFonts w:ascii="Arial Narrow" w:hAnsi="Arial Narrow" w:cs="Arial"/>
              </w:rPr>
              <w:t xml:space="preserve"> </w:t>
            </w:r>
            <w:r>
              <w:rPr>
                <w:rFonts w:ascii="Arial Narrow" w:hAnsi="Arial Narrow" w:cs="Arial"/>
              </w:rPr>
              <w:t>pathogenic variant</w:t>
            </w:r>
            <w:r w:rsidRPr="00F6487D">
              <w:rPr>
                <w:rFonts w:ascii="Arial Narrow" w:hAnsi="Arial Narrow" w:cs="Arial"/>
              </w:rPr>
              <w:t xml:space="preserve"> tests in TNBC patients (olaparib available), </w:t>
            </w:r>
          </w:p>
          <w:p w14:paraId="09987B5B" w14:textId="77777777" w:rsidR="00880ABD" w:rsidRPr="00F6487D" w:rsidRDefault="00880ABD" w:rsidP="004E6008">
            <w:pPr>
              <w:spacing w:before="0" w:after="0"/>
              <w:rPr>
                <w:rFonts w:ascii="Arial Narrow" w:hAnsi="Arial Narrow" w:cs="Arial"/>
              </w:rPr>
            </w:pPr>
            <w:r w:rsidRPr="00F6487D">
              <w:rPr>
                <w:rFonts w:ascii="Arial Narrow" w:hAnsi="Arial Narrow" w:cs="Arial"/>
              </w:rPr>
              <w:t>Proposed uptake Years 1−6: 80−95%</w:t>
            </w:r>
          </w:p>
        </w:tc>
        <w:tc>
          <w:tcPr>
            <w:tcW w:w="545" w:type="pct"/>
            <w:shd w:val="clear" w:color="auto" w:fill="auto"/>
          </w:tcPr>
          <w:p w14:paraId="39C0FF3E" w14:textId="77777777" w:rsidR="00880ABD" w:rsidRPr="00F6487D" w:rsidRDefault="00880ABD" w:rsidP="004E6008">
            <w:pPr>
              <w:pStyle w:val="TableTextCA"/>
              <w:spacing w:before="0" w:after="0"/>
              <w:rPr>
                <w:rFonts w:cs="Arial"/>
              </w:rPr>
            </w:pPr>
            <w:r w:rsidRPr="00880ABD">
              <w:rPr>
                <w:color w:val="000000"/>
                <w:spacing w:val="34"/>
                <w:shd w:val="solid" w:color="000000" w:fill="000000"/>
                <w:fitText w:val="430" w:id="-1233405690"/>
                <w14:textFill>
                  <w14:solidFill>
                    <w14:srgbClr w14:val="000000">
                      <w14:alpha w14:val="100000"/>
                    </w14:srgbClr>
                  </w14:solidFill>
                </w14:textFill>
              </w:rPr>
              <w:t>|||||</w:t>
            </w:r>
            <w:r w:rsidRPr="00880ABD">
              <w:rPr>
                <w:color w:val="000000"/>
                <w:spacing w:val="5"/>
                <w:shd w:val="solid" w:color="000000" w:fill="000000"/>
                <w:fitText w:val="430" w:id="-1233405690"/>
                <w14:textFill>
                  <w14:solidFill>
                    <w14:srgbClr w14:val="000000">
                      <w14:alpha w14:val="100000"/>
                    </w14:srgbClr>
                  </w14:solidFill>
                </w14:textFill>
              </w:rPr>
              <w:t>|</w:t>
            </w:r>
            <w:r>
              <w:rPr>
                <w:vertAlign w:val="superscript"/>
              </w:rPr>
              <w:t>2</w:t>
            </w:r>
            <w:r w:rsidRPr="003A66C5">
              <w:t xml:space="preserve"> </w:t>
            </w:r>
          </w:p>
        </w:tc>
        <w:tc>
          <w:tcPr>
            <w:tcW w:w="546" w:type="pct"/>
            <w:shd w:val="clear" w:color="auto" w:fill="auto"/>
          </w:tcPr>
          <w:p w14:paraId="3C0CB54E" w14:textId="77777777" w:rsidR="00880ABD" w:rsidRPr="00F6487D" w:rsidRDefault="00880ABD" w:rsidP="004E6008">
            <w:pPr>
              <w:pStyle w:val="TableTextCA"/>
              <w:spacing w:before="0" w:after="0"/>
              <w:rPr>
                <w:rFonts w:cs="Arial"/>
              </w:rPr>
            </w:pPr>
            <w:r w:rsidRPr="003A66C5">
              <w:t xml:space="preserve"> </w:t>
            </w:r>
            <w:r w:rsidRPr="00880ABD">
              <w:rPr>
                <w:color w:val="000000"/>
                <w:spacing w:val="42"/>
                <w:shd w:val="solid" w:color="000000" w:fill="000000"/>
                <w:fitText w:val="470" w:id="-1233405689"/>
                <w14:textFill>
                  <w14:solidFill>
                    <w14:srgbClr w14:val="000000">
                      <w14:alpha w14:val="100000"/>
                    </w14:srgbClr>
                  </w14:solidFill>
                </w14:textFill>
              </w:rPr>
              <w:t>|||||</w:t>
            </w:r>
            <w:r w:rsidRPr="00880ABD">
              <w:rPr>
                <w:color w:val="000000"/>
                <w:spacing w:val="5"/>
                <w:shd w:val="solid" w:color="000000" w:fill="000000"/>
                <w:fitText w:val="470" w:id="-1233405689"/>
                <w14:textFill>
                  <w14:solidFill>
                    <w14:srgbClr w14:val="000000">
                      <w14:alpha w14:val="100000"/>
                    </w14:srgbClr>
                  </w14:solidFill>
                </w14:textFill>
              </w:rPr>
              <w:t>|</w:t>
            </w:r>
            <w:r>
              <w:rPr>
                <w:vertAlign w:val="superscript"/>
              </w:rPr>
              <w:t>2</w:t>
            </w:r>
          </w:p>
        </w:tc>
        <w:tc>
          <w:tcPr>
            <w:tcW w:w="545" w:type="pct"/>
            <w:shd w:val="clear" w:color="auto" w:fill="auto"/>
          </w:tcPr>
          <w:p w14:paraId="4E944BA0" w14:textId="77777777" w:rsidR="00880ABD" w:rsidRPr="00F6487D" w:rsidRDefault="00880ABD" w:rsidP="004E6008">
            <w:pPr>
              <w:pStyle w:val="TableTextCA"/>
              <w:spacing w:before="0" w:after="0"/>
              <w:rPr>
                <w:rFonts w:cs="Arial"/>
              </w:rPr>
            </w:pPr>
            <w:r w:rsidRPr="003A66C5">
              <w:t xml:space="preserve"> </w:t>
            </w:r>
            <w:r w:rsidRPr="00880ABD">
              <w:rPr>
                <w:color w:val="000000"/>
                <w:spacing w:val="40"/>
                <w:shd w:val="solid" w:color="000000" w:fill="000000"/>
                <w:fitText w:val="460" w:id="-1233405688"/>
                <w14:textFill>
                  <w14:solidFill>
                    <w14:srgbClr w14:val="000000">
                      <w14:alpha w14:val="100000"/>
                    </w14:srgbClr>
                  </w14:solidFill>
                </w14:textFill>
              </w:rPr>
              <w:t>|||||</w:t>
            </w:r>
            <w:r w:rsidRPr="00880ABD">
              <w:rPr>
                <w:color w:val="000000"/>
                <w:spacing w:val="5"/>
                <w:shd w:val="solid" w:color="000000" w:fill="000000"/>
                <w:fitText w:val="460" w:id="-1233405688"/>
                <w14:textFill>
                  <w14:solidFill>
                    <w14:srgbClr w14:val="000000">
                      <w14:alpha w14:val="100000"/>
                    </w14:srgbClr>
                  </w14:solidFill>
                </w14:textFill>
              </w:rPr>
              <w:t>|</w:t>
            </w:r>
            <w:r>
              <w:rPr>
                <w:vertAlign w:val="superscript"/>
              </w:rPr>
              <w:t>2</w:t>
            </w:r>
            <w:r w:rsidRPr="003A66C5">
              <w:t xml:space="preserve"> </w:t>
            </w:r>
          </w:p>
        </w:tc>
        <w:tc>
          <w:tcPr>
            <w:tcW w:w="546" w:type="pct"/>
            <w:shd w:val="clear" w:color="auto" w:fill="auto"/>
          </w:tcPr>
          <w:p w14:paraId="2A260E3F" w14:textId="77777777" w:rsidR="00880ABD" w:rsidRPr="00F6487D" w:rsidRDefault="00880ABD" w:rsidP="004E6008">
            <w:pPr>
              <w:pStyle w:val="TableTextCA"/>
              <w:spacing w:before="0" w:after="0"/>
              <w:rPr>
                <w:rFonts w:cs="Arial"/>
              </w:rPr>
            </w:pPr>
            <w:r w:rsidRPr="003A66C5">
              <w:t xml:space="preserve"> </w:t>
            </w:r>
            <w:r w:rsidRPr="00880ABD">
              <w:rPr>
                <w:color w:val="000000"/>
                <w:spacing w:val="42"/>
                <w:shd w:val="solid" w:color="000000" w:fill="000000"/>
                <w:fitText w:val="470" w:id="-1233405687"/>
                <w14:textFill>
                  <w14:solidFill>
                    <w14:srgbClr w14:val="000000">
                      <w14:alpha w14:val="100000"/>
                    </w14:srgbClr>
                  </w14:solidFill>
                </w14:textFill>
              </w:rPr>
              <w:t>|||||</w:t>
            </w:r>
            <w:r w:rsidRPr="00880ABD">
              <w:rPr>
                <w:color w:val="000000"/>
                <w:spacing w:val="5"/>
                <w:shd w:val="solid" w:color="000000" w:fill="000000"/>
                <w:fitText w:val="470" w:id="-1233405687"/>
                <w14:textFill>
                  <w14:solidFill>
                    <w14:srgbClr w14:val="000000">
                      <w14:alpha w14:val="100000"/>
                    </w14:srgbClr>
                  </w14:solidFill>
                </w14:textFill>
              </w:rPr>
              <w:t>|</w:t>
            </w:r>
            <w:r>
              <w:rPr>
                <w:vertAlign w:val="superscript"/>
              </w:rPr>
              <w:t>2</w:t>
            </w:r>
            <w:r w:rsidRPr="003A66C5">
              <w:t xml:space="preserve"> </w:t>
            </w:r>
          </w:p>
        </w:tc>
        <w:tc>
          <w:tcPr>
            <w:tcW w:w="545" w:type="pct"/>
            <w:shd w:val="clear" w:color="auto" w:fill="auto"/>
          </w:tcPr>
          <w:p w14:paraId="10FD478E" w14:textId="77777777" w:rsidR="00880ABD" w:rsidRPr="00F6487D" w:rsidRDefault="00880ABD" w:rsidP="004E6008">
            <w:pPr>
              <w:pStyle w:val="TableTextCA"/>
              <w:spacing w:before="0" w:after="0"/>
              <w:rPr>
                <w:rFonts w:cs="Arial"/>
              </w:rPr>
            </w:pPr>
            <w:r w:rsidRPr="003A66C5">
              <w:t xml:space="preserve"> </w:t>
            </w:r>
            <w:r w:rsidRPr="00880ABD">
              <w:rPr>
                <w:color w:val="000000"/>
                <w:spacing w:val="40"/>
                <w:shd w:val="solid" w:color="000000" w:fill="000000"/>
                <w:fitText w:val="460" w:id="-1233405686"/>
                <w14:textFill>
                  <w14:solidFill>
                    <w14:srgbClr w14:val="000000">
                      <w14:alpha w14:val="100000"/>
                    </w14:srgbClr>
                  </w14:solidFill>
                </w14:textFill>
              </w:rPr>
              <w:t>|||||</w:t>
            </w:r>
            <w:r w:rsidRPr="00880ABD">
              <w:rPr>
                <w:color w:val="000000"/>
                <w:spacing w:val="5"/>
                <w:shd w:val="solid" w:color="000000" w:fill="000000"/>
                <w:fitText w:val="460" w:id="-1233405686"/>
                <w14:textFill>
                  <w14:solidFill>
                    <w14:srgbClr w14:val="000000">
                      <w14:alpha w14:val="100000"/>
                    </w14:srgbClr>
                  </w14:solidFill>
                </w14:textFill>
              </w:rPr>
              <w:t>|</w:t>
            </w:r>
            <w:r>
              <w:rPr>
                <w:vertAlign w:val="superscript"/>
              </w:rPr>
              <w:t>2</w:t>
            </w:r>
            <w:r w:rsidRPr="003A66C5">
              <w:t xml:space="preserve"> </w:t>
            </w:r>
          </w:p>
        </w:tc>
        <w:tc>
          <w:tcPr>
            <w:tcW w:w="548" w:type="pct"/>
          </w:tcPr>
          <w:p w14:paraId="5FAEBCB2" w14:textId="77777777" w:rsidR="00880ABD" w:rsidRPr="00F6487D" w:rsidRDefault="00880ABD" w:rsidP="004E6008">
            <w:pPr>
              <w:pStyle w:val="TableTextCA"/>
              <w:spacing w:before="0" w:after="0"/>
              <w:rPr>
                <w:rFonts w:cs="Arial"/>
              </w:rPr>
            </w:pPr>
            <w:r w:rsidRPr="003A66C5">
              <w:t xml:space="preserve"> </w:t>
            </w:r>
            <w:r w:rsidRPr="00880ABD">
              <w:rPr>
                <w:color w:val="000000"/>
                <w:spacing w:val="40"/>
                <w:shd w:val="solid" w:color="000000" w:fill="000000"/>
                <w:fitText w:val="460" w:id="-1233405685"/>
                <w14:textFill>
                  <w14:solidFill>
                    <w14:srgbClr w14:val="000000">
                      <w14:alpha w14:val="100000"/>
                    </w14:srgbClr>
                  </w14:solidFill>
                </w14:textFill>
              </w:rPr>
              <w:t>|||||</w:t>
            </w:r>
            <w:r w:rsidRPr="00880ABD">
              <w:rPr>
                <w:color w:val="000000"/>
                <w:spacing w:val="5"/>
                <w:shd w:val="solid" w:color="000000" w:fill="000000"/>
                <w:fitText w:val="460" w:id="-1233405685"/>
                <w14:textFill>
                  <w14:solidFill>
                    <w14:srgbClr w14:val="000000">
                      <w14:alpha w14:val="100000"/>
                    </w14:srgbClr>
                  </w14:solidFill>
                </w14:textFill>
              </w:rPr>
              <w:t>|</w:t>
            </w:r>
            <w:r>
              <w:rPr>
                <w:vertAlign w:val="superscript"/>
              </w:rPr>
              <w:t>2</w:t>
            </w:r>
            <w:r w:rsidRPr="003A66C5">
              <w:t xml:space="preserve"> </w:t>
            </w:r>
          </w:p>
        </w:tc>
      </w:tr>
      <w:tr w:rsidR="00880ABD" w:rsidRPr="00F6487D" w14:paraId="1F028EE1" w14:textId="77777777" w:rsidTr="00F84DDB">
        <w:trPr>
          <w:cantSplit/>
        </w:trPr>
        <w:tc>
          <w:tcPr>
            <w:tcW w:w="154" w:type="pct"/>
          </w:tcPr>
          <w:p w14:paraId="3BD62B1B" w14:textId="77777777" w:rsidR="00880ABD" w:rsidRPr="00F6487D" w:rsidRDefault="00880ABD" w:rsidP="004E6008">
            <w:pPr>
              <w:spacing w:before="0" w:after="0"/>
              <w:rPr>
                <w:rFonts w:ascii="Arial Narrow" w:hAnsi="Arial Narrow" w:cs="Arial"/>
              </w:rPr>
            </w:pPr>
            <w:r w:rsidRPr="00F6487D">
              <w:rPr>
                <w:rFonts w:ascii="Arial Narrow" w:hAnsi="Arial Narrow" w:cs="Arial"/>
              </w:rPr>
              <w:lastRenderedPageBreak/>
              <w:t>B</w:t>
            </w:r>
          </w:p>
        </w:tc>
        <w:tc>
          <w:tcPr>
            <w:tcW w:w="1571" w:type="pct"/>
            <w:shd w:val="clear" w:color="auto" w:fill="auto"/>
            <w:vAlign w:val="center"/>
          </w:tcPr>
          <w:p w14:paraId="22407092"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gBRCA </w:t>
            </w:r>
            <w:r>
              <w:rPr>
                <w:rFonts w:ascii="Arial Narrow" w:hAnsi="Arial Narrow" w:cs="Arial"/>
              </w:rPr>
              <w:t>pathogenic variant</w:t>
            </w:r>
            <w:r w:rsidRPr="00F6487D">
              <w:rPr>
                <w:rFonts w:ascii="Arial Narrow" w:hAnsi="Arial Narrow" w:cs="Arial"/>
              </w:rPr>
              <w:t xml:space="preserve"> tests in TNBC patients (olaparib not available),</w:t>
            </w:r>
          </w:p>
          <w:p w14:paraId="1D2B48A3" w14:textId="77777777" w:rsidR="00880ABD" w:rsidRPr="00F6487D" w:rsidRDefault="00880ABD" w:rsidP="004E6008">
            <w:pPr>
              <w:spacing w:before="0" w:after="0"/>
              <w:rPr>
                <w:rFonts w:ascii="Arial Narrow" w:hAnsi="Arial Narrow" w:cs="Arial"/>
              </w:rPr>
            </w:pPr>
            <w:r w:rsidRPr="00F6487D">
              <w:rPr>
                <w:rFonts w:ascii="Arial Narrow" w:hAnsi="Arial Narrow" w:cs="Arial"/>
              </w:rPr>
              <w:t>Current uptake Years 1−6: 74%</w:t>
            </w:r>
          </w:p>
        </w:tc>
        <w:tc>
          <w:tcPr>
            <w:tcW w:w="545" w:type="pct"/>
            <w:shd w:val="clear" w:color="auto" w:fill="auto"/>
            <w:vAlign w:val="center"/>
          </w:tcPr>
          <w:p w14:paraId="208E6684" w14:textId="77777777" w:rsidR="00880ABD" w:rsidRPr="00F84DDB" w:rsidRDefault="00880ABD" w:rsidP="004E6008">
            <w:pPr>
              <w:pStyle w:val="TableTextCA"/>
              <w:spacing w:before="0" w:after="0"/>
              <w:rPr>
                <w:vertAlign w:val="superscript"/>
              </w:rPr>
            </w:pPr>
            <w:r w:rsidRPr="005816DD">
              <w:rPr>
                <w:color w:val="000000"/>
                <w:spacing w:val="34"/>
                <w:shd w:val="solid" w:color="000000" w:fill="000000"/>
                <w:fitText w:val="430" w:id="-1233405684"/>
                <w14:textFill>
                  <w14:solidFill>
                    <w14:srgbClr w14:val="000000">
                      <w14:alpha w14:val="100000"/>
                    </w14:srgbClr>
                  </w14:solidFill>
                </w14:textFill>
              </w:rPr>
              <w:t>|||||</w:t>
            </w:r>
            <w:r w:rsidRPr="005816DD">
              <w:rPr>
                <w:color w:val="000000"/>
                <w:spacing w:val="5"/>
                <w:shd w:val="solid" w:color="000000" w:fill="000000"/>
                <w:fitText w:val="430" w:id="-1233405684"/>
                <w14:textFill>
                  <w14:solidFill>
                    <w14:srgbClr w14:val="000000">
                      <w14:alpha w14:val="100000"/>
                    </w14:srgbClr>
                  </w14:solidFill>
                </w14:textFill>
              </w:rPr>
              <w:t>|</w:t>
            </w:r>
            <w:r>
              <w:rPr>
                <w:vertAlign w:val="superscript"/>
              </w:rPr>
              <w:t>2</w:t>
            </w:r>
          </w:p>
        </w:tc>
        <w:tc>
          <w:tcPr>
            <w:tcW w:w="546" w:type="pct"/>
            <w:shd w:val="clear" w:color="auto" w:fill="auto"/>
            <w:vAlign w:val="center"/>
          </w:tcPr>
          <w:p w14:paraId="11FF8C81" w14:textId="77777777" w:rsidR="00880ABD" w:rsidRPr="00414FF3" w:rsidRDefault="00880ABD" w:rsidP="004E6008">
            <w:pPr>
              <w:pStyle w:val="TableTextCA"/>
              <w:spacing w:before="0" w:after="0"/>
              <w:rPr>
                <w:highlight w:val="yellow"/>
                <w:vertAlign w:val="superscript"/>
              </w:rPr>
            </w:pPr>
            <w:r w:rsidRPr="00880ABD">
              <w:rPr>
                <w:color w:val="000000"/>
                <w:spacing w:val="34"/>
                <w:shd w:val="solid" w:color="000000" w:fill="000000"/>
                <w:fitText w:val="430" w:id="-1233405683"/>
                <w14:textFill>
                  <w14:solidFill>
                    <w14:srgbClr w14:val="000000">
                      <w14:alpha w14:val="100000"/>
                    </w14:srgbClr>
                  </w14:solidFill>
                </w14:textFill>
              </w:rPr>
              <w:t>|||||</w:t>
            </w:r>
            <w:r w:rsidRPr="00880ABD">
              <w:rPr>
                <w:color w:val="000000"/>
                <w:spacing w:val="5"/>
                <w:shd w:val="solid" w:color="000000" w:fill="000000"/>
                <w:fitText w:val="430" w:id="-1233405683"/>
                <w14:textFill>
                  <w14:solidFill>
                    <w14:srgbClr w14:val="000000">
                      <w14:alpha w14:val="100000"/>
                    </w14:srgbClr>
                  </w14:solidFill>
                </w14:textFill>
              </w:rPr>
              <w:t>|</w:t>
            </w:r>
            <w:r w:rsidRPr="00414FF3">
              <w:rPr>
                <w:vertAlign w:val="superscript"/>
              </w:rPr>
              <w:t>2</w:t>
            </w:r>
          </w:p>
        </w:tc>
        <w:tc>
          <w:tcPr>
            <w:tcW w:w="545" w:type="pct"/>
            <w:shd w:val="clear" w:color="auto" w:fill="auto"/>
            <w:vAlign w:val="center"/>
          </w:tcPr>
          <w:p w14:paraId="13BDED55"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82"/>
                <w14:textFill>
                  <w14:solidFill>
                    <w14:srgbClr w14:val="000000">
                      <w14:alpha w14:val="100000"/>
                    </w14:srgbClr>
                  </w14:solidFill>
                </w14:textFill>
              </w:rPr>
              <w:t>|||||</w:t>
            </w:r>
            <w:r w:rsidRPr="00880ABD">
              <w:rPr>
                <w:color w:val="000000"/>
                <w:spacing w:val="5"/>
                <w:shd w:val="solid" w:color="000000" w:fill="000000"/>
                <w:fitText w:val="430" w:id="-1233405682"/>
                <w14:textFill>
                  <w14:solidFill>
                    <w14:srgbClr w14:val="000000">
                      <w14:alpha w14:val="100000"/>
                    </w14:srgbClr>
                  </w14:solidFill>
                </w14:textFill>
              </w:rPr>
              <w:t>|</w:t>
            </w:r>
            <w:r>
              <w:rPr>
                <w:vertAlign w:val="superscript"/>
              </w:rPr>
              <w:t>2</w:t>
            </w:r>
          </w:p>
        </w:tc>
        <w:tc>
          <w:tcPr>
            <w:tcW w:w="546" w:type="pct"/>
            <w:shd w:val="clear" w:color="auto" w:fill="auto"/>
            <w:vAlign w:val="center"/>
          </w:tcPr>
          <w:p w14:paraId="78469FC1"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81"/>
                <w14:textFill>
                  <w14:solidFill>
                    <w14:srgbClr w14:val="000000">
                      <w14:alpha w14:val="100000"/>
                    </w14:srgbClr>
                  </w14:solidFill>
                </w14:textFill>
              </w:rPr>
              <w:t>|||||</w:t>
            </w:r>
            <w:r w:rsidRPr="00880ABD">
              <w:rPr>
                <w:color w:val="000000"/>
                <w:spacing w:val="5"/>
                <w:shd w:val="solid" w:color="000000" w:fill="000000"/>
                <w:fitText w:val="430" w:id="-1233405681"/>
                <w14:textFill>
                  <w14:solidFill>
                    <w14:srgbClr w14:val="000000">
                      <w14:alpha w14:val="100000"/>
                    </w14:srgbClr>
                  </w14:solidFill>
                </w14:textFill>
              </w:rPr>
              <w:t>|</w:t>
            </w:r>
            <w:r>
              <w:rPr>
                <w:vertAlign w:val="superscript"/>
              </w:rPr>
              <w:t>2</w:t>
            </w:r>
          </w:p>
        </w:tc>
        <w:tc>
          <w:tcPr>
            <w:tcW w:w="545" w:type="pct"/>
            <w:shd w:val="clear" w:color="auto" w:fill="auto"/>
            <w:vAlign w:val="center"/>
          </w:tcPr>
          <w:p w14:paraId="486BB310"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80"/>
                <w14:textFill>
                  <w14:solidFill>
                    <w14:srgbClr w14:val="000000">
                      <w14:alpha w14:val="100000"/>
                    </w14:srgbClr>
                  </w14:solidFill>
                </w14:textFill>
              </w:rPr>
              <w:t>|||||</w:t>
            </w:r>
            <w:r w:rsidRPr="00880ABD">
              <w:rPr>
                <w:color w:val="000000"/>
                <w:spacing w:val="5"/>
                <w:shd w:val="solid" w:color="000000" w:fill="000000"/>
                <w:fitText w:val="430" w:id="-1233405680"/>
                <w14:textFill>
                  <w14:solidFill>
                    <w14:srgbClr w14:val="000000">
                      <w14:alpha w14:val="100000"/>
                    </w14:srgbClr>
                  </w14:solidFill>
                </w14:textFill>
              </w:rPr>
              <w:t>|</w:t>
            </w:r>
            <w:r>
              <w:rPr>
                <w:vertAlign w:val="superscript"/>
              </w:rPr>
              <w:t>2</w:t>
            </w:r>
          </w:p>
        </w:tc>
        <w:tc>
          <w:tcPr>
            <w:tcW w:w="548" w:type="pct"/>
            <w:vAlign w:val="center"/>
          </w:tcPr>
          <w:p w14:paraId="66C141B4"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96"/>
                <w14:textFill>
                  <w14:solidFill>
                    <w14:srgbClr w14:val="000000">
                      <w14:alpha w14:val="100000"/>
                    </w14:srgbClr>
                  </w14:solidFill>
                </w14:textFill>
              </w:rPr>
              <w:t>|||||</w:t>
            </w:r>
            <w:r w:rsidRPr="00880ABD">
              <w:rPr>
                <w:color w:val="000000"/>
                <w:spacing w:val="5"/>
                <w:shd w:val="solid" w:color="000000" w:fill="000000"/>
                <w:fitText w:val="430" w:id="-1233405696"/>
                <w14:textFill>
                  <w14:solidFill>
                    <w14:srgbClr w14:val="000000">
                      <w14:alpha w14:val="100000"/>
                    </w14:srgbClr>
                  </w14:solidFill>
                </w14:textFill>
              </w:rPr>
              <w:t>|</w:t>
            </w:r>
            <w:r>
              <w:rPr>
                <w:vertAlign w:val="superscript"/>
              </w:rPr>
              <w:t>2</w:t>
            </w:r>
          </w:p>
        </w:tc>
      </w:tr>
      <w:tr w:rsidR="00880ABD" w:rsidRPr="00F6487D" w14:paraId="30E4D7EE" w14:textId="77777777" w:rsidTr="00F84DDB">
        <w:trPr>
          <w:cantSplit/>
        </w:trPr>
        <w:tc>
          <w:tcPr>
            <w:tcW w:w="154" w:type="pct"/>
          </w:tcPr>
          <w:p w14:paraId="40300436" w14:textId="77777777" w:rsidR="00880ABD" w:rsidRPr="00F6487D" w:rsidRDefault="00880ABD" w:rsidP="004E6008">
            <w:pPr>
              <w:spacing w:before="0" w:after="0"/>
              <w:rPr>
                <w:rFonts w:ascii="Arial Narrow" w:hAnsi="Arial Narrow" w:cs="Arial"/>
              </w:rPr>
            </w:pPr>
            <w:r w:rsidRPr="00F6487D">
              <w:rPr>
                <w:rFonts w:ascii="Arial Narrow" w:hAnsi="Arial Narrow" w:cs="Arial"/>
              </w:rPr>
              <w:t>C</w:t>
            </w:r>
          </w:p>
        </w:tc>
        <w:tc>
          <w:tcPr>
            <w:tcW w:w="1571" w:type="pct"/>
            <w:shd w:val="clear" w:color="auto" w:fill="auto"/>
            <w:vAlign w:val="center"/>
          </w:tcPr>
          <w:p w14:paraId="0D1E677C"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Incremental gBRCA </w:t>
            </w:r>
            <w:r>
              <w:rPr>
                <w:rFonts w:ascii="Arial Narrow" w:hAnsi="Arial Narrow" w:cs="Arial"/>
              </w:rPr>
              <w:t>pathogenic variant</w:t>
            </w:r>
            <w:r w:rsidRPr="00F6487D">
              <w:rPr>
                <w:rFonts w:ascii="Arial Narrow" w:hAnsi="Arial Narrow" w:cs="Arial"/>
              </w:rPr>
              <w:t xml:space="preserve"> tests in TNBC patients (C = A – B)</w:t>
            </w:r>
          </w:p>
        </w:tc>
        <w:tc>
          <w:tcPr>
            <w:tcW w:w="545" w:type="pct"/>
            <w:shd w:val="clear" w:color="auto" w:fill="auto"/>
            <w:vAlign w:val="center"/>
          </w:tcPr>
          <w:p w14:paraId="6274A7AF"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95"/>
                <w14:textFill>
                  <w14:solidFill>
                    <w14:srgbClr w14:val="000000">
                      <w14:alpha w14:val="100000"/>
                    </w14:srgbClr>
                  </w14:solidFill>
                </w14:textFill>
              </w:rPr>
              <w:t>|||||</w:t>
            </w:r>
            <w:r w:rsidRPr="00880ABD">
              <w:rPr>
                <w:color w:val="000000"/>
                <w:spacing w:val="5"/>
                <w:shd w:val="solid" w:color="000000" w:fill="000000"/>
                <w:fitText w:val="430" w:id="-1233405695"/>
                <w14:textFill>
                  <w14:solidFill>
                    <w14:srgbClr w14:val="000000">
                      <w14:alpha w14:val="100000"/>
                    </w14:srgbClr>
                  </w14:solidFill>
                </w14:textFill>
              </w:rPr>
              <w:t>|</w:t>
            </w:r>
            <w:r>
              <w:rPr>
                <w:vertAlign w:val="superscript"/>
              </w:rPr>
              <w:t>3</w:t>
            </w:r>
          </w:p>
        </w:tc>
        <w:tc>
          <w:tcPr>
            <w:tcW w:w="546" w:type="pct"/>
            <w:shd w:val="clear" w:color="auto" w:fill="auto"/>
            <w:vAlign w:val="center"/>
          </w:tcPr>
          <w:p w14:paraId="3051C1C9" w14:textId="77777777" w:rsidR="00880ABD" w:rsidRPr="00414FF3" w:rsidRDefault="00880ABD" w:rsidP="004E6008">
            <w:pPr>
              <w:pStyle w:val="TableTextCA"/>
              <w:spacing w:before="0" w:after="0"/>
              <w:rPr>
                <w:highlight w:val="yellow"/>
                <w:vertAlign w:val="superscript"/>
              </w:rPr>
            </w:pPr>
            <w:r w:rsidRPr="00880ABD">
              <w:rPr>
                <w:color w:val="000000"/>
                <w:spacing w:val="34"/>
                <w:shd w:val="solid" w:color="000000" w:fill="000000"/>
                <w:fitText w:val="430" w:id="-1233405694"/>
                <w14:textFill>
                  <w14:solidFill>
                    <w14:srgbClr w14:val="000000">
                      <w14:alpha w14:val="100000"/>
                    </w14:srgbClr>
                  </w14:solidFill>
                </w14:textFill>
              </w:rPr>
              <w:t>|||||</w:t>
            </w:r>
            <w:r w:rsidRPr="00880ABD">
              <w:rPr>
                <w:color w:val="000000"/>
                <w:spacing w:val="5"/>
                <w:shd w:val="solid" w:color="000000" w:fill="000000"/>
                <w:fitText w:val="430" w:id="-1233405694"/>
                <w14:textFill>
                  <w14:solidFill>
                    <w14:srgbClr w14:val="000000">
                      <w14:alpha w14:val="100000"/>
                    </w14:srgbClr>
                  </w14:solidFill>
                </w14:textFill>
              </w:rPr>
              <w:t>|</w:t>
            </w:r>
            <w:r w:rsidRPr="00414FF3">
              <w:rPr>
                <w:vertAlign w:val="superscript"/>
              </w:rPr>
              <w:t>3</w:t>
            </w:r>
          </w:p>
        </w:tc>
        <w:tc>
          <w:tcPr>
            <w:tcW w:w="545" w:type="pct"/>
            <w:shd w:val="clear" w:color="auto" w:fill="auto"/>
            <w:vAlign w:val="center"/>
          </w:tcPr>
          <w:p w14:paraId="4B84145C"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93"/>
                <w14:textFill>
                  <w14:solidFill>
                    <w14:srgbClr w14:val="000000">
                      <w14:alpha w14:val="100000"/>
                    </w14:srgbClr>
                  </w14:solidFill>
                </w14:textFill>
              </w:rPr>
              <w:t>|||||</w:t>
            </w:r>
            <w:r w:rsidRPr="00880ABD">
              <w:rPr>
                <w:color w:val="000000"/>
                <w:spacing w:val="5"/>
                <w:shd w:val="solid" w:color="000000" w:fill="000000"/>
                <w:fitText w:val="430" w:id="-1233405693"/>
                <w14:textFill>
                  <w14:solidFill>
                    <w14:srgbClr w14:val="000000">
                      <w14:alpha w14:val="100000"/>
                    </w14:srgbClr>
                  </w14:solidFill>
                </w14:textFill>
              </w:rPr>
              <w:t>|</w:t>
            </w:r>
            <w:r>
              <w:rPr>
                <w:vertAlign w:val="superscript"/>
              </w:rPr>
              <w:t>2</w:t>
            </w:r>
          </w:p>
        </w:tc>
        <w:tc>
          <w:tcPr>
            <w:tcW w:w="546" w:type="pct"/>
            <w:shd w:val="clear" w:color="auto" w:fill="auto"/>
            <w:vAlign w:val="center"/>
          </w:tcPr>
          <w:p w14:paraId="250DED2F"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92"/>
                <w14:textFill>
                  <w14:solidFill>
                    <w14:srgbClr w14:val="000000">
                      <w14:alpha w14:val="100000"/>
                    </w14:srgbClr>
                  </w14:solidFill>
                </w14:textFill>
              </w:rPr>
              <w:t>|||||</w:t>
            </w:r>
            <w:r w:rsidRPr="00880ABD">
              <w:rPr>
                <w:color w:val="000000"/>
                <w:spacing w:val="5"/>
                <w:shd w:val="solid" w:color="000000" w:fill="000000"/>
                <w:fitText w:val="430" w:id="-1233405692"/>
                <w14:textFill>
                  <w14:solidFill>
                    <w14:srgbClr w14:val="000000">
                      <w14:alpha w14:val="100000"/>
                    </w14:srgbClr>
                  </w14:solidFill>
                </w14:textFill>
              </w:rPr>
              <w:t>|</w:t>
            </w:r>
            <w:r>
              <w:rPr>
                <w:vertAlign w:val="superscript"/>
              </w:rPr>
              <w:t>2</w:t>
            </w:r>
          </w:p>
        </w:tc>
        <w:tc>
          <w:tcPr>
            <w:tcW w:w="545" w:type="pct"/>
            <w:shd w:val="clear" w:color="auto" w:fill="auto"/>
            <w:vAlign w:val="center"/>
          </w:tcPr>
          <w:p w14:paraId="2250DCCC" w14:textId="77777777" w:rsidR="00880ABD" w:rsidRPr="00F84DDB" w:rsidRDefault="00880ABD" w:rsidP="004E6008">
            <w:pPr>
              <w:pStyle w:val="TableTextCA"/>
              <w:spacing w:before="0" w:after="0"/>
              <w:rPr>
                <w:vertAlign w:val="superscript"/>
              </w:rPr>
            </w:pPr>
            <w:r w:rsidRPr="00880ABD">
              <w:rPr>
                <w:color w:val="000000"/>
                <w:spacing w:val="34"/>
                <w:shd w:val="solid" w:color="000000" w:fill="000000"/>
                <w:fitText w:val="430" w:id="-1233405691"/>
                <w14:textFill>
                  <w14:solidFill>
                    <w14:srgbClr w14:val="000000">
                      <w14:alpha w14:val="100000"/>
                    </w14:srgbClr>
                  </w14:solidFill>
                </w14:textFill>
              </w:rPr>
              <w:t>|||||</w:t>
            </w:r>
            <w:r w:rsidRPr="00880ABD">
              <w:rPr>
                <w:color w:val="000000"/>
                <w:spacing w:val="5"/>
                <w:shd w:val="solid" w:color="000000" w:fill="000000"/>
                <w:fitText w:val="430" w:id="-1233405691"/>
                <w14:textFill>
                  <w14:solidFill>
                    <w14:srgbClr w14:val="000000">
                      <w14:alpha w14:val="100000"/>
                    </w14:srgbClr>
                  </w14:solidFill>
                </w14:textFill>
              </w:rPr>
              <w:t>|</w:t>
            </w:r>
            <w:r>
              <w:rPr>
                <w:vertAlign w:val="superscript"/>
              </w:rPr>
              <w:t>2</w:t>
            </w:r>
          </w:p>
        </w:tc>
        <w:tc>
          <w:tcPr>
            <w:tcW w:w="548" w:type="pct"/>
            <w:vAlign w:val="center"/>
          </w:tcPr>
          <w:p w14:paraId="133344D8" w14:textId="77777777" w:rsidR="00880ABD" w:rsidRPr="00414FF3" w:rsidRDefault="00880ABD" w:rsidP="004E6008">
            <w:pPr>
              <w:pStyle w:val="TableTextCA"/>
              <w:spacing w:before="0" w:after="0"/>
              <w:rPr>
                <w:highlight w:val="yellow"/>
                <w:vertAlign w:val="superscript"/>
              </w:rPr>
            </w:pPr>
            <w:r w:rsidRPr="00880ABD">
              <w:rPr>
                <w:color w:val="000000"/>
                <w:spacing w:val="34"/>
                <w:shd w:val="solid" w:color="000000" w:fill="000000"/>
                <w:fitText w:val="430" w:id="-1233405690"/>
                <w14:textFill>
                  <w14:solidFill>
                    <w14:srgbClr w14:val="000000">
                      <w14:alpha w14:val="100000"/>
                    </w14:srgbClr>
                  </w14:solidFill>
                </w14:textFill>
              </w:rPr>
              <w:t>|||||</w:t>
            </w:r>
            <w:r w:rsidRPr="00880ABD">
              <w:rPr>
                <w:color w:val="000000"/>
                <w:spacing w:val="5"/>
                <w:shd w:val="solid" w:color="000000" w:fill="000000"/>
                <w:fitText w:val="430" w:id="-1233405690"/>
                <w14:textFill>
                  <w14:solidFill>
                    <w14:srgbClr w14:val="000000">
                      <w14:alpha w14:val="100000"/>
                    </w14:srgbClr>
                  </w14:solidFill>
                </w14:textFill>
              </w:rPr>
              <w:t>|</w:t>
            </w:r>
            <w:r w:rsidRPr="00414FF3">
              <w:rPr>
                <w:vertAlign w:val="superscript"/>
              </w:rPr>
              <w:t>2</w:t>
            </w:r>
          </w:p>
        </w:tc>
      </w:tr>
      <w:tr w:rsidR="00880ABD" w:rsidRPr="00F6487D" w14:paraId="5B7CF2C5" w14:textId="77777777" w:rsidTr="00F84DDB">
        <w:trPr>
          <w:cantSplit/>
        </w:trPr>
        <w:tc>
          <w:tcPr>
            <w:tcW w:w="154" w:type="pct"/>
          </w:tcPr>
          <w:p w14:paraId="563C878C" w14:textId="77777777" w:rsidR="00880ABD" w:rsidRPr="00F6487D" w:rsidRDefault="00880ABD" w:rsidP="004E6008">
            <w:pPr>
              <w:spacing w:before="0" w:after="0"/>
              <w:rPr>
                <w:rFonts w:ascii="Arial Narrow" w:hAnsi="Arial Narrow" w:cs="Arial"/>
              </w:rPr>
            </w:pPr>
            <w:r w:rsidRPr="00F6487D">
              <w:rPr>
                <w:rFonts w:ascii="Arial Narrow" w:hAnsi="Arial Narrow" w:cs="Arial"/>
              </w:rPr>
              <w:t>D</w:t>
            </w:r>
          </w:p>
        </w:tc>
        <w:tc>
          <w:tcPr>
            <w:tcW w:w="1571" w:type="pct"/>
            <w:shd w:val="clear" w:color="auto" w:fill="auto"/>
            <w:vAlign w:val="center"/>
          </w:tcPr>
          <w:p w14:paraId="6B28E7A3"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gBRCA </w:t>
            </w:r>
            <w:r>
              <w:rPr>
                <w:rFonts w:ascii="Arial Narrow" w:hAnsi="Arial Narrow" w:cs="Arial"/>
              </w:rPr>
              <w:t>pathogenic variant</w:t>
            </w:r>
            <w:r w:rsidRPr="00F6487D">
              <w:rPr>
                <w:rFonts w:ascii="Arial Narrow" w:hAnsi="Arial Narrow" w:cs="Arial"/>
              </w:rPr>
              <w:t xml:space="preserve"> tests in HR(+)/ HER2(-) high risk eBC patients (olaparib available), </w:t>
            </w:r>
          </w:p>
          <w:p w14:paraId="1B4B59FE" w14:textId="77777777" w:rsidR="00880ABD" w:rsidRPr="00F6487D" w:rsidRDefault="00880ABD" w:rsidP="004E6008">
            <w:pPr>
              <w:spacing w:before="0" w:after="0"/>
              <w:rPr>
                <w:rFonts w:ascii="Arial Narrow" w:hAnsi="Arial Narrow" w:cs="Arial"/>
              </w:rPr>
            </w:pPr>
            <w:r w:rsidRPr="00F6487D">
              <w:rPr>
                <w:rFonts w:ascii="Arial Narrow" w:hAnsi="Arial Narrow" w:cs="Arial"/>
              </w:rPr>
              <w:t>Proposed uptake Years 1−6: 80−95%</w:t>
            </w:r>
          </w:p>
        </w:tc>
        <w:tc>
          <w:tcPr>
            <w:tcW w:w="545" w:type="pct"/>
            <w:shd w:val="clear" w:color="auto" w:fill="auto"/>
          </w:tcPr>
          <w:p w14:paraId="34C82FD4" w14:textId="77777777" w:rsidR="00880ABD" w:rsidRPr="00F6487D" w:rsidRDefault="00880ABD" w:rsidP="004E6008">
            <w:pPr>
              <w:pStyle w:val="TableTextCA"/>
              <w:spacing w:before="0" w:after="0"/>
              <w:rPr>
                <w:rFonts w:cs="Arial"/>
              </w:rPr>
            </w:pPr>
            <w:r w:rsidRPr="006132D3">
              <w:t xml:space="preserve"> </w:t>
            </w:r>
            <w:r w:rsidRPr="00880ABD">
              <w:rPr>
                <w:color w:val="000000"/>
                <w:spacing w:val="40"/>
                <w:shd w:val="solid" w:color="000000" w:fill="000000"/>
                <w:fitText w:val="460" w:id="-1233405689"/>
                <w14:textFill>
                  <w14:solidFill>
                    <w14:srgbClr w14:val="000000">
                      <w14:alpha w14:val="100000"/>
                    </w14:srgbClr>
                  </w14:solidFill>
                </w14:textFill>
              </w:rPr>
              <w:t>|||||</w:t>
            </w:r>
            <w:r w:rsidRPr="00880ABD">
              <w:rPr>
                <w:color w:val="000000"/>
                <w:spacing w:val="5"/>
                <w:shd w:val="solid" w:color="000000" w:fill="000000"/>
                <w:fitText w:val="460" w:id="-1233405689"/>
                <w14:textFill>
                  <w14:solidFill>
                    <w14:srgbClr w14:val="000000">
                      <w14:alpha w14:val="100000"/>
                    </w14:srgbClr>
                  </w14:solidFill>
                </w14:textFill>
              </w:rPr>
              <w:t>|</w:t>
            </w:r>
            <w:r>
              <w:rPr>
                <w:vertAlign w:val="superscript"/>
              </w:rPr>
              <w:t>4</w:t>
            </w:r>
            <w:r w:rsidRPr="006132D3">
              <w:t xml:space="preserve"> </w:t>
            </w:r>
          </w:p>
        </w:tc>
        <w:tc>
          <w:tcPr>
            <w:tcW w:w="546" w:type="pct"/>
            <w:shd w:val="clear" w:color="auto" w:fill="auto"/>
          </w:tcPr>
          <w:p w14:paraId="7EDFA796" w14:textId="77777777" w:rsidR="00880ABD" w:rsidRPr="00F6487D" w:rsidRDefault="00880ABD" w:rsidP="004E6008">
            <w:pPr>
              <w:pStyle w:val="TableTextCA"/>
              <w:spacing w:before="0" w:after="0"/>
              <w:rPr>
                <w:rFonts w:cs="Arial"/>
              </w:rPr>
            </w:pPr>
            <w:r w:rsidRPr="006132D3">
              <w:t xml:space="preserve"> </w:t>
            </w:r>
            <w:r w:rsidRPr="00880ABD">
              <w:rPr>
                <w:color w:val="000000"/>
                <w:spacing w:val="42"/>
                <w:shd w:val="solid" w:color="000000" w:fill="000000"/>
                <w:fitText w:val="470" w:id="-1233405688"/>
                <w14:textFill>
                  <w14:solidFill>
                    <w14:srgbClr w14:val="000000">
                      <w14:alpha w14:val="100000"/>
                    </w14:srgbClr>
                  </w14:solidFill>
                </w14:textFill>
              </w:rPr>
              <w:t>|||||</w:t>
            </w:r>
            <w:r w:rsidRPr="00880ABD">
              <w:rPr>
                <w:color w:val="000000"/>
                <w:spacing w:val="5"/>
                <w:shd w:val="solid" w:color="000000" w:fill="000000"/>
                <w:fitText w:val="470" w:id="-1233405688"/>
                <w14:textFill>
                  <w14:solidFill>
                    <w14:srgbClr w14:val="000000">
                      <w14:alpha w14:val="100000"/>
                    </w14:srgbClr>
                  </w14:solidFill>
                </w14:textFill>
              </w:rPr>
              <w:t>|</w:t>
            </w:r>
            <w:r>
              <w:rPr>
                <w:vertAlign w:val="superscript"/>
              </w:rPr>
              <w:t>4</w:t>
            </w:r>
            <w:r w:rsidRPr="006132D3">
              <w:t xml:space="preserve"> </w:t>
            </w:r>
          </w:p>
        </w:tc>
        <w:tc>
          <w:tcPr>
            <w:tcW w:w="545" w:type="pct"/>
            <w:shd w:val="clear" w:color="auto" w:fill="auto"/>
          </w:tcPr>
          <w:p w14:paraId="652D21F2" w14:textId="77777777" w:rsidR="00880ABD" w:rsidRPr="00F6487D" w:rsidRDefault="00880ABD" w:rsidP="004E6008">
            <w:pPr>
              <w:pStyle w:val="TableTextCA"/>
              <w:spacing w:before="0" w:after="0"/>
              <w:rPr>
                <w:rFonts w:cs="Arial"/>
              </w:rPr>
            </w:pPr>
            <w:r w:rsidRPr="006132D3">
              <w:t xml:space="preserve"> </w:t>
            </w:r>
            <w:r w:rsidRPr="00880ABD">
              <w:rPr>
                <w:color w:val="000000"/>
                <w:spacing w:val="40"/>
                <w:shd w:val="solid" w:color="000000" w:fill="000000"/>
                <w:fitText w:val="460" w:id="-1233405687"/>
                <w14:textFill>
                  <w14:solidFill>
                    <w14:srgbClr w14:val="000000">
                      <w14:alpha w14:val="100000"/>
                    </w14:srgbClr>
                  </w14:solidFill>
                </w14:textFill>
              </w:rPr>
              <w:t>|||||</w:t>
            </w:r>
            <w:r w:rsidRPr="00880ABD">
              <w:rPr>
                <w:color w:val="000000"/>
                <w:spacing w:val="5"/>
                <w:shd w:val="solid" w:color="000000" w:fill="000000"/>
                <w:fitText w:val="460" w:id="-1233405687"/>
                <w14:textFill>
                  <w14:solidFill>
                    <w14:srgbClr w14:val="000000">
                      <w14:alpha w14:val="100000"/>
                    </w14:srgbClr>
                  </w14:solidFill>
                </w14:textFill>
              </w:rPr>
              <w:t>|</w:t>
            </w:r>
            <w:r>
              <w:rPr>
                <w:vertAlign w:val="superscript"/>
              </w:rPr>
              <w:t>4</w:t>
            </w:r>
            <w:r w:rsidRPr="006132D3">
              <w:t xml:space="preserve"> </w:t>
            </w:r>
          </w:p>
        </w:tc>
        <w:tc>
          <w:tcPr>
            <w:tcW w:w="546" w:type="pct"/>
            <w:shd w:val="clear" w:color="auto" w:fill="auto"/>
          </w:tcPr>
          <w:p w14:paraId="0F7C35E1" w14:textId="77777777" w:rsidR="00880ABD" w:rsidRPr="00F6487D" w:rsidRDefault="00880ABD" w:rsidP="004E6008">
            <w:pPr>
              <w:pStyle w:val="TableTextCA"/>
              <w:spacing w:before="0" w:after="0"/>
              <w:rPr>
                <w:rFonts w:cs="Arial"/>
              </w:rPr>
            </w:pPr>
            <w:r w:rsidRPr="006132D3">
              <w:t xml:space="preserve"> </w:t>
            </w:r>
            <w:r w:rsidRPr="00880ABD">
              <w:rPr>
                <w:color w:val="000000"/>
                <w:spacing w:val="42"/>
                <w:shd w:val="solid" w:color="000000" w:fill="000000"/>
                <w:fitText w:val="470" w:id="-1233405686"/>
                <w14:textFill>
                  <w14:solidFill>
                    <w14:srgbClr w14:val="000000">
                      <w14:alpha w14:val="100000"/>
                    </w14:srgbClr>
                  </w14:solidFill>
                </w14:textFill>
              </w:rPr>
              <w:t>|||||</w:t>
            </w:r>
            <w:r w:rsidRPr="00880ABD">
              <w:rPr>
                <w:color w:val="000000"/>
                <w:spacing w:val="5"/>
                <w:shd w:val="solid" w:color="000000" w:fill="000000"/>
                <w:fitText w:val="470" w:id="-1233405686"/>
                <w14:textFill>
                  <w14:solidFill>
                    <w14:srgbClr w14:val="000000">
                      <w14:alpha w14:val="100000"/>
                    </w14:srgbClr>
                  </w14:solidFill>
                </w14:textFill>
              </w:rPr>
              <w:t>|</w:t>
            </w:r>
            <w:r>
              <w:rPr>
                <w:vertAlign w:val="superscript"/>
              </w:rPr>
              <w:t>4</w:t>
            </w:r>
            <w:r w:rsidRPr="006132D3">
              <w:t xml:space="preserve"> </w:t>
            </w:r>
          </w:p>
        </w:tc>
        <w:tc>
          <w:tcPr>
            <w:tcW w:w="545" w:type="pct"/>
            <w:shd w:val="clear" w:color="auto" w:fill="auto"/>
          </w:tcPr>
          <w:p w14:paraId="2B2BC0F9" w14:textId="77777777" w:rsidR="00880ABD" w:rsidRPr="00F6487D" w:rsidRDefault="00880ABD" w:rsidP="004E6008">
            <w:pPr>
              <w:pStyle w:val="TableTextCA"/>
              <w:spacing w:before="0" w:after="0"/>
              <w:rPr>
                <w:rFonts w:cs="Arial"/>
              </w:rPr>
            </w:pPr>
            <w:r w:rsidRPr="006132D3">
              <w:t xml:space="preserve"> </w:t>
            </w:r>
            <w:r w:rsidRPr="00880ABD">
              <w:rPr>
                <w:color w:val="000000"/>
                <w:spacing w:val="40"/>
                <w:shd w:val="solid" w:color="000000" w:fill="000000"/>
                <w:fitText w:val="460" w:id="-1233405685"/>
                <w14:textFill>
                  <w14:solidFill>
                    <w14:srgbClr w14:val="000000">
                      <w14:alpha w14:val="100000"/>
                    </w14:srgbClr>
                  </w14:solidFill>
                </w14:textFill>
              </w:rPr>
              <w:t>|||||</w:t>
            </w:r>
            <w:r w:rsidRPr="00880ABD">
              <w:rPr>
                <w:color w:val="000000"/>
                <w:spacing w:val="5"/>
                <w:shd w:val="solid" w:color="000000" w:fill="000000"/>
                <w:fitText w:val="460" w:id="-1233405685"/>
                <w14:textFill>
                  <w14:solidFill>
                    <w14:srgbClr w14:val="000000">
                      <w14:alpha w14:val="100000"/>
                    </w14:srgbClr>
                  </w14:solidFill>
                </w14:textFill>
              </w:rPr>
              <w:t>|</w:t>
            </w:r>
            <w:r>
              <w:rPr>
                <w:vertAlign w:val="superscript"/>
              </w:rPr>
              <w:t>4</w:t>
            </w:r>
          </w:p>
        </w:tc>
        <w:tc>
          <w:tcPr>
            <w:tcW w:w="548" w:type="pct"/>
          </w:tcPr>
          <w:p w14:paraId="4896C7D4" w14:textId="77777777" w:rsidR="00880ABD" w:rsidRPr="00F6487D" w:rsidRDefault="00880ABD" w:rsidP="004E6008">
            <w:pPr>
              <w:pStyle w:val="TableTextCA"/>
              <w:spacing w:before="0" w:after="0"/>
              <w:rPr>
                <w:rFonts w:cs="Arial"/>
              </w:rPr>
            </w:pPr>
            <w:r w:rsidRPr="006132D3">
              <w:t xml:space="preserve"> </w:t>
            </w:r>
            <w:r w:rsidRPr="00880ABD">
              <w:rPr>
                <w:color w:val="000000"/>
                <w:spacing w:val="40"/>
                <w:shd w:val="solid" w:color="000000" w:fill="000000"/>
                <w:fitText w:val="460" w:id="-1233405684"/>
                <w14:textFill>
                  <w14:solidFill>
                    <w14:srgbClr w14:val="000000">
                      <w14:alpha w14:val="100000"/>
                    </w14:srgbClr>
                  </w14:solidFill>
                </w14:textFill>
              </w:rPr>
              <w:t>|||||</w:t>
            </w:r>
            <w:r w:rsidRPr="00880ABD">
              <w:rPr>
                <w:color w:val="000000"/>
                <w:spacing w:val="5"/>
                <w:shd w:val="solid" w:color="000000" w:fill="000000"/>
                <w:fitText w:val="460" w:id="-1233405684"/>
                <w14:textFill>
                  <w14:solidFill>
                    <w14:srgbClr w14:val="000000">
                      <w14:alpha w14:val="100000"/>
                    </w14:srgbClr>
                  </w14:solidFill>
                </w14:textFill>
              </w:rPr>
              <w:t>|</w:t>
            </w:r>
            <w:r>
              <w:rPr>
                <w:vertAlign w:val="superscript"/>
              </w:rPr>
              <w:t>4</w:t>
            </w:r>
            <w:r w:rsidRPr="006132D3">
              <w:t xml:space="preserve"> </w:t>
            </w:r>
          </w:p>
        </w:tc>
      </w:tr>
      <w:tr w:rsidR="00880ABD" w:rsidRPr="00F6487D" w14:paraId="7CD5BFA9" w14:textId="77777777" w:rsidTr="00F84DDB">
        <w:trPr>
          <w:cantSplit/>
        </w:trPr>
        <w:tc>
          <w:tcPr>
            <w:tcW w:w="154" w:type="pct"/>
          </w:tcPr>
          <w:p w14:paraId="637A58D7" w14:textId="77777777" w:rsidR="00880ABD" w:rsidRPr="00F6487D" w:rsidRDefault="00880ABD" w:rsidP="004E6008">
            <w:pPr>
              <w:spacing w:before="0" w:after="0"/>
              <w:rPr>
                <w:rFonts w:ascii="Arial Narrow" w:hAnsi="Arial Narrow" w:cs="Arial"/>
              </w:rPr>
            </w:pPr>
            <w:r w:rsidRPr="00F6487D">
              <w:rPr>
                <w:rFonts w:ascii="Arial Narrow" w:hAnsi="Arial Narrow" w:cs="Arial"/>
              </w:rPr>
              <w:t>E</w:t>
            </w:r>
          </w:p>
        </w:tc>
        <w:tc>
          <w:tcPr>
            <w:tcW w:w="1571" w:type="pct"/>
            <w:shd w:val="clear" w:color="auto" w:fill="auto"/>
            <w:vAlign w:val="center"/>
          </w:tcPr>
          <w:p w14:paraId="67AF11CF"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gBRCA </w:t>
            </w:r>
            <w:r>
              <w:rPr>
                <w:rFonts w:ascii="Arial Narrow" w:hAnsi="Arial Narrow" w:cs="Arial"/>
              </w:rPr>
              <w:t>pathogenic variant</w:t>
            </w:r>
            <w:r w:rsidRPr="00F6487D">
              <w:rPr>
                <w:rFonts w:ascii="Arial Narrow" w:hAnsi="Arial Narrow" w:cs="Arial"/>
              </w:rPr>
              <w:t xml:space="preserve"> tests in HR(+)/ HER2(-) high risk eBC patients (olaparib not available), </w:t>
            </w:r>
          </w:p>
          <w:p w14:paraId="424B2D02" w14:textId="77777777" w:rsidR="00880ABD" w:rsidRPr="00F6487D" w:rsidRDefault="00880ABD" w:rsidP="004E6008">
            <w:pPr>
              <w:spacing w:before="0" w:after="0"/>
              <w:rPr>
                <w:rFonts w:ascii="Arial Narrow" w:hAnsi="Arial Narrow" w:cs="Arial"/>
              </w:rPr>
            </w:pPr>
            <w:r w:rsidRPr="00F6487D">
              <w:rPr>
                <w:rFonts w:ascii="Arial Narrow" w:hAnsi="Arial Narrow" w:cs="Arial"/>
              </w:rPr>
              <w:t>Current Uptake Years 1−6: 74%</w:t>
            </w:r>
          </w:p>
        </w:tc>
        <w:tc>
          <w:tcPr>
            <w:tcW w:w="545" w:type="pct"/>
            <w:shd w:val="clear" w:color="auto" w:fill="auto"/>
          </w:tcPr>
          <w:p w14:paraId="590A7466" w14:textId="77777777" w:rsidR="00880ABD" w:rsidRPr="00F6487D" w:rsidRDefault="00880ABD" w:rsidP="004E6008">
            <w:pPr>
              <w:pStyle w:val="TableTextCA"/>
              <w:spacing w:before="0" w:after="0"/>
              <w:rPr>
                <w:rFonts w:cs="Arial"/>
              </w:rPr>
            </w:pPr>
            <w:r w:rsidRPr="00360E4F">
              <w:t xml:space="preserve"> </w:t>
            </w:r>
            <w:r w:rsidRPr="00880ABD">
              <w:rPr>
                <w:color w:val="000000"/>
                <w:spacing w:val="40"/>
                <w:shd w:val="solid" w:color="000000" w:fill="000000"/>
                <w:fitText w:val="460" w:id="-1233405683"/>
                <w14:textFill>
                  <w14:solidFill>
                    <w14:srgbClr w14:val="000000">
                      <w14:alpha w14:val="100000"/>
                    </w14:srgbClr>
                  </w14:solidFill>
                </w14:textFill>
              </w:rPr>
              <w:t>|||||</w:t>
            </w:r>
            <w:r w:rsidRPr="00880ABD">
              <w:rPr>
                <w:color w:val="000000"/>
                <w:spacing w:val="5"/>
                <w:shd w:val="solid" w:color="000000" w:fill="000000"/>
                <w:fitText w:val="460" w:id="-1233405683"/>
                <w14:textFill>
                  <w14:solidFill>
                    <w14:srgbClr w14:val="000000">
                      <w14:alpha w14:val="100000"/>
                    </w14:srgbClr>
                  </w14:solidFill>
                </w14:textFill>
              </w:rPr>
              <w:t>|</w:t>
            </w:r>
            <w:r>
              <w:rPr>
                <w:vertAlign w:val="superscript"/>
              </w:rPr>
              <w:t>4</w:t>
            </w:r>
            <w:r w:rsidRPr="00360E4F">
              <w:t xml:space="preserve"> </w:t>
            </w:r>
          </w:p>
        </w:tc>
        <w:tc>
          <w:tcPr>
            <w:tcW w:w="546" w:type="pct"/>
            <w:shd w:val="clear" w:color="auto" w:fill="auto"/>
          </w:tcPr>
          <w:p w14:paraId="0120629F" w14:textId="77777777" w:rsidR="00880ABD" w:rsidRPr="00F6487D" w:rsidRDefault="00880ABD" w:rsidP="004E6008">
            <w:pPr>
              <w:pStyle w:val="TableTextCA"/>
              <w:spacing w:before="0" w:after="0"/>
              <w:rPr>
                <w:rFonts w:cs="Arial"/>
              </w:rPr>
            </w:pPr>
            <w:r w:rsidRPr="00360E4F">
              <w:t xml:space="preserve"> </w:t>
            </w:r>
            <w:r w:rsidRPr="00880ABD">
              <w:rPr>
                <w:color w:val="000000"/>
                <w:spacing w:val="42"/>
                <w:shd w:val="solid" w:color="000000" w:fill="000000"/>
                <w:fitText w:val="470" w:id="-1233405682"/>
                <w14:textFill>
                  <w14:solidFill>
                    <w14:srgbClr w14:val="000000">
                      <w14:alpha w14:val="100000"/>
                    </w14:srgbClr>
                  </w14:solidFill>
                </w14:textFill>
              </w:rPr>
              <w:t>|||||</w:t>
            </w:r>
            <w:r w:rsidRPr="00880ABD">
              <w:rPr>
                <w:color w:val="000000"/>
                <w:spacing w:val="5"/>
                <w:shd w:val="solid" w:color="000000" w:fill="000000"/>
                <w:fitText w:val="470" w:id="-1233405682"/>
                <w14:textFill>
                  <w14:solidFill>
                    <w14:srgbClr w14:val="000000">
                      <w14:alpha w14:val="100000"/>
                    </w14:srgbClr>
                  </w14:solidFill>
                </w14:textFill>
              </w:rPr>
              <w:t>|</w:t>
            </w:r>
            <w:r>
              <w:rPr>
                <w:vertAlign w:val="superscript"/>
              </w:rPr>
              <w:t>4</w:t>
            </w:r>
            <w:r w:rsidRPr="00360E4F">
              <w:t xml:space="preserve"> </w:t>
            </w:r>
          </w:p>
        </w:tc>
        <w:tc>
          <w:tcPr>
            <w:tcW w:w="545" w:type="pct"/>
            <w:shd w:val="clear" w:color="auto" w:fill="auto"/>
          </w:tcPr>
          <w:p w14:paraId="52742103" w14:textId="77777777" w:rsidR="00880ABD" w:rsidRPr="00414FF3" w:rsidRDefault="00880ABD" w:rsidP="004E6008">
            <w:pPr>
              <w:pStyle w:val="TableTextCA"/>
              <w:spacing w:before="0" w:after="0"/>
              <w:rPr>
                <w:rFonts w:cs="Arial"/>
                <w:highlight w:val="yellow"/>
              </w:rPr>
            </w:pPr>
            <w:r w:rsidRPr="00880ABD">
              <w:rPr>
                <w:color w:val="000000"/>
                <w:spacing w:val="34"/>
                <w:shd w:val="solid" w:color="000000" w:fill="000000"/>
                <w:fitText w:val="430" w:id="-1233405681"/>
                <w14:textFill>
                  <w14:solidFill>
                    <w14:srgbClr w14:val="000000">
                      <w14:alpha w14:val="100000"/>
                    </w14:srgbClr>
                  </w14:solidFill>
                </w14:textFill>
              </w:rPr>
              <w:t>|||||</w:t>
            </w:r>
            <w:r w:rsidRPr="00880ABD">
              <w:rPr>
                <w:color w:val="000000"/>
                <w:spacing w:val="5"/>
                <w:shd w:val="solid" w:color="000000" w:fill="000000"/>
                <w:fitText w:val="430" w:id="-1233405681"/>
                <w14:textFill>
                  <w14:solidFill>
                    <w14:srgbClr w14:val="000000">
                      <w14:alpha w14:val="100000"/>
                    </w14:srgbClr>
                  </w14:solidFill>
                </w14:textFill>
              </w:rPr>
              <w:t>|</w:t>
            </w:r>
            <w:r w:rsidRPr="00414FF3">
              <w:rPr>
                <w:vertAlign w:val="superscript"/>
              </w:rPr>
              <w:t>4</w:t>
            </w:r>
            <w:r w:rsidRPr="00414FF3">
              <w:t xml:space="preserve"> </w:t>
            </w:r>
          </w:p>
        </w:tc>
        <w:tc>
          <w:tcPr>
            <w:tcW w:w="546" w:type="pct"/>
            <w:shd w:val="clear" w:color="auto" w:fill="auto"/>
          </w:tcPr>
          <w:p w14:paraId="4C235339" w14:textId="77777777" w:rsidR="00880ABD" w:rsidRPr="00414FF3" w:rsidRDefault="00880ABD" w:rsidP="004E6008">
            <w:pPr>
              <w:pStyle w:val="TableTextCA"/>
              <w:spacing w:before="0" w:after="0"/>
              <w:rPr>
                <w:rFonts w:cs="Arial"/>
                <w:highlight w:val="yellow"/>
              </w:rPr>
            </w:pPr>
            <w:r w:rsidRPr="00880ABD">
              <w:rPr>
                <w:color w:val="000000"/>
                <w:spacing w:val="34"/>
                <w:shd w:val="solid" w:color="000000" w:fill="000000"/>
                <w:fitText w:val="430" w:id="-1233405680"/>
                <w14:textFill>
                  <w14:solidFill>
                    <w14:srgbClr w14:val="000000">
                      <w14:alpha w14:val="100000"/>
                    </w14:srgbClr>
                  </w14:solidFill>
                </w14:textFill>
              </w:rPr>
              <w:t>|||||</w:t>
            </w:r>
            <w:r w:rsidRPr="00880ABD">
              <w:rPr>
                <w:color w:val="000000"/>
                <w:spacing w:val="5"/>
                <w:shd w:val="solid" w:color="000000" w:fill="000000"/>
                <w:fitText w:val="430" w:id="-1233405680"/>
                <w14:textFill>
                  <w14:solidFill>
                    <w14:srgbClr w14:val="000000">
                      <w14:alpha w14:val="100000"/>
                    </w14:srgbClr>
                  </w14:solidFill>
                </w14:textFill>
              </w:rPr>
              <w:t>|</w:t>
            </w:r>
            <w:r w:rsidRPr="00175852">
              <w:rPr>
                <w:vertAlign w:val="superscript"/>
              </w:rPr>
              <w:t>4</w:t>
            </w:r>
            <w:r w:rsidRPr="00175852">
              <w:t xml:space="preserve"> </w:t>
            </w:r>
          </w:p>
        </w:tc>
        <w:tc>
          <w:tcPr>
            <w:tcW w:w="545" w:type="pct"/>
            <w:shd w:val="clear" w:color="auto" w:fill="auto"/>
          </w:tcPr>
          <w:p w14:paraId="023C7C91" w14:textId="77777777" w:rsidR="00880ABD" w:rsidRPr="00F6487D" w:rsidRDefault="00880ABD" w:rsidP="004E6008">
            <w:pPr>
              <w:pStyle w:val="TableTextCA"/>
              <w:spacing w:before="0" w:after="0"/>
              <w:rPr>
                <w:rFonts w:cs="Arial"/>
              </w:rPr>
            </w:pPr>
            <w:r w:rsidRPr="00360E4F">
              <w:t xml:space="preserve"> </w:t>
            </w:r>
            <w:r w:rsidRPr="00880ABD">
              <w:rPr>
                <w:color w:val="000000"/>
                <w:spacing w:val="40"/>
                <w:shd w:val="solid" w:color="000000" w:fill="000000"/>
                <w:fitText w:val="460" w:id="-1233405696"/>
                <w14:textFill>
                  <w14:solidFill>
                    <w14:srgbClr w14:val="000000">
                      <w14:alpha w14:val="100000"/>
                    </w14:srgbClr>
                  </w14:solidFill>
                </w14:textFill>
              </w:rPr>
              <w:t>|||||</w:t>
            </w:r>
            <w:r w:rsidRPr="00880ABD">
              <w:rPr>
                <w:color w:val="000000"/>
                <w:spacing w:val="5"/>
                <w:shd w:val="solid" w:color="000000" w:fill="000000"/>
                <w:fitText w:val="460" w:id="-1233405696"/>
                <w14:textFill>
                  <w14:solidFill>
                    <w14:srgbClr w14:val="000000">
                      <w14:alpha w14:val="100000"/>
                    </w14:srgbClr>
                  </w14:solidFill>
                </w14:textFill>
              </w:rPr>
              <w:t>|</w:t>
            </w:r>
            <w:r>
              <w:rPr>
                <w:vertAlign w:val="superscript"/>
              </w:rPr>
              <w:t>4</w:t>
            </w:r>
            <w:r w:rsidRPr="00360E4F">
              <w:t xml:space="preserve"> </w:t>
            </w:r>
          </w:p>
        </w:tc>
        <w:tc>
          <w:tcPr>
            <w:tcW w:w="548" w:type="pct"/>
          </w:tcPr>
          <w:p w14:paraId="65836565" w14:textId="77777777" w:rsidR="00880ABD" w:rsidRPr="00F6487D" w:rsidRDefault="00880ABD" w:rsidP="004E6008">
            <w:pPr>
              <w:pStyle w:val="TableTextCA"/>
              <w:spacing w:before="0" w:after="0"/>
              <w:rPr>
                <w:rFonts w:cs="Arial"/>
              </w:rPr>
            </w:pPr>
            <w:r w:rsidRPr="00360E4F">
              <w:t xml:space="preserve"> </w:t>
            </w:r>
            <w:r w:rsidRPr="00880ABD">
              <w:rPr>
                <w:color w:val="000000"/>
                <w:spacing w:val="40"/>
                <w:shd w:val="solid" w:color="000000" w:fill="000000"/>
                <w:fitText w:val="460" w:id="-1233405695"/>
                <w14:textFill>
                  <w14:solidFill>
                    <w14:srgbClr w14:val="000000">
                      <w14:alpha w14:val="100000"/>
                    </w14:srgbClr>
                  </w14:solidFill>
                </w14:textFill>
              </w:rPr>
              <w:t>|||||</w:t>
            </w:r>
            <w:r w:rsidRPr="00880ABD">
              <w:rPr>
                <w:color w:val="000000"/>
                <w:spacing w:val="5"/>
                <w:shd w:val="solid" w:color="000000" w:fill="000000"/>
                <w:fitText w:val="460" w:id="-1233405695"/>
                <w14:textFill>
                  <w14:solidFill>
                    <w14:srgbClr w14:val="000000">
                      <w14:alpha w14:val="100000"/>
                    </w14:srgbClr>
                  </w14:solidFill>
                </w14:textFill>
              </w:rPr>
              <w:t>|</w:t>
            </w:r>
            <w:r w:rsidRPr="00414FF3">
              <w:rPr>
                <w:vertAlign w:val="superscript"/>
              </w:rPr>
              <w:t>4</w:t>
            </w:r>
            <w:r w:rsidRPr="00360E4F">
              <w:t xml:space="preserve"> </w:t>
            </w:r>
          </w:p>
        </w:tc>
      </w:tr>
      <w:tr w:rsidR="00880ABD" w:rsidRPr="00F6487D" w14:paraId="0ACC9212" w14:textId="77777777" w:rsidTr="00F84DDB">
        <w:trPr>
          <w:cantSplit/>
        </w:trPr>
        <w:tc>
          <w:tcPr>
            <w:tcW w:w="154" w:type="pct"/>
          </w:tcPr>
          <w:p w14:paraId="2F26C3C9" w14:textId="77777777" w:rsidR="00880ABD" w:rsidRPr="00F6487D" w:rsidRDefault="00880ABD" w:rsidP="004E6008">
            <w:pPr>
              <w:spacing w:before="0" w:after="0"/>
              <w:rPr>
                <w:rFonts w:ascii="Arial Narrow" w:hAnsi="Arial Narrow" w:cs="Arial"/>
              </w:rPr>
            </w:pPr>
            <w:r w:rsidRPr="00F6487D">
              <w:rPr>
                <w:rFonts w:ascii="Arial Narrow" w:hAnsi="Arial Narrow" w:cs="Arial"/>
              </w:rPr>
              <w:t>F</w:t>
            </w:r>
          </w:p>
        </w:tc>
        <w:tc>
          <w:tcPr>
            <w:tcW w:w="1571" w:type="pct"/>
            <w:shd w:val="clear" w:color="auto" w:fill="auto"/>
          </w:tcPr>
          <w:p w14:paraId="7D31C690"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Incremental gBRCA </w:t>
            </w:r>
            <w:r>
              <w:rPr>
                <w:rFonts w:ascii="Arial Narrow" w:hAnsi="Arial Narrow" w:cs="Arial"/>
              </w:rPr>
              <w:t>pathogenic variant</w:t>
            </w:r>
            <w:r w:rsidRPr="00F6487D">
              <w:rPr>
                <w:rFonts w:ascii="Arial Narrow" w:hAnsi="Arial Narrow" w:cs="Arial"/>
              </w:rPr>
              <w:t xml:space="preserve"> tests in </w:t>
            </w:r>
            <w:r>
              <w:rPr>
                <w:rFonts w:ascii="Arial Narrow" w:hAnsi="Arial Narrow" w:cs="Arial"/>
              </w:rPr>
              <w:t>h</w:t>
            </w:r>
            <w:r w:rsidRPr="00F6487D">
              <w:rPr>
                <w:rFonts w:ascii="Arial Narrow" w:hAnsi="Arial Narrow" w:cs="Arial"/>
              </w:rPr>
              <w:t xml:space="preserve">igh-risk HR+/HER2- patients </w:t>
            </w:r>
          </w:p>
          <w:p w14:paraId="799B8CA0" w14:textId="77777777" w:rsidR="00880ABD" w:rsidRPr="00F6487D" w:rsidRDefault="00880ABD" w:rsidP="004E6008">
            <w:pPr>
              <w:spacing w:before="0" w:after="0"/>
              <w:rPr>
                <w:rFonts w:ascii="Arial Narrow" w:hAnsi="Arial Narrow" w:cs="Arial"/>
              </w:rPr>
            </w:pPr>
            <w:r w:rsidRPr="00F6487D">
              <w:rPr>
                <w:rFonts w:ascii="Arial Narrow" w:hAnsi="Arial Narrow" w:cs="Arial"/>
              </w:rPr>
              <w:t>(F = D – E)</w:t>
            </w:r>
          </w:p>
        </w:tc>
        <w:tc>
          <w:tcPr>
            <w:tcW w:w="545" w:type="pct"/>
            <w:shd w:val="clear" w:color="auto" w:fill="auto"/>
          </w:tcPr>
          <w:p w14:paraId="5F6EE250" w14:textId="77777777" w:rsidR="00880ABD" w:rsidRPr="00F6487D" w:rsidRDefault="00880ABD" w:rsidP="004E6008">
            <w:pPr>
              <w:pStyle w:val="TableTextCA"/>
              <w:spacing w:before="0" w:after="0"/>
              <w:rPr>
                <w:rFonts w:cs="Arial"/>
              </w:rPr>
            </w:pPr>
            <w:r w:rsidRPr="004F301F">
              <w:t xml:space="preserve"> </w:t>
            </w:r>
            <w:r w:rsidRPr="00880ABD">
              <w:rPr>
                <w:color w:val="000000"/>
                <w:spacing w:val="40"/>
                <w:shd w:val="solid" w:color="000000" w:fill="000000"/>
                <w:fitText w:val="460" w:id="-1233405694"/>
                <w14:textFill>
                  <w14:solidFill>
                    <w14:srgbClr w14:val="000000">
                      <w14:alpha w14:val="100000"/>
                    </w14:srgbClr>
                  </w14:solidFill>
                </w14:textFill>
              </w:rPr>
              <w:t>|||||</w:t>
            </w:r>
            <w:r w:rsidRPr="00880ABD">
              <w:rPr>
                <w:color w:val="000000"/>
                <w:spacing w:val="5"/>
                <w:shd w:val="solid" w:color="000000" w:fill="000000"/>
                <w:fitText w:val="460" w:id="-1233405694"/>
                <w14:textFill>
                  <w14:solidFill>
                    <w14:srgbClr w14:val="000000">
                      <w14:alpha w14:val="100000"/>
                    </w14:srgbClr>
                  </w14:solidFill>
                </w14:textFill>
              </w:rPr>
              <w:t>|</w:t>
            </w:r>
            <w:r w:rsidRPr="00414FF3">
              <w:rPr>
                <w:vertAlign w:val="superscript"/>
              </w:rPr>
              <w:t>3</w:t>
            </w:r>
            <w:r w:rsidRPr="004F301F">
              <w:t xml:space="preserve"> </w:t>
            </w:r>
          </w:p>
        </w:tc>
        <w:tc>
          <w:tcPr>
            <w:tcW w:w="546" w:type="pct"/>
            <w:shd w:val="clear" w:color="auto" w:fill="auto"/>
          </w:tcPr>
          <w:p w14:paraId="3BED1192" w14:textId="77777777" w:rsidR="00880ABD" w:rsidRPr="00F6487D" w:rsidRDefault="00880ABD" w:rsidP="004E6008">
            <w:pPr>
              <w:pStyle w:val="TableTextCA"/>
              <w:spacing w:before="0" w:after="0"/>
              <w:rPr>
                <w:rFonts w:cs="Arial"/>
              </w:rPr>
            </w:pPr>
            <w:r w:rsidRPr="004F301F">
              <w:t xml:space="preserve"> </w:t>
            </w:r>
            <w:r w:rsidRPr="00880ABD">
              <w:rPr>
                <w:color w:val="000000"/>
                <w:spacing w:val="42"/>
                <w:shd w:val="solid" w:color="000000" w:fill="000000"/>
                <w:fitText w:val="470" w:id="-1233405693"/>
                <w14:textFill>
                  <w14:solidFill>
                    <w14:srgbClr w14:val="000000">
                      <w14:alpha w14:val="100000"/>
                    </w14:srgbClr>
                  </w14:solidFill>
                </w14:textFill>
              </w:rPr>
              <w:t>|||||</w:t>
            </w:r>
            <w:r w:rsidRPr="00880ABD">
              <w:rPr>
                <w:color w:val="000000"/>
                <w:spacing w:val="5"/>
                <w:shd w:val="solid" w:color="000000" w:fill="000000"/>
                <w:fitText w:val="470" w:id="-1233405693"/>
                <w14:textFill>
                  <w14:solidFill>
                    <w14:srgbClr w14:val="000000">
                      <w14:alpha w14:val="100000"/>
                    </w14:srgbClr>
                  </w14:solidFill>
                </w14:textFill>
              </w:rPr>
              <w:t>|</w:t>
            </w:r>
            <w:r w:rsidRPr="00414FF3">
              <w:rPr>
                <w:vertAlign w:val="superscript"/>
              </w:rPr>
              <w:t>2</w:t>
            </w:r>
            <w:r w:rsidRPr="004F301F">
              <w:t xml:space="preserve"> </w:t>
            </w:r>
          </w:p>
        </w:tc>
        <w:tc>
          <w:tcPr>
            <w:tcW w:w="545" w:type="pct"/>
            <w:shd w:val="clear" w:color="auto" w:fill="auto"/>
          </w:tcPr>
          <w:p w14:paraId="10C7E735" w14:textId="77777777" w:rsidR="00880ABD" w:rsidRPr="00414FF3" w:rsidRDefault="00880ABD" w:rsidP="004E6008">
            <w:pPr>
              <w:pStyle w:val="TableTextCA"/>
              <w:spacing w:before="0" w:after="0"/>
              <w:rPr>
                <w:rFonts w:cs="Arial"/>
                <w:highlight w:val="yellow"/>
              </w:rPr>
            </w:pPr>
            <w:r w:rsidRPr="00880ABD">
              <w:rPr>
                <w:color w:val="000000"/>
                <w:spacing w:val="34"/>
                <w:shd w:val="solid" w:color="000000" w:fill="000000"/>
                <w:fitText w:val="430" w:id="-1233405692"/>
                <w14:textFill>
                  <w14:solidFill>
                    <w14:srgbClr w14:val="000000">
                      <w14:alpha w14:val="100000"/>
                    </w14:srgbClr>
                  </w14:solidFill>
                </w14:textFill>
              </w:rPr>
              <w:t>|||||</w:t>
            </w:r>
            <w:r w:rsidRPr="00880ABD">
              <w:rPr>
                <w:color w:val="000000"/>
                <w:spacing w:val="5"/>
                <w:shd w:val="solid" w:color="000000" w:fill="000000"/>
                <w:fitText w:val="430" w:id="-1233405692"/>
                <w14:textFill>
                  <w14:solidFill>
                    <w14:srgbClr w14:val="000000">
                      <w14:alpha w14:val="100000"/>
                    </w14:srgbClr>
                  </w14:solidFill>
                </w14:textFill>
              </w:rPr>
              <w:t>|</w:t>
            </w:r>
            <w:r w:rsidRPr="00414FF3">
              <w:rPr>
                <w:vertAlign w:val="superscript"/>
              </w:rPr>
              <w:t>2</w:t>
            </w:r>
            <w:r w:rsidRPr="00414FF3">
              <w:t xml:space="preserve"> </w:t>
            </w:r>
          </w:p>
        </w:tc>
        <w:tc>
          <w:tcPr>
            <w:tcW w:w="546" w:type="pct"/>
            <w:shd w:val="clear" w:color="auto" w:fill="auto"/>
          </w:tcPr>
          <w:p w14:paraId="5FFD9593" w14:textId="77777777" w:rsidR="00880ABD" w:rsidRPr="00414FF3" w:rsidRDefault="00880ABD" w:rsidP="004E6008">
            <w:pPr>
              <w:pStyle w:val="TableTextCA"/>
              <w:spacing w:before="0" w:after="0"/>
              <w:rPr>
                <w:rFonts w:cs="Arial"/>
                <w:highlight w:val="yellow"/>
              </w:rPr>
            </w:pPr>
            <w:r w:rsidRPr="00880ABD">
              <w:rPr>
                <w:color w:val="000000"/>
                <w:spacing w:val="34"/>
                <w:shd w:val="solid" w:color="000000" w:fill="000000"/>
                <w:fitText w:val="430" w:id="-1233405691"/>
                <w14:textFill>
                  <w14:solidFill>
                    <w14:srgbClr w14:val="000000">
                      <w14:alpha w14:val="100000"/>
                    </w14:srgbClr>
                  </w14:solidFill>
                </w14:textFill>
              </w:rPr>
              <w:t>|||||</w:t>
            </w:r>
            <w:r w:rsidRPr="00880ABD">
              <w:rPr>
                <w:color w:val="000000"/>
                <w:spacing w:val="5"/>
                <w:shd w:val="solid" w:color="000000" w:fill="000000"/>
                <w:fitText w:val="430" w:id="-1233405691"/>
                <w14:textFill>
                  <w14:solidFill>
                    <w14:srgbClr w14:val="000000">
                      <w14:alpha w14:val="100000"/>
                    </w14:srgbClr>
                  </w14:solidFill>
                </w14:textFill>
              </w:rPr>
              <w:t>|</w:t>
            </w:r>
            <w:r w:rsidRPr="00414FF3">
              <w:rPr>
                <w:vertAlign w:val="superscript"/>
              </w:rPr>
              <w:t>2</w:t>
            </w:r>
          </w:p>
        </w:tc>
        <w:tc>
          <w:tcPr>
            <w:tcW w:w="545" w:type="pct"/>
            <w:shd w:val="clear" w:color="auto" w:fill="auto"/>
          </w:tcPr>
          <w:p w14:paraId="1E600085" w14:textId="77777777" w:rsidR="00880ABD" w:rsidRPr="00414FF3" w:rsidRDefault="00880ABD" w:rsidP="004E6008">
            <w:pPr>
              <w:pStyle w:val="TableTextCA"/>
              <w:spacing w:before="0" w:after="0"/>
              <w:rPr>
                <w:rFonts w:cs="Arial"/>
                <w:highlight w:val="yellow"/>
              </w:rPr>
            </w:pPr>
            <w:r w:rsidRPr="00880ABD">
              <w:rPr>
                <w:color w:val="000000"/>
                <w:spacing w:val="34"/>
                <w:shd w:val="solid" w:color="000000" w:fill="000000"/>
                <w:fitText w:val="430" w:id="-1233405690"/>
                <w14:textFill>
                  <w14:solidFill>
                    <w14:srgbClr w14:val="000000">
                      <w14:alpha w14:val="100000"/>
                    </w14:srgbClr>
                  </w14:solidFill>
                </w14:textFill>
              </w:rPr>
              <w:t>|||||</w:t>
            </w:r>
            <w:r w:rsidRPr="00880ABD">
              <w:rPr>
                <w:color w:val="000000"/>
                <w:spacing w:val="5"/>
                <w:shd w:val="solid" w:color="000000" w:fill="000000"/>
                <w:fitText w:val="430" w:id="-1233405690"/>
                <w14:textFill>
                  <w14:solidFill>
                    <w14:srgbClr w14:val="000000">
                      <w14:alpha w14:val="100000"/>
                    </w14:srgbClr>
                  </w14:solidFill>
                </w14:textFill>
              </w:rPr>
              <w:t>|</w:t>
            </w:r>
            <w:r w:rsidRPr="00414FF3">
              <w:rPr>
                <w:vertAlign w:val="superscript"/>
              </w:rPr>
              <w:t>2</w:t>
            </w:r>
            <w:r w:rsidRPr="00414FF3">
              <w:t xml:space="preserve"> </w:t>
            </w:r>
          </w:p>
        </w:tc>
        <w:tc>
          <w:tcPr>
            <w:tcW w:w="548" w:type="pct"/>
          </w:tcPr>
          <w:p w14:paraId="6400B92B" w14:textId="77777777" w:rsidR="00880ABD" w:rsidRPr="00414FF3" w:rsidRDefault="00880ABD" w:rsidP="004E6008">
            <w:pPr>
              <w:pStyle w:val="TableTextCA"/>
              <w:spacing w:before="0" w:after="0"/>
              <w:rPr>
                <w:rFonts w:cs="Arial"/>
                <w:highlight w:val="yellow"/>
              </w:rPr>
            </w:pPr>
            <w:r w:rsidRPr="00880ABD">
              <w:rPr>
                <w:color w:val="000000"/>
                <w:spacing w:val="34"/>
                <w:shd w:val="solid" w:color="000000" w:fill="000000"/>
                <w:fitText w:val="430" w:id="-1233405689"/>
                <w14:textFill>
                  <w14:solidFill>
                    <w14:srgbClr w14:val="000000">
                      <w14:alpha w14:val="100000"/>
                    </w14:srgbClr>
                  </w14:solidFill>
                </w14:textFill>
              </w:rPr>
              <w:t>|||||</w:t>
            </w:r>
            <w:r w:rsidRPr="00880ABD">
              <w:rPr>
                <w:color w:val="000000"/>
                <w:spacing w:val="5"/>
                <w:shd w:val="solid" w:color="000000" w:fill="000000"/>
                <w:fitText w:val="430" w:id="-1233405689"/>
                <w14:textFill>
                  <w14:solidFill>
                    <w14:srgbClr w14:val="000000">
                      <w14:alpha w14:val="100000"/>
                    </w14:srgbClr>
                  </w14:solidFill>
                </w14:textFill>
              </w:rPr>
              <w:t>|</w:t>
            </w:r>
            <w:r w:rsidRPr="00414FF3">
              <w:rPr>
                <w:vertAlign w:val="superscript"/>
              </w:rPr>
              <w:t>2</w:t>
            </w:r>
          </w:p>
        </w:tc>
      </w:tr>
      <w:tr w:rsidR="00880ABD" w:rsidRPr="00F6487D" w14:paraId="04A6B1AF" w14:textId="77777777" w:rsidTr="00F84DDB">
        <w:trPr>
          <w:cantSplit/>
        </w:trPr>
        <w:tc>
          <w:tcPr>
            <w:tcW w:w="154" w:type="pct"/>
          </w:tcPr>
          <w:p w14:paraId="650C8225" w14:textId="77777777" w:rsidR="00880ABD" w:rsidRPr="00F6487D" w:rsidRDefault="00880ABD" w:rsidP="004E6008">
            <w:pPr>
              <w:spacing w:before="0" w:after="0"/>
              <w:rPr>
                <w:rFonts w:ascii="Arial Narrow" w:hAnsi="Arial Narrow" w:cs="Arial"/>
              </w:rPr>
            </w:pPr>
            <w:r w:rsidRPr="00F6487D">
              <w:rPr>
                <w:rFonts w:ascii="Arial Narrow" w:hAnsi="Arial Narrow" w:cs="Arial"/>
              </w:rPr>
              <w:t>G</w:t>
            </w:r>
          </w:p>
        </w:tc>
        <w:tc>
          <w:tcPr>
            <w:tcW w:w="1571" w:type="pct"/>
            <w:shd w:val="clear" w:color="auto" w:fill="auto"/>
            <w:vAlign w:val="center"/>
          </w:tcPr>
          <w:p w14:paraId="2BE9BBD4"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Total number of patients tested (proposed) (olaparib available) </w:t>
            </w:r>
          </w:p>
          <w:p w14:paraId="40D78D8E"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(G = A + D) </w:t>
            </w:r>
          </w:p>
        </w:tc>
        <w:tc>
          <w:tcPr>
            <w:tcW w:w="545" w:type="pct"/>
            <w:shd w:val="clear" w:color="auto" w:fill="auto"/>
          </w:tcPr>
          <w:p w14:paraId="285E5CC0" w14:textId="77777777" w:rsidR="00880ABD" w:rsidRPr="00414FF3" w:rsidRDefault="00880ABD" w:rsidP="004E6008">
            <w:pPr>
              <w:pStyle w:val="Tabletext0"/>
              <w:spacing w:before="0" w:after="0"/>
              <w:jc w:val="center"/>
              <w:rPr>
                <w:color w:val="000000"/>
                <w:highlight w:val="yellow"/>
                <w:vertAlign w:val="superscript"/>
              </w:rPr>
            </w:pPr>
            <w:r w:rsidRPr="00880ABD">
              <w:rPr>
                <w:color w:val="000000"/>
                <w:spacing w:val="34"/>
                <w:shd w:val="solid" w:color="000000" w:fill="000000"/>
                <w:fitText w:val="430" w:id="-1233405688"/>
                <w14:textFill>
                  <w14:solidFill>
                    <w14:srgbClr w14:val="000000">
                      <w14:alpha w14:val="100000"/>
                    </w14:srgbClr>
                  </w14:solidFill>
                </w14:textFill>
              </w:rPr>
              <w:t>|||||</w:t>
            </w:r>
            <w:r w:rsidRPr="00880ABD">
              <w:rPr>
                <w:color w:val="000000"/>
                <w:spacing w:val="5"/>
                <w:shd w:val="solid" w:color="000000" w:fill="000000"/>
                <w:fitText w:val="430" w:id="-1233405688"/>
                <w14:textFill>
                  <w14:solidFill>
                    <w14:srgbClr w14:val="000000">
                      <w14:alpha w14:val="100000"/>
                    </w14:srgbClr>
                  </w14:solidFill>
                </w14:textFill>
              </w:rPr>
              <w:t>|</w:t>
            </w:r>
            <w:r w:rsidRPr="00414FF3">
              <w:rPr>
                <w:vertAlign w:val="superscript"/>
              </w:rPr>
              <w:t>4</w:t>
            </w:r>
          </w:p>
        </w:tc>
        <w:tc>
          <w:tcPr>
            <w:tcW w:w="546" w:type="pct"/>
            <w:shd w:val="clear" w:color="auto" w:fill="auto"/>
          </w:tcPr>
          <w:p w14:paraId="4718F543" w14:textId="77777777" w:rsidR="00880ABD" w:rsidRPr="00414FF3" w:rsidRDefault="00880ABD" w:rsidP="004E6008">
            <w:pPr>
              <w:pStyle w:val="Tabletext0"/>
              <w:spacing w:before="0" w:after="0"/>
              <w:jc w:val="center"/>
              <w:rPr>
                <w:color w:val="000000"/>
                <w:highlight w:val="yellow"/>
                <w:vertAlign w:val="superscript"/>
              </w:rPr>
            </w:pPr>
            <w:r w:rsidRPr="00880ABD">
              <w:rPr>
                <w:color w:val="000000"/>
                <w:spacing w:val="34"/>
                <w:shd w:val="solid" w:color="000000" w:fill="000000"/>
                <w:fitText w:val="430" w:id="-1233405687"/>
                <w14:textFill>
                  <w14:solidFill>
                    <w14:srgbClr w14:val="000000">
                      <w14:alpha w14:val="100000"/>
                    </w14:srgbClr>
                  </w14:solidFill>
                </w14:textFill>
              </w:rPr>
              <w:t>|||||</w:t>
            </w:r>
            <w:r w:rsidRPr="00880ABD">
              <w:rPr>
                <w:color w:val="000000"/>
                <w:spacing w:val="5"/>
                <w:shd w:val="solid" w:color="000000" w:fill="000000"/>
                <w:fitText w:val="430" w:id="-1233405687"/>
                <w14:textFill>
                  <w14:solidFill>
                    <w14:srgbClr w14:val="000000">
                      <w14:alpha w14:val="100000"/>
                    </w14:srgbClr>
                  </w14:solidFill>
                </w14:textFill>
              </w:rPr>
              <w:t>|</w:t>
            </w:r>
            <w:r w:rsidRPr="00414FF3">
              <w:rPr>
                <w:vertAlign w:val="superscript"/>
              </w:rPr>
              <w:t>4</w:t>
            </w:r>
          </w:p>
        </w:tc>
        <w:tc>
          <w:tcPr>
            <w:tcW w:w="545" w:type="pct"/>
            <w:shd w:val="clear" w:color="auto" w:fill="auto"/>
          </w:tcPr>
          <w:p w14:paraId="2385D812" w14:textId="77777777" w:rsidR="00880ABD" w:rsidRPr="00414FF3" w:rsidRDefault="00880ABD" w:rsidP="004E6008">
            <w:pPr>
              <w:pStyle w:val="Tabletext0"/>
              <w:spacing w:before="0" w:after="0"/>
              <w:jc w:val="center"/>
              <w:rPr>
                <w:color w:val="000000"/>
                <w:highlight w:val="yellow"/>
                <w:vertAlign w:val="superscript"/>
              </w:rPr>
            </w:pPr>
            <w:r w:rsidRPr="00880ABD">
              <w:rPr>
                <w:color w:val="000000"/>
                <w:spacing w:val="34"/>
                <w:shd w:val="solid" w:color="000000" w:fill="000000"/>
                <w:fitText w:val="430" w:id="-1233405686"/>
                <w14:textFill>
                  <w14:solidFill>
                    <w14:srgbClr w14:val="000000">
                      <w14:alpha w14:val="100000"/>
                    </w14:srgbClr>
                  </w14:solidFill>
                </w14:textFill>
              </w:rPr>
              <w:t>|||||</w:t>
            </w:r>
            <w:r w:rsidRPr="00880ABD">
              <w:rPr>
                <w:color w:val="000000"/>
                <w:spacing w:val="5"/>
                <w:shd w:val="solid" w:color="000000" w:fill="000000"/>
                <w:fitText w:val="430" w:id="-1233405686"/>
                <w14:textFill>
                  <w14:solidFill>
                    <w14:srgbClr w14:val="000000">
                      <w14:alpha w14:val="100000"/>
                    </w14:srgbClr>
                  </w14:solidFill>
                </w14:textFill>
              </w:rPr>
              <w:t>|</w:t>
            </w:r>
            <w:r w:rsidRPr="00414FF3">
              <w:rPr>
                <w:vertAlign w:val="superscript"/>
              </w:rPr>
              <w:t>4</w:t>
            </w:r>
          </w:p>
        </w:tc>
        <w:tc>
          <w:tcPr>
            <w:tcW w:w="546" w:type="pct"/>
            <w:shd w:val="clear" w:color="auto" w:fill="auto"/>
          </w:tcPr>
          <w:p w14:paraId="60BEDE03" w14:textId="77777777" w:rsidR="00880ABD" w:rsidRPr="00414FF3" w:rsidRDefault="00880ABD" w:rsidP="004E6008">
            <w:pPr>
              <w:pStyle w:val="Tabletext0"/>
              <w:spacing w:before="0" w:after="0"/>
              <w:jc w:val="center"/>
              <w:rPr>
                <w:color w:val="000000"/>
                <w:highlight w:val="yellow"/>
                <w:vertAlign w:val="superscript"/>
              </w:rPr>
            </w:pPr>
            <w:r w:rsidRPr="00880ABD">
              <w:rPr>
                <w:color w:val="000000"/>
                <w:spacing w:val="34"/>
                <w:shd w:val="solid" w:color="000000" w:fill="000000"/>
                <w:fitText w:val="430" w:id="-1233405685"/>
                <w14:textFill>
                  <w14:solidFill>
                    <w14:srgbClr w14:val="000000">
                      <w14:alpha w14:val="100000"/>
                    </w14:srgbClr>
                  </w14:solidFill>
                </w14:textFill>
              </w:rPr>
              <w:t>|||||</w:t>
            </w:r>
            <w:r w:rsidRPr="00880ABD">
              <w:rPr>
                <w:color w:val="000000"/>
                <w:spacing w:val="5"/>
                <w:shd w:val="solid" w:color="000000" w:fill="000000"/>
                <w:fitText w:val="430" w:id="-1233405685"/>
                <w14:textFill>
                  <w14:solidFill>
                    <w14:srgbClr w14:val="000000">
                      <w14:alpha w14:val="100000"/>
                    </w14:srgbClr>
                  </w14:solidFill>
                </w14:textFill>
              </w:rPr>
              <w:t>|</w:t>
            </w:r>
            <w:r w:rsidRPr="00414FF3">
              <w:rPr>
                <w:vertAlign w:val="superscript"/>
              </w:rPr>
              <w:t>5</w:t>
            </w:r>
          </w:p>
        </w:tc>
        <w:tc>
          <w:tcPr>
            <w:tcW w:w="545" w:type="pct"/>
            <w:shd w:val="clear" w:color="auto" w:fill="auto"/>
          </w:tcPr>
          <w:p w14:paraId="15581121" w14:textId="77777777" w:rsidR="00880ABD" w:rsidRPr="00414FF3" w:rsidRDefault="00880ABD" w:rsidP="004E6008">
            <w:pPr>
              <w:pStyle w:val="Tabletext0"/>
              <w:spacing w:before="0" w:after="0"/>
              <w:jc w:val="center"/>
              <w:rPr>
                <w:color w:val="000000"/>
                <w:highlight w:val="yellow"/>
                <w:vertAlign w:val="superscript"/>
              </w:rPr>
            </w:pPr>
            <w:r w:rsidRPr="00880ABD">
              <w:rPr>
                <w:color w:val="000000"/>
                <w:spacing w:val="34"/>
                <w:shd w:val="solid" w:color="000000" w:fill="000000"/>
                <w:fitText w:val="430" w:id="-1233405684"/>
                <w14:textFill>
                  <w14:solidFill>
                    <w14:srgbClr w14:val="000000">
                      <w14:alpha w14:val="100000"/>
                    </w14:srgbClr>
                  </w14:solidFill>
                </w14:textFill>
              </w:rPr>
              <w:t>|||||</w:t>
            </w:r>
            <w:r w:rsidRPr="00880ABD">
              <w:rPr>
                <w:color w:val="000000"/>
                <w:spacing w:val="5"/>
                <w:shd w:val="solid" w:color="000000" w:fill="000000"/>
                <w:fitText w:val="430" w:id="-1233405684"/>
                <w14:textFill>
                  <w14:solidFill>
                    <w14:srgbClr w14:val="000000">
                      <w14:alpha w14:val="100000"/>
                    </w14:srgbClr>
                  </w14:solidFill>
                </w14:textFill>
              </w:rPr>
              <w:t>|</w:t>
            </w:r>
            <w:r w:rsidRPr="00414FF3">
              <w:rPr>
                <w:vertAlign w:val="superscript"/>
              </w:rPr>
              <w:t>5</w:t>
            </w:r>
          </w:p>
        </w:tc>
        <w:tc>
          <w:tcPr>
            <w:tcW w:w="548" w:type="pct"/>
          </w:tcPr>
          <w:p w14:paraId="6E95D203" w14:textId="77777777" w:rsidR="00880ABD" w:rsidRPr="00414FF3" w:rsidRDefault="00880ABD" w:rsidP="004E6008">
            <w:pPr>
              <w:pStyle w:val="Tabletext0"/>
              <w:spacing w:before="0" w:after="0"/>
              <w:jc w:val="center"/>
              <w:rPr>
                <w:color w:val="000000"/>
                <w:highlight w:val="yellow"/>
                <w:vertAlign w:val="superscript"/>
              </w:rPr>
            </w:pPr>
            <w:r w:rsidRPr="00880ABD">
              <w:rPr>
                <w:color w:val="000000"/>
                <w:spacing w:val="34"/>
                <w:shd w:val="solid" w:color="000000" w:fill="000000"/>
                <w:fitText w:val="430" w:id="-1233405683"/>
                <w14:textFill>
                  <w14:solidFill>
                    <w14:srgbClr w14:val="000000">
                      <w14:alpha w14:val="100000"/>
                    </w14:srgbClr>
                  </w14:solidFill>
                </w14:textFill>
              </w:rPr>
              <w:t>|||||</w:t>
            </w:r>
            <w:r w:rsidRPr="00880ABD">
              <w:rPr>
                <w:color w:val="000000"/>
                <w:spacing w:val="5"/>
                <w:shd w:val="solid" w:color="000000" w:fill="000000"/>
                <w:fitText w:val="430" w:id="-1233405683"/>
                <w14:textFill>
                  <w14:solidFill>
                    <w14:srgbClr w14:val="000000">
                      <w14:alpha w14:val="100000"/>
                    </w14:srgbClr>
                  </w14:solidFill>
                </w14:textFill>
              </w:rPr>
              <w:t>|</w:t>
            </w:r>
            <w:r w:rsidRPr="00414FF3">
              <w:rPr>
                <w:vertAlign w:val="superscript"/>
              </w:rPr>
              <w:t>5</w:t>
            </w:r>
          </w:p>
        </w:tc>
      </w:tr>
      <w:tr w:rsidR="00880ABD" w:rsidRPr="00F6487D" w14:paraId="67DE5063" w14:textId="77777777" w:rsidTr="00F84DDB">
        <w:trPr>
          <w:cantSplit/>
        </w:trPr>
        <w:tc>
          <w:tcPr>
            <w:tcW w:w="154" w:type="pct"/>
          </w:tcPr>
          <w:p w14:paraId="09FB2BF8" w14:textId="77777777" w:rsidR="00880ABD" w:rsidRPr="00F6487D" w:rsidRDefault="00880ABD" w:rsidP="004E6008">
            <w:pPr>
              <w:spacing w:before="0" w:after="0"/>
              <w:rPr>
                <w:rFonts w:ascii="Arial Narrow" w:hAnsi="Arial Narrow" w:cs="Arial"/>
              </w:rPr>
            </w:pPr>
            <w:r w:rsidRPr="00F6487D">
              <w:rPr>
                <w:rFonts w:ascii="Arial Narrow" w:hAnsi="Arial Narrow" w:cs="Arial"/>
              </w:rPr>
              <w:t>H</w:t>
            </w:r>
          </w:p>
        </w:tc>
        <w:tc>
          <w:tcPr>
            <w:tcW w:w="1571" w:type="pct"/>
            <w:shd w:val="clear" w:color="auto" w:fill="auto"/>
            <w:vAlign w:val="center"/>
          </w:tcPr>
          <w:p w14:paraId="03D26EB6" w14:textId="77777777" w:rsidR="00880ABD" w:rsidRPr="00F6487D" w:rsidRDefault="00880ABD" w:rsidP="004E6008">
            <w:pPr>
              <w:spacing w:before="0" w:after="0"/>
              <w:rPr>
                <w:rFonts w:ascii="Arial Narrow" w:hAnsi="Arial Narrow" w:cs="Arial"/>
              </w:rPr>
            </w:pPr>
            <w:r w:rsidRPr="00F6487D">
              <w:rPr>
                <w:rFonts w:ascii="Arial Narrow" w:hAnsi="Arial Narrow" w:cs="Arial"/>
              </w:rPr>
              <w:t xml:space="preserve">Total no. patients </w:t>
            </w:r>
            <w:r>
              <w:rPr>
                <w:rFonts w:ascii="Arial Narrow" w:hAnsi="Arial Narrow" w:cs="Arial"/>
              </w:rPr>
              <w:t xml:space="preserve">currently </w:t>
            </w:r>
            <w:r w:rsidRPr="00F6487D">
              <w:rPr>
                <w:rFonts w:ascii="Arial Narrow" w:hAnsi="Arial Narrow" w:cs="Arial"/>
              </w:rPr>
              <w:t>tested (olaparib not available) (H = B + E)</w:t>
            </w:r>
          </w:p>
        </w:tc>
        <w:tc>
          <w:tcPr>
            <w:tcW w:w="545" w:type="pct"/>
            <w:shd w:val="clear" w:color="auto" w:fill="auto"/>
          </w:tcPr>
          <w:p w14:paraId="3AEDF6A3"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82"/>
                <w14:textFill>
                  <w14:solidFill>
                    <w14:srgbClr w14:val="000000">
                      <w14:alpha w14:val="100000"/>
                    </w14:srgbClr>
                  </w14:solidFill>
                </w14:textFill>
              </w:rPr>
              <w:t>|||||</w:t>
            </w:r>
            <w:r w:rsidRPr="00880ABD">
              <w:rPr>
                <w:color w:val="000000"/>
                <w:spacing w:val="5"/>
                <w:shd w:val="solid" w:color="000000" w:fill="000000"/>
                <w:fitText w:val="430" w:id="-1233405682"/>
                <w14:textFill>
                  <w14:solidFill>
                    <w14:srgbClr w14:val="000000">
                      <w14:alpha w14:val="100000"/>
                    </w14:srgbClr>
                  </w14:solidFill>
                </w14:textFill>
              </w:rPr>
              <w:t>|</w:t>
            </w:r>
            <w:r>
              <w:rPr>
                <w:vertAlign w:val="superscript"/>
              </w:rPr>
              <w:t>4</w:t>
            </w:r>
          </w:p>
        </w:tc>
        <w:tc>
          <w:tcPr>
            <w:tcW w:w="546" w:type="pct"/>
            <w:shd w:val="clear" w:color="auto" w:fill="auto"/>
          </w:tcPr>
          <w:p w14:paraId="561B9FBC"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81"/>
                <w14:textFill>
                  <w14:solidFill>
                    <w14:srgbClr w14:val="000000">
                      <w14:alpha w14:val="100000"/>
                    </w14:srgbClr>
                  </w14:solidFill>
                </w14:textFill>
              </w:rPr>
              <w:t>|||||</w:t>
            </w:r>
            <w:r w:rsidRPr="00880ABD">
              <w:rPr>
                <w:color w:val="000000"/>
                <w:spacing w:val="5"/>
                <w:shd w:val="solid" w:color="000000" w:fill="000000"/>
                <w:fitText w:val="430" w:id="-1233405681"/>
                <w14:textFill>
                  <w14:solidFill>
                    <w14:srgbClr w14:val="000000">
                      <w14:alpha w14:val="100000"/>
                    </w14:srgbClr>
                  </w14:solidFill>
                </w14:textFill>
              </w:rPr>
              <w:t>|</w:t>
            </w:r>
            <w:r>
              <w:rPr>
                <w:vertAlign w:val="superscript"/>
              </w:rPr>
              <w:t>4</w:t>
            </w:r>
          </w:p>
        </w:tc>
        <w:tc>
          <w:tcPr>
            <w:tcW w:w="545" w:type="pct"/>
            <w:shd w:val="clear" w:color="auto" w:fill="auto"/>
          </w:tcPr>
          <w:p w14:paraId="7CCBC4F0"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80"/>
                <w14:textFill>
                  <w14:solidFill>
                    <w14:srgbClr w14:val="000000">
                      <w14:alpha w14:val="100000"/>
                    </w14:srgbClr>
                  </w14:solidFill>
                </w14:textFill>
              </w:rPr>
              <w:t>|||||</w:t>
            </w:r>
            <w:r w:rsidRPr="00880ABD">
              <w:rPr>
                <w:color w:val="000000"/>
                <w:spacing w:val="5"/>
                <w:shd w:val="solid" w:color="000000" w:fill="000000"/>
                <w:fitText w:val="430" w:id="-1233405680"/>
                <w14:textFill>
                  <w14:solidFill>
                    <w14:srgbClr w14:val="000000">
                      <w14:alpha w14:val="100000"/>
                    </w14:srgbClr>
                  </w14:solidFill>
                </w14:textFill>
              </w:rPr>
              <w:t>|</w:t>
            </w:r>
            <w:r>
              <w:rPr>
                <w:vertAlign w:val="superscript"/>
              </w:rPr>
              <w:t>4</w:t>
            </w:r>
          </w:p>
        </w:tc>
        <w:tc>
          <w:tcPr>
            <w:tcW w:w="546" w:type="pct"/>
            <w:shd w:val="clear" w:color="auto" w:fill="auto"/>
          </w:tcPr>
          <w:p w14:paraId="304F1CA1"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6"/>
                <w14:textFill>
                  <w14:solidFill>
                    <w14:srgbClr w14:val="000000">
                      <w14:alpha w14:val="100000"/>
                    </w14:srgbClr>
                  </w14:solidFill>
                </w14:textFill>
              </w:rPr>
              <w:t>|||||</w:t>
            </w:r>
            <w:r w:rsidRPr="00880ABD">
              <w:rPr>
                <w:color w:val="000000"/>
                <w:spacing w:val="5"/>
                <w:shd w:val="solid" w:color="000000" w:fill="000000"/>
                <w:fitText w:val="430" w:id="-1233405696"/>
                <w14:textFill>
                  <w14:solidFill>
                    <w14:srgbClr w14:val="000000">
                      <w14:alpha w14:val="100000"/>
                    </w14:srgbClr>
                  </w14:solidFill>
                </w14:textFill>
              </w:rPr>
              <w:t>|</w:t>
            </w:r>
            <w:r>
              <w:rPr>
                <w:vertAlign w:val="superscript"/>
              </w:rPr>
              <w:t>4</w:t>
            </w:r>
          </w:p>
        </w:tc>
        <w:tc>
          <w:tcPr>
            <w:tcW w:w="545" w:type="pct"/>
            <w:shd w:val="clear" w:color="auto" w:fill="auto"/>
          </w:tcPr>
          <w:p w14:paraId="660A26A0"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5"/>
                <w14:textFill>
                  <w14:solidFill>
                    <w14:srgbClr w14:val="000000">
                      <w14:alpha w14:val="100000"/>
                    </w14:srgbClr>
                  </w14:solidFill>
                </w14:textFill>
              </w:rPr>
              <w:t>|||||</w:t>
            </w:r>
            <w:r w:rsidRPr="00880ABD">
              <w:rPr>
                <w:color w:val="000000"/>
                <w:spacing w:val="5"/>
                <w:shd w:val="solid" w:color="000000" w:fill="000000"/>
                <w:fitText w:val="430" w:id="-1233405695"/>
                <w14:textFill>
                  <w14:solidFill>
                    <w14:srgbClr w14:val="000000">
                      <w14:alpha w14:val="100000"/>
                    </w14:srgbClr>
                  </w14:solidFill>
                </w14:textFill>
              </w:rPr>
              <w:t>|</w:t>
            </w:r>
            <w:r>
              <w:rPr>
                <w:vertAlign w:val="superscript"/>
              </w:rPr>
              <w:t>4</w:t>
            </w:r>
          </w:p>
        </w:tc>
        <w:tc>
          <w:tcPr>
            <w:tcW w:w="548" w:type="pct"/>
          </w:tcPr>
          <w:p w14:paraId="2E78B5AC"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4"/>
                <w14:textFill>
                  <w14:solidFill>
                    <w14:srgbClr w14:val="000000">
                      <w14:alpha w14:val="100000"/>
                    </w14:srgbClr>
                  </w14:solidFill>
                </w14:textFill>
              </w:rPr>
              <w:t>|||||</w:t>
            </w:r>
            <w:r w:rsidRPr="00880ABD">
              <w:rPr>
                <w:color w:val="000000"/>
                <w:spacing w:val="5"/>
                <w:shd w:val="solid" w:color="000000" w:fill="000000"/>
                <w:fitText w:val="430" w:id="-1233405694"/>
                <w14:textFill>
                  <w14:solidFill>
                    <w14:srgbClr w14:val="000000">
                      <w14:alpha w14:val="100000"/>
                    </w14:srgbClr>
                  </w14:solidFill>
                </w14:textFill>
              </w:rPr>
              <w:t>|</w:t>
            </w:r>
            <w:r>
              <w:rPr>
                <w:vertAlign w:val="superscript"/>
              </w:rPr>
              <w:t>4</w:t>
            </w:r>
          </w:p>
        </w:tc>
      </w:tr>
      <w:tr w:rsidR="00880ABD" w:rsidRPr="00F6487D" w14:paraId="00102494" w14:textId="77777777" w:rsidTr="00F84DDB">
        <w:trPr>
          <w:cantSplit/>
        </w:trPr>
        <w:tc>
          <w:tcPr>
            <w:tcW w:w="154" w:type="pct"/>
          </w:tcPr>
          <w:p w14:paraId="56BEDC0D" w14:textId="77777777" w:rsidR="00880ABD" w:rsidRPr="00F6487D" w:rsidRDefault="00880ABD" w:rsidP="004E6008">
            <w:pPr>
              <w:spacing w:before="0" w:after="0"/>
              <w:rPr>
                <w:rFonts w:ascii="Arial Narrow" w:hAnsi="Arial Narrow" w:cs="Arial"/>
              </w:rPr>
            </w:pPr>
            <w:r w:rsidRPr="00F6487D">
              <w:rPr>
                <w:rFonts w:ascii="Arial Narrow" w:hAnsi="Arial Narrow" w:cs="Arial"/>
              </w:rPr>
              <w:t>I</w:t>
            </w:r>
          </w:p>
        </w:tc>
        <w:tc>
          <w:tcPr>
            <w:tcW w:w="1571" w:type="pct"/>
            <w:shd w:val="clear" w:color="auto" w:fill="auto"/>
            <w:vAlign w:val="center"/>
          </w:tcPr>
          <w:p w14:paraId="730CC2C0" w14:textId="77777777" w:rsidR="00880ABD" w:rsidRPr="00F6487D" w:rsidRDefault="00880ABD" w:rsidP="004E6008">
            <w:pPr>
              <w:spacing w:before="0" w:after="0"/>
              <w:rPr>
                <w:rFonts w:ascii="Arial Narrow" w:hAnsi="Arial Narrow" w:cs="Arial"/>
              </w:rPr>
            </w:pPr>
            <w:r>
              <w:rPr>
                <w:rFonts w:ascii="Arial Narrow" w:hAnsi="Arial Narrow" w:cs="Arial"/>
              </w:rPr>
              <w:t>PSCR</w:t>
            </w:r>
            <w:r w:rsidRPr="00F6487D">
              <w:rPr>
                <w:rFonts w:ascii="Arial Narrow" w:hAnsi="Arial Narrow" w:cs="Arial"/>
              </w:rPr>
              <w:t xml:space="preserve">’s estimate of change in testing [I = (G – H)] </w:t>
            </w:r>
            <w:r w:rsidRPr="00F6487D">
              <w:rPr>
                <w:rFonts w:ascii="Arial Narrow" w:hAnsi="Arial Narrow" w:cs="Arial"/>
                <w:vertAlign w:val="superscript"/>
              </w:rPr>
              <w:t>a</w:t>
            </w:r>
          </w:p>
        </w:tc>
        <w:tc>
          <w:tcPr>
            <w:tcW w:w="545" w:type="pct"/>
            <w:shd w:val="clear" w:color="auto" w:fill="auto"/>
          </w:tcPr>
          <w:p w14:paraId="4B982C65"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3"/>
                <w14:textFill>
                  <w14:solidFill>
                    <w14:srgbClr w14:val="000000">
                      <w14:alpha w14:val="100000"/>
                    </w14:srgbClr>
                  </w14:solidFill>
                </w14:textFill>
              </w:rPr>
              <w:t>|||||</w:t>
            </w:r>
            <w:r w:rsidRPr="00880ABD">
              <w:rPr>
                <w:color w:val="000000"/>
                <w:spacing w:val="5"/>
                <w:shd w:val="solid" w:color="000000" w:fill="000000"/>
                <w:fitText w:val="430" w:id="-1233405693"/>
                <w14:textFill>
                  <w14:solidFill>
                    <w14:srgbClr w14:val="000000">
                      <w14:alpha w14:val="100000"/>
                    </w14:srgbClr>
                  </w14:solidFill>
                </w14:textFill>
              </w:rPr>
              <w:t>|</w:t>
            </w:r>
            <w:r>
              <w:rPr>
                <w:vertAlign w:val="superscript"/>
              </w:rPr>
              <w:t>2</w:t>
            </w:r>
          </w:p>
        </w:tc>
        <w:tc>
          <w:tcPr>
            <w:tcW w:w="546" w:type="pct"/>
            <w:shd w:val="clear" w:color="auto" w:fill="auto"/>
          </w:tcPr>
          <w:p w14:paraId="27EC0738"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2"/>
                <w14:textFill>
                  <w14:solidFill>
                    <w14:srgbClr w14:val="000000">
                      <w14:alpha w14:val="100000"/>
                    </w14:srgbClr>
                  </w14:solidFill>
                </w14:textFill>
              </w:rPr>
              <w:t>|||||</w:t>
            </w:r>
            <w:r w:rsidRPr="00880ABD">
              <w:rPr>
                <w:color w:val="000000"/>
                <w:spacing w:val="5"/>
                <w:shd w:val="solid" w:color="000000" w:fill="000000"/>
                <w:fitText w:val="430" w:id="-1233405692"/>
                <w14:textFill>
                  <w14:solidFill>
                    <w14:srgbClr w14:val="000000">
                      <w14:alpha w14:val="100000"/>
                    </w14:srgbClr>
                  </w14:solidFill>
                </w14:textFill>
              </w:rPr>
              <w:t>|</w:t>
            </w:r>
            <w:r>
              <w:rPr>
                <w:vertAlign w:val="superscript"/>
              </w:rPr>
              <w:t>2</w:t>
            </w:r>
          </w:p>
        </w:tc>
        <w:tc>
          <w:tcPr>
            <w:tcW w:w="545" w:type="pct"/>
            <w:shd w:val="clear" w:color="auto" w:fill="auto"/>
          </w:tcPr>
          <w:p w14:paraId="24DDB1BB"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1"/>
                <w14:textFill>
                  <w14:solidFill>
                    <w14:srgbClr w14:val="000000">
                      <w14:alpha w14:val="100000"/>
                    </w14:srgbClr>
                  </w14:solidFill>
                </w14:textFill>
              </w:rPr>
              <w:t>|||||</w:t>
            </w:r>
            <w:r w:rsidRPr="00880ABD">
              <w:rPr>
                <w:color w:val="000000"/>
                <w:spacing w:val="5"/>
                <w:shd w:val="solid" w:color="000000" w:fill="000000"/>
                <w:fitText w:val="430" w:id="-1233405691"/>
                <w14:textFill>
                  <w14:solidFill>
                    <w14:srgbClr w14:val="000000">
                      <w14:alpha w14:val="100000"/>
                    </w14:srgbClr>
                  </w14:solidFill>
                </w14:textFill>
              </w:rPr>
              <w:t>|</w:t>
            </w:r>
            <w:r>
              <w:rPr>
                <w:vertAlign w:val="superscript"/>
              </w:rPr>
              <w:t>2</w:t>
            </w:r>
          </w:p>
        </w:tc>
        <w:tc>
          <w:tcPr>
            <w:tcW w:w="546" w:type="pct"/>
            <w:shd w:val="clear" w:color="auto" w:fill="auto"/>
          </w:tcPr>
          <w:p w14:paraId="67F82A39"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90"/>
                <w14:textFill>
                  <w14:solidFill>
                    <w14:srgbClr w14:val="000000">
                      <w14:alpha w14:val="100000"/>
                    </w14:srgbClr>
                  </w14:solidFill>
                </w14:textFill>
              </w:rPr>
              <w:t>|||||</w:t>
            </w:r>
            <w:r w:rsidRPr="00880ABD">
              <w:rPr>
                <w:color w:val="000000"/>
                <w:spacing w:val="5"/>
                <w:shd w:val="solid" w:color="000000" w:fill="000000"/>
                <w:fitText w:val="430" w:id="-1233405690"/>
                <w14:textFill>
                  <w14:solidFill>
                    <w14:srgbClr w14:val="000000">
                      <w14:alpha w14:val="100000"/>
                    </w14:srgbClr>
                  </w14:solidFill>
                </w14:textFill>
              </w:rPr>
              <w:t>|</w:t>
            </w:r>
            <w:r>
              <w:rPr>
                <w:vertAlign w:val="superscript"/>
              </w:rPr>
              <w:t>2</w:t>
            </w:r>
          </w:p>
        </w:tc>
        <w:tc>
          <w:tcPr>
            <w:tcW w:w="545" w:type="pct"/>
            <w:shd w:val="clear" w:color="auto" w:fill="auto"/>
          </w:tcPr>
          <w:p w14:paraId="3678BE00"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89"/>
                <w14:textFill>
                  <w14:solidFill>
                    <w14:srgbClr w14:val="000000">
                      <w14:alpha w14:val="100000"/>
                    </w14:srgbClr>
                  </w14:solidFill>
                </w14:textFill>
              </w:rPr>
              <w:t>|||||</w:t>
            </w:r>
            <w:r w:rsidRPr="00880ABD">
              <w:rPr>
                <w:color w:val="000000"/>
                <w:spacing w:val="5"/>
                <w:shd w:val="solid" w:color="000000" w:fill="000000"/>
                <w:fitText w:val="430" w:id="-1233405689"/>
                <w14:textFill>
                  <w14:solidFill>
                    <w14:srgbClr w14:val="000000">
                      <w14:alpha w14:val="100000"/>
                    </w14:srgbClr>
                  </w14:solidFill>
                </w14:textFill>
              </w:rPr>
              <w:t>|</w:t>
            </w:r>
            <w:r>
              <w:rPr>
                <w:vertAlign w:val="superscript"/>
              </w:rPr>
              <w:t>2</w:t>
            </w:r>
          </w:p>
        </w:tc>
        <w:tc>
          <w:tcPr>
            <w:tcW w:w="548" w:type="pct"/>
          </w:tcPr>
          <w:p w14:paraId="511DD20D" w14:textId="77777777" w:rsidR="00880ABD" w:rsidRPr="00F84DDB" w:rsidRDefault="00880ABD" w:rsidP="004E6008">
            <w:pPr>
              <w:pStyle w:val="Tabletext0"/>
              <w:spacing w:before="0" w:after="0"/>
              <w:jc w:val="center"/>
              <w:rPr>
                <w:vertAlign w:val="superscript"/>
              </w:rPr>
            </w:pPr>
            <w:r w:rsidRPr="00880ABD">
              <w:rPr>
                <w:color w:val="000000"/>
                <w:spacing w:val="34"/>
                <w:shd w:val="solid" w:color="000000" w:fill="000000"/>
                <w:fitText w:val="430" w:id="-1233405688"/>
                <w14:textFill>
                  <w14:solidFill>
                    <w14:srgbClr w14:val="000000">
                      <w14:alpha w14:val="100000"/>
                    </w14:srgbClr>
                  </w14:solidFill>
                </w14:textFill>
              </w:rPr>
              <w:t>|||||</w:t>
            </w:r>
            <w:r w:rsidRPr="00880ABD">
              <w:rPr>
                <w:color w:val="000000"/>
                <w:spacing w:val="5"/>
                <w:shd w:val="solid" w:color="000000" w:fill="000000"/>
                <w:fitText w:val="430" w:id="-1233405688"/>
                <w14:textFill>
                  <w14:solidFill>
                    <w14:srgbClr w14:val="000000">
                      <w14:alpha w14:val="100000"/>
                    </w14:srgbClr>
                  </w14:solidFill>
                </w14:textFill>
              </w:rPr>
              <w:t>|</w:t>
            </w:r>
            <w:r>
              <w:rPr>
                <w:vertAlign w:val="superscript"/>
              </w:rPr>
              <w:t>2</w:t>
            </w:r>
          </w:p>
        </w:tc>
      </w:tr>
      <w:tr w:rsidR="00880ABD" w:rsidRPr="00F6487D" w14:paraId="75FDED7D" w14:textId="77777777" w:rsidTr="00F84DDB">
        <w:trPr>
          <w:cantSplit/>
        </w:trPr>
        <w:tc>
          <w:tcPr>
            <w:tcW w:w="5000" w:type="pct"/>
            <w:gridSpan w:val="8"/>
            <w:vAlign w:val="center"/>
          </w:tcPr>
          <w:p w14:paraId="0657EBCE" w14:textId="77777777" w:rsidR="00880ABD" w:rsidRPr="004E5BF4" w:rsidRDefault="00880ABD" w:rsidP="004E6008">
            <w:pPr>
              <w:pStyle w:val="Tabletext0"/>
              <w:spacing w:before="0" w:after="0"/>
              <w:jc w:val="left"/>
              <w:rPr>
                <w:b/>
                <w:bCs/>
                <w:vertAlign w:val="superscript"/>
              </w:rPr>
            </w:pPr>
            <w:r w:rsidRPr="004E5BF4">
              <w:rPr>
                <w:b/>
                <w:bCs/>
              </w:rPr>
              <w:t>Utilisation used to calculate MBS implications</w:t>
            </w:r>
            <w:r>
              <w:rPr>
                <w:b/>
                <w:bCs/>
              </w:rPr>
              <w:t xml:space="preserve"> </w:t>
            </w:r>
            <w:r>
              <w:rPr>
                <w:b/>
                <w:bCs/>
                <w:vertAlign w:val="superscript"/>
              </w:rPr>
              <w:t>b</w:t>
            </w:r>
          </w:p>
        </w:tc>
      </w:tr>
      <w:tr w:rsidR="00880ABD" w:rsidRPr="00F6487D" w14:paraId="5388F3C3" w14:textId="77777777" w:rsidTr="00F84DDB">
        <w:trPr>
          <w:cantSplit/>
        </w:trPr>
        <w:tc>
          <w:tcPr>
            <w:tcW w:w="154" w:type="pct"/>
          </w:tcPr>
          <w:p w14:paraId="298CCFFD" w14:textId="77777777" w:rsidR="00880ABD" w:rsidRPr="00F6487D" w:rsidRDefault="00880ABD" w:rsidP="004E6008">
            <w:pPr>
              <w:spacing w:before="0" w:after="0"/>
              <w:rPr>
                <w:rFonts w:ascii="Arial Narrow" w:hAnsi="Arial Narrow" w:cs="Arial"/>
              </w:rPr>
            </w:pPr>
            <w:r w:rsidRPr="00F6487D">
              <w:rPr>
                <w:rFonts w:ascii="Arial Narrow" w:hAnsi="Arial Narrow" w:cs="Arial"/>
              </w:rPr>
              <w:t>J</w:t>
            </w:r>
          </w:p>
        </w:tc>
        <w:tc>
          <w:tcPr>
            <w:tcW w:w="1571" w:type="pct"/>
            <w:shd w:val="clear" w:color="auto" w:fill="auto"/>
          </w:tcPr>
          <w:p w14:paraId="1A13DCD4" w14:textId="77777777" w:rsidR="00880ABD" w:rsidRDefault="00880ABD" w:rsidP="004E6008">
            <w:pPr>
              <w:spacing w:before="0" w:after="0"/>
              <w:rPr>
                <w:rFonts w:ascii="Arial Narrow" w:hAnsi="Arial Narrow" w:cs="Arial"/>
              </w:rPr>
            </w:pPr>
            <w:r>
              <w:rPr>
                <w:rFonts w:ascii="Arial Narrow" w:hAnsi="Arial Narrow" w:cs="Arial"/>
              </w:rPr>
              <w:t xml:space="preserve">PSCR’s estimated increase in </w:t>
            </w:r>
            <w:r w:rsidRPr="004E5BF4">
              <w:rPr>
                <w:rFonts w:ascii="Arial Narrow" w:hAnsi="Arial Narrow" w:cs="Arial"/>
                <w:i/>
                <w:iCs/>
              </w:rPr>
              <w:t>BRCA</w:t>
            </w:r>
            <w:r>
              <w:rPr>
                <w:rFonts w:ascii="Arial Narrow" w:hAnsi="Arial Narrow" w:cs="Arial"/>
              </w:rPr>
              <w:t xml:space="preserve"> testing (derivation unclear)</w:t>
            </w:r>
          </w:p>
        </w:tc>
        <w:tc>
          <w:tcPr>
            <w:tcW w:w="545" w:type="pct"/>
            <w:shd w:val="clear" w:color="auto" w:fill="auto"/>
          </w:tcPr>
          <w:p w14:paraId="070B622C" w14:textId="77777777" w:rsidR="00880ABD" w:rsidRPr="00E922C6" w:rsidRDefault="00880ABD" w:rsidP="004E6008">
            <w:pPr>
              <w:pStyle w:val="Tabletext0"/>
              <w:spacing w:before="0" w:after="0"/>
              <w:jc w:val="center"/>
            </w:pPr>
            <w:r w:rsidRPr="00880ABD">
              <w:rPr>
                <w:color w:val="000000"/>
                <w:spacing w:val="34"/>
                <w:shd w:val="solid" w:color="000000" w:fill="000000"/>
                <w:fitText w:val="430" w:id="-1233405687"/>
                <w14:textFill>
                  <w14:solidFill>
                    <w14:srgbClr w14:val="000000">
                      <w14:alpha w14:val="100000"/>
                    </w14:srgbClr>
                  </w14:solidFill>
                </w14:textFill>
              </w:rPr>
              <w:t>|||||</w:t>
            </w:r>
            <w:r w:rsidRPr="00880ABD">
              <w:rPr>
                <w:color w:val="000000"/>
                <w:spacing w:val="5"/>
                <w:shd w:val="solid" w:color="000000" w:fill="000000"/>
                <w:fitText w:val="430" w:id="-1233405687"/>
                <w14:textFill>
                  <w14:solidFill>
                    <w14:srgbClr w14:val="000000">
                      <w14:alpha w14:val="100000"/>
                    </w14:srgbClr>
                  </w14:solidFill>
                </w14:textFill>
              </w:rPr>
              <w:t>|</w:t>
            </w:r>
            <w:r>
              <w:rPr>
                <w:vertAlign w:val="superscript"/>
              </w:rPr>
              <w:t>2</w:t>
            </w:r>
            <w:r w:rsidRPr="0060080A">
              <w:t xml:space="preserve"> </w:t>
            </w:r>
          </w:p>
        </w:tc>
        <w:tc>
          <w:tcPr>
            <w:tcW w:w="546" w:type="pct"/>
            <w:shd w:val="clear" w:color="auto" w:fill="auto"/>
          </w:tcPr>
          <w:p w14:paraId="5AC1EB74" w14:textId="77777777" w:rsidR="00880ABD" w:rsidRPr="00E922C6" w:rsidRDefault="00880ABD" w:rsidP="004E6008">
            <w:pPr>
              <w:pStyle w:val="Tabletext0"/>
              <w:spacing w:before="0" w:after="0"/>
              <w:jc w:val="center"/>
            </w:pPr>
            <w:r w:rsidRPr="00880ABD">
              <w:rPr>
                <w:color w:val="000000"/>
                <w:spacing w:val="34"/>
                <w:shd w:val="solid" w:color="000000" w:fill="000000"/>
                <w:fitText w:val="430" w:id="-1233405686"/>
                <w14:textFill>
                  <w14:solidFill>
                    <w14:srgbClr w14:val="000000">
                      <w14:alpha w14:val="100000"/>
                    </w14:srgbClr>
                  </w14:solidFill>
                </w14:textFill>
              </w:rPr>
              <w:t>|||||</w:t>
            </w:r>
            <w:r w:rsidRPr="00880ABD">
              <w:rPr>
                <w:color w:val="000000"/>
                <w:spacing w:val="5"/>
                <w:shd w:val="solid" w:color="000000" w:fill="000000"/>
                <w:fitText w:val="430" w:id="-1233405686"/>
                <w14:textFill>
                  <w14:solidFill>
                    <w14:srgbClr w14:val="000000">
                      <w14:alpha w14:val="100000"/>
                    </w14:srgbClr>
                  </w14:solidFill>
                </w14:textFill>
              </w:rPr>
              <w:t>|</w:t>
            </w:r>
            <w:r>
              <w:rPr>
                <w:vertAlign w:val="superscript"/>
              </w:rPr>
              <w:t>2</w:t>
            </w:r>
            <w:r w:rsidRPr="0060080A">
              <w:t xml:space="preserve"> </w:t>
            </w:r>
          </w:p>
        </w:tc>
        <w:tc>
          <w:tcPr>
            <w:tcW w:w="545" w:type="pct"/>
            <w:shd w:val="clear" w:color="auto" w:fill="auto"/>
          </w:tcPr>
          <w:p w14:paraId="5C72A731" w14:textId="77777777" w:rsidR="00880ABD" w:rsidRPr="00E922C6" w:rsidRDefault="00880ABD" w:rsidP="004E6008">
            <w:pPr>
              <w:pStyle w:val="Tabletext0"/>
              <w:spacing w:before="0" w:after="0"/>
              <w:jc w:val="center"/>
            </w:pPr>
            <w:r w:rsidRPr="00880ABD">
              <w:rPr>
                <w:color w:val="000000"/>
                <w:spacing w:val="34"/>
                <w:shd w:val="solid" w:color="000000" w:fill="000000"/>
                <w:fitText w:val="430" w:id="-1233405685"/>
                <w14:textFill>
                  <w14:solidFill>
                    <w14:srgbClr w14:val="000000">
                      <w14:alpha w14:val="100000"/>
                    </w14:srgbClr>
                  </w14:solidFill>
                </w14:textFill>
              </w:rPr>
              <w:t>|||||</w:t>
            </w:r>
            <w:r w:rsidRPr="00880ABD">
              <w:rPr>
                <w:color w:val="000000"/>
                <w:spacing w:val="5"/>
                <w:shd w:val="solid" w:color="000000" w:fill="000000"/>
                <w:fitText w:val="430" w:id="-1233405685"/>
                <w14:textFill>
                  <w14:solidFill>
                    <w14:srgbClr w14:val="000000">
                      <w14:alpha w14:val="100000"/>
                    </w14:srgbClr>
                  </w14:solidFill>
                </w14:textFill>
              </w:rPr>
              <w:t>|</w:t>
            </w:r>
            <w:r>
              <w:rPr>
                <w:vertAlign w:val="superscript"/>
              </w:rPr>
              <w:t>2</w:t>
            </w:r>
            <w:r w:rsidRPr="0060080A">
              <w:t xml:space="preserve"> </w:t>
            </w:r>
          </w:p>
        </w:tc>
        <w:tc>
          <w:tcPr>
            <w:tcW w:w="546" w:type="pct"/>
            <w:shd w:val="clear" w:color="auto" w:fill="auto"/>
          </w:tcPr>
          <w:p w14:paraId="3584EBC7" w14:textId="77777777" w:rsidR="00880ABD" w:rsidRPr="00E922C6" w:rsidRDefault="00880ABD" w:rsidP="004E6008">
            <w:pPr>
              <w:pStyle w:val="Tabletext0"/>
              <w:spacing w:before="0" w:after="0"/>
              <w:jc w:val="center"/>
            </w:pPr>
            <w:r w:rsidRPr="00880ABD">
              <w:rPr>
                <w:color w:val="000000"/>
                <w:spacing w:val="34"/>
                <w:shd w:val="solid" w:color="000000" w:fill="000000"/>
                <w:fitText w:val="430" w:id="-1233405684"/>
                <w14:textFill>
                  <w14:solidFill>
                    <w14:srgbClr w14:val="000000">
                      <w14:alpha w14:val="100000"/>
                    </w14:srgbClr>
                  </w14:solidFill>
                </w14:textFill>
              </w:rPr>
              <w:t>|||||</w:t>
            </w:r>
            <w:r w:rsidRPr="00880ABD">
              <w:rPr>
                <w:color w:val="000000"/>
                <w:spacing w:val="5"/>
                <w:shd w:val="solid" w:color="000000" w:fill="000000"/>
                <w:fitText w:val="430" w:id="-1233405684"/>
                <w14:textFill>
                  <w14:solidFill>
                    <w14:srgbClr w14:val="000000">
                      <w14:alpha w14:val="100000"/>
                    </w14:srgbClr>
                  </w14:solidFill>
                </w14:textFill>
              </w:rPr>
              <w:t>|</w:t>
            </w:r>
            <w:r>
              <w:rPr>
                <w:vertAlign w:val="superscript"/>
              </w:rPr>
              <w:t>2</w:t>
            </w:r>
            <w:r w:rsidRPr="0060080A">
              <w:t xml:space="preserve"> </w:t>
            </w:r>
          </w:p>
        </w:tc>
        <w:tc>
          <w:tcPr>
            <w:tcW w:w="545" w:type="pct"/>
            <w:shd w:val="clear" w:color="auto" w:fill="auto"/>
          </w:tcPr>
          <w:p w14:paraId="4755F720" w14:textId="77777777" w:rsidR="00880ABD" w:rsidRPr="00E922C6" w:rsidRDefault="00880ABD" w:rsidP="004E6008">
            <w:pPr>
              <w:pStyle w:val="Tabletext0"/>
              <w:spacing w:before="0" w:after="0"/>
              <w:jc w:val="center"/>
            </w:pPr>
            <w:r w:rsidRPr="00880ABD">
              <w:rPr>
                <w:color w:val="000000"/>
                <w:spacing w:val="34"/>
                <w:shd w:val="solid" w:color="000000" w:fill="000000"/>
                <w:fitText w:val="430" w:id="-1233405683"/>
                <w14:textFill>
                  <w14:solidFill>
                    <w14:srgbClr w14:val="000000">
                      <w14:alpha w14:val="100000"/>
                    </w14:srgbClr>
                  </w14:solidFill>
                </w14:textFill>
              </w:rPr>
              <w:t>|||||</w:t>
            </w:r>
            <w:r w:rsidRPr="00880ABD">
              <w:rPr>
                <w:color w:val="000000"/>
                <w:spacing w:val="5"/>
                <w:shd w:val="solid" w:color="000000" w:fill="000000"/>
                <w:fitText w:val="430" w:id="-1233405683"/>
                <w14:textFill>
                  <w14:solidFill>
                    <w14:srgbClr w14:val="000000">
                      <w14:alpha w14:val="100000"/>
                    </w14:srgbClr>
                  </w14:solidFill>
                </w14:textFill>
              </w:rPr>
              <w:t>|</w:t>
            </w:r>
            <w:r>
              <w:rPr>
                <w:vertAlign w:val="superscript"/>
              </w:rPr>
              <w:t>2</w:t>
            </w:r>
            <w:r w:rsidRPr="0060080A">
              <w:t xml:space="preserve"> </w:t>
            </w:r>
          </w:p>
        </w:tc>
        <w:tc>
          <w:tcPr>
            <w:tcW w:w="548" w:type="pct"/>
          </w:tcPr>
          <w:p w14:paraId="47F66B8E" w14:textId="77777777" w:rsidR="00880ABD" w:rsidRPr="00E922C6" w:rsidRDefault="00880ABD" w:rsidP="004E6008">
            <w:pPr>
              <w:pStyle w:val="Tabletext0"/>
              <w:spacing w:before="0" w:after="0"/>
              <w:jc w:val="center"/>
            </w:pPr>
            <w:r w:rsidRPr="00880ABD">
              <w:rPr>
                <w:color w:val="000000"/>
                <w:spacing w:val="34"/>
                <w:shd w:val="solid" w:color="000000" w:fill="000000"/>
                <w:fitText w:val="430" w:id="-1233405682"/>
                <w14:textFill>
                  <w14:solidFill>
                    <w14:srgbClr w14:val="000000">
                      <w14:alpha w14:val="100000"/>
                    </w14:srgbClr>
                  </w14:solidFill>
                </w14:textFill>
              </w:rPr>
              <w:t>|||||</w:t>
            </w:r>
            <w:r w:rsidRPr="00880ABD">
              <w:rPr>
                <w:color w:val="000000"/>
                <w:spacing w:val="5"/>
                <w:shd w:val="solid" w:color="000000" w:fill="000000"/>
                <w:fitText w:val="430" w:id="-1233405682"/>
                <w14:textFill>
                  <w14:solidFill>
                    <w14:srgbClr w14:val="000000">
                      <w14:alpha w14:val="100000"/>
                    </w14:srgbClr>
                  </w14:solidFill>
                </w14:textFill>
              </w:rPr>
              <w:t>|</w:t>
            </w:r>
            <w:r>
              <w:rPr>
                <w:vertAlign w:val="superscript"/>
              </w:rPr>
              <w:t>2</w:t>
            </w:r>
            <w:r w:rsidRPr="0060080A">
              <w:t xml:space="preserve"> </w:t>
            </w:r>
          </w:p>
        </w:tc>
      </w:tr>
      <w:tr w:rsidR="00880ABD" w:rsidRPr="00F6487D" w14:paraId="3F9C256D" w14:textId="77777777" w:rsidTr="00F84DDB">
        <w:trPr>
          <w:cantSplit/>
        </w:trPr>
        <w:tc>
          <w:tcPr>
            <w:tcW w:w="154" w:type="pct"/>
          </w:tcPr>
          <w:p w14:paraId="47FC5D20" w14:textId="77777777" w:rsidR="00880ABD" w:rsidRPr="00F6487D" w:rsidRDefault="00880ABD" w:rsidP="004E6008">
            <w:pPr>
              <w:spacing w:before="0" w:after="0"/>
              <w:rPr>
                <w:rFonts w:ascii="Arial Narrow" w:hAnsi="Arial Narrow" w:cs="Arial"/>
              </w:rPr>
            </w:pPr>
            <w:r>
              <w:rPr>
                <w:rFonts w:ascii="Arial Narrow" w:hAnsi="Arial Narrow" w:cs="Arial"/>
              </w:rPr>
              <w:t>K</w:t>
            </w:r>
          </w:p>
        </w:tc>
        <w:tc>
          <w:tcPr>
            <w:tcW w:w="1571" w:type="pct"/>
            <w:shd w:val="clear" w:color="auto" w:fill="auto"/>
          </w:tcPr>
          <w:p w14:paraId="378D73EF" w14:textId="77777777" w:rsidR="00880ABD" w:rsidRPr="00F6487D" w:rsidRDefault="00880ABD" w:rsidP="004E6008">
            <w:pPr>
              <w:spacing w:before="0" w:after="0"/>
              <w:rPr>
                <w:rFonts w:ascii="Arial Narrow" w:hAnsi="Arial Narrow" w:cs="Arial"/>
              </w:rPr>
            </w:pPr>
            <w:r>
              <w:rPr>
                <w:rFonts w:ascii="Arial Narrow" w:hAnsi="Arial Narrow" w:cs="Arial"/>
              </w:rPr>
              <w:t xml:space="preserve">PSCR’s estimated decrease in </w:t>
            </w:r>
            <w:r w:rsidRPr="0098070C">
              <w:rPr>
                <w:rFonts w:ascii="Arial Narrow" w:hAnsi="Arial Narrow" w:cs="Arial"/>
                <w:i/>
                <w:iCs/>
              </w:rPr>
              <w:t>BRCA</w:t>
            </w:r>
            <w:r>
              <w:rPr>
                <w:rFonts w:ascii="Arial Narrow" w:hAnsi="Arial Narrow" w:cs="Arial"/>
              </w:rPr>
              <w:t xml:space="preserve"> testing (derivation unclear)</w:t>
            </w:r>
          </w:p>
        </w:tc>
        <w:tc>
          <w:tcPr>
            <w:tcW w:w="545" w:type="pct"/>
            <w:shd w:val="clear" w:color="auto" w:fill="auto"/>
          </w:tcPr>
          <w:p w14:paraId="48A57376" w14:textId="77777777" w:rsidR="00880ABD" w:rsidRPr="00F84DDB" w:rsidRDefault="00880ABD" w:rsidP="004E6008">
            <w:pPr>
              <w:pStyle w:val="Tabletext0"/>
              <w:spacing w:before="0" w:after="0"/>
              <w:jc w:val="center"/>
              <w:rPr>
                <w:rFonts w:cs="Arial"/>
                <w:color w:val="000000"/>
                <w:vertAlign w:val="superscript"/>
              </w:rPr>
            </w:pPr>
            <w:r w:rsidRPr="000A5A47">
              <w:t>-</w:t>
            </w:r>
            <w:r w:rsidRPr="00880ABD">
              <w:rPr>
                <w:color w:val="000000"/>
                <w:spacing w:val="42"/>
                <w:shd w:val="solid" w:color="000000" w:fill="000000"/>
                <w:fitText w:val="470" w:id="-1233405681"/>
                <w14:textFill>
                  <w14:solidFill>
                    <w14:srgbClr w14:val="000000">
                      <w14:alpha w14:val="100000"/>
                    </w14:srgbClr>
                  </w14:solidFill>
                </w14:textFill>
              </w:rPr>
              <w:t>|||||</w:t>
            </w:r>
            <w:r w:rsidRPr="00880ABD">
              <w:rPr>
                <w:color w:val="000000"/>
                <w:spacing w:val="5"/>
                <w:shd w:val="solid" w:color="000000" w:fill="000000"/>
                <w:fitText w:val="470" w:id="-1233405681"/>
                <w14:textFill>
                  <w14:solidFill>
                    <w14:srgbClr w14:val="000000">
                      <w14:alpha w14:val="100000"/>
                    </w14:srgbClr>
                  </w14:solidFill>
                </w14:textFill>
              </w:rPr>
              <w:t>|</w:t>
            </w:r>
            <w:r>
              <w:rPr>
                <w:vertAlign w:val="superscript"/>
              </w:rPr>
              <w:t>2</w:t>
            </w:r>
          </w:p>
        </w:tc>
        <w:tc>
          <w:tcPr>
            <w:tcW w:w="546" w:type="pct"/>
            <w:shd w:val="clear" w:color="auto" w:fill="auto"/>
          </w:tcPr>
          <w:p w14:paraId="0E4B5554" w14:textId="77777777" w:rsidR="00880ABD" w:rsidRPr="00F84DDB" w:rsidRDefault="00880ABD" w:rsidP="004E6008">
            <w:pPr>
              <w:pStyle w:val="Tabletext0"/>
              <w:spacing w:before="0" w:after="0"/>
              <w:jc w:val="center"/>
              <w:rPr>
                <w:rFonts w:cs="Arial"/>
                <w:color w:val="000000"/>
                <w:vertAlign w:val="superscript"/>
              </w:rPr>
            </w:pPr>
            <w:r w:rsidRPr="000A5A47">
              <w:t>-</w:t>
            </w:r>
            <w:r w:rsidRPr="00880ABD">
              <w:rPr>
                <w:color w:val="000000"/>
                <w:spacing w:val="42"/>
                <w:shd w:val="solid" w:color="000000" w:fill="000000"/>
                <w:fitText w:val="470" w:id="-1233405680"/>
                <w14:textFill>
                  <w14:solidFill>
                    <w14:srgbClr w14:val="000000">
                      <w14:alpha w14:val="100000"/>
                    </w14:srgbClr>
                  </w14:solidFill>
                </w14:textFill>
              </w:rPr>
              <w:t>|||||</w:t>
            </w:r>
            <w:r w:rsidRPr="00880ABD">
              <w:rPr>
                <w:color w:val="000000"/>
                <w:spacing w:val="5"/>
                <w:shd w:val="solid" w:color="000000" w:fill="000000"/>
                <w:fitText w:val="470" w:id="-1233405680"/>
                <w14:textFill>
                  <w14:solidFill>
                    <w14:srgbClr w14:val="000000">
                      <w14:alpha w14:val="100000"/>
                    </w14:srgbClr>
                  </w14:solidFill>
                </w14:textFill>
              </w:rPr>
              <w:t>|</w:t>
            </w:r>
            <w:r>
              <w:rPr>
                <w:vertAlign w:val="superscript"/>
              </w:rPr>
              <w:t>2</w:t>
            </w:r>
          </w:p>
        </w:tc>
        <w:tc>
          <w:tcPr>
            <w:tcW w:w="545" w:type="pct"/>
            <w:shd w:val="clear" w:color="auto" w:fill="auto"/>
          </w:tcPr>
          <w:p w14:paraId="7B153AB9" w14:textId="77777777" w:rsidR="00880ABD" w:rsidRPr="00F84DDB" w:rsidRDefault="00880ABD" w:rsidP="004E6008">
            <w:pPr>
              <w:pStyle w:val="Tabletext0"/>
              <w:spacing w:before="0" w:after="0"/>
              <w:jc w:val="center"/>
              <w:rPr>
                <w:rFonts w:cs="Arial"/>
                <w:color w:val="000000"/>
                <w:vertAlign w:val="superscript"/>
              </w:rPr>
            </w:pPr>
            <w:r w:rsidRPr="000A5A47">
              <w:t>-</w:t>
            </w:r>
            <w:r w:rsidRPr="00880ABD">
              <w:rPr>
                <w:color w:val="000000"/>
                <w:spacing w:val="42"/>
                <w:shd w:val="solid" w:color="000000" w:fill="000000"/>
                <w:fitText w:val="470" w:id="-1233405696"/>
                <w14:textFill>
                  <w14:solidFill>
                    <w14:srgbClr w14:val="000000">
                      <w14:alpha w14:val="100000"/>
                    </w14:srgbClr>
                  </w14:solidFill>
                </w14:textFill>
              </w:rPr>
              <w:t>|||||</w:t>
            </w:r>
            <w:r w:rsidRPr="00880ABD">
              <w:rPr>
                <w:color w:val="000000"/>
                <w:spacing w:val="5"/>
                <w:shd w:val="solid" w:color="000000" w:fill="000000"/>
                <w:fitText w:val="470" w:id="-1233405696"/>
                <w14:textFill>
                  <w14:solidFill>
                    <w14:srgbClr w14:val="000000">
                      <w14:alpha w14:val="100000"/>
                    </w14:srgbClr>
                  </w14:solidFill>
                </w14:textFill>
              </w:rPr>
              <w:t>|</w:t>
            </w:r>
            <w:r>
              <w:rPr>
                <w:vertAlign w:val="superscript"/>
              </w:rPr>
              <w:t>2</w:t>
            </w:r>
          </w:p>
        </w:tc>
        <w:tc>
          <w:tcPr>
            <w:tcW w:w="546" w:type="pct"/>
            <w:shd w:val="clear" w:color="auto" w:fill="auto"/>
          </w:tcPr>
          <w:p w14:paraId="787AC8C9" w14:textId="77777777" w:rsidR="00880ABD" w:rsidRPr="00F6487D" w:rsidRDefault="00880ABD" w:rsidP="004E6008">
            <w:pPr>
              <w:pStyle w:val="Tabletext0"/>
              <w:spacing w:before="0" w:after="0"/>
              <w:jc w:val="center"/>
              <w:rPr>
                <w:rFonts w:cs="Arial"/>
                <w:color w:val="000000"/>
              </w:rPr>
            </w:pPr>
            <w:r w:rsidRPr="000A5A47">
              <w:t>-</w:t>
            </w:r>
            <w:r w:rsidRPr="00880ABD">
              <w:rPr>
                <w:color w:val="000000"/>
                <w:spacing w:val="36"/>
                <w:shd w:val="solid" w:color="000000" w:fill="000000"/>
                <w:fitText w:val="440" w:id="-1233405695"/>
                <w14:textFill>
                  <w14:solidFill>
                    <w14:srgbClr w14:val="000000">
                      <w14:alpha w14:val="100000"/>
                    </w14:srgbClr>
                  </w14:solidFill>
                </w14:textFill>
              </w:rPr>
              <w:t>|||||</w:t>
            </w:r>
            <w:r w:rsidRPr="00880ABD">
              <w:rPr>
                <w:color w:val="000000"/>
                <w:spacing w:val="5"/>
                <w:shd w:val="solid" w:color="000000" w:fill="000000"/>
                <w:fitText w:val="440" w:id="-1233405695"/>
                <w14:textFill>
                  <w14:solidFill>
                    <w14:srgbClr w14:val="000000">
                      <w14:alpha w14:val="100000"/>
                    </w14:srgbClr>
                  </w14:solidFill>
                </w14:textFill>
              </w:rPr>
              <w:t>|</w:t>
            </w:r>
          </w:p>
        </w:tc>
        <w:tc>
          <w:tcPr>
            <w:tcW w:w="545" w:type="pct"/>
            <w:shd w:val="clear" w:color="auto" w:fill="auto"/>
          </w:tcPr>
          <w:p w14:paraId="1975B158" w14:textId="77777777" w:rsidR="00880ABD" w:rsidRPr="00F6487D" w:rsidRDefault="00880ABD" w:rsidP="004E6008">
            <w:pPr>
              <w:pStyle w:val="Tabletext0"/>
              <w:spacing w:before="0" w:after="0"/>
              <w:jc w:val="center"/>
              <w:rPr>
                <w:rFonts w:cs="Arial"/>
                <w:color w:val="000000"/>
              </w:rPr>
            </w:pPr>
            <w:r w:rsidRPr="000A5A47">
              <w:t>-</w:t>
            </w:r>
            <w:r w:rsidRPr="00880ABD">
              <w:rPr>
                <w:color w:val="000000"/>
                <w:spacing w:val="36"/>
                <w:shd w:val="solid" w:color="000000" w:fill="000000"/>
                <w:fitText w:val="440" w:id="-1233405694"/>
                <w14:textFill>
                  <w14:solidFill>
                    <w14:srgbClr w14:val="000000">
                      <w14:alpha w14:val="100000"/>
                    </w14:srgbClr>
                  </w14:solidFill>
                </w14:textFill>
              </w:rPr>
              <w:t>|||||</w:t>
            </w:r>
            <w:r w:rsidRPr="00880ABD">
              <w:rPr>
                <w:color w:val="000000"/>
                <w:spacing w:val="5"/>
                <w:shd w:val="solid" w:color="000000" w:fill="000000"/>
                <w:fitText w:val="440" w:id="-1233405694"/>
                <w14:textFill>
                  <w14:solidFill>
                    <w14:srgbClr w14:val="000000">
                      <w14:alpha w14:val="100000"/>
                    </w14:srgbClr>
                  </w14:solidFill>
                </w14:textFill>
              </w:rPr>
              <w:t>|</w:t>
            </w:r>
          </w:p>
        </w:tc>
        <w:tc>
          <w:tcPr>
            <w:tcW w:w="548" w:type="pct"/>
          </w:tcPr>
          <w:p w14:paraId="53214D37" w14:textId="77777777" w:rsidR="00880ABD" w:rsidRPr="00F6487D" w:rsidRDefault="00880ABD" w:rsidP="004E6008">
            <w:pPr>
              <w:pStyle w:val="Tabletext0"/>
              <w:spacing w:before="0" w:after="0"/>
              <w:jc w:val="center"/>
              <w:rPr>
                <w:rFonts w:cs="Arial"/>
                <w:color w:val="000000"/>
              </w:rPr>
            </w:pPr>
            <w:r w:rsidRPr="000A5A47">
              <w:t>-</w:t>
            </w:r>
            <w:r w:rsidRPr="00880ABD">
              <w:rPr>
                <w:color w:val="000000"/>
                <w:spacing w:val="36"/>
                <w:shd w:val="solid" w:color="000000" w:fill="000000"/>
                <w:fitText w:val="440" w:id="-1233405693"/>
                <w14:textFill>
                  <w14:solidFill>
                    <w14:srgbClr w14:val="000000">
                      <w14:alpha w14:val="100000"/>
                    </w14:srgbClr>
                  </w14:solidFill>
                </w14:textFill>
              </w:rPr>
              <w:t>|||||</w:t>
            </w:r>
            <w:r w:rsidRPr="00880ABD">
              <w:rPr>
                <w:color w:val="000000"/>
                <w:spacing w:val="5"/>
                <w:shd w:val="solid" w:color="000000" w:fill="000000"/>
                <w:fitText w:val="440" w:id="-1233405693"/>
                <w14:textFill>
                  <w14:solidFill>
                    <w14:srgbClr w14:val="000000">
                      <w14:alpha w14:val="100000"/>
                    </w14:srgbClr>
                  </w14:solidFill>
                </w14:textFill>
              </w:rPr>
              <w:t>|</w:t>
            </w:r>
          </w:p>
        </w:tc>
      </w:tr>
      <w:tr w:rsidR="00880ABD" w:rsidRPr="00F6487D" w14:paraId="04F4C1D4" w14:textId="77777777" w:rsidTr="00F84DDB">
        <w:trPr>
          <w:cantSplit/>
        </w:trPr>
        <w:tc>
          <w:tcPr>
            <w:tcW w:w="154" w:type="pct"/>
          </w:tcPr>
          <w:p w14:paraId="64549665" w14:textId="77777777" w:rsidR="00880ABD" w:rsidRPr="00F6487D" w:rsidRDefault="00880ABD" w:rsidP="004E6008">
            <w:pPr>
              <w:spacing w:before="0" w:after="0"/>
              <w:rPr>
                <w:rFonts w:ascii="Arial Narrow" w:hAnsi="Arial Narrow" w:cs="Arial"/>
              </w:rPr>
            </w:pPr>
            <w:r>
              <w:rPr>
                <w:rFonts w:ascii="Arial Narrow" w:hAnsi="Arial Narrow" w:cs="Arial"/>
              </w:rPr>
              <w:t>L</w:t>
            </w:r>
          </w:p>
        </w:tc>
        <w:tc>
          <w:tcPr>
            <w:tcW w:w="1571" w:type="pct"/>
            <w:shd w:val="clear" w:color="auto" w:fill="auto"/>
          </w:tcPr>
          <w:p w14:paraId="1C1A8BB1" w14:textId="77777777" w:rsidR="00880ABD" w:rsidRPr="00F6487D" w:rsidRDefault="00880ABD" w:rsidP="004E6008">
            <w:pPr>
              <w:spacing w:before="0" w:after="0"/>
              <w:rPr>
                <w:rFonts w:ascii="Arial Narrow" w:hAnsi="Arial Narrow" w:cs="Arial"/>
              </w:rPr>
            </w:pPr>
            <w:r w:rsidRPr="000D6198">
              <w:rPr>
                <w:rFonts w:ascii="Arial Narrow" w:hAnsi="Arial Narrow" w:cs="Arial"/>
              </w:rPr>
              <w:t>PSCR’s estimated decrease in BRCA testing</w:t>
            </w:r>
            <w:r>
              <w:rPr>
                <w:rFonts w:ascii="Arial Narrow" w:hAnsi="Arial Narrow" w:cs="Arial"/>
              </w:rPr>
              <w:t xml:space="preserve"> (J-K)</w:t>
            </w:r>
          </w:p>
        </w:tc>
        <w:tc>
          <w:tcPr>
            <w:tcW w:w="545" w:type="pct"/>
            <w:shd w:val="clear" w:color="auto" w:fill="auto"/>
          </w:tcPr>
          <w:p w14:paraId="416DC776" w14:textId="77777777" w:rsidR="00880ABD" w:rsidRPr="00F6487D" w:rsidRDefault="00880ABD" w:rsidP="004E6008">
            <w:pPr>
              <w:pStyle w:val="Tabletext0"/>
              <w:spacing w:before="0" w:after="0"/>
              <w:jc w:val="center"/>
              <w:rPr>
                <w:rFonts w:cs="Arial"/>
                <w:color w:val="000000"/>
              </w:rPr>
            </w:pPr>
            <w:r w:rsidRPr="00880ABD">
              <w:rPr>
                <w:color w:val="000000"/>
                <w:spacing w:val="34"/>
                <w:shd w:val="solid" w:color="000000" w:fill="000000"/>
                <w:fitText w:val="430" w:id="-1233405692"/>
                <w14:textFill>
                  <w14:solidFill>
                    <w14:srgbClr w14:val="000000">
                      <w14:alpha w14:val="100000"/>
                    </w14:srgbClr>
                  </w14:solidFill>
                </w14:textFill>
              </w:rPr>
              <w:t>|||||</w:t>
            </w:r>
            <w:r w:rsidRPr="00880ABD">
              <w:rPr>
                <w:color w:val="000000"/>
                <w:spacing w:val="5"/>
                <w:shd w:val="solid" w:color="000000" w:fill="000000"/>
                <w:fitText w:val="430" w:id="-1233405692"/>
                <w14:textFill>
                  <w14:solidFill>
                    <w14:srgbClr w14:val="000000">
                      <w14:alpha w14:val="100000"/>
                    </w14:srgbClr>
                  </w14:solidFill>
                </w14:textFill>
              </w:rPr>
              <w:t>|</w:t>
            </w:r>
            <w:r w:rsidRPr="00F84DDB">
              <w:rPr>
                <w:vertAlign w:val="superscript"/>
              </w:rPr>
              <w:t>3</w:t>
            </w:r>
          </w:p>
        </w:tc>
        <w:tc>
          <w:tcPr>
            <w:tcW w:w="546" w:type="pct"/>
            <w:shd w:val="clear" w:color="auto" w:fill="auto"/>
          </w:tcPr>
          <w:p w14:paraId="2B89E29E" w14:textId="77777777" w:rsidR="00880ABD" w:rsidRPr="00F84DDB" w:rsidRDefault="00880ABD" w:rsidP="004E6008">
            <w:pPr>
              <w:pStyle w:val="Tabletext0"/>
              <w:spacing w:before="0" w:after="0"/>
              <w:jc w:val="center"/>
              <w:rPr>
                <w:rFonts w:cs="Arial"/>
                <w:color w:val="000000"/>
                <w:vertAlign w:val="superscript"/>
              </w:rPr>
            </w:pPr>
            <w:r w:rsidRPr="00880ABD">
              <w:rPr>
                <w:color w:val="000000"/>
                <w:spacing w:val="34"/>
                <w:shd w:val="solid" w:color="000000" w:fill="000000"/>
                <w:fitText w:val="430" w:id="-1233405691"/>
                <w14:textFill>
                  <w14:solidFill>
                    <w14:srgbClr w14:val="000000">
                      <w14:alpha w14:val="100000"/>
                    </w14:srgbClr>
                  </w14:solidFill>
                </w14:textFill>
              </w:rPr>
              <w:t>|||||</w:t>
            </w:r>
            <w:r w:rsidRPr="00880ABD">
              <w:rPr>
                <w:color w:val="000000"/>
                <w:spacing w:val="5"/>
                <w:shd w:val="solid" w:color="000000" w:fill="000000"/>
                <w:fitText w:val="430" w:id="-1233405691"/>
                <w14:textFill>
                  <w14:solidFill>
                    <w14:srgbClr w14:val="000000">
                      <w14:alpha w14:val="100000"/>
                    </w14:srgbClr>
                  </w14:solidFill>
                </w14:textFill>
              </w:rPr>
              <w:t>|</w:t>
            </w:r>
            <w:r>
              <w:rPr>
                <w:vertAlign w:val="superscript"/>
              </w:rPr>
              <w:t>3</w:t>
            </w:r>
          </w:p>
        </w:tc>
        <w:tc>
          <w:tcPr>
            <w:tcW w:w="545" w:type="pct"/>
            <w:shd w:val="clear" w:color="auto" w:fill="auto"/>
          </w:tcPr>
          <w:p w14:paraId="63C79EB0" w14:textId="77777777" w:rsidR="00880ABD" w:rsidRPr="00F84DDB" w:rsidRDefault="00880ABD" w:rsidP="004E6008">
            <w:pPr>
              <w:pStyle w:val="Tabletext0"/>
              <w:spacing w:before="0" w:after="0"/>
              <w:jc w:val="center"/>
              <w:rPr>
                <w:rFonts w:cs="Arial"/>
                <w:color w:val="000000"/>
                <w:vertAlign w:val="superscript"/>
              </w:rPr>
            </w:pPr>
            <w:r w:rsidRPr="00880ABD">
              <w:rPr>
                <w:color w:val="000000"/>
                <w:spacing w:val="34"/>
                <w:shd w:val="solid" w:color="000000" w:fill="000000"/>
                <w:fitText w:val="430" w:id="-1233405690"/>
                <w14:textFill>
                  <w14:solidFill>
                    <w14:srgbClr w14:val="000000">
                      <w14:alpha w14:val="100000"/>
                    </w14:srgbClr>
                  </w14:solidFill>
                </w14:textFill>
              </w:rPr>
              <w:t>|||||</w:t>
            </w:r>
            <w:r w:rsidRPr="00880ABD">
              <w:rPr>
                <w:color w:val="000000"/>
                <w:spacing w:val="5"/>
                <w:shd w:val="solid" w:color="000000" w:fill="000000"/>
                <w:fitText w:val="430" w:id="-1233405690"/>
                <w14:textFill>
                  <w14:solidFill>
                    <w14:srgbClr w14:val="000000">
                      <w14:alpha w14:val="100000"/>
                    </w14:srgbClr>
                  </w14:solidFill>
                </w14:textFill>
              </w:rPr>
              <w:t>|</w:t>
            </w:r>
            <w:r>
              <w:rPr>
                <w:vertAlign w:val="superscript"/>
              </w:rPr>
              <w:t>3</w:t>
            </w:r>
          </w:p>
        </w:tc>
        <w:tc>
          <w:tcPr>
            <w:tcW w:w="546" w:type="pct"/>
            <w:shd w:val="clear" w:color="auto" w:fill="auto"/>
          </w:tcPr>
          <w:p w14:paraId="7C1FB73A" w14:textId="77777777" w:rsidR="00880ABD" w:rsidRPr="00F84DDB" w:rsidRDefault="00880ABD" w:rsidP="004E6008">
            <w:pPr>
              <w:pStyle w:val="Tabletext0"/>
              <w:spacing w:before="0" w:after="0"/>
              <w:jc w:val="center"/>
              <w:rPr>
                <w:rFonts w:cs="Arial"/>
                <w:color w:val="000000"/>
                <w:vertAlign w:val="superscript"/>
              </w:rPr>
            </w:pPr>
            <w:r w:rsidRPr="00880ABD">
              <w:rPr>
                <w:color w:val="000000"/>
                <w:spacing w:val="34"/>
                <w:shd w:val="solid" w:color="000000" w:fill="000000"/>
                <w:fitText w:val="430" w:id="-1233405689"/>
                <w14:textFill>
                  <w14:solidFill>
                    <w14:srgbClr w14:val="000000">
                      <w14:alpha w14:val="100000"/>
                    </w14:srgbClr>
                  </w14:solidFill>
                </w14:textFill>
              </w:rPr>
              <w:t>|||||</w:t>
            </w:r>
            <w:r w:rsidRPr="00880ABD">
              <w:rPr>
                <w:color w:val="000000"/>
                <w:spacing w:val="5"/>
                <w:shd w:val="solid" w:color="000000" w:fill="000000"/>
                <w:fitText w:val="430" w:id="-1233405689"/>
                <w14:textFill>
                  <w14:solidFill>
                    <w14:srgbClr w14:val="000000">
                      <w14:alpha w14:val="100000"/>
                    </w14:srgbClr>
                  </w14:solidFill>
                </w14:textFill>
              </w:rPr>
              <w:t>|</w:t>
            </w:r>
            <w:r>
              <w:rPr>
                <w:vertAlign w:val="superscript"/>
              </w:rPr>
              <w:t>2</w:t>
            </w:r>
          </w:p>
        </w:tc>
        <w:tc>
          <w:tcPr>
            <w:tcW w:w="545" w:type="pct"/>
            <w:shd w:val="clear" w:color="auto" w:fill="auto"/>
          </w:tcPr>
          <w:p w14:paraId="67C51E7C" w14:textId="77777777" w:rsidR="00880ABD" w:rsidRPr="00F84DDB" w:rsidRDefault="00880ABD" w:rsidP="004E6008">
            <w:pPr>
              <w:pStyle w:val="Tabletext0"/>
              <w:spacing w:before="0" w:after="0"/>
              <w:jc w:val="center"/>
              <w:rPr>
                <w:rFonts w:cs="Arial"/>
                <w:color w:val="000000"/>
                <w:vertAlign w:val="superscript"/>
              </w:rPr>
            </w:pPr>
            <w:r w:rsidRPr="00880ABD">
              <w:rPr>
                <w:color w:val="000000"/>
                <w:spacing w:val="34"/>
                <w:shd w:val="solid" w:color="000000" w:fill="000000"/>
                <w:fitText w:val="430" w:id="-1233405688"/>
                <w14:textFill>
                  <w14:solidFill>
                    <w14:srgbClr w14:val="000000">
                      <w14:alpha w14:val="100000"/>
                    </w14:srgbClr>
                  </w14:solidFill>
                </w14:textFill>
              </w:rPr>
              <w:t>|||||</w:t>
            </w:r>
            <w:r w:rsidRPr="00880ABD">
              <w:rPr>
                <w:color w:val="000000"/>
                <w:spacing w:val="5"/>
                <w:shd w:val="solid" w:color="000000" w:fill="000000"/>
                <w:fitText w:val="430" w:id="-1233405688"/>
                <w14:textFill>
                  <w14:solidFill>
                    <w14:srgbClr w14:val="000000">
                      <w14:alpha w14:val="100000"/>
                    </w14:srgbClr>
                  </w14:solidFill>
                </w14:textFill>
              </w:rPr>
              <w:t>|</w:t>
            </w:r>
            <w:r>
              <w:rPr>
                <w:vertAlign w:val="superscript"/>
              </w:rPr>
              <w:t>2</w:t>
            </w:r>
          </w:p>
        </w:tc>
        <w:tc>
          <w:tcPr>
            <w:tcW w:w="548" w:type="pct"/>
          </w:tcPr>
          <w:p w14:paraId="102F62FA" w14:textId="77777777" w:rsidR="00880ABD" w:rsidRPr="00F84DDB" w:rsidRDefault="00880ABD" w:rsidP="004E6008">
            <w:pPr>
              <w:pStyle w:val="Tabletext0"/>
              <w:spacing w:before="0" w:after="0"/>
              <w:jc w:val="center"/>
              <w:rPr>
                <w:rFonts w:cs="Arial"/>
                <w:color w:val="000000"/>
                <w:vertAlign w:val="superscript"/>
              </w:rPr>
            </w:pPr>
            <w:r w:rsidRPr="00880ABD">
              <w:rPr>
                <w:color w:val="000000"/>
                <w:spacing w:val="34"/>
                <w:shd w:val="solid" w:color="000000" w:fill="000000"/>
                <w:fitText w:val="430" w:id="-1233405687"/>
                <w14:textFill>
                  <w14:solidFill>
                    <w14:srgbClr w14:val="000000">
                      <w14:alpha w14:val="100000"/>
                    </w14:srgbClr>
                  </w14:solidFill>
                </w14:textFill>
              </w:rPr>
              <w:t>|||||</w:t>
            </w:r>
            <w:r w:rsidRPr="00880ABD">
              <w:rPr>
                <w:color w:val="000000"/>
                <w:spacing w:val="5"/>
                <w:shd w:val="solid" w:color="000000" w:fill="000000"/>
                <w:fitText w:val="430" w:id="-1233405687"/>
                <w14:textFill>
                  <w14:solidFill>
                    <w14:srgbClr w14:val="000000">
                      <w14:alpha w14:val="100000"/>
                    </w14:srgbClr>
                  </w14:solidFill>
                </w14:textFill>
              </w:rPr>
              <w:t>|</w:t>
            </w:r>
            <w:r>
              <w:rPr>
                <w:vertAlign w:val="superscript"/>
              </w:rPr>
              <w:t>2</w:t>
            </w:r>
          </w:p>
        </w:tc>
      </w:tr>
      <w:tr w:rsidR="00880ABD" w:rsidRPr="00F6487D" w14:paraId="161E1A65" w14:textId="77777777" w:rsidTr="00F84DDB">
        <w:trPr>
          <w:cantSplit/>
        </w:trPr>
        <w:tc>
          <w:tcPr>
            <w:tcW w:w="154" w:type="pct"/>
          </w:tcPr>
          <w:p w14:paraId="3CBC8D8D" w14:textId="77777777" w:rsidR="00880ABD" w:rsidRPr="00F6487D" w:rsidRDefault="00880ABD" w:rsidP="004E6008">
            <w:pPr>
              <w:keepNext/>
              <w:spacing w:before="0" w:after="0"/>
              <w:rPr>
                <w:rFonts w:ascii="Arial Narrow" w:hAnsi="Arial Narrow"/>
                <w:b/>
              </w:rPr>
            </w:pPr>
          </w:p>
        </w:tc>
        <w:tc>
          <w:tcPr>
            <w:tcW w:w="4846" w:type="pct"/>
            <w:gridSpan w:val="7"/>
            <w:shd w:val="clear" w:color="auto" w:fill="auto"/>
            <w:vAlign w:val="center"/>
          </w:tcPr>
          <w:p w14:paraId="288F2228" w14:textId="16ACF682" w:rsidR="00880ABD" w:rsidRPr="00F6487D" w:rsidRDefault="00880ABD" w:rsidP="004E6008">
            <w:pPr>
              <w:keepNext/>
              <w:spacing w:before="0" w:after="0"/>
              <w:rPr>
                <w:rFonts w:ascii="Arial Narrow" w:hAnsi="Arial Narrow"/>
                <w:b/>
              </w:rPr>
            </w:pPr>
            <w:r w:rsidRPr="00F6487D">
              <w:rPr>
                <w:rFonts w:ascii="Arial Narrow" w:hAnsi="Arial Narrow"/>
                <w:b/>
              </w:rPr>
              <w:t xml:space="preserve">Estimated financial implications of the </w:t>
            </w:r>
            <w:r w:rsidR="00055F5B" w:rsidRPr="00055F5B">
              <w:rPr>
                <w:rFonts w:ascii="Arial Narrow" w:hAnsi="Arial Narrow"/>
                <w:b/>
                <w:i/>
              </w:rPr>
              <w:t>BRCA1/2</w:t>
            </w:r>
            <w:r w:rsidRPr="00F6487D">
              <w:rPr>
                <w:rFonts w:ascii="Arial Narrow" w:hAnsi="Arial Narrow"/>
                <w:b/>
              </w:rPr>
              <w:t xml:space="preserve"> pathogenic gene variant test to the MBS</w:t>
            </w:r>
          </w:p>
        </w:tc>
      </w:tr>
      <w:tr w:rsidR="00880ABD" w:rsidRPr="00F6487D" w14:paraId="34F35D56" w14:textId="77777777" w:rsidTr="00F84DDB">
        <w:trPr>
          <w:cantSplit/>
        </w:trPr>
        <w:tc>
          <w:tcPr>
            <w:tcW w:w="154" w:type="pct"/>
          </w:tcPr>
          <w:p w14:paraId="1BE76192" w14:textId="77777777" w:rsidR="00880ABD" w:rsidRPr="00F6487D" w:rsidRDefault="00880ABD" w:rsidP="004E6008">
            <w:pPr>
              <w:spacing w:before="0" w:after="0"/>
              <w:rPr>
                <w:rFonts w:ascii="Arial Narrow" w:hAnsi="Arial Narrow" w:cs="Arial"/>
              </w:rPr>
            </w:pPr>
            <w:r>
              <w:rPr>
                <w:rFonts w:ascii="Arial Narrow" w:hAnsi="Arial Narrow" w:cs="Arial"/>
              </w:rPr>
              <w:t>M</w:t>
            </w:r>
          </w:p>
        </w:tc>
        <w:tc>
          <w:tcPr>
            <w:tcW w:w="1571" w:type="pct"/>
            <w:shd w:val="clear" w:color="auto" w:fill="auto"/>
            <w:vAlign w:val="center"/>
          </w:tcPr>
          <w:p w14:paraId="1696DF74" w14:textId="77777777" w:rsidR="00880ABD" w:rsidRPr="00F84DDB" w:rsidRDefault="00880ABD" w:rsidP="004E6008">
            <w:pPr>
              <w:pStyle w:val="TableText"/>
              <w:spacing w:before="0" w:after="0"/>
              <w:rPr>
                <w:sz w:val="19"/>
                <w:szCs w:val="19"/>
                <w:vertAlign w:val="superscript"/>
              </w:rPr>
            </w:pPr>
            <w:r>
              <w:rPr>
                <w:rFonts w:cs="Arial"/>
              </w:rPr>
              <w:t>PSCR</w:t>
            </w:r>
            <w:r w:rsidRPr="00F6487D">
              <w:rPr>
                <w:rFonts w:cs="Arial"/>
              </w:rPr>
              <w:t xml:space="preserve"> Net Cost to MBS</w:t>
            </w:r>
            <w:r>
              <w:rPr>
                <w:sz w:val="19"/>
                <w:szCs w:val="19"/>
              </w:rPr>
              <w:t>($)</w:t>
            </w:r>
          </w:p>
        </w:tc>
        <w:tc>
          <w:tcPr>
            <w:tcW w:w="545" w:type="pct"/>
            <w:shd w:val="clear" w:color="auto" w:fill="auto"/>
          </w:tcPr>
          <w:p w14:paraId="35072E92" w14:textId="77777777" w:rsidR="00880ABD" w:rsidRPr="00F84DDB" w:rsidRDefault="00880ABD" w:rsidP="004E6008">
            <w:pPr>
              <w:pStyle w:val="Tabletext0"/>
              <w:spacing w:before="0" w:after="0"/>
              <w:jc w:val="center"/>
              <w:rPr>
                <w:rFonts w:cs="Arial"/>
                <w:vertAlign w:val="superscript"/>
              </w:rPr>
            </w:pPr>
            <w:r w:rsidRPr="00B567B6">
              <w:t>$</w:t>
            </w:r>
            <w:r w:rsidRPr="00880ABD">
              <w:rPr>
                <w:color w:val="000000"/>
                <w:spacing w:val="46"/>
                <w:shd w:val="solid" w:color="000000" w:fill="000000"/>
                <w:fitText w:val="490" w:id="-1233405686"/>
                <w14:textFill>
                  <w14:solidFill>
                    <w14:srgbClr w14:val="000000">
                      <w14:alpha w14:val="100000"/>
                    </w14:srgbClr>
                  </w14:solidFill>
                </w14:textFill>
              </w:rPr>
              <w:t>|||||</w:t>
            </w:r>
            <w:r w:rsidRPr="00880ABD">
              <w:rPr>
                <w:color w:val="000000"/>
                <w:spacing w:val="5"/>
                <w:shd w:val="solid" w:color="000000" w:fill="000000"/>
                <w:fitText w:val="490" w:id="-1233405686"/>
                <w14:textFill>
                  <w14:solidFill>
                    <w14:srgbClr w14:val="000000">
                      <w14:alpha w14:val="100000"/>
                    </w14:srgbClr>
                  </w14:solidFill>
                </w14:textFill>
              </w:rPr>
              <w:t>|</w:t>
            </w:r>
            <w:r>
              <w:rPr>
                <w:vertAlign w:val="superscript"/>
              </w:rPr>
              <w:t>6</w:t>
            </w:r>
          </w:p>
        </w:tc>
        <w:tc>
          <w:tcPr>
            <w:tcW w:w="546" w:type="pct"/>
            <w:shd w:val="clear" w:color="auto" w:fill="auto"/>
          </w:tcPr>
          <w:p w14:paraId="6F92712D" w14:textId="77777777" w:rsidR="00880ABD" w:rsidRPr="00F84DDB" w:rsidRDefault="00880ABD" w:rsidP="004E6008">
            <w:pPr>
              <w:pStyle w:val="Tabletext0"/>
              <w:spacing w:before="0" w:after="0"/>
              <w:jc w:val="center"/>
              <w:rPr>
                <w:rFonts w:cs="Arial"/>
                <w:vertAlign w:val="superscript"/>
              </w:rPr>
            </w:pPr>
            <w:r w:rsidRPr="00B567B6">
              <w:t>$</w:t>
            </w:r>
            <w:r w:rsidRPr="00880ABD">
              <w:rPr>
                <w:color w:val="000000"/>
                <w:spacing w:val="46"/>
                <w:shd w:val="solid" w:color="000000" w:fill="000000"/>
                <w:fitText w:val="490" w:id="-1233405685"/>
                <w14:textFill>
                  <w14:solidFill>
                    <w14:srgbClr w14:val="000000">
                      <w14:alpha w14:val="100000"/>
                    </w14:srgbClr>
                  </w14:solidFill>
                </w14:textFill>
              </w:rPr>
              <w:t>|||||</w:t>
            </w:r>
            <w:r w:rsidRPr="00880ABD">
              <w:rPr>
                <w:color w:val="000000"/>
                <w:spacing w:val="5"/>
                <w:shd w:val="solid" w:color="000000" w:fill="000000"/>
                <w:fitText w:val="490" w:id="-1233405685"/>
                <w14:textFill>
                  <w14:solidFill>
                    <w14:srgbClr w14:val="000000">
                      <w14:alpha w14:val="100000"/>
                    </w14:srgbClr>
                  </w14:solidFill>
                </w14:textFill>
              </w:rPr>
              <w:t>|</w:t>
            </w:r>
            <w:r>
              <w:rPr>
                <w:vertAlign w:val="superscript"/>
              </w:rPr>
              <w:t>6</w:t>
            </w:r>
          </w:p>
        </w:tc>
        <w:tc>
          <w:tcPr>
            <w:tcW w:w="545" w:type="pct"/>
            <w:shd w:val="clear" w:color="auto" w:fill="auto"/>
          </w:tcPr>
          <w:p w14:paraId="600CB8E4" w14:textId="77777777" w:rsidR="00880ABD" w:rsidRPr="00F84DDB" w:rsidRDefault="00880ABD" w:rsidP="004E6008">
            <w:pPr>
              <w:pStyle w:val="Tabletext0"/>
              <w:spacing w:before="0" w:after="0"/>
              <w:jc w:val="center"/>
              <w:rPr>
                <w:rFonts w:cs="Arial"/>
                <w:vertAlign w:val="superscript"/>
              </w:rPr>
            </w:pPr>
            <w:r w:rsidRPr="00B567B6">
              <w:t>$</w:t>
            </w:r>
            <w:r w:rsidRPr="00880ABD">
              <w:rPr>
                <w:color w:val="000000"/>
                <w:spacing w:val="46"/>
                <w:shd w:val="solid" w:color="000000" w:fill="000000"/>
                <w:fitText w:val="490" w:id="-1233405684"/>
                <w14:textFill>
                  <w14:solidFill>
                    <w14:srgbClr w14:val="000000">
                      <w14:alpha w14:val="100000"/>
                    </w14:srgbClr>
                  </w14:solidFill>
                </w14:textFill>
              </w:rPr>
              <w:t>|||||</w:t>
            </w:r>
            <w:r w:rsidRPr="00880ABD">
              <w:rPr>
                <w:color w:val="000000"/>
                <w:spacing w:val="5"/>
                <w:shd w:val="solid" w:color="000000" w:fill="000000"/>
                <w:fitText w:val="490" w:id="-1233405684"/>
                <w14:textFill>
                  <w14:solidFill>
                    <w14:srgbClr w14:val="000000">
                      <w14:alpha w14:val="100000"/>
                    </w14:srgbClr>
                  </w14:solidFill>
                </w14:textFill>
              </w:rPr>
              <w:t>|</w:t>
            </w:r>
            <w:r>
              <w:rPr>
                <w:vertAlign w:val="superscript"/>
              </w:rPr>
              <w:t>6</w:t>
            </w:r>
          </w:p>
        </w:tc>
        <w:tc>
          <w:tcPr>
            <w:tcW w:w="546" w:type="pct"/>
            <w:shd w:val="clear" w:color="auto" w:fill="auto"/>
          </w:tcPr>
          <w:p w14:paraId="631DF23F" w14:textId="77777777" w:rsidR="00880ABD" w:rsidRPr="00F84DDB" w:rsidRDefault="00880ABD" w:rsidP="004E6008">
            <w:pPr>
              <w:pStyle w:val="Tabletext0"/>
              <w:spacing w:before="0" w:after="0"/>
              <w:jc w:val="center"/>
              <w:rPr>
                <w:rFonts w:cs="Arial"/>
                <w:vertAlign w:val="superscript"/>
              </w:rPr>
            </w:pPr>
            <w:r w:rsidRPr="00B567B6">
              <w:t>$</w:t>
            </w:r>
            <w:r w:rsidRPr="00880ABD">
              <w:rPr>
                <w:color w:val="000000"/>
                <w:spacing w:val="46"/>
                <w:shd w:val="solid" w:color="000000" w:fill="000000"/>
                <w:fitText w:val="490" w:id="-1233405683"/>
                <w14:textFill>
                  <w14:solidFill>
                    <w14:srgbClr w14:val="000000">
                      <w14:alpha w14:val="100000"/>
                    </w14:srgbClr>
                  </w14:solidFill>
                </w14:textFill>
              </w:rPr>
              <w:t>|||||</w:t>
            </w:r>
            <w:r w:rsidRPr="00880ABD">
              <w:rPr>
                <w:color w:val="000000"/>
                <w:spacing w:val="5"/>
                <w:shd w:val="solid" w:color="000000" w:fill="000000"/>
                <w:fitText w:val="490" w:id="-1233405683"/>
                <w14:textFill>
                  <w14:solidFill>
                    <w14:srgbClr w14:val="000000">
                      <w14:alpha w14:val="100000"/>
                    </w14:srgbClr>
                  </w14:solidFill>
                </w14:textFill>
              </w:rPr>
              <w:t>|</w:t>
            </w:r>
            <w:r>
              <w:rPr>
                <w:vertAlign w:val="superscript"/>
              </w:rPr>
              <w:t>6</w:t>
            </w:r>
          </w:p>
        </w:tc>
        <w:tc>
          <w:tcPr>
            <w:tcW w:w="545" w:type="pct"/>
            <w:shd w:val="clear" w:color="auto" w:fill="auto"/>
          </w:tcPr>
          <w:p w14:paraId="0EE3388D" w14:textId="77777777" w:rsidR="00880ABD" w:rsidRPr="00F84DDB" w:rsidRDefault="00880ABD" w:rsidP="004E6008">
            <w:pPr>
              <w:pStyle w:val="Tabletext0"/>
              <w:spacing w:before="0" w:after="0"/>
              <w:jc w:val="center"/>
              <w:rPr>
                <w:rFonts w:cs="Arial"/>
                <w:vertAlign w:val="superscript"/>
              </w:rPr>
            </w:pPr>
            <w:r w:rsidRPr="00B567B6">
              <w:t>$</w:t>
            </w:r>
            <w:r w:rsidRPr="00880ABD">
              <w:rPr>
                <w:color w:val="000000"/>
                <w:spacing w:val="46"/>
                <w:shd w:val="solid" w:color="000000" w:fill="000000"/>
                <w:fitText w:val="490" w:id="-1233405682"/>
                <w14:textFill>
                  <w14:solidFill>
                    <w14:srgbClr w14:val="000000">
                      <w14:alpha w14:val="100000"/>
                    </w14:srgbClr>
                  </w14:solidFill>
                </w14:textFill>
              </w:rPr>
              <w:t>|||||</w:t>
            </w:r>
            <w:r w:rsidRPr="00880ABD">
              <w:rPr>
                <w:color w:val="000000"/>
                <w:spacing w:val="5"/>
                <w:shd w:val="solid" w:color="000000" w:fill="000000"/>
                <w:fitText w:val="490" w:id="-1233405682"/>
                <w14:textFill>
                  <w14:solidFill>
                    <w14:srgbClr w14:val="000000">
                      <w14:alpha w14:val="100000"/>
                    </w14:srgbClr>
                  </w14:solidFill>
                </w14:textFill>
              </w:rPr>
              <w:t>|</w:t>
            </w:r>
            <w:r>
              <w:rPr>
                <w:vertAlign w:val="superscript"/>
              </w:rPr>
              <w:t>6</w:t>
            </w:r>
          </w:p>
        </w:tc>
        <w:tc>
          <w:tcPr>
            <w:tcW w:w="548" w:type="pct"/>
          </w:tcPr>
          <w:p w14:paraId="3DFD2EA6" w14:textId="77777777" w:rsidR="00880ABD" w:rsidRPr="00F84DDB" w:rsidRDefault="00880ABD" w:rsidP="004E6008">
            <w:pPr>
              <w:pStyle w:val="Tabletext0"/>
              <w:spacing w:before="0" w:after="0"/>
              <w:jc w:val="center"/>
              <w:rPr>
                <w:rFonts w:cs="Arial"/>
                <w:vertAlign w:val="superscript"/>
              </w:rPr>
            </w:pPr>
            <w:r w:rsidRPr="00B567B6">
              <w:t>$</w:t>
            </w:r>
            <w:r w:rsidRPr="00880ABD">
              <w:rPr>
                <w:color w:val="000000"/>
                <w:spacing w:val="46"/>
                <w:shd w:val="solid" w:color="000000" w:fill="000000"/>
                <w:fitText w:val="490" w:id="-1233405681"/>
                <w14:textFill>
                  <w14:solidFill>
                    <w14:srgbClr w14:val="000000">
                      <w14:alpha w14:val="100000"/>
                    </w14:srgbClr>
                  </w14:solidFill>
                </w14:textFill>
              </w:rPr>
              <w:t>|||||</w:t>
            </w:r>
            <w:r w:rsidRPr="00880ABD">
              <w:rPr>
                <w:color w:val="000000"/>
                <w:spacing w:val="5"/>
                <w:shd w:val="solid" w:color="000000" w:fill="000000"/>
                <w:fitText w:val="490" w:id="-1233405681"/>
                <w14:textFill>
                  <w14:solidFill>
                    <w14:srgbClr w14:val="000000">
                      <w14:alpha w14:val="100000"/>
                    </w14:srgbClr>
                  </w14:solidFill>
                </w14:textFill>
              </w:rPr>
              <w:t>|</w:t>
            </w:r>
            <w:r>
              <w:rPr>
                <w:vertAlign w:val="superscript"/>
              </w:rPr>
              <w:t>6</w:t>
            </w:r>
          </w:p>
        </w:tc>
      </w:tr>
      <w:tr w:rsidR="00880ABD" w:rsidRPr="00F6487D" w14:paraId="687B0421" w14:textId="77777777" w:rsidTr="00F84DDB">
        <w:trPr>
          <w:cantSplit/>
        </w:trPr>
        <w:tc>
          <w:tcPr>
            <w:tcW w:w="154" w:type="pct"/>
          </w:tcPr>
          <w:p w14:paraId="77508D92" w14:textId="77777777" w:rsidR="00880ABD" w:rsidRPr="00F6487D" w:rsidRDefault="00880ABD" w:rsidP="004E6008">
            <w:pPr>
              <w:spacing w:before="0" w:after="0"/>
              <w:rPr>
                <w:rFonts w:ascii="Arial Narrow" w:hAnsi="Arial Narrow" w:cs="Arial"/>
              </w:rPr>
            </w:pPr>
            <w:r>
              <w:rPr>
                <w:rFonts w:ascii="Arial Narrow" w:hAnsi="Arial Narrow" w:cs="Arial"/>
              </w:rPr>
              <w:t>N</w:t>
            </w:r>
          </w:p>
        </w:tc>
        <w:tc>
          <w:tcPr>
            <w:tcW w:w="1571" w:type="pct"/>
            <w:shd w:val="clear" w:color="auto" w:fill="auto"/>
            <w:vAlign w:val="center"/>
          </w:tcPr>
          <w:p w14:paraId="6854185E" w14:textId="77777777" w:rsidR="00880ABD" w:rsidRPr="00F84DDB" w:rsidRDefault="00880ABD" w:rsidP="004E6008">
            <w:pPr>
              <w:pStyle w:val="TableText"/>
              <w:spacing w:before="0" w:after="0"/>
              <w:rPr>
                <w:sz w:val="19"/>
                <w:szCs w:val="19"/>
                <w:vertAlign w:val="superscript"/>
              </w:rPr>
            </w:pPr>
            <w:r w:rsidRPr="00F6487D">
              <w:rPr>
                <w:rFonts w:cs="Arial"/>
              </w:rPr>
              <w:t xml:space="preserve">Submission’s Net Cost to MBS </w:t>
            </w:r>
            <w:r>
              <w:rPr>
                <w:sz w:val="19"/>
                <w:szCs w:val="19"/>
              </w:rPr>
              <w:t>($)</w:t>
            </w:r>
          </w:p>
          <w:p w14:paraId="7D37B193" w14:textId="77777777" w:rsidR="00880ABD" w:rsidRPr="00F6487D" w:rsidRDefault="00880ABD" w:rsidP="004E6008">
            <w:pPr>
              <w:spacing w:before="0" w:after="0"/>
              <w:rPr>
                <w:rFonts w:ascii="Arial Narrow" w:hAnsi="Arial Narrow" w:cs="Arial"/>
              </w:rPr>
            </w:pPr>
            <w:r w:rsidRPr="00F6487D">
              <w:rPr>
                <w:rFonts w:ascii="Arial Narrow" w:hAnsi="Arial Narrow" w:cs="Arial"/>
              </w:rPr>
              <w:t>(K = I x $960.00 per patient)</w:t>
            </w:r>
          </w:p>
        </w:tc>
        <w:tc>
          <w:tcPr>
            <w:tcW w:w="545" w:type="pct"/>
            <w:shd w:val="clear" w:color="auto" w:fill="auto"/>
            <w:vAlign w:val="center"/>
          </w:tcPr>
          <w:p w14:paraId="5CA45607"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80"/>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80"/>
                <w14:textFill>
                  <w14:solidFill>
                    <w14:srgbClr w14:val="000000">
                      <w14:alpha w14:val="100000"/>
                    </w14:srgbClr>
                  </w14:solidFill>
                </w14:textFill>
              </w:rPr>
              <w:t>|</w:t>
            </w:r>
            <w:r>
              <w:rPr>
                <w:rFonts w:ascii="Arial Narrow" w:hAnsi="Arial Narrow" w:cs="Arial"/>
                <w:vertAlign w:val="superscript"/>
              </w:rPr>
              <w:t>6</w:t>
            </w:r>
          </w:p>
        </w:tc>
        <w:tc>
          <w:tcPr>
            <w:tcW w:w="546" w:type="pct"/>
            <w:shd w:val="clear" w:color="auto" w:fill="auto"/>
            <w:vAlign w:val="center"/>
          </w:tcPr>
          <w:p w14:paraId="27852DAD"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6"/>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6"/>
                <w14:textFill>
                  <w14:solidFill>
                    <w14:srgbClr w14:val="000000">
                      <w14:alpha w14:val="100000"/>
                    </w14:srgbClr>
                  </w14:solidFill>
                </w14:textFill>
              </w:rPr>
              <w:t>|</w:t>
            </w:r>
            <w:r>
              <w:rPr>
                <w:rFonts w:ascii="Arial Narrow" w:hAnsi="Arial Narrow" w:cs="Arial"/>
                <w:vertAlign w:val="superscript"/>
              </w:rPr>
              <w:t>6</w:t>
            </w:r>
          </w:p>
        </w:tc>
        <w:tc>
          <w:tcPr>
            <w:tcW w:w="545" w:type="pct"/>
            <w:shd w:val="clear" w:color="auto" w:fill="auto"/>
            <w:vAlign w:val="center"/>
          </w:tcPr>
          <w:p w14:paraId="3B36053D"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5"/>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5"/>
                <w14:textFill>
                  <w14:solidFill>
                    <w14:srgbClr w14:val="000000">
                      <w14:alpha w14:val="100000"/>
                    </w14:srgbClr>
                  </w14:solidFill>
                </w14:textFill>
              </w:rPr>
              <w:t>|</w:t>
            </w:r>
            <w:r>
              <w:rPr>
                <w:rFonts w:ascii="Arial Narrow" w:hAnsi="Arial Narrow" w:cs="Arial"/>
                <w:vertAlign w:val="superscript"/>
              </w:rPr>
              <w:t>6</w:t>
            </w:r>
          </w:p>
        </w:tc>
        <w:tc>
          <w:tcPr>
            <w:tcW w:w="546" w:type="pct"/>
            <w:shd w:val="clear" w:color="auto" w:fill="auto"/>
            <w:vAlign w:val="center"/>
          </w:tcPr>
          <w:p w14:paraId="2273C243"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4"/>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4"/>
                <w14:textFill>
                  <w14:solidFill>
                    <w14:srgbClr w14:val="000000">
                      <w14:alpha w14:val="100000"/>
                    </w14:srgbClr>
                  </w14:solidFill>
                </w14:textFill>
              </w:rPr>
              <w:t>|</w:t>
            </w:r>
            <w:r>
              <w:rPr>
                <w:rFonts w:ascii="Arial Narrow" w:hAnsi="Arial Narrow" w:cs="Arial"/>
                <w:vertAlign w:val="superscript"/>
              </w:rPr>
              <w:t>6</w:t>
            </w:r>
          </w:p>
        </w:tc>
        <w:tc>
          <w:tcPr>
            <w:tcW w:w="545" w:type="pct"/>
            <w:shd w:val="clear" w:color="auto" w:fill="auto"/>
            <w:vAlign w:val="center"/>
          </w:tcPr>
          <w:p w14:paraId="4DF05AA8"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3"/>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3"/>
                <w14:textFill>
                  <w14:solidFill>
                    <w14:srgbClr w14:val="000000">
                      <w14:alpha w14:val="100000"/>
                    </w14:srgbClr>
                  </w14:solidFill>
                </w14:textFill>
              </w:rPr>
              <w:t>|</w:t>
            </w:r>
            <w:r>
              <w:rPr>
                <w:rFonts w:ascii="Arial Narrow" w:hAnsi="Arial Narrow" w:cs="Arial"/>
                <w:vertAlign w:val="superscript"/>
              </w:rPr>
              <w:t>6</w:t>
            </w:r>
          </w:p>
        </w:tc>
        <w:tc>
          <w:tcPr>
            <w:tcW w:w="548" w:type="pct"/>
            <w:vAlign w:val="center"/>
          </w:tcPr>
          <w:p w14:paraId="18D2C277"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2"/>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2"/>
                <w14:textFill>
                  <w14:solidFill>
                    <w14:srgbClr w14:val="000000">
                      <w14:alpha w14:val="100000"/>
                    </w14:srgbClr>
                  </w14:solidFill>
                </w14:textFill>
              </w:rPr>
              <w:t>|</w:t>
            </w:r>
            <w:r>
              <w:rPr>
                <w:rFonts w:ascii="Arial Narrow" w:hAnsi="Arial Narrow" w:cs="Arial"/>
                <w:vertAlign w:val="superscript"/>
              </w:rPr>
              <w:t>6</w:t>
            </w:r>
          </w:p>
        </w:tc>
      </w:tr>
      <w:tr w:rsidR="00880ABD" w:rsidRPr="00F6487D" w14:paraId="256BD441" w14:textId="77777777" w:rsidTr="00F84DDB">
        <w:trPr>
          <w:cantSplit/>
        </w:trPr>
        <w:tc>
          <w:tcPr>
            <w:tcW w:w="154" w:type="pct"/>
          </w:tcPr>
          <w:p w14:paraId="525A48F8" w14:textId="77777777" w:rsidR="00880ABD" w:rsidRPr="00F6487D" w:rsidRDefault="00880ABD" w:rsidP="004E6008">
            <w:pPr>
              <w:spacing w:before="0" w:after="0"/>
              <w:rPr>
                <w:rFonts w:ascii="Arial Narrow" w:hAnsi="Arial Narrow" w:cs="Arial"/>
              </w:rPr>
            </w:pPr>
            <w:r>
              <w:rPr>
                <w:rFonts w:ascii="Arial Narrow" w:hAnsi="Arial Narrow" w:cs="Arial"/>
              </w:rPr>
              <w:t>O</w:t>
            </w:r>
          </w:p>
        </w:tc>
        <w:tc>
          <w:tcPr>
            <w:tcW w:w="1571" w:type="pct"/>
            <w:shd w:val="clear" w:color="auto" w:fill="auto"/>
            <w:vAlign w:val="center"/>
          </w:tcPr>
          <w:p w14:paraId="6CAE29E8" w14:textId="77777777" w:rsidR="00880ABD" w:rsidRPr="00F84DDB" w:rsidRDefault="00880ABD" w:rsidP="004E6008">
            <w:pPr>
              <w:pStyle w:val="TableText"/>
              <w:spacing w:before="0" w:after="0"/>
              <w:rPr>
                <w:sz w:val="19"/>
                <w:szCs w:val="19"/>
                <w:vertAlign w:val="superscript"/>
              </w:rPr>
            </w:pPr>
            <w:r w:rsidRPr="00F6487D">
              <w:rPr>
                <w:rFonts w:cs="Arial"/>
              </w:rPr>
              <w:t>Revised</w:t>
            </w:r>
            <w:r>
              <w:rPr>
                <w:rFonts w:cs="Arial"/>
              </w:rPr>
              <w:t xml:space="preserve"> (commentary)</w:t>
            </w:r>
            <w:r w:rsidRPr="00F6487D">
              <w:rPr>
                <w:rFonts w:cs="Arial"/>
              </w:rPr>
              <w:t xml:space="preserve"> </w:t>
            </w:r>
            <w:r>
              <w:rPr>
                <w:rFonts w:cs="Arial"/>
                <w:vertAlign w:val="superscript"/>
              </w:rPr>
              <w:t>c</w:t>
            </w:r>
            <w:r>
              <w:rPr>
                <w:rFonts w:cs="Arial"/>
              </w:rPr>
              <w:t xml:space="preserve"> </w:t>
            </w:r>
            <w:r>
              <w:rPr>
                <w:sz w:val="19"/>
                <w:szCs w:val="19"/>
              </w:rPr>
              <w:t>($)</w:t>
            </w:r>
          </w:p>
          <w:p w14:paraId="708AA4FC" w14:textId="77777777" w:rsidR="00880ABD" w:rsidRPr="00F6487D" w:rsidRDefault="00880ABD" w:rsidP="004E6008">
            <w:pPr>
              <w:spacing w:before="0" w:after="0"/>
              <w:rPr>
                <w:rFonts w:ascii="Arial Narrow" w:hAnsi="Arial Narrow" w:cs="Arial"/>
              </w:rPr>
            </w:pPr>
            <w:r w:rsidRPr="00F6487D">
              <w:rPr>
                <w:rFonts w:ascii="Arial Narrow" w:hAnsi="Arial Narrow" w:cs="Arial"/>
              </w:rPr>
              <w:t>(L = J x $1,106.80 per patient)</w:t>
            </w:r>
          </w:p>
        </w:tc>
        <w:tc>
          <w:tcPr>
            <w:tcW w:w="545" w:type="pct"/>
            <w:shd w:val="clear" w:color="auto" w:fill="auto"/>
            <w:vAlign w:val="center"/>
          </w:tcPr>
          <w:p w14:paraId="11E8538E"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1"/>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1"/>
                <w14:textFill>
                  <w14:solidFill>
                    <w14:srgbClr w14:val="000000">
                      <w14:alpha w14:val="100000"/>
                    </w14:srgbClr>
                  </w14:solidFill>
                </w14:textFill>
              </w:rPr>
              <w:t>|</w:t>
            </w:r>
            <w:r>
              <w:rPr>
                <w:rFonts w:ascii="Arial Narrow" w:hAnsi="Arial Narrow" w:cs="Arial"/>
                <w:vertAlign w:val="superscript"/>
              </w:rPr>
              <w:t>6</w:t>
            </w:r>
          </w:p>
        </w:tc>
        <w:tc>
          <w:tcPr>
            <w:tcW w:w="546" w:type="pct"/>
            <w:shd w:val="clear" w:color="auto" w:fill="auto"/>
            <w:vAlign w:val="center"/>
          </w:tcPr>
          <w:p w14:paraId="18DA39BE"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90"/>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90"/>
                <w14:textFill>
                  <w14:solidFill>
                    <w14:srgbClr w14:val="000000">
                      <w14:alpha w14:val="100000"/>
                    </w14:srgbClr>
                  </w14:solidFill>
                </w14:textFill>
              </w:rPr>
              <w:t>|</w:t>
            </w:r>
            <w:r>
              <w:rPr>
                <w:rFonts w:ascii="Arial Narrow" w:hAnsi="Arial Narrow" w:cs="Arial"/>
                <w:vertAlign w:val="superscript"/>
              </w:rPr>
              <w:t>6</w:t>
            </w:r>
          </w:p>
        </w:tc>
        <w:tc>
          <w:tcPr>
            <w:tcW w:w="545" w:type="pct"/>
            <w:shd w:val="clear" w:color="auto" w:fill="auto"/>
            <w:vAlign w:val="center"/>
          </w:tcPr>
          <w:p w14:paraId="06E5E89F"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89"/>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89"/>
                <w14:textFill>
                  <w14:solidFill>
                    <w14:srgbClr w14:val="000000">
                      <w14:alpha w14:val="100000"/>
                    </w14:srgbClr>
                  </w14:solidFill>
                </w14:textFill>
              </w:rPr>
              <w:t>|</w:t>
            </w:r>
            <w:r>
              <w:rPr>
                <w:rFonts w:ascii="Arial Narrow" w:hAnsi="Arial Narrow" w:cs="Arial"/>
                <w:vertAlign w:val="superscript"/>
              </w:rPr>
              <w:t>6</w:t>
            </w:r>
          </w:p>
        </w:tc>
        <w:tc>
          <w:tcPr>
            <w:tcW w:w="546" w:type="pct"/>
            <w:shd w:val="clear" w:color="auto" w:fill="auto"/>
            <w:vAlign w:val="center"/>
          </w:tcPr>
          <w:p w14:paraId="3D19D0E3"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977173">
              <w:rPr>
                <w:rFonts w:ascii="Arial Narrow" w:hAnsi="Arial Narrow" w:cs="Arial"/>
                <w:color w:val="000000"/>
                <w:spacing w:val="46"/>
                <w:shd w:val="solid" w:color="000000" w:fill="000000"/>
                <w:fitText w:val="490" w:id="-1233405688"/>
                <w14:textFill>
                  <w14:solidFill>
                    <w14:srgbClr w14:val="000000">
                      <w14:alpha w14:val="100000"/>
                    </w14:srgbClr>
                  </w14:solidFill>
                </w14:textFill>
              </w:rPr>
              <w:t>|||||</w:t>
            </w:r>
            <w:r w:rsidRPr="00977173">
              <w:rPr>
                <w:rFonts w:ascii="Arial Narrow" w:hAnsi="Arial Narrow" w:cs="Arial"/>
                <w:color w:val="000000"/>
                <w:spacing w:val="5"/>
                <w:shd w:val="solid" w:color="000000" w:fill="000000"/>
                <w:fitText w:val="490" w:id="-1233405688"/>
                <w14:textFill>
                  <w14:solidFill>
                    <w14:srgbClr w14:val="000000">
                      <w14:alpha w14:val="100000"/>
                    </w14:srgbClr>
                  </w14:solidFill>
                </w14:textFill>
              </w:rPr>
              <w:t>|</w:t>
            </w:r>
            <w:r>
              <w:rPr>
                <w:rFonts w:ascii="Arial Narrow" w:hAnsi="Arial Narrow" w:cs="Arial"/>
                <w:vertAlign w:val="superscript"/>
              </w:rPr>
              <w:t>6</w:t>
            </w:r>
          </w:p>
        </w:tc>
        <w:tc>
          <w:tcPr>
            <w:tcW w:w="545" w:type="pct"/>
            <w:shd w:val="clear" w:color="auto" w:fill="auto"/>
            <w:vAlign w:val="center"/>
          </w:tcPr>
          <w:p w14:paraId="226F65FD"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87"/>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87"/>
                <w14:textFill>
                  <w14:solidFill>
                    <w14:srgbClr w14:val="000000">
                      <w14:alpha w14:val="100000"/>
                    </w14:srgbClr>
                  </w14:solidFill>
                </w14:textFill>
              </w:rPr>
              <w:t>|</w:t>
            </w:r>
            <w:r>
              <w:rPr>
                <w:rFonts w:ascii="Arial Narrow" w:hAnsi="Arial Narrow" w:cs="Arial"/>
                <w:vertAlign w:val="superscript"/>
              </w:rPr>
              <w:t>6</w:t>
            </w:r>
          </w:p>
        </w:tc>
        <w:tc>
          <w:tcPr>
            <w:tcW w:w="548" w:type="pct"/>
            <w:vAlign w:val="center"/>
          </w:tcPr>
          <w:p w14:paraId="26A8665D" w14:textId="77777777" w:rsidR="00880ABD" w:rsidRPr="00F84DDB" w:rsidRDefault="00880ABD" w:rsidP="004E6008">
            <w:pPr>
              <w:spacing w:before="0" w:after="0"/>
              <w:jc w:val="center"/>
              <w:rPr>
                <w:rFonts w:ascii="Arial Narrow" w:hAnsi="Arial Narrow" w:cs="Arial"/>
                <w:vertAlign w:val="superscript"/>
              </w:rPr>
            </w:pPr>
            <w:r w:rsidRPr="00F6487D">
              <w:rPr>
                <w:rFonts w:ascii="Arial Narrow" w:hAnsi="Arial Narrow" w:cs="Arial"/>
              </w:rPr>
              <w:t>$</w:t>
            </w:r>
            <w:r w:rsidRPr="00880ABD">
              <w:rPr>
                <w:rFonts w:ascii="Arial Narrow" w:hAnsi="Arial Narrow" w:cs="Arial"/>
                <w:color w:val="000000"/>
                <w:spacing w:val="46"/>
                <w:shd w:val="solid" w:color="000000" w:fill="000000"/>
                <w:fitText w:val="490" w:id="-1233405686"/>
                <w14:textFill>
                  <w14:solidFill>
                    <w14:srgbClr w14:val="000000">
                      <w14:alpha w14:val="100000"/>
                    </w14:srgbClr>
                  </w14:solidFill>
                </w14:textFill>
              </w:rPr>
              <w:t>|||||</w:t>
            </w:r>
            <w:r w:rsidRPr="00880ABD">
              <w:rPr>
                <w:rFonts w:ascii="Arial Narrow" w:hAnsi="Arial Narrow" w:cs="Arial"/>
                <w:color w:val="000000"/>
                <w:spacing w:val="5"/>
                <w:shd w:val="solid" w:color="000000" w:fill="000000"/>
                <w:fitText w:val="490" w:id="-1233405686"/>
                <w14:textFill>
                  <w14:solidFill>
                    <w14:srgbClr w14:val="000000">
                      <w14:alpha w14:val="100000"/>
                    </w14:srgbClr>
                  </w14:solidFill>
                </w14:textFill>
              </w:rPr>
              <w:t>|</w:t>
            </w:r>
            <w:r>
              <w:rPr>
                <w:rFonts w:ascii="Arial Narrow" w:hAnsi="Arial Narrow" w:cs="Arial"/>
                <w:vertAlign w:val="superscript"/>
              </w:rPr>
              <w:t>6</w:t>
            </w:r>
          </w:p>
        </w:tc>
      </w:tr>
    </w:tbl>
    <w:bookmarkEnd w:id="44"/>
    <w:p w14:paraId="569B4D42" w14:textId="77777777" w:rsidR="00487719" w:rsidRPr="004E6008" w:rsidRDefault="00487719" w:rsidP="00487719">
      <w:pPr>
        <w:spacing w:before="0" w:after="0" w:line="240" w:lineRule="auto"/>
        <w:jc w:val="both"/>
        <w:rPr>
          <w:rFonts w:ascii="Arial Narrow" w:eastAsia="Times New Roman" w:hAnsi="Arial Narrow" w:cs="Arial"/>
          <w:snapToGrid w:val="0"/>
          <w:sz w:val="17"/>
          <w:szCs w:val="17"/>
        </w:rPr>
      </w:pPr>
      <w:r w:rsidRPr="004E6008">
        <w:rPr>
          <w:rFonts w:ascii="Arial Narrow" w:eastAsia="Times New Roman" w:hAnsi="Arial Narrow" w:cs="Arial"/>
          <w:snapToGrid w:val="0"/>
          <w:sz w:val="17"/>
          <w:szCs w:val="17"/>
        </w:rPr>
        <w:t>Source: Table 20 pp37-38 of Commentary</w:t>
      </w:r>
    </w:p>
    <w:p w14:paraId="1EEFC128" w14:textId="6BD8D48B" w:rsidR="00487719" w:rsidRPr="004E6008" w:rsidRDefault="00487719" w:rsidP="00487719">
      <w:pPr>
        <w:spacing w:before="0" w:after="120" w:line="240" w:lineRule="auto"/>
        <w:contextualSpacing/>
        <w:jc w:val="both"/>
        <w:rPr>
          <w:rFonts w:ascii="Arial Narrow" w:eastAsia="Times New Roman" w:hAnsi="Arial Narrow" w:cs="Arial"/>
          <w:snapToGrid w:val="0"/>
          <w:sz w:val="17"/>
          <w:szCs w:val="17"/>
          <w:lang w:eastAsia="en-AU"/>
        </w:rPr>
      </w:pPr>
      <w:r w:rsidRPr="004E6008">
        <w:rPr>
          <w:rFonts w:ascii="Arial Narrow" w:eastAsia="Times New Roman" w:hAnsi="Arial Narrow" w:cs="Arial"/>
          <w:snapToGrid w:val="0"/>
          <w:sz w:val="17"/>
          <w:szCs w:val="17"/>
          <w:lang w:eastAsia="en-AU"/>
        </w:rPr>
        <w:t xml:space="preserve">gBRCA = germline breast cancer gene; GPG = Greatest Permissible Gap; HR(+) = hormone receptor positive; HER2 (-) = human epidermal growth factor receptor 2 negative; </w:t>
      </w:r>
      <w:r w:rsidR="00C735F5" w:rsidRPr="004E6008">
        <w:rPr>
          <w:rFonts w:ascii="Arial Narrow" w:eastAsia="Times New Roman" w:hAnsi="Arial Narrow" w:cs="Arial"/>
          <w:snapToGrid w:val="0"/>
          <w:sz w:val="17"/>
          <w:szCs w:val="17"/>
          <w:lang w:eastAsia="en-AU"/>
        </w:rPr>
        <w:t>PSCR = PBAC pr</w:t>
      </w:r>
      <w:r w:rsidR="00E06671" w:rsidRPr="004E6008">
        <w:rPr>
          <w:rFonts w:ascii="Arial Narrow" w:eastAsia="Times New Roman" w:hAnsi="Arial Narrow" w:cs="Arial"/>
          <w:snapToGrid w:val="0"/>
          <w:sz w:val="17"/>
          <w:szCs w:val="17"/>
          <w:lang w:eastAsia="en-AU"/>
        </w:rPr>
        <w:t xml:space="preserve">e-sub-committee response; </w:t>
      </w:r>
      <w:r w:rsidRPr="004E6008">
        <w:rPr>
          <w:rFonts w:ascii="Arial Narrow" w:eastAsia="Times New Roman" w:hAnsi="Arial Narrow" w:cs="Arial"/>
          <w:snapToGrid w:val="0"/>
          <w:sz w:val="17"/>
          <w:szCs w:val="17"/>
          <w:lang w:eastAsia="en-AU"/>
        </w:rPr>
        <w:t xml:space="preserve">TNBC = triple-negative breast cancer; </w:t>
      </w:r>
    </w:p>
    <w:p w14:paraId="6ED1EFC0" w14:textId="1DFE816D" w:rsidR="00487719" w:rsidRPr="004E6008" w:rsidRDefault="00487719" w:rsidP="00487719">
      <w:pPr>
        <w:spacing w:before="0" w:after="120" w:line="240" w:lineRule="auto"/>
        <w:contextualSpacing/>
        <w:jc w:val="both"/>
        <w:rPr>
          <w:rFonts w:ascii="Arial Narrow" w:eastAsia="Times New Roman" w:hAnsi="Arial Narrow" w:cs="Arial"/>
          <w:snapToGrid w:val="0"/>
          <w:sz w:val="17"/>
          <w:szCs w:val="17"/>
          <w:lang w:eastAsia="en-AU"/>
        </w:rPr>
      </w:pPr>
      <w:r w:rsidRPr="004E6008">
        <w:rPr>
          <w:rFonts w:ascii="Arial Narrow" w:eastAsia="Times New Roman" w:hAnsi="Arial Narrow" w:cs="Arial"/>
          <w:snapToGrid w:val="0"/>
          <w:sz w:val="17"/>
          <w:szCs w:val="17"/>
          <w:vertAlign w:val="superscript"/>
          <w:lang w:eastAsia="en-AU"/>
        </w:rPr>
        <w:t>a</w:t>
      </w:r>
      <w:r w:rsidRPr="004E6008">
        <w:rPr>
          <w:rFonts w:ascii="Arial Narrow" w:eastAsia="Times New Roman" w:hAnsi="Arial Narrow" w:cs="Arial"/>
          <w:snapToGrid w:val="0"/>
          <w:sz w:val="17"/>
          <w:szCs w:val="17"/>
          <w:lang w:eastAsia="en-AU"/>
        </w:rPr>
        <w:t xml:space="preserve"> </w:t>
      </w:r>
      <w:r w:rsidR="00E62943" w:rsidRPr="004E6008">
        <w:rPr>
          <w:rFonts w:ascii="Arial Narrow" w:eastAsia="Times New Roman" w:hAnsi="Arial Narrow" w:cs="Arial"/>
          <w:snapToGrid w:val="0"/>
          <w:sz w:val="17"/>
          <w:szCs w:val="17"/>
          <w:lang w:eastAsia="en-AU"/>
        </w:rPr>
        <w:t>From the ‘Calculation’ tab</w:t>
      </w:r>
      <w:r w:rsidR="000D0D78" w:rsidRPr="004E6008">
        <w:rPr>
          <w:rFonts w:ascii="Arial Narrow" w:eastAsia="Times New Roman" w:hAnsi="Arial Narrow" w:cs="Arial"/>
          <w:snapToGrid w:val="0"/>
          <w:sz w:val="17"/>
          <w:szCs w:val="17"/>
          <w:lang w:eastAsia="en-AU"/>
        </w:rPr>
        <w:t xml:space="preserve"> of Att_3</w:t>
      </w:r>
      <w:r w:rsidR="00C735F5" w:rsidRPr="004E6008">
        <w:rPr>
          <w:rFonts w:ascii="Arial Narrow" w:eastAsia="Times New Roman" w:hAnsi="Arial Narrow" w:cs="Arial"/>
          <w:snapToGrid w:val="0"/>
          <w:sz w:val="17"/>
          <w:szCs w:val="17"/>
          <w:lang w:eastAsia="en-AU"/>
        </w:rPr>
        <w:t xml:space="preserve"> of the PSCR. </w:t>
      </w:r>
    </w:p>
    <w:p w14:paraId="341794DD" w14:textId="2A59DDC5" w:rsidR="00B919E4" w:rsidRPr="004E6008" w:rsidRDefault="00487719" w:rsidP="00487719">
      <w:pPr>
        <w:spacing w:before="0" w:after="120" w:line="240" w:lineRule="auto"/>
        <w:contextualSpacing/>
        <w:jc w:val="both"/>
        <w:rPr>
          <w:rFonts w:ascii="Arial Narrow" w:eastAsia="Times New Roman" w:hAnsi="Arial Narrow" w:cs="Arial"/>
          <w:snapToGrid w:val="0"/>
          <w:sz w:val="17"/>
          <w:szCs w:val="17"/>
          <w:lang w:eastAsia="en-AU"/>
        </w:rPr>
      </w:pPr>
      <w:r w:rsidRPr="004E6008">
        <w:rPr>
          <w:rFonts w:ascii="Arial Narrow" w:eastAsia="Times New Roman" w:hAnsi="Arial Narrow" w:cs="Arial"/>
          <w:snapToGrid w:val="0"/>
          <w:sz w:val="17"/>
          <w:szCs w:val="17"/>
          <w:vertAlign w:val="superscript"/>
          <w:lang w:eastAsia="en-AU"/>
        </w:rPr>
        <w:t>b</w:t>
      </w:r>
      <w:r w:rsidRPr="004E6008">
        <w:rPr>
          <w:rFonts w:ascii="Arial Narrow" w:eastAsia="Times New Roman" w:hAnsi="Arial Narrow" w:cs="Arial"/>
          <w:snapToGrid w:val="0"/>
          <w:sz w:val="17"/>
          <w:szCs w:val="17"/>
          <w:lang w:eastAsia="en-AU"/>
        </w:rPr>
        <w:t xml:space="preserve"> </w:t>
      </w:r>
      <w:r w:rsidR="009320C4" w:rsidRPr="004E6008">
        <w:rPr>
          <w:rFonts w:ascii="Arial Narrow" w:eastAsia="Times New Roman" w:hAnsi="Arial Narrow" w:cs="Arial"/>
          <w:snapToGrid w:val="0"/>
          <w:sz w:val="17"/>
          <w:szCs w:val="17"/>
          <w:lang w:eastAsia="en-AU"/>
        </w:rPr>
        <w:t xml:space="preserve">The PSCR’s estimated volume changes to the MBS item was calculated using ‘7. Net changes – MBS’ spreadsheet in Excel workbook </w:t>
      </w:r>
      <w:r w:rsidR="00E40868" w:rsidRPr="004E6008">
        <w:rPr>
          <w:rFonts w:ascii="Arial Narrow" w:eastAsia="Times New Roman" w:hAnsi="Arial Narrow" w:cs="Arial"/>
          <w:snapToGrid w:val="0"/>
          <w:sz w:val="17"/>
          <w:szCs w:val="17"/>
          <w:lang w:eastAsia="en-AU"/>
        </w:rPr>
        <w:t>(</w:t>
      </w:r>
      <w:r w:rsidR="00A84AA6" w:rsidRPr="004E6008">
        <w:rPr>
          <w:rFonts w:ascii="Arial Narrow" w:eastAsia="Times New Roman" w:hAnsi="Arial Narrow" w:cs="Arial"/>
          <w:snapToGrid w:val="0"/>
          <w:sz w:val="17"/>
          <w:szCs w:val="17"/>
          <w:lang w:eastAsia="en-AU"/>
        </w:rPr>
        <w:t xml:space="preserve">Att_3 </w:t>
      </w:r>
      <w:r w:rsidR="00E40868" w:rsidRPr="004E6008">
        <w:rPr>
          <w:rFonts w:ascii="Arial Narrow" w:eastAsia="Times New Roman" w:hAnsi="Arial Narrow" w:cs="Arial"/>
          <w:snapToGrid w:val="0"/>
          <w:sz w:val="17"/>
          <w:szCs w:val="17"/>
          <w:lang w:eastAsia="en-AU"/>
        </w:rPr>
        <w:t xml:space="preserve">) </w:t>
      </w:r>
      <w:r w:rsidR="00A84AA6" w:rsidRPr="004E6008">
        <w:rPr>
          <w:rFonts w:ascii="Arial Narrow" w:eastAsia="Times New Roman" w:hAnsi="Arial Narrow" w:cs="Arial"/>
          <w:snapToGrid w:val="0"/>
          <w:sz w:val="17"/>
          <w:szCs w:val="17"/>
          <w:lang w:eastAsia="en-AU"/>
        </w:rPr>
        <w:t>of the PSCR.</w:t>
      </w:r>
      <w:r w:rsidR="00925E3E" w:rsidRPr="004E6008">
        <w:rPr>
          <w:rFonts w:ascii="Arial Narrow" w:eastAsia="Times New Roman" w:hAnsi="Arial Narrow" w:cs="Arial"/>
          <w:snapToGrid w:val="0"/>
          <w:sz w:val="17"/>
          <w:szCs w:val="17"/>
          <w:lang w:eastAsia="en-AU"/>
        </w:rPr>
        <w:t xml:space="preserve"> This is calculated by multiplying the change in use of germline BRCA testing services (i.e. </w:t>
      </w:r>
      <w:r w:rsidR="00977173" w:rsidRPr="004E6008">
        <w:rPr>
          <w:rFonts w:ascii="Arial Narrow" w:hAnsi="Arial Narrow" w:cs="Arial"/>
          <w:color w:val="000000"/>
          <w:spacing w:val="77"/>
          <w:sz w:val="17"/>
          <w:szCs w:val="17"/>
          <w:shd w:val="solid" w:color="000000" w:fill="000000"/>
          <w:fitText w:val="490" w:id="-1233403904"/>
          <w14:textFill>
            <w14:solidFill>
              <w14:srgbClr w14:val="000000">
                <w14:alpha w14:val="100000"/>
              </w14:srgbClr>
            </w14:solidFill>
          </w14:textFill>
        </w:rPr>
        <w:t>||||</w:t>
      </w:r>
      <w:r w:rsidR="00977173" w:rsidRPr="004E6008">
        <w:rPr>
          <w:rFonts w:ascii="Arial Narrow" w:hAnsi="Arial Narrow" w:cs="Arial"/>
          <w:color w:val="000000"/>
          <w:spacing w:val="2"/>
          <w:sz w:val="17"/>
          <w:szCs w:val="17"/>
          <w:shd w:val="solid" w:color="000000" w:fill="000000"/>
          <w:fitText w:val="490" w:id="-1233403904"/>
          <w14:textFill>
            <w14:solidFill>
              <w14:srgbClr w14:val="000000">
                <w14:alpha w14:val="100000"/>
              </w14:srgbClr>
            </w14:solidFill>
          </w14:textFill>
        </w:rPr>
        <w:t>|</w:t>
      </w:r>
      <w:r w:rsidR="00DA79DF" w:rsidRPr="004E6008">
        <w:rPr>
          <w:rFonts w:ascii="Arial Narrow" w:eastAsia="Times New Roman" w:hAnsi="Arial Narrow" w:cs="Arial"/>
          <w:snapToGrid w:val="0"/>
          <w:sz w:val="17"/>
          <w:szCs w:val="17"/>
          <w:vertAlign w:val="superscript"/>
          <w:lang w:eastAsia="en-AU"/>
        </w:rPr>
        <w:t>2</w:t>
      </w:r>
      <w:r w:rsidR="00925E3E" w:rsidRPr="004E6008">
        <w:rPr>
          <w:rFonts w:ascii="Arial Narrow" w:eastAsia="Times New Roman" w:hAnsi="Arial Narrow" w:cs="Arial"/>
          <w:snapToGrid w:val="0"/>
          <w:sz w:val="17"/>
          <w:szCs w:val="17"/>
          <w:lang w:eastAsia="en-AU"/>
        </w:rPr>
        <w:t xml:space="preserve"> in Year 1, rather than </w:t>
      </w:r>
      <w:r w:rsidR="00977173" w:rsidRPr="004E6008">
        <w:rPr>
          <w:rFonts w:ascii="Arial Narrow" w:hAnsi="Arial Narrow" w:cs="Arial"/>
          <w:color w:val="000000"/>
          <w:spacing w:val="77"/>
          <w:sz w:val="17"/>
          <w:szCs w:val="17"/>
          <w:shd w:val="solid" w:color="000000" w:fill="000000"/>
          <w:fitText w:val="490" w:id="-1233403903"/>
          <w14:textFill>
            <w14:solidFill>
              <w14:srgbClr w14:val="000000">
                <w14:alpha w14:val="100000"/>
              </w14:srgbClr>
            </w14:solidFill>
          </w14:textFill>
        </w:rPr>
        <w:t>||||</w:t>
      </w:r>
      <w:r w:rsidR="00977173" w:rsidRPr="004E6008">
        <w:rPr>
          <w:rFonts w:ascii="Arial Narrow" w:hAnsi="Arial Narrow" w:cs="Arial"/>
          <w:color w:val="000000"/>
          <w:spacing w:val="2"/>
          <w:sz w:val="17"/>
          <w:szCs w:val="17"/>
          <w:shd w:val="solid" w:color="000000" w:fill="000000"/>
          <w:fitText w:val="490" w:id="-1233403903"/>
          <w14:textFill>
            <w14:solidFill>
              <w14:srgbClr w14:val="000000">
                <w14:alpha w14:val="100000"/>
              </w14:srgbClr>
            </w14:solidFill>
          </w14:textFill>
        </w:rPr>
        <w:t>|</w:t>
      </w:r>
      <w:r w:rsidR="00DA79DF" w:rsidRPr="004E6008">
        <w:rPr>
          <w:rFonts w:ascii="Arial Narrow" w:eastAsia="Times New Roman" w:hAnsi="Arial Narrow" w:cs="Arial"/>
          <w:snapToGrid w:val="0"/>
          <w:sz w:val="17"/>
          <w:szCs w:val="17"/>
          <w:vertAlign w:val="superscript"/>
          <w:lang w:eastAsia="en-AU"/>
        </w:rPr>
        <w:t>3</w:t>
      </w:r>
      <w:r w:rsidR="00925E3E" w:rsidRPr="004E6008">
        <w:rPr>
          <w:rFonts w:ascii="Arial Narrow" w:eastAsia="Times New Roman" w:hAnsi="Arial Narrow" w:cs="Arial"/>
          <w:snapToGrid w:val="0"/>
          <w:sz w:val="17"/>
          <w:szCs w:val="17"/>
          <w:lang w:eastAsia="en-AU"/>
        </w:rPr>
        <w:t xml:space="preserve"> in Year 1 which was erroneously calculated in the ‘7. Net changes – MBS’ spreadsheet) by the MBS fee ($1,106.80) at 85% rebate rate accounting for the GPG, compared to $960 at 80% rebate rate in the submission.</w:t>
      </w:r>
    </w:p>
    <w:p w14:paraId="0AEA90A6" w14:textId="1620CA8F" w:rsidR="00DD2938" w:rsidRPr="004E6008" w:rsidRDefault="00DD2938"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lang w:eastAsia="en-AU"/>
        </w:rPr>
        <w:t xml:space="preserve">The redacted values correspond to the following ranges: </w:t>
      </w:r>
    </w:p>
    <w:p w14:paraId="63BBD65E" w14:textId="79D9C3F1" w:rsidR="00DD2938" w:rsidRPr="004E6008" w:rsidRDefault="00DD2938"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vertAlign w:val="superscript"/>
          <w:lang w:eastAsia="en-AU"/>
        </w:rPr>
        <w:t>1</w:t>
      </w:r>
      <w:r w:rsidRPr="004E6008">
        <w:rPr>
          <w:rFonts w:ascii="Arial Narrow" w:eastAsia="Times New Roman" w:hAnsi="Arial Narrow" w:cs="Arial"/>
          <w:i/>
          <w:iCs/>
          <w:snapToGrid w:val="0"/>
          <w:sz w:val="17"/>
          <w:szCs w:val="17"/>
          <w:lang w:eastAsia="en-AU"/>
        </w:rPr>
        <w:t xml:space="preserve"> 20,000 to &lt; 30,000</w:t>
      </w:r>
    </w:p>
    <w:p w14:paraId="1A81027B" w14:textId="6D017527" w:rsidR="00DD2938" w:rsidRPr="004E6008" w:rsidRDefault="00DD2938"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vertAlign w:val="superscript"/>
          <w:lang w:eastAsia="en-AU"/>
        </w:rPr>
        <w:t>2</w:t>
      </w:r>
      <w:r w:rsidRPr="004E6008">
        <w:rPr>
          <w:rFonts w:ascii="Arial Narrow" w:eastAsia="Times New Roman" w:hAnsi="Arial Narrow" w:cs="Arial"/>
          <w:i/>
          <w:iCs/>
          <w:snapToGrid w:val="0"/>
          <w:sz w:val="17"/>
          <w:szCs w:val="17"/>
          <w:lang w:eastAsia="en-AU"/>
        </w:rPr>
        <w:t xml:space="preserve"> 500 to &lt; 5,000</w:t>
      </w:r>
    </w:p>
    <w:p w14:paraId="6248DA36" w14:textId="5D09E8FC" w:rsidR="00DD2938" w:rsidRPr="004E6008" w:rsidRDefault="00DD2938"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vertAlign w:val="superscript"/>
          <w:lang w:eastAsia="en-AU"/>
        </w:rPr>
        <w:t xml:space="preserve">3 </w:t>
      </w:r>
      <w:r w:rsidRPr="004E6008">
        <w:rPr>
          <w:rFonts w:ascii="Arial Narrow" w:eastAsia="Times New Roman" w:hAnsi="Arial Narrow" w:cs="Arial"/>
          <w:i/>
          <w:iCs/>
          <w:snapToGrid w:val="0"/>
          <w:sz w:val="17"/>
          <w:szCs w:val="17"/>
          <w:lang w:eastAsia="en-AU"/>
        </w:rPr>
        <w:t>&lt; 500</w:t>
      </w:r>
    </w:p>
    <w:p w14:paraId="1FE825EE" w14:textId="5F2DFA9E" w:rsidR="00DD2938" w:rsidRPr="004E6008" w:rsidRDefault="00DD2938"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vertAlign w:val="superscript"/>
          <w:lang w:eastAsia="en-AU"/>
        </w:rPr>
        <w:t>4</w:t>
      </w:r>
      <w:r w:rsidRPr="004E6008">
        <w:rPr>
          <w:rFonts w:ascii="Arial Narrow" w:eastAsia="Times New Roman" w:hAnsi="Arial Narrow" w:cs="Arial"/>
          <w:i/>
          <w:iCs/>
          <w:snapToGrid w:val="0"/>
          <w:sz w:val="17"/>
          <w:szCs w:val="17"/>
          <w:lang w:eastAsia="en-AU"/>
        </w:rPr>
        <w:t xml:space="preserve"> 5,000 to &lt; 10,000</w:t>
      </w:r>
    </w:p>
    <w:p w14:paraId="2803ECE9" w14:textId="01E79F5C" w:rsidR="00DD2938" w:rsidRPr="004E6008" w:rsidRDefault="00DD2938"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vertAlign w:val="superscript"/>
          <w:lang w:eastAsia="en-AU"/>
        </w:rPr>
        <w:t>5</w:t>
      </w:r>
      <w:r w:rsidRPr="004E6008">
        <w:rPr>
          <w:rFonts w:ascii="Arial Narrow" w:eastAsia="Times New Roman" w:hAnsi="Arial Narrow" w:cs="Arial"/>
          <w:i/>
          <w:iCs/>
          <w:snapToGrid w:val="0"/>
          <w:sz w:val="17"/>
          <w:szCs w:val="17"/>
          <w:lang w:eastAsia="en-AU"/>
        </w:rPr>
        <w:t xml:space="preserve"> 10,000 to &lt; 20,000</w:t>
      </w:r>
    </w:p>
    <w:p w14:paraId="697CCF2A" w14:textId="2F931601" w:rsidR="00046191" w:rsidRPr="004E6008" w:rsidRDefault="00443AEA" w:rsidP="00DD2938">
      <w:pPr>
        <w:spacing w:before="0" w:after="120" w:line="240" w:lineRule="auto"/>
        <w:contextualSpacing/>
        <w:jc w:val="both"/>
        <w:rPr>
          <w:rFonts w:ascii="Arial Narrow" w:eastAsia="Times New Roman" w:hAnsi="Arial Narrow" w:cs="Arial"/>
          <w:i/>
          <w:iCs/>
          <w:snapToGrid w:val="0"/>
          <w:sz w:val="17"/>
          <w:szCs w:val="17"/>
          <w:lang w:eastAsia="en-AU"/>
        </w:rPr>
      </w:pPr>
      <w:r w:rsidRPr="004E6008">
        <w:rPr>
          <w:rFonts w:ascii="Arial Narrow" w:eastAsia="Times New Roman" w:hAnsi="Arial Narrow" w:cs="Arial"/>
          <w:i/>
          <w:iCs/>
          <w:snapToGrid w:val="0"/>
          <w:sz w:val="17"/>
          <w:szCs w:val="17"/>
          <w:vertAlign w:val="superscript"/>
          <w:lang w:eastAsia="en-AU"/>
        </w:rPr>
        <w:t xml:space="preserve">6 </w:t>
      </w:r>
      <w:r w:rsidRPr="004E6008">
        <w:rPr>
          <w:rFonts w:ascii="Arial Narrow" w:eastAsia="Times New Roman" w:hAnsi="Arial Narrow" w:cs="Arial"/>
          <w:i/>
          <w:iCs/>
          <w:snapToGrid w:val="0"/>
          <w:sz w:val="17"/>
          <w:szCs w:val="17"/>
          <w:lang w:eastAsia="en-AU"/>
        </w:rPr>
        <w:t>$0 to &lt; $10 million</w:t>
      </w:r>
    </w:p>
    <w:p w14:paraId="65A480D8" w14:textId="77777777" w:rsidR="006771EC" w:rsidRDefault="007C6177" w:rsidP="0016761B">
      <w:pPr>
        <w:spacing w:before="240"/>
      </w:pPr>
      <w:r>
        <w:t>Revised estimates of MBS utilisation and financial implications were calculated for the Departmental Overview.</w:t>
      </w:r>
      <w:r w:rsidR="00FB08CB">
        <w:t xml:space="preserve"> It was </w:t>
      </w:r>
      <w:r w:rsidR="00663381">
        <w:t>assumed</w:t>
      </w:r>
      <w:r w:rsidR="008A69EB">
        <w:t xml:space="preserve"> </w:t>
      </w:r>
      <w:r w:rsidR="00703ECC">
        <w:t xml:space="preserve">that patients </w:t>
      </w:r>
      <w:r w:rsidR="00191169">
        <w:t xml:space="preserve">that all germline </w:t>
      </w:r>
      <w:r w:rsidR="00191169">
        <w:rPr>
          <w:i/>
          <w:iCs/>
        </w:rPr>
        <w:t xml:space="preserve">BRCA1/2 </w:t>
      </w:r>
      <w:r w:rsidR="00191169">
        <w:t xml:space="preserve">testing </w:t>
      </w:r>
      <w:r w:rsidR="001E456B">
        <w:t xml:space="preserve">for the proposed population </w:t>
      </w:r>
      <w:r w:rsidR="005A534A">
        <w:t>would be provided on the MBS</w:t>
      </w:r>
      <w:r w:rsidR="0011246F">
        <w:t xml:space="preserve"> </w:t>
      </w:r>
      <w:r w:rsidR="00D21E57">
        <w:t xml:space="preserve">as a result of the new MBS item. </w:t>
      </w:r>
    </w:p>
    <w:p w14:paraId="1D3B2FCB" w14:textId="34004AAC" w:rsidR="00D21E57" w:rsidRPr="005F286D" w:rsidRDefault="006771EC" w:rsidP="00EA38E9">
      <w:r>
        <w:t xml:space="preserve">It was assumed that all </w:t>
      </w:r>
      <w:r w:rsidR="007066F1">
        <w:t xml:space="preserve">existing use of </w:t>
      </w:r>
      <w:r w:rsidR="007066F1" w:rsidRPr="007066F1">
        <w:t xml:space="preserve">germline </w:t>
      </w:r>
      <w:r w:rsidR="00055F5B" w:rsidRPr="00055F5B">
        <w:rPr>
          <w:i/>
        </w:rPr>
        <w:t>BRCA1/2</w:t>
      </w:r>
      <w:r w:rsidR="007066F1" w:rsidRPr="007066F1">
        <w:t xml:space="preserve"> testing under MBS item 73296 </w:t>
      </w:r>
      <w:r>
        <w:t xml:space="preserve">was for </w:t>
      </w:r>
      <w:r w:rsidR="00EE5237">
        <w:t xml:space="preserve">people with </w:t>
      </w:r>
      <w:r>
        <w:t xml:space="preserve">early breast cancer and the utilisation of this item was predicted to increase at the rate of increasing breast cancer incidence. This </w:t>
      </w:r>
      <w:r w:rsidR="00EE5237">
        <w:t xml:space="preserve">likely overestimated </w:t>
      </w:r>
      <w:r w:rsidR="00F5410F">
        <w:t xml:space="preserve">existing MBS use </w:t>
      </w:r>
      <w:r w:rsidR="0081563B">
        <w:t xml:space="preserve">(and underestimated net cost to MBS) </w:t>
      </w:r>
      <w:r w:rsidR="00F5410F">
        <w:t xml:space="preserve">of germline </w:t>
      </w:r>
      <w:r w:rsidR="00F5410F">
        <w:rPr>
          <w:i/>
          <w:iCs/>
        </w:rPr>
        <w:t xml:space="preserve">BRCA1/2 </w:t>
      </w:r>
      <w:r w:rsidR="00F5410F">
        <w:t xml:space="preserve">testing </w:t>
      </w:r>
      <w:r w:rsidR="00D8557E">
        <w:t>for early TNBC and HR+/HER2- breast cancer as the MBS item</w:t>
      </w:r>
      <w:r w:rsidR="00636F15">
        <w:t xml:space="preserve"> is</w:t>
      </w:r>
      <w:r w:rsidR="00D8557E">
        <w:t xml:space="preserve"> </w:t>
      </w:r>
      <w:r w:rsidR="0081563B">
        <w:t xml:space="preserve">for people with breast and ovarian cancer who meet certain eligibility criteria. </w:t>
      </w:r>
    </w:p>
    <w:p w14:paraId="2D90813B" w14:textId="6F671E22" w:rsidR="00F6487D" w:rsidRPr="00D65388" w:rsidRDefault="0081563B" w:rsidP="00EA38E9">
      <w:r>
        <w:t xml:space="preserve">The revised financial </w:t>
      </w:r>
      <w:r w:rsidR="00440787">
        <w:t>estimates (</w:t>
      </w:r>
      <w:r w:rsidR="00440787">
        <w:fldChar w:fldCharType="begin"/>
      </w:r>
      <w:r w:rsidR="00440787">
        <w:instrText xml:space="preserve"> REF _Ref117954889 \h </w:instrText>
      </w:r>
      <w:r w:rsidR="00440787">
        <w:fldChar w:fldCharType="separate"/>
      </w:r>
      <w:r w:rsidR="00EF5403" w:rsidRPr="002904AC">
        <w:rPr>
          <w:color w:val="000000" w:themeColor="text1"/>
        </w:rPr>
        <w:t xml:space="preserve">Table </w:t>
      </w:r>
      <w:r w:rsidR="00EF5403">
        <w:rPr>
          <w:noProof/>
          <w:color w:val="000000" w:themeColor="text1"/>
        </w:rPr>
        <w:t>11</w:t>
      </w:r>
      <w:r w:rsidR="00440787">
        <w:fldChar w:fldCharType="end"/>
      </w:r>
      <w:r w:rsidR="00440787">
        <w:t xml:space="preserve">) </w:t>
      </w:r>
      <w:r w:rsidR="00D2608C">
        <w:t xml:space="preserve">estimated a net cost to the MBS of </w:t>
      </w:r>
      <w:r w:rsidR="00A61205" w:rsidRPr="00A61205">
        <w:t>$30 million to &lt; $40 million</w:t>
      </w:r>
      <w:r w:rsidR="00A61205" w:rsidRPr="00A61205" w:rsidDel="00A61205">
        <w:t xml:space="preserve"> </w:t>
      </w:r>
      <w:r w:rsidR="00D2608C">
        <w:t xml:space="preserve">over </w:t>
      </w:r>
      <w:r w:rsidR="002B44EE">
        <w:t>6 years</w:t>
      </w:r>
      <w:r w:rsidR="00555E8B">
        <w:t>. This was based on</w:t>
      </w:r>
      <w:r w:rsidR="002B44EE">
        <w:t xml:space="preserve"> a lower MBS $1,000 fee </w:t>
      </w:r>
      <w:r w:rsidR="00EB0197">
        <w:t>and cascade testing</w:t>
      </w:r>
      <w:r w:rsidR="00555E8B">
        <w:t xml:space="preserve"> for 1.8 biological relatives for each </w:t>
      </w:r>
      <w:r w:rsidR="00355C9C">
        <w:rPr>
          <w:i/>
          <w:iCs/>
        </w:rPr>
        <w:t xml:space="preserve">BRCA1/2 </w:t>
      </w:r>
      <w:r w:rsidR="00355C9C">
        <w:t xml:space="preserve">positive </w:t>
      </w:r>
      <w:r w:rsidR="00201210">
        <w:t>individual</w:t>
      </w:r>
      <w:r w:rsidR="002B44EE">
        <w:t xml:space="preserve">. This was </w:t>
      </w:r>
      <w:r w:rsidR="00440787">
        <w:t xml:space="preserve">substantially higher than </w:t>
      </w:r>
      <w:r w:rsidR="00201210">
        <w:t xml:space="preserve">the financial implications </w:t>
      </w:r>
      <w:r w:rsidR="00440787">
        <w:t xml:space="preserve">estimated in the submission, PBAC commentary or PBAC PSCR. </w:t>
      </w:r>
      <w:r w:rsidR="002B44EE">
        <w:t xml:space="preserve">This estimate likely remains </w:t>
      </w:r>
      <w:r w:rsidR="00D61936">
        <w:t xml:space="preserve">an underestimate </w:t>
      </w:r>
      <w:r w:rsidR="00A74236">
        <w:t xml:space="preserve">as it </w:t>
      </w:r>
      <w:r w:rsidR="00F55A91">
        <w:t xml:space="preserve">assumed all current use of </w:t>
      </w:r>
      <w:r w:rsidR="00D61936">
        <w:t xml:space="preserve">MBS testing was for germline </w:t>
      </w:r>
      <w:r w:rsidR="00D61936">
        <w:rPr>
          <w:i/>
          <w:iCs/>
        </w:rPr>
        <w:t xml:space="preserve">BRCA1/2 </w:t>
      </w:r>
      <w:r w:rsidR="00D61936">
        <w:t xml:space="preserve">was assumed to be for people with </w:t>
      </w:r>
      <w:r w:rsidR="00D61936" w:rsidRPr="00D61936">
        <w:t>early TNBC and HR+/HER2- breast cance</w:t>
      </w:r>
      <w:r w:rsidR="00E17719">
        <w:t xml:space="preserve">r. </w:t>
      </w:r>
    </w:p>
    <w:p w14:paraId="0699D216" w14:textId="7F48378B" w:rsidR="00EA38E9" w:rsidRPr="002904AC" w:rsidRDefault="00EA38E9" w:rsidP="00EA38E9">
      <w:pPr>
        <w:pStyle w:val="Caption"/>
        <w:jc w:val="both"/>
        <w:rPr>
          <w:b w:val="0"/>
          <w:i/>
          <w:color w:val="000000" w:themeColor="text1"/>
        </w:rPr>
      </w:pPr>
      <w:bookmarkStart w:id="45" w:name="_Ref117954889"/>
      <w:r w:rsidRPr="002904AC">
        <w:rPr>
          <w:color w:val="000000" w:themeColor="text1"/>
        </w:rPr>
        <w:t xml:space="preserve">Table </w:t>
      </w:r>
      <w:r w:rsidRPr="002904AC">
        <w:rPr>
          <w:b w:val="0"/>
          <w:i/>
          <w:color w:val="000000" w:themeColor="text1"/>
        </w:rPr>
        <w:fldChar w:fldCharType="begin"/>
      </w:r>
      <w:r w:rsidRPr="002904AC">
        <w:rPr>
          <w:color w:val="000000" w:themeColor="text1"/>
        </w:rPr>
        <w:instrText xml:space="preserve"> SEQ Table \* ARABIC </w:instrText>
      </w:r>
      <w:r w:rsidRPr="002904AC">
        <w:rPr>
          <w:b w:val="0"/>
          <w:i/>
          <w:color w:val="000000" w:themeColor="text1"/>
        </w:rPr>
        <w:fldChar w:fldCharType="separate"/>
      </w:r>
      <w:r w:rsidR="001B3C82">
        <w:rPr>
          <w:noProof/>
          <w:color w:val="000000" w:themeColor="text1"/>
        </w:rPr>
        <w:t>12</w:t>
      </w:r>
      <w:r w:rsidRPr="002904AC">
        <w:rPr>
          <w:b w:val="0"/>
          <w:i/>
          <w:color w:val="000000" w:themeColor="text1"/>
        </w:rPr>
        <w:fldChar w:fldCharType="end"/>
      </w:r>
      <w:bookmarkEnd w:id="45"/>
      <w:r w:rsidRPr="002904AC">
        <w:rPr>
          <w:color w:val="000000" w:themeColor="text1"/>
        </w:rPr>
        <w:t xml:space="preserve"> </w:t>
      </w:r>
      <w:r w:rsidRPr="002904AC">
        <w:rPr>
          <w:color w:val="000000" w:themeColor="text1"/>
        </w:rPr>
        <w:tab/>
        <w:t xml:space="preserve"> </w:t>
      </w:r>
      <w:r w:rsidR="00AA157D">
        <w:rPr>
          <w:color w:val="000000" w:themeColor="text1"/>
        </w:rPr>
        <w:t xml:space="preserve">Revised utilisation </w:t>
      </w:r>
      <w:r w:rsidR="00AA157D" w:rsidRPr="00AA157D">
        <w:rPr>
          <w:color w:val="000000" w:themeColor="text1"/>
        </w:rPr>
        <w:t>and financial implications</w:t>
      </w:r>
    </w:p>
    <w:tbl>
      <w:tblPr>
        <w:tblStyle w:val="TableGrid"/>
        <w:tblW w:w="5000" w:type="pct"/>
        <w:tblLook w:val="04A0" w:firstRow="1" w:lastRow="0" w:firstColumn="1" w:lastColumn="0" w:noHBand="0" w:noVBand="1"/>
      </w:tblPr>
      <w:tblGrid>
        <w:gridCol w:w="2532"/>
        <w:gridCol w:w="1080"/>
        <w:gridCol w:w="1081"/>
        <w:gridCol w:w="1081"/>
        <w:gridCol w:w="1080"/>
        <w:gridCol w:w="1081"/>
        <w:gridCol w:w="1081"/>
      </w:tblGrid>
      <w:tr w:rsidR="005816DD" w:rsidRPr="002904AC" w14:paraId="5E95BF6C" w14:textId="77777777" w:rsidTr="00F84DDB">
        <w:tc>
          <w:tcPr>
            <w:tcW w:w="2532" w:type="dxa"/>
          </w:tcPr>
          <w:p w14:paraId="3A90AE60" w14:textId="77777777" w:rsidR="005816DD" w:rsidRPr="002904AC" w:rsidRDefault="005816DD" w:rsidP="00F84DDB">
            <w:pPr>
              <w:pStyle w:val="TableText"/>
              <w:keepNext/>
              <w:keepLines/>
              <w:spacing w:before="0" w:after="0"/>
              <w:jc w:val="both"/>
              <w:rPr>
                <w:szCs w:val="20"/>
              </w:rPr>
            </w:pPr>
          </w:p>
        </w:tc>
        <w:tc>
          <w:tcPr>
            <w:tcW w:w="1080" w:type="dxa"/>
            <w:vAlign w:val="center"/>
          </w:tcPr>
          <w:p w14:paraId="5B7E7C14" w14:textId="77777777" w:rsidR="005816DD" w:rsidRPr="002904AC" w:rsidRDefault="005816DD" w:rsidP="00F84DDB">
            <w:pPr>
              <w:pStyle w:val="TableHeading0"/>
              <w:spacing w:before="0" w:after="0"/>
              <w:jc w:val="center"/>
              <w:rPr>
                <w:szCs w:val="20"/>
              </w:rPr>
            </w:pPr>
            <w:r w:rsidRPr="002904AC">
              <w:rPr>
                <w:szCs w:val="20"/>
              </w:rPr>
              <w:t>2023</w:t>
            </w:r>
          </w:p>
        </w:tc>
        <w:tc>
          <w:tcPr>
            <w:tcW w:w="1081" w:type="dxa"/>
            <w:vAlign w:val="center"/>
          </w:tcPr>
          <w:p w14:paraId="1E6AF7FD" w14:textId="77777777" w:rsidR="005816DD" w:rsidRPr="002904AC" w:rsidRDefault="005816DD" w:rsidP="00F84DDB">
            <w:pPr>
              <w:pStyle w:val="TableHeading0"/>
              <w:spacing w:before="0" w:after="0"/>
              <w:jc w:val="center"/>
              <w:rPr>
                <w:szCs w:val="20"/>
              </w:rPr>
            </w:pPr>
            <w:r w:rsidRPr="002904AC">
              <w:rPr>
                <w:szCs w:val="20"/>
              </w:rPr>
              <w:t>2024</w:t>
            </w:r>
          </w:p>
        </w:tc>
        <w:tc>
          <w:tcPr>
            <w:tcW w:w="1081" w:type="dxa"/>
            <w:vAlign w:val="center"/>
          </w:tcPr>
          <w:p w14:paraId="08B86DE5" w14:textId="77777777" w:rsidR="005816DD" w:rsidRPr="002904AC" w:rsidRDefault="005816DD" w:rsidP="00F84DDB">
            <w:pPr>
              <w:pStyle w:val="TableHeading0"/>
              <w:spacing w:before="0" w:after="0"/>
              <w:jc w:val="center"/>
              <w:rPr>
                <w:szCs w:val="20"/>
              </w:rPr>
            </w:pPr>
            <w:r w:rsidRPr="002904AC">
              <w:rPr>
                <w:szCs w:val="20"/>
              </w:rPr>
              <w:t>2025</w:t>
            </w:r>
          </w:p>
        </w:tc>
        <w:tc>
          <w:tcPr>
            <w:tcW w:w="1080" w:type="dxa"/>
            <w:vAlign w:val="center"/>
          </w:tcPr>
          <w:p w14:paraId="265C9A86" w14:textId="77777777" w:rsidR="005816DD" w:rsidRPr="002904AC" w:rsidRDefault="005816DD" w:rsidP="00F84DDB">
            <w:pPr>
              <w:pStyle w:val="TableHeading0"/>
              <w:spacing w:before="0" w:after="0"/>
              <w:jc w:val="center"/>
              <w:rPr>
                <w:szCs w:val="20"/>
              </w:rPr>
            </w:pPr>
            <w:r w:rsidRPr="002904AC">
              <w:rPr>
                <w:szCs w:val="20"/>
              </w:rPr>
              <w:t>2026</w:t>
            </w:r>
          </w:p>
        </w:tc>
        <w:tc>
          <w:tcPr>
            <w:tcW w:w="1081" w:type="dxa"/>
            <w:vAlign w:val="center"/>
          </w:tcPr>
          <w:p w14:paraId="49A0C039" w14:textId="77777777" w:rsidR="005816DD" w:rsidRPr="002904AC" w:rsidRDefault="005816DD" w:rsidP="00F84DDB">
            <w:pPr>
              <w:pStyle w:val="TableHeading0"/>
              <w:spacing w:before="0" w:after="0"/>
              <w:jc w:val="center"/>
              <w:rPr>
                <w:szCs w:val="20"/>
              </w:rPr>
            </w:pPr>
            <w:r w:rsidRPr="002904AC">
              <w:rPr>
                <w:szCs w:val="20"/>
              </w:rPr>
              <w:t>2027</w:t>
            </w:r>
          </w:p>
        </w:tc>
        <w:tc>
          <w:tcPr>
            <w:tcW w:w="1081" w:type="dxa"/>
            <w:vAlign w:val="center"/>
          </w:tcPr>
          <w:p w14:paraId="36FB37BB" w14:textId="77777777" w:rsidR="005816DD" w:rsidRPr="002904AC" w:rsidRDefault="005816DD" w:rsidP="00F84DDB">
            <w:pPr>
              <w:pStyle w:val="TableHeading0"/>
              <w:spacing w:before="0" w:after="0"/>
              <w:jc w:val="center"/>
              <w:rPr>
                <w:szCs w:val="20"/>
              </w:rPr>
            </w:pPr>
            <w:r w:rsidRPr="002904AC">
              <w:rPr>
                <w:szCs w:val="20"/>
              </w:rPr>
              <w:t>2028</w:t>
            </w:r>
          </w:p>
        </w:tc>
      </w:tr>
      <w:tr w:rsidR="005816DD" w:rsidRPr="002904AC" w14:paraId="158930A2" w14:textId="77777777" w:rsidTr="00F84DDB">
        <w:tc>
          <w:tcPr>
            <w:tcW w:w="2532" w:type="dxa"/>
          </w:tcPr>
          <w:p w14:paraId="31DD7ECF" w14:textId="77777777" w:rsidR="005816DD" w:rsidRPr="002904AC" w:rsidRDefault="005816DD" w:rsidP="00F84DDB">
            <w:pPr>
              <w:pStyle w:val="TableText"/>
              <w:keepNext/>
              <w:keepLines/>
              <w:spacing w:before="0" w:after="0"/>
              <w:rPr>
                <w:szCs w:val="20"/>
              </w:rPr>
            </w:pPr>
            <w:r>
              <w:rPr>
                <w:szCs w:val="20"/>
              </w:rPr>
              <w:t xml:space="preserve">Eligible patients </w:t>
            </w:r>
            <w:r>
              <w:rPr>
                <w:szCs w:val="20"/>
                <w:vertAlign w:val="superscript"/>
              </w:rPr>
              <w:t>a</w:t>
            </w:r>
          </w:p>
        </w:tc>
        <w:tc>
          <w:tcPr>
            <w:tcW w:w="1080" w:type="dxa"/>
            <w:vAlign w:val="center"/>
          </w:tcPr>
          <w:p w14:paraId="1956863F"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12"/>
                <w14:textFill>
                  <w14:solidFill>
                    <w14:srgbClr w14:val="000000">
                      <w14:alpha w14:val="100000"/>
                    </w14:srgbClr>
                  </w14:solidFill>
                </w14:textFill>
              </w:rPr>
              <w:t>||||</w:t>
            </w:r>
            <w:r w:rsidRPr="005816DD">
              <w:rPr>
                <w:color w:val="000000"/>
                <w:spacing w:val="2"/>
                <w:shd w:val="solid" w:color="000000" w:fill="000000"/>
                <w:fitText w:val="430" w:id="-1233389312"/>
                <w14:textFill>
                  <w14:solidFill>
                    <w14:srgbClr w14:val="000000">
                      <w14:alpha w14:val="100000"/>
                    </w14:srgbClr>
                  </w14:solidFill>
                </w14:textFill>
              </w:rPr>
              <w:t>|</w:t>
            </w:r>
            <w:r w:rsidRPr="005816DD">
              <w:rPr>
                <w:vertAlign w:val="superscript"/>
              </w:rPr>
              <w:t>1</w:t>
            </w:r>
          </w:p>
        </w:tc>
        <w:tc>
          <w:tcPr>
            <w:tcW w:w="1081" w:type="dxa"/>
            <w:vAlign w:val="center"/>
          </w:tcPr>
          <w:p w14:paraId="2768D776"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11"/>
                <w14:textFill>
                  <w14:solidFill>
                    <w14:srgbClr w14:val="000000">
                      <w14:alpha w14:val="100000"/>
                    </w14:srgbClr>
                  </w14:solidFill>
                </w14:textFill>
              </w:rPr>
              <w:t>||||</w:t>
            </w:r>
            <w:r w:rsidRPr="005816DD">
              <w:rPr>
                <w:color w:val="000000"/>
                <w:spacing w:val="2"/>
                <w:shd w:val="solid" w:color="000000" w:fill="000000"/>
                <w:fitText w:val="430" w:id="-1233389311"/>
                <w14:textFill>
                  <w14:solidFill>
                    <w14:srgbClr w14:val="000000">
                      <w14:alpha w14:val="100000"/>
                    </w14:srgbClr>
                  </w14:solidFill>
                </w14:textFill>
              </w:rPr>
              <w:t>|</w:t>
            </w:r>
            <w:r>
              <w:rPr>
                <w:vertAlign w:val="superscript"/>
              </w:rPr>
              <w:t>2</w:t>
            </w:r>
          </w:p>
        </w:tc>
        <w:tc>
          <w:tcPr>
            <w:tcW w:w="1081" w:type="dxa"/>
            <w:vAlign w:val="center"/>
          </w:tcPr>
          <w:p w14:paraId="7C1E82A9"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10"/>
                <w14:textFill>
                  <w14:solidFill>
                    <w14:srgbClr w14:val="000000">
                      <w14:alpha w14:val="100000"/>
                    </w14:srgbClr>
                  </w14:solidFill>
                </w14:textFill>
              </w:rPr>
              <w:t>||||</w:t>
            </w:r>
            <w:r w:rsidRPr="005816DD">
              <w:rPr>
                <w:color w:val="000000"/>
                <w:spacing w:val="2"/>
                <w:shd w:val="solid" w:color="000000" w:fill="000000"/>
                <w:fitText w:val="430" w:id="-1233389310"/>
                <w14:textFill>
                  <w14:solidFill>
                    <w14:srgbClr w14:val="000000">
                      <w14:alpha w14:val="100000"/>
                    </w14:srgbClr>
                  </w14:solidFill>
                </w14:textFill>
              </w:rPr>
              <w:t>|</w:t>
            </w:r>
            <w:r>
              <w:rPr>
                <w:vertAlign w:val="superscript"/>
              </w:rPr>
              <w:t>2</w:t>
            </w:r>
          </w:p>
        </w:tc>
        <w:tc>
          <w:tcPr>
            <w:tcW w:w="1080" w:type="dxa"/>
            <w:vAlign w:val="center"/>
          </w:tcPr>
          <w:p w14:paraId="39878176"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9"/>
                <w14:textFill>
                  <w14:solidFill>
                    <w14:srgbClr w14:val="000000">
                      <w14:alpha w14:val="100000"/>
                    </w14:srgbClr>
                  </w14:solidFill>
                </w14:textFill>
              </w:rPr>
              <w:t>||||</w:t>
            </w:r>
            <w:r w:rsidRPr="005816DD">
              <w:rPr>
                <w:color w:val="000000"/>
                <w:spacing w:val="2"/>
                <w:shd w:val="solid" w:color="000000" w:fill="000000"/>
                <w:fitText w:val="430" w:id="-1233389309"/>
                <w14:textFill>
                  <w14:solidFill>
                    <w14:srgbClr w14:val="000000">
                      <w14:alpha w14:val="100000"/>
                    </w14:srgbClr>
                  </w14:solidFill>
                </w14:textFill>
              </w:rPr>
              <w:t>|</w:t>
            </w:r>
            <w:r>
              <w:rPr>
                <w:vertAlign w:val="superscript"/>
              </w:rPr>
              <w:t>2</w:t>
            </w:r>
          </w:p>
        </w:tc>
        <w:tc>
          <w:tcPr>
            <w:tcW w:w="1081" w:type="dxa"/>
            <w:vAlign w:val="center"/>
          </w:tcPr>
          <w:p w14:paraId="1E7E4D48"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8"/>
                <w14:textFill>
                  <w14:solidFill>
                    <w14:srgbClr w14:val="000000">
                      <w14:alpha w14:val="100000"/>
                    </w14:srgbClr>
                  </w14:solidFill>
                </w14:textFill>
              </w:rPr>
              <w:t>||||</w:t>
            </w:r>
            <w:r w:rsidRPr="005816DD">
              <w:rPr>
                <w:color w:val="000000"/>
                <w:spacing w:val="2"/>
                <w:shd w:val="solid" w:color="000000" w:fill="000000"/>
                <w:fitText w:val="430" w:id="-1233389308"/>
                <w14:textFill>
                  <w14:solidFill>
                    <w14:srgbClr w14:val="000000">
                      <w14:alpha w14:val="100000"/>
                    </w14:srgbClr>
                  </w14:solidFill>
                </w14:textFill>
              </w:rPr>
              <w:t>|</w:t>
            </w:r>
            <w:r>
              <w:rPr>
                <w:vertAlign w:val="superscript"/>
              </w:rPr>
              <w:t>2</w:t>
            </w:r>
          </w:p>
        </w:tc>
        <w:tc>
          <w:tcPr>
            <w:tcW w:w="1081" w:type="dxa"/>
            <w:vAlign w:val="center"/>
          </w:tcPr>
          <w:p w14:paraId="6E678C95"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7"/>
                <w14:textFill>
                  <w14:solidFill>
                    <w14:srgbClr w14:val="000000">
                      <w14:alpha w14:val="100000"/>
                    </w14:srgbClr>
                  </w14:solidFill>
                </w14:textFill>
              </w:rPr>
              <w:t>||||</w:t>
            </w:r>
            <w:r w:rsidRPr="005816DD">
              <w:rPr>
                <w:color w:val="000000"/>
                <w:spacing w:val="2"/>
                <w:shd w:val="solid" w:color="000000" w:fill="000000"/>
                <w:fitText w:val="430" w:id="-1233389307"/>
                <w14:textFill>
                  <w14:solidFill>
                    <w14:srgbClr w14:val="000000">
                      <w14:alpha w14:val="100000"/>
                    </w14:srgbClr>
                  </w14:solidFill>
                </w14:textFill>
              </w:rPr>
              <w:t>|</w:t>
            </w:r>
            <w:r>
              <w:rPr>
                <w:vertAlign w:val="superscript"/>
              </w:rPr>
              <w:t>2</w:t>
            </w:r>
          </w:p>
        </w:tc>
      </w:tr>
      <w:tr w:rsidR="005816DD" w:rsidRPr="002904AC" w14:paraId="5766C0C9" w14:textId="77777777" w:rsidTr="00F84DDB">
        <w:tc>
          <w:tcPr>
            <w:tcW w:w="2532" w:type="dxa"/>
          </w:tcPr>
          <w:p w14:paraId="4B1B7E1C" w14:textId="77777777" w:rsidR="005816DD" w:rsidRDefault="005816DD" w:rsidP="00F84DDB">
            <w:pPr>
              <w:pStyle w:val="TableText"/>
              <w:keepNext/>
              <w:keepLines/>
              <w:spacing w:before="0" w:after="0"/>
              <w:rPr>
                <w:szCs w:val="20"/>
              </w:rPr>
            </w:pPr>
            <w:r>
              <w:rPr>
                <w:szCs w:val="20"/>
              </w:rPr>
              <w:t>g</w:t>
            </w:r>
            <w:r w:rsidRPr="004E5BF4">
              <w:rPr>
                <w:i/>
                <w:iCs/>
                <w:szCs w:val="20"/>
              </w:rPr>
              <w:t>BRCA1/2</w:t>
            </w:r>
            <w:r>
              <w:rPr>
                <w:szCs w:val="20"/>
              </w:rPr>
              <w:t xml:space="preserve"> testing uptake </w:t>
            </w:r>
          </w:p>
          <w:p w14:paraId="78C1C80B" w14:textId="77777777" w:rsidR="005816DD" w:rsidRPr="002904AC" w:rsidRDefault="005816DD" w:rsidP="00F84DDB">
            <w:pPr>
              <w:pStyle w:val="TableText"/>
              <w:keepNext/>
              <w:keepLines/>
              <w:spacing w:before="0" w:after="0"/>
              <w:rPr>
                <w:szCs w:val="20"/>
              </w:rPr>
            </w:pPr>
            <w:r>
              <w:rPr>
                <w:szCs w:val="20"/>
              </w:rPr>
              <w:t>(Years</w:t>
            </w:r>
            <w:r w:rsidRPr="00CF54E5">
              <w:rPr>
                <w:szCs w:val="20"/>
              </w:rPr>
              <w:t xml:space="preserve"> 1−6: 80−95%</w:t>
            </w:r>
            <w:r>
              <w:rPr>
                <w:szCs w:val="20"/>
              </w:rPr>
              <w:t xml:space="preserve">)  </w:t>
            </w:r>
          </w:p>
        </w:tc>
        <w:tc>
          <w:tcPr>
            <w:tcW w:w="1080" w:type="dxa"/>
            <w:vAlign w:val="center"/>
          </w:tcPr>
          <w:p w14:paraId="3D243FF6"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6"/>
                <w14:textFill>
                  <w14:solidFill>
                    <w14:srgbClr w14:val="000000">
                      <w14:alpha w14:val="100000"/>
                    </w14:srgbClr>
                  </w14:solidFill>
                </w14:textFill>
              </w:rPr>
              <w:t>||||</w:t>
            </w:r>
            <w:r w:rsidRPr="005816DD">
              <w:rPr>
                <w:color w:val="000000"/>
                <w:spacing w:val="2"/>
                <w:shd w:val="solid" w:color="000000" w:fill="000000"/>
                <w:fitText w:val="430" w:id="-1233389306"/>
                <w14:textFill>
                  <w14:solidFill>
                    <w14:srgbClr w14:val="000000">
                      <w14:alpha w14:val="100000"/>
                    </w14:srgbClr>
                  </w14:solidFill>
                </w14:textFill>
              </w:rPr>
              <w:t>|</w:t>
            </w:r>
            <w:r>
              <w:rPr>
                <w:vertAlign w:val="superscript"/>
              </w:rPr>
              <w:t>1</w:t>
            </w:r>
          </w:p>
        </w:tc>
        <w:tc>
          <w:tcPr>
            <w:tcW w:w="1081" w:type="dxa"/>
            <w:vAlign w:val="center"/>
          </w:tcPr>
          <w:p w14:paraId="32B6A4D9"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5"/>
                <w14:textFill>
                  <w14:solidFill>
                    <w14:srgbClr w14:val="000000">
                      <w14:alpha w14:val="100000"/>
                    </w14:srgbClr>
                  </w14:solidFill>
                </w14:textFill>
              </w:rPr>
              <w:t>||||</w:t>
            </w:r>
            <w:r w:rsidRPr="005816DD">
              <w:rPr>
                <w:color w:val="000000"/>
                <w:spacing w:val="2"/>
                <w:shd w:val="solid" w:color="000000" w:fill="000000"/>
                <w:fitText w:val="430" w:id="-1233389305"/>
                <w14:textFill>
                  <w14:solidFill>
                    <w14:srgbClr w14:val="000000">
                      <w14:alpha w14:val="100000"/>
                    </w14:srgbClr>
                  </w14:solidFill>
                </w14:textFill>
              </w:rPr>
              <w:t>|</w:t>
            </w:r>
            <w:r>
              <w:rPr>
                <w:vertAlign w:val="superscript"/>
              </w:rPr>
              <w:t>1</w:t>
            </w:r>
          </w:p>
        </w:tc>
        <w:tc>
          <w:tcPr>
            <w:tcW w:w="1081" w:type="dxa"/>
            <w:vAlign w:val="center"/>
          </w:tcPr>
          <w:p w14:paraId="23DEE290"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4"/>
                <w14:textFill>
                  <w14:solidFill>
                    <w14:srgbClr w14:val="000000">
                      <w14:alpha w14:val="100000"/>
                    </w14:srgbClr>
                  </w14:solidFill>
                </w14:textFill>
              </w:rPr>
              <w:t>||||</w:t>
            </w:r>
            <w:r w:rsidRPr="005816DD">
              <w:rPr>
                <w:color w:val="000000"/>
                <w:spacing w:val="2"/>
                <w:shd w:val="solid" w:color="000000" w:fill="000000"/>
                <w:fitText w:val="430" w:id="-1233389304"/>
                <w14:textFill>
                  <w14:solidFill>
                    <w14:srgbClr w14:val="000000">
                      <w14:alpha w14:val="100000"/>
                    </w14:srgbClr>
                  </w14:solidFill>
                </w14:textFill>
              </w:rPr>
              <w:t>|</w:t>
            </w:r>
            <w:r>
              <w:rPr>
                <w:vertAlign w:val="superscript"/>
              </w:rPr>
              <w:t>1</w:t>
            </w:r>
          </w:p>
        </w:tc>
        <w:tc>
          <w:tcPr>
            <w:tcW w:w="1080" w:type="dxa"/>
            <w:vAlign w:val="center"/>
          </w:tcPr>
          <w:p w14:paraId="38A67DF6"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3"/>
                <w14:textFill>
                  <w14:solidFill>
                    <w14:srgbClr w14:val="000000">
                      <w14:alpha w14:val="100000"/>
                    </w14:srgbClr>
                  </w14:solidFill>
                </w14:textFill>
              </w:rPr>
              <w:t>||||</w:t>
            </w:r>
            <w:r w:rsidRPr="005816DD">
              <w:rPr>
                <w:color w:val="000000"/>
                <w:spacing w:val="2"/>
                <w:shd w:val="solid" w:color="000000" w:fill="000000"/>
                <w:fitText w:val="430" w:id="-1233389303"/>
                <w14:textFill>
                  <w14:solidFill>
                    <w14:srgbClr w14:val="000000">
                      <w14:alpha w14:val="100000"/>
                    </w14:srgbClr>
                  </w14:solidFill>
                </w14:textFill>
              </w:rPr>
              <w:t>|</w:t>
            </w:r>
            <w:r>
              <w:rPr>
                <w:vertAlign w:val="superscript"/>
              </w:rPr>
              <w:t>2</w:t>
            </w:r>
          </w:p>
        </w:tc>
        <w:tc>
          <w:tcPr>
            <w:tcW w:w="1081" w:type="dxa"/>
            <w:vAlign w:val="center"/>
          </w:tcPr>
          <w:p w14:paraId="663B236D"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2"/>
                <w14:textFill>
                  <w14:solidFill>
                    <w14:srgbClr w14:val="000000">
                      <w14:alpha w14:val="100000"/>
                    </w14:srgbClr>
                  </w14:solidFill>
                </w14:textFill>
              </w:rPr>
              <w:t>||||</w:t>
            </w:r>
            <w:r w:rsidRPr="005816DD">
              <w:rPr>
                <w:color w:val="000000"/>
                <w:spacing w:val="2"/>
                <w:shd w:val="solid" w:color="000000" w:fill="000000"/>
                <w:fitText w:val="430" w:id="-1233389302"/>
                <w14:textFill>
                  <w14:solidFill>
                    <w14:srgbClr w14:val="000000">
                      <w14:alpha w14:val="100000"/>
                    </w14:srgbClr>
                  </w14:solidFill>
                </w14:textFill>
              </w:rPr>
              <w:t>|</w:t>
            </w:r>
            <w:r>
              <w:rPr>
                <w:vertAlign w:val="superscript"/>
              </w:rPr>
              <w:t>2</w:t>
            </w:r>
          </w:p>
        </w:tc>
        <w:tc>
          <w:tcPr>
            <w:tcW w:w="1081" w:type="dxa"/>
            <w:vAlign w:val="center"/>
          </w:tcPr>
          <w:p w14:paraId="05CAFD5E"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1"/>
                <w14:textFill>
                  <w14:solidFill>
                    <w14:srgbClr w14:val="000000">
                      <w14:alpha w14:val="100000"/>
                    </w14:srgbClr>
                  </w14:solidFill>
                </w14:textFill>
              </w:rPr>
              <w:t>||||</w:t>
            </w:r>
            <w:r w:rsidRPr="005816DD">
              <w:rPr>
                <w:color w:val="000000"/>
                <w:spacing w:val="2"/>
                <w:shd w:val="solid" w:color="000000" w:fill="000000"/>
                <w:fitText w:val="430" w:id="-1233389301"/>
                <w14:textFill>
                  <w14:solidFill>
                    <w14:srgbClr w14:val="000000">
                      <w14:alpha w14:val="100000"/>
                    </w14:srgbClr>
                  </w14:solidFill>
                </w14:textFill>
              </w:rPr>
              <w:t>|</w:t>
            </w:r>
            <w:r>
              <w:rPr>
                <w:vertAlign w:val="superscript"/>
              </w:rPr>
              <w:t>2</w:t>
            </w:r>
          </w:p>
        </w:tc>
      </w:tr>
      <w:tr w:rsidR="005816DD" w:rsidRPr="002904AC" w14:paraId="137882A8" w14:textId="77777777" w:rsidTr="00F84DDB">
        <w:tc>
          <w:tcPr>
            <w:tcW w:w="2532" w:type="dxa"/>
          </w:tcPr>
          <w:p w14:paraId="1BFEBD5B" w14:textId="77777777" w:rsidR="005816DD" w:rsidRDefault="005816DD" w:rsidP="00F84DDB">
            <w:pPr>
              <w:pStyle w:val="TableText"/>
              <w:keepNext/>
              <w:keepLines/>
              <w:spacing w:before="0" w:after="0"/>
              <w:rPr>
                <w:szCs w:val="20"/>
              </w:rPr>
            </w:pPr>
            <w:r>
              <w:rPr>
                <w:szCs w:val="20"/>
              </w:rPr>
              <w:t xml:space="preserve">Forecast MBS testing </w:t>
            </w:r>
          </w:p>
          <w:p w14:paraId="16B319D6" w14:textId="77777777" w:rsidR="005816DD" w:rsidRPr="002904AC" w:rsidRDefault="005816DD" w:rsidP="00F84DDB">
            <w:pPr>
              <w:pStyle w:val="TableText"/>
              <w:keepNext/>
              <w:keepLines/>
              <w:spacing w:before="0" w:after="0"/>
              <w:rPr>
                <w:szCs w:val="20"/>
              </w:rPr>
            </w:pPr>
            <w:r>
              <w:rPr>
                <w:szCs w:val="20"/>
              </w:rPr>
              <w:t xml:space="preserve">(Without new MBS item) </w:t>
            </w:r>
            <w:r>
              <w:rPr>
                <w:szCs w:val="20"/>
                <w:vertAlign w:val="superscript"/>
              </w:rPr>
              <w:t>b</w:t>
            </w:r>
          </w:p>
        </w:tc>
        <w:tc>
          <w:tcPr>
            <w:tcW w:w="1080" w:type="dxa"/>
            <w:vAlign w:val="center"/>
          </w:tcPr>
          <w:p w14:paraId="6FF2EF0C" w14:textId="77777777" w:rsidR="005816DD" w:rsidRPr="004E5BF4" w:rsidRDefault="005816DD" w:rsidP="00F84DDB">
            <w:pPr>
              <w:pStyle w:val="TableText"/>
              <w:keepNext/>
              <w:keepLines/>
              <w:spacing w:before="0" w:after="0"/>
              <w:jc w:val="center"/>
              <w:rPr>
                <w:i/>
                <w:iCs/>
                <w:szCs w:val="20"/>
              </w:rPr>
            </w:pPr>
            <w:r w:rsidRPr="005816DD">
              <w:rPr>
                <w:color w:val="000000"/>
                <w:spacing w:val="54"/>
                <w:shd w:val="solid" w:color="000000" w:fill="000000"/>
                <w:fitText w:val="430" w:id="-1233389300"/>
                <w14:textFill>
                  <w14:solidFill>
                    <w14:srgbClr w14:val="000000">
                      <w14:alpha w14:val="100000"/>
                    </w14:srgbClr>
                  </w14:solidFill>
                </w14:textFill>
              </w:rPr>
              <w:t>||||</w:t>
            </w:r>
            <w:r w:rsidRPr="005816DD">
              <w:rPr>
                <w:color w:val="000000"/>
                <w:spacing w:val="2"/>
                <w:shd w:val="solid" w:color="000000" w:fill="000000"/>
                <w:fitText w:val="430" w:id="-1233389300"/>
                <w14:textFill>
                  <w14:solidFill>
                    <w14:srgbClr w14:val="000000">
                      <w14:alpha w14:val="100000"/>
                    </w14:srgbClr>
                  </w14:solidFill>
                </w14:textFill>
              </w:rPr>
              <w:t>|</w:t>
            </w:r>
            <w:r>
              <w:rPr>
                <w:i/>
                <w:iCs/>
                <w:vertAlign w:val="superscript"/>
              </w:rPr>
              <w:t>3</w:t>
            </w:r>
          </w:p>
        </w:tc>
        <w:tc>
          <w:tcPr>
            <w:tcW w:w="1081" w:type="dxa"/>
            <w:vAlign w:val="center"/>
          </w:tcPr>
          <w:p w14:paraId="55C98410" w14:textId="77777777" w:rsidR="005816DD" w:rsidRPr="004E5BF4" w:rsidRDefault="005816DD" w:rsidP="00F84DDB">
            <w:pPr>
              <w:pStyle w:val="TableText"/>
              <w:keepNext/>
              <w:keepLines/>
              <w:spacing w:before="0" w:after="0"/>
              <w:jc w:val="center"/>
              <w:rPr>
                <w:i/>
                <w:iCs/>
                <w:szCs w:val="20"/>
              </w:rPr>
            </w:pPr>
            <w:r w:rsidRPr="005816DD">
              <w:rPr>
                <w:color w:val="000000"/>
                <w:spacing w:val="54"/>
                <w:shd w:val="solid" w:color="000000" w:fill="000000"/>
                <w:fitText w:val="430" w:id="-1233389299"/>
                <w14:textFill>
                  <w14:solidFill>
                    <w14:srgbClr w14:val="000000">
                      <w14:alpha w14:val="100000"/>
                    </w14:srgbClr>
                  </w14:solidFill>
                </w14:textFill>
              </w:rPr>
              <w:t>||||</w:t>
            </w:r>
            <w:r w:rsidRPr="005816DD">
              <w:rPr>
                <w:color w:val="000000"/>
                <w:spacing w:val="2"/>
                <w:shd w:val="solid" w:color="000000" w:fill="000000"/>
                <w:fitText w:val="430" w:id="-1233389299"/>
                <w14:textFill>
                  <w14:solidFill>
                    <w14:srgbClr w14:val="000000">
                      <w14:alpha w14:val="100000"/>
                    </w14:srgbClr>
                  </w14:solidFill>
                </w14:textFill>
              </w:rPr>
              <w:t>|</w:t>
            </w:r>
            <w:r>
              <w:rPr>
                <w:i/>
                <w:iCs/>
                <w:vertAlign w:val="superscript"/>
              </w:rPr>
              <w:t>3</w:t>
            </w:r>
          </w:p>
        </w:tc>
        <w:tc>
          <w:tcPr>
            <w:tcW w:w="1081" w:type="dxa"/>
            <w:vAlign w:val="center"/>
          </w:tcPr>
          <w:p w14:paraId="2EDC3873" w14:textId="77777777" w:rsidR="005816DD" w:rsidRPr="004E5BF4" w:rsidRDefault="005816DD" w:rsidP="00F84DDB">
            <w:pPr>
              <w:pStyle w:val="TableText"/>
              <w:keepNext/>
              <w:keepLines/>
              <w:spacing w:before="0" w:after="0"/>
              <w:jc w:val="center"/>
              <w:rPr>
                <w:i/>
                <w:iCs/>
                <w:szCs w:val="20"/>
              </w:rPr>
            </w:pPr>
            <w:r w:rsidRPr="005816DD">
              <w:rPr>
                <w:color w:val="000000"/>
                <w:spacing w:val="54"/>
                <w:shd w:val="solid" w:color="000000" w:fill="000000"/>
                <w:fitText w:val="430" w:id="-1233389298"/>
                <w14:textFill>
                  <w14:solidFill>
                    <w14:srgbClr w14:val="000000">
                      <w14:alpha w14:val="100000"/>
                    </w14:srgbClr>
                  </w14:solidFill>
                </w14:textFill>
              </w:rPr>
              <w:t>||||</w:t>
            </w:r>
            <w:r w:rsidRPr="005816DD">
              <w:rPr>
                <w:color w:val="000000"/>
                <w:spacing w:val="2"/>
                <w:shd w:val="solid" w:color="000000" w:fill="000000"/>
                <w:fitText w:val="430" w:id="-1233389298"/>
                <w14:textFill>
                  <w14:solidFill>
                    <w14:srgbClr w14:val="000000">
                      <w14:alpha w14:val="100000"/>
                    </w14:srgbClr>
                  </w14:solidFill>
                </w14:textFill>
              </w:rPr>
              <w:t>|</w:t>
            </w:r>
            <w:r>
              <w:rPr>
                <w:i/>
                <w:iCs/>
                <w:vertAlign w:val="superscript"/>
              </w:rPr>
              <w:t>3</w:t>
            </w:r>
          </w:p>
        </w:tc>
        <w:tc>
          <w:tcPr>
            <w:tcW w:w="1080" w:type="dxa"/>
            <w:vAlign w:val="center"/>
          </w:tcPr>
          <w:p w14:paraId="516E5710" w14:textId="77777777" w:rsidR="005816DD" w:rsidRPr="004E5BF4" w:rsidRDefault="005816DD" w:rsidP="00F84DDB">
            <w:pPr>
              <w:pStyle w:val="TableText"/>
              <w:keepNext/>
              <w:keepLines/>
              <w:spacing w:before="0" w:after="0"/>
              <w:jc w:val="center"/>
              <w:rPr>
                <w:i/>
                <w:iCs/>
                <w:szCs w:val="20"/>
              </w:rPr>
            </w:pPr>
            <w:r w:rsidRPr="005816DD">
              <w:rPr>
                <w:color w:val="000000"/>
                <w:spacing w:val="54"/>
                <w:shd w:val="solid" w:color="000000" w:fill="000000"/>
                <w:fitText w:val="430" w:id="-1233389297"/>
                <w14:textFill>
                  <w14:solidFill>
                    <w14:srgbClr w14:val="000000">
                      <w14:alpha w14:val="100000"/>
                    </w14:srgbClr>
                  </w14:solidFill>
                </w14:textFill>
              </w:rPr>
              <w:t>||||</w:t>
            </w:r>
            <w:r w:rsidRPr="005816DD">
              <w:rPr>
                <w:color w:val="000000"/>
                <w:spacing w:val="2"/>
                <w:shd w:val="solid" w:color="000000" w:fill="000000"/>
                <w:fitText w:val="430" w:id="-1233389297"/>
                <w14:textFill>
                  <w14:solidFill>
                    <w14:srgbClr w14:val="000000">
                      <w14:alpha w14:val="100000"/>
                    </w14:srgbClr>
                  </w14:solidFill>
                </w14:textFill>
              </w:rPr>
              <w:t>|</w:t>
            </w:r>
            <w:r>
              <w:rPr>
                <w:i/>
                <w:iCs/>
                <w:vertAlign w:val="superscript"/>
              </w:rPr>
              <w:t>3</w:t>
            </w:r>
          </w:p>
        </w:tc>
        <w:tc>
          <w:tcPr>
            <w:tcW w:w="1081" w:type="dxa"/>
            <w:vAlign w:val="center"/>
          </w:tcPr>
          <w:p w14:paraId="110EDF00" w14:textId="77777777" w:rsidR="005816DD" w:rsidRPr="004E5BF4" w:rsidRDefault="005816DD" w:rsidP="00F84DDB">
            <w:pPr>
              <w:pStyle w:val="TableText"/>
              <w:keepNext/>
              <w:keepLines/>
              <w:spacing w:before="0" w:after="0"/>
              <w:jc w:val="center"/>
              <w:rPr>
                <w:i/>
                <w:iCs/>
                <w:szCs w:val="20"/>
              </w:rPr>
            </w:pPr>
            <w:r w:rsidRPr="005816DD">
              <w:rPr>
                <w:color w:val="000000"/>
                <w:spacing w:val="54"/>
                <w:shd w:val="solid" w:color="000000" w:fill="000000"/>
                <w:fitText w:val="430" w:id="-1233389296"/>
                <w14:textFill>
                  <w14:solidFill>
                    <w14:srgbClr w14:val="000000">
                      <w14:alpha w14:val="100000"/>
                    </w14:srgbClr>
                  </w14:solidFill>
                </w14:textFill>
              </w:rPr>
              <w:t>||||</w:t>
            </w:r>
            <w:r w:rsidRPr="005816DD">
              <w:rPr>
                <w:color w:val="000000"/>
                <w:spacing w:val="2"/>
                <w:shd w:val="solid" w:color="000000" w:fill="000000"/>
                <w:fitText w:val="430" w:id="-1233389296"/>
                <w14:textFill>
                  <w14:solidFill>
                    <w14:srgbClr w14:val="000000">
                      <w14:alpha w14:val="100000"/>
                    </w14:srgbClr>
                  </w14:solidFill>
                </w14:textFill>
              </w:rPr>
              <w:t>|</w:t>
            </w:r>
            <w:r>
              <w:rPr>
                <w:i/>
                <w:iCs/>
                <w:vertAlign w:val="superscript"/>
              </w:rPr>
              <w:t>3</w:t>
            </w:r>
          </w:p>
        </w:tc>
        <w:tc>
          <w:tcPr>
            <w:tcW w:w="1081" w:type="dxa"/>
            <w:vAlign w:val="center"/>
          </w:tcPr>
          <w:p w14:paraId="028DC2D8" w14:textId="77777777" w:rsidR="005816DD" w:rsidRPr="004E5BF4" w:rsidRDefault="005816DD" w:rsidP="00F84DDB">
            <w:pPr>
              <w:pStyle w:val="TableText"/>
              <w:keepNext/>
              <w:keepLines/>
              <w:spacing w:before="0" w:after="0"/>
              <w:jc w:val="center"/>
              <w:rPr>
                <w:i/>
                <w:iCs/>
                <w:szCs w:val="20"/>
              </w:rPr>
            </w:pPr>
            <w:r w:rsidRPr="005816DD">
              <w:rPr>
                <w:color w:val="000000"/>
                <w:spacing w:val="54"/>
                <w:shd w:val="solid" w:color="000000" w:fill="000000"/>
                <w:fitText w:val="430" w:id="-1233389312"/>
                <w14:textFill>
                  <w14:solidFill>
                    <w14:srgbClr w14:val="000000">
                      <w14:alpha w14:val="100000"/>
                    </w14:srgbClr>
                  </w14:solidFill>
                </w14:textFill>
              </w:rPr>
              <w:t>||||</w:t>
            </w:r>
            <w:r w:rsidRPr="005816DD">
              <w:rPr>
                <w:color w:val="000000"/>
                <w:spacing w:val="2"/>
                <w:shd w:val="solid" w:color="000000" w:fill="000000"/>
                <w:fitText w:val="430" w:id="-1233389312"/>
                <w14:textFill>
                  <w14:solidFill>
                    <w14:srgbClr w14:val="000000">
                      <w14:alpha w14:val="100000"/>
                    </w14:srgbClr>
                  </w14:solidFill>
                </w14:textFill>
              </w:rPr>
              <w:t>|</w:t>
            </w:r>
            <w:r>
              <w:rPr>
                <w:i/>
                <w:iCs/>
                <w:vertAlign w:val="superscript"/>
              </w:rPr>
              <w:t>3</w:t>
            </w:r>
          </w:p>
        </w:tc>
      </w:tr>
      <w:tr w:rsidR="005816DD" w:rsidRPr="002904AC" w14:paraId="2B8CB884" w14:textId="77777777" w:rsidTr="00F84DDB">
        <w:tc>
          <w:tcPr>
            <w:tcW w:w="2532" w:type="dxa"/>
          </w:tcPr>
          <w:p w14:paraId="113924A1" w14:textId="77777777" w:rsidR="005816DD" w:rsidRPr="002221D6" w:rsidRDefault="005816DD" w:rsidP="00F84DDB">
            <w:pPr>
              <w:pStyle w:val="TableText"/>
              <w:keepNext/>
              <w:keepLines/>
              <w:spacing w:before="0" w:after="0"/>
              <w:rPr>
                <w:szCs w:val="20"/>
              </w:rPr>
            </w:pPr>
            <w:r>
              <w:rPr>
                <w:szCs w:val="20"/>
              </w:rPr>
              <w:t>Net increase in MBS g</w:t>
            </w:r>
            <w:r>
              <w:rPr>
                <w:i/>
                <w:iCs/>
                <w:szCs w:val="20"/>
              </w:rPr>
              <w:t>BRCA</w:t>
            </w:r>
            <w:r>
              <w:rPr>
                <w:szCs w:val="20"/>
              </w:rPr>
              <w:t xml:space="preserve"> tests</w:t>
            </w:r>
          </w:p>
        </w:tc>
        <w:tc>
          <w:tcPr>
            <w:tcW w:w="1080" w:type="dxa"/>
            <w:vAlign w:val="center"/>
          </w:tcPr>
          <w:p w14:paraId="583EE471"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11"/>
                <w14:textFill>
                  <w14:solidFill>
                    <w14:srgbClr w14:val="000000">
                      <w14:alpha w14:val="100000"/>
                    </w14:srgbClr>
                  </w14:solidFill>
                </w14:textFill>
              </w:rPr>
              <w:t>||||</w:t>
            </w:r>
            <w:r w:rsidRPr="005816DD">
              <w:rPr>
                <w:color w:val="000000"/>
                <w:spacing w:val="2"/>
                <w:shd w:val="solid" w:color="000000" w:fill="000000"/>
                <w:fitText w:val="430" w:id="-1233389311"/>
                <w14:textFill>
                  <w14:solidFill>
                    <w14:srgbClr w14:val="000000">
                      <w14:alpha w14:val="100000"/>
                    </w14:srgbClr>
                  </w14:solidFill>
                </w14:textFill>
              </w:rPr>
              <w:t>|</w:t>
            </w:r>
            <w:r>
              <w:rPr>
                <w:vertAlign w:val="superscript"/>
              </w:rPr>
              <w:t>3</w:t>
            </w:r>
          </w:p>
        </w:tc>
        <w:tc>
          <w:tcPr>
            <w:tcW w:w="1081" w:type="dxa"/>
            <w:vAlign w:val="center"/>
          </w:tcPr>
          <w:p w14:paraId="7FCEA67A"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10"/>
                <w14:textFill>
                  <w14:solidFill>
                    <w14:srgbClr w14:val="000000">
                      <w14:alpha w14:val="100000"/>
                    </w14:srgbClr>
                  </w14:solidFill>
                </w14:textFill>
              </w:rPr>
              <w:t>||||</w:t>
            </w:r>
            <w:r w:rsidRPr="005816DD">
              <w:rPr>
                <w:color w:val="000000"/>
                <w:spacing w:val="2"/>
                <w:shd w:val="solid" w:color="000000" w:fill="000000"/>
                <w:fitText w:val="430" w:id="-1233389310"/>
                <w14:textFill>
                  <w14:solidFill>
                    <w14:srgbClr w14:val="000000">
                      <w14:alpha w14:val="100000"/>
                    </w14:srgbClr>
                  </w14:solidFill>
                </w14:textFill>
              </w:rPr>
              <w:t>|</w:t>
            </w:r>
            <w:r>
              <w:rPr>
                <w:vertAlign w:val="superscript"/>
              </w:rPr>
              <w:t>3</w:t>
            </w:r>
          </w:p>
        </w:tc>
        <w:tc>
          <w:tcPr>
            <w:tcW w:w="1081" w:type="dxa"/>
            <w:vAlign w:val="center"/>
          </w:tcPr>
          <w:p w14:paraId="35D597F2"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9"/>
                <w14:textFill>
                  <w14:solidFill>
                    <w14:srgbClr w14:val="000000">
                      <w14:alpha w14:val="100000"/>
                    </w14:srgbClr>
                  </w14:solidFill>
                </w14:textFill>
              </w:rPr>
              <w:t>||||</w:t>
            </w:r>
            <w:r w:rsidRPr="005816DD">
              <w:rPr>
                <w:color w:val="000000"/>
                <w:spacing w:val="2"/>
                <w:shd w:val="solid" w:color="000000" w:fill="000000"/>
                <w:fitText w:val="430" w:id="-1233389309"/>
                <w14:textFill>
                  <w14:solidFill>
                    <w14:srgbClr w14:val="000000">
                      <w14:alpha w14:val="100000"/>
                    </w14:srgbClr>
                  </w14:solidFill>
                </w14:textFill>
              </w:rPr>
              <w:t>|</w:t>
            </w:r>
            <w:r>
              <w:rPr>
                <w:vertAlign w:val="superscript"/>
              </w:rPr>
              <w:t>1</w:t>
            </w:r>
          </w:p>
        </w:tc>
        <w:tc>
          <w:tcPr>
            <w:tcW w:w="1080" w:type="dxa"/>
            <w:vAlign w:val="center"/>
          </w:tcPr>
          <w:p w14:paraId="5E33020B"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8"/>
                <w14:textFill>
                  <w14:solidFill>
                    <w14:srgbClr w14:val="000000">
                      <w14:alpha w14:val="100000"/>
                    </w14:srgbClr>
                  </w14:solidFill>
                </w14:textFill>
              </w:rPr>
              <w:t>||||</w:t>
            </w:r>
            <w:r w:rsidRPr="005816DD">
              <w:rPr>
                <w:color w:val="000000"/>
                <w:spacing w:val="2"/>
                <w:shd w:val="solid" w:color="000000" w:fill="000000"/>
                <w:fitText w:val="430" w:id="-1233389308"/>
                <w14:textFill>
                  <w14:solidFill>
                    <w14:srgbClr w14:val="000000">
                      <w14:alpha w14:val="100000"/>
                    </w14:srgbClr>
                  </w14:solidFill>
                </w14:textFill>
              </w:rPr>
              <w:t>|</w:t>
            </w:r>
            <w:r>
              <w:rPr>
                <w:vertAlign w:val="superscript"/>
              </w:rPr>
              <w:t>1</w:t>
            </w:r>
          </w:p>
        </w:tc>
        <w:tc>
          <w:tcPr>
            <w:tcW w:w="1081" w:type="dxa"/>
            <w:vAlign w:val="center"/>
          </w:tcPr>
          <w:p w14:paraId="65E245BF"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7"/>
                <w14:textFill>
                  <w14:solidFill>
                    <w14:srgbClr w14:val="000000">
                      <w14:alpha w14:val="100000"/>
                    </w14:srgbClr>
                  </w14:solidFill>
                </w14:textFill>
              </w:rPr>
              <w:t>||||</w:t>
            </w:r>
            <w:r w:rsidRPr="005816DD">
              <w:rPr>
                <w:color w:val="000000"/>
                <w:spacing w:val="2"/>
                <w:shd w:val="solid" w:color="000000" w:fill="000000"/>
                <w:fitText w:val="430" w:id="-1233389307"/>
                <w14:textFill>
                  <w14:solidFill>
                    <w14:srgbClr w14:val="000000">
                      <w14:alpha w14:val="100000"/>
                    </w14:srgbClr>
                  </w14:solidFill>
                </w14:textFill>
              </w:rPr>
              <w:t>|</w:t>
            </w:r>
            <w:r>
              <w:rPr>
                <w:vertAlign w:val="superscript"/>
              </w:rPr>
              <w:t>1</w:t>
            </w:r>
          </w:p>
        </w:tc>
        <w:tc>
          <w:tcPr>
            <w:tcW w:w="1081" w:type="dxa"/>
            <w:vAlign w:val="center"/>
          </w:tcPr>
          <w:p w14:paraId="349AA3DA" w14:textId="77777777" w:rsidR="005816DD" w:rsidRPr="002904AC" w:rsidRDefault="005816DD" w:rsidP="00F84DDB">
            <w:pPr>
              <w:pStyle w:val="TableText"/>
              <w:keepNext/>
              <w:keepLines/>
              <w:spacing w:before="0" w:after="0"/>
              <w:jc w:val="center"/>
              <w:rPr>
                <w:szCs w:val="20"/>
              </w:rPr>
            </w:pPr>
            <w:r w:rsidRPr="005816DD">
              <w:rPr>
                <w:color w:val="000000"/>
                <w:spacing w:val="54"/>
                <w:shd w:val="solid" w:color="000000" w:fill="000000"/>
                <w:fitText w:val="430" w:id="-1233389306"/>
                <w14:textFill>
                  <w14:solidFill>
                    <w14:srgbClr w14:val="000000">
                      <w14:alpha w14:val="100000"/>
                    </w14:srgbClr>
                  </w14:solidFill>
                </w14:textFill>
              </w:rPr>
              <w:t>||||</w:t>
            </w:r>
            <w:r w:rsidRPr="005816DD">
              <w:rPr>
                <w:color w:val="000000"/>
                <w:spacing w:val="2"/>
                <w:shd w:val="solid" w:color="000000" w:fill="000000"/>
                <w:fitText w:val="430" w:id="-1233389306"/>
                <w14:textFill>
                  <w14:solidFill>
                    <w14:srgbClr w14:val="000000">
                      <w14:alpha w14:val="100000"/>
                    </w14:srgbClr>
                  </w14:solidFill>
                </w14:textFill>
              </w:rPr>
              <w:t>|</w:t>
            </w:r>
            <w:r>
              <w:rPr>
                <w:vertAlign w:val="superscript"/>
              </w:rPr>
              <w:t>1</w:t>
            </w:r>
          </w:p>
        </w:tc>
      </w:tr>
      <w:tr w:rsidR="005816DD" w:rsidRPr="002904AC" w14:paraId="0B9042EF" w14:textId="77777777" w:rsidTr="00F84DDB">
        <w:tc>
          <w:tcPr>
            <w:tcW w:w="2532" w:type="dxa"/>
          </w:tcPr>
          <w:p w14:paraId="508F5D05" w14:textId="77777777" w:rsidR="005816DD" w:rsidRDefault="005816DD" w:rsidP="00F84DDB">
            <w:pPr>
              <w:pStyle w:val="TableText"/>
              <w:keepNext/>
              <w:keepLines/>
              <w:spacing w:before="0" w:after="0"/>
              <w:rPr>
                <w:szCs w:val="20"/>
              </w:rPr>
            </w:pPr>
            <w:r>
              <w:rPr>
                <w:i/>
                <w:iCs/>
                <w:szCs w:val="20"/>
              </w:rPr>
              <w:t xml:space="preserve">BRCA1/2 </w:t>
            </w:r>
            <w:r w:rsidRPr="004E5BF4">
              <w:rPr>
                <w:szCs w:val="20"/>
              </w:rPr>
              <w:t>testing</w:t>
            </w:r>
            <w:r>
              <w:rPr>
                <w:i/>
                <w:iCs/>
                <w:szCs w:val="20"/>
              </w:rPr>
              <w:t xml:space="preserve"> </w:t>
            </w:r>
            <w:r>
              <w:rPr>
                <w:szCs w:val="20"/>
              </w:rPr>
              <w:t xml:space="preserve">cost to MBS </w:t>
            </w:r>
            <w:r>
              <w:rPr>
                <w:sz w:val="19"/>
                <w:szCs w:val="19"/>
              </w:rPr>
              <w:t xml:space="preserve">($) </w:t>
            </w:r>
          </w:p>
          <w:p w14:paraId="26F06415" w14:textId="77777777" w:rsidR="005816DD" w:rsidRPr="004E5BF4" w:rsidRDefault="005816DD" w:rsidP="00F84DDB">
            <w:pPr>
              <w:pStyle w:val="TableText"/>
              <w:keepNext/>
              <w:keepLines/>
              <w:spacing w:before="0" w:after="0"/>
              <w:rPr>
                <w:szCs w:val="20"/>
                <w:vertAlign w:val="superscript"/>
              </w:rPr>
            </w:pPr>
            <w:r>
              <w:rPr>
                <w:szCs w:val="20"/>
              </w:rPr>
              <w:t xml:space="preserve">($1000 fee + GPG applied) </w:t>
            </w:r>
            <w:r>
              <w:rPr>
                <w:szCs w:val="20"/>
                <w:vertAlign w:val="superscript"/>
              </w:rPr>
              <w:t>c</w:t>
            </w:r>
          </w:p>
        </w:tc>
        <w:tc>
          <w:tcPr>
            <w:tcW w:w="1080" w:type="dxa"/>
            <w:vAlign w:val="center"/>
          </w:tcPr>
          <w:p w14:paraId="6F3C363E" w14:textId="77777777" w:rsidR="005816DD" w:rsidRPr="005816DD" w:rsidRDefault="005816DD" w:rsidP="00F84DDB">
            <w:pPr>
              <w:pStyle w:val="TableText"/>
              <w:keepNext/>
              <w:keepLines/>
              <w:spacing w:before="0" w:after="0"/>
              <w:jc w:val="center"/>
              <w:rPr>
                <w:szCs w:val="20"/>
                <w:vertAlign w:val="superscript"/>
              </w:rPr>
            </w:pPr>
            <w:r w:rsidRPr="00814E78">
              <w:t>$</w:t>
            </w:r>
            <w:r w:rsidRPr="005816DD">
              <w:rPr>
                <w:color w:val="000000"/>
                <w:spacing w:val="54"/>
                <w:shd w:val="solid" w:color="000000" w:fill="000000"/>
                <w:fitText w:val="430" w:id="-1233389305"/>
                <w14:textFill>
                  <w14:solidFill>
                    <w14:srgbClr w14:val="000000">
                      <w14:alpha w14:val="100000"/>
                    </w14:srgbClr>
                  </w14:solidFill>
                </w14:textFill>
              </w:rPr>
              <w:t>||||</w:t>
            </w:r>
            <w:r w:rsidRPr="005816DD">
              <w:rPr>
                <w:color w:val="000000"/>
                <w:spacing w:val="2"/>
                <w:shd w:val="solid" w:color="000000" w:fill="000000"/>
                <w:fitText w:val="430" w:id="-1233389305"/>
                <w14:textFill>
                  <w14:solidFill>
                    <w14:srgbClr w14:val="000000">
                      <w14:alpha w14:val="100000"/>
                    </w14:srgbClr>
                  </w14:solidFill>
                </w14:textFill>
              </w:rPr>
              <w:t>|</w:t>
            </w:r>
            <w:r>
              <w:rPr>
                <w:vertAlign w:val="superscript"/>
              </w:rPr>
              <w:t>4</w:t>
            </w:r>
          </w:p>
        </w:tc>
        <w:tc>
          <w:tcPr>
            <w:tcW w:w="1081" w:type="dxa"/>
            <w:vAlign w:val="center"/>
          </w:tcPr>
          <w:p w14:paraId="73F9E6B3" w14:textId="77777777" w:rsidR="005816DD" w:rsidRPr="005816DD" w:rsidRDefault="005816DD" w:rsidP="00F84DDB">
            <w:pPr>
              <w:pStyle w:val="TableText"/>
              <w:keepNext/>
              <w:keepLines/>
              <w:spacing w:before="0" w:after="0"/>
              <w:jc w:val="center"/>
              <w:rPr>
                <w:szCs w:val="20"/>
                <w:vertAlign w:val="superscript"/>
              </w:rPr>
            </w:pPr>
            <w:r w:rsidRPr="00814E78">
              <w:t>$</w:t>
            </w:r>
            <w:r w:rsidRPr="005816DD">
              <w:rPr>
                <w:color w:val="000000"/>
                <w:spacing w:val="54"/>
                <w:shd w:val="solid" w:color="000000" w:fill="000000"/>
                <w:fitText w:val="430" w:id="-1233389304"/>
                <w14:textFill>
                  <w14:solidFill>
                    <w14:srgbClr w14:val="000000">
                      <w14:alpha w14:val="100000"/>
                    </w14:srgbClr>
                  </w14:solidFill>
                </w14:textFill>
              </w:rPr>
              <w:t>||||</w:t>
            </w:r>
            <w:r w:rsidRPr="005816DD">
              <w:rPr>
                <w:color w:val="000000"/>
                <w:spacing w:val="2"/>
                <w:shd w:val="solid" w:color="000000" w:fill="000000"/>
                <w:fitText w:val="430" w:id="-1233389304"/>
                <w14:textFill>
                  <w14:solidFill>
                    <w14:srgbClr w14:val="000000">
                      <w14:alpha w14:val="100000"/>
                    </w14:srgbClr>
                  </w14:solidFill>
                </w14:textFill>
              </w:rPr>
              <w:t>|</w:t>
            </w:r>
            <w:r>
              <w:rPr>
                <w:vertAlign w:val="superscript"/>
              </w:rPr>
              <w:t>4</w:t>
            </w:r>
          </w:p>
        </w:tc>
        <w:tc>
          <w:tcPr>
            <w:tcW w:w="1081" w:type="dxa"/>
            <w:vAlign w:val="center"/>
          </w:tcPr>
          <w:p w14:paraId="55145CBC" w14:textId="77777777" w:rsidR="005816DD" w:rsidRPr="005816DD" w:rsidRDefault="005816DD" w:rsidP="00F84DDB">
            <w:pPr>
              <w:pStyle w:val="TableText"/>
              <w:keepNext/>
              <w:keepLines/>
              <w:spacing w:before="0" w:after="0"/>
              <w:jc w:val="center"/>
              <w:rPr>
                <w:szCs w:val="20"/>
                <w:vertAlign w:val="superscript"/>
              </w:rPr>
            </w:pPr>
            <w:r w:rsidRPr="00814E78">
              <w:t>$</w:t>
            </w:r>
            <w:r w:rsidRPr="005816DD">
              <w:rPr>
                <w:color w:val="000000"/>
                <w:spacing w:val="54"/>
                <w:shd w:val="solid" w:color="000000" w:fill="000000"/>
                <w:fitText w:val="430" w:id="-1233389303"/>
                <w14:textFill>
                  <w14:solidFill>
                    <w14:srgbClr w14:val="000000">
                      <w14:alpha w14:val="100000"/>
                    </w14:srgbClr>
                  </w14:solidFill>
                </w14:textFill>
              </w:rPr>
              <w:t>||||</w:t>
            </w:r>
            <w:r w:rsidRPr="005816DD">
              <w:rPr>
                <w:color w:val="000000"/>
                <w:spacing w:val="2"/>
                <w:shd w:val="solid" w:color="000000" w:fill="000000"/>
                <w:fitText w:val="430" w:id="-1233389303"/>
                <w14:textFill>
                  <w14:solidFill>
                    <w14:srgbClr w14:val="000000">
                      <w14:alpha w14:val="100000"/>
                    </w14:srgbClr>
                  </w14:solidFill>
                </w14:textFill>
              </w:rPr>
              <w:t>|</w:t>
            </w:r>
            <w:r>
              <w:rPr>
                <w:vertAlign w:val="superscript"/>
              </w:rPr>
              <w:t>4</w:t>
            </w:r>
          </w:p>
        </w:tc>
        <w:tc>
          <w:tcPr>
            <w:tcW w:w="1080" w:type="dxa"/>
            <w:vAlign w:val="center"/>
          </w:tcPr>
          <w:p w14:paraId="09366DF2" w14:textId="77777777" w:rsidR="005816DD" w:rsidRPr="005816DD" w:rsidRDefault="005816DD" w:rsidP="00F84DDB">
            <w:pPr>
              <w:pStyle w:val="TableText"/>
              <w:keepNext/>
              <w:keepLines/>
              <w:spacing w:before="0" w:after="0"/>
              <w:jc w:val="center"/>
              <w:rPr>
                <w:szCs w:val="20"/>
                <w:vertAlign w:val="superscript"/>
              </w:rPr>
            </w:pPr>
            <w:r w:rsidRPr="00814E78">
              <w:t>$</w:t>
            </w:r>
            <w:r w:rsidRPr="005816DD">
              <w:rPr>
                <w:color w:val="000000"/>
                <w:spacing w:val="54"/>
                <w:shd w:val="solid" w:color="000000" w:fill="000000"/>
                <w:fitText w:val="430" w:id="-1233389302"/>
                <w14:textFill>
                  <w14:solidFill>
                    <w14:srgbClr w14:val="000000">
                      <w14:alpha w14:val="100000"/>
                    </w14:srgbClr>
                  </w14:solidFill>
                </w14:textFill>
              </w:rPr>
              <w:t>||||</w:t>
            </w:r>
            <w:r w:rsidRPr="005816DD">
              <w:rPr>
                <w:color w:val="000000"/>
                <w:spacing w:val="2"/>
                <w:shd w:val="solid" w:color="000000" w:fill="000000"/>
                <w:fitText w:val="430" w:id="-1233389302"/>
                <w14:textFill>
                  <w14:solidFill>
                    <w14:srgbClr w14:val="000000">
                      <w14:alpha w14:val="100000"/>
                    </w14:srgbClr>
                  </w14:solidFill>
                </w14:textFill>
              </w:rPr>
              <w:t>|</w:t>
            </w:r>
            <w:r>
              <w:rPr>
                <w:vertAlign w:val="superscript"/>
              </w:rPr>
              <w:t>4</w:t>
            </w:r>
          </w:p>
        </w:tc>
        <w:tc>
          <w:tcPr>
            <w:tcW w:w="1081" w:type="dxa"/>
            <w:vAlign w:val="center"/>
          </w:tcPr>
          <w:p w14:paraId="082481A2" w14:textId="77777777" w:rsidR="005816DD" w:rsidRPr="005816DD" w:rsidRDefault="005816DD" w:rsidP="00F84DDB">
            <w:pPr>
              <w:pStyle w:val="TableText"/>
              <w:keepNext/>
              <w:keepLines/>
              <w:spacing w:before="0" w:after="0"/>
              <w:jc w:val="center"/>
              <w:rPr>
                <w:szCs w:val="20"/>
                <w:vertAlign w:val="superscript"/>
              </w:rPr>
            </w:pPr>
            <w:r w:rsidRPr="00814E78">
              <w:t>$</w:t>
            </w:r>
            <w:r w:rsidRPr="005816DD">
              <w:rPr>
                <w:color w:val="000000"/>
                <w:spacing w:val="54"/>
                <w:shd w:val="solid" w:color="000000" w:fill="000000"/>
                <w:fitText w:val="430" w:id="-1233389301"/>
                <w14:textFill>
                  <w14:solidFill>
                    <w14:srgbClr w14:val="000000">
                      <w14:alpha w14:val="100000"/>
                    </w14:srgbClr>
                  </w14:solidFill>
                </w14:textFill>
              </w:rPr>
              <w:t>||||</w:t>
            </w:r>
            <w:r w:rsidRPr="005816DD">
              <w:rPr>
                <w:color w:val="000000"/>
                <w:spacing w:val="2"/>
                <w:shd w:val="solid" w:color="000000" w:fill="000000"/>
                <w:fitText w:val="430" w:id="-1233389301"/>
                <w14:textFill>
                  <w14:solidFill>
                    <w14:srgbClr w14:val="000000">
                      <w14:alpha w14:val="100000"/>
                    </w14:srgbClr>
                  </w14:solidFill>
                </w14:textFill>
              </w:rPr>
              <w:t>|</w:t>
            </w:r>
            <w:r>
              <w:rPr>
                <w:vertAlign w:val="superscript"/>
              </w:rPr>
              <w:t>4</w:t>
            </w:r>
          </w:p>
        </w:tc>
        <w:tc>
          <w:tcPr>
            <w:tcW w:w="1081" w:type="dxa"/>
            <w:vAlign w:val="center"/>
          </w:tcPr>
          <w:p w14:paraId="7B8DD779" w14:textId="77777777" w:rsidR="005816DD" w:rsidRPr="005816DD" w:rsidRDefault="005816DD" w:rsidP="00F84DDB">
            <w:pPr>
              <w:pStyle w:val="TableText"/>
              <w:keepNext/>
              <w:keepLines/>
              <w:spacing w:before="0" w:after="0"/>
              <w:jc w:val="center"/>
              <w:rPr>
                <w:szCs w:val="20"/>
                <w:vertAlign w:val="superscript"/>
              </w:rPr>
            </w:pPr>
            <w:r w:rsidRPr="00814E78">
              <w:t>$</w:t>
            </w:r>
            <w:r w:rsidRPr="005816DD">
              <w:rPr>
                <w:color w:val="000000"/>
                <w:spacing w:val="54"/>
                <w:shd w:val="solid" w:color="000000" w:fill="000000"/>
                <w:fitText w:val="430" w:id="-1233389300"/>
                <w14:textFill>
                  <w14:solidFill>
                    <w14:srgbClr w14:val="000000">
                      <w14:alpha w14:val="100000"/>
                    </w14:srgbClr>
                  </w14:solidFill>
                </w14:textFill>
              </w:rPr>
              <w:t>||||</w:t>
            </w:r>
            <w:r w:rsidRPr="005816DD">
              <w:rPr>
                <w:color w:val="000000"/>
                <w:spacing w:val="2"/>
                <w:shd w:val="solid" w:color="000000" w:fill="000000"/>
                <w:fitText w:val="430" w:id="-1233389300"/>
                <w14:textFill>
                  <w14:solidFill>
                    <w14:srgbClr w14:val="000000">
                      <w14:alpha w14:val="100000"/>
                    </w14:srgbClr>
                  </w14:solidFill>
                </w14:textFill>
              </w:rPr>
              <w:t>|</w:t>
            </w:r>
            <w:r>
              <w:rPr>
                <w:vertAlign w:val="superscript"/>
              </w:rPr>
              <w:t>4</w:t>
            </w:r>
          </w:p>
        </w:tc>
      </w:tr>
      <w:tr w:rsidR="005816DD" w:rsidRPr="002904AC" w14:paraId="2FCE98FC" w14:textId="77777777" w:rsidTr="00F84DDB">
        <w:tc>
          <w:tcPr>
            <w:tcW w:w="2532" w:type="dxa"/>
          </w:tcPr>
          <w:p w14:paraId="3864759C" w14:textId="77777777" w:rsidR="005816DD" w:rsidRPr="002904AC" w:rsidDel="00D10114" w:rsidRDefault="005816DD" w:rsidP="00F84DDB">
            <w:pPr>
              <w:pStyle w:val="TableText"/>
              <w:keepNext/>
              <w:keepLines/>
              <w:spacing w:before="0" w:after="0"/>
              <w:rPr>
                <w:szCs w:val="20"/>
              </w:rPr>
            </w:pPr>
            <w:r>
              <w:rPr>
                <w:szCs w:val="20"/>
              </w:rPr>
              <w:t>Cascade testing</w:t>
            </w:r>
          </w:p>
        </w:tc>
        <w:tc>
          <w:tcPr>
            <w:tcW w:w="1080" w:type="dxa"/>
            <w:vAlign w:val="center"/>
          </w:tcPr>
          <w:p w14:paraId="0100B0A7" w14:textId="77777777" w:rsidR="005816DD" w:rsidRPr="00814E78" w:rsidRDefault="005816DD" w:rsidP="00F84DDB">
            <w:pPr>
              <w:pStyle w:val="TableText"/>
              <w:keepNext/>
              <w:keepLines/>
              <w:spacing w:before="0" w:after="0"/>
              <w:jc w:val="center"/>
            </w:pPr>
          </w:p>
        </w:tc>
        <w:tc>
          <w:tcPr>
            <w:tcW w:w="1081" w:type="dxa"/>
            <w:vAlign w:val="center"/>
          </w:tcPr>
          <w:p w14:paraId="12859504" w14:textId="77777777" w:rsidR="005816DD" w:rsidRPr="00814E78" w:rsidRDefault="005816DD" w:rsidP="00F84DDB">
            <w:pPr>
              <w:pStyle w:val="TableText"/>
              <w:keepNext/>
              <w:keepLines/>
              <w:spacing w:before="0" w:after="0"/>
              <w:jc w:val="center"/>
            </w:pPr>
          </w:p>
        </w:tc>
        <w:tc>
          <w:tcPr>
            <w:tcW w:w="1081" w:type="dxa"/>
            <w:vAlign w:val="center"/>
          </w:tcPr>
          <w:p w14:paraId="29B28396" w14:textId="77777777" w:rsidR="005816DD" w:rsidRPr="00814E78" w:rsidRDefault="005816DD" w:rsidP="00F84DDB">
            <w:pPr>
              <w:pStyle w:val="TableText"/>
              <w:keepNext/>
              <w:keepLines/>
              <w:spacing w:before="0" w:after="0"/>
              <w:jc w:val="center"/>
            </w:pPr>
          </w:p>
        </w:tc>
        <w:tc>
          <w:tcPr>
            <w:tcW w:w="1080" w:type="dxa"/>
            <w:vAlign w:val="center"/>
          </w:tcPr>
          <w:p w14:paraId="406EDB42" w14:textId="77777777" w:rsidR="005816DD" w:rsidRPr="00814E78" w:rsidRDefault="005816DD" w:rsidP="00F84DDB">
            <w:pPr>
              <w:pStyle w:val="TableText"/>
              <w:keepNext/>
              <w:keepLines/>
              <w:spacing w:before="0" w:after="0"/>
              <w:jc w:val="center"/>
            </w:pPr>
          </w:p>
        </w:tc>
        <w:tc>
          <w:tcPr>
            <w:tcW w:w="1081" w:type="dxa"/>
            <w:vAlign w:val="center"/>
          </w:tcPr>
          <w:p w14:paraId="77DE594A" w14:textId="77777777" w:rsidR="005816DD" w:rsidRPr="00814E78" w:rsidRDefault="005816DD" w:rsidP="00F84DDB">
            <w:pPr>
              <w:pStyle w:val="TableText"/>
              <w:keepNext/>
              <w:keepLines/>
              <w:spacing w:before="0" w:after="0"/>
              <w:jc w:val="center"/>
            </w:pPr>
          </w:p>
        </w:tc>
        <w:tc>
          <w:tcPr>
            <w:tcW w:w="1081" w:type="dxa"/>
            <w:vAlign w:val="center"/>
          </w:tcPr>
          <w:p w14:paraId="28145A07" w14:textId="77777777" w:rsidR="005816DD" w:rsidRPr="00814E78" w:rsidRDefault="005816DD" w:rsidP="00F84DDB">
            <w:pPr>
              <w:pStyle w:val="TableText"/>
              <w:keepNext/>
              <w:keepLines/>
              <w:spacing w:before="0" w:after="0"/>
              <w:jc w:val="center"/>
            </w:pPr>
          </w:p>
        </w:tc>
      </w:tr>
      <w:tr w:rsidR="005816DD" w:rsidRPr="002904AC" w14:paraId="6DD0C8A4" w14:textId="77777777" w:rsidTr="00F84DDB">
        <w:tc>
          <w:tcPr>
            <w:tcW w:w="2532" w:type="dxa"/>
          </w:tcPr>
          <w:p w14:paraId="23CFB83E" w14:textId="77777777" w:rsidR="005816DD" w:rsidRPr="004E5BF4" w:rsidDel="00D10114" w:rsidRDefault="005816DD" w:rsidP="00F84DDB">
            <w:pPr>
              <w:pStyle w:val="TableText"/>
              <w:keepNext/>
              <w:keepLines/>
              <w:spacing w:before="0" w:after="0"/>
              <w:rPr>
                <w:szCs w:val="20"/>
                <w:vertAlign w:val="superscript"/>
              </w:rPr>
            </w:pPr>
            <w:r>
              <w:rPr>
                <w:szCs w:val="20"/>
              </w:rPr>
              <w:t xml:space="preserve">People with a </w:t>
            </w:r>
            <w:r>
              <w:rPr>
                <w:i/>
                <w:iCs/>
                <w:szCs w:val="20"/>
              </w:rPr>
              <w:t xml:space="preserve">BRCA1/2 </w:t>
            </w:r>
            <w:r>
              <w:rPr>
                <w:szCs w:val="20"/>
              </w:rPr>
              <w:t xml:space="preserve">variant (13%) </w:t>
            </w:r>
            <w:r>
              <w:rPr>
                <w:szCs w:val="20"/>
                <w:vertAlign w:val="superscript"/>
              </w:rPr>
              <w:t>d</w:t>
            </w:r>
          </w:p>
        </w:tc>
        <w:tc>
          <w:tcPr>
            <w:tcW w:w="1080" w:type="dxa"/>
            <w:vAlign w:val="center"/>
          </w:tcPr>
          <w:p w14:paraId="72DBDAF1"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299"/>
                <w14:textFill>
                  <w14:solidFill>
                    <w14:srgbClr w14:val="000000">
                      <w14:alpha w14:val="100000"/>
                    </w14:srgbClr>
                  </w14:solidFill>
                </w14:textFill>
              </w:rPr>
              <w:t>||||</w:t>
            </w:r>
            <w:r w:rsidRPr="005816DD">
              <w:rPr>
                <w:color w:val="000000"/>
                <w:spacing w:val="2"/>
                <w:shd w:val="solid" w:color="000000" w:fill="000000"/>
                <w:fitText w:val="430" w:id="-1233389299"/>
                <w14:textFill>
                  <w14:solidFill>
                    <w14:srgbClr w14:val="000000">
                      <w14:alpha w14:val="100000"/>
                    </w14:srgbClr>
                  </w14:solidFill>
                </w14:textFill>
              </w:rPr>
              <w:t>|</w:t>
            </w:r>
            <w:r>
              <w:rPr>
                <w:vertAlign w:val="superscript"/>
              </w:rPr>
              <w:t>3</w:t>
            </w:r>
          </w:p>
        </w:tc>
        <w:tc>
          <w:tcPr>
            <w:tcW w:w="1081" w:type="dxa"/>
            <w:vAlign w:val="center"/>
          </w:tcPr>
          <w:p w14:paraId="776B4722"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298"/>
                <w14:textFill>
                  <w14:solidFill>
                    <w14:srgbClr w14:val="000000">
                      <w14:alpha w14:val="100000"/>
                    </w14:srgbClr>
                  </w14:solidFill>
                </w14:textFill>
              </w:rPr>
              <w:t>||||</w:t>
            </w:r>
            <w:r w:rsidRPr="005816DD">
              <w:rPr>
                <w:color w:val="000000"/>
                <w:spacing w:val="2"/>
                <w:shd w:val="solid" w:color="000000" w:fill="000000"/>
                <w:fitText w:val="430" w:id="-1233389298"/>
                <w14:textFill>
                  <w14:solidFill>
                    <w14:srgbClr w14:val="000000">
                      <w14:alpha w14:val="100000"/>
                    </w14:srgbClr>
                  </w14:solidFill>
                </w14:textFill>
              </w:rPr>
              <w:t>|</w:t>
            </w:r>
            <w:r>
              <w:rPr>
                <w:vertAlign w:val="superscript"/>
              </w:rPr>
              <w:t>3</w:t>
            </w:r>
          </w:p>
        </w:tc>
        <w:tc>
          <w:tcPr>
            <w:tcW w:w="1081" w:type="dxa"/>
            <w:vAlign w:val="center"/>
          </w:tcPr>
          <w:p w14:paraId="6994DFA8"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297"/>
                <w14:textFill>
                  <w14:solidFill>
                    <w14:srgbClr w14:val="000000">
                      <w14:alpha w14:val="100000"/>
                    </w14:srgbClr>
                  </w14:solidFill>
                </w14:textFill>
              </w:rPr>
              <w:t>||||</w:t>
            </w:r>
            <w:r w:rsidRPr="005816DD">
              <w:rPr>
                <w:color w:val="000000"/>
                <w:spacing w:val="2"/>
                <w:shd w:val="solid" w:color="000000" w:fill="000000"/>
                <w:fitText w:val="430" w:id="-1233389297"/>
                <w14:textFill>
                  <w14:solidFill>
                    <w14:srgbClr w14:val="000000">
                      <w14:alpha w14:val="100000"/>
                    </w14:srgbClr>
                  </w14:solidFill>
                </w14:textFill>
              </w:rPr>
              <w:t>|</w:t>
            </w:r>
            <w:r>
              <w:rPr>
                <w:vertAlign w:val="superscript"/>
              </w:rPr>
              <w:t>3</w:t>
            </w:r>
          </w:p>
        </w:tc>
        <w:tc>
          <w:tcPr>
            <w:tcW w:w="1080" w:type="dxa"/>
            <w:vAlign w:val="center"/>
          </w:tcPr>
          <w:p w14:paraId="0F551710"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296"/>
                <w14:textFill>
                  <w14:solidFill>
                    <w14:srgbClr w14:val="000000">
                      <w14:alpha w14:val="100000"/>
                    </w14:srgbClr>
                  </w14:solidFill>
                </w14:textFill>
              </w:rPr>
              <w:t>||||</w:t>
            </w:r>
            <w:r w:rsidRPr="005816DD">
              <w:rPr>
                <w:color w:val="000000"/>
                <w:spacing w:val="2"/>
                <w:shd w:val="solid" w:color="000000" w:fill="000000"/>
                <w:fitText w:val="430" w:id="-1233389296"/>
                <w14:textFill>
                  <w14:solidFill>
                    <w14:srgbClr w14:val="000000">
                      <w14:alpha w14:val="100000"/>
                    </w14:srgbClr>
                  </w14:solidFill>
                </w14:textFill>
              </w:rPr>
              <w:t>|</w:t>
            </w:r>
            <w:r>
              <w:rPr>
                <w:vertAlign w:val="superscript"/>
              </w:rPr>
              <w:t>3</w:t>
            </w:r>
          </w:p>
        </w:tc>
        <w:tc>
          <w:tcPr>
            <w:tcW w:w="1081" w:type="dxa"/>
            <w:vAlign w:val="center"/>
          </w:tcPr>
          <w:p w14:paraId="4E626AEC"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12"/>
                <w14:textFill>
                  <w14:solidFill>
                    <w14:srgbClr w14:val="000000">
                      <w14:alpha w14:val="100000"/>
                    </w14:srgbClr>
                  </w14:solidFill>
                </w14:textFill>
              </w:rPr>
              <w:t>||||</w:t>
            </w:r>
            <w:r w:rsidRPr="005816DD">
              <w:rPr>
                <w:color w:val="000000"/>
                <w:spacing w:val="2"/>
                <w:shd w:val="solid" w:color="000000" w:fill="000000"/>
                <w:fitText w:val="430" w:id="-1233389312"/>
                <w14:textFill>
                  <w14:solidFill>
                    <w14:srgbClr w14:val="000000">
                      <w14:alpha w14:val="100000"/>
                    </w14:srgbClr>
                  </w14:solidFill>
                </w14:textFill>
              </w:rPr>
              <w:t>|</w:t>
            </w:r>
            <w:r>
              <w:rPr>
                <w:vertAlign w:val="superscript"/>
              </w:rPr>
              <w:t>3</w:t>
            </w:r>
          </w:p>
        </w:tc>
        <w:tc>
          <w:tcPr>
            <w:tcW w:w="1081" w:type="dxa"/>
            <w:vAlign w:val="center"/>
          </w:tcPr>
          <w:p w14:paraId="30ACBCB9"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11"/>
                <w14:textFill>
                  <w14:solidFill>
                    <w14:srgbClr w14:val="000000">
                      <w14:alpha w14:val="100000"/>
                    </w14:srgbClr>
                  </w14:solidFill>
                </w14:textFill>
              </w:rPr>
              <w:t>||||</w:t>
            </w:r>
            <w:r w:rsidRPr="005816DD">
              <w:rPr>
                <w:color w:val="000000"/>
                <w:spacing w:val="2"/>
                <w:shd w:val="solid" w:color="000000" w:fill="000000"/>
                <w:fitText w:val="430" w:id="-1233389311"/>
                <w14:textFill>
                  <w14:solidFill>
                    <w14:srgbClr w14:val="000000">
                      <w14:alpha w14:val="100000"/>
                    </w14:srgbClr>
                  </w14:solidFill>
                </w14:textFill>
              </w:rPr>
              <w:t>|</w:t>
            </w:r>
            <w:r>
              <w:rPr>
                <w:vertAlign w:val="superscript"/>
              </w:rPr>
              <w:t>3</w:t>
            </w:r>
          </w:p>
        </w:tc>
      </w:tr>
      <w:tr w:rsidR="005816DD" w:rsidRPr="002904AC" w14:paraId="08BFC87C" w14:textId="77777777" w:rsidTr="00F84DDB">
        <w:tc>
          <w:tcPr>
            <w:tcW w:w="2532" w:type="dxa"/>
          </w:tcPr>
          <w:p w14:paraId="7DAE27B2" w14:textId="77777777" w:rsidR="005816DD" w:rsidRPr="004E5BF4" w:rsidDel="00D10114" w:rsidRDefault="005816DD" w:rsidP="00F84DDB">
            <w:pPr>
              <w:pStyle w:val="TableText"/>
              <w:keepNext/>
              <w:keepLines/>
              <w:spacing w:before="0" w:after="0"/>
              <w:rPr>
                <w:szCs w:val="20"/>
                <w:vertAlign w:val="superscript"/>
              </w:rPr>
            </w:pPr>
            <w:r>
              <w:rPr>
                <w:szCs w:val="20"/>
              </w:rPr>
              <w:t xml:space="preserve">Cascade tests (1.8 tests per </w:t>
            </w:r>
            <w:r>
              <w:rPr>
                <w:i/>
                <w:iCs/>
                <w:szCs w:val="20"/>
              </w:rPr>
              <w:t xml:space="preserve">BRCA1/2 </w:t>
            </w:r>
            <w:r>
              <w:rPr>
                <w:szCs w:val="20"/>
              </w:rPr>
              <w:t xml:space="preserve">positive proband) </w:t>
            </w:r>
            <w:r>
              <w:rPr>
                <w:szCs w:val="20"/>
                <w:vertAlign w:val="superscript"/>
              </w:rPr>
              <w:t>e</w:t>
            </w:r>
          </w:p>
        </w:tc>
        <w:tc>
          <w:tcPr>
            <w:tcW w:w="1080" w:type="dxa"/>
            <w:vAlign w:val="center"/>
          </w:tcPr>
          <w:p w14:paraId="1D35DC11"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10"/>
                <w14:textFill>
                  <w14:solidFill>
                    <w14:srgbClr w14:val="000000">
                      <w14:alpha w14:val="100000"/>
                    </w14:srgbClr>
                  </w14:solidFill>
                </w14:textFill>
              </w:rPr>
              <w:t>||||</w:t>
            </w:r>
            <w:r w:rsidRPr="005816DD">
              <w:rPr>
                <w:color w:val="000000"/>
                <w:spacing w:val="2"/>
                <w:shd w:val="solid" w:color="000000" w:fill="000000"/>
                <w:fitText w:val="430" w:id="-1233389310"/>
                <w14:textFill>
                  <w14:solidFill>
                    <w14:srgbClr w14:val="000000">
                      <w14:alpha w14:val="100000"/>
                    </w14:srgbClr>
                  </w14:solidFill>
                </w14:textFill>
              </w:rPr>
              <w:t>|</w:t>
            </w:r>
            <w:r>
              <w:rPr>
                <w:vertAlign w:val="superscript"/>
              </w:rPr>
              <w:t>3</w:t>
            </w:r>
          </w:p>
        </w:tc>
        <w:tc>
          <w:tcPr>
            <w:tcW w:w="1081" w:type="dxa"/>
            <w:vAlign w:val="center"/>
          </w:tcPr>
          <w:p w14:paraId="36482A27"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09"/>
                <w14:textFill>
                  <w14:solidFill>
                    <w14:srgbClr w14:val="000000">
                      <w14:alpha w14:val="100000"/>
                    </w14:srgbClr>
                  </w14:solidFill>
                </w14:textFill>
              </w:rPr>
              <w:t>||||</w:t>
            </w:r>
            <w:r w:rsidRPr="005816DD">
              <w:rPr>
                <w:color w:val="000000"/>
                <w:spacing w:val="2"/>
                <w:shd w:val="solid" w:color="000000" w:fill="000000"/>
                <w:fitText w:val="430" w:id="-1233389309"/>
                <w14:textFill>
                  <w14:solidFill>
                    <w14:srgbClr w14:val="000000">
                      <w14:alpha w14:val="100000"/>
                    </w14:srgbClr>
                  </w14:solidFill>
                </w14:textFill>
              </w:rPr>
              <w:t>|</w:t>
            </w:r>
            <w:r>
              <w:rPr>
                <w:vertAlign w:val="superscript"/>
              </w:rPr>
              <w:t>3</w:t>
            </w:r>
          </w:p>
        </w:tc>
        <w:tc>
          <w:tcPr>
            <w:tcW w:w="1081" w:type="dxa"/>
            <w:vAlign w:val="center"/>
          </w:tcPr>
          <w:p w14:paraId="0985F9EE"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08"/>
                <w14:textFill>
                  <w14:solidFill>
                    <w14:srgbClr w14:val="000000">
                      <w14:alpha w14:val="100000"/>
                    </w14:srgbClr>
                  </w14:solidFill>
                </w14:textFill>
              </w:rPr>
              <w:t>||||</w:t>
            </w:r>
            <w:r w:rsidRPr="005816DD">
              <w:rPr>
                <w:color w:val="000000"/>
                <w:spacing w:val="2"/>
                <w:shd w:val="solid" w:color="000000" w:fill="000000"/>
                <w:fitText w:val="430" w:id="-1233389308"/>
                <w14:textFill>
                  <w14:solidFill>
                    <w14:srgbClr w14:val="000000">
                      <w14:alpha w14:val="100000"/>
                    </w14:srgbClr>
                  </w14:solidFill>
                </w14:textFill>
              </w:rPr>
              <w:t>|</w:t>
            </w:r>
            <w:r>
              <w:rPr>
                <w:vertAlign w:val="superscript"/>
              </w:rPr>
              <w:t>3</w:t>
            </w:r>
          </w:p>
        </w:tc>
        <w:tc>
          <w:tcPr>
            <w:tcW w:w="1080" w:type="dxa"/>
            <w:vAlign w:val="center"/>
          </w:tcPr>
          <w:p w14:paraId="73D1D82E"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07"/>
                <w14:textFill>
                  <w14:solidFill>
                    <w14:srgbClr w14:val="000000">
                      <w14:alpha w14:val="100000"/>
                    </w14:srgbClr>
                  </w14:solidFill>
                </w14:textFill>
              </w:rPr>
              <w:t>||||</w:t>
            </w:r>
            <w:r w:rsidRPr="005816DD">
              <w:rPr>
                <w:color w:val="000000"/>
                <w:spacing w:val="2"/>
                <w:shd w:val="solid" w:color="000000" w:fill="000000"/>
                <w:fitText w:val="430" w:id="-1233389307"/>
                <w14:textFill>
                  <w14:solidFill>
                    <w14:srgbClr w14:val="000000">
                      <w14:alpha w14:val="100000"/>
                    </w14:srgbClr>
                  </w14:solidFill>
                </w14:textFill>
              </w:rPr>
              <w:t>|</w:t>
            </w:r>
            <w:r>
              <w:rPr>
                <w:vertAlign w:val="superscript"/>
              </w:rPr>
              <w:t>3</w:t>
            </w:r>
          </w:p>
        </w:tc>
        <w:tc>
          <w:tcPr>
            <w:tcW w:w="1081" w:type="dxa"/>
            <w:vAlign w:val="center"/>
          </w:tcPr>
          <w:p w14:paraId="545F49CE"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06"/>
                <w14:textFill>
                  <w14:solidFill>
                    <w14:srgbClr w14:val="000000">
                      <w14:alpha w14:val="100000"/>
                    </w14:srgbClr>
                  </w14:solidFill>
                </w14:textFill>
              </w:rPr>
              <w:t>||||</w:t>
            </w:r>
            <w:r w:rsidRPr="005816DD">
              <w:rPr>
                <w:color w:val="000000"/>
                <w:spacing w:val="2"/>
                <w:shd w:val="solid" w:color="000000" w:fill="000000"/>
                <w:fitText w:val="430" w:id="-1233389306"/>
                <w14:textFill>
                  <w14:solidFill>
                    <w14:srgbClr w14:val="000000">
                      <w14:alpha w14:val="100000"/>
                    </w14:srgbClr>
                  </w14:solidFill>
                </w14:textFill>
              </w:rPr>
              <w:t>|</w:t>
            </w:r>
            <w:r>
              <w:rPr>
                <w:vertAlign w:val="superscript"/>
              </w:rPr>
              <w:t>3</w:t>
            </w:r>
          </w:p>
        </w:tc>
        <w:tc>
          <w:tcPr>
            <w:tcW w:w="1081" w:type="dxa"/>
            <w:vAlign w:val="center"/>
          </w:tcPr>
          <w:p w14:paraId="669F4FA8" w14:textId="77777777" w:rsidR="005816DD" w:rsidRPr="00814E78" w:rsidRDefault="005816DD" w:rsidP="00F84DDB">
            <w:pPr>
              <w:pStyle w:val="TableText"/>
              <w:keepNext/>
              <w:keepLines/>
              <w:spacing w:before="0" w:after="0"/>
              <w:jc w:val="center"/>
            </w:pPr>
            <w:r w:rsidRPr="005816DD">
              <w:rPr>
                <w:color w:val="000000"/>
                <w:spacing w:val="54"/>
                <w:shd w:val="solid" w:color="000000" w:fill="000000"/>
                <w:fitText w:val="430" w:id="-1233389305"/>
                <w14:textFill>
                  <w14:solidFill>
                    <w14:srgbClr w14:val="000000">
                      <w14:alpha w14:val="100000"/>
                    </w14:srgbClr>
                  </w14:solidFill>
                </w14:textFill>
              </w:rPr>
              <w:t>||||</w:t>
            </w:r>
            <w:r w:rsidRPr="005816DD">
              <w:rPr>
                <w:color w:val="000000"/>
                <w:spacing w:val="2"/>
                <w:shd w:val="solid" w:color="000000" w:fill="000000"/>
                <w:fitText w:val="430" w:id="-1233389305"/>
                <w14:textFill>
                  <w14:solidFill>
                    <w14:srgbClr w14:val="000000">
                      <w14:alpha w14:val="100000"/>
                    </w14:srgbClr>
                  </w14:solidFill>
                </w14:textFill>
              </w:rPr>
              <w:t>|</w:t>
            </w:r>
            <w:r>
              <w:rPr>
                <w:vertAlign w:val="superscript"/>
              </w:rPr>
              <w:t>3</w:t>
            </w:r>
          </w:p>
        </w:tc>
      </w:tr>
      <w:tr w:rsidR="005816DD" w:rsidRPr="002904AC" w14:paraId="68557CA6" w14:textId="77777777" w:rsidTr="00F84DDB">
        <w:tc>
          <w:tcPr>
            <w:tcW w:w="2532" w:type="dxa"/>
          </w:tcPr>
          <w:p w14:paraId="407AF877" w14:textId="77777777" w:rsidR="005816DD" w:rsidRPr="005816DD" w:rsidDel="00D10114" w:rsidRDefault="005816DD" w:rsidP="00F84DDB">
            <w:pPr>
              <w:pStyle w:val="TableText"/>
              <w:rPr>
                <w:sz w:val="19"/>
                <w:szCs w:val="19"/>
                <w:vertAlign w:val="superscript"/>
              </w:rPr>
            </w:pPr>
            <w:r>
              <w:rPr>
                <w:szCs w:val="20"/>
              </w:rPr>
              <w:t xml:space="preserve">Cascade testing cost to MBS </w:t>
            </w:r>
            <w:r>
              <w:rPr>
                <w:szCs w:val="20"/>
                <w:vertAlign w:val="superscript"/>
              </w:rPr>
              <w:t xml:space="preserve">f </w:t>
            </w:r>
            <w:r>
              <w:rPr>
                <w:sz w:val="19"/>
                <w:szCs w:val="19"/>
              </w:rPr>
              <w:t>($)</w:t>
            </w:r>
          </w:p>
        </w:tc>
        <w:tc>
          <w:tcPr>
            <w:tcW w:w="1080" w:type="dxa"/>
            <w:vAlign w:val="center"/>
          </w:tcPr>
          <w:p w14:paraId="489AC8A5" w14:textId="77777777" w:rsidR="005816DD" w:rsidRPr="005816DD" w:rsidRDefault="005816DD" w:rsidP="00F84DDB">
            <w:pPr>
              <w:pStyle w:val="TableText"/>
              <w:keepNext/>
              <w:keepLines/>
              <w:spacing w:before="0" w:after="0"/>
              <w:jc w:val="center"/>
              <w:rPr>
                <w:vertAlign w:val="superscript"/>
              </w:rPr>
            </w:pPr>
            <w:r w:rsidRPr="00DE5571">
              <w:t>$</w:t>
            </w:r>
            <w:r w:rsidRPr="005816DD">
              <w:rPr>
                <w:color w:val="000000"/>
                <w:spacing w:val="54"/>
                <w:shd w:val="solid" w:color="000000" w:fill="000000"/>
                <w:fitText w:val="430" w:id="-1233389304"/>
                <w14:textFill>
                  <w14:solidFill>
                    <w14:srgbClr w14:val="000000">
                      <w14:alpha w14:val="100000"/>
                    </w14:srgbClr>
                  </w14:solidFill>
                </w14:textFill>
              </w:rPr>
              <w:t>||||</w:t>
            </w:r>
            <w:r w:rsidRPr="005816DD">
              <w:rPr>
                <w:color w:val="000000"/>
                <w:spacing w:val="2"/>
                <w:shd w:val="solid" w:color="000000" w:fill="000000"/>
                <w:fitText w:val="430" w:id="-1233389304"/>
                <w14:textFill>
                  <w14:solidFill>
                    <w14:srgbClr w14:val="000000">
                      <w14:alpha w14:val="100000"/>
                    </w14:srgbClr>
                  </w14:solidFill>
                </w14:textFill>
              </w:rPr>
              <w:t>|</w:t>
            </w:r>
            <w:r>
              <w:rPr>
                <w:vertAlign w:val="superscript"/>
              </w:rPr>
              <w:t>4</w:t>
            </w:r>
          </w:p>
        </w:tc>
        <w:tc>
          <w:tcPr>
            <w:tcW w:w="1081" w:type="dxa"/>
            <w:vAlign w:val="center"/>
          </w:tcPr>
          <w:p w14:paraId="75102C7E" w14:textId="77777777" w:rsidR="005816DD" w:rsidRPr="005816DD" w:rsidRDefault="005816DD" w:rsidP="00F84DDB">
            <w:pPr>
              <w:pStyle w:val="TableText"/>
              <w:keepNext/>
              <w:keepLines/>
              <w:spacing w:before="0" w:after="0"/>
              <w:jc w:val="center"/>
              <w:rPr>
                <w:vertAlign w:val="superscript"/>
              </w:rPr>
            </w:pPr>
            <w:r w:rsidRPr="00DE5571">
              <w:t>$</w:t>
            </w:r>
            <w:r w:rsidRPr="005816DD">
              <w:rPr>
                <w:color w:val="000000"/>
                <w:spacing w:val="54"/>
                <w:shd w:val="solid" w:color="000000" w:fill="000000"/>
                <w:fitText w:val="430" w:id="-1233389303"/>
                <w14:textFill>
                  <w14:solidFill>
                    <w14:srgbClr w14:val="000000">
                      <w14:alpha w14:val="100000"/>
                    </w14:srgbClr>
                  </w14:solidFill>
                </w14:textFill>
              </w:rPr>
              <w:t>||||</w:t>
            </w:r>
            <w:r w:rsidRPr="005816DD">
              <w:rPr>
                <w:color w:val="000000"/>
                <w:spacing w:val="2"/>
                <w:shd w:val="solid" w:color="000000" w:fill="000000"/>
                <w:fitText w:val="430" w:id="-1233389303"/>
                <w14:textFill>
                  <w14:solidFill>
                    <w14:srgbClr w14:val="000000">
                      <w14:alpha w14:val="100000"/>
                    </w14:srgbClr>
                  </w14:solidFill>
                </w14:textFill>
              </w:rPr>
              <w:t>|</w:t>
            </w:r>
            <w:r>
              <w:rPr>
                <w:vertAlign w:val="superscript"/>
              </w:rPr>
              <w:t>4</w:t>
            </w:r>
          </w:p>
        </w:tc>
        <w:tc>
          <w:tcPr>
            <w:tcW w:w="1081" w:type="dxa"/>
            <w:vAlign w:val="center"/>
          </w:tcPr>
          <w:p w14:paraId="0887D3B7" w14:textId="77777777" w:rsidR="005816DD" w:rsidRPr="005816DD" w:rsidRDefault="005816DD" w:rsidP="00F84DDB">
            <w:pPr>
              <w:pStyle w:val="TableText"/>
              <w:keepNext/>
              <w:keepLines/>
              <w:spacing w:before="0" w:after="0"/>
              <w:jc w:val="center"/>
              <w:rPr>
                <w:vertAlign w:val="superscript"/>
              </w:rPr>
            </w:pPr>
            <w:r w:rsidRPr="00DE5571">
              <w:t>$</w:t>
            </w:r>
            <w:r w:rsidRPr="005816DD">
              <w:rPr>
                <w:color w:val="000000"/>
                <w:spacing w:val="54"/>
                <w:shd w:val="solid" w:color="000000" w:fill="000000"/>
                <w:fitText w:val="430" w:id="-1233389302"/>
                <w14:textFill>
                  <w14:solidFill>
                    <w14:srgbClr w14:val="000000">
                      <w14:alpha w14:val="100000"/>
                    </w14:srgbClr>
                  </w14:solidFill>
                </w14:textFill>
              </w:rPr>
              <w:t>||||</w:t>
            </w:r>
            <w:r w:rsidRPr="005816DD">
              <w:rPr>
                <w:color w:val="000000"/>
                <w:spacing w:val="2"/>
                <w:shd w:val="solid" w:color="000000" w:fill="000000"/>
                <w:fitText w:val="430" w:id="-1233389302"/>
                <w14:textFill>
                  <w14:solidFill>
                    <w14:srgbClr w14:val="000000">
                      <w14:alpha w14:val="100000"/>
                    </w14:srgbClr>
                  </w14:solidFill>
                </w14:textFill>
              </w:rPr>
              <w:t>|</w:t>
            </w:r>
            <w:r>
              <w:rPr>
                <w:vertAlign w:val="superscript"/>
              </w:rPr>
              <w:t>4</w:t>
            </w:r>
          </w:p>
        </w:tc>
        <w:tc>
          <w:tcPr>
            <w:tcW w:w="1080" w:type="dxa"/>
            <w:vAlign w:val="center"/>
          </w:tcPr>
          <w:p w14:paraId="5DD1C35C" w14:textId="77777777" w:rsidR="005816DD" w:rsidRPr="005816DD" w:rsidRDefault="005816DD" w:rsidP="00F84DDB">
            <w:pPr>
              <w:pStyle w:val="TableText"/>
              <w:keepNext/>
              <w:keepLines/>
              <w:spacing w:before="0" w:after="0"/>
              <w:jc w:val="center"/>
              <w:rPr>
                <w:vertAlign w:val="superscript"/>
              </w:rPr>
            </w:pPr>
            <w:r w:rsidRPr="00DE5571">
              <w:t>$</w:t>
            </w:r>
            <w:r w:rsidRPr="005816DD">
              <w:rPr>
                <w:color w:val="000000"/>
                <w:spacing w:val="54"/>
                <w:shd w:val="solid" w:color="000000" w:fill="000000"/>
                <w:fitText w:val="430" w:id="-1233389301"/>
                <w14:textFill>
                  <w14:solidFill>
                    <w14:srgbClr w14:val="000000">
                      <w14:alpha w14:val="100000"/>
                    </w14:srgbClr>
                  </w14:solidFill>
                </w14:textFill>
              </w:rPr>
              <w:t>||||</w:t>
            </w:r>
            <w:r w:rsidRPr="005816DD">
              <w:rPr>
                <w:color w:val="000000"/>
                <w:spacing w:val="2"/>
                <w:shd w:val="solid" w:color="000000" w:fill="000000"/>
                <w:fitText w:val="430" w:id="-1233389301"/>
                <w14:textFill>
                  <w14:solidFill>
                    <w14:srgbClr w14:val="000000">
                      <w14:alpha w14:val="100000"/>
                    </w14:srgbClr>
                  </w14:solidFill>
                </w14:textFill>
              </w:rPr>
              <w:t>|</w:t>
            </w:r>
            <w:r>
              <w:rPr>
                <w:vertAlign w:val="superscript"/>
              </w:rPr>
              <w:t>4</w:t>
            </w:r>
          </w:p>
        </w:tc>
        <w:tc>
          <w:tcPr>
            <w:tcW w:w="1081" w:type="dxa"/>
            <w:vAlign w:val="center"/>
          </w:tcPr>
          <w:p w14:paraId="53407CE2" w14:textId="77777777" w:rsidR="005816DD" w:rsidRPr="005816DD" w:rsidRDefault="005816DD" w:rsidP="00F84DDB">
            <w:pPr>
              <w:pStyle w:val="TableText"/>
              <w:keepNext/>
              <w:keepLines/>
              <w:spacing w:before="0" w:after="0"/>
              <w:jc w:val="center"/>
              <w:rPr>
                <w:vertAlign w:val="superscript"/>
              </w:rPr>
            </w:pPr>
            <w:r w:rsidRPr="00DE5571">
              <w:t>$</w:t>
            </w:r>
            <w:r w:rsidRPr="005816DD">
              <w:rPr>
                <w:color w:val="000000"/>
                <w:spacing w:val="54"/>
                <w:shd w:val="solid" w:color="000000" w:fill="000000"/>
                <w:fitText w:val="430" w:id="-1233389300"/>
                <w14:textFill>
                  <w14:solidFill>
                    <w14:srgbClr w14:val="000000">
                      <w14:alpha w14:val="100000"/>
                    </w14:srgbClr>
                  </w14:solidFill>
                </w14:textFill>
              </w:rPr>
              <w:t>||||</w:t>
            </w:r>
            <w:r w:rsidRPr="005816DD">
              <w:rPr>
                <w:color w:val="000000"/>
                <w:spacing w:val="2"/>
                <w:shd w:val="solid" w:color="000000" w:fill="000000"/>
                <w:fitText w:val="430" w:id="-1233389300"/>
                <w14:textFill>
                  <w14:solidFill>
                    <w14:srgbClr w14:val="000000">
                      <w14:alpha w14:val="100000"/>
                    </w14:srgbClr>
                  </w14:solidFill>
                </w14:textFill>
              </w:rPr>
              <w:t>|</w:t>
            </w:r>
            <w:r>
              <w:rPr>
                <w:vertAlign w:val="superscript"/>
              </w:rPr>
              <w:t>4</w:t>
            </w:r>
          </w:p>
        </w:tc>
        <w:tc>
          <w:tcPr>
            <w:tcW w:w="1081" w:type="dxa"/>
            <w:vAlign w:val="center"/>
          </w:tcPr>
          <w:p w14:paraId="6C03C97C" w14:textId="77777777" w:rsidR="005816DD" w:rsidRPr="005816DD" w:rsidRDefault="005816DD" w:rsidP="00F84DDB">
            <w:pPr>
              <w:pStyle w:val="TableText"/>
              <w:keepNext/>
              <w:keepLines/>
              <w:spacing w:before="0" w:after="0"/>
              <w:jc w:val="center"/>
              <w:rPr>
                <w:vertAlign w:val="superscript"/>
              </w:rPr>
            </w:pPr>
            <w:r w:rsidRPr="00DE5571">
              <w:t>$</w:t>
            </w:r>
            <w:r w:rsidRPr="005816DD">
              <w:rPr>
                <w:color w:val="000000"/>
                <w:spacing w:val="54"/>
                <w:shd w:val="solid" w:color="000000" w:fill="000000"/>
                <w:fitText w:val="430" w:id="-1233389299"/>
                <w14:textFill>
                  <w14:solidFill>
                    <w14:srgbClr w14:val="000000">
                      <w14:alpha w14:val="100000"/>
                    </w14:srgbClr>
                  </w14:solidFill>
                </w14:textFill>
              </w:rPr>
              <w:t>||||</w:t>
            </w:r>
            <w:r w:rsidRPr="005816DD">
              <w:rPr>
                <w:color w:val="000000"/>
                <w:spacing w:val="2"/>
                <w:shd w:val="solid" w:color="000000" w:fill="000000"/>
                <w:fitText w:val="430" w:id="-1233389299"/>
                <w14:textFill>
                  <w14:solidFill>
                    <w14:srgbClr w14:val="000000">
                      <w14:alpha w14:val="100000"/>
                    </w14:srgbClr>
                  </w14:solidFill>
                </w14:textFill>
              </w:rPr>
              <w:t>|</w:t>
            </w:r>
            <w:r>
              <w:rPr>
                <w:vertAlign w:val="superscript"/>
              </w:rPr>
              <w:t>4</w:t>
            </w:r>
          </w:p>
        </w:tc>
      </w:tr>
      <w:tr w:rsidR="005816DD" w:rsidRPr="002904AC" w14:paraId="7D369E6B" w14:textId="77777777" w:rsidTr="00F84DDB">
        <w:tc>
          <w:tcPr>
            <w:tcW w:w="2532" w:type="dxa"/>
          </w:tcPr>
          <w:p w14:paraId="329BEE02" w14:textId="77777777" w:rsidR="005816DD" w:rsidRPr="005816DD" w:rsidDel="00D10114" w:rsidRDefault="005816DD" w:rsidP="00F84DDB">
            <w:pPr>
              <w:pStyle w:val="TableText"/>
              <w:rPr>
                <w:sz w:val="19"/>
                <w:szCs w:val="19"/>
                <w:vertAlign w:val="superscript"/>
              </w:rPr>
            </w:pPr>
            <w:r w:rsidRPr="004E5BF4">
              <w:rPr>
                <w:b/>
                <w:bCs/>
                <w:szCs w:val="20"/>
              </w:rPr>
              <w:t>Revised net cost to MBS</w:t>
            </w:r>
            <w:r>
              <w:rPr>
                <w:b/>
                <w:bCs/>
                <w:szCs w:val="20"/>
              </w:rPr>
              <w:t xml:space="preserve"> </w:t>
            </w:r>
            <w:r>
              <w:rPr>
                <w:sz w:val="19"/>
                <w:szCs w:val="19"/>
              </w:rPr>
              <w:t>($)</w:t>
            </w:r>
          </w:p>
        </w:tc>
        <w:tc>
          <w:tcPr>
            <w:tcW w:w="1080" w:type="dxa"/>
            <w:vAlign w:val="center"/>
          </w:tcPr>
          <w:p w14:paraId="23068650" w14:textId="77777777" w:rsidR="005816DD" w:rsidRPr="005816DD" w:rsidRDefault="005816DD" w:rsidP="00F84DDB">
            <w:pPr>
              <w:pStyle w:val="TableText"/>
              <w:keepNext/>
              <w:keepLines/>
              <w:spacing w:before="0" w:after="0"/>
              <w:jc w:val="center"/>
              <w:rPr>
                <w:b/>
                <w:bCs/>
                <w:vertAlign w:val="superscript"/>
              </w:rPr>
            </w:pPr>
            <w:r w:rsidRPr="0078421F">
              <w:rPr>
                <w:b/>
                <w:bCs/>
              </w:rPr>
              <w:t>$</w:t>
            </w:r>
            <w:r w:rsidRPr="005816DD">
              <w:rPr>
                <w:color w:val="000000"/>
                <w:spacing w:val="54"/>
                <w:shd w:val="solid" w:color="000000" w:fill="000000"/>
                <w:fitText w:val="430" w:id="-1233389298"/>
                <w14:textFill>
                  <w14:solidFill>
                    <w14:srgbClr w14:val="000000">
                      <w14:alpha w14:val="100000"/>
                    </w14:srgbClr>
                  </w14:solidFill>
                </w14:textFill>
              </w:rPr>
              <w:t>||||</w:t>
            </w:r>
            <w:r w:rsidRPr="005816DD">
              <w:rPr>
                <w:color w:val="000000"/>
                <w:spacing w:val="2"/>
                <w:shd w:val="solid" w:color="000000" w:fill="000000"/>
                <w:fitText w:val="430" w:id="-1233389298"/>
                <w14:textFill>
                  <w14:solidFill>
                    <w14:srgbClr w14:val="000000">
                      <w14:alpha w14:val="100000"/>
                    </w14:srgbClr>
                  </w14:solidFill>
                </w14:textFill>
              </w:rPr>
              <w:t>|</w:t>
            </w:r>
            <w:r>
              <w:rPr>
                <w:b/>
                <w:bCs/>
                <w:vertAlign w:val="superscript"/>
              </w:rPr>
              <w:t>4</w:t>
            </w:r>
          </w:p>
        </w:tc>
        <w:tc>
          <w:tcPr>
            <w:tcW w:w="1081" w:type="dxa"/>
            <w:vAlign w:val="center"/>
          </w:tcPr>
          <w:p w14:paraId="4C5B7EC2" w14:textId="77777777" w:rsidR="005816DD" w:rsidRPr="005816DD" w:rsidRDefault="005816DD" w:rsidP="00F84DDB">
            <w:pPr>
              <w:pStyle w:val="TableText"/>
              <w:keepNext/>
              <w:keepLines/>
              <w:spacing w:before="0" w:after="0"/>
              <w:jc w:val="center"/>
              <w:rPr>
                <w:b/>
                <w:bCs/>
                <w:vertAlign w:val="superscript"/>
              </w:rPr>
            </w:pPr>
            <w:r w:rsidRPr="0078421F">
              <w:rPr>
                <w:b/>
                <w:bCs/>
              </w:rPr>
              <w:t>$</w:t>
            </w:r>
            <w:r w:rsidRPr="005816DD">
              <w:rPr>
                <w:color w:val="000000"/>
                <w:spacing w:val="54"/>
                <w:shd w:val="solid" w:color="000000" w:fill="000000"/>
                <w:fitText w:val="430" w:id="-1233389297"/>
                <w14:textFill>
                  <w14:solidFill>
                    <w14:srgbClr w14:val="000000">
                      <w14:alpha w14:val="100000"/>
                    </w14:srgbClr>
                  </w14:solidFill>
                </w14:textFill>
              </w:rPr>
              <w:t>||||</w:t>
            </w:r>
            <w:r w:rsidRPr="005816DD">
              <w:rPr>
                <w:color w:val="000000"/>
                <w:spacing w:val="2"/>
                <w:shd w:val="solid" w:color="000000" w:fill="000000"/>
                <w:fitText w:val="430" w:id="-1233389297"/>
                <w14:textFill>
                  <w14:solidFill>
                    <w14:srgbClr w14:val="000000">
                      <w14:alpha w14:val="100000"/>
                    </w14:srgbClr>
                  </w14:solidFill>
                </w14:textFill>
              </w:rPr>
              <w:t>|</w:t>
            </w:r>
            <w:r>
              <w:rPr>
                <w:b/>
                <w:bCs/>
                <w:vertAlign w:val="superscript"/>
              </w:rPr>
              <w:t>4</w:t>
            </w:r>
          </w:p>
        </w:tc>
        <w:tc>
          <w:tcPr>
            <w:tcW w:w="1081" w:type="dxa"/>
            <w:vAlign w:val="center"/>
          </w:tcPr>
          <w:p w14:paraId="6D1AAE31" w14:textId="77777777" w:rsidR="005816DD" w:rsidRPr="005816DD" w:rsidRDefault="005816DD" w:rsidP="00F84DDB">
            <w:pPr>
              <w:pStyle w:val="TableText"/>
              <w:keepNext/>
              <w:keepLines/>
              <w:spacing w:before="0" w:after="0"/>
              <w:jc w:val="center"/>
              <w:rPr>
                <w:b/>
                <w:bCs/>
                <w:vertAlign w:val="superscript"/>
              </w:rPr>
            </w:pPr>
            <w:r w:rsidRPr="0078421F">
              <w:rPr>
                <w:b/>
                <w:bCs/>
              </w:rPr>
              <w:t>$</w:t>
            </w:r>
            <w:r w:rsidRPr="005816DD">
              <w:rPr>
                <w:color w:val="000000"/>
                <w:spacing w:val="54"/>
                <w:shd w:val="solid" w:color="000000" w:fill="000000"/>
                <w:fitText w:val="430" w:id="-1233389296"/>
                <w14:textFill>
                  <w14:solidFill>
                    <w14:srgbClr w14:val="000000">
                      <w14:alpha w14:val="100000"/>
                    </w14:srgbClr>
                  </w14:solidFill>
                </w14:textFill>
              </w:rPr>
              <w:t>||||</w:t>
            </w:r>
            <w:r w:rsidRPr="005816DD">
              <w:rPr>
                <w:color w:val="000000"/>
                <w:spacing w:val="2"/>
                <w:shd w:val="solid" w:color="000000" w:fill="000000"/>
                <w:fitText w:val="430" w:id="-1233389296"/>
                <w14:textFill>
                  <w14:solidFill>
                    <w14:srgbClr w14:val="000000">
                      <w14:alpha w14:val="100000"/>
                    </w14:srgbClr>
                  </w14:solidFill>
                </w14:textFill>
              </w:rPr>
              <w:t>|</w:t>
            </w:r>
            <w:r>
              <w:rPr>
                <w:b/>
                <w:bCs/>
                <w:vertAlign w:val="superscript"/>
              </w:rPr>
              <w:t>4</w:t>
            </w:r>
          </w:p>
        </w:tc>
        <w:tc>
          <w:tcPr>
            <w:tcW w:w="1080" w:type="dxa"/>
            <w:vAlign w:val="center"/>
          </w:tcPr>
          <w:p w14:paraId="33998636" w14:textId="77777777" w:rsidR="005816DD" w:rsidRPr="005816DD" w:rsidRDefault="005816DD" w:rsidP="00F84DDB">
            <w:pPr>
              <w:pStyle w:val="TableText"/>
              <w:keepNext/>
              <w:keepLines/>
              <w:spacing w:before="0" w:after="0"/>
              <w:jc w:val="center"/>
              <w:rPr>
                <w:b/>
                <w:bCs/>
                <w:vertAlign w:val="superscript"/>
              </w:rPr>
            </w:pPr>
            <w:r w:rsidRPr="0078421F">
              <w:rPr>
                <w:b/>
                <w:bCs/>
              </w:rPr>
              <w:t>$</w:t>
            </w:r>
            <w:r w:rsidRPr="005816DD">
              <w:rPr>
                <w:color w:val="000000"/>
                <w:spacing w:val="54"/>
                <w:shd w:val="solid" w:color="000000" w:fill="000000"/>
                <w:fitText w:val="430" w:id="-1233389312"/>
                <w14:textFill>
                  <w14:solidFill>
                    <w14:srgbClr w14:val="000000">
                      <w14:alpha w14:val="100000"/>
                    </w14:srgbClr>
                  </w14:solidFill>
                </w14:textFill>
              </w:rPr>
              <w:t>||||</w:t>
            </w:r>
            <w:r w:rsidRPr="005816DD">
              <w:rPr>
                <w:color w:val="000000"/>
                <w:spacing w:val="2"/>
                <w:shd w:val="solid" w:color="000000" w:fill="000000"/>
                <w:fitText w:val="430" w:id="-1233389312"/>
                <w14:textFill>
                  <w14:solidFill>
                    <w14:srgbClr w14:val="000000">
                      <w14:alpha w14:val="100000"/>
                    </w14:srgbClr>
                  </w14:solidFill>
                </w14:textFill>
              </w:rPr>
              <w:t>|</w:t>
            </w:r>
            <w:r>
              <w:rPr>
                <w:b/>
                <w:bCs/>
                <w:vertAlign w:val="superscript"/>
              </w:rPr>
              <w:t>4</w:t>
            </w:r>
          </w:p>
        </w:tc>
        <w:tc>
          <w:tcPr>
            <w:tcW w:w="1081" w:type="dxa"/>
            <w:vAlign w:val="center"/>
          </w:tcPr>
          <w:p w14:paraId="23BE9B90" w14:textId="77777777" w:rsidR="005816DD" w:rsidRPr="005816DD" w:rsidRDefault="005816DD" w:rsidP="00F84DDB">
            <w:pPr>
              <w:pStyle w:val="TableText"/>
              <w:keepNext/>
              <w:keepLines/>
              <w:spacing w:before="0" w:after="0"/>
              <w:jc w:val="center"/>
              <w:rPr>
                <w:b/>
                <w:bCs/>
                <w:vertAlign w:val="superscript"/>
              </w:rPr>
            </w:pPr>
            <w:r w:rsidRPr="0078421F">
              <w:rPr>
                <w:b/>
                <w:bCs/>
              </w:rPr>
              <w:t>$</w:t>
            </w:r>
            <w:r w:rsidRPr="005816DD">
              <w:rPr>
                <w:color w:val="000000"/>
                <w:spacing w:val="54"/>
                <w:shd w:val="solid" w:color="000000" w:fill="000000"/>
                <w:fitText w:val="430" w:id="-1233389311"/>
                <w14:textFill>
                  <w14:solidFill>
                    <w14:srgbClr w14:val="000000">
                      <w14:alpha w14:val="100000"/>
                    </w14:srgbClr>
                  </w14:solidFill>
                </w14:textFill>
              </w:rPr>
              <w:t>||||</w:t>
            </w:r>
            <w:r w:rsidRPr="005816DD">
              <w:rPr>
                <w:color w:val="000000"/>
                <w:spacing w:val="2"/>
                <w:shd w:val="solid" w:color="000000" w:fill="000000"/>
                <w:fitText w:val="430" w:id="-1233389311"/>
                <w14:textFill>
                  <w14:solidFill>
                    <w14:srgbClr w14:val="000000">
                      <w14:alpha w14:val="100000"/>
                    </w14:srgbClr>
                  </w14:solidFill>
                </w14:textFill>
              </w:rPr>
              <w:t>|</w:t>
            </w:r>
            <w:r>
              <w:rPr>
                <w:b/>
                <w:bCs/>
                <w:vertAlign w:val="superscript"/>
              </w:rPr>
              <w:t>4</w:t>
            </w:r>
          </w:p>
        </w:tc>
        <w:tc>
          <w:tcPr>
            <w:tcW w:w="1081" w:type="dxa"/>
            <w:vAlign w:val="center"/>
          </w:tcPr>
          <w:p w14:paraId="6262A3E6" w14:textId="77777777" w:rsidR="005816DD" w:rsidRPr="005816DD" w:rsidRDefault="005816DD" w:rsidP="00F84DDB">
            <w:pPr>
              <w:pStyle w:val="TableText"/>
              <w:keepNext/>
              <w:keepLines/>
              <w:spacing w:before="0" w:after="0"/>
              <w:jc w:val="center"/>
              <w:rPr>
                <w:b/>
                <w:bCs/>
                <w:vertAlign w:val="superscript"/>
              </w:rPr>
            </w:pPr>
            <w:r w:rsidRPr="0078421F">
              <w:rPr>
                <w:b/>
                <w:bCs/>
              </w:rPr>
              <w:t>$</w:t>
            </w:r>
            <w:r w:rsidRPr="005816DD">
              <w:rPr>
                <w:color w:val="000000"/>
                <w:spacing w:val="54"/>
                <w:shd w:val="solid" w:color="000000" w:fill="000000"/>
                <w:fitText w:val="430" w:id="-1233389310"/>
                <w14:textFill>
                  <w14:solidFill>
                    <w14:srgbClr w14:val="000000">
                      <w14:alpha w14:val="100000"/>
                    </w14:srgbClr>
                  </w14:solidFill>
                </w14:textFill>
              </w:rPr>
              <w:t>||||</w:t>
            </w:r>
            <w:r w:rsidRPr="005816DD">
              <w:rPr>
                <w:color w:val="000000"/>
                <w:spacing w:val="2"/>
                <w:shd w:val="solid" w:color="000000" w:fill="000000"/>
                <w:fitText w:val="430" w:id="-1233389310"/>
                <w14:textFill>
                  <w14:solidFill>
                    <w14:srgbClr w14:val="000000">
                      <w14:alpha w14:val="100000"/>
                    </w14:srgbClr>
                  </w14:solidFill>
                </w14:textFill>
              </w:rPr>
              <w:t>|</w:t>
            </w:r>
            <w:r>
              <w:rPr>
                <w:b/>
                <w:bCs/>
                <w:vertAlign w:val="superscript"/>
              </w:rPr>
              <w:t>4</w:t>
            </w:r>
          </w:p>
        </w:tc>
      </w:tr>
    </w:tbl>
    <w:p w14:paraId="45F05A11" w14:textId="4A70446F" w:rsidR="00D44C2F" w:rsidRPr="00487719" w:rsidRDefault="00D44C2F" w:rsidP="00D44C2F">
      <w:pPr>
        <w:spacing w:before="0" w:after="0" w:line="240" w:lineRule="auto"/>
        <w:jc w:val="both"/>
        <w:rPr>
          <w:rFonts w:ascii="Arial Narrow" w:eastAsia="Times New Roman" w:hAnsi="Arial Narrow" w:cs="Arial"/>
          <w:snapToGrid w:val="0"/>
          <w:sz w:val="20"/>
          <w:szCs w:val="20"/>
        </w:rPr>
      </w:pPr>
      <w:r w:rsidRPr="004E5BF4">
        <w:rPr>
          <w:rFonts w:ascii="Arial Narrow" w:eastAsia="Times New Roman" w:hAnsi="Arial Narrow" w:cs="Arial"/>
          <w:snapToGrid w:val="0"/>
          <w:sz w:val="18"/>
          <w:szCs w:val="18"/>
        </w:rPr>
        <w:t xml:space="preserve">Source: </w:t>
      </w:r>
      <w:r w:rsidR="00663381">
        <w:rPr>
          <w:rFonts w:ascii="Arial Narrow" w:eastAsia="Times New Roman" w:hAnsi="Arial Narrow" w:cs="Arial"/>
          <w:snapToGrid w:val="0"/>
          <w:sz w:val="18"/>
          <w:szCs w:val="18"/>
        </w:rPr>
        <w:t xml:space="preserve">Calculated for the Departmental Overview using the </w:t>
      </w:r>
      <w:r w:rsidR="00BC5AD3" w:rsidRPr="004E5BF4">
        <w:rPr>
          <w:rFonts w:ascii="Arial Narrow" w:eastAsia="Times New Roman" w:hAnsi="Arial Narrow" w:cs="Arial"/>
          <w:snapToGrid w:val="0"/>
          <w:sz w:val="18"/>
          <w:szCs w:val="18"/>
        </w:rPr>
        <w:t xml:space="preserve">PSCR revised financial estimates. </w:t>
      </w:r>
    </w:p>
    <w:p w14:paraId="53376410" w14:textId="60AF27C3" w:rsidR="00C80F44" w:rsidRDefault="00D44C2F" w:rsidP="00C80F44">
      <w:pPr>
        <w:spacing w:before="0" w:after="120" w:line="240" w:lineRule="auto"/>
        <w:contextualSpacing/>
        <w:rPr>
          <w:rFonts w:ascii="Arial Narrow" w:hAnsi="Arial Narrow" w:cs="Arial"/>
          <w:sz w:val="20"/>
          <w:szCs w:val="20"/>
        </w:rPr>
      </w:pPr>
      <w:r w:rsidRPr="00487719">
        <w:rPr>
          <w:rFonts w:ascii="Arial Narrow" w:eastAsia="Times New Roman" w:hAnsi="Arial Narrow" w:cs="Arial"/>
          <w:snapToGrid w:val="0"/>
          <w:sz w:val="18"/>
          <w:lang w:eastAsia="en-AU"/>
        </w:rPr>
        <w:t xml:space="preserve">gBRCA = germline breast cancer gene; GPG = Greatest Permissible Gap; </w:t>
      </w:r>
      <w:r>
        <w:rPr>
          <w:rFonts w:ascii="Arial Narrow" w:eastAsia="Times New Roman" w:hAnsi="Arial Narrow" w:cs="Arial"/>
          <w:snapToGrid w:val="0"/>
          <w:sz w:val="18"/>
          <w:lang w:eastAsia="en-AU"/>
        </w:rPr>
        <w:t xml:space="preserve">PSCR = PBAC pre-sub-committee response; </w:t>
      </w:r>
      <w:r w:rsidR="00690E5F">
        <w:rPr>
          <w:rFonts w:ascii="Arial Narrow" w:hAnsi="Arial Narrow" w:cs="Arial"/>
          <w:sz w:val="20"/>
          <w:szCs w:val="20"/>
        </w:rPr>
        <w:br/>
      </w:r>
      <w:r w:rsidR="00690E5F">
        <w:rPr>
          <w:rFonts w:ascii="Arial Narrow" w:hAnsi="Arial Narrow" w:cs="Arial"/>
          <w:sz w:val="20"/>
          <w:szCs w:val="20"/>
          <w:vertAlign w:val="superscript"/>
        </w:rPr>
        <w:t>a</w:t>
      </w:r>
      <w:r w:rsidR="00690E5F">
        <w:rPr>
          <w:rFonts w:ascii="Arial Narrow" w:hAnsi="Arial Narrow" w:cs="Arial"/>
          <w:sz w:val="20"/>
          <w:szCs w:val="20"/>
        </w:rPr>
        <w:t xml:space="preserve"> </w:t>
      </w:r>
      <w:r w:rsidR="00E444C3">
        <w:rPr>
          <w:rFonts w:ascii="Arial Narrow" w:hAnsi="Arial Narrow" w:cs="Arial"/>
          <w:sz w:val="20"/>
          <w:szCs w:val="20"/>
        </w:rPr>
        <w:t xml:space="preserve">Att_3 of the PSCR, </w:t>
      </w:r>
      <w:r w:rsidR="00BC5AD3">
        <w:rPr>
          <w:rFonts w:ascii="Arial Narrow" w:hAnsi="Arial Narrow" w:cs="Arial"/>
          <w:sz w:val="20"/>
          <w:szCs w:val="20"/>
        </w:rPr>
        <w:t xml:space="preserve">‘Calculation’ </w:t>
      </w:r>
      <w:r w:rsidR="00E444C3">
        <w:rPr>
          <w:rFonts w:ascii="Arial Narrow" w:hAnsi="Arial Narrow" w:cs="Arial"/>
          <w:sz w:val="20"/>
          <w:szCs w:val="20"/>
        </w:rPr>
        <w:t>rows</w:t>
      </w:r>
      <w:r w:rsidR="00F27B9A">
        <w:rPr>
          <w:rFonts w:ascii="Arial Narrow" w:hAnsi="Arial Narrow" w:cs="Arial"/>
          <w:sz w:val="20"/>
          <w:szCs w:val="20"/>
        </w:rPr>
        <w:t xml:space="preserve"> 3</w:t>
      </w:r>
      <w:r w:rsidR="00A72400">
        <w:rPr>
          <w:rFonts w:ascii="Arial Narrow" w:hAnsi="Arial Narrow" w:cs="Arial"/>
          <w:sz w:val="20"/>
          <w:szCs w:val="20"/>
        </w:rPr>
        <w:t>5</w:t>
      </w:r>
      <w:r w:rsidR="00F27B9A">
        <w:rPr>
          <w:rFonts w:ascii="Arial Narrow" w:hAnsi="Arial Narrow" w:cs="Arial"/>
          <w:sz w:val="20"/>
          <w:szCs w:val="20"/>
        </w:rPr>
        <w:t>+ 4</w:t>
      </w:r>
      <w:r w:rsidR="00A72400">
        <w:rPr>
          <w:rFonts w:ascii="Arial Narrow" w:hAnsi="Arial Narrow" w:cs="Arial"/>
          <w:sz w:val="20"/>
          <w:szCs w:val="20"/>
        </w:rPr>
        <w:t>8</w:t>
      </w:r>
      <w:r w:rsidR="0066212E">
        <w:rPr>
          <w:rFonts w:ascii="Arial Narrow" w:hAnsi="Arial Narrow" w:cs="Arial"/>
          <w:sz w:val="20"/>
          <w:szCs w:val="20"/>
        </w:rPr>
        <w:br/>
      </w:r>
      <w:r w:rsidR="0066212E">
        <w:rPr>
          <w:rFonts w:ascii="Arial Narrow" w:hAnsi="Arial Narrow" w:cs="Arial"/>
          <w:sz w:val="20"/>
          <w:szCs w:val="20"/>
          <w:vertAlign w:val="superscript"/>
        </w:rPr>
        <w:t>b</w:t>
      </w:r>
      <w:r w:rsidR="0066212E">
        <w:rPr>
          <w:rFonts w:ascii="Arial Narrow" w:hAnsi="Arial Narrow" w:cs="Arial"/>
          <w:sz w:val="20"/>
          <w:szCs w:val="20"/>
        </w:rPr>
        <w:t xml:space="preserve"> </w:t>
      </w:r>
      <w:r w:rsidR="00A0370C">
        <w:rPr>
          <w:rFonts w:ascii="Arial Narrow" w:hAnsi="Arial Narrow" w:cs="Arial"/>
          <w:sz w:val="20"/>
          <w:szCs w:val="20"/>
        </w:rPr>
        <w:t xml:space="preserve">2022 utilisation of MBS item </w:t>
      </w:r>
      <w:r w:rsidR="00A0370C" w:rsidRPr="00A0370C">
        <w:rPr>
          <w:rFonts w:ascii="Arial Narrow" w:hAnsi="Arial Narrow" w:cs="Arial"/>
          <w:sz w:val="20"/>
          <w:szCs w:val="20"/>
        </w:rPr>
        <w:t>73296</w:t>
      </w:r>
      <w:r w:rsidR="00A0370C">
        <w:rPr>
          <w:rFonts w:ascii="Arial Narrow" w:hAnsi="Arial Narrow" w:cs="Arial"/>
          <w:sz w:val="20"/>
          <w:szCs w:val="20"/>
        </w:rPr>
        <w:t xml:space="preserve"> inflated by change in incidence of breast</w:t>
      </w:r>
      <w:r w:rsidR="0051626C">
        <w:rPr>
          <w:rFonts w:ascii="Arial Narrow" w:hAnsi="Arial Narrow" w:cs="Arial"/>
          <w:sz w:val="20"/>
          <w:szCs w:val="20"/>
        </w:rPr>
        <w:t xml:space="preserve"> cancer. Calculated as </w:t>
      </w:r>
      <w:r w:rsidR="00CD31D8" w:rsidRPr="00CD31D8">
        <w:rPr>
          <w:rFonts w:ascii="Arial Narrow" w:hAnsi="Arial Narrow" w:cs="Arial"/>
          <w:sz w:val="20"/>
          <w:szCs w:val="20"/>
        </w:rPr>
        <w:t>3529</w:t>
      </w:r>
      <w:r w:rsidR="00CD31D8">
        <w:rPr>
          <w:rFonts w:ascii="Arial Narrow" w:hAnsi="Arial Narrow" w:cs="Arial"/>
          <w:sz w:val="20"/>
          <w:szCs w:val="20"/>
        </w:rPr>
        <w:t>x</w:t>
      </w:r>
      <w:r w:rsidR="00CD31D8" w:rsidRPr="00CD31D8">
        <w:rPr>
          <w:rFonts w:ascii="Arial Narrow" w:hAnsi="Arial Narrow" w:cs="Arial"/>
          <w:sz w:val="20"/>
          <w:szCs w:val="20"/>
        </w:rPr>
        <w:t>(D25/C25)</w:t>
      </w:r>
      <w:r w:rsidR="00CD31D8">
        <w:rPr>
          <w:rFonts w:ascii="Arial Narrow" w:hAnsi="Arial Narrow" w:cs="Arial"/>
          <w:sz w:val="20"/>
          <w:szCs w:val="20"/>
        </w:rPr>
        <w:t xml:space="preserve"> for Year 1. </w:t>
      </w:r>
      <w:r>
        <w:rPr>
          <w:rFonts w:ascii="Arial Narrow" w:hAnsi="Arial Narrow" w:cs="Arial"/>
          <w:sz w:val="20"/>
          <w:szCs w:val="20"/>
        </w:rPr>
        <w:br/>
      </w:r>
      <w:r>
        <w:rPr>
          <w:rFonts w:ascii="Arial Narrow" w:hAnsi="Arial Narrow" w:cs="Arial"/>
          <w:sz w:val="20"/>
          <w:szCs w:val="20"/>
          <w:vertAlign w:val="superscript"/>
        </w:rPr>
        <w:t>c</w:t>
      </w:r>
      <w:r w:rsidR="00C80F44">
        <w:rPr>
          <w:rFonts w:ascii="Arial Narrow" w:hAnsi="Arial Narrow" w:cs="Arial"/>
          <w:sz w:val="20"/>
          <w:szCs w:val="20"/>
          <w:vertAlign w:val="superscript"/>
        </w:rPr>
        <w:t xml:space="preserve"> </w:t>
      </w:r>
      <w:r w:rsidR="00C80F44" w:rsidRPr="004E5BF4">
        <w:rPr>
          <w:rFonts w:ascii="Arial Narrow" w:hAnsi="Arial Narrow" w:cs="Arial"/>
          <w:sz w:val="20"/>
          <w:szCs w:val="20"/>
        </w:rPr>
        <w:t>$906.80</w:t>
      </w:r>
      <w:r w:rsidR="00C80F44">
        <w:rPr>
          <w:rFonts w:ascii="Arial Narrow" w:hAnsi="Arial Narrow" w:cs="Arial"/>
          <w:sz w:val="20"/>
          <w:szCs w:val="20"/>
        </w:rPr>
        <w:t xml:space="preserve"> cost to MBS per test </w:t>
      </w:r>
      <w:r w:rsidR="00CF3D76">
        <w:rPr>
          <w:rFonts w:ascii="Arial Narrow" w:hAnsi="Arial Narrow" w:cs="Arial"/>
          <w:sz w:val="20"/>
          <w:szCs w:val="20"/>
        </w:rPr>
        <w:t xml:space="preserve">based on GPG of </w:t>
      </w:r>
      <w:r w:rsidR="00CF3D76" w:rsidRPr="00CF3D76">
        <w:rPr>
          <w:rFonts w:ascii="Arial Narrow" w:hAnsi="Arial Narrow" w:cs="Arial"/>
          <w:sz w:val="20"/>
          <w:szCs w:val="20"/>
        </w:rPr>
        <w:t>$93.20</w:t>
      </w:r>
    </w:p>
    <w:p w14:paraId="594AA595" w14:textId="3852D2EB" w:rsidR="00FD72BF" w:rsidRDefault="00FD72BF" w:rsidP="00C80F44">
      <w:pPr>
        <w:spacing w:before="0" w:after="120" w:line="240" w:lineRule="auto"/>
        <w:contextualSpacing/>
        <w:rPr>
          <w:rFonts w:ascii="Arial Narrow" w:hAnsi="Arial Narrow" w:cs="Arial"/>
          <w:sz w:val="20"/>
          <w:szCs w:val="20"/>
        </w:rPr>
      </w:pPr>
      <w:r>
        <w:rPr>
          <w:rFonts w:ascii="Arial Narrow" w:hAnsi="Arial Narrow" w:cs="Arial"/>
          <w:sz w:val="20"/>
          <w:szCs w:val="20"/>
          <w:vertAlign w:val="superscript"/>
        </w:rPr>
        <w:t>d</w:t>
      </w:r>
      <w:r>
        <w:rPr>
          <w:rFonts w:ascii="Arial Narrow" w:hAnsi="Arial Narrow" w:cs="Arial"/>
          <w:sz w:val="20"/>
          <w:szCs w:val="20"/>
        </w:rPr>
        <w:t xml:space="preserve"> </w:t>
      </w:r>
      <w:r w:rsidR="00AB2A2E">
        <w:rPr>
          <w:rFonts w:ascii="Arial Narrow" w:hAnsi="Arial Narrow" w:cs="Arial"/>
          <w:sz w:val="20"/>
          <w:szCs w:val="20"/>
        </w:rPr>
        <w:t>As estimated in the submission. Likely overestimate</w:t>
      </w:r>
    </w:p>
    <w:p w14:paraId="6934B22F" w14:textId="2A3CE9D6" w:rsidR="00AB2A2E" w:rsidRDefault="00AB2A2E" w:rsidP="00C80F44">
      <w:pPr>
        <w:spacing w:before="0" w:after="120" w:line="240" w:lineRule="auto"/>
        <w:contextualSpacing/>
        <w:rPr>
          <w:rFonts w:ascii="Arial Narrow" w:hAnsi="Arial Narrow" w:cs="Arial"/>
          <w:sz w:val="20"/>
          <w:szCs w:val="20"/>
        </w:rPr>
      </w:pPr>
      <w:r>
        <w:rPr>
          <w:rFonts w:ascii="Arial Narrow" w:hAnsi="Arial Narrow" w:cs="Arial"/>
          <w:sz w:val="20"/>
          <w:szCs w:val="20"/>
          <w:vertAlign w:val="superscript"/>
        </w:rPr>
        <w:t>e</w:t>
      </w:r>
      <w:r>
        <w:rPr>
          <w:rFonts w:ascii="Arial Narrow" w:hAnsi="Arial Narrow" w:cs="Arial"/>
          <w:sz w:val="20"/>
          <w:szCs w:val="20"/>
        </w:rPr>
        <w:t xml:space="preserve"> </w:t>
      </w:r>
      <w:r w:rsidR="00225B2D">
        <w:rPr>
          <w:rFonts w:ascii="Arial Narrow" w:hAnsi="Arial Narrow" w:cs="Arial"/>
          <w:sz w:val="20"/>
          <w:szCs w:val="20"/>
        </w:rPr>
        <w:t xml:space="preserve">Number of first degree relatives based on </w:t>
      </w:r>
      <w:hyperlink r:id="rId28" w:history="1">
        <w:r w:rsidR="00225B2D" w:rsidRPr="007737E7">
          <w:rPr>
            <w:rStyle w:val="Hyperlink"/>
            <w:rFonts w:ascii="Arial Narrow" w:hAnsi="Arial Narrow" w:cs="Arial"/>
            <w:sz w:val="20"/>
            <w:szCs w:val="20"/>
          </w:rPr>
          <w:t>Application 1411.1 Economic evaluation report</w:t>
        </w:r>
      </w:hyperlink>
      <w:r w:rsidR="00225B2D">
        <w:rPr>
          <w:rFonts w:ascii="Arial Narrow" w:hAnsi="Arial Narrow" w:cs="Arial"/>
          <w:sz w:val="20"/>
          <w:szCs w:val="20"/>
        </w:rPr>
        <w:t xml:space="preserve"> (p5). </w:t>
      </w:r>
    </w:p>
    <w:p w14:paraId="3C50CC16" w14:textId="1E2BF782" w:rsidR="00D44C2F" w:rsidRDefault="00F76D89" w:rsidP="004E5BF4">
      <w:pPr>
        <w:spacing w:before="0" w:after="120" w:line="240" w:lineRule="auto"/>
        <w:contextualSpacing/>
        <w:rPr>
          <w:rFonts w:ascii="Arial Narrow" w:hAnsi="Arial Narrow" w:cs="Arial"/>
          <w:sz w:val="20"/>
          <w:szCs w:val="20"/>
        </w:rPr>
      </w:pPr>
      <w:r w:rsidRPr="004E5BF4">
        <w:rPr>
          <w:rFonts w:ascii="Arial Narrow" w:hAnsi="Arial Narrow" w:cs="Arial"/>
          <w:sz w:val="20"/>
          <w:szCs w:val="20"/>
          <w:vertAlign w:val="superscript"/>
        </w:rPr>
        <w:t>f</w:t>
      </w:r>
      <w:r>
        <w:rPr>
          <w:rFonts w:ascii="Arial Narrow" w:hAnsi="Arial Narrow" w:cs="Arial"/>
          <w:sz w:val="20"/>
          <w:szCs w:val="20"/>
          <w:vertAlign w:val="superscript"/>
        </w:rPr>
        <w:t xml:space="preserve"> </w:t>
      </w:r>
      <w:r w:rsidR="007F52A1">
        <w:rPr>
          <w:rFonts w:ascii="Arial Narrow" w:hAnsi="Arial Narrow" w:cs="Arial"/>
          <w:sz w:val="20"/>
          <w:szCs w:val="20"/>
        </w:rPr>
        <w:t xml:space="preserve">MBS item </w:t>
      </w:r>
      <w:r w:rsidR="004E5BF4" w:rsidRPr="004E5BF4">
        <w:rPr>
          <w:rFonts w:ascii="Arial Narrow" w:hAnsi="Arial Narrow" w:cs="Arial"/>
          <w:sz w:val="20"/>
          <w:szCs w:val="20"/>
        </w:rPr>
        <w:t>73302</w:t>
      </w:r>
    </w:p>
    <w:p w14:paraId="072205F3" w14:textId="77777777" w:rsidR="00392DD0" w:rsidRPr="00443AEA" w:rsidRDefault="00392DD0" w:rsidP="00392DD0">
      <w:pPr>
        <w:spacing w:before="0" w:after="120" w:line="240" w:lineRule="auto"/>
        <w:contextualSpacing/>
        <w:jc w:val="both"/>
        <w:rPr>
          <w:rFonts w:ascii="Arial Narrow" w:eastAsia="Times New Roman" w:hAnsi="Arial Narrow" w:cs="Arial"/>
          <w:i/>
          <w:iCs/>
          <w:snapToGrid w:val="0"/>
          <w:sz w:val="18"/>
          <w:lang w:eastAsia="en-AU"/>
        </w:rPr>
      </w:pPr>
      <w:r w:rsidRPr="00443AEA">
        <w:rPr>
          <w:rFonts w:ascii="Arial Narrow" w:eastAsia="Times New Roman" w:hAnsi="Arial Narrow" w:cs="Arial"/>
          <w:i/>
          <w:iCs/>
          <w:snapToGrid w:val="0"/>
          <w:sz w:val="18"/>
          <w:lang w:eastAsia="en-AU"/>
        </w:rPr>
        <w:t xml:space="preserve">The redacted values correspond to the following ranges: </w:t>
      </w:r>
    </w:p>
    <w:p w14:paraId="3F4AF1D3" w14:textId="2F2F8EC5" w:rsidR="00392DD0" w:rsidRPr="00DD2938" w:rsidRDefault="00392DD0" w:rsidP="00392DD0">
      <w:pPr>
        <w:spacing w:before="0" w:after="120" w:line="240" w:lineRule="auto"/>
        <w:contextualSpacing/>
        <w:jc w:val="both"/>
        <w:rPr>
          <w:rFonts w:ascii="Arial Narrow" w:eastAsia="Times New Roman" w:hAnsi="Arial Narrow" w:cs="Arial"/>
          <w:i/>
          <w:iCs/>
          <w:snapToGrid w:val="0"/>
          <w:sz w:val="18"/>
          <w:lang w:eastAsia="en-AU"/>
        </w:rPr>
      </w:pPr>
      <w:r w:rsidRPr="00DD2938">
        <w:rPr>
          <w:rFonts w:ascii="Arial Narrow" w:eastAsia="Times New Roman" w:hAnsi="Arial Narrow" w:cs="Arial"/>
          <w:i/>
          <w:iCs/>
          <w:snapToGrid w:val="0"/>
          <w:sz w:val="18"/>
          <w:vertAlign w:val="superscript"/>
          <w:lang w:eastAsia="en-AU"/>
        </w:rPr>
        <w:t>1</w:t>
      </w:r>
      <w:r w:rsidRPr="00DD2938">
        <w:rPr>
          <w:rFonts w:ascii="Arial Narrow" w:eastAsia="Times New Roman" w:hAnsi="Arial Narrow" w:cs="Arial"/>
          <w:i/>
          <w:iCs/>
          <w:snapToGrid w:val="0"/>
          <w:sz w:val="18"/>
          <w:lang w:eastAsia="en-AU"/>
        </w:rPr>
        <w:t xml:space="preserve"> 5,000 to &lt; 10,000</w:t>
      </w:r>
      <w:r>
        <w:rPr>
          <w:rFonts w:ascii="Arial Narrow" w:eastAsia="Times New Roman" w:hAnsi="Arial Narrow" w:cs="Arial"/>
          <w:i/>
          <w:iCs/>
          <w:snapToGrid w:val="0"/>
          <w:sz w:val="18"/>
          <w:lang w:eastAsia="en-AU"/>
        </w:rPr>
        <w:t xml:space="preserve"> </w:t>
      </w:r>
    </w:p>
    <w:p w14:paraId="56DC8F5A" w14:textId="77777777" w:rsidR="00392DD0" w:rsidRDefault="00392DD0" w:rsidP="00392DD0">
      <w:pPr>
        <w:spacing w:before="0" w:after="120" w:line="240" w:lineRule="auto"/>
        <w:contextualSpacing/>
        <w:jc w:val="both"/>
        <w:rPr>
          <w:rFonts w:ascii="Arial Narrow" w:eastAsia="Times New Roman" w:hAnsi="Arial Narrow" w:cs="Arial"/>
          <w:i/>
          <w:iCs/>
          <w:snapToGrid w:val="0"/>
          <w:sz w:val="18"/>
          <w:lang w:eastAsia="en-AU"/>
        </w:rPr>
      </w:pPr>
      <w:r w:rsidRPr="00DD2938">
        <w:rPr>
          <w:rFonts w:ascii="Arial Narrow" w:eastAsia="Times New Roman" w:hAnsi="Arial Narrow" w:cs="Arial"/>
          <w:i/>
          <w:iCs/>
          <w:snapToGrid w:val="0"/>
          <w:sz w:val="18"/>
          <w:vertAlign w:val="superscript"/>
          <w:lang w:eastAsia="en-AU"/>
        </w:rPr>
        <w:t>2</w:t>
      </w:r>
      <w:r w:rsidRPr="00DD2938">
        <w:rPr>
          <w:rFonts w:ascii="Arial Narrow" w:eastAsia="Times New Roman" w:hAnsi="Arial Narrow" w:cs="Arial"/>
          <w:i/>
          <w:iCs/>
          <w:snapToGrid w:val="0"/>
          <w:sz w:val="18"/>
          <w:lang w:eastAsia="en-AU"/>
        </w:rPr>
        <w:t xml:space="preserve"> </w:t>
      </w:r>
      <w:r w:rsidRPr="00392DD0">
        <w:rPr>
          <w:rFonts w:ascii="Arial Narrow" w:eastAsia="Times New Roman" w:hAnsi="Arial Narrow" w:cs="Arial"/>
          <w:i/>
          <w:iCs/>
          <w:snapToGrid w:val="0"/>
          <w:sz w:val="18"/>
          <w:lang w:eastAsia="en-AU"/>
        </w:rPr>
        <w:t>10,000 to &lt; 20,000</w:t>
      </w:r>
    </w:p>
    <w:p w14:paraId="6A3474ED" w14:textId="54655014" w:rsidR="00392DD0" w:rsidRPr="00DD2938" w:rsidRDefault="00392DD0" w:rsidP="00392DD0">
      <w:pPr>
        <w:spacing w:before="0" w:after="120" w:line="240" w:lineRule="auto"/>
        <w:contextualSpacing/>
        <w:jc w:val="both"/>
        <w:rPr>
          <w:rFonts w:ascii="Arial Narrow" w:eastAsia="Times New Roman" w:hAnsi="Arial Narrow" w:cs="Arial"/>
          <w:i/>
          <w:iCs/>
          <w:snapToGrid w:val="0"/>
          <w:sz w:val="18"/>
          <w:lang w:eastAsia="en-AU"/>
        </w:rPr>
      </w:pPr>
      <w:r>
        <w:rPr>
          <w:rFonts w:ascii="Arial Narrow" w:eastAsia="Times New Roman" w:hAnsi="Arial Narrow" w:cs="Arial"/>
          <w:i/>
          <w:iCs/>
          <w:snapToGrid w:val="0"/>
          <w:sz w:val="18"/>
          <w:vertAlign w:val="superscript"/>
          <w:lang w:eastAsia="en-AU"/>
        </w:rPr>
        <w:t>3</w:t>
      </w:r>
      <w:r w:rsidRPr="00DD2938">
        <w:rPr>
          <w:rFonts w:ascii="Arial Narrow" w:eastAsia="Times New Roman" w:hAnsi="Arial Narrow" w:cs="Arial"/>
          <w:i/>
          <w:iCs/>
          <w:snapToGrid w:val="0"/>
          <w:sz w:val="18"/>
          <w:vertAlign w:val="superscript"/>
          <w:lang w:eastAsia="en-AU"/>
        </w:rPr>
        <w:t xml:space="preserve"> </w:t>
      </w:r>
      <w:r w:rsidRPr="00392DD0">
        <w:rPr>
          <w:rFonts w:ascii="Arial Narrow" w:eastAsia="Times New Roman" w:hAnsi="Arial Narrow" w:cs="Arial"/>
          <w:i/>
          <w:iCs/>
          <w:snapToGrid w:val="0"/>
          <w:sz w:val="18"/>
          <w:lang w:eastAsia="en-AU"/>
        </w:rPr>
        <w:t>500 to &lt; 5,000</w:t>
      </w:r>
      <w:r>
        <w:rPr>
          <w:rFonts w:ascii="Arial Narrow" w:eastAsia="Times New Roman" w:hAnsi="Arial Narrow" w:cs="Arial"/>
          <w:i/>
          <w:iCs/>
          <w:snapToGrid w:val="0"/>
          <w:sz w:val="18"/>
          <w:lang w:eastAsia="en-AU"/>
        </w:rPr>
        <w:t xml:space="preserve"> </w:t>
      </w:r>
    </w:p>
    <w:p w14:paraId="56A4B0DE" w14:textId="4687B252" w:rsidR="00392DD0" w:rsidRPr="005816DD" w:rsidRDefault="00392DD0" w:rsidP="005816DD">
      <w:pPr>
        <w:spacing w:before="0" w:after="120" w:line="240" w:lineRule="auto"/>
        <w:contextualSpacing/>
        <w:jc w:val="both"/>
        <w:rPr>
          <w:rFonts w:ascii="Arial Narrow" w:eastAsia="Times New Roman" w:hAnsi="Arial Narrow" w:cs="Arial"/>
          <w:i/>
          <w:iCs/>
          <w:snapToGrid w:val="0"/>
          <w:sz w:val="18"/>
          <w:lang w:eastAsia="en-AU"/>
        </w:rPr>
      </w:pPr>
      <w:r>
        <w:rPr>
          <w:rFonts w:ascii="Arial Narrow" w:eastAsia="Times New Roman" w:hAnsi="Arial Narrow" w:cs="Arial"/>
          <w:i/>
          <w:iCs/>
          <w:snapToGrid w:val="0"/>
          <w:sz w:val="18"/>
          <w:vertAlign w:val="superscript"/>
          <w:lang w:eastAsia="en-AU"/>
        </w:rPr>
        <w:t xml:space="preserve">4 </w:t>
      </w:r>
      <w:r w:rsidRPr="00443AEA">
        <w:rPr>
          <w:rFonts w:ascii="Arial Narrow" w:eastAsia="Times New Roman" w:hAnsi="Arial Narrow" w:cs="Arial"/>
          <w:i/>
          <w:iCs/>
          <w:snapToGrid w:val="0"/>
          <w:sz w:val="18"/>
          <w:lang w:eastAsia="en-AU"/>
        </w:rPr>
        <w:t>$0 to &lt; $10 million</w:t>
      </w:r>
    </w:p>
    <w:p w14:paraId="7838A9FF" w14:textId="7939E73F" w:rsidR="00772829" w:rsidRPr="00CE28E3" w:rsidRDefault="00C36633" w:rsidP="002A18BE">
      <w:pPr>
        <w:pStyle w:val="Heading2"/>
        <w:numPr>
          <w:ilvl w:val="0"/>
          <w:numId w:val="0"/>
        </w:numPr>
      </w:pPr>
      <w:bookmarkStart w:id="46" w:name="_Toc69491427"/>
      <w:r>
        <w:lastRenderedPageBreak/>
        <w:t>1</w:t>
      </w:r>
      <w:r w:rsidR="002A71BA">
        <w:t>5</w:t>
      </w:r>
      <w:r>
        <w:t>.</w:t>
      </w:r>
      <w:r>
        <w:tab/>
      </w:r>
      <w:r w:rsidR="00772829" w:rsidRPr="00CE28E3">
        <w:t xml:space="preserve">Other relevant </w:t>
      </w:r>
      <w:bookmarkEnd w:id="46"/>
      <w:r w:rsidR="00FA5766">
        <w:t>information</w:t>
      </w:r>
    </w:p>
    <w:p w14:paraId="494DC5C1" w14:textId="594E30DB" w:rsidR="0016761B" w:rsidRPr="0016761B" w:rsidRDefault="00F22C2E" w:rsidP="0016761B">
      <w:pPr>
        <w:pStyle w:val="Instructionaltext"/>
        <w:rPr>
          <w:color w:val="auto"/>
        </w:rPr>
      </w:pPr>
      <w:r w:rsidRPr="00F22C2E">
        <w:rPr>
          <w:color w:val="auto"/>
        </w:rPr>
        <w:t>Nil</w:t>
      </w:r>
    </w:p>
    <w:p w14:paraId="1C7ADA1C" w14:textId="6020118A" w:rsidR="002A71BA" w:rsidRDefault="002A71BA" w:rsidP="002A71BA">
      <w:pPr>
        <w:pStyle w:val="Heading2"/>
        <w:numPr>
          <w:ilvl w:val="0"/>
          <w:numId w:val="0"/>
        </w:numPr>
      </w:pPr>
      <w:r>
        <w:lastRenderedPageBreak/>
        <w:t>16.</w:t>
      </w:r>
      <w:r>
        <w:tab/>
        <w:t>Key issues from ESC to MSAC</w:t>
      </w:r>
    </w:p>
    <w:tbl>
      <w:tblPr>
        <w:tblStyle w:val="TableGrid"/>
        <w:tblW w:w="0" w:type="auto"/>
        <w:tblLook w:val="04A0" w:firstRow="1" w:lastRow="0" w:firstColumn="1" w:lastColumn="0" w:noHBand="0" w:noVBand="1"/>
      </w:tblPr>
      <w:tblGrid>
        <w:gridCol w:w="9016"/>
      </w:tblGrid>
      <w:tr w:rsidR="002A71BA" w:rsidRPr="00CE28E3" w14:paraId="5EB62E53" w14:textId="77777777" w:rsidTr="00D12C5B">
        <w:tc>
          <w:tcPr>
            <w:tcW w:w="9016" w:type="dxa"/>
          </w:tcPr>
          <w:p w14:paraId="2CF2DB0C" w14:textId="77777777" w:rsidR="002A71BA" w:rsidRPr="008967C4" w:rsidRDefault="002A71BA" w:rsidP="00D12C5B">
            <w:pPr>
              <w:spacing w:before="240" w:after="240"/>
              <w:rPr>
                <w:b/>
                <w:bCs/>
                <w:sz w:val="24"/>
                <w:szCs w:val="24"/>
              </w:rPr>
            </w:pPr>
            <w:r w:rsidRPr="008967C4">
              <w:rPr>
                <w:b/>
                <w:bCs/>
                <w:sz w:val="24"/>
                <w:szCs w:val="24"/>
              </w:rPr>
              <w:t xml:space="preserve">Main issues for MSAC consideration </w:t>
            </w:r>
          </w:p>
          <w:p w14:paraId="7BCA36EB" w14:textId="77777777" w:rsidR="002A71BA" w:rsidRDefault="002A71BA" w:rsidP="00D12C5B">
            <w:pPr>
              <w:rPr>
                <w:b/>
              </w:rPr>
            </w:pPr>
            <w:r w:rsidRPr="00CE28E3">
              <w:rPr>
                <w:b/>
              </w:rPr>
              <w:t>Clinical issues:</w:t>
            </w:r>
          </w:p>
          <w:p w14:paraId="17A9D43A" w14:textId="77777777" w:rsidR="002A71BA" w:rsidRPr="004E5BF4" w:rsidRDefault="002A71BA" w:rsidP="00D12C5B">
            <w:pPr>
              <w:pStyle w:val="ListParagraph"/>
              <w:numPr>
                <w:ilvl w:val="0"/>
                <w:numId w:val="31"/>
              </w:numPr>
              <w:spacing w:before="0" w:line="256" w:lineRule="auto"/>
              <w:ind w:left="720" w:hanging="411"/>
              <w:rPr>
                <w:rFonts w:eastAsia="Calibri" w:cs="Times New Roman"/>
              </w:rPr>
            </w:pPr>
            <w:r>
              <w:rPr>
                <w:rFonts w:eastAsia="Calibri" w:cs="Times New Roman"/>
              </w:rPr>
              <w:t xml:space="preserve">The key trial (OlympiA) enrolled people with early breast cancer who have germline </w:t>
            </w:r>
            <w:r w:rsidRPr="0002652C">
              <w:rPr>
                <w:rFonts w:eastAsia="Calibri" w:cs="Times New Roman"/>
              </w:rPr>
              <w:t xml:space="preserve">pathogenic or likely pathogenic variants in </w:t>
            </w:r>
            <w:r w:rsidRPr="00027FC2">
              <w:rPr>
                <w:rFonts w:eastAsia="Calibri" w:cs="Times New Roman"/>
                <w:i/>
                <w:iCs/>
              </w:rPr>
              <w:t>BRCA</w:t>
            </w:r>
            <w:r w:rsidRPr="0002652C">
              <w:rPr>
                <w:rFonts w:eastAsia="Calibri" w:cs="Times New Roman"/>
              </w:rPr>
              <w:t xml:space="preserve">1 or </w:t>
            </w:r>
            <w:r w:rsidRPr="00027FC2">
              <w:rPr>
                <w:rFonts w:eastAsia="Calibri" w:cs="Times New Roman"/>
                <w:i/>
                <w:iCs/>
              </w:rPr>
              <w:t>BRCA</w:t>
            </w:r>
            <w:r w:rsidRPr="0002652C">
              <w:rPr>
                <w:rFonts w:eastAsia="Calibri" w:cs="Times New Roman"/>
              </w:rPr>
              <w:t>2</w:t>
            </w:r>
            <w:r>
              <w:rPr>
                <w:rFonts w:eastAsia="Calibri" w:cs="Times New Roman"/>
              </w:rPr>
              <w:t xml:space="preserve"> (g</w:t>
            </w:r>
            <w:r w:rsidRPr="004E5BF4">
              <w:rPr>
                <w:rFonts w:eastAsia="Calibri" w:cs="Times New Roman"/>
                <w:i/>
                <w:iCs/>
              </w:rPr>
              <w:t>BRCA</w:t>
            </w:r>
            <w:r>
              <w:rPr>
                <w:rFonts w:eastAsia="Calibri" w:cs="Times New Roman"/>
              </w:rPr>
              <w:t xml:space="preserve">1/2). Therefore, submission did not </w:t>
            </w:r>
            <w:r w:rsidRPr="009C7F8A">
              <w:t xml:space="preserve">present evidence on the treatment effect of </w:t>
            </w:r>
            <w:r>
              <w:t>olaparib</w:t>
            </w:r>
            <w:r w:rsidRPr="009C7F8A">
              <w:t xml:space="preserve"> + </w:t>
            </w:r>
            <w:r>
              <w:t>bevacizumab</w:t>
            </w:r>
            <w:r w:rsidRPr="009C7F8A">
              <w:t xml:space="preserve"> for patients who were </w:t>
            </w:r>
            <w:r>
              <w:t>g</w:t>
            </w:r>
            <w:r w:rsidRPr="004E5BF4">
              <w:rPr>
                <w:i/>
                <w:iCs/>
              </w:rPr>
              <w:t>BRCA</w:t>
            </w:r>
            <w:r>
              <w:t xml:space="preserve">1/2 </w:t>
            </w:r>
            <w:r w:rsidRPr="009C7F8A">
              <w:t xml:space="preserve">positive versus patients who were not </w:t>
            </w:r>
            <w:r>
              <w:t>g</w:t>
            </w:r>
            <w:r w:rsidRPr="004E5BF4">
              <w:rPr>
                <w:i/>
                <w:iCs/>
              </w:rPr>
              <w:t>BRCA</w:t>
            </w:r>
            <w:r>
              <w:t>1/2</w:t>
            </w:r>
            <w:r w:rsidRPr="009C7F8A">
              <w:t xml:space="preserve"> positive. Thus, an estimate of the variation in this treatment effect due to </w:t>
            </w:r>
            <w:r>
              <w:t>g</w:t>
            </w:r>
            <w:r w:rsidRPr="004E5BF4">
              <w:rPr>
                <w:i/>
                <w:iCs/>
              </w:rPr>
              <w:t>BRCA</w:t>
            </w:r>
            <w:r>
              <w:t>1/2</w:t>
            </w:r>
            <w:r w:rsidRPr="009C7F8A">
              <w:rPr>
                <w:i/>
              </w:rPr>
              <w:t xml:space="preserve"> </w:t>
            </w:r>
            <w:r w:rsidRPr="009C7F8A">
              <w:t>positivity could not be established from the evidence presented</w:t>
            </w:r>
            <w:r>
              <w:t>.</w:t>
            </w:r>
            <w:r w:rsidRPr="009C7F8A">
              <w:t xml:space="preserve"> </w:t>
            </w:r>
          </w:p>
          <w:p w14:paraId="43973221" w14:textId="0B6E7B38" w:rsidR="002A71BA" w:rsidRPr="004E6008" w:rsidRDefault="002A71BA" w:rsidP="004E6008">
            <w:pPr>
              <w:pStyle w:val="ListParagraph"/>
              <w:numPr>
                <w:ilvl w:val="0"/>
                <w:numId w:val="36"/>
              </w:numPr>
              <w:spacing w:before="0" w:line="256" w:lineRule="auto"/>
              <w:rPr>
                <w:rFonts w:eastAsia="Calibri" w:cs="Times New Roman"/>
              </w:rPr>
            </w:pPr>
            <w:r w:rsidRPr="00D6174A">
              <w:rPr>
                <w:i/>
                <w:iCs/>
                <w:lang w:val="en-US"/>
              </w:rPr>
              <w:t>HER2</w:t>
            </w:r>
            <w:r w:rsidRPr="00D6174A">
              <w:rPr>
                <w:lang w:val="en-US"/>
              </w:rPr>
              <w:t xml:space="preserve"> is the legacy gene symbol for </w:t>
            </w:r>
            <w:r w:rsidRPr="00D6174A">
              <w:rPr>
                <w:i/>
                <w:iCs/>
                <w:lang w:val="en-US"/>
              </w:rPr>
              <w:t>ERBB2 (</w:t>
            </w:r>
            <w:r w:rsidRPr="00D6174A">
              <w:rPr>
                <w:color w:val="3D3D3D"/>
              </w:rPr>
              <w:t>erb-b2 receptor tyrosine kinase 2)</w:t>
            </w:r>
            <w:r w:rsidRPr="00D6174A">
              <w:rPr>
                <w:lang w:val="en-US"/>
              </w:rPr>
              <w:t xml:space="preserve">. MSAC may wish to consider whether the item descriptor should be amended to reflect current nomenclature. This may require corresponding amendments to other MBS and PBS listings for consistency. </w:t>
            </w:r>
          </w:p>
          <w:p w14:paraId="1A6B05B7" w14:textId="77777777" w:rsidR="002A71BA" w:rsidRPr="00B07DF2" w:rsidRDefault="002A71BA" w:rsidP="004E6008">
            <w:pPr>
              <w:pStyle w:val="ListParagraph"/>
              <w:spacing w:before="240"/>
              <w:ind w:left="0"/>
              <w:contextualSpacing w:val="0"/>
              <w:rPr>
                <w:b/>
                <w:bCs/>
              </w:rPr>
            </w:pPr>
            <w:r>
              <w:rPr>
                <w:b/>
                <w:bCs/>
              </w:rPr>
              <w:t>Item descriptor:</w:t>
            </w:r>
          </w:p>
          <w:p w14:paraId="16C6FC46" w14:textId="77777777" w:rsidR="002A71BA" w:rsidRPr="00B07DF2" w:rsidRDefault="002A71BA" w:rsidP="00D12C5B">
            <w:pPr>
              <w:pStyle w:val="ListParagraph"/>
              <w:numPr>
                <w:ilvl w:val="0"/>
                <w:numId w:val="30"/>
              </w:numPr>
              <w:rPr>
                <w:rFonts w:eastAsia="Calibri" w:cs="Times New Roman"/>
                <w:sz w:val="20"/>
                <w:szCs w:val="20"/>
              </w:rPr>
            </w:pPr>
            <w:r>
              <w:rPr>
                <w:rFonts w:eastAsia="Calibri" w:cs="Times New Roman"/>
              </w:rPr>
              <w:t xml:space="preserve">Whether the eligible population for testing can be more closely aligned to the population eligible for olaparib treatment which includes patients with residual disease following neoadjuvant chemotherapy. </w:t>
            </w:r>
          </w:p>
          <w:p w14:paraId="0B3AE2C5" w14:textId="3DD6AE7A" w:rsidR="004E6008" w:rsidRPr="004E6008" w:rsidRDefault="002A71BA" w:rsidP="004E6008">
            <w:pPr>
              <w:pStyle w:val="ListParagraph"/>
              <w:numPr>
                <w:ilvl w:val="0"/>
                <w:numId w:val="30"/>
              </w:numPr>
              <w:ind w:left="714" w:hanging="357"/>
              <w:contextualSpacing w:val="0"/>
              <w:rPr>
                <w:rFonts w:eastAsia="Calibri" w:cs="Times New Roman"/>
                <w:sz w:val="20"/>
                <w:szCs w:val="20"/>
              </w:rPr>
            </w:pPr>
            <w:r w:rsidRPr="00B031E1">
              <w:rPr>
                <w:rFonts w:eastAsia="Calibri" w:cs="Times New Roman"/>
              </w:rPr>
              <w:t xml:space="preserve">The proposed MBS fee </w:t>
            </w:r>
            <w:r>
              <w:rPr>
                <w:rFonts w:eastAsia="Calibri" w:cs="Times New Roman"/>
              </w:rPr>
              <w:t xml:space="preserve">of </w:t>
            </w:r>
            <w:r w:rsidRPr="00B031E1">
              <w:rPr>
                <w:rFonts w:eastAsia="Calibri" w:cs="Times New Roman"/>
              </w:rPr>
              <w:t>$1</w:t>
            </w:r>
            <w:r>
              <w:rPr>
                <w:rFonts w:eastAsia="Calibri" w:cs="Times New Roman"/>
              </w:rPr>
              <w:t>,</w:t>
            </w:r>
            <w:r w:rsidRPr="00B031E1">
              <w:rPr>
                <w:rFonts w:eastAsia="Calibri" w:cs="Times New Roman"/>
              </w:rPr>
              <w:t xml:space="preserve">200 is higher than the MSAC-supported $1,000 fee for the </w:t>
            </w:r>
            <w:r w:rsidRPr="00B031E1">
              <w:t>MBS item</w:t>
            </w:r>
            <w:r>
              <w:t xml:space="preserve"> 73303</w:t>
            </w:r>
            <w:r w:rsidRPr="00B031E1">
              <w:t xml:space="preserve"> to test for pathogenic or likely pathogenic variants in the </w:t>
            </w:r>
            <w:r w:rsidRPr="00B031E1">
              <w:rPr>
                <w:i/>
                <w:iCs/>
              </w:rPr>
              <w:t>BRCA1</w:t>
            </w:r>
            <w:r w:rsidRPr="00B031E1">
              <w:t xml:space="preserve"> and </w:t>
            </w:r>
            <w:r w:rsidRPr="00B031E1">
              <w:rPr>
                <w:i/>
                <w:iCs/>
              </w:rPr>
              <w:t>BRCA2</w:t>
            </w:r>
            <w:r w:rsidRPr="00B031E1">
              <w:t xml:space="preserve"> genes in people with metastatic castration-resistant prostate cancer to determine eligibility for olaparib treatment (</w:t>
            </w:r>
            <w:hyperlink r:id="rId29" w:history="1">
              <w:r w:rsidRPr="00B031E1">
                <w:rPr>
                  <w:rStyle w:val="Hyperlink"/>
                </w:rPr>
                <w:t>Application 1618</w:t>
              </w:r>
            </w:hyperlink>
            <w:r w:rsidRPr="00B031E1">
              <w:t>).</w:t>
            </w:r>
            <w:r w:rsidRPr="004E5BF4">
              <w:t xml:space="preserve">The proposed MBS item is likely to substantially increase the number of germline </w:t>
            </w:r>
            <w:r w:rsidRPr="004E5BF4">
              <w:rPr>
                <w:i/>
                <w:iCs/>
              </w:rPr>
              <w:t xml:space="preserve">BRCA1/2 </w:t>
            </w:r>
            <w:r w:rsidRPr="004E5BF4">
              <w:t xml:space="preserve">tests performed by pathology providers and therefore reduce the testing costs. </w:t>
            </w:r>
          </w:p>
          <w:p w14:paraId="334013BA" w14:textId="77777777" w:rsidR="002A71BA" w:rsidRPr="005E323F" w:rsidRDefault="002A71BA" w:rsidP="00D12C5B">
            <w:pPr>
              <w:spacing w:before="0" w:line="256" w:lineRule="auto"/>
              <w:ind w:left="-360"/>
              <w:rPr>
                <w:rFonts w:eastAsia="Calibri" w:cs="Times New Roman"/>
              </w:rPr>
            </w:pPr>
          </w:p>
          <w:p w14:paraId="3C41A701" w14:textId="77777777" w:rsidR="002A71BA" w:rsidRDefault="002A71BA" w:rsidP="004E6008">
            <w:pPr>
              <w:spacing w:before="0"/>
              <w:rPr>
                <w:b/>
              </w:rPr>
            </w:pPr>
            <w:r w:rsidRPr="00CE28E3">
              <w:rPr>
                <w:b/>
              </w:rPr>
              <w:t>Economic issues:</w:t>
            </w:r>
          </w:p>
          <w:p w14:paraId="3DB0A270" w14:textId="77777777" w:rsidR="002A71BA" w:rsidRPr="009864A0" w:rsidRDefault="002A71BA" w:rsidP="00D12C5B">
            <w:pPr>
              <w:numPr>
                <w:ilvl w:val="0"/>
                <w:numId w:val="16"/>
              </w:numPr>
              <w:spacing w:before="0"/>
              <w:ind w:right="57"/>
              <w:contextualSpacing/>
              <w:jc w:val="both"/>
              <w:rPr>
                <w:iCs/>
              </w:rPr>
            </w:pPr>
            <w:r>
              <w:rPr>
                <w:iCs/>
              </w:rPr>
              <w:t xml:space="preserve">The economic model assumed 13.25% of the tested population (early triple negative or hormone receptor positive, HER2-negative) which is likely an overestimate. MSAC may wish to advise whether a lower value should be used a respecified base case. </w:t>
            </w:r>
          </w:p>
          <w:p w14:paraId="3C546AB2" w14:textId="41C0D804" w:rsidR="002A71BA" w:rsidRDefault="002A71BA" w:rsidP="00D12C5B">
            <w:pPr>
              <w:numPr>
                <w:ilvl w:val="0"/>
                <w:numId w:val="16"/>
              </w:numPr>
              <w:spacing w:before="0"/>
              <w:ind w:right="57"/>
              <w:contextualSpacing/>
              <w:jc w:val="both"/>
              <w:rPr>
                <w:iCs/>
              </w:rPr>
            </w:pPr>
            <w:r>
              <w:rPr>
                <w:iCs/>
              </w:rPr>
              <w:t>T</w:t>
            </w:r>
            <w:r w:rsidRPr="0022386F">
              <w:rPr>
                <w:iCs/>
              </w:rPr>
              <w:t xml:space="preserve">he economic model </w:t>
            </w:r>
            <w:r>
              <w:rPr>
                <w:iCs/>
              </w:rPr>
              <w:t>assumed 74% of patients were currently undergoing g</w:t>
            </w:r>
            <w:r>
              <w:rPr>
                <w:i/>
              </w:rPr>
              <w:t>BRCA1/2</w:t>
            </w:r>
            <w:r>
              <w:rPr>
                <w:iCs/>
              </w:rPr>
              <w:t xml:space="preserve"> testing. The was likely an overestimate as </w:t>
            </w:r>
            <w:r w:rsidRPr="004E5BF4">
              <w:rPr>
                <w:i/>
              </w:rPr>
              <w:t>g</w:t>
            </w:r>
            <w:r>
              <w:rPr>
                <w:i/>
              </w:rPr>
              <w:t xml:space="preserve">BRCA1/2 </w:t>
            </w:r>
            <w:r>
              <w:rPr>
                <w:iCs/>
              </w:rPr>
              <w:t>testing is recommended for a subset of people with breast cancer. The incremental cost-effectiveness ratio increased by 15.5% (</w:t>
            </w:r>
            <w:r w:rsidR="00A61205">
              <w:rPr>
                <w:iCs/>
              </w:rPr>
              <w:t xml:space="preserve">between </w:t>
            </w:r>
            <w:r w:rsidR="00A61205">
              <w:t>$45,000 to &lt;$55,000</w:t>
            </w:r>
            <w:r w:rsidRPr="007D3505">
              <w:rPr>
                <w:iCs/>
              </w:rPr>
              <w:t>)</w:t>
            </w:r>
            <w:r>
              <w:rPr>
                <w:iCs/>
              </w:rPr>
              <w:t xml:space="preserve"> when using a weighted average of 33.5%. </w:t>
            </w:r>
          </w:p>
          <w:p w14:paraId="1A5C8BE5" w14:textId="77777777" w:rsidR="002A71BA" w:rsidRPr="00FE6CB5" w:rsidRDefault="002A71BA" w:rsidP="004E6008">
            <w:pPr>
              <w:spacing w:before="240"/>
              <w:ind w:right="57"/>
              <w:rPr>
                <w:b/>
              </w:rPr>
            </w:pPr>
            <w:r w:rsidRPr="00FE6CB5">
              <w:rPr>
                <w:b/>
              </w:rPr>
              <w:t>Financial issues:</w:t>
            </w:r>
          </w:p>
          <w:p w14:paraId="32401018" w14:textId="3AA63E33" w:rsidR="002A71BA" w:rsidRPr="0016761B" w:rsidRDefault="002A71BA" w:rsidP="0016761B">
            <w:pPr>
              <w:pStyle w:val="ListParagraph"/>
              <w:numPr>
                <w:ilvl w:val="0"/>
                <w:numId w:val="17"/>
              </w:numPr>
              <w:spacing w:before="0" w:after="120"/>
              <w:ind w:left="447"/>
              <w:contextualSpacing w:val="0"/>
              <w:jc w:val="both"/>
              <w:rPr>
                <w:iCs/>
              </w:rPr>
            </w:pPr>
            <w:r>
              <w:rPr>
                <w:iCs/>
              </w:rPr>
              <w:t>The</w:t>
            </w:r>
            <w:r w:rsidRPr="00AB456A">
              <w:rPr>
                <w:iCs/>
              </w:rPr>
              <w:t xml:space="preserve"> estimated use and financial impact </w:t>
            </w:r>
            <w:r>
              <w:rPr>
                <w:iCs/>
              </w:rPr>
              <w:t>to the MBS the additional g</w:t>
            </w:r>
            <w:r>
              <w:rPr>
                <w:i/>
              </w:rPr>
              <w:t>BRCA1/2</w:t>
            </w:r>
            <w:r>
              <w:rPr>
                <w:iCs/>
              </w:rPr>
              <w:t xml:space="preserve"> testing presented in the submission and revised in the PBAC pre-sub-committee response (PSCR)</w:t>
            </w:r>
            <w:r w:rsidRPr="006A541A">
              <w:rPr>
                <w:iCs/>
              </w:rPr>
              <w:t xml:space="preserve"> </w:t>
            </w:r>
            <w:r>
              <w:rPr>
                <w:iCs/>
              </w:rPr>
              <w:t xml:space="preserve">were likely </w:t>
            </w:r>
            <w:r w:rsidRPr="006A541A">
              <w:rPr>
                <w:iCs/>
              </w:rPr>
              <w:t>underestimated and uninformative</w:t>
            </w:r>
            <w:r>
              <w:rPr>
                <w:iCs/>
              </w:rPr>
              <w:t xml:space="preserve">. It was estimated that fewer than </w:t>
            </w:r>
            <w:r w:rsidR="00A61205" w:rsidRPr="007F411B">
              <w:t>500 to &lt; 5,000</w:t>
            </w:r>
            <w:r>
              <w:rPr>
                <w:iCs/>
              </w:rPr>
              <w:t xml:space="preserve"> additional g</w:t>
            </w:r>
            <w:r>
              <w:rPr>
                <w:i/>
              </w:rPr>
              <w:t xml:space="preserve">BRCA </w:t>
            </w:r>
            <w:r>
              <w:rPr>
                <w:iCs/>
              </w:rPr>
              <w:t>test would be funded on the MBS, despite over 20,000 people being diagnosed with early breast cancer annually. The financial estimates were revised in for the Departmental Overview. It was estimated that the additional g</w:t>
            </w:r>
            <w:r>
              <w:rPr>
                <w:i/>
              </w:rPr>
              <w:t xml:space="preserve">BRCA1/2 </w:t>
            </w:r>
            <w:r>
              <w:rPr>
                <w:iCs/>
              </w:rPr>
              <w:t xml:space="preserve">testing would cost </w:t>
            </w:r>
            <w:r w:rsidR="00A61205" w:rsidRPr="00A61205">
              <w:rPr>
                <w:iCs/>
              </w:rPr>
              <w:t xml:space="preserve">$0 to &lt; $10 million </w:t>
            </w:r>
            <w:r>
              <w:t xml:space="preserve">in Year 1, increasing </w:t>
            </w:r>
            <w:r w:rsidR="00A61205" w:rsidRPr="00A61205">
              <w:t>$0 to &lt; $10 million</w:t>
            </w:r>
            <w:r w:rsidR="00A61205" w:rsidRPr="00A61205" w:rsidDel="00A61205">
              <w:t xml:space="preserve"> </w:t>
            </w:r>
            <w:r>
              <w:t xml:space="preserve">in Year 6 (using a $1,000 MBS test fee and including cascade testing). </w:t>
            </w:r>
          </w:p>
        </w:tc>
      </w:tr>
    </w:tbl>
    <w:p w14:paraId="04A77FB0" w14:textId="7CECBA26" w:rsidR="002A71BA" w:rsidRDefault="002A71BA" w:rsidP="002A71BA">
      <w:pPr>
        <w:pStyle w:val="Heading2"/>
        <w:numPr>
          <w:ilvl w:val="0"/>
          <w:numId w:val="0"/>
        </w:numPr>
      </w:pPr>
      <w:r>
        <w:t>17.</w:t>
      </w:r>
      <w:r>
        <w:tab/>
        <w:t>Applicant comments on MSAC’s Public Summary Document</w:t>
      </w:r>
    </w:p>
    <w:p w14:paraId="3EBAEF7E" w14:textId="37502C91" w:rsidR="00ED2B53" w:rsidRPr="00CB4A12" w:rsidRDefault="004E6008" w:rsidP="00ED2B53">
      <w:pPr>
        <w:spacing w:after="240"/>
        <w:rPr>
          <w:szCs w:val="24"/>
        </w:rPr>
      </w:pPr>
      <w:r>
        <w:rPr>
          <w:szCs w:val="24"/>
        </w:rPr>
        <w:t>The applicant had no comments.</w:t>
      </w:r>
    </w:p>
    <w:p w14:paraId="28DA37EA" w14:textId="4B683851" w:rsidR="002A71BA" w:rsidRDefault="002A71BA" w:rsidP="002A71BA">
      <w:pPr>
        <w:pStyle w:val="Heading2"/>
        <w:numPr>
          <w:ilvl w:val="0"/>
          <w:numId w:val="0"/>
        </w:numPr>
      </w:pPr>
      <w:r>
        <w:lastRenderedPageBreak/>
        <w:t>18.</w:t>
      </w:r>
      <w:r>
        <w:tab/>
        <w:t>Further information on MSAC</w:t>
      </w:r>
    </w:p>
    <w:p w14:paraId="74966948" w14:textId="4DB125C2" w:rsidR="00F22C2E" w:rsidRPr="00E017BE" w:rsidRDefault="002A71BA" w:rsidP="00E017BE">
      <w:pPr>
        <w:pStyle w:val="BodyText"/>
        <w:rPr>
          <w:rFonts w:ascii="Franklin Gothic Book" w:hAnsi="Franklin Gothic Book"/>
          <w:b/>
          <w:bCs/>
          <w:i/>
          <w:iCs/>
        </w:rPr>
      </w:pPr>
      <w:r w:rsidRPr="00F309FA">
        <w:rPr>
          <w:rFonts w:ascii="Franklin Gothic Book" w:hAnsi="Franklin Gothic Book"/>
          <w:bCs/>
          <w:iCs/>
        </w:rPr>
        <w:t xml:space="preserve">MSAC Terms of Reference and other information are available on the MSAC Website: </w:t>
      </w:r>
      <w:hyperlink r:id="rId30" w:tooltip="Link to the MSAC website" w:history="1">
        <w:r w:rsidRPr="00F309FA">
          <w:rPr>
            <w:rStyle w:val="Hyperlink"/>
            <w:rFonts w:ascii="Franklin Gothic Book" w:hAnsi="Franklin Gothic Book"/>
            <w:bCs/>
            <w:iCs/>
          </w:rPr>
          <w:t>visit the MSAC website</w:t>
        </w:r>
      </w:hyperlink>
    </w:p>
    <w:sectPr w:rsidR="00F22C2E" w:rsidRPr="00E017BE" w:rsidSect="00536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EFB2" w14:textId="77777777" w:rsidR="0050011E" w:rsidRDefault="0050011E" w:rsidP="00B62DF2">
      <w:pPr>
        <w:spacing w:after="0" w:line="240" w:lineRule="auto"/>
      </w:pPr>
      <w:r>
        <w:separator/>
      </w:r>
    </w:p>
  </w:endnote>
  <w:endnote w:type="continuationSeparator" w:id="0">
    <w:p w14:paraId="6A236DF8" w14:textId="77777777" w:rsidR="0050011E" w:rsidRDefault="0050011E" w:rsidP="00B62DF2">
      <w:pPr>
        <w:spacing w:after="0" w:line="240" w:lineRule="auto"/>
      </w:pPr>
      <w:r>
        <w:continuationSeparator/>
      </w:r>
    </w:p>
  </w:endnote>
  <w:endnote w:type="continuationNotice" w:id="1">
    <w:p w14:paraId="3E2A940B" w14:textId="77777777" w:rsidR="0050011E" w:rsidRDefault="005001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7ADFA426" w:rsidR="005947B5" w:rsidRDefault="005947B5" w:rsidP="00262C7B">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15695D42" w:rsidR="005947B5" w:rsidRDefault="005947B5" w:rsidP="00D90C4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F841" w14:textId="77777777" w:rsidR="004E6008" w:rsidRDefault="004E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5E9D" w14:textId="77777777" w:rsidR="0050011E" w:rsidRDefault="0050011E" w:rsidP="00B62DF2">
      <w:pPr>
        <w:spacing w:after="0" w:line="240" w:lineRule="auto"/>
      </w:pPr>
      <w:r>
        <w:separator/>
      </w:r>
    </w:p>
  </w:footnote>
  <w:footnote w:type="continuationSeparator" w:id="0">
    <w:p w14:paraId="49AF90E0" w14:textId="77777777" w:rsidR="0050011E" w:rsidRDefault="0050011E" w:rsidP="00B62DF2">
      <w:pPr>
        <w:spacing w:after="0" w:line="240" w:lineRule="auto"/>
      </w:pPr>
      <w:r>
        <w:continuationSeparator/>
      </w:r>
    </w:p>
  </w:footnote>
  <w:footnote w:type="continuationNotice" w:id="1">
    <w:p w14:paraId="481B71B8" w14:textId="77777777" w:rsidR="0050011E" w:rsidRDefault="0050011E">
      <w:pPr>
        <w:spacing w:before="0" w:after="0" w:line="240" w:lineRule="auto"/>
      </w:pPr>
    </w:p>
  </w:footnote>
  <w:footnote w:id="2">
    <w:p w14:paraId="1B9916A7" w14:textId="77777777" w:rsidR="0015316E" w:rsidRPr="00CE1C66" w:rsidRDefault="0015316E" w:rsidP="0015316E">
      <w:pPr>
        <w:pStyle w:val="FootnoteText"/>
        <w:rPr>
          <w:rFonts w:ascii="Arial Narrow" w:hAnsi="Arial Narrow"/>
          <w:szCs w:val="18"/>
        </w:rPr>
      </w:pPr>
      <w:r w:rsidRPr="00CE1C66">
        <w:rPr>
          <w:rStyle w:val="FootnoteReference"/>
          <w:rFonts w:ascii="Arial Narrow" w:hAnsi="Arial Narrow"/>
          <w:szCs w:val="18"/>
        </w:rPr>
        <w:footnoteRef/>
      </w:r>
      <w:r w:rsidRPr="00CE1C66">
        <w:rPr>
          <w:rFonts w:ascii="Arial Narrow" w:hAnsi="Arial Narrow"/>
          <w:szCs w:val="18"/>
        </w:rPr>
        <w:t xml:space="preserve"> Patients could be positive or negative for hormone receptors. This was a stratification factor during randomisation.</w:t>
      </w:r>
    </w:p>
  </w:footnote>
  <w:footnote w:id="3">
    <w:p w14:paraId="57EE1134" w14:textId="44E2B739" w:rsidR="005B2093" w:rsidRPr="005B2093" w:rsidRDefault="005B2093">
      <w:pPr>
        <w:pStyle w:val="FootnoteText"/>
        <w:rPr>
          <w:rFonts w:ascii="Arial Narrow" w:hAnsi="Arial Narrow"/>
        </w:rPr>
      </w:pPr>
      <w:r>
        <w:rPr>
          <w:rStyle w:val="FootnoteReference"/>
        </w:rPr>
        <w:footnoteRef/>
      </w:r>
      <w:r>
        <w:t xml:space="preserve"> </w:t>
      </w:r>
      <w:r w:rsidRPr="005B2093">
        <w:rPr>
          <w:rFonts w:ascii="Arial Narrow" w:hAnsi="Arial Narrow"/>
        </w:rPr>
        <w:t>Tutt ANJ</w:t>
      </w:r>
      <w:r w:rsidR="00F228F0">
        <w:rPr>
          <w:rFonts w:ascii="Arial Narrow" w:hAnsi="Arial Narrow"/>
        </w:rPr>
        <w:t xml:space="preserve"> et al. 2021</w:t>
      </w:r>
      <w:r w:rsidRPr="005B2093">
        <w:rPr>
          <w:rFonts w:ascii="Arial Narrow" w:hAnsi="Arial Narrow"/>
        </w:rPr>
        <w:t xml:space="preserve"> OlympiA Clinical Trial Steering Committee and Investigators. Adjuvant Olaparib for Patients with </w:t>
      </w:r>
      <w:r w:rsidRPr="00A84A83">
        <w:rPr>
          <w:rFonts w:ascii="Arial Narrow" w:hAnsi="Arial Narrow"/>
          <w:i/>
          <w:iCs/>
        </w:rPr>
        <w:t>BRCA1</w:t>
      </w:r>
      <w:r w:rsidRPr="005B2093">
        <w:rPr>
          <w:rFonts w:ascii="Arial Narrow" w:hAnsi="Arial Narrow"/>
        </w:rPr>
        <w:t xml:space="preserve">- or </w:t>
      </w:r>
      <w:r w:rsidRPr="00A84A83">
        <w:rPr>
          <w:rFonts w:ascii="Arial Narrow" w:hAnsi="Arial Narrow"/>
          <w:i/>
          <w:iCs/>
        </w:rPr>
        <w:t>BRCA2</w:t>
      </w:r>
      <w:r w:rsidRPr="005B2093">
        <w:rPr>
          <w:rFonts w:ascii="Arial Narrow" w:hAnsi="Arial Narrow"/>
        </w:rPr>
        <w:t xml:space="preserve">-Mutated Breast Cancer. </w:t>
      </w:r>
      <w:r w:rsidRPr="00F228F0">
        <w:rPr>
          <w:rFonts w:ascii="Arial Narrow" w:hAnsi="Arial Narrow"/>
          <w:i/>
          <w:iCs/>
        </w:rPr>
        <w:t>N Engl J Med.</w:t>
      </w:r>
      <w:r w:rsidRPr="005B2093">
        <w:rPr>
          <w:rFonts w:ascii="Arial Narrow" w:hAnsi="Arial Narrow"/>
        </w:rPr>
        <w:t>384(25):2394-2405.</w:t>
      </w:r>
    </w:p>
  </w:footnote>
  <w:footnote w:id="4">
    <w:p w14:paraId="3A11F559" w14:textId="2A39501A" w:rsidR="00C62E03" w:rsidRDefault="00C62E03">
      <w:pPr>
        <w:pStyle w:val="FootnoteText"/>
      </w:pPr>
      <w:r>
        <w:rPr>
          <w:rStyle w:val="FootnoteReference"/>
        </w:rPr>
        <w:footnoteRef/>
      </w:r>
      <w:r>
        <w:t xml:space="preserve"> </w:t>
      </w:r>
      <w:r w:rsidR="000E5938" w:rsidRPr="004E5BF4">
        <w:rPr>
          <w:rFonts w:ascii="Arial Narrow" w:hAnsi="Arial Narrow"/>
        </w:rPr>
        <w:t>Kurian, Allison W., et al.</w:t>
      </w:r>
      <w:r w:rsidR="000E5938">
        <w:rPr>
          <w:rFonts w:ascii="Arial Narrow" w:hAnsi="Arial Narrow"/>
        </w:rPr>
        <w:t xml:space="preserve"> 2021</w:t>
      </w:r>
      <w:r w:rsidR="000E5938" w:rsidRPr="004E5BF4">
        <w:rPr>
          <w:rFonts w:ascii="Arial Narrow" w:hAnsi="Arial Narrow"/>
        </w:rPr>
        <w:t xml:space="preserve"> "Predicted chemotherapy benefit for breast cancer patients with germline pathogenic variants in cancer susceptibility genes." </w:t>
      </w:r>
      <w:r w:rsidR="000E5938" w:rsidRPr="004E5BF4">
        <w:rPr>
          <w:rFonts w:ascii="Arial Narrow" w:hAnsi="Arial Narrow"/>
          <w:i/>
          <w:iCs/>
        </w:rPr>
        <w:t>JNCI Cancer Spectrum</w:t>
      </w:r>
      <w:r w:rsidR="000E5938" w:rsidRPr="004E5BF4">
        <w:rPr>
          <w:rFonts w:ascii="Arial Narrow" w:hAnsi="Arial Narrow"/>
        </w:rPr>
        <w:t> 5.1 pkaa083.</w:t>
      </w:r>
    </w:p>
  </w:footnote>
  <w:footnote w:id="5">
    <w:p w14:paraId="69EC0488" w14:textId="77777777" w:rsidR="001224AB" w:rsidRDefault="001224AB" w:rsidP="001224AB">
      <w:pPr>
        <w:pStyle w:val="FootnoteText"/>
      </w:pPr>
      <w:r>
        <w:rPr>
          <w:rStyle w:val="FootnoteReference"/>
        </w:rPr>
        <w:footnoteRef/>
      </w:r>
      <w:r>
        <w:t xml:space="preserve"> Cancer Council Victoria and Department of Health Victoria 2021, Optimal care pathway for people with breast cancer, 2nd edn, Cancer Council Victoria, Melbourne</w:t>
      </w:r>
    </w:p>
  </w:footnote>
  <w:footnote w:id="6">
    <w:p w14:paraId="1E76B937" w14:textId="77777777" w:rsidR="001224AB" w:rsidRDefault="001224AB" w:rsidP="001224AB">
      <w:pPr>
        <w:pStyle w:val="FootnoteText"/>
      </w:pPr>
      <w:r>
        <w:rPr>
          <w:rStyle w:val="FootnoteReference"/>
        </w:rPr>
        <w:footnoteRef/>
      </w:r>
      <w:r>
        <w:t xml:space="preserve"> </w:t>
      </w:r>
      <w:r w:rsidRPr="000C58CD">
        <w:t>https://www.eviq.org.au/cancer-genetics/referral-guidelines/1620-breast-cancer-referring-to-genetics</w:t>
      </w:r>
    </w:p>
  </w:footnote>
  <w:footnote w:id="7">
    <w:p w14:paraId="11E7631A" w14:textId="77777777" w:rsidR="003977F6" w:rsidRPr="007117EF" w:rsidRDefault="003977F6" w:rsidP="003977F6">
      <w:pPr>
        <w:pStyle w:val="FootnoteText"/>
        <w:rPr>
          <w:rFonts w:ascii="Arial Narrow" w:hAnsi="Arial Narrow"/>
          <w:lang w:val="en-GB"/>
        </w:rPr>
      </w:pPr>
      <w:r w:rsidRPr="00DD485D">
        <w:rPr>
          <w:rStyle w:val="FootnoteReference"/>
          <w:rFonts w:ascii="Arial Narrow" w:hAnsi="Arial Narrow"/>
        </w:rPr>
        <w:footnoteRef/>
      </w:r>
      <w:r w:rsidRPr="00DD485D">
        <w:rPr>
          <w:rFonts w:ascii="Arial Narrow" w:hAnsi="Arial Narrow"/>
        </w:rPr>
        <w:t xml:space="preserve"> https://www.medicinesaustralia.com.au/wp-content/uploads/sites/65/2022/02/Fact-sheet-discount-rate-feb22.pdf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2F82" w14:textId="77777777" w:rsidR="004E6008" w:rsidRDefault="004E6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514D" w14:textId="77777777" w:rsidR="004E6008" w:rsidRDefault="004E6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47CD" w14:textId="77777777" w:rsidR="004E6008" w:rsidRDefault="004E6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745AEF"/>
    <w:multiLevelType w:val="hybridMultilevel"/>
    <w:tmpl w:val="B77414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906E5D"/>
    <w:multiLevelType w:val="hybridMultilevel"/>
    <w:tmpl w:val="94E852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61CB0A"/>
    <w:multiLevelType w:val="hybridMultilevel"/>
    <w:tmpl w:val="3172D3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E4FAF7A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30E5EF4"/>
    <w:multiLevelType w:val="hybridMultilevel"/>
    <w:tmpl w:val="DE48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B60F9A"/>
    <w:multiLevelType w:val="multilevel"/>
    <w:tmpl w:val="F82C6A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DD279C"/>
    <w:multiLevelType w:val="hybridMultilevel"/>
    <w:tmpl w:val="96CCB254"/>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46245"/>
    <w:multiLevelType w:val="hybridMultilevel"/>
    <w:tmpl w:val="40E2AE3C"/>
    <w:lvl w:ilvl="0" w:tplc="A6DE152E">
      <w:start w:val="1"/>
      <w:numFmt w:val="lowerRoman"/>
      <w:lvlText w:val="(%1)"/>
      <w:lvlJc w:val="right"/>
      <w:pPr>
        <w:tabs>
          <w:tab w:val="num" w:pos="720"/>
        </w:tabs>
        <w:ind w:left="720" w:hanging="360"/>
      </w:pPr>
      <w:rPr>
        <w:i w:val="0"/>
        <w:iCs w:val="0"/>
      </w:rPr>
    </w:lvl>
    <w:lvl w:ilvl="1" w:tplc="0B70057A" w:tentative="1">
      <w:start w:val="1"/>
      <w:numFmt w:val="lowerRoman"/>
      <w:lvlText w:val="(%2)"/>
      <w:lvlJc w:val="right"/>
      <w:pPr>
        <w:tabs>
          <w:tab w:val="num" w:pos="1440"/>
        </w:tabs>
        <w:ind w:left="1440" w:hanging="360"/>
      </w:pPr>
    </w:lvl>
    <w:lvl w:ilvl="2" w:tplc="9B2212D8" w:tentative="1">
      <w:start w:val="1"/>
      <w:numFmt w:val="lowerRoman"/>
      <w:lvlText w:val="(%3)"/>
      <w:lvlJc w:val="right"/>
      <w:pPr>
        <w:tabs>
          <w:tab w:val="num" w:pos="2160"/>
        </w:tabs>
        <w:ind w:left="2160" w:hanging="360"/>
      </w:pPr>
    </w:lvl>
    <w:lvl w:ilvl="3" w:tplc="697AED38" w:tentative="1">
      <w:start w:val="1"/>
      <w:numFmt w:val="lowerRoman"/>
      <w:lvlText w:val="(%4)"/>
      <w:lvlJc w:val="right"/>
      <w:pPr>
        <w:tabs>
          <w:tab w:val="num" w:pos="2880"/>
        </w:tabs>
        <w:ind w:left="2880" w:hanging="360"/>
      </w:pPr>
    </w:lvl>
    <w:lvl w:ilvl="4" w:tplc="08922AF4" w:tentative="1">
      <w:start w:val="1"/>
      <w:numFmt w:val="lowerRoman"/>
      <w:lvlText w:val="(%5)"/>
      <w:lvlJc w:val="right"/>
      <w:pPr>
        <w:tabs>
          <w:tab w:val="num" w:pos="3600"/>
        </w:tabs>
        <w:ind w:left="3600" w:hanging="360"/>
      </w:pPr>
    </w:lvl>
    <w:lvl w:ilvl="5" w:tplc="50485322" w:tentative="1">
      <w:start w:val="1"/>
      <w:numFmt w:val="lowerRoman"/>
      <w:lvlText w:val="(%6)"/>
      <w:lvlJc w:val="right"/>
      <w:pPr>
        <w:tabs>
          <w:tab w:val="num" w:pos="4320"/>
        </w:tabs>
        <w:ind w:left="4320" w:hanging="360"/>
      </w:pPr>
    </w:lvl>
    <w:lvl w:ilvl="6" w:tplc="C590BE6E" w:tentative="1">
      <w:start w:val="1"/>
      <w:numFmt w:val="lowerRoman"/>
      <w:lvlText w:val="(%7)"/>
      <w:lvlJc w:val="right"/>
      <w:pPr>
        <w:tabs>
          <w:tab w:val="num" w:pos="5040"/>
        </w:tabs>
        <w:ind w:left="5040" w:hanging="360"/>
      </w:pPr>
    </w:lvl>
    <w:lvl w:ilvl="7" w:tplc="36FCAA4A" w:tentative="1">
      <w:start w:val="1"/>
      <w:numFmt w:val="lowerRoman"/>
      <w:lvlText w:val="(%8)"/>
      <w:lvlJc w:val="right"/>
      <w:pPr>
        <w:tabs>
          <w:tab w:val="num" w:pos="5760"/>
        </w:tabs>
        <w:ind w:left="5760" w:hanging="360"/>
      </w:pPr>
    </w:lvl>
    <w:lvl w:ilvl="8" w:tplc="5F6C3B12" w:tentative="1">
      <w:start w:val="1"/>
      <w:numFmt w:val="lowerRoman"/>
      <w:lvlText w:val="(%9)"/>
      <w:lvlJc w:val="right"/>
      <w:pPr>
        <w:tabs>
          <w:tab w:val="num" w:pos="6480"/>
        </w:tabs>
        <w:ind w:left="6480" w:hanging="360"/>
      </w:p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518A7"/>
    <w:multiLevelType w:val="hybridMultilevel"/>
    <w:tmpl w:val="2A7E9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554D2D"/>
    <w:multiLevelType w:val="hybridMultilevel"/>
    <w:tmpl w:val="D92AA27E"/>
    <w:lvl w:ilvl="0" w:tplc="D128AAEC">
      <w:numFmt w:val="bullet"/>
      <w:lvlText w:val="•"/>
      <w:lvlJc w:val="left"/>
      <w:pPr>
        <w:ind w:left="1440" w:hanging="720"/>
      </w:pPr>
      <w:rPr>
        <w:rFonts w:ascii="Franklin Gothic Book" w:eastAsia="Calibri" w:hAnsi="Franklin Gothic Book"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A8D132B"/>
    <w:multiLevelType w:val="hybridMultilevel"/>
    <w:tmpl w:val="25602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010057"/>
    <w:multiLevelType w:val="hybridMultilevel"/>
    <w:tmpl w:val="90F6DBA0"/>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A3D8F"/>
    <w:multiLevelType w:val="hybridMultilevel"/>
    <w:tmpl w:val="ADAADF8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D5E1851"/>
    <w:multiLevelType w:val="hybridMultilevel"/>
    <w:tmpl w:val="32E6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5C5A1F"/>
    <w:multiLevelType w:val="hybridMultilevel"/>
    <w:tmpl w:val="4B300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376C72"/>
    <w:multiLevelType w:val="hybridMultilevel"/>
    <w:tmpl w:val="D3D06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F52BCD"/>
    <w:multiLevelType w:val="hybridMultilevel"/>
    <w:tmpl w:val="2046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F6757D"/>
    <w:multiLevelType w:val="multilevel"/>
    <w:tmpl w:val="1F763CEE"/>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1" w15:restartNumberingAfterBreak="0">
    <w:nsid w:val="4A2002C7"/>
    <w:multiLevelType w:val="hybridMultilevel"/>
    <w:tmpl w:val="61521260"/>
    <w:lvl w:ilvl="0" w:tplc="D128AAEC">
      <w:numFmt w:val="bullet"/>
      <w:lvlText w:val="•"/>
      <w:lvlJc w:val="left"/>
      <w:pPr>
        <w:ind w:left="1080" w:hanging="720"/>
      </w:pPr>
      <w:rPr>
        <w:rFonts w:ascii="Franklin Gothic Book" w:eastAsia="Calibri" w:hAnsi="Franklin Gothic Boo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AD67EB"/>
    <w:multiLevelType w:val="hybridMultilevel"/>
    <w:tmpl w:val="F04D57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40D0257"/>
    <w:multiLevelType w:val="hybridMultilevel"/>
    <w:tmpl w:val="04547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C44D80"/>
    <w:multiLevelType w:val="hybridMultilevel"/>
    <w:tmpl w:val="FBE63D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E40ADF"/>
    <w:multiLevelType w:val="hybridMultilevel"/>
    <w:tmpl w:val="F38257B4"/>
    <w:lvl w:ilvl="0" w:tplc="D128AAEC">
      <w:numFmt w:val="bullet"/>
      <w:lvlText w:val="•"/>
      <w:lvlJc w:val="left"/>
      <w:pPr>
        <w:ind w:left="1080" w:hanging="720"/>
      </w:pPr>
      <w:rPr>
        <w:rFonts w:ascii="Franklin Gothic Book" w:eastAsia="Calibr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FF5D33"/>
    <w:multiLevelType w:val="hybridMultilevel"/>
    <w:tmpl w:val="5782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E00141"/>
    <w:multiLevelType w:val="hybridMultilevel"/>
    <w:tmpl w:val="7B143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158C5"/>
    <w:multiLevelType w:val="hybridMultilevel"/>
    <w:tmpl w:val="A3F6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C272B"/>
    <w:multiLevelType w:val="hybridMultilevel"/>
    <w:tmpl w:val="1A82619A"/>
    <w:lvl w:ilvl="0" w:tplc="F7C4E3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6F4D3C"/>
    <w:multiLevelType w:val="hybridMultilevel"/>
    <w:tmpl w:val="68166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2D563D"/>
    <w:multiLevelType w:val="hybridMultilevel"/>
    <w:tmpl w:val="4CD857C0"/>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22"/>
  </w:num>
  <w:num w:numId="2">
    <w:abstractNumId w:val="44"/>
  </w:num>
  <w:num w:numId="3">
    <w:abstractNumId w:val="7"/>
  </w:num>
  <w:num w:numId="4">
    <w:abstractNumId w:val="13"/>
  </w:num>
  <w:num w:numId="5">
    <w:abstractNumId w:val="39"/>
  </w:num>
  <w:num w:numId="6">
    <w:abstractNumId w:val="14"/>
  </w:num>
  <w:num w:numId="7">
    <w:abstractNumId w:val="10"/>
  </w:num>
  <w:num w:numId="8">
    <w:abstractNumId w:val="15"/>
  </w:num>
  <w:num w:numId="9">
    <w:abstractNumId w:val="20"/>
  </w:num>
  <w:num w:numId="10">
    <w:abstractNumId w:val="23"/>
  </w:num>
  <w:num w:numId="11">
    <w:abstractNumId w:val="4"/>
  </w:num>
  <w:num w:numId="12">
    <w:abstractNumId w:val="21"/>
  </w:num>
  <w:num w:numId="13">
    <w:abstractNumId w:val="29"/>
  </w:num>
  <w:num w:numId="14">
    <w:abstractNumId w:val="5"/>
  </w:num>
  <w:num w:numId="15">
    <w:abstractNumId w:val="3"/>
  </w:num>
  <w:num w:numId="16">
    <w:abstractNumId w:val="41"/>
  </w:num>
  <w:num w:numId="17">
    <w:abstractNumId w:val="25"/>
  </w:num>
  <w:num w:numId="18">
    <w:abstractNumId w:val="30"/>
  </w:num>
  <w:num w:numId="19">
    <w:abstractNumId w:val="34"/>
  </w:num>
  <w:num w:numId="20">
    <w:abstractNumId w:val="32"/>
  </w:num>
  <w:num w:numId="21">
    <w:abstractNumId w:val="0"/>
  </w:num>
  <w:num w:numId="22">
    <w:abstractNumId w:val="2"/>
  </w:num>
  <w:num w:numId="23">
    <w:abstractNumId w:val="16"/>
  </w:num>
  <w:num w:numId="24">
    <w:abstractNumId w:val="17"/>
  </w:num>
  <w:num w:numId="25">
    <w:abstractNumId w:val="8"/>
  </w:num>
  <w:num w:numId="26">
    <w:abstractNumId w:val="35"/>
  </w:num>
  <w:num w:numId="27">
    <w:abstractNumId w:val="12"/>
  </w:num>
  <w:num w:numId="28">
    <w:abstractNumId w:val="31"/>
  </w:num>
  <w:num w:numId="29">
    <w:abstractNumId w:val="1"/>
  </w:num>
  <w:num w:numId="30">
    <w:abstractNumId w:val="37"/>
  </w:num>
  <w:num w:numId="31">
    <w:abstractNumId w:val="43"/>
  </w:num>
  <w:num w:numId="32">
    <w:abstractNumId w:val="28"/>
  </w:num>
  <w:num w:numId="33">
    <w:abstractNumId w:val="11"/>
  </w:num>
  <w:num w:numId="34">
    <w:abstractNumId w:val="33"/>
  </w:num>
  <w:num w:numId="35">
    <w:abstractNumId w:val="6"/>
  </w:num>
  <w:num w:numId="36">
    <w:abstractNumId w:val="36"/>
  </w:num>
  <w:num w:numId="37">
    <w:abstractNumId w:val="18"/>
  </w:num>
  <w:num w:numId="38">
    <w:abstractNumId w:val="42"/>
  </w:num>
  <w:num w:numId="39">
    <w:abstractNumId w:val="38"/>
  </w:num>
  <w:num w:numId="40">
    <w:abstractNumId w:val="27"/>
  </w:num>
  <w:num w:numId="41">
    <w:abstractNumId w:val="19"/>
  </w:num>
  <w:num w:numId="42">
    <w:abstractNumId w:val="24"/>
  </w:num>
  <w:num w:numId="43">
    <w:abstractNumId w:val="40"/>
  </w:num>
  <w:num w:numId="44">
    <w:abstractNumId w:val="9"/>
  </w:num>
  <w:num w:numId="45">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686"/>
    <w:rsid w:val="000006B9"/>
    <w:rsid w:val="00000F51"/>
    <w:rsid w:val="0000109A"/>
    <w:rsid w:val="00001AE6"/>
    <w:rsid w:val="00001D55"/>
    <w:rsid w:val="00002BFC"/>
    <w:rsid w:val="00002CE0"/>
    <w:rsid w:val="0000341C"/>
    <w:rsid w:val="000034FD"/>
    <w:rsid w:val="00004D69"/>
    <w:rsid w:val="00004F7F"/>
    <w:rsid w:val="000054C9"/>
    <w:rsid w:val="00005999"/>
    <w:rsid w:val="00005BB9"/>
    <w:rsid w:val="000064CC"/>
    <w:rsid w:val="00006DEE"/>
    <w:rsid w:val="000107D4"/>
    <w:rsid w:val="00010A4C"/>
    <w:rsid w:val="00011568"/>
    <w:rsid w:val="00011D68"/>
    <w:rsid w:val="0001224F"/>
    <w:rsid w:val="00013346"/>
    <w:rsid w:val="00014974"/>
    <w:rsid w:val="00014A7C"/>
    <w:rsid w:val="00014B8C"/>
    <w:rsid w:val="00015337"/>
    <w:rsid w:val="00015D5B"/>
    <w:rsid w:val="00017642"/>
    <w:rsid w:val="00021539"/>
    <w:rsid w:val="00021975"/>
    <w:rsid w:val="00022407"/>
    <w:rsid w:val="000228B8"/>
    <w:rsid w:val="000228D3"/>
    <w:rsid w:val="00022BBA"/>
    <w:rsid w:val="00022CEF"/>
    <w:rsid w:val="00023413"/>
    <w:rsid w:val="0002381B"/>
    <w:rsid w:val="000241C2"/>
    <w:rsid w:val="00024263"/>
    <w:rsid w:val="00024446"/>
    <w:rsid w:val="00024447"/>
    <w:rsid w:val="00024DA2"/>
    <w:rsid w:val="00024EA5"/>
    <w:rsid w:val="0002511D"/>
    <w:rsid w:val="000254A6"/>
    <w:rsid w:val="00025CF3"/>
    <w:rsid w:val="0002652C"/>
    <w:rsid w:val="000271D8"/>
    <w:rsid w:val="0002755F"/>
    <w:rsid w:val="00027FC2"/>
    <w:rsid w:val="00030031"/>
    <w:rsid w:val="00033DBC"/>
    <w:rsid w:val="0003423A"/>
    <w:rsid w:val="0003477F"/>
    <w:rsid w:val="0003515A"/>
    <w:rsid w:val="00036AD8"/>
    <w:rsid w:val="00036FAD"/>
    <w:rsid w:val="00037037"/>
    <w:rsid w:val="00037302"/>
    <w:rsid w:val="0003733C"/>
    <w:rsid w:val="0004005D"/>
    <w:rsid w:val="000409ED"/>
    <w:rsid w:val="00040ADF"/>
    <w:rsid w:val="00040FB4"/>
    <w:rsid w:val="000410FE"/>
    <w:rsid w:val="00041541"/>
    <w:rsid w:val="0004178C"/>
    <w:rsid w:val="000419D7"/>
    <w:rsid w:val="00041F5D"/>
    <w:rsid w:val="000443A6"/>
    <w:rsid w:val="000449D1"/>
    <w:rsid w:val="00045B8D"/>
    <w:rsid w:val="00045CC5"/>
    <w:rsid w:val="00046191"/>
    <w:rsid w:val="00046A81"/>
    <w:rsid w:val="00046B6A"/>
    <w:rsid w:val="000472D4"/>
    <w:rsid w:val="00047747"/>
    <w:rsid w:val="00047A97"/>
    <w:rsid w:val="000504F0"/>
    <w:rsid w:val="000507E0"/>
    <w:rsid w:val="00050E97"/>
    <w:rsid w:val="00052038"/>
    <w:rsid w:val="00052193"/>
    <w:rsid w:val="00052DD3"/>
    <w:rsid w:val="0005326D"/>
    <w:rsid w:val="00053759"/>
    <w:rsid w:val="00053F6C"/>
    <w:rsid w:val="00054542"/>
    <w:rsid w:val="000559AC"/>
    <w:rsid w:val="00055DDB"/>
    <w:rsid w:val="00055F5B"/>
    <w:rsid w:val="00057915"/>
    <w:rsid w:val="0005795F"/>
    <w:rsid w:val="00057C22"/>
    <w:rsid w:val="00057E39"/>
    <w:rsid w:val="00060B14"/>
    <w:rsid w:val="00060D60"/>
    <w:rsid w:val="00060E44"/>
    <w:rsid w:val="00060FBE"/>
    <w:rsid w:val="000615DA"/>
    <w:rsid w:val="0006339C"/>
    <w:rsid w:val="00063E87"/>
    <w:rsid w:val="0006449D"/>
    <w:rsid w:val="00064783"/>
    <w:rsid w:val="000647C2"/>
    <w:rsid w:val="0006512F"/>
    <w:rsid w:val="00067199"/>
    <w:rsid w:val="000675C2"/>
    <w:rsid w:val="000700F3"/>
    <w:rsid w:val="0007021F"/>
    <w:rsid w:val="000709A0"/>
    <w:rsid w:val="00070AB6"/>
    <w:rsid w:val="00070CA9"/>
    <w:rsid w:val="00070E10"/>
    <w:rsid w:val="00071861"/>
    <w:rsid w:val="00072105"/>
    <w:rsid w:val="00072328"/>
    <w:rsid w:val="00072FAF"/>
    <w:rsid w:val="00073D53"/>
    <w:rsid w:val="00073FB5"/>
    <w:rsid w:val="00074199"/>
    <w:rsid w:val="00075111"/>
    <w:rsid w:val="00076F49"/>
    <w:rsid w:val="00077EBF"/>
    <w:rsid w:val="00080241"/>
    <w:rsid w:val="000802AA"/>
    <w:rsid w:val="00080779"/>
    <w:rsid w:val="00081778"/>
    <w:rsid w:val="00081D8A"/>
    <w:rsid w:val="000833BC"/>
    <w:rsid w:val="00084B93"/>
    <w:rsid w:val="00085DFA"/>
    <w:rsid w:val="00086237"/>
    <w:rsid w:val="000870B6"/>
    <w:rsid w:val="00087A60"/>
    <w:rsid w:val="00087B90"/>
    <w:rsid w:val="00090613"/>
    <w:rsid w:val="00090BD1"/>
    <w:rsid w:val="00091143"/>
    <w:rsid w:val="000916EC"/>
    <w:rsid w:val="00091857"/>
    <w:rsid w:val="00091C59"/>
    <w:rsid w:val="00092192"/>
    <w:rsid w:val="00092A21"/>
    <w:rsid w:val="00093D9A"/>
    <w:rsid w:val="0009432C"/>
    <w:rsid w:val="00094656"/>
    <w:rsid w:val="0009587D"/>
    <w:rsid w:val="00096276"/>
    <w:rsid w:val="000962E0"/>
    <w:rsid w:val="000966A2"/>
    <w:rsid w:val="00096A5B"/>
    <w:rsid w:val="00096B52"/>
    <w:rsid w:val="000A0AE1"/>
    <w:rsid w:val="000A10BF"/>
    <w:rsid w:val="000A2ACD"/>
    <w:rsid w:val="000A2B65"/>
    <w:rsid w:val="000A2DA8"/>
    <w:rsid w:val="000A30B7"/>
    <w:rsid w:val="000A3B28"/>
    <w:rsid w:val="000A3BD5"/>
    <w:rsid w:val="000A3DDA"/>
    <w:rsid w:val="000A49D6"/>
    <w:rsid w:val="000A50D8"/>
    <w:rsid w:val="000A56AD"/>
    <w:rsid w:val="000A5C47"/>
    <w:rsid w:val="000A629E"/>
    <w:rsid w:val="000A6390"/>
    <w:rsid w:val="000A6B30"/>
    <w:rsid w:val="000A7AE8"/>
    <w:rsid w:val="000B0654"/>
    <w:rsid w:val="000B101C"/>
    <w:rsid w:val="000B14F9"/>
    <w:rsid w:val="000B22D4"/>
    <w:rsid w:val="000B2EF7"/>
    <w:rsid w:val="000B3330"/>
    <w:rsid w:val="000B4240"/>
    <w:rsid w:val="000B440F"/>
    <w:rsid w:val="000B553C"/>
    <w:rsid w:val="000B60BD"/>
    <w:rsid w:val="000B629F"/>
    <w:rsid w:val="000B6CF0"/>
    <w:rsid w:val="000B6EBC"/>
    <w:rsid w:val="000B720C"/>
    <w:rsid w:val="000B7665"/>
    <w:rsid w:val="000B7838"/>
    <w:rsid w:val="000B78E6"/>
    <w:rsid w:val="000B7961"/>
    <w:rsid w:val="000B79AE"/>
    <w:rsid w:val="000C2229"/>
    <w:rsid w:val="000C24FD"/>
    <w:rsid w:val="000C2B39"/>
    <w:rsid w:val="000C3E96"/>
    <w:rsid w:val="000C6A1B"/>
    <w:rsid w:val="000C7139"/>
    <w:rsid w:val="000C778F"/>
    <w:rsid w:val="000C7C46"/>
    <w:rsid w:val="000D0D78"/>
    <w:rsid w:val="000D13B8"/>
    <w:rsid w:val="000D1B52"/>
    <w:rsid w:val="000D2838"/>
    <w:rsid w:val="000D2D37"/>
    <w:rsid w:val="000D395D"/>
    <w:rsid w:val="000D3D9A"/>
    <w:rsid w:val="000D4C1B"/>
    <w:rsid w:val="000D5523"/>
    <w:rsid w:val="000D6198"/>
    <w:rsid w:val="000D6761"/>
    <w:rsid w:val="000D6BCF"/>
    <w:rsid w:val="000D7660"/>
    <w:rsid w:val="000E01FC"/>
    <w:rsid w:val="000E03DC"/>
    <w:rsid w:val="000E074F"/>
    <w:rsid w:val="000E0D24"/>
    <w:rsid w:val="000E1124"/>
    <w:rsid w:val="000E21A1"/>
    <w:rsid w:val="000E4AF8"/>
    <w:rsid w:val="000E4F0E"/>
    <w:rsid w:val="000E5531"/>
    <w:rsid w:val="000E5938"/>
    <w:rsid w:val="000E5AFA"/>
    <w:rsid w:val="000E6410"/>
    <w:rsid w:val="000E6527"/>
    <w:rsid w:val="000E678B"/>
    <w:rsid w:val="000E78C1"/>
    <w:rsid w:val="000F00A4"/>
    <w:rsid w:val="000F0F5C"/>
    <w:rsid w:val="000F17B3"/>
    <w:rsid w:val="000F2309"/>
    <w:rsid w:val="000F2959"/>
    <w:rsid w:val="000F2E01"/>
    <w:rsid w:val="000F44BC"/>
    <w:rsid w:val="000F4D38"/>
    <w:rsid w:val="000F5A54"/>
    <w:rsid w:val="000F65EE"/>
    <w:rsid w:val="000F6653"/>
    <w:rsid w:val="000F7987"/>
    <w:rsid w:val="000F7CF3"/>
    <w:rsid w:val="0010051C"/>
    <w:rsid w:val="001021D5"/>
    <w:rsid w:val="0010448B"/>
    <w:rsid w:val="0010521F"/>
    <w:rsid w:val="00105558"/>
    <w:rsid w:val="001060E0"/>
    <w:rsid w:val="0010625A"/>
    <w:rsid w:val="001063FA"/>
    <w:rsid w:val="001066FC"/>
    <w:rsid w:val="00107524"/>
    <w:rsid w:val="00107DCD"/>
    <w:rsid w:val="00107EF0"/>
    <w:rsid w:val="00111417"/>
    <w:rsid w:val="00111EB4"/>
    <w:rsid w:val="0011246F"/>
    <w:rsid w:val="001129F3"/>
    <w:rsid w:val="00113596"/>
    <w:rsid w:val="00113C60"/>
    <w:rsid w:val="00114C3B"/>
    <w:rsid w:val="00115691"/>
    <w:rsid w:val="00115833"/>
    <w:rsid w:val="00116422"/>
    <w:rsid w:val="00117039"/>
    <w:rsid w:val="001179C5"/>
    <w:rsid w:val="00117F04"/>
    <w:rsid w:val="001203CB"/>
    <w:rsid w:val="00120BD3"/>
    <w:rsid w:val="00120CF8"/>
    <w:rsid w:val="001210E5"/>
    <w:rsid w:val="00121149"/>
    <w:rsid w:val="0012194E"/>
    <w:rsid w:val="001224AB"/>
    <w:rsid w:val="00122AE3"/>
    <w:rsid w:val="00122EE1"/>
    <w:rsid w:val="00123215"/>
    <w:rsid w:val="00123512"/>
    <w:rsid w:val="00123658"/>
    <w:rsid w:val="001237AF"/>
    <w:rsid w:val="00123B4A"/>
    <w:rsid w:val="001247EB"/>
    <w:rsid w:val="00124F3C"/>
    <w:rsid w:val="00124FAA"/>
    <w:rsid w:val="001250B6"/>
    <w:rsid w:val="00125B61"/>
    <w:rsid w:val="00126122"/>
    <w:rsid w:val="001262FC"/>
    <w:rsid w:val="00127626"/>
    <w:rsid w:val="0012786B"/>
    <w:rsid w:val="00127AFA"/>
    <w:rsid w:val="00131D45"/>
    <w:rsid w:val="001320A9"/>
    <w:rsid w:val="001320F0"/>
    <w:rsid w:val="00132358"/>
    <w:rsid w:val="00132A73"/>
    <w:rsid w:val="001336E0"/>
    <w:rsid w:val="00133C40"/>
    <w:rsid w:val="00133F34"/>
    <w:rsid w:val="00135273"/>
    <w:rsid w:val="0013579B"/>
    <w:rsid w:val="00135FC9"/>
    <w:rsid w:val="00136D1E"/>
    <w:rsid w:val="00137730"/>
    <w:rsid w:val="001377EF"/>
    <w:rsid w:val="00140AD8"/>
    <w:rsid w:val="00140C1F"/>
    <w:rsid w:val="00140E50"/>
    <w:rsid w:val="00140F17"/>
    <w:rsid w:val="00143478"/>
    <w:rsid w:val="00143F2F"/>
    <w:rsid w:val="0014535E"/>
    <w:rsid w:val="00145391"/>
    <w:rsid w:val="00145F40"/>
    <w:rsid w:val="00146624"/>
    <w:rsid w:val="001468AE"/>
    <w:rsid w:val="00147CCE"/>
    <w:rsid w:val="00147E5D"/>
    <w:rsid w:val="00150376"/>
    <w:rsid w:val="001506E9"/>
    <w:rsid w:val="001518DF"/>
    <w:rsid w:val="00151DBD"/>
    <w:rsid w:val="0015232D"/>
    <w:rsid w:val="0015316E"/>
    <w:rsid w:val="001531D6"/>
    <w:rsid w:val="00155434"/>
    <w:rsid w:val="00155B09"/>
    <w:rsid w:val="00155BDA"/>
    <w:rsid w:val="00155D55"/>
    <w:rsid w:val="00155F2A"/>
    <w:rsid w:val="00156FA7"/>
    <w:rsid w:val="001575A4"/>
    <w:rsid w:val="0016023A"/>
    <w:rsid w:val="0016160F"/>
    <w:rsid w:val="00161949"/>
    <w:rsid w:val="00161958"/>
    <w:rsid w:val="00161A09"/>
    <w:rsid w:val="00162378"/>
    <w:rsid w:val="00162DBF"/>
    <w:rsid w:val="00163294"/>
    <w:rsid w:val="00163CDD"/>
    <w:rsid w:val="00163DA3"/>
    <w:rsid w:val="00163DC1"/>
    <w:rsid w:val="00164C96"/>
    <w:rsid w:val="00164CF8"/>
    <w:rsid w:val="001653AE"/>
    <w:rsid w:val="001656EA"/>
    <w:rsid w:val="001661B3"/>
    <w:rsid w:val="001667EF"/>
    <w:rsid w:val="0016761B"/>
    <w:rsid w:val="00167A01"/>
    <w:rsid w:val="00167BDB"/>
    <w:rsid w:val="00170D5B"/>
    <w:rsid w:val="0017240F"/>
    <w:rsid w:val="00172B8F"/>
    <w:rsid w:val="00172C88"/>
    <w:rsid w:val="001736F8"/>
    <w:rsid w:val="00173D85"/>
    <w:rsid w:val="0017423C"/>
    <w:rsid w:val="00174FD4"/>
    <w:rsid w:val="00176E6F"/>
    <w:rsid w:val="001778B2"/>
    <w:rsid w:val="00180F46"/>
    <w:rsid w:val="00182C4A"/>
    <w:rsid w:val="00183AD7"/>
    <w:rsid w:val="001849BA"/>
    <w:rsid w:val="00184BAE"/>
    <w:rsid w:val="00185ADE"/>
    <w:rsid w:val="00185B24"/>
    <w:rsid w:val="0018643F"/>
    <w:rsid w:val="001905A3"/>
    <w:rsid w:val="00191169"/>
    <w:rsid w:val="00191869"/>
    <w:rsid w:val="0019362A"/>
    <w:rsid w:val="001938EE"/>
    <w:rsid w:val="00194070"/>
    <w:rsid w:val="0019474E"/>
    <w:rsid w:val="00194836"/>
    <w:rsid w:val="001951CF"/>
    <w:rsid w:val="001951D6"/>
    <w:rsid w:val="00195728"/>
    <w:rsid w:val="0019591E"/>
    <w:rsid w:val="00195C0F"/>
    <w:rsid w:val="001970BA"/>
    <w:rsid w:val="001970C0"/>
    <w:rsid w:val="00197DC3"/>
    <w:rsid w:val="00197FFD"/>
    <w:rsid w:val="001A0142"/>
    <w:rsid w:val="001A1CB7"/>
    <w:rsid w:val="001A2930"/>
    <w:rsid w:val="001A30D7"/>
    <w:rsid w:val="001A34A1"/>
    <w:rsid w:val="001A420B"/>
    <w:rsid w:val="001A4B97"/>
    <w:rsid w:val="001A4F7D"/>
    <w:rsid w:val="001A5509"/>
    <w:rsid w:val="001A57D3"/>
    <w:rsid w:val="001A651B"/>
    <w:rsid w:val="001A725E"/>
    <w:rsid w:val="001A7504"/>
    <w:rsid w:val="001A7B42"/>
    <w:rsid w:val="001A7D8F"/>
    <w:rsid w:val="001A7FA6"/>
    <w:rsid w:val="001B0DD1"/>
    <w:rsid w:val="001B1A4E"/>
    <w:rsid w:val="001B29EC"/>
    <w:rsid w:val="001B2A97"/>
    <w:rsid w:val="001B2CD4"/>
    <w:rsid w:val="001B38F9"/>
    <w:rsid w:val="001B3C82"/>
    <w:rsid w:val="001B4319"/>
    <w:rsid w:val="001B4AD3"/>
    <w:rsid w:val="001B5030"/>
    <w:rsid w:val="001B5D13"/>
    <w:rsid w:val="001B7329"/>
    <w:rsid w:val="001B770F"/>
    <w:rsid w:val="001B77B5"/>
    <w:rsid w:val="001C02E4"/>
    <w:rsid w:val="001C0FAD"/>
    <w:rsid w:val="001C1399"/>
    <w:rsid w:val="001C174A"/>
    <w:rsid w:val="001C1D05"/>
    <w:rsid w:val="001C262C"/>
    <w:rsid w:val="001C2848"/>
    <w:rsid w:val="001C2A48"/>
    <w:rsid w:val="001C2C67"/>
    <w:rsid w:val="001C43FC"/>
    <w:rsid w:val="001C4667"/>
    <w:rsid w:val="001C59FA"/>
    <w:rsid w:val="001C6836"/>
    <w:rsid w:val="001C69E3"/>
    <w:rsid w:val="001C6DFD"/>
    <w:rsid w:val="001D138C"/>
    <w:rsid w:val="001D1A49"/>
    <w:rsid w:val="001D23A8"/>
    <w:rsid w:val="001D303C"/>
    <w:rsid w:val="001D32C0"/>
    <w:rsid w:val="001D36CE"/>
    <w:rsid w:val="001D3714"/>
    <w:rsid w:val="001D3A64"/>
    <w:rsid w:val="001D50EE"/>
    <w:rsid w:val="001D5793"/>
    <w:rsid w:val="001D5E94"/>
    <w:rsid w:val="001D64E2"/>
    <w:rsid w:val="001D6593"/>
    <w:rsid w:val="001D6CA5"/>
    <w:rsid w:val="001D74A7"/>
    <w:rsid w:val="001D7694"/>
    <w:rsid w:val="001E15F2"/>
    <w:rsid w:val="001E22F7"/>
    <w:rsid w:val="001E3757"/>
    <w:rsid w:val="001E456B"/>
    <w:rsid w:val="001E465F"/>
    <w:rsid w:val="001E51BB"/>
    <w:rsid w:val="001E6092"/>
    <w:rsid w:val="001E7AAD"/>
    <w:rsid w:val="001F174D"/>
    <w:rsid w:val="001F21DB"/>
    <w:rsid w:val="001F2902"/>
    <w:rsid w:val="001F3F36"/>
    <w:rsid w:val="001F5C4D"/>
    <w:rsid w:val="001F6560"/>
    <w:rsid w:val="001F658C"/>
    <w:rsid w:val="001F675C"/>
    <w:rsid w:val="001F6BA2"/>
    <w:rsid w:val="001F6F44"/>
    <w:rsid w:val="001F7563"/>
    <w:rsid w:val="001F7599"/>
    <w:rsid w:val="001F7A9A"/>
    <w:rsid w:val="00201210"/>
    <w:rsid w:val="00201F34"/>
    <w:rsid w:val="00203B47"/>
    <w:rsid w:val="00203F33"/>
    <w:rsid w:val="00203F67"/>
    <w:rsid w:val="00204B1C"/>
    <w:rsid w:val="00204DF0"/>
    <w:rsid w:val="00206375"/>
    <w:rsid w:val="00206E00"/>
    <w:rsid w:val="002079E1"/>
    <w:rsid w:val="00207F59"/>
    <w:rsid w:val="00211600"/>
    <w:rsid w:val="00211DC1"/>
    <w:rsid w:val="00211DC3"/>
    <w:rsid w:val="002128C7"/>
    <w:rsid w:val="00213EBB"/>
    <w:rsid w:val="00214ABA"/>
    <w:rsid w:val="002155B6"/>
    <w:rsid w:val="002157E4"/>
    <w:rsid w:val="00215AFB"/>
    <w:rsid w:val="00215DEA"/>
    <w:rsid w:val="00216C91"/>
    <w:rsid w:val="002200D8"/>
    <w:rsid w:val="002204AD"/>
    <w:rsid w:val="00221053"/>
    <w:rsid w:val="00221CAC"/>
    <w:rsid w:val="00221FBE"/>
    <w:rsid w:val="002221D6"/>
    <w:rsid w:val="002223F2"/>
    <w:rsid w:val="00223170"/>
    <w:rsid w:val="00223664"/>
    <w:rsid w:val="0022386F"/>
    <w:rsid w:val="002238AB"/>
    <w:rsid w:val="00223A56"/>
    <w:rsid w:val="00224A67"/>
    <w:rsid w:val="00225833"/>
    <w:rsid w:val="00225B2D"/>
    <w:rsid w:val="00226095"/>
    <w:rsid w:val="002262FE"/>
    <w:rsid w:val="00226401"/>
    <w:rsid w:val="002276CB"/>
    <w:rsid w:val="00227B89"/>
    <w:rsid w:val="00227F43"/>
    <w:rsid w:val="002324E3"/>
    <w:rsid w:val="00233679"/>
    <w:rsid w:val="002338D0"/>
    <w:rsid w:val="00234640"/>
    <w:rsid w:val="0023525D"/>
    <w:rsid w:val="002364D2"/>
    <w:rsid w:val="002368DD"/>
    <w:rsid w:val="00237CF9"/>
    <w:rsid w:val="00240106"/>
    <w:rsid w:val="002405E2"/>
    <w:rsid w:val="002406CC"/>
    <w:rsid w:val="002411C7"/>
    <w:rsid w:val="00241478"/>
    <w:rsid w:val="002414CB"/>
    <w:rsid w:val="00242491"/>
    <w:rsid w:val="00242C92"/>
    <w:rsid w:val="00242E83"/>
    <w:rsid w:val="00242F4E"/>
    <w:rsid w:val="002447E3"/>
    <w:rsid w:val="002452A0"/>
    <w:rsid w:val="00245C49"/>
    <w:rsid w:val="002463A6"/>
    <w:rsid w:val="00246ADB"/>
    <w:rsid w:val="0024761E"/>
    <w:rsid w:val="002478F5"/>
    <w:rsid w:val="00247F76"/>
    <w:rsid w:val="002505D4"/>
    <w:rsid w:val="002505DE"/>
    <w:rsid w:val="002517A5"/>
    <w:rsid w:val="00251F6C"/>
    <w:rsid w:val="0025249C"/>
    <w:rsid w:val="00252DE0"/>
    <w:rsid w:val="00253055"/>
    <w:rsid w:val="002539ED"/>
    <w:rsid w:val="00254002"/>
    <w:rsid w:val="0025440D"/>
    <w:rsid w:val="0025450E"/>
    <w:rsid w:val="00254ABE"/>
    <w:rsid w:val="00255152"/>
    <w:rsid w:val="0025554E"/>
    <w:rsid w:val="00255969"/>
    <w:rsid w:val="00255B7D"/>
    <w:rsid w:val="00255E43"/>
    <w:rsid w:val="002573E7"/>
    <w:rsid w:val="0026054C"/>
    <w:rsid w:val="002610C3"/>
    <w:rsid w:val="00261293"/>
    <w:rsid w:val="0026157C"/>
    <w:rsid w:val="00262C7B"/>
    <w:rsid w:val="002631CB"/>
    <w:rsid w:val="0026353B"/>
    <w:rsid w:val="002638F4"/>
    <w:rsid w:val="0026456C"/>
    <w:rsid w:val="00264935"/>
    <w:rsid w:val="00265C26"/>
    <w:rsid w:val="002665E9"/>
    <w:rsid w:val="00266CAF"/>
    <w:rsid w:val="002678A6"/>
    <w:rsid w:val="00267A69"/>
    <w:rsid w:val="00271203"/>
    <w:rsid w:val="0027160C"/>
    <w:rsid w:val="002736ED"/>
    <w:rsid w:val="00274231"/>
    <w:rsid w:val="0027478A"/>
    <w:rsid w:val="002751D1"/>
    <w:rsid w:val="00275209"/>
    <w:rsid w:val="00275591"/>
    <w:rsid w:val="00275618"/>
    <w:rsid w:val="002756B1"/>
    <w:rsid w:val="00275F36"/>
    <w:rsid w:val="00277A68"/>
    <w:rsid w:val="00283FE9"/>
    <w:rsid w:val="002840FA"/>
    <w:rsid w:val="00284340"/>
    <w:rsid w:val="0028543B"/>
    <w:rsid w:val="002861F9"/>
    <w:rsid w:val="00286918"/>
    <w:rsid w:val="00286CFD"/>
    <w:rsid w:val="00287193"/>
    <w:rsid w:val="00287E78"/>
    <w:rsid w:val="00290304"/>
    <w:rsid w:val="002904AC"/>
    <w:rsid w:val="002905FA"/>
    <w:rsid w:val="00290676"/>
    <w:rsid w:val="00290F42"/>
    <w:rsid w:val="0029122F"/>
    <w:rsid w:val="00291462"/>
    <w:rsid w:val="00291572"/>
    <w:rsid w:val="00291749"/>
    <w:rsid w:val="002918A1"/>
    <w:rsid w:val="00291EB6"/>
    <w:rsid w:val="00291F4F"/>
    <w:rsid w:val="002922FB"/>
    <w:rsid w:val="002935FC"/>
    <w:rsid w:val="00293D73"/>
    <w:rsid w:val="0029591E"/>
    <w:rsid w:val="00295F01"/>
    <w:rsid w:val="002A04B4"/>
    <w:rsid w:val="002A06D8"/>
    <w:rsid w:val="002A13F0"/>
    <w:rsid w:val="002A145B"/>
    <w:rsid w:val="002A1534"/>
    <w:rsid w:val="002A18BE"/>
    <w:rsid w:val="002A2C5A"/>
    <w:rsid w:val="002A3492"/>
    <w:rsid w:val="002A36F6"/>
    <w:rsid w:val="002A4084"/>
    <w:rsid w:val="002A4AD6"/>
    <w:rsid w:val="002A4DB7"/>
    <w:rsid w:val="002A58F6"/>
    <w:rsid w:val="002A6352"/>
    <w:rsid w:val="002A7196"/>
    <w:rsid w:val="002A71BA"/>
    <w:rsid w:val="002A76AE"/>
    <w:rsid w:val="002A7B4D"/>
    <w:rsid w:val="002B1384"/>
    <w:rsid w:val="002B2DF8"/>
    <w:rsid w:val="002B3681"/>
    <w:rsid w:val="002B44EE"/>
    <w:rsid w:val="002B54A0"/>
    <w:rsid w:val="002B59E1"/>
    <w:rsid w:val="002B5C32"/>
    <w:rsid w:val="002B5EC8"/>
    <w:rsid w:val="002B667C"/>
    <w:rsid w:val="002B7CA4"/>
    <w:rsid w:val="002C11CA"/>
    <w:rsid w:val="002C1F0F"/>
    <w:rsid w:val="002C1F19"/>
    <w:rsid w:val="002C45E8"/>
    <w:rsid w:val="002C53C5"/>
    <w:rsid w:val="002C6068"/>
    <w:rsid w:val="002C70CE"/>
    <w:rsid w:val="002D038D"/>
    <w:rsid w:val="002D0B3A"/>
    <w:rsid w:val="002D1748"/>
    <w:rsid w:val="002D284B"/>
    <w:rsid w:val="002D350C"/>
    <w:rsid w:val="002D5097"/>
    <w:rsid w:val="002D55E4"/>
    <w:rsid w:val="002D690D"/>
    <w:rsid w:val="002D6B9A"/>
    <w:rsid w:val="002E0002"/>
    <w:rsid w:val="002E072D"/>
    <w:rsid w:val="002E1177"/>
    <w:rsid w:val="002E371C"/>
    <w:rsid w:val="002E3F9E"/>
    <w:rsid w:val="002E4DBD"/>
    <w:rsid w:val="002E606E"/>
    <w:rsid w:val="002E63BE"/>
    <w:rsid w:val="002E7775"/>
    <w:rsid w:val="002E7AD2"/>
    <w:rsid w:val="002F1399"/>
    <w:rsid w:val="002F16D2"/>
    <w:rsid w:val="002F25F5"/>
    <w:rsid w:val="002F3296"/>
    <w:rsid w:val="002F32FB"/>
    <w:rsid w:val="002F4115"/>
    <w:rsid w:val="002F467D"/>
    <w:rsid w:val="002F53F8"/>
    <w:rsid w:val="002F5611"/>
    <w:rsid w:val="002F5B6D"/>
    <w:rsid w:val="002F5F5E"/>
    <w:rsid w:val="002F5F85"/>
    <w:rsid w:val="002F693F"/>
    <w:rsid w:val="00300670"/>
    <w:rsid w:val="003008CC"/>
    <w:rsid w:val="00301763"/>
    <w:rsid w:val="00302252"/>
    <w:rsid w:val="00303C60"/>
    <w:rsid w:val="00304A30"/>
    <w:rsid w:val="00304FB8"/>
    <w:rsid w:val="003057CD"/>
    <w:rsid w:val="00305993"/>
    <w:rsid w:val="00307299"/>
    <w:rsid w:val="00307E0A"/>
    <w:rsid w:val="0031097C"/>
    <w:rsid w:val="00310B9B"/>
    <w:rsid w:val="00310C3F"/>
    <w:rsid w:val="003111AF"/>
    <w:rsid w:val="003117FA"/>
    <w:rsid w:val="003120E4"/>
    <w:rsid w:val="003129A9"/>
    <w:rsid w:val="00313DFB"/>
    <w:rsid w:val="003140D2"/>
    <w:rsid w:val="00314194"/>
    <w:rsid w:val="0031437C"/>
    <w:rsid w:val="00314570"/>
    <w:rsid w:val="00314A98"/>
    <w:rsid w:val="00315242"/>
    <w:rsid w:val="003155EA"/>
    <w:rsid w:val="00316C38"/>
    <w:rsid w:val="00317714"/>
    <w:rsid w:val="0031786E"/>
    <w:rsid w:val="00320A17"/>
    <w:rsid w:val="003219DB"/>
    <w:rsid w:val="00322DA9"/>
    <w:rsid w:val="00322E47"/>
    <w:rsid w:val="0032302E"/>
    <w:rsid w:val="0032309B"/>
    <w:rsid w:val="003236D1"/>
    <w:rsid w:val="00323AF6"/>
    <w:rsid w:val="003251C2"/>
    <w:rsid w:val="00325FA0"/>
    <w:rsid w:val="003265E5"/>
    <w:rsid w:val="00326F1C"/>
    <w:rsid w:val="00327162"/>
    <w:rsid w:val="00327403"/>
    <w:rsid w:val="00327932"/>
    <w:rsid w:val="003302EF"/>
    <w:rsid w:val="0033047D"/>
    <w:rsid w:val="003304A7"/>
    <w:rsid w:val="00330A0A"/>
    <w:rsid w:val="00330F2C"/>
    <w:rsid w:val="0033246D"/>
    <w:rsid w:val="00332677"/>
    <w:rsid w:val="003328A9"/>
    <w:rsid w:val="0033446B"/>
    <w:rsid w:val="003354F2"/>
    <w:rsid w:val="00336C97"/>
    <w:rsid w:val="003371B5"/>
    <w:rsid w:val="0033781B"/>
    <w:rsid w:val="00337945"/>
    <w:rsid w:val="00337BAF"/>
    <w:rsid w:val="00340341"/>
    <w:rsid w:val="00340898"/>
    <w:rsid w:val="003417CB"/>
    <w:rsid w:val="003433A1"/>
    <w:rsid w:val="003435A9"/>
    <w:rsid w:val="00343858"/>
    <w:rsid w:val="00344649"/>
    <w:rsid w:val="00345496"/>
    <w:rsid w:val="00345BCF"/>
    <w:rsid w:val="0034664B"/>
    <w:rsid w:val="003466F9"/>
    <w:rsid w:val="00346998"/>
    <w:rsid w:val="00350092"/>
    <w:rsid w:val="003511E6"/>
    <w:rsid w:val="003519AD"/>
    <w:rsid w:val="00351E0E"/>
    <w:rsid w:val="00352619"/>
    <w:rsid w:val="00354E64"/>
    <w:rsid w:val="00354EB4"/>
    <w:rsid w:val="00355379"/>
    <w:rsid w:val="00355C9C"/>
    <w:rsid w:val="003564C4"/>
    <w:rsid w:val="00356D29"/>
    <w:rsid w:val="003571C2"/>
    <w:rsid w:val="003573CB"/>
    <w:rsid w:val="00360E64"/>
    <w:rsid w:val="00362AAA"/>
    <w:rsid w:val="00363DA4"/>
    <w:rsid w:val="003640A7"/>
    <w:rsid w:val="0036499F"/>
    <w:rsid w:val="003649F9"/>
    <w:rsid w:val="003653D5"/>
    <w:rsid w:val="00365447"/>
    <w:rsid w:val="00366928"/>
    <w:rsid w:val="0036733D"/>
    <w:rsid w:val="0036794E"/>
    <w:rsid w:val="00367D77"/>
    <w:rsid w:val="00367E3C"/>
    <w:rsid w:val="003708CE"/>
    <w:rsid w:val="00372D23"/>
    <w:rsid w:val="003730E0"/>
    <w:rsid w:val="003731E0"/>
    <w:rsid w:val="0037456F"/>
    <w:rsid w:val="00375707"/>
    <w:rsid w:val="00376875"/>
    <w:rsid w:val="003769A6"/>
    <w:rsid w:val="003773D4"/>
    <w:rsid w:val="0037783E"/>
    <w:rsid w:val="003779E0"/>
    <w:rsid w:val="00377E74"/>
    <w:rsid w:val="00380950"/>
    <w:rsid w:val="0038146C"/>
    <w:rsid w:val="00381C5F"/>
    <w:rsid w:val="00382609"/>
    <w:rsid w:val="00382E5E"/>
    <w:rsid w:val="00386124"/>
    <w:rsid w:val="00386283"/>
    <w:rsid w:val="003864D5"/>
    <w:rsid w:val="00390567"/>
    <w:rsid w:val="00391214"/>
    <w:rsid w:val="00391D18"/>
    <w:rsid w:val="00391D19"/>
    <w:rsid w:val="00392231"/>
    <w:rsid w:val="003927F2"/>
    <w:rsid w:val="00392DD0"/>
    <w:rsid w:val="003932F6"/>
    <w:rsid w:val="003966F6"/>
    <w:rsid w:val="0039677D"/>
    <w:rsid w:val="003967ED"/>
    <w:rsid w:val="00396CD8"/>
    <w:rsid w:val="003974C2"/>
    <w:rsid w:val="003977F6"/>
    <w:rsid w:val="003A0660"/>
    <w:rsid w:val="003A0D52"/>
    <w:rsid w:val="003A1355"/>
    <w:rsid w:val="003A2ED1"/>
    <w:rsid w:val="003A37C9"/>
    <w:rsid w:val="003A3F1A"/>
    <w:rsid w:val="003A4979"/>
    <w:rsid w:val="003A4C47"/>
    <w:rsid w:val="003A59A0"/>
    <w:rsid w:val="003A6724"/>
    <w:rsid w:val="003A6CF3"/>
    <w:rsid w:val="003A6E1A"/>
    <w:rsid w:val="003A7110"/>
    <w:rsid w:val="003A747D"/>
    <w:rsid w:val="003B0BA1"/>
    <w:rsid w:val="003B1A14"/>
    <w:rsid w:val="003B1DBA"/>
    <w:rsid w:val="003B2750"/>
    <w:rsid w:val="003B32B4"/>
    <w:rsid w:val="003B35BC"/>
    <w:rsid w:val="003B42F6"/>
    <w:rsid w:val="003B4599"/>
    <w:rsid w:val="003B509A"/>
    <w:rsid w:val="003B5279"/>
    <w:rsid w:val="003B5B15"/>
    <w:rsid w:val="003B613F"/>
    <w:rsid w:val="003B61B7"/>
    <w:rsid w:val="003B6572"/>
    <w:rsid w:val="003B6754"/>
    <w:rsid w:val="003B72C8"/>
    <w:rsid w:val="003C0F67"/>
    <w:rsid w:val="003C1188"/>
    <w:rsid w:val="003C1AE2"/>
    <w:rsid w:val="003C2D04"/>
    <w:rsid w:val="003C32AC"/>
    <w:rsid w:val="003C33CC"/>
    <w:rsid w:val="003C4F65"/>
    <w:rsid w:val="003C4F68"/>
    <w:rsid w:val="003C4F8F"/>
    <w:rsid w:val="003C62C1"/>
    <w:rsid w:val="003C6352"/>
    <w:rsid w:val="003C6B59"/>
    <w:rsid w:val="003C6DA3"/>
    <w:rsid w:val="003C79F2"/>
    <w:rsid w:val="003C7FE9"/>
    <w:rsid w:val="003D0F5B"/>
    <w:rsid w:val="003D299E"/>
    <w:rsid w:val="003D3371"/>
    <w:rsid w:val="003D34AD"/>
    <w:rsid w:val="003D37A0"/>
    <w:rsid w:val="003D55E1"/>
    <w:rsid w:val="003D641A"/>
    <w:rsid w:val="003D6D88"/>
    <w:rsid w:val="003D71EB"/>
    <w:rsid w:val="003E125E"/>
    <w:rsid w:val="003E14AC"/>
    <w:rsid w:val="003E22CB"/>
    <w:rsid w:val="003E2343"/>
    <w:rsid w:val="003E2C8D"/>
    <w:rsid w:val="003E2D3D"/>
    <w:rsid w:val="003E406B"/>
    <w:rsid w:val="003E47D0"/>
    <w:rsid w:val="003E48A5"/>
    <w:rsid w:val="003E4D82"/>
    <w:rsid w:val="003E4E27"/>
    <w:rsid w:val="003E4F96"/>
    <w:rsid w:val="003E548F"/>
    <w:rsid w:val="003E5CCA"/>
    <w:rsid w:val="003E61A0"/>
    <w:rsid w:val="003E71A4"/>
    <w:rsid w:val="003E73A3"/>
    <w:rsid w:val="003E7773"/>
    <w:rsid w:val="003F115E"/>
    <w:rsid w:val="003F14C2"/>
    <w:rsid w:val="003F1821"/>
    <w:rsid w:val="003F1B47"/>
    <w:rsid w:val="003F2210"/>
    <w:rsid w:val="003F2BE8"/>
    <w:rsid w:val="003F2D8B"/>
    <w:rsid w:val="003F3C4E"/>
    <w:rsid w:val="003F535C"/>
    <w:rsid w:val="003F5629"/>
    <w:rsid w:val="003F705A"/>
    <w:rsid w:val="003F7196"/>
    <w:rsid w:val="004008AF"/>
    <w:rsid w:val="00400B5F"/>
    <w:rsid w:val="00401DBF"/>
    <w:rsid w:val="00401E6D"/>
    <w:rsid w:val="0040226B"/>
    <w:rsid w:val="004033D9"/>
    <w:rsid w:val="00403F99"/>
    <w:rsid w:val="004040A0"/>
    <w:rsid w:val="004046BD"/>
    <w:rsid w:val="00404A94"/>
    <w:rsid w:val="0040551F"/>
    <w:rsid w:val="00405B93"/>
    <w:rsid w:val="004064F2"/>
    <w:rsid w:val="0040771F"/>
    <w:rsid w:val="00407BE6"/>
    <w:rsid w:val="00407CD9"/>
    <w:rsid w:val="004111F7"/>
    <w:rsid w:val="0041217D"/>
    <w:rsid w:val="004125C6"/>
    <w:rsid w:val="0041275F"/>
    <w:rsid w:val="0041297C"/>
    <w:rsid w:val="00416C8A"/>
    <w:rsid w:val="00417106"/>
    <w:rsid w:val="00421A89"/>
    <w:rsid w:val="00421B7A"/>
    <w:rsid w:val="00421EBC"/>
    <w:rsid w:val="0042304B"/>
    <w:rsid w:val="00423E9C"/>
    <w:rsid w:val="00424084"/>
    <w:rsid w:val="00424DCF"/>
    <w:rsid w:val="00424FC7"/>
    <w:rsid w:val="0042550C"/>
    <w:rsid w:val="00426235"/>
    <w:rsid w:val="004273AD"/>
    <w:rsid w:val="004305AE"/>
    <w:rsid w:val="00430FAE"/>
    <w:rsid w:val="004310C7"/>
    <w:rsid w:val="00431430"/>
    <w:rsid w:val="00431800"/>
    <w:rsid w:val="00433541"/>
    <w:rsid w:val="004337FC"/>
    <w:rsid w:val="0043384F"/>
    <w:rsid w:val="004357FA"/>
    <w:rsid w:val="004358D1"/>
    <w:rsid w:val="0043624B"/>
    <w:rsid w:val="00436514"/>
    <w:rsid w:val="00437430"/>
    <w:rsid w:val="00437943"/>
    <w:rsid w:val="00440787"/>
    <w:rsid w:val="0044093B"/>
    <w:rsid w:val="004412E2"/>
    <w:rsid w:val="004423F7"/>
    <w:rsid w:val="00442A49"/>
    <w:rsid w:val="00443AEA"/>
    <w:rsid w:val="00444167"/>
    <w:rsid w:val="004445EC"/>
    <w:rsid w:val="00444A42"/>
    <w:rsid w:val="00444F74"/>
    <w:rsid w:val="00446477"/>
    <w:rsid w:val="00446583"/>
    <w:rsid w:val="0044663D"/>
    <w:rsid w:val="0044690B"/>
    <w:rsid w:val="00446BBE"/>
    <w:rsid w:val="00446D11"/>
    <w:rsid w:val="0044782C"/>
    <w:rsid w:val="0045093D"/>
    <w:rsid w:val="00451538"/>
    <w:rsid w:val="00451645"/>
    <w:rsid w:val="0045177D"/>
    <w:rsid w:val="004533D3"/>
    <w:rsid w:val="004539A6"/>
    <w:rsid w:val="00453A4E"/>
    <w:rsid w:val="004546FF"/>
    <w:rsid w:val="00454F8E"/>
    <w:rsid w:val="004572E6"/>
    <w:rsid w:val="0046013A"/>
    <w:rsid w:val="00460429"/>
    <w:rsid w:val="00460911"/>
    <w:rsid w:val="0046134F"/>
    <w:rsid w:val="00462020"/>
    <w:rsid w:val="00462778"/>
    <w:rsid w:val="004630EA"/>
    <w:rsid w:val="00464F6C"/>
    <w:rsid w:val="00466262"/>
    <w:rsid w:val="00467575"/>
    <w:rsid w:val="00467B74"/>
    <w:rsid w:val="004713EC"/>
    <w:rsid w:val="0047157F"/>
    <w:rsid w:val="00471D0D"/>
    <w:rsid w:val="00474E01"/>
    <w:rsid w:val="00475498"/>
    <w:rsid w:val="00475833"/>
    <w:rsid w:val="00476084"/>
    <w:rsid w:val="00480D50"/>
    <w:rsid w:val="0048102A"/>
    <w:rsid w:val="0048261C"/>
    <w:rsid w:val="0048271C"/>
    <w:rsid w:val="00482804"/>
    <w:rsid w:val="00482B47"/>
    <w:rsid w:val="0048323E"/>
    <w:rsid w:val="00483BC9"/>
    <w:rsid w:val="0048445B"/>
    <w:rsid w:val="004847E5"/>
    <w:rsid w:val="00484DC5"/>
    <w:rsid w:val="00484EAD"/>
    <w:rsid w:val="00485675"/>
    <w:rsid w:val="00485743"/>
    <w:rsid w:val="00487719"/>
    <w:rsid w:val="00487B02"/>
    <w:rsid w:val="00487C85"/>
    <w:rsid w:val="00490DC4"/>
    <w:rsid w:val="00491722"/>
    <w:rsid w:val="0049184B"/>
    <w:rsid w:val="004920BC"/>
    <w:rsid w:val="00492EBE"/>
    <w:rsid w:val="004930F6"/>
    <w:rsid w:val="00494164"/>
    <w:rsid w:val="00494893"/>
    <w:rsid w:val="00494EAF"/>
    <w:rsid w:val="00494F64"/>
    <w:rsid w:val="004960C3"/>
    <w:rsid w:val="00496B84"/>
    <w:rsid w:val="00497562"/>
    <w:rsid w:val="004979C1"/>
    <w:rsid w:val="00497B95"/>
    <w:rsid w:val="00497B9F"/>
    <w:rsid w:val="00497DBD"/>
    <w:rsid w:val="004A1771"/>
    <w:rsid w:val="004A18FD"/>
    <w:rsid w:val="004A2084"/>
    <w:rsid w:val="004A4430"/>
    <w:rsid w:val="004A4FDF"/>
    <w:rsid w:val="004A5489"/>
    <w:rsid w:val="004A5E73"/>
    <w:rsid w:val="004A6FE5"/>
    <w:rsid w:val="004A7A52"/>
    <w:rsid w:val="004B0BFA"/>
    <w:rsid w:val="004B0D28"/>
    <w:rsid w:val="004B121B"/>
    <w:rsid w:val="004B17C7"/>
    <w:rsid w:val="004B17F2"/>
    <w:rsid w:val="004B19FE"/>
    <w:rsid w:val="004B1BE4"/>
    <w:rsid w:val="004B1F69"/>
    <w:rsid w:val="004B2A4D"/>
    <w:rsid w:val="004B2F45"/>
    <w:rsid w:val="004B33C2"/>
    <w:rsid w:val="004B4214"/>
    <w:rsid w:val="004B544F"/>
    <w:rsid w:val="004B58E3"/>
    <w:rsid w:val="004B689D"/>
    <w:rsid w:val="004B725B"/>
    <w:rsid w:val="004C0E97"/>
    <w:rsid w:val="004C11D5"/>
    <w:rsid w:val="004C1EEF"/>
    <w:rsid w:val="004C20E1"/>
    <w:rsid w:val="004C2D0C"/>
    <w:rsid w:val="004C45E4"/>
    <w:rsid w:val="004C48C8"/>
    <w:rsid w:val="004C4ABC"/>
    <w:rsid w:val="004C598D"/>
    <w:rsid w:val="004C72BC"/>
    <w:rsid w:val="004C771C"/>
    <w:rsid w:val="004D0296"/>
    <w:rsid w:val="004D07B5"/>
    <w:rsid w:val="004D0830"/>
    <w:rsid w:val="004D0C65"/>
    <w:rsid w:val="004D1CFB"/>
    <w:rsid w:val="004D3897"/>
    <w:rsid w:val="004D3CB3"/>
    <w:rsid w:val="004D3F19"/>
    <w:rsid w:val="004D4425"/>
    <w:rsid w:val="004D5010"/>
    <w:rsid w:val="004D64BB"/>
    <w:rsid w:val="004E0748"/>
    <w:rsid w:val="004E1B23"/>
    <w:rsid w:val="004E2BD6"/>
    <w:rsid w:val="004E5BF4"/>
    <w:rsid w:val="004E6008"/>
    <w:rsid w:val="004E6195"/>
    <w:rsid w:val="004E68EA"/>
    <w:rsid w:val="004E71A7"/>
    <w:rsid w:val="004E7A69"/>
    <w:rsid w:val="004E7BF0"/>
    <w:rsid w:val="004F035C"/>
    <w:rsid w:val="004F0764"/>
    <w:rsid w:val="004F10DF"/>
    <w:rsid w:val="004F1F33"/>
    <w:rsid w:val="004F5B05"/>
    <w:rsid w:val="004F6AD3"/>
    <w:rsid w:val="0050011E"/>
    <w:rsid w:val="00500E71"/>
    <w:rsid w:val="00501386"/>
    <w:rsid w:val="00501BD9"/>
    <w:rsid w:val="00501C25"/>
    <w:rsid w:val="005027A6"/>
    <w:rsid w:val="00502DAE"/>
    <w:rsid w:val="00502FFB"/>
    <w:rsid w:val="005038A0"/>
    <w:rsid w:val="0050457E"/>
    <w:rsid w:val="00504A82"/>
    <w:rsid w:val="00505642"/>
    <w:rsid w:val="00505E19"/>
    <w:rsid w:val="00506F87"/>
    <w:rsid w:val="00507D2C"/>
    <w:rsid w:val="005103C5"/>
    <w:rsid w:val="00510516"/>
    <w:rsid w:val="00510BAB"/>
    <w:rsid w:val="00511532"/>
    <w:rsid w:val="00511D9B"/>
    <w:rsid w:val="005124BF"/>
    <w:rsid w:val="005131D3"/>
    <w:rsid w:val="00513492"/>
    <w:rsid w:val="0051352C"/>
    <w:rsid w:val="0051396E"/>
    <w:rsid w:val="00514BD7"/>
    <w:rsid w:val="00514FC2"/>
    <w:rsid w:val="005157E4"/>
    <w:rsid w:val="00515BFA"/>
    <w:rsid w:val="0051626C"/>
    <w:rsid w:val="0051796C"/>
    <w:rsid w:val="00517A86"/>
    <w:rsid w:val="00517B9F"/>
    <w:rsid w:val="00517F9C"/>
    <w:rsid w:val="00520BB8"/>
    <w:rsid w:val="00522C4A"/>
    <w:rsid w:val="005231F4"/>
    <w:rsid w:val="0052349D"/>
    <w:rsid w:val="00524BE8"/>
    <w:rsid w:val="0052575D"/>
    <w:rsid w:val="00526C92"/>
    <w:rsid w:val="005275FC"/>
    <w:rsid w:val="0052768C"/>
    <w:rsid w:val="00530482"/>
    <w:rsid w:val="00530896"/>
    <w:rsid w:val="005310AF"/>
    <w:rsid w:val="00531370"/>
    <w:rsid w:val="00531F72"/>
    <w:rsid w:val="00532218"/>
    <w:rsid w:val="005342C3"/>
    <w:rsid w:val="005359FA"/>
    <w:rsid w:val="00535A19"/>
    <w:rsid w:val="005362F5"/>
    <w:rsid w:val="00536CED"/>
    <w:rsid w:val="0053725B"/>
    <w:rsid w:val="005374B6"/>
    <w:rsid w:val="0054090F"/>
    <w:rsid w:val="00540C57"/>
    <w:rsid w:val="00540C79"/>
    <w:rsid w:val="00541274"/>
    <w:rsid w:val="005414BF"/>
    <w:rsid w:val="00541FF0"/>
    <w:rsid w:val="00542262"/>
    <w:rsid w:val="00543C08"/>
    <w:rsid w:val="00544D30"/>
    <w:rsid w:val="005465A9"/>
    <w:rsid w:val="00547410"/>
    <w:rsid w:val="0054754A"/>
    <w:rsid w:val="00547EC5"/>
    <w:rsid w:val="00550010"/>
    <w:rsid w:val="005511FE"/>
    <w:rsid w:val="005516B4"/>
    <w:rsid w:val="00551AF3"/>
    <w:rsid w:val="005523D0"/>
    <w:rsid w:val="005531BD"/>
    <w:rsid w:val="00553EF1"/>
    <w:rsid w:val="00554C78"/>
    <w:rsid w:val="00555E8B"/>
    <w:rsid w:val="005567B2"/>
    <w:rsid w:val="00557870"/>
    <w:rsid w:val="00560277"/>
    <w:rsid w:val="00560938"/>
    <w:rsid w:val="00560AF1"/>
    <w:rsid w:val="00560F20"/>
    <w:rsid w:val="00561562"/>
    <w:rsid w:val="00562295"/>
    <w:rsid w:val="00563DE6"/>
    <w:rsid w:val="0056528D"/>
    <w:rsid w:val="00565C55"/>
    <w:rsid w:val="0056628B"/>
    <w:rsid w:val="00566298"/>
    <w:rsid w:val="00567946"/>
    <w:rsid w:val="00570282"/>
    <w:rsid w:val="00570305"/>
    <w:rsid w:val="005704DF"/>
    <w:rsid w:val="0057091E"/>
    <w:rsid w:val="005711F2"/>
    <w:rsid w:val="005723D6"/>
    <w:rsid w:val="0057305A"/>
    <w:rsid w:val="00574A6E"/>
    <w:rsid w:val="005762DC"/>
    <w:rsid w:val="005769CE"/>
    <w:rsid w:val="00576CAA"/>
    <w:rsid w:val="00577145"/>
    <w:rsid w:val="0057734D"/>
    <w:rsid w:val="005773BE"/>
    <w:rsid w:val="00577D14"/>
    <w:rsid w:val="00580585"/>
    <w:rsid w:val="00580E53"/>
    <w:rsid w:val="005816DD"/>
    <w:rsid w:val="00581D4F"/>
    <w:rsid w:val="00582365"/>
    <w:rsid w:val="00582D39"/>
    <w:rsid w:val="00583B66"/>
    <w:rsid w:val="00583DFA"/>
    <w:rsid w:val="005852B4"/>
    <w:rsid w:val="00585373"/>
    <w:rsid w:val="00585C1B"/>
    <w:rsid w:val="00587292"/>
    <w:rsid w:val="00587639"/>
    <w:rsid w:val="005910BE"/>
    <w:rsid w:val="00591834"/>
    <w:rsid w:val="00592638"/>
    <w:rsid w:val="00593138"/>
    <w:rsid w:val="00593A33"/>
    <w:rsid w:val="00593C57"/>
    <w:rsid w:val="00593D2E"/>
    <w:rsid w:val="00593EFA"/>
    <w:rsid w:val="00593F00"/>
    <w:rsid w:val="005947B5"/>
    <w:rsid w:val="005960BB"/>
    <w:rsid w:val="00596C34"/>
    <w:rsid w:val="00597407"/>
    <w:rsid w:val="005A0496"/>
    <w:rsid w:val="005A147A"/>
    <w:rsid w:val="005A1DCF"/>
    <w:rsid w:val="005A3653"/>
    <w:rsid w:val="005A3F46"/>
    <w:rsid w:val="005A3FF1"/>
    <w:rsid w:val="005A4047"/>
    <w:rsid w:val="005A4384"/>
    <w:rsid w:val="005A534A"/>
    <w:rsid w:val="005A556A"/>
    <w:rsid w:val="005A61F5"/>
    <w:rsid w:val="005A7012"/>
    <w:rsid w:val="005A795E"/>
    <w:rsid w:val="005A7A5E"/>
    <w:rsid w:val="005B06EA"/>
    <w:rsid w:val="005B0DA3"/>
    <w:rsid w:val="005B1932"/>
    <w:rsid w:val="005B1C07"/>
    <w:rsid w:val="005B1DB4"/>
    <w:rsid w:val="005B2093"/>
    <w:rsid w:val="005B22FE"/>
    <w:rsid w:val="005B2833"/>
    <w:rsid w:val="005B2B8B"/>
    <w:rsid w:val="005B33B9"/>
    <w:rsid w:val="005B3432"/>
    <w:rsid w:val="005B35B5"/>
    <w:rsid w:val="005B3AB7"/>
    <w:rsid w:val="005B3BD6"/>
    <w:rsid w:val="005B474E"/>
    <w:rsid w:val="005B5489"/>
    <w:rsid w:val="005B5507"/>
    <w:rsid w:val="005B58B3"/>
    <w:rsid w:val="005B5D6F"/>
    <w:rsid w:val="005B633A"/>
    <w:rsid w:val="005B69DF"/>
    <w:rsid w:val="005B7D6C"/>
    <w:rsid w:val="005C233D"/>
    <w:rsid w:val="005C2CB2"/>
    <w:rsid w:val="005C2FBA"/>
    <w:rsid w:val="005C3967"/>
    <w:rsid w:val="005C51C5"/>
    <w:rsid w:val="005C6719"/>
    <w:rsid w:val="005C6A24"/>
    <w:rsid w:val="005C6BB3"/>
    <w:rsid w:val="005C7035"/>
    <w:rsid w:val="005C7215"/>
    <w:rsid w:val="005C73C4"/>
    <w:rsid w:val="005C7FB9"/>
    <w:rsid w:val="005D00EA"/>
    <w:rsid w:val="005D023B"/>
    <w:rsid w:val="005D02C4"/>
    <w:rsid w:val="005D098E"/>
    <w:rsid w:val="005D19ED"/>
    <w:rsid w:val="005D1A72"/>
    <w:rsid w:val="005D2304"/>
    <w:rsid w:val="005D31AF"/>
    <w:rsid w:val="005D3A04"/>
    <w:rsid w:val="005D4477"/>
    <w:rsid w:val="005D4681"/>
    <w:rsid w:val="005D48FE"/>
    <w:rsid w:val="005D57AF"/>
    <w:rsid w:val="005D651D"/>
    <w:rsid w:val="005D6E03"/>
    <w:rsid w:val="005D7471"/>
    <w:rsid w:val="005D749D"/>
    <w:rsid w:val="005D7712"/>
    <w:rsid w:val="005D79D8"/>
    <w:rsid w:val="005D7AD2"/>
    <w:rsid w:val="005E034F"/>
    <w:rsid w:val="005E0C9E"/>
    <w:rsid w:val="005E17CD"/>
    <w:rsid w:val="005E1C44"/>
    <w:rsid w:val="005E237D"/>
    <w:rsid w:val="005E2702"/>
    <w:rsid w:val="005E323F"/>
    <w:rsid w:val="005E34B9"/>
    <w:rsid w:val="005E3800"/>
    <w:rsid w:val="005E3A4B"/>
    <w:rsid w:val="005E5801"/>
    <w:rsid w:val="005E5874"/>
    <w:rsid w:val="005E5B12"/>
    <w:rsid w:val="005E5D50"/>
    <w:rsid w:val="005E70FC"/>
    <w:rsid w:val="005E75D5"/>
    <w:rsid w:val="005E7722"/>
    <w:rsid w:val="005F028D"/>
    <w:rsid w:val="005F1555"/>
    <w:rsid w:val="005F1874"/>
    <w:rsid w:val="005F22DD"/>
    <w:rsid w:val="005F286D"/>
    <w:rsid w:val="005F2978"/>
    <w:rsid w:val="005F2B82"/>
    <w:rsid w:val="005F2E55"/>
    <w:rsid w:val="005F3C3A"/>
    <w:rsid w:val="005F446B"/>
    <w:rsid w:val="005F45E8"/>
    <w:rsid w:val="005F4721"/>
    <w:rsid w:val="005F4BDF"/>
    <w:rsid w:val="005F59B6"/>
    <w:rsid w:val="005F5B7C"/>
    <w:rsid w:val="005F720A"/>
    <w:rsid w:val="005F79DC"/>
    <w:rsid w:val="00600D6F"/>
    <w:rsid w:val="00601335"/>
    <w:rsid w:val="00602D48"/>
    <w:rsid w:val="00602F43"/>
    <w:rsid w:val="00603B08"/>
    <w:rsid w:val="00603C55"/>
    <w:rsid w:val="0060522F"/>
    <w:rsid w:val="00605776"/>
    <w:rsid w:val="00610162"/>
    <w:rsid w:val="00610A59"/>
    <w:rsid w:val="00610ABA"/>
    <w:rsid w:val="00611229"/>
    <w:rsid w:val="0061151C"/>
    <w:rsid w:val="00611812"/>
    <w:rsid w:val="00612584"/>
    <w:rsid w:val="00613037"/>
    <w:rsid w:val="0061311F"/>
    <w:rsid w:val="006135AB"/>
    <w:rsid w:val="006138E4"/>
    <w:rsid w:val="00613B18"/>
    <w:rsid w:val="006144F6"/>
    <w:rsid w:val="00614D85"/>
    <w:rsid w:val="0061593B"/>
    <w:rsid w:val="00615E88"/>
    <w:rsid w:val="00616407"/>
    <w:rsid w:val="00616888"/>
    <w:rsid w:val="00616EF0"/>
    <w:rsid w:val="00617FC3"/>
    <w:rsid w:val="006205D3"/>
    <w:rsid w:val="00620E5A"/>
    <w:rsid w:val="00622D25"/>
    <w:rsid w:val="00623EA6"/>
    <w:rsid w:val="00623FCA"/>
    <w:rsid w:val="0062452C"/>
    <w:rsid w:val="00624CC8"/>
    <w:rsid w:val="006250E9"/>
    <w:rsid w:val="006261B0"/>
    <w:rsid w:val="0062729D"/>
    <w:rsid w:val="006277EA"/>
    <w:rsid w:val="00627BAD"/>
    <w:rsid w:val="006302BE"/>
    <w:rsid w:val="00632B01"/>
    <w:rsid w:val="00633A86"/>
    <w:rsid w:val="00633B2F"/>
    <w:rsid w:val="00635733"/>
    <w:rsid w:val="00636F15"/>
    <w:rsid w:val="0063737D"/>
    <w:rsid w:val="00637D61"/>
    <w:rsid w:val="00640C31"/>
    <w:rsid w:val="00640C74"/>
    <w:rsid w:val="0064124E"/>
    <w:rsid w:val="006427E2"/>
    <w:rsid w:val="00642CCC"/>
    <w:rsid w:val="00643226"/>
    <w:rsid w:val="00644ADA"/>
    <w:rsid w:val="00644E67"/>
    <w:rsid w:val="006459EF"/>
    <w:rsid w:val="00645B4A"/>
    <w:rsid w:val="00645D6C"/>
    <w:rsid w:val="006465F3"/>
    <w:rsid w:val="0064673B"/>
    <w:rsid w:val="00646E80"/>
    <w:rsid w:val="00647D07"/>
    <w:rsid w:val="00651890"/>
    <w:rsid w:val="00653374"/>
    <w:rsid w:val="006534BF"/>
    <w:rsid w:val="006537D7"/>
    <w:rsid w:val="00653CA5"/>
    <w:rsid w:val="0065444A"/>
    <w:rsid w:val="00654F68"/>
    <w:rsid w:val="00655036"/>
    <w:rsid w:val="00655097"/>
    <w:rsid w:val="00655786"/>
    <w:rsid w:val="006557C7"/>
    <w:rsid w:val="00655CF9"/>
    <w:rsid w:val="00655D45"/>
    <w:rsid w:val="0065714C"/>
    <w:rsid w:val="00657FB6"/>
    <w:rsid w:val="00660903"/>
    <w:rsid w:val="00660A74"/>
    <w:rsid w:val="00660C6F"/>
    <w:rsid w:val="00661B49"/>
    <w:rsid w:val="0066212E"/>
    <w:rsid w:val="0066247C"/>
    <w:rsid w:val="00662904"/>
    <w:rsid w:val="00662A49"/>
    <w:rsid w:val="00662E5F"/>
    <w:rsid w:val="00663381"/>
    <w:rsid w:val="00664434"/>
    <w:rsid w:val="0066561F"/>
    <w:rsid w:val="00666A58"/>
    <w:rsid w:val="00666FC4"/>
    <w:rsid w:val="00667D14"/>
    <w:rsid w:val="0067023E"/>
    <w:rsid w:val="00670650"/>
    <w:rsid w:val="00670C5C"/>
    <w:rsid w:val="00670CAF"/>
    <w:rsid w:val="006712C0"/>
    <w:rsid w:val="00671823"/>
    <w:rsid w:val="00671C8D"/>
    <w:rsid w:val="00671C8F"/>
    <w:rsid w:val="00671D56"/>
    <w:rsid w:val="00672338"/>
    <w:rsid w:val="006742AA"/>
    <w:rsid w:val="006744AC"/>
    <w:rsid w:val="00674C7D"/>
    <w:rsid w:val="00675F35"/>
    <w:rsid w:val="00676AAD"/>
    <w:rsid w:val="00676C7C"/>
    <w:rsid w:val="006771EC"/>
    <w:rsid w:val="00677866"/>
    <w:rsid w:val="0068067B"/>
    <w:rsid w:val="00680B40"/>
    <w:rsid w:val="00681EC9"/>
    <w:rsid w:val="006822FA"/>
    <w:rsid w:val="0068288C"/>
    <w:rsid w:val="00683F36"/>
    <w:rsid w:val="00684345"/>
    <w:rsid w:val="00684D42"/>
    <w:rsid w:val="00685589"/>
    <w:rsid w:val="0068682C"/>
    <w:rsid w:val="006868D0"/>
    <w:rsid w:val="0068727F"/>
    <w:rsid w:val="00690E5F"/>
    <w:rsid w:val="00690F6B"/>
    <w:rsid w:val="00691AE8"/>
    <w:rsid w:val="00691E8E"/>
    <w:rsid w:val="006932C7"/>
    <w:rsid w:val="006938AA"/>
    <w:rsid w:val="0069474B"/>
    <w:rsid w:val="0069475D"/>
    <w:rsid w:val="0069671A"/>
    <w:rsid w:val="006970C6"/>
    <w:rsid w:val="00697966"/>
    <w:rsid w:val="00697F7B"/>
    <w:rsid w:val="006A007D"/>
    <w:rsid w:val="006A1351"/>
    <w:rsid w:val="006A3A2B"/>
    <w:rsid w:val="006A4594"/>
    <w:rsid w:val="006A5210"/>
    <w:rsid w:val="006A541A"/>
    <w:rsid w:val="006A5703"/>
    <w:rsid w:val="006A6BF1"/>
    <w:rsid w:val="006A6DC3"/>
    <w:rsid w:val="006A6E01"/>
    <w:rsid w:val="006A7F17"/>
    <w:rsid w:val="006B08F6"/>
    <w:rsid w:val="006B14D4"/>
    <w:rsid w:val="006B29FC"/>
    <w:rsid w:val="006B2C6F"/>
    <w:rsid w:val="006B3032"/>
    <w:rsid w:val="006B4326"/>
    <w:rsid w:val="006B4392"/>
    <w:rsid w:val="006B4438"/>
    <w:rsid w:val="006B491D"/>
    <w:rsid w:val="006B4B4A"/>
    <w:rsid w:val="006B59D2"/>
    <w:rsid w:val="006B6E3C"/>
    <w:rsid w:val="006B7116"/>
    <w:rsid w:val="006B75C6"/>
    <w:rsid w:val="006B79AF"/>
    <w:rsid w:val="006C22C6"/>
    <w:rsid w:val="006C2BDF"/>
    <w:rsid w:val="006C354C"/>
    <w:rsid w:val="006C3B76"/>
    <w:rsid w:val="006C41AE"/>
    <w:rsid w:val="006C4572"/>
    <w:rsid w:val="006C4EC0"/>
    <w:rsid w:val="006C58A8"/>
    <w:rsid w:val="006C5C81"/>
    <w:rsid w:val="006C5D2C"/>
    <w:rsid w:val="006C7B03"/>
    <w:rsid w:val="006D0BD7"/>
    <w:rsid w:val="006D0EC2"/>
    <w:rsid w:val="006D2891"/>
    <w:rsid w:val="006D2C0F"/>
    <w:rsid w:val="006D38B4"/>
    <w:rsid w:val="006D3A10"/>
    <w:rsid w:val="006D460F"/>
    <w:rsid w:val="006D4C72"/>
    <w:rsid w:val="006D4E4C"/>
    <w:rsid w:val="006D4FCD"/>
    <w:rsid w:val="006D5585"/>
    <w:rsid w:val="006D5F76"/>
    <w:rsid w:val="006D655E"/>
    <w:rsid w:val="006D6D96"/>
    <w:rsid w:val="006D7211"/>
    <w:rsid w:val="006D75C8"/>
    <w:rsid w:val="006E10CF"/>
    <w:rsid w:val="006E11C7"/>
    <w:rsid w:val="006E1C7C"/>
    <w:rsid w:val="006E34C9"/>
    <w:rsid w:val="006E47BD"/>
    <w:rsid w:val="006E4D62"/>
    <w:rsid w:val="006E5180"/>
    <w:rsid w:val="006E7542"/>
    <w:rsid w:val="006F02CF"/>
    <w:rsid w:val="006F0D46"/>
    <w:rsid w:val="006F1ACA"/>
    <w:rsid w:val="006F23DD"/>
    <w:rsid w:val="006F27C5"/>
    <w:rsid w:val="006F2AD0"/>
    <w:rsid w:val="006F3426"/>
    <w:rsid w:val="006F3C60"/>
    <w:rsid w:val="006F481C"/>
    <w:rsid w:val="006F4C9D"/>
    <w:rsid w:val="006F4F47"/>
    <w:rsid w:val="006F5158"/>
    <w:rsid w:val="006F6CA2"/>
    <w:rsid w:val="006F7D22"/>
    <w:rsid w:val="007005CD"/>
    <w:rsid w:val="00700950"/>
    <w:rsid w:val="00700D1F"/>
    <w:rsid w:val="00701136"/>
    <w:rsid w:val="007012BC"/>
    <w:rsid w:val="0070264B"/>
    <w:rsid w:val="0070319A"/>
    <w:rsid w:val="00703676"/>
    <w:rsid w:val="00703B9A"/>
    <w:rsid w:val="00703CB4"/>
    <w:rsid w:val="00703ECC"/>
    <w:rsid w:val="00704390"/>
    <w:rsid w:val="007044ED"/>
    <w:rsid w:val="0070496C"/>
    <w:rsid w:val="00704A7C"/>
    <w:rsid w:val="00705BED"/>
    <w:rsid w:val="007066F1"/>
    <w:rsid w:val="00706969"/>
    <w:rsid w:val="00707B35"/>
    <w:rsid w:val="00707C18"/>
    <w:rsid w:val="007103A9"/>
    <w:rsid w:val="007105F0"/>
    <w:rsid w:val="00710AC8"/>
    <w:rsid w:val="00711130"/>
    <w:rsid w:val="007130A8"/>
    <w:rsid w:val="007145ED"/>
    <w:rsid w:val="00715E94"/>
    <w:rsid w:val="00716AD2"/>
    <w:rsid w:val="0071703A"/>
    <w:rsid w:val="007171DB"/>
    <w:rsid w:val="00717846"/>
    <w:rsid w:val="007203CA"/>
    <w:rsid w:val="00720D0F"/>
    <w:rsid w:val="007214AE"/>
    <w:rsid w:val="00721ED5"/>
    <w:rsid w:val="00722321"/>
    <w:rsid w:val="00722684"/>
    <w:rsid w:val="007226F5"/>
    <w:rsid w:val="0072345D"/>
    <w:rsid w:val="007237C2"/>
    <w:rsid w:val="007239C6"/>
    <w:rsid w:val="00723B2C"/>
    <w:rsid w:val="00723D68"/>
    <w:rsid w:val="00724ED0"/>
    <w:rsid w:val="00724F92"/>
    <w:rsid w:val="007253D6"/>
    <w:rsid w:val="007256A1"/>
    <w:rsid w:val="0072578A"/>
    <w:rsid w:val="0072597A"/>
    <w:rsid w:val="00726CDD"/>
    <w:rsid w:val="00727708"/>
    <w:rsid w:val="00727DAE"/>
    <w:rsid w:val="007300CC"/>
    <w:rsid w:val="007320FE"/>
    <w:rsid w:val="00732B04"/>
    <w:rsid w:val="00734121"/>
    <w:rsid w:val="007341E5"/>
    <w:rsid w:val="0073522B"/>
    <w:rsid w:val="007353AE"/>
    <w:rsid w:val="00735BD6"/>
    <w:rsid w:val="00737905"/>
    <w:rsid w:val="0073792C"/>
    <w:rsid w:val="00740A6B"/>
    <w:rsid w:val="00740C77"/>
    <w:rsid w:val="00741D00"/>
    <w:rsid w:val="0074257A"/>
    <w:rsid w:val="00742EB8"/>
    <w:rsid w:val="0074351C"/>
    <w:rsid w:val="00745E0F"/>
    <w:rsid w:val="00746F6C"/>
    <w:rsid w:val="00747434"/>
    <w:rsid w:val="007474F7"/>
    <w:rsid w:val="0074788B"/>
    <w:rsid w:val="007511EE"/>
    <w:rsid w:val="0075137C"/>
    <w:rsid w:val="0075418A"/>
    <w:rsid w:val="0075419C"/>
    <w:rsid w:val="007543B6"/>
    <w:rsid w:val="00757C47"/>
    <w:rsid w:val="00757DDA"/>
    <w:rsid w:val="0076052B"/>
    <w:rsid w:val="00760721"/>
    <w:rsid w:val="00760D9D"/>
    <w:rsid w:val="00761D6C"/>
    <w:rsid w:val="0076260D"/>
    <w:rsid w:val="007637F3"/>
    <w:rsid w:val="00763AF5"/>
    <w:rsid w:val="00763B77"/>
    <w:rsid w:val="00763FB5"/>
    <w:rsid w:val="00764FFD"/>
    <w:rsid w:val="00765C39"/>
    <w:rsid w:val="0076625E"/>
    <w:rsid w:val="007664F9"/>
    <w:rsid w:val="0076675B"/>
    <w:rsid w:val="0076702C"/>
    <w:rsid w:val="00767A62"/>
    <w:rsid w:val="00767F6C"/>
    <w:rsid w:val="00772829"/>
    <w:rsid w:val="00773431"/>
    <w:rsid w:val="007737E7"/>
    <w:rsid w:val="00773DD4"/>
    <w:rsid w:val="007740D9"/>
    <w:rsid w:val="007742F9"/>
    <w:rsid w:val="0077456B"/>
    <w:rsid w:val="007751B2"/>
    <w:rsid w:val="00775A66"/>
    <w:rsid w:val="0077743C"/>
    <w:rsid w:val="00777848"/>
    <w:rsid w:val="00777893"/>
    <w:rsid w:val="00780043"/>
    <w:rsid w:val="00780AE9"/>
    <w:rsid w:val="00781EFD"/>
    <w:rsid w:val="00782D54"/>
    <w:rsid w:val="00783500"/>
    <w:rsid w:val="0078421F"/>
    <w:rsid w:val="00784265"/>
    <w:rsid w:val="00784341"/>
    <w:rsid w:val="0078479D"/>
    <w:rsid w:val="007847E9"/>
    <w:rsid w:val="00784F4C"/>
    <w:rsid w:val="007852E9"/>
    <w:rsid w:val="007857B5"/>
    <w:rsid w:val="00785B82"/>
    <w:rsid w:val="00786773"/>
    <w:rsid w:val="00790B15"/>
    <w:rsid w:val="00790F49"/>
    <w:rsid w:val="0079132A"/>
    <w:rsid w:val="00792514"/>
    <w:rsid w:val="00792A6C"/>
    <w:rsid w:val="007931CB"/>
    <w:rsid w:val="00793A6A"/>
    <w:rsid w:val="0079492A"/>
    <w:rsid w:val="00795190"/>
    <w:rsid w:val="007951D4"/>
    <w:rsid w:val="00797C46"/>
    <w:rsid w:val="007A16E0"/>
    <w:rsid w:val="007A19F6"/>
    <w:rsid w:val="007A2B65"/>
    <w:rsid w:val="007A47CB"/>
    <w:rsid w:val="007A49C2"/>
    <w:rsid w:val="007A516B"/>
    <w:rsid w:val="007A52A4"/>
    <w:rsid w:val="007A5617"/>
    <w:rsid w:val="007A6CEF"/>
    <w:rsid w:val="007A7AE8"/>
    <w:rsid w:val="007B0245"/>
    <w:rsid w:val="007B083F"/>
    <w:rsid w:val="007B0880"/>
    <w:rsid w:val="007B08D0"/>
    <w:rsid w:val="007B0D01"/>
    <w:rsid w:val="007B2085"/>
    <w:rsid w:val="007B2FDC"/>
    <w:rsid w:val="007B38A0"/>
    <w:rsid w:val="007B38B7"/>
    <w:rsid w:val="007B4F7B"/>
    <w:rsid w:val="007B583D"/>
    <w:rsid w:val="007B6684"/>
    <w:rsid w:val="007B6B21"/>
    <w:rsid w:val="007B7024"/>
    <w:rsid w:val="007B7679"/>
    <w:rsid w:val="007C0390"/>
    <w:rsid w:val="007C0F3D"/>
    <w:rsid w:val="007C14A2"/>
    <w:rsid w:val="007C1646"/>
    <w:rsid w:val="007C1B8F"/>
    <w:rsid w:val="007C2BAD"/>
    <w:rsid w:val="007C2E9C"/>
    <w:rsid w:val="007C300E"/>
    <w:rsid w:val="007C328D"/>
    <w:rsid w:val="007C336F"/>
    <w:rsid w:val="007C3910"/>
    <w:rsid w:val="007C40DE"/>
    <w:rsid w:val="007C41B1"/>
    <w:rsid w:val="007C4B90"/>
    <w:rsid w:val="007C5533"/>
    <w:rsid w:val="007C6177"/>
    <w:rsid w:val="007C731D"/>
    <w:rsid w:val="007C76DB"/>
    <w:rsid w:val="007D0D77"/>
    <w:rsid w:val="007D158C"/>
    <w:rsid w:val="007D1B50"/>
    <w:rsid w:val="007D278B"/>
    <w:rsid w:val="007D30B7"/>
    <w:rsid w:val="007D3505"/>
    <w:rsid w:val="007D4087"/>
    <w:rsid w:val="007D478E"/>
    <w:rsid w:val="007D4CB4"/>
    <w:rsid w:val="007D6273"/>
    <w:rsid w:val="007D6429"/>
    <w:rsid w:val="007D7279"/>
    <w:rsid w:val="007D7A9B"/>
    <w:rsid w:val="007E0348"/>
    <w:rsid w:val="007E15AD"/>
    <w:rsid w:val="007E25ED"/>
    <w:rsid w:val="007E2BC0"/>
    <w:rsid w:val="007E3377"/>
    <w:rsid w:val="007E46C2"/>
    <w:rsid w:val="007E5D2A"/>
    <w:rsid w:val="007E62B5"/>
    <w:rsid w:val="007E6990"/>
    <w:rsid w:val="007E7706"/>
    <w:rsid w:val="007F269C"/>
    <w:rsid w:val="007F26CB"/>
    <w:rsid w:val="007F2E46"/>
    <w:rsid w:val="007F402C"/>
    <w:rsid w:val="007F411B"/>
    <w:rsid w:val="007F52A1"/>
    <w:rsid w:val="007F67E9"/>
    <w:rsid w:val="007F7C7B"/>
    <w:rsid w:val="00800A8A"/>
    <w:rsid w:val="0080135B"/>
    <w:rsid w:val="008021B0"/>
    <w:rsid w:val="008040A2"/>
    <w:rsid w:val="00804632"/>
    <w:rsid w:val="008048AC"/>
    <w:rsid w:val="0080523A"/>
    <w:rsid w:val="008054D9"/>
    <w:rsid w:val="00805717"/>
    <w:rsid w:val="00806527"/>
    <w:rsid w:val="00806688"/>
    <w:rsid w:val="008069C0"/>
    <w:rsid w:val="00807A3E"/>
    <w:rsid w:val="00810338"/>
    <w:rsid w:val="00810FF1"/>
    <w:rsid w:val="00812282"/>
    <w:rsid w:val="00812F23"/>
    <w:rsid w:val="008148E4"/>
    <w:rsid w:val="00814919"/>
    <w:rsid w:val="00814C2A"/>
    <w:rsid w:val="0081563B"/>
    <w:rsid w:val="00815683"/>
    <w:rsid w:val="008157F1"/>
    <w:rsid w:val="00816552"/>
    <w:rsid w:val="00816EC2"/>
    <w:rsid w:val="00817C92"/>
    <w:rsid w:val="00817E79"/>
    <w:rsid w:val="0082088E"/>
    <w:rsid w:val="00822467"/>
    <w:rsid w:val="00822A18"/>
    <w:rsid w:val="008234BE"/>
    <w:rsid w:val="008235DF"/>
    <w:rsid w:val="00823658"/>
    <w:rsid w:val="008236E1"/>
    <w:rsid w:val="0082443B"/>
    <w:rsid w:val="00824458"/>
    <w:rsid w:val="008249F7"/>
    <w:rsid w:val="00824B74"/>
    <w:rsid w:val="008255F0"/>
    <w:rsid w:val="00825E56"/>
    <w:rsid w:val="00826E41"/>
    <w:rsid w:val="00827027"/>
    <w:rsid w:val="00827273"/>
    <w:rsid w:val="00832E53"/>
    <w:rsid w:val="00835CFA"/>
    <w:rsid w:val="00835EC9"/>
    <w:rsid w:val="00836093"/>
    <w:rsid w:val="00836760"/>
    <w:rsid w:val="00837CC8"/>
    <w:rsid w:val="00841388"/>
    <w:rsid w:val="008415E0"/>
    <w:rsid w:val="00841BC6"/>
    <w:rsid w:val="00841EFB"/>
    <w:rsid w:val="00841F44"/>
    <w:rsid w:val="00842058"/>
    <w:rsid w:val="00842C82"/>
    <w:rsid w:val="008436D7"/>
    <w:rsid w:val="008440FE"/>
    <w:rsid w:val="00846119"/>
    <w:rsid w:val="008462C6"/>
    <w:rsid w:val="00846E0C"/>
    <w:rsid w:val="00847296"/>
    <w:rsid w:val="0084732B"/>
    <w:rsid w:val="008474E3"/>
    <w:rsid w:val="00847515"/>
    <w:rsid w:val="00850040"/>
    <w:rsid w:val="00850222"/>
    <w:rsid w:val="0085023F"/>
    <w:rsid w:val="0085043F"/>
    <w:rsid w:val="00851604"/>
    <w:rsid w:val="0085240D"/>
    <w:rsid w:val="0085247B"/>
    <w:rsid w:val="008527ED"/>
    <w:rsid w:val="0085298B"/>
    <w:rsid w:val="00852E1F"/>
    <w:rsid w:val="008533D0"/>
    <w:rsid w:val="008537F7"/>
    <w:rsid w:val="00853A3E"/>
    <w:rsid w:val="008546BE"/>
    <w:rsid w:val="00855393"/>
    <w:rsid w:val="008558FD"/>
    <w:rsid w:val="00855EF3"/>
    <w:rsid w:val="00856074"/>
    <w:rsid w:val="0085667D"/>
    <w:rsid w:val="00856745"/>
    <w:rsid w:val="00856F81"/>
    <w:rsid w:val="00857949"/>
    <w:rsid w:val="00857A02"/>
    <w:rsid w:val="008619AE"/>
    <w:rsid w:val="00861EF7"/>
    <w:rsid w:val="00862D26"/>
    <w:rsid w:val="00863228"/>
    <w:rsid w:val="008634CA"/>
    <w:rsid w:val="00863BF9"/>
    <w:rsid w:val="0086658E"/>
    <w:rsid w:val="00867404"/>
    <w:rsid w:val="0086796F"/>
    <w:rsid w:val="00870731"/>
    <w:rsid w:val="0087085B"/>
    <w:rsid w:val="00870BFA"/>
    <w:rsid w:val="00871667"/>
    <w:rsid w:val="008719C2"/>
    <w:rsid w:val="0087277A"/>
    <w:rsid w:val="00872A47"/>
    <w:rsid w:val="00872AE4"/>
    <w:rsid w:val="00872F21"/>
    <w:rsid w:val="00873511"/>
    <w:rsid w:val="008736E2"/>
    <w:rsid w:val="00874565"/>
    <w:rsid w:val="00874D2A"/>
    <w:rsid w:val="0087685E"/>
    <w:rsid w:val="00877247"/>
    <w:rsid w:val="008773AA"/>
    <w:rsid w:val="008801AE"/>
    <w:rsid w:val="00880AA3"/>
    <w:rsid w:val="00880ABD"/>
    <w:rsid w:val="00881238"/>
    <w:rsid w:val="008816CC"/>
    <w:rsid w:val="0088421C"/>
    <w:rsid w:val="0088445B"/>
    <w:rsid w:val="00885606"/>
    <w:rsid w:val="00886020"/>
    <w:rsid w:val="008865E1"/>
    <w:rsid w:val="00887956"/>
    <w:rsid w:val="00890749"/>
    <w:rsid w:val="00890E75"/>
    <w:rsid w:val="00891AF6"/>
    <w:rsid w:val="00891BC3"/>
    <w:rsid w:val="00891CA3"/>
    <w:rsid w:val="00893358"/>
    <w:rsid w:val="008934F6"/>
    <w:rsid w:val="0089357E"/>
    <w:rsid w:val="008937C8"/>
    <w:rsid w:val="00895267"/>
    <w:rsid w:val="008952DF"/>
    <w:rsid w:val="008967C4"/>
    <w:rsid w:val="008A02C9"/>
    <w:rsid w:val="008A0735"/>
    <w:rsid w:val="008A0D2A"/>
    <w:rsid w:val="008A1693"/>
    <w:rsid w:val="008A1C0B"/>
    <w:rsid w:val="008A254F"/>
    <w:rsid w:val="008A2630"/>
    <w:rsid w:val="008A335B"/>
    <w:rsid w:val="008A3CFD"/>
    <w:rsid w:val="008A406A"/>
    <w:rsid w:val="008A4A73"/>
    <w:rsid w:val="008A4E54"/>
    <w:rsid w:val="008A5833"/>
    <w:rsid w:val="008A69EB"/>
    <w:rsid w:val="008B0B08"/>
    <w:rsid w:val="008B1E00"/>
    <w:rsid w:val="008B3A88"/>
    <w:rsid w:val="008B3C11"/>
    <w:rsid w:val="008B4BFC"/>
    <w:rsid w:val="008B51B4"/>
    <w:rsid w:val="008B5B67"/>
    <w:rsid w:val="008B5D7A"/>
    <w:rsid w:val="008B5E62"/>
    <w:rsid w:val="008B644E"/>
    <w:rsid w:val="008B66E3"/>
    <w:rsid w:val="008B77DB"/>
    <w:rsid w:val="008B7848"/>
    <w:rsid w:val="008B79A6"/>
    <w:rsid w:val="008C03F2"/>
    <w:rsid w:val="008C1C54"/>
    <w:rsid w:val="008C1E05"/>
    <w:rsid w:val="008C1FBD"/>
    <w:rsid w:val="008C2861"/>
    <w:rsid w:val="008C34BB"/>
    <w:rsid w:val="008C3689"/>
    <w:rsid w:val="008C42EB"/>
    <w:rsid w:val="008C45E2"/>
    <w:rsid w:val="008C4FD5"/>
    <w:rsid w:val="008C5A63"/>
    <w:rsid w:val="008C5C3F"/>
    <w:rsid w:val="008C61BE"/>
    <w:rsid w:val="008C6E8B"/>
    <w:rsid w:val="008C7ACD"/>
    <w:rsid w:val="008D0390"/>
    <w:rsid w:val="008D09A5"/>
    <w:rsid w:val="008D0C96"/>
    <w:rsid w:val="008D158C"/>
    <w:rsid w:val="008D2CC6"/>
    <w:rsid w:val="008D3726"/>
    <w:rsid w:val="008D39A4"/>
    <w:rsid w:val="008D416E"/>
    <w:rsid w:val="008D42BB"/>
    <w:rsid w:val="008D4CB0"/>
    <w:rsid w:val="008D5189"/>
    <w:rsid w:val="008D6397"/>
    <w:rsid w:val="008D69C5"/>
    <w:rsid w:val="008D73C9"/>
    <w:rsid w:val="008E03C6"/>
    <w:rsid w:val="008E16BF"/>
    <w:rsid w:val="008E2D6C"/>
    <w:rsid w:val="008E3049"/>
    <w:rsid w:val="008E35A3"/>
    <w:rsid w:val="008E464E"/>
    <w:rsid w:val="008E5C1F"/>
    <w:rsid w:val="008E6178"/>
    <w:rsid w:val="008E6860"/>
    <w:rsid w:val="008E6D13"/>
    <w:rsid w:val="008E7274"/>
    <w:rsid w:val="008E787F"/>
    <w:rsid w:val="008E7A43"/>
    <w:rsid w:val="008F0025"/>
    <w:rsid w:val="008F002D"/>
    <w:rsid w:val="008F0562"/>
    <w:rsid w:val="008F1BEB"/>
    <w:rsid w:val="008F260B"/>
    <w:rsid w:val="008F2D79"/>
    <w:rsid w:val="008F2F6A"/>
    <w:rsid w:val="008F39DB"/>
    <w:rsid w:val="008F3F30"/>
    <w:rsid w:val="008F4632"/>
    <w:rsid w:val="008F552B"/>
    <w:rsid w:val="008F637A"/>
    <w:rsid w:val="009003C3"/>
    <w:rsid w:val="00902AA3"/>
    <w:rsid w:val="009035B9"/>
    <w:rsid w:val="00903837"/>
    <w:rsid w:val="00903EE5"/>
    <w:rsid w:val="009043D6"/>
    <w:rsid w:val="00905E8C"/>
    <w:rsid w:val="00906821"/>
    <w:rsid w:val="00906E65"/>
    <w:rsid w:val="00907BF4"/>
    <w:rsid w:val="00907F45"/>
    <w:rsid w:val="00910887"/>
    <w:rsid w:val="00911086"/>
    <w:rsid w:val="009113A7"/>
    <w:rsid w:val="00913174"/>
    <w:rsid w:val="00913B89"/>
    <w:rsid w:val="009141A7"/>
    <w:rsid w:val="009144D5"/>
    <w:rsid w:val="00915F98"/>
    <w:rsid w:val="00915FA3"/>
    <w:rsid w:val="00916CE3"/>
    <w:rsid w:val="0091740A"/>
    <w:rsid w:val="009175B3"/>
    <w:rsid w:val="00917745"/>
    <w:rsid w:val="00920B46"/>
    <w:rsid w:val="00921381"/>
    <w:rsid w:val="009217F8"/>
    <w:rsid w:val="00921AEA"/>
    <w:rsid w:val="00922B5C"/>
    <w:rsid w:val="00923A8D"/>
    <w:rsid w:val="0092470E"/>
    <w:rsid w:val="009249E8"/>
    <w:rsid w:val="00925187"/>
    <w:rsid w:val="009255B9"/>
    <w:rsid w:val="00925E3E"/>
    <w:rsid w:val="0092709C"/>
    <w:rsid w:val="0092717F"/>
    <w:rsid w:val="00927744"/>
    <w:rsid w:val="00927B05"/>
    <w:rsid w:val="00927CE9"/>
    <w:rsid w:val="00930F4E"/>
    <w:rsid w:val="009320C4"/>
    <w:rsid w:val="009327C6"/>
    <w:rsid w:val="00933C68"/>
    <w:rsid w:val="00934041"/>
    <w:rsid w:val="0093436D"/>
    <w:rsid w:val="009346F5"/>
    <w:rsid w:val="009347F8"/>
    <w:rsid w:val="0093573E"/>
    <w:rsid w:val="00936062"/>
    <w:rsid w:val="00936D40"/>
    <w:rsid w:val="00937091"/>
    <w:rsid w:val="009371C8"/>
    <w:rsid w:val="0093767E"/>
    <w:rsid w:val="00937CBE"/>
    <w:rsid w:val="00937D08"/>
    <w:rsid w:val="00937D78"/>
    <w:rsid w:val="0094299E"/>
    <w:rsid w:val="00942F1B"/>
    <w:rsid w:val="00942F8A"/>
    <w:rsid w:val="00943F15"/>
    <w:rsid w:val="00944087"/>
    <w:rsid w:val="0094418B"/>
    <w:rsid w:val="00944E74"/>
    <w:rsid w:val="00945E76"/>
    <w:rsid w:val="00946C24"/>
    <w:rsid w:val="00946DA4"/>
    <w:rsid w:val="009471A7"/>
    <w:rsid w:val="00947A0E"/>
    <w:rsid w:val="00947A2A"/>
    <w:rsid w:val="0095012E"/>
    <w:rsid w:val="009512F6"/>
    <w:rsid w:val="00951934"/>
    <w:rsid w:val="009519D0"/>
    <w:rsid w:val="0095207B"/>
    <w:rsid w:val="009527FC"/>
    <w:rsid w:val="0095333A"/>
    <w:rsid w:val="0095364B"/>
    <w:rsid w:val="00953D76"/>
    <w:rsid w:val="00953E69"/>
    <w:rsid w:val="00954C8C"/>
    <w:rsid w:val="00956740"/>
    <w:rsid w:val="00956ACE"/>
    <w:rsid w:val="00956C3F"/>
    <w:rsid w:val="009572A0"/>
    <w:rsid w:val="00957D24"/>
    <w:rsid w:val="00960349"/>
    <w:rsid w:val="00960922"/>
    <w:rsid w:val="00960DCF"/>
    <w:rsid w:val="00961217"/>
    <w:rsid w:val="00961B53"/>
    <w:rsid w:val="00962970"/>
    <w:rsid w:val="00962AB1"/>
    <w:rsid w:val="00962DA4"/>
    <w:rsid w:val="00963264"/>
    <w:rsid w:val="009632F1"/>
    <w:rsid w:val="0096389D"/>
    <w:rsid w:val="00964B7B"/>
    <w:rsid w:val="00964D0E"/>
    <w:rsid w:val="00965111"/>
    <w:rsid w:val="00965658"/>
    <w:rsid w:val="009676C0"/>
    <w:rsid w:val="00967791"/>
    <w:rsid w:val="00967C63"/>
    <w:rsid w:val="00967DDD"/>
    <w:rsid w:val="00967E1D"/>
    <w:rsid w:val="00967E68"/>
    <w:rsid w:val="00974EB6"/>
    <w:rsid w:val="00975EDA"/>
    <w:rsid w:val="0097631B"/>
    <w:rsid w:val="00977173"/>
    <w:rsid w:val="0097760A"/>
    <w:rsid w:val="009803A9"/>
    <w:rsid w:val="009803CB"/>
    <w:rsid w:val="009803D4"/>
    <w:rsid w:val="009807A2"/>
    <w:rsid w:val="00980E00"/>
    <w:rsid w:val="00981194"/>
    <w:rsid w:val="0098199C"/>
    <w:rsid w:val="00982599"/>
    <w:rsid w:val="00982B86"/>
    <w:rsid w:val="00982D33"/>
    <w:rsid w:val="00983297"/>
    <w:rsid w:val="00983C48"/>
    <w:rsid w:val="00983EA1"/>
    <w:rsid w:val="009844D6"/>
    <w:rsid w:val="009847A2"/>
    <w:rsid w:val="0098549D"/>
    <w:rsid w:val="00985807"/>
    <w:rsid w:val="009864A0"/>
    <w:rsid w:val="00986D07"/>
    <w:rsid w:val="00986E76"/>
    <w:rsid w:val="009873F3"/>
    <w:rsid w:val="0098755C"/>
    <w:rsid w:val="00987A9C"/>
    <w:rsid w:val="009902A2"/>
    <w:rsid w:val="00990567"/>
    <w:rsid w:val="00991017"/>
    <w:rsid w:val="00991EEE"/>
    <w:rsid w:val="00992FC1"/>
    <w:rsid w:val="00995E98"/>
    <w:rsid w:val="00996F15"/>
    <w:rsid w:val="00997BA8"/>
    <w:rsid w:val="009A06F4"/>
    <w:rsid w:val="009A0B70"/>
    <w:rsid w:val="009A1981"/>
    <w:rsid w:val="009A2B9D"/>
    <w:rsid w:val="009A3561"/>
    <w:rsid w:val="009A3617"/>
    <w:rsid w:val="009A3778"/>
    <w:rsid w:val="009A3E2E"/>
    <w:rsid w:val="009A42E9"/>
    <w:rsid w:val="009A60BF"/>
    <w:rsid w:val="009A7F34"/>
    <w:rsid w:val="009B05A0"/>
    <w:rsid w:val="009B184E"/>
    <w:rsid w:val="009B2245"/>
    <w:rsid w:val="009B258E"/>
    <w:rsid w:val="009B30EE"/>
    <w:rsid w:val="009B3C04"/>
    <w:rsid w:val="009B5997"/>
    <w:rsid w:val="009B5CAF"/>
    <w:rsid w:val="009B6B23"/>
    <w:rsid w:val="009B7ABD"/>
    <w:rsid w:val="009C15E3"/>
    <w:rsid w:val="009C1D27"/>
    <w:rsid w:val="009C3BD9"/>
    <w:rsid w:val="009C4001"/>
    <w:rsid w:val="009C4B62"/>
    <w:rsid w:val="009C5B82"/>
    <w:rsid w:val="009C756E"/>
    <w:rsid w:val="009C7D21"/>
    <w:rsid w:val="009D00A7"/>
    <w:rsid w:val="009D0110"/>
    <w:rsid w:val="009D0BF8"/>
    <w:rsid w:val="009D2094"/>
    <w:rsid w:val="009D21BE"/>
    <w:rsid w:val="009D2CCF"/>
    <w:rsid w:val="009D2F49"/>
    <w:rsid w:val="009D3C3D"/>
    <w:rsid w:val="009D3EC2"/>
    <w:rsid w:val="009D4390"/>
    <w:rsid w:val="009D5288"/>
    <w:rsid w:val="009D6D18"/>
    <w:rsid w:val="009D6F3C"/>
    <w:rsid w:val="009E0F64"/>
    <w:rsid w:val="009E0F95"/>
    <w:rsid w:val="009E138B"/>
    <w:rsid w:val="009E1606"/>
    <w:rsid w:val="009E21FF"/>
    <w:rsid w:val="009E2AD3"/>
    <w:rsid w:val="009E2C96"/>
    <w:rsid w:val="009E3455"/>
    <w:rsid w:val="009E4184"/>
    <w:rsid w:val="009E47E5"/>
    <w:rsid w:val="009E53F9"/>
    <w:rsid w:val="009E7990"/>
    <w:rsid w:val="009F0E03"/>
    <w:rsid w:val="009F146F"/>
    <w:rsid w:val="009F3C75"/>
    <w:rsid w:val="009F58A3"/>
    <w:rsid w:val="009F5A56"/>
    <w:rsid w:val="009F774A"/>
    <w:rsid w:val="00A0037E"/>
    <w:rsid w:val="00A00DE3"/>
    <w:rsid w:val="00A01303"/>
    <w:rsid w:val="00A01F4D"/>
    <w:rsid w:val="00A02C4F"/>
    <w:rsid w:val="00A0339D"/>
    <w:rsid w:val="00A0370C"/>
    <w:rsid w:val="00A0386E"/>
    <w:rsid w:val="00A04A09"/>
    <w:rsid w:val="00A05821"/>
    <w:rsid w:val="00A05B89"/>
    <w:rsid w:val="00A05D1D"/>
    <w:rsid w:val="00A05EA2"/>
    <w:rsid w:val="00A076CC"/>
    <w:rsid w:val="00A10DC4"/>
    <w:rsid w:val="00A11572"/>
    <w:rsid w:val="00A1165C"/>
    <w:rsid w:val="00A1179F"/>
    <w:rsid w:val="00A119D6"/>
    <w:rsid w:val="00A11EC0"/>
    <w:rsid w:val="00A125D6"/>
    <w:rsid w:val="00A14131"/>
    <w:rsid w:val="00A145DC"/>
    <w:rsid w:val="00A14E53"/>
    <w:rsid w:val="00A15580"/>
    <w:rsid w:val="00A155AC"/>
    <w:rsid w:val="00A15923"/>
    <w:rsid w:val="00A16039"/>
    <w:rsid w:val="00A16449"/>
    <w:rsid w:val="00A17550"/>
    <w:rsid w:val="00A21ADA"/>
    <w:rsid w:val="00A21CCC"/>
    <w:rsid w:val="00A22EFC"/>
    <w:rsid w:val="00A234A8"/>
    <w:rsid w:val="00A250BA"/>
    <w:rsid w:val="00A259E1"/>
    <w:rsid w:val="00A26389"/>
    <w:rsid w:val="00A266C5"/>
    <w:rsid w:val="00A279BD"/>
    <w:rsid w:val="00A303B8"/>
    <w:rsid w:val="00A32623"/>
    <w:rsid w:val="00A32D7D"/>
    <w:rsid w:val="00A32E76"/>
    <w:rsid w:val="00A32F6C"/>
    <w:rsid w:val="00A34735"/>
    <w:rsid w:val="00A34E01"/>
    <w:rsid w:val="00A361C3"/>
    <w:rsid w:val="00A3635B"/>
    <w:rsid w:val="00A365F2"/>
    <w:rsid w:val="00A3746C"/>
    <w:rsid w:val="00A3764D"/>
    <w:rsid w:val="00A411FA"/>
    <w:rsid w:val="00A435C2"/>
    <w:rsid w:val="00A44ABB"/>
    <w:rsid w:val="00A44C29"/>
    <w:rsid w:val="00A44EC1"/>
    <w:rsid w:val="00A454B3"/>
    <w:rsid w:val="00A45E52"/>
    <w:rsid w:val="00A46652"/>
    <w:rsid w:val="00A46D15"/>
    <w:rsid w:val="00A4713D"/>
    <w:rsid w:val="00A5022B"/>
    <w:rsid w:val="00A51ED1"/>
    <w:rsid w:val="00A5245C"/>
    <w:rsid w:val="00A5264E"/>
    <w:rsid w:val="00A5277D"/>
    <w:rsid w:val="00A52B71"/>
    <w:rsid w:val="00A5323B"/>
    <w:rsid w:val="00A53C50"/>
    <w:rsid w:val="00A547F4"/>
    <w:rsid w:val="00A54FB4"/>
    <w:rsid w:val="00A5605D"/>
    <w:rsid w:val="00A56AD7"/>
    <w:rsid w:val="00A56B39"/>
    <w:rsid w:val="00A56B75"/>
    <w:rsid w:val="00A56DE0"/>
    <w:rsid w:val="00A57159"/>
    <w:rsid w:val="00A575BA"/>
    <w:rsid w:val="00A6020F"/>
    <w:rsid w:val="00A6053C"/>
    <w:rsid w:val="00A6086A"/>
    <w:rsid w:val="00A61205"/>
    <w:rsid w:val="00A62F38"/>
    <w:rsid w:val="00A63C18"/>
    <w:rsid w:val="00A64FA3"/>
    <w:rsid w:val="00A662DC"/>
    <w:rsid w:val="00A6685E"/>
    <w:rsid w:val="00A6741B"/>
    <w:rsid w:val="00A67820"/>
    <w:rsid w:val="00A7218A"/>
    <w:rsid w:val="00A72400"/>
    <w:rsid w:val="00A741D6"/>
    <w:rsid w:val="00A74226"/>
    <w:rsid w:val="00A74236"/>
    <w:rsid w:val="00A7566B"/>
    <w:rsid w:val="00A757B0"/>
    <w:rsid w:val="00A7705F"/>
    <w:rsid w:val="00A77655"/>
    <w:rsid w:val="00A776A4"/>
    <w:rsid w:val="00A8049D"/>
    <w:rsid w:val="00A8082E"/>
    <w:rsid w:val="00A814BF"/>
    <w:rsid w:val="00A81CD1"/>
    <w:rsid w:val="00A822C2"/>
    <w:rsid w:val="00A82990"/>
    <w:rsid w:val="00A82E89"/>
    <w:rsid w:val="00A83B49"/>
    <w:rsid w:val="00A8442E"/>
    <w:rsid w:val="00A84A83"/>
    <w:rsid w:val="00A84AA6"/>
    <w:rsid w:val="00A856DD"/>
    <w:rsid w:val="00A8577A"/>
    <w:rsid w:val="00A85C2C"/>
    <w:rsid w:val="00A85D27"/>
    <w:rsid w:val="00A90401"/>
    <w:rsid w:val="00A9085D"/>
    <w:rsid w:val="00A916A5"/>
    <w:rsid w:val="00A91DE4"/>
    <w:rsid w:val="00A91FA6"/>
    <w:rsid w:val="00A921E3"/>
    <w:rsid w:val="00A926F5"/>
    <w:rsid w:val="00A928F1"/>
    <w:rsid w:val="00A93342"/>
    <w:rsid w:val="00A94307"/>
    <w:rsid w:val="00A94783"/>
    <w:rsid w:val="00A94C9E"/>
    <w:rsid w:val="00A94D20"/>
    <w:rsid w:val="00A9752B"/>
    <w:rsid w:val="00A97C2D"/>
    <w:rsid w:val="00AA08E6"/>
    <w:rsid w:val="00AA1194"/>
    <w:rsid w:val="00AA157D"/>
    <w:rsid w:val="00AA2461"/>
    <w:rsid w:val="00AA2865"/>
    <w:rsid w:val="00AA2F3C"/>
    <w:rsid w:val="00AA30DC"/>
    <w:rsid w:val="00AA3A9B"/>
    <w:rsid w:val="00AA3BF1"/>
    <w:rsid w:val="00AA40CA"/>
    <w:rsid w:val="00AA5188"/>
    <w:rsid w:val="00AA5410"/>
    <w:rsid w:val="00AA649C"/>
    <w:rsid w:val="00AA6F97"/>
    <w:rsid w:val="00AA742C"/>
    <w:rsid w:val="00AA77D0"/>
    <w:rsid w:val="00AA7CEC"/>
    <w:rsid w:val="00AB194D"/>
    <w:rsid w:val="00AB197E"/>
    <w:rsid w:val="00AB1CD4"/>
    <w:rsid w:val="00AB21C6"/>
    <w:rsid w:val="00AB24E7"/>
    <w:rsid w:val="00AB25A2"/>
    <w:rsid w:val="00AB2841"/>
    <w:rsid w:val="00AB2A2E"/>
    <w:rsid w:val="00AB3795"/>
    <w:rsid w:val="00AB4496"/>
    <w:rsid w:val="00AB456A"/>
    <w:rsid w:val="00AB5B00"/>
    <w:rsid w:val="00AB7260"/>
    <w:rsid w:val="00AC2B89"/>
    <w:rsid w:val="00AC4C12"/>
    <w:rsid w:val="00AC688A"/>
    <w:rsid w:val="00AC6F7D"/>
    <w:rsid w:val="00AC720A"/>
    <w:rsid w:val="00AC7F76"/>
    <w:rsid w:val="00AD0607"/>
    <w:rsid w:val="00AD60EA"/>
    <w:rsid w:val="00AD6274"/>
    <w:rsid w:val="00AD67A1"/>
    <w:rsid w:val="00AD67D4"/>
    <w:rsid w:val="00AD74B8"/>
    <w:rsid w:val="00AE0D5B"/>
    <w:rsid w:val="00AE0FB7"/>
    <w:rsid w:val="00AE1D33"/>
    <w:rsid w:val="00AE26C1"/>
    <w:rsid w:val="00AE2DF7"/>
    <w:rsid w:val="00AE40F6"/>
    <w:rsid w:val="00AE4331"/>
    <w:rsid w:val="00AE474D"/>
    <w:rsid w:val="00AE5820"/>
    <w:rsid w:val="00AE614D"/>
    <w:rsid w:val="00AE6301"/>
    <w:rsid w:val="00AE6B1D"/>
    <w:rsid w:val="00AE7849"/>
    <w:rsid w:val="00AE7977"/>
    <w:rsid w:val="00AE7E17"/>
    <w:rsid w:val="00AF1F10"/>
    <w:rsid w:val="00AF2763"/>
    <w:rsid w:val="00AF3074"/>
    <w:rsid w:val="00AF3639"/>
    <w:rsid w:val="00AF3A3B"/>
    <w:rsid w:val="00AF3D39"/>
    <w:rsid w:val="00AF497B"/>
    <w:rsid w:val="00AF55E2"/>
    <w:rsid w:val="00AF5BF2"/>
    <w:rsid w:val="00AF6A4C"/>
    <w:rsid w:val="00B00713"/>
    <w:rsid w:val="00B02183"/>
    <w:rsid w:val="00B031E1"/>
    <w:rsid w:val="00B0397A"/>
    <w:rsid w:val="00B03D6C"/>
    <w:rsid w:val="00B047C2"/>
    <w:rsid w:val="00B04CB1"/>
    <w:rsid w:val="00B05635"/>
    <w:rsid w:val="00B05D54"/>
    <w:rsid w:val="00B07620"/>
    <w:rsid w:val="00B07776"/>
    <w:rsid w:val="00B07DF2"/>
    <w:rsid w:val="00B12044"/>
    <w:rsid w:val="00B1208B"/>
    <w:rsid w:val="00B1314F"/>
    <w:rsid w:val="00B13198"/>
    <w:rsid w:val="00B14CC3"/>
    <w:rsid w:val="00B15127"/>
    <w:rsid w:val="00B151CF"/>
    <w:rsid w:val="00B15654"/>
    <w:rsid w:val="00B15720"/>
    <w:rsid w:val="00B16D45"/>
    <w:rsid w:val="00B170F5"/>
    <w:rsid w:val="00B20445"/>
    <w:rsid w:val="00B20DAB"/>
    <w:rsid w:val="00B224CB"/>
    <w:rsid w:val="00B23140"/>
    <w:rsid w:val="00B23945"/>
    <w:rsid w:val="00B24401"/>
    <w:rsid w:val="00B247AD"/>
    <w:rsid w:val="00B24870"/>
    <w:rsid w:val="00B24C79"/>
    <w:rsid w:val="00B25C85"/>
    <w:rsid w:val="00B25D05"/>
    <w:rsid w:val="00B26622"/>
    <w:rsid w:val="00B26669"/>
    <w:rsid w:val="00B2667D"/>
    <w:rsid w:val="00B2708E"/>
    <w:rsid w:val="00B276B4"/>
    <w:rsid w:val="00B27B03"/>
    <w:rsid w:val="00B27D93"/>
    <w:rsid w:val="00B303F6"/>
    <w:rsid w:val="00B307B7"/>
    <w:rsid w:val="00B308CA"/>
    <w:rsid w:val="00B31837"/>
    <w:rsid w:val="00B31C8F"/>
    <w:rsid w:val="00B32BBB"/>
    <w:rsid w:val="00B33442"/>
    <w:rsid w:val="00B34E7C"/>
    <w:rsid w:val="00B3560B"/>
    <w:rsid w:val="00B36028"/>
    <w:rsid w:val="00B36A53"/>
    <w:rsid w:val="00B37285"/>
    <w:rsid w:val="00B40064"/>
    <w:rsid w:val="00B406CC"/>
    <w:rsid w:val="00B411DF"/>
    <w:rsid w:val="00B4125F"/>
    <w:rsid w:val="00B41458"/>
    <w:rsid w:val="00B41823"/>
    <w:rsid w:val="00B41E55"/>
    <w:rsid w:val="00B43439"/>
    <w:rsid w:val="00B43F3E"/>
    <w:rsid w:val="00B44DAB"/>
    <w:rsid w:val="00B45D2E"/>
    <w:rsid w:val="00B46970"/>
    <w:rsid w:val="00B50A44"/>
    <w:rsid w:val="00B51871"/>
    <w:rsid w:val="00B51DFB"/>
    <w:rsid w:val="00B54260"/>
    <w:rsid w:val="00B54FE6"/>
    <w:rsid w:val="00B55320"/>
    <w:rsid w:val="00B55524"/>
    <w:rsid w:val="00B55764"/>
    <w:rsid w:val="00B56CFB"/>
    <w:rsid w:val="00B574C6"/>
    <w:rsid w:val="00B575BF"/>
    <w:rsid w:val="00B57E3B"/>
    <w:rsid w:val="00B609AC"/>
    <w:rsid w:val="00B612EA"/>
    <w:rsid w:val="00B61C66"/>
    <w:rsid w:val="00B62604"/>
    <w:rsid w:val="00B62DF2"/>
    <w:rsid w:val="00B668AA"/>
    <w:rsid w:val="00B66A87"/>
    <w:rsid w:val="00B66BCB"/>
    <w:rsid w:val="00B67DF6"/>
    <w:rsid w:val="00B712D0"/>
    <w:rsid w:val="00B71D79"/>
    <w:rsid w:val="00B7218E"/>
    <w:rsid w:val="00B72D98"/>
    <w:rsid w:val="00B74A34"/>
    <w:rsid w:val="00B74F73"/>
    <w:rsid w:val="00B757E5"/>
    <w:rsid w:val="00B76B11"/>
    <w:rsid w:val="00B80C7C"/>
    <w:rsid w:val="00B81F38"/>
    <w:rsid w:val="00B82992"/>
    <w:rsid w:val="00B83B62"/>
    <w:rsid w:val="00B83CA3"/>
    <w:rsid w:val="00B8407B"/>
    <w:rsid w:val="00B84323"/>
    <w:rsid w:val="00B843F1"/>
    <w:rsid w:val="00B8535F"/>
    <w:rsid w:val="00B853B5"/>
    <w:rsid w:val="00B85E7B"/>
    <w:rsid w:val="00B860CC"/>
    <w:rsid w:val="00B866BC"/>
    <w:rsid w:val="00B86AB1"/>
    <w:rsid w:val="00B8707B"/>
    <w:rsid w:val="00B878CD"/>
    <w:rsid w:val="00B919E4"/>
    <w:rsid w:val="00B91CB1"/>
    <w:rsid w:val="00B9249B"/>
    <w:rsid w:val="00B92B91"/>
    <w:rsid w:val="00B92D66"/>
    <w:rsid w:val="00B936E2"/>
    <w:rsid w:val="00B93969"/>
    <w:rsid w:val="00B93979"/>
    <w:rsid w:val="00B939E5"/>
    <w:rsid w:val="00B93C3A"/>
    <w:rsid w:val="00B9536C"/>
    <w:rsid w:val="00B97D2F"/>
    <w:rsid w:val="00BA0F63"/>
    <w:rsid w:val="00BA174A"/>
    <w:rsid w:val="00BA1940"/>
    <w:rsid w:val="00BA1945"/>
    <w:rsid w:val="00BA1FFB"/>
    <w:rsid w:val="00BA2B3F"/>
    <w:rsid w:val="00BA4E45"/>
    <w:rsid w:val="00BA59FB"/>
    <w:rsid w:val="00BA678D"/>
    <w:rsid w:val="00BA6841"/>
    <w:rsid w:val="00BA751A"/>
    <w:rsid w:val="00BA7D95"/>
    <w:rsid w:val="00BB14A3"/>
    <w:rsid w:val="00BB15B3"/>
    <w:rsid w:val="00BB3218"/>
    <w:rsid w:val="00BB437D"/>
    <w:rsid w:val="00BB6288"/>
    <w:rsid w:val="00BB6D84"/>
    <w:rsid w:val="00BB779F"/>
    <w:rsid w:val="00BC0F2A"/>
    <w:rsid w:val="00BC15DE"/>
    <w:rsid w:val="00BC17C8"/>
    <w:rsid w:val="00BC1985"/>
    <w:rsid w:val="00BC1CB2"/>
    <w:rsid w:val="00BC22E8"/>
    <w:rsid w:val="00BC27E5"/>
    <w:rsid w:val="00BC3607"/>
    <w:rsid w:val="00BC369C"/>
    <w:rsid w:val="00BC4972"/>
    <w:rsid w:val="00BC4F3B"/>
    <w:rsid w:val="00BC5AD3"/>
    <w:rsid w:val="00BC6555"/>
    <w:rsid w:val="00BC6897"/>
    <w:rsid w:val="00BC6DA0"/>
    <w:rsid w:val="00BD0330"/>
    <w:rsid w:val="00BD1926"/>
    <w:rsid w:val="00BD1B8D"/>
    <w:rsid w:val="00BD33D4"/>
    <w:rsid w:val="00BD40B1"/>
    <w:rsid w:val="00BD4624"/>
    <w:rsid w:val="00BD5FED"/>
    <w:rsid w:val="00BD64E7"/>
    <w:rsid w:val="00BD696A"/>
    <w:rsid w:val="00BD69CB"/>
    <w:rsid w:val="00BD7028"/>
    <w:rsid w:val="00BD7D08"/>
    <w:rsid w:val="00BE0CFC"/>
    <w:rsid w:val="00BE3EDD"/>
    <w:rsid w:val="00BE47BF"/>
    <w:rsid w:val="00BE5374"/>
    <w:rsid w:val="00BE627A"/>
    <w:rsid w:val="00BE67B3"/>
    <w:rsid w:val="00BE6CE8"/>
    <w:rsid w:val="00BE7CC0"/>
    <w:rsid w:val="00BF05ED"/>
    <w:rsid w:val="00BF2263"/>
    <w:rsid w:val="00BF2D50"/>
    <w:rsid w:val="00BF379E"/>
    <w:rsid w:val="00BF4343"/>
    <w:rsid w:val="00BF48D0"/>
    <w:rsid w:val="00BF4A04"/>
    <w:rsid w:val="00BF5E63"/>
    <w:rsid w:val="00BF5ED5"/>
    <w:rsid w:val="00BF6049"/>
    <w:rsid w:val="00BF67E3"/>
    <w:rsid w:val="00BF7C54"/>
    <w:rsid w:val="00C0030F"/>
    <w:rsid w:val="00C01CF6"/>
    <w:rsid w:val="00C01D5F"/>
    <w:rsid w:val="00C0304B"/>
    <w:rsid w:val="00C0345A"/>
    <w:rsid w:val="00C03511"/>
    <w:rsid w:val="00C04398"/>
    <w:rsid w:val="00C0443B"/>
    <w:rsid w:val="00C0459F"/>
    <w:rsid w:val="00C04C3A"/>
    <w:rsid w:val="00C05700"/>
    <w:rsid w:val="00C05BE2"/>
    <w:rsid w:val="00C06FA3"/>
    <w:rsid w:val="00C074CD"/>
    <w:rsid w:val="00C107C3"/>
    <w:rsid w:val="00C10CC4"/>
    <w:rsid w:val="00C13520"/>
    <w:rsid w:val="00C14AEB"/>
    <w:rsid w:val="00C14D77"/>
    <w:rsid w:val="00C14F14"/>
    <w:rsid w:val="00C14F9B"/>
    <w:rsid w:val="00C14FAB"/>
    <w:rsid w:val="00C15E06"/>
    <w:rsid w:val="00C15F42"/>
    <w:rsid w:val="00C1610B"/>
    <w:rsid w:val="00C1611D"/>
    <w:rsid w:val="00C16C9A"/>
    <w:rsid w:val="00C175E4"/>
    <w:rsid w:val="00C17818"/>
    <w:rsid w:val="00C2069D"/>
    <w:rsid w:val="00C20B9B"/>
    <w:rsid w:val="00C21C85"/>
    <w:rsid w:val="00C232E0"/>
    <w:rsid w:val="00C243BF"/>
    <w:rsid w:val="00C243F5"/>
    <w:rsid w:val="00C24B5E"/>
    <w:rsid w:val="00C24C1D"/>
    <w:rsid w:val="00C2534F"/>
    <w:rsid w:val="00C25B7F"/>
    <w:rsid w:val="00C262D0"/>
    <w:rsid w:val="00C2704E"/>
    <w:rsid w:val="00C30058"/>
    <w:rsid w:val="00C317A2"/>
    <w:rsid w:val="00C32A71"/>
    <w:rsid w:val="00C336F8"/>
    <w:rsid w:val="00C343FC"/>
    <w:rsid w:val="00C3651F"/>
    <w:rsid w:val="00C36633"/>
    <w:rsid w:val="00C36981"/>
    <w:rsid w:val="00C36E9D"/>
    <w:rsid w:val="00C374FC"/>
    <w:rsid w:val="00C37C86"/>
    <w:rsid w:val="00C412B1"/>
    <w:rsid w:val="00C4177F"/>
    <w:rsid w:val="00C423E7"/>
    <w:rsid w:val="00C42589"/>
    <w:rsid w:val="00C42C7C"/>
    <w:rsid w:val="00C437D5"/>
    <w:rsid w:val="00C4436C"/>
    <w:rsid w:val="00C446FA"/>
    <w:rsid w:val="00C4484E"/>
    <w:rsid w:val="00C44F6A"/>
    <w:rsid w:val="00C45A63"/>
    <w:rsid w:val="00C45B25"/>
    <w:rsid w:val="00C45BA0"/>
    <w:rsid w:val="00C461B2"/>
    <w:rsid w:val="00C470F7"/>
    <w:rsid w:val="00C47C8E"/>
    <w:rsid w:val="00C504D2"/>
    <w:rsid w:val="00C51371"/>
    <w:rsid w:val="00C519B7"/>
    <w:rsid w:val="00C5241C"/>
    <w:rsid w:val="00C52A9F"/>
    <w:rsid w:val="00C52D18"/>
    <w:rsid w:val="00C52FD1"/>
    <w:rsid w:val="00C530DB"/>
    <w:rsid w:val="00C532B3"/>
    <w:rsid w:val="00C5359B"/>
    <w:rsid w:val="00C53AF7"/>
    <w:rsid w:val="00C554B5"/>
    <w:rsid w:val="00C55D5E"/>
    <w:rsid w:val="00C562C0"/>
    <w:rsid w:val="00C56EF2"/>
    <w:rsid w:val="00C570A6"/>
    <w:rsid w:val="00C571AE"/>
    <w:rsid w:val="00C579F3"/>
    <w:rsid w:val="00C57CF5"/>
    <w:rsid w:val="00C600B3"/>
    <w:rsid w:val="00C60609"/>
    <w:rsid w:val="00C60DE1"/>
    <w:rsid w:val="00C60F5B"/>
    <w:rsid w:val="00C610A2"/>
    <w:rsid w:val="00C610AC"/>
    <w:rsid w:val="00C61464"/>
    <w:rsid w:val="00C61929"/>
    <w:rsid w:val="00C619CF"/>
    <w:rsid w:val="00C62E03"/>
    <w:rsid w:val="00C639EE"/>
    <w:rsid w:val="00C63A56"/>
    <w:rsid w:val="00C64583"/>
    <w:rsid w:val="00C645E1"/>
    <w:rsid w:val="00C6537D"/>
    <w:rsid w:val="00C65D5E"/>
    <w:rsid w:val="00C65FAA"/>
    <w:rsid w:val="00C66DFA"/>
    <w:rsid w:val="00C6781E"/>
    <w:rsid w:val="00C67E8E"/>
    <w:rsid w:val="00C70D4F"/>
    <w:rsid w:val="00C71DE1"/>
    <w:rsid w:val="00C72177"/>
    <w:rsid w:val="00C732B6"/>
    <w:rsid w:val="00C73486"/>
    <w:rsid w:val="00C735F5"/>
    <w:rsid w:val="00C74242"/>
    <w:rsid w:val="00C74968"/>
    <w:rsid w:val="00C74B33"/>
    <w:rsid w:val="00C74B8C"/>
    <w:rsid w:val="00C74C0C"/>
    <w:rsid w:val="00C76213"/>
    <w:rsid w:val="00C76A02"/>
    <w:rsid w:val="00C770CF"/>
    <w:rsid w:val="00C77E5C"/>
    <w:rsid w:val="00C77F64"/>
    <w:rsid w:val="00C80AE6"/>
    <w:rsid w:val="00C80F44"/>
    <w:rsid w:val="00C81400"/>
    <w:rsid w:val="00C81B12"/>
    <w:rsid w:val="00C81C20"/>
    <w:rsid w:val="00C81D94"/>
    <w:rsid w:val="00C823C7"/>
    <w:rsid w:val="00C8268F"/>
    <w:rsid w:val="00C829E5"/>
    <w:rsid w:val="00C83535"/>
    <w:rsid w:val="00C83D84"/>
    <w:rsid w:val="00C83D9E"/>
    <w:rsid w:val="00C85B3A"/>
    <w:rsid w:val="00C87436"/>
    <w:rsid w:val="00C878AB"/>
    <w:rsid w:val="00C91651"/>
    <w:rsid w:val="00C917A4"/>
    <w:rsid w:val="00C922A2"/>
    <w:rsid w:val="00C93868"/>
    <w:rsid w:val="00C948A4"/>
    <w:rsid w:val="00C9686A"/>
    <w:rsid w:val="00C972B7"/>
    <w:rsid w:val="00C97CEE"/>
    <w:rsid w:val="00CA12A6"/>
    <w:rsid w:val="00CA1433"/>
    <w:rsid w:val="00CA1C7D"/>
    <w:rsid w:val="00CA26EA"/>
    <w:rsid w:val="00CA2FB2"/>
    <w:rsid w:val="00CA370D"/>
    <w:rsid w:val="00CA3D3A"/>
    <w:rsid w:val="00CA42D6"/>
    <w:rsid w:val="00CA4675"/>
    <w:rsid w:val="00CA48C2"/>
    <w:rsid w:val="00CA4F9D"/>
    <w:rsid w:val="00CA528A"/>
    <w:rsid w:val="00CA5AAF"/>
    <w:rsid w:val="00CA5B9B"/>
    <w:rsid w:val="00CA5D06"/>
    <w:rsid w:val="00CA60CE"/>
    <w:rsid w:val="00CB08EF"/>
    <w:rsid w:val="00CB0AFE"/>
    <w:rsid w:val="00CB15E9"/>
    <w:rsid w:val="00CB1CD1"/>
    <w:rsid w:val="00CB2589"/>
    <w:rsid w:val="00CB2BD5"/>
    <w:rsid w:val="00CB2D07"/>
    <w:rsid w:val="00CB3389"/>
    <w:rsid w:val="00CB405F"/>
    <w:rsid w:val="00CB44E7"/>
    <w:rsid w:val="00CB49FD"/>
    <w:rsid w:val="00CB4A12"/>
    <w:rsid w:val="00CB5C55"/>
    <w:rsid w:val="00CB5E29"/>
    <w:rsid w:val="00CB5FA8"/>
    <w:rsid w:val="00CB5FC1"/>
    <w:rsid w:val="00CB5FDE"/>
    <w:rsid w:val="00CB6056"/>
    <w:rsid w:val="00CB6603"/>
    <w:rsid w:val="00CB6839"/>
    <w:rsid w:val="00CB6F3F"/>
    <w:rsid w:val="00CC099E"/>
    <w:rsid w:val="00CC1293"/>
    <w:rsid w:val="00CC1D1A"/>
    <w:rsid w:val="00CC22E4"/>
    <w:rsid w:val="00CC36AF"/>
    <w:rsid w:val="00CC4823"/>
    <w:rsid w:val="00CC5956"/>
    <w:rsid w:val="00CC6260"/>
    <w:rsid w:val="00CC6360"/>
    <w:rsid w:val="00CC6958"/>
    <w:rsid w:val="00CC6D22"/>
    <w:rsid w:val="00CC6FB0"/>
    <w:rsid w:val="00CC75EA"/>
    <w:rsid w:val="00CD06DD"/>
    <w:rsid w:val="00CD1322"/>
    <w:rsid w:val="00CD1404"/>
    <w:rsid w:val="00CD1C63"/>
    <w:rsid w:val="00CD213E"/>
    <w:rsid w:val="00CD31D8"/>
    <w:rsid w:val="00CD4033"/>
    <w:rsid w:val="00CD4287"/>
    <w:rsid w:val="00CD4A7D"/>
    <w:rsid w:val="00CD5704"/>
    <w:rsid w:val="00CD576B"/>
    <w:rsid w:val="00CD5940"/>
    <w:rsid w:val="00CD6A4C"/>
    <w:rsid w:val="00CD6F9D"/>
    <w:rsid w:val="00CD7089"/>
    <w:rsid w:val="00CD7B0D"/>
    <w:rsid w:val="00CE106D"/>
    <w:rsid w:val="00CE18A7"/>
    <w:rsid w:val="00CE1FD7"/>
    <w:rsid w:val="00CE28E3"/>
    <w:rsid w:val="00CE2D2F"/>
    <w:rsid w:val="00CE3AB6"/>
    <w:rsid w:val="00CE3CC0"/>
    <w:rsid w:val="00CE612A"/>
    <w:rsid w:val="00CE726E"/>
    <w:rsid w:val="00CF043F"/>
    <w:rsid w:val="00CF1A2D"/>
    <w:rsid w:val="00CF2913"/>
    <w:rsid w:val="00CF2CDE"/>
    <w:rsid w:val="00CF3D76"/>
    <w:rsid w:val="00CF439F"/>
    <w:rsid w:val="00CF54E5"/>
    <w:rsid w:val="00CF58F8"/>
    <w:rsid w:val="00CF6A84"/>
    <w:rsid w:val="00CF7120"/>
    <w:rsid w:val="00CF724C"/>
    <w:rsid w:val="00CF7354"/>
    <w:rsid w:val="00D001B4"/>
    <w:rsid w:val="00D003B7"/>
    <w:rsid w:val="00D00717"/>
    <w:rsid w:val="00D00E36"/>
    <w:rsid w:val="00D027E5"/>
    <w:rsid w:val="00D02A8A"/>
    <w:rsid w:val="00D02F4F"/>
    <w:rsid w:val="00D04A22"/>
    <w:rsid w:val="00D04CB3"/>
    <w:rsid w:val="00D05871"/>
    <w:rsid w:val="00D064D6"/>
    <w:rsid w:val="00D10114"/>
    <w:rsid w:val="00D104DE"/>
    <w:rsid w:val="00D11091"/>
    <w:rsid w:val="00D118C2"/>
    <w:rsid w:val="00D125F6"/>
    <w:rsid w:val="00D12C5B"/>
    <w:rsid w:val="00D14752"/>
    <w:rsid w:val="00D14E59"/>
    <w:rsid w:val="00D16FEE"/>
    <w:rsid w:val="00D20031"/>
    <w:rsid w:val="00D20168"/>
    <w:rsid w:val="00D20548"/>
    <w:rsid w:val="00D21116"/>
    <w:rsid w:val="00D214B5"/>
    <w:rsid w:val="00D21E57"/>
    <w:rsid w:val="00D21EA0"/>
    <w:rsid w:val="00D2242D"/>
    <w:rsid w:val="00D22A48"/>
    <w:rsid w:val="00D23072"/>
    <w:rsid w:val="00D23B2B"/>
    <w:rsid w:val="00D24EC3"/>
    <w:rsid w:val="00D25CEC"/>
    <w:rsid w:val="00D2608C"/>
    <w:rsid w:val="00D26CCA"/>
    <w:rsid w:val="00D27976"/>
    <w:rsid w:val="00D27DD9"/>
    <w:rsid w:val="00D30B70"/>
    <w:rsid w:val="00D30C25"/>
    <w:rsid w:val="00D313B3"/>
    <w:rsid w:val="00D314D2"/>
    <w:rsid w:val="00D318AE"/>
    <w:rsid w:val="00D31E78"/>
    <w:rsid w:val="00D3292B"/>
    <w:rsid w:val="00D32C34"/>
    <w:rsid w:val="00D33015"/>
    <w:rsid w:val="00D33F02"/>
    <w:rsid w:val="00D3503B"/>
    <w:rsid w:val="00D3540E"/>
    <w:rsid w:val="00D358F7"/>
    <w:rsid w:val="00D36376"/>
    <w:rsid w:val="00D36E67"/>
    <w:rsid w:val="00D37EF5"/>
    <w:rsid w:val="00D40060"/>
    <w:rsid w:val="00D40932"/>
    <w:rsid w:val="00D40ACF"/>
    <w:rsid w:val="00D419C9"/>
    <w:rsid w:val="00D428B9"/>
    <w:rsid w:val="00D43246"/>
    <w:rsid w:val="00D44036"/>
    <w:rsid w:val="00D44712"/>
    <w:rsid w:val="00D44C2F"/>
    <w:rsid w:val="00D455EE"/>
    <w:rsid w:val="00D45750"/>
    <w:rsid w:val="00D457EA"/>
    <w:rsid w:val="00D45C42"/>
    <w:rsid w:val="00D472A9"/>
    <w:rsid w:val="00D477CB"/>
    <w:rsid w:val="00D47A81"/>
    <w:rsid w:val="00D5005A"/>
    <w:rsid w:val="00D50879"/>
    <w:rsid w:val="00D51152"/>
    <w:rsid w:val="00D51351"/>
    <w:rsid w:val="00D521AB"/>
    <w:rsid w:val="00D522B2"/>
    <w:rsid w:val="00D52834"/>
    <w:rsid w:val="00D52AD4"/>
    <w:rsid w:val="00D52BF7"/>
    <w:rsid w:val="00D52E54"/>
    <w:rsid w:val="00D52FF5"/>
    <w:rsid w:val="00D540D4"/>
    <w:rsid w:val="00D55EB3"/>
    <w:rsid w:val="00D5653A"/>
    <w:rsid w:val="00D56CEF"/>
    <w:rsid w:val="00D56DFA"/>
    <w:rsid w:val="00D57DAB"/>
    <w:rsid w:val="00D60880"/>
    <w:rsid w:val="00D608C7"/>
    <w:rsid w:val="00D60E22"/>
    <w:rsid w:val="00D61302"/>
    <w:rsid w:val="00D61936"/>
    <w:rsid w:val="00D62384"/>
    <w:rsid w:val="00D62F4D"/>
    <w:rsid w:val="00D6374B"/>
    <w:rsid w:val="00D64906"/>
    <w:rsid w:val="00D652D9"/>
    <w:rsid w:val="00D65388"/>
    <w:rsid w:val="00D66149"/>
    <w:rsid w:val="00D6644E"/>
    <w:rsid w:val="00D67F1D"/>
    <w:rsid w:val="00D70ACE"/>
    <w:rsid w:val="00D70DDA"/>
    <w:rsid w:val="00D71847"/>
    <w:rsid w:val="00D72C91"/>
    <w:rsid w:val="00D73725"/>
    <w:rsid w:val="00D73AD9"/>
    <w:rsid w:val="00D74D84"/>
    <w:rsid w:val="00D763EC"/>
    <w:rsid w:val="00D7656C"/>
    <w:rsid w:val="00D77B6F"/>
    <w:rsid w:val="00D77C10"/>
    <w:rsid w:val="00D77D16"/>
    <w:rsid w:val="00D80C29"/>
    <w:rsid w:val="00D81891"/>
    <w:rsid w:val="00D82DDF"/>
    <w:rsid w:val="00D8316D"/>
    <w:rsid w:val="00D8364C"/>
    <w:rsid w:val="00D83B51"/>
    <w:rsid w:val="00D84ECA"/>
    <w:rsid w:val="00D84FD0"/>
    <w:rsid w:val="00D8525E"/>
    <w:rsid w:val="00D8557E"/>
    <w:rsid w:val="00D867B5"/>
    <w:rsid w:val="00D86A1D"/>
    <w:rsid w:val="00D86E9B"/>
    <w:rsid w:val="00D871A5"/>
    <w:rsid w:val="00D9041B"/>
    <w:rsid w:val="00D9045F"/>
    <w:rsid w:val="00D90C43"/>
    <w:rsid w:val="00D90DBB"/>
    <w:rsid w:val="00D9141D"/>
    <w:rsid w:val="00D91424"/>
    <w:rsid w:val="00D92775"/>
    <w:rsid w:val="00D929B6"/>
    <w:rsid w:val="00D9413B"/>
    <w:rsid w:val="00D946C9"/>
    <w:rsid w:val="00D94CF3"/>
    <w:rsid w:val="00D95329"/>
    <w:rsid w:val="00D96112"/>
    <w:rsid w:val="00D967A8"/>
    <w:rsid w:val="00DA042E"/>
    <w:rsid w:val="00DA058E"/>
    <w:rsid w:val="00DA1671"/>
    <w:rsid w:val="00DA2899"/>
    <w:rsid w:val="00DA2A79"/>
    <w:rsid w:val="00DA46AB"/>
    <w:rsid w:val="00DA512C"/>
    <w:rsid w:val="00DA56CE"/>
    <w:rsid w:val="00DA6765"/>
    <w:rsid w:val="00DA75EC"/>
    <w:rsid w:val="00DA79DF"/>
    <w:rsid w:val="00DB003C"/>
    <w:rsid w:val="00DB142D"/>
    <w:rsid w:val="00DB1BC9"/>
    <w:rsid w:val="00DB1E91"/>
    <w:rsid w:val="00DB2056"/>
    <w:rsid w:val="00DB40F7"/>
    <w:rsid w:val="00DB4410"/>
    <w:rsid w:val="00DB4EBD"/>
    <w:rsid w:val="00DB5117"/>
    <w:rsid w:val="00DB59DA"/>
    <w:rsid w:val="00DB6031"/>
    <w:rsid w:val="00DB664A"/>
    <w:rsid w:val="00DB7463"/>
    <w:rsid w:val="00DB746D"/>
    <w:rsid w:val="00DB768D"/>
    <w:rsid w:val="00DC02DC"/>
    <w:rsid w:val="00DC136C"/>
    <w:rsid w:val="00DC14AF"/>
    <w:rsid w:val="00DC14ED"/>
    <w:rsid w:val="00DC1720"/>
    <w:rsid w:val="00DC18F4"/>
    <w:rsid w:val="00DC1F5A"/>
    <w:rsid w:val="00DC24C3"/>
    <w:rsid w:val="00DC3633"/>
    <w:rsid w:val="00DC4108"/>
    <w:rsid w:val="00DC411C"/>
    <w:rsid w:val="00DC4EC7"/>
    <w:rsid w:val="00DC4F64"/>
    <w:rsid w:val="00DC50C5"/>
    <w:rsid w:val="00DC64A7"/>
    <w:rsid w:val="00DC6978"/>
    <w:rsid w:val="00DC7788"/>
    <w:rsid w:val="00DC7B2B"/>
    <w:rsid w:val="00DD0419"/>
    <w:rsid w:val="00DD0953"/>
    <w:rsid w:val="00DD1A95"/>
    <w:rsid w:val="00DD2938"/>
    <w:rsid w:val="00DD2C81"/>
    <w:rsid w:val="00DD4423"/>
    <w:rsid w:val="00DD49BA"/>
    <w:rsid w:val="00DD63F3"/>
    <w:rsid w:val="00DD65DB"/>
    <w:rsid w:val="00DD6DE0"/>
    <w:rsid w:val="00DE000E"/>
    <w:rsid w:val="00DE2496"/>
    <w:rsid w:val="00DE3ABA"/>
    <w:rsid w:val="00DE3E8A"/>
    <w:rsid w:val="00DE4EFD"/>
    <w:rsid w:val="00DE5084"/>
    <w:rsid w:val="00DE5337"/>
    <w:rsid w:val="00DE5440"/>
    <w:rsid w:val="00DE56F9"/>
    <w:rsid w:val="00DE5B30"/>
    <w:rsid w:val="00DE6075"/>
    <w:rsid w:val="00DE6EEF"/>
    <w:rsid w:val="00DE7099"/>
    <w:rsid w:val="00DE76A0"/>
    <w:rsid w:val="00DE7AE3"/>
    <w:rsid w:val="00DF04B8"/>
    <w:rsid w:val="00DF0CAD"/>
    <w:rsid w:val="00DF0FAA"/>
    <w:rsid w:val="00DF341B"/>
    <w:rsid w:val="00DF39E9"/>
    <w:rsid w:val="00DF431B"/>
    <w:rsid w:val="00DF51BB"/>
    <w:rsid w:val="00DF586C"/>
    <w:rsid w:val="00DF59AF"/>
    <w:rsid w:val="00DF59D5"/>
    <w:rsid w:val="00DF5E81"/>
    <w:rsid w:val="00DF6B6F"/>
    <w:rsid w:val="00DF74D9"/>
    <w:rsid w:val="00DF7DD2"/>
    <w:rsid w:val="00E004C4"/>
    <w:rsid w:val="00E017BE"/>
    <w:rsid w:val="00E01ECB"/>
    <w:rsid w:val="00E02A63"/>
    <w:rsid w:val="00E0360B"/>
    <w:rsid w:val="00E03A96"/>
    <w:rsid w:val="00E03C0F"/>
    <w:rsid w:val="00E03D42"/>
    <w:rsid w:val="00E041C9"/>
    <w:rsid w:val="00E053A4"/>
    <w:rsid w:val="00E0595E"/>
    <w:rsid w:val="00E05D56"/>
    <w:rsid w:val="00E05DFB"/>
    <w:rsid w:val="00E06671"/>
    <w:rsid w:val="00E066AA"/>
    <w:rsid w:val="00E07777"/>
    <w:rsid w:val="00E079B8"/>
    <w:rsid w:val="00E07DE2"/>
    <w:rsid w:val="00E105A9"/>
    <w:rsid w:val="00E10882"/>
    <w:rsid w:val="00E10F34"/>
    <w:rsid w:val="00E1198E"/>
    <w:rsid w:val="00E121C1"/>
    <w:rsid w:val="00E1354B"/>
    <w:rsid w:val="00E1355A"/>
    <w:rsid w:val="00E13739"/>
    <w:rsid w:val="00E1385E"/>
    <w:rsid w:val="00E15056"/>
    <w:rsid w:val="00E15469"/>
    <w:rsid w:val="00E15740"/>
    <w:rsid w:val="00E15DB1"/>
    <w:rsid w:val="00E1736F"/>
    <w:rsid w:val="00E17463"/>
    <w:rsid w:val="00E17552"/>
    <w:rsid w:val="00E17719"/>
    <w:rsid w:val="00E200E6"/>
    <w:rsid w:val="00E21B03"/>
    <w:rsid w:val="00E22445"/>
    <w:rsid w:val="00E234E0"/>
    <w:rsid w:val="00E23AD1"/>
    <w:rsid w:val="00E24052"/>
    <w:rsid w:val="00E24261"/>
    <w:rsid w:val="00E25884"/>
    <w:rsid w:val="00E260A3"/>
    <w:rsid w:val="00E267AD"/>
    <w:rsid w:val="00E26D15"/>
    <w:rsid w:val="00E271B5"/>
    <w:rsid w:val="00E27BDA"/>
    <w:rsid w:val="00E27DDB"/>
    <w:rsid w:val="00E27EB6"/>
    <w:rsid w:val="00E310A0"/>
    <w:rsid w:val="00E312BB"/>
    <w:rsid w:val="00E31702"/>
    <w:rsid w:val="00E31B75"/>
    <w:rsid w:val="00E31D33"/>
    <w:rsid w:val="00E3242E"/>
    <w:rsid w:val="00E3293B"/>
    <w:rsid w:val="00E330C9"/>
    <w:rsid w:val="00E33235"/>
    <w:rsid w:val="00E3330E"/>
    <w:rsid w:val="00E3351F"/>
    <w:rsid w:val="00E33992"/>
    <w:rsid w:val="00E340BC"/>
    <w:rsid w:val="00E3575B"/>
    <w:rsid w:val="00E35DA9"/>
    <w:rsid w:val="00E366AD"/>
    <w:rsid w:val="00E3771F"/>
    <w:rsid w:val="00E379BD"/>
    <w:rsid w:val="00E37C4D"/>
    <w:rsid w:val="00E407A0"/>
    <w:rsid w:val="00E40868"/>
    <w:rsid w:val="00E40DAE"/>
    <w:rsid w:val="00E40F62"/>
    <w:rsid w:val="00E410D0"/>
    <w:rsid w:val="00E410E0"/>
    <w:rsid w:val="00E41377"/>
    <w:rsid w:val="00E4199D"/>
    <w:rsid w:val="00E43249"/>
    <w:rsid w:val="00E436A2"/>
    <w:rsid w:val="00E444C3"/>
    <w:rsid w:val="00E44DC6"/>
    <w:rsid w:val="00E458D8"/>
    <w:rsid w:val="00E46079"/>
    <w:rsid w:val="00E46CD9"/>
    <w:rsid w:val="00E50060"/>
    <w:rsid w:val="00E50171"/>
    <w:rsid w:val="00E50E70"/>
    <w:rsid w:val="00E51037"/>
    <w:rsid w:val="00E5108A"/>
    <w:rsid w:val="00E5154E"/>
    <w:rsid w:val="00E518A7"/>
    <w:rsid w:val="00E51A40"/>
    <w:rsid w:val="00E51F5A"/>
    <w:rsid w:val="00E52441"/>
    <w:rsid w:val="00E529F5"/>
    <w:rsid w:val="00E5356B"/>
    <w:rsid w:val="00E53E00"/>
    <w:rsid w:val="00E54221"/>
    <w:rsid w:val="00E54EE0"/>
    <w:rsid w:val="00E5650A"/>
    <w:rsid w:val="00E56B39"/>
    <w:rsid w:val="00E56EC1"/>
    <w:rsid w:val="00E574EC"/>
    <w:rsid w:val="00E57F9C"/>
    <w:rsid w:val="00E60D5F"/>
    <w:rsid w:val="00E615F9"/>
    <w:rsid w:val="00E6193C"/>
    <w:rsid w:val="00E61E15"/>
    <w:rsid w:val="00E624E0"/>
    <w:rsid w:val="00E62566"/>
    <w:rsid w:val="00E625C9"/>
    <w:rsid w:val="00E62943"/>
    <w:rsid w:val="00E62BC2"/>
    <w:rsid w:val="00E62CEC"/>
    <w:rsid w:val="00E63DAA"/>
    <w:rsid w:val="00E6448B"/>
    <w:rsid w:val="00E64CE8"/>
    <w:rsid w:val="00E64DB4"/>
    <w:rsid w:val="00E65761"/>
    <w:rsid w:val="00E673AB"/>
    <w:rsid w:val="00E70769"/>
    <w:rsid w:val="00E70D75"/>
    <w:rsid w:val="00E71843"/>
    <w:rsid w:val="00E7215D"/>
    <w:rsid w:val="00E7221D"/>
    <w:rsid w:val="00E728D9"/>
    <w:rsid w:val="00E7615F"/>
    <w:rsid w:val="00E76AE0"/>
    <w:rsid w:val="00E7754A"/>
    <w:rsid w:val="00E8063E"/>
    <w:rsid w:val="00E80B98"/>
    <w:rsid w:val="00E81A87"/>
    <w:rsid w:val="00E81E0E"/>
    <w:rsid w:val="00E81F57"/>
    <w:rsid w:val="00E83948"/>
    <w:rsid w:val="00E83CF9"/>
    <w:rsid w:val="00E83FD3"/>
    <w:rsid w:val="00E84139"/>
    <w:rsid w:val="00E86884"/>
    <w:rsid w:val="00E86963"/>
    <w:rsid w:val="00E91D83"/>
    <w:rsid w:val="00E920C1"/>
    <w:rsid w:val="00E92974"/>
    <w:rsid w:val="00E92F98"/>
    <w:rsid w:val="00E9331D"/>
    <w:rsid w:val="00E94C6C"/>
    <w:rsid w:val="00E95322"/>
    <w:rsid w:val="00E95490"/>
    <w:rsid w:val="00E968C1"/>
    <w:rsid w:val="00E971F6"/>
    <w:rsid w:val="00E9785B"/>
    <w:rsid w:val="00E97AFF"/>
    <w:rsid w:val="00E97E34"/>
    <w:rsid w:val="00E97EEE"/>
    <w:rsid w:val="00EA0112"/>
    <w:rsid w:val="00EA0E54"/>
    <w:rsid w:val="00EA1769"/>
    <w:rsid w:val="00EA19FF"/>
    <w:rsid w:val="00EA1E88"/>
    <w:rsid w:val="00EA2051"/>
    <w:rsid w:val="00EA2AD9"/>
    <w:rsid w:val="00EA3671"/>
    <w:rsid w:val="00EA36BD"/>
    <w:rsid w:val="00EA38E9"/>
    <w:rsid w:val="00EA3ACA"/>
    <w:rsid w:val="00EA43FF"/>
    <w:rsid w:val="00EA4F13"/>
    <w:rsid w:val="00EA6074"/>
    <w:rsid w:val="00EA7610"/>
    <w:rsid w:val="00EA7BF9"/>
    <w:rsid w:val="00EB0197"/>
    <w:rsid w:val="00EB0CCE"/>
    <w:rsid w:val="00EB0DEA"/>
    <w:rsid w:val="00EB17FA"/>
    <w:rsid w:val="00EB199F"/>
    <w:rsid w:val="00EB1F63"/>
    <w:rsid w:val="00EB27BC"/>
    <w:rsid w:val="00EB3084"/>
    <w:rsid w:val="00EB537E"/>
    <w:rsid w:val="00EB60EE"/>
    <w:rsid w:val="00EB6A32"/>
    <w:rsid w:val="00EC0266"/>
    <w:rsid w:val="00EC0421"/>
    <w:rsid w:val="00EC08DF"/>
    <w:rsid w:val="00EC098B"/>
    <w:rsid w:val="00EC33A0"/>
    <w:rsid w:val="00EC34C4"/>
    <w:rsid w:val="00EC3B69"/>
    <w:rsid w:val="00EC4836"/>
    <w:rsid w:val="00EC5088"/>
    <w:rsid w:val="00EC5ED3"/>
    <w:rsid w:val="00EC678E"/>
    <w:rsid w:val="00EC6C71"/>
    <w:rsid w:val="00ED1F26"/>
    <w:rsid w:val="00ED2B53"/>
    <w:rsid w:val="00ED4ACA"/>
    <w:rsid w:val="00ED519E"/>
    <w:rsid w:val="00ED51AE"/>
    <w:rsid w:val="00ED56FC"/>
    <w:rsid w:val="00ED5B60"/>
    <w:rsid w:val="00ED5D90"/>
    <w:rsid w:val="00ED5E38"/>
    <w:rsid w:val="00ED6F7B"/>
    <w:rsid w:val="00ED74DE"/>
    <w:rsid w:val="00EE0483"/>
    <w:rsid w:val="00EE072C"/>
    <w:rsid w:val="00EE1E9D"/>
    <w:rsid w:val="00EE2BC9"/>
    <w:rsid w:val="00EE2EE5"/>
    <w:rsid w:val="00EE3B9E"/>
    <w:rsid w:val="00EE4173"/>
    <w:rsid w:val="00EE4490"/>
    <w:rsid w:val="00EE48BF"/>
    <w:rsid w:val="00EE4B2E"/>
    <w:rsid w:val="00EE4EEF"/>
    <w:rsid w:val="00EE5237"/>
    <w:rsid w:val="00EE5FFA"/>
    <w:rsid w:val="00EE6832"/>
    <w:rsid w:val="00EF1755"/>
    <w:rsid w:val="00EF3D58"/>
    <w:rsid w:val="00EF5215"/>
    <w:rsid w:val="00EF5403"/>
    <w:rsid w:val="00EF7063"/>
    <w:rsid w:val="00EF7084"/>
    <w:rsid w:val="00F01153"/>
    <w:rsid w:val="00F020AF"/>
    <w:rsid w:val="00F03594"/>
    <w:rsid w:val="00F03B39"/>
    <w:rsid w:val="00F04052"/>
    <w:rsid w:val="00F04FED"/>
    <w:rsid w:val="00F062D5"/>
    <w:rsid w:val="00F06673"/>
    <w:rsid w:val="00F066D2"/>
    <w:rsid w:val="00F06961"/>
    <w:rsid w:val="00F1066F"/>
    <w:rsid w:val="00F1109F"/>
    <w:rsid w:val="00F1333A"/>
    <w:rsid w:val="00F13729"/>
    <w:rsid w:val="00F1415F"/>
    <w:rsid w:val="00F14201"/>
    <w:rsid w:val="00F14530"/>
    <w:rsid w:val="00F14841"/>
    <w:rsid w:val="00F1508C"/>
    <w:rsid w:val="00F154D2"/>
    <w:rsid w:val="00F1578E"/>
    <w:rsid w:val="00F1702C"/>
    <w:rsid w:val="00F17494"/>
    <w:rsid w:val="00F20763"/>
    <w:rsid w:val="00F21453"/>
    <w:rsid w:val="00F227C8"/>
    <w:rsid w:val="00F228F0"/>
    <w:rsid w:val="00F22C2E"/>
    <w:rsid w:val="00F23CB7"/>
    <w:rsid w:val="00F23D61"/>
    <w:rsid w:val="00F24032"/>
    <w:rsid w:val="00F257B5"/>
    <w:rsid w:val="00F25D72"/>
    <w:rsid w:val="00F2658A"/>
    <w:rsid w:val="00F2720E"/>
    <w:rsid w:val="00F273D9"/>
    <w:rsid w:val="00F2776D"/>
    <w:rsid w:val="00F27B9A"/>
    <w:rsid w:val="00F30555"/>
    <w:rsid w:val="00F311EB"/>
    <w:rsid w:val="00F31399"/>
    <w:rsid w:val="00F32019"/>
    <w:rsid w:val="00F32880"/>
    <w:rsid w:val="00F32CC1"/>
    <w:rsid w:val="00F346E6"/>
    <w:rsid w:val="00F357F0"/>
    <w:rsid w:val="00F36276"/>
    <w:rsid w:val="00F36B0E"/>
    <w:rsid w:val="00F3743C"/>
    <w:rsid w:val="00F40864"/>
    <w:rsid w:val="00F4211F"/>
    <w:rsid w:val="00F43B5F"/>
    <w:rsid w:val="00F44895"/>
    <w:rsid w:val="00F46B3F"/>
    <w:rsid w:val="00F47A78"/>
    <w:rsid w:val="00F50585"/>
    <w:rsid w:val="00F50CE7"/>
    <w:rsid w:val="00F5112F"/>
    <w:rsid w:val="00F516E3"/>
    <w:rsid w:val="00F51803"/>
    <w:rsid w:val="00F5410F"/>
    <w:rsid w:val="00F5447F"/>
    <w:rsid w:val="00F54832"/>
    <w:rsid w:val="00F55969"/>
    <w:rsid w:val="00F55A91"/>
    <w:rsid w:val="00F56B35"/>
    <w:rsid w:val="00F57885"/>
    <w:rsid w:val="00F6074E"/>
    <w:rsid w:val="00F60A87"/>
    <w:rsid w:val="00F624CD"/>
    <w:rsid w:val="00F62F61"/>
    <w:rsid w:val="00F63E66"/>
    <w:rsid w:val="00F6487D"/>
    <w:rsid w:val="00F64D04"/>
    <w:rsid w:val="00F658D3"/>
    <w:rsid w:val="00F65C94"/>
    <w:rsid w:val="00F66144"/>
    <w:rsid w:val="00F66992"/>
    <w:rsid w:val="00F6713F"/>
    <w:rsid w:val="00F674F2"/>
    <w:rsid w:val="00F676F9"/>
    <w:rsid w:val="00F711E2"/>
    <w:rsid w:val="00F7263F"/>
    <w:rsid w:val="00F72BAA"/>
    <w:rsid w:val="00F73C90"/>
    <w:rsid w:val="00F74B51"/>
    <w:rsid w:val="00F75647"/>
    <w:rsid w:val="00F76689"/>
    <w:rsid w:val="00F76CDE"/>
    <w:rsid w:val="00F76D89"/>
    <w:rsid w:val="00F80C79"/>
    <w:rsid w:val="00F80DFA"/>
    <w:rsid w:val="00F81362"/>
    <w:rsid w:val="00F8236F"/>
    <w:rsid w:val="00F83040"/>
    <w:rsid w:val="00F8320F"/>
    <w:rsid w:val="00F84A29"/>
    <w:rsid w:val="00F851EF"/>
    <w:rsid w:val="00F854EE"/>
    <w:rsid w:val="00F85D6A"/>
    <w:rsid w:val="00F8638B"/>
    <w:rsid w:val="00F86C43"/>
    <w:rsid w:val="00F879A2"/>
    <w:rsid w:val="00F87A3A"/>
    <w:rsid w:val="00F912F5"/>
    <w:rsid w:val="00F91353"/>
    <w:rsid w:val="00F91E57"/>
    <w:rsid w:val="00F92A4D"/>
    <w:rsid w:val="00F93471"/>
    <w:rsid w:val="00F93BE6"/>
    <w:rsid w:val="00F9590F"/>
    <w:rsid w:val="00F95963"/>
    <w:rsid w:val="00F9684A"/>
    <w:rsid w:val="00FA0726"/>
    <w:rsid w:val="00FA0825"/>
    <w:rsid w:val="00FA08AD"/>
    <w:rsid w:val="00FA1DFF"/>
    <w:rsid w:val="00FA2BD3"/>
    <w:rsid w:val="00FA2E95"/>
    <w:rsid w:val="00FA2F27"/>
    <w:rsid w:val="00FA355D"/>
    <w:rsid w:val="00FA3634"/>
    <w:rsid w:val="00FA3A64"/>
    <w:rsid w:val="00FA3D4C"/>
    <w:rsid w:val="00FA4150"/>
    <w:rsid w:val="00FA4C59"/>
    <w:rsid w:val="00FA54E4"/>
    <w:rsid w:val="00FA5766"/>
    <w:rsid w:val="00FA5A18"/>
    <w:rsid w:val="00FA613E"/>
    <w:rsid w:val="00FA691A"/>
    <w:rsid w:val="00FA7BB7"/>
    <w:rsid w:val="00FA7D7D"/>
    <w:rsid w:val="00FB0894"/>
    <w:rsid w:val="00FB08CB"/>
    <w:rsid w:val="00FB2A48"/>
    <w:rsid w:val="00FB3053"/>
    <w:rsid w:val="00FB38BD"/>
    <w:rsid w:val="00FB3EBC"/>
    <w:rsid w:val="00FB4A27"/>
    <w:rsid w:val="00FB5EBF"/>
    <w:rsid w:val="00FB620D"/>
    <w:rsid w:val="00FB663A"/>
    <w:rsid w:val="00FB6F67"/>
    <w:rsid w:val="00FC0AD7"/>
    <w:rsid w:val="00FC0CFA"/>
    <w:rsid w:val="00FC10DE"/>
    <w:rsid w:val="00FC1E65"/>
    <w:rsid w:val="00FC2D5F"/>
    <w:rsid w:val="00FC4B7A"/>
    <w:rsid w:val="00FC53D3"/>
    <w:rsid w:val="00FC55C4"/>
    <w:rsid w:val="00FC5603"/>
    <w:rsid w:val="00FC5B11"/>
    <w:rsid w:val="00FC65E1"/>
    <w:rsid w:val="00FC6FD8"/>
    <w:rsid w:val="00FC7560"/>
    <w:rsid w:val="00FD0095"/>
    <w:rsid w:val="00FD0B28"/>
    <w:rsid w:val="00FD12F4"/>
    <w:rsid w:val="00FD17BA"/>
    <w:rsid w:val="00FD1A5B"/>
    <w:rsid w:val="00FD2C9D"/>
    <w:rsid w:val="00FD2F74"/>
    <w:rsid w:val="00FD37B7"/>
    <w:rsid w:val="00FD3B94"/>
    <w:rsid w:val="00FD3E9B"/>
    <w:rsid w:val="00FD40DD"/>
    <w:rsid w:val="00FD42ED"/>
    <w:rsid w:val="00FD43B3"/>
    <w:rsid w:val="00FD6295"/>
    <w:rsid w:val="00FD6452"/>
    <w:rsid w:val="00FD72BF"/>
    <w:rsid w:val="00FD7AE9"/>
    <w:rsid w:val="00FE04D5"/>
    <w:rsid w:val="00FE0B7E"/>
    <w:rsid w:val="00FE1118"/>
    <w:rsid w:val="00FE18E9"/>
    <w:rsid w:val="00FE323C"/>
    <w:rsid w:val="00FE38EA"/>
    <w:rsid w:val="00FE40E5"/>
    <w:rsid w:val="00FE41DF"/>
    <w:rsid w:val="00FE4739"/>
    <w:rsid w:val="00FE4DB2"/>
    <w:rsid w:val="00FE50C5"/>
    <w:rsid w:val="00FE65E3"/>
    <w:rsid w:val="00FE681D"/>
    <w:rsid w:val="00FE6C53"/>
    <w:rsid w:val="00FE74DF"/>
    <w:rsid w:val="00FE776B"/>
    <w:rsid w:val="00FE7840"/>
    <w:rsid w:val="00FF089F"/>
    <w:rsid w:val="00FF0DBD"/>
    <w:rsid w:val="00FF11B3"/>
    <w:rsid w:val="00FF1627"/>
    <w:rsid w:val="00FF2100"/>
    <w:rsid w:val="00FF26E2"/>
    <w:rsid w:val="00FF29F2"/>
    <w:rsid w:val="00FF3920"/>
    <w:rsid w:val="00FF3A07"/>
    <w:rsid w:val="00FF3FEA"/>
    <w:rsid w:val="00FF4B22"/>
    <w:rsid w:val="00FF4C68"/>
    <w:rsid w:val="00FF4E04"/>
    <w:rsid w:val="00FF66CE"/>
    <w:rsid w:val="00FF6B15"/>
    <w:rsid w:val="00FF6E1D"/>
    <w:rsid w:val="011CF6D6"/>
    <w:rsid w:val="02A1127A"/>
    <w:rsid w:val="041F7ABA"/>
    <w:rsid w:val="04396968"/>
    <w:rsid w:val="043CE2DB"/>
    <w:rsid w:val="05322489"/>
    <w:rsid w:val="07C927C3"/>
    <w:rsid w:val="09884D10"/>
    <w:rsid w:val="0A1AE16E"/>
    <w:rsid w:val="0AD14639"/>
    <w:rsid w:val="0B2A60A9"/>
    <w:rsid w:val="0D528230"/>
    <w:rsid w:val="102EB44E"/>
    <w:rsid w:val="1209FEF4"/>
    <w:rsid w:val="15C43132"/>
    <w:rsid w:val="1748450B"/>
    <w:rsid w:val="18270C29"/>
    <w:rsid w:val="1932F8C0"/>
    <w:rsid w:val="1A8B0947"/>
    <w:rsid w:val="1B23B932"/>
    <w:rsid w:val="1CA9C615"/>
    <w:rsid w:val="1CDDA676"/>
    <w:rsid w:val="1F1D6B22"/>
    <w:rsid w:val="1F2E1DC7"/>
    <w:rsid w:val="22C3B57C"/>
    <w:rsid w:val="24EED58C"/>
    <w:rsid w:val="28729BFC"/>
    <w:rsid w:val="290EB687"/>
    <w:rsid w:val="2A38DEF4"/>
    <w:rsid w:val="2AFA4C5C"/>
    <w:rsid w:val="2B2276AA"/>
    <w:rsid w:val="2E7F7FEF"/>
    <w:rsid w:val="2F804E4D"/>
    <w:rsid w:val="3284C80F"/>
    <w:rsid w:val="372BFB8B"/>
    <w:rsid w:val="38CD7366"/>
    <w:rsid w:val="3A65247B"/>
    <w:rsid w:val="3C10CEED"/>
    <w:rsid w:val="3DF83423"/>
    <w:rsid w:val="3ECED35B"/>
    <w:rsid w:val="3F3EF219"/>
    <w:rsid w:val="3FD8B681"/>
    <w:rsid w:val="3FDF4F21"/>
    <w:rsid w:val="43D8E639"/>
    <w:rsid w:val="442E21A4"/>
    <w:rsid w:val="45BA1750"/>
    <w:rsid w:val="46ECF05B"/>
    <w:rsid w:val="48F1B812"/>
    <w:rsid w:val="4C5026D1"/>
    <w:rsid w:val="4C6B84FF"/>
    <w:rsid w:val="4F3A278F"/>
    <w:rsid w:val="51F02CA0"/>
    <w:rsid w:val="526A1A37"/>
    <w:rsid w:val="52FB1EB7"/>
    <w:rsid w:val="53A384DA"/>
    <w:rsid w:val="55023E6B"/>
    <w:rsid w:val="59E20843"/>
    <w:rsid w:val="5BF7FF98"/>
    <w:rsid w:val="5DC25053"/>
    <w:rsid w:val="5E5985BE"/>
    <w:rsid w:val="5F231904"/>
    <w:rsid w:val="6131754E"/>
    <w:rsid w:val="61D97019"/>
    <w:rsid w:val="63014DEB"/>
    <w:rsid w:val="63656D20"/>
    <w:rsid w:val="63794494"/>
    <w:rsid w:val="69405273"/>
    <w:rsid w:val="6D863D49"/>
    <w:rsid w:val="6E593FDB"/>
    <w:rsid w:val="6F3DB260"/>
    <w:rsid w:val="70589E7F"/>
    <w:rsid w:val="71574118"/>
    <w:rsid w:val="71EE27CB"/>
    <w:rsid w:val="736228BF"/>
    <w:rsid w:val="75007860"/>
    <w:rsid w:val="77ED065C"/>
    <w:rsid w:val="77F1C949"/>
    <w:rsid w:val="79D918C1"/>
    <w:rsid w:val="7B7D2E99"/>
    <w:rsid w:val="7BF643EC"/>
    <w:rsid w:val="7C2FAF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1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Yu Mincho" w:eastAsiaTheme="majorEastAsia" w:hAnsi="Yu Mincho"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3"/>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Table HEADER PBAC,-H18"/>
    <w:basedOn w:val="DefaultParagraphFont"/>
    <w:uiPriority w:val="99"/>
    <w:unhideWhenUsed/>
    <w:qFormat/>
    <w:rsid w:val="003E7773"/>
    <w:rPr>
      <w:sz w:val="16"/>
      <w:szCs w:val="16"/>
    </w:rPr>
  </w:style>
  <w:style w:type="character" w:customStyle="1" w:styleId="TableTextChar">
    <w:name w:val="Table Text Char"/>
    <w:basedOn w:val="DefaultParagraphFont"/>
    <w:link w:val="TableText"/>
    <w:uiPriority w:val="3"/>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Yu Mincho" w:eastAsiaTheme="majorEastAsia" w:hAnsi="Yu Mincho"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Light SemiConde" w:hAnsi="Bahnschrift SemiLight SemiConde"/>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PBAC table,CMA Table Template,MSD Table Grid,Dossier table,Summary Table,PHE Table Grid,Lash Style Table,Section 3- footnotes"/>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 1"/>
    <w:basedOn w:val="Normal"/>
    <w:link w:val="ListParagraphChar"/>
    <w:uiPriority w:val="33"/>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ourier New" w:eastAsia="Symbol" w:hAnsi="Courier New" w:cs="Arial"/>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3"/>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ourier New" w:hAnsi="Courier New" w:cs="Courier New"/>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ourier New" w:hAnsi="Courier New" w:cs="Courier New"/>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Times" w:hAnsi="Times"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Times" w:hAnsi="Times"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Times" w:hAnsi="Times"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3"/>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ListBullet">
    <w:name w:val="List Bullet"/>
    <w:basedOn w:val="Normal"/>
    <w:unhideWhenUsed/>
    <w:rsid w:val="00AB456A"/>
    <w:pPr>
      <w:numPr>
        <w:numId w:val="15"/>
      </w:numPr>
      <w:spacing w:before="0" w:after="0" w:line="240" w:lineRule="auto"/>
      <w:contextualSpacing/>
      <w:jc w:val="both"/>
    </w:pPr>
    <w:rPr>
      <w:rFonts w:ascii="Courier New" w:eastAsia="Symbol" w:hAnsi="Courier New" w:cs="Wingdings"/>
      <w:sz w:val="24"/>
      <w:szCs w:val="24"/>
      <w:lang w:eastAsia="en-AU"/>
    </w:rPr>
  </w:style>
  <w:style w:type="character" w:customStyle="1" w:styleId="3-BodyTextChar">
    <w:name w:val="3-Body Text Char"/>
    <w:basedOn w:val="ListParagraphChar"/>
    <w:link w:val="3-BodyText"/>
    <w:rsid w:val="00987A9C"/>
    <w:rPr>
      <w:rFonts w:ascii="Franklin Gothic Book" w:eastAsia="Times New Roman" w:hAnsi="Franklin Gothic Book" w:cs="Arial"/>
      <w:snapToGrid w:val="0"/>
      <w:sz w:val="24"/>
      <w:szCs w:val="24"/>
      <w:lang w:eastAsia="en-AU"/>
    </w:rPr>
  </w:style>
  <w:style w:type="paragraph" w:customStyle="1" w:styleId="Char1">
    <w:name w:val="Char1"/>
    <w:basedOn w:val="Normal"/>
    <w:rsid w:val="005D651D"/>
    <w:pPr>
      <w:spacing w:before="0" w:after="0" w:line="240" w:lineRule="auto"/>
    </w:pPr>
    <w:rPr>
      <w:rFonts w:ascii="Arial" w:eastAsia="Times New Roman" w:hAnsi="Arial" w:cs="Arial"/>
    </w:rPr>
  </w:style>
  <w:style w:type="character" w:styleId="UnresolvedMention">
    <w:name w:val="Unresolved Mention"/>
    <w:basedOn w:val="DefaultParagraphFont"/>
    <w:uiPriority w:val="99"/>
    <w:unhideWhenUsed/>
    <w:rsid w:val="00FD6452"/>
    <w:rPr>
      <w:color w:val="605E5C"/>
      <w:shd w:val="clear" w:color="auto" w:fill="E1DFDD"/>
    </w:rPr>
  </w:style>
  <w:style w:type="paragraph" w:customStyle="1" w:styleId="Default">
    <w:name w:val="Default"/>
    <w:rsid w:val="00BA0F6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erTableFigure">
    <w:name w:val="Footer Table/Figure"/>
    <w:basedOn w:val="Normal"/>
    <w:link w:val="FooterTableFigureChar"/>
    <w:qFormat/>
    <w:rsid w:val="0015316E"/>
    <w:pPr>
      <w:spacing w:before="0" w:after="120" w:line="240" w:lineRule="auto"/>
      <w:contextualSpacing/>
      <w:jc w:val="both"/>
    </w:pPr>
    <w:rPr>
      <w:rFonts w:ascii="Arial Narrow" w:eastAsia="Times New Roman" w:hAnsi="Arial Narrow" w:cs="Arial"/>
      <w:snapToGrid w:val="0"/>
      <w:sz w:val="18"/>
      <w:lang w:eastAsia="en-AU"/>
    </w:rPr>
  </w:style>
  <w:style w:type="character" w:customStyle="1" w:styleId="FooterTableFigureChar">
    <w:name w:val="Footer Table/Figure Char"/>
    <w:link w:val="FooterTableFigure"/>
    <w:rsid w:val="0015316E"/>
    <w:rPr>
      <w:rFonts w:ascii="Arial Narrow" w:eastAsia="Times New Roman" w:hAnsi="Arial Narrow" w:cs="Arial"/>
      <w:snapToGrid w:val="0"/>
      <w:sz w:val="18"/>
      <w:lang w:eastAsia="en-AU"/>
    </w:rPr>
  </w:style>
  <w:style w:type="paragraph" w:styleId="BodyText">
    <w:name w:val="Body Text"/>
    <w:basedOn w:val="Normal"/>
    <w:link w:val="BodyTextChar"/>
    <w:unhideWhenUsed/>
    <w:qFormat/>
    <w:rsid w:val="001E3757"/>
    <w:pPr>
      <w:spacing w:before="0" w:after="120" w:line="360" w:lineRule="auto"/>
      <w:jc w:val="both"/>
    </w:pPr>
    <w:rPr>
      <w:rFonts w:ascii="Arial" w:hAnsi="Arial"/>
    </w:rPr>
  </w:style>
  <w:style w:type="character" w:customStyle="1" w:styleId="BodyTextChar">
    <w:name w:val="Body Text Char"/>
    <w:basedOn w:val="DefaultParagraphFont"/>
    <w:link w:val="BodyText"/>
    <w:rsid w:val="001E3757"/>
    <w:rPr>
      <w:rFonts w:ascii="Arial" w:hAnsi="Arial"/>
    </w:rPr>
  </w:style>
  <w:style w:type="character" w:customStyle="1" w:styleId="TableHeadingChar0">
    <w:name w:val="Table Heading Char"/>
    <w:basedOn w:val="DefaultParagraphFont"/>
    <w:link w:val="TableHeading0"/>
    <w:locked/>
    <w:rsid w:val="008B77DB"/>
    <w:rPr>
      <w:rFonts w:ascii="Arial Narrow" w:hAnsi="Arial Narrow"/>
      <w:b/>
      <w:sz w:val="20"/>
    </w:rPr>
  </w:style>
  <w:style w:type="paragraph" w:customStyle="1" w:styleId="SummaryBoxHeading0">
    <w:name w:val="Summary Box Heading"/>
    <w:basedOn w:val="Normal"/>
    <w:qFormat/>
    <w:rsid w:val="005F2B82"/>
    <w:pPr>
      <w:spacing w:before="20" w:after="20" w:line="276" w:lineRule="auto"/>
    </w:pPr>
    <w:rPr>
      <w:rFonts w:ascii="Arial Narrow" w:eastAsiaTheme="majorEastAsia" w:hAnsi="Arial Narrow" w:cs="Arial"/>
      <w:b/>
      <w:lang w:eastAsia="en-AU" w:bidi="en-US"/>
    </w:rPr>
  </w:style>
  <w:style w:type="table" w:customStyle="1" w:styleId="AZTable">
    <w:name w:val="AZ Table"/>
    <w:basedOn w:val="TableNormal"/>
    <w:uiPriority w:val="99"/>
    <w:rsid w:val="0062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customStyle="1" w:styleId="RTIAMCPTable1">
    <w:name w:val="RTI AMCP Table1"/>
    <w:basedOn w:val="TableNormal"/>
    <w:next w:val="TableGrid"/>
    <w:uiPriority w:val="59"/>
    <w:rsid w:val="00F22C2E"/>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IAMCPTable2">
    <w:name w:val="RTI AMCP Table2"/>
    <w:basedOn w:val="TableNormal"/>
    <w:next w:val="TableGrid"/>
    <w:uiPriority w:val="59"/>
    <w:rsid w:val="00F22C2E"/>
    <w:pPr>
      <w:spacing w:after="0" w:line="36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26F5"/>
    <w:rPr>
      <w:color w:val="2B579A"/>
      <w:shd w:val="clear" w:color="auto" w:fill="E1DFDD"/>
    </w:rPr>
  </w:style>
  <w:style w:type="paragraph" w:customStyle="1" w:styleId="InstructionalText0">
    <w:name w:val="Instructional Text"/>
    <w:basedOn w:val="Normal"/>
    <w:link w:val="InstructionalTextChar0"/>
    <w:uiPriority w:val="3"/>
    <w:qFormat/>
    <w:rsid w:val="00C81D94"/>
    <w:pPr>
      <w:spacing w:line="240" w:lineRule="auto"/>
      <w:jc w:val="both"/>
    </w:pPr>
    <w:rPr>
      <w:rFonts w:asciiTheme="minorHAnsi" w:hAnsiTheme="minorHAnsi"/>
      <w:color w:val="0070C0"/>
      <w:sz w:val="24"/>
    </w:rPr>
  </w:style>
  <w:style w:type="character" w:customStyle="1" w:styleId="InstructionalTextChar0">
    <w:name w:val="Instructional Text Char"/>
    <w:basedOn w:val="DefaultParagraphFont"/>
    <w:link w:val="InstructionalText0"/>
    <w:uiPriority w:val="3"/>
    <w:rsid w:val="00C81D94"/>
    <w:rPr>
      <w:color w:val="0070C0"/>
      <w:sz w:val="24"/>
    </w:rPr>
  </w:style>
  <w:style w:type="paragraph" w:customStyle="1" w:styleId="BulletBeforeDash">
    <w:name w:val="BulletBeforeDash"/>
    <w:basedOn w:val="Normal"/>
    <w:rsid w:val="0050457E"/>
    <w:pPr>
      <w:numPr>
        <w:numId w:val="43"/>
      </w:numPr>
      <w:spacing w:before="0" w:after="0" w:line="240" w:lineRule="auto"/>
      <w:ind w:left="720"/>
    </w:pPr>
    <w:rPr>
      <w:rFonts w:ascii="Times New Roman" w:eastAsia="Times New Roman" w:hAnsi="Times New Roman" w:cs="Times New Roman"/>
      <w:color w:val="000000"/>
      <w:sz w:val="24"/>
      <w:szCs w:val="20"/>
      <w:lang w:eastAsia="en-AU"/>
    </w:rPr>
  </w:style>
  <w:style w:type="character" w:customStyle="1" w:styleId="normaltextrun">
    <w:name w:val="normaltextrun"/>
    <w:basedOn w:val="DefaultParagraphFont"/>
    <w:rsid w:val="00B74A34"/>
  </w:style>
  <w:style w:type="paragraph" w:styleId="NormalWeb">
    <w:name w:val="Normal (Web)"/>
    <w:basedOn w:val="Normal"/>
    <w:uiPriority w:val="99"/>
    <w:semiHidden/>
    <w:unhideWhenUsed/>
    <w:rsid w:val="006E51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points">
    <w:name w:val="Bullet points"/>
    <w:basedOn w:val="ListParagraph"/>
    <w:rsid w:val="005414BF"/>
    <w:pPr>
      <w:numPr>
        <w:numId w:val="45"/>
      </w:numPr>
      <w:spacing w:before="0" w:after="120" w:line="240" w:lineRule="auto"/>
      <w:jc w:val="both"/>
    </w:pPr>
    <w:rPr>
      <w:rFonts w:asciiTheme="minorHAnsi" w:eastAsia="Times New Roman" w:hAnsiTheme="minorHAnsi" w:cs="Arial"/>
      <w:snapToGrid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78128008">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34592999">
      <w:bodyDiv w:val="1"/>
      <w:marLeft w:val="0"/>
      <w:marRight w:val="0"/>
      <w:marTop w:val="0"/>
      <w:marBottom w:val="0"/>
      <w:divBdr>
        <w:top w:val="none" w:sz="0" w:space="0" w:color="auto"/>
        <w:left w:val="none" w:sz="0" w:space="0" w:color="auto"/>
        <w:bottom w:val="none" w:sz="0" w:space="0" w:color="auto"/>
        <w:right w:val="none" w:sz="0" w:space="0" w:color="auto"/>
      </w:divBdr>
      <w:divsChild>
        <w:div w:id="1912034297">
          <w:marLeft w:val="547"/>
          <w:marRight w:val="0"/>
          <w:marTop w:val="154"/>
          <w:marBottom w:val="0"/>
          <w:divBdr>
            <w:top w:val="none" w:sz="0" w:space="0" w:color="auto"/>
            <w:left w:val="none" w:sz="0" w:space="0" w:color="auto"/>
            <w:bottom w:val="none" w:sz="0" w:space="0" w:color="auto"/>
            <w:right w:val="none" w:sz="0" w:space="0" w:color="auto"/>
          </w:divBdr>
        </w:div>
      </w:divsChild>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35728869">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3964690">
      <w:bodyDiv w:val="1"/>
      <w:marLeft w:val="0"/>
      <w:marRight w:val="0"/>
      <w:marTop w:val="0"/>
      <w:marBottom w:val="0"/>
      <w:divBdr>
        <w:top w:val="none" w:sz="0" w:space="0" w:color="auto"/>
        <w:left w:val="none" w:sz="0" w:space="0" w:color="auto"/>
        <w:bottom w:val="none" w:sz="0" w:space="0" w:color="auto"/>
        <w:right w:val="none" w:sz="0" w:space="0" w:color="auto"/>
      </w:divBdr>
      <w:divsChild>
        <w:div w:id="108479259">
          <w:marLeft w:val="547"/>
          <w:marRight w:val="0"/>
          <w:marTop w:val="0"/>
          <w:marBottom w:val="0"/>
          <w:divBdr>
            <w:top w:val="none" w:sz="0" w:space="0" w:color="auto"/>
            <w:left w:val="none" w:sz="0" w:space="0" w:color="auto"/>
            <w:bottom w:val="none" w:sz="0" w:space="0" w:color="auto"/>
            <w:right w:val="none" w:sz="0" w:space="0" w:color="auto"/>
          </w:divBdr>
        </w:div>
        <w:div w:id="340204884">
          <w:marLeft w:val="547"/>
          <w:marRight w:val="0"/>
          <w:marTop w:val="0"/>
          <w:marBottom w:val="0"/>
          <w:divBdr>
            <w:top w:val="none" w:sz="0" w:space="0" w:color="auto"/>
            <w:left w:val="none" w:sz="0" w:space="0" w:color="auto"/>
            <w:bottom w:val="none" w:sz="0" w:space="0" w:color="auto"/>
            <w:right w:val="none" w:sz="0" w:space="0" w:color="auto"/>
          </w:divBdr>
        </w:div>
        <w:div w:id="1742823379">
          <w:marLeft w:val="547"/>
          <w:marRight w:val="0"/>
          <w:marTop w:val="0"/>
          <w:marBottom w:val="0"/>
          <w:divBdr>
            <w:top w:val="none" w:sz="0" w:space="0" w:color="auto"/>
            <w:left w:val="none" w:sz="0" w:space="0" w:color="auto"/>
            <w:bottom w:val="none" w:sz="0" w:space="0" w:color="auto"/>
            <w:right w:val="none" w:sz="0" w:space="0" w:color="auto"/>
          </w:divBdr>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5388844">
      <w:bodyDiv w:val="1"/>
      <w:marLeft w:val="0"/>
      <w:marRight w:val="0"/>
      <w:marTop w:val="0"/>
      <w:marBottom w:val="0"/>
      <w:divBdr>
        <w:top w:val="none" w:sz="0" w:space="0" w:color="auto"/>
        <w:left w:val="none" w:sz="0" w:space="0" w:color="auto"/>
        <w:bottom w:val="none" w:sz="0" w:space="0" w:color="auto"/>
        <w:right w:val="none" w:sz="0" w:space="0" w:color="auto"/>
      </w:divBdr>
      <w:divsChild>
        <w:div w:id="1839349506">
          <w:marLeft w:val="547"/>
          <w:marRight w:val="0"/>
          <w:marTop w:val="154"/>
          <w:marBottom w:val="0"/>
          <w:divBdr>
            <w:top w:val="none" w:sz="0" w:space="0" w:color="auto"/>
            <w:left w:val="none" w:sz="0" w:space="0" w:color="auto"/>
            <w:bottom w:val="none" w:sz="0" w:space="0" w:color="auto"/>
            <w:right w:val="none" w:sz="0" w:space="0" w:color="auto"/>
          </w:divBdr>
        </w:div>
      </w:divsChild>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1348518">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3013211">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44709121">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596205499">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13976440">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5034416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8833859">
      <w:bodyDiv w:val="1"/>
      <w:marLeft w:val="0"/>
      <w:marRight w:val="0"/>
      <w:marTop w:val="0"/>
      <w:marBottom w:val="0"/>
      <w:divBdr>
        <w:top w:val="none" w:sz="0" w:space="0" w:color="auto"/>
        <w:left w:val="none" w:sz="0" w:space="0" w:color="auto"/>
        <w:bottom w:val="none" w:sz="0" w:space="0" w:color="auto"/>
        <w:right w:val="none" w:sz="0" w:space="0" w:color="auto"/>
      </w:divBdr>
    </w:div>
    <w:div w:id="1799833809">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4492080">
      <w:bodyDiv w:val="1"/>
      <w:marLeft w:val="0"/>
      <w:marRight w:val="0"/>
      <w:marTop w:val="0"/>
      <w:marBottom w:val="0"/>
      <w:divBdr>
        <w:top w:val="none" w:sz="0" w:space="0" w:color="auto"/>
        <w:left w:val="none" w:sz="0" w:space="0" w:color="auto"/>
        <w:bottom w:val="none" w:sz="0" w:space="0" w:color="auto"/>
        <w:right w:val="none" w:sz="0" w:space="0" w:color="auto"/>
      </w:divBdr>
    </w:div>
    <w:div w:id="1837186608">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67017602">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898123722">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0174842">
      <w:bodyDiv w:val="1"/>
      <w:marLeft w:val="0"/>
      <w:marRight w:val="0"/>
      <w:marTop w:val="0"/>
      <w:marBottom w:val="0"/>
      <w:divBdr>
        <w:top w:val="none" w:sz="0" w:space="0" w:color="auto"/>
        <w:left w:val="none" w:sz="0" w:space="0" w:color="auto"/>
        <w:bottom w:val="none" w:sz="0" w:space="0" w:color="auto"/>
        <w:right w:val="none" w:sz="0" w:space="0" w:color="auto"/>
      </w:divBdr>
      <w:divsChild>
        <w:div w:id="633175906">
          <w:marLeft w:val="547"/>
          <w:marRight w:val="0"/>
          <w:marTop w:val="154"/>
          <w:marBottom w:val="0"/>
          <w:divBdr>
            <w:top w:val="none" w:sz="0" w:space="0" w:color="auto"/>
            <w:left w:val="none" w:sz="0" w:space="0" w:color="auto"/>
            <w:bottom w:val="none" w:sz="0" w:space="0" w:color="auto"/>
            <w:right w:val="none" w:sz="0" w:space="0" w:color="auto"/>
          </w:divBdr>
        </w:div>
      </w:divsChild>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C9C1B5F58153AEBACA25831A00831E86/$File/1554%20-%20Final%20PSD_Jul2020_redacted.pdf" TargetMode="External"/><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eviq.org.au/cancer-genetics/adult/genetic-testing-for-heritable-pathogenic-variants/620-brca1-and-brca2-genetic-testing" TargetMode="External"/><Relationship Id="rId7" Type="http://schemas.openxmlformats.org/officeDocument/2006/relationships/endnotes" Target="endnotes.xml"/><Relationship Id="rId12" Type="http://schemas.openxmlformats.org/officeDocument/2006/relationships/hyperlink" Target="http://www.msac.gov.au/internet/msac/publishing.nsf/Content/8488B4782990AA61CA25801000123BF2/$File/1380%20-%20Final%20PSD%20-%20BRCA%20testing%20for%20olaparib%20in%20ovarian%20cancer.pdf" TargetMode="External"/><Relationship Id="rId17" Type="http://schemas.openxmlformats.org/officeDocument/2006/relationships/footer" Target="footer2.xml"/><Relationship Id="rId25" Type="http://schemas.openxmlformats.org/officeDocument/2006/relationships/hyperlink" Target="http://www.msac.gov.au/internet/msac/publishing.nsf/Content/C9C1B5F58153AEBACA25831A00831E86/$File/1554%20-%20Final%20PSD_Jul2020_redacted.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yperlink" Target="http://www.msac.gov.au/internet/msac/publishing.nsf/Content/19F02703F69D97C9CA258522001DE2DA/$File/1618%20-%20Final%20PSD_redacted_Nov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18-public" TargetMode="External"/><Relationship Id="rId24" Type="http://schemas.openxmlformats.org/officeDocument/2006/relationships/hyperlink" Target="http://www.msac.gov.au/internet/msac/publishing.nsf/Content/8488B4782990AA61CA25801000123BF2/$File/1380%20-%20Final%20PSD%20-%20BRCA%20testing%20for%20olaparib%20in%20ovarian%20cancer.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yperlink" Target="http://www.msac.gov.au/internet/msac/publishing.nsf/Content/D3E96917F7B2253BCA25801000123C2E/$File/1411.1_EconomicEvaluationReport.pdf" TargetMode="External"/><Relationship Id="rId10" Type="http://schemas.openxmlformats.org/officeDocument/2006/relationships/hyperlink" Target="http://www.msac.gov.au/internet/msac/publishing.nsf/Content/1554-public"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internet/msac/publishing.nsf/Content/1380-public"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media/image5.emf"/><Relationship Id="rId30" Type="http://schemas.openxmlformats.org/officeDocument/2006/relationships/hyperlink" Target="http://msac.gov.au/internet/msac/publishing.nsf/Content/Hom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CFDC-1B9E-42F9-8881-F2F7F777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13186</Words>
  <Characters>71996</Characters>
  <Application>Microsoft Office Word</Application>
  <DocSecurity>0</DocSecurity>
  <Lines>1384</Lines>
  <Paragraphs>591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84591</CharactersWithSpaces>
  <SharedDoc>false</SharedDoc>
  <HyperlinkBase/>
  <HLinks>
    <vt:vector size="78" baseType="variant">
      <vt:variant>
        <vt:i4>6684716</vt:i4>
      </vt:variant>
      <vt:variant>
        <vt:i4>156</vt:i4>
      </vt:variant>
      <vt:variant>
        <vt:i4>0</vt:i4>
      </vt:variant>
      <vt:variant>
        <vt:i4>5</vt:i4>
      </vt:variant>
      <vt:variant>
        <vt:lpwstr>http://msac.gov.au/internet/msac/publishing.nsf/Content/Home-1</vt:lpwstr>
      </vt:variant>
      <vt:variant>
        <vt:lpwstr/>
      </vt:variant>
      <vt:variant>
        <vt:i4>7274597</vt:i4>
      </vt:variant>
      <vt:variant>
        <vt:i4>153</vt:i4>
      </vt:variant>
      <vt:variant>
        <vt:i4>0</vt:i4>
      </vt:variant>
      <vt:variant>
        <vt:i4>5</vt:i4>
      </vt:variant>
      <vt:variant>
        <vt:lpwstr>http://www.msac.gov.au/internet/msac/publishing.nsf/Content/19F02703F69D97C9CA258522001DE2DA/$File/1618 - Final PSD_redacted_Nov2021.pdf</vt:lpwstr>
      </vt:variant>
      <vt:variant>
        <vt:lpwstr/>
      </vt:variant>
      <vt:variant>
        <vt:i4>1376356</vt:i4>
      </vt:variant>
      <vt:variant>
        <vt:i4>150</vt:i4>
      </vt:variant>
      <vt:variant>
        <vt:i4>0</vt:i4>
      </vt:variant>
      <vt:variant>
        <vt:i4>5</vt:i4>
      </vt:variant>
      <vt:variant>
        <vt:lpwstr>http://www.msac.gov.au/internet/msac/publishing.nsf/Content/D3E96917F7B2253BCA25801000123C2E/$File/1411.1_EconomicEvaluationReport.pdf</vt:lpwstr>
      </vt:variant>
      <vt:variant>
        <vt:lpwstr/>
      </vt:variant>
      <vt:variant>
        <vt:i4>327684</vt:i4>
      </vt:variant>
      <vt:variant>
        <vt:i4>99</vt:i4>
      </vt:variant>
      <vt:variant>
        <vt:i4>0</vt:i4>
      </vt:variant>
      <vt:variant>
        <vt:i4>5</vt:i4>
      </vt:variant>
      <vt:variant>
        <vt:lpwstr>http://www.msac.gov.au/internet/msac/publishing.nsf/Content/C9C1B5F58153AEBACA25831A00831E86/$File/1554 - Final PSD_Jul2020_redacted.pdf</vt:lpwstr>
      </vt:variant>
      <vt:variant>
        <vt:lpwstr/>
      </vt:variant>
      <vt:variant>
        <vt:i4>1376272</vt:i4>
      </vt:variant>
      <vt:variant>
        <vt:i4>96</vt:i4>
      </vt:variant>
      <vt:variant>
        <vt:i4>0</vt:i4>
      </vt:variant>
      <vt:variant>
        <vt:i4>5</vt:i4>
      </vt:variant>
      <vt:variant>
        <vt:lpwstr>http://www.msac.gov.au/internet/msac/publishing.nsf/Content/8488B4782990AA61CA25801000123BF2/$File/1380 - Final PSD - BRCA testing for olaparib in ovarian cancer.pdf</vt:lpwstr>
      </vt:variant>
      <vt:variant>
        <vt:lpwstr/>
      </vt:variant>
      <vt:variant>
        <vt:i4>2949169</vt:i4>
      </vt:variant>
      <vt:variant>
        <vt:i4>30</vt:i4>
      </vt:variant>
      <vt:variant>
        <vt:i4>0</vt:i4>
      </vt:variant>
      <vt:variant>
        <vt:i4>5</vt:i4>
      </vt:variant>
      <vt:variant>
        <vt:lpwstr>https://www.eviq.org.au/cancer-genetics/adult/genetic-testing-for-heritable-pathogenic-variants/620-brca1-and-brca2-genetic-testing</vt:lpwstr>
      </vt:variant>
      <vt:variant>
        <vt:lpwstr/>
      </vt:variant>
      <vt:variant>
        <vt:i4>327684</vt:i4>
      </vt:variant>
      <vt:variant>
        <vt:i4>18</vt:i4>
      </vt:variant>
      <vt:variant>
        <vt:i4>0</vt:i4>
      </vt:variant>
      <vt:variant>
        <vt:i4>5</vt:i4>
      </vt:variant>
      <vt:variant>
        <vt:lpwstr>http://www.msac.gov.au/internet/msac/publishing.nsf/Content/C9C1B5F58153AEBACA25831A00831E86/$File/1554 - Final PSD_Jul2020_redacted.pdf</vt:lpwstr>
      </vt:variant>
      <vt:variant>
        <vt:lpwstr/>
      </vt:variant>
      <vt:variant>
        <vt:i4>1376272</vt:i4>
      </vt:variant>
      <vt:variant>
        <vt:i4>15</vt:i4>
      </vt:variant>
      <vt:variant>
        <vt:i4>0</vt:i4>
      </vt:variant>
      <vt:variant>
        <vt:i4>5</vt:i4>
      </vt:variant>
      <vt:variant>
        <vt:lpwstr>http://www.msac.gov.au/internet/msac/publishing.nsf/Content/8488B4782990AA61CA25801000123BF2/$File/1380 - Final PSD - BRCA testing for olaparib in ovarian cancer.pdf</vt:lpwstr>
      </vt:variant>
      <vt:variant>
        <vt:lpwstr/>
      </vt:variant>
      <vt:variant>
        <vt:i4>2621545</vt:i4>
      </vt:variant>
      <vt:variant>
        <vt:i4>9</vt:i4>
      </vt:variant>
      <vt:variant>
        <vt:i4>0</vt:i4>
      </vt:variant>
      <vt:variant>
        <vt:i4>5</vt:i4>
      </vt:variant>
      <vt:variant>
        <vt:lpwstr>http://www.msac.gov.au/internet/msac/publishing.nsf/Content/1618-public</vt:lpwstr>
      </vt:variant>
      <vt:variant>
        <vt:lpwstr/>
      </vt:variant>
      <vt:variant>
        <vt:i4>2556013</vt:i4>
      </vt:variant>
      <vt:variant>
        <vt:i4>6</vt:i4>
      </vt:variant>
      <vt:variant>
        <vt:i4>0</vt:i4>
      </vt:variant>
      <vt:variant>
        <vt:i4>5</vt:i4>
      </vt:variant>
      <vt:variant>
        <vt:lpwstr>http://www.msac.gov.au/internet/msac/publishing.nsf/Content/1554-public</vt:lpwstr>
      </vt:variant>
      <vt:variant>
        <vt:lpwstr/>
      </vt:variant>
      <vt:variant>
        <vt:i4>2424928</vt:i4>
      </vt:variant>
      <vt:variant>
        <vt:i4>3</vt:i4>
      </vt:variant>
      <vt:variant>
        <vt:i4>0</vt:i4>
      </vt:variant>
      <vt:variant>
        <vt:i4>5</vt:i4>
      </vt:variant>
      <vt:variant>
        <vt:lpwstr>http://www.msac.gov.au/internet/msac/publishing.nsf/Content/1380-public</vt:lpwstr>
      </vt:variant>
      <vt:variant>
        <vt:lpwstr/>
      </vt:variant>
      <vt:variant>
        <vt:i4>3997744</vt:i4>
      </vt:variant>
      <vt:variant>
        <vt:i4>0</vt:i4>
      </vt:variant>
      <vt:variant>
        <vt:i4>0</vt:i4>
      </vt:variant>
      <vt:variant>
        <vt:i4>5</vt:i4>
      </vt:variant>
      <vt:variant>
        <vt:lpwstr>http://www.msac.gov.au/</vt:lpwstr>
      </vt:variant>
      <vt:variant>
        <vt:lpwstr/>
      </vt:variant>
      <vt:variant>
        <vt:i4>8061006</vt:i4>
      </vt:variant>
      <vt:variant>
        <vt:i4>0</vt:i4>
      </vt:variant>
      <vt:variant>
        <vt:i4>0</vt:i4>
      </vt:variant>
      <vt:variant>
        <vt:i4>5</vt:i4>
      </vt:variant>
      <vt:variant>
        <vt:lpwstr>mailto:Katherine.ONG@Health.gov.au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2023-07-04T01:00:00Z</dcterms:created>
  <dcterms:modified xsi:type="dcterms:W3CDTF">2023-07-11T04:36:00Z</dcterms:modified>
  <cp:category/>
</cp:coreProperties>
</file>